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D4" w:rsidRPr="00254637" w:rsidRDefault="009640D4" w:rsidP="00254637">
      <w:pPr>
        <w:pStyle w:val="PlainText"/>
        <w:suppressAutoHyphens/>
        <w:spacing w:after="120"/>
        <w:rPr>
          <w:rFonts w:ascii="Calibri" w:hAnsi="Calibri" w:cs="Courier New"/>
          <w:b/>
          <w:sz w:val="72"/>
          <w:szCs w:val="72"/>
        </w:rPr>
      </w:pPr>
      <w:r w:rsidRPr="00254637">
        <w:rPr>
          <w:rFonts w:ascii="Calibri" w:hAnsi="Calibri" w:cs="Courier New"/>
          <w:b/>
          <w:sz w:val="72"/>
          <w:szCs w:val="72"/>
        </w:rPr>
        <w:t xml:space="preserve">An Examination of the Challenges, Successes and Setbacks for Clinical Legal Education in Eastern Europe </w:t>
      </w:r>
    </w:p>
    <w:p w:rsidR="00254637" w:rsidRDefault="00254637" w:rsidP="00254637">
      <w:pPr>
        <w:pStyle w:val="PlainText"/>
        <w:suppressAutoHyphens/>
        <w:spacing w:after="120"/>
        <w:rPr>
          <w:rFonts w:ascii="Calibri" w:hAnsi="Calibri" w:cs="Courier New"/>
          <w:sz w:val="24"/>
        </w:rPr>
      </w:pPr>
    </w:p>
    <w:p w:rsidR="009640D4" w:rsidRPr="00254637" w:rsidRDefault="009640D4" w:rsidP="00254637">
      <w:pPr>
        <w:pStyle w:val="PlainText"/>
        <w:suppressAutoHyphens/>
        <w:spacing w:after="120"/>
        <w:rPr>
          <w:rFonts w:ascii="Calibri" w:hAnsi="Calibri" w:cs="Courier New"/>
          <w:i/>
          <w:sz w:val="28"/>
          <w:szCs w:val="28"/>
        </w:rPr>
      </w:pPr>
      <w:proofErr w:type="spellStart"/>
      <w:r w:rsidRPr="00254637">
        <w:rPr>
          <w:rFonts w:ascii="Calibri" w:hAnsi="Calibri" w:cs="Courier New"/>
          <w:i/>
          <w:sz w:val="28"/>
          <w:szCs w:val="28"/>
        </w:rPr>
        <w:t>Dubravka</w:t>
      </w:r>
      <w:proofErr w:type="spellEnd"/>
      <w:r w:rsidRPr="00254637">
        <w:rPr>
          <w:rFonts w:ascii="Calibri" w:hAnsi="Calibri" w:cs="Courier New"/>
          <w:i/>
          <w:sz w:val="28"/>
          <w:szCs w:val="28"/>
        </w:rPr>
        <w:t xml:space="preserve"> </w:t>
      </w:r>
      <w:proofErr w:type="spellStart"/>
      <w:r w:rsidRPr="00254637">
        <w:rPr>
          <w:rFonts w:ascii="Calibri" w:hAnsi="Calibri" w:cs="Courier New"/>
          <w:i/>
          <w:sz w:val="28"/>
          <w:szCs w:val="28"/>
        </w:rPr>
        <w:t>Aksamovic</w:t>
      </w:r>
      <w:proofErr w:type="spellEnd"/>
      <w:r w:rsidR="00254637">
        <w:rPr>
          <w:rStyle w:val="FootnoteReference"/>
          <w:rFonts w:ascii="Calibri" w:hAnsi="Calibri" w:cs="Courier New"/>
          <w:i/>
          <w:sz w:val="28"/>
          <w:szCs w:val="28"/>
        </w:rPr>
        <w:footnoteReference w:id="1"/>
      </w:r>
      <w:r w:rsidR="00254637">
        <w:rPr>
          <w:rFonts w:ascii="Calibri" w:hAnsi="Calibri" w:cs="Courier New"/>
          <w:i/>
          <w:sz w:val="28"/>
          <w:szCs w:val="28"/>
        </w:rPr>
        <w:t xml:space="preserve"> and Philip </w:t>
      </w:r>
      <w:proofErr w:type="spellStart"/>
      <w:r w:rsidR="00254637">
        <w:rPr>
          <w:rFonts w:ascii="Calibri" w:hAnsi="Calibri" w:cs="Courier New"/>
          <w:i/>
          <w:sz w:val="28"/>
          <w:szCs w:val="28"/>
        </w:rPr>
        <w:t>Genty</w:t>
      </w:r>
      <w:proofErr w:type="spellEnd"/>
      <w:r w:rsidR="00254637">
        <w:rPr>
          <w:rStyle w:val="FootnoteReference"/>
          <w:rFonts w:ascii="Calibri" w:hAnsi="Calibri" w:cs="Courier New"/>
          <w:i/>
          <w:sz w:val="28"/>
          <w:szCs w:val="28"/>
        </w:rPr>
        <w:footnoteReference w:id="2"/>
      </w:r>
    </w:p>
    <w:p w:rsidR="009640D4" w:rsidRPr="00254637" w:rsidRDefault="00254637" w:rsidP="00254637">
      <w:pPr>
        <w:pStyle w:val="PlainText"/>
        <w:suppressAutoHyphens/>
        <w:spacing w:after="120"/>
        <w:rPr>
          <w:rFonts w:ascii="Calibri" w:hAnsi="Calibri" w:cs="Courier New"/>
          <w:sz w:val="24"/>
        </w:rPr>
      </w:pPr>
    </w:p>
    <w:p w:rsidR="009640D4" w:rsidRPr="00254637" w:rsidRDefault="00537FFC" w:rsidP="00254637">
      <w:pPr>
        <w:pStyle w:val="PlainText"/>
        <w:suppressAutoHyphens/>
        <w:spacing w:after="120"/>
        <w:rPr>
          <w:rFonts w:ascii="Calibri" w:hAnsi="Calibri" w:cs="Courier New"/>
          <w:b/>
          <w:sz w:val="28"/>
          <w:szCs w:val="28"/>
        </w:rPr>
      </w:pPr>
      <w:r>
        <w:rPr>
          <w:rFonts w:ascii="Calibri" w:hAnsi="Calibri" w:cs="Courier New"/>
          <w:b/>
          <w:sz w:val="28"/>
          <w:szCs w:val="28"/>
        </w:rPr>
        <w:t>I. Introduction</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The authors first met in 2000, and have collaborated in conferences, workshops, and other projects since then. We also represent two sides of an international exchange that has frequently occurred in the past 15 years: a European law teacher who attends training sessions, networks with colleagues from other European universities, learns about American models of clinical education, and possibly receives some outside funding; and an American law teacher who is graciously hosted by Europeans, promotes American models of clinical education, and, one hopes, observes, listens and learns about the European system. We are also experienced teachers within our own universities and teach both clinics and more doctrinal courses. Finally we are friends and</w:t>
      </w:r>
      <w:r w:rsidR="00537FFC">
        <w:rPr>
          <w:rFonts w:ascii="Calibri" w:hAnsi="Calibri" w:cs="Courier New"/>
          <w:sz w:val="24"/>
        </w:rPr>
        <w:t xml:space="preserve"> can be honest with each other.</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After more than 10 years of working together, we wanted to take stock of the collaboration between American and European academics on issues of clinical education. We wanted to take a close look at what has happened in Central and Eastern Europe since the first “American invasion” of U.S. consultants and funding: what clinical programs were developed?</w:t>
      </w:r>
      <w:r w:rsidR="007F1603">
        <w:rPr>
          <w:rFonts w:ascii="Calibri" w:hAnsi="Calibri" w:cs="Courier New"/>
          <w:sz w:val="24"/>
        </w:rPr>
        <w:t xml:space="preserve"> </w:t>
      </w:r>
      <w:r w:rsidRPr="00254637">
        <w:rPr>
          <w:rFonts w:ascii="Calibri" w:hAnsi="Calibri" w:cs="Courier New"/>
          <w:sz w:val="24"/>
        </w:rPr>
        <w:t>Which ones survived after the consultants and funding left?</w:t>
      </w:r>
      <w:r w:rsidR="007F1603">
        <w:rPr>
          <w:rFonts w:ascii="Calibri" w:hAnsi="Calibri" w:cs="Courier New"/>
          <w:sz w:val="24"/>
        </w:rPr>
        <w:t xml:space="preserve"> </w:t>
      </w:r>
      <w:r w:rsidRPr="00254637">
        <w:rPr>
          <w:rFonts w:ascii="Calibri" w:hAnsi="Calibri" w:cs="Courier New"/>
          <w:sz w:val="24"/>
        </w:rPr>
        <w:t xml:space="preserve">Why did some programs survive and prosper, while others disappeared? What do </w:t>
      </w:r>
      <w:r w:rsidR="00537FFC">
        <w:rPr>
          <w:rFonts w:ascii="Calibri" w:hAnsi="Calibri" w:cs="Courier New"/>
          <w:sz w:val="24"/>
        </w:rPr>
        <w:t>the surviving models look like?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We also wanted to ask a series of more subjective and potentially sensitive questions: was the American influence ultimately helpful and productive? To the extent that it was not helpful, what have we learned about improving such cross-cultural international collaborations in the future? Have European law schools copied US models of clinical legal educ</w:t>
      </w:r>
      <w:r w:rsidR="00254637">
        <w:rPr>
          <w:rFonts w:ascii="Calibri" w:hAnsi="Calibri" w:cs="Courier New"/>
          <w:sz w:val="24"/>
        </w:rPr>
        <w:t xml:space="preserve">ation, or have they developed </w:t>
      </w:r>
      <w:r w:rsidR="00537FFC">
        <w:rPr>
          <w:rFonts w:ascii="Calibri" w:hAnsi="Calibri" w:cs="Courier New"/>
          <w:sz w:val="24"/>
        </w:rPr>
        <w:t>their own models?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In the following sections we first discuss the history of clinical legal education in Central and Eastern Europe. We then focus on Croatia and Olomouc, Czech Republic, two examples of the ambitious but uneven development of clinical programs in Central and Eastern Europe. We next examine the experiences of clinical programs in countries of CEE and some of the </w:t>
      </w:r>
      <w:r w:rsidRPr="00254637">
        <w:rPr>
          <w:rFonts w:ascii="Calibri" w:hAnsi="Calibri" w:cs="Courier New"/>
          <w:sz w:val="24"/>
        </w:rPr>
        <w:lastRenderedPageBreak/>
        <w:t xml:space="preserve">challenges these programs have faced in achieving sustainability. We then use a comparison between the European and U.S. clinical program models as a lens for </w:t>
      </w:r>
      <w:proofErr w:type="spellStart"/>
      <w:r w:rsidRPr="00254637">
        <w:rPr>
          <w:rFonts w:ascii="Calibri" w:hAnsi="Calibri" w:cs="Courier New"/>
          <w:sz w:val="24"/>
        </w:rPr>
        <w:t>analyzing</w:t>
      </w:r>
      <w:proofErr w:type="spellEnd"/>
      <w:r w:rsidRPr="00254637">
        <w:rPr>
          <w:rFonts w:ascii="Calibri" w:hAnsi="Calibri" w:cs="Courier New"/>
          <w:sz w:val="24"/>
        </w:rPr>
        <w:t xml:space="preserve"> the experiences of the European programs and assessing the value of collaboration between European and U.S. clinical teachers. Finally, we offer some thoughts about the future of clinical legal education</w:t>
      </w:r>
      <w:r w:rsidR="00537FFC">
        <w:rPr>
          <w:rFonts w:ascii="Calibri" w:hAnsi="Calibri" w:cs="Courier New"/>
          <w:sz w:val="24"/>
        </w:rPr>
        <w:t xml:space="preserve"> in Central and Eastern Europe.</w:t>
      </w:r>
    </w:p>
    <w:p w:rsidR="009640D4" w:rsidRPr="00254637" w:rsidRDefault="009640D4" w:rsidP="00254637">
      <w:pPr>
        <w:pStyle w:val="PlainText"/>
        <w:suppressAutoHyphens/>
        <w:spacing w:after="120"/>
        <w:rPr>
          <w:rFonts w:ascii="Calibri" w:hAnsi="Calibri" w:cs="Courier New"/>
          <w:sz w:val="24"/>
        </w:rPr>
      </w:pPr>
    </w:p>
    <w:p w:rsidR="009640D4" w:rsidRPr="00254637" w:rsidRDefault="009640D4" w:rsidP="00254637">
      <w:pPr>
        <w:pStyle w:val="PlainText"/>
        <w:suppressAutoHyphens/>
        <w:spacing w:after="120"/>
        <w:rPr>
          <w:rFonts w:ascii="Calibri" w:hAnsi="Calibri" w:cs="Courier New"/>
          <w:b/>
          <w:sz w:val="28"/>
          <w:szCs w:val="28"/>
        </w:rPr>
      </w:pPr>
      <w:r w:rsidRPr="00254637">
        <w:rPr>
          <w:rFonts w:ascii="Calibri" w:hAnsi="Calibri" w:cs="Courier New"/>
          <w:b/>
          <w:sz w:val="28"/>
          <w:szCs w:val="28"/>
        </w:rPr>
        <w:t>II. History and Overview of Clinical Legal Education (CLE) in Central and E</w:t>
      </w:r>
      <w:r w:rsidR="00537FFC">
        <w:rPr>
          <w:rFonts w:ascii="Calibri" w:hAnsi="Calibri" w:cs="Courier New"/>
          <w:b/>
          <w:sz w:val="28"/>
          <w:szCs w:val="28"/>
        </w:rPr>
        <w:t>astern European (CEE) Countries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Clinical legal education in Central and Eastern European countries emerged in the second half of 1990’s. It first started on an experimental basis but in time it became an integral part of higher education programs i</w:t>
      </w:r>
      <w:r w:rsidR="00254637">
        <w:rPr>
          <w:rFonts w:ascii="Calibri" w:hAnsi="Calibri" w:cs="Courier New"/>
          <w:sz w:val="24"/>
        </w:rPr>
        <w:t>n a number of these countries.</w:t>
      </w:r>
      <w:r w:rsidR="00254637">
        <w:rPr>
          <w:rStyle w:val="FootnoteReference"/>
          <w:rFonts w:ascii="Calibri" w:hAnsi="Calibri" w:cs="Courier New"/>
          <w:sz w:val="24"/>
        </w:rPr>
        <w:footnoteReference w:id="3"/>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According to different sources, in only a few years, from 1990 until 1995, more than 100 clinical programs were established in the countries of CEE, including many in Russia</w:t>
      </w:r>
      <w:r w:rsidR="00254637">
        <w:rPr>
          <w:rStyle w:val="FootnoteReference"/>
          <w:rFonts w:ascii="Calibri" w:hAnsi="Calibri" w:cs="Courier New"/>
          <w:sz w:val="24"/>
        </w:rPr>
        <w:footnoteReference w:id="4"/>
      </w:r>
      <w:r w:rsidRPr="00254637">
        <w:rPr>
          <w:rFonts w:ascii="Calibri" w:hAnsi="Calibri" w:cs="Courier New"/>
          <w:sz w:val="24"/>
        </w:rPr>
        <w:t>. Clinical legal education was recognized by law schools in the region as a teaching and learning method that actually prepared students to practice law. Further, the clinical method of learning – learning by doing – was a “breath of fresh air” in the otherwise typical atmosphere of the “classical” classroom lecture methods applied in most law schools in Eastern and Western E</w:t>
      </w:r>
      <w:r w:rsidR="00254637">
        <w:rPr>
          <w:rFonts w:ascii="Calibri" w:hAnsi="Calibri" w:cs="Courier New"/>
          <w:sz w:val="24"/>
        </w:rPr>
        <w:t>urope</w:t>
      </w:r>
      <w:r w:rsidR="00254637">
        <w:rPr>
          <w:rStyle w:val="FootnoteReference"/>
          <w:rFonts w:ascii="Calibri" w:hAnsi="Calibri" w:cs="Courier New"/>
          <w:sz w:val="24"/>
        </w:rPr>
        <w:footnoteReference w:id="5"/>
      </w:r>
      <w:r w:rsidR="00537FFC">
        <w:rPr>
          <w:rFonts w:ascii="Calibri" w:hAnsi="Calibri" w:cs="Courier New"/>
          <w:sz w:val="24"/>
        </w:rPr>
        <w:t>.</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As discussed below, however, the development of CLE in Europe has been far from uniform. There are significant differences between CEE and Western Europe, as well</w:t>
      </w:r>
      <w:r w:rsidR="00537FFC">
        <w:rPr>
          <w:rFonts w:ascii="Calibri" w:hAnsi="Calibri" w:cs="Courier New"/>
          <w:sz w:val="24"/>
        </w:rPr>
        <w:t xml:space="preserve"> as among the countries of CEE.</w:t>
      </w:r>
    </w:p>
    <w:p w:rsidR="009640D4" w:rsidRPr="007F1603" w:rsidRDefault="009640D4" w:rsidP="00254637">
      <w:pPr>
        <w:pStyle w:val="PlainText"/>
        <w:suppressAutoHyphens/>
        <w:spacing w:after="120"/>
        <w:rPr>
          <w:rFonts w:ascii="Calibri" w:hAnsi="Calibri" w:cs="Courier New"/>
          <w:b/>
          <w:sz w:val="24"/>
          <w:szCs w:val="24"/>
        </w:rPr>
      </w:pPr>
      <w:r w:rsidRPr="007F1603">
        <w:rPr>
          <w:rFonts w:ascii="Calibri" w:hAnsi="Calibri" w:cs="Courier New"/>
          <w:b/>
          <w:sz w:val="24"/>
          <w:szCs w:val="24"/>
        </w:rPr>
        <w:t>A. East v. West: CLE’s Growth in CEE Countries and Its Failure to</w:t>
      </w:r>
      <w:r w:rsidR="00254637" w:rsidRPr="007F1603">
        <w:rPr>
          <w:rFonts w:ascii="Calibri" w:hAnsi="Calibri" w:cs="Courier New"/>
          <w:b/>
          <w:sz w:val="24"/>
          <w:szCs w:val="24"/>
        </w:rPr>
        <w:t xml:space="preserve"> Take Hold in Western Europe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While Central and Eastern European countries accepted CLE with lots of enthusiasm, Western European countries were resistant to innovations invo</w:t>
      </w:r>
      <w:r w:rsidR="00254637">
        <w:rPr>
          <w:rFonts w:ascii="Calibri" w:hAnsi="Calibri" w:cs="Courier New"/>
          <w:sz w:val="24"/>
        </w:rPr>
        <w:t>lving the implementation of CLE</w:t>
      </w:r>
      <w:r w:rsidR="00254637">
        <w:rPr>
          <w:rStyle w:val="FootnoteReference"/>
          <w:rFonts w:ascii="Calibri" w:hAnsi="Calibri" w:cs="Courier New"/>
          <w:sz w:val="24"/>
        </w:rPr>
        <w:footnoteReference w:id="6"/>
      </w:r>
      <w:r w:rsidRPr="00254637">
        <w:rPr>
          <w:rFonts w:ascii="Calibri" w:hAnsi="Calibri" w:cs="Courier New"/>
          <w:sz w:val="24"/>
        </w:rPr>
        <w:t>. Only a few clinical law programs have been established so far in Western E</w:t>
      </w:r>
      <w:r w:rsidR="00254637">
        <w:rPr>
          <w:rFonts w:ascii="Calibri" w:hAnsi="Calibri" w:cs="Courier New"/>
          <w:sz w:val="24"/>
        </w:rPr>
        <w:t xml:space="preserve">uropean countries, notably in </w:t>
      </w:r>
      <w:r w:rsidRPr="00254637">
        <w:rPr>
          <w:rFonts w:ascii="Calibri" w:hAnsi="Calibri" w:cs="Courier New"/>
          <w:sz w:val="24"/>
        </w:rPr>
        <w:t>the UK</w:t>
      </w:r>
      <w:r w:rsidR="00254637">
        <w:rPr>
          <w:rStyle w:val="FootnoteReference"/>
          <w:rFonts w:ascii="Calibri" w:hAnsi="Calibri" w:cs="Courier New"/>
          <w:sz w:val="24"/>
        </w:rPr>
        <w:footnoteReference w:id="7"/>
      </w:r>
      <w:r w:rsidRPr="00254637">
        <w:rPr>
          <w:rFonts w:ascii="Calibri" w:hAnsi="Calibri" w:cs="Courier New"/>
          <w:sz w:val="24"/>
        </w:rPr>
        <w:t xml:space="preserve">. (This is quite understandable due to the fact that it is a common law country.) Besides the UK, successful clinical programs have been established in Spain, the </w:t>
      </w:r>
      <w:r w:rsidRPr="00254637">
        <w:rPr>
          <w:rFonts w:ascii="Calibri" w:hAnsi="Calibri" w:cs="Courier New"/>
          <w:sz w:val="24"/>
        </w:rPr>
        <w:lastRenderedPageBreak/>
        <w:t>Netherlands</w:t>
      </w:r>
      <w:r w:rsidR="00254637">
        <w:rPr>
          <w:rStyle w:val="FootnoteReference"/>
          <w:rFonts w:ascii="Calibri" w:hAnsi="Calibri" w:cs="Courier New"/>
          <w:sz w:val="24"/>
        </w:rPr>
        <w:footnoteReference w:id="8"/>
      </w:r>
      <w:r w:rsidRPr="00254637">
        <w:rPr>
          <w:rFonts w:ascii="Calibri" w:hAnsi="Calibri" w:cs="Courier New"/>
          <w:sz w:val="24"/>
        </w:rPr>
        <w:t xml:space="preserve"> and one of the most developed is in Norway</w:t>
      </w:r>
      <w:r w:rsidR="00254637">
        <w:rPr>
          <w:rStyle w:val="FootnoteReference"/>
          <w:rFonts w:ascii="Calibri" w:hAnsi="Calibri" w:cs="Courier New"/>
          <w:sz w:val="24"/>
        </w:rPr>
        <w:footnoteReference w:id="9"/>
      </w:r>
      <w:r w:rsidR="00254637">
        <w:rPr>
          <w:rFonts w:ascii="Calibri" w:hAnsi="Calibri" w:cs="Courier New"/>
          <w:sz w:val="24"/>
        </w:rPr>
        <w:t>. In France</w:t>
      </w:r>
      <w:r w:rsidR="00254637">
        <w:rPr>
          <w:rStyle w:val="FootnoteReference"/>
          <w:rFonts w:ascii="Calibri" w:hAnsi="Calibri" w:cs="Courier New"/>
          <w:sz w:val="24"/>
        </w:rPr>
        <w:footnoteReference w:id="10"/>
      </w:r>
      <w:r w:rsidRPr="00254637">
        <w:rPr>
          <w:rFonts w:ascii="Calibri" w:hAnsi="Calibri" w:cs="Courier New"/>
          <w:sz w:val="24"/>
        </w:rPr>
        <w:t>, Germany</w:t>
      </w:r>
      <w:r w:rsidR="00254637">
        <w:rPr>
          <w:rStyle w:val="FootnoteReference"/>
          <w:rFonts w:ascii="Calibri" w:hAnsi="Calibri" w:cs="Courier New"/>
          <w:sz w:val="24"/>
        </w:rPr>
        <w:footnoteReference w:id="11"/>
      </w:r>
      <w:r w:rsidR="00254637">
        <w:rPr>
          <w:rFonts w:ascii="Calibri" w:hAnsi="Calibri" w:cs="Courier New"/>
          <w:sz w:val="24"/>
        </w:rPr>
        <w:t xml:space="preserve"> and Italy</w:t>
      </w:r>
      <w:r w:rsidR="00254637">
        <w:rPr>
          <w:rStyle w:val="FootnoteReference"/>
          <w:rFonts w:ascii="Calibri" w:hAnsi="Calibri" w:cs="Courier New"/>
          <w:sz w:val="24"/>
        </w:rPr>
        <w:footnoteReference w:id="12"/>
      </w:r>
      <w:r w:rsidRPr="00254637">
        <w:rPr>
          <w:rFonts w:ascii="Calibri" w:hAnsi="Calibri" w:cs="Courier New"/>
          <w:sz w:val="24"/>
        </w:rPr>
        <w:t xml:space="preserve"> CLE programs e</w:t>
      </w:r>
      <w:r w:rsidR="00537FFC">
        <w:rPr>
          <w:rFonts w:ascii="Calibri" w:hAnsi="Calibri" w:cs="Courier New"/>
          <w:sz w:val="24"/>
        </w:rPr>
        <w:t>xist in only a few law schools.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This situation provokes the question: why has CLE been so well accepted in the European East and not so well in the European West? We</w:t>
      </w:r>
      <w:r w:rsidR="00537FFC">
        <w:rPr>
          <w:rFonts w:ascii="Calibri" w:hAnsi="Calibri" w:cs="Courier New"/>
          <w:sz w:val="24"/>
        </w:rPr>
        <w:t xml:space="preserve"> want to suggest a few reasons.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First, all Central and Eastern European countries faced the fall of communism, which resulted in a high level of incentives to change things. In this context, and as said before, CLE was a “breath of fresh air” in the otherwise typical atmosphere of the “classical” classroom lecture methods applied in most law schools i</w:t>
      </w:r>
      <w:r w:rsidR="00254637">
        <w:rPr>
          <w:rFonts w:ascii="Calibri" w:hAnsi="Calibri" w:cs="Courier New"/>
          <w:sz w:val="24"/>
        </w:rPr>
        <w:t>n Central and Eastern Europe.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Second, all Central and Eastern European markets went through transition. So there was a strong demand from market forces for reforms a</w:t>
      </w:r>
      <w:r w:rsidR="00537FFC">
        <w:rPr>
          <w:rFonts w:ascii="Calibri" w:hAnsi="Calibri" w:cs="Courier New"/>
          <w:sz w:val="24"/>
        </w:rPr>
        <w:t>nd legal reforms in particular.</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Third, the transformation, from a non-market to a market economy model, led to an increased need for free legal aid. A number of Central and Eastern European countries faced massive bankruptcies, lots of people were jobless, and some countries, like Croatia, were struck by war. Due to all of these factors, there was an increased demand to help the people in need, but the inherited model of free legal aid could not satisfy all of these needs. Civil societies institutions, who are currently also important free legal aid providers in CEE countries only </w:t>
      </w:r>
      <w:r w:rsidR="00537FFC">
        <w:rPr>
          <w:rFonts w:ascii="Calibri" w:hAnsi="Calibri" w:cs="Courier New"/>
          <w:sz w:val="24"/>
        </w:rPr>
        <w:t>started to develop at the time.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And finally, there was a whole new generation of law students who wanted change. They demanded more from legal education than faculties had</w:t>
      </w:r>
      <w:r w:rsidR="00537FFC">
        <w:rPr>
          <w:rFonts w:ascii="Calibri" w:hAnsi="Calibri" w:cs="Courier New"/>
          <w:sz w:val="24"/>
        </w:rPr>
        <w:t xml:space="preserve"> previously provided for them.</w:t>
      </w:r>
    </w:p>
    <w:p w:rsidR="009640D4" w:rsidRPr="007F1603" w:rsidRDefault="009640D4" w:rsidP="00254637">
      <w:pPr>
        <w:pStyle w:val="PlainText"/>
        <w:suppressAutoHyphens/>
        <w:spacing w:after="120"/>
        <w:rPr>
          <w:rFonts w:ascii="Calibri" w:hAnsi="Calibri" w:cs="Courier New"/>
          <w:b/>
          <w:sz w:val="24"/>
          <w:szCs w:val="24"/>
        </w:rPr>
      </w:pPr>
      <w:r w:rsidRPr="007F1603">
        <w:rPr>
          <w:rFonts w:ascii="Calibri" w:hAnsi="Calibri" w:cs="Courier New"/>
          <w:b/>
          <w:sz w:val="24"/>
          <w:szCs w:val="24"/>
        </w:rPr>
        <w:t>B. Different</w:t>
      </w:r>
      <w:r w:rsidR="00254637" w:rsidRPr="007F1603">
        <w:rPr>
          <w:rFonts w:ascii="Calibri" w:hAnsi="Calibri" w:cs="Courier New"/>
          <w:b/>
          <w:sz w:val="24"/>
          <w:szCs w:val="24"/>
        </w:rPr>
        <w:t xml:space="preserve"> Models of CLE in CEE countries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In addition to the different developments of CLE in CEE and Western Europe, there have been significant variations among the countries of CEE. Despite the fact that CLE appeared at the about same time throughout CEE, it did not follow the same pattern. What we notice, while exploring developments in CLE in different Central and Eastern European countries are peculiarities of CLE. Each country, and even the law schools within one country, have developed different models of CLE. While some countries and law schools unanimously chose </w:t>
      </w:r>
      <w:r w:rsidRPr="00254637">
        <w:rPr>
          <w:rFonts w:ascii="Calibri" w:hAnsi="Calibri" w:cs="Courier New"/>
          <w:sz w:val="24"/>
        </w:rPr>
        <w:lastRenderedPageBreak/>
        <w:t xml:space="preserve">the model of live client clinics, others accepted simulation clinics or the placement model (“externships”). This was surprising if we have in mind the fact that CLE in CEE was shaped and </w:t>
      </w:r>
      <w:proofErr w:type="spellStart"/>
      <w:r w:rsidRPr="00254637">
        <w:rPr>
          <w:rFonts w:ascii="Calibri" w:hAnsi="Calibri" w:cs="Courier New"/>
          <w:sz w:val="24"/>
        </w:rPr>
        <w:t>modeled</w:t>
      </w:r>
      <w:proofErr w:type="spellEnd"/>
      <w:r w:rsidRPr="00254637">
        <w:rPr>
          <w:rFonts w:ascii="Calibri" w:hAnsi="Calibri" w:cs="Courier New"/>
          <w:sz w:val="24"/>
        </w:rPr>
        <w:t xml:space="preserve"> with the help or assistance of no more than three U.S. partners, </w:t>
      </w:r>
      <w:proofErr w:type="spellStart"/>
      <w:r w:rsidRPr="00254637">
        <w:rPr>
          <w:rFonts w:ascii="Calibri" w:hAnsi="Calibri" w:cs="Courier New"/>
          <w:sz w:val="24"/>
        </w:rPr>
        <w:t>PILnet</w:t>
      </w:r>
      <w:proofErr w:type="spellEnd"/>
      <w:r w:rsidRPr="00254637">
        <w:rPr>
          <w:rFonts w:ascii="Calibri" w:hAnsi="Calibri" w:cs="Courier New"/>
          <w:sz w:val="24"/>
        </w:rPr>
        <w:t xml:space="preserve"> (formerly PILI), the S</w:t>
      </w:r>
      <w:r w:rsidR="00254637">
        <w:rPr>
          <w:rFonts w:ascii="Calibri" w:hAnsi="Calibri" w:cs="Courier New"/>
          <w:sz w:val="24"/>
        </w:rPr>
        <w:t>oros Foundation, and ABA CEELI</w:t>
      </w:r>
      <w:r w:rsidR="00254637">
        <w:rPr>
          <w:rStyle w:val="FootnoteReference"/>
          <w:rFonts w:ascii="Calibri" w:hAnsi="Calibri" w:cs="Courier New"/>
          <w:sz w:val="24"/>
        </w:rPr>
        <w:footnoteReference w:id="13"/>
      </w:r>
      <w:r w:rsidRPr="00254637">
        <w:rPr>
          <w:rFonts w:ascii="Calibri" w:hAnsi="Calibri" w:cs="Courier New"/>
          <w:sz w:val="24"/>
        </w:rPr>
        <w:t xml:space="preserve">, and all of these funders specifically </w:t>
      </w:r>
      <w:r w:rsidR="00537FFC">
        <w:rPr>
          <w:rFonts w:ascii="Calibri" w:hAnsi="Calibri" w:cs="Courier New"/>
          <w:sz w:val="24"/>
        </w:rPr>
        <w:t>promoted the live client model.</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The same phenomenon occurred in the context of clinical subject matter. Different types of clinics were established: constitutional law clinics, criminal law clinics, environmental clinics, business law etc. However, this is perhaps less surprising because the U.S. funders did not focus on any particular subject matter</w:t>
      </w:r>
      <w:r w:rsidR="00537FFC">
        <w:rPr>
          <w:rFonts w:ascii="Calibri" w:hAnsi="Calibri" w:cs="Courier New"/>
          <w:sz w:val="24"/>
        </w:rPr>
        <w:t xml:space="preserve"> in the models they introduced.</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This leads to several questions: given that these clinical programs were all based on similar U.S. models and benefitted from the same training and capacity-building efforts, why was a uniform model of CLE not accepted or developed in CEE? Is this diversity of models good or bad for CLE in CEE countries? What are the reasons fo</w:t>
      </w:r>
      <w:r w:rsidR="00537FFC">
        <w:rPr>
          <w:rFonts w:ascii="Calibri" w:hAnsi="Calibri" w:cs="Courier New"/>
          <w:sz w:val="24"/>
        </w:rPr>
        <w:t>r this diversity of CLE models?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Ther</w:t>
      </w:r>
      <w:r w:rsidR="00537FFC">
        <w:rPr>
          <w:rFonts w:ascii="Calibri" w:hAnsi="Calibri" w:cs="Courier New"/>
          <w:sz w:val="24"/>
        </w:rPr>
        <w:t>e are several possible answers: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a) The design of clinical programs often reflected the particular persons who conceived and developed a particular program. It was usually a particular person within the law school, not the law school as an institution, wh</w:t>
      </w:r>
      <w:r w:rsidR="00537FFC">
        <w:rPr>
          <w:rFonts w:ascii="Calibri" w:hAnsi="Calibri" w:cs="Courier New"/>
          <w:sz w:val="24"/>
        </w:rPr>
        <w:t>o created the clinical program.</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b) Clinical design was often regionally or geographically related. Different Central and Eastern European countries were burdened with different problems, and these were reflected in clinical activities. For example, while some countries had an increased need for </w:t>
      </w:r>
      <w:proofErr w:type="spellStart"/>
      <w:r w:rsidRPr="00254637">
        <w:rPr>
          <w:rFonts w:ascii="Calibri" w:hAnsi="Calibri" w:cs="Courier New"/>
          <w:sz w:val="24"/>
        </w:rPr>
        <w:t>labor</w:t>
      </w:r>
      <w:proofErr w:type="spellEnd"/>
      <w:r w:rsidRPr="00254637">
        <w:rPr>
          <w:rFonts w:ascii="Calibri" w:hAnsi="Calibri" w:cs="Courier New"/>
          <w:sz w:val="24"/>
        </w:rPr>
        <w:t xml:space="preserve"> law clinics, others </w:t>
      </w:r>
      <w:r w:rsidR="00537FFC">
        <w:rPr>
          <w:rFonts w:ascii="Calibri" w:hAnsi="Calibri" w:cs="Courier New"/>
          <w:sz w:val="24"/>
        </w:rPr>
        <w:t>had a need for refugee clinics.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c) There was also a lack of systematic approaches and strategies towards a more uniform concept of CLE in CEE. Even clinics within a single country did not cooperate on curricular development or clinical pedagogy or other aspects of clinic design. So the clinical movement in CEE in the 1990’s can be, to some extent, characterized as an ad hoc approach. As discussed below, this might be the reason why a number of clinical progr</w:t>
      </w:r>
      <w:r w:rsidR="00537FFC">
        <w:rPr>
          <w:rFonts w:ascii="Calibri" w:hAnsi="Calibri" w:cs="Courier New"/>
          <w:sz w:val="24"/>
        </w:rPr>
        <w:t>ams failed within a short time.</w:t>
      </w:r>
    </w:p>
    <w:p w:rsidR="009640D4" w:rsidRPr="00254637" w:rsidRDefault="009640D4" w:rsidP="00254637">
      <w:pPr>
        <w:pStyle w:val="PlainText"/>
        <w:suppressAutoHyphens/>
        <w:spacing w:after="120"/>
        <w:rPr>
          <w:rFonts w:ascii="Calibri" w:hAnsi="Calibri" w:cs="Courier New"/>
          <w:sz w:val="24"/>
        </w:rPr>
      </w:pPr>
    </w:p>
    <w:p w:rsidR="009640D4" w:rsidRPr="00254637" w:rsidRDefault="009640D4" w:rsidP="00254637">
      <w:pPr>
        <w:pStyle w:val="PlainText"/>
        <w:suppressAutoHyphens/>
        <w:spacing w:after="120"/>
        <w:rPr>
          <w:rFonts w:ascii="Calibri" w:hAnsi="Calibri" w:cs="Courier New"/>
          <w:b/>
          <w:sz w:val="28"/>
          <w:szCs w:val="28"/>
        </w:rPr>
      </w:pPr>
      <w:r w:rsidRPr="00254637">
        <w:rPr>
          <w:rFonts w:ascii="Calibri" w:hAnsi="Calibri" w:cs="Courier New"/>
          <w:b/>
          <w:sz w:val="28"/>
          <w:szCs w:val="28"/>
        </w:rPr>
        <w:t>III. Specific Examples: Croa</w:t>
      </w:r>
      <w:r w:rsidR="00537FFC">
        <w:rPr>
          <w:rFonts w:ascii="Calibri" w:hAnsi="Calibri" w:cs="Courier New"/>
          <w:b/>
          <w:sz w:val="28"/>
          <w:szCs w:val="28"/>
        </w:rPr>
        <w:t>tia and Olomouc, Czech Republic</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To provide illustrations of some of the general descriptions and conclusions presented above, we offer examples from Croatia and the Czech Republic. These are two countries with which we have experience, the European as a direct faculty participant and the American as an visitor and </w:t>
      </w:r>
      <w:r w:rsidR="00537FFC">
        <w:rPr>
          <w:rFonts w:ascii="Calibri" w:hAnsi="Calibri" w:cs="Courier New"/>
          <w:sz w:val="24"/>
        </w:rPr>
        <w:t>observer.</w:t>
      </w:r>
    </w:p>
    <w:p w:rsidR="009640D4" w:rsidRPr="00893008" w:rsidRDefault="009640D4" w:rsidP="00254637">
      <w:pPr>
        <w:pStyle w:val="PlainText"/>
        <w:suppressAutoHyphens/>
        <w:spacing w:after="120"/>
        <w:rPr>
          <w:rFonts w:ascii="Calibri" w:hAnsi="Calibri" w:cs="Courier New"/>
          <w:b/>
          <w:sz w:val="24"/>
          <w:szCs w:val="24"/>
        </w:rPr>
      </w:pPr>
      <w:r w:rsidRPr="00893008">
        <w:rPr>
          <w:rFonts w:ascii="Calibri" w:hAnsi="Calibri" w:cs="Courier New"/>
          <w:b/>
          <w:sz w:val="24"/>
          <w:szCs w:val="24"/>
        </w:rPr>
        <w:t>A. The Croatian Example: Four Scho</w:t>
      </w:r>
      <w:r w:rsidR="00537FFC" w:rsidRPr="00893008">
        <w:rPr>
          <w:rFonts w:ascii="Calibri" w:hAnsi="Calibri" w:cs="Courier New"/>
          <w:b/>
          <w:sz w:val="24"/>
          <w:szCs w:val="24"/>
        </w:rPr>
        <w:t>ols, Four Different Experiences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CLE in Croatia has a short tradition. It started later than in other parts of CEE due to the fact that the country was at war. Therefore </w:t>
      </w:r>
      <w:r w:rsidR="00537FFC">
        <w:rPr>
          <w:rFonts w:ascii="Calibri" w:hAnsi="Calibri" w:cs="Courier New"/>
          <w:sz w:val="24"/>
        </w:rPr>
        <w:t>transition came somewhat later.</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The first Croatian clinical program started at the Faculty of Law in Rijeka in 2002, following by the legal clinic established at the Faculties of Law in Osijek in 2003 and in Split in 2008. In 2010, a live client clinic was established at the Faculty of Law in Zagreb. The establishment of a </w:t>
      </w:r>
      <w:r w:rsidRPr="00254637">
        <w:rPr>
          <w:rFonts w:ascii="Calibri" w:hAnsi="Calibri" w:cs="Courier New"/>
          <w:sz w:val="24"/>
        </w:rPr>
        <w:lastRenderedPageBreak/>
        <w:t>legal clinic at the country’s oldest university was actually a major breakthrough fo</w:t>
      </w:r>
      <w:r w:rsidR="00254637">
        <w:rPr>
          <w:rFonts w:ascii="Calibri" w:hAnsi="Calibri" w:cs="Courier New"/>
          <w:sz w:val="24"/>
        </w:rPr>
        <w:t>r the future of CLE in Croatia</w:t>
      </w:r>
      <w:r w:rsidR="00254637">
        <w:rPr>
          <w:rStyle w:val="FootnoteReference"/>
          <w:rFonts w:ascii="Calibri" w:hAnsi="Calibri" w:cs="Courier New"/>
          <w:sz w:val="24"/>
        </w:rPr>
        <w:footnoteReference w:id="14"/>
      </w:r>
      <w:r w:rsidR="00537FFC">
        <w:rPr>
          <w:rFonts w:ascii="Calibri" w:hAnsi="Calibri" w:cs="Courier New"/>
          <w:sz w:val="24"/>
        </w:rPr>
        <w:t>.</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Clinical programs in Croatia were, from the very beginning, recognized and well accepted by legal academics as a new te</w:t>
      </w:r>
      <w:r w:rsidR="00893008">
        <w:rPr>
          <w:rFonts w:ascii="Calibri" w:hAnsi="Calibri" w:cs="Courier New"/>
          <w:sz w:val="24"/>
        </w:rPr>
        <w:t>aching methodology which can en</w:t>
      </w:r>
      <w:r w:rsidRPr="00254637">
        <w:rPr>
          <w:rFonts w:ascii="Calibri" w:hAnsi="Calibri" w:cs="Courier New"/>
          <w:sz w:val="24"/>
        </w:rPr>
        <w:t>hance legal education. In a short time clinical programs became a part of the mandatory curricula at all four law schools, although clinical programs are carried out in each of the law schools in different way</w:t>
      </w:r>
      <w:r w:rsidR="00537FFC">
        <w:rPr>
          <w:rFonts w:ascii="Calibri" w:hAnsi="Calibri" w:cs="Courier New"/>
          <w:sz w:val="24"/>
        </w:rPr>
        <w:t>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The legal clinic established at the Faculty of Law in Zagreb is the country’s only live client clinic. Other law schools apply the models of e</w:t>
      </w:r>
      <w:r w:rsidR="00537FFC">
        <w:rPr>
          <w:rFonts w:ascii="Calibri" w:hAnsi="Calibri" w:cs="Courier New"/>
          <w:sz w:val="24"/>
        </w:rPr>
        <w:t>ither simulation or placements.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Despite intensive clinical activity and affirmation of clinical programs as an accepted teaching methodology, clinical development in Croatia has not been without problems, some examples of which are particularly visible in the smaller law schools which are not located in the capital city. These problems are similar to those men</w:t>
      </w:r>
      <w:r w:rsidR="00537FFC">
        <w:rPr>
          <w:rFonts w:ascii="Calibri" w:hAnsi="Calibri" w:cs="Courier New"/>
          <w:sz w:val="24"/>
        </w:rPr>
        <w:t>tioned above.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The</w:t>
      </w:r>
      <w:r w:rsidR="00537FFC">
        <w:rPr>
          <w:rFonts w:ascii="Calibri" w:hAnsi="Calibri" w:cs="Courier New"/>
          <w:sz w:val="24"/>
        </w:rPr>
        <w:t>y can be summarized as follows:</w:t>
      </w:r>
    </w:p>
    <w:p w:rsidR="009640D4" w:rsidRPr="00254637" w:rsidRDefault="00254637" w:rsidP="00254637">
      <w:pPr>
        <w:pStyle w:val="PlainText"/>
        <w:suppressAutoHyphens/>
        <w:spacing w:after="120"/>
        <w:rPr>
          <w:rFonts w:ascii="Calibri" w:hAnsi="Calibri" w:cs="Courier New"/>
          <w:i/>
          <w:sz w:val="24"/>
        </w:rPr>
      </w:pPr>
      <w:r>
        <w:rPr>
          <w:rFonts w:ascii="Calibri" w:hAnsi="Calibri" w:cs="Courier New"/>
          <w:i/>
          <w:sz w:val="24"/>
        </w:rPr>
        <w:t>a) Staffing problems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Smaller law schools have a small staffing capacity. The situation is m</w:t>
      </w:r>
      <w:r w:rsidR="00537FFC">
        <w:rPr>
          <w:rFonts w:ascii="Calibri" w:hAnsi="Calibri" w:cs="Courier New"/>
          <w:sz w:val="24"/>
        </w:rPr>
        <w:t>uch better in the capital city.</w:t>
      </w:r>
    </w:p>
    <w:p w:rsidR="009640D4" w:rsidRPr="00254637" w:rsidRDefault="009640D4" w:rsidP="00254637">
      <w:pPr>
        <w:pStyle w:val="PlainText"/>
        <w:suppressAutoHyphens/>
        <w:spacing w:after="120"/>
        <w:rPr>
          <w:rFonts w:ascii="Calibri" w:hAnsi="Calibri" w:cs="Courier New"/>
          <w:i/>
          <w:sz w:val="24"/>
        </w:rPr>
      </w:pPr>
      <w:r w:rsidRPr="00254637">
        <w:rPr>
          <w:rFonts w:ascii="Calibri" w:hAnsi="Calibri" w:cs="Courier New"/>
          <w:i/>
          <w:sz w:val="24"/>
        </w:rPr>
        <w:t>b) Problems with pract</w:t>
      </w:r>
      <w:r w:rsidR="00537FFC">
        <w:rPr>
          <w:rFonts w:ascii="Calibri" w:hAnsi="Calibri" w:cs="Courier New"/>
          <w:i/>
          <w:sz w:val="24"/>
        </w:rPr>
        <w:t>icing lawyers in smaller cities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In many CEE countries, including Croatia, clinics must hire private lawyers to supervise law students in the legal work they perform, because law professors are often not permitted to be pract</w:t>
      </w:r>
      <w:r w:rsidR="00893008">
        <w:rPr>
          <w:rFonts w:ascii="Calibri" w:hAnsi="Calibri" w:cs="Courier New"/>
          <w:sz w:val="24"/>
        </w:rPr>
        <w:t>ic</w:t>
      </w:r>
      <w:r w:rsidRPr="00254637">
        <w:rPr>
          <w:rFonts w:ascii="Calibri" w:hAnsi="Calibri" w:cs="Courier New"/>
          <w:sz w:val="24"/>
        </w:rPr>
        <w:t>ing lawyers. Finding and keeping involved a practicing lawyer on a stable basis is quite hard in smaller and poorer environments. Besides that, lawyers have poor or no knowledge of clinical pedagogy and methodology, whi</w:t>
      </w:r>
      <w:r w:rsidR="00537FFC">
        <w:rPr>
          <w:rFonts w:ascii="Calibri" w:hAnsi="Calibri" w:cs="Courier New"/>
          <w:sz w:val="24"/>
        </w:rPr>
        <w:t>ch creates additional problems.</w:t>
      </w:r>
    </w:p>
    <w:p w:rsidR="009640D4" w:rsidRPr="00254637" w:rsidRDefault="009640D4" w:rsidP="00254637">
      <w:pPr>
        <w:pStyle w:val="PlainText"/>
        <w:suppressAutoHyphens/>
        <w:spacing w:after="120"/>
        <w:rPr>
          <w:rFonts w:ascii="Calibri" w:hAnsi="Calibri" w:cs="Courier New"/>
          <w:i/>
          <w:sz w:val="24"/>
        </w:rPr>
      </w:pPr>
      <w:r w:rsidRPr="00254637">
        <w:rPr>
          <w:rFonts w:ascii="Calibri" w:hAnsi="Calibri" w:cs="Courier New"/>
          <w:i/>
          <w:sz w:val="24"/>
        </w:rPr>
        <w:t>c) Ad</w:t>
      </w:r>
      <w:r w:rsidR="00537FFC">
        <w:rPr>
          <w:rFonts w:ascii="Calibri" w:hAnsi="Calibri" w:cs="Courier New"/>
          <w:i/>
          <w:sz w:val="24"/>
        </w:rPr>
        <w:t xml:space="preserve"> hoc approach to organizing CLE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Clinical activity in Croatian law faculties depends too much on one person. Faculties are not involved enough to take over the responsibility and ince</w:t>
      </w:r>
      <w:r w:rsidR="00537FFC">
        <w:rPr>
          <w:rFonts w:ascii="Calibri" w:hAnsi="Calibri" w:cs="Courier New"/>
          <w:sz w:val="24"/>
        </w:rPr>
        <w:t>ntive for clinical development.</w:t>
      </w:r>
    </w:p>
    <w:p w:rsidR="009640D4" w:rsidRPr="00254637" w:rsidRDefault="009640D4" w:rsidP="00254637">
      <w:pPr>
        <w:pStyle w:val="PlainText"/>
        <w:suppressAutoHyphens/>
        <w:spacing w:after="120"/>
        <w:rPr>
          <w:rFonts w:ascii="Calibri" w:hAnsi="Calibri" w:cs="Courier New"/>
          <w:i/>
          <w:sz w:val="24"/>
        </w:rPr>
      </w:pPr>
      <w:r w:rsidRPr="00254637">
        <w:rPr>
          <w:rFonts w:ascii="Calibri" w:hAnsi="Calibri" w:cs="Courier New"/>
          <w:i/>
          <w:sz w:val="24"/>
        </w:rPr>
        <w:t>d) Lack of teach</w:t>
      </w:r>
      <w:r w:rsidR="00537FFC">
        <w:rPr>
          <w:rFonts w:ascii="Calibri" w:hAnsi="Calibri" w:cs="Courier New"/>
          <w:i/>
          <w:sz w:val="24"/>
        </w:rPr>
        <w:t>ing credit for clinical faculty</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Since clinical programs are new, clinical teachers often get no credit for performing CLE. It is purely voluntarily engagement, which must be performed in addition to all of the other demands (heavy teaching responsibilities, Ph.D. studies, administrative duties) placed upon the fac</w:t>
      </w:r>
      <w:r w:rsidR="00537FFC">
        <w:rPr>
          <w:rFonts w:ascii="Calibri" w:hAnsi="Calibri" w:cs="Courier New"/>
          <w:sz w:val="24"/>
        </w:rPr>
        <w:t>ulty members who teach clinics.</w:t>
      </w:r>
    </w:p>
    <w:p w:rsidR="009640D4" w:rsidRPr="00254637" w:rsidRDefault="00537FFC" w:rsidP="00254637">
      <w:pPr>
        <w:pStyle w:val="PlainText"/>
        <w:suppressAutoHyphens/>
        <w:spacing w:after="120"/>
        <w:rPr>
          <w:rFonts w:ascii="Calibri" w:hAnsi="Calibri" w:cs="Courier New"/>
          <w:i/>
          <w:sz w:val="24"/>
        </w:rPr>
      </w:pPr>
      <w:r>
        <w:rPr>
          <w:rFonts w:ascii="Calibri" w:hAnsi="Calibri" w:cs="Courier New"/>
          <w:i/>
          <w:sz w:val="24"/>
        </w:rPr>
        <w:t>e) Legislative restrictions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Until 2008, Croatia had an additional problem. It was not clear what kind of</w:t>
      </w:r>
      <w:r w:rsidR="007F1603">
        <w:rPr>
          <w:rFonts w:ascii="Calibri" w:hAnsi="Calibri" w:cs="Courier New"/>
          <w:sz w:val="24"/>
        </w:rPr>
        <w:t xml:space="preserve"> </w:t>
      </w:r>
      <w:r w:rsidRPr="00254637">
        <w:rPr>
          <w:rFonts w:ascii="Calibri" w:hAnsi="Calibri" w:cs="Courier New"/>
          <w:sz w:val="24"/>
        </w:rPr>
        <w:t>legal aid clinics could perform. This issue was clarified to some extent in 2008, w</w:t>
      </w:r>
      <w:r w:rsidR="00254637">
        <w:rPr>
          <w:rFonts w:ascii="Calibri" w:hAnsi="Calibri" w:cs="Courier New"/>
          <w:sz w:val="24"/>
        </w:rPr>
        <w:t>hen the Code on free legal aid</w:t>
      </w:r>
      <w:r w:rsidR="00254637">
        <w:rPr>
          <w:rStyle w:val="FootnoteReference"/>
          <w:rFonts w:ascii="Calibri" w:hAnsi="Calibri" w:cs="Courier New"/>
          <w:sz w:val="24"/>
        </w:rPr>
        <w:footnoteReference w:id="15"/>
      </w:r>
      <w:r w:rsidR="00537FFC">
        <w:rPr>
          <w:rFonts w:ascii="Calibri" w:hAnsi="Calibri" w:cs="Courier New"/>
          <w:sz w:val="24"/>
        </w:rPr>
        <w:t xml:space="preserve"> was enacted.</w:t>
      </w:r>
    </w:p>
    <w:p w:rsidR="009640D4" w:rsidRPr="00893008" w:rsidRDefault="009640D4" w:rsidP="00254637">
      <w:pPr>
        <w:pStyle w:val="PlainText"/>
        <w:suppressAutoHyphens/>
        <w:spacing w:after="120"/>
        <w:rPr>
          <w:rFonts w:ascii="Calibri" w:hAnsi="Calibri" w:cs="Courier New"/>
          <w:b/>
          <w:sz w:val="24"/>
          <w:szCs w:val="24"/>
        </w:rPr>
      </w:pPr>
      <w:r w:rsidRPr="00893008">
        <w:rPr>
          <w:rFonts w:ascii="Calibri" w:hAnsi="Calibri" w:cs="Courier New"/>
          <w:b/>
          <w:sz w:val="24"/>
          <w:szCs w:val="24"/>
        </w:rPr>
        <w:t>B. Olomouc, Czech Repub</w:t>
      </w:r>
      <w:r w:rsidR="00537FFC" w:rsidRPr="00893008">
        <w:rPr>
          <w:rFonts w:ascii="Calibri" w:hAnsi="Calibri" w:cs="Courier New"/>
          <w:b/>
          <w:sz w:val="24"/>
          <w:szCs w:val="24"/>
        </w:rPr>
        <w:t>lic – the Flight of the Phoenix</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lastRenderedPageBreak/>
        <w:t xml:space="preserve">The first live client legal clinic in Central Europe was at </w:t>
      </w:r>
      <w:proofErr w:type="spellStart"/>
      <w:r w:rsidRPr="00254637">
        <w:rPr>
          <w:rFonts w:ascii="Calibri" w:hAnsi="Calibri" w:cs="Courier New"/>
          <w:sz w:val="24"/>
        </w:rPr>
        <w:t>Palacký</w:t>
      </w:r>
      <w:proofErr w:type="spellEnd"/>
      <w:r w:rsidRPr="00254637">
        <w:rPr>
          <w:rFonts w:ascii="Calibri" w:hAnsi="Calibri" w:cs="Courier New"/>
          <w:sz w:val="24"/>
        </w:rPr>
        <w:t xml:space="preserve"> University, Olomouc, Czech Republic. It was funded by t</w:t>
      </w:r>
      <w:r w:rsidR="00537FFC">
        <w:rPr>
          <w:rFonts w:ascii="Calibri" w:hAnsi="Calibri" w:cs="Courier New"/>
          <w:sz w:val="24"/>
        </w:rPr>
        <w:t>he Ford Foundation in 1995-1997</w:t>
      </w:r>
      <w:r w:rsidR="00537FFC">
        <w:rPr>
          <w:rStyle w:val="FootnoteReference"/>
          <w:rFonts w:ascii="Calibri" w:hAnsi="Calibri" w:cs="Courier New"/>
          <w:sz w:val="24"/>
        </w:rPr>
        <w:footnoteReference w:id="16"/>
      </w:r>
      <w:r w:rsidRPr="00254637">
        <w:rPr>
          <w:rFonts w:ascii="Calibri" w:hAnsi="Calibri" w:cs="Courier New"/>
          <w:sz w:val="24"/>
        </w:rPr>
        <w:t xml:space="preserve">. However, this clinic was also one of the early failures, ending as soon as the outside funding stopped. Edwin </w:t>
      </w:r>
      <w:proofErr w:type="spellStart"/>
      <w:r w:rsidRPr="00254637">
        <w:rPr>
          <w:rFonts w:ascii="Calibri" w:hAnsi="Calibri" w:cs="Courier New"/>
          <w:sz w:val="24"/>
        </w:rPr>
        <w:t>Rekosh</w:t>
      </w:r>
      <w:proofErr w:type="spellEnd"/>
      <w:r w:rsidRPr="00254637">
        <w:rPr>
          <w:rFonts w:ascii="Calibri" w:hAnsi="Calibri" w:cs="Courier New"/>
          <w:sz w:val="24"/>
        </w:rPr>
        <w:t xml:space="preserve"> explains some of the reasons for this: “Arguably, those instances of failure were caused by some of the phenomena implicit in the pure export model; they were not sufficiently adapted to local conditions by locally-based champions working (when helpful) in long-term collaborative relationships with foreign partners.”</w:t>
      </w:r>
      <w:r w:rsidR="00537FFC">
        <w:rPr>
          <w:rStyle w:val="FootnoteReference"/>
          <w:rFonts w:ascii="Calibri" w:hAnsi="Calibri" w:cs="Courier New"/>
          <w:sz w:val="24"/>
        </w:rPr>
        <w:footnoteReference w:id="17"/>
      </w:r>
      <w:r w:rsidRPr="00254637">
        <w:rPr>
          <w:rFonts w:ascii="Calibri" w:hAnsi="Calibri" w:cs="Courier New"/>
          <w:sz w:val="24"/>
        </w:rPr>
        <w:t xml:space="preserve"> </w:t>
      </w:r>
      <w:proofErr w:type="spellStart"/>
      <w:r w:rsidRPr="00254637">
        <w:rPr>
          <w:rFonts w:ascii="Calibri" w:hAnsi="Calibri" w:cs="Courier New"/>
          <w:sz w:val="24"/>
        </w:rPr>
        <w:t>Rekosh</w:t>
      </w:r>
      <w:proofErr w:type="spellEnd"/>
      <w:r w:rsidRPr="00254637">
        <w:rPr>
          <w:rFonts w:ascii="Calibri" w:hAnsi="Calibri" w:cs="Courier New"/>
          <w:sz w:val="24"/>
        </w:rPr>
        <w:t xml:space="preserve"> goes on to discuss th</w:t>
      </w:r>
      <w:r w:rsidR="00537FFC">
        <w:rPr>
          <w:rFonts w:ascii="Calibri" w:hAnsi="Calibri" w:cs="Courier New"/>
          <w:sz w:val="24"/>
        </w:rPr>
        <w:t>e demise of the Olomouc clinic:</w:t>
      </w:r>
    </w:p>
    <w:p w:rsidR="009640D4" w:rsidRPr="00254637" w:rsidRDefault="009640D4" w:rsidP="00893008">
      <w:pPr>
        <w:pStyle w:val="PlainText"/>
        <w:suppressAutoHyphens/>
        <w:spacing w:after="120"/>
        <w:ind w:left="720"/>
        <w:rPr>
          <w:rFonts w:ascii="Calibri" w:hAnsi="Calibri" w:cs="Courier New"/>
          <w:sz w:val="24"/>
        </w:rPr>
      </w:pPr>
      <w:r w:rsidRPr="00254637">
        <w:rPr>
          <w:rFonts w:ascii="Calibri" w:hAnsi="Calibri" w:cs="Courier New"/>
          <w:sz w:val="24"/>
        </w:rPr>
        <w:t xml:space="preserve">Certainly, this was the case with the initial experiment at </w:t>
      </w:r>
      <w:proofErr w:type="spellStart"/>
      <w:r w:rsidRPr="00254637">
        <w:rPr>
          <w:rFonts w:ascii="Calibri" w:hAnsi="Calibri" w:cs="Courier New"/>
          <w:sz w:val="24"/>
        </w:rPr>
        <w:t>Palacky</w:t>
      </w:r>
      <w:proofErr w:type="spellEnd"/>
      <w:r w:rsidRPr="00254637">
        <w:rPr>
          <w:rFonts w:ascii="Calibri" w:hAnsi="Calibri" w:cs="Courier New"/>
          <w:sz w:val="24"/>
        </w:rPr>
        <w:t xml:space="preserve"> University in the Czech Republic supported by the Ford Foundation. The initial local champion of the project, who had been dean of the law school at the time, passed away. The clinic director that his successor had appointed to run the project, a local bar advocate, treated her position supervising the students in the “live-client” clinic as an ordinary job and had no vision for or interest in what the clinic might become </w:t>
      </w:r>
      <w:r w:rsidR="00893008">
        <w:rPr>
          <w:rFonts w:ascii="Calibri" w:hAnsi="Calibri" w:cs="Courier New"/>
          <w:sz w:val="24"/>
        </w:rPr>
        <w:t>…</w:t>
      </w:r>
      <w:r w:rsidRPr="00254637">
        <w:rPr>
          <w:rFonts w:ascii="Calibri" w:hAnsi="Calibri" w:cs="Courier New"/>
          <w:sz w:val="24"/>
        </w:rPr>
        <w:t xml:space="preserve"> The foreign partner in the project interpreted the deficiencies of the start-up initiative as stemming from a lack of commitment by the local partner to core public i</w:t>
      </w:r>
      <w:r w:rsidR="00537FFC">
        <w:rPr>
          <w:rFonts w:ascii="Calibri" w:hAnsi="Calibri" w:cs="Courier New"/>
          <w:sz w:val="24"/>
        </w:rPr>
        <w:t>nterest values.</w:t>
      </w:r>
      <w:r w:rsidR="00537FFC">
        <w:rPr>
          <w:rStyle w:val="FootnoteReference"/>
          <w:rFonts w:ascii="Calibri" w:hAnsi="Calibri" w:cs="Courier New"/>
          <w:sz w:val="24"/>
        </w:rPr>
        <w:footnoteReference w:id="18"/>
      </w:r>
      <w:r w:rsidRPr="00254637">
        <w:rPr>
          <w:rFonts w:ascii="Calibri" w:hAnsi="Calibri" w:cs="Courier New"/>
          <w:sz w:val="24"/>
        </w:rPr>
        <w:t xml:space="preserve"> </w:t>
      </w:r>
      <w:proofErr w:type="spellStart"/>
      <w:r w:rsidRPr="00254637">
        <w:rPr>
          <w:rFonts w:ascii="Calibri" w:hAnsi="Calibri" w:cs="Courier New"/>
          <w:sz w:val="24"/>
        </w:rPr>
        <w:t>Rekosh</w:t>
      </w:r>
      <w:proofErr w:type="spellEnd"/>
      <w:r w:rsidRPr="00254637">
        <w:rPr>
          <w:rFonts w:ascii="Calibri" w:hAnsi="Calibri" w:cs="Courier New"/>
          <w:sz w:val="24"/>
        </w:rPr>
        <w:t xml:space="preserve"> concludes that these problems were not limited </w:t>
      </w:r>
      <w:r w:rsidR="00254637">
        <w:rPr>
          <w:rFonts w:ascii="Calibri" w:hAnsi="Calibri" w:cs="Courier New"/>
          <w:sz w:val="24"/>
        </w:rPr>
        <w:t xml:space="preserve">to Olomouc: “No doubt many of </w:t>
      </w:r>
      <w:r w:rsidRPr="00254637">
        <w:rPr>
          <w:rFonts w:ascii="Calibri" w:hAnsi="Calibri" w:cs="Courier New"/>
          <w:sz w:val="24"/>
        </w:rPr>
        <w:t>the initial clinical projects supported by foreign donors were seen even more cynically by local actors as vehicles for bringing in much needed financing to resource-</w:t>
      </w:r>
      <w:r w:rsidR="00537FFC">
        <w:rPr>
          <w:rFonts w:ascii="Calibri" w:hAnsi="Calibri" w:cs="Courier New"/>
          <w:sz w:val="24"/>
        </w:rPr>
        <w:t>strapped state universities.”</w:t>
      </w:r>
      <w:r w:rsidR="00537FFC">
        <w:rPr>
          <w:rStyle w:val="FootnoteReference"/>
          <w:rFonts w:ascii="Calibri" w:hAnsi="Calibri" w:cs="Courier New"/>
          <w:sz w:val="24"/>
        </w:rPr>
        <w:footnoteReference w:id="19"/>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And yet, after this initial failure, the Olomouc clinic has since come back to life stronger than ever, with several different clinics, many of which are live client models, as well as an introductory lawyering skills simulation course, classes on legal ethics, and an energetic and innovative teaching staff who participate actively in inte</w:t>
      </w:r>
      <w:r w:rsidR="00537FFC">
        <w:rPr>
          <w:rFonts w:ascii="Calibri" w:hAnsi="Calibri" w:cs="Courier New"/>
          <w:sz w:val="24"/>
        </w:rPr>
        <w:t>rnational conferences.</w:t>
      </w:r>
      <w:r w:rsidR="00537FFC">
        <w:rPr>
          <w:rStyle w:val="FootnoteReference"/>
          <w:rFonts w:ascii="Calibri" w:hAnsi="Calibri" w:cs="Courier New"/>
          <w:sz w:val="24"/>
        </w:rPr>
        <w:footnoteReference w:id="20"/>
      </w:r>
    </w:p>
    <w:p w:rsidR="009640D4" w:rsidRPr="00254637" w:rsidRDefault="009640D4" w:rsidP="00254637">
      <w:pPr>
        <w:pStyle w:val="PlainText"/>
        <w:suppressAutoHyphens/>
        <w:spacing w:after="120"/>
        <w:rPr>
          <w:rFonts w:ascii="Calibri" w:hAnsi="Calibri" w:cs="Courier New"/>
          <w:sz w:val="24"/>
        </w:rPr>
      </w:pPr>
    </w:p>
    <w:p w:rsidR="009640D4" w:rsidRPr="00537FFC" w:rsidRDefault="009640D4" w:rsidP="00254637">
      <w:pPr>
        <w:pStyle w:val="PlainText"/>
        <w:suppressAutoHyphens/>
        <w:spacing w:after="120"/>
        <w:rPr>
          <w:rFonts w:ascii="Calibri" w:hAnsi="Calibri" w:cs="Courier New"/>
          <w:b/>
          <w:sz w:val="28"/>
          <w:szCs w:val="28"/>
        </w:rPr>
      </w:pPr>
      <w:r w:rsidRPr="00537FFC">
        <w:rPr>
          <w:rFonts w:ascii="Calibri" w:hAnsi="Calibri" w:cs="Courier New"/>
          <w:b/>
          <w:sz w:val="28"/>
          <w:szCs w:val="28"/>
        </w:rPr>
        <w:t>IV. Evaluating the Experiences of Clinical Programs in CEE: Common Problems Which Different Clinical Progr</w:t>
      </w:r>
      <w:r w:rsidR="00537FFC">
        <w:rPr>
          <w:rFonts w:ascii="Calibri" w:hAnsi="Calibri" w:cs="Courier New"/>
          <w:b/>
          <w:sz w:val="28"/>
          <w:szCs w:val="28"/>
        </w:rPr>
        <w:t>ams in CEE Countries Have Faced</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The experiences in Croatia and the Czech Republic provide examples of some of the challenges facing CLE in CEE, as well as the possibilities for overcoming these to develop strong and sustainable programs. Evaluated in general, and from a distance in time of some 15 years, the CLE programs that started in CEE in the 1990’s were a great success. This is especially true in Poland, which is the “gold standard” for European clinical education programs. Law clinics exist in law faculties throughout Poland, and clinical faculty meet in national and regional </w:t>
      </w:r>
      <w:r w:rsidRPr="00254637">
        <w:rPr>
          <w:rFonts w:ascii="Calibri" w:hAnsi="Calibri" w:cs="Courier New"/>
          <w:sz w:val="24"/>
        </w:rPr>
        <w:lastRenderedPageBreak/>
        <w:t>conferences. In addition, clinical educators in Poland have developed an extensive s</w:t>
      </w:r>
      <w:r w:rsidR="00537FFC">
        <w:rPr>
          <w:rFonts w:ascii="Calibri" w:hAnsi="Calibri" w:cs="Courier New"/>
          <w:sz w:val="24"/>
        </w:rPr>
        <w:t>et of materials to support CLE.</w:t>
      </w:r>
      <w:r w:rsidR="00537FFC">
        <w:rPr>
          <w:rStyle w:val="FootnoteReference"/>
          <w:rFonts w:ascii="Calibri" w:hAnsi="Calibri" w:cs="Courier New"/>
          <w:sz w:val="24"/>
        </w:rPr>
        <w:footnoteReference w:id="21"/>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But the success has been uneven. The authors have attended many clinical teaching conferences in CEE and have observed that after a successful beginning, a number of clinics faced failure within a short period of time. On the other hand, a number of other clinics, established at the same time and in similar circumstances, experienced great success. This situation again raised the question: why do some clinics tend to be very suc</w:t>
      </w:r>
      <w:r w:rsidR="00537FFC">
        <w:rPr>
          <w:rFonts w:ascii="Calibri" w:hAnsi="Calibri" w:cs="Courier New"/>
          <w:sz w:val="24"/>
        </w:rPr>
        <w:t>cessful and other clinics fail?</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The exact reasons are unknown</w:t>
      </w:r>
      <w:r w:rsidRPr="00710F4E">
        <w:rPr>
          <w:rFonts w:ascii="Calibri" w:hAnsi="Calibri" w:cs="Courier New"/>
          <w:sz w:val="24"/>
        </w:rPr>
        <w:t xml:space="preserve"> </w:t>
      </w:r>
      <w:r w:rsidRPr="00254637">
        <w:rPr>
          <w:rFonts w:ascii="Calibri" w:hAnsi="Calibri" w:cs="Courier New"/>
          <w:sz w:val="24"/>
        </w:rPr>
        <w:t>because there is no study which tracks the various clinics that were started in the 1990s and shows how many of these clinics have been closed. But most of the available information suggests the following problems which are common to ma</w:t>
      </w:r>
      <w:r w:rsidR="00537FFC">
        <w:rPr>
          <w:rFonts w:ascii="Calibri" w:hAnsi="Calibri" w:cs="Courier New"/>
          <w:sz w:val="24"/>
        </w:rPr>
        <w:t>ny clinics which faced failure:</w:t>
      </w:r>
    </w:p>
    <w:p w:rsidR="009640D4" w:rsidRPr="00537FFC" w:rsidRDefault="00537FFC" w:rsidP="00254637">
      <w:pPr>
        <w:pStyle w:val="PlainText"/>
        <w:suppressAutoHyphens/>
        <w:spacing w:after="120"/>
        <w:rPr>
          <w:rFonts w:ascii="Calibri" w:hAnsi="Calibri" w:cs="Courier New"/>
          <w:i/>
          <w:sz w:val="24"/>
        </w:rPr>
      </w:pPr>
      <w:r>
        <w:rPr>
          <w:rFonts w:ascii="Calibri" w:hAnsi="Calibri" w:cs="Courier New"/>
          <w:i/>
          <w:sz w:val="24"/>
        </w:rPr>
        <w:t>a) Funding</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Loss of outside funding frequently resulted in decreased clinical activities. Many</w:t>
      </w:r>
      <w:r w:rsidR="007F1603">
        <w:rPr>
          <w:rFonts w:ascii="Calibri" w:hAnsi="Calibri" w:cs="Courier New"/>
          <w:sz w:val="24"/>
        </w:rPr>
        <w:t xml:space="preserve"> </w:t>
      </w:r>
      <w:r w:rsidRPr="00254637">
        <w:rPr>
          <w:rFonts w:ascii="Calibri" w:hAnsi="Calibri" w:cs="Courier New"/>
          <w:sz w:val="24"/>
        </w:rPr>
        <w:t>law faculties were not prepared to take over funding responsibilities</w:t>
      </w:r>
      <w:r w:rsidR="00537FFC">
        <w:rPr>
          <w:rFonts w:ascii="Calibri" w:hAnsi="Calibri" w:cs="Courier New"/>
          <w:sz w:val="24"/>
        </w:rPr>
        <w:t xml:space="preserve"> once foreign funders withdrew.</w:t>
      </w:r>
    </w:p>
    <w:p w:rsidR="009640D4" w:rsidRPr="00537FFC" w:rsidRDefault="00537FFC" w:rsidP="00254637">
      <w:pPr>
        <w:pStyle w:val="PlainText"/>
        <w:suppressAutoHyphens/>
        <w:spacing w:after="120"/>
        <w:rPr>
          <w:rFonts w:ascii="Calibri" w:hAnsi="Calibri" w:cs="Courier New"/>
          <w:i/>
          <w:sz w:val="24"/>
        </w:rPr>
      </w:pPr>
      <w:r>
        <w:rPr>
          <w:rFonts w:ascii="Calibri" w:hAnsi="Calibri" w:cs="Courier New"/>
          <w:i/>
          <w:sz w:val="24"/>
        </w:rPr>
        <w:t>b) Staffing problems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It is very typical for CEE law schools to have too many students compared to the number of teaching staff. This also caused problems in the context of clinical education. There were often too few university teachers who could participate in student supervision and assess</w:t>
      </w:r>
      <w:r w:rsidR="00537FFC">
        <w:rPr>
          <w:rFonts w:ascii="Calibri" w:hAnsi="Calibri" w:cs="Courier New"/>
          <w:sz w:val="24"/>
        </w:rPr>
        <w:t>ment.</w:t>
      </w:r>
    </w:p>
    <w:p w:rsidR="009640D4" w:rsidRPr="00537FFC" w:rsidRDefault="00537FFC" w:rsidP="00254637">
      <w:pPr>
        <w:pStyle w:val="PlainText"/>
        <w:suppressAutoHyphens/>
        <w:spacing w:after="120"/>
        <w:rPr>
          <w:rFonts w:ascii="Calibri" w:hAnsi="Calibri" w:cs="Courier New"/>
          <w:i/>
          <w:sz w:val="24"/>
        </w:rPr>
      </w:pPr>
      <w:r>
        <w:rPr>
          <w:rFonts w:ascii="Calibri" w:hAnsi="Calibri" w:cs="Courier New"/>
          <w:i/>
          <w:sz w:val="24"/>
        </w:rPr>
        <w:t>c) Legislative barriers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Within the universit</w:t>
      </w:r>
      <w:r w:rsidR="00537FFC">
        <w:rPr>
          <w:rFonts w:ascii="Calibri" w:hAnsi="Calibri" w:cs="Courier New"/>
          <w:sz w:val="24"/>
        </w:rPr>
        <w:t>i</w:t>
      </w:r>
      <w:r w:rsidRPr="00254637">
        <w:rPr>
          <w:rFonts w:ascii="Calibri" w:hAnsi="Calibri" w:cs="Courier New"/>
          <w:sz w:val="24"/>
        </w:rPr>
        <w:t>es of CEE there is a wide lack of support and incentives to make the necessary legislative changes to the educational process that would create a system in which CLE is a presumed component of the law c</w:t>
      </w:r>
      <w:r w:rsidR="00537FFC">
        <w:rPr>
          <w:rFonts w:ascii="Calibri" w:hAnsi="Calibri" w:cs="Courier New"/>
          <w:sz w:val="24"/>
        </w:rPr>
        <w:t>urriculum.</w:t>
      </w:r>
    </w:p>
    <w:p w:rsidR="009640D4" w:rsidRPr="00254637" w:rsidRDefault="009640D4" w:rsidP="00254637">
      <w:pPr>
        <w:pStyle w:val="PlainText"/>
        <w:suppressAutoHyphens/>
        <w:spacing w:after="120"/>
        <w:rPr>
          <w:rFonts w:ascii="Calibri" w:hAnsi="Calibri" w:cs="Courier New"/>
          <w:sz w:val="24"/>
        </w:rPr>
      </w:pPr>
    </w:p>
    <w:p w:rsidR="009640D4" w:rsidRPr="00537FFC" w:rsidRDefault="009640D4" w:rsidP="00254637">
      <w:pPr>
        <w:pStyle w:val="PlainText"/>
        <w:suppressAutoHyphens/>
        <w:spacing w:after="120"/>
        <w:rPr>
          <w:rFonts w:ascii="Calibri" w:hAnsi="Calibri" w:cs="Courier New"/>
          <w:b/>
          <w:sz w:val="28"/>
          <w:szCs w:val="28"/>
        </w:rPr>
      </w:pPr>
      <w:r w:rsidRPr="00537FFC">
        <w:rPr>
          <w:rFonts w:ascii="Calibri" w:hAnsi="Calibri" w:cs="Courier New"/>
          <w:b/>
          <w:sz w:val="28"/>
          <w:szCs w:val="28"/>
        </w:rPr>
        <w:t>V. Comparisons Between th</w:t>
      </w:r>
      <w:r w:rsidR="00537FFC">
        <w:rPr>
          <w:rFonts w:ascii="Calibri" w:hAnsi="Calibri" w:cs="Courier New"/>
          <w:b/>
          <w:sz w:val="28"/>
          <w:szCs w:val="28"/>
        </w:rPr>
        <w:t>e European and U.S. Experiences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In examining this uneven history of CLE in Europe, it is useful to compare the European programs with those in the U.S.</w:t>
      </w:r>
      <w:r w:rsidR="00537FFC">
        <w:rPr>
          <w:rStyle w:val="FootnoteReference"/>
          <w:rFonts w:ascii="Calibri" w:hAnsi="Calibri" w:cs="Courier New"/>
          <w:sz w:val="24"/>
        </w:rPr>
        <w:footnoteReference w:id="22"/>
      </w:r>
      <w:r w:rsidRPr="00254637">
        <w:rPr>
          <w:rFonts w:ascii="Calibri" w:hAnsi="Calibri" w:cs="Courier New"/>
          <w:sz w:val="24"/>
        </w:rPr>
        <w:t xml:space="preserve"> As noted above, start-up funding for the European programs was provided by U.S. donor organizations, and much of the technical support and training was provided by U.S. educators. The U.S. has a 40 year history of CLE, and many of the European programs were based on successful U.S. models. Why, then, have the resul</w:t>
      </w:r>
      <w:r w:rsidR="00537FFC">
        <w:rPr>
          <w:rFonts w:ascii="Calibri" w:hAnsi="Calibri" w:cs="Courier New"/>
          <w:sz w:val="24"/>
        </w:rPr>
        <w:t>ts been so mixed?</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This question prompted an engaging and enlightening dialogue between the authors. We have observed that although the Bologna Process is moving the European system of law and legal education closer to that in the U.S.</w:t>
      </w:r>
      <w:r w:rsidR="00537FFC">
        <w:rPr>
          <w:rStyle w:val="FootnoteReference"/>
          <w:rFonts w:ascii="Calibri" w:hAnsi="Calibri" w:cs="Courier New"/>
          <w:sz w:val="24"/>
        </w:rPr>
        <w:footnoteReference w:id="23"/>
      </w:r>
      <w:r w:rsidRPr="00254637">
        <w:rPr>
          <w:rFonts w:ascii="Calibri" w:hAnsi="Calibri" w:cs="Courier New"/>
          <w:sz w:val="24"/>
        </w:rPr>
        <w:t xml:space="preserve">, the fundamental historical and cultural differences </w:t>
      </w:r>
      <w:r w:rsidRPr="00254637">
        <w:rPr>
          <w:rFonts w:ascii="Calibri" w:hAnsi="Calibri" w:cs="Courier New"/>
          <w:sz w:val="24"/>
        </w:rPr>
        <w:lastRenderedPageBreak/>
        <w:t>between the civil and common law syst</w:t>
      </w:r>
      <w:r w:rsidR="00537FFC">
        <w:rPr>
          <w:rFonts w:ascii="Calibri" w:hAnsi="Calibri" w:cs="Courier New"/>
          <w:sz w:val="24"/>
        </w:rPr>
        <w:t>ems continue to have an effect.</w:t>
      </w:r>
      <w:r w:rsidR="00537FFC">
        <w:rPr>
          <w:rStyle w:val="FootnoteReference"/>
          <w:rFonts w:ascii="Calibri" w:hAnsi="Calibri" w:cs="Courier New"/>
          <w:sz w:val="24"/>
        </w:rPr>
        <w:footnoteReference w:id="24"/>
      </w:r>
      <w:r w:rsidRPr="00254637">
        <w:rPr>
          <w:rFonts w:ascii="Calibri" w:hAnsi="Calibri" w:cs="Courier New"/>
          <w:sz w:val="24"/>
        </w:rPr>
        <w:t xml:space="preserve"> In Europe, CLE – and interactive education more generally – has to be incorporated into the prevailing, traditional, lecture-based doctrinal model of</w:t>
      </w:r>
      <w:r w:rsidR="00537FFC">
        <w:rPr>
          <w:rFonts w:ascii="Calibri" w:hAnsi="Calibri" w:cs="Courier New"/>
          <w:sz w:val="24"/>
        </w:rPr>
        <w:t xml:space="preserve"> education.</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The challenge is not in adding clinics formally to this traditional curriculum. In most CEE countries, clinics are, in fact, part of the curriculum, because the relevant governing educational body would not otherwise allow them to be taught. In Croatia, for example, if a faculty wants to teach a legal clinic, the faculty must write a detailed proposal for the clinical course and seek formal approval from the governing body. This is true of other CEE countries as well, because public universiti</w:t>
      </w:r>
      <w:r w:rsidR="00537FFC">
        <w:rPr>
          <w:rFonts w:ascii="Calibri" w:hAnsi="Calibri" w:cs="Courier New"/>
          <w:sz w:val="24"/>
        </w:rPr>
        <w:t>es are the prevailing model.</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Therefore incorporating clinics within the CEE curriculum is not the primary obstacle to be overcome; rather the challenge to successful implementation of CLE in the region is that clinics lack respect from the majority of law professors, who are traditional in their views and resistant to change. They generally oppose curricular reform, particularly with respect to education</w:t>
      </w:r>
      <w:r w:rsidR="00537FFC">
        <w:rPr>
          <w:rFonts w:ascii="Calibri" w:hAnsi="Calibri" w:cs="Courier New"/>
          <w:sz w:val="24"/>
        </w:rPr>
        <w:t>al content and teaching styles.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A related challenge in Europe is an underdeveloped clinical pedagogy and the lack of a clear curricular design. Students often do not receive academic credit for their work, and clinical seminars frequently operate without a set curriculum, syllabus, or teaching materials specifically designed for clinical courses. It will take time to develop clinical pedagogy in Europe. It appears that only Poland has managed to do that</w:t>
      </w:r>
      <w:r w:rsidR="00537FFC">
        <w:rPr>
          <w:rFonts w:ascii="Calibri" w:hAnsi="Calibri" w:cs="Courier New"/>
          <w:sz w:val="24"/>
        </w:rPr>
        <w:t xml:space="preserve"> to some extent.</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One area in which the U.S. has a clear advantage over most European countries is that the U.S. curriculum is more flexible. Because the courses in the U.S. common law system are not typically compulsory after the first year, course offerings and teaching methods tend to be fluid and varied. Thus, there is room in the curriculum for clinical courses, offered for many credits (½ of a student’s total semester credits is common), with an extensive syllabus, ambitious curriculum, and well-developed materials, sometimes including textbooks specifically designed for these programs. The American clinical course is therefore a complete “package” of substance, skills, values, and experiences. This is not generally true of European clinics, because the time and space for clinics needs to be “borrowed” from other parts of a set, formal curriculum. European students therefore get only part of this educational “package” in the</w:t>
      </w:r>
      <w:r w:rsidR="00537FFC">
        <w:rPr>
          <w:rFonts w:ascii="Calibri" w:hAnsi="Calibri" w:cs="Courier New"/>
          <w:sz w:val="24"/>
        </w:rPr>
        <w:t xml:space="preserve"> clinics they are able to take.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There are at least six, less fundamental, differences between the European and U.S. experiences with CLE. First, there are still relatively few live client c</w:t>
      </w:r>
      <w:r w:rsidR="00537FFC">
        <w:rPr>
          <w:rFonts w:ascii="Calibri" w:hAnsi="Calibri" w:cs="Courier New"/>
          <w:sz w:val="24"/>
        </w:rPr>
        <w:t>linics in European universities</w:t>
      </w:r>
      <w:r w:rsidR="00537FFC">
        <w:rPr>
          <w:rStyle w:val="FootnoteReference"/>
          <w:rFonts w:ascii="Calibri" w:hAnsi="Calibri" w:cs="Courier New"/>
          <w:sz w:val="24"/>
        </w:rPr>
        <w:footnoteReference w:id="25"/>
      </w:r>
      <w:r w:rsidRPr="00254637">
        <w:rPr>
          <w:rFonts w:ascii="Calibri" w:hAnsi="Calibri" w:cs="Courier New"/>
          <w:sz w:val="24"/>
        </w:rPr>
        <w:t>. Is it important that clinics have live clients, or are interactive simulations and project-based clinics equally valuable in the European educational context? Much of this is a function of sheer numbers of students. Even in universities with live client clinics, demand tends to exceed available opportunities even more than in the U.S. because of larger class sizes. For example, in Osijek, Croatia, a small school, three instructors in one academic department are responsible for giving lectures, examinations, e</w:t>
      </w:r>
      <w:r w:rsidR="00537FFC">
        <w:rPr>
          <w:rFonts w:ascii="Calibri" w:hAnsi="Calibri" w:cs="Courier New"/>
          <w:sz w:val="24"/>
        </w:rPr>
        <w:t>tc. to 1,200 4th year students.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lastRenderedPageBreak/>
        <w:t xml:space="preserve">Second, the legal assistance provided to clients in European clinics tends to be shorter term than in the U.S., with a focus on the one-time giving of advice or drafting of legal pleadings or other documents. In this way European clinics resemble some limited scope “unbundled” </w:t>
      </w:r>
      <w:r w:rsidRPr="00710F4E">
        <w:rPr>
          <w:rFonts w:ascii="Calibri" w:hAnsi="Calibri" w:cs="Courier New"/>
          <w:i/>
          <w:sz w:val="24"/>
        </w:rPr>
        <w:t>pro bono</w:t>
      </w:r>
      <w:r w:rsidRPr="00254637">
        <w:rPr>
          <w:rFonts w:ascii="Calibri" w:hAnsi="Calibri" w:cs="Courier New"/>
          <w:sz w:val="24"/>
        </w:rPr>
        <w:t xml:space="preserve"> programs in the U.S. One practical reason for this is the length of court proceedings. Even the simplest cases usually last longer than an academic year, and students do not want to continue their involv</w:t>
      </w:r>
      <w:r w:rsidR="00537FFC">
        <w:rPr>
          <w:rFonts w:ascii="Calibri" w:hAnsi="Calibri" w:cs="Courier New"/>
          <w:sz w:val="24"/>
        </w:rPr>
        <w:t>ement beyond the academic year.</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Third, among the most interesting differences we examined is the focus of the clinics in the two systems. European clinics tend to focus less than U.S. clinics on the dynamics of the attorney-client relationship, including interviewing and </w:t>
      </w:r>
      <w:proofErr w:type="spellStart"/>
      <w:r w:rsidRPr="00254637">
        <w:rPr>
          <w:rFonts w:ascii="Calibri" w:hAnsi="Calibri" w:cs="Courier New"/>
          <w:sz w:val="24"/>
        </w:rPr>
        <w:t>counseling</w:t>
      </w:r>
      <w:proofErr w:type="spellEnd"/>
      <w:r w:rsidRPr="00254637">
        <w:rPr>
          <w:rFonts w:ascii="Calibri" w:hAnsi="Calibri" w:cs="Courier New"/>
          <w:sz w:val="24"/>
        </w:rPr>
        <w:t xml:space="preserve"> skills and developing a relationship of empathy with the client. The focus in European clinics might be described as being more on “solving the case” t</w:t>
      </w:r>
      <w:r w:rsidR="00537FFC">
        <w:rPr>
          <w:rFonts w:ascii="Calibri" w:hAnsi="Calibri" w:cs="Courier New"/>
          <w:sz w:val="24"/>
        </w:rPr>
        <w:t>han “understanding the client.”</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Solving cases rather than getting to know the client is not specific to the clinics, however – it is the typical approach of practicing European lawyers. In other words the clinics are reflecting actual practice, which is argu</w:t>
      </w:r>
      <w:r w:rsidR="00537FFC">
        <w:rPr>
          <w:rFonts w:ascii="Calibri" w:hAnsi="Calibri" w:cs="Courier New"/>
          <w:sz w:val="24"/>
        </w:rPr>
        <w:t>ably what they should be doing.</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This observation has significant implications for cross-cultural work. Many of the clinical training sessions provided by </w:t>
      </w:r>
      <w:proofErr w:type="spellStart"/>
      <w:r w:rsidRPr="00254637">
        <w:rPr>
          <w:rFonts w:ascii="Calibri" w:hAnsi="Calibri" w:cs="Courier New"/>
          <w:sz w:val="24"/>
        </w:rPr>
        <w:t>PILnet</w:t>
      </w:r>
      <w:proofErr w:type="spellEnd"/>
      <w:r w:rsidRPr="00254637">
        <w:rPr>
          <w:rFonts w:ascii="Calibri" w:hAnsi="Calibri" w:cs="Courier New"/>
          <w:sz w:val="24"/>
        </w:rPr>
        <w:t xml:space="preserve">, ABA-CEELI, and other U.S. organizations for European law teachers have focused extensively on teaching interviewing and </w:t>
      </w:r>
      <w:proofErr w:type="spellStart"/>
      <w:r w:rsidRPr="00254637">
        <w:rPr>
          <w:rFonts w:ascii="Calibri" w:hAnsi="Calibri" w:cs="Courier New"/>
          <w:sz w:val="24"/>
        </w:rPr>
        <w:t>counseling</w:t>
      </w:r>
      <w:proofErr w:type="spellEnd"/>
      <w:r w:rsidRPr="00254637">
        <w:rPr>
          <w:rFonts w:ascii="Calibri" w:hAnsi="Calibri" w:cs="Courier New"/>
          <w:sz w:val="24"/>
        </w:rPr>
        <w:t xml:space="preserve"> skills on the theory that these skills are essential to effective lawyering. However, it may be that these skills are relatively unimportant in European law practice and that a focus on these skills in clinical development work is therefore misplaced. The European author’s own experiences appear to support this conclusion; she noted that she had found this aspect of the training sessions she had</w:t>
      </w:r>
      <w:r w:rsidR="00537FFC">
        <w:rPr>
          <w:rFonts w:ascii="Calibri" w:hAnsi="Calibri" w:cs="Courier New"/>
          <w:sz w:val="24"/>
        </w:rPr>
        <w:t xml:space="preserve"> attended relatively unhelpful.</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Fourth, related to this lack of focus on the attorney-client relationship, education in ethical issues is not typically part of the European clinical curriculum (but it is not part of the non-clinical curriculum either). Where ethics courses exist, they tend to be taught in a code-</w:t>
      </w:r>
      <w:proofErr w:type="spellStart"/>
      <w:r w:rsidRPr="00254637">
        <w:rPr>
          <w:rFonts w:ascii="Calibri" w:hAnsi="Calibri" w:cs="Courier New"/>
          <w:sz w:val="24"/>
        </w:rPr>
        <w:t>centered</w:t>
      </w:r>
      <w:proofErr w:type="spellEnd"/>
      <w:r w:rsidRPr="00254637">
        <w:rPr>
          <w:rFonts w:ascii="Calibri" w:hAnsi="Calibri" w:cs="Courier New"/>
          <w:sz w:val="24"/>
        </w:rPr>
        <w:t xml:space="preserve"> lecture format, rather than the interactive problem-based model that is more common in the U.S. </w:t>
      </w:r>
      <w:proofErr w:type="spellStart"/>
      <w:r w:rsidRPr="00254637">
        <w:rPr>
          <w:rFonts w:ascii="Calibri" w:hAnsi="Calibri" w:cs="Courier New"/>
          <w:sz w:val="24"/>
        </w:rPr>
        <w:t>Palacký</w:t>
      </w:r>
      <w:proofErr w:type="spellEnd"/>
      <w:r w:rsidRPr="00254637">
        <w:rPr>
          <w:rFonts w:ascii="Calibri" w:hAnsi="Calibri" w:cs="Courier New"/>
          <w:sz w:val="24"/>
        </w:rPr>
        <w:t xml:space="preserve"> University in Olomouc, Czech Republic is an exception, because it offers an elective, interactive ethics course, which is taught by one of the clinical faculty members. This course is beginning to be replicat</w:t>
      </w:r>
      <w:r w:rsidR="00537FFC">
        <w:rPr>
          <w:rFonts w:ascii="Calibri" w:hAnsi="Calibri" w:cs="Courier New"/>
          <w:sz w:val="24"/>
        </w:rPr>
        <w:t>ed in other Czech universities.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Fifth, in some European countries, especially those in which professors are not allowed to practice law, clinics must contract with practitioners for court representation of clients. There may be an educational gap for the students if the practitioners are not trained in clinical pedagogy and included in facult</w:t>
      </w:r>
      <w:r w:rsidR="00537FFC">
        <w:rPr>
          <w:rFonts w:ascii="Calibri" w:hAnsi="Calibri" w:cs="Courier New"/>
          <w:sz w:val="24"/>
        </w:rPr>
        <w:t>y discussions of such pedagogy.</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Sixth, European countries do not generally allow for student practice in courts and administrative proceedings. (The Republic of Georgia is one exception to this.) Related to this, it is not clear to what extent attorney-client confidentiality applies to law students who meet with clients i</w:t>
      </w:r>
      <w:r w:rsidR="00537FFC">
        <w:rPr>
          <w:rFonts w:ascii="Calibri" w:hAnsi="Calibri" w:cs="Courier New"/>
          <w:sz w:val="24"/>
        </w:rPr>
        <w:t>n law school clinical programs.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All of these differences need to be taken into account in structuring effective collaboration between European and U.S. colleagues. As discussed below, future collaborations should focus more on supporting the new European models of clinical education rather than rep</w:t>
      </w:r>
      <w:r w:rsidR="00537FFC">
        <w:rPr>
          <w:rFonts w:ascii="Calibri" w:hAnsi="Calibri" w:cs="Courier New"/>
          <w:sz w:val="24"/>
        </w:rPr>
        <w:t>licating U.S. models.</w:t>
      </w:r>
    </w:p>
    <w:p w:rsidR="009640D4" w:rsidRPr="00254637" w:rsidRDefault="009640D4" w:rsidP="00254637">
      <w:pPr>
        <w:pStyle w:val="PlainText"/>
        <w:suppressAutoHyphens/>
        <w:spacing w:after="120"/>
        <w:rPr>
          <w:rFonts w:ascii="Calibri" w:hAnsi="Calibri" w:cs="Courier New"/>
          <w:sz w:val="24"/>
        </w:rPr>
      </w:pPr>
    </w:p>
    <w:p w:rsidR="009640D4" w:rsidRPr="00537FFC" w:rsidRDefault="009640D4" w:rsidP="00254637">
      <w:pPr>
        <w:pStyle w:val="PlainText"/>
        <w:suppressAutoHyphens/>
        <w:spacing w:after="120"/>
        <w:rPr>
          <w:rFonts w:ascii="Calibri" w:hAnsi="Calibri" w:cs="Courier New"/>
          <w:b/>
          <w:sz w:val="28"/>
          <w:szCs w:val="28"/>
        </w:rPr>
      </w:pPr>
      <w:r w:rsidRPr="00537FFC">
        <w:rPr>
          <w:rFonts w:ascii="Calibri" w:hAnsi="Calibri" w:cs="Courier New"/>
          <w:b/>
          <w:sz w:val="28"/>
          <w:szCs w:val="28"/>
        </w:rPr>
        <w:lastRenderedPageBreak/>
        <w:t>VI. Reflections About the Future of Clinical Legal Educatio</w:t>
      </w:r>
      <w:r w:rsidR="00537FFC">
        <w:rPr>
          <w:rFonts w:ascii="Calibri" w:hAnsi="Calibri" w:cs="Courier New"/>
          <w:b/>
          <w:sz w:val="28"/>
          <w:szCs w:val="28"/>
        </w:rPr>
        <w:t>n in Central and Eastern Europe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After the first wave of funding and consultants ended, many European clinical programs did not survive, suggesting that clinical education might not be sustainable in the long-run without outside funding. However, the good news is that t</w:t>
      </w:r>
      <w:r w:rsidR="00710F4E">
        <w:rPr>
          <w:rFonts w:ascii="Calibri" w:hAnsi="Calibri" w:cs="Courier New"/>
          <w:sz w:val="24"/>
        </w:rPr>
        <w:t>he support provided in the 1990s and 2000</w:t>
      </w:r>
      <w:r w:rsidRPr="00254637">
        <w:rPr>
          <w:rFonts w:ascii="Calibri" w:hAnsi="Calibri" w:cs="Courier New"/>
          <w:sz w:val="24"/>
        </w:rPr>
        <w:t xml:space="preserve">s by outside organizations (Ford Foundation, ABA, OSI, </w:t>
      </w:r>
      <w:proofErr w:type="spellStart"/>
      <w:r w:rsidRPr="00254637">
        <w:rPr>
          <w:rFonts w:ascii="Calibri" w:hAnsi="Calibri" w:cs="Courier New"/>
          <w:sz w:val="24"/>
        </w:rPr>
        <w:t>PILnet</w:t>
      </w:r>
      <w:proofErr w:type="spellEnd"/>
      <w:r w:rsidRPr="00254637">
        <w:rPr>
          <w:rFonts w:ascii="Calibri" w:hAnsi="Calibri" w:cs="Courier New"/>
          <w:sz w:val="24"/>
        </w:rPr>
        <w:t>, etc.) planted seeds of “human capital” – the law teachers and students who attended the conferences and workshops have become an energetic new generation of clinical educators. In addition, Bologna and other European educational reforms have stimulated the introduction of graduate law programs. These graduate students – especially Ph.D. students – are often themselves products of the new clinical education programs, and they have taken on important teaching roles within the clinical programs. This “human capital” may ultimately be a more important factor than outside funding in achieving sustainability fo</w:t>
      </w:r>
      <w:r w:rsidR="00537FFC">
        <w:rPr>
          <w:rFonts w:ascii="Calibri" w:hAnsi="Calibri" w:cs="Courier New"/>
          <w:sz w:val="24"/>
        </w:rPr>
        <w:t>r clinical education in Europe.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However, in thinking about the future it is important to distinguish among three main goals of CLE and tensions among them. Clinical scholars typically identify the following goals:</w:t>
      </w:r>
      <w:r w:rsidR="007F1603">
        <w:rPr>
          <w:rFonts w:ascii="Calibri" w:hAnsi="Calibri" w:cs="Courier New"/>
          <w:sz w:val="24"/>
        </w:rPr>
        <w:t xml:space="preserve"> </w:t>
      </w:r>
      <w:r w:rsidRPr="00254637">
        <w:rPr>
          <w:rFonts w:ascii="Calibri" w:hAnsi="Calibri" w:cs="Courier New"/>
          <w:sz w:val="24"/>
        </w:rPr>
        <w:t xml:space="preserve">creating social change by giving disadvantaged groups access to legal services; making experiential courses mandatory so that all students are better prepared for the profession they will be entering; and providing students with a “live client” </w:t>
      </w:r>
      <w:r w:rsidR="00537FFC">
        <w:rPr>
          <w:rFonts w:ascii="Calibri" w:hAnsi="Calibri" w:cs="Courier New"/>
          <w:sz w:val="24"/>
        </w:rPr>
        <w:t>experience.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It is hard, if not impossible, to do all three of these things in existing European systems, and it may not be realistic to think that all three goals can be achieved. Live client clinics require a lot of resources, so they will have to be limited to a small number of students. It is probably more realistic to offer simulation clinics, which can be provided to larger number of students. To the extent that live client opportunities are offered, the best way to give the largest number of students this opportunity is to give them short-term cases involving limited scope representation, e.g. advice-only or drafting of pleadings. But these cases will probably not do much to create social change, because social change cases require full representation over an extended period of time. So it is important for law faculties to be realistic and honest about their goals. This may require them to ch</w:t>
      </w:r>
      <w:r w:rsidR="00537FFC">
        <w:rPr>
          <w:rFonts w:ascii="Calibri" w:hAnsi="Calibri" w:cs="Courier New"/>
          <w:sz w:val="24"/>
        </w:rPr>
        <w:t>oose among possible objectives.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Contrary to conventional wisdom, the major obstacles to sustainability of clinical programs may not be a lack of funding. It is, of course, easier when one has funding, and many schools failed to pick up responsibility for funding clinics when outside funding dried up. But since clinics must, for the reasons discussed above, be formally approved and integrated into the law school curriculum,</w:t>
      </w:r>
      <w:r w:rsidR="00537FFC">
        <w:rPr>
          <w:rFonts w:ascii="Calibri" w:hAnsi="Calibri" w:cs="Courier New"/>
          <w:sz w:val="24"/>
        </w:rPr>
        <w:t xml:space="preserve"> they have space and equipment.</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 xml:space="preserve">The bigger challenge is maintaining the necessary “human capital.” In the European system of legal education, contrary to the U.S., clinical faculty are burdened by the pressure to achieve academic advancement in a short period of time – LL.M, </w:t>
      </w:r>
      <w:proofErr w:type="spellStart"/>
      <w:r w:rsidRPr="00254637">
        <w:rPr>
          <w:rFonts w:ascii="Calibri" w:hAnsi="Calibri" w:cs="Courier New"/>
          <w:sz w:val="24"/>
        </w:rPr>
        <w:t>Ph.D</w:t>
      </w:r>
      <w:proofErr w:type="spellEnd"/>
      <w:r w:rsidRPr="00254637">
        <w:rPr>
          <w:rFonts w:ascii="Calibri" w:hAnsi="Calibri" w:cs="Courier New"/>
          <w:sz w:val="24"/>
        </w:rPr>
        <w:t>,</w:t>
      </w:r>
      <w:r w:rsidR="007F1603">
        <w:rPr>
          <w:rFonts w:ascii="Calibri" w:hAnsi="Calibri" w:cs="Courier New"/>
          <w:sz w:val="24"/>
        </w:rPr>
        <w:t xml:space="preserve"> </w:t>
      </w:r>
      <w:r w:rsidRPr="00254637">
        <w:rPr>
          <w:rFonts w:ascii="Calibri" w:hAnsi="Calibri" w:cs="Courier New"/>
          <w:sz w:val="24"/>
        </w:rPr>
        <w:t>all within 6 years. In addition, early in their careers, European law teachers have substantial departmental responsibilities. They carry significant substantive course teaching loads, administrative duties, and responsibilities for assisting and supporting senior colleagues. (In addition, these senior professors will influence the promotion prospects of their junior colleagues.) Finally, they usually do not receive any credit for teaching clinics. So, European law teachers who would otherwise like to teach clinics are often faced with the need to give up activities – such as clinical teaching – which are not important for academic advancement. That is probably one of the reasons why a number of clinics failed i</w:t>
      </w:r>
      <w:r w:rsidR="00537FFC">
        <w:rPr>
          <w:rFonts w:ascii="Calibri" w:hAnsi="Calibri" w:cs="Courier New"/>
          <w:sz w:val="24"/>
        </w:rPr>
        <w:t>n Central and Eastern Europe.</w:t>
      </w:r>
    </w:p>
    <w:p w:rsidR="009640D4" w:rsidRPr="00254637" w:rsidRDefault="009640D4" w:rsidP="00254637">
      <w:pPr>
        <w:pStyle w:val="PlainText"/>
        <w:suppressAutoHyphens/>
        <w:spacing w:after="120"/>
        <w:rPr>
          <w:rFonts w:ascii="Calibri" w:hAnsi="Calibri" w:cs="Courier New"/>
          <w:sz w:val="24"/>
        </w:rPr>
      </w:pPr>
    </w:p>
    <w:p w:rsidR="009640D4" w:rsidRPr="00537FFC" w:rsidRDefault="00537FFC" w:rsidP="00254637">
      <w:pPr>
        <w:pStyle w:val="PlainText"/>
        <w:suppressAutoHyphens/>
        <w:spacing w:after="120"/>
        <w:rPr>
          <w:rFonts w:ascii="Calibri" w:hAnsi="Calibri" w:cs="Courier New"/>
          <w:b/>
          <w:sz w:val="28"/>
          <w:szCs w:val="28"/>
        </w:rPr>
      </w:pPr>
      <w:r>
        <w:rPr>
          <w:rFonts w:ascii="Calibri" w:hAnsi="Calibri" w:cs="Courier New"/>
          <w:b/>
          <w:sz w:val="28"/>
          <w:szCs w:val="28"/>
        </w:rPr>
        <w:t>VII. Conclusion</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What does the future hold? What are the prospects for clinical legal education in Central and Eastern Europe? These are the questions to which, it seems, there are no exact answers. CLE, in the last 15 or 20 years spread across Central and Eastern Europe. It “flourishes” in some countries, less in some other. But the fact is that the concept of CLE is not unknown any mo</w:t>
      </w:r>
      <w:r w:rsidR="00537FFC">
        <w:rPr>
          <w:rFonts w:ascii="Calibri" w:hAnsi="Calibri" w:cs="Courier New"/>
          <w:sz w:val="24"/>
        </w:rPr>
        <w:t>re to European legal educators.</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There are four possible scenarios f</w:t>
      </w:r>
      <w:r w:rsidR="00537FFC">
        <w:rPr>
          <w:rFonts w:ascii="Calibri" w:hAnsi="Calibri" w:cs="Courier New"/>
          <w:sz w:val="24"/>
        </w:rPr>
        <w:t>or the future of CLE in Europe:</w:t>
      </w:r>
    </w:p>
    <w:p w:rsidR="009640D4" w:rsidRPr="00254637" w:rsidRDefault="009640D4" w:rsidP="00E91998">
      <w:pPr>
        <w:pStyle w:val="PlainText"/>
        <w:numPr>
          <w:ilvl w:val="0"/>
          <w:numId w:val="2"/>
        </w:numPr>
        <w:suppressAutoHyphens/>
        <w:spacing w:after="120"/>
        <w:rPr>
          <w:rFonts w:ascii="Calibri" w:hAnsi="Calibri" w:cs="Courier New"/>
          <w:sz w:val="24"/>
        </w:rPr>
      </w:pPr>
      <w:r w:rsidRPr="00254637">
        <w:rPr>
          <w:rFonts w:ascii="Calibri" w:hAnsi="Calibri" w:cs="Courier New"/>
          <w:sz w:val="24"/>
        </w:rPr>
        <w:t>Clinics will continue to spread and will be fu</w:t>
      </w:r>
      <w:r w:rsidR="00537FFC">
        <w:rPr>
          <w:rFonts w:ascii="Calibri" w:hAnsi="Calibri" w:cs="Courier New"/>
          <w:sz w:val="24"/>
        </w:rPr>
        <w:t>lly accepted and accredited law</w:t>
      </w:r>
      <w:r w:rsidR="00E91998">
        <w:rPr>
          <w:rFonts w:ascii="Calibri" w:hAnsi="Calibri" w:cs="Courier New"/>
          <w:sz w:val="24"/>
        </w:rPr>
        <w:t xml:space="preserve"> </w:t>
      </w:r>
      <w:r w:rsidRPr="00254637">
        <w:rPr>
          <w:rFonts w:ascii="Calibri" w:hAnsi="Calibri" w:cs="Courier New"/>
          <w:sz w:val="24"/>
        </w:rPr>
        <w:t>school programs in</w:t>
      </w:r>
      <w:r w:rsidR="00537FFC">
        <w:rPr>
          <w:rFonts w:ascii="Calibri" w:hAnsi="Calibri" w:cs="Courier New"/>
          <w:sz w:val="24"/>
        </w:rPr>
        <w:t xml:space="preserve"> all of Europe not just in CEE.</w:t>
      </w:r>
    </w:p>
    <w:p w:rsidR="009640D4" w:rsidRPr="00254637" w:rsidRDefault="009640D4" w:rsidP="00E91998">
      <w:pPr>
        <w:pStyle w:val="PlainText"/>
        <w:numPr>
          <w:ilvl w:val="0"/>
          <w:numId w:val="2"/>
        </w:numPr>
        <w:suppressAutoHyphens/>
        <w:spacing w:after="120"/>
        <w:rPr>
          <w:rFonts w:ascii="Calibri" w:hAnsi="Calibri" w:cs="Courier New"/>
          <w:sz w:val="24"/>
        </w:rPr>
      </w:pPr>
      <w:r w:rsidRPr="00254637">
        <w:rPr>
          <w:rFonts w:ascii="Calibri" w:hAnsi="Calibri" w:cs="Courier New"/>
          <w:sz w:val="24"/>
        </w:rPr>
        <w:t xml:space="preserve">Most of the clinics will fail in time because it is not a </w:t>
      </w:r>
      <w:r w:rsidR="00537FFC">
        <w:rPr>
          <w:rFonts w:ascii="Calibri" w:hAnsi="Calibri" w:cs="Courier New"/>
          <w:sz w:val="24"/>
        </w:rPr>
        <w:t>traditional or typical teaching</w:t>
      </w:r>
      <w:r w:rsidR="00E91998">
        <w:rPr>
          <w:rFonts w:ascii="Calibri" w:hAnsi="Calibri" w:cs="Courier New"/>
          <w:sz w:val="24"/>
        </w:rPr>
        <w:t xml:space="preserve"> </w:t>
      </w:r>
      <w:r w:rsidR="00537FFC">
        <w:rPr>
          <w:rFonts w:ascii="Calibri" w:hAnsi="Calibri" w:cs="Courier New"/>
          <w:sz w:val="24"/>
        </w:rPr>
        <w:t>methodology in Europe.</w:t>
      </w:r>
    </w:p>
    <w:p w:rsidR="009640D4" w:rsidRPr="00254637" w:rsidRDefault="009640D4" w:rsidP="00E91998">
      <w:pPr>
        <w:pStyle w:val="PlainText"/>
        <w:numPr>
          <w:ilvl w:val="0"/>
          <w:numId w:val="2"/>
        </w:numPr>
        <w:suppressAutoHyphens/>
        <w:spacing w:after="120"/>
        <w:rPr>
          <w:rFonts w:ascii="Calibri" w:hAnsi="Calibri" w:cs="Courier New"/>
          <w:sz w:val="24"/>
        </w:rPr>
      </w:pPr>
      <w:r w:rsidRPr="00254637">
        <w:rPr>
          <w:rFonts w:ascii="Calibri" w:hAnsi="Calibri" w:cs="Courier New"/>
          <w:sz w:val="24"/>
        </w:rPr>
        <w:t>Most clinics will fail because clinical education is not accepted as a teachi</w:t>
      </w:r>
      <w:r w:rsidR="00537FFC">
        <w:rPr>
          <w:rFonts w:ascii="Calibri" w:hAnsi="Calibri" w:cs="Courier New"/>
          <w:sz w:val="24"/>
        </w:rPr>
        <w:t>ng methodology on the EU level.</w:t>
      </w:r>
    </w:p>
    <w:p w:rsidR="00E91998" w:rsidRDefault="009640D4" w:rsidP="00E91998">
      <w:pPr>
        <w:pStyle w:val="PlainText"/>
        <w:numPr>
          <w:ilvl w:val="0"/>
          <w:numId w:val="2"/>
        </w:numPr>
        <w:suppressAutoHyphens/>
        <w:spacing w:after="120"/>
        <w:rPr>
          <w:rFonts w:ascii="Calibri" w:hAnsi="Calibri" w:cs="Courier New"/>
          <w:sz w:val="24"/>
        </w:rPr>
      </w:pPr>
      <w:r w:rsidRPr="00254637">
        <w:rPr>
          <w:rFonts w:ascii="Calibri" w:hAnsi="Calibri" w:cs="Courier New"/>
          <w:sz w:val="24"/>
        </w:rPr>
        <w:t>It is not predictable how clinical progra</w:t>
      </w:r>
      <w:r w:rsidR="00E91998">
        <w:rPr>
          <w:rFonts w:ascii="Calibri" w:hAnsi="Calibri" w:cs="Courier New"/>
          <w:sz w:val="24"/>
        </w:rPr>
        <w:t>ms will continue in the future.</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Which one of these scenarios we will witness in the future, in our opinion, depends a great deal on Western Europe, which to some extent has always influenced legislative and educational processes in CEE. This influence is even stronger now, when most of CEE countries are becoming part of the EU. What we can see at the moment is that CLE is being more accepted in Western Europe too. Proof for that is the recent initiative coming from Italy to establish the European Network</w:t>
      </w:r>
      <w:r w:rsidR="00537FFC">
        <w:rPr>
          <w:rFonts w:ascii="Calibri" w:hAnsi="Calibri" w:cs="Courier New"/>
          <w:sz w:val="24"/>
        </w:rPr>
        <w:t xml:space="preserve"> for Clinical Legal Education (ENCLE)</w:t>
      </w:r>
      <w:r w:rsidR="00537FFC">
        <w:rPr>
          <w:rStyle w:val="FootnoteReference"/>
          <w:rFonts w:ascii="Calibri" w:hAnsi="Calibri" w:cs="Courier New"/>
          <w:sz w:val="24"/>
        </w:rPr>
        <w:footnoteReference w:id="26"/>
      </w:r>
      <w:r w:rsidRPr="00254637">
        <w:rPr>
          <w:rFonts w:ascii="Calibri" w:hAnsi="Calibri" w:cs="Courier New"/>
          <w:sz w:val="24"/>
        </w:rPr>
        <w:t xml:space="preserve"> which will serve as an umbrella organization and as a support to CLE throughout Europe. This might be the key that will widely open the door </w:t>
      </w:r>
      <w:r w:rsidR="00537FFC">
        <w:rPr>
          <w:rFonts w:ascii="Calibri" w:hAnsi="Calibri" w:cs="Courier New"/>
          <w:sz w:val="24"/>
        </w:rPr>
        <w:t>to European clinical education.</w:t>
      </w:r>
    </w:p>
    <w:p w:rsidR="009640D4" w:rsidRPr="00254637" w:rsidRDefault="009640D4" w:rsidP="00254637">
      <w:pPr>
        <w:pStyle w:val="PlainText"/>
        <w:suppressAutoHyphens/>
        <w:spacing w:after="120"/>
        <w:rPr>
          <w:rFonts w:ascii="Calibri" w:hAnsi="Calibri" w:cs="Courier New"/>
          <w:sz w:val="24"/>
        </w:rPr>
      </w:pPr>
      <w:r w:rsidRPr="00254637">
        <w:rPr>
          <w:rFonts w:ascii="Calibri" w:hAnsi="Calibri" w:cs="Courier New"/>
          <w:sz w:val="24"/>
        </w:rPr>
        <w:t>U.S. educators can also continue to contribute to these efforts, but in doing so they must recognize that Europe will develop its own CLE models, probably to some extent distinct from those in the U.S., and presumably more appropriate to the needs of European law faculties and civil societies. The best use of U.S. expertise may therefore be to facili</w:t>
      </w:r>
      <w:r w:rsidR="00E91998">
        <w:rPr>
          <w:rFonts w:ascii="Calibri" w:hAnsi="Calibri" w:cs="Courier New"/>
          <w:sz w:val="24"/>
        </w:rPr>
        <w:t>t</w:t>
      </w:r>
      <w:r w:rsidRPr="00254637">
        <w:rPr>
          <w:rFonts w:ascii="Calibri" w:hAnsi="Calibri" w:cs="Courier New"/>
          <w:sz w:val="24"/>
        </w:rPr>
        <w:t>ate the creation of opportunit</w:t>
      </w:r>
      <w:r w:rsidR="00E91998">
        <w:rPr>
          <w:rFonts w:ascii="Calibri" w:hAnsi="Calibri" w:cs="Courier New"/>
          <w:sz w:val="24"/>
        </w:rPr>
        <w:t>i</w:t>
      </w:r>
      <w:r w:rsidRPr="00254637">
        <w:rPr>
          <w:rFonts w:ascii="Calibri" w:hAnsi="Calibri" w:cs="Courier New"/>
          <w:sz w:val="24"/>
        </w:rPr>
        <w:t>es – through conferences and websites – for European clinical teachers to exchange experiences, information, and ideas, and to engage in ongoing conve</w:t>
      </w:r>
      <w:r w:rsidR="00537FFC">
        <w:rPr>
          <w:rFonts w:ascii="Calibri" w:hAnsi="Calibri" w:cs="Courier New"/>
          <w:sz w:val="24"/>
        </w:rPr>
        <w:t>rsations with one another.</w:t>
      </w:r>
      <w:bookmarkStart w:id="0" w:name="_GoBack"/>
      <w:bookmarkEnd w:id="0"/>
    </w:p>
    <w:sectPr w:rsidR="009640D4" w:rsidRPr="00254637" w:rsidSect="00A04A54">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59" w:rsidRDefault="001E2359" w:rsidP="00254637">
      <w:pPr>
        <w:spacing w:after="0" w:line="240" w:lineRule="auto"/>
      </w:pPr>
      <w:r>
        <w:separator/>
      </w:r>
    </w:p>
  </w:endnote>
  <w:endnote w:type="continuationSeparator" w:id="0">
    <w:p w:rsidR="001E2359" w:rsidRDefault="001E2359" w:rsidP="0025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59" w:rsidRDefault="001E2359" w:rsidP="00254637">
      <w:pPr>
        <w:spacing w:after="0" w:line="240" w:lineRule="auto"/>
      </w:pPr>
      <w:r>
        <w:separator/>
      </w:r>
    </w:p>
  </w:footnote>
  <w:footnote w:type="continuationSeparator" w:id="0">
    <w:p w:rsidR="001E2359" w:rsidRDefault="001E2359" w:rsidP="00254637">
      <w:pPr>
        <w:spacing w:after="0" w:line="240" w:lineRule="auto"/>
      </w:pPr>
      <w:r>
        <w:continuationSeparator/>
      </w:r>
    </w:p>
  </w:footnote>
  <w:footnote w:id="1">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Professor, University </w:t>
      </w:r>
      <w:proofErr w:type="spellStart"/>
      <w:r w:rsidRPr="00537FFC">
        <w:rPr>
          <w:rFonts w:cs="Courier New"/>
          <w:sz w:val="18"/>
          <w:szCs w:val="21"/>
        </w:rPr>
        <w:t>J.J.Strossmayera</w:t>
      </w:r>
      <w:proofErr w:type="spellEnd"/>
      <w:r w:rsidRPr="00537FFC">
        <w:rPr>
          <w:rFonts w:cs="Courier New"/>
          <w:sz w:val="18"/>
          <w:szCs w:val="21"/>
        </w:rPr>
        <w:t>, Faculty of Law, Commercial and Company Law, Osijek, Croatia.</w:t>
      </w:r>
    </w:p>
  </w:footnote>
  <w:footnote w:id="2">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Everett B. Birch Clinical Professor in Professional Responsibility, Columbia Law School.</w:t>
      </w:r>
    </w:p>
  </w:footnote>
  <w:footnote w:id="3">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For a comprehensive discussion of the history of CLE in Europe, see Edwin </w:t>
      </w:r>
      <w:proofErr w:type="spellStart"/>
      <w:r w:rsidRPr="00537FFC">
        <w:rPr>
          <w:rFonts w:cs="Courier New"/>
          <w:sz w:val="18"/>
          <w:szCs w:val="21"/>
        </w:rPr>
        <w:t>Rekosh</w:t>
      </w:r>
      <w:proofErr w:type="spellEnd"/>
      <w:r w:rsidRPr="00537FFC">
        <w:rPr>
          <w:rFonts w:cs="Courier New"/>
          <w:sz w:val="18"/>
          <w:szCs w:val="21"/>
        </w:rPr>
        <w:t xml:space="preserve">, </w:t>
      </w:r>
      <w:r w:rsidRPr="007F1603">
        <w:rPr>
          <w:rFonts w:cs="Courier New"/>
          <w:i/>
          <w:sz w:val="18"/>
          <w:szCs w:val="21"/>
        </w:rPr>
        <w:t>Constructing Public Interest Law: Transnational Collaboration and Exchange in Central and Eastern Europe</w:t>
      </w:r>
      <w:r w:rsidRPr="00537FFC">
        <w:rPr>
          <w:rFonts w:cs="Courier New"/>
          <w:sz w:val="18"/>
          <w:szCs w:val="21"/>
        </w:rPr>
        <w:t xml:space="preserve">, 13 UCLA J. Int’l L. &amp; For. </w:t>
      </w:r>
      <w:proofErr w:type="spellStart"/>
      <w:r w:rsidRPr="00537FFC">
        <w:rPr>
          <w:rFonts w:cs="Courier New"/>
          <w:sz w:val="18"/>
          <w:szCs w:val="21"/>
        </w:rPr>
        <w:t>Aff</w:t>
      </w:r>
      <w:proofErr w:type="spellEnd"/>
      <w:r w:rsidRPr="00537FFC">
        <w:rPr>
          <w:rFonts w:cs="Courier New"/>
          <w:sz w:val="18"/>
          <w:szCs w:val="21"/>
        </w:rPr>
        <w:t>. 55, 83-92 (2008).</w:t>
      </w:r>
    </w:p>
  </w:footnote>
  <w:footnote w:id="4">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proofErr w:type="spellStart"/>
      <w:r w:rsidRPr="00537FFC">
        <w:rPr>
          <w:rFonts w:cs="Courier New"/>
          <w:sz w:val="18"/>
          <w:szCs w:val="21"/>
        </w:rPr>
        <w:t>Lusine</w:t>
      </w:r>
      <w:proofErr w:type="spellEnd"/>
      <w:r w:rsidRPr="00537FFC">
        <w:rPr>
          <w:rFonts w:cs="Courier New"/>
          <w:sz w:val="18"/>
          <w:szCs w:val="21"/>
        </w:rPr>
        <w:t xml:space="preserve"> </w:t>
      </w:r>
      <w:proofErr w:type="spellStart"/>
      <w:r w:rsidRPr="00537FFC">
        <w:rPr>
          <w:rFonts w:cs="Courier New"/>
          <w:sz w:val="18"/>
          <w:szCs w:val="21"/>
        </w:rPr>
        <w:t>Hovhannisian</w:t>
      </w:r>
      <w:proofErr w:type="spellEnd"/>
      <w:r w:rsidRPr="00537FFC">
        <w:rPr>
          <w:rFonts w:cs="Courier New"/>
          <w:sz w:val="18"/>
          <w:szCs w:val="21"/>
        </w:rPr>
        <w:t xml:space="preserve">, </w:t>
      </w:r>
      <w:r w:rsidRPr="007F1603">
        <w:rPr>
          <w:rFonts w:cs="Courier New"/>
          <w:i/>
          <w:sz w:val="18"/>
          <w:szCs w:val="21"/>
        </w:rPr>
        <w:t>Clinical Legal Education and the Bologna Process</w:t>
      </w:r>
      <w:r w:rsidRPr="00537FFC">
        <w:rPr>
          <w:rFonts w:cs="Courier New"/>
          <w:sz w:val="18"/>
          <w:szCs w:val="21"/>
        </w:rPr>
        <w:t xml:space="preserve">, PILI Papers, No. 2, December 2006., pp.14; Richard Wilson, </w:t>
      </w:r>
      <w:r w:rsidRPr="007F1603">
        <w:rPr>
          <w:rFonts w:cs="Courier New"/>
          <w:i/>
          <w:sz w:val="18"/>
          <w:szCs w:val="21"/>
        </w:rPr>
        <w:t>Western Europe: Last Holdout in the Worldwide Acceptance of Clinical Legal Education</w:t>
      </w:r>
      <w:r w:rsidRPr="00537FFC">
        <w:rPr>
          <w:rFonts w:cs="Courier New"/>
          <w:sz w:val="18"/>
          <w:szCs w:val="21"/>
        </w:rPr>
        <w:t>, 10 German Law Journal 825 (2009).</w:t>
      </w:r>
    </w:p>
  </w:footnote>
  <w:footnote w:id="5">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Wilson, </w:t>
      </w:r>
      <w:r w:rsidRPr="007F1603">
        <w:rPr>
          <w:rFonts w:cs="Courier New"/>
          <w:i/>
          <w:sz w:val="18"/>
          <w:szCs w:val="21"/>
        </w:rPr>
        <w:t>supra</w:t>
      </w:r>
      <w:r w:rsidRPr="00537FFC">
        <w:rPr>
          <w:rFonts w:cs="Courier New"/>
          <w:sz w:val="18"/>
          <w:szCs w:val="21"/>
        </w:rPr>
        <w:t xml:space="preserve"> note 2, at 825-28.</w:t>
      </w:r>
    </w:p>
  </w:footnote>
  <w:footnote w:id="6">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7F1603">
        <w:rPr>
          <w:rFonts w:cs="Courier New"/>
          <w:i/>
          <w:sz w:val="18"/>
          <w:szCs w:val="21"/>
        </w:rPr>
        <w:t>Id</w:t>
      </w:r>
      <w:r w:rsidRPr="00537FFC">
        <w:rPr>
          <w:rFonts w:cs="Courier New"/>
          <w:sz w:val="18"/>
          <w:szCs w:val="21"/>
        </w:rPr>
        <w:t>. at 828.</w:t>
      </w:r>
    </w:p>
  </w:footnote>
  <w:footnote w:id="7">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See James </w:t>
      </w:r>
      <w:proofErr w:type="spellStart"/>
      <w:r w:rsidRPr="00537FFC">
        <w:rPr>
          <w:rFonts w:cs="Courier New"/>
          <w:sz w:val="18"/>
          <w:szCs w:val="21"/>
        </w:rPr>
        <w:t>Marson</w:t>
      </w:r>
      <w:proofErr w:type="spellEnd"/>
      <w:r w:rsidRPr="00537FFC">
        <w:rPr>
          <w:rFonts w:cs="Courier New"/>
          <w:sz w:val="18"/>
          <w:szCs w:val="21"/>
        </w:rPr>
        <w:t xml:space="preserve">, Adam Wilson, &amp; Mark Van </w:t>
      </w:r>
      <w:proofErr w:type="spellStart"/>
      <w:r w:rsidRPr="00537FFC">
        <w:rPr>
          <w:rFonts w:cs="Courier New"/>
          <w:sz w:val="18"/>
          <w:szCs w:val="21"/>
        </w:rPr>
        <w:t>Hoorebeek</w:t>
      </w:r>
      <w:proofErr w:type="spellEnd"/>
      <w:r w:rsidRPr="00537FFC">
        <w:rPr>
          <w:rFonts w:cs="Courier New"/>
          <w:sz w:val="18"/>
          <w:szCs w:val="21"/>
        </w:rPr>
        <w:t xml:space="preserve"> </w:t>
      </w:r>
      <w:r w:rsidRPr="007F1603">
        <w:rPr>
          <w:rFonts w:cs="Courier New"/>
          <w:i/>
          <w:sz w:val="18"/>
          <w:szCs w:val="21"/>
        </w:rPr>
        <w:t>The Necessity of Clinical Legal Education in University Law Schools: A UK Perspective</w:t>
      </w:r>
      <w:r w:rsidRPr="00537FFC">
        <w:rPr>
          <w:rFonts w:cs="Courier New"/>
          <w:sz w:val="18"/>
          <w:szCs w:val="21"/>
        </w:rPr>
        <w:t xml:space="preserve">, 7 International Journal of Clinical Legal Education, 29-43 (2005); Richard Grimes, </w:t>
      </w:r>
      <w:r w:rsidRPr="007F1603">
        <w:rPr>
          <w:rFonts w:cs="Courier New"/>
          <w:i/>
          <w:sz w:val="18"/>
          <w:szCs w:val="21"/>
        </w:rPr>
        <w:t>Legal Literacy, Community Empowerment and Law Schools – Some Lessons from a Working Model in the UK</w:t>
      </w:r>
      <w:r w:rsidRPr="00537FFC">
        <w:rPr>
          <w:rFonts w:cs="Courier New"/>
          <w:sz w:val="18"/>
          <w:szCs w:val="21"/>
        </w:rPr>
        <w:t xml:space="preserve">, 37 The Law Teacher 273 (2003); Julian Webb, </w:t>
      </w:r>
      <w:r w:rsidRPr="007F1603">
        <w:rPr>
          <w:rFonts w:cs="Courier New"/>
          <w:i/>
          <w:sz w:val="18"/>
          <w:szCs w:val="21"/>
        </w:rPr>
        <w:t>Inventing the Good: A Prospectus for Clinical Education and the Teaching of Legal Ethics in England</w:t>
      </w:r>
      <w:r w:rsidRPr="00537FFC">
        <w:rPr>
          <w:rFonts w:cs="Courier New"/>
          <w:sz w:val="18"/>
          <w:szCs w:val="21"/>
        </w:rPr>
        <w:t xml:space="preserve">, 30 The Law Teacher 270 (1996); Nigel Duncan, </w:t>
      </w:r>
      <w:r w:rsidRPr="007F1603">
        <w:rPr>
          <w:rFonts w:cs="Courier New"/>
          <w:i/>
          <w:sz w:val="18"/>
          <w:szCs w:val="21"/>
        </w:rPr>
        <w:t>Why Legal Skills – Whither Legal Education?</w:t>
      </w:r>
      <w:r w:rsidRPr="00537FFC">
        <w:rPr>
          <w:rFonts w:cs="Courier New"/>
          <w:sz w:val="18"/>
          <w:szCs w:val="21"/>
        </w:rPr>
        <w:t>, 25 The Law Teacher 142 (1991); see also Model Standards for Live-Client Clinics A Clinical Lega</w:t>
      </w:r>
      <w:r w:rsidR="007F1603">
        <w:rPr>
          <w:rFonts w:cs="Courier New"/>
          <w:sz w:val="18"/>
          <w:szCs w:val="21"/>
        </w:rPr>
        <w:t>l Education Organisation (CLEO)</w:t>
      </w:r>
      <w:r w:rsidRPr="00537FFC">
        <w:rPr>
          <w:rFonts w:cs="Courier New"/>
          <w:sz w:val="18"/>
          <w:szCs w:val="21"/>
        </w:rPr>
        <w:t xml:space="preserve"> Document (updated 2007) (available at: http://78.158.56.101/archive/law/files/downloads/38/713.83471086.standards.rtf); </w:t>
      </w:r>
      <w:r w:rsidRPr="007F1603">
        <w:rPr>
          <w:rFonts w:cs="Courier New"/>
          <w:i/>
          <w:sz w:val="18"/>
          <w:szCs w:val="21"/>
        </w:rPr>
        <w:t>Moving On: New Initiatives, New Resources: Report on the 2002 CLEO Conference</w:t>
      </w:r>
      <w:r w:rsidRPr="00537FFC">
        <w:rPr>
          <w:rFonts w:cs="Courier New"/>
          <w:sz w:val="18"/>
          <w:szCs w:val="21"/>
        </w:rPr>
        <w:t xml:space="preserve"> (available at: http://www.ukcle.ac.uk/resources/teaching-and-learning-practices/2002conf/)</w:t>
      </w:r>
    </w:p>
  </w:footnote>
  <w:footnote w:id="8">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See http://www.uu.nl/faculty/leg/en/organisation/schools/school</w:t>
      </w:r>
      <w:r w:rsidR="007F1603">
        <w:rPr>
          <w:rFonts w:cs="Courier New"/>
          <w:sz w:val="18"/>
          <w:szCs w:val="21"/>
        </w:rPr>
        <w:t>oflaw/organisation/departments/</w:t>
      </w:r>
      <w:r w:rsidRPr="00537FFC">
        <w:rPr>
          <w:rFonts w:cs="Courier New"/>
          <w:sz w:val="18"/>
          <w:szCs w:val="21"/>
        </w:rPr>
        <w:t>studieeninformatiecentrummensenrechten/cp/Pages/default.aspx?refer=/legalclinic</w:t>
      </w:r>
    </w:p>
  </w:footnote>
  <w:footnote w:id="9">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See Jon T. </w:t>
      </w:r>
      <w:proofErr w:type="spellStart"/>
      <w:r w:rsidRPr="00537FFC">
        <w:rPr>
          <w:rFonts w:cs="Courier New"/>
          <w:sz w:val="18"/>
          <w:szCs w:val="21"/>
        </w:rPr>
        <w:t>Johnsen</w:t>
      </w:r>
      <w:proofErr w:type="spellEnd"/>
      <w:r w:rsidRPr="00537FFC">
        <w:rPr>
          <w:rFonts w:cs="Courier New"/>
          <w:sz w:val="18"/>
          <w:szCs w:val="21"/>
        </w:rPr>
        <w:t xml:space="preserve">, </w:t>
      </w:r>
      <w:r w:rsidRPr="007F1603">
        <w:rPr>
          <w:rFonts w:cs="Courier New"/>
          <w:i/>
          <w:sz w:val="18"/>
          <w:szCs w:val="21"/>
        </w:rPr>
        <w:t>Nordic Legal Aid</w:t>
      </w:r>
      <w:r w:rsidRPr="00537FFC">
        <w:rPr>
          <w:rFonts w:cs="Courier New"/>
          <w:sz w:val="18"/>
          <w:szCs w:val="21"/>
        </w:rPr>
        <w:t xml:space="preserve">, 5 Md. </w:t>
      </w:r>
      <w:proofErr w:type="spellStart"/>
      <w:r w:rsidRPr="00537FFC">
        <w:rPr>
          <w:rFonts w:cs="Courier New"/>
          <w:sz w:val="18"/>
          <w:szCs w:val="21"/>
        </w:rPr>
        <w:t>J.Contemp</w:t>
      </w:r>
      <w:proofErr w:type="spellEnd"/>
      <w:r w:rsidRPr="00537FFC">
        <w:rPr>
          <w:rFonts w:cs="Courier New"/>
          <w:sz w:val="18"/>
          <w:szCs w:val="21"/>
        </w:rPr>
        <w:t xml:space="preserve">. Legal Issues 301, 328 (1994); see also Jon T. </w:t>
      </w:r>
      <w:proofErr w:type="spellStart"/>
      <w:r w:rsidRPr="00537FFC">
        <w:rPr>
          <w:rFonts w:cs="Courier New"/>
          <w:sz w:val="18"/>
          <w:szCs w:val="21"/>
        </w:rPr>
        <w:t>Johnsen</w:t>
      </w:r>
      <w:proofErr w:type="spellEnd"/>
      <w:r w:rsidRPr="00537FFC">
        <w:rPr>
          <w:rFonts w:cs="Courier New"/>
          <w:sz w:val="18"/>
          <w:szCs w:val="21"/>
        </w:rPr>
        <w:t xml:space="preserve">, </w:t>
      </w:r>
      <w:proofErr w:type="spellStart"/>
      <w:r w:rsidRPr="007F1603">
        <w:rPr>
          <w:rFonts w:cs="Courier New"/>
          <w:i/>
          <w:sz w:val="18"/>
          <w:szCs w:val="21"/>
        </w:rPr>
        <w:t>Juss</w:t>
      </w:r>
      <w:proofErr w:type="spellEnd"/>
      <w:r w:rsidRPr="007F1603">
        <w:rPr>
          <w:rFonts w:cs="Courier New"/>
          <w:i/>
          <w:sz w:val="18"/>
          <w:szCs w:val="21"/>
        </w:rPr>
        <w:t>-Buss and Clinical Legal Educa</w:t>
      </w:r>
      <w:r w:rsidR="00537FFC" w:rsidRPr="007F1603">
        <w:rPr>
          <w:rFonts w:cs="Courier New"/>
          <w:i/>
          <w:sz w:val="18"/>
          <w:szCs w:val="21"/>
        </w:rPr>
        <w:t>tion</w:t>
      </w:r>
      <w:r w:rsidR="00537FFC" w:rsidRPr="00537FFC">
        <w:rPr>
          <w:rFonts w:cs="Courier New"/>
          <w:sz w:val="18"/>
          <w:szCs w:val="21"/>
        </w:rPr>
        <w:t xml:space="preserve"> (University of Oslo, 1991)</w:t>
      </w:r>
    </w:p>
  </w:footnote>
  <w:footnote w:id="10">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See, e.g., http://master.sciences-po.fr/droit/en/content/access-justice (Law Clinic of the Sciences Po Paris Law School); http://www.unicaen.fr/recherche/mrsh/crdfed (Fundamental Rights Law Clinic of the University of Caen); and http://ufr-dsp.u-paris10.fr/ufr-de-droit-et-science-politique-dsp-/et</w:t>
      </w:r>
      <w:r w:rsidR="007F1603">
        <w:rPr>
          <w:rFonts w:cs="Courier New"/>
          <w:sz w:val="18"/>
          <w:szCs w:val="21"/>
        </w:rPr>
        <w:t>udiants/euclid-386003.kjsp?STNA</w:t>
      </w:r>
      <w:r w:rsidRPr="00537FFC">
        <w:rPr>
          <w:rFonts w:cs="Courier New"/>
          <w:sz w:val="18"/>
          <w:szCs w:val="21"/>
        </w:rPr>
        <w:t>V=&amp;RUBNAV=&amp;RH=1314308994710 (Euclid Law Clinic of the U</w:t>
      </w:r>
      <w:r w:rsidR="00537FFC" w:rsidRPr="00537FFC">
        <w:rPr>
          <w:rFonts w:cs="Courier New"/>
          <w:sz w:val="18"/>
          <w:szCs w:val="21"/>
        </w:rPr>
        <w:t xml:space="preserve">niversity Paris </w:t>
      </w:r>
      <w:proofErr w:type="spellStart"/>
      <w:r w:rsidR="00537FFC" w:rsidRPr="00537FFC">
        <w:rPr>
          <w:rFonts w:cs="Courier New"/>
          <w:sz w:val="18"/>
          <w:szCs w:val="21"/>
        </w:rPr>
        <w:t>Ouest</w:t>
      </w:r>
      <w:proofErr w:type="spellEnd"/>
      <w:r w:rsidR="00537FFC" w:rsidRPr="00537FFC">
        <w:rPr>
          <w:rFonts w:cs="Courier New"/>
          <w:sz w:val="18"/>
          <w:szCs w:val="21"/>
        </w:rPr>
        <w:t xml:space="preserve"> Nanterre)</w:t>
      </w:r>
    </w:p>
  </w:footnote>
  <w:footnote w:id="11">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Few legal clinics exist in Germany, at least in part due to the rigidity of Germany’s higher education laws. See Andreas </w:t>
      </w:r>
      <w:proofErr w:type="spellStart"/>
      <w:r w:rsidRPr="00537FFC">
        <w:rPr>
          <w:rFonts w:cs="Courier New"/>
          <w:sz w:val="18"/>
          <w:szCs w:val="21"/>
        </w:rPr>
        <w:t>Bücker</w:t>
      </w:r>
      <w:proofErr w:type="spellEnd"/>
      <w:r w:rsidRPr="00537FFC">
        <w:rPr>
          <w:rFonts w:cs="Courier New"/>
          <w:sz w:val="18"/>
          <w:szCs w:val="21"/>
        </w:rPr>
        <w:t xml:space="preserve"> &amp; William A. Woodruff, </w:t>
      </w:r>
      <w:r w:rsidRPr="007F1603">
        <w:rPr>
          <w:rFonts w:cs="Courier New"/>
          <w:i/>
          <w:sz w:val="18"/>
          <w:szCs w:val="21"/>
        </w:rPr>
        <w:t>The Bologna Process and German Legal Education: Developing Professional Competence through Clinical Experiences</w:t>
      </w:r>
      <w:r w:rsidRPr="00537FFC">
        <w:rPr>
          <w:rFonts w:cs="Courier New"/>
          <w:sz w:val="18"/>
          <w:szCs w:val="21"/>
        </w:rPr>
        <w:t xml:space="preserve">, 9 German Law Journal 575, 611-13 (2008) (discussing rigidity of German law of higher education as an impediment to establishing clinics in German law faculties). Among those universities that do have clinics are the </w:t>
      </w:r>
      <w:proofErr w:type="spellStart"/>
      <w:r w:rsidRPr="00537FFC">
        <w:rPr>
          <w:rFonts w:cs="Courier New"/>
          <w:sz w:val="18"/>
          <w:szCs w:val="21"/>
        </w:rPr>
        <w:t>Hochschule</w:t>
      </w:r>
      <w:proofErr w:type="spellEnd"/>
      <w:r w:rsidRPr="00537FFC">
        <w:rPr>
          <w:rFonts w:cs="Courier New"/>
          <w:sz w:val="18"/>
          <w:szCs w:val="21"/>
        </w:rPr>
        <w:t xml:space="preserve"> Wismar, which has established a live client clinic for Master degree students, see </w:t>
      </w:r>
      <w:r w:rsidRPr="007F1603">
        <w:rPr>
          <w:rFonts w:cs="Courier New"/>
          <w:i/>
          <w:sz w:val="18"/>
          <w:szCs w:val="21"/>
        </w:rPr>
        <w:t>id</w:t>
      </w:r>
      <w:r w:rsidRPr="00537FFC">
        <w:rPr>
          <w:rFonts w:cs="Courier New"/>
          <w:sz w:val="18"/>
          <w:szCs w:val="21"/>
        </w:rPr>
        <w:t>.; the Heinrich-Heine-University Düsseldorf Faculty of Law, which offers a legal advice clinic, see http://www.jura.hhu.de/en/hilfe.html; and Humboldt University, which has a human rights clinic. See http://baer.rewi.hu-berlin.de/eng/humboldt-law-clinic.</w:t>
      </w:r>
    </w:p>
  </w:footnote>
  <w:footnote w:id="12">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In February 2012, the University of Brescia organized an international conference on clinical legal education in Europe. See http://www.lider-lab.sssup.it/lider/attachments/article/25/LocandinaClinicsDEF.pdf. Four Italian legal clinics presented their work and discussed their models of clinical legal education. Those are the legal clinics from Turin, Rome, Florence, and Bresc</w:t>
      </w:r>
      <w:r w:rsidR="00537FFC" w:rsidRPr="00537FFC">
        <w:rPr>
          <w:rFonts w:cs="Courier New"/>
          <w:sz w:val="18"/>
          <w:szCs w:val="21"/>
        </w:rPr>
        <w:t>ia (the host of the conference)</w:t>
      </w:r>
    </w:p>
  </w:footnote>
  <w:footnote w:id="13">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See Leah </w:t>
      </w:r>
      <w:proofErr w:type="spellStart"/>
      <w:r w:rsidRPr="00537FFC">
        <w:rPr>
          <w:rFonts w:cs="Courier New"/>
          <w:sz w:val="18"/>
          <w:szCs w:val="21"/>
        </w:rPr>
        <w:t>Wortham</w:t>
      </w:r>
      <w:proofErr w:type="spellEnd"/>
      <w:r w:rsidRPr="00537FFC">
        <w:rPr>
          <w:rFonts w:cs="Courier New"/>
          <w:sz w:val="18"/>
          <w:szCs w:val="21"/>
        </w:rPr>
        <w:t xml:space="preserve">, </w:t>
      </w:r>
      <w:r w:rsidRPr="00893008">
        <w:rPr>
          <w:rFonts w:cs="Courier New"/>
          <w:i/>
          <w:sz w:val="18"/>
          <w:szCs w:val="21"/>
        </w:rPr>
        <w:t>Aiding Clinical Legal Education Abroad: What Can Be Gained and the Learning Curve on How to Do So Effectively</w:t>
      </w:r>
      <w:r w:rsidRPr="00537FFC">
        <w:rPr>
          <w:rFonts w:cs="Courier New"/>
          <w:sz w:val="18"/>
          <w:szCs w:val="21"/>
        </w:rPr>
        <w:t xml:space="preserve">, 12 Clinical </w:t>
      </w:r>
      <w:proofErr w:type="spellStart"/>
      <w:r w:rsidRPr="00537FFC">
        <w:rPr>
          <w:rFonts w:cs="Courier New"/>
          <w:sz w:val="18"/>
          <w:szCs w:val="21"/>
        </w:rPr>
        <w:t>L.Rev</w:t>
      </w:r>
      <w:proofErr w:type="spellEnd"/>
      <w:r w:rsidRPr="00537FFC">
        <w:rPr>
          <w:rFonts w:cs="Courier New"/>
          <w:sz w:val="18"/>
          <w:szCs w:val="21"/>
        </w:rPr>
        <w:t>. 601 (2006).</w:t>
      </w:r>
    </w:p>
  </w:footnote>
  <w:footnote w:id="14">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See Barbara </w:t>
      </w:r>
      <w:proofErr w:type="spellStart"/>
      <w:r w:rsidRPr="00537FFC">
        <w:rPr>
          <w:rFonts w:cs="Courier New"/>
          <w:sz w:val="18"/>
          <w:szCs w:val="21"/>
        </w:rPr>
        <w:t>Preložnjak</w:t>
      </w:r>
      <w:proofErr w:type="spellEnd"/>
      <w:r w:rsidRPr="00537FFC">
        <w:rPr>
          <w:rFonts w:cs="Courier New"/>
          <w:sz w:val="18"/>
          <w:szCs w:val="21"/>
        </w:rPr>
        <w:t xml:space="preserve">, </w:t>
      </w:r>
      <w:r w:rsidRPr="00893008">
        <w:rPr>
          <w:rFonts w:cs="Courier New"/>
          <w:i/>
          <w:sz w:val="18"/>
          <w:szCs w:val="21"/>
        </w:rPr>
        <w:t>Clinical Legal Education in Croatia – From Providing Legal Assistance to the Poor to the Practical Education of Students</w:t>
      </w:r>
      <w:r w:rsidRPr="00537FFC">
        <w:rPr>
          <w:rFonts w:cs="Courier New"/>
          <w:sz w:val="18"/>
          <w:szCs w:val="21"/>
        </w:rPr>
        <w:t>, 10th International Journal of Clinical Legal Education Conference, Durham, UK, July 2012. (unpublished paper; English-language abstract available at h</w:t>
      </w:r>
      <w:r w:rsidR="00893008">
        <w:rPr>
          <w:rFonts w:cs="Courier New"/>
          <w:sz w:val="18"/>
          <w:szCs w:val="21"/>
        </w:rPr>
        <w:t>ttp://www.numyspace.co.uk/~unn_</w:t>
      </w:r>
      <w:r w:rsidRPr="00537FFC">
        <w:rPr>
          <w:rFonts w:cs="Courier New"/>
          <w:sz w:val="18"/>
          <w:szCs w:val="21"/>
        </w:rPr>
        <w:t>mlif1/school_of_law/IJCLE/abstracts.html); See also: http://klinika.pravo.unizg.hr/ (in Croatian).</w:t>
      </w:r>
    </w:p>
  </w:footnote>
  <w:footnote w:id="15">
    <w:p w:rsidR="00254637" w:rsidRPr="00537FFC" w:rsidRDefault="00254637"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Offic</w:t>
      </w:r>
      <w:r w:rsidR="00537FFC" w:rsidRPr="00537FFC">
        <w:rPr>
          <w:rFonts w:cs="Courier New"/>
          <w:sz w:val="18"/>
          <w:szCs w:val="21"/>
        </w:rPr>
        <w:t>ial Journal No. 62/08 and 81/11</w:t>
      </w:r>
    </w:p>
  </w:footnote>
  <w:footnote w:id="16">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See </w:t>
      </w:r>
      <w:proofErr w:type="spellStart"/>
      <w:r w:rsidRPr="00537FFC">
        <w:rPr>
          <w:rFonts w:cs="Courier New"/>
          <w:sz w:val="18"/>
          <w:szCs w:val="21"/>
        </w:rPr>
        <w:t>Rekosh</w:t>
      </w:r>
      <w:proofErr w:type="spellEnd"/>
      <w:r w:rsidRPr="00537FFC">
        <w:rPr>
          <w:rFonts w:cs="Courier New"/>
          <w:sz w:val="18"/>
          <w:szCs w:val="21"/>
        </w:rPr>
        <w:t xml:space="preserve">, </w:t>
      </w:r>
      <w:r w:rsidRPr="00893008">
        <w:rPr>
          <w:rFonts w:cs="Courier New"/>
          <w:i/>
          <w:sz w:val="18"/>
          <w:szCs w:val="21"/>
        </w:rPr>
        <w:t>supra</w:t>
      </w:r>
      <w:r w:rsidRPr="00537FFC">
        <w:rPr>
          <w:rFonts w:cs="Courier New"/>
          <w:sz w:val="18"/>
          <w:szCs w:val="21"/>
        </w:rPr>
        <w:t xml:space="preserve"> note 3, at 87 n. 98.</w:t>
      </w:r>
    </w:p>
  </w:footnote>
  <w:footnote w:id="17">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893008">
        <w:rPr>
          <w:rFonts w:cs="Courier New"/>
          <w:i/>
          <w:sz w:val="18"/>
          <w:szCs w:val="21"/>
        </w:rPr>
        <w:t>Id</w:t>
      </w:r>
      <w:r w:rsidRPr="00537FFC">
        <w:rPr>
          <w:rFonts w:cs="Courier New"/>
          <w:sz w:val="18"/>
          <w:szCs w:val="21"/>
        </w:rPr>
        <w:t>. at 88-89.</w:t>
      </w:r>
    </w:p>
  </w:footnote>
  <w:footnote w:id="18">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893008">
        <w:rPr>
          <w:rFonts w:cs="Courier New"/>
          <w:i/>
          <w:sz w:val="18"/>
          <w:szCs w:val="21"/>
        </w:rPr>
        <w:t>Id</w:t>
      </w:r>
      <w:r w:rsidRPr="00537FFC">
        <w:rPr>
          <w:rFonts w:cs="Courier New"/>
          <w:sz w:val="18"/>
          <w:szCs w:val="21"/>
        </w:rPr>
        <w:t>. at 89, n.102.</w:t>
      </w:r>
    </w:p>
  </w:footnote>
  <w:footnote w:id="19">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893008">
        <w:rPr>
          <w:rFonts w:cs="Courier New"/>
          <w:i/>
          <w:sz w:val="18"/>
          <w:szCs w:val="21"/>
        </w:rPr>
        <w:t>Id</w:t>
      </w:r>
      <w:r w:rsidRPr="00537FFC">
        <w:rPr>
          <w:rFonts w:cs="Courier New"/>
          <w:sz w:val="18"/>
          <w:szCs w:val="21"/>
        </w:rPr>
        <w:t>.</w:t>
      </w:r>
    </w:p>
  </w:footnote>
  <w:footnote w:id="20">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To take one example – in 2011, law teachers from six continents gathered in Valencia, Spain, for the Global Alliance for Justice Education Worldwide Conference. At that conference, four of the sessions were conducted by members of the faculty at </w:t>
      </w:r>
      <w:proofErr w:type="spellStart"/>
      <w:r w:rsidRPr="00537FFC">
        <w:rPr>
          <w:rFonts w:cs="Courier New"/>
          <w:sz w:val="18"/>
          <w:szCs w:val="21"/>
        </w:rPr>
        <w:t>Palacký</w:t>
      </w:r>
      <w:proofErr w:type="spellEnd"/>
      <w:r w:rsidRPr="00537FFC">
        <w:rPr>
          <w:rFonts w:cs="Courier New"/>
          <w:sz w:val="18"/>
          <w:szCs w:val="21"/>
        </w:rPr>
        <w:t xml:space="preserve"> University. This only underscores the leadership position of this institution and faculty in international legal education reform.</w:t>
      </w:r>
    </w:p>
  </w:footnote>
  <w:footnote w:id="21">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For a description of law clinics in Poland, see Joanna </w:t>
      </w:r>
      <w:proofErr w:type="spellStart"/>
      <w:r w:rsidRPr="00537FFC">
        <w:rPr>
          <w:rFonts w:cs="Courier New"/>
          <w:sz w:val="18"/>
          <w:szCs w:val="21"/>
        </w:rPr>
        <w:t>Sliwa</w:t>
      </w:r>
      <w:proofErr w:type="spellEnd"/>
      <w:r w:rsidRPr="00537FFC">
        <w:rPr>
          <w:rFonts w:cs="Courier New"/>
          <w:sz w:val="18"/>
          <w:szCs w:val="21"/>
        </w:rPr>
        <w:t xml:space="preserve">, </w:t>
      </w:r>
      <w:r w:rsidRPr="00710F4E">
        <w:rPr>
          <w:rFonts w:cs="Courier New"/>
          <w:i/>
          <w:sz w:val="18"/>
          <w:szCs w:val="21"/>
        </w:rPr>
        <w:t>Report on the Legal Education in Poland</w:t>
      </w:r>
      <w:r w:rsidRPr="00537FFC">
        <w:rPr>
          <w:rFonts w:cs="Courier New"/>
          <w:sz w:val="18"/>
          <w:szCs w:val="21"/>
        </w:rPr>
        <w:t xml:space="preserve"> (</w:t>
      </w:r>
      <w:proofErr w:type="spellStart"/>
      <w:r w:rsidRPr="00537FFC">
        <w:rPr>
          <w:rFonts w:cs="Courier New"/>
          <w:sz w:val="18"/>
          <w:szCs w:val="21"/>
        </w:rPr>
        <w:t>Pilnet</w:t>
      </w:r>
      <w:proofErr w:type="spellEnd"/>
      <w:r w:rsidRPr="00537FFC">
        <w:rPr>
          <w:rFonts w:cs="Courier New"/>
          <w:sz w:val="18"/>
          <w:szCs w:val="21"/>
        </w:rPr>
        <w:t xml:space="preserve"> 2010), 23-25, available at: http://www.pilnet.org/component/docman/doc_download/45-legal-education-in­poland-building-institutional-will-for.html. See also, </w:t>
      </w:r>
      <w:proofErr w:type="spellStart"/>
      <w:r w:rsidRPr="00537FFC">
        <w:rPr>
          <w:rFonts w:cs="Courier New"/>
          <w:sz w:val="18"/>
          <w:szCs w:val="21"/>
        </w:rPr>
        <w:t>Rekosh</w:t>
      </w:r>
      <w:proofErr w:type="spellEnd"/>
      <w:r w:rsidRPr="00537FFC">
        <w:rPr>
          <w:rFonts w:cs="Courier New"/>
          <w:sz w:val="18"/>
          <w:szCs w:val="21"/>
        </w:rPr>
        <w:t xml:space="preserve">, </w:t>
      </w:r>
      <w:r w:rsidRPr="00710F4E">
        <w:rPr>
          <w:rFonts w:cs="Courier New"/>
          <w:i/>
          <w:sz w:val="18"/>
          <w:szCs w:val="21"/>
        </w:rPr>
        <w:t>supra</w:t>
      </w:r>
      <w:r w:rsidRPr="00537FFC">
        <w:rPr>
          <w:rFonts w:cs="Courier New"/>
          <w:sz w:val="18"/>
          <w:szCs w:val="21"/>
        </w:rPr>
        <w:t xml:space="preserve"> note 3, at 90-92.</w:t>
      </w:r>
    </w:p>
  </w:footnote>
  <w:footnote w:id="22">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For general comparative discussions, see Leah </w:t>
      </w:r>
      <w:proofErr w:type="spellStart"/>
      <w:r w:rsidRPr="00537FFC">
        <w:rPr>
          <w:rFonts w:cs="Courier New"/>
          <w:sz w:val="18"/>
          <w:szCs w:val="21"/>
        </w:rPr>
        <w:t>Wortham</w:t>
      </w:r>
      <w:proofErr w:type="spellEnd"/>
      <w:r w:rsidRPr="00537FFC">
        <w:rPr>
          <w:rFonts w:cs="Courier New"/>
          <w:sz w:val="18"/>
          <w:szCs w:val="21"/>
        </w:rPr>
        <w:t>, Ai</w:t>
      </w:r>
      <w:r w:rsidRPr="00710F4E">
        <w:rPr>
          <w:rFonts w:cs="Courier New"/>
          <w:i/>
          <w:sz w:val="18"/>
          <w:szCs w:val="21"/>
        </w:rPr>
        <w:t>ding Clinical Legal Education Abroad: What Can Be Gained and the Learning Curve on How to Do So Effectively</w:t>
      </w:r>
      <w:r w:rsidRPr="00537FFC">
        <w:rPr>
          <w:rFonts w:cs="Courier New"/>
          <w:sz w:val="18"/>
          <w:szCs w:val="21"/>
        </w:rPr>
        <w:t xml:space="preserve">, </w:t>
      </w:r>
      <w:r w:rsidRPr="00710F4E">
        <w:rPr>
          <w:rFonts w:cs="Courier New"/>
          <w:i/>
          <w:sz w:val="18"/>
          <w:szCs w:val="21"/>
        </w:rPr>
        <w:t>supra</w:t>
      </w:r>
      <w:r w:rsidRPr="00537FFC">
        <w:rPr>
          <w:rFonts w:cs="Courier New"/>
          <w:sz w:val="18"/>
          <w:szCs w:val="21"/>
        </w:rPr>
        <w:t xml:space="preserve"> note 13; Lee Dexter </w:t>
      </w:r>
      <w:proofErr w:type="spellStart"/>
      <w:r w:rsidRPr="00537FFC">
        <w:rPr>
          <w:rFonts w:cs="Courier New"/>
          <w:sz w:val="18"/>
          <w:szCs w:val="21"/>
        </w:rPr>
        <w:t>Schnasi</w:t>
      </w:r>
      <w:proofErr w:type="spellEnd"/>
      <w:r w:rsidRPr="00537FFC">
        <w:rPr>
          <w:rFonts w:cs="Courier New"/>
          <w:sz w:val="18"/>
          <w:szCs w:val="21"/>
        </w:rPr>
        <w:t xml:space="preserve">, </w:t>
      </w:r>
      <w:r w:rsidRPr="00710F4E">
        <w:rPr>
          <w:rFonts w:cs="Courier New"/>
          <w:i/>
          <w:sz w:val="18"/>
          <w:szCs w:val="21"/>
        </w:rPr>
        <w:t>Globalizing: Clinical Legal Education: Successful Under-Developed Country Experiences</w:t>
      </w:r>
      <w:r w:rsidRPr="00537FFC">
        <w:rPr>
          <w:rFonts w:cs="Courier New"/>
          <w:sz w:val="18"/>
          <w:szCs w:val="21"/>
        </w:rPr>
        <w:t xml:space="preserve">, 6 T.M. Cooley </w:t>
      </w:r>
      <w:proofErr w:type="spellStart"/>
      <w:r w:rsidRPr="00537FFC">
        <w:rPr>
          <w:rFonts w:cs="Courier New"/>
          <w:sz w:val="18"/>
          <w:szCs w:val="21"/>
        </w:rPr>
        <w:t>J.Prac</w:t>
      </w:r>
      <w:proofErr w:type="spellEnd"/>
      <w:r w:rsidRPr="00537FFC">
        <w:rPr>
          <w:rFonts w:cs="Courier New"/>
          <w:sz w:val="18"/>
          <w:szCs w:val="21"/>
        </w:rPr>
        <w:t xml:space="preserve">. &amp; Clinical L. 129 (2003); Frank S. Bloch, </w:t>
      </w:r>
      <w:r w:rsidRPr="00710F4E">
        <w:rPr>
          <w:rFonts w:cs="Courier New"/>
          <w:i/>
          <w:sz w:val="18"/>
          <w:szCs w:val="21"/>
        </w:rPr>
        <w:t>Access to Justice and the Global Clinical Movement</w:t>
      </w:r>
      <w:r w:rsidRPr="00537FFC">
        <w:rPr>
          <w:rFonts w:cs="Courier New"/>
          <w:sz w:val="18"/>
          <w:szCs w:val="21"/>
        </w:rPr>
        <w:t xml:space="preserve">, 28 J.L.&amp; </w:t>
      </w:r>
      <w:proofErr w:type="spellStart"/>
      <w:r w:rsidRPr="00537FFC">
        <w:rPr>
          <w:rFonts w:cs="Courier New"/>
          <w:sz w:val="18"/>
          <w:szCs w:val="21"/>
        </w:rPr>
        <w:t>Pol’y</w:t>
      </w:r>
      <w:proofErr w:type="spellEnd"/>
      <w:r w:rsidRPr="00537FFC">
        <w:rPr>
          <w:rFonts w:cs="Courier New"/>
          <w:sz w:val="18"/>
          <w:szCs w:val="21"/>
        </w:rPr>
        <w:t xml:space="preserve"> 111 (2008).</w:t>
      </w:r>
    </w:p>
  </w:footnote>
  <w:footnote w:id="23">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See Laurel S. Terry, </w:t>
      </w:r>
      <w:r w:rsidRPr="00710F4E">
        <w:rPr>
          <w:rFonts w:cs="Courier New"/>
          <w:i/>
          <w:sz w:val="18"/>
          <w:szCs w:val="21"/>
        </w:rPr>
        <w:t>The Bologna Process and Its implications for U.S. Legal Education</w:t>
      </w:r>
      <w:r w:rsidRPr="00537FFC">
        <w:rPr>
          <w:rFonts w:cs="Courier New"/>
          <w:sz w:val="18"/>
          <w:szCs w:val="21"/>
        </w:rPr>
        <w:t>, 57 Journal of Legal Education 237 (2007).</w:t>
      </w:r>
    </w:p>
  </w:footnote>
  <w:footnote w:id="24">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 xml:space="preserve">For a discussion of the differences between the civil and common law systems and the effects of these differences on CLE, see Philip M. </w:t>
      </w:r>
      <w:proofErr w:type="spellStart"/>
      <w:r w:rsidRPr="00537FFC">
        <w:rPr>
          <w:rFonts w:cs="Courier New"/>
          <w:sz w:val="18"/>
          <w:szCs w:val="21"/>
        </w:rPr>
        <w:t>Genty</w:t>
      </w:r>
      <w:proofErr w:type="spellEnd"/>
      <w:r w:rsidRPr="00537FFC">
        <w:rPr>
          <w:rFonts w:cs="Courier New"/>
          <w:sz w:val="18"/>
          <w:szCs w:val="21"/>
        </w:rPr>
        <w:t xml:space="preserve">, </w:t>
      </w:r>
      <w:r w:rsidRPr="00710F4E">
        <w:rPr>
          <w:rFonts w:cs="Courier New"/>
          <w:i/>
          <w:sz w:val="18"/>
          <w:szCs w:val="21"/>
        </w:rPr>
        <w:t>Overcoming Cultural Blindness in International Clinical Collaboration: The Divide Between Civil and Common Law Cultures and Its Implications for Clinical Education</w:t>
      </w:r>
      <w:r w:rsidRPr="00537FFC">
        <w:rPr>
          <w:rFonts w:cs="Courier New"/>
          <w:sz w:val="18"/>
          <w:szCs w:val="21"/>
        </w:rPr>
        <w:t>, 15 Clinical L. Rev. 131 (Fall 2008).</w:t>
      </w:r>
    </w:p>
  </w:footnote>
  <w:footnote w:id="25">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There are no reliable data about the number of legal clinics in Europe in general, and in particular about the breakdown among types of clinics, e.g. the number of live client clinics. Perhaps this situation will improve with the establishment of ENCLE ( European Network for Clinical Legal Educa</w:t>
      </w:r>
      <w:r w:rsidRPr="00537FFC">
        <w:rPr>
          <w:rFonts w:cs="Courier New"/>
          <w:sz w:val="18"/>
          <w:szCs w:val="21"/>
        </w:rPr>
        <w:t>tion). See: http://www.uc3m.es/</w:t>
      </w:r>
      <w:r w:rsidRPr="00537FFC">
        <w:rPr>
          <w:rFonts w:cs="Courier New"/>
          <w:sz w:val="18"/>
          <w:szCs w:val="21"/>
        </w:rPr>
        <w:t>portal/page/portal/instituto_derechos_humanos/sala_prensa/comunicados_de_prensa/encle.pdf.</w:t>
      </w:r>
    </w:p>
  </w:footnote>
  <w:footnote w:id="26">
    <w:p w:rsidR="00537FFC" w:rsidRPr="00537FFC" w:rsidRDefault="00537FFC" w:rsidP="00537FFC">
      <w:pPr>
        <w:pStyle w:val="FootnoteText"/>
        <w:spacing w:after="120"/>
        <w:rPr>
          <w:sz w:val="18"/>
        </w:rPr>
      </w:pPr>
      <w:r w:rsidRPr="00537FFC">
        <w:rPr>
          <w:rStyle w:val="FootnoteReference"/>
          <w:sz w:val="18"/>
        </w:rPr>
        <w:footnoteRef/>
      </w:r>
      <w:r w:rsidRPr="00537FFC">
        <w:rPr>
          <w:sz w:val="18"/>
        </w:rPr>
        <w:t xml:space="preserve"> </w:t>
      </w:r>
      <w:r w:rsidRPr="00537FFC">
        <w:rPr>
          <w:rFonts w:cs="Courier New"/>
          <w:sz w:val="18"/>
          <w:szCs w:val="21"/>
        </w:rPr>
        <w:t>About ENCLE see http://www.uc3m.es/portal/page/portal/institut</w:t>
      </w:r>
      <w:r w:rsidR="00E91998">
        <w:rPr>
          <w:rFonts w:cs="Courier New"/>
          <w:sz w:val="18"/>
          <w:szCs w:val="21"/>
        </w:rPr>
        <w:t>o_derechos_humanos/sala_prensa/</w:t>
      </w:r>
      <w:r w:rsidRPr="00537FFC">
        <w:rPr>
          <w:rFonts w:cs="Courier New"/>
          <w:sz w:val="18"/>
          <w:szCs w:val="21"/>
        </w:rPr>
        <w:t>comunicados_de_prensa/encle.pdf; http://www.iuctorino.it/content/european-network-clinical-legal-education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081A"/>
    <w:multiLevelType w:val="hybridMultilevel"/>
    <w:tmpl w:val="E6F0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7555AF"/>
    <w:multiLevelType w:val="hybridMultilevel"/>
    <w:tmpl w:val="A58C8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1E"/>
    <w:rsid w:val="00011C1E"/>
    <w:rsid w:val="001E2359"/>
    <w:rsid w:val="00254637"/>
    <w:rsid w:val="00537FFC"/>
    <w:rsid w:val="00710F4E"/>
    <w:rsid w:val="007F1603"/>
    <w:rsid w:val="00893008"/>
    <w:rsid w:val="009640D4"/>
    <w:rsid w:val="00E9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4A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04A54"/>
    <w:rPr>
      <w:rFonts w:ascii="Consolas" w:hAnsi="Consolas"/>
      <w:sz w:val="21"/>
      <w:szCs w:val="21"/>
    </w:rPr>
  </w:style>
  <w:style w:type="paragraph" w:styleId="FootnoteText">
    <w:name w:val="footnote text"/>
    <w:basedOn w:val="Normal"/>
    <w:link w:val="FootnoteTextChar"/>
    <w:uiPriority w:val="99"/>
    <w:semiHidden/>
    <w:unhideWhenUsed/>
    <w:rsid w:val="00254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637"/>
    <w:rPr>
      <w:sz w:val="20"/>
      <w:szCs w:val="20"/>
    </w:rPr>
  </w:style>
  <w:style w:type="character" w:styleId="FootnoteReference">
    <w:name w:val="footnote reference"/>
    <w:basedOn w:val="DefaultParagraphFont"/>
    <w:uiPriority w:val="99"/>
    <w:semiHidden/>
    <w:unhideWhenUsed/>
    <w:rsid w:val="002546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4A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04A54"/>
    <w:rPr>
      <w:rFonts w:ascii="Consolas" w:hAnsi="Consolas"/>
      <w:sz w:val="21"/>
      <w:szCs w:val="21"/>
    </w:rPr>
  </w:style>
  <w:style w:type="paragraph" w:styleId="FootnoteText">
    <w:name w:val="footnote text"/>
    <w:basedOn w:val="Normal"/>
    <w:link w:val="FootnoteTextChar"/>
    <w:uiPriority w:val="99"/>
    <w:semiHidden/>
    <w:unhideWhenUsed/>
    <w:rsid w:val="00254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637"/>
    <w:rPr>
      <w:sz w:val="20"/>
      <w:szCs w:val="20"/>
    </w:rPr>
  </w:style>
  <w:style w:type="character" w:styleId="FootnoteReference">
    <w:name w:val="footnote reference"/>
    <w:basedOn w:val="DefaultParagraphFont"/>
    <w:uiPriority w:val="99"/>
    <w:semiHidden/>
    <w:unhideWhenUsed/>
    <w:rsid w:val="00254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93BD-ABC5-4136-AB7D-63BD9DC7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dcterms:created xsi:type="dcterms:W3CDTF">2014-09-16T15:48:00Z</dcterms:created>
  <dcterms:modified xsi:type="dcterms:W3CDTF">2014-09-16T15:48:00Z</dcterms:modified>
</cp:coreProperties>
</file>