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D3F46" w14:textId="69F9169B" w:rsidR="009D240D" w:rsidRPr="00324E33" w:rsidRDefault="00717F7A" w:rsidP="00324E33">
      <w:pPr>
        <w:pStyle w:val="Default"/>
        <w:spacing w:after="160" w:line="360" w:lineRule="auto"/>
        <w:jc w:val="center"/>
        <w:rPr>
          <w:rFonts w:ascii="Palatino Linotype" w:hAnsi="Palatino Linotype" w:cs="Arial"/>
          <w:b/>
          <w:bCs/>
          <w:color w:val="auto"/>
          <w:sz w:val="28"/>
          <w:szCs w:val="28"/>
          <w:lang w:val="en-IE"/>
        </w:rPr>
      </w:pPr>
      <w:r w:rsidRPr="00324E33">
        <w:rPr>
          <w:rFonts w:ascii="Palatino Linotype" w:hAnsi="Palatino Linotype" w:cs="Arial"/>
          <w:b/>
          <w:bCs/>
          <w:color w:val="auto"/>
          <w:sz w:val="28"/>
          <w:szCs w:val="28"/>
          <w:lang w:val="en-IE"/>
        </w:rPr>
        <w:t xml:space="preserve">Education, </w:t>
      </w:r>
      <w:r w:rsidR="00F42232" w:rsidRPr="00324E33">
        <w:rPr>
          <w:rFonts w:ascii="Palatino Linotype" w:hAnsi="Palatino Linotype" w:cs="Arial"/>
          <w:b/>
          <w:bCs/>
          <w:color w:val="auto"/>
          <w:sz w:val="28"/>
          <w:szCs w:val="28"/>
          <w:lang w:val="en-IE"/>
        </w:rPr>
        <w:t>E</w:t>
      </w:r>
      <w:r w:rsidR="00936E6D" w:rsidRPr="00324E33">
        <w:rPr>
          <w:rFonts w:ascii="Palatino Linotype" w:hAnsi="Palatino Linotype" w:cs="Arial"/>
          <w:b/>
          <w:bCs/>
          <w:color w:val="auto"/>
          <w:sz w:val="28"/>
          <w:szCs w:val="28"/>
          <w:lang w:val="en-IE"/>
        </w:rPr>
        <w:t>mpowerment</w:t>
      </w:r>
      <w:r w:rsidR="00F42232" w:rsidRPr="00324E33">
        <w:rPr>
          <w:rFonts w:ascii="Palatino Linotype" w:hAnsi="Palatino Linotype" w:cs="Arial"/>
          <w:b/>
          <w:bCs/>
          <w:color w:val="auto"/>
          <w:sz w:val="28"/>
          <w:szCs w:val="28"/>
          <w:lang w:val="en-IE"/>
        </w:rPr>
        <w:t xml:space="preserve"> and </w:t>
      </w:r>
      <w:r w:rsidRPr="00324E33">
        <w:rPr>
          <w:rFonts w:ascii="Palatino Linotype" w:hAnsi="Palatino Linotype" w:cs="Arial"/>
          <w:b/>
          <w:bCs/>
          <w:color w:val="auto"/>
          <w:sz w:val="28"/>
          <w:szCs w:val="28"/>
          <w:lang w:val="en-IE"/>
        </w:rPr>
        <w:t>Access to All</w:t>
      </w:r>
      <w:r w:rsidR="00F42232" w:rsidRPr="00324E33">
        <w:rPr>
          <w:rFonts w:ascii="Palatino Linotype" w:hAnsi="Palatino Linotype" w:cs="Arial"/>
          <w:b/>
          <w:bCs/>
          <w:color w:val="auto"/>
          <w:sz w:val="28"/>
          <w:szCs w:val="28"/>
          <w:lang w:val="en-IE"/>
        </w:rPr>
        <w:t xml:space="preserve"> - Public Legal E</w:t>
      </w:r>
      <w:r w:rsidR="00936E6D" w:rsidRPr="00324E33">
        <w:rPr>
          <w:rFonts w:ascii="Palatino Linotype" w:hAnsi="Palatino Linotype" w:cs="Arial"/>
          <w:b/>
          <w:bCs/>
          <w:color w:val="auto"/>
          <w:sz w:val="28"/>
          <w:szCs w:val="28"/>
          <w:lang w:val="en-IE"/>
        </w:rPr>
        <w:t>ducation</w:t>
      </w:r>
      <w:r w:rsidR="00F42232" w:rsidRPr="00324E33">
        <w:rPr>
          <w:rFonts w:ascii="Palatino Linotype" w:hAnsi="Palatino Linotype" w:cs="Arial"/>
          <w:b/>
          <w:bCs/>
          <w:color w:val="auto"/>
          <w:sz w:val="28"/>
          <w:szCs w:val="28"/>
          <w:lang w:val="en-IE"/>
        </w:rPr>
        <w:t xml:space="preserve"> and Massive Open Online Courses at</w:t>
      </w:r>
      <w:r w:rsidR="00936E6D" w:rsidRPr="00324E33">
        <w:rPr>
          <w:rFonts w:ascii="Palatino Linotype" w:hAnsi="Palatino Linotype" w:cs="Arial"/>
          <w:b/>
          <w:bCs/>
          <w:color w:val="auto"/>
          <w:sz w:val="28"/>
          <w:szCs w:val="28"/>
          <w:lang w:val="en-IE"/>
        </w:rPr>
        <w:t xml:space="preserve"> the Law Society of</w:t>
      </w:r>
      <w:r w:rsidR="00F42232" w:rsidRPr="00324E33">
        <w:rPr>
          <w:rFonts w:ascii="Palatino Linotype" w:hAnsi="Palatino Linotype" w:cs="Arial"/>
          <w:b/>
          <w:bCs/>
          <w:color w:val="auto"/>
          <w:sz w:val="28"/>
          <w:szCs w:val="28"/>
          <w:lang w:val="en-IE"/>
        </w:rPr>
        <w:t xml:space="preserve"> Ireland</w:t>
      </w:r>
    </w:p>
    <w:p w14:paraId="64509FF5" w14:textId="4E42B1D4" w:rsidR="00E44378" w:rsidRPr="00324E33" w:rsidRDefault="008911AD" w:rsidP="00324E33">
      <w:pPr>
        <w:pStyle w:val="Default"/>
        <w:spacing w:after="160"/>
        <w:jc w:val="center"/>
        <w:rPr>
          <w:rFonts w:ascii="Palatino Linotype" w:hAnsi="Palatino Linotype" w:cs="Arial"/>
          <w:bCs/>
          <w:i/>
          <w:color w:val="auto"/>
          <w:sz w:val="24"/>
          <w:szCs w:val="24"/>
          <w:lang w:val="en-IE"/>
        </w:rPr>
      </w:pPr>
      <w:r w:rsidRPr="00324E33">
        <w:rPr>
          <w:rFonts w:ascii="Palatino Linotype" w:hAnsi="Palatino Linotype" w:cs="Arial"/>
          <w:bCs/>
          <w:i/>
          <w:color w:val="auto"/>
          <w:sz w:val="24"/>
          <w:szCs w:val="24"/>
          <w:lang w:val="en-IE"/>
        </w:rPr>
        <w:t>Dr. Freda Grealy,</w:t>
      </w:r>
    </w:p>
    <w:p w14:paraId="1D6FF384" w14:textId="6FACE628" w:rsidR="00F22B58" w:rsidRPr="00324E33" w:rsidRDefault="00F22B58" w:rsidP="00324E33">
      <w:pPr>
        <w:pStyle w:val="Default"/>
        <w:spacing w:after="160"/>
        <w:jc w:val="center"/>
        <w:rPr>
          <w:rFonts w:ascii="Palatino Linotype" w:hAnsi="Palatino Linotype" w:cs="Arial"/>
          <w:bCs/>
          <w:i/>
          <w:color w:val="auto"/>
          <w:sz w:val="24"/>
          <w:szCs w:val="24"/>
          <w:lang w:val="en-IE"/>
        </w:rPr>
      </w:pPr>
      <w:r w:rsidRPr="00324E33">
        <w:rPr>
          <w:rFonts w:ascii="Palatino Linotype" w:hAnsi="Palatino Linotype" w:cs="Arial"/>
          <w:bCs/>
          <w:i/>
          <w:color w:val="auto"/>
          <w:sz w:val="24"/>
          <w:szCs w:val="24"/>
          <w:lang w:val="en-IE"/>
        </w:rPr>
        <w:t>Steve Collender,</w:t>
      </w:r>
    </w:p>
    <w:p w14:paraId="12B5A524" w14:textId="57068C0F" w:rsidR="00E44378" w:rsidRPr="00324E33" w:rsidRDefault="00F42232" w:rsidP="00324E33">
      <w:pPr>
        <w:pStyle w:val="Default"/>
        <w:spacing w:after="160"/>
        <w:jc w:val="center"/>
        <w:rPr>
          <w:rFonts w:ascii="Palatino Linotype" w:hAnsi="Palatino Linotype" w:cs="Arial"/>
          <w:bCs/>
          <w:i/>
          <w:color w:val="auto"/>
          <w:sz w:val="24"/>
          <w:szCs w:val="24"/>
          <w:lang w:val="en-IE"/>
        </w:rPr>
      </w:pPr>
      <w:r w:rsidRPr="00324E33">
        <w:rPr>
          <w:rFonts w:ascii="Palatino Linotype" w:hAnsi="Palatino Linotype" w:cs="Arial"/>
          <w:bCs/>
          <w:i/>
          <w:color w:val="auto"/>
          <w:sz w:val="24"/>
          <w:szCs w:val="24"/>
          <w:lang w:val="en-IE"/>
        </w:rPr>
        <w:t>John Lunney</w:t>
      </w:r>
      <w:r w:rsidR="009D240D" w:rsidRPr="00324E33">
        <w:rPr>
          <w:rFonts w:ascii="Palatino Linotype" w:hAnsi="Palatino Linotype" w:cs="Arial"/>
          <w:bCs/>
          <w:i/>
          <w:color w:val="auto"/>
          <w:sz w:val="24"/>
          <w:szCs w:val="24"/>
          <w:lang w:val="en-IE"/>
        </w:rPr>
        <w:t>,</w:t>
      </w:r>
    </w:p>
    <w:p w14:paraId="40BFEDB9" w14:textId="51D378EF" w:rsidR="005C7788" w:rsidRPr="00324E33" w:rsidRDefault="009D240D" w:rsidP="00324E33">
      <w:pPr>
        <w:pStyle w:val="Default"/>
        <w:spacing w:after="160"/>
        <w:jc w:val="center"/>
        <w:rPr>
          <w:rFonts w:ascii="Palatino Linotype" w:hAnsi="Palatino Linotype" w:cs="Arial"/>
          <w:bCs/>
          <w:i/>
          <w:color w:val="auto"/>
          <w:sz w:val="24"/>
          <w:szCs w:val="24"/>
          <w:lang w:val="en-IE"/>
        </w:rPr>
      </w:pPr>
      <w:r w:rsidRPr="00324E33">
        <w:rPr>
          <w:rFonts w:ascii="Palatino Linotype" w:hAnsi="Palatino Linotype" w:cs="Arial"/>
          <w:bCs/>
          <w:i/>
          <w:color w:val="auto"/>
          <w:sz w:val="24"/>
          <w:szCs w:val="24"/>
          <w:lang w:val="en-IE"/>
        </w:rPr>
        <w:t>Rory O’Boyle</w:t>
      </w:r>
      <w:r w:rsidR="00584F9E" w:rsidRPr="00324E33">
        <w:rPr>
          <w:rStyle w:val="FootnoteReference"/>
          <w:rFonts w:ascii="Palatino Linotype" w:hAnsi="Palatino Linotype" w:cs="Arial"/>
          <w:bCs/>
          <w:i/>
          <w:color w:val="auto"/>
          <w:sz w:val="24"/>
          <w:szCs w:val="24"/>
          <w:lang w:val="en-IE"/>
        </w:rPr>
        <w:footnoteReference w:id="1"/>
      </w:r>
    </w:p>
    <w:p w14:paraId="4F0A1984" w14:textId="77777777" w:rsidR="008911AD" w:rsidRPr="00E44378" w:rsidRDefault="008911AD" w:rsidP="00E44378">
      <w:pPr>
        <w:pStyle w:val="Default"/>
        <w:spacing w:after="160" w:line="480" w:lineRule="auto"/>
        <w:rPr>
          <w:rFonts w:ascii="Palatino Linotype" w:hAnsi="Palatino Linotype" w:cs="Arial"/>
          <w:b/>
          <w:bCs/>
          <w:color w:val="auto"/>
          <w:sz w:val="24"/>
          <w:szCs w:val="24"/>
          <w:lang w:val="en-IE"/>
        </w:rPr>
      </w:pPr>
    </w:p>
    <w:p w14:paraId="13982B8E" w14:textId="4874659A" w:rsidR="00886027" w:rsidRPr="00E44378" w:rsidRDefault="00886027" w:rsidP="00E44378">
      <w:pPr>
        <w:pStyle w:val="Default"/>
        <w:spacing w:after="160" w:line="480" w:lineRule="auto"/>
        <w:jc w:val="both"/>
        <w:rPr>
          <w:rFonts w:ascii="Palatino Linotype" w:hAnsi="Palatino Linotype" w:cs="Arial"/>
          <w:b/>
          <w:bCs/>
          <w:color w:val="auto"/>
          <w:sz w:val="24"/>
          <w:szCs w:val="24"/>
          <w:lang w:val="en-IE"/>
        </w:rPr>
      </w:pPr>
      <w:r w:rsidRPr="00E44378">
        <w:rPr>
          <w:rFonts w:ascii="Palatino Linotype" w:hAnsi="Palatino Linotype" w:cs="Arial"/>
          <w:b/>
          <w:bCs/>
          <w:color w:val="auto"/>
          <w:sz w:val="24"/>
          <w:szCs w:val="24"/>
          <w:lang w:val="en-IE"/>
        </w:rPr>
        <w:t xml:space="preserve">Abstract </w:t>
      </w:r>
    </w:p>
    <w:p w14:paraId="7795DF26" w14:textId="32FFA589" w:rsidR="005F762B" w:rsidRDefault="00886027" w:rsidP="00E44378">
      <w:pPr>
        <w:shd w:val="clear" w:color="auto" w:fill="FFFFFF"/>
        <w:spacing w:after="160" w:line="480" w:lineRule="auto"/>
        <w:jc w:val="both"/>
        <w:rPr>
          <w:rFonts w:ascii="Palatino Linotype" w:hAnsi="Palatino Linotype" w:cs="Arial"/>
          <w:sz w:val="24"/>
          <w:szCs w:val="24"/>
        </w:rPr>
      </w:pPr>
      <w:r w:rsidRPr="00E44378">
        <w:rPr>
          <w:rFonts w:ascii="Palatino Linotype" w:hAnsi="Palatino Linotype" w:cs="Arial"/>
          <w:sz w:val="24"/>
          <w:szCs w:val="24"/>
          <w:lang w:eastAsia="en-IE"/>
        </w:rPr>
        <w:t>Since 2014, the Diploma Centre at the Law Society of Ireland (</w:t>
      </w:r>
      <w:r w:rsidR="007F6554" w:rsidRPr="00E44378">
        <w:rPr>
          <w:rFonts w:ascii="Palatino Linotype" w:hAnsi="Palatino Linotype" w:cs="Arial"/>
          <w:sz w:val="24"/>
          <w:szCs w:val="24"/>
          <w:lang w:eastAsia="en-IE"/>
        </w:rPr>
        <w:t>‘the Society’</w:t>
      </w:r>
      <w:r w:rsidRPr="00E44378">
        <w:rPr>
          <w:rFonts w:ascii="Palatino Linotype" w:hAnsi="Palatino Linotype" w:cs="Arial"/>
          <w:sz w:val="24"/>
          <w:szCs w:val="24"/>
          <w:lang w:eastAsia="en-IE"/>
        </w:rPr>
        <w:t xml:space="preserve">) has implemented a programme of MOOCs; ‘Massive Open Online Courses’ in key areas of practice. </w:t>
      </w:r>
      <w:r w:rsidR="00D03681" w:rsidRPr="00E44378">
        <w:rPr>
          <w:rFonts w:ascii="Palatino Linotype" w:hAnsi="Palatino Linotype" w:cs="Arial"/>
          <w:sz w:val="24"/>
          <w:szCs w:val="24"/>
          <w:lang w:eastAsia="en-IE"/>
        </w:rPr>
        <w:t xml:space="preserve">This article </w:t>
      </w:r>
      <w:r w:rsidR="00F76F69" w:rsidRPr="00E44378">
        <w:rPr>
          <w:rFonts w:ascii="Palatino Linotype" w:hAnsi="Palatino Linotype" w:cs="Arial"/>
          <w:sz w:val="24"/>
          <w:szCs w:val="24"/>
          <w:lang w:eastAsia="en-IE"/>
        </w:rPr>
        <w:t xml:space="preserve">outlines the provision of Public Legal Education at the </w:t>
      </w:r>
      <w:r w:rsidR="007F6554" w:rsidRPr="00E44378">
        <w:rPr>
          <w:rFonts w:ascii="Palatino Linotype" w:hAnsi="Palatino Linotype" w:cs="Arial"/>
          <w:sz w:val="24"/>
          <w:szCs w:val="24"/>
          <w:lang w:eastAsia="en-IE"/>
        </w:rPr>
        <w:t xml:space="preserve">Society </w:t>
      </w:r>
      <w:r w:rsidR="00F76F69" w:rsidRPr="00E44378">
        <w:rPr>
          <w:rFonts w:ascii="Palatino Linotype" w:hAnsi="Palatino Linotype" w:cs="Arial"/>
          <w:sz w:val="24"/>
          <w:szCs w:val="24"/>
          <w:lang w:eastAsia="en-IE"/>
        </w:rPr>
        <w:t xml:space="preserve">and how MOOCs align with the mission to widen access to legal education and the legal profession. </w:t>
      </w:r>
      <w:r w:rsidRPr="00E44378">
        <w:rPr>
          <w:rFonts w:ascii="Palatino Linotype" w:hAnsi="Palatino Linotype" w:cs="Arial"/>
          <w:sz w:val="24"/>
          <w:szCs w:val="24"/>
          <w:lang w:eastAsia="en-IE"/>
        </w:rPr>
        <w:t xml:space="preserve">Of interest to others who may be developing MOOCs, we discuss the instructional design process and </w:t>
      </w:r>
      <w:r w:rsidR="00C46D77" w:rsidRPr="00E44378">
        <w:rPr>
          <w:rFonts w:ascii="Palatino Linotype" w:hAnsi="Palatino Linotype" w:cs="Arial"/>
          <w:sz w:val="24"/>
          <w:szCs w:val="24"/>
          <w:lang w:eastAsia="en-IE"/>
        </w:rPr>
        <w:t xml:space="preserve">feedback from MOOC participants. </w:t>
      </w:r>
      <w:r w:rsidR="00C46D77" w:rsidRPr="00E44378">
        <w:rPr>
          <w:rFonts w:ascii="Palatino Linotype" w:hAnsi="Palatino Linotype" w:cs="Arial"/>
          <w:sz w:val="24"/>
          <w:szCs w:val="24"/>
        </w:rPr>
        <w:t>MOOCs are very much on trend and have received a mixed reception but</w:t>
      </w:r>
      <w:r w:rsidR="002B6532" w:rsidRPr="00E44378">
        <w:rPr>
          <w:rFonts w:ascii="Palatino Linotype" w:hAnsi="Palatino Linotype" w:cs="Arial"/>
          <w:sz w:val="24"/>
          <w:szCs w:val="24"/>
        </w:rPr>
        <w:t>,</w:t>
      </w:r>
      <w:r w:rsidR="00C46D77" w:rsidRPr="00E44378">
        <w:rPr>
          <w:rFonts w:ascii="Palatino Linotype" w:hAnsi="Palatino Linotype" w:cs="Arial"/>
          <w:sz w:val="24"/>
          <w:szCs w:val="24"/>
        </w:rPr>
        <w:t xml:space="preserve"> subject to course design, they can provide substantial educational benefit and operate as an effective means to widen access to education.</w:t>
      </w:r>
      <w:r w:rsidR="006642F5" w:rsidRPr="00E44378">
        <w:rPr>
          <w:rFonts w:ascii="Palatino Linotype" w:hAnsi="Palatino Linotype" w:cs="Arial"/>
          <w:sz w:val="24"/>
          <w:szCs w:val="24"/>
        </w:rPr>
        <w:t xml:space="preserve"> </w:t>
      </w:r>
    </w:p>
    <w:p w14:paraId="147E40DB" w14:textId="78082466" w:rsidR="00E44378" w:rsidRDefault="00E44378" w:rsidP="00E44378">
      <w:pPr>
        <w:shd w:val="clear" w:color="auto" w:fill="FFFFFF"/>
        <w:spacing w:after="160" w:line="480" w:lineRule="auto"/>
        <w:jc w:val="both"/>
        <w:rPr>
          <w:rFonts w:ascii="Palatino Linotype" w:hAnsi="Palatino Linotype" w:cs="Arial"/>
          <w:sz w:val="24"/>
          <w:szCs w:val="24"/>
        </w:rPr>
      </w:pPr>
    </w:p>
    <w:p w14:paraId="6B694E1F" w14:textId="77777777" w:rsidR="00E44378" w:rsidRPr="00E44378" w:rsidRDefault="00E44378" w:rsidP="00E44378">
      <w:pPr>
        <w:shd w:val="clear" w:color="auto" w:fill="FFFFFF"/>
        <w:spacing w:after="160" w:line="480" w:lineRule="auto"/>
        <w:jc w:val="both"/>
        <w:rPr>
          <w:rFonts w:ascii="Palatino Linotype" w:hAnsi="Palatino Linotype" w:cs="Arial"/>
          <w:sz w:val="24"/>
          <w:szCs w:val="24"/>
        </w:rPr>
      </w:pPr>
    </w:p>
    <w:p w14:paraId="59A5E763" w14:textId="38492632" w:rsidR="009D240D" w:rsidRPr="00E44378" w:rsidRDefault="0062114A" w:rsidP="00E44378">
      <w:pPr>
        <w:pStyle w:val="Heading2"/>
        <w:numPr>
          <w:ilvl w:val="0"/>
          <w:numId w:val="37"/>
        </w:numPr>
        <w:spacing w:after="160" w:line="480" w:lineRule="auto"/>
        <w:rPr>
          <w:rFonts w:ascii="Palatino Linotype" w:hAnsi="Palatino Linotype"/>
          <w:sz w:val="24"/>
          <w:szCs w:val="24"/>
        </w:rPr>
      </w:pPr>
      <w:r w:rsidRPr="00E44378">
        <w:rPr>
          <w:rFonts w:ascii="Palatino Linotype" w:hAnsi="Palatino Linotype"/>
          <w:sz w:val="24"/>
          <w:szCs w:val="24"/>
        </w:rPr>
        <w:lastRenderedPageBreak/>
        <w:t>Introduction</w:t>
      </w:r>
      <w:r w:rsidR="00F42232" w:rsidRPr="00E44378">
        <w:rPr>
          <w:rFonts w:ascii="Palatino Linotype" w:hAnsi="Palatino Linotype"/>
          <w:sz w:val="24"/>
          <w:szCs w:val="24"/>
        </w:rPr>
        <w:t xml:space="preserve"> </w:t>
      </w:r>
      <w:r w:rsidR="009D240D" w:rsidRPr="00E44378">
        <w:rPr>
          <w:rFonts w:ascii="Palatino Linotype" w:hAnsi="Palatino Linotype"/>
          <w:sz w:val="24"/>
          <w:szCs w:val="24"/>
        </w:rPr>
        <w:t xml:space="preserve"> </w:t>
      </w:r>
    </w:p>
    <w:p w14:paraId="09812F1C" w14:textId="2D74F2B8" w:rsidR="004D1189" w:rsidRPr="00E44378" w:rsidRDefault="00F42232"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The annual Massive Open Online Course (MOOC) presented by the Diploma Centre</w:t>
      </w:r>
      <w:r w:rsidR="00584F9E" w:rsidRPr="00E44378">
        <w:rPr>
          <w:rStyle w:val="FootnoteReference"/>
          <w:rFonts w:ascii="Palatino Linotype" w:hAnsi="Palatino Linotype" w:cs="Arial"/>
          <w:sz w:val="24"/>
          <w:szCs w:val="24"/>
        </w:rPr>
        <w:footnoteReference w:id="2"/>
      </w:r>
      <w:r w:rsidRPr="00E44378">
        <w:rPr>
          <w:rFonts w:ascii="Palatino Linotype" w:hAnsi="Palatino Linotype" w:cs="Arial"/>
          <w:sz w:val="24"/>
          <w:szCs w:val="24"/>
        </w:rPr>
        <w:t xml:space="preserve"> embraces the </w:t>
      </w:r>
      <w:r w:rsidR="002B6532" w:rsidRPr="00E44378">
        <w:rPr>
          <w:rFonts w:ascii="Palatino Linotype" w:hAnsi="Palatino Linotype" w:cs="Arial"/>
          <w:sz w:val="24"/>
          <w:szCs w:val="24"/>
        </w:rPr>
        <w:t>Law Society of Ireland (</w:t>
      </w:r>
      <w:r w:rsidR="007F6554" w:rsidRPr="00E44378">
        <w:rPr>
          <w:rFonts w:ascii="Palatino Linotype" w:hAnsi="Palatino Linotype" w:cs="Arial"/>
          <w:sz w:val="24"/>
          <w:szCs w:val="24"/>
          <w:lang w:eastAsia="en-IE"/>
        </w:rPr>
        <w:t>‘the Society’</w:t>
      </w:r>
      <w:r w:rsidR="002B6532" w:rsidRPr="00E44378">
        <w:rPr>
          <w:rFonts w:ascii="Palatino Linotype" w:hAnsi="Palatino Linotype" w:cs="Arial"/>
          <w:sz w:val="24"/>
          <w:szCs w:val="24"/>
        </w:rPr>
        <w:t>)’s</w:t>
      </w:r>
      <w:r w:rsidRPr="00E44378">
        <w:rPr>
          <w:rFonts w:ascii="Palatino Linotype" w:hAnsi="Palatino Linotype" w:cs="Arial"/>
          <w:sz w:val="24"/>
          <w:szCs w:val="24"/>
        </w:rPr>
        <w:t xml:space="preserve"> public interest mission to provide access to legal education and the legal profession. </w:t>
      </w:r>
      <w:r w:rsidR="001A7DEA" w:rsidRPr="00E44378">
        <w:rPr>
          <w:rFonts w:ascii="Palatino Linotype" w:hAnsi="Palatino Linotype" w:cs="Arial"/>
          <w:sz w:val="24"/>
          <w:szCs w:val="24"/>
        </w:rPr>
        <w:t xml:space="preserve">The </w:t>
      </w:r>
      <w:r w:rsidR="007F6554" w:rsidRPr="00E44378">
        <w:rPr>
          <w:rFonts w:ascii="Palatino Linotype" w:hAnsi="Palatino Linotype" w:cs="Arial"/>
          <w:sz w:val="24"/>
          <w:szCs w:val="24"/>
        </w:rPr>
        <w:t xml:space="preserve">Society’s </w:t>
      </w:r>
      <w:r w:rsidR="001A7DEA" w:rsidRPr="00E44378">
        <w:rPr>
          <w:rFonts w:ascii="Palatino Linotype" w:hAnsi="Palatino Linotype" w:cs="Arial"/>
          <w:sz w:val="24"/>
          <w:szCs w:val="24"/>
        </w:rPr>
        <w:t>strategic objectives</w:t>
      </w:r>
      <w:r w:rsidR="001A7DEA" w:rsidRPr="00E44378">
        <w:rPr>
          <w:rStyle w:val="FootnoteReference"/>
          <w:rFonts w:ascii="Palatino Linotype" w:hAnsi="Palatino Linotype" w:cs="Arial"/>
          <w:sz w:val="24"/>
          <w:szCs w:val="24"/>
        </w:rPr>
        <w:footnoteReference w:id="3"/>
      </w:r>
      <w:r w:rsidR="001A7DEA" w:rsidRPr="00E44378">
        <w:rPr>
          <w:rFonts w:ascii="Palatino Linotype" w:hAnsi="Palatino Linotype" w:cs="Arial"/>
          <w:sz w:val="24"/>
          <w:szCs w:val="24"/>
        </w:rPr>
        <w:t xml:space="preserve"> </w:t>
      </w:r>
      <w:r w:rsidR="00031338" w:rsidRPr="00E44378">
        <w:rPr>
          <w:rFonts w:ascii="Palatino Linotype" w:hAnsi="Palatino Linotype" w:cs="Arial"/>
          <w:sz w:val="24"/>
          <w:szCs w:val="24"/>
        </w:rPr>
        <w:t xml:space="preserve">were recently updated to </w:t>
      </w:r>
      <w:r w:rsidR="001A7DEA" w:rsidRPr="00E44378">
        <w:rPr>
          <w:rFonts w:ascii="Palatino Linotype" w:hAnsi="Palatino Linotype" w:cs="Arial"/>
          <w:sz w:val="24"/>
          <w:szCs w:val="24"/>
        </w:rPr>
        <w:t xml:space="preserve">specifically reference </w:t>
      </w:r>
      <w:r w:rsidR="00C02806" w:rsidRPr="00E44378">
        <w:rPr>
          <w:rFonts w:ascii="Palatino Linotype" w:hAnsi="Palatino Linotype" w:cs="Arial"/>
          <w:sz w:val="24"/>
          <w:szCs w:val="24"/>
        </w:rPr>
        <w:t>“</w:t>
      </w:r>
      <w:r w:rsidR="001A7DEA" w:rsidRPr="00E44378">
        <w:rPr>
          <w:rFonts w:ascii="Palatino Linotype" w:hAnsi="Palatino Linotype" w:cs="Arial"/>
          <w:sz w:val="24"/>
          <w:szCs w:val="24"/>
        </w:rPr>
        <w:t>our tradition of engaged citizenship and civic responsibility by promoting legal awareness and encouraging social diversity within the profession…</w:t>
      </w:r>
      <w:r w:rsidR="00DF74B6" w:rsidRPr="00E44378">
        <w:rPr>
          <w:rFonts w:ascii="Palatino Linotype" w:hAnsi="Palatino Linotype" w:cs="Arial"/>
          <w:sz w:val="24"/>
          <w:szCs w:val="24"/>
        </w:rPr>
        <w:t>”</w:t>
      </w:r>
      <w:r w:rsidR="007F6554" w:rsidRPr="00E44378">
        <w:rPr>
          <w:rFonts w:ascii="Palatino Linotype" w:hAnsi="Palatino Linotype" w:cs="Arial"/>
          <w:sz w:val="24"/>
          <w:szCs w:val="24"/>
        </w:rPr>
        <w:t xml:space="preserve"> </w:t>
      </w:r>
      <w:r w:rsidRPr="00E44378">
        <w:rPr>
          <w:rFonts w:ascii="Palatino Linotype" w:hAnsi="Palatino Linotype" w:cs="Arial"/>
          <w:sz w:val="24"/>
          <w:szCs w:val="24"/>
        </w:rPr>
        <w:t xml:space="preserve">To date, the Diploma Centre’s MOOCs have attracted </w:t>
      </w:r>
      <w:r w:rsidR="00DF74B6" w:rsidRPr="00E44378">
        <w:rPr>
          <w:rFonts w:ascii="Palatino Linotype" w:hAnsi="Palatino Linotype" w:cs="Arial"/>
          <w:sz w:val="24"/>
          <w:szCs w:val="24"/>
        </w:rPr>
        <w:t xml:space="preserve">in excess of </w:t>
      </w:r>
      <w:r w:rsidRPr="00E44378">
        <w:rPr>
          <w:rFonts w:ascii="Palatino Linotype" w:hAnsi="Palatino Linotype" w:cs="Arial"/>
          <w:sz w:val="24"/>
          <w:szCs w:val="24"/>
        </w:rPr>
        <w:t>1</w:t>
      </w:r>
      <w:r w:rsidR="00053ED0" w:rsidRPr="00E44378">
        <w:rPr>
          <w:rFonts w:ascii="Palatino Linotype" w:hAnsi="Palatino Linotype" w:cs="Arial"/>
          <w:sz w:val="24"/>
          <w:szCs w:val="24"/>
        </w:rPr>
        <w:t>2</w:t>
      </w:r>
      <w:r w:rsidRPr="00E44378">
        <w:rPr>
          <w:rFonts w:ascii="Palatino Linotype" w:hAnsi="Palatino Linotype" w:cs="Arial"/>
          <w:sz w:val="24"/>
          <w:szCs w:val="24"/>
        </w:rPr>
        <w:t xml:space="preserve">,000 </w:t>
      </w:r>
      <w:r w:rsidR="00053ED0" w:rsidRPr="00E44378">
        <w:rPr>
          <w:rFonts w:ascii="Palatino Linotype" w:hAnsi="Palatino Linotype" w:cs="Arial"/>
          <w:sz w:val="24"/>
          <w:szCs w:val="24"/>
        </w:rPr>
        <w:t xml:space="preserve">registrants </w:t>
      </w:r>
      <w:r w:rsidRPr="00E44378">
        <w:rPr>
          <w:rFonts w:ascii="Palatino Linotype" w:hAnsi="Palatino Linotype" w:cs="Arial"/>
          <w:sz w:val="24"/>
          <w:szCs w:val="24"/>
        </w:rPr>
        <w:t xml:space="preserve">from over </w:t>
      </w:r>
      <w:r w:rsidR="00055F8A" w:rsidRPr="00E44378">
        <w:rPr>
          <w:rFonts w:ascii="Palatino Linotype" w:hAnsi="Palatino Linotype" w:cs="Arial"/>
          <w:sz w:val="24"/>
          <w:szCs w:val="24"/>
        </w:rPr>
        <w:t>7</w:t>
      </w:r>
      <w:r w:rsidRPr="00E44378">
        <w:rPr>
          <w:rFonts w:ascii="Palatino Linotype" w:hAnsi="Palatino Linotype" w:cs="Arial"/>
          <w:sz w:val="24"/>
          <w:szCs w:val="24"/>
        </w:rPr>
        <w:t>0 countries.</w:t>
      </w:r>
      <w:r w:rsidRPr="00E44378">
        <w:rPr>
          <w:rFonts w:ascii="Palatino Linotype" w:hAnsi="Palatino Linotype" w:cs="Arial"/>
          <w:b/>
          <w:sz w:val="24"/>
          <w:szCs w:val="24"/>
        </w:rPr>
        <w:t xml:space="preserve"> </w:t>
      </w:r>
      <w:r w:rsidRPr="00E44378">
        <w:rPr>
          <w:rFonts w:ascii="Palatino Linotype" w:hAnsi="Palatino Linotype" w:cs="Arial"/>
          <w:sz w:val="24"/>
          <w:szCs w:val="24"/>
        </w:rPr>
        <w:t>The core aim for the MOOCs is to design and deliver a course that fits with the Law Society’s mission to widen access</w:t>
      </w:r>
      <w:r w:rsidR="00CD7C53" w:rsidRPr="00E44378">
        <w:rPr>
          <w:rFonts w:ascii="Palatino Linotype" w:hAnsi="Palatino Linotype" w:cs="Arial"/>
          <w:sz w:val="24"/>
          <w:szCs w:val="24"/>
        </w:rPr>
        <w:t xml:space="preserve"> to legal education</w:t>
      </w:r>
      <w:r w:rsidRPr="00E44378">
        <w:rPr>
          <w:rFonts w:ascii="Palatino Linotype" w:hAnsi="Palatino Linotype" w:cs="Arial"/>
          <w:sz w:val="24"/>
          <w:szCs w:val="24"/>
        </w:rPr>
        <w:t xml:space="preserve">, i.e. a course that is easily accessible and free for everyone. </w:t>
      </w:r>
    </w:p>
    <w:p w14:paraId="5C840627" w14:textId="5C4A46B6" w:rsidR="004D1189" w:rsidRPr="00E44378" w:rsidRDefault="004D1189" w:rsidP="00E44378">
      <w:pPr>
        <w:spacing w:after="160" w:line="480" w:lineRule="auto"/>
        <w:jc w:val="both"/>
        <w:rPr>
          <w:rFonts w:ascii="Palatino Linotype" w:eastAsia="Calibri" w:hAnsi="Palatino Linotype" w:cs="Calibri"/>
          <w:sz w:val="24"/>
          <w:szCs w:val="24"/>
          <w:u w:color="000000"/>
        </w:rPr>
      </w:pPr>
      <w:r w:rsidRPr="00E44378">
        <w:rPr>
          <w:rFonts w:ascii="Palatino Linotype" w:eastAsia="Calibri" w:hAnsi="Palatino Linotype" w:cs="Calibri"/>
          <w:sz w:val="24"/>
          <w:szCs w:val="24"/>
          <w:u w:color="000000"/>
        </w:rPr>
        <w:t xml:space="preserve">The core structure of our MOOCs has stayed broadly similar </w:t>
      </w:r>
      <w:r w:rsidR="00DF74B6" w:rsidRPr="00E44378">
        <w:rPr>
          <w:rFonts w:ascii="Palatino Linotype" w:hAnsi="Palatino Linotype" w:cs="Arial"/>
          <w:sz w:val="24"/>
          <w:szCs w:val="24"/>
        </w:rPr>
        <w:t>since they first launched in 2014</w:t>
      </w:r>
      <w:r w:rsidRPr="00E44378">
        <w:rPr>
          <w:rFonts w:ascii="Palatino Linotype" w:eastAsia="Calibri" w:hAnsi="Palatino Linotype" w:cs="Calibri"/>
          <w:sz w:val="24"/>
          <w:szCs w:val="24"/>
          <w:u w:color="000000"/>
        </w:rPr>
        <w:t xml:space="preserve">. Our approach is to deliver an education programme over five weeks consisting of a weekly module release. The main learning resources consist of the weekly release of a set of video recordings on the weekly topic supplemented by further reading and discussion forum threads. </w:t>
      </w:r>
      <w:r w:rsidRPr="00E44378">
        <w:rPr>
          <w:rFonts w:ascii="Palatino Linotype" w:hAnsi="Palatino Linotype"/>
          <w:sz w:val="24"/>
          <w:szCs w:val="24"/>
        </w:rPr>
        <w:t xml:space="preserve">From an educational design point of view, the modules are structured to encourage peer-to-peer learning, fostering online engagement on the course forum as a means to enhancing the learning experience and </w:t>
      </w:r>
      <w:r w:rsidRPr="00E44378">
        <w:rPr>
          <w:rFonts w:ascii="Palatino Linotype" w:hAnsi="Palatino Linotype"/>
          <w:sz w:val="24"/>
          <w:szCs w:val="24"/>
        </w:rPr>
        <w:lastRenderedPageBreak/>
        <w:t xml:space="preserve">encourage </w:t>
      </w:r>
      <w:r w:rsidR="00DF74B6" w:rsidRPr="00E44378">
        <w:rPr>
          <w:rFonts w:ascii="Palatino Linotype" w:hAnsi="Palatino Linotype"/>
          <w:sz w:val="24"/>
          <w:szCs w:val="24"/>
        </w:rPr>
        <w:t xml:space="preserve">the development of a </w:t>
      </w:r>
      <w:r w:rsidRPr="00E44378">
        <w:rPr>
          <w:rFonts w:ascii="Palatino Linotype" w:hAnsi="Palatino Linotype"/>
          <w:sz w:val="24"/>
          <w:szCs w:val="24"/>
        </w:rPr>
        <w:t xml:space="preserve">community of practice. </w:t>
      </w:r>
      <w:r w:rsidRPr="00E44378">
        <w:rPr>
          <w:rFonts w:ascii="Palatino Linotype" w:hAnsi="Palatino Linotype" w:cs="Arial"/>
          <w:sz w:val="24"/>
          <w:szCs w:val="24"/>
        </w:rPr>
        <w:t xml:space="preserve">Course delivery emphasises a hands-on practical learning approach, with clear learning outcomes outlined for each module and a comprehensive video introduction curated by the team at the outset of each week. </w:t>
      </w:r>
      <w:r w:rsidRPr="00E44378">
        <w:rPr>
          <w:rFonts w:ascii="Palatino Linotype" w:eastAsia="Calibri" w:hAnsi="Palatino Linotype" w:cs="Calibri"/>
          <w:sz w:val="24"/>
          <w:szCs w:val="24"/>
          <w:u w:color="000000"/>
        </w:rPr>
        <w:t>Later in the week, there is an opportunity for real time engagement with an expert through an online Q</w:t>
      </w:r>
      <w:r w:rsidR="00F22B58" w:rsidRPr="00E44378">
        <w:rPr>
          <w:rFonts w:ascii="Palatino Linotype" w:eastAsia="Calibri" w:hAnsi="Palatino Linotype" w:cs="Calibri"/>
          <w:sz w:val="24"/>
          <w:szCs w:val="24"/>
          <w:u w:color="000000"/>
        </w:rPr>
        <w:t xml:space="preserve">uestion </w:t>
      </w:r>
      <w:r w:rsidRPr="00E44378">
        <w:rPr>
          <w:rFonts w:ascii="Palatino Linotype" w:eastAsia="Calibri" w:hAnsi="Palatino Linotype" w:cs="Calibri"/>
          <w:sz w:val="24"/>
          <w:szCs w:val="24"/>
          <w:u w:color="000000"/>
        </w:rPr>
        <w:t>&amp;A</w:t>
      </w:r>
      <w:r w:rsidR="00F22B58" w:rsidRPr="00E44378">
        <w:rPr>
          <w:rFonts w:ascii="Palatino Linotype" w:eastAsia="Calibri" w:hAnsi="Palatino Linotype" w:cs="Calibri"/>
          <w:sz w:val="24"/>
          <w:szCs w:val="24"/>
          <w:u w:color="000000"/>
        </w:rPr>
        <w:t>nswer session</w:t>
      </w:r>
      <w:r w:rsidRPr="00E44378">
        <w:rPr>
          <w:rFonts w:ascii="Palatino Linotype" w:eastAsia="Calibri" w:hAnsi="Palatino Linotype" w:cs="Calibri"/>
          <w:sz w:val="24"/>
          <w:szCs w:val="24"/>
          <w:u w:color="000000"/>
        </w:rPr>
        <w:t xml:space="preserve">. Each weekly module is then bookended by a </w:t>
      </w:r>
      <w:r w:rsidR="00DF74B6" w:rsidRPr="00E44378">
        <w:rPr>
          <w:rFonts w:ascii="Palatino Linotype" w:eastAsia="Calibri" w:hAnsi="Palatino Linotype" w:cs="Calibri"/>
          <w:sz w:val="24"/>
          <w:szCs w:val="24"/>
          <w:u w:color="000000"/>
        </w:rPr>
        <w:t xml:space="preserve">self-assessed </w:t>
      </w:r>
      <w:r w:rsidRPr="00E44378">
        <w:rPr>
          <w:rFonts w:ascii="Palatino Linotype" w:eastAsia="Calibri" w:hAnsi="Palatino Linotype" w:cs="Calibri"/>
          <w:sz w:val="24"/>
          <w:szCs w:val="24"/>
          <w:u w:color="000000"/>
        </w:rPr>
        <w:t>multiple-choice quiz (MCQ)</w:t>
      </w:r>
      <w:r w:rsidR="00DF74B6" w:rsidRPr="00E44378">
        <w:rPr>
          <w:rFonts w:ascii="Palatino Linotype" w:eastAsia="Calibri" w:hAnsi="Palatino Linotype" w:cs="Calibri"/>
          <w:sz w:val="24"/>
          <w:szCs w:val="24"/>
          <w:u w:color="000000"/>
        </w:rPr>
        <w:t>.</w:t>
      </w:r>
    </w:p>
    <w:p w14:paraId="34AA3AA1" w14:textId="43F711DA" w:rsidR="003B1C91" w:rsidRPr="00E44378" w:rsidRDefault="007F3FAA" w:rsidP="00E44378">
      <w:pPr>
        <w:spacing w:after="160" w:line="480" w:lineRule="auto"/>
        <w:jc w:val="both"/>
        <w:rPr>
          <w:rFonts w:ascii="Palatino Linotype" w:hAnsi="Palatino Linotype" w:cs="Arial"/>
          <w:sz w:val="24"/>
          <w:szCs w:val="24"/>
        </w:rPr>
      </w:pPr>
      <w:r w:rsidRPr="00E44378">
        <w:rPr>
          <w:rFonts w:ascii="Palatino Linotype" w:eastAsia="Calibri" w:hAnsi="Palatino Linotype" w:cs="Calibri"/>
          <w:sz w:val="24"/>
          <w:szCs w:val="24"/>
          <w:u w:color="000000"/>
        </w:rPr>
        <w:t xml:space="preserve">In terms of </w:t>
      </w:r>
      <w:r w:rsidR="001B3663" w:rsidRPr="00E44378">
        <w:rPr>
          <w:rFonts w:ascii="Palatino Linotype" w:eastAsia="Calibri" w:hAnsi="Palatino Linotype" w:cs="Calibri"/>
          <w:sz w:val="24"/>
          <w:szCs w:val="24"/>
          <w:u w:color="000000"/>
        </w:rPr>
        <w:t xml:space="preserve">the </w:t>
      </w:r>
      <w:r w:rsidRPr="00E44378">
        <w:rPr>
          <w:rFonts w:ascii="Palatino Linotype" w:eastAsia="Calibri" w:hAnsi="Palatino Linotype" w:cs="Calibri"/>
          <w:sz w:val="24"/>
          <w:szCs w:val="24"/>
          <w:u w:color="000000"/>
        </w:rPr>
        <w:t xml:space="preserve">demographic profile </w:t>
      </w:r>
      <w:r w:rsidR="001B3663" w:rsidRPr="00E44378">
        <w:rPr>
          <w:rFonts w:ascii="Palatino Linotype" w:eastAsia="Calibri" w:hAnsi="Palatino Linotype" w:cs="Calibri"/>
          <w:sz w:val="24"/>
          <w:szCs w:val="24"/>
          <w:u w:color="000000"/>
        </w:rPr>
        <w:t xml:space="preserve">of our participants </w:t>
      </w:r>
      <w:r w:rsidRPr="00E44378">
        <w:rPr>
          <w:rFonts w:ascii="Palatino Linotype" w:eastAsia="Calibri" w:hAnsi="Palatino Linotype" w:cs="Calibri"/>
          <w:sz w:val="24"/>
          <w:szCs w:val="24"/>
          <w:u w:color="000000"/>
        </w:rPr>
        <w:t>o</w:t>
      </w:r>
      <w:r w:rsidR="003B1C91" w:rsidRPr="00E44378">
        <w:rPr>
          <w:rFonts w:ascii="Palatino Linotype" w:eastAsia="Calibri" w:hAnsi="Palatino Linotype" w:cs="Calibri"/>
          <w:sz w:val="24"/>
          <w:szCs w:val="24"/>
          <w:u w:color="000000"/>
        </w:rPr>
        <w:t>ver 50 per cent are educated to p</w:t>
      </w:r>
      <w:r w:rsidR="001B3663" w:rsidRPr="00E44378">
        <w:rPr>
          <w:rFonts w:ascii="Palatino Linotype" w:eastAsia="Calibri" w:hAnsi="Palatino Linotype" w:cs="Calibri"/>
          <w:sz w:val="24"/>
          <w:szCs w:val="24"/>
          <w:u w:color="000000"/>
        </w:rPr>
        <w:t>ostgraduate level or</w:t>
      </w:r>
      <w:r w:rsidR="003B1C91" w:rsidRPr="00E44378">
        <w:rPr>
          <w:rFonts w:ascii="Palatino Linotype" w:eastAsia="Calibri" w:hAnsi="Palatino Linotype" w:cs="Calibri"/>
          <w:sz w:val="24"/>
          <w:szCs w:val="24"/>
          <w:u w:color="000000"/>
        </w:rPr>
        <w:t xml:space="preserve"> above, w</w:t>
      </w:r>
      <w:r w:rsidR="001B3663" w:rsidRPr="00E44378">
        <w:rPr>
          <w:rFonts w:ascii="Palatino Linotype" w:eastAsia="Calibri" w:hAnsi="Palatino Linotype" w:cs="Calibri"/>
          <w:sz w:val="24"/>
          <w:szCs w:val="24"/>
          <w:u w:color="000000"/>
        </w:rPr>
        <w:t>ith</w:t>
      </w:r>
      <w:r w:rsidR="003B1C91" w:rsidRPr="00E44378">
        <w:rPr>
          <w:rFonts w:ascii="Palatino Linotype" w:eastAsia="Calibri" w:hAnsi="Palatino Linotype" w:cs="Calibri"/>
          <w:sz w:val="24"/>
          <w:szCs w:val="24"/>
          <w:u w:color="000000"/>
        </w:rPr>
        <w:t xml:space="preserve"> a further 32 per cent </w:t>
      </w:r>
      <w:r w:rsidRPr="00E44378">
        <w:rPr>
          <w:rFonts w:ascii="Palatino Linotype" w:eastAsia="Calibri" w:hAnsi="Palatino Linotype" w:cs="Calibri"/>
          <w:sz w:val="24"/>
          <w:szCs w:val="24"/>
          <w:u w:color="000000"/>
        </w:rPr>
        <w:t>hold</w:t>
      </w:r>
      <w:r w:rsidR="001B3663" w:rsidRPr="00E44378">
        <w:rPr>
          <w:rFonts w:ascii="Palatino Linotype" w:eastAsia="Calibri" w:hAnsi="Palatino Linotype" w:cs="Calibri"/>
          <w:sz w:val="24"/>
          <w:szCs w:val="24"/>
          <w:u w:color="000000"/>
        </w:rPr>
        <w:t>ing</w:t>
      </w:r>
      <w:r w:rsidRPr="00E44378">
        <w:rPr>
          <w:rFonts w:ascii="Palatino Linotype" w:eastAsia="Calibri" w:hAnsi="Palatino Linotype" w:cs="Calibri"/>
          <w:sz w:val="24"/>
          <w:szCs w:val="24"/>
          <w:u w:color="000000"/>
        </w:rPr>
        <w:t xml:space="preserve"> undergraduate degrees</w:t>
      </w:r>
      <w:r w:rsidR="003B1C91" w:rsidRPr="00E44378">
        <w:rPr>
          <w:rFonts w:ascii="Palatino Linotype" w:eastAsia="Calibri" w:hAnsi="Palatino Linotype" w:cs="Calibri"/>
          <w:sz w:val="24"/>
          <w:szCs w:val="24"/>
          <w:u w:color="000000"/>
        </w:rPr>
        <w:t xml:space="preserve">. </w:t>
      </w:r>
      <w:r w:rsidR="002B3A5F" w:rsidRPr="00E44378">
        <w:rPr>
          <w:rFonts w:ascii="Palatino Linotype" w:eastAsia="Calibri" w:hAnsi="Palatino Linotype" w:cs="Calibri"/>
          <w:sz w:val="24"/>
          <w:szCs w:val="24"/>
          <w:u w:color="000000"/>
        </w:rPr>
        <w:t xml:space="preserve">Students from a legal background accounted for 37 per cent of the total participants of MOOC courses between 2016 and 2018. </w:t>
      </w:r>
      <w:r w:rsidR="001B3663" w:rsidRPr="00E44378">
        <w:rPr>
          <w:rFonts w:ascii="Palatino Linotype" w:eastAsia="Calibri" w:hAnsi="Palatino Linotype" w:cs="Calibri"/>
          <w:sz w:val="24"/>
          <w:szCs w:val="24"/>
          <w:u w:color="000000"/>
        </w:rPr>
        <w:t>A</w:t>
      </w:r>
      <w:r w:rsidRPr="00E44378">
        <w:rPr>
          <w:rFonts w:ascii="Palatino Linotype" w:eastAsia="Calibri" w:hAnsi="Palatino Linotype" w:cs="Calibri"/>
          <w:sz w:val="24"/>
          <w:szCs w:val="24"/>
          <w:u w:color="000000"/>
        </w:rPr>
        <w:t>lthough participants are predominantly based in Ireland, the percentage of international students has increased each year to a rec</w:t>
      </w:r>
      <w:r w:rsidR="001B3663" w:rsidRPr="00E44378">
        <w:rPr>
          <w:rFonts w:ascii="Palatino Linotype" w:eastAsia="Calibri" w:hAnsi="Palatino Linotype" w:cs="Calibri"/>
          <w:sz w:val="24"/>
          <w:szCs w:val="24"/>
          <w:u w:color="000000"/>
        </w:rPr>
        <w:t>ord</w:t>
      </w:r>
      <w:r w:rsidRPr="00E44378">
        <w:rPr>
          <w:rFonts w:ascii="Palatino Linotype" w:eastAsia="Calibri" w:hAnsi="Palatino Linotype" w:cs="Calibri"/>
          <w:sz w:val="24"/>
          <w:szCs w:val="24"/>
          <w:u w:color="000000"/>
        </w:rPr>
        <w:t xml:space="preserve"> high of 13 per cent in 2018</w:t>
      </w:r>
      <w:r w:rsidRPr="00E44378">
        <w:rPr>
          <w:rStyle w:val="FootnoteReference"/>
          <w:rFonts w:ascii="Palatino Linotype" w:eastAsia="Calibri" w:hAnsi="Palatino Linotype" w:cs="Calibri"/>
          <w:sz w:val="24"/>
          <w:szCs w:val="24"/>
          <w:u w:color="000000"/>
        </w:rPr>
        <w:footnoteReference w:id="4"/>
      </w:r>
      <w:r w:rsidRPr="00E44378">
        <w:rPr>
          <w:rFonts w:ascii="Palatino Linotype" w:eastAsia="Calibri" w:hAnsi="Palatino Linotype" w:cs="Calibri"/>
          <w:sz w:val="24"/>
          <w:szCs w:val="24"/>
          <w:u w:color="000000"/>
        </w:rPr>
        <w:t xml:space="preserve">.  </w:t>
      </w:r>
    </w:p>
    <w:p w14:paraId="3301783A" w14:textId="3BF90D67" w:rsidR="00F42232" w:rsidRPr="00E44378" w:rsidRDefault="00F42232"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 xml:space="preserve">MOOCs provide individuals and businesses with a greater understanding of the law, and also provide educational value while highlighting a commitment to embrace technology and </w:t>
      </w:r>
      <w:r w:rsidR="000645BC" w:rsidRPr="00E44378">
        <w:rPr>
          <w:rFonts w:ascii="Palatino Linotype" w:hAnsi="Palatino Linotype" w:cs="Arial"/>
          <w:sz w:val="24"/>
          <w:szCs w:val="24"/>
        </w:rPr>
        <w:t>provide</w:t>
      </w:r>
      <w:r w:rsidRPr="00E44378">
        <w:rPr>
          <w:rFonts w:ascii="Palatino Linotype" w:hAnsi="Palatino Linotype" w:cs="Arial"/>
          <w:sz w:val="24"/>
          <w:szCs w:val="24"/>
        </w:rPr>
        <w:t xml:space="preserve"> public legal education online.</w:t>
      </w:r>
      <w:r w:rsidR="00837C32" w:rsidRPr="00E44378">
        <w:rPr>
          <w:rFonts w:ascii="Palatino Linotype" w:hAnsi="Palatino Linotype" w:cs="Arial"/>
          <w:sz w:val="24"/>
          <w:szCs w:val="24"/>
        </w:rPr>
        <w:t xml:space="preserve"> This article explores the positive opportunity MOOCs provide for a professional </w:t>
      </w:r>
      <w:r w:rsidR="00CB5725" w:rsidRPr="00E44378">
        <w:rPr>
          <w:rFonts w:ascii="Palatino Linotype" w:hAnsi="Palatino Linotype" w:cs="Arial"/>
          <w:sz w:val="24"/>
          <w:szCs w:val="24"/>
        </w:rPr>
        <w:t xml:space="preserve">representative and educational </w:t>
      </w:r>
      <w:r w:rsidR="00837C32" w:rsidRPr="00E44378">
        <w:rPr>
          <w:rFonts w:ascii="Palatino Linotype" w:hAnsi="Palatino Linotype" w:cs="Arial"/>
          <w:sz w:val="24"/>
          <w:szCs w:val="24"/>
        </w:rPr>
        <w:t xml:space="preserve">body such as the </w:t>
      </w:r>
      <w:r w:rsidR="007F6554" w:rsidRPr="00E44378">
        <w:rPr>
          <w:rFonts w:ascii="Palatino Linotype" w:hAnsi="Palatino Linotype" w:cs="Arial"/>
          <w:sz w:val="24"/>
          <w:szCs w:val="24"/>
        </w:rPr>
        <w:t xml:space="preserve">Law Society of Ireland </w:t>
      </w:r>
      <w:r w:rsidR="00837C32" w:rsidRPr="00E44378">
        <w:rPr>
          <w:rFonts w:ascii="Palatino Linotype" w:hAnsi="Palatino Linotype" w:cs="Arial"/>
          <w:sz w:val="24"/>
          <w:szCs w:val="24"/>
        </w:rPr>
        <w:t>to open up legal education and to welcome the public; thus increasing overall knowledge and understanding of the law.</w:t>
      </w:r>
    </w:p>
    <w:p w14:paraId="643C62DA" w14:textId="53D07113" w:rsidR="0062114A" w:rsidRPr="00E44378" w:rsidRDefault="005F762B" w:rsidP="00E44378">
      <w:pPr>
        <w:pStyle w:val="Heading2"/>
        <w:numPr>
          <w:ilvl w:val="0"/>
          <w:numId w:val="37"/>
        </w:numPr>
        <w:spacing w:after="160" w:line="480" w:lineRule="auto"/>
        <w:rPr>
          <w:rFonts w:ascii="Palatino Linotype" w:hAnsi="Palatino Linotype"/>
          <w:sz w:val="24"/>
          <w:szCs w:val="24"/>
        </w:rPr>
      </w:pPr>
      <w:r w:rsidRPr="00E44378">
        <w:rPr>
          <w:rFonts w:ascii="Palatino Linotype" w:hAnsi="Palatino Linotype"/>
          <w:sz w:val="24"/>
          <w:szCs w:val="24"/>
        </w:rPr>
        <w:lastRenderedPageBreak/>
        <w:t>What is</w:t>
      </w:r>
      <w:r w:rsidR="0062114A" w:rsidRPr="00E44378">
        <w:rPr>
          <w:rFonts w:ascii="Palatino Linotype" w:hAnsi="Palatino Linotype"/>
          <w:sz w:val="24"/>
          <w:szCs w:val="24"/>
        </w:rPr>
        <w:t xml:space="preserve"> </w:t>
      </w:r>
      <w:r w:rsidR="00031338" w:rsidRPr="00E44378">
        <w:rPr>
          <w:rFonts w:ascii="Palatino Linotype" w:hAnsi="Palatino Linotype"/>
          <w:sz w:val="24"/>
          <w:szCs w:val="24"/>
        </w:rPr>
        <w:t>Public Legal Education</w:t>
      </w:r>
      <w:r w:rsidRPr="00E44378">
        <w:rPr>
          <w:rFonts w:ascii="Palatino Linotype" w:hAnsi="Palatino Linotype"/>
          <w:sz w:val="24"/>
          <w:szCs w:val="24"/>
        </w:rPr>
        <w:t>?</w:t>
      </w:r>
    </w:p>
    <w:p w14:paraId="671B0312" w14:textId="161AC18B" w:rsidR="000726D5" w:rsidRPr="00E44378" w:rsidRDefault="00AA42F1"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Public Legal Education (</w:t>
      </w:r>
      <w:r w:rsidR="000726D5" w:rsidRPr="00E44378">
        <w:rPr>
          <w:rFonts w:ascii="Palatino Linotype" w:hAnsi="Palatino Linotype" w:cs="Arial"/>
          <w:sz w:val="24"/>
          <w:szCs w:val="24"/>
        </w:rPr>
        <w:t>PLE</w:t>
      </w:r>
      <w:r w:rsidRPr="00E44378">
        <w:rPr>
          <w:rFonts w:ascii="Palatino Linotype" w:hAnsi="Palatino Linotype" w:cs="Arial"/>
          <w:sz w:val="24"/>
          <w:szCs w:val="24"/>
        </w:rPr>
        <w:t>)</w:t>
      </w:r>
      <w:r w:rsidR="00405538" w:rsidRPr="00E44378">
        <w:rPr>
          <w:rFonts w:ascii="Palatino Linotype" w:hAnsi="Palatino Linotype" w:cs="Arial"/>
          <w:sz w:val="24"/>
          <w:szCs w:val="24"/>
        </w:rPr>
        <w:t xml:space="preserve"> covers a wide range of activities aimed at empowering participants and increasing their confidence and capability to deal with </w:t>
      </w:r>
      <w:r w:rsidR="00934F93" w:rsidRPr="00E44378">
        <w:rPr>
          <w:rFonts w:ascii="Palatino Linotype" w:hAnsi="Palatino Linotype" w:cs="Arial"/>
          <w:sz w:val="24"/>
          <w:szCs w:val="24"/>
        </w:rPr>
        <w:t>law-</w:t>
      </w:r>
      <w:r w:rsidR="00405538" w:rsidRPr="00E44378">
        <w:rPr>
          <w:rFonts w:ascii="Palatino Linotype" w:hAnsi="Palatino Linotype" w:cs="Arial"/>
          <w:sz w:val="24"/>
          <w:szCs w:val="24"/>
        </w:rPr>
        <w:t xml:space="preserve">related </w:t>
      </w:r>
      <w:r w:rsidR="000726D5" w:rsidRPr="00E44378">
        <w:rPr>
          <w:rFonts w:ascii="Palatino Linotype" w:hAnsi="Palatino Linotype" w:cs="Arial"/>
          <w:sz w:val="24"/>
          <w:szCs w:val="24"/>
        </w:rPr>
        <w:t>issues</w:t>
      </w:r>
      <w:r w:rsidR="00405538" w:rsidRPr="00E44378">
        <w:rPr>
          <w:rStyle w:val="FootnoteReference"/>
          <w:rFonts w:ascii="Palatino Linotype" w:hAnsi="Palatino Linotype" w:cs="Arial"/>
          <w:sz w:val="24"/>
          <w:szCs w:val="24"/>
        </w:rPr>
        <w:footnoteReference w:id="5"/>
      </w:r>
      <w:r w:rsidRPr="00E44378">
        <w:rPr>
          <w:rFonts w:ascii="Palatino Linotype" w:hAnsi="Palatino Linotype" w:cs="Arial"/>
          <w:sz w:val="24"/>
          <w:szCs w:val="24"/>
        </w:rPr>
        <w:t>.</w:t>
      </w:r>
      <w:r w:rsidR="00405538" w:rsidRPr="00E44378">
        <w:rPr>
          <w:rFonts w:ascii="Palatino Linotype" w:hAnsi="Palatino Linotype" w:cs="Arial"/>
          <w:sz w:val="24"/>
          <w:szCs w:val="24"/>
        </w:rPr>
        <w:t xml:space="preserve"> </w:t>
      </w:r>
      <w:r w:rsidR="000726D5" w:rsidRPr="00E44378">
        <w:rPr>
          <w:rFonts w:ascii="Palatino Linotype" w:hAnsi="Palatino Linotype" w:cs="Arial"/>
          <w:sz w:val="24"/>
          <w:szCs w:val="24"/>
        </w:rPr>
        <w:t>PLE is provided worldwide in many different guises and by a myriad of organisations</w:t>
      </w:r>
      <w:r w:rsidRPr="00E44378">
        <w:rPr>
          <w:rFonts w:ascii="Palatino Linotype" w:hAnsi="Palatino Linotype" w:cs="Arial"/>
          <w:sz w:val="24"/>
          <w:szCs w:val="24"/>
        </w:rPr>
        <w:t>,</w:t>
      </w:r>
      <w:r w:rsidR="000726D5" w:rsidRPr="00E44378">
        <w:rPr>
          <w:rFonts w:ascii="Palatino Linotype" w:hAnsi="Palatino Linotype" w:cs="Arial"/>
          <w:sz w:val="24"/>
          <w:szCs w:val="24"/>
        </w:rPr>
        <w:t xml:space="preserve"> from state and private organisations to volunteer entities and universities. In many countries, such as </w:t>
      </w:r>
      <w:r w:rsidR="00055F8A" w:rsidRPr="00E44378">
        <w:rPr>
          <w:rFonts w:ascii="Palatino Linotype" w:hAnsi="Palatino Linotype" w:cs="Arial"/>
          <w:sz w:val="24"/>
          <w:szCs w:val="24"/>
        </w:rPr>
        <w:t xml:space="preserve">the </w:t>
      </w:r>
      <w:r w:rsidR="000726D5" w:rsidRPr="00E44378">
        <w:rPr>
          <w:rFonts w:ascii="Palatino Linotype" w:hAnsi="Palatino Linotype" w:cs="Arial"/>
          <w:sz w:val="24"/>
          <w:szCs w:val="24"/>
        </w:rPr>
        <w:t>UK, Canada, and the US</w:t>
      </w:r>
      <w:r w:rsidR="00094232" w:rsidRPr="00E44378">
        <w:rPr>
          <w:rFonts w:ascii="Palatino Linotype" w:hAnsi="Palatino Linotype" w:cs="Arial"/>
          <w:sz w:val="24"/>
          <w:szCs w:val="24"/>
        </w:rPr>
        <w:t>A</w:t>
      </w:r>
      <w:r w:rsidR="000726D5" w:rsidRPr="00E44378">
        <w:rPr>
          <w:rFonts w:ascii="Palatino Linotype" w:hAnsi="Palatino Linotype" w:cs="Arial"/>
          <w:sz w:val="24"/>
          <w:szCs w:val="24"/>
        </w:rPr>
        <w:t xml:space="preserve">, PLE is closely aligned to access to justice and encouraging the public to increase their confidence and empower them to deal with </w:t>
      </w:r>
      <w:r w:rsidR="00934F93" w:rsidRPr="00E44378">
        <w:rPr>
          <w:rFonts w:ascii="Palatino Linotype" w:hAnsi="Palatino Linotype" w:cs="Arial"/>
          <w:sz w:val="24"/>
          <w:szCs w:val="24"/>
        </w:rPr>
        <w:t>law-</w:t>
      </w:r>
      <w:r w:rsidR="000726D5" w:rsidRPr="00E44378">
        <w:rPr>
          <w:rFonts w:ascii="Palatino Linotype" w:hAnsi="Palatino Linotype" w:cs="Arial"/>
          <w:sz w:val="24"/>
          <w:szCs w:val="24"/>
        </w:rPr>
        <w:t>related issues. In this process, the increasing legal literacy levels contribute to enhancing access to justice more generally</w:t>
      </w:r>
      <w:r w:rsidR="00B947CE" w:rsidRPr="00E44378">
        <w:rPr>
          <w:rStyle w:val="FootnoteReference"/>
          <w:rFonts w:ascii="Palatino Linotype" w:hAnsi="Palatino Linotype" w:cs="Arial"/>
          <w:sz w:val="24"/>
          <w:szCs w:val="24"/>
        </w:rPr>
        <w:footnoteReference w:id="6"/>
      </w:r>
      <w:r w:rsidR="000726D5" w:rsidRPr="00E44378">
        <w:rPr>
          <w:rFonts w:ascii="Palatino Linotype" w:hAnsi="Palatino Linotype" w:cs="Arial"/>
          <w:sz w:val="24"/>
          <w:szCs w:val="24"/>
        </w:rPr>
        <w:t xml:space="preserve">. </w:t>
      </w:r>
    </w:p>
    <w:p w14:paraId="459A1A8D" w14:textId="7E853822" w:rsidR="00AA42F1" w:rsidRPr="00E44378" w:rsidRDefault="00210C76"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 xml:space="preserve">The breadth of PLE initiatives globally and the various modalities employed make it somewhat amorphous and difficult to define. </w:t>
      </w:r>
      <w:r w:rsidRPr="00E44378">
        <w:rPr>
          <w:rFonts w:ascii="Palatino Linotype" w:eastAsia="Times New Roman" w:hAnsi="Palatino Linotype" w:cs="Times New Roman"/>
          <w:sz w:val="24"/>
          <w:szCs w:val="24"/>
          <w:lang w:eastAsia="en-IE"/>
        </w:rPr>
        <w:t>One important factor to emphasise particularly</w:t>
      </w:r>
      <w:r w:rsidR="00055F8A" w:rsidRPr="00E44378">
        <w:rPr>
          <w:rFonts w:ascii="Palatino Linotype" w:eastAsia="Times New Roman" w:hAnsi="Palatino Linotype" w:cs="Times New Roman"/>
          <w:sz w:val="24"/>
          <w:szCs w:val="24"/>
          <w:lang w:eastAsia="en-IE"/>
        </w:rPr>
        <w:t>,</w:t>
      </w:r>
      <w:r w:rsidRPr="00E44378">
        <w:rPr>
          <w:rFonts w:ascii="Palatino Linotype" w:eastAsia="Times New Roman" w:hAnsi="Palatino Linotype" w:cs="Times New Roman"/>
          <w:sz w:val="24"/>
          <w:szCs w:val="24"/>
          <w:lang w:eastAsia="en-IE"/>
        </w:rPr>
        <w:t xml:space="preserve"> bearing in mind that the </w:t>
      </w:r>
      <w:r w:rsidR="007F6554" w:rsidRPr="00E44378">
        <w:rPr>
          <w:rFonts w:ascii="Palatino Linotype" w:eastAsia="Times New Roman" w:hAnsi="Palatino Linotype" w:cs="Times New Roman"/>
          <w:sz w:val="24"/>
          <w:szCs w:val="24"/>
          <w:lang w:eastAsia="en-IE"/>
        </w:rPr>
        <w:t xml:space="preserve">Society </w:t>
      </w:r>
      <w:r w:rsidRPr="00E44378">
        <w:rPr>
          <w:rFonts w:ascii="Palatino Linotype" w:eastAsia="Times New Roman" w:hAnsi="Palatino Linotype" w:cs="Times New Roman"/>
          <w:sz w:val="24"/>
          <w:szCs w:val="24"/>
          <w:lang w:eastAsia="en-IE"/>
        </w:rPr>
        <w:t xml:space="preserve">is </w:t>
      </w:r>
      <w:r w:rsidR="007F6554" w:rsidRPr="00E44378">
        <w:rPr>
          <w:rFonts w:ascii="Palatino Linotype" w:eastAsia="Times New Roman" w:hAnsi="Palatino Linotype" w:cs="Times New Roman"/>
          <w:sz w:val="24"/>
          <w:szCs w:val="24"/>
          <w:lang w:eastAsia="en-IE"/>
        </w:rPr>
        <w:t xml:space="preserve">a </w:t>
      </w:r>
      <w:r w:rsidRPr="00E44378">
        <w:rPr>
          <w:rFonts w:ascii="Palatino Linotype" w:eastAsia="Times New Roman" w:hAnsi="Palatino Linotype" w:cs="Times New Roman"/>
          <w:sz w:val="24"/>
          <w:szCs w:val="24"/>
          <w:lang w:eastAsia="en-IE"/>
        </w:rPr>
        <w:t>member organisation for solicitors</w:t>
      </w:r>
      <w:r w:rsidR="00AA42F1" w:rsidRPr="00E44378">
        <w:rPr>
          <w:rFonts w:ascii="Palatino Linotype" w:eastAsia="Times New Roman" w:hAnsi="Palatino Linotype" w:cs="Times New Roman"/>
          <w:sz w:val="24"/>
          <w:szCs w:val="24"/>
          <w:lang w:eastAsia="en-IE"/>
        </w:rPr>
        <w:t>,</w:t>
      </w:r>
      <w:r w:rsidRPr="00E44378">
        <w:rPr>
          <w:rFonts w:ascii="Palatino Linotype" w:eastAsia="Times New Roman" w:hAnsi="Palatino Linotype" w:cs="Times New Roman"/>
          <w:sz w:val="24"/>
          <w:szCs w:val="24"/>
          <w:lang w:eastAsia="en-IE"/>
        </w:rPr>
        <w:t xml:space="preserve"> is that PLE is fundamentally about education and information and not the provision of legal advice</w:t>
      </w:r>
      <w:r w:rsidRPr="00E44378">
        <w:rPr>
          <w:rStyle w:val="FootnoteReference"/>
          <w:rFonts w:ascii="Palatino Linotype" w:hAnsi="Palatino Linotype" w:cs="Arial"/>
          <w:sz w:val="24"/>
          <w:szCs w:val="24"/>
        </w:rPr>
        <w:footnoteReference w:id="7"/>
      </w:r>
      <w:r w:rsidRPr="00E44378">
        <w:rPr>
          <w:rFonts w:ascii="Palatino Linotype" w:eastAsia="Times New Roman" w:hAnsi="Palatino Linotype" w:cs="Times New Roman"/>
          <w:sz w:val="24"/>
          <w:szCs w:val="24"/>
          <w:lang w:eastAsia="en-IE"/>
        </w:rPr>
        <w:t>.</w:t>
      </w:r>
      <w:r w:rsidRPr="00E44378">
        <w:rPr>
          <w:rFonts w:ascii="Palatino Linotype" w:hAnsi="Palatino Linotype" w:cs="Arial"/>
          <w:sz w:val="24"/>
          <w:szCs w:val="24"/>
        </w:rPr>
        <w:t xml:space="preserve"> A working definition of PLE was used by the authors of the report of the PLEAS Taskforce</w:t>
      </w:r>
      <w:r w:rsidRPr="00E44378">
        <w:rPr>
          <w:rStyle w:val="FootnoteReference"/>
          <w:rFonts w:ascii="Palatino Linotype" w:hAnsi="Palatino Linotype" w:cs="Arial"/>
          <w:sz w:val="24"/>
          <w:szCs w:val="24"/>
        </w:rPr>
        <w:footnoteReference w:id="8"/>
      </w:r>
      <w:r w:rsidRPr="00E44378">
        <w:rPr>
          <w:rFonts w:ascii="Palatino Linotype" w:hAnsi="Palatino Linotype" w:cs="Arial"/>
          <w:sz w:val="24"/>
          <w:szCs w:val="24"/>
        </w:rPr>
        <w:t xml:space="preserve">; </w:t>
      </w:r>
    </w:p>
    <w:p w14:paraId="790D38D7" w14:textId="74E1E07F" w:rsidR="00D41734" w:rsidRPr="00E44378" w:rsidRDefault="00D41734" w:rsidP="00E44378">
      <w:pPr>
        <w:spacing w:after="160" w:line="480" w:lineRule="auto"/>
        <w:ind w:left="720"/>
        <w:jc w:val="both"/>
        <w:rPr>
          <w:rFonts w:ascii="Palatino Linotype" w:hAnsi="Palatino Linotype" w:cs="Arial"/>
          <w:sz w:val="24"/>
          <w:szCs w:val="24"/>
        </w:rPr>
      </w:pPr>
      <w:r w:rsidRPr="00E44378">
        <w:rPr>
          <w:rFonts w:ascii="Palatino Linotype" w:hAnsi="Palatino Linotype"/>
          <w:i/>
          <w:sz w:val="24"/>
          <w:szCs w:val="24"/>
        </w:rPr>
        <w:lastRenderedPageBreak/>
        <w:t>PLE provides people with awareness, knowledge and understanding of rights and legal issues, together with the confidence and skills they need to deal with disputes and gain access to justice. Equally important, it helps people recognise when they may need support, what sort of advice is available, and how to go about getting it. PLE has a further key role in helping citizens to better understand everyday life issues, making better decisions and ant</w:t>
      </w:r>
      <w:r w:rsidR="0000343B" w:rsidRPr="00E44378">
        <w:rPr>
          <w:rFonts w:ascii="Palatino Linotype" w:hAnsi="Palatino Linotype"/>
          <w:i/>
          <w:sz w:val="24"/>
          <w:szCs w:val="24"/>
        </w:rPr>
        <w:t>icipating and avoiding problems.</w:t>
      </w:r>
    </w:p>
    <w:p w14:paraId="3CC8B01C" w14:textId="0A5EBC57" w:rsidR="000726D5" w:rsidRPr="00E44378" w:rsidRDefault="000726D5"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As the Law Society of Canada outlines, some organisations call this work “community legal education (CLE), law-related education (LRE), legal literacy,</w:t>
      </w:r>
      <w:r w:rsidR="00934F93" w:rsidRPr="00E44378">
        <w:rPr>
          <w:rFonts w:ascii="Palatino Linotype" w:hAnsi="Palatino Linotype" w:cs="Arial"/>
          <w:sz w:val="24"/>
          <w:szCs w:val="24"/>
        </w:rPr>
        <w:t xml:space="preserve"> </w:t>
      </w:r>
      <w:r w:rsidRPr="00E44378">
        <w:rPr>
          <w:rFonts w:ascii="Palatino Linotype" w:hAnsi="Palatino Linotype" w:cs="Arial"/>
          <w:sz w:val="24"/>
          <w:szCs w:val="24"/>
        </w:rPr>
        <w:t>legal capability, or legal empowerment</w:t>
      </w:r>
      <w:r w:rsidR="00934F93" w:rsidRPr="00E44378">
        <w:rPr>
          <w:rFonts w:ascii="Palatino Linotype" w:hAnsi="Palatino Linotype" w:cs="Arial"/>
          <w:sz w:val="24"/>
          <w:szCs w:val="24"/>
        </w:rPr>
        <w:t>.</w:t>
      </w:r>
      <w:r w:rsidR="00AA42F1" w:rsidRPr="00E44378">
        <w:rPr>
          <w:rFonts w:ascii="Palatino Linotype" w:hAnsi="Palatino Linotype" w:cs="Arial"/>
          <w:sz w:val="24"/>
          <w:szCs w:val="24"/>
        </w:rPr>
        <w:t>”</w:t>
      </w:r>
      <w:r w:rsidRPr="00E44378">
        <w:rPr>
          <w:rFonts w:ascii="Palatino Linotype" w:hAnsi="Palatino Linotype" w:cs="Arial"/>
          <w:sz w:val="24"/>
          <w:szCs w:val="24"/>
        </w:rPr>
        <w:t xml:space="preserve"> The</w:t>
      </w:r>
      <w:r w:rsidR="00AA42F1" w:rsidRPr="00E44378">
        <w:rPr>
          <w:rFonts w:ascii="Palatino Linotype" w:hAnsi="Palatino Linotype" w:cs="Arial"/>
          <w:sz w:val="24"/>
          <w:szCs w:val="24"/>
        </w:rPr>
        <w:t>y observe that “[the]</w:t>
      </w:r>
      <w:r w:rsidRPr="00E44378">
        <w:rPr>
          <w:rFonts w:ascii="Palatino Linotype" w:hAnsi="Palatino Linotype" w:cs="Arial"/>
          <w:sz w:val="24"/>
          <w:szCs w:val="24"/>
        </w:rPr>
        <w:t xml:space="preserve"> terms ‘education’ and ‘information’ are also used interchangeably!”</w:t>
      </w:r>
      <w:r w:rsidRPr="00E44378">
        <w:rPr>
          <w:rStyle w:val="FootnoteReference"/>
          <w:rFonts w:ascii="Palatino Linotype" w:hAnsi="Palatino Linotype" w:cs="Arial"/>
          <w:sz w:val="24"/>
          <w:szCs w:val="24"/>
        </w:rPr>
        <w:footnoteReference w:id="9"/>
      </w:r>
      <w:r w:rsidR="00AA42F1" w:rsidRPr="00E44378">
        <w:rPr>
          <w:rFonts w:ascii="Palatino Linotype" w:hAnsi="Palatino Linotype" w:cs="Arial"/>
          <w:sz w:val="24"/>
          <w:szCs w:val="24"/>
        </w:rPr>
        <w:t>;</w:t>
      </w:r>
      <w:r w:rsidR="00745230" w:rsidRPr="00E44378">
        <w:rPr>
          <w:rFonts w:ascii="Palatino Linotype" w:hAnsi="Palatino Linotype" w:cs="Arial"/>
          <w:sz w:val="24"/>
          <w:szCs w:val="24"/>
        </w:rPr>
        <w:t xml:space="preserve"> however </w:t>
      </w:r>
      <w:r w:rsidR="00AA42F1" w:rsidRPr="00E44378">
        <w:rPr>
          <w:rFonts w:ascii="Palatino Linotype" w:hAnsi="Palatino Linotype" w:cs="Arial"/>
          <w:sz w:val="24"/>
          <w:szCs w:val="24"/>
        </w:rPr>
        <w:t>Grimes</w:t>
      </w:r>
      <w:r w:rsidR="00B947CE" w:rsidRPr="00E44378">
        <w:rPr>
          <w:rStyle w:val="FootnoteReference"/>
          <w:rFonts w:ascii="Palatino Linotype" w:hAnsi="Palatino Linotype" w:cs="Arial"/>
          <w:sz w:val="24"/>
          <w:szCs w:val="24"/>
        </w:rPr>
        <w:footnoteReference w:id="10"/>
      </w:r>
      <w:r w:rsidR="00745230" w:rsidRPr="00E44378">
        <w:rPr>
          <w:rFonts w:ascii="Palatino Linotype" w:hAnsi="Palatino Linotype" w:cs="Arial"/>
          <w:sz w:val="24"/>
          <w:szCs w:val="24"/>
        </w:rPr>
        <w:t xml:space="preserve"> differentiates between these two headings and </w:t>
      </w:r>
      <w:r w:rsidRPr="00E44378">
        <w:rPr>
          <w:rFonts w:ascii="Palatino Linotype" w:hAnsi="Palatino Linotype" w:cs="Arial"/>
          <w:sz w:val="24"/>
          <w:szCs w:val="24"/>
        </w:rPr>
        <w:t xml:space="preserve">notes that despite </w:t>
      </w:r>
      <w:r w:rsidR="00AA42F1" w:rsidRPr="00E44378">
        <w:rPr>
          <w:rFonts w:ascii="Palatino Linotype" w:hAnsi="Palatino Linotype" w:cs="Arial"/>
          <w:sz w:val="24"/>
          <w:szCs w:val="24"/>
        </w:rPr>
        <w:t xml:space="preserve">a </w:t>
      </w:r>
      <w:r w:rsidRPr="00E44378">
        <w:rPr>
          <w:rFonts w:ascii="Palatino Linotype" w:hAnsi="Palatino Linotype" w:cs="Arial"/>
          <w:sz w:val="24"/>
          <w:szCs w:val="24"/>
        </w:rPr>
        <w:t>wide range of activities</w:t>
      </w:r>
      <w:r w:rsidR="00AA42F1" w:rsidRPr="00E44378">
        <w:rPr>
          <w:rFonts w:ascii="Palatino Linotype" w:hAnsi="Palatino Linotype" w:cs="Arial"/>
          <w:sz w:val="24"/>
          <w:szCs w:val="24"/>
        </w:rPr>
        <w:t>, PLE</w:t>
      </w:r>
      <w:r w:rsidRPr="00E44378">
        <w:rPr>
          <w:rFonts w:ascii="Palatino Linotype" w:hAnsi="Palatino Linotype" w:cs="Arial"/>
          <w:sz w:val="24"/>
          <w:szCs w:val="24"/>
        </w:rPr>
        <w:t xml:space="preserve"> can generally be grouped into two categories;</w:t>
      </w:r>
    </w:p>
    <w:p w14:paraId="3CB0A575" w14:textId="6F6C0EA0" w:rsidR="000726D5" w:rsidRPr="00E44378" w:rsidRDefault="00F61A48" w:rsidP="00E44378">
      <w:pPr>
        <w:pStyle w:val="ListParagraph"/>
        <w:numPr>
          <w:ilvl w:val="0"/>
          <w:numId w:val="38"/>
        </w:num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T</w:t>
      </w:r>
      <w:r w:rsidR="000726D5" w:rsidRPr="00E44378">
        <w:rPr>
          <w:rFonts w:ascii="Palatino Linotype" w:hAnsi="Palatino Linotype" w:cs="Arial"/>
          <w:sz w:val="24"/>
          <w:szCs w:val="24"/>
        </w:rPr>
        <w:t>he provision of information</w:t>
      </w:r>
      <w:r w:rsidR="00AA42F1" w:rsidRPr="00E44378">
        <w:rPr>
          <w:rFonts w:ascii="Palatino Linotype" w:hAnsi="Palatino Linotype" w:cs="Arial"/>
          <w:sz w:val="24"/>
          <w:szCs w:val="24"/>
        </w:rPr>
        <w:t>, and</w:t>
      </w:r>
      <w:r w:rsidR="000726D5" w:rsidRPr="00E44378">
        <w:rPr>
          <w:rFonts w:ascii="Palatino Linotype" w:hAnsi="Palatino Linotype" w:cs="Arial"/>
          <w:sz w:val="24"/>
          <w:szCs w:val="24"/>
        </w:rPr>
        <w:t xml:space="preserve"> </w:t>
      </w:r>
    </w:p>
    <w:p w14:paraId="283F5E1D" w14:textId="4C885243" w:rsidR="000726D5" w:rsidRPr="00E44378" w:rsidRDefault="00F61A48" w:rsidP="00E44378">
      <w:pPr>
        <w:pStyle w:val="ListParagraph"/>
        <w:numPr>
          <w:ilvl w:val="0"/>
          <w:numId w:val="38"/>
        </w:num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M</w:t>
      </w:r>
      <w:r w:rsidR="000726D5" w:rsidRPr="00E44378">
        <w:rPr>
          <w:rFonts w:ascii="Palatino Linotype" w:hAnsi="Palatino Linotype" w:cs="Arial"/>
          <w:sz w:val="24"/>
          <w:szCs w:val="24"/>
        </w:rPr>
        <w:t>ore formal education interface such as one off presentations or structured courses and programmes</w:t>
      </w:r>
      <w:r w:rsidR="00AA42F1" w:rsidRPr="00E44378">
        <w:rPr>
          <w:rFonts w:ascii="Palatino Linotype" w:hAnsi="Palatino Linotype" w:cs="Arial"/>
          <w:sz w:val="24"/>
          <w:szCs w:val="24"/>
        </w:rPr>
        <w:t>.</w:t>
      </w:r>
      <w:r w:rsidR="000726D5" w:rsidRPr="00E44378">
        <w:rPr>
          <w:rFonts w:ascii="Palatino Linotype" w:hAnsi="Palatino Linotype" w:cs="Arial"/>
          <w:sz w:val="24"/>
          <w:szCs w:val="24"/>
        </w:rPr>
        <w:t xml:space="preserve">   </w:t>
      </w:r>
    </w:p>
    <w:p w14:paraId="3DB1DE16" w14:textId="44419031" w:rsidR="00210C76" w:rsidRPr="00E44378" w:rsidRDefault="00210C76"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 xml:space="preserve">Furthermore, terms such as </w:t>
      </w:r>
      <w:r w:rsidR="00AA42F1" w:rsidRPr="00E44378">
        <w:rPr>
          <w:rFonts w:ascii="Palatino Linotype" w:hAnsi="Palatino Linotype" w:cs="Arial"/>
          <w:sz w:val="24"/>
          <w:szCs w:val="24"/>
        </w:rPr>
        <w:t>‘</w:t>
      </w:r>
      <w:r w:rsidRPr="00E44378">
        <w:rPr>
          <w:rFonts w:ascii="Palatino Linotype" w:hAnsi="Palatino Linotype" w:cs="Arial"/>
          <w:sz w:val="24"/>
          <w:szCs w:val="24"/>
        </w:rPr>
        <w:t>Street Law</w:t>
      </w:r>
      <w:r w:rsidR="00AA42F1" w:rsidRPr="00E44378">
        <w:rPr>
          <w:rFonts w:ascii="Palatino Linotype" w:hAnsi="Palatino Linotype" w:cs="Arial"/>
          <w:sz w:val="24"/>
          <w:szCs w:val="24"/>
        </w:rPr>
        <w:t>’</w:t>
      </w:r>
      <w:r w:rsidRPr="00E44378">
        <w:rPr>
          <w:rFonts w:ascii="Palatino Linotype" w:hAnsi="Palatino Linotype" w:cs="Arial"/>
          <w:sz w:val="24"/>
          <w:szCs w:val="24"/>
        </w:rPr>
        <w:t xml:space="preserve"> to connote community legal education are also prominent forms of PLE</w:t>
      </w:r>
      <w:r w:rsidR="00AA42F1" w:rsidRPr="00E44378">
        <w:rPr>
          <w:rFonts w:ascii="Palatino Linotype" w:hAnsi="Palatino Linotype" w:cs="Arial"/>
          <w:sz w:val="24"/>
          <w:szCs w:val="24"/>
        </w:rPr>
        <w:t>,</w:t>
      </w:r>
      <w:r w:rsidRPr="00E44378">
        <w:rPr>
          <w:rFonts w:ascii="Palatino Linotype" w:hAnsi="Palatino Linotype" w:cs="Arial"/>
          <w:sz w:val="24"/>
          <w:szCs w:val="24"/>
        </w:rPr>
        <w:t xml:space="preserve"> as are seminars</w:t>
      </w:r>
      <w:r w:rsidR="00AA42F1" w:rsidRPr="00E44378">
        <w:rPr>
          <w:rFonts w:ascii="Palatino Linotype" w:hAnsi="Palatino Linotype" w:cs="Arial"/>
          <w:sz w:val="24"/>
          <w:szCs w:val="24"/>
        </w:rPr>
        <w:t xml:space="preserve"> and</w:t>
      </w:r>
      <w:r w:rsidRPr="00E44378">
        <w:rPr>
          <w:rFonts w:ascii="Palatino Linotype" w:hAnsi="Palatino Linotype" w:cs="Arial"/>
          <w:sz w:val="24"/>
          <w:szCs w:val="24"/>
        </w:rPr>
        <w:t xml:space="preserve"> clinics in the community. Many law </w:t>
      </w:r>
      <w:r w:rsidRPr="00E44378">
        <w:rPr>
          <w:rFonts w:ascii="Palatino Linotype" w:hAnsi="Palatino Linotype" w:cs="Arial"/>
          <w:sz w:val="24"/>
          <w:szCs w:val="24"/>
        </w:rPr>
        <w:lastRenderedPageBreak/>
        <w:t>students are involved in these worthy initiatives offering experiential learning opportunities</w:t>
      </w:r>
      <w:r w:rsidR="00AA42F1" w:rsidRPr="00E44378">
        <w:rPr>
          <w:rFonts w:ascii="Palatino Linotype" w:hAnsi="Palatino Linotype" w:cs="Arial"/>
          <w:sz w:val="24"/>
          <w:szCs w:val="24"/>
        </w:rPr>
        <w:t>,</w:t>
      </w:r>
      <w:r w:rsidRPr="00E44378">
        <w:rPr>
          <w:rFonts w:ascii="Palatino Linotype" w:hAnsi="Palatino Linotype" w:cs="Arial"/>
          <w:sz w:val="24"/>
          <w:szCs w:val="24"/>
        </w:rPr>
        <w:t xml:space="preserve"> which teach valuable skills and develop them as lawyers.</w:t>
      </w:r>
    </w:p>
    <w:p w14:paraId="6AB3D2A4" w14:textId="29C6BF06" w:rsidR="000726D5" w:rsidRPr="00E44378" w:rsidRDefault="000726D5"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 xml:space="preserve">Significant </w:t>
      </w:r>
      <w:r w:rsidR="0059527A" w:rsidRPr="00E44378">
        <w:rPr>
          <w:rFonts w:ascii="Palatino Linotype" w:hAnsi="Palatino Linotype" w:cs="Arial"/>
          <w:sz w:val="24"/>
          <w:szCs w:val="24"/>
        </w:rPr>
        <w:t>supports exist for PLE initiatives from Bar Associations, Regulators, and Law Societies</w:t>
      </w:r>
      <w:r w:rsidR="00AE3325" w:rsidRPr="00E44378">
        <w:rPr>
          <w:rFonts w:ascii="Palatino Linotype" w:hAnsi="Palatino Linotype" w:cs="Arial"/>
          <w:sz w:val="24"/>
          <w:szCs w:val="24"/>
        </w:rPr>
        <w:t xml:space="preserve"> </w:t>
      </w:r>
      <w:r w:rsidR="0059527A" w:rsidRPr="00E44378">
        <w:rPr>
          <w:rFonts w:ascii="Palatino Linotype" w:hAnsi="Palatino Linotype" w:cs="Arial"/>
          <w:sz w:val="24"/>
          <w:szCs w:val="24"/>
        </w:rPr>
        <w:t>but unlike the Law Society of Ireland, few, if any, of these organisations actually fund</w:t>
      </w:r>
      <w:r w:rsidR="00DE0F74" w:rsidRPr="00E44378">
        <w:rPr>
          <w:rFonts w:ascii="Palatino Linotype" w:hAnsi="Palatino Linotype" w:cs="Arial"/>
          <w:sz w:val="24"/>
          <w:szCs w:val="24"/>
        </w:rPr>
        <w:t xml:space="preserve"> and </w:t>
      </w:r>
      <w:r w:rsidR="0059527A" w:rsidRPr="00E44378">
        <w:rPr>
          <w:rFonts w:ascii="Palatino Linotype" w:hAnsi="Palatino Linotype" w:cs="Arial"/>
          <w:sz w:val="24"/>
          <w:szCs w:val="24"/>
        </w:rPr>
        <w:t>offer these</w:t>
      </w:r>
      <w:r w:rsidRPr="00E44378">
        <w:rPr>
          <w:rFonts w:ascii="Palatino Linotype" w:hAnsi="Palatino Linotype" w:cs="Arial"/>
          <w:sz w:val="24"/>
          <w:szCs w:val="24"/>
        </w:rPr>
        <w:t xml:space="preserve"> initiatives directly</w:t>
      </w:r>
      <w:r w:rsidR="005D29CA">
        <w:rPr>
          <w:rStyle w:val="FootnoteReference"/>
          <w:rFonts w:ascii="Palatino Linotype" w:hAnsi="Palatino Linotype" w:cs="Arial"/>
          <w:sz w:val="24"/>
          <w:szCs w:val="24"/>
        </w:rPr>
        <w:footnoteReference w:id="11"/>
      </w:r>
      <w:r w:rsidRPr="00E44378">
        <w:rPr>
          <w:rFonts w:ascii="Palatino Linotype" w:hAnsi="Palatino Linotype" w:cs="Arial"/>
          <w:sz w:val="24"/>
          <w:szCs w:val="24"/>
        </w:rPr>
        <w:t xml:space="preserve">. </w:t>
      </w:r>
      <w:r w:rsidR="00F839A0" w:rsidRPr="00E44378">
        <w:rPr>
          <w:rFonts w:ascii="Palatino Linotype" w:hAnsi="Palatino Linotype" w:cs="Arial"/>
          <w:sz w:val="24"/>
          <w:szCs w:val="24"/>
        </w:rPr>
        <w:t>The American Bar Association in the USA has a Public E</w:t>
      </w:r>
      <w:r w:rsidR="003C3BDA">
        <w:rPr>
          <w:rFonts w:ascii="Palatino Linotype" w:hAnsi="Palatino Linotype" w:cs="Arial"/>
          <w:sz w:val="24"/>
          <w:szCs w:val="24"/>
        </w:rPr>
        <w:t xml:space="preserve">ducation Division, </w:t>
      </w:r>
      <w:r w:rsidR="00DD0EE9">
        <w:rPr>
          <w:rFonts w:ascii="Palatino Linotype" w:hAnsi="Palatino Linotype" w:cs="Arial"/>
          <w:sz w:val="24"/>
          <w:szCs w:val="24"/>
        </w:rPr>
        <w:t xml:space="preserve">that offers </w:t>
      </w:r>
      <w:r w:rsidR="00F839A0" w:rsidRPr="00E44378">
        <w:rPr>
          <w:rFonts w:ascii="Palatino Linotype" w:hAnsi="Palatino Linotype" w:cs="Arial"/>
          <w:sz w:val="24"/>
          <w:szCs w:val="24"/>
        </w:rPr>
        <w:t>law-related resources and programs to educators, students, journalists, legal professionals, opinion leaders, and the public to promote understanding of law and its vital role in our society.</w:t>
      </w:r>
      <w:r w:rsidR="00F22B58" w:rsidRPr="00E44378">
        <w:rPr>
          <w:rStyle w:val="FootnoteReference"/>
          <w:rFonts w:ascii="Palatino Linotype" w:hAnsi="Palatino Linotype" w:cs="Arial"/>
          <w:sz w:val="24"/>
          <w:szCs w:val="24"/>
        </w:rPr>
        <w:footnoteReference w:id="12"/>
      </w:r>
      <w:r w:rsidR="00F22B58" w:rsidRPr="00E44378">
        <w:rPr>
          <w:rFonts w:ascii="Palatino Linotype" w:hAnsi="Palatino Linotype" w:cs="Arial"/>
          <w:sz w:val="24"/>
          <w:szCs w:val="24"/>
        </w:rPr>
        <w:t xml:space="preserve"> </w:t>
      </w:r>
      <w:r w:rsidRPr="00E44378">
        <w:rPr>
          <w:rFonts w:ascii="Palatino Linotype" w:hAnsi="Palatino Linotype" w:cs="Arial"/>
          <w:sz w:val="24"/>
          <w:szCs w:val="24"/>
        </w:rPr>
        <w:t>The Canadian Bar Association is very forthright in its support</w:t>
      </w:r>
      <w:r w:rsidR="00F22B58" w:rsidRPr="00E44378">
        <w:rPr>
          <w:rFonts w:ascii="Palatino Linotype" w:hAnsi="Palatino Linotype" w:cs="Arial"/>
          <w:sz w:val="24"/>
          <w:szCs w:val="24"/>
        </w:rPr>
        <w:t xml:space="preserve"> of PLE</w:t>
      </w:r>
      <w:r w:rsidR="00B92654" w:rsidRPr="00E44378">
        <w:rPr>
          <w:rFonts w:ascii="Palatino Linotype" w:hAnsi="Palatino Linotype" w:cs="Arial"/>
          <w:sz w:val="24"/>
          <w:szCs w:val="24"/>
        </w:rPr>
        <w:t>,</w:t>
      </w:r>
      <w:r w:rsidRPr="00E44378">
        <w:rPr>
          <w:rFonts w:ascii="Palatino Linotype" w:hAnsi="Palatino Linotype" w:cs="Arial"/>
          <w:sz w:val="24"/>
          <w:szCs w:val="24"/>
        </w:rPr>
        <w:t xml:space="preserve"> as this note from its website attests; </w:t>
      </w:r>
    </w:p>
    <w:p w14:paraId="1B3D86B1" w14:textId="531FCDC1" w:rsidR="000726D5" w:rsidRPr="00E44378" w:rsidRDefault="000726D5" w:rsidP="00E44378">
      <w:pPr>
        <w:shd w:val="clear" w:color="auto" w:fill="FFFFFF"/>
        <w:spacing w:after="160" w:line="480" w:lineRule="auto"/>
        <w:ind w:left="720"/>
        <w:jc w:val="both"/>
        <w:rPr>
          <w:rFonts w:ascii="Palatino Linotype" w:eastAsia="Times New Roman" w:hAnsi="Palatino Linotype" w:cs="Times New Roman"/>
          <w:i/>
          <w:sz w:val="24"/>
          <w:szCs w:val="24"/>
          <w:lang w:eastAsia="en-IE"/>
        </w:rPr>
      </w:pPr>
      <w:r w:rsidRPr="00E44378">
        <w:rPr>
          <w:rFonts w:ascii="Palatino Linotype" w:eastAsia="Times New Roman" w:hAnsi="Palatino Linotype" w:cs="Times New Roman"/>
          <w:i/>
          <w:sz w:val="24"/>
          <w:szCs w:val="24"/>
          <w:lang w:eastAsia="en-IE"/>
        </w:rPr>
        <w:t>In every province in Canada, organizations have been set up to provide essential legal information to members of the public. These non-profit and non-governmental groups believe that Canadians cannot fully exercise their rights unless they know about and understand the laws and the justice system that affects them. Providing easy access to information on the law is fundamental to a fair justice system</w:t>
      </w:r>
      <w:r w:rsidR="00B92654" w:rsidRPr="00E44378">
        <w:rPr>
          <w:rFonts w:ascii="Palatino Linotype" w:eastAsia="Times New Roman" w:hAnsi="Palatino Linotype" w:cs="Times New Roman"/>
          <w:i/>
          <w:sz w:val="24"/>
          <w:szCs w:val="24"/>
          <w:lang w:eastAsia="en-IE"/>
        </w:rPr>
        <w:t>.</w:t>
      </w:r>
      <w:r w:rsidRPr="00E44378">
        <w:rPr>
          <w:rStyle w:val="FootnoteReference"/>
          <w:rFonts w:ascii="Palatino Linotype" w:eastAsia="Times New Roman" w:hAnsi="Palatino Linotype" w:cs="Times New Roman"/>
          <w:sz w:val="24"/>
          <w:szCs w:val="24"/>
          <w:lang w:eastAsia="en-IE"/>
        </w:rPr>
        <w:footnoteReference w:id="13"/>
      </w:r>
    </w:p>
    <w:p w14:paraId="649F05A7" w14:textId="394531A5" w:rsidR="000726D5" w:rsidRPr="00E44378" w:rsidRDefault="00D41734"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 xml:space="preserve">The Solicitors Regulatory Association in the UK is </w:t>
      </w:r>
      <w:r w:rsidR="0059527A" w:rsidRPr="00E44378">
        <w:rPr>
          <w:rFonts w:ascii="Palatino Linotype" w:hAnsi="Palatino Linotype" w:cs="Arial"/>
          <w:sz w:val="24"/>
          <w:szCs w:val="24"/>
        </w:rPr>
        <w:t xml:space="preserve">likewise </w:t>
      </w:r>
      <w:r w:rsidRPr="00E44378">
        <w:rPr>
          <w:rFonts w:ascii="Palatino Linotype" w:hAnsi="Palatino Linotype" w:cs="Arial"/>
          <w:sz w:val="24"/>
          <w:szCs w:val="24"/>
        </w:rPr>
        <w:t>supportive and has published a number of resources and reports</w:t>
      </w:r>
      <w:r w:rsidRPr="00E44378">
        <w:rPr>
          <w:rStyle w:val="FootnoteReference"/>
          <w:rFonts w:ascii="Palatino Linotype" w:hAnsi="Palatino Linotype" w:cs="Arial"/>
          <w:sz w:val="24"/>
          <w:szCs w:val="24"/>
        </w:rPr>
        <w:footnoteReference w:id="14"/>
      </w:r>
      <w:r w:rsidRPr="00E44378">
        <w:rPr>
          <w:rFonts w:ascii="Palatino Linotype" w:hAnsi="Palatino Linotype" w:cs="Arial"/>
          <w:sz w:val="24"/>
          <w:szCs w:val="24"/>
        </w:rPr>
        <w:t xml:space="preserve">. Most notable in the UK is the 2018 </w:t>
      </w:r>
      <w:r w:rsidRPr="00E44378">
        <w:rPr>
          <w:rFonts w:ascii="Palatino Linotype" w:hAnsi="Palatino Linotype" w:cs="Arial"/>
          <w:sz w:val="24"/>
          <w:szCs w:val="24"/>
        </w:rPr>
        <w:lastRenderedPageBreak/>
        <w:t xml:space="preserve">announcement by Solicitor General </w:t>
      </w:r>
      <w:r w:rsidRPr="00E44378">
        <w:rPr>
          <w:rFonts w:ascii="Palatino Linotype" w:hAnsi="Palatino Linotype" w:cs="Arial"/>
          <w:sz w:val="24"/>
          <w:szCs w:val="24"/>
          <w:shd w:val="clear" w:color="auto" w:fill="FFFFFF"/>
        </w:rPr>
        <w:t xml:space="preserve">Robert Buckland QC MP of a </w:t>
      </w:r>
      <w:r w:rsidR="00031338" w:rsidRPr="00E44378">
        <w:rPr>
          <w:rFonts w:ascii="Palatino Linotype" w:hAnsi="Palatino Linotype" w:cs="Arial"/>
          <w:sz w:val="24"/>
          <w:szCs w:val="24"/>
        </w:rPr>
        <w:t>ten</w:t>
      </w:r>
      <w:r w:rsidR="00B92654" w:rsidRPr="00E44378">
        <w:rPr>
          <w:rFonts w:ascii="Palatino Linotype" w:hAnsi="Palatino Linotype" w:cs="Arial"/>
          <w:sz w:val="24"/>
          <w:szCs w:val="24"/>
        </w:rPr>
        <w:t>-</w:t>
      </w:r>
      <w:r w:rsidRPr="00E44378">
        <w:rPr>
          <w:rFonts w:ascii="Palatino Linotype" w:hAnsi="Palatino Linotype" w:cs="Arial"/>
          <w:sz w:val="24"/>
          <w:szCs w:val="24"/>
        </w:rPr>
        <w:t>year vision for PLE which listed seven goals</w:t>
      </w:r>
      <w:r w:rsidR="00F22B58" w:rsidRPr="00E44378">
        <w:rPr>
          <w:rFonts w:ascii="Palatino Linotype" w:hAnsi="Palatino Linotype" w:cs="Arial"/>
          <w:sz w:val="24"/>
          <w:szCs w:val="24"/>
        </w:rPr>
        <w:t>.</w:t>
      </w:r>
      <w:r w:rsidR="0000343B" w:rsidRPr="00E44378">
        <w:rPr>
          <w:rStyle w:val="FootnoteReference"/>
          <w:rFonts w:ascii="Palatino Linotype" w:hAnsi="Palatino Linotype" w:cs="Arial"/>
          <w:sz w:val="24"/>
          <w:szCs w:val="24"/>
        </w:rPr>
        <w:footnoteReference w:id="15"/>
      </w:r>
    </w:p>
    <w:p w14:paraId="6F78CC09" w14:textId="57C7623E" w:rsidR="0062114A" w:rsidRPr="00E44378" w:rsidRDefault="0062114A" w:rsidP="00E44378">
      <w:pPr>
        <w:pStyle w:val="Heading2"/>
        <w:numPr>
          <w:ilvl w:val="0"/>
          <w:numId w:val="37"/>
        </w:numPr>
        <w:spacing w:after="160" w:line="480" w:lineRule="auto"/>
        <w:rPr>
          <w:rFonts w:ascii="Palatino Linotype" w:hAnsi="Palatino Linotype"/>
          <w:sz w:val="24"/>
          <w:szCs w:val="24"/>
        </w:rPr>
      </w:pPr>
      <w:r w:rsidRPr="00E44378">
        <w:rPr>
          <w:rFonts w:ascii="Palatino Linotype" w:hAnsi="Palatino Linotype"/>
          <w:sz w:val="24"/>
          <w:szCs w:val="24"/>
        </w:rPr>
        <w:t xml:space="preserve">Public Legal Education at the </w:t>
      </w:r>
      <w:r w:rsidR="003066F0" w:rsidRPr="00E44378">
        <w:rPr>
          <w:rFonts w:ascii="Palatino Linotype" w:hAnsi="Palatino Linotype"/>
          <w:sz w:val="24"/>
          <w:szCs w:val="24"/>
        </w:rPr>
        <w:t>Law Society of Ireland</w:t>
      </w:r>
    </w:p>
    <w:p w14:paraId="65B04538" w14:textId="62A07B6E" w:rsidR="000F14BA" w:rsidRPr="00E44378" w:rsidRDefault="00AE3325" w:rsidP="00E44378">
      <w:pPr>
        <w:pStyle w:val="Body"/>
        <w:spacing w:after="160" w:line="480" w:lineRule="auto"/>
        <w:jc w:val="both"/>
        <w:rPr>
          <w:rFonts w:ascii="Palatino Linotype" w:hAnsi="Palatino Linotype" w:cs="Arial"/>
          <w:color w:val="auto"/>
          <w:sz w:val="24"/>
          <w:szCs w:val="24"/>
          <w:lang w:val="en-IE"/>
        </w:rPr>
      </w:pPr>
      <w:r w:rsidRPr="00E44378">
        <w:rPr>
          <w:rFonts w:ascii="Palatino Linotype" w:hAnsi="Palatino Linotype" w:cs="Arial"/>
          <w:color w:val="auto"/>
          <w:sz w:val="24"/>
          <w:szCs w:val="24"/>
          <w:lang w:val="en-IE"/>
        </w:rPr>
        <w:t>The Law Society of Ireland is the educational, representative, and regulatory body for the approximate 18,000 members of the solicitors profession in Ireland</w:t>
      </w:r>
      <w:r w:rsidR="007F3FAA" w:rsidRPr="00E44378">
        <w:rPr>
          <w:rFonts w:ascii="Palatino Linotype" w:hAnsi="Palatino Linotype" w:cs="Arial"/>
          <w:color w:val="auto"/>
          <w:sz w:val="24"/>
          <w:szCs w:val="24"/>
          <w:lang w:val="en-IE"/>
        </w:rPr>
        <w:t>.</w:t>
      </w:r>
      <w:r w:rsidRPr="00E44378">
        <w:rPr>
          <w:rStyle w:val="FootnoteReference"/>
          <w:rFonts w:ascii="Palatino Linotype" w:hAnsi="Palatino Linotype" w:cs="Arial"/>
          <w:color w:val="auto"/>
          <w:sz w:val="24"/>
          <w:szCs w:val="24"/>
          <w:lang w:val="en-IE"/>
        </w:rPr>
        <w:footnoteReference w:id="16"/>
      </w:r>
      <w:r w:rsidR="007F3FAA" w:rsidRPr="00E44378">
        <w:rPr>
          <w:rFonts w:ascii="Palatino Linotype" w:hAnsi="Palatino Linotype" w:cs="Arial"/>
          <w:color w:val="auto"/>
          <w:sz w:val="24"/>
          <w:szCs w:val="24"/>
          <w:lang w:val="en-IE"/>
        </w:rPr>
        <w:t xml:space="preserve"> </w:t>
      </w:r>
      <w:r w:rsidR="000F14BA" w:rsidRPr="00E44378">
        <w:rPr>
          <w:rFonts w:ascii="Palatino Linotype" w:hAnsi="Palatino Linotype" w:cs="Arial"/>
          <w:color w:val="auto"/>
          <w:sz w:val="24"/>
          <w:szCs w:val="24"/>
          <w:lang w:val="en-IE"/>
        </w:rPr>
        <w:t xml:space="preserve">The provision of legal information to the public has historically been provided by the </w:t>
      </w:r>
      <w:r w:rsidR="00F61A48" w:rsidRPr="00E44378">
        <w:rPr>
          <w:rFonts w:ascii="Palatino Linotype" w:hAnsi="Palatino Linotype" w:cs="Arial"/>
          <w:color w:val="auto"/>
          <w:sz w:val="24"/>
          <w:szCs w:val="24"/>
          <w:lang w:val="en-IE"/>
        </w:rPr>
        <w:t>L</w:t>
      </w:r>
      <w:r w:rsidR="000F14BA" w:rsidRPr="00E44378">
        <w:rPr>
          <w:rFonts w:ascii="Palatino Linotype" w:hAnsi="Palatino Linotype" w:cs="Arial"/>
          <w:color w:val="auto"/>
          <w:sz w:val="24"/>
          <w:szCs w:val="24"/>
          <w:lang w:val="en-IE"/>
        </w:rPr>
        <w:t xml:space="preserve">aw </w:t>
      </w:r>
      <w:r w:rsidR="00F61A48" w:rsidRPr="00E44378">
        <w:rPr>
          <w:rFonts w:ascii="Palatino Linotype" w:hAnsi="Palatino Linotype" w:cs="Arial"/>
          <w:color w:val="auto"/>
          <w:sz w:val="24"/>
          <w:szCs w:val="24"/>
          <w:lang w:val="en-IE"/>
        </w:rPr>
        <w:t>S</w:t>
      </w:r>
      <w:r w:rsidR="000F14BA" w:rsidRPr="00E44378">
        <w:rPr>
          <w:rFonts w:ascii="Palatino Linotype" w:hAnsi="Palatino Linotype" w:cs="Arial"/>
          <w:color w:val="auto"/>
          <w:sz w:val="24"/>
          <w:szCs w:val="24"/>
          <w:lang w:val="en-IE"/>
        </w:rPr>
        <w:t xml:space="preserve">ociety </w:t>
      </w:r>
      <w:r w:rsidR="00F61A48" w:rsidRPr="00E44378">
        <w:rPr>
          <w:rFonts w:ascii="Palatino Linotype" w:hAnsi="Palatino Linotype" w:cs="Arial"/>
          <w:color w:val="auto"/>
          <w:sz w:val="24"/>
          <w:szCs w:val="24"/>
          <w:lang w:val="en-IE"/>
        </w:rPr>
        <w:t xml:space="preserve">of Ireland </w:t>
      </w:r>
      <w:r w:rsidR="000F14BA" w:rsidRPr="00E44378">
        <w:rPr>
          <w:rFonts w:ascii="Palatino Linotype" w:hAnsi="Palatino Linotype" w:cs="Arial"/>
          <w:color w:val="auto"/>
          <w:sz w:val="24"/>
          <w:szCs w:val="24"/>
          <w:lang w:val="en-IE"/>
        </w:rPr>
        <w:t xml:space="preserve">in tandem with its three pillar functions. Currently the </w:t>
      </w:r>
      <w:r w:rsidR="002723E4" w:rsidRPr="00E44378">
        <w:rPr>
          <w:rFonts w:ascii="Palatino Linotype" w:hAnsi="Palatino Linotype" w:cs="Arial"/>
          <w:color w:val="auto"/>
          <w:sz w:val="24"/>
          <w:szCs w:val="24"/>
          <w:lang w:val="en-IE"/>
        </w:rPr>
        <w:t xml:space="preserve">Society’s </w:t>
      </w:r>
      <w:r w:rsidR="000F14BA" w:rsidRPr="00E44378">
        <w:rPr>
          <w:rFonts w:ascii="Palatino Linotype" w:hAnsi="Palatino Linotype" w:cs="Arial"/>
          <w:color w:val="auto"/>
          <w:sz w:val="24"/>
          <w:szCs w:val="24"/>
          <w:lang w:val="en-IE"/>
        </w:rPr>
        <w:t>website</w:t>
      </w:r>
      <w:r w:rsidR="00C638C6" w:rsidRPr="00E44378">
        <w:rPr>
          <w:rStyle w:val="FootnoteReference"/>
          <w:rFonts w:ascii="Palatino Linotype" w:hAnsi="Palatino Linotype" w:cs="Arial"/>
          <w:color w:val="auto"/>
          <w:sz w:val="24"/>
          <w:szCs w:val="24"/>
          <w:lang w:val="en-IE"/>
        </w:rPr>
        <w:footnoteReference w:id="17"/>
      </w:r>
      <w:r w:rsidR="000F14BA" w:rsidRPr="00E44378">
        <w:rPr>
          <w:rFonts w:ascii="Palatino Linotype" w:hAnsi="Palatino Linotype" w:cs="Arial"/>
          <w:color w:val="auto"/>
          <w:sz w:val="24"/>
          <w:szCs w:val="24"/>
          <w:lang w:val="en-IE"/>
        </w:rPr>
        <w:t xml:space="preserve"> </w:t>
      </w:r>
      <w:r w:rsidR="00C638C6" w:rsidRPr="00E44378">
        <w:rPr>
          <w:rFonts w:ascii="Palatino Linotype" w:hAnsi="Palatino Linotype" w:cs="Arial"/>
          <w:color w:val="auto"/>
          <w:sz w:val="24"/>
          <w:szCs w:val="24"/>
          <w:lang w:val="en-IE"/>
        </w:rPr>
        <w:t>is the main repository for information for the public and has its own d</w:t>
      </w:r>
      <w:r w:rsidR="00031338" w:rsidRPr="00E44378">
        <w:rPr>
          <w:rFonts w:ascii="Palatino Linotype" w:hAnsi="Palatino Linotype" w:cs="Arial"/>
          <w:color w:val="auto"/>
          <w:sz w:val="24"/>
          <w:szCs w:val="24"/>
          <w:lang w:val="en-IE"/>
        </w:rPr>
        <w:t xml:space="preserve">edicated section for </w:t>
      </w:r>
      <w:r w:rsidR="00603B95" w:rsidRPr="00E44378">
        <w:rPr>
          <w:rFonts w:ascii="Palatino Linotype" w:hAnsi="Palatino Linotype" w:cs="Arial"/>
          <w:color w:val="auto"/>
          <w:sz w:val="24"/>
          <w:szCs w:val="24"/>
          <w:lang w:val="en-IE"/>
        </w:rPr>
        <w:t>this purpose</w:t>
      </w:r>
      <w:r w:rsidR="00C638C6" w:rsidRPr="00E44378">
        <w:rPr>
          <w:rFonts w:ascii="Palatino Linotype" w:hAnsi="Palatino Linotype" w:cs="Arial"/>
          <w:color w:val="auto"/>
          <w:sz w:val="24"/>
          <w:szCs w:val="24"/>
          <w:lang w:val="en-IE"/>
        </w:rPr>
        <w:t xml:space="preserve">. While the </w:t>
      </w:r>
      <w:r w:rsidR="002723E4" w:rsidRPr="00E44378">
        <w:rPr>
          <w:rFonts w:ascii="Palatino Linotype" w:hAnsi="Palatino Linotype" w:cs="Arial"/>
          <w:color w:val="auto"/>
          <w:sz w:val="24"/>
          <w:szCs w:val="24"/>
          <w:lang w:val="en-IE"/>
        </w:rPr>
        <w:t xml:space="preserve">Society </w:t>
      </w:r>
      <w:r w:rsidR="00C638C6" w:rsidRPr="00E44378">
        <w:rPr>
          <w:rFonts w:ascii="Palatino Linotype" w:hAnsi="Palatino Linotype" w:cs="Arial"/>
          <w:color w:val="auto"/>
          <w:sz w:val="24"/>
          <w:szCs w:val="24"/>
          <w:lang w:val="en-IE"/>
        </w:rPr>
        <w:t>cannot provide legal advice</w:t>
      </w:r>
      <w:r w:rsidR="00603B95" w:rsidRPr="00E44378">
        <w:rPr>
          <w:rFonts w:ascii="Palatino Linotype" w:hAnsi="Palatino Linotype" w:cs="Arial"/>
          <w:color w:val="auto"/>
          <w:sz w:val="24"/>
          <w:szCs w:val="24"/>
          <w:lang w:val="en-IE"/>
        </w:rPr>
        <w:t>,</w:t>
      </w:r>
      <w:r w:rsidR="00C638C6" w:rsidRPr="00E44378">
        <w:rPr>
          <w:rFonts w:ascii="Palatino Linotype" w:hAnsi="Palatino Linotype" w:cs="Arial"/>
          <w:color w:val="auto"/>
          <w:sz w:val="24"/>
          <w:szCs w:val="24"/>
          <w:lang w:val="en-IE"/>
        </w:rPr>
        <w:t xml:space="preserve"> there is a helpful </w:t>
      </w:r>
      <w:r w:rsidR="00603B95" w:rsidRPr="00E44378">
        <w:rPr>
          <w:rFonts w:ascii="Palatino Linotype" w:hAnsi="Palatino Linotype" w:cs="Arial"/>
          <w:color w:val="auto"/>
          <w:sz w:val="24"/>
          <w:szCs w:val="24"/>
          <w:lang w:val="en-IE"/>
        </w:rPr>
        <w:t>‘L</w:t>
      </w:r>
      <w:r w:rsidR="00C638C6" w:rsidRPr="00E44378">
        <w:rPr>
          <w:rFonts w:ascii="Palatino Linotype" w:hAnsi="Palatino Linotype" w:cs="Arial"/>
          <w:color w:val="auto"/>
          <w:sz w:val="24"/>
          <w:szCs w:val="24"/>
          <w:lang w:val="en-IE"/>
        </w:rPr>
        <w:t xml:space="preserve">egal </w:t>
      </w:r>
      <w:r w:rsidR="00603B95" w:rsidRPr="00E44378">
        <w:rPr>
          <w:rFonts w:ascii="Palatino Linotype" w:hAnsi="Palatino Linotype" w:cs="Arial"/>
          <w:color w:val="auto"/>
          <w:sz w:val="24"/>
          <w:szCs w:val="24"/>
          <w:lang w:val="en-IE"/>
        </w:rPr>
        <w:t>G</w:t>
      </w:r>
      <w:r w:rsidR="00C638C6" w:rsidRPr="00E44378">
        <w:rPr>
          <w:rFonts w:ascii="Palatino Linotype" w:hAnsi="Palatino Linotype" w:cs="Arial"/>
          <w:color w:val="auto"/>
          <w:sz w:val="24"/>
          <w:szCs w:val="24"/>
          <w:lang w:val="en-IE"/>
        </w:rPr>
        <w:t>uides</w:t>
      </w:r>
      <w:r w:rsidR="00603B95" w:rsidRPr="00E44378">
        <w:rPr>
          <w:rFonts w:ascii="Palatino Linotype" w:hAnsi="Palatino Linotype" w:cs="Arial"/>
          <w:color w:val="auto"/>
          <w:sz w:val="24"/>
          <w:szCs w:val="24"/>
          <w:lang w:val="en-IE"/>
        </w:rPr>
        <w:t>’</w:t>
      </w:r>
      <w:r w:rsidR="00C638C6" w:rsidRPr="00E44378">
        <w:rPr>
          <w:rFonts w:ascii="Palatino Linotype" w:hAnsi="Palatino Linotype" w:cs="Arial"/>
          <w:color w:val="auto"/>
          <w:sz w:val="24"/>
          <w:szCs w:val="24"/>
          <w:lang w:val="en-IE"/>
        </w:rPr>
        <w:t xml:space="preserve"> section where the public can access information on a range of legal areas such as employment law, dispute resolution</w:t>
      </w:r>
      <w:r w:rsidR="00603B95" w:rsidRPr="00E44378">
        <w:rPr>
          <w:rFonts w:ascii="Palatino Linotype" w:hAnsi="Palatino Linotype" w:cs="Arial"/>
          <w:color w:val="auto"/>
          <w:sz w:val="24"/>
          <w:szCs w:val="24"/>
          <w:lang w:val="en-IE"/>
        </w:rPr>
        <w:t>,</w:t>
      </w:r>
      <w:r w:rsidR="00C638C6" w:rsidRPr="00E44378">
        <w:rPr>
          <w:rFonts w:ascii="Palatino Linotype" w:hAnsi="Palatino Linotype" w:cs="Arial"/>
          <w:color w:val="auto"/>
          <w:sz w:val="24"/>
          <w:szCs w:val="24"/>
          <w:lang w:val="en-IE"/>
        </w:rPr>
        <w:t xml:space="preserve"> and legal aid. </w:t>
      </w:r>
    </w:p>
    <w:p w14:paraId="17346C4D" w14:textId="7E8A29BA" w:rsidR="00587028" w:rsidRPr="00E44378" w:rsidRDefault="009E0C69" w:rsidP="00E44378">
      <w:pPr>
        <w:pStyle w:val="Body"/>
        <w:spacing w:after="160" w:line="480" w:lineRule="auto"/>
        <w:jc w:val="both"/>
        <w:rPr>
          <w:rFonts w:ascii="Palatino Linotype" w:hAnsi="Palatino Linotype" w:cs="Arial"/>
          <w:color w:val="auto"/>
          <w:sz w:val="24"/>
          <w:szCs w:val="24"/>
          <w:lang w:val="en-IE"/>
        </w:rPr>
      </w:pPr>
      <w:r w:rsidRPr="00E44378">
        <w:rPr>
          <w:rFonts w:ascii="Palatino Linotype" w:hAnsi="Palatino Linotype" w:cs="Arial"/>
          <w:color w:val="auto"/>
          <w:sz w:val="24"/>
          <w:szCs w:val="24"/>
          <w:lang w:val="en-IE"/>
        </w:rPr>
        <w:t>I</w:t>
      </w:r>
      <w:r w:rsidR="00C638C6" w:rsidRPr="00E44378">
        <w:rPr>
          <w:rFonts w:ascii="Palatino Linotype" w:hAnsi="Palatino Linotype" w:cs="Arial"/>
          <w:color w:val="auto"/>
          <w:sz w:val="24"/>
          <w:szCs w:val="24"/>
          <w:lang w:val="en-IE"/>
        </w:rPr>
        <w:t>n 2013</w:t>
      </w:r>
      <w:r w:rsidR="00603B95" w:rsidRPr="00E44378">
        <w:rPr>
          <w:rFonts w:ascii="Palatino Linotype" w:hAnsi="Palatino Linotype" w:cs="Arial"/>
          <w:color w:val="auto"/>
          <w:sz w:val="24"/>
          <w:szCs w:val="24"/>
          <w:lang w:val="en-IE"/>
        </w:rPr>
        <w:t>,</w:t>
      </w:r>
      <w:r w:rsidR="00C638C6" w:rsidRPr="00E44378">
        <w:rPr>
          <w:rFonts w:ascii="Palatino Linotype" w:hAnsi="Palatino Linotype" w:cs="Arial"/>
          <w:color w:val="auto"/>
          <w:sz w:val="24"/>
          <w:szCs w:val="24"/>
          <w:lang w:val="en-IE"/>
        </w:rPr>
        <w:t xml:space="preserve"> the </w:t>
      </w:r>
      <w:r w:rsidR="002723E4" w:rsidRPr="00E44378">
        <w:rPr>
          <w:rFonts w:ascii="Palatino Linotype" w:hAnsi="Palatino Linotype" w:cs="Arial"/>
          <w:color w:val="auto"/>
          <w:sz w:val="24"/>
          <w:szCs w:val="24"/>
          <w:lang w:val="en-IE"/>
        </w:rPr>
        <w:t xml:space="preserve">Society </w:t>
      </w:r>
      <w:r w:rsidR="00C638C6" w:rsidRPr="00E44378">
        <w:rPr>
          <w:rFonts w:ascii="Palatino Linotype" w:hAnsi="Palatino Linotype" w:cs="Arial"/>
          <w:color w:val="auto"/>
          <w:sz w:val="24"/>
          <w:szCs w:val="24"/>
          <w:lang w:val="en-IE"/>
        </w:rPr>
        <w:t xml:space="preserve">moved beyond merely providing information to the public and offered for the first time a more formal </w:t>
      </w:r>
      <w:r w:rsidR="00AB28B2" w:rsidRPr="00E44378">
        <w:rPr>
          <w:rFonts w:ascii="Palatino Linotype" w:hAnsi="Palatino Linotype" w:cs="Arial"/>
          <w:color w:val="auto"/>
          <w:sz w:val="24"/>
          <w:szCs w:val="24"/>
          <w:lang w:val="en-IE"/>
        </w:rPr>
        <w:t>PLE course</w:t>
      </w:r>
      <w:r w:rsidR="00031338" w:rsidRPr="00E44378">
        <w:rPr>
          <w:rFonts w:ascii="Palatino Linotype" w:hAnsi="Palatino Linotype" w:cs="Arial"/>
          <w:color w:val="auto"/>
          <w:sz w:val="24"/>
          <w:szCs w:val="24"/>
          <w:lang w:val="en-IE"/>
        </w:rPr>
        <w:t xml:space="preserve"> </w:t>
      </w:r>
      <w:r w:rsidR="00E72FD8" w:rsidRPr="00E44378">
        <w:rPr>
          <w:rFonts w:ascii="Palatino Linotype" w:hAnsi="Palatino Linotype" w:cs="Arial"/>
          <w:color w:val="auto"/>
          <w:sz w:val="24"/>
          <w:szCs w:val="24"/>
          <w:lang w:val="en-IE"/>
        </w:rPr>
        <w:t xml:space="preserve">designed for the </w:t>
      </w:r>
      <w:r w:rsidR="00AB28B2" w:rsidRPr="00E44378">
        <w:rPr>
          <w:rFonts w:ascii="Palatino Linotype" w:hAnsi="Palatino Linotype" w:cs="Arial"/>
          <w:color w:val="auto"/>
          <w:sz w:val="24"/>
          <w:szCs w:val="24"/>
          <w:lang w:val="en-IE"/>
        </w:rPr>
        <w:t>community.</w:t>
      </w:r>
      <w:r w:rsidR="00031338" w:rsidRPr="00E44378">
        <w:rPr>
          <w:rFonts w:ascii="Palatino Linotype" w:hAnsi="Palatino Linotype" w:cs="Arial"/>
          <w:color w:val="auto"/>
          <w:sz w:val="24"/>
          <w:szCs w:val="24"/>
          <w:lang w:val="en-IE"/>
        </w:rPr>
        <w:t xml:space="preserve"> </w:t>
      </w:r>
      <w:r w:rsidR="00C638C6" w:rsidRPr="00E44378">
        <w:rPr>
          <w:rFonts w:ascii="Palatino Linotype" w:hAnsi="Palatino Linotype" w:cs="Arial"/>
          <w:color w:val="auto"/>
          <w:sz w:val="24"/>
          <w:szCs w:val="24"/>
          <w:lang w:val="en-IE"/>
        </w:rPr>
        <w:t xml:space="preserve"> This was offered through a Street Law programme </w:t>
      </w:r>
      <w:r w:rsidR="00031338" w:rsidRPr="00E44378">
        <w:rPr>
          <w:rFonts w:ascii="Palatino Linotype" w:hAnsi="Palatino Linotype" w:cs="Arial"/>
          <w:color w:val="auto"/>
          <w:sz w:val="24"/>
          <w:szCs w:val="24"/>
          <w:lang w:val="en-IE"/>
        </w:rPr>
        <w:t>developed by the Diploma Centre</w:t>
      </w:r>
      <w:r w:rsidR="00C638C6" w:rsidRPr="00E44378">
        <w:rPr>
          <w:rFonts w:ascii="Palatino Linotype" w:hAnsi="Palatino Linotype" w:cs="Arial"/>
          <w:color w:val="auto"/>
          <w:sz w:val="24"/>
          <w:szCs w:val="24"/>
          <w:lang w:val="en-IE"/>
        </w:rPr>
        <w:t xml:space="preserve">, </w:t>
      </w:r>
      <w:r w:rsidR="009D240D" w:rsidRPr="00E44378">
        <w:rPr>
          <w:rFonts w:ascii="Palatino Linotype" w:hAnsi="Palatino Linotype" w:cs="Arial"/>
          <w:color w:val="auto"/>
          <w:sz w:val="24"/>
          <w:szCs w:val="24"/>
          <w:lang w:val="en-IE"/>
        </w:rPr>
        <w:t>where trainee solicitors</w:t>
      </w:r>
      <w:r w:rsidR="00273FC9" w:rsidRPr="00E44378">
        <w:rPr>
          <w:rFonts w:ascii="Palatino Linotype" w:hAnsi="Palatino Linotype" w:cs="Arial"/>
          <w:color w:val="auto"/>
          <w:sz w:val="24"/>
          <w:szCs w:val="24"/>
          <w:lang w:val="en-IE"/>
        </w:rPr>
        <w:t xml:space="preserve"> were placed</w:t>
      </w:r>
      <w:r w:rsidR="009D240D" w:rsidRPr="00E44378">
        <w:rPr>
          <w:rFonts w:ascii="Palatino Linotype" w:hAnsi="Palatino Linotype" w:cs="Arial"/>
          <w:color w:val="auto"/>
          <w:sz w:val="24"/>
          <w:szCs w:val="24"/>
          <w:lang w:val="en-IE"/>
        </w:rPr>
        <w:t xml:space="preserve"> in local schools to teach transition year students</w:t>
      </w:r>
      <w:r w:rsidR="009D240D" w:rsidRPr="00E44378">
        <w:rPr>
          <w:rStyle w:val="FootnoteReference"/>
          <w:rFonts w:ascii="Palatino Linotype" w:hAnsi="Palatino Linotype" w:cs="Arial"/>
          <w:color w:val="auto"/>
          <w:sz w:val="24"/>
          <w:szCs w:val="24"/>
          <w:lang w:val="en-IE"/>
        </w:rPr>
        <w:footnoteReference w:id="18"/>
      </w:r>
      <w:r w:rsidR="009D240D" w:rsidRPr="00E44378">
        <w:rPr>
          <w:rFonts w:ascii="Palatino Linotype" w:hAnsi="Palatino Linotype" w:cs="Arial"/>
          <w:color w:val="auto"/>
          <w:sz w:val="24"/>
          <w:szCs w:val="24"/>
          <w:lang w:val="en-IE"/>
        </w:rPr>
        <w:t xml:space="preserve"> about law.</w:t>
      </w:r>
      <w:r w:rsidR="009D240D" w:rsidRPr="00E44378">
        <w:rPr>
          <w:rFonts w:ascii="Palatino Linotype" w:hAnsi="Palatino Linotype" w:cs="Arial"/>
          <w:color w:val="auto"/>
          <w:sz w:val="24"/>
          <w:szCs w:val="24"/>
          <w:shd w:val="clear" w:color="auto" w:fill="FFFFFF"/>
          <w:lang w:val="en-IE"/>
        </w:rPr>
        <w:t xml:space="preserve"> </w:t>
      </w:r>
      <w:r w:rsidR="00717F7A" w:rsidRPr="00E44378">
        <w:rPr>
          <w:rFonts w:ascii="Palatino Linotype" w:hAnsi="Palatino Linotype" w:cs="Arial"/>
          <w:color w:val="auto"/>
          <w:sz w:val="24"/>
          <w:szCs w:val="24"/>
          <w:shd w:val="clear" w:color="auto" w:fill="FFFFFF"/>
          <w:lang w:val="en-IE"/>
        </w:rPr>
        <w:t xml:space="preserve">At the heart of Street Law is a social </w:t>
      </w:r>
      <w:r w:rsidR="006207E4" w:rsidRPr="00E44378">
        <w:rPr>
          <w:rFonts w:ascii="Palatino Linotype" w:hAnsi="Palatino Linotype" w:cs="Arial"/>
          <w:color w:val="auto"/>
          <w:sz w:val="24"/>
          <w:szCs w:val="24"/>
          <w:shd w:val="clear" w:color="auto" w:fill="FFFFFF"/>
          <w:lang w:val="en-IE"/>
        </w:rPr>
        <w:t xml:space="preserve">justice </w:t>
      </w:r>
      <w:r w:rsidR="006207E4" w:rsidRPr="00E44378">
        <w:rPr>
          <w:rFonts w:ascii="Palatino Linotype" w:hAnsi="Palatino Linotype" w:cs="Arial"/>
          <w:color w:val="auto"/>
          <w:sz w:val="24"/>
          <w:szCs w:val="24"/>
          <w:lang w:val="en-IE"/>
        </w:rPr>
        <w:t>ethos</w:t>
      </w:r>
      <w:r w:rsidR="00273FC9" w:rsidRPr="00E44378">
        <w:rPr>
          <w:rFonts w:ascii="Palatino Linotype" w:hAnsi="Palatino Linotype" w:cs="Arial"/>
          <w:color w:val="auto"/>
          <w:sz w:val="24"/>
          <w:szCs w:val="24"/>
          <w:lang w:val="en-IE"/>
        </w:rPr>
        <w:t xml:space="preserve"> </w:t>
      </w:r>
      <w:r w:rsidR="00AB28B2" w:rsidRPr="00E44378">
        <w:rPr>
          <w:rFonts w:ascii="Palatino Linotype" w:hAnsi="Palatino Linotype" w:cs="Arial"/>
          <w:color w:val="auto"/>
          <w:sz w:val="24"/>
          <w:szCs w:val="24"/>
          <w:lang w:val="en-IE"/>
        </w:rPr>
        <w:t xml:space="preserve">promoted through the use of </w:t>
      </w:r>
      <w:r w:rsidR="00273FC9" w:rsidRPr="00E44378">
        <w:rPr>
          <w:rFonts w:ascii="Palatino Linotype" w:hAnsi="Palatino Linotype" w:cs="Arial"/>
          <w:color w:val="auto"/>
          <w:sz w:val="24"/>
          <w:szCs w:val="24"/>
          <w:lang w:val="en-IE"/>
        </w:rPr>
        <w:t xml:space="preserve">learner-centred </w:t>
      </w:r>
      <w:r w:rsidR="00AB28B2" w:rsidRPr="00E44378">
        <w:rPr>
          <w:rFonts w:ascii="Palatino Linotype" w:hAnsi="Palatino Linotype" w:cs="Arial"/>
          <w:color w:val="auto"/>
          <w:sz w:val="24"/>
          <w:szCs w:val="24"/>
          <w:lang w:val="en-IE"/>
        </w:rPr>
        <w:t xml:space="preserve">teaching </w:t>
      </w:r>
      <w:r w:rsidR="00273FC9" w:rsidRPr="00E44378">
        <w:rPr>
          <w:rFonts w:ascii="Palatino Linotype" w:hAnsi="Palatino Linotype" w:cs="Arial"/>
          <w:color w:val="auto"/>
          <w:sz w:val="24"/>
          <w:szCs w:val="24"/>
          <w:lang w:val="en-IE"/>
        </w:rPr>
        <w:t>methodologies</w:t>
      </w:r>
      <w:r w:rsidR="00AB28B2" w:rsidRPr="00E44378">
        <w:rPr>
          <w:rFonts w:ascii="Palatino Linotype" w:hAnsi="Palatino Linotype" w:cs="Arial"/>
          <w:color w:val="auto"/>
          <w:sz w:val="24"/>
          <w:szCs w:val="24"/>
          <w:lang w:val="en-IE"/>
        </w:rPr>
        <w:t xml:space="preserve"> and pedagogy</w:t>
      </w:r>
      <w:r w:rsidR="00273FC9" w:rsidRPr="00E44378">
        <w:rPr>
          <w:rFonts w:ascii="Palatino Linotype" w:hAnsi="Palatino Linotype" w:cs="Arial"/>
          <w:color w:val="auto"/>
          <w:sz w:val="24"/>
          <w:szCs w:val="24"/>
          <w:lang w:val="en-IE"/>
        </w:rPr>
        <w:t>.</w:t>
      </w:r>
      <w:r w:rsidR="006207E4" w:rsidRPr="00E44378">
        <w:rPr>
          <w:rFonts w:ascii="Palatino Linotype" w:hAnsi="Palatino Linotype" w:cs="Arial"/>
          <w:color w:val="auto"/>
          <w:sz w:val="24"/>
          <w:szCs w:val="24"/>
          <w:lang w:val="en-IE"/>
        </w:rPr>
        <w:t xml:space="preserve"> </w:t>
      </w:r>
      <w:r w:rsidR="00AB28B2" w:rsidRPr="00E44378">
        <w:rPr>
          <w:rFonts w:ascii="Palatino Linotype" w:hAnsi="Palatino Linotype" w:cs="Arial"/>
          <w:color w:val="auto"/>
          <w:sz w:val="24"/>
          <w:szCs w:val="24"/>
          <w:lang w:val="en-IE"/>
        </w:rPr>
        <w:t>Initially</w:t>
      </w:r>
      <w:r w:rsidR="002D7C9B" w:rsidRPr="00E44378">
        <w:rPr>
          <w:rFonts w:ascii="Palatino Linotype" w:hAnsi="Palatino Linotype" w:cs="Arial"/>
          <w:color w:val="auto"/>
          <w:sz w:val="24"/>
          <w:szCs w:val="24"/>
          <w:lang w:val="en-IE"/>
        </w:rPr>
        <w:t xml:space="preserve">, the main objective for our </w:t>
      </w:r>
      <w:r w:rsidR="00C638C6" w:rsidRPr="00E44378">
        <w:rPr>
          <w:rFonts w:ascii="Palatino Linotype" w:hAnsi="Palatino Linotype" w:cs="Arial"/>
          <w:color w:val="auto"/>
          <w:sz w:val="24"/>
          <w:szCs w:val="24"/>
          <w:lang w:val="en-IE"/>
        </w:rPr>
        <w:t xml:space="preserve">PLE </w:t>
      </w:r>
      <w:r w:rsidR="002D7C9B" w:rsidRPr="00E44378">
        <w:rPr>
          <w:rFonts w:ascii="Palatino Linotype" w:hAnsi="Palatino Linotype" w:cs="Arial"/>
          <w:color w:val="auto"/>
          <w:sz w:val="24"/>
          <w:szCs w:val="24"/>
          <w:lang w:val="en-IE"/>
        </w:rPr>
        <w:t xml:space="preserve">project was simply to provide law-related education in the </w:t>
      </w:r>
      <w:r w:rsidR="002D7C9B" w:rsidRPr="00E44378">
        <w:rPr>
          <w:rFonts w:ascii="Palatino Linotype" w:hAnsi="Palatino Linotype" w:cs="Arial"/>
          <w:color w:val="auto"/>
          <w:sz w:val="24"/>
          <w:szCs w:val="24"/>
          <w:lang w:val="en-IE"/>
        </w:rPr>
        <w:lastRenderedPageBreak/>
        <w:t>community and to encourage and support an ethos of public service amongst trainee solicitors.</w:t>
      </w:r>
      <w:r w:rsidRPr="00E44378">
        <w:rPr>
          <w:rFonts w:ascii="Palatino Linotype" w:hAnsi="Palatino Linotype" w:cs="Arial"/>
          <w:color w:val="auto"/>
          <w:sz w:val="24"/>
          <w:szCs w:val="24"/>
          <w:lang w:val="en-IE"/>
        </w:rPr>
        <w:t xml:space="preserve"> We also recognised the potential educational benefits to trainee and practicing solicitors who delivered PLE. </w:t>
      </w:r>
    </w:p>
    <w:p w14:paraId="5EC36EE5" w14:textId="3D0D0144" w:rsidR="00C638C6" w:rsidRPr="00E44378" w:rsidRDefault="00C638C6" w:rsidP="00E44378">
      <w:pPr>
        <w:pStyle w:val="Body"/>
        <w:spacing w:after="160" w:line="480" w:lineRule="auto"/>
        <w:jc w:val="both"/>
        <w:rPr>
          <w:rFonts w:ascii="Palatino Linotype" w:hAnsi="Palatino Linotype" w:cs="Arial"/>
          <w:color w:val="auto"/>
          <w:sz w:val="24"/>
          <w:szCs w:val="24"/>
          <w:lang w:val="en-IE"/>
        </w:rPr>
      </w:pPr>
      <w:r w:rsidRPr="00E44378">
        <w:rPr>
          <w:rFonts w:ascii="Palatino Linotype" w:hAnsi="Palatino Linotype" w:cs="Arial"/>
          <w:color w:val="auto"/>
          <w:sz w:val="24"/>
          <w:szCs w:val="24"/>
          <w:lang w:val="en-IE"/>
        </w:rPr>
        <w:t xml:space="preserve">Our list of programmes has also expanded </w:t>
      </w:r>
      <w:r w:rsidR="00952FBB" w:rsidRPr="00E44378">
        <w:rPr>
          <w:rFonts w:ascii="Palatino Linotype" w:hAnsi="Palatino Linotype" w:cs="Arial"/>
          <w:color w:val="auto"/>
          <w:sz w:val="24"/>
          <w:szCs w:val="24"/>
          <w:lang w:val="en-IE"/>
        </w:rPr>
        <w:t>in addition to our Street Law schools programme</w:t>
      </w:r>
      <w:r w:rsidRPr="00E44378">
        <w:rPr>
          <w:rFonts w:ascii="Palatino Linotype" w:hAnsi="Palatino Linotype" w:cs="Arial"/>
          <w:color w:val="auto"/>
          <w:sz w:val="24"/>
          <w:szCs w:val="24"/>
          <w:lang w:val="en-IE"/>
        </w:rPr>
        <w:t xml:space="preserve">; </w:t>
      </w:r>
    </w:p>
    <w:p w14:paraId="6E14DBC0" w14:textId="5636BDC0" w:rsidR="00952FBB" w:rsidRPr="00E44378" w:rsidRDefault="00952FBB" w:rsidP="00E44378">
      <w:pPr>
        <w:pStyle w:val="Body"/>
        <w:numPr>
          <w:ilvl w:val="0"/>
          <w:numId w:val="40"/>
        </w:numPr>
        <w:spacing w:after="160" w:line="480" w:lineRule="auto"/>
        <w:ind w:left="714" w:hanging="357"/>
        <w:jc w:val="both"/>
        <w:rPr>
          <w:rFonts w:ascii="Palatino Linotype" w:hAnsi="Palatino Linotype" w:cs="Arial"/>
          <w:b/>
          <w:color w:val="auto"/>
          <w:sz w:val="24"/>
          <w:szCs w:val="24"/>
          <w:lang w:val="en-IE"/>
        </w:rPr>
      </w:pPr>
      <w:r w:rsidRPr="00E44378">
        <w:rPr>
          <w:rFonts w:ascii="Palatino Linotype" w:hAnsi="Palatino Linotype" w:cs="Arial"/>
          <w:color w:val="auto"/>
          <w:sz w:val="24"/>
          <w:szCs w:val="24"/>
          <w:lang w:val="en-IE"/>
        </w:rPr>
        <w:t>Street Law Prison</w:t>
      </w:r>
      <w:r w:rsidRPr="00E44378">
        <w:rPr>
          <w:rStyle w:val="FootnoteReference"/>
          <w:rFonts w:ascii="Palatino Linotype" w:hAnsi="Palatino Linotype" w:cs="Arial"/>
          <w:b/>
          <w:color w:val="auto"/>
          <w:sz w:val="24"/>
          <w:szCs w:val="24"/>
          <w:lang w:val="en-IE"/>
        </w:rPr>
        <w:footnoteReference w:id="19"/>
      </w:r>
      <w:r w:rsidRPr="00E44378">
        <w:rPr>
          <w:rFonts w:ascii="Palatino Linotype" w:hAnsi="Palatino Linotype" w:cs="Arial"/>
          <w:b/>
          <w:color w:val="auto"/>
          <w:sz w:val="24"/>
          <w:szCs w:val="24"/>
          <w:lang w:val="en-IE"/>
        </w:rPr>
        <w:t xml:space="preserve">, </w:t>
      </w:r>
      <w:r w:rsidRPr="00E44378">
        <w:rPr>
          <w:rFonts w:ascii="Palatino Linotype" w:eastAsia="Times New Roman" w:hAnsi="Palatino Linotype" w:cs="Times New Roman"/>
          <w:color w:val="auto"/>
          <w:sz w:val="24"/>
          <w:szCs w:val="24"/>
          <w:lang w:val="en-IE"/>
        </w:rPr>
        <w:t>collaborating with organisations such as Solas</w:t>
      </w:r>
      <w:r w:rsidR="00603B95" w:rsidRPr="00E44378">
        <w:rPr>
          <w:rStyle w:val="FootnoteReference"/>
          <w:rFonts w:ascii="Palatino Linotype" w:eastAsia="Times New Roman" w:hAnsi="Palatino Linotype" w:cs="Times New Roman"/>
          <w:color w:val="auto"/>
          <w:sz w:val="24"/>
          <w:szCs w:val="24"/>
          <w:lang w:val="en-IE"/>
        </w:rPr>
        <w:footnoteReference w:id="20"/>
      </w:r>
      <w:r w:rsidRPr="00E44378">
        <w:rPr>
          <w:rFonts w:ascii="Palatino Linotype" w:eastAsia="Times New Roman" w:hAnsi="Palatino Linotype" w:cs="Times New Roman"/>
          <w:color w:val="auto"/>
          <w:sz w:val="24"/>
          <w:szCs w:val="24"/>
          <w:lang w:val="en-IE"/>
        </w:rPr>
        <w:t xml:space="preserve"> and working with detainees in Wheatfield</w:t>
      </w:r>
      <w:r w:rsidR="00F22B58" w:rsidRPr="00E44378">
        <w:rPr>
          <w:rFonts w:ascii="Palatino Linotype" w:eastAsia="Times New Roman" w:hAnsi="Palatino Linotype" w:cs="Times New Roman"/>
          <w:color w:val="auto"/>
          <w:sz w:val="24"/>
          <w:szCs w:val="24"/>
          <w:lang w:val="en-IE"/>
        </w:rPr>
        <w:t xml:space="preserve">, </w:t>
      </w:r>
      <w:r w:rsidRPr="00E44378">
        <w:rPr>
          <w:rFonts w:ascii="Palatino Linotype" w:eastAsia="Times New Roman" w:hAnsi="Palatino Linotype" w:cs="Times New Roman"/>
          <w:color w:val="auto"/>
          <w:sz w:val="24"/>
          <w:szCs w:val="24"/>
          <w:lang w:val="en-IE"/>
        </w:rPr>
        <w:t>Mountjoy Prison</w:t>
      </w:r>
      <w:r w:rsidR="00F22B58" w:rsidRPr="00E44378">
        <w:rPr>
          <w:rFonts w:ascii="Palatino Linotype" w:eastAsia="Times New Roman" w:hAnsi="Palatino Linotype" w:cs="Times New Roman"/>
          <w:color w:val="auto"/>
          <w:sz w:val="24"/>
          <w:szCs w:val="24"/>
          <w:lang w:val="en-IE"/>
        </w:rPr>
        <w:t xml:space="preserve">, Oberstown and the Dochas Centre. </w:t>
      </w:r>
    </w:p>
    <w:p w14:paraId="59A84B5E" w14:textId="5552DEB0" w:rsidR="00952FBB" w:rsidRPr="00E44378" w:rsidRDefault="00952FBB" w:rsidP="00E44378">
      <w:pPr>
        <w:pStyle w:val="Body"/>
        <w:numPr>
          <w:ilvl w:val="0"/>
          <w:numId w:val="40"/>
        </w:numPr>
        <w:spacing w:after="160" w:line="480" w:lineRule="auto"/>
        <w:ind w:left="714" w:hanging="357"/>
        <w:jc w:val="both"/>
        <w:rPr>
          <w:rFonts w:ascii="Palatino Linotype" w:hAnsi="Palatino Linotype" w:cs="Arial"/>
          <w:b/>
          <w:color w:val="auto"/>
          <w:sz w:val="24"/>
          <w:szCs w:val="24"/>
          <w:lang w:val="en-IE"/>
        </w:rPr>
      </w:pPr>
      <w:r w:rsidRPr="00E44378">
        <w:rPr>
          <w:rFonts w:ascii="Palatino Linotype" w:hAnsi="Palatino Linotype" w:cs="Arial"/>
          <w:color w:val="auto"/>
          <w:sz w:val="24"/>
          <w:szCs w:val="24"/>
          <w:lang w:val="en-IE"/>
        </w:rPr>
        <w:t>Solicitors of the Future</w:t>
      </w:r>
      <w:r w:rsidRPr="00E44378">
        <w:rPr>
          <w:rStyle w:val="FootnoteReference"/>
          <w:rFonts w:ascii="Palatino Linotype" w:hAnsi="Palatino Linotype" w:cs="Arial"/>
          <w:color w:val="auto"/>
          <w:sz w:val="24"/>
          <w:szCs w:val="24"/>
          <w:lang w:val="en-IE"/>
        </w:rPr>
        <w:footnoteReference w:id="21"/>
      </w:r>
      <w:r w:rsidRPr="00E44378">
        <w:rPr>
          <w:rFonts w:ascii="Palatino Linotype" w:hAnsi="Palatino Linotype" w:cs="Arial"/>
          <w:color w:val="auto"/>
          <w:sz w:val="24"/>
          <w:szCs w:val="24"/>
          <w:lang w:val="en-IE"/>
        </w:rPr>
        <w:t xml:space="preserve"> , an innovative work experience programme for school students</w:t>
      </w:r>
      <w:r w:rsidRPr="00E44378">
        <w:rPr>
          <w:rFonts w:ascii="Palatino Linotype" w:hAnsi="Palatino Linotype" w:cs="Arial"/>
          <w:b/>
          <w:color w:val="auto"/>
          <w:sz w:val="24"/>
          <w:szCs w:val="24"/>
          <w:lang w:val="en-IE"/>
        </w:rPr>
        <w:t xml:space="preserve"> </w:t>
      </w:r>
      <w:r w:rsidR="00603B95" w:rsidRPr="00E44378">
        <w:rPr>
          <w:rFonts w:ascii="Palatino Linotype" w:hAnsi="Palatino Linotype" w:cs="Arial"/>
          <w:color w:val="auto"/>
          <w:sz w:val="24"/>
          <w:szCs w:val="24"/>
          <w:lang w:val="en-IE"/>
        </w:rPr>
        <w:t>which</w:t>
      </w:r>
      <w:r w:rsidRPr="00E44378">
        <w:rPr>
          <w:rFonts w:ascii="Palatino Linotype" w:hAnsi="Palatino Linotype" w:cs="Arial"/>
          <w:color w:val="auto"/>
          <w:sz w:val="24"/>
          <w:szCs w:val="24"/>
          <w:shd w:val="clear" w:color="auto" w:fill="FFFFFF"/>
          <w:lang w:val="en-IE"/>
        </w:rPr>
        <w:t xml:space="preserve"> provides students with an introduction to the solicitor’s profession</w:t>
      </w:r>
    </w:p>
    <w:p w14:paraId="5799D9BB" w14:textId="1205F2FA" w:rsidR="009F68A2" w:rsidRPr="00E44378" w:rsidRDefault="009E0C69" w:rsidP="00E44378">
      <w:pPr>
        <w:pStyle w:val="Body"/>
        <w:numPr>
          <w:ilvl w:val="0"/>
          <w:numId w:val="40"/>
        </w:numPr>
        <w:spacing w:after="160" w:line="480" w:lineRule="auto"/>
        <w:ind w:left="714" w:hanging="357"/>
        <w:jc w:val="both"/>
        <w:rPr>
          <w:rFonts w:ascii="Palatino Linotype" w:hAnsi="Palatino Linotype" w:cs="Arial"/>
          <w:color w:val="auto"/>
          <w:sz w:val="24"/>
          <w:szCs w:val="24"/>
          <w:lang w:val="en-IE"/>
        </w:rPr>
      </w:pPr>
      <w:r w:rsidRPr="00E44378">
        <w:rPr>
          <w:rFonts w:ascii="Palatino Linotype" w:hAnsi="Palatino Linotype" w:cs="Arial"/>
          <w:color w:val="auto"/>
          <w:sz w:val="24"/>
          <w:szCs w:val="24"/>
          <w:lang w:val="en-IE"/>
        </w:rPr>
        <w:t>Certificate in Public Legal Education</w:t>
      </w:r>
      <w:r w:rsidRPr="00E44378">
        <w:rPr>
          <w:rStyle w:val="FootnoteReference"/>
          <w:rFonts w:ascii="Palatino Linotype" w:hAnsi="Palatino Linotype" w:cs="Arial"/>
          <w:color w:val="auto"/>
          <w:sz w:val="24"/>
          <w:szCs w:val="24"/>
          <w:lang w:val="en-IE"/>
        </w:rPr>
        <w:footnoteReference w:id="22"/>
      </w:r>
      <w:r w:rsidRPr="00E44378">
        <w:rPr>
          <w:rFonts w:ascii="Palatino Linotype" w:hAnsi="Palatino Linotype" w:cs="Arial"/>
          <w:color w:val="auto"/>
          <w:sz w:val="24"/>
          <w:szCs w:val="24"/>
          <w:lang w:val="en-IE"/>
        </w:rPr>
        <w:t>, which aims to develop the skills of solicitors to run an effective PLE programme in their own communities</w:t>
      </w:r>
    </w:p>
    <w:p w14:paraId="48F25F8C" w14:textId="26EC05CA" w:rsidR="00952FBB" w:rsidRPr="00E44378" w:rsidRDefault="00055F8A" w:rsidP="00E44378">
      <w:pPr>
        <w:pStyle w:val="Body"/>
        <w:numPr>
          <w:ilvl w:val="0"/>
          <w:numId w:val="40"/>
        </w:numPr>
        <w:spacing w:after="160" w:line="480" w:lineRule="auto"/>
        <w:ind w:left="714" w:hanging="357"/>
        <w:jc w:val="both"/>
        <w:rPr>
          <w:rFonts w:ascii="Palatino Linotype" w:hAnsi="Palatino Linotype" w:cs="Arial"/>
          <w:b/>
          <w:color w:val="auto"/>
          <w:sz w:val="24"/>
          <w:szCs w:val="24"/>
          <w:lang w:val="en-IE"/>
        </w:rPr>
      </w:pPr>
      <w:r w:rsidRPr="00E44378">
        <w:rPr>
          <w:rFonts w:ascii="Palatino Linotype" w:eastAsia="Times New Roman" w:hAnsi="Palatino Linotype" w:cs="Times New Roman"/>
          <w:color w:val="auto"/>
          <w:sz w:val="24"/>
          <w:szCs w:val="24"/>
          <w:lang w:val="en-IE"/>
        </w:rPr>
        <w:t>W</w:t>
      </w:r>
      <w:r w:rsidR="00952FBB" w:rsidRPr="00E44378">
        <w:rPr>
          <w:rFonts w:ascii="Palatino Linotype" w:eastAsia="Times New Roman" w:hAnsi="Palatino Linotype" w:cs="Times New Roman"/>
          <w:color w:val="auto"/>
          <w:sz w:val="24"/>
          <w:szCs w:val="24"/>
          <w:lang w:val="en-IE"/>
        </w:rPr>
        <w:t xml:space="preserve">orking with community service </w:t>
      </w:r>
      <w:r w:rsidR="00603B95" w:rsidRPr="00E44378">
        <w:rPr>
          <w:rFonts w:ascii="Palatino Linotype" w:eastAsia="Times New Roman" w:hAnsi="Palatino Linotype" w:cs="Times New Roman"/>
          <w:color w:val="auto"/>
          <w:sz w:val="24"/>
          <w:szCs w:val="24"/>
          <w:lang w:val="en-IE"/>
        </w:rPr>
        <w:t xml:space="preserve">organisations </w:t>
      </w:r>
      <w:r w:rsidR="00952FBB" w:rsidRPr="00E44378">
        <w:rPr>
          <w:rFonts w:ascii="Palatino Linotype" w:eastAsia="Times New Roman" w:hAnsi="Palatino Linotype" w:cs="Times New Roman"/>
          <w:color w:val="auto"/>
          <w:sz w:val="24"/>
          <w:szCs w:val="24"/>
          <w:lang w:val="en-IE"/>
        </w:rPr>
        <w:t>such as Public Interest Law Alliance (PILA) and Future Voices</w:t>
      </w:r>
      <w:r w:rsidR="00603B95" w:rsidRPr="00E44378">
        <w:rPr>
          <w:rStyle w:val="FootnoteReference"/>
          <w:rFonts w:ascii="Palatino Linotype" w:eastAsia="Times New Roman" w:hAnsi="Palatino Linotype" w:cs="Times New Roman"/>
          <w:color w:val="auto"/>
          <w:sz w:val="24"/>
          <w:szCs w:val="24"/>
          <w:lang w:val="en-IE"/>
        </w:rPr>
        <w:footnoteReference w:id="23"/>
      </w:r>
      <w:r w:rsidR="00952FBB" w:rsidRPr="00E44378">
        <w:rPr>
          <w:rFonts w:ascii="Palatino Linotype" w:eastAsia="Times New Roman" w:hAnsi="Palatino Linotype" w:cs="Times New Roman"/>
          <w:color w:val="auto"/>
          <w:sz w:val="24"/>
          <w:szCs w:val="24"/>
          <w:lang w:val="en-IE"/>
        </w:rPr>
        <w:t xml:space="preserve"> to assist a group of youths in making a submission to the Law Reform Commission on proposed cyber-bullying legislation.</w:t>
      </w:r>
    </w:p>
    <w:p w14:paraId="79C264DD" w14:textId="77777777" w:rsidR="005F762B" w:rsidRPr="00E44378" w:rsidRDefault="005F762B" w:rsidP="00E44378">
      <w:pPr>
        <w:pStyle w:val="Body"/>
        <w:spacing w:after="160" w:line="480" w:lineRule="auto"/>
        <w:ind w:left="720"/>
        <w:jc w:val="both"/>
        <w:rPr>
          <w:rFonts w:ascii="Palatino Linotype" w:hAnsi="Palatino Linotype" w:cs="Arial"/>
          <w:b/>
          <w:color w:val="auto"/>
          <w:sz w:val="24"/>
          <w:szCs w:val="24"/>
          <w:lang w:val="en-IE"/>
        </w:rPr>
      </w:pPr>
    </w:p>
    <w:p w14:paraId="4B12BDE3" w14:textId="475508CC" w:rsidR="00D96E0B" w:rsidRPr="00E44378" w:rsidRDefault="00D96E0B" w:rsidP="00E44378">
      <w:pPr>
        <w:pStyle w:val="Body"/>
        <w:spacing w:after="160" w:line="480" w:lineRule="auto"/>
        <w:jc w:val="both"/>
        <w:rPr>
          <w:rFonts w:ascii="Palatino Linotype" w:eastAsia="Times New Roman" w:hAnsi="Palatino Linotype" w:cs="Times New Roman"/>
          <w:color w:val="auto"/>
          <w:sz w:val="24"/>
          <w:szCs w:val="24"/>
          <w:lang w:val="en-IE"/>
        </w:rPr>
      </w:pPr>
      <w:r w:rsidRPr="00E44378">
        <w:rPr>
          <w:rFonts w:ascii="Palatino Linotype" w:eastAsia="Times New Roman" w:hAnsi="Palatino Linotype" w:cs="Times New Roman"/>
          <w:color w:val="auto"/>
          <w:sz w:val="24"/>
          <w:szCs w:val="24"/>
          <w:lang w:val="en-IE"/>
        </w:rPr>
        <w:t>In addition</w:t>
      </w:r>
      <w:r w:rsidR="00CC4CBC" w:rsidRPr="00E44378">
        <w:rPr>
          <w:rFonts w:ascii="Palatino Linotype" w:eastAsia="Times New Roman" w:hAnsi="Palatino Linotype" w:cs="Times New Roman"/>
          <w:color w:val="auto"/>
          <w:sz w:val="24"/>
          <w:szCs w:val="24"/>
          <w:lang w:val="en-IE"/>
        </w:rPr>
        <w:t>,</w:t>
      </w:r>
      <w:r w:rsidRPr="00E44378">
        <w:rPr>
          <w:rFonts w:ascii="Palatino Linotype" w:eastAsia="Times New Roman" w:hAnsi="Palatino Linotype" w:cs="Times New Roman"/>
          <w:color w:val="auto"/>
          <w:sz w:val="24"/>
          <w:szCs w:val="24"/>
          <w:lang w:val="en-IE"/>
        </w:rPr>
        <w:t xml:space="preserve"> our Street Law Orientation model </w:t>
      </w:r>
      <w:r w:rsidR="00957EE5" w:rsidRPr="00E44378">
        <w:rPr>
          <w:rFonts w:ascii="Palatino Linotype" w:eastAsia="Times New Roman" w:hAnsi="Palatino Linotype" w:cs="Times New Roman"/>
          <w:color w:val="auto"/>
          <w:sz w:val="24"/>
          <w:szCs w:val="24"/>
          <w:lang w:val="en-IE"/>
        </w:rPr>
        <w:t xml:space="preserve">run in collaboration with Professor Richard Roe and </w:t>
      </w:r>
      <w:r w:rsidR="00F22B58" w:rsidRPr="00E44378">
        <w:rPr>
          <w:rFonts w:ascii="Palatino Linotype" w:eastAsia="Times New Roman" w:hAnsi="Palatino Linotype" w:cs="Times New Roman"/>
          <w:color w:val="auto"/>
          <w:sz w:val="24"/>
          <w:szCs w:val="24"/>
          <w:lang w:val="en-IE"/>
        </w:rPr>
        <w:t xml:space="preserve">fellows of </w:t>
      </w:r>
      <w:r w:rsidR="00957EE5" w:rsidRPr="00E44378">
        <w:rPr>
          <w:rFonts w:ascii="Palatino Linotype" w:eastAsia="Times New Roman" w:hAnsi="Palatino Linotype" w:cs="Times New Roman"/>
          <w:color w:val="auto"/>
          <w:sz w:val="24"/>
          <w:szCs w:val="24"/>
          <w:lang w:val="en-IE"/>
        </w:rPr>
        <w:t>the Georgetown Street Law clinic</w:t>
      </w:r>
      <w:r w:rsidRPr="00E44378">
        <w:rPr>
          <w:rStyle w:val="FootnoteReference"/>
          <w:rFonts w:ascii="Palatino Linotype" w:eastAsia="Times New Roman" w:hAnsi="Palatino Linotype" w:cs="Times New Roman"/>
          <w:color w:val="auto"/>
          <w:sz w:val="24"/>
          <w:szCs w:val="24"/>
          <w:lang w:val="en-IE"/>
        </w:rPr>
        <w:footnoteReference w:id="24"/>
      </w:r>
      <w:r w:rsidR="00CC4CBC" w:rsidRPr="00E44378">
        <w:rPr>
          <w:rFonts w:ascii="Palatino Linotype" w:eastAsia="Times New Roman" w:hAnsi="Palatino Linotype" w:cs="Times New Roman"/>
          <w:color w:val="auto"/>
          <w:sz w:val="24"/>
          <w:szCs w:val="24"/>
          <w:lang w:val="en-IE"/>
        </w:rPr>
        <w:t xml:space="preserve"> </w:t>
      </w:r>
      <w:r w:rsidR="00957EE5" w:rsidRPr="00E44378">
        <w:rPr>
          <w:rFonts w:ascii="Palatino Linotype" w:eastAsia="Times New Roman" w:hAnsi="Palatino Linotype" w:cs="Times New Roman"/>
          <w:color w:val="auto"/>
          <w:sz w:val="24"/>
          <w:szCs w:val="24"/>
          <w:lang w:val="en-IE"/>
        </w:rPr>
        <w:t>has become a launch</w:t>
      </w:r>
      <w:r w:rsidR="00CC4CBC" w:rsidRPr="00E44378">
        <w:rPr>
          <w:rFonts w:ascii="Palatino Linotype" w:eastAsia="Times New Roman" w:hAnsi="Palatino Linotype" w:cs="Times New Roman"/>
          <w:color w:val="auto"/>
          <w:sz w:val="24"/>
          <w:szCs w:val="24"/>
          <w:lang w:val="en-IE"/>
        </w:rPr>
        <w:t xml:space="preserve"> </w:t>
      </w:r>
      <w:r w:rsidR="00957EE5" w:rsidRPr="00E44378">
        <w:rPr>
          <w:rFonts w:ascii="Palatino Linotype" w:eastAsia="Times New Roman" w:hAnsi="Palatino Linotype" w:cs="Times New Roman"/>
          <w:color w:val="auto"/>
          <w:sz w:val="24"/>
          <w:szCs w:val="24"/>
          <w:lang w:val="en-IE"/>
        </w:rPr>
        <w:t>pad for other educational institutions to develop their own PLE Street Law programmes. Each year</w:t>
      </w:r>
      <w:r w:rsidR="00CC4CBC" w:rsidRPr="00E44378">
        <w:rPr>
          <w:rFonts w:ascii="Palatino Linotype" w:eastAsia="Times New Roman" w:hAnsi="Palatino Linotype" w:cs="Times New Roman"/>
          <w:color w:val="auto"/>
          <w:sz w:val="24"/>
          <w:szCs w:val="24"/>
          <w:lang w:val="en-IE"/>
        </w:rPr>
        <w:t>,</w:t>
      </w:r>
      <w:r w:rsidR="00957EE5" w:rsidRPr="00E44378">
        <w:rPr>
          <w:rFonts w:ascii="Palatino Linotype" w:eastAsia="Times New Roman" w:hAnsi="Palatino Linotype" w:cs="Times New Roman"/>
          <w:color w:val="auto"/>
          <w:sz w:val="24"/>
          <w:szCs w:val="24"/>
          <w:lang w:val="en-IE"/>
        </w:rPr>
        <w:t xml:space="preserve"> we facilitate institutions interested in launching their own programmes in attending at this weekend training</w:t>
      </w:r>
      <w:r w:rsidR="00CC4CBC" w:rsidRPr="00E44378">
        <w:rPr>
          <w:rFonts w:ascii="Palatino Linotype" w:eastAsia="Times New Roman" w:hAnsi="Palatino Linotype" w:cs="Times New Roman"/>
          <w:color w:val="auto"/>
          <w:sz w:val="24"/>
          <w:szCs w:val="24"/>
          <w:lang w:val="en-IE"/>
        </w:rPr>
        <w:t>,</w:t>
      </w:r>
      <w:r w:rsidR="00957EE5" w:rsidRPr="00E44378">
        <w:rPr>
          <w:rFonts w:ascii="Palatino Linotype" w:eastAsia="Times New Roman" w:hAnsi="Palatino Linotype" w:cs="Times New Roman"/>
          <w:color w:val="auto"/>
          <w:sz w:val="24"/>
          <w:szCs w:val="24"/>
          <w:lang w:val="en-IE"/>
        </w:rPr>
        <w:t xml:space="preserve"> which has </w:t>
      </w:r>
      <w:r w:rsidR="00F22B58" w:rsidRPr="00E44378">
        <w:rPr>
          <w:rFonts w:ascii="Palatino Linotype" w:eastAsia="Times New Roman" w:hAnsi="Palatino Linotype" w:cs="Times New Roman"/>
          <w:color w:val="auto"/>
          <w:sz w:val="24"/>
          <w:szCs w:val="24"/>
          <w:lang w:val="en-IE"/>
        </w:rPr>
        <w:t>supported</w:t>
      </w:r>
      <w:r w:rsidR="00957EE5" w:rsidRPr="00E44378">
        <w:rPr>
          <w:rFonts w:ascii="Palatino Linotype" w:eastAsia="Times New Roman" w:hAnsi="Palatino Linotype" w:cs="Times New Roman"/>
          <w:color w:val="auto"/>
          <w:sz w:val="24"/>
          <w:szCs w:val="24"/>
          <w:lang w:val="en-IE"/>
        </w:rPr>
        <w:t xml:space="preserve"> new </w:t>
      </w:r>
      <w:r w:rsidR="00CC4CBC" w:rsidRPr="00E44378">
        <w:rPr>
          <w:rFonts w:ascii="Palatino Linotype" w:eastAsia="Times New Roman" w:hAnsi="Palatino Linotype" w:cs="Times New Roman"/>
          <w:color w:val="auto"/>
          <w:sz w:val="24"/>
          <w:szCs w:val="24"/>
          <w:lang w:val="en-IE"/>
        </w:rPr>
        <w:t>S</w:t>
      </w:r>
      <w:r w:rsidR="00957EE5" w:rsidRPr="00E44378">
        <w:rPr>
          <w:rFonts w:ascii="Palatino Linotype" w:eastAsia="Times New Roman" w:hAnsi="Palatino Linotype" w:cs="Times New Roman"/>
          <w:color w:val="auto"/>
          <w:sz w:val="24"/>
          <w:szCs w:val="24"/>
          <w:lang w:val="en-IE"/>
        </w:rPr>
        <w:t xml:space="preserve">treet </w:t>
      </w:r>
      <w:r w:rsidR="00CC4CBC" w:rsidRPr="00E44378">
        <w:rPr>
          <w:rFonts w:ascii="Palatino Linotype" w:eastAsia="Times New Roman" w:hAnsi="Palatino Linotype" w:cs="Times New Roman"/>
          <w:color w:val="auto"/>
          <w:sz w:val="24"/>
          <w:szCs w:val="24"/>
          <w:lang w:val="en-IE"/>
        </w:rPr>
        <w:t>L</w:t>
      </w:r>
      <w:r w:rsidR="00957EE5" w:rsidRPr="00E44378">
        <w:rPr>
          <w:rFonts w:ascii="Palatino Linotype" w:eastAsia="Times New Roman" w:hAnsi="Palatino Linotype" w:cs="Times New Roman"/>
          <w:color w:val="auto"/>
          <w:sz w:val="24"/>
          <w:szCs w:val="24"/>
          <w:lang w:val="en-IE"/>
        </w:rPr>
        <w:t xml:space="preserve">aw programmes at Law Society of Scotland, Letterkenny IT, Open University, Middlesex </w:t>
      </w:r>
      <w:r w:rsidR="005F762B" w:rsidRPr="00E44378">
        <w:rPr>
          <w:rFonts w:ascii="Palatino Linotype" w:eastAsia="Times New Roman" w:hAnsi="Palatino Linotype" w:cs="Times New Roman"/>
          <w:color w:val="auto"/>
          <w:sz w:val="24"/>
          <w:szCs w:val="24"/>
          <w:lang w:val="en-IE"/>
        </w:rPr>
        <w:t>University,</w:t>
      </w:r>
      <w:r w:rsidR="00957EE5" w:rsidRPr="00E44378">
        <w:rPr>
          <w:rFonts w:ascii="Palatino Linotype" w:eastAsia="Times New Roman" w:hAnsi="Palatino Linotype" w:cs="Times New Roman"/>
          <w:color w:val="auto"/>
          <w:sz w:val="24"/>
          <w:szCs w:val="24"/>
          <w:lang w:val="en-IE"/>
        </w:rPr>
        <w:t xml:space="preserve"> University of Birmingham</w:t>
      </w:r>
      <w:r w:rsidR="00CC4CBC" w:rsidRPr="00E44378">
        <w:rPr>
          <w:rFonts w:ascii="Palatino Linotype" w:eastAsia="Times New Roman" w:hAnsi="Palatino Linotype" w:cs="Times New Roman"/>
          <w:color w:val="auto"/>
          <w:sz w:val="24"/>
          <w:szCs w:val="24"/>
          <w:lang w:val="en-IE"/>
        </w:rPr>
        <w:t>,</w:t>
      </w:r>
      <w:r w:rsidR="00957EE5" w:rsidRPr="00E44378">
        <w:rPr>
          <w:rFonts w:ascii="Palatino Linotype" w:eastAsia="Times New Roman" w:hAnsi="Palatino Linotype" w:cs="Times New Roman"/>
          <w:color w:val="auto"/>
          <w:sz w:val="24"/>
          <w:szCs w:val="24"/>
          <w:lang w:val="en-IE"/>
        </w:rPr>
        <w:t xml:space="preserve"> </w:t>
      </w:r>
      <w:r w:rsidR="00F22B58" w:rsidRPr="00E44378">
        <w:rPr>
          <w:rFonts w:ascii="Palatino Linotype" w:eastAsia="Times New Roman" w:hAnsi="Palatino Linotype" w:cs="Times New Roman"/>
          <w:color w:val="auto"/>
          <w:sz w:val="24"/>
          <w:szCs w:val="24"/>
          <w:lang w:val="en-IE"/>
        </w:rPr>
        <w:t xml:space="preserve">National University of Ireland, Galway </w:t>
      </w:r>
      <w:r w:rsidR="00957EE5" w:rsidRPr="00E44378">
        <w:rPr>
          <w:rFonts w:ascii="Palatino Linotype" w:eastAsia="Times New Roman" w:hAnsi="Palatino Linotype" w:cs="Times New Roman"/>
          <w:color w:val="auto"/>
          <w:sz w:val="24"/>
          <w:szCs w:val="24"/>
          <w:lang w:val="en-IE"/>
        </w:rPr>
        <w:t>and the University of Limerick.</w:t>
      </w:r>
    </w:p>
    <w:p w14:paraId="4B65D7BF" w14:textId="77777777" w:rsidR="008568B2" w:rsidRPr="00E44378" w:rsidRDefault="0062114A" w:rsidP="00E44378">
      <w:pPr>
        <w:pStyle w:val="Heading2"/>
        <w:numPr>
          <w:ilvl w:val="0"/>
          <w:numId w:val="37"/>
        </w:numPr>
        <w:spacing w:after="160" w:line="480" w:lineRule="auto"/>
        <w:rPr>
          <w:rFonts w:ascii="Palatino Linotype" w:hAnsi="Palatino Linotype"/>
          <w:sz w:val="24"/>
          <w:szCs w:val="24"/>
        </w:rPr>
      </w:pPr>
      <w:r w:rsidRPr="00E44378">
        <w:rPr>
          <w:rFonts w:ascii="Palatino Linotype" w:hAnsi="Palatino Linotype"/>
          <w:sz w:val="24"/>
          <w:szCs w:val="24"/>
        </w:rPr>
        <w:t>How MOOCs fit within PLE</w:t>
      </w:r>
    </w:p>
    <w:p w14:paraId="2FDB3273" w14:textId="0DF8FCFB" w:rsidR="009176BF" w:rsidRPr="00E44378" w:rsidRDefault="009176BF" w:rsidP="00E44378">
      <w:pPr>
        <w:pStyle w:val="Body"/>
        <w:spacing w:after="160" w:line="480" w:lineRule="auto"/>
        <w:jc w:val="both"/>
        <w:rPr>
          <w:rFonts w:ascii="Palatino Linotype" w:hAnsi="Palatino Linotype"/>
          <w:sz w:val="24"/>
          <w:szCs w:val="24"/>
        </w:rPr>
      </w:pPr>
      <w:r w:rsidRPr="00E44378">
        <w:rPr>
          <w:rFonts w:ascii="Palatino Linotype" w:hAnsi="Palatino Linotype"/>
          <w:sz w:val="24"/>
          <w:szCs w:val="24"/>
        </w:rPr>
        <w:t xml:space="preserve">MOOCs have developed as a stream of the open education movement generally and feature common traits including being open, participatory, distributed, and supporting lifelong learning. Given that they are open to all, MOOCs have contributed to a </w:t>
      </w:r>
      <w:r w:rsidRPr="00E44378">
        <w:rPr>
          <w:rFonts w:ascii="Palatino Linotype" w:hAnsi="Palatino Linotype"/>
          <w:sz w:val="24"/>
          <w:szCs w:val="24"/>
          <w:lang w:val="en-IE"/>
        </w:rPr>
        <w:t>democratisation</w:t>
      </w:r>
      <w:r w:rsidRPr="00E44378">
        <w:rPr>
          <w:rFonts w:ascii="Palatino Linotype" w:hAnsi="Palatino Linotype"/>
          <w:sz w:val="24"/>
          <w:szCs w:val="24"/>
        </w:rPr>
        <w:t xml:space="preserve"> of education</w:t>
      </w:r>
      <w:r w:rsidR="002723E4" w:rsidRPr="00E44378">
        <w:rPr>
          <w:rFonts w:ascii="Palatino Linotype" w:hAnsi="Palatino Linotype"/>
          <w:sz w:val="24"/>
          <w:szCs w:val="24"/>
        </w:rPr>
        <w:t xml:space="preserve">; </w:t>
      </w:r>
      <w:r w:rsidRPr="00E44378">
        <w:rPr>
          <w:rFonts w:ascii="Palatino Linotype" w:hAnsi="Palatino Linotype"/>
          <w:sz w:val="24"/>
          <w:szCs w:val="24"/>
        </w:rPr>
        <w:t>they have the advantage to providers of scalability and extending reach globally. Online learning can still be regarded as problematic and the quality of learning offered may be suspect if the proper learning supports are not in place</w:t>
      </w:r>
      <w:r w:rsidR="004A5F54" w:rsidRPr="00E44378">
        <w:rPr>
          <w:rStyle w:val="FootnoteReference"/>
          <w:rFonts w:ascii="Palatino Linotype" w:hAnsi="Palatino Linotype"/>
          <w:sz w:val="24"/>
          <w:szCs w:val="24"/>
        </w:rPr>
        <w:footnoteReference w:id="25"/>
      </w:r>
      <w:r w:rsidRPr="00E44378">
        <w:rPr>
          <w:rFonts w:ascii="Palatino Linotype" w:hAnsi="Palatino Linotype"/>
          <w:sz w:val="24"/>
          <w:szCs w:val="24"/>
        </w:rPr>
        <w:t xml:space="preserve">. More recent research advises educators to “harness the enormous </w:t>
      </w:r>
      <w:r w:rsidRPr="00E44378">
        <w:rPr>
          <w:rFonts w:ascii="Palatino Linotype" w:hAnsi="Palatino Linotype"/>
          <w:sz w:val="24"/>
          <w:szCs w:val="24"/>
        </w:rPr>
        <w:lastRenderedPageBreak/>
        <w:t>opportunities that MOOCs might afford for providing access to knowledge and education, whilst equally addressing problematic issues like high dropout rates and sustainable cost models”</w:t>
      </w:r>
      <w:r w:rsidR="002723E4" w:rsidRPr="00E44378">
        <w:rPr>
          <w:rStyle w:val="FootnoteReference"/>
          <w:rFonts w:ascii="Palatino Linotype" w:hAnsi="Palatino Linotype"/>
          <w:sz w:val="24"/>
          <w:szCs w:val="24"/>
        </w:rPr>
        <w:footnoteReference w:id="26"/>
      </w:r>
      <w:r w:rsidRPr="00E44378">
        <w:rPr>
          <w:rFonts w:ascii="Palatino Linotype" w:hAnsi="Palatino Linotype"/>
          <w:sz w:val="24"/>
          <w:szCs w:val="24"/>
        </w:rPr>
        <w:t xml:space="preserve">.  </w:t>
      </w:r>
    </w:p>
    <w:p w14:paraId="2E78FED8" w14:textId="4ED910EF" w:rsidR="004C1BFE" w:rsidRPr="00E44378" w:rsidRDefault="004C1BFE" w:rsidP="00E44378">
      <w:pPr>
        <w:pStyle w:val="Body"/>
        <w:spacing w:after="160" w:line="480" w:lineRule="auto"/>
        <w:jc w:val="both"/>
        <w:rPr>
          <w:rFonts w:ascii="Palatino Linotype" w:hAnsi="Palatino Linotype"/>
          <w:sz w:val="24"/>
          <w:szCs w:val="24"/>
        </w:rPr>
      </w:pPr>
      <w:r w:rsidRPr="00E44378">
        <w:rPr>
          <w:rFonts w:ascii="Palatino Linotype" w:hAnsi="Palatino Linotype"/>
          <w:sz w:val="24"/>
          <w:szCs w:val="24"/>
        </w:rPr>
        <w:t>Buoyed by the enthusiastic reception for Street Law and mindful of the public’s increased demand and interest in understanding the law and the solicitor profession, we piloted the inaugural MOOC in 2014 in ‘Aviation Leasing and Finance’, an industry which has a significant presence in the jurisdiction.</w:t>
      </w:r>
      <w:r w:rsidR="006D1B83" w:rsidRPr="00E44378">
        <w:rPr>
          <w:rFonts w:ascii="Palatino Linotype" w:hAnsi="Palatino Linotype"/>
          <w:sz w:val="24"/>
          <w:szCs w:val="24"/>
        </w:rPr>
        <w:t xml:space="preserve"> </w:t>
      </w:r>
    </w:p>
    <w:p w14:paraId="32C81B58" w14:textId="212B1966" w:rsidR="00AE3325" w:rsidRPr="00E44378" w:rsidRDefault="00AE3325"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 xml:space="preserve">The Society </w:t>
      </w:r>
      <w:r w:rsidR="009F42C0" w:rsidRPr="00E44378">
        <w:rPr>
          <w:rFonts w:ascii="Palatino Linotype" w:hAnsi="Palatino Linotype" w:cs="Arial"/>
          <w:sz w:val="24"/>
          <w:szCs w:val="24"/>
        </w:rPr>
        <w:t xml:space="preserve">as an institution </w:t>
      </w:r>
      <w:r w:rsidRPr="00E44378">
        <w:rPr>
          <w:rFonts w:ascii="Palatino Linotype" w:hAnsi="Palatino Linotype" w:cs="Arial"/>
          <w:sz w:val="24"/>
          <w:szCs w:val="24"/>
        </w:rPr>
        <w:t>has always had a strong sense of corporate social responsibility (CSR) represented by a vision for responsible and sustainable business practice through the adoption and implementation of best practice in CSR</w:t>
      </w:r>
      <w:r w:rsidRPr="00E44378">
        <w:rPr>
          <w:rStyle w:val="FootnoteReference"/>
          <w:rFonts w:ascii="Palatino Linotype" w:hAnsi="Palatino Linotype" w:cs="Arial"/>
          <w:sz w:val="24"/>
          <w:szCs w:val="24"/>
        </w:rPr>
        <w:footnoteReference w:id="27"/>
      </w:r>
      <w:r w:rsidRPr="00E44378">
        <w:rPr>
          <w:rFonts w:ascii="Palatino Linotype" w:hAnsi="Palatino Linotype" w:cs="Arial"/>
          <w:sz w:val="24"/>
          <w:szCs w:val="24"/>
        </w:rPr>
        <w:t>.</w:t>
      </w:r>
      <w:r w:rsidR="009F42C0" w:rsidRPr="00E44378">
        <w:rPr>
          <w:rFonts w:ascii="Palatino Linotype" w:hAnsi="Palatino Linotype" w:cs="Arial"/>
          <w:sz w:val="24"/>
          <w:szCs w:val="24"/>
        </w:rPr>
        <w:t xml:space="preserve"> The Society</w:t>
      </w:r>
      <w:r w:rsidRPr="00E44378">
        <w:rPr>
          <w:rFonts w:ascii="Palatino Linotype" w:hAnsi="Palatino Linotype" w:cs="Arial"/>
          <w:sz w:val="24"/>
          <w:szCs w:val="24"/>
        </w:rPr>
        <w:t xml:space="preserve"> strives, in partnership with members, trainee solicitors, and employees, to work in a responsible and ethical way, to lead by example, to be a champion of CSR among the profession, and to continuously improve activities and processes. </w:t>
      </w:r>
    </w:p>
    <w:p w14:paraId="450F6A42" w14:textId="471054DC" w:rsidR="00AE3325" w:rsidRPr="00E44378" w:rsidRDefault="00AE3325"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The PLE initiatives have significant institutional support amongst staff and management. The National Plan on CSR in Ireland 2017-2020</w:t>
      </w:r>
      <w:r w:rsidRPr="00E44378">
        <w:rPr>
          <w:rStyle w:val="FootnoteReference"/>
          <w:rFonts w:ascii="Palatino Linotype" w:hAnsi="Palatino Linotype" w:cs="Arial"/>
          <w:sz w:val="24"/>
          <w:szCs w:val="24"/>
        </w:rPr>
        <w:footnoteReference w:id="28"/>
      </w:r>
      <w:r w:rsidRPr="00E44378">
        <w:rPr>
          <w:rFonts w:ascii="Palatino Linotype" w:hAnsi="Palatino Linotype" w:cs="Arial"/>
          <w:sz w:val="24"/>
          <w:szCs w:val="24"/>
        </w:rPr>
        <w:t>, also identifies “Community” as one of its four core dimensions (workplace, marketplace, environment and community)</w:t>
      </w:r>
      <w:r w:rsidRPr="00E44378">
        <w:rPr>
          <w:rStyle w:val="Hyperlink"/>
          <w:rFonts w:ascii="Palatino Linotype" w:hAnsi="Palatino Linotype"/>
          <w:color w:val="auto"/>
          <w:sz w:val="24"/>
          <w:szCs w:val="24"/>
          <w:u w:val="none"/>
        </w:rPr>
        <w:t>.</w:t>
      </w:r>
      <w:r w:rsidRPr="00E44378">
        <w:rPr>
          <w:rFonts w:ascii="Palatino Linotype" w:hAnsi="Palatino Linotype" w:cs="Arial"/>
          <w:sz w:val="24"/>
          <w:szCs w:val="24"/>
        </w:rPr>
        <w:t xml:space="preserve"> In relation to this core pillar of community, the PLE </w:t>
      </w:r>
      <w:r w:rsidRPr="00E44378">
        <w:rPr>
          <w:rFonts w:ascii="Palatino Linotype" w:hAnsi="Palatino Linotype" w:cs="Arial"/>
          <w:sz w:val="24"/>
          <w:szCs w:val="24"/>
        </w:rPr>
        <w:lastRenderedPageBreak/>
        <w:t xml:space="preserve">project aligns with the dual objectives of provision and promotion of legal information and community engagement. We are mindful of the privilege of our position and keen to </w:t>
      </w:r>
      <w:r w:rsidR="006D1B83" w:rsidRPr="00E44378">
        <w:rPr>
          <w:rFonts w:ascii="Palatino Linotype" w:hAnsi="Palatino Linotype" w:cs="Arial"/>
          <w:sz w:val="24"/>
          <w:szCs w:val="24"/>
        </w:rPr>
        <w:t>instil</w:t>
      </w:r>
      <w:r w:rsidRPr="00E44378">
        <w:rPr>
          <w:rFonts w:ascii="Palatino Linotype" w:hAnsi="Palatino Linotype" w:cs="Arial"/>
          <w:sz w:val="24"/>
          <w:szCs w:val="24"/>
        </w:rPr>
        <w:t xml:space="preserve"> in future generations of the profession the positive contribution that they can make to the community with their legal training. We are keen to support the public interest in encouraging wider access to legal education and to the legal profession, and our PLE programmes deliver on both counts.</w:t>
      </w:r>
      <w:r w:rsidR="006D1B83" w:rsidRPr="00E44378">
        <w:rPr>
          <w:rFonts w:ascii="Palatino Linotype" w:hAnsi="Palatino Linotype" w:cs="Arial"/>
          <w:sz w:val="24"/>
          <w:szCs w:val="24"/>
        </w:rPr>
        <w:t xml:space="preserve"> </w:t>
      </w:r>
      <w:r w:rsidR="004D1189" w:rsidRPr="00E44378">
        <w:rPr>
          <w:rFonts w:ascii="Palatino Linotype" w:hAnsi="Palatino Linotype" w:cs="Arial"/>
          <w:sz w:val="24"/>
          <w:szCs w:val="24"/>
        </w:rPr>
        <w:t>Significantly t</w:t>
      </w:r>
      <w:r w:rsidR="004C1BFE" w:rsidRPr="00E44378">
        <w:rPr>
          <w:rFonts w:ascii="Palatino Linotype" w:hAnsi="Palatino Linotype" w:cs="Arial"/>
          <w:sz w:val="24"/>
          <w:szCs w:val="24"/>
        </w:rPr>
        <w:t xml:space="preserve">he most recent version of the </w:t>
      </w:r>
      <w:r w:rsidR="008C0367" w:rsidRPr="00E44378">
        <w:rPr>
          <w:rFonts w:ascii="Palatino Linotype" w:hAnsi="Palatino Linotype" w:cs="Arial"/>
          <w:sz w:val="24"/>
          <w:szCs w:val="24"/>
        </w:rPr>
        <w:t xml:space="preserve">Law Society of Ireland </w:t>
      </w:r>
      <w:r w:rsidR="004C1BFE" w:rsidRPr="00E44378">
        <w:rPr>
          <w:rFonts w:ascii="Palatino Linotype" w:hAnsi="Palatino Linotype" w:cs="Arial"/>
          <w:sz w:val="24"/>
          <w:szCs w:val="24"/>
        </w:rPr>
        <w:t xml:space="preserve">Future Strategy Statement includes a goal that the Society specifically promotes ‘[E]ngaged citizenship and civic responsibility by promoting legal awareness’. The </w:t>
      </w:r>
      <w:r w:rsidR="008C0367" w:rsidRPr="00E44378">
        <w:rPr>
          <w:rFonts w:ascii="Palatino Linotype" w:hAnsi="Palatino Linotype" w:cs="Arial"/>
          <w:sz w:val="24"/>
          <w:szCs w:val="24"/>
        </w:rPr>
        <w:t xml:space="preserve">Society </w:t>
      </w:r>
      <w:r w:rsidR="004C1BFE" w:rsidRPr="00E44378">
        <w:rPr>
          <w:rFonts w:ascii="Palatino Linotype" w:hAnsi="Palatino Linotype" w:cs="Arial"/>
          <w:sz w:val="24"/>
          <w:szCs w:val="24"/>
        </w:rPr>
        <w:t>has</w:t>
      </w:r>
      <w:r w:rsidR="001B7537" w:rsidRPr="00E44378">
        <w:rPr>
          <w:rFonts w:ascii="Palatino Linotype" w:hAnsi="Palatino Linotype" w:cs="Arial"/>
          <w:sz w:val="24"/>
          <w:szCs w:val="24"/>
        </w:rPr>
        <w:t xml:space="preserve"> identified the potential </w:t>
      </w:r>
      <w:r w:rsidR="007661B3" w:rsidRPr="00E44378">
        <w:rPr>
          <w:rFonts w:ascii="Palatino Linotype" w:hAnsi="Palatino Linotype" w:cs="Arial"/>
          <w:sz w:val="24"/>
          <w:szCs w:val="24"/>
        </w:rPr>
        <w:t>of MOOCs</w:t>
      </w:r>
      <w:r w:rsidR="001B7537" w:rsidRPr="00E44378">
        <w:rPr>
          <w:rFonts w:ascii="Palatino Linotype" w:hAnsi="Palatino Linotype" w:cs="Arial"/>
          <w:sz w:val="24"/>
          <w:szCs w:val="24"/>
        </w:rPr>
        <w:t xml:space="preserve"> </w:t>
      </w:r>
      <w:r w:rsidR="007661B3" w:rsidRPr="00E44378">
        <w:rPr>
          <w:rFonts w:ascii="Palatino Linotype" w:hAnsi="Palatino Linotype" w:cs="Arial"/>
          <w:sz w:val="24"/>
          <w:szCs w:val="24"/>
        </w:rPr>
        <w:t>to align</w:t>
      </w:r>
      <w:r w:rsidR="001B7537" w:rsidRPr="00E44378">
        <w:rPr>
          <w:rFonts w:ascii="Palatino Linotype" w:hAnsi="Palatino Linotype" w:cs="Arial"/>
          <w:sz w:val="24"/>
          <w:szCs w:val="24"/>
        </w:rPr>
        <w:t xml:space="preserve"> with this strategy </w:t>
      </w:r>
      <w:r w:rsidR="008C0367" w:rsidRPr="00E44378">
        <w:rPr>
          <w:rFonts w:ascii="Palatino Linotype" w:hAnsi="Palatino Linotype" w:cs="Arial"/>
          <w:sz w:val="24"/>
          <w:szCs w:val="24"/>
        </w:rPr>
        <w:t>by</w:t>
      </w:r>
      <w:r w:rsidR="001B7537" w:rsidRPr="00E44378">
        <w:rPr>
          <w:rFonts w:ascii="Palatino Linotype" w:hAnsi="Palatino Linotype" w:cs="Arial"/>
          <w:sz w:val="24"/>
          <w:szCs w:val="24"/>
        </w:rPr>
        <w:t xml:space="preserve"> raising legal literacy levels and engaging the public in free legal education</w:t>
      </w:r>
      <w:r w:rsidRPr="00E44378">
        <w:rPr>
          <w:rStyle w:val="FootnoteReference"/>
          <w:rFonts w:ascii="Palatino Linotype" w:hAnsi="Palatino Linotype" w:cs="Arial"/>
          <w:sz w:val="24"/>
          <w:szCs w:val="24"/>
        </w:rPr>
        <w:footnoteReference w:id="29"/>
      </w:r>
      <w:r w:rsidRPr="00E44378">
        <w:rPr>
          <w:rFonts w:ascii="Palatino Linotype" w:hAnsi="Palatino Linotype" w:cs="Arial"/>
          <w:sz w:val="24"/>
          <w:szCs w:val="24"/>
        </w:rPr>
        <w:t xml:space="preserve">. </w:t>
      </w:r>
    </w:p>
    <w:p w14:paraId="7B812DE8" w14:textId="18265AB8" w:rsidR="004C1BFE" w:rsidRPr="00E44378" w:rsidRDefault="004C1BFE" w:rsidP="00E44378">
      <w:pPr>
        <w:spacing w:after="160" w:line="480" w:lineRule="auto"/>
        <w:jc w:val="both"/>
        <w:rPr>
          <w:rFonts w:ascii="Palatino Linotype" w:hAnsi="Palatino Linotype"/>
          <w:sz w:val="24"/>
          <w:szCs w:val="24"/>
        </w:rPr>
      </w:pPr>
      <w:r w:rsidRPr="00E44378">
        <w:rPr>
          <w:rFonts w:ascii="Palatino Linotype" w:hAnsi="Palatino Linotype" w:cs="Arial"/>
          <w:sz w:val="24"/>
          <w:szCs w:val="24"/>
        </w:rPr>
        <w:t xml:space="preserve">The </w:t>
      </w:r>
      <w:r w:rsidR="004D1189" w:rsidRPr="00E44378">
        <w:rPr>
          <w:rFonts w:ascii="Palatino Linotype" w:hAnsi="Palatino Linotype" w:cs="Arial"/>
          <w:sz w:val="24"/>
          <w:szCs w:val="24"/>
        </w:rPr>
        <w:t xml:space="preserve">success of our </w:t>
      </w:r>
      <w:r w:rsidRPr="00E44378">
        <w:rPr>
          <w:rFonts w:ascii="Palatino Linotype" w:hAnsi="Palatino Linotype" w:cs="Arial"/>
          <w:sz w:val="24"/>
          <w:szCs w:val="24"/>
        </w:rPr>
        <w:t xml:space="preserve">MOOC series </w:t>
      </w:r>
      <w:r w:rsidR="004D1189" w:rsidRPr="00E44378">
        <w:rPr>
          <w:rFonts w:ascii="Palatino Linotype" w:hAnsi="Palatino Linotype" w:cs="Arial"/>
          <w:sz w:val="24"/>
          <w:szCs w:val="24"/>
        </w:rPr>
        <w:t>is reflected in the</w:t>
      </w:r>
      <w:r w:rsidRPr="00E44378">
        <w:rPr>
          <w:rFonts w:ascii="Palatino Linotype" w:hAnsi="Palatino Linotype" w:cs="Arial"/>
          <w:sz w:val="24"/>
          <w:szCs w:val="24"/>
        </w:rPr>
        <w:t xml:space="preserve"> upward trajectory in participant numbers – from a student count of 900 on the inaugural offering in 2014 to over 3,200 in 2017, and a cumulative total of 10,000 students over the five year period since 2014.</w:t>
      </w:r>
      <w:r w:rsidR="003C3BDA">
        <w:rPr>
          <w:rFonts w:ascii="Palatino Linotype" w:hAnsi="Palatino Linotype" w:cs="Arial"/>
          <w:sz w:val="24"/>
          <w:szCs w:val="24"/>
        </w:rPr>
        <w:t xml:space="preserve"> </w:t>
      </w:r>
      <w:r w:rsidRPr="00E44378">
        <w:rPr>
          <w:rFonts w:ascii="Palatino Linotype" w:hAnsi="Palatino Linotype"/>
          <w:sz w:val="24"/>
          <w:szCs w:val="24"/>
        </w:rPr>
        <w:t xml:space="preserve">The goal of MOOCs at the </w:t>
      </w:r>
      <w:r w:rsidR="008C0367" w:rsidRPr="00E44378">
        <w:rPr>
          <w:rFonts w:ascii="Palatino Linotype" w:hAnsi="Palatino Linotype"/>
          <w:sz w:val="24"/>
          <w:szCs w:val="24"/>
        </w:rPr>
        <w:t xml:space="preserve">Society </w:t>
      </w:r>
      <w:r w:rsidRPr="00E44378">
        <w:rPr>
          <w:rFonts w:ascii="Palatino Linotype" w:hAnsi="Palatino Linotype"/>
          <w:sz w:val="24"/>
          <w:szCs w:val="24"/>
        </w:rPr>
        <w:t xml:space="preserve">was to widen the provision of public legal education and in the process extend our reach by introducing our educational offerings on a larger scale to potential Diploma Centre students both nationally and internationally. This digital initiative opened up the Law Society to a large audience of legal and non-legal professionals alike and demonstrated the commitment of the organisation to the public interest and increasing access to justice and an understanding of the law. </w:t>
      </w:r>
      <w:r w:rsidRPr="00E44378">
        <w:rPr>
          <w:rFonts w:ascii="Palatino Linotype" w:hAnsi="Palatino Linotype" w:cs="Arial"/>
          <w:sz w:val="24"/>
          <w:szCs w:val="24"/>
        </w:rPr>
        <w:t xml:space="preserve">The </w:t>
      </w:r>
      <w:r w:rsidRPr="00E44378">
        <w:rPr>
          <w:rFonts w:ascii="Palatino Linotype" w:hAnsi="Palatino Linotype" w:cs="Arial"/>
          <w:sz w:val="24"/>
          <w:szCs w:val="24"/>
        </w:rPr>
        <w:lastRenderedPageBreak/>
        <w:t xml:space="preserve">themes of the annual MOOCs at the </w:t>
      </w:r>
      <w:r w:rsidR="008C0367" w:rsidRPr="00E44378">
        <w:rPr>
          <w:rFonts w:ascii="Palatino Linotype" w:hAnsi="Palatino Linotype" w:cs="Arial"/>
          <w:sz w:val="24"/>
          <w:szCs w:val="24"/>
        </w:rPr>
        <w:t xml:space="preserve">Society </w:t>
      </w:r>
      <w:r w:rsidRPr="00E44378">
        <w:rPr>
          <w:rFonts w:ascii="Palatino Linotype" w:hAnsi="Palatino Linotype" w:cs="Arial"/>
          <w:sz w:val="24"/>
          <w:szCs w:val="24"/>
        </w:rPr>
        <w:t xml:space="preserve">are aligned to topical subject matter areas likely to have widespread appeal </w:t>
      </w:r>
      <w:r w:rsidR="008C0367" w:rsidRPr="00E44378">
        <w:rPr>
          <w:rFonts w:ascii="Palatino Linotype" w:hAnsi="Palatino Linotype" w:cs="Arial"/>
          <w:sz w:val="24"/>
          <w:szCs w:val="24"/>
        </w:rPr>
        <w:t xml:space="preserve">for </w:t>
      </w:r>
      <w:r w:rsidRPr="00E44378">
        <w:rPr>
          <w:rFonts w:ascii="Palatino Linotype" w:hAnsi="Palatino Linotype" w:cs="Arial"/>
          <w:sz w:val="24"/>
          <w:szCs w:val="24"/>
        </w:rPr>
        <w:t xml:space="preserve">lawyers and non-lawyers alike and cover areas of practice including technology law, data protection, finance, employment law and media, arts and entertainment law. </w:t>
      </w:r>
      <w:r w:rsidR="006D1B83" w:rsidRPr="00E44378">
        <w:rPr>
          <w:rFonts w:ascii="Palatino Linotype" w:hAnsi="Palatino Linotype" w:cs="Arial"/>
          <w:sz w:val="24"/>
          <w:szCs w:val="24"/>
        </w:rPr>
        <w:t xml:space="preserve">It is made clear that the subject of our MOOCs is the law as it applies in Ireland, but where appropriate with EU and international dimensions fully explored. </w:t>
      </w:r>
      <w:r w:rsidRPr="00E44378">
        <w:rPr>
          <w:rFonts w:ascii="Palatino Linotype" w:hAnsi="Palatino Linotype" w:cs="Arial"/>
          <w:sz w:val="24"/>
          <w:szCs w:val="24"/>
        </w:rPr>
        <w:t xml:space="preserve">The importance of the topic and its applicability across learning domains and countries creates a unique space for lawyer and non-lawyer engagement (as peers) and aligns with the </w:t>
      </w:r>
      <w:r w:rsidR="003066F0" w:rsidRPr="00E44378">
        <w:rPr>
          <w:rFonts w:ascii="Palatino Linotype" w:hAnsi="Palatino Linotype" w:cs="Arial"/>
          <w:sz w:val="24"/>
          <w:szCs w:val="24"/>
        </w:rPr>
        <w:t xml:space="preserve">Society’s </w:t>
      </w:r>
      <w:r w:rsidRPr="00E44378">
        <w:rPr>
          <w:rFonts w:ascii="Palatino Linotype" w:hAnsi="Palatino Linotype" w:cs="Arial"/>
          <w:sz w:val="24"/>
          <w:szCs w:val="24"/>
        </w:rPr>
        <w:t>mission to widen access to legal education and to the legal profession.</w:t>
      </w:r>
      <w:r w:rsidRPr="00E44378">
        <w:rPr>
          <w:rFonts w:ascii="Palatino Linotype" w:hAnsi="Palatino Linotype"/>
          <w:sz w:val="24"/>
          <w:szCs w:val="24"/>
        </w:rPr>
        <w:t xml:space="preserve"> </w:t>
      </w:r>
      <w:r w:rsidR="006D1B83" w:rsidRPr="00E44378">
        <w:rPr>
          <w:rFonts w:ascii="Palatino Linotype" w:hAnsi="Palatino Linotype"/>
          <w:sz w:val="24"/>
          <w:szCs w:val="24"/>
        </w:rPr>
        <w:t xml:space="preserve"> </w:t>
      </w:r>
    </w:p>
    <w:p w14:paraId="038C0BA1" w14:textId="4641C3BE" w:rsidR="00067C7F" w:rsidRPr="00E44378" w:rsidRDefault="00067C7F"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 xml:space="preserve">The MOOC has consistently appealed to students outside of the legal sphere. </w:t>
      </w:r>
      <w:r w:rsidR="00C02806" w:rsidRPr="00E44378">
        <w:rPr>
          <w:rFonts w:ascii="Palatino Linotype" w:hAnsi="Palatino Linotype" w:cs="Arial"/>
          <w:sz w:val="24"/>
          <w:szCs w:val="24"/>
        </w:rPr>
        <w:t xml:space="preserve">MOOCs </w:t>
      </w:r>
      <w:r w:rsidRPr="00E44378">
        <w:rPr>
          <w:rFonts w:ascii="Palatino Linotype" w:hAnsi="Palatino Linotype" w:cs="Arial"/>
          <w:sz w:val="24"/>
          <w:szCs w:val="24"/>
        </w:rPr>
        <w:t xml:space="preserve">are easily accessible and </w:t>
      </w:r>
      <w:r w:rsidR="00F845DC" w:rsidRPr="00E44378">
        <w:rPr>
          <w:rFonts w:ascii="Palatino Linotype" w:hAnsi="Palatino Linotype" w:cs="Arial"/>
          <w:sz w:val="24"/>
          <w:szCs w:val="24"/>
        </w:rPr>
        <w:t xml:space="preserve">the ability for students to direct their own learning in a </w:t>
      </w:r>
      <w:r w:rsidRPr="00E44378">
        <w:rPr>
          <w:rFonts w:ascii="Palatino Linotype" w:hAnsi="Palatino Linotype" w:cs="Arial"/>
          <w:sz w:val="24"/>
          <w:szCs w:val="24"/>
        </w:rPr>
        <w:t>self-paced</w:t>
      </w:r>
      <w:r w:rsidR="00F845DC" w:rsidRPr="00E44378">
        <w:rPr>
          <w:rFonts w:ascii="Palatino Linotype" w:hAnsi="Palatino Linotype" w:cs="Arial"/>
          <w:sz w:val="24"/>
          <w:szCs w:val="24"/>
        </w:rPr>
        <w:t xml:space="preserve"> manner suits </w:t>
      </w:r>
      <w:r w:rsidRPr="00E44378">
        <w:rPr>
          <w:rFonts w:ascii="Palatino Linotype" w:hAnsi="Palatino Linotype" w:cs="Arial"/>
          <w:sz w:val="24"/>
          <w:szCs w:val="24"/>
        </w:rPr>
        <w:t xml:space="preserve">the </w:t>
      </w:r>
      <w:r w:rsidR="00F8533E" w:rsidRPr="00E44378">
        <w:rPr>
          <w:rFonts w:ascii="Palatino Linotype" w:hAnsi="Palatino Linotype" w:cs="Arial"/>
          <w:sz w:val="24"/>
          <w:szCs w:val="24"/>
        </w:rPr>
        <w:t xml:space="preserve">schedule of the </w:t>
      </w:r>
      <w:r w:rsidRPr="00E44378">
        <w:rPr>
          <w:rFonts w:ascii="Palatino Linotype" w:hAnsi="Palatino Linotype" w:cs="Arial"/>
          <w:sz w:val="24"/>
          <w:szCs w:val="24"/>
        </w:rPr>
        <w:t>busy professional</w:t>
      </w:r>
      <w:r w:rsidR="00F845DC" w:rsidRPr="00E44378">
        <w:rPr>
          <w:rFonts w:ascii="Palatino Linotype" w:hAnsi="Palatino Linotype" w:cs="Arial"/>
          <w:sz w:val="24"/>
          <w:szCs w:val="24"/>
        </w:rPr>
        <w:t xml:space="preserve"> or </w:t>
      </w:r>
      <w:r w:rsidR="00AC72D8" w:rsidRPr="00E44378">
        <w:rPr>
          <w:rFonts w:ascii="Palatino Linotype" w:hAnsi="Palatino Linotype" w:cs="Arial"/>
          <w:sz w:val="24"/>
          <w:szCs w:val="24"/>
        </w:rPr>
        <w:t>full-</w:t>
      </w:r>
      <w:r w:rsidR="00F845DC" w:rsidRPr="00E44378">
        <w:rPr>
          <w:rFonts w:ascii="Palatino Linotype" w:hAnsi="Palatino Linotype" w:cs="Arial"/>
          <w:sz w:val="24"/>
          <w:szCs w:val="24"/>
        </w:rPr>
        <w:t>time student</w:t>
      </w:r>
      <w:r w:rsidRPr="00E44378">
        <w:rPr>
          <w:rFonts w:ascii="Palatino Linotype" w:hAnsi="Palatino Linotype" w:cs="Arial"/>
          <w:sz w:val="24"/>
          <w:szCs w:val="24"/>
        </w:rPr>
        <w:t>. In 2018, 50 per</w:t>
      </w:r>
      <w:r w:rsidR="00FC11E0" w:rsidRPr="00E44378">
        <w:rPr>
          <w:rFonts w:ascii="Palatino Linotype" w:hAnsi="Palatino Linotype" w:cs="Arial"/>
          <w:sz w:val="24"/>
          <w:szCs w:val="24"/>
        </w:rPr>
        <w:t xml:space="preserve"> </w:t>
      </w:r>
      <w:r w:rsidRPr="00E44378">
        <w:rPr>
          <w:rFonts w:ascii="Palatino Linotype" w:hAnsi="Palatino Linotype" w:cs="Arial"/>
          <w:sz w:val="24"/>
          <w:szCs w:val="24"/>
        </w:rPr>
        <w:t xml:space="preserve">cent of students identified their highest education level attained as </w:t>
      </w:r>
      <w:r w:rsidR="004C1BFE" w:rsidRPr="00E44378">
        <w:rPr>
          <w:rFonts w:ascii="Palatino Linotype" w:hAnsi="Palatino Linotype" w:cs="Arial"/>
          <w:sz w:val="24"/>
          <w:szCs w:val="24"/>
        </w:rPr>
        <w:t xml:space="preserve">within the non-legal sphere. </w:t>
      </w:r>
      <w:r w:rsidR="00F8533E" w:rsidRPr="00E44378">
        <w:rPr>
          <w:rFonts w:ascii="Palatino Linotype" w:hAnsi="Palatino Linotype" w:cs="Arial"/>
          <w:sz w:val="24"/>
          <w:szCs w:val="24"/>
        </w:rPr>
        <w:t>Similarly, 41 percent of students on t</w:t>
      </w:r>
      <w:r w:rsidRPr="00E44378">
        <w:rPr>
          <w:rFonts w:ascii="Palatino Linotype" w:hAnsi="Palatino Linotype" w:cs="Arial"/>
          <w:sz w:val="24"/>
          <w:szCs w:val="24"/>
        </w:rPr>
        <w:t>he</w:t>
      </w:r>
      <w:r w:rsidR="00934F93" w:rsidRPr="00E44378">
        <w:rPr>
          <w:rFonts w:ascii="Palatino Linotype" w:hAnsi="Palatino Linotype" w:cs="Arial"/>
          <w:sz w:val="24"/>
          <w:szCs w:val="24"/>
        </w:rPr>
        <w:t xml:space="preserve"> </w:t>
      </w:r>
      <w:r w:rsidRPr="00E44378">
        <w:rPr>
          <w:rFonts w:ascii="Palatino Linotype" w:hAnsi="Palatino Linotype" w:cs="Arial"/>
          <w:sz w:val="24"/>
          <w:szCs w:val="24"/>
        </w:rPr>
        <w:t>2017</w:t>
      </w:r>
      <w:r w:rsidR="00934F93" w:rsidRPr="00E44378">
        <w:rPr>
          <w:rFonts w:ascii="Palatino Linotype" w:hAnsi="Palatino Linotype" w:cs="Arial"/>
          <w:sz w:val="24"/>
          <w:szCs w:val="24"/>
        </w:rPr>
        <w:t xml:space="preserve"> </w:t>
      </w:r>
      <w:r w:rsidRPr="00E44378">
        <w:rPr>
          <w:rFonts w:ascii="Palatino Linotype" w:hAnsi="Palatino Linotype" w:cs="Arial"/>
          <w:sz w:val="24"/>
          <w:szCs w:val="24"/>
        </w:rPr>
        <w:t>Employment</w:t>
      </w:r>
      <w:r w:rsidR="00934F93" w:rsidRPr="00E44378">
        <w:rPr>
          <w:rFonts w:ascii="Palatino Linotype" w:hAnsi="Palatino Linotype" w:cs="Arial"/>
          <w:sz w:val="24"/>
          <w:szCs w:val="24"/>
        </w:rPr>
        <w:t xml:space="preserve"> </w:t>
      </w:r>
      <w:r w:rsidR="00C02806" w:rsidRPr="00E44378">
        <w:rPr>
          <w:rFonts w:ascii="Palatino Linotype" w:hAnsi="Palatino Linotype" w:cs="Arial"/>
          <w:sz w:val="24"/>
          <w:szCs w:val="24"/>
        </w:rPr>
        <w:t xml:space="preserve">Law </w:t>
      </w:r>
      <w:r w:rsidR="00FC11E0" w:rsidRPr="00E44378">
        <w:rPr>
          <w:rFonts w:ascii="Palatino Linotype" w:hAnsi="Palatino Linotype" w:cs="Arial"/>
          <w:sz w:val="24"/>
          <w:szCs w:val="24"/>
        </w:rPr>
        <w:t>MOOC</w:t>
      </w:r>
      <w:r w:rsidR="00934F93" w:rsidRPr="00E44378">
        <w:rPr>
          <w:rFonts w:ascii="Palatino Linotype" w:hAnsi="Palatino Linotype" w:cs="Arial"/>
          <w:sz w:val="24"/>
          <w:szCs w:val="24"/>
        </w:rPr>
        <w:t xml:space="preserve"> </w:t>
      </w:r>
      <w:r w:rsidRPr="00E44378">
        <w:rPr>
          <w:rFonts w:ascii="Palatino Linotype" w:hAnsi="Palatino Linotype" w:cs="Arial"/>
          <w:sz w:val="24"/>
          <w:szCs w:val="24"/>
        </w:rPr>
        <w:t>were</w:t>
      </w:r>
      <w:r w:rsidR="00934F93" w:rsidRPr="00E44378">
        <w:rPr>
          <w:rFonts w:ascii="Palatino Linotype" w:hAnsi="Palatino Linotype" w:cs="Arial"/>
          <w:sz w:val="24"/>
          <w:szCs w:val="24"/>
        </w:rPr>
        <w:t xml:space="preserve"> </w:t>
      </w:r>
      <w:r w:rsidRPr="00E44378">
        <w:rPr>
          <w:rFonts w:ascii="Palatino Linotype" w:hAnsi="Palatino Linotype" w:cs="Arial"/>
          <w:sz w:val="24"/>
          <w:szCs w:val="24"/>
        </w:rPr>
        <w:t>from</w:t>
      </w:r>
      <w:r w:rsidR="00934F93" w:rsidRPr="00E44378">
        <w:rPr>
          <w:rFonts w:ascii="Palatino Linotype" w:hAnsi="Palatino Linotype" w:cs="Arial"/>
          <w:sz w:val="24"/>
          <w:szCs w:val="24"/>
        </w:rPr>
        <w:t xml:space="preserve"> </w:t>
      </w:r>
      <w:r w:rsidRPr="00E44378">
        <w:rPr>
          <w:rFonts w:ascii="Palatino Linotype" w:hAnsi="Palatino Linotype" w:cs="Arial"/>
          <w:sz w:val="24"/>
          <w:szCs w:val="24"/>
        </w:rPr>
        <w:t>non-legal</w:t>
      </w:r>
      <w:r w:rsidR="00934F93" w:rsidRPr="00E44378">
        <w:rPr>
          <w:rFonts w:ascii="Palatino Linotype" w:hAnsi="Palatino Linotype" w:cs="Arial"/>
          <w:sz w:val="24"/>
          <w:szCs w:val="24"/>
        </w:rPr>
        <w:t xml:space="preserve"> </w:t>
      </w:r>
      <w:r w:rsidRPr="00E44378">
        <w:rPr>
          <w:rFonts w:ascii="Palatino Linotype" w:hAnsi="Palatino Linotype" w:cs="Arial"/>
          <w:sz w:val="24"/>
          <w:szCs w:val="24"/>
        </w:rPr>
        <w:t xml:space="preserve">backgrounds. </w:t>
      </w:r>
    </w:p>
    <w:p w14:paraId="51DE150E" w14:textId="77777777" w:rsidR="00067C7F" w:rsidRPr="00E44378" w:rsidRDefault="00067C7F" w:rsidP="00E44378">
      <w:pPr>
        <w:spacing w:after="160" w:line="480" w:lineRule="auto"/>
        <w:ind w:left="787"/>
        <w:contextualSpacing/>
        <w:jc w:val="both"/>
        <w:rPr>
          <w:rFonts w:ascii="Palatino Linotype" w:hAnsi="Palatino Linotype" w:cs="Arial"/>
          <w:b/>
          <w:sz w:val="24"/>
          <w:szCs w:val="24"/>
        </w:rPr>
      </w:pPr>
      <w:r w:rsidRPr="00E44378">
        <w:rPr>
          <w:rFonts w:ascii="Palatino Linotype" w:hAnsi="Palatino Linotype"/>
          <w:noProof/>
          <w:sz w:val="24"/>
          <w:szCs w:val="24"/>
          <w:lang w:val="en-GB" w:eastAsia="en-GB"/>
        </w:rPr>
        <w:lastRenderedPageBreak/>
        <w:drawing>
          <wp:inline distT="0" distB="0" distL="0" distR="0" wp14:anchorId="6A0B38DE" wp14:editId="4B919030">
            <wp:extent cx="5724525" cy="2628900"/>
            <wp:effectExtent l="0" t="0" r="9525" b="0"/>
            <wp:docPr id="3" name="Picture 3" descr="I:\Diplomas\Marketing\Educational Technology\ELTJ\background materials\law background by ye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iplomas\Marketing\Educational Technology\ELTJ\background materials\law background by ye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2628900"/>
                    </a:xfrm>
                    <a:prstGeom prst="rect">
                      <a:avLst/>
                    </a:prstGeom>
                    <a:noFill/>
                    <a:ln>
                      <a:noFill/>
                    </a:ln>
                  </pic:spPr>
                </pic:pic>
              </a:graphicData>
            </a:graphic>
          </wp:inline>
        </w:drawing>
      </w:r>
    </w:p>
    <w:p w14:paraId="4FDAA30F" w14:textId="5F7C641F" w:rsidR="00067C7F" w:rsidRPr="00E44378" w:rsidRDefault="00067C7F" w:rsidP="00E44378">
      <w:pPr>
        <w:spacing w:after="160" w:line="480" w:lineRule="auto"/>
        <w:jc w:val="both"/>
        <w:rPr>
          <w:rFonts w:ascii="Palatino Linotype" w:hAnsi="Palatino Linotype" w:cs="Arial"/>
          <w:i/>
          <w:sz w:val="24"/>
          <w:szCs w:val="24"/>
        </w:rPr>
      </w:pPr>
      <w:r w:rsidRPr="00E44378">
        <w:rPr>
          <w:rFonts w:ascii="Palatino Linotype" w:hAnsi="Palatino Linotype" w:cs="Arial"/>
          <w:i/>
          <w:sz w:val="24"/>
          <w:szCs w:val="24"/>
        </w:rPr>
        <w:t xml:space="preserve">Figure 2: </w:t>
      </w:r>
      <w:r w:rsidR="00FC11E0" w:rsidRPr="00E44378">
        <w:rPr>
          <w:rFonts w:ascii="Palatino Linotype" w:hAnsi="Palatino Linotype" w:cs="Arial"/>
          <w:i/>
          <w:sz w:val="24"/>
          <w:szCs w:val="24"/>
        </w:rPr>
        <w:t>S</w:t>
      </w:r>
      <w:r w:rsidRPr="00E44378">
        <w:rPr>
          <w:rFonts w:ascii="Palatino Linotype" w:hAnsi="Palatino Linotype" w:cs="Arial"/>
          <w:i/>
          <w:sz w:val="24"/>
          <w:szCs w:val="24"/>
        </w:rPr>
        <w:t>tudent background by year (2015 – 2018)</w:t>
      </w:r>
      <w:r w:rsidR="00AC72D8" w:rsidRPr="00E44378">
        <w:rPr>
          <w:rFonts w:ascii="Palatino Linotype" w:hAnsi="Palatino Linotype" w:cs="Arial"/>
          <w:i/>
          <w:sz w:val="24"/>
          <w:szCs w:val="24"/>
        </w:rPr>
        <w:t xml:space="preserve"> </w:t>
      </w:r>
    </w:p>
    <w:p w14:paraId="62668F90" w14:textId="66426B33" w:rsidR="00FC11E0" w:rsidRPr="00E44378" w:rsidRDefault="00F8533E"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 xml:space="preserve">The </w:t>
      </w:r>
      <w:r w:rsidR="00CB0CC9" w:rsidRPr="00E44378">
        <w:rPr>
          <w:rFonts w:ascii="Palatino Linotype" w:hAnsi="Palatino Linotype" w:cs="Arial"/>
          <w:sz w:val="24"/>
          <w:szCs w:val="24"/>
        </w:rPr>
        <w:t>intrinsic</w:t>
      </w:r>
      <w:r w:rsidR="00736A85" w:rsidRPr="00E44378">
        <w:rPr>
          <w:rFonts w:ascii="Palatino Linotype" w:hAnsi="Palatino Linotype" w:cs="Arial"/>
          <w:sz w:val="24"/>
          <w:szCs w:val="24"/>
        </w:rPr>
        <w:t xml:space="preserve"> role of the MOOC as </w:t>
      </w:r>
      <w:r w:rsidR="00CB0CC9" w:rsidRPr="00E44378">
        <w:rPr>
          <w:rFonts w:ascii="Palatino Linotype" w:hAnsi="Palatino Linotype" w:cs="Arial"/>
          <w:sz w:val="24"/>
          <w:szCs w:val="24"/>
        </w:rPr>
        <w:t xml:space="preserve">a </w:t>
      </w:r>
      <w:r w:rsidR="00736A85" w:rsidRPr="00E44378">
        <w:rPr>
          <w:rFonts w:ascii="Palatino Linotype" w:hAnsi="Palatino Linotype" w:cs="Arial"/>
          <w:sz w:val="24"/>
          <w:szCs w:val="24"/>
        </w:rPr>
        <w:t>knowledge provider</w:t>
      </w:r>
      <w:r w:rsidRPr="00E44378">
        <w:rPr>
          <w:rFonts w:ascii="Palatino Linotype" w:hAnsi="Palatino Linotype" w:cs="Arial"/>
          <w:sz w:val="24"/>
          <w:szCs w:val="24"/>
        </w:rPr>
        <w:t xml:space="preserve"> has also been noted in our survey responses. 93 per cent of students on the final evaluation survey of the 2018 </w:t>
      </w:r>
      <w:r w:rsidR="003A645A" w:rsidRPr="00E44378">
        <w:rPr>
          <w:rFonts w:ascii="Palatino Linotype" w:hAnsi="Palatino Linotype" w:cs="Arial"/>
          <w:sz w:val="24"/>
          <w:szCs w:val="24"/>
        </w:rPr>
        <w:t xml:space="preserve">Sports Law </w:t>
      </w:r>
      <w:r w:rsidR="00FC11E0" w:rsidRPr="00E44378">
        <w:rPr>
          <w:rFonts w:ascii="Palatino Linotype" w:hAnsi="Palatino Linotype" w:cs="Arial"/>
          <w:sz w:val="24"/>
          <w:szCs w:val="24"/>
        </w:rPr>
        <w:t xml:space="preserve">MOOC </w:t>
      </w:r>
      <w:r w:rsidRPr="00E44378">
        <w:rPr>
          <w:rFonts w:ascii="Palatino Linotype" w:hAnsi="Palatino Linotype" w:cs="Arial"/>
          <w:sz w:val="24"/>
          <w:szCs w:val="24"/>
        </w:rPr>
        <w:t xml:space="preserve">noted that their primary motivating factor for undertaking the course was to enhance their knowledge </w:t>
      </w:r>
      <w:r w:rsidR="00CB0CC9" w:rsidRPr="00E44378">
        <w:rPr>
          <w:rFonts w:ascii="Palatino Linotype" w:hAnsi="Palatino Linotype" w:cs="Arial"/>
          <w:sz w:val="24"/>
          <w:szCs w:val="24"/>
        </w:rPr>
        <w:t xml:space="preserve">of </w:t>
      </w:r>
      <w:r w:rsidR="003A645A" w:rsidRPr="00E44378">
        <w:rPr>
          <w:rFonts w:ascii="Palatino Linotype" w:hAnsi="Palatino Linotype" w:cs="Arial"/>
          <w:sz w:val="24"/>
          <w:szCs w:val="24"/>
        </w:rPr>
        <w:t>the topic</w:t>
      </w:r>
      <w:r w:rsidRPr="00E44378">
        <w:rPr>
          <w:rFonts w:ascii="Palatino Linotype" w:hAnsi="Palatino Linotype" w:cs="Arial"/>
          <w:sz w:val="24"/>
          <w:szCs w:val="24"/>
        </w:rPr>
        <w:t xml:space="preserve">. </w:t>
      </w:r>
      <w:r w:rsidR="00736A85" w:rsidRPr="00E44378">
        <w:rPr>
          <w:rFonts w:ascii="Palatino Linotype" w:hAnsi="Palatino Linotype" w:cs="Arial"/>
          <w:sz w:val="24"/>
          <w:szCs w:val="24"/>
        </w:rPr>
        <w:t xml:space="preserve">Attending the course was purely to gain knowledge, so accreditation was not </w:t>
      </w:r>
      <w:r w:rsidR="00CB0CC9" w:rsidRPr="00E44378">
        <w:rPr>
          <w:rFonts w:ascii="Palatino Linotype" w:hAnsi="Palatino Linotype" w:cs="Arial"/>
          <w:sz w:val="24"/>
          <w:szCs w:val="24"/>
        </w:rPr>
        <w:t>their primary interest</w:t>
      </w:r>
      <w:r w:rsidR="00736A85" w:rsidRPr="00E44378">
        <w:rPr>
          <w:rFonts w:ascii="Palatino Linotype" w:hAnsi="Palatino Linotype" w:cs="Arial"/>
          <w:sz w:val="24"/>
          <w:szCs w:val="24"/>
        </w:rPr>
        <w:t xml:space="preserve">. The Law Society recognises that </w:t>
      </w:r>
      <w:r w:rsidR="00CB0CC9" w:rsidRPr="00E44378">
        <w:rPr>
          <w:rFonts w:ascii="Palatino Linotype" w:hAnsi="Palatino Linotype" w:cs="Arial"/>
          <w:sz w:val="24"/>
          <w:szCs w:val="24"/>
        </w:rPr>
        <w:t xml:space="preserve">imparting </w:t>
      </w:r>
      <w:r w:rsidR="00736A85" w:rsidRPr="00E44378">
        <w:rPr>
          <w:rFonts w:ascii="Palatino Linotype" w:hAnsi="Palatino Linotype" w:cs="Arial"/>
          <w:sz w:val="24"/>
          <w:szCs w:val="24"/>
        </w:rPr>
        <w:t>legal knowledge is fundamentally a public good, and the MOOC is utilised as an effective resource to impart this knowledge for free.  However</w:t>
      </w:r>
      <w:r w:rsidR="00FC11E0" w:rsidRPr="00E44378">
        <w:rPr>
          <w:rFonts w:ascii="Palatino Linotype" w:hAnsi="Palatino Linotype" w:cs="Arial"/>
          <w:sz w:val="24"/>
          <w:szCs w:val="24"/>
        </w:rPr>
        <w:t>,</w:t>
      </w:r>
      <w:r w:rsidR="00736A85" w:rsidRPr="00E44378">
        <w:rPr>
          <w:rFonts w:ascii="Palatino Linotype" w:hAnsi="Palatino Linotype" w:cs="Arial"/>
          <w:sz w:val="24"/>
          <w:szCs w:val="24"/>
        </w:rPr>
        <w:t xml:space="preserve"> t</w:t>
      </w:r>
      <w:r w:rsidR="008568B2" w:rsidRPr="00E44378">
        <w:rPr>
          <w:rFonts w:ascii="Palatino Linotype" w:hAnsi="Palatino Linotype" w:cs="Arial"/>
          <w:sz w:val="24"/>
          <w:szCs w:val="24"/>
        </w:rPr>
        <w:t>he purpose of our approach is to go beyond merely providing information and stating what the law is in a particular area</w:t>
      </w:r>
      <w:r w:rsidR="00FC11E0" w:rsidRPr="00E44378">
        <w:rPr>
          <w:rFonts w:ascii="Palatino Linotype" w:hAnsi="Palatino Linotype" w:cs="Arial"/>
          <w:sz w:val="24"/>
          <w:szCs w:val="24"/>
        </w:rPr>
        <w:t>,</w:t>
      </w:r>
      <w:r w:rsidR="008568B2" w:rsidRPr="00E44378">
        <w:rPr>
          <w:rFonts w:ascii="Palatino Linotype" w:hAnsi="Palatino Linotype" w:cs="Arial"/>
          <w:sz w:val="24"/>
          <w:szCs w:val="24"/>
        </w:rPr>
        <w:t xml:space="preserve"> </w:t>
      </w:r>
      <w:r w:rsidR="00FC11E0" w:rsidRPr="00E44378">
        <w:rPr>
          <w:rFonts w:ascii="Palatino Linotype" w:hAnsi="Palatino Linotype" w:cs="Arial"/>
          <w:sz w:val="24"/>
          <w:szCs w:val="24"/>
        </w:rPr>
        <w:t>and</w:t>
      </w:r>
      <w:r w:rsidR="008568B2" w:rsidRPr="00E44378">
        <w:rPr>
          <w:rFonts w:ascii="Palatino Linotype" w:hAnsi="Palatino Linotype" w:cs="Arial"/>
          <w:sz w:val="24"/>
          <w:szCs w:val="24"/>
        </w:rPr>
        <w:t xml:space="preserve"> to provide examples of law in action and how the law can be applied. A deeper understanding is encouraged by exposing students to the law in a</w:t>
      </w:r>
      <w:r w:rsidR="00F70EC5" w:rsidRPr="00E44378">
        <w:rPr>
          <w:rFonts w:ascii="Palatino Linotype" w:hAnsi="Palatino Linotype" w:cs="Arial"/>
          <w:sz w:val="24"/>
          <w:szCs w:val="24"/>
        </w:rPr>
        <w:t>pplied situations and affording</w:t>
      </w:r>
      <w:r w:rsidR="008568B2" w:rsidRPr="00E44378">
        <w:rPr>
          <w:rFonts w:ascii="Palatino Linotype" w:hAnsi="Palatino Linotype" w:cs="Arial"/>
          <w:sz w:val="24"/>
          <w:szCs w:val="24"/>
        </w:rPr>
        <w:t xml:space="preserve"> an opportunity to problematise and deepen the learning</w:t>
      </w:r>
      <w:r w:rsidR="00736A85" w:rsidRPr="00E44378">
        <w:rPr>
          <w:rFonts w:ascii="Palatino Linotype" w:hAnsi="Palatino Linotype" w:cs="Arial"/>
          <w:sz w:val="24"/>
          <w:szCs w:val="24"/>
        </w:rPr>
        <w:t>,</w:t>
      </w:r>
      <w:r w:rsidR="008568B2" w:rsidRPr="00E44378">
        <w:rPr>
          <w:rFonts w:ascii="Palatino Linotype" w:hAnsi="Palatino Linotype" w:cs="Arial"/>
          <w:sz w:val="24"/>
          <w:szCs w:val="24"/>
        </w:rPr>
        <w:t xml:space="preserve"> turning the information into knowledge</w:t>
      </w:r>
      <w:r w:rsidR="00FC11E0" w:rsidRPr="00E44378">
        <w:rPr>
          <w:rFonts w:ascii="Palatino Linotype" w:hAnsi="Palatino Linotype" w:cs="Arial"/>
          <w:sz w:val="24"/>
          <w:szCs w:val="24"/>
        </w:rPr>
        <w:t>,</w:t>
      </w:r>
      <w:r w:rsidR="008568B2" w:rsidRPr="00E44378">
        <w:rPr>
          <w:rFonts w:ascii="Palatino Linotype" w:hAnsi="Palatino Linotype" w:cs="Arial"/>
          <w:sz w:val="24"/>
          <w:szCs w:val="24"/>
        </w:rPr>
        <w:t xml:space="preserve"> and </w:t>
      </w:r>
      <w:r w:rsidR="00FC11E0" w:rsidRPr="00E44378">
        <w:rPr>
          <w:rFonts w:ascii="Palatino Linotype" w:hAnsi="Palatino Linotype" w:cs="Arial"/>
          <w:sz w:val="24"/>
          <w:szCs w:val="24"/>
        </w:rPr>
        <w:t xml:space="preserve">maximising </w:t>
      </w:r>
      <w:r w:rsidR="008568B2" w:rsidRPr="00E44378">
        <w:rPr>
          <w:rFonts w:ascii="Palatino Linotype" w:hAnsi="Palatino Linotype" w:cs="Arial"/>
          <w:sz w:val="24"/>
          <w:szCs w:val="24"/>
        </w:rPr>
        <w:t xml:space="preserve">the educational benefit.  </w:t>
      </w:r>
    </w:p>
    <w:p w14:paraId="1B9A8FB1" w14:textId="48BF76A2" w:rsidR="008568B2" w:rsidRPr="00E44378" w:rsidRDefault="00FC11E0"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lastRenderedPageBreak/>
        <w:t>O</w:t>
      </w:r>
      <w:r w:rsidR="008568B2" w:rsidRPr="00E44378">
        <w:rPr>
          <w:rFonts w:ascii="Palatino Linotype" w:hAnsi="Palatino Linotype" w:cs="Arial"/>
          <w:sz w:val="24"/>
          <w:szCs w:val="24"/>
        </w:rPr>
        <w:t>ur 2017 MOOC</w:t>
      </w:r>
      <w:r w:rsidRPr="00E44378">
        <w:rPr>
          <w:rFonts w:ascii="Palatino Linotype" w:hAnsi="Palatino Linotype" w:cs="Arial"/>
          <w:sz w:val="24"/>
          <w:szCs w:val="24"/>
        </w:rPr>
        <w:t>, for example,</w:t>
      </w:r>
      <w:r w:rsidR="008568B2" w:rsidRPr="00E44378">
        <w:rPr>
          <w:rFonts w:ascii="Palatino Linotype" w:hAnsi="Palatino Linotype" w:cs="Arial"/>
          <w:sz w:val="24"/>
          <w:szCs w:val="24"/>
        </w:rPr>
        <w:t xml:space="preserve"> explored current employment law issues relevant to a variety of topics concerning law, business</w:t>
      </w:r>
      <w:r w:rsidRPr="00E44378">
        <w:rPr>
          <w:rFonts w:ascii="Palatino Linotype" w:hAnsi="Palatino Linotype" w:cs="Arial"/>
          <w:sz w:val="24"/>
          <w:szCs w:val="24"/>
        </w:rPr>
        <w:t>,</w:t>
      </w:r>
      <w:r w:rsidR="008568B2" w:rsidRPr="00E44378">
        <w:rPr>
          <w:rFonts w:ascii="Palatino Linotype" w:hAnsi="Palatino Linotype" w:cs="Arial"/>
          <w:sz w:val="24"/>
          <w:szCs w:val="24"/>
        </w:rPr>
        <w:t xml:space="preserve"> and human resources in the digital age. These included social media in the workplace; equality law in Ireland; anatomy of an unfair dismissal; dispute resolution mechanisms; </w:t>
      </w:r>
      <w:r w:rsidRPr="00E44378">
        <w:rPr>
          <w:rFonts w:ascii="Palatino Linotype" w:hAnsi="Palatino Linotype" w:cs="Arial"/>
          <w:sz w:val="24"/>
          <w:szCs w:val="24"/>
        </w:rPr>
        <w:t>i</w:t>
      </w:r>
      <w:r w:rsidR="008568B2" w:rsidRPr="00E44378">
        <w:rPr>
          <w:rFonts w:ascii="Palatino Linotype" w:hAnsi="Palatino Linotype" w:cs="Arial"/>
          <w:sz w:val="24"/>
          <w:szCs w:val="24"/>
        </w:rPr>
        <w:t xml:space="preserve">ndustrial relations in Ireland; and employment consequences for Ireland post-Brexit. </w:t>
      </w:r>
      <w:r w:rsidR="00736A85" w:rsidRPr="00E44378">
        <w:rPr>
          <w:rFonts w:ascii="Palatino Linotype" w:hAnsi="Palatino Linotype" w:cs="Arial"/>
          <w:sz w:val="24"/>
          <w:szCs w:val="24"/>
        </w:rPr>
        <w:t xml:space="preserve">We also </w:t>
      </w:r>
      <w:r w:rsidRPr="00E44378">
        <w:rPr>
          <w:rFonts w:ascii="Palatino Linotype" w:hAnsi="Palatino Linotype" w:cs="Arial"/>
          <w:sz w:val="24"/>
          <w:szCs w:val="24"/>
        </w:rPr>
        <w:t xml:space="preserve">drew </w:t>
      </w:r>
      <w:r w:rsidR="00736A85" w:rsidRPr="00E44378">
        <w:rPr>
          <w:rFonts w:ascii="Palatino Linotype" w:hAnsi="Palatino Linotype" w:cs="Arial"/>
          <w:sz w:val="24"/>
          <w:szCs w:val="24"/>
        </w:rPr>
        <w:t xml:space="preserve">on speakers from a myriad of other professions outside of the legal sphere, in keeping with our ethos of openness and collaboration </w:t>
      </w:r>
      <w:r w:rsidR="0060433D" w:rsidRPr="00E44378">
        <w:rPr>
          <w:rFonts w:ascii="Palatino Linotype" w:hAnsi="Palatino Linotype" w:cs="Arial"/>
          <w:sz w:val="24"/>
          <w:szCs w:val="24"/>
        </w:rPr>
        <w:t>with other sectors.</w:t>
      </w:r>
      <w:r w:rsidR="00736A85" w:rsidRPr="00E44378">
        <w:rPr>
          <w:rFonts w:ascii="Palatino Linotype" w:hAnsi="Palatino Linotype" w:cs="Arial"/>
          <w:sz w:val="24"/>
          <w:szCs w:val="24"/>
        </w:rPr>
        <w:t xml:space="preserve"> </w:t>
      </w:r>
      <w:r w:rsidRPr="00E44378">
        <w:rPr>
          <w:rFonts w:ascii="Palatino Linotype" w:hAnsi="Palatino Linotype" w:cs="Arial"/>
          <w:sz w:val="24"/>
          <w:szCs w:val="24"/>
        </w:rPr>
        <w:t xml:space="preserve">By </w:t>
      </w:r>
      <w:r w:rsidR="0060433D" w:rsidRPr="00E44378">
        <w:rPr>
          <w:rFonts w:ascii="Palatino Linotype" w:hAnsi="Palatino Linotype" w:cs="Arial"/>
          <w:sz w:val="24"/>
          <w:szCs w:val="24"/>
        </w:rPr>
        <w:t xml:space="preserve">taking a multifaceted approach which emphasises different modalities, </w:t>
      </w:r>
      <w:r w:rsidR="00FB2E85" w:rsidRPr="00E44378">
        <w:rPr>
          <w:rFonts w:ascii="Palatino Linotype" w:hAnsi="Palatino Linotype" w:cs="Arial"/>
          <w:sz w:val="24"/>
          <w:szCs w:val="24"/>
        </w:rPr>
        <w:t xml:space="preserve">the </w:t>
      </w:r>
      <w:r w:rsidR="008568B2" w:rsidRPr="00E44378">
        <w:rPr>
          <w:rFonts w:ascii="Palatino Linotype" w:hAnsi="Palatino Linotype" w:cs="Arial"/>
          <w:sz w:val="24"/>
          <w:szCs w:val="24"/>
        </w:rPr>
        <w:t>MOOCs</w:t>
      </w:r>
      <w:r w:rsidR="002740F6" w:rsidRPr="00E44378">
        <w:rPr>
          <w:rFonts w:ascii="Palatino Linotype" w:hAnsi="Palatino Linotype" w:cs="Arial"/>
          <w:sz w:val="24"/>
          <w:szCs w:val="24"/>
        </w:rPr>
        <w:t xml:space="preserve"> have been tailored to</w:t>
      </w:r>
      <w:r w:rsidR="008568B2" w:rsidRPr="00E44378">
        <w:rPr>
          <w:rFonts w:ascii="Palatino Linotype" w:hAnsi="Palatino Linotype" w:cs="Arial"/>
          <w:sz w:val="24"/>
          <w:szCs w:val="24"/>
        </w:rPr>
        <w:t xml:space="preserve"> provide a meaningful learning experience that goes beyond the mere descriptive or the provision of information and are of educational benefit.</w:t>
      </w:r>
    </w:p>
    <w:p w14:paraId="3F94DCAA" w14:textId="6401E523" w:rsidR="00067C7F" w:rsidRPr="00E44378" w:rsidRDefault="0060433D"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 xml:space="preserve">Development of the MOOC programme has also allowed us to expand outwards to public education initiatives in other jurisdictions. </w:t>
      </w:r>
      <w:r w:rsidR="00067C7F" w:rsidRPr="00E44378">
        <w:rPr>
          <w:rFonts w:ascii="Palatino Linotype" w:hAnsi="Palatino Linotype" w:cs="Arial"/>
          <w:sz w:val="24"/>
          <w:szCs w:val="24"/>
        </w:rPr>
        <w:t>In 2017</w:t>
      </w:r>
      <w:r w:rsidR="00FC11E0" w:rsidRPr="00E44378">
        <w:rPr>
          <w:rFonts w:ascii="Palatino Linotype" w:hAnsi="Palatino Linotype" w:cs="Arial"/>
          <w:sz w:val="24"/>
          <w:szCs w:val="24"/>
        </w:rPr>
        <w:t>,</w:t>
      </w:r>
      <w:r w:rsidR="00067C7F" w:rsidRPr="00E44378">
        <w:rPr>
          <w:rFonts w:ascii="Palatino Linotype" w:hAnsi="Palatino Linotype" w:cs="Arial"/>
          <w:sz w:val="24"/>
          <w:szCs w:val="24"/>
        </w:rPr>
        <w:t xml:space="preserve"> the Diploma Centre was </w:t>
      </w:r>
      <w:r w:rsidR="008568B2" w:rsidRPr="00E44378">
        <w:rPr>
          <w:rFonts w:ascii="Palatino Linotype" w:hAnsi="Palatino Linotype" w:cs="Arial"/>
          <w:sz w:val="24"/>
          <w:szCs w:val="24"/>
        </w:rPr>
        <w:t xml:space="preserve">part of an international group awarded </w:t>
      </w:r>
      <w:r w:rsidR="00067C7F" w:rsidRPr="00E44378">
        <w:rPr>
          <w:rFonts w:ascii="Palatino Linotype" w:hAnsi="Palatino Linotype" w:cs="Arial"/>
          <w:sz w:val="24"/>
          <w:szCs w:val="24"/>
        </w:rPr>
        <w:t>a grant by the European Commission for the provision of a training course on the EU Victims’ Impact Directive using our MOOC infrastructure. The course utilise</w:t>
      </w:r>
      <w:r w:rsidRPr="00E44378">
        <w:rPr>
          <w:rFonts w:ascii="Palatino Linotype" w:hAnsi="Palatino Linotype" w:cs="Arial"/>
          <w:sz w:val="24"/>
          <w:szCs w:val="24"/>
        </w:rPr>
        <w:t>d</w:t>
      </w:r>
      <w:r w:rsidR="00067C7F" w:rsidRPr="00E44378">
        <w:rPr>
          <w:rFonts w:ascii="Palatino Linotype" w:hAnsi="Palatino Linotype" w:cs="Arial"/>
          <w:sz w:val="24"/>
          <w:szCs w:val="24"/>
        </w:rPr>
        <w:t xml:space="preserve"> the same format as the MOOC and attracted interest from </w:t>
      </w:r>
      <w:r w:rsidR="00FC11E0" w:rsidRPr="00E44378">
        <w:rPr>
          <w:rFonts w:ascii="Palatino Linotype" w:hAnsi="Palatino Linotype" w:cs="Arial"/>
          <w:sz w:val="24"/>
          <w:szCs w:val="24"/>
        </w:rPr>
        <w:t xml:space="preserve">the </w:t>
      </w:r>
      <w:r w:rsidR="00067C7F" w:rsidRPr="00E44378">
        <w:rPr>
          <w:rFonts w:ascii="Palatino Linotype" w:hAnsi="Palatino Linotype" w:cs="Arial"/>
          <w:sz w:val="24"/>
          <w:szCs w:val="24"/>
        </w:rPr>
        <w:t>Gardaí</w:t>
      </w:r>
      <w:r w:rsidR="00FC11E0" w:rsidRPr="00E44378">
        <w:rPr>
          <w:rStyle w:val="FootnoteReference"/>
          <w:rFonts w:ascii="Palatino Linotype" w:hAnsi="Palatino Linotype" w:cs="Arial"/>
          <w:sz w:val="24"/>
          <w:szCs w:val="24"/>
        </w:rPr>
        <w:footnoteReference w:id="30"/>
      </w:r>
      <w:r w:rsidR="00067C7F" w:rsidRPr="00E44378">
        <w:rPr>
          <w:rFonts w:ascii="Palatino Linotype" w:hAnsi="Palatino Linotype" w:cs="Arial"/>
          <w:sz w:val="24"/>
          <w:szCs w:val="24"/>
        </w:rPr>
        <w:t>, Victims Support Groups</w:t>
      </w:r>
      <w:r w:rsidRPr="00E44378">
        <w:rPr>
          <w:rFonts w:ascii="Palatino Linotype" w:hAnsi="Palatino Linotype" w:cs="Arial"/>
          <w:sz w:val="24"/>
          <w:szCs w:val="24"/>
        </w:rPr>
        <w:t>, civil liberty advocates</w:t>
      </w:r>
      <w:r w:rsidR="00DF2F7A" w:rsidRPr="00E44378">
        <w:rPr>
          <w:rFonts w:ascii="Palatino Linotype" w:hAnsi="Palatino Linotype" w:cs="Arial"/>
          <w:sz w:val="24"/>
          <w:szCs w:val="24"/>
        </w:rPr>
        <w:t>,</w:t>
      </w:r>
      <w:r w:rsidR="00067C7F" w:rsidRPr="00E44378">
        <w:rPr>
          <w:rFonts w:ascii="Palatino Linotype" w:hAnsi="Palatino Linotype" w:cs="Arial"/>
          <w:sz w:val="24"/>
          <w:szCs w:val="24"/>
        </w:rPr>
        <w:t xml:space="preserve"> and related professions in Ireland and abroad. </w:t>
      </w:r>
    </w:p>
    <w:p w14:paraId="0CF1FC76" w14:textId="7C5FCEB9" w:rsidR="00736A85" w:rsidRPr="00E44378" w:rsidRDefault="00736A85" w:rsidP="00E44378">
      <w:pPr>
        <w:pStyle w:val="Default"/>
        <w:spacing w:after="160" w:line="480" w:lineRule="auto"/>
        <w:jc w:val="both"/>
        <w:rPr>
          <w:rFonts w:ascii="Palatino Linotype" w:hAnsi="Palatino Linotype" w:cstheme="minorHAnsi"/>
          <w:color w:val="auto"/>
          <w:sz w:val="24"/>
          <w:szCs w:val="24"/>
          <w:lang w:val="en-IE"/>
        </w:rPr>
      </w:pPr>
      <w:r w:rsidRPr="00E44378">
        <w:rPr>
          <w:rFonts w:ascii="Palatino Linotype" w:hAnsi="Palatino Linotype" w:cstheme="minorHAnsi"/>
          <w:color w:val="auto"/>
          <w:sz w:val="24"/>
          <w:szCs w:val="24"/>
          <w:lang w:val="en-IE"/>
        </w:rPr>
        <w:t>In summary, the primary objectives and motivators for the Law Society</w:t>
      </w:r>
      <w:r w:rsidR="008C0367" w:rsidRPr="00E44378">
        <w:rPr>
          <w:rFonts w:ascii="Palatino Linotype" w:hAnsi="Palatino Linotype" w:cstheme="minorHAnsi"/>
          <w:color w:val="auto"/>
          <w:sz w:val="24"/>
          <w:szCs w:val="24"/>
          <w:lang w:val="en-IE"/>
        </w:rPr>
        <w:t xml:space="preserve"> of Ireland</w:t>
      </w:r>
      <w:r w:rsidRPr="00E44378">
        <w:rPr>
          <w:rFonts w:ascii="Palatino Linotype" w:hAnsi="Palatino Linotype" w:cstheme="minorHAnsi"/>
          <w:color w:val="auto"/>
          <w:sz w:val="24"/>
          <w:szCs w:val="24"/>
          <w:lang w:val="en-IE"/>
        </w:rPr>
        <w:t xml:space="preserve"> in the design and delivery of MOOC</w:t>
      </w:r>
      <w:r w:rsidR="00DF2F7A" w:rsidRPr="00E44378">
        <w:rPr>
          <w:rFonts w:ascii="Palatino Linotype" w:hAnsi="Palatino Linotype" w:cstheme="minorHAnsi"/>
          <w:color w:val="auto"/>
          <w:sz w:val="24"/>
          <w:szCs w:val="24"/>
          <w:lang w:val="en-IE"/>
        </w:rPr>
        <w:t>s</w:t>
      </w:r>
      <w:r w:rsidRPr="00E44378">
        <w:rPr>
          <w:rFonts w:ascii="Palatino Linotype" w:hAnsi="Palatino Linotype" w:cstheme="minorHAnsi"/>
          <w:color w:val="auto"/>
          <w:sz w:val="24"/>
          <w:szCs w:val="24"/>
          <w:lang w:val="en-IE"/>
        </w:rPr>
        <w:t xml:space="preserve"> is to provide a course that:  </w:t>
      </w:r>
    </w:p>
    <w:p w14:paraId="4C2ABE1B" w14:textId="0AD0590C" w:rsidR="00736A85" w:rsidRPr="00E44378" w:rsidRDefault="00736A85" w:rsidP="00E44378">
      <w:pPr>
        <w:pStyle w:val="ListParagraph"/>
        <w:numPr>
          <w:ilvl w:val="0"/>
          <w:numId w:val="35"/>
        </w:numPr>
        <w:spacing w:after="160" w:line="480" w:lineRule="auto"/>
        <w:ind w:left="714" w:hanging="357"/>
        <w:jc w:val="both"/>
        <w:rPr>
          <w:rFonts w:ascii="Palatino Linotype" w:hAnsi="Palatino Linotype" w:cs="Arial"/>
          <w:sz w:val="24"/>
          <w:szCs w:val="24"/>
        </w:rPr>
      </w:pPr>
      <w:r w:rsidRPr="00E44378">
        <w:rPr>
          <w:rFonts w:ascii="Palatino Linotype" w:hAnsi="Palatino Linotype" w:cstheme="minorHAnsi"/>
          <w:sz w:val="24"/>
          <w:szCs w:val="24"/>
        </w:rPr>
        <w:lastRenderedPageBreak/>
        <w:t>Aligns with the public interest and</w:t>
      </w:r>
      <w:r w:rsidRPr="00E44378">
        <w:rPr>
          <w:rFonts w:ascii="Palatino Linotype" w:hAnsi="Palatino Linotype" w:cs="Arial"/>
          <w:sz w:val="24"/>
          <w:szCs w:val="24"/>
        </w:rPr>
        <w:t xml:space="preserve"> corporate social responsibility ethos of the Society to serve the community </w:t>
      </w:r>
    </w:p>
    <w:p w14:paraId="1ECBF970" w14:textId="1D177B91" w:rsidR="00736A85" w:rsidRPr="00E44378" w:rsidRDefault="00736A85" w:rsidP="00E44378">
      <w:pPr>
        <w:numPr>
          <w:ilvl w:val="0"/>
          <w:numId w:val="35"/>
        </w:numPr>
        <w:spacing w:after="160" w:line="480" w:lineRule="auto"/>
        <w:ind w:left="714" w:hanging="357"/>
        <w:jc w:val="both"/>
        <w:rPr>
          <w:rFonts w:ascii="Palatino Linotype" w:hAnsi="Palatino Linotype" w:cs="Arial"/>
          <w:sz w:val="24"/>
          <w:szCs w:val="24"/>
        </w:rPr>
      </w:pPr>
      <w:r w:rsidRPr="00E44378">
        <w:rPr>
          <w:rFonts w:ascii="Palatino Linotype" w:hAnsi="Palatino Linotype" w:cs="Arial"/>
          <w:sz w:val="24"/>
          <w:szCs w:val="24"/>
        </w:rPr>
        <w:t xml:space="preserve">Fits within the Society mission to widen access to legal education and to the profession </w:t>
      </w:r>
    </w:p>
    <w:p w14:paraId="122CF92F" w14:textId="28EC1CB4" w:rsidR="00736A85" w:rsidRPr="00E44378" w:rsidRDefault="00736A85" w:rsidP="00E44378">
      <w:pPr>
        <w:numPr>
          <w:ilvl w:val="0"/>
          <w:numId w:val="35"/>
        </w:numPr>
        <w:spacing w:after="160" w:line="480" w:lineRule="auto"/>
        <w:ind w:left="714" w:hanging="357"/>
        <w:jc w:val="both"/>
        <w:rPr>
          <w:rFonts w:ascii="Palatino Linotype" w:hAnsi="Palatino Linotype" w:cs="Arial"/>
          <w:sz w:val="24"/>
          <w:szCs w:val="24"/>
        </w:rPr>
      </w:pPr>
      <w:r w:rsidRPr="00E44378">
        <w:rPr>
          <w:rFonts w:ascii="Palatino Linotype" w:hAnsi="Palatino Linotype" w:cs="Arial"/>
          <w:sz w:val="24"/>
          <w:szCs w:val="24"/>
        </w:rPr>
        <w:t xml:space="preserve">Provides individuals and businesses with a greater understanding of the law </w:t>
      </w:r>
    </w:p>
    <w:p w14:paraId="62603C17" w14:textId="4EA6CF9E" w:rsidR="00736A85" w:rsidRPr="00E44378" w:rsidRDefault="00736A85" w:rsidP="00E44378">
      <w:pPr>
        <w:pStyle w:val="ListParagraph"/>
        <w:numPr>
          <w:ilvl w:val="0"/>
          <w:numId w:val="35"/>
        </w:numPr>
        <w:spacing w:after="160" w:line="480" w:lineRule="auto"/>
        <w:ind w:left="714" w:hanging="357"/>
        <w:jc w:val="both"/>
        <w:rPr>
          <w:rFonts w:ascii="Palatino Linotype" w:hAnsi="Palatino Linotype" w:cs="Arial"/>
          <w:sz w:val="24"/>
          <w:szCs w:val="24"/>
        </w:rPr>
      </w:pPr>
      <w:r w:rsidRPr="00E44378">
        <w:rPr>
          <w:rFonts w:ascii="Palatino Linotype" w:hAnsi="Palatino Linotype" w:cs="Arial"/>
          <w:sz w:val="24"/>
          <w:szCs w:val="24"/>
        </w:rPr>
        <w:t xml:space="preserve">Enhances the positive reputation of the profession and the professional body of </w:t>
      </w:r>
      <w:r w:rsidR="008C0367" w:rsidRPr="00E44378">
        <w:rPr>
          <w:rFonts w:ascii="Palatino Linotype" w:hAnsi="Palatino Linotype" w:cs="Arial"/>
          <w:sz w:val="24"/>
          <w:szCs w:val="24"/>
        </w:rPr>
        <w:t xml:space="preserve">the Society </w:t>
      </w:r>
    </w:p>
    <w:p w14:paraId="20EE2B27" w14:textId="77777777" w:rsidR="00736A85" w:rsidRPr="00E44378" w:rsidRDefault="00736A85" w:rsidP="00E44378">
      <w:pPr>
        <w:numPr>
          <w:ilvl w:val="0"/>
          <w:numId w:val="35"/>
        </w:numPr>
        <w:spacing w:after="160" w:line="480" w:lineRule="auto"/>
        <w:ind w:left="714" w:hanging="357"/>
        <w:jc w:val="both"/>
        <w:rPr>
          <w:rFonts w:ascii="Palatino Linotype" w:hAnsi="Palatino Linotype" w:cs="Arial"/>
          <w:sz w:val="24"/>
          <w:szCs w:val="24"/>
        </w:rPr>
      </w:pPr>
      <w:r w:rsidRPr="00E44378">
        <w:rPr>
          <w:rFonts w:ascii="Palatino Linotype" w:hAnsi="Palatino Linotype" w:cs="Arial"/>
          <w:sz w:val="24"/>
          <w:szCs w:val="24"/>
        </w:rPr>
        <w:t>Highlights the Society’s commitment to embrace technology and online learning and upskills team members</w:t>
      </w:r>
    </w:p>
    <w:p w14:paraId="67E90B08" w14:textId="21634290" w:rsidR="00521385" w:rsidRPr="00E44378" w:rsidRDefault="00736A85" w:rsidP="00E44378">
      <w:pPr>
        <w:numPr>
          <w:ilvl w:val="0"/>
          <w:numId w:val="35"/>
        </w:numPr>
        <w:spacing w:after="160" w:line="480" w:lineRule="auto"/>
        <w:ind w:left="714" w:hanging="357"/>
        <w:jc w:val="both"/>
        <w:rPr>
          <w:rFonts w:ascii="Palatino Linotype" w:hAnsi="Palatino Linotype" w:cs="Arial"/>
          <w:sz w:val="24"/>
          <w:szCs w:val="24"/>
        </w:rPr>
      </w:pPr>
      <w:r w:rsidRPr="00E44378">
        <w:rPr>
          <w:rFonts w:ascii="Palatino Linotype" w:hAnsi="Palatino Linotype" w:cs="Arial"/>
          <w:sz w:val="24"/>
          <w:szCs w:val="24"/>
        </w:rPr>
        <w:t>Creates a positive online experience for students to incentivise uptake of further diploma offerings</w:t>
      </w:r>
    </w:p>
    <w:p w14:paraId="702EBFEA" w14:textId="4C857063" w:rsidR="002D7C9B" w:rsidRPr="00E44378" w:rsidRDefault="002D7C9B" w:rsidP="00E44378">
      <w:pPr>
        <w:pStyle w:val="Heading2"/>
        <w:numPr>
          <w:ilvl w:val="0"/>
          <w:numId w:val="37"/>
        </w:numPr>
        <w:spacing w:after="160" w:line="480" w:lineRule="auto"/>
        <w:rPr>
          <w:rFonts w:ascii="Palatino Linotype" w:hAnsi="Palatino Linotype"/>
          <w:sz w:val="24"/>
          <w:szCs w:val="24"/>
        </w:rPr>
      </w:pPr>
      <w:r w:rsidRPr="00E44378">
        <w:rPr>
          <w:rFonts w:ascii="Palatino Linotype" w:hAnsi="Palatino Linotype"/>
          <w:sz w:val="24"/>
          <w:szCs w:val="24"/>
        </w:rPr>
        <w:t>Designing a MOOC with a PLE focus</w:t>
      </w:r>
    </w:p>
    <w:p w14:paraId="19134819" w14:textId="052402DD" w:rsidR="00A0084A" w:rsidRPr="00E44378" w:rsidRDefault="00A0084A" w:rsidP="00E44378">
      <w:pPr>
        <w:spacing w:after="160" w:line="480" w:lineRule="auto"/>
        <w:jc w:val="both"/>
        <w:rPr>
          <w:rFonts w:ascii="Palatino Linotype" w:eastAsia="Times New Roman" w:hAnsi="Palatino Linotype" w:cs="Arial"/>
          <w:sz w:val="24"/>
          <w:szCs w:val="24"/>
        </w:rPr>
      </w:pPr>
      <w:r w:rsidRPr="00E44378">
        <w:rPr>
          <w:rFonts w:ascii="Palatino Linotype" w:hAnsi="Palatino Linotype"/>
          <w:sz w:val="24"/>
          <w:szCs w:val="24"/>
        </w:rPr>
        <w:t>O</w:t>
      </w:r>
      <w:r w:rsidR="002D1D55" w:rsidRPr="00E44378">
        <w:rPr>
          <w:rFonts w:ascii="Palatino Linotype" w:hAnsi="Palatino Linotype"/>
          <w:sz w:val="24"/>
          <w:szCs w:val="24"/>
        </w:rPr>
        <w:t xml:space="preserve">ne of the key challenges in distance education is preventing </w:t>
      </w:r>
      <w:r w:rsidR="00992CBF" w:rsidRPr="00E44378">
        <w:rPr>
          <w:rFonts w:ascii="Palatino Linotype" w:hAnsi="Palatino Linotype"/>
          <w:sz w:val="24"/>
          <w:szCs w:val="24"/>
        </w:rPr>
        <w:t xml:space="preserve">student </w:t>
      </w:r>
      <w:r w:rsidR="002D1D55" w:rsidRPr="00E44378">
        <w:rPr>
          <w:rFonts w:ascii="Palatino Linotype" w:hAnsi="Palatino Linotype"/>
          <w:sz w:val="24"/>
          <w:szCs w:val="24"/>
        </w:rPr>
        <w:t xml:space="preserve">drop off. </w:t>
      </w:r>
      <w:r w:rsidRPr="00E44378">
        <w:rPr>
          <w:rFonts w:ascii="Palatino Linotype" w:hAnsi="Palatino Linotype"/>
          <w:sz w:val="24"/>
          <w:szCs w:val="24"/>
        </w:rPr>
        <w:t xml:space="preserve">Research from 2013 indicates that typically </w:t>
      </w:r>
      <w:r w:rsidR="00CC3A9D" w:rsidRPr="00E44378">
        <w:rPr>
          <w:rFonts w:ascii="Palatino Linotype" w:hAnsi="Palatino Linotype"/>
          <w:sz w:val="24"/>
          <w:szCs w:val="24"/>
        </w:rPr>
        <w:t xml:space="preserve">fewer </w:t>
      </w:r>
      <w:r w:rsidRPr="00E44378">
        <w:rPr>
          <w:rFonts w:ascii="Palatino Linotype" w:hAnsi="Palatino Linotype"/>
          <w:sz w:val="24"/>
          <w:szCs w:val="24"/>
        </w:rPr>
        <w:t>than 7 per cent of students complete MOOC programs</w:t>
      </w:r>
      <w:r w:rsidR="00EE5D14" w:rsidRPr="00E44378">
        <w:rPr>
          <w:rStyle w:val="FootnoteReference"/>
          <w:rFonts w:ascii="Palatino Linotype" w:hAnsi="Palatino Linotype"/>
          <w:sz w:val="24"/>
          <w:szCs w:val="24"/>
        </w:rPr>
        <w:footnoteReference w:id="31"/>
      </w:r>
      <w:r w:rsidRPr="00E44378">
        <w:rPr>
          <w:rFonts w:ascii="Palatino Linotype" w:hAnsi="Palatino Linotype"/>
          <w:sz w:val="24"/>
          <w:szCs w:val="24"/>
        </w:rPr>
        <w:t xml:space="preserve">. HarvardX and MITx have gone further, reporting in January 2017 that only 5.5 per cent of people who </w:t>
      </w:r>
      <w:r w:rsidR="00F22B58" w:rsidRPr="00E44378">
        <w:rPr>
          <w:rFonts w:ascii="Palatino Linotype" w:hAnsi="Palatino Linotype"/>
          <w:sz w:val="24"/>
          <w:szCs w:val="24"/>
        </w:rPr>
        <w:t>enrol</w:t>
      </w:r>
      <w:r w:rsidRPr="00E44378">
        <w:rPr>
          <w:rFonts w:ascii="Palatino Linotype" w:hAnsi="Palatino Linotype"/>
          <w:sz w:val="24"/>
          <w:szCs w:val="24"/>
        </w:rPr>
        <w:t xml:space="preserve"> in one of their open online courses earn a certificate</w:t>
      </w:r>
      <w:r w:rsidRPr="00E44378">
        <w:rPr>
          <w:rFonts w:ascii="Palatino Linotype" w:eastAsia="Times New Roman" w:hAnsi="Palatino Linotype" w:cs="Arial"/>
          <w:sz w:val="24"/>
          <w:szCs w:val="24"/>
          <w:vertAlign w:val="superscript"/>
        </w:rPr>
        <w:footnoteReference w:id="32"/>
      </w:r>
      <w:r w:rsidRPr="00E44378">
        <w:rPr>
          <w:rFonts w:ascii="Palatino Linotype" w:eastAsia="Times New Roman" w:hAnsi="Palatino Linotype" w:cs="Arial"/>
          <w:sz w:val="24"/>
          <w:szCs w:val="24"/>
        </w:rPr>
        <w:t xml:space="preserve">. </w:t>
      </w:r>
      <w:r w:rsidR="004A5F54" w:rsidRPr="00E44378">
        <w:rPr>
          <w:rFonts w:ascii="Palatino Linotype" w:eastAsia="Times New Roman" w:hAnsi="Palatino Linotype" w:cs="Arial"/>
          <w:sz w:val="24"/>
          <w:szCs w:val="24"/>
        </w:rPr>
        <w:t xml:space="preserve">Many students undertake MOOCs as a means of adding to their </w:t>
      </w:r>
      <w:r w:rsidR="004A5F54" w:rsidRPr="00E44378">
        <w:rPr>
          <w:rFonts w:ascii="Palatino Linotype" w:eastAsia="Times New Roman" w:hAnsi="Palatino Linotype" w:cs="Arial"/>
          <w:sz w:val="24"/>
          <w:szCs w:val="24"/>
        </w:rPr>
        <w:lastRenderedPageBreak/>
        <w:t>professional knowledge and skills and future employability. They are keen to receive an official document confirming their successful completion of the course, which is why the certificate is provided as an optional purchase under a ‘freemium’ model</w:t>
      </w:r>
      <w:r w:rsidR="001B3663" w:rsidRPr="00E44378">
        <w:rPr>
          <w:rFonts w:ascii="Palatino Linotype" w:eastAsia="Times New Roman" w:hAnsi="Palatino Linotype" w:cs="Arial"/>
          <w:sz w:val="24"/>
          <w:szCs w:val="24"/>
        </w:rPr>
        <w:t xml:space="preserve"> common to other MOOC providers</w:t>
      </w:r>
      <w:r w:rsidR="004A5F54" w:rsidRPr="00E44378">
        <w:rPr>
          <w:rStyle w:val="FootnoteReference"/>
          <w:rFonts w:ascii="Palatino Linotype" w:eastAsia="Times New Roman" w:hAnsi="Palatino Linotype" w:cs="Arial"/>
          <w:sz w:val="24"/>
          <w:szCs w:val="24"/>
        </w:rPr>
        <w:footnoteReference w:id="33"/>
      </w:r>
      <w:r w:rsidR="004A5F54" w:rsidRPr="00E44378">
        <w:rPr>
          <w:rFonts w:ascii="Palatino Linotype" w:eastAsia="Times New Roman" w:hAnsi="Palatino Linotype" w:cs="Arial"/>
          <w:sz w:val="24"/>
          <w:szCs w:val="24"/>
        </w:rPr>
        <w:t>.</w:t>
      </w:r>
    </w:p>
    <w:p w14:paraId="37C06162" w14:textId="60EB6425" w:rsidR="009176BF" w:rsidRPr="00E44378" w:rsidRDefault="00EE729B" w:rsidP="00E44378">
      <w:pPr>
        <w:spacing w:after="160" w:line="480" w:lineRule="auto"/>
        <w:jc w:val="both"/>
        <w:rPr>
          <w:rFonts w:ascii="Palatino Linotype" w:hAnsi="Palatino Linotype"/>
          <w:sz w:val="24"/>
          <w:szCs w:val="24"/>
        </w:rPr>
      </w:pPr>
      <w:r w:rsidRPr="00E44378">
        <w:rPr>
          <w:rFonts w:ascii="Palatino Linotype" w:hAnsi="Palatino Linotype"/>
          <w:sz w:val="24"/>
          <w:szCs w:val="24"/>
        </w:rPr>
        <w:t>Our MOOCs have consistently bettered these dropout rates</w:t>
      </w:r>
      <w:r w:rsidR="00A0084A" w:rsidRPr="00E44378">
        <w:rPr>
          <w:rFonts w:ascii="Palatino Linotype" w:hAnsi="Palatino Linotype"/>
          <w:sz w:val="24"/>
          <w:szCs w:val="24"/>
        </w:rPr>
        <w:t xml:space="preserve">, with completion levels of 12.6 per cent and 11 per cent </w:t>
      </w:r>
      <w:r w:rsidR="00992CBF" w:rsidRPr="00E44378">
        <w:rPr>
          <w:rFonts w:ascii="Palatino Linotype" w:hAnsi="Palatino Linotype"/>
          <w:sz w:val="24"/>
          <w:szCs w:val="24"/>
        </w:rPr>
        <w:t xml:space="preserve">most </w:t>
      </w:r>
      <w:r w:rsidR="00954E0A" w:rsidRPr="00E44378">
        <w:rPr>
          <w:rFonts w:ascii="Palatino Linotype" w:hAnsi="Palatino Linotype"/>
          <w:sz w:val="24"/>
          <w:szCs w:val="24"/>
        </w:rPr>
        <w:t>recent</w:t>
      </w:r>
      <w:r w:rsidR="00992CBF" w:rsidRPr="00E44378">
        <w:rPr>
          <w:rFonts w:ascii="Palatino Linotype" w:hAnsi="Palatino Linotype"/>
          <w:sz w:val="24"/>
          <w:szCs w:val="24"/>
        </w:rPr>
        <w:t>ly on the</w:t>
      </w:r>
      <w:r w:rsidR="00954E0A" w:rsidRPr="00E44378">
        <w:rPr>
          <w:rFonts w:ascii="Palatino Linotype" w:hAnsi="Palatino Linotype"/>
          <w:sz w:val="24"/>
          <w:szCs w:val="24"/>
        </w:rPr>
        <w:t xml:space="preserve"> </w:t>
      </w:r>
      <w:r w:rsidR="00A0084A" w:rsidRPr="00E44378">
        <w:rPr>
          <w:rFonts w:ascii="Palatino Linotype" w:hAnsi="Palatino Linotype"/>
          <w:sz w:val="24"/>
          <w:szCs w:val="24"/>
        </w:rPr>
        <w:t>2017 and 2018 courses</w:t>
      </w:r>
      <w:r w:rsidR="000757F1" w:rsidRPr="00E44378">
        <w:rPr>
          <w:rFonts w:ascii="Palatino Linotype" w:hAnsi="Palatino Linotype"/>
          <w:sz w:val="24"/>
          <w:szCs w:val="24"/>
        </w:rPr>
        <w:t>,</w:t>
      </w:r>
      <w:r w:rsidR="00A0084A" w:rsidRPr="00E44378">
        <w:rPr>
          <w:rFonts w:ascii="Palatino Linotype" w:hAnsi="Palatino Linotype"/>
          <w:sz w:val="24"/>
          <w:szCs w:val="24"/>
        </w:rPr>
        <w:t xml:space="preserve"> respectively. </w:t>
      </w:r>
      <w:r w:rsidR="009176BF" w:rsidRPr="00E44378">
        <w:rPr>
          <w:rFonts w:ascii="Palatino Linotype" w:hAnsi="Palatino Linotype"/>
          <w:sz w:val="24"/>
          <w:szCs w:val="24"/>
        </w:rPr>
        <w:t xml:space="preserve">The courses follow best practice by implementing a variety of </w:t>
      </w:r>
      <w:r w:rsidR="00CC3A9D" w:rsidRPr="00E44378">
        <w:rPr>
          <w:rFonts w:ascii="Palatino Linotype" w:hAnsi="Palatino Linotype"/>
          <w:sz w:val="24"/>
          <w:szCs w:val="24"/>
        </w:rPr>
        <w:t>learner-</w:t>
      </w:r>
      <w:r w:rsidR="009176BF" w:rsidRPr="00E44378">
        <w:rPr>
          <w:rFonts w:ascii="Palatino Linotype" w:hAnsi="Palatino Linotype"/>
          <w:sz w:val="24"/>
          <w:szCs w:val="24"/>
        </w:rPr>
        <w:t xml:space="preserve">centric activities such as videos, discussion forums, learning resources, weekly quizzes, and social media tasks. The experience is intended to engage the learner with tasks and activities provided so </w:t>
      </w:r>
      <w:r w:rsidR="008C0367" w:rsidRPr="00E44378">
        <w:rPr>
          <w:rFonts w:ascii="Palatino Linotype" w:hAnsi="Palatino Linotype"/>
          <w:sz w:val="24"/>
          <w:szCs w:val="24"/>
        </w:rPr>
        <w:t xml:space="preserve">that </w:t>
      </w:r>
      <w:r w:rsidR="009176BF" w:rsidRPr="00E44378">
        <w:rPr>
          <w:rFonts w:ascii="Palatino Linotype" w:hAnsi="Palatino Linotype"/>
          <w:sz w:val="24"/>
          <w:szCs w:val="24"/>
        </w:rPr>
        <w:t>participants have a chance to apply the learning objectives each week and are incentivised to earn a weekly badge for successful completion of these tasks and for posting to the discussion forum. The practices employed on MOOC offerings by the Diploma Centre were a huge driver in unlocking the potential for development of online learning on our standard suite of courses.</w:t>
      </w:r>
    </w:p>
    <w:p w14:paraId="5B051F81" w14:textId="25E67BD3" w:rsidR="00954E0A" w:rsidRPr="00E44378" w:rsidRDefault="00EE729B" w:rsidP="00E44378">
      <w:pPr>
        <w:spacing w:after="160" w:line="480" w:lineRule="auto"/>
        <w:jc w:val="both"/>
        <w:rPr>
          <w:rFonts w:ascii="Palatino Linotype" w:hAnsi="Palatino Linotype" w:cs="Arial"/>
          <w:b/>
          <w:sz w:val="24"/>
          <w:szCs w:val="24"/>
        </w:rPr>
      </w:pPr>
      <w:r w:rsidRPr="00E44378">
        <w:rPr>
          <w:rFonts w:ascii="Palatino Linotype" w:eastAsia="Calibri" w:hAnsi="Palatino Linotype" w:cs="Calibri"/>
          <w:sz w:val="24"/>
          <w:szCs w:val="24"/>
          <w:u w:color="000000"/>
        </w:rPr>
        <w:t>We have utilised the ADDIE (analysis, design, development, implementation, evaluation)</w:t>
      </w:r>
      <w:r w:rsidRPr="00E44378">
        <w:rPr>
          <w:rFonts w:ascii="Palatino Linotype" w:eastAsia="Arial" w:hAnsi="Palatino Linotype" w:cs="Arial"/>
          <w:sz w:val="24"/>
          <w:szCs w:val="24"/>
          <w:u w:color="000000"/>
          <w:vertAlign w:val="superscript"/>
        </w:rPr>
        <w:footnoteReference w:id="34"/>
      </w:r>
      <w:r w:rsidRPr="00E44378">
        <w:rPr>
          <w:rFonts w:ascii="Palatino Linotype" w:eastAsia="Calibri" w:hAnsi="Palatino Linotype" w:cs="Calibri"/>
          <w:sz w:val="24"/>
          <w:szCs w:val="24"/>
          <w:u w:color="000000"/>
        </w:rPr>
        <w:t xml:space="preserve"> model of instructional design to structure the development of these MOOCs. In addition to </w:t>
      </w:r>
      <w:r w:rsidR="00B221BB" w:rsidRPr="00E44378">
        <w:rPr>
          <w:rFonts w:ascii="Palatino Linotype" w:eastAsia="Calibri" w:hAnsi="Palatino Linotype" w:cs="Calibri"/>
          <w:sz w:val="24"/>
          <w:szCs w:val="24"/>
          <w:u w:color="000000"/>
        </w:rPr>
        <w:t>the sequential model of ADDIE as the principle</w:t>
      </w:r>
      <w:r w:rsidRPr="00E44378">
        <w:rPr>
          <w:rFonts w:ascii="Palatino Linotype" w:eastAsia="Calibri" w:hAnsi="Palatino Linotype" w:cs="Calibri"/>
          <w:sz w:val="24"/>
          <w:szCs w:val="24"/>
          <w:u w:color="000000"/>
        </w:rPr>
        <w:t xml:space="preserve"> development </w:t>
      </w:r>
      <w:r w:rsidR="00B221BB" w:rsidRPr="00E44378">
        <w:rPr>
          <w:rFonts w:ascii="Palatino Linotype" w:eastAsia="Calibri" w:hAnsi="Palatino Linotype" w:cs="Calibri"/>
          <w:sz w:val="24"/>
          <w:szCs w:val="24"/>
          <w:u w:color="000000"/>
        </w:rPr>
        <w:t xml:space="preserve">framework, we have retained the flexibility to adopt and adapt ideas from other </w:t>
      </w:r>
      <w:r w:rsidR="00B221BB" w:rsidRPr="00E44378">
        <w:rPr>
          <w:rFonts w:ascii="Palatino Linotype" w:eastAsia="Calibri" w:hAnsi="Palatino Linotype" w:cs="Calibri"/>
          <w:sz w:val="24"/>
          <w:szCs w:val="24"/>
          <w:u w:color="000000"/>
        </w:rPr>
        <w:lastRenderedPageBreak/>
        <w:t>instructional design models.</w:t>
      </w:r>
      <w:r w:rsidR="000757F1" w:rsidRPr="00E44378">
        <w:rPr>
          <w:rFonts w:ascii="Palatino Linotype" w:eastAsia="Calibri" w:hAnsi="Palatino Linotype" w:cs="Calibri"/>
          <w:sz w:val="24"/>
          <w:szCs w:val="24"/>
          <w:u w:color="000000"/>
        </w:rPr>
        <w:t xml:space="preserve"> </w:t>
      </w:r>
      <w:r w:rsidR="00B221BB" w:rsidRPr="00E44378">
        <w:rPr>
          <w:rFonts w:ascii="Palatino Linotype" w:hAnsi="Palatino Linotype"/>
          <w:sz w:val="24"/>
          <w:szCs w:val="24"/>
        </w:rPr>
        <w:t>The key outcome of our analysis phase</w:t>
      </w:r>
      <w:r w:rsidR="000757F1" w:rsidRPr="00E44378">
        <w:rPr>
          <w:rFonts w:ascii="Palatino Linotype" w:hAnsi="Palatino Linotype"/>
          <w:sz w:val="24"/>
          <w:szCs w:val="24"/>
        </w:rPr>
        <w:t>,</w:t>
      </w:r>
      <w:r w:rsidR="00B221BB" w:rsidRPr="00E44378">
        <w:rPr>
          <w:rFonts w:ascii="Palatino Linotype" w:hAnsi="Palatino Linotype"/>
          <w:sz w:val="24"/>
          <w:szCs w:val="24"/>
        </w:rPr>
        <w:t xml:space="preserve"> as noted previously</w:t>
      </w:r>
      <w:r w:rsidR="000757F1" w:rsidRPr="00E44378">
        <w:rPr>
          <w:rFonts w:ascii="Palatino Linotype" w:hAnsi="Palatino Linotype"/>
          <w:sz w:val="24"/>
          <w:szCs w:val="24"/>
        </w:rPr>
        <w:t>,</w:t>
      </w:r>
      <w:r w:rsidR="00B221BB" w:rsidRPr="00E44378">
        <w:rPr>
          <w:rFonts w:ascii="Palatino Linotype" w:hAnsi="Palatino Linotype"/>
          <w:sz w:val="24"/>
          <w:szCs w:val="24"/>
        </w:rPr>
        <w:t xml:space="preserve"> was the fundamental importance of the topic choice. From a public legal education perspective</w:t>
      </w:r>
      <w:r w:rsidR="000757F1" w:rsidRPr="00E44378">
        <w:rPr>
          <w:rFonts w:ascii="Palatino Linotype" w:hAnsi="Palatino Linotype"/>
          <w:sz w:val="24"/>
          <w:szCs w:val="24"/>
        </w:rPr>
        <w:t>,</w:t>
      </w:r>
      <w:r w:rsidR="00B221BB" w:rsidRPr="00E44378">
        <w:rPr>
          <w:rFonts w:ascii="Palatino Linotype" w:hAnsi="Palatino Linotype"/>
          <w:sz w:val="24"/>
          <w:szCs w:val="24"/>
        </w:rPr>
        <w:t xml:space="preserve"> our goal was to create a unique online space</w:t>
      </w:r>
      <w:r w:rsidR="00954E0A" w:rsidRPr="00E44378">
        <w:rPr>
          <w:rFonts w:ascii="Palatino Linotype" w:hAnsi="Palatino Linotype"/>
          <w:sz w:val="24"/>
          <w:szCs w:val="24"/>
        </w:rPr>
        <w:t xml:space="preserve"> </w:t>
      </w:r>
      <w:r w:rsidR="00B221BB" w:rsidRPr="00E44378">
        <w:rPr>
          <w:rFonts w:ascii="Palatino Linotype" w:hAnsi="Palatino Linotype"/>
          <w:sz w:val="24"/>
          <w:szCs w:val="24"/>
        </w:rPr>
        <w:t>where lawyer and non-lawyer could engage as peers. This necessity creates the requirement that the selected area of law ha</w:t>
      </w:r>
      <w:r w:rsidR="00954E0A" w:rsidRPr="00E44378">
        <w:rPr>
          <w:rFonts w:ascii="Palatino Linotype" w:hAnsi="Palatino Linotype"/>
          <w:sz w:val="24"/>
          <w:szCs w:val="24"/>
        </w:rPr>
        <w:t>s</w:t>
      </w:r>
      <w:r w:rsidR="00B221BB" w:rsidRPr="00E44378">
        <w:rPr>
          <w:rFonts w:ascii="Palatino Linotype" w:hAnsi="Palatino Linotype"/>
          <w:sz w:val="24"/>
          <w:szCs w:val="24"/>
        </w:rPr>
        <w:t xml:space="preserve"> applicability across learning domains and countries.  </w:t>
      </w:r>
    </w:p>
    <w:p w14:paraId="3E22E1E9" w14:textId="416DC053" w:rsidR="00B221BB" w:rsidRPr="00E44378" w:rsidRDefault="00AD2C4D" w:rsidP="00E44378">
      <w:pPr>
        <w:pStyle w:val="Body"/>
        <w:spacing w:after="160" w:line="480" w:lineRule="auto"/>
        <w:jc w:val="both"/>
        <w:rPr>
          <w:rFonts w:ascii="Palatino Linotype" w:hAnsi="Palatino Linotype"/>
          <w:color w:val="auto"/>
          <w:sz w:val="24"/>
          <w:szCs w:val="24"/>
          <w:lang w:val="en-IE"/>
        </w:rPr>
      </w:pPr>
      <w:r w:rsidRPr="00E44378">
        <w:rPr>
          <w:rFonts w:ascii="Palatino Linotype" w:hAnsi="Palatino Linotype"/>
          <w:color w:val="auto"/>
          <w:sz w:val="24"/>
          <w:szCs w:val="24"/>
          <w:lang w:val="en-IE"/>
        </w:rPr>
        <w:t>T</w:t>
      </w:r>
      <w:r w:rsidR="00B221BB" w:rsidRPr="00E44378">
        <w:rPr>
          <w:rFonts w:ascii="Palatino Linotype" w:hAnsi="Palatino Linotype"/>
          <w:color w:val="auto"/>
          <w:sz w:val="24"/>
          <w:szCs w:val="24"/>
          <w:lang w:val="en-IE"/>
        </w:rPr>
        <w:t>he MOOC</w:t>
      </w:r>
      <w:r w:rsidRPr="00E44378">
        <w:rPr>
          <w:rFonts w:ascii="Palatino Linotype" w:hAnsi="Palatino Linotype"/>
          <w:color w:val="auto"/>
          <w:sz w:val="24"/>
          <w:szCs w:val="24"/>
          <w:lang w:val="en-IE"/>
        </w:rPr>
        <w:t xml:space="preserve"> was hosted</w:t>
      </w:r>
      <w:r w:rsidR="00B221BB" w:rsidRPr="00E44378">
        <w:rPr>
          <w:rFonts w:ascii="Palatino Linotype" w:hAnsi="Palatino Linotype"/>
          <w:color w:val="auto"/>
          <w:sz w:val="24"/>
          <w:szCs w:val="24"/>
          <w:lang w:val="en-IE"/>
        </w:rPr>
        <w:t xml:space="preserve"> on </w:t>
      </w:r>
      <w:r w:rsidR="000757F1" w:rsidRPr="00E44378">
        <w:rPr>
          <w:rFonts w:ascii="Palatino Linotype" w:hAnsi="Palatino Linotype"/>
          <w:color w:val="auto"/>
          <w:sz w:val="24"/>
          <w:szCs w:val="24"/>
          <w:lang w:val="en-IE"/>
        </w:rPr>
        <w:t xml:space="preserve">Moodle, </w:t>
      </w:r>
      <w:r w:rsidR="00B221BB" w:rsidRPr="00E44378">
        <w:rPr>
          <w:rFonts w:ascii="Palatino Linotype" w:hAnsi="Palatino Linotype"/>
          <w:color w:val="auto"/>
          <w:sz w:val="24"/>
          <w:szCs w:val="24"/>
          <w:lang w:val="en-IE"/>
        </w:rPr>
        <w:t xml:space="preserve">our existing learning management system (LMS), </w:t>
      </w:r>
      <w:r w:rsidRPr="00E44378">
        <w:rPr>
          <w:rFonts w:ascii="Palatino Linotype" w:hAnsi="Palatino Linotype"/>
          <w:color w:val="auto"/>
          <w:sz w:val="24"/>
          <w:szCs w:val="24"/>
          <w:lang w:val="en-IE"/>
        </w:rPr>
        <w:t xml:space="preserve">rather than </w:t>
      </w:r>
      <w:r w:rsidR="008C0367" w:rsidRPr="00E44378">
        <w:rPr>
          <w:rFonts w:ascii="Palatino Linotype" w:hAnsi="Palatino Linotype"/>
          <w:color w:val="auto"/>
          <w:sz w:val="24"/>
          <w:szCs w:val="24"/>
          <w:lang w:val="en-IE"/>
        </w:rPr>
        <w:t xml:space="preserve">investment </w:t>
      </w:r>
      <w:r w:rsidRPr="00E44378">
        <w:rPr>
          <w:rFonts w:ascii="Palatino Linotype" w:hAnsi="Palatino Linotype"/>
          <w:color w:val="auto"/>
          <w:sz w:val="24"/>
          <w:szCs w:val="24"/>
          <w:lang w:val="en-IE"/>
        </w:rPr>
        <w:t>in a</w:t>
      </w:r>
      <w:r w:rsidR="00992CBF" w:rsidRPr="00E44378">
        <w:rPr>
          <w:rFonts w:ascii="Palatino Linotype" w:hAnsi="Palatino Linotype"/>
          <w:color w:val="auto"/>
          <w:sz w:val="24"/>
          <w:szCs w:val="24"/>
          <w:lang w:val="en-IE"/>
        </w:rPr>
        <w:t>n</w:t>
      </w:r>
      <w:r w:rsidRPr="00E44378">
        <w:rPr>
          <w:rFonts w:ascii="Palatino Linotype" w:hAnsi="Palatino Linotype"/>
          <w:color w:val="auto"/>
          <w:sz w:val="24"/>
          <w:szCs w:val="24"/>
          <w:lang w:val="en-IE"/>
        </w:rPr>
        <w:t xml:space="preserve"> external platform as other MOOC providers such as FutureLearn and Coursera</w:t>
      </w:r>
      <w:r w:rsidR="00B221BB" w:rsidRPr="00E44378">
        <w:rPr>
          <w:rFonts w:ascii="Palatino Linotype" w:hAnsi="Palatino Linotype"/>
          <w:color w:val="auto"/>
          <w:sz w:val="24"/>
          <w:szCs w:val="24"/>
          <w:lang w:val="en-IE"/>
        </w:rPr>
        <w:t>. We recognised that</w:t>
      </w:r>
      <w:r w:rsidR="00954E0A" w:rsidRPr="00E44378">
        <w:rPr>
          <w:rFonts w:ascii="Palatino Linotype" w:hAnsi="Palatino Linotype"/>
          <w:color w:val="auto"/>
          <w:sz w:val="24"/>
          <w:szCs w:val="24"/>
          <w:lang w:val="en-IE"/>
        </w:rPr>
        <w:t xml:space="preserve"> </w:t>
      </w:r>
      <w:r w:rsidR="000757F1" w:rsidRPr="00E44378">
        <w:rPr>
          <w:rFonts w:ascii="Palatino Linotype" w:hAnsi="Palatino Linotype"/>
          <w:color w:val="auto"/>
          <w:sz w:val="24"/>
          <w:szCs w:val="24"/>
          <w:lang w:val="en-IE"/>
        </w:rPr>
        <w:t xml:space="preserve">by </w:t>
      </w:r>
      <w:r w:rsidR="00954E0A" w:rsidRPr="00E44378">
        <w:rPr>
          <w:rFonts w:ascii="Palatino Linotype" w:hAnsi="Palatino Linotype"/>
          <w:color w:val="auto"/>
          <w:sz w:val="24"/>
          <w:szCs w:val="24"/>
          <w:lang w:val="en-IE"/>
        </w:rPr>
        <w:t>creating our own bespoke learning environment for the MOOC</w:t>
      </w:r>
      <w:r w:rsidR="000757F1" w:rsidRPr="00E44378">
        <w:rPr>
          <w:rFonts w:ascii="Palatino Linotype" w:hAnsi="Palatino Linotype"/>
          <w:color w:val="auto"/>
          <w:sz w:val="24"/>
          <w:szCs w:val="24"/>
          <w:lang w:val="en-IE"/>
        </w:rPr>
        <w:t>,</w:t>
      </w:r>
      <w:r w:rsidR="00954E0A" w:rsidRPr="00E44378">
        <w:rPr>
          <w:rFonts w:ascii="Palatino Linotype" w:hAnsi="Palatino Linotype"/>
          <w:color w:val="auto"/>
          <w:sz w:val="24"/>
          <w:szCs w:val="24"/>
          <w:lang w:val="en-IE"/>
        </w:rPr>
        <w:t xml:space="preserve"> </w:t>
      </w:r>
      <w:r w:rsidRPr="00E44378">
        <w:rPr>
          <w:rFonts w:ascii="Palatino Linotype" w:hAnsi="Palatino Linotype"/>
          <w:color w:val="auto"/>
          <w:sz w:val="24"/>
          <w:szCs w:val="24"/>
          <w:lang w:val="en-IE"/>
        </w:rPr>
        <w:t xml:space="preserve">we </w:t>
      </w:r>
      <w:r w:rsidR="004C1BFE" w:rsidRPr="00E44378">
        <w:rPr>
          <w:rFonts w:ascii="Palatino Linotype" w:hAnsi="Palatino Linotype"/>
          <w:color w:val="auto"/>
          <w:sz w:val="24"/>
          <w:szCs w:val="24"/>
          <w:lang w:val="en-IE"/>
        </w:rPr>
        <w:t>placed ourselves in a</w:t>
      </w:r>
      <w:r w:rsidR="00BE0F25" w:rsidRPr="00E44378">
        <w:rPr>
          <w:rFonts w:ascii="Palatino Linotype" w:hAnsi="Palatino Linotype"/>
          <w:color w:val="auto"/>
          <w:sz w:val="24"/>
          <w:szCs w:val="24"/>
          <w:lang w:val="en-IE"/>
        </w:rPr>
        <w:t xml:space="preserve"> position to make continuous improvements to</w:t>
      </w:r>
      <w:r w:rsidR="00B221BB" w:rsidRPr="00E44378">
        <w:rPr>
          <w:rFonts w:ascii="Palatino Linotype" w:hAnsi="Palatino Linotype"/>
          <w:color w:val="auto"/>
          <w:sz w:val="24"/>
          <w:szCs w:val="24"/>
          <w:lang w:val="en-IE"/>
        </w:rPr>
        <w:t xml:space="preserve"> our LMS</w:t>
      </w:r>
      <w:r w:rsidR="00BE0F25" w:rsidRPr="00E44378">
        <w:rPr>
          <w:rFonts w:ascii="Palatino Linotype" w:hAnsi="Palatino Linotype"/>
          <w:color w:val="auto"/>
          <w:sz w:val="24"/>
          <w:szCs w:val="24"/>
          <w:lang w:val="en-IE"/>
        </w:rPr>
        <w:t>,</w:t>
      </w:r>
      <w:r w:rsidR="00B221BB" w:rsidRPr="00E44378">
        <w:rPr>
          <w:rFonts w:ascii="Palatino Linotype" w:hAnsi="Palatino Linotype"/>
          <w:color w:val="auto"/>
          <w:sz w:val="24"/>
          <w:szCs w:val="24"/>
          <w:lang w:val="en-IE"/>
        </w:rPr>
        <w:t xml:space="preserve"> </w:t>
      </w:r>
      <w:r w:rsidR="00BE0F25" w:rsidRPr="00E44378">
        <w:rPr>
          <w:rFonts w:ascii="Palatino Linotype" w:hAnsi="Palatino Linotype"/>
          <w:color w:val="auto"/>
          <w:sz w:val="24"/>
          <w:szCs w:val="24"/>
          <w:lang w:val="en-IE"/>
        </w:rPr>
        <w:t>which in turn would</w:t>
      </w:r>
      <w:r w:rsidR="00B221BB" w:rsidRPr="00E44378">
        <w:rPr>
          <w:rFonts w:ascii="Palatino Linotype" w:hAnsi="Palatino Linotype"/>
          <w:color w:val="auto"/>
          <w:sz w:val="24"/>
          <w:szCs w:val="24"/>
          <w:lang w:val="en-IE"/>
        </w:rPr>
        <w:t xml:space="preserve"> impact positively on </w:t>
      </w:r>
      <w:r w:rsidR="00BE0F25" w:rsidRPr="00E44378">
        <w:rPr>
          <w:rFonts w:ascii="Palatino Linotype" w:hAnsi="Palatino Linotype"/>
          <w:color w:val="auto"/>
          <w:sz w:val="24"/>
          <w:szCs w:val="24"/>
          <w:lang w:val="en-IE"/>
        </w:rPr>
        <w:t xml:space="preserve">the online learning environment for </w:t>
      </w:r>
      <w:r w:rsidR="00B221BB" w:rsidRPr="00E44378">
        <w:rPr>
          <w:rFonts w:ascii="Palatino Linotype" w:hAnsi="Palatino Linotype"/>
          <w:color w:val="auto"/>
          <w:sz w:val="24"/>
          <w:szCs w:val="24"/>
          <w:lang w:val="en-IE"/>
        </w:rPr>
        <w:t xml:space="preserve">our standard diploma </w:t>
      </w:r>
      <w:r w:rsidR="00BE0F25" w:rsidRPr="00E44378">
        <w:rPr>
          <w:rFonts w:ascii="Palatino Linotype" w:hAnsi="Palatino Linotype"/>
          <w:color w:val="auto"/>
          <w:sz w:val="24"/>
          <w:szCs w:val="24"/>
          <w:lang w:val="en-IE"/>
        </w:rPr>
        <w:t xml:space="preserve">and certificate </w:t>
      </w:r>
      <w:r w:rsidR="00B221BB" w:rsidRPr="00E44378">
        <w:rPr>
          <w:rFonts w:ascii="Palatino Linotype" w:hAnsi="Palatino Linotype"/>
          <w:color w:val="auto"/>
          <w:sz w:val="24"/>
          <w:szCs w:val="24"/>
          <w:lang w:val="en-IE"/>
        </w:rPr>
        <w:t xml:space="preserve">offerings. </w:t>
      </w:r>
      <w:r w:rsidR="00BE0F25" w:rsidRPr="00E44378">
        <w:rPr>
          <w:rFonts w:ascii="Palatino Linotype" w:hAnsi="Palatino Linotype"/>
          <w:color w:val="auto"/>
          <w:sz w:val="24"/>
          <w:szCs w:val="24"/>
          <w:lang w:val="en-IE"/>
        </w:rPr>
        <w:t>Furthermore, this mode of delivery</w:t>
      </w:r>
      <w:r w:rsidR="00B221BB" w:rsidRPr="00E44378">
        <w:rPr>
          <w:rFonts w:ascii="Palatino Linotype" w:hAnsi="Palatino Linotype"/>
          <w:color w:val="auto"/>
          <w:sz w:val="24"/>
          <w:szCs w:val="24"/>
          <w:lang w:val="en-IE"/>
        </w:rPr>
        <w:t xml:space="preserve"> was a means of achieving cost effectiveness in offering a </w:t>
      </w:r>
      <w:r w:rsidR="00BE0F25" w:rsidRPr="00E44378">
        <w:rPr>
          <w:rFonts w:ascii="Palatino Linotype" w:hAnsi="Palatino Linotype"/>
          <w:color w:val="auto"/>
          <w:sz w:val="24"/>
          <w:szCs w:val="24"/>
          <w:lang w:val="en-IE"/>
        </w:rPr>
        <w:t xml:space="preserve">free </w:t>
      </w:r>
      <w:r w:rsidR="00B221BB" w:rsidRPr="00E44378">
        <w:rPr>
          <w:rFonts w:ascii="Palatino Linotype" w:hAnsi="Palatino Linotype"/>
          <w:color w:val="auto"/>
          <w:sz w:val="24"/>
          <w:szCs w:val="24"/>
          <w:lang w:val="en-IE"/>
        </w:rPr>
        <w:t xml:space="preserve">course to the public and provides continuity to our other offerings. </w:t>
      </w:r>
    </w:p>
    <w:p w14:paraId="030D91FC" w14:textId="0D5F64E2" w:rsidR="00AD2C4D" w:rsidRPr="00E44378" w:rsidRDefault="002C55DB"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 xml:space="preserve">At </w:t>
      </w:r>
      <w:r w:rsidR="00BE0F25" w:rsidRPr="00E44378">
        <w:rPr>
          <w:rFonts w:ascii="Palatino Linotype" w:hAnsi="Palatino Linotype" w:cs="Arial"/>
          <w:sz w:val="24"/>
          <w:szCs w:val="24"/>
        </w:rPr>
        <w:t xml:space="preserve">the </w:t>
      </w:r>
      <w:r w:rsidRPr="00E44378">
        <w:rPr>
          <w:rFonts w:ascii="Palatino Linotype" w:hAnsi="Palatino Linotype" w:cs="Arial"/>
          <w:sz w:val="24"/>
          <w:szCs w:val="24"/>
        </w:rPr>
        <w:t>design stage</w:t>
      </w:r>
      <w:r w:rsidR="00BE0F25" w:rsidRPr="00E44378">
        <w:rPr>
          <w:rFonts w:ascii="Palatino Linotype" w:hAnsi="Palatino Linotype" w:cs="Arial"/>
          <w:sz w:val="24"/>
          <w:szCs w:val="24"/>
        </w:rPr>
        <w:t>,</w:t>
      </w:r>
      <w:r w:rsidRPr="00E44378">
        <w:rPr>
          <w:rFonts w:ascii="Palatino Linotype" w:hAnsi="Palatino Linotype" w:cs="Arial"/>
          <w:sz w:val="24"/>
          <w:szCs w:val="24"/>
        </w:rPr>
        <w:t xml:space="preserve"> our </w:t>
      </w:r>
      <w:r w:rsidR="004B27C2" w:rsidRPr="00E44378">
        <w:rPr>
          <w:rFonts w:ascii="Palatino Linotype" w:hAnsi="Palatino Linotype" w:cs="Arial"/>
          <w:sz w:val="24"/>
          <w:szCs w:val="24"/>
        </w:rPr>
        <w:t>approach was to remove obstacles</w:t>
      </w:r>
      <w:r w:rsidRPr="00E44378">
        <w:rPr>
          <w:rFonts w:ascii="Palatino Linotype" w:hAnsi="Palatino Linotype" w:cs="Arial"/>
          <w:sz w:val="24"/>
          <w:szCs w:val="24"/>
        </w:rPr>
        <w:t xml:space="preserve"> </w:t>
      </w:r>
      <w:r w:rsidR="00954E0A" w:rsidRPr="00E44378">
        <w:rPr>
          <w:rFonts w:ascii="Palatino Linotype" w:hAnsi="Palatino Linotype" w:cs="Arial"/>
          <w:sz w:val="24"/>
          <w:szCs w:val="24"/>
        </w:rPr>
        <w:t>and t</w:t>
      </w:r>
      <w:r w:rsidR="004B27C2" w:rsidRPr="00E44378">
        <w:rPr>
          <w:rFonts w:ascii="Palatino Linotype" w:hAnsi="Palatino Linotype" w:cs="Arial"/>
          <w:sz w:val="24"/>
          <w:szCs w:val="24"/>
        </w:rPr>
        <w:t xml:space="preserve">o ensure the course was easily accessible </w:t>
      </w:r>
      <w:r w:rsidR="00954E0A" w:rsidRPr="00E44378">
        <w:rPr>
          <w:rFonts w:ascii="Palatino Linotype" w:hAnsi="Palatino Linotype" w:cs="Arial"/>
          <w:sz w:val="24"/>
          <w:szCs w:val="24"/>
        </w:rPr>
        <w:t>via</w:t>
      </w:r>
      <w:r w:rsidRPr="00E44378">
        <w:rPr>
          <w:rFonts w:ascii="Palatino Linotype" w:hAnsi="Palatino Linotype" w:cs="Arial"/>
          <w:sz w:val="24"/>
          <w:szCs w:val="24"/>
        </w:rPr>
        <w:t xml:space="preserve"> an </w:t>
      </w:r>
      <w:r w:rsidR="004B27C2" w:rsidRPr="00E44378">
        <w:rPr>
          <w:rFonts w:ascii="Palatino Linotype" w:hAnsi="Palatino Linotype" w:cs="Arial"/>
          <w:sz w:val="24"/>
          <w:szCs w:val="24"/>
        </w:rPr>
        <w:t xml:space="preserve">intuitive course interface design. A common criticism of MOOCs is that they are </w:t>
      </w:r>
      <w:r w:rsidR="00BE0F25" w:rsidRPr="00E44378">
        <w:rPr>
          <w:rFonts w:ascii="Palatino Linotype" w:hAnsi="Palatino Linotype" w:cs="Arial"/>
          <w:sz w:val="24"/>
          <w:szCs w:val="24"/>
        </w:rPr>
        <w:t>“</w:t>
      </w:r>
      <w:r w:rsidR="004B27C2" w:rsidRPr="00E44378">
        <w:rPr>
          <w:rFonts w:ascii="Palatino Linotype" w:hAnsi="Palatino Linotype" w:cs="Arial"/>
          <w:sz w:val="24"/>
          <w:szCs w:val="24"/>
        </w:rPr>
        <w:t>well packaged; [but] their instructional design quality is low</w:t>
      </w:r>
      <w:r w:rsidR="00BE0F25" w:rsidRPr="00E44378">
        <w:rPr>
          <w:rFonts w:ascii="Palatino Linotype" w:hAnsi="Palatino Linotype" w:cs="Arial"/>
          <w:sz w:val="24"/>
          <w:szCs w:val="24"/>
        </w:rPr>
        <w:t>”</w:t>
      </w:r>
      <w:r w:rsidR="004B27C2" w:rsidRPr="00E44378">
        <w:rPr>
          <w:rStyle w:val="FootnoteReference"/>
          <w:rFonts w:ascii="Palatino Linotype" w:hAnsi="Palatino Linotype" w:cs="Arial"/>
          <w:sz w:val="24"/>
          <w:szCs w:val="24"/>
        </w:rPr>
        <w:footnoteReference w:id="35"/>
      </w:r>
      <w:r w:rsidR="004B27C2" w:rsidRPr="00E44378">
        <w:rPr>
          <w:rFonts w:ascii="Palatino Linotype" w:hAnsi="Palatino Linotype" w:cs="Arial"/>
          <w:sz w:val="24"/>
          <w:szCs w:val="24"/>
        </w:rPr>
        <w:t xml:space="preserve">. Feedback from previous MOOCs and our profile of online learners </w:t>
      </w:r>
      <w:r w:rsidR="00BE0F25" w:rsidRPr="00E44378">
        <w:rPr>
          <w:rFonts w:ascii="Palatino Linotype" w:hAnsi="Palatino Linotype" w:cs="Arial"/>
          <w:sz w:val="24"/>
          <w:szCs w:val="24"/>
        </w:rPr>
        <w:t xml:space="preserve">was </w:t>
      </w:r>
      <w:r w:rsidR="004B27C2" w:rsidRPr="00E44378">
        <w:rPr>
          <w:rFonts w:ascii="Palatino Linotype" w:hAnsi="Palatino Linotype" w:cs="Arial"/>
          <w:sz w:val="24"/>
          <w:szCs w:val="24"/>
        </w:rPr>
        <w:t xml:space="preserve">incorporated into the design stage when working with </w:t>
      </w:r>
      <w:r w:rsidRPr="00E44378">
        <w:rPr>
          <w:rFonts w:ascii="Palatino Linotype" w:eastAsia="Calibri" w:hAnsi="Palatino Linotype" w:cs="Calibri"/>
          <w:sz w:val="24"/>
          <w:szCs w:val="24"/>
          <w:u w:color="000000"/>
        </w:rPr>
        <w:t>our e</w:t>
      </w:r>
      <w:r w:rsidR="00BE0F25" w:rsidRPr="00E44378">
        <w:rPr>
          <w:rFonts w:ascii="Palatino Linotype" w:eastAsia="Calibri" w:hAnsi="Palatino Linotype" w:cs="Calibri"/>
          <w:sz w:val="24"/>
          <w:szCs w:val="24"/>
          <w:u w:color="000000"/>
        </w:rPr>
        <w:t>-</w:t>
      </w:r>
      <w:r w:rsidRPr="00E44378">
        <w:rPr>
          <w:rFonts w:ascii="Palatino Linotype" w:eastAsia="Calibri" w:hAnsi="Palatino Linotype" w:cs="Calibri"/>
          <w:sz w:val="24"/>
          <w:szCs w:val="24"/>
          <w:u w:color="000000"/>
        </w:rPr>
        <w:t>learning solutions partner Enovation</w:t>
      </w:r>
      <w:r w:rsidRPr="00E44378">
        <w:rPr>
          <w:rStyle w:val="FootnoteReference"/>
          <w:rFonts w:ascii="Palatino Linotype" w:hAnsi="Palatino Linotype" w:cs="Arial"/>
          <w:sz w:val="24"/>
          <w:szCs w:val="24"/>
        </w:rPr>
        <w:footnoteReference w:id="36"/>
      </w:r>
      <w:r w:rsidR="004B27C2" w:rsidRPr="00E44378">
        <w:rPr>
          <w:rFonts w:ascii="Palatino Linotype" w:hAnsi="Palatino Linotype" w:cs="Arial"/>
          <w:sz w:val="24"/>
          <w:szCs w:val="24"/>
        </w:rPr>
        <w:t xml:space="preserve">. This helped us to orient the learning environment around user </w:t>
      </w:r>
      <w:r w:rsidR="004B27C2" w:rsidRPr="00E44378">
        <w:rPr>
          <w:rFonts w:ascii="Palatino Linotype" w:hAnsi="Palatino Linotype" w:cs="Arial"/>
          <w:sz w:val="24"/>
          <w:szCs w:val="24"/>
        </w:rPr>
        <w:lastRenderedPageBreak/>
        <w:t>experience</w:t>
      </w:r>
      <w:r w:rsidR="00C04E2C" w:rsidRPr="00E44378">
        <w:rPr>
          <w:rFonts w:ascii="Palatino Linotype" w:hAnsi="Palatino Linotype" w:cs="Arial"/>
          <w:sz w:val="24"/>
          <w:szCs w:val="24"/>
        </w:rPr>
        <w:t>;</w:t>
      </w:r>
      <w:r w:rsidR="004B27C2" w:rsidRPr="00E44378">
        <w:rPr>
          <w:rFonts w:ascii="Palatino Linotype" w:hAnsi="Palatino Linotype" w:cs="Arial"/>
          <w:sz w:val="24"/>
          <w:szCs w:val="24"/>
        </w:rPr>
        <w:t xml:space="preserve"> developing an interface that would be user-friendly, engaging and appealing to users of all technical levels. Factors to consider </w:t>
      </w:r>
      <w:r w:rsidR="00992CBF" w:rsidRPr="00E44378">
        <w:rPr>
          <w:rFonts w:ascii="Palatino Linotype" w:hAnsi="Palatino Linotype" w:cs="Arial"/>
          <w:sz w:val="24"/>
          <w:szCs w:val="24"/>
        </w:rPr>
        <w:t>were</w:t>
      </w:r>
      <w:r w:rsidR="00AD2C4D" w:rsidRPr="00E44378">
        <w:rPr>
          <w:rFonts w:ascii="Palatino Linotype" w:hAnsi="Palatino Linotype" w:cs="Arial"/>
          <w:sz w:val="24"/>
          <w:szCs w:val="24"/>
        </w:rPr>
        <w:t>:</w:t>
      </w:r>
    </w:p>
    <w:p w14:paraId="7F4748F1" w14:textId="6CE49E0D" w:rsidR="00AD2C4D" w:rsidRPr="00E44378" w:rsidRDefault="00072D7A" w:rsidP="00E44378">
      <w:pPr>
        <w:pStyle w:val="ListParagraph"/>
        <w:numPr>
          <w:ilvl w:val="0"/>
          <w:numId w:val="44"/>
        </w:numPr>
        <w:spacing w:after="160" w:line="480" w:lineRule="auto"/>
        <w:jc w:val="both"/>
        <w:rPr>
          <w:rFonts w:ascii="Palatino Linotype" w:hAnsi="Palatino Linotype"/>
          <w:sz w:val="24"/>
          <w:szCs w:val="24"/>
        </w:rPr>
      </w:pPr>
      <w:r w:rsidRPr="00E44378">
        <w:rPr>
          <w:rFonts w:ascii="Palatino Linotype" w:hAnsi="Palatino Linotype" w:cs="Arial"/>
          <w:sz w:val="24"/>
          <w:szCs w:val="24"/>
        </w:rPr>
        <w:t>H</w:t>
      </w:r>
      <w:r w:rsidR="004B27C2" w:rsidRPr="00E44378">
        <w:rPr>
          <w:rFonts w:ascii="Palatino Linotype" w:hAnsi="Palatino Linotype" w:cs="Arial"/>
          <w:sz w:val="24"/>
          <w:szCs w:val="24"/>
        </w:rPr>
        <w:t>igh dropout rates</w:t>
      </w:r>
      <w:r w:rsidR="00C04E2C" w:rsidRPr="00E44378">
        <w:rPr>
          <w:rFonts w:ascii="Palatino Linotype" w:hAnsi="Palatino Linotype" w:cs="Arial"/>
          <w:sz w:val="24"/>
          <w:szCs w:val="24"/>
        </w:rPr>
        <w:t>;</w:t>
      </w:r>
      <w:r w:rsidR="004B27C2" w:rsidRPr="00E44378">
        <w:rPr>
          <w:rFonts w:ascii="Palatino Linotype" w:hAnsi="Palatino Linotype" w:cs="Arial"/>
          <w:sz w:val="24"/>
          <w:szCs w:val="24"/>
        </w:rPr>
        <w:t xml:space="preserve"> </w:t>
      </w:r>
    </w:p>
    <w:p w14:paraId="189A4DF4" w14:textId="19905016" w:rsidR="00AD2C4D" w:rsidRPr="00E44378" w:rsidRDefault="00072D7A" w:rsidP="00E44378">
      <w:pPr>
        <w:pStyle w:val="ListParagraph"/>
        <w:numPr>
          <w:ilvl w:val="0"/>
          <w:numId w:val="44"/>
        </w:numPr>
        <w:spacing w:after="160" w:line="480" w:lineRule="auto"/>
        <w:jc w:val="both"/>
        <w:rPr>
          <w:rFonts w:ascii="Palatino Linotype" w:hAnsi="Palatino Linotype"/>
          <w:sz w:val="24"/>
          <w:szCs w:val="24"/>
        </w:rPr>
      </w:pPr>
      <w:r w:rsidRPr="00E44378">
        <w:rPr>
          <w:rFonts w:ascii="Palatino Linotype" w:hAnsi="Palatino Linotype" w:cs="Arial"/>
          <w:sz w:val="24"/>
          <w:szCs w:val="24"/>
        </w:rPr>
        <w:t>R</w:t>
      </w:r>
      <w:r w:rsidR="004B27C2" w:rsidRPr="00E44378">
        <w:rPr>
          <w:rFonts w:ascii="Palatino Linotype" w:hAnsi="Palatino Linotype" w:cs="Arial"/>
          <w:sz w:val="24"/>
          <w:szCs w:val="24"/>
        </w:rPr>
        <w:t xml:space="preserve">isk of student isolation;   </w:t>
      </w:r>
    </w:p>
    <w:p w14:paraId="2D7F205D" w14:textId="505D1D1B" w:rsidR="00AD2C4D" w:rsidRPr="00E44378" w:rsidRDefault="00072D7A" w:rsidP="00E44378">
      <w:pPr>
        <w:pStyle w:val="ListParagraph"/>
        <w:numPr>
          <w:ilvl w:val="0"/>
          <w:numId w:val="44"/>
        </w:numPr>
        <w:spacing w:after="160" w:line="480" w:lineRule="auto"/>
        <w:jc w:val="both"/>
        <w:rPr>
          <w:rFonts w:ascii="Palatino Linotype" w:hAnsi="Palatino Linotype"/>
          <w:sz w:val="24"/>
          <w:szCs w:val="24"/>
        </w:rPr>
      </w:pPr>
      <w:r w:rsidRPr="00E44378">
        <w:rPr>
          <w:rFonts w:ascii="Palatino Linotype" w:hAnsi="Palatino Linotype" w:cs="Arial"/>
          <w:sz w:val="24"/>
          <w:szCs w:val="24"/>
        </w:rPr>
        <w:t>T</w:t>
      </w:r>
      <w:r w:rsidR="004B27C2" w:rsidRPr="00E44378">
        <w:rPr>
          <w:rFonts w:ascii="Palatino Linotype" w:hAnsi="Palatino Linotype" w:cs="Arial"/>
          <w:sz w:val="24"/>
          <w:szCs w:val="24"/>
        </w:rPr>
        <w:t>he need to cater for mixed profile of participants</w:t>
      </w:r>
      <w:r w:rsidR="006625F2" w:rsidRPr="00E44378">
        <w:rPr>
          <w:rFonts w:ascii="Palatino Linotype" w:hAnsi="Palatino Linotype" w:cs="Arial"/>
          <w:sz w:val="24"/>
          <w:szCs w:val="24"/>
        </w:rPr>
        <w:t>;</w:t>
      </w:r>
      <w:r w:rsidR="004B27C2" w:rsidRPr="00E44378">
        <w:rPr>
          <w:rFonts w:ascii="Palatino Linotype" w:hAnsi="Palatino Linotype" w:cs="Arial"/>
          <w:sz w:val="24"/>
          <w:szCs w:val="24"/>
        </w:rPr>
        <w:t xml:space="preserve"> </w:t>
      </w:r>
      <w:r w:rsidR="00C04E2C" w:rsidRPr="00E44378">
        <w:rPr>
          <w:rFonts w:ascii="Palatino Linotype" w:hAnsi="Palatino Linotype" w:cs="Arial"/>
          <w:sz w:val="24"/>
          <w:szCs w:val="24"/>
        </w:rPr>
        <w:t xml:space="preserve">and </w:t>
      </w:r>
    </w:p>
    <w:p w14:paraId="39471C1B" w14:textId="1F3268BB" w:rsidR="00AD2C4D" w:rsidRPr="00E44378" w:rsidRDefault="00072D7A" w:rsidP="00E44378">
      <w:pPr>
        <w:pStyle w:val="ListParagraph"/>
        <w:numPr>
          <w:ilvl w:val="0"/>
          <w:numId w:val="44"/>
        </w:numPr>
        <w:spacing w:after="160" w:line="480" w:lineRule="auto"/>
        <w:jc w:val="both"/>
        <w:rPr>
          <w:rFonts w:ascii="Palatino Linotype" w:hAnsi="Palatino Linotype"/>
          <w:sz w:val="24"/>
          <w:szCs w:val="24"/>
        </w:rPr>
      </w:pPr>
      <w:r w:rsidRPr="00E44378">
        <w:rPr>
          <w:rFonts w:ascii="Palatino Linotype" w:hAnsi="Palatino Linotype" w:cs="Arial"/>
          <w:sz w:val="24"/>
          <w:szCs w:val="24"/>
        </w:rPr>
        <w:t>V</w:t>
      </w:r>
      <w:r w:rsidR="004B27C2" w:rsidRPr="00E44378">
        <w:rPr>
          <w:rFonts w:ascii="Palatino Linotype" w:hAnsi="Palatino Linotype" w:cs="Arial"/>
          <w:sz w:val="24"/>
          <w:szCs w:val="24"/>
        </w:rPr>
        <w:t xml:space="preserve">arying </w:t>
      </w:r>
      <w:r w:rsidR="00AD2C4D" w:rsidRPr="00E44378">
        <w:rPr>
          <w:rFonts w:ascii="Palatino Linotype" w:hAnsi="Palatino Linotype" w:cs="Arial"/>
          <w:sz w:val="24"/>
          <w:szCs w:val="24"/>
        </w:rPr>
        <w:t xml:space="preserve">student </w:t>
      </w:r>
      <w:r w:rsidR="004B27C2" w:rsidRPr="00E44378">
        <w:rPr>
          <w:rFonts w:ascii="Palatino Linotype" w:hAnsi="Palatino Linotype" w:cs="Arial"/>
          <w:sz w:val="24"/>
          <w:szCs w:val="24"/>
        </w:rPr>
        <w:t xml:space="preserve">motivations </w:t>
      </w:r>
      <w:r w:rsidR="00AD2C4D" w:rsidRPr="00E44378">
        <w:rPr>
          <w:rFonts w:ascii="Palatino Linotype" w:hAnsi="Palatino Linotype" w:cs="Arial"/>
          <w:sz w:val="24"/>
          <w:szCs w:val="24"/>
        </w:rPr>
        <w:t xml:space="preserve">for </w:t>
      </w:r>
      <w:r w:rsidR="004B27C2" w:rsidRPr="00E44378">
        <w:rPr>
          <w:rFonts w:ascii="Palatino Linotype" w:hAnsi="Palatino Linotype" w:cs="Arial"/>
          <w:sz w:val="24"/>
          <w:szCs w:val="24"/>
        </w:rPr>
        <w:t xml:space="preserve">taking part. </w:t>
      </w:r>
    </w:p>
    <w:p w14:paraId="3A6E5676" w14:textId="6EF9BB28" w:rsidR="004B27C2" w:rsidRPr="00E44378" w:rsidRDefault="004B27C2" w:rsidP="00E44378">
      <w:pPr>
        <w:spacing w:after="160" w:line="480" w:lineRule="auto"/>
        <w:jc w:val="both"/>
        <w:rPr>
          <w:rFonts w:ascii="Palatino Linotype" w:hAnsi="Palatino Linotype"/>
          <w:sz w:val="24"/>
          <w:szCs w:val="24"/>
        </w:rPr>
      </w:pPr>
      <w:r w:rsidRPr="00E44378">
        <w:rPr>
          <w:rFonts w:ascii="Palatino Linotype" w:hAnsi="Palatino Linotype" w:cs="Arial"/>
          <w:sz w:val="24"/>
          <w:szCs w:val="24"/>
        </w:rPr>
        <w:t xml:space="preserve">Best practice </w:t>
      </w:r>
      <w:r w:rsidR="00C04E2C" w:rsidRPr="00E44378">
        <w:rPr>
          <w:rFonts w:ascii="Palatino Linotype" w:hAnsi="Palatino Linotype" w:cs="Arial"/>
          <w:sz w:val="24"/>
          <w:szCs w:val="24"/>
        </w:rPr>
        <w:t xml:space="preserve">suggests </w:t>
      </w:r>
      <w:r w:rsidR="004450CE" w:rsidRPr="00E44378">
        <w:rPr>
          <w:rFonts w:ascii="Palatino Linotype" w:hAnsi="Palatino Linotype" w:cs="Arial"/>
          <w:sz w:val="24"/>
          <w:szCs w:val="24"/>
        </w:rPr>
        <w:t>prioritising</w:t>
      </w:r>
      <w:r w:rsidRPr="00E44378">
        <w:rPr>
          <w:rFonts w:ascii="Palatino Linotype" w:hAnsi="Palatino Linotype" w:cs="Arial"/>
          <w:sz w:val="24"/>
          <w:szCs w:val="24"/>
        </w:rPr>
        <w:t xml:space="preserve"> user experience at </w:t>
      </w:r>
      <w:r w:rsidR="00C60D4A" w:rsidRPr="00E44378">
        <w:rPr>
          <w:rFonts w:ascii="Palatino Linotype" w:hAnsi="Palatino Linotype" w:cs="Arial"/>
          <w:sz w:val="24"/>
          <w:szCs w:val="24"/>
        </w:rPr>
        <w:t xml:space="preserve">the </w:t>
      </w:r>
      <w:r w:rsidRPr="00E44378">
        <w:rPr>
          <w:rFonts w:ascii="Palatino Linotype" w:hAnsi="Palatino Linotype" w:cs="Arial"/>
          <w:sz w:val="24"/>
          <w:szCs w:val="24"/>
        </w:rPr>
        <w:t xml:space="preserve">core of course design decisions. </w:t>
      </w:r>
      <w:r w:rsidR="0069334A" w:rsidRPr="00E44378">
        <w:rPr>
          <w:rFonts w:ascii="Palatino Linotype" w:hAnsi="Palatino Linotype" w:cs="Arial"/>
          <w:sz w:val="24"/>
          <w:szCs w:val="24"/>
        </w:rPr>
        <w:t xml:space="preserve">Our standard online system </w:t>
      </w:r>
      <w:r w:rsidR="00EE729B" w:rsidRPr="00E44378">
        <w:rPr>
          <w:rFonts w:ascii="Palatino Linotype" w:hAnsi="Palatino Linotype" w:cs="Arial"/>
          <w:sz w:val="24"/>
          <w:szCs w:val="24"/>
        </w:rPr>
        <w:t xml:space="preserve">has been </w:t>
      </w:r>
      <w:r w:rsidR="0069334A" w:rsidRPr="00E44378">
        <w:rPr>
          <w:rFonts w:ascii="Palatino Linotype" w:hAnsi="Palatino Linotype" w:cs="Arial"/>
          <w:sz w:val="24"/>
          <w:szCs w:val="24"/>
        </w:rPr>
        <w:t xml:space="preserve">adapted to the needs of </w:t>
      </w:r>
      <w:r w:rsidR="00C60D4A" w:rsidRPr="00E44378">
        <w:rPr>
          <w:rFonts w:ascii="Palatino Linotype" w:hAnsi="Palatino Linotype" w:cs="Arial"/>
          <w:sz w:val="24"/>
          <w:szCs w:val="24"/>
        </w:rPr>
        <w:t xml:space="preserve">our typical student profile, </w:t>
      </w:r>
      <w:r w:rsidR="0069334A" w:rsidRPr="00E44378">
        <w:rPr>
          <w:rFonts w:ascii="Palatino Linotype" w:hAnsi="Palatino Linotype" w:cs="Arial"/>
          <w:sz w:val="24"/>
          <w:szCs w:val="24"/>
        </w:rPr>
        <w:t xml:space="preserve">the ‘busy, time poor professional’ </w:t>
      </w:r>
      <w:r w:rsidR="00C60D4A" w:rsidRPr="00E44378">
        <w:rPr>
          <w:rFonts w:ascii="Palatino Linotype" w:hAnsi="Palatino Linotype" w:cs="Arial"/>
          <w:sz w:val="24"/>
          <w:szCs w:val="24"/>
        </w:rPr>
        <w:t>who</w:t>
      </w:r>
      <w:r w:rsidR="0069334A" w:rsidRPr="00E44378">
        <w:rPr>
          <w:rFonts w:ascii="Palatino Linotype" w:hAnsi="Palatino Linotype" w:cs="Arial"/>
          <w:sz w:val="24"/>
          <w:szCs w:val="24"/>
        </w:rPr>
        <w:t xml:space="preserve"> require</w:t>
      </w:r>
      <w:r w:rsidR="00C60D4A" w:rsidRPr="00E44378">
        <w:rPr>
          <w:rFonts w:ascii="Palatino Linotype" w:hAnsi="Palatino Linotype" w:cs="Arial"/>
          <w:sz w:val="24"/>
          <w:szCs w:val="24"/>
        </w:rPr>
        <w:t>s</w:t>
      </w:r>
      <w:r w:rsidR="0069334A" w:rsidRPr="00E44378">
        <w:rPr>
          <w:rFonts w:ascii="Palatino Linotype" w:hAnsi="Palatino Linotype" w:cs="Arial"/>
          <w:sz w:val="24"/>
          <w:szCs w:val="24"/>
        </w:rPr>
        <w:t xml:space="preserve"> a system which enables them to learn on-the-go. However</w:t>
      </w:r>
      <w:r w:rsidR="00CC3A9D" w:rsidRPr="00E44378">
        <w:rPr>
          <w:rFonts w:ascii="Palatino Linotype" w:hAnsi="Palatino Linotype" w:cs="Arial"/>
          <w:sz w:val="24"/>
          <w:szCs w:val="24"/>
        </w:rPr>
        <w:t>,</w:t>
      </w:r>
      <w:r w:rsidR="009176BF" w:rsidRPr="00E44378">
        <w:rPr>
          <w:rFonts w:ascii="Palatino Linotype" w:hAnsi="Palatino Linotype" w:cs="Arial"/>
          <w:sz w:val="24"/>
          <w:szCs w:val="24"/>
        </w:rPr>
        <w:t xml:space="preserve"> our</w:t>
      </w:r>
      <w:r w:rsidR="0069334A" w:rsidRPr="00E44378">
        <w:rPr>
          <w:rFonts w:ascii="Palatino Linotype" w:hAnsi="Palatino Linotype" w:cs="Arial"/>
          <w:sz w:val="24"/>
          <w:szCs w:val="24"/>
        </w:rPr>
        <w:t xml:space="preserve"> MOOC</w:t>
      </w:r>
      <w:r w:rsidR="009176BF" w:rsidRPr="00E44378">
        <w:rPr>
          <w:rFonts w:ascii="Palatino Linotype" w:hAnsi="Palatino Linotype" w:cs="Arial"/>
          <w:sz w:val="24"/>
          <w:szCs w:val="24"/>
        </w:rPr>
        <w:t>s have</w:t>
      </w:r>
      <w:r w:rsidR="0069334A" w:rsidRPr="00E44378">
        <w:rPr>
          <w:rFonts w:ascii="Palatino Linotype" w:hAnsi="Palatino Linotype" w:cs="Arial"/>
          <w:sz w:val="24"/>
          <w:szCs w:val="24"/>
        </w:rPr>
        <w:t xml:space="preserve"> attracted interested persons of all ages, from younger students in their twenties to retirees in their seventies, </w:t>
      </w:r>
      <w:r w:rsidR="006811C1" w:rsidRPr="00E44378">
        <w:rPr>
          <w:rFonts w:ascii="Palatino Linotype" w:hAnsi="Palatino Linotype" w:cs="Arial"/>
          <w:sz w:val="24"/>
          <w:szCs w:val="24"/>
        </w:rPr>
        <w:t xml:space="preserve">and therefore </w:t>
      </w:r>
      <w:r w:rsidR="0069334A" w:rsidRPr="00E44378">
        <w:rPr>
          <w:rFonts w:ascii="Palatino Linotype" w:hAnsi="Palatino Linotype" w:cs="Arial"/>
          <w:sz w:val="24"/>
          <w:szCs w:val="24"/>
        </w:rPr>
        <w:t>appealing to students across the age spectrum and from a broad range of demographics was a key concern.</w:t>
      </w:r>
    </w:p>
    <w:p w14:paraId="5AF3E59E" w14:textId="2398FD7A" w:rsidR="004A759A" w:rsidRPr="00E44378" w:rsidRDefault="00EE5D14" w:rsidP="00E44378">
      <w:pPr>
        <w:spacing w:after="160" w:line="480" w:lineRule="auto"/>
        <w:jc w:val="both"/>
        <w:rPr>
          <w:rFonts w:ascii="Palatino Linotype" w:eastAsia="Calibri" w:hAnsi="Palatino Linotype" w:cs="Calibri"/>
          <w:sz w:val="24"/>
          <w:szCs w:val="24"/>
          <w:u w:color="000000"/>
        </w:rPr>
      </w:pPr>
      <w:r w:rsidRPr="00E44378">
        <w:rPr>
          <w:rFonts w:ascii="Palatino Linotype" w:eastAsia="Calibri" w:hAnsi="Palatino Linotype" w:cs="Calibri"/>
          <w:sz w:val="24"/>
          <w:szCs w:val="24"/>
          <w:u w:color="000000"/>
        </w:rPr>
        <w:t>A welcoming</w:t>
      </w:r>
      <w:r w:rsidR="004450CE" w:rsidRPr="00E44378">
        <w:rPr>
          <w:rFonts w:ascii="Palatino Linotype" w:eastAsia="Calibri" w:hAnsi="Palatino Linotype" w:cs="Calibri"/>
          <w:sz w:val="24"/>
          <w:szCs w:val="24"/>
          <w:u w:color="000000"/>
        </w:rPr>
        <w:t>, friendly</w:t>
      </w:r>
      <w:r w:rsidRPr="00E44378">
        <w:rPr>
          <w:rFonts w:ascii="Palatino Linotype" w:eastAsia="Calibri" w:hAnsi="Palatino Linotype" w:cs="Calibri"/>
          <w:sz w:val="24"/>
          <w:szCs w:val="24"/>
          <w:u w:color="000000"/>
        </w:rPr>
        <w:t xml:space="preserve"> tone is adopted in course communications with guidance and support provided by the Diploma team, who </w:t>
      </w:r>
      <w:r w:rsidR="004450CE" w:rsidRPr="00E44378">
        <w:rPr>
          <w:rFonts w:ascii="Palatino Linotype" w:eastAsia="Calibri" w:hAnsi="Palatino Linotype" w:cs="Calibri"/>
          <w:sz w:val="24"/>
          <w:szCs w:val="24"/>
          <w:u w:color="000000"/>
        </w:rPr>
        <w:t>personalise the experience</w:t>
      </w:r>
      <w:r w:rsidRPr="00E44378">
        <w:rPr>
          <w:rFonts w:ascii="Palatino Linotype" w:eastAsia="Calibri" w:hAnsi="Palatino Linotype" w:cs="Calibri"/>
          <w:sz w:val="24"/>
          <w:szCs w:val="24"/>
          <w:u w:color="000000"/>
        </w:rPr>
        <w:t xml:space="preserve"> and act as essential point</w:t>
      </w:r>
      <w:r w:rsidR="004450CE" w:rsidRPr="00E44378">
        <w:rPr>
          <w:rFonts w:ascii="Palatino Linotype" w:eastAsia="Calibri" w:hAnsi="Palatino Linotype" w:cs="Calibri"/>
          <w:sz w:val="24"/>
          <w:szCs w:val="24"/>
          <w:u w:color="000000"/>
        </w:rPr>
        <w:t>s</w:t>
      </w:r>
      <w:r w:rsidRPr="00E44378">
        <w:rPr>
          <w:rFonts w:ascii="Palatino Linotype" w:eastAsia="Calibri" w:hAnsi="Palatino Linotype" w:cs="Calibri"/>
          <w:sz w:val="24"/>
          <w:szCs w:val="24"/>
          <w:u w:color="000000"/>
        </w:rPr>
        <w:t xml:space="preserve"> of contact to bridge the gap between students and the weekly presenters.</w:t>
      </w:r>
      <w:r w:rsidR="00F22B58" w:rsidRPr="00E44378">
        <w:rPr>
          <w:rFonts w:ascii="Palatino Linotype" w:eastAsia="Calibri" w:hAnsi="Palatino Linotype" w:cs="Calibri"/>
          <w:sz w:val="24"/>
          <w:szCs w:val="24"/>
          <w:u w:color="000000"/>
        </w:rPr>
        <w:t xml:space="preserve"> </w:t>
      </w:r>
      <w:r w:rsidR="007B698C" w:rsidRPr="00E44378">
        <w:rPr>
          <w:rFonts w:ascii="Palatino Linotype" w:eastAsia="Calibri" w:hAnsi="Palatino Linotype" w:cs="Calibri"/>
          <w:sz w:val="24"/>
          <w:szCs w:val="24"/>
          <w:u w:color="000000"/>
        </w:rPr>
        <w:t xml:space="preserve">The provision of a weekly opportunity </w:t>
      </w:r>
      <w:r w:rsidR="002C55DB" w:rsidRPr="00E44378">
        <w:rPr>
          <w:rFonts w:ascii="Palatino Linotype" w:eastAsia="Calibri" w:hAnsi="Palatino Linotype" w:cs="Calibri"/>
          <w:sz w:val="24"/>
          <w:szCs w:val="24"/>
          <w:u w:color="000000"/>
        </w:rPr>
        <w:t xml:space="preserve">for real time engagement with </w:t>
      </w:r>
      <w:r w:rsidR="007B698C" w:rsidRPr="00E44378">
        <w:rPr>
          <w:rFonts w:ascii="Palatino Linotype" w:eastAsia="Calibri" w:hAnsi="Palatino Linotype" w:cs="Calibri"/>
          <w:sz w:val="24"/>
          <w:szCs w:val="24"/>
          <w:u w:color="000000"/>
        </w:rPr>
        <w:t xml:space="preserve">subject matter </w:t>
      </w:r>
      <w:r w:rsidR="002C55DB" w:rsidRPr="00E44378">
        <w:rPr>
          <w:rFonts w:ascii="Palatino Linotype" w:eastAsia="Calibri" w:hAnsi="Palatino Linotype" w:cs="Calibri"/>
          <w:sz w:val="24"/>
          <w:szCs w:val="24"/>
          <w:u w:color="000000"/>
        </w:rPr>
        <w:t xml:space="preserve"> expert</w:t>
      </w:r>
      <w:r w:rsidR="007B698C" w:rsidRPr="00E44378">
        <w:rPr>
          <w:rFonts w:ascii="Palatino Linotype" w:eastAsia="Calibri" w:hAnsi="Palatino Linotype" w:cs="Calibri"/>
          <w:sz w:val="24"/>
          <w:szCs w:val="24"/>
          <w:u w:color="000000"/>
        </w:rPr>
        <w:t>s</w:t>
      </w:r>
      <w:r w:rsidR="002C55DB" w:rsidRPr="00E44378">
        <w:rPr>
          <w:rFonts w:ascii="Palatino Linotype" w:eastAsia="Calibri" w:hAnsi="Palatino Linotype" w:cs="Calibri"/>
          <w:sz w:val="24"/>
          <w:szCs w:val="24"/>
          <w:u w:color="000000"/>
        </w:rPr>
        <w:t xml:space="preserve"> </w:t>
      </w:r>
      <w:r w:rsidR="004A759A" w:rsidRPr="00E44378">
        <w:rPr>
          <w:rFonts w:ascii="Palatino Linotype" w:eastAsia="Calibri" w:hAnsi="Palatino Linotype" w:cs="Calibri"/>
          <w:sz w:val="24"/>
          <w:szCs w:val="24"/>
          <w:u w:color="000000"/>
        </w:rPr>
        <w:t>aims to overcome the criticism often levelled at MOOCs of l</w:t>
      </w:r>
      <w:r w:rsidR="004A759A" w:rsidRPr="00E44378">
        <w:rPr>
          <w:rFonts w:ascii="Palatino Linotype" w:hAnsi="Palatino Linotype" w:cs="Arial"/>
          <w:sz w:val="24"/>
          <w:szCs w:val="24"/>
        </w:rPr>
        <w:t>ack of instructor accessibility</w:t>
      </w:r>
      <w:r w:rsidR="004A759A" w:rsidRPr="00E44378">
        <w:rPr>
          <w:rStyle w:val="FootnoteReference"/>
          <w:rFonts w:ascii="Palatino Linotype" w:hAnsi="Palatino Linotype" w:cs="Arial"/>
          <w:sz w:val="24"/>
          <w:szCs w:val="24"/>
        </w:rPr>
        <w:footnoteReference w:id="37"/>
      </w:r>
      <w:r w:rsidR="004A759A" w:rsidRPr="00E44378">
        <w:rPr>
          <w:rFonts w:ascii="Palatino Linotype" w:hAnsi="Palatino Linotype" w:cs="Arial"/>
          <w:sz w:val="24"/>
          <w:szCs w:val="24"/>
        </w:rPr>
        <w:t xml:space="preserve">. A low level of instructor accessibility is likely to exacerbate </w:t>
      </w:r>
      <w:r w:rsidR="004A759A" w:rsidRPr="00E44378">
        <w:rPr>
          <w:rFonts w:ascii="Palatino Linotype" w:hAnsi="Palatino Linotype" w:cs="Arial"/>
          <w:sz w:val="24"/>
          <w:szCs w:val="24"/>
        </w:rPr>
        <w:lastRenderedPageBreak/>
        <w:t>student feelings of isolation, whereas a high level of accessibility is shown to encourage student engagement</w:t>
      </w:r>
      <w:r w:rsidR="004A759A" w:rsidRPr="00E44378">
        <w:rPr>
          <w:rStyle w:val="FootnoteReference"/>
          <w:rFonts w:ascii="Palatino Linotype" w:hAnsi="Palatino Linotype" w:cs="Arial"/>
          <w:sz w:val="24"/>
          <w:szCs w:val="24"/>
        </w:rPr>
        <w:footnoteReference w:id="38"/>
      </w:r>
      <w:r w:rsidR="004A759A" w:rsidRPr="00E44378">
        <w:rPr>
          <w:rFonts w:ascii="Palatino Linotype" w:hAnsi="Palatino Linotype" w:cs="Arial"/>
          <w:sz w:val="24"/>
          <w:szCs w:val="24"/>
        </w:rPr>
        <w:t xml:space="preserve">. Since the 2017 MOOC, we have incorporated a </w:t>
      </w:r>
      <w:r w:rsidR="004450CE" w:rsidRPr="00E44378">
        <w:rPr>
          <w:rFonts w:ascii="Palatino Linotype" w:hAnsi="Palatino Linotype" w:cs="Arial"/>
          <w:sz w:val="24"/>
          <w:szCs w:val="24"/>
        </w:rPr>
        <w:t>weekly lunchtime</w:t>
      </w:r>
      <w:r w:rsidR="004A759A" w:rsidRPr="00E44378">
        <w:rPr>
          <w:rFonts w:ascii="Palatino Linotype" w:hAnsi="Palatino Linotype" w:cs="Arial"/>
          <w:sz w:val="24"/>
          <w:szCs w:val="24"/>
        </w:rPr>
        <w:t xml:space="preserve"> ‘question &amp; answer’ session filmed </w:t>
      </w:r>
      <w:r w:rsidR="004450CE" w:rsidRPr="00E44378">
        <w:rPr>
          <w:rFonts w:ascii="Palatino Linotype" w:hAnsi="Palatino Linotype" w:cs="Arial"/>
          <w:sz w:val="24"/>
          <w:szCs w:val="24"/>
        </w:rPr>
        <w:t xml:space="preserve">on location </w:t>
      </w:r>
      <w:r w:rsidR="004A759A" w:rsidRPr="00E44378">
        <w:rPr>
          <w:rFonts w:ascii="Palatino Linotype" w:hAnsi="Palatino Linotype" w:cs="Arial"/>
          <w:sz w:val="24"/>
          <w:szCs w:val="24"/>
        </w:rPr>
        <w:t xml:space="preserve">at the offices of legal experts contributing to the course, whereby students could tune in and engage in discussion with the experts via a live video chat. </w:t>
      </w:r>
    </w:p>
    <w:p w14:paraId="45093E72" w14:textId="6BE89231" w:rsidR="002C55DB" w:rsidRPr="00E44378" w:rsidRDefault="002C55DB" w:rsidP="00E44378">
      <w:pPr>
        <w:pStyle w:val="Default"/>
        <w:spacing w:after="160" w:line="480" w:lineRule="auto"/>
        <w:jc w:val="both"/>
        <w:rPr>
          <w:rStyle w:val="NoneA"/>
          <w:rFonts w:ascii="Palatino Linotype" w:hAnsi="Palatino Linotype"/>
          <w:color w:val="auto"/>
          <w:sz w:val="24"/>
          <w:szCs w:val="24"/>
          <w:lang w:val="en-IE"/>
        </w:rPr>
      </w:pPr>
      <w:r w:rsidRPr="00E44378">
        <w:rPr>
          <w:rFonts w:ascii="Palatino Linotype" w:eastAsia="Calibri" w:hAnsi="Palatino Linotype" w:cs="Calibri"/>
          <w:color w:val="auto"/>
          <w:sz w:val="24"/>
          <w:szCs w:val="24"/>
          <w:lang w:val="en-IE"/>
        </w:rPr>
        <w:t>At development stage each year</w:t>
      </w:r>
      <w:r w:rsidR="00EC2E3F" w:rsidRPr="00E44378">
        <w:rPr>
          <w:rFonts w:ascii="Palatino Linotype" w:eastAsia="Calibri" w:hAnsi="Palatino Linotype" w:cs="Calibri"/>
          <w:color w:val="auto"/>
          <w:sz w:val="24"/>
          <w:szCs w:val="24"/>
          <w:lang w:val="en-IE"/>
        </w:rPr>
        <w:t>,</w:t>
      </w:r>
      <w:r w:rsidRPr="00E44378">
        <w:rPr>
          <w:rFonts w:ascii="Palatino Linotype" w:eastAsia="Calibri" w:hAnsi="Palatino Linotype" w:cs="Calibri"/>
          <w:color w:val="auto"/>
          <w:sz w:val="24"/>
          <w:szCs w:val="24"/>
          <w:lang w:val="en-IE"/>
        </w:rPr>
        <w:t xml:space="preserve"> the creation of video recordings is the dominant aspect</w:t>
      </w:r>
      <w:r w:rsidR="00BE6602" w:rsidRPr="00E44378">
        <w:rPr>
          <w:rFonts w:ascii="Palatino Linotype" w:eastAsia="Calibri" w:hAnsi="Palatino Linotype" w:cs="Calibri"/>
          <w:color w:val="auto"/>
          <w:sz w:val="24"/>
          <w:szCs w:val="24"/>
          <w:lang w:val="en-IE"/>
        </w:rPr>
        <w:t xml:space="preserve"> in our considerations.</w:t>
      </w:r>
      <w:r w:rsidRPr="00E44378">
        <w:rPr>
          <w:rFonts w:ascii="Palatino Linotype" w:eastAsia="Calibri" w:hAnsi="Palatino Linotype" w:cs="Calibri"/>
          <w:color w:val="auto"/>
          <w:sz w:val="24"/>
          <w:szCs w:val="24"/>
          <w:lang w:val="en-IE"/>
        </w:rPr>
        <w:t xml:space="preserve"> </w:t>
      </w:r>
      <w:r w:rsidR="00BE6602" w:rsidRPr="00E44378">
        <w:rPr>
          <w:rFonts w:ascii="Palatino Linotype" w:eastAsia="Calibri" w:hAnsi="Palatino Linotype" w:cs="Calibri"/>
          <w:color w:val="auto"/>
          <w:sz w:val="24"/>
          <w:szCs w:val="24"/>
          <w:lang w:val="en-IE"/>
        </w:rPr>
        <w:t>From a practical perspective</w:t>
      </w:r>
      <w:r w:rsidR="00072D7A" w:rsidRPr="00E44378">
        <w:rPr>
          <w:rFonts w:ascii="Palatino Linotype" w:eastAsia="Calibri" w:hAnsi="Palatino Linotype" w:cs="Calibri"/>
          <w:color w:val="auto"/>
          <w:sz w:val="24"/>
          <w:szCs w:val="24"/>
          <w:lang w:val="en-IE"/>
        </w:rPr>
        <w:t>,</w:t>
      </w:r>
      <w:r w:rsidR="00BE6602" w:rsidRPr="00E44378">
        <w:rPr>
          <w:rFonts w:ascii="Palatino Linotype" w:eastAsia="Calibri" w:hAnsi="Palatino Linotype" w:cs="Calibri"/>
          <w:color w:val="auto"/>
          <w:sz w:val="24"/>
          <w:szCs w:val="24"/>
          <w:lang w:val="en-IE"/>
        </w:rPr>
        <w:t xml:space="preserve"> the work of </w:t>
      </w:r>
      <w:r w:rsidR="00081072" w:rsidRPr="00E44378">
        <w:rPr>
          <w:rFonts w:ascii="Palatino Linotype" w:eastAsia="Calibri" w:hAnsi="Palatino Linotype" w:cs="Calibri"/>
          <w:color w:val="auto"/>
          <w:sz w:val="24"/>
          <w:szCs w:val="24"/>
          <w:lang w:val="en-IE"/>
        </w:rPr>
        <w:t>Guo et al</w:t>
      </w:r>
      <w:r w:rsidR="00081072" w:rsidRPr="00E44378">
        <w:rPr>
          <w:rStyle w:val="NoneA"/>
          <w:rFonts w:ascii="Palatino Linotype" w:eastAsia="Times New Roman" w:hAnsi="Palatino Linotype" w:cs="Times New Roman"/>
          <w:color w:val="auto"/>
          <w:sz w:val="24"/>
          <w:szCs w:val="24"/>
          <w:vertAlign w:val="superscript"/>
          <w:lang w:val="en-IE"/>
        </w:rPr>
        <w:footnoteReference w:id="39"/>
      </w:r>
      <w:r w:rsidR="00081072" w:rsidRPr="00E44378">
        <w:rPr>
          <w:rFonts w:ascii="Palatino Linotype" w:eastAsia="Calibri" w:hAnsi="Palatino Linotype" w:cs="Calibri"/>
          <w:color w:val="auto"/>
          <w:sz w:val="24"/>
          <w:szCs w:val="24"/>
          <w:lang w:val="en-IE"/>
        </w:rPr>
        <w:t xml:space="preserve"> </w:t>
      </w:r>
      <w:r w:rsidR="00EC2E3F" w:rsidRPr="00E44378">
        <w:rPr>
          <w:rFonts w:ascii="Palatino Linotype" w:eastAsia="Calibri" w:hAnsi="Palatino Linotype" w:cs="Calibri"/>
          <w:color w:val="auto"/>
          <w:sz w:val="24"/>
          <w:szCs w:val="24"/>
          <w:lang w:val="en-IE"/>
        </w:rPr>
        <w:t>on the effect of video production on student engagement</w:t>
      </w:r>
      <w:r w:rsidR="00081072" w:rsidRPr="00E44378">
        <w:rPr>
          <w:rFonts w:ascii="Palatino Linotype" w:eastAsia="Calibri" w:hAnsi="Palatino Linotype" w:cs="Calibri"/>
          <w:color w:val="auto"/>
          <w:sz w:val="24"/>
          <w:szCs w:val="24"/>
          <w:lang w:val="en-IE"/>
        </w:rPr>
        <w:t xml:space="preserve"> </w:t>
      </w:r>
      <w:r w:rsidR="00EC2E3F" w:rsidRPr="00E44378">
        <w:rPr>
          <w:rFonts w:ascii="Palatino Linotype" w:eastAsia="Calibri" w:hAnsi="Palatino Linotype" w:cs="Calibri"/>
          <w:color w:val="auto"/>
          <w:sz w:val="24"/>
          <w:szCs w:val="24"/>
          <w:lang w:val="en-IE"/>
        </w:rPr>
        <w:t xml:space="preserve">has proved </w:t>
      </w:r>
      <w:r w:rsidR="004450CE" w:rsidRPr="00E44378">
        <w:rPr>
          <w:rFonts w:ascii="Palatino Linotype" w:eastAsia="Calibri" w:hAnsi="Palatino Linotype" w:cs="Calibri"/>
          <w:color w:val="auto"/>
          <w:sz w:val="24"/>
          <w:szCs w:val="24"/>
          <w:lang w:val="en-IE"/>
        </w:rPr>
        <w:t xml:space="preserve">a </w:t>
      </w:r>
      <w:r w:rsidR="00081072" w:rsidRPr="00E44378">
        <w:rPr>
          <w:rFonts w:ascii="Palatino Linotype" w:eastAsia="Calibri" w:hAnsi="Palatino Linotype" w:cs="Calibri"/>
          <w:color w:val="auto"/>
          <w:sz w:val="24"/>
          <w:szCs w:val="24"/>
          <w:lang w:val="en-IE"/>
        </w:rPr>
        <w:t xml:space="preserve">significant </w:t>
      </w:r>
      <w:r w:rsidR="00BE6602" w:rsidRPr="00E44378">
        <w:rPr>
          <w:rFonts w:ascii="Palatino Linotype" w:eastAsia="Calibri" w:hAnsi="Palatino Linotype" w:cs="Calibri"/>
          <w:color w:val="auto"/>
          <w:sz w:val="24"/>
          <w:szCs w:val="24"/>
          <w:lang w:val="en-IE"/>
        </w:rPr>
        <w:t>resource</w:t>
      </w:r>
      <w:r w:rsidR="00081072" w:rsidRPr="00E44378">
        <w:rPr>
          <w:rFonts w:ascii="Palatino Linotype" w:eastAsia="Calibri" w:hAnsi="Palatino Linotype" w:cs="Calibri"/>
          <w:color w:val="auto"/>
          <w:sz w:val="24"/>
          <w:szCs w:val="24"/>
          <w:lang w:val="en-IE"/>
        </w:rPr>
        <w:t xml:space="preserve">. </w:t>
      </w:r>
      <w:r w:rsidR="00BE6602" w:rsidRPr="00E44378">
        <w:rPr>
          <w:rFonts w:ascii="Palatino Linotype" w:eastAsia="Calibri" w:hAnsi="Palatino Linotype" w:cs="Calibri"/>
          <w:color w:val="auto"/>
          <w:sz w:val="24"/>
          <w:szCs w:val="24"/>
          <w:lang w:val="en-IE"/>
        </w:rPr>
        <w:t>The authors of this empirical</w:t>
      </w:r>
      <w:r w:rsidR="000B09D0" w:rsidRPr="00E44378">
        <w:rPr>
          <w:rFonts w:ascii="Palatino Linotype" w:eastAsia="Calibri" w:hAnsi="Palatino Linotype" w:cs="Calibri"/>
          <w:color w:val="auto"/>
          <w:sz w:val="24"/>
          <w:szCs w:val="24"/>
          <w:lang w:val="en-IE"/>
        </w:rPr>
        <w:t xml:space="preserve"> study, which was ground-breaking in terms of its scale</w:t>
      </w:r>
      <w:r w:rsidR="00BE6602" w:rsidRPr="00E44378">
        <w:rPr>
          <w:rFonts w:ascii="Palatino Linotype" w:eastAsia="Calibri" w:hAnsi="Palatino Linotype" w:cs="Calibri"/>
          <w:color w:val="auto"/>
          <w:sz w:val="24"/>
          <w:szCs w:val="24"/>
          <w:lang w:val="en-IE"/>
        </w:rPr>
        <w:t xml:space="preserve"> (data</w:t>
      </w:r>
      <w:r w:rsidR="00F45D65" w:rsidRPr="00E44378">
        <w:rPr>
          <w:rStyle w:val="NoneA"/>
          <w:rFonts w:ascii="Palatino Linotype" w:hAnsi="Palatino Linotype"/>
          <w:color w:val="auto"/>
          <w:sz w:val="24"/>
          <w:szCs w:val="24"/>
          <w:lang w:val="en-IE"/>
        </w:rPr>
        <w:t xml:space="preserve"> </w:t>
      </w:r>
      <w:r w:rsidR="00BE6602" w:rsidRPr="00E44378">
        <w:rPr>
          <w:rStyle w:val="NoneA"/>
          <w:rFonts w:ascii="Palatino Linotype" w:hAnsi="Palatino Linotype"/>
          <w:color w:val="auto"/>
          <w:sz w:val="24"/>
          <w:szCs w:val="24"/>
          <w:lang w:val="en-IE"/>
        </w:rPr>
        <w:t xml:space="preserve">measured </w:t>
      </w:r>
      <w:r w:rsidR="00F45D65" w:rsidRPr="00E44378">
        <w:rPr>
          <w:rStyle w:val="NoneA"/>
          <w:rFonts w:ascii="Palatino Linotype" w:hAnsi="Palatino Linotype"/>
          <w:color w:val="auto"/>
          <w:sz w:val="24"/>
          <w:szCs w:val="24"/>
          <w:lang w:val="en-IE"/>
        </w:rPr>
        <w:t>from 6.9 million video-watching sessions across four MOOC courses</w:t>
      </w:r>
      <w:r w:rsidR="00BE6602" w:rsidRPr="00E44378">
        <w:rPr>
          <w:rStyle w:val="NoneA"/>
          <w:rFonts w:ascii="Palatino Linotype" w:hAnsi="Palatino Linotype"/>
          <w:color w:val="auto"/>
          <w:sz w:val="24"/>
          <w:szCs w:val="24"/>
          <w:lang w:val="en-IE"/>
        </w:rPr>
        <w:t>)</w:t>
      </w:r>
      <w:r w:rsidR="00072D7A" w:rsidRPr="00E44378">
        <w:rPr>
          <w:rStyle w:val="NoneA"/>
          <w:rFonts w:ascii="Palatino Linotype" w:hAnsi="Palatino Linotype"/>
          <w:color w:val="auto"/>
          <w:sz w:val="24"/>
          <w:szCs w:val="24"/>
          <w:lang w:val="en-IE"/>
        </w:rPr>
        <w:t>,</w:t>
      </w:r>
      <w:r w:rsidR="00BE6602" w:rsidRPr="00E44378">
        <w:rPr>
          <w:rStyle w:val="NoneA"/>
          <w:rFonts w:ascii="Palatino Linotype" w:hAnsi="Palatino Linotype"/>
          <w:color w:val="auto"/>
          <w:sz w:val="24"/>
          <w:szCs w:val="24"/>
          <w:lang w:val="en-IE"/>
        </w:rPr>
        <w:t xml:space="preserve"> produced a set</w:t>
      </w:r>
      <w:r w:rsidRPr="00E44378">
        <w:rPr>
          <w:rStyle w:val="NoneA"/>
          <w:rFonts w:ascii="Palatino Linotype" w:hAnsi="Palatino Linotype"/>
          <w:color w:val="auto"/>
          <w:sz w:val="24"/>
          <w:szCs w:val="24"/>
          <w:lang w:val="en-IE"/>
        </w:rPr>
        <w:t xml:space="preserve"> of video production recommendations</w:t>
      </w:r>
      <w:r w:rsidRPr="00E44378">
        <w:rPr>
          <w:rStyle w:val="NoneA"/>
          <w:rFonts w:ascii="Palatino Linotype" w:eastAsia="Times New Roman" w:hAnsi="Palatino Linotype" w:cs="Times New Roman"/>
          <w:color w:val="auto"/>
          <w:sz w:val="24"/>
          <w:szCs w:val="24"/>
          <w:vertAlign w:val="superscript"/>
          <w:lang w:val="en-IE"/>
        </w:rPr>
        <w:footnoteReference w:id="40"/>
      </w:r>
      <w:r w:rsidRPr="00E44378">
        <w:rPr>
          <w:rStyle w:val="NoneA"/>
          <w:rFonts w:ascii="Palatino Linotype" w:hAnsi="Palatino Linotype"/>
          <w:color w:val="auto"/>
          <w:sz w:val="24"/>
          <w:szCs w:val="24"/>
          <w:lang w:val="en-IE"/>
        </w:rPr>
        <w:t xml:space="preserve"> </w:t>
      </w:r>
      <w:r w:rsidR="00BE6602" w:rsidRPr="00E44378">
        <w:rPr>
          <w:rStyle w:val="NoneA"/>
          <w:rFonts w:ascii="Palatino Linotype" w:hAnsi="Palatino Linotype"/>
          <w:color w:val="auto"/>
          <w:sz w:val="24"/>
          <w:szCs w:val="24"/>
          <w:lang w:val="en-IE"/>
        </w:rPr>
        <w:t xml:space="preserve">that now </w:t>
      </w:r>
      <w:r w:rsidRPr="00E44378">
        <w:rPr>
          <w:rStyle w:val="NoneA"/>
          <w:rFonts w:ascii="Palatino Linotype" w:hAnsi="Palatino Linotype"/>
          <w:color w:val="auto"/>
          <w:sz w:val="24"/>
          <w:szCs w:val="24"/>
          <w:lang w:val="en-IE"/>
        </w:rPr>
        <w:t xml:space="preserve">provide </w:t>
      </w:r>
      <w:r w:rsidR="000B09D0" w:rsidRPr="00E44378">
        <w:rPr>
          <w:rStyle w:val="NoneA"/>
          <w:rFonts w:ascii="Palatino Linotype" w:hAnsi="Palatino Linotype"/>
          <w:color w:val="auto"/>
          <w:sz w:val="24"/>
          <w:szCs w:val="24"/>
          <w:lang w:val="en-IE"/>
        </w:rPr>
        <w:t xml:space="preserve">educators with </w:t>
      </w:r>
      <w:r w:rsidRPr="00E44378">
        <w:rPr>
          <w:rStyle w:val="NoneA"/>
          <w:rFonts w:ascii="Palatino Linotype" w:hAnsi="Palatino Linotype"/>
          <w:color w:val="auto"/>
          <w:sz w:val="24"/>
          <w:szCs w:val="24"/>
          <w:lang w:val="en-IE"/>
        </w:rPr>
        <w:t xml:space="preserve">a template of best </w:t>
      </w:r>
      <w:r w:rsidR="00BE6602" w:rsidRPr="00E44378">
        <w:rPr>
          <w:rStyle w:val="NoneA"/>
          <w:rFonts w:ascii="Palatino Linotype" w:hAnsi="Palatino Linotype"/>
          <w:color w:val="auto"/>
          <w:sz w:val="24"/>
          <w:szCs w:val="24"/>
          <w:lang w:val="en-IE"/>
        </w:rPr>
        <w:t>practice,</w:t>
      </w:r>
      <w:r w:rsidR="000B09D0" w:rsidRPr="00E44378">
        <w:rPr>
          <w:rStyle w:val="NoneA"/>
          <w:rFonts w:ascii="Palatino Linotype" w:hAnsi="Palatino Linotype"/>
          <w:color w:val="auto"/>
          <w:sz w:val="24"/>
          <w:szCs w:val="24"/>
          <w:lang w:val="en-IE"/>
        </w:rPr>
        <w:t xml:space="preserve"> </w:t>
      </w:r>
      <w:r w:rsidR="00BE6602" w:rsidRPr="00E44378">
        <w:rPr>
          <w:rStyle w:val="NoneA"/>
          <w:rFonts w:ascii="Palatino Linotype" w:hAnsi="Palatino Linotype"/>
          <w:color w:val="auto"/>
          <w:sz w:val="24"/>
          <w:szCs w:val="24"/>
          <w:lang w:val="en-IE"/>
        </w:rPr>
        <w:t xml:space="preserve">which we </w:t>
      </w:r>
      <w:r w:rsidRPr="00E44378">
        <w:rPr>
          <w:rStyle w:val="NoneA"/>
          <w:rFonts w:ascii="Palatino Linotype" w:hAnsi="Palatino Linotype"/>
          <w:color w:val="auto"/>
          <w:sz w:val="24"/>
          <w:szCs w:val="24"/>
          <w:lang w:val="en-IE"/>
        </w:rPr>
        <w:t>have</w:t>
      </w:r>
      <w:r w:rsidR="00F45D65" w:rsidRPr="00E44378">
        <w:rPr>
          <w:rStyle w:val="NoneA"/>
          <w:rFonts w:ascii="Palatino Linotype" w:hAnsi="Palatino Linotype"/>
          <w:color w:val="auto"/>
          <w:sz w:val="24"/>
          <w:szCs w:val="24"/>
          <w:lang w:val="en-IE"/>
        </w:rPr>
        <w:t xml:space="preserve"> utilised as </w:t>
      </w:r>
      <w:r w:rsidRPr="00E44378">
        <w:rPr>
          <w:rStyle w:val="NoneA"/>
          <w:rFonts w:ascii="Palatino Linotype" w:hAnsi="Palatino Linotype"/>
          <w:color w:val="auto"/>
          <w:sz w:val="24"/>
          <w:szCs w:val="24"/>
          <w:lang w:val="en-IE"/>
        </w:rPr>
        <w:t xml:space="preserve">a framework for </w:t>
      </w:r>
      <w:r w:rsidR="00F45D65" w:rsidRPr="00E44378">
        <w:rPr>
          <w:rStyle w:val="NoneA"/>
          <w:rFonts w:ascii="Palatino Linotype" w:hAnsi="Palatino Linotype"/>
          <w:color w:val="auto"/>
          <w:sz w:val="24"/>
          <w:szCs w:val="24"/>
          <w:lang w:val="en-IE"/>
        </w:rPr>
        <w:t xml:space="preserve">developing </w:t>
      </w:r>
      <w:r w:rsidR="00BE6602" w:rsidRPr="00E44378">
        <w:rPr>
          <w:rStyle w:val="NoneA"/>
          <w:rFonts w:ascii="Palatino Linotype" w:hAnsi="Palatino Linotype"/>
          <w:color w:val="auto"/>
          <w:sz w:val="24"/>
          <w:szCs w:val="24"/>
          <w:lang w:val="en-IE"/>
        </w:rPr>
        <w:t xml:space="preserve">the </w:t>
      </w:r>
      <w:r w:rsidRPr="00E44378">
        <w:rPr>
          <w:rStyle w:val="NoneA"/>
          <w:rFonts w:ascii="Palatino Linotype" w:hAnsi="Palatino Linotype"/>
          <w:color w:val="auto"/>
          <w:sz w:val="24"/>
          <w:szCs w:val="24"/>
          <w:lang w:val="en-IE"/>
        </w:rPr>
        <w:t xml:space="preserve">video </w:t>
      </w:r>
      <w:r w:rsidR="00F45D65" w:rsidRPr="00E44378">
        <w:rPr>
          <w:rStyle w:val="NoneA"/>
          <w:rFonts w:ascii="Palatino Linotype" w:hAnsi="Palatino Linotype"/>
          <w:color w:val="auto"/>
          <w:sz w:val="24"/>
          <w:szCs w:val="24"/>
          <w:lang w:val="en-IE"/>
        </w:rPr>
        <w:t>content</w:t>
      </w:r>
      <w:r w:rsidR="000B09D0" w:rsidRPr="00E44378">
        <w:rPr>
          <w:rStyle w:val="NoneA"/>
          <w:rFonts w:ascii="Palatino Linotype" w:hAnsi="Palatino Linotype"/>
          <w:color w:val="auto"/>
          <w:sz w:val="24"/>
          <w:szCs w:val="24"/>
          <w:lang w:val="en-IE"/>
        </w:rPr>
        <w:t xml:space="preserve"> </w:t>
      </w:r>
      <w:r w:rsidR="00BE6602" w:rsidRPr="00E44378">
        <w:rPr>
          <w:rStyle w:val="NoneA"/>
          <w:rFonts w:ascii="Palatino Linotype" w:hAnsi="Palatino Linotype"/>
          <w:color w:val="auto"/>
          <w:sz w:val="24"/>
          <w:szCs w:val="24"/>
          <w:lang w:val="en-IE"/>
        </w:rPr>
        <w:t xml:space="preserve">on </w:t>
      </w:r>
      <w:r w:rsidR="000B09D0" w:rsidRPr="00E44378">
        <w:rPr>
          <w:rStyle w:val="NoneA"/>
          <w:rFonts w:ascii="Palatino Linotype" w:hAnsi="Palatino Linotype"/>
          <w:color w:val="auto"/>
          <w:sz w:val="24"/>
          <w:szCs w:val="24"/>
          <w:lang w:val="en-IE"/>
        </w:rPr>
        <w:t>our MOOCs</w:t>
      </w:r>
      <w:r w:rsidR="00F45D65" w:rsidRPr="00E44378">
        <w:rPr>
          <w:rStyle w:val="NoneA"/>
          <w:rFonts w:ascii="Palatino Linotype" w:hAnsi="Palatino Linotype"/>
          <w:color w:val="auto"/>
          <w:sz w:val="24"/>
          <w:szCs w:val="24"/>
          <w:lang w:val="en-IE"/>
        </w:rPr>
        <w:t>.</w:t>
      </w:r>
      <w:r w:rsidRPr="00E44378">
        <w:rPr>
          <w:rStyle w:val="NoneA"/>
          <w:rFonts w:ascii="Palatino Linotype" w:hAnsi="Palatino Linotype"/>
          <w:color w:val="auto"/>
          <w:sz w:val="24"/>
          <w:szCs w:val="24"/>
          <w:lang w:val="en-IE"/>
        </w:rPr>
        <w:t xml:space="preserve"> </w:t>
      </w:r>
    </w:p>
    <w:p w14:paraId="1922AE8F" w14:textId="50D2118B" w:rsidR="00EE729B" w:rsidRPr="00E44378" w:rsidRDefault="00BE6602" w:rsidP="00E44378">
      <w:pPr>
        <w:pStyle w:val="Default"/>
        <w:spacing w:after="160" w:line="480" w:lineRule="auto"/>
        <w:jc w:val="both"/>
        <w:rPr>
          <w:rFonts w:ascii="Palatino Linotype" w:hAnsi="Palatino Linotype" w:cs="Arial"/>
          <w:color w:val="auto"/>
          <w:sz w:val="24"/>
          <w:szCs w:val="24"/>
          <w:lang w:val="en-IE"/>
        </w:rPr>
      </w:pPr>
      <w:r w:rsidRPr="00E44378">
        <w:rPr>
          <w:rStyle w:val="NoneA"/>
          <w:rFonts w:ascii="Palatino Linotype" w:hAnsi="Palatino Linotype"/>
          <w:color w:val="auto"/>
          <w:sz w:val="24"/>
          <w:szCs w:val="24"/>
          <w:lang w:val="en-IE"/>
        </w:rPr>
        <w:t xml:space="preserve">Readers may also be interested to learn that </w:t>
      </w:r>
      <w:r w:rsidR="004450CE" w:rsidRPr="00E44378">
        <w:rPr>
          <w:rStyle w:val="NoneA"/>
          <w:rFonts w:ascii="Palatino Linotype" w:hAnsi="Palatino Linotype"/>
          <w:color w:val="auto"/>
          <w:sz w:val="24"/>
          <w:szCs w:val="24"/>
          <w:lang w:val="en-IE"/>
        </w:rPr>
        <w:t>following on from the</w:t>
      </w:r>
      <w:r w:rsidRPr="00E44378">
        <w:rPr>
          <w:rFonts w:ascii="Palatino Linotype" w:eastAsia="Calibri" w:hAnsi="Palatino Linotype" w:cs="Calibri"/>
          <w:color w:val="auto"/>
          <w:sz w:val="24"/>
          <w:szCs w:val="24"/>
          <w:lang w:val="en-IE"/>
        </w:rPr>
        <w:t xml:space="preserve"> goal of the MOOC to provide public legal education and widen access to legal infor</w:t>
      </w:r>
      <w:r w:rsidR="009176BF" w:rsidRPr="00E44378">
        <w:rPr>
          <w:rFonts w:ascii="Palatino Linotype" w:eastAsia="Calibri" w:hAnsi="Palatino Linotype" w:cs="Calibri"/>
          <w:color w:val="auto"/>
          <w:sz w:val="24"/>
          <w:szCs w:val="24"/>
          <w:lang w:val="en-IE"/>
        </w:rPr>
        <w:t>mation, expert practitioners have been</w:t>
      </w:r>
      <w:r w:rsidRPr="00E44378">
        <w:rPr>
          <w:rFonts w:ascii="Palatino Linotype" w:eastAsia="Calibri" w:hAnsi="Palatino Linotype" w:cs="Calibri"/>
          <w:color w:val="auto"/>
          <w:sz w:val="24"/>
          <w:szCs w:val="24"/>
          <w:lang w:val="en-IE"/>
        </w:rPr>
        <w:t xml:space="preserve"> willing to contribute on a pro bono basis to the </w:t>
      </w:r>
      <w:r w:rsidR="002D02DF" w:rsidRPr="00E44378">
        <w:rPr>
          <w:rFonts w:ascii="Palatino Linotype" w:eastAsia="Calibri" w:hAnsi="Palatino Linotype" w:cs="Calibri"/>
          <w:color w:val="auto"/>
          <w:sz w:val="24"/>
          <w:szCs w:val="24"/>
          <w:lang w:val="en-IE"/>
        </w:rPr>
        <w:t>course.</w:t>
      </w:r>
      <w:r w:rsidR="002D02DF" w:rsidRPr="00E44378">
        <w:rPr>
          <w:rStyle w:val="NoneA"/>
          <w:rFonts w:ascii="Palatino Linotype" w:hAnsi="Palatino Linotype" w:cs="Arial"/>
          <w:color w:val="auto"/>
          <w:sz w:val="24"/>
          <w:szCs w:val="24"/>
          <w:lang w:val="en-IE"/>
        </w:rPr>
        <w:t xml:space="preserve"> During</w:t>
      </w:r>
      <w:r w:rsidR="00081072" w:rsidRPr="00E44378">
        <w:rPr>
          <w:rStyle w:val="NoneA"/>
          <w:rFonts w:ascii="Palatino Linotype" w:hAnsi="Palatino Linotype" w:cs="Arial"/>
          <w:color w:val="auto"/>
          <w:sz w:val="24"/>
          <w:szCs w:val="24"/>
          <w:lang w:val="en-IE"/>
        </w:rPr>
        <w:t xml:space="preserve"> </w:t>
      </w:r>
      <w:r w:rsidR="000B09D0" w:rsidRPr="00E44378">
        <w:rPr>
          <w:rStyle w:val="NoneA"/>
          <w:rFonts w:ascii="Palatino Linotype" w:hAnsi="Palatino Linotype" w:cs="Arial"/>
          <w:color w:val="auto"/>
          <w:sz w:val="24"/>
          <w:szCs w:val="24"/>
          <w:lang w:val="en-IE"/>
        </w:rPr>
        <w:t>pre-production,</w:t>
      </w:r>
      <w:r w:rsidR="00081072" w:rsidRPr="00E44378">
        <w:rPr>
          <w:rStyle w:val="NoneA"/>
          <w:rFonts w:ascii="Palatino Linotype" w:hAnsi="Palatino Linotype" w:cs="Arial"/>
          <w:color w:val="auto"/>
          <w:sz w:val="24"/>
          <w:szCs w:val="24"/>
          <w:lang w:val="en-IE"/>
        </w:rPr>
        <w:t xml:space="preserve"> w</w:t>
      </w:r>
      <w:r w:rsidR="002C55DB" w:rsidRPr="00E44378">
        <w:rPr>
          <w:rStyle w:val="NoneA"/>
          <w:rFonts w:ascii="Palatino Linotype" w:hAnsi="Palatino Linotype" w:cs="Arial"/>
          <w:color w:val="auto"/>
          <w:sz w:val="24"/>
          <w:szCs w:val="24"/>
          <w:lang w:val="en-IE"/>
        </w:rPr>
        <w:t xml:space="preserve">e </w:t>
      </w:r>
      <w:r w:rsidR="000B09D0" w:rsidRPr="00E44378">
        <w:rPr>
          <w:rStyle w:val="NoneA"/>
          <w:rFonts w:ascii="Palatino Linotype" w:hAnsi="Palatino Linotype" w:cs="Arial"/>
          <w:color w:val="auto"/>
          <w:sz w:val="24"/>
          <w:szCs w:val="24"/>
          <w:lang w:val="en-IE"/>
        </w:rPr>
        <w:t>take the</w:t>
      </w:r>
      <w:r w:rsidR="002C55DB" w:rsidRPr="00E44378">
        <w:rPr>
          <w:rStyle w:val="NoneA"/>
          <w:rFonts w:ascii="Palatino Linotype" w:hAnsi="Palatino Linotype" w:cs="Arial"/>
          <w:color w:val="auto"/>
          <w:sz w:val="24"/>
          <w:szCs w:val="24"/>
          <w:lang w:val="en-IE"/>
        </w:rPr>
        <w:t xml:space="preserve"> time </w:t>
      </w:r>
      <w:r w:rsidR="000B09D0" w:rsidRPr="00E44378">
        <w:rPr>
          <w:rStyle w:val="NoneA"/>
          <w:rFonts w:ascii="Palatino Linotype" w:hAnsi="Palatino Linotype" w:cs="Arial"/>
          <w:color w:val="auto"/>
          <w:sz w:val="24"/>
          <w:szCs w:val="24"/>
          <w:lang w:val="en-IE"/>
        </w:rPr>
        <w:t xml:space="preserve">to discuss </w:t>
      </w:r>
      <w:r w:rsidR="002C55DB" w:rsidRPr="00E44378">
        <w:rPr>
          <w:rStyle w:val="NoneA"/>
          <w:rFonts w:ascii="Palatino Linotype" w:hAnsi="Palatino Linotype" w:cs="Arial"/>
          <w:color w:val="auto"/>
          <w:sz w:val="24"/>
          <w:szCs w:val="24"/>
          <w:lang w:val="en-IE"/>
        </w:rPr>
        <w:t xml:space="preserve">with our contributors </w:t>
      </w:r>
      <w:r w:rsidR="000B09D0" w:rsidRPr="00E44378">
        <w:rPr>
          <w:rStyle w:val="NoneA"/>
          <w:rFonts w:ascii="Palatino Linotype" w:hAnsi="Palatino Linotype" w:cs="Arial"/>
          <w:color w:val="auto"/>
          <w:sz w:val="24"/>
          <w:szCs w:val="24"/>
          <w:lang w:val="en-IE"/>
        </w:rPr>
        <w:t xml:space="preserve">how best to </w:t>
      </w:r>
      <w:r w:rsidR="00081072" w:rsidRPr="00E44378">
        <w:rPr>
          <w:rStyle w:val="NoneA"/>
          <w:rFonts w:ascii="Palatino Linotype" w:hAnsi="Palatino Linotype" w:cs="Arial"/>
          <w:color w:val="auto"/>
          <w:sz w:val="24"/>
          <w:szCs w:val="24"/>
          <w:lang w:val="en-IE"/>
        </w:rPr>
        <w:t>set</w:t>
      </w:r>
      <w:r w:rsidR="000B09D0" w:rsidRPr="00E44378">
        <w:rPr>
          <w:rStyle w:val="NoneA"/>
          <w:rFonts w:ascii="Palatino Linotype" w:hAnsi="Palatino Linotype" w:cs="Arial"/>
          <w:color w:val="auto"/>
          <w:sz w:val="24"/>
          <w:szCs w:val="24"/>
          <w:lang w:val="en-IE"/>
        </w:rPr>
        <w:t xml:space="preserve"> </w:t>
      </w:r>
      <w:r w:rsidR="00081072" w:rsidRPr="00E44378">
        <w:rPr>
          <w:rStyle w:val="NoneA"/>
          <w:rFonts w:ascii="Palatino Linotype" w:hAnsi="Palatino Linotype" w:cs="Arial"/>
          <w:color w:val="auto"/>
          <w:sz w:val="24"/>
          <w:szCs w:val="24"/>
          <w:lang w:val="en-IE"/>
        </w:rPr>
        <w:t xml:space="preserve">up </w:t>
      </w:r>
      <w:r w:rsidR="00081072" w:rsidRPr="00E44378">
        <w:rPr>
          <w:rStyle w:val="NoneA"/>
          <w:rFonts w:ascii="Palatino Linotype" w:hAnsi="Palatino Linotype" w:cs="Arial"/>
          <w:color w:val="auto"/>
          <w:sz w:val="24"/>
          <w:szCs w:val="24"/>
          <w:lang w:val="en-IE"/>
        </w:rPr>
        <w:lastRenderedPageBreak/>
        <w:t xml:space="preserve">their presentations and </w:t>
      </w:r>
      <w:r w:rsidR="000B09D0" w:rsidRPr="00E44378">
        <w:rPr>
          <w:rStyle w:val="NoneA"/>
          <w:rFonts w:ascii="Palatino Linotype" w:hAnsi="Palatino Linotype" w:cs="Arial"/>
          <w:color w:val="auto"/>
          <w:sz w:val="24"/>
          <w:szCs w:val="24"/>
          <w:lang w:val="en-IE"/>
        </w:rPr>
        <w:t>suggest methods for</w:t>
      </w:r>
      <w:r w:rsidR="00081072" w:rsidRPr="00E44378">
        <w:rPr>
          <w:rStyle w:val="NoneA"/>
          <w:rFonts w:ascii="Palatino Linotype" w:hAnsi="Palatino Linotype" w:cs="Arial"/>
          <w:color w:val="auto"/>
          <w:sz w:val="24"/>
          <w:szCs w:val="24"/>
          <w:lang w:val="en-IE"/>
        </w:rPr>
        <w:t xml:space="preserve"> effectively </w:t>
      </w:r>
      <w:r w:rsidR="000B09D0" w:rsidRPr="00E44378">
        <w:rPr>
          <w:rStyle w:val="NoneA"/>
          <w:rFonts w:ascii="Palatino Linotype" w:hAnsi="Palatino Linotype" w:cs="Arial"/>
          <w:color w:val="auto"/>
          <w:sz w:val="24"/>
          <w:szCs w:val="24"/>
          <w:lang w:val="en-IE"/>
        </w:rPr>
        <w:t xml:space="preserve">engaging </w:t>
      </w:r>
      <w:r w:rsidR="00081072" w:rsidRPr="00E44378">
        <w:rPr>
          <w:rStyle w:val="NoneA"/>
          <w:rFonts w:ascii="Palatino Linotype" w:hAnsi="Palatino Linotype" w:cs="Arial"/>
          <w:color w:val="auto"/>
          <w:sz w:val="24"/>
          <w:szCs w:val="24"/>
          <w:lang w:val="en-IE"/>
        </w:rPr>
        <w:t>students,</w:t>
      </w:r>
      <w:r w:rsidR="002C55DB" w:rsidRPr="00E44378">
        <w:rPr>
          <w:rStyle w:val="NoneA"/>
          <w:rFonts w:ascii="Palatino Linotype" w:hAnsi="Palatino Linotype" w:cs="Arial"/>
          <w:color w:val="auto"/>
          <w:sz w:val="24"/>
          <w:szCs w:val="24"/>
          <w:lang w:val="en-IE"/>
        </w:rPr>
        <w:t xml:space="preserve"> </w:t>
      </w:r>
      <w:r w:rsidR="00081072" w:rsidRPr="00E44378">
        <w:rPr>
          <w:rStyle w:val="NoneA"/>
          <w:rFonts w:ascii="Palatino Linotype" w:hAnsi="Palatino Linotype" w:cs="Arial"/>
          <w:color w:val="auto"/>
          <w:sz w:val="24"/>
          <w:szCs w:val="24"/>
          <w:lang w:val="en-IE"/>
        </w:rPr>
        <w:t>before commencing work</w:t>
      </w:r>
      <w:r w:rsidR="002C55DB" w:rsidRPr="00E44378">
        <w:rPr>
          <w:rStyle w:val="NoneA"/>
          <w:rFonts w:ascii="Palatino Linotype" w:hAnsi="Palatino Linotype" w:cs="Arial"/>
          <w:color w:val="auto"/>
          <w:sz w:val="24"/>
          <w:szCs w:val="24"/>
          <w:lang w:val="en-IE"/>
        </w:rPr>
        <w:t xml:space="preserve"> with a </w:t>
      </w:r>
      <w:r w:rsidR="000B09D0" w:rsidRPr="00E44378">
        <w:rPr>
          <w:rStyle w:val="NoneA"/>
          <w:rFonts w:ascii="Palatino Linotype" w:hAnsi="Palatino Linotype" w:cs="Arial"/>
          <w:color w:val="auto"/>
          <w:sz w:val="24"/>
          <w:szCs w:val="24"/>
          <w:lang w:val="en-IE"/>
        </w:rPr>
        <w:t xml:space="preserve">video </w:t>
      </w:r>
      <w:r w:rsidR="002C55DB" w:rsidRPr="00E44378">
        <w:rPr>
          <w:rStyle w:val="NoneA"/>
          <w:rFonts w:ascii="Palatino Linotype" w:hAnsi="Palatino Linotype" w:cs="Arial"/>
          <w:color w:val="auto"/>
          <w:sz w:val="24"/>
          <w:szCs w:val="24"/>
          <w:lang w:val="en-IE"/>
        </w:rPr>
        <w:t xml:space="preserve">production team to record and edit the presentations. </w:t>
      </w:r>
      <w:r w:rsidR="00C84DFF" w:rsidRPr="00E44378">
        <w:rPr>
          <w:rFonts w:ascii="Palatino Linotype" w:hAnsi="Palatino Linotype" w:cs="Arial"/>
          <w:color w:val="auto"/>
          <w:sz w:val="24"/>
          <w:szCs w:val="24"/>
          <w:lang w:val="en-IE"/>
        </w:rPr>
        <w:t>Different modalities are used to impart lecture content, e.g. some videos take the form of an informative straight-to-camera featurette with a solo participant, while others involve multiple interviewees talking together in a relaxed, informal style.</w:t>
      </w:r>
      <w:r w:rsidR="00EE729B" w:rsidRPr="00E44378">
        <w:rPr>
          <w:rFonts w:ascii="Palatino Linotype" w:hAnsi="Palatino Linotype" w:cs="Arial"/>
          <w:color w:val="auto"/>
          <w:sz w:val="24"/>
          <w:szCs w:val="24"/>
          <w:lang w:val="en-IE"/>
        </w:rPr>
        <w:t xml:space="preserve"> </w:t>
      </w:r>
    </w:p>
    <w:p w14:paraId="5D12FE75" w14:textId="386E6616" w:rsidR="004A759A" w:rsidRPr="00E44378" w:rsidRDefault="00DF7D43"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 xml:space="preserve">In order to successfully complete the course, students </w:t>
      </w:r>
      <w:r w:rsidR="000B09D0" w:rsidRPr="00E44378">
        <w:rPr>
          <w:rFonts w:ascii="Palatino Linotype" w:hAnsi="Palatino Linotype" w:cs="Arial"/>
          <w:sz w:val="24"/>
          <w:szCs w:val="24"/>
        </w:rPr>
        <w:t xml:space="preserve">are </w:t>
      </w:r>
      <w:r w:rsidRPr="00E44378">
        <w:rPr>
          <w:rFonts w:ascii="Palatino Linotype" w:hAnsi="Palatino Linotype" w:cs="Arial"/>
          <w:sz w:val="24"/>
          <w:szCs w:val="24"/>
        </w:rPr>
        <w:t xml:space="preserve">required to have actively engaged with the </w:t>
      </w:r>
      <w:r w:rsidR="000B09D0" w:rsidRPr="00E44378">
        <w:rPr>
          <w:rFonts w:ascii="Palatino Linotype" w:hAnsi="Palatino Linotype" w:cs="Arial"/>
          <w:sz w:val="24"/>
          <w:szCs w:val="24"/>
        </w:rPr>
        <w:t>d</w:t>
      </w:r>
      <w:r w:rsidRPr="00E44378">
        <w:rPr>
          <w:rFonts w:ascii="Palatino Linotype" w:hAnsi="Palatino Linotype" w:cs="Arial"/>
          <w:sz w:val="24"/>
          <w:szCs w:val="24"/>
        </w:rPr>
        <w:t xml:space="preserve">iscussion </w:t>
      </w:r>
      <w:r w:rsidR="000B09D0" w:rsidRPr="00E44378">
        <w:rPr>
          <w:rFonts w:ascii="Palatino Linotype" w:hAnsi="Palatino Linotype" w:cs="Arial"/>
          <w:sz w:val="24"/>
          <w:szCs w:val="24"/>
        </w:rPr>
        <w:t>f</w:t>
      </w:r>
      <w:r w:rsidRPr="00E44378">
        <w:rPr>
          <w:rFonts w:ascii="Palatino Linotype" w:hAnsi="Palatino Linotype" w:cs="Arial"/>
          <w:sz w:val="24"/>
          <w:szCs w:val="24"/>
        </w:rPr>
        <w:t xml:space="preserve">orum by posting at least three times to any of the forums over the duration of the course. Integrating the discussion forum requirement with the assessment </w:t>
      </w:r>
      <w:r w:rsidR="000B09D0" w:rsidRPr="00E44378">
        <w:rPr>
          <w:rFonts w:ascii="Palatino Linotype" w:hAnsi="Palatino Linotype" w:cs="Arial"/>
          <w:sz w:val="24"/>
          <w:szCs w:val="24"/>
        </w:rPr>
        <w:t xml:space="preserve">is </w:t>
      </w:r>
      <w:r w:rsidRPr="00E44378">
        <w:rPr>
          <w:rFonts w:ascii="Palatino Linotype" w:hAnsi="Palatino Linotype" w:cs="Arial"/>
          <w:sz w:val="24"/>
          <w:szCs w:val="24"/>
        </w:rPr>
        <w:t>an effective means to both increase the volume of conversation online and the quality of comments offered by participating students. As Nagel and Kotzé</w:t>
      </w:r>
      <w:r w:rsidR="0025023E" w:rsidRPr="00E44378">
        <w:rPr>
          <w:rStyle w:val="FootnoteReference"/>
          <w:rFonts w:ascii="Palatino Linotype" w:hAnsi="Palatino Linotype" w:cs="Arial"/>
          <w:sz w:val="24"/>
          <w:szCs w:val="24"/>
        </w:rPr>
        <w:footnoteReference w:id="41"/>
      </w:r>
      <w:r w:rsidRPr="00E44378">
        <w:rPr>
          <w:rFonts w:ascii="Palatino Linotype" w:hAnsi="Palatino Linotype" w:cs="Arial"/>
          <w:sz w:val="24"/>
          <w:szCs w:val="24"/>
        </w:rPr>
        <w:t xml:space="preserve"> have found, “</w:t>
      </w:r>
      <w:r w:rsidR="0025023E" w:rsidRPr="00E44378">
        <w:rPr>
          <w:rFonts w:ascii="Palatino Linotype" w:hAnsi="Palatino Linotype" w:cs="Arial"/>
          <w:sz w:val="24"/>
          <w:szCs w:val="24"/>
        </w:rPr>
        <w:t>[w]</w:t>
      </w:r>
      <w:r w:rsidRPr="00E44378">
        <w:rPr>
          <w:rFonts w:ascii="Palatino Linotype" w:hAnsi="Palatino Linotype" w:cs="Arial"/>
          <w:sz w:val="24"/>
          <w:szCs w:val="24"/>
        </w:rPr>
        <w:t>hen students engage in online activities and take responsibility for the quality of interaction, they can have a superior learning experience</w:t>
      </w:r>
      <w:r w:rsidR="0025023E" w:rsidRPr="00E44378">
        <w:rPr>
          <w:rFonts w:ascii="Palatino Linotype" w:hAnsi="Palatino Linotype" w:cs="Arial"/>
          <w:sz w:val="24"/>
          <w:szCs w:val="24"/>
        </w:rPr>
        <w:t>”</w:t>
      </w:r>
      <w:r w:rsidRPr="00E44378">
        <w:rPr>
          <w:rStyle w:val="FootnoteReference"/>
          <w:rFonts w:ascii="Palatino Linotype" w:hAnsi="Palatino Linotype" w:cs="Arial"/>
          <w:sz w:val="24"/>
          <w:szCs w:val="24"/>
        </w:rPr>
        <w:footnoteReference w:id="42"/>
      </w:r>
      <w:r w:rsidRPr="00E44378">
        <w:rPr>
          <w:rFonts w:ascii="Palatino Linotype" w:hAnsi="Palatino Linotype" w:cs="Arial"/>
          <w:sz w:val="24"/>
          <w:szCs w:val="24"/>
        </w:rPr>
        <w:t xml:space="preserve">. </w:t>
      </w:r>
    </w:p>
    <w:p w14:paraId="48C63D5E" w14:textId="4DB994DC" w:rsidR="004A759A" w:rsidRPr="00E44378" w:rsidRDefault="004A759A"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This space is also unique in creating the opportunity for meaningful engagement between the public and legal experts as peers.</w:t>
      </w:r>
      <w:r w:rsidR="004450CE" w:rsidRPr="00E44378">
        <w:rPr>
          <w:rFonts w:ascii="Palatino Linotype" w:hAnsi="Palatino Linotype" w:cs="Arial"/>
          <w:sz w:val="24"/>
          <w:szCs w:val="24"/>
        </w:rPr>
        <w:t xml:space="preserve"> </w:t>
      </w:r>
      <w:r w:rsidR="00DF7D43" w:rsidRPr="00E44378">
        <w:rPr>
          <w:rFonts w:ascii="Palatino Linotype" w:hAnsi="Palatino Linotype" w:cs="Arial"/>
          <w:sz w:val="24"/>
          <w:szCs w:val="24"/>
        </w:rPr>
        <w:t>The use of discussion forums on online courses has also been proven to correlate with higher student retention rates and higher grades upon completion</w:t>
      </w:r>
      <w:r w:rsidR="00DF7D43" w:rsidRPr="00E44378">
        <w:rPr>
          <w:rStyle w:val="FootnoteReference"/>
          <w:rFonts w:ascii="Palatino Linotype" w:hAnsi="Palatino Linotype" w:cs="Arial"/>
          <w:sz w:val="24"/>
          <w:szCs w:val="24"/>
        </w:rPr>
        <w:footnoteReference w:id="43"/>
      </w:r>
      <w:r w:rsidR="00DF7D43" w:rsidRPr="00E44378">
        <w:rPr>
          <w:rFonts w:ascii="Palatino Linotype" w:hAnsi="Palatino Linotype" w:cs="Arial"/>
          <w:sz w:val="24"/>
          <w:szCs w:val="24"/>
        </w:rPr>
        <w:t>. Online socialisation has become an important</w:t>
      </w:r>
      <w:r w:rsidR="009176BF" w:rsidRPr="00E44378">
        <w:rPr>
          <w:rFonts w:ascii="Palatino Linotype" w:hAnsi="Palatino Linotype" w:cs="Arial"/>
          <w:sz w:val="24"/>
          <w:szCs w:val="24"/>
        </w:rPr>
        <w:t xml:space="preserve"> component in the success of our</w:t>
      </w:r>
      <w:r w:rsidR="00DF7D43" w:rsidRPr="00E44378">
        <w:rPr>
          <w:rFonts w:ascii="Palatino Linotype" w:hAnsi="Palatino Linotype" w:cs="Arial"/>
          <w:sz w:val="24"/>
          <w:szCs w:val="24"/>
        </w:rPr>
        <w:t xml:space="preserve"> MOOCs, with participants encouraged to interact on </w:t>
      </w:r>
      <w:r w:rsidR="00DF7D43" w:rsidRPr="00E44378">
        <w:rPr>
          <w:rFonts w:ascii="Palatino Linotype" w:hAnsi="Palatino Linotype" w:cs="Arial"/>
          <w:sz w:val="24"/>
          <w:szCs w:val="24"/>
        </w:rPr>
        <w:lastRenderedPageBreak/>
        <w:t xml:space="preserve">the discussion forums with fellow students. </w:t>
      </w:r>
      <w:r w:rsidR="00F45D65" w:rsidRPr="00E44378">
        <w:rPr>
          <w:rFonts w:ascii="Palatino Linotype" w:hAnsi="Palatino Linotype" w:cs="Arial"/>
          <w:sz w:val="24"/>
          <w:szCs w:val="24"/>
        </w:rPr>
        <w:t>In the evaluation survey for the 2018 course</w:t>
      </w:r>
      <w:r w:rsidR="000A5DEA" w:rsidRPr="00E44378">
        <w:rPr>
          <w:rFonts w:ascii="Palatino Linotype" w:hAnsi="Palatino Linotype" w:cs="Arial"/>
          <w:sz w:val="24"/>
          <w:szCs w:val="24"/>
        </w:rPr>
        <w:t>,</w:t>
      </w:r>
      <w:r w:rsidR="00F45D65" w:rsidRPr="00E44378">
        <w:rPr>
          <w:rFonts w:ascii="Palatino Linotype" w:hAnsi="Palatino Linotype" w:cs="Arial"/>
          <w:sz w:val="24"/>
          <w:szCs w:val="24"/>
        </w:rPr>
        <w:t xml:space="preserve"> 91</w:t>
      </w:r>
      <w:r w:rsidR="00072D7A" w:rsidRPr="00E44378">
        <w:rPr>
          <w:rFonts w:ascii="Palatino Linotype" w:hAnsi="Palatino Linotype" w:cs="Arial"/>
          <w:sz w:val="24"/>
          <w:szCs w:val="24"/>
        </w:rPr>
        <w:t xml:space="preserve"> </w:t>
      </w:r>
      <w:r w:rsidR="000A5DEA" w:rsidRPr="00E44378">
        <w:rPr>
          <w:rFonts w:ascii="Palatino Linotype" w:hAnsi="Palatino Linotype" w:cs="Arial"/>
          <w:sz w:val="24"/>
          <w:szCs w:val="24"/>
        </w:rPr>
        <w:t>per cent</w:t>
      </w:r>
      <w:r w:rsidR="00F45D65" w:rsidRPr="00E44378">
        <w:rPr>
          <w:rFonts w:ascii="Palatino Linotype" w:hAnsi="Palatino Linotype" w:cs="Arial"/>
          <w:sz w:val="24"/>
          <w:szCs w:val="24"/>
        </w:rPr>
        <w:t xml:space="preserve"> of students rated the discussion forum favourably in their assessment of the course. </w:t>
      </w:r>
      <w:r w:rsidR="00DF7D43" w:rsidRPr="00E44378">
        <w:rPr>
          <w:rFonts w:ascii="Palatino Linotype" w:hAnsi="Palatino Linotype" w:cs="Arial"/>
          <w:sz w:val="24"/>
          <w:szCs w:val="24"/>
        </w:rPr>
        <w:t>A dedicated thread was also available for students to post any technical queries and a member of the course team was assigned to monitor and respond</w:t>
      </w:r>
      <w:r w:rsidR="004450CE" w:rsidRPr="00E44378">
        <w:rPr>
          <w:rFonts w:ascii="Palatino Linotype" w:hAnsi="Palatino Linotype" w:cs="Arial"/>
          <w:sz w:val="24"/>
          <w:szCs w:val="24"/>
        </w:rPr>
        <w:t xml:space="preserve"> promptly to such issues</w:t>
      </w:r>
      <w:r w:rsidR="00DF7D43" w:rsidRPr="00E44378">
        <w:rPr>
          <w:rFonts w:ascii="Palatino Linotype" w:hAnsi="Palatino Linotype" w:cs="Arial"/>
          <w:sz w:val="24"/>
          <w:szCs w:val="24"/>
        </w:rPr>
        <w:t xml:space="preserve">. </w:t>
      </w:r>
    </w:p>
    <w:p w14:paraId="4EE9EE12" w14:textId="4EDA2E02" w:rsidR="009176BF" w:rsidRPr="00E44378" w:rsidRDefault="009176BF" w:rsidP="00E44378">
      <w:pPr>
        <w:spacing w:after="160" w:line="480" w:lineRule="auto"/>
        <w:jc w:val="both"/>
        <w:rPr>
          <w:rFonts w:ascii="Palatino Linotype" w:hAnsi="Palatino Linotype" w:cs="Arial"/>
          <w:sz w:val="24"/>
          <w:szCs w:val="24"/>
        </w:rPr>
      </w:pPr>
      <w:r w:rsidRPr="00E44378">
        <w:rPr>
          <w:rFonts w:ascii="Palatino Linotype" w:hAnsi="Palatino Linotype" w:cs="Arial"/>
          <w:sz w:val="24"/>
          <w:szCs w:val="24"/>
        </w:rPr>
        <w:t>Our evaluations suggest that when designed and managed properly, MOOCS have the capability to offer effective learning through practical student engagement. Many students noted in the survey responses that they come back for the MOOC year on year. For some, it started as their first foray into legal education, and the provision of an annual free learning resource has enriched their understanding of the law, as well as encouraged them to partake in further legal education and register for a Diploma or Certificate course.</w:t>
      </w:r>
    </w:p>
    <w:p w14:paraId="65A41422" w14:textId="6C50BF17" w:rsidR="003610FB" w:rsidRPr="00E44378" w:rsidRDefault="002C5E8D" w:rsidP="00E44378">
      <w:pPr>
        <w:spacing w:after="160" w:line="480" w:lineRule="auto"/>
        <w:jc w:val="both"/>
        <w:rPr>
          <w:rFonts w:ascii="Palatino Linotype" w:hAnsi="Palatino Linotype"/>
          <w:sz w:val="24"/>
          <w:szCs w:val="24"/>
        </w:rPr>
      </w:pPr>
      <w:r w:rsidRPr="00E44378">
        <w:rPr>
          <w:rFonts w:ascii="Palatino Linotype" w:hAnsi="Palatino Linotype" w:cs="Arial"/>
          <w:sz w:val="24"/>
          <w:szCs w:val="24"/>
        </w:rPr>
        <w:t>We contend that o</w:t>
      </w:r>
      <w:r w:rsidR="003610FB" w:rsidRPr="00E44378">
        <w:rPr>
          <w:rFonts w:ascii="Palatino Linotype" w:hAnsi="Palatino Linotype" w:cs="Arial"/>
          <w:sz w:val="24"/>
          <w:szCs w:val="24"/>
        </w:rPr>
        <w:t>ur</w:t>
      </w:r>
      <w:r w:rsidR="003610FB" w:rsidRPr="00E44378">
        <w:rPr>
          <w:rFonts w:ascii="Palatino Linotype" w:hAnsi="Palatino Linotype"/>
          <w:sz w:val="24"/>
          <w:szCs w:val="24"/>
        </w:rPr>
        <w:t xml:space="preserve"> </w:t>
      </w:r>
      <w:r w:rsidRPr="00E44378">
        <w:rPr>
          <w:rFonts w:ascii="Palatino Linotype" w:hAnsi="Palatino Linotype"/>
          <w:sz w:val="24"/>
          <w:szCs w:val="24"/>
        </w:rPr>
        <w:t xml:space="preserve">MOOC </w:t>
      </w:r>
      <w:r w:rsidR="003610FB" w:rsidRPr="00E44378">
        <w:rPr>
          <w:rFonts w:ascii="Palatino Linotype" w:hAnsi="Palatino Linotype"/>
          <w:sz w:val="24"/>
          <w:szCs w:val="24"/>
        </w:rPr>
        <w:t xml:space="preserve">experience showcases the potential of online courses as a means of developing public legal education initiatives. While our MOOCs have been led by seasoned professionals, we propose that there may be an opportunity for educational institutions to develop programmes in collaboration with law students. As the literature now looks at SPOCS (small private online course) </w:t>
      </w:r>
      <w:r w:rsidR="003610FB" w:rsidRPr="00E44378">
        <w:rPr>
          <w:rStyle w:val="FootnoteReference"/>
          <w:rFonts w:ascii="Palatino Linotype" w:hAnsi="Palatino Linotype"/>
          <w:sz w:val="24"/>
          <w:szCs w:val="24"/>
        </w:rPr>
        <w:footnoteReference w:id="44"/>
      </w:r>
      <w:r w:rsidR="003610FB" w:rsidRPr="00E44378">
        <w:rPr>
          <w:rFonts w:ascii="Palatino Linotype" w:hAnsi="Palatino Linotype"/>
          <w:sz w:val="24"/>
          <w:szCs w:val="24"/>
        </w:rPr>
        <w:t xml:space="preserve"> </w:t>
      </w:r>
      <w:r w:rsidRPr="00E44378">
        <w:rPr>
          <w:rFonts w:ascii="Palatino Linotype" w:hAnsi="Palatino Linotype"/>
          <w:sz w:val="24"/>
          <w:szCs w:val="24"/>
        </w:rPr>
        <w:t xml:space="preserve">in addition to MOOCs, </w:t>
      </w:r>
      <w:r w:rsidR="003610FB" w:rsidRPr="00E44378">
        <w:rPr>
          <w:rFonts w:ascii="Palatino Linotype" w:hAnsi="Palatino Linotype"/>
          <w:sz w:val="24"/>
          <w:szCs w:val="24"/>
        </w:rPr>
        <w:t xml:space="preserve">we pose the question of whether involving law students in the provision of </w:t>
      </w:r>
      <w:r w:rsidRPr="00E44378">
        <w:rPr>
          <w:rFonts w:ascii="Palatino Linotype" w:hAnsi="Palatino Linotype"/>
          <w:sz w:val="24"/>
          <w:szCs w:val="24"/>
        </w:rPr>
        <w:t xml:space="preserve">a </w:t>
      </w:r>
      <w:r w:rsidR="003610FB" w:rsidRPr="00E44378">
        <w:rPr>
          <w:rFonts w:ascii="Palatino Linotype" w:hAnsi="Palatino Linotype"/>
          <w:sz w:val="24"/>
          <w:szCs w:val="24"/>
        </w:rPr>
        <w:t xml:space="preserve">bespoke online law courses could potentially benefit the law students </w:t>
      </w:r>
      <w:r w:rsidRPr="00E44378">
        <w:rPr>
          <w:rFonts w:ascii="Palatino Linotype" w:hAnsi="Palatino Linotype"/>
          <w:sz w:val="24"/>
          <w:szCs w:val="24"/>
        </w:rPr>
        <w:t xml:space="preserve">in acquiring </w:t>
      </w:r>
      <w:r w:rsidRPr="00E44378">
        <w:rPr>
          <w:rFonts w:ascii="Palatino Linotype" w:hAnsi="Palatino Linotype"/>
          <w:sz w:val="24"/>
          <w:szCs w:val="24"/>
        </w:rPr>
        <w:lastRenderedPageBreak/>
        <w:t xml:space="preserve">the type of transferable skills required by law graduates?  Involving law students in the development and delivery of such courses could potentially </w:t>
      </w:r>
      <w:r w:rsidR="003610FB" w:rsidRPr="00E44378">
        <w:rPr>
          <w:rFonts w:ascii="Palatino Linotype" w:hAnsi="Palatino Linotype"/>
          <w:sz w:val="24"/>
          <w:szCs w:val="24"/>
        </w:rPr>
        <w:t>provid</w:t>
      </w:r>
      <w:r w:rsidRPr="00E44378">
        <w:rPr>
          <w:rFonts w:ascii="Palatino Linotype" w:hAnsi="Palatino Linotype"/>
          <w:sz w:val="24"/>
          <w:szCs w:val="24"/>
        </w:rPr>
        <w:t xml:space="preserve">e them with </w:t>
      </w:r>
      <w:r w:rsidR="003610FB" w:rsidRPr="00E44378">
        <w:rPr>
          <w:rFonts w:ascii="Palatino Linotype" w:hAnsi="Palatino Linotype"/>
          <w:sz w:val="24"/>
          <w:szCs w:val="24"/>
        </w:rPr>
        <w:t xml:space="preserve"> a f</w:t>
      </w:r>
      <w:r w:rsidR="00860535">
        <w:rPr>
          <w:rFonts w:ascii="Palatino Linotype" w:hAnsi="Palatino Linotype"/>
          <w:sz w:val="24"/>
          <w:szCs w:val="24"/>
        </w:rPr>
        <w:t xml:space="preserve">ramework to gain </w:t>
      </w:r>
      <w:r w:rsidR="003610FB" w:rsidRPr="00E44378">
        <w:rPr>
          <w:rFonts w:ascii="Palatino Linotype" w:hAnsi="Palatino Linotype"/>
          <w:sz w:val="24"/>
          <w:szCs w:val="24"/>
        </w:rPr>
        <w:t>inter disciplinary experience, project management skills and the ability to understand and employ technology skills</w:t>
      </w:r>
      <w:r w:rsidRPr="00E44378">
        <w:rPr>
          <w:rFonts w:ascii="Palatino Linotype" w:hAnsi="Palatino Linotype"/>
          <w:sz w:val="24"/>
          <w:szCs w:val="24"/>
        </w:rPr>
        <w:t xml:space="preserve"> which have all been </w:t>
      </w:r>
      <w:r w:rsidR="003610FB" w:rsidRPr="00E44378">
        <w:rPr>
          <w:rFonts w:ascii="Palatino Linotype" w:hAnsi="Palatino Linotype"/>
          <w:sz w:val="24"/>
          <w:szCs w:val="24"/>
        </w:rPr>
        <w:t xml:space="preserve"> identified as essential for the future practice of law </w:t>
      </w:r>
      <w:r w:rsidR="003610FB" w:rsidRPr="00E44378">
        <w:rPr>
          <w:rStyle w:val="FootnoteReference"/>
          <w:rFonts w:ascii="Palatino Linotype" w:hAnsi="Palatino Linotype"/>
          <w:sz w:val="24"/>
          <w:szCs w:val="24"/>
        </w:rPr>
        <w:footnoteReference w:id="45"/>
      </w:r>
      <w:r w:rsidRPr="00E44378">
        <w:rPr>
          <w:rFonts w:ascii="Palatino Linotype" w:hAnsi="Palatino Linotype"/>
          <w:sz w:val="24"/>
          <w:szCs w:val="24"/>
        </w:rPr>
        <w:t>. This would be an interesting area for future research.</w:t>
      </w:r>
    </w:p>
    <w:p w14:paraId="15859206" w14:textId="77777777" w:rsidR="002D7C9B" w:rsidRPr="00E44378" w:rsidRDefault="006C165B" w:rsidP="00E44378">
      <w:pPr>
        <w:pStyle w:val="Heading2"/>
        <w:numPr>
          <w:ilvl w:val="0"/>
          <w:numId w:val="37"/>
        </w:numPr>
        <w:spacing w:after="160" w:line="480" w:lineRule="auto"/>
        <w:rPr>
          <w:rFonts w:ascii="Palatino Linotype" w:hAnsi="Palatino Linotype"/>
          <w:sz w:val="24"/>
          <w:szCs w:val="24"/>
        </w:rPr>
      </w:pPr>
      <w:r w:rsidRPr="00E44378">
        <w:rPr>
          <w:rFonts w:ascii="Palatino Linotype" w:hAnsi="Palatino Linotype"/>
          <w:sz w:val="24"/>
          <w:szCs w:val="24"/>
        </w:rPr>
        <w:t>Conclusion</w:t>
      </w:r>
    </w:p>
    <w:p w14:paraId="08FAB753" w14:textId="466926C4" w:rsidR="00EE729B" w:rsidRPr="00E44378" w:rsidRDefault="000F4FB2" w:rsidP="00E44378">
      <w:pPr>
        <w:spacing w:after="160" w:line="480" w:lineRule="auto"/>
        <w:jc w:val="both"/>
        <w:rPr>
          <w:rFonts w:ascii="Palatino Linotype" w:hAnsi="Palatino Linotype" w:cs="Arial"/>
          <w:bCs/>
          <w:sz w:val="24"/>
          <w:szCs w:val="24"/>
        </w:rPr>
      </w:pPr>
      <w:r w:rsidRPr="00E44378">
        <w:rPr>
          <w:rFonts w:ascii="Palatino Linotype" w:hAnsi="Palatino Linotype" w:cs="Arial"/>
          <w:bCs/>
          <w:sz w:val="24"/>
          <w:szCs w:val="24"/>
        </w:rPr>
        <w:t>The overall PLE pro</w:t>
      </w:r>
      <w:r w:rsidR="00F22B58" w:rsidRPr="00E44378">
        <w:rPr>
          <w:rFonts w:ascii="Palatino Linotype" w:hAnsi="Palatino Linotype" w:cs="Arial"/>
          <w:bCs/>
          <w:sz w:val="24"/>
          <w:szCs w:val="24"/>
        </w:rPr>
        <w:t>grammes</w:t>
      </w:r>
      <w:r w:rsidRPr="00E44378">
        <w:rPr>
          <w:rFonts w:ascii="Palatino Linotype" w:hAnsi="Palatino Linotype" w:cs="Arial"/>
          <w:bCs/>
          <w:sz w:val="24"/>
          <w:szCs w:val="24"/>
        </w:rPr>
        <w:t xml:space="preserve"> h</w:t>
      </w:r>
      <w:r w:rsidR="00F22B58" w:rsidRPr="00E44378">
        <w:rPr>
          <w:rFonts w:ascii="Palatino Linotype" w:hAnsi="Palatino Linotype" w:cs="Arial"/>
          <w:bCs/>
          <w:sz w:val="24"/>
          <w:szCs w:val="24"/>
        </w:rPr>
        <w:t xml:space="preserve">ave </w:t>
      </w:r>
      <w:r w:rsidRPr="00E44378">
        <w:rPr>
          <w:rFonts w:ascii="Palatino Linotype" w:hAnsi="Palatino Linotype" w:cs="Arial"/>
          <w:bCs/>
          <w:sz w:val="24"/>
          <w:szCs w:val="24"/>
        </w:rPr>
        <w:t xml:space="preserve">a long-term impact in shaping and empowering the </w:t>
      </w:r>
      <w:r w:rsidR="004450CE" w:rsidRPr="00E44378">
        <w:rPr>
          <w:rFonts w:ascii="Palatino Linotype" w:hAnsi="Palatino Linotype" w:cs="Arial"/>
          <w:bCs/>
          <w:sz w:val="24"/>
          <w:szCs w:val="24"/>
        </w:rPr>
        <w:t xml:space="preserve">education, </w:t>
      </w:r>
      <w:r w:rsidRPr="00E44378">
        <w:rPr>
          <w:rFonts w:ascii="Palatino Linotype" w:hAnsi="Palatino Linotype" w:cs="Arial"/>
          <w:bCs/>
          <w:sz w:val="24"/>
          <w:szCs w:val="24"/>
        </w:rPr>
        <w:t>skills and values of</w:t>
      </w:r>
      <w:r w:rsidR="00EE729B" w:rsidRPr="00E44378">
        <w:rPr>
          <w:rFonts w:ascii="Palatino Linotype" w:hAnsi="Palatino Linotype" w:cs="Arial"/>
          <w:bCs/>
          <w:sz w:val="24"/>
          <w:szCs w:val="24"/>
        </w:rPr>
        <w:t xml:space="preserve"> the public and </w:t>
      </w:r>
      <w:r w:rsidR="006C1040" w:rsidRPr="00E44378">
        <w:rPr>
          <w:rFonts w:ascii="Palatino Linotype" w:hAnsi="Palatino Linotype" w:cs="Arial"/>
          <w:bCs/>
          <w:sz w:val="24"/>
          <w:szCs w:val="24"/>
        </w:rPr>
        <w:t xml:space="preserve">those of </w:t>
      </w:r>
      <w:r w:rsidR="00EE729B" w:rsidRPr="00E44378">
        <w:rPr>
          <w:rFonts w:ascii="Palatino Linotype" w:hAnsi="Palatino Linotype" w:cs="Arial"/>
          <w:bCs/>
          <w:sz w:val="24"/>
          <w:szCs w:val="24"/>
        </w:rPr>
        <w:t xml:space="preserve">the </w:t>
      </w:r>
      <w:r w:rsidR="004450CE" w:rsidRPr="00E44378">
        <w:rPr>
          <w:rFonts w:ascii="Palatino Linotype" w:hAnsi="Palatino Linotype" w:cs="Arial"/>
          <w:bCs/>
          <w:sz w:val="24"/>
          <w:szCs w:val="24"/>
        </w:rPr>
        <w:t>profession</w:t>
      </w:r>
      <w:r w:rsidR="00EE729B" w:rsidRPr="00E44378">
        <w:rPr>
          <w:rFonts w:ascii="Palatino Linotype" w:hAnsi="Palatino Linotype" w:cs="Arial"/>
          <w:bCs/>
          <w:sz w:val="24"/>
          <w:szCs w:val="24"/>
        </w:rPr>
        <w:t xml:space="preserve"> who deliver the programm</w:t>
      </w:r>
      <w:r w:rsidR="0028700B" w:rsidRPr="00E44378">
        <w:rPr>
          <w:rFonts w:ascii="Palatino Linotype" w:hAnsi="Palatino Linotype" w:cs="Arial"/>
          <w:bCs/>
          <w:sz w:val="24"/>
          <w:szCs w:val="24"/>
        </w:rPr>
        <w:t>e</w:t>
      </w:r>
      <w:r w:rsidR="00EE729B" w:rsidRPr="00E44378">
        <w:rPr>
          <w:rFonts w:ascii="Palatino Linotype" w:hAnsi="Palatino Linotype" w:cs="Arial"/>
          <w:bCs/>
          <w:sz w:val="24"/>
          <w:szCs w:val="24"/>
        </w:rPr>
        <w:t xml:space="preserve">s. Our provision of </w:t>
      </w:r>
      <w:r w:rsidR="00BE065A" w:rsidRPr="00E44378">
        <w:rPr>
          <w:rFonts w:ascii="Palatino Linotype" w:hAnsi="Palatino Linotype" w:cs="Arial"/>
          <w:bCs/>
          <w:sz w:val="24"/>
          <w:szCs w:val="24"/>
        </w:rPr>
        <w:t>MOOCs plays a part in this</w:t>
      </w:r>
      <w:r w:rsidR="007047D9" w:rsidRPr="00E44378">
        <w:rPr>
          <w:rFonts w:ascii="Palatino Linotype" w:hAnsi="Palatino Linotype" w:cs="Arial"/>
          <w:bCs/>
          <w:sz w:val="24"/>
          <w:szCs w:val="24"/>
        </w:rPr>
        <w:t xml:space="preserve">, equipping </w:t>
      </w:r>
      <w:r w:rsidR="00B53142" w:rsidRPr="00E44378">
        <w:rPr>
          <w:rFonts w:ascii="Palatino Linotype" w:hAnsi="Palatino Linotype" w:cs="Arial"/>
          <w:bCs/>
          <w:sz w:val="24"/>
          <w:szCs w:val="24"/>
        </w:rPr>
        <w:t>professionals</w:t>
      </w:r>
      <w:r w:rsidR="007047D9" w:rsidRPr="00E44378">
        <w:rPr>
          <w:rFonts w:ascii="Palatino Linotype" w:hAnsi="Palatino Linotype" w:cs="Arial"/>
          <w:bCs/>
          <w:sz w:val="24"/>
          <w:szCs w:val="24"/>
        </w:rPr>
        <w:t xml:space="preserve"> in the sector with improved legal capability and the ability to make better choices concerning t</w:t>
      </w:r>
      <w:r w:rsidR="00BE065A" w:rsidRPr="00E44378">
        <w:rPr>
          <w:rFonts w:ascii="Palatino Linotype" w:hAnsi="Palatino Linotype" w:cs="Arial"/>
          <w:bCs/>
          <w:sz w:val="24"/>
          <w:szCs w:val="24"/>
        </w:rPr>
        <w:t>he legal issues they face daily</w:t>
      </w:r>
      <w:r w:rsidR="007047D9" w:rsidRPr="00E44378">
        <w:rPr>
          <w:rFonts w:ascii="Palatino Linotype" w:hAnsi="Palatino Linotype" w:cs="Arial"/>
          <w:bCs/>
          <w:sz w:val="24"/>
          <w:szCs w:val="24"/>
        </w:rPr>
        <w:t>. The Solicitor General’s Committee on PLE</w:t>
      </w:r>
      <w:r w:rsidR="007047D9" w:rsidRPr="00E44378">
        <w:rPr>
          <w:rStyle w:val="FootnoteReference"/>
          <w:rFonts w:ascii="Palatino Linotype" w:hAnsi="Palatino Linotype" w:cs="Arial"/>
          <w:bCs/>
          <w:sz w:val="24"/>
          <w:szCs w:val="24"/>
        </w:rPr>
        <w:footnoteReference w:id="46"/>
      </w:r>
      <w:r w:rsidR="00B53142" w:rsidRPr="00E44378">
        <w:rPr>
          <w:rFonts w:ascii="Palatino Linotype" w:hAnsi="Palatino Linotype" w:cs="Arial"/>
          <w:bCs/>
          <w:sz w:val="24"/>
          <w:szCs w:val="24"/>
        </w:rPr>
        <w:t xml:space="preserve"> </w:t>
      </w:r>
      <w:r w:rsidR="004450CE" w:rsidRPr="00E44378">
        <w:rPr>
          <w:rFonts w:ascii="Palatino Linotype" w:hAnsi="Palatino Linotype" w:cs="Arial"/>
          <w:bCs/>
          <w:sz w:val="24"/>
          <w:szCs w:val="24"/>
        </w:rPr>
        <w:t xml:space="preserve">in the UK </w:t>
      </w:r>
      <w:r w:rsidR="00752121" w:rsidRPr="00E44378">
        <w:rPr>
          <w:rFonts w:ascii="Palatino Linotype" w:hAnsi="Palatino Linotype" w:cs="Arial"/>
          <w:bCs/>
          <w:sz w:val="24"/>
          <w:szCs w:val="24"/>
        </w:rPr>
        <w:t xml:space="preserve">identifies </w:t>
      </w:r>
      <w:r w:rsidR="007047D9" w:rsidRPr="00E44378">
        <w:rPr>
          <w:rFonts w:ascii="Palatino Linotype" w:hAnsi="Palatino Linotype" w:cs="Arial"/>
          <w:bCs/>
          <w:sz w:val="24"/>
          <w:szCs w:val="24"/>
        </w:rPr>
        <w:t xml:space="preserve">the goal of scaling PLE through delivery by the legal community. Our experience is testament to the positive impact </w:t>
      </w:r>
      <w:r w:rsidR="00752121" w:rsidRPr="00E44378">
        <w:rPr>
          <w:rFonts w:ascii="Palatino Linotype" w:hAnsi="Palatino Linotype" w:cs="Arial"/>
          <w:bCs/>
          <w:sz w:val="24"/>
          <w:szCs w:val="24"/>
        </w:rPr>
        <w:t xml:space="preserve">that </w:t>
      </w:r>
      <w:r w:rsidR="007047D9" w:rsidRPr="00E44378">
        <w:rPr>
          <w:rFonts w:ascii="Palatino Linotype" w:hAnsi="Palatino Linotype" w:cs="Arial"/>
          <w:bCs/>
          <w:sz w:val="24"/>
          <w:szCs w:val="24"/>
        </w:rPr>
        <w:t xml:space="preserve">this can have on a legal education institution and </w:t>
      </w:r>
      <w:r w:rsidR="00B53142" w:rsidRPr="00E44378">
        <w:rPr>
          <w:rFonts w:ascii="Palatino Linotype" w:hAnsi="Palatino Linotype" w:cs="Arial"/>
          <w:bCs/>
          <w:sz w:val="24"/>
          <w:szCs w:val="24"/>
        </w:rPr>
        <w:t xml:space="preserve">on </w:t>
      </w:r>
      <w:r w:rsidR="007047D9" w:rsidRPr="00E44378">
        <w:rPr>
          <w:rFonts w:ascii="Palatino Linotype" w:hAnsi="Palatino Linotype" w:cs="Arial"/>
          <w:bCs/>
          <w:sz w:val="24"/>
          <w:szCs w:val="24"/>
        </w:rPr>
        <w:t>legal professionals.</w:t>
      </w:r>
      <w:r w:rsidR="006C1040" w:rsidRPr="00E44378">
        <w:rPr>
          <w:rFonts w:ascii="Palatino Linotype" w:hAnsi="Palatino Linotype" w:cs="Arial"/>
          <w:bCs/>
          <w:sz w:val="24"/>
          <w:szCs w:val="24"/>
        </w:rPr>
        <w:t xml:space="preserve"> The</w:t>
      </w:r>
      <w:r w:rsidR="007047D9" w:rsidRPr="00E44378">
        <w:rPr>
          <w:rFonts w:ascii="Palatino Linotype" w:hAnsi="Palatino Linotype" w:cs="Arial"/>
          <w:bCs/>
          <w:sz w:val="24"/>
          <w:szCs w:val="24"/>
        </w:rPr>
        <w:t xml:space="preserve"> MOOC series has generally portrayed the legal community in a positive fashion and broke</w:t>
      </w:r>
      <w:r w:rsidR="00BE065A" w:rsidRPr="00E44378">
        <w:rPr>
          <w:rFonts w:ascii="Palatino Linotype" w:hAnsi="Palatino Linotype" w:cs="Arial"/>
          <w:bCs/>
          <w:sz w:val="24"/>
          <w:szCs w:val="24"/>
        </w:rPr>
        <w:t>n</w:t>
      </w:r>
      <w:r w:rsidR="007047D9" w:rsidRPr="00E44378">
        <w:rPr>
          <w:rFonts w:ascii="Palatino Linotype" w:hAnsi="Palatino Linotype" w:cs="Arial"/>
          <w:bCs/>
          <w:sz w:val="24"/>
          <w:szCs w:val="24"/>
        </w:rPr>
        <w:t xml:space="preserve"> down barriers between the public and the profession through the creation of a free space for interaction and engagement as peers. </w:t>
      </w:r>
      <w:r w:rsidR="00B302A1" w:rsidRPr="00E44378">
        <w:rPr>
          <w:rFonts w:ascii="Palatino Linotype" w:hAnsi="Palatino Linotype" w:cs="Arial"/>
          <w:sz w:val="24"/>
          <w:szCs w:val="24"/>
        </w:rPr>
        <w:t xml:space="preserve"> </w:t>
      </w:r>
    </w:p>
    <w:p w14:paraId="3B9AC693" w14:textId="0F28B7D1" w:rsidR="006C1040" w:rsidRPr="00E44378" w:rsidRDefault="007047D9" w:rsidP="00E44378">
      <w:pPr>
        <w:spacing w:after="160" w:line="480" w:lineRule="auto"/>
        <w:jc w:val="both"/>
        <w:rPr>
          <w:rFonts w:ascii="Palatino Linotype" w:hAnsi="Palatino Linotype"/>
          <w:sz w:val="24"/>
          <w:szCs w:val="24"/>
        </w:rPr>
      </w:pPr>
      <w:r w:rsidRPr="00E44378">
        <w:rPr>
          <w:rFonts w:ascii="Palatino Linotype" w:hAnsi="Palatino Linotype" w:cs="Arial"/>
          <w:sz w:val="24"/>
          <w:szCs w:val="24"/>
        </w:rPr>
        <w:lastRenderedPageBreak/>
        <w:t xml:space="preserve">The </w:t>
      </w:r>
      <w:r w:rsidR="00B302A1" w:rsidRPr="00E44378">
        <w:rPr>
          <w:rFonts w:ascii="Palatino Linotype" w:hAnsi="Palatino Linotype" w:cs="Arial"/>
          <w:sz w:val="24"/>
          <w:szCs w:val="24"/>
        </w:rPr>
        <w:t xml:space="preserve">profile of the </w:t>
      </w:r>
      <w:r w:rsidR="00752121" w:rsidRPr="00E44378">
        <w:rPr>
          <w:rFonts w:ascii="Palatino Linotype" w:hAnsi="Palatino Linotype" w:cs="Arial"/>
          <w:sz w:val="24"/>
          <w:szCs w:val="24"/>
        </w:rPr>
        <w:t xml:space="preserve">Society </w:t>
      </w:r>
      <w:r w:rsidR="00B302A1" w:rsidRPr="00E44378">
        <w:rPr>
          <w:rFonts w:ascii="Palatino Linotype" w:hAnsi="Palatino Linotype" w:cs="Arial"/>
          <w:sz w:val="24"/>
          <w:szCs w:val="24"/>
        </w:rPr>
        <w:t>as a flagship for online learning and public legal education</w:t>
      </w:r>
      <w:r w:rsidRPr="00E44378">
        <w:rPr>
          <w:rFonts w:ascii="Palatino Linotype" w:hAnsi="Palatino Linotype" w:cs="Arial"/>
          <w:sz w:val="24"/>
          <w:szCs w:val="24"/>
        </w:rPr>
        <w:t xml:space="preserve"> has also been enhanced</w:t>
      </w:r>
      <w:r w:rsidR="006C1040" w:rsidRPr="00E44378">
        <w:rPr>
          <w:rFonts w:ascii="Palatino Linotype" w:hAnsi="Palatino Linotype" w:cs="Arial"/>
          <w:sz w:val="24"/>
          <w:szCs w:val="24"/>
        </w:rPr>
        <w:t>;</w:t>
      </w:r>
      <w:r w:rsidRPr="00E44378">
        <w:rPr>
          <w:rFonts w:ascii="Palatino Linotype" w:hAnsi="Palatino Linotype" w:cs="Arial"/>
          <w:sz w:val="24"/>
          <w:szCs w:val="24"/>
        </w:rPr>
        <w:t xml:space="preserve"> </w:t>
      </w:r>
      <w:r w:rsidR="006C1040" w:rsidRPr="00E44378">
        <w:rPr>
          <w:rFonts w:ascii="Palatino Linotype" w:hAnsi="Palatino Linotype" w:cs="Arial"/>
          <w:sz w:val="24"/>
          <w:szCs w:val="24"/>
        </w:rPr>
        <w:t>as</w:t>
      </w:r>
      <w:r w:rsidRPr="00E44378">
        <w:rPr>
          <w:rFonts w:ascii="Palatino Linotype" w:hAnsi="Palatino Linotype" w:cs="Arial"/>
          <w:sz w:val="24"/>
          <w:szCs w:val="24"/>
        </w:rPr>
        <w:t xml:space="preserve"> evidenced by </w:t>
      </w:r>
      <w:r w:rsidR="006C1040" w:rsidRPr="00E44378">
        <w:rPr>
          <w:rFonts w:ascii="Palatino Linotype" w:hAnsi="Palatino Linotype" w:cs="Arial"/>
          <w:sz w:val="24"/>
          <w:szCs w:val="24"/>
        </w:rPr>
        <w:t xml:space="preserve">increased </w:t>
      </w:r>
      <w:r w:rsidR="00B302A1" w:rsidRPr="00E44378">
        <w:rPr>
          <w:rFonts w:ascii="Palatino Linotype" w:hAnsi="Palatino Linotype" w:cs="Arial"/>
          <w:sz w:val="24"/>
          <w:szCs w:val="24"/>
        </w:rPr>
        <w:t xml:space="preserve">student numbers on </w:t>
      </w:r>
      <w:r w:rsidRPr="00E44378">
        <w:rPr>
          <w:rFonts w:ascii="Palatino Linotype" w:hAnsi="Palatino Linotype" w:cs="Arial"/>
          <w:sz w:val="24"/>
          <w:szCs w:val="24"/>
        </w:rPr>
        <w:t xml:space="preserve">our </w:t>
      </w:r>
      <w:r w:rsidR="004A759A" w:rsidRPr="00E44378">
        <w:rPr>
          <w:rFonts w:ascii="Palatino Linotype" w:hAnsi="Palatino Linotype" w:cs="Arial"/>
          <w:sz w:val="24"/>
          <w:szCs w:val="24"/>
        </w:rPr>
        <w:t xml:space="preserve">diploma </w:t>
      </w:r>
      <w:r w:rsidR="00B302A1" w:rsidRPr="00E44378">
        <w:rPr>
          <w:rFonts w:ascii="Palatino Linotype" w:hAnsi="Palatino Linotype" w:cs="Arial"/>
          <w:sz w:val="24"/>
          <w:szCs w:val="24"/>
        </w:rPr>
        <w:t xml:space="preserve">courses and </w:t>
      </w:r>
      <w:r w:rsidR="004450CE" w:rsidRPr="00E44378">
        <w:rPr>
          <w:rFonts w:ascii="Palatino Linotype" w:hAnsi="Palatino Linotype" w:cs="Arial"/>
          <w:sz w:val="24"/>
          <w:szCs w:val="24"/>
        </w:rPr>
        <w:t>the uptake from international</w:t>
      </w:r>
      <w:r w:rsidR="00B302A1" w:rsidRPr="00E44378">
        <w:rPr>
          <w:rFonts w:ascii="Palatino Linotype" w:hAnsi="Palatino Linotype" w:cs="Arial"/>
          <w:sz w:val="24"/>
          <w:szCs w:val="24"/>
        </w:rPr>
        <w:t xml:space="preserve"> learners. </w:t>
      </w:r>
      <w:r w:rsidR="00FB2E85" w:rsidRPr="00E44378">
        <w:rPr>
          <w:rFonts w:ascii="Palatino Linotype" w:hAnsi="Palatino Linotype" w:cs="Arial"/>
          <w:sz w:val="24"/>
          <w:szCs w:val="24"/>
        </w:rPr>
        <w:t>Prior to 2014</w:t>
      </w:r>
      <w:r w:rsidR="006C1040" w:rsidRPr="00E44378">
        <w:rPr>
          <w:rFonts w:ascii="Palatino Linotype" w:hAnsi="Palatino Linotype" w:cs="Arial"/>
          <w:sz w:val="24"/>
          <w:szCs w:val="24"/>
        </w:rPr>
        <w:t>,</w:t>
      </w:r>
      <w:r w:rsidR="00FB2E85" w:rsidRPr="00E44378">
        <w:rPr>
          <w:rFonts w:ascii="Palatino Linotype" w:hAnsi="Palatino Linotype" w:cs="Arial"/>
          <w:sz w:val="24"/>
          <w:szCs w:val="24"/>
        </w:rPr>
        <w:t xml:space="preserve"> there were no students outside of Ireland </w:t>
      </w:r>
      <w:r w:rsidR="006C1040" w:rsidRPr="00E44378">
        <w:rPr>
          <w:rFonts w:ascii="Palatino Linotype" w:hAnsi="Palatino Linotype" w:cs="Arial"/>
          <w:sz w:val="24"/>
          <w:szCs w:val="24"/>
        </w:rPr>
        <w:t xml:space="preserve">registered </w:t>
      </w:r>
      <w:r w:rsidR="00FB2E85" w:rsidRPr="00E44378">
        <w:rPr>
          <w:rFonts w:ascii="Palatino Linotype" w:hAnsi="Palatino Linotype" w:cs="Arial"/>
          <w:sz w:val="24"/>
          <w:szCs w:val="24"/>
        </w:rPr>
        <w:t xml:space="preserve">on certificate and diploma courses, whereas 148 students based outside of Ireland have undertaken a diploma or certificate course since the first MOOC launch. </w:t>
      </w:r>
      <w:r w:rsidRPr="00E44378">
        <w:rPr>
          <w:rFonts w:ascii="Palatino Linotype" w:hAnsi="Palatino Linotype" w:cs="Arial"/>
          <w:sz w:val="24"/>
          <w:szCs w:val="24"/>
        </w:rPr>
        <w:t>Technically</w:t>
      </w:r>
      <w:r w:rsidR="006C1040" w:rsidRPr="00E44378">
        <w:rPr>
          <w:rFonts w:ascii="Palatino Linotype" w:hAnsi="Palatino Linotype" w:cs="Arial"/>
          <w:sz w:val="24"/>
          <w:szCs w:val="24"/>
        </w:rPr>
        <w:t>,</w:t>
      </w:r>
      <w:r w:rsidRPr="00E44378">
        <w:rPr>
          <w:rFonts w:ascii="Palatino Linotype" w:hAnsi="Palatino Linotype" w:cs="Arial"/>
          <w:sz w:val="24"/>
          <w:szCs w:val="24"/>
        </w:rPr>
        <w:t xml:space="preserve"> w</w:t>
      </w:r>
      <w:r w:rsidR="00B302A1" w:rsidRPr="00E44378">
        <w:rPr>
          <w:rFonts w:ascii="Palatino Linotype" w:hAnsi="Palatino Linotype" w:cs="Arial"/>
          <w:sz w:val="24"/>
          <w:szCs w:val="24"/>
        </w:rPr>
        <w:t xml:space="preserve">e have improved the user experience </w:t>
      </w:r>
      <w:r w:rsidR="006C1040" w:rsidRPr="00E44378">
        <w:rPr>
          <w:rFonts w:ascii="Palatino Linotype" w:hAnsi="Palatino Linotype" w:cs="Arial"/>
          <w:sz w:val="24"/>
          <w:szCs w:val="24"/>
        </w:rPr>
        <w:t xml:space="preserve">by </w:t>
      </w:r>
      <w:r w:rsidR="00B302A1" w:rsidRPr="00E44378">
        <w:rPr>
          <w:rFonts w:ascii="Palatino Linotype" w:hAnsi="Palatino Linotype" w:cs="Arial"/>
          <w:sz w:val="24"/>
          <w:szCs w:val="24"/>
        </w:rPr>
        <w:t>enhancing our online tools and producing higher quality learning content through more efficient use of the team’s resources, leading to a more energised team and furthering possibilities for subsequent courses.</w:t>
      </w:r>
      <w:r w:rsidR="00DF7D43" w:rsidRPr="00E44378">
        <w:rPr>
          <w:rFonts w:ascii="Palatino Linotype" w:hAnsi="Palatino Linotype"/>
          <w:sz w:val="24"/>
          <w:szCs w:val="24"/>
        </w:rPr>
        <w:t xml:space="preserve"> </w:t>
      </w:r>
    </w:p>
    <w:p w14:paraId="6163F1F7" w14:textId="2CCD3125" w:rsidR="005F5C99" w:rsidRPr="00E44378" w:rsidRDefault="00DF7D43" w:rsidP="00E44378">
      <w:pPr>
        <w:spacing w:after="160" w:line="480" w:lineRule="auto"/>
        <w:jc w:val="both"/>
        <w:rPr>
          <w:rFonts w:ascii="Palatino Linotype" w:hAnsi="Palatino Linotype"/>
          <w:sz w:val="24"/>
          <w:szCs w:val="24"/>
        </w:rPr>
      </w:pPr>
      <w:r w:rsidRPr="00E44378">
        <w:rPr>
          <w:rFonts w:ascii="Palatino Linotype" w:hAnsi="Palatino Linotype"/>
          <w:sz w:val="24"/>
          <w:szCs w:val="24"/>
        </w:rPr>
        <w:t xml:space="preserve">Our </w:t>
      </w:r>
      <w:r w:rsidR="007047D9" w:rsidRPr="00E44378">
        <w:rPr>
          <w:rFonts w:ascii="Palatino Linotype" w:hAnsi="Palatino Linotype"/>
          <w:sz w:val="24"/>
          <w:szCs w:val="24"/>
        </w:rPr>
        <w:t xml:space="preserve">ultimate </w:t>
      </w:r>
      <w:r w:rsidRPr="00E44378">
        <w:rPr>
          <w:rFonts w:ascii="Palatino Linotype" w:hAnsi="Palatino Linotype"/>
          <w:sz w:val="24"/>
          <w:szCs w:val="24"/>
        </w:rPr>
        <w:t xml:space="preserve">goal was to </w:t>
      </w:r>
      <w:r w:rsidR="00F22B58" w:rsidRPr="00E44378">
        <w:rPr>
          <w:rFonts w:ascii="Palatino Linotype" w:hAnsi="Palatino Linotype"/>
          <w:sz w:val="24"/>
          <w:szCs w:val="24"/>
        </w:rPr>
        <w:t>increase</w:t>
      </w:r>
      <w:r w:rsidRPr="00E44378">
        <w:rPr>
          <w:rFonts w:ascii="Palatino Linotype" w:hAnsi="Palatino Linotype"/>
          <w:sz w:val="24"/>
          <w:szCs w:val="24"/>
        </w:rPr>
        <w:t xml:space="preserve"> the provision of public legal education on a </w:t>
      </w:r>
      <w:r w:rsidR="00F22B58" w:rsidRPr="00E44378">
        <w:rPr>
          <w:rFonts w:ascii="Palatino Linotype" w:hAnsi="Palatino Linotype"/>
          <w:sz w:val="24"/>
          <w:szCs w:val="24"/>
        </w:rPr>
        <w:t>wider</w:t>
      </w:r>
      <w:r w:rsidRPr="00E44378">
        <w:rPr>
          <w:rFonts w:ascii="Palatino Linotype" w:hAnsi="Palatino Linotype"/>
          <w:sz w:val="24"/>
          <w:szCs w:val="24"/>
        </w:rPr>
        <w:t xml:space="preserve"> scale and introduce students to our enhanced online </w:t>
      </w:r>
      <w:r w:rsidR="003A0861" w:rsidRPr="00E44378">
        <w:rPr>
          <w:rFonts w:ascii="Palatino Linotype" w:hAnsi="Palatino Linotype"/>
          <w:sz w:val="24"/>
          <w:szCs w:val="24"/>
        </w:rPr>
        <w:t xml:space="preserve">learning </w:t>
      </w:r>
      <w:r w:rsidRPr="00E44378">
        <w:rPr>
          <w:rFonts w:ascii="Palatino Linotype" w:hAnsi="Palatino Linotype"/>
          <w:sz w:val="24"/>
          <w:szCs w:val="24"/>
        </w:rPr>
        <w:t>system.</w:t>
      </w:r>
      <w:r w:rsidR="002E6278" w:rsidRPr="00E44378">
        <w:rPr>
          <w:rFonts w:ascii="Palatino Linotype" w:hAnsi="Palatino Linotype" w:cs="Arial"/>
          <w:sz w:val="24"/>
          <w:szCs w:val="24"/>
        </w:rPr>
        <w:t xml:space="preserve"> As part of our findings</w:t>
      </w:r>
      <w:r w:rsidR="003A0861" w:rsidRPr="00E44378">
        <w:rPr>
          <w:rFonts w:ascii="Palatino Linotype" w:hAnsi="Palatino Linotype" w:cs="Arial"/>
          <w:sz w:val="24"/>
          <w:szCs w:val="24"/>
        </w:rPr>
        <w:t>,</w:t>
      </w:r>
      <w:r w:rsidR="002E6278" w:rsidRPr="00E44378">
        <w:rPr>
          <w:rFonts w:ascii="Palatino Linotype" w:hAnsi="Palatino Linotype" w:cs="Arial"/>
          <w:sz w:val="24"/>
          <w:szCs w:val="24"/>
        </w:rPr>
        <w:t xml:space="preserve"> the experience affirmed a strong interest and uptake internationally for online learning.</w:t>
      </w:r>
      <w:r w:rsidR="006D1B83" w:rsidRPr="00E44378">
        <w:rPr>
          <w:rFonts w:ascii="Palatino Linotype" w:hAnsi="Palatino Linotype" w:cs="Arial"/>
          <w:sz w:val="24"/>
          <w:szCs w:val="24"/>
        </w:rPr>
        <w:t xml:space="preserve"> </w:t>
      </w:r>
      <w:r w:rsidR="002E6278" w:rsidRPr="00E44378">
        <w:rPr>
          <w:rFonts w:ascii="Palatino Linotype" w:hAnsi="Palatino Linotype" w:cs="Arial"/>
          <w:sz w:val="24"/>
          <w:szCs w:val="24"/>
        </w:rPr>
        <w:t xml:space="preserve"> We </w:t>
      </w:r>
      <w:r w:rsidR="006C1040" w:rsidRPr="00E44378">
        <w:rPr>
          <w:rFonts w:ascii="Palatino Linotype" w:hAnsi="Palatino Linotype" w:cs="Arial"/>
          <w:sz w:val="24"/>
          <w:szCs w:val="24"/>
        </w:rPr>
        <w:t xml:space="preserve">have seen </w:t>
      </w:r>
      <w:r w:rsidR="002E6278" w:rsidRPr="00E44378">
        <w:rPr>
          <w:rFonts w:ascii="Palatino Linotype" w:hAnsi="Palatino Linotype" w:cs="Arial"/>
          <w:sz w:val="24"/>
          <w:szCs w:val="24"/>
        </w:rPr>
        <w:t>the benefits of peer interaction on an unprecedented scale, and gained experience in producing effective and engaging learning content at low cost.</w:t>
      </w:r>
      <w:r w:rsidR="002E6278" w:rsidRPr="00E44378">
        <w:rPr>
          <w:rFonts w:ascii="Palatino Linotype" w:hAnsi="Palatino Linotype"/>
          <w:sz w:val="24"/>
          <w:szCs w:val="24"/>
        </w:rPr>
        <w:t xml:space="preserve"> Subject to course design, </w:t>
      </w:r>
      <w:r w:rsidR="006C1040" w:rsidRPr="00E44378">
        <w:rPr>
          <w:rFonts w:ascii="Palatino Linotype" w:hAnsi="Palatino Linotype"/>
          <w:sz w:val="24"/>
          <w:szCs w:val="24"/>
        </w:rPr>
        <w:t xml:space="preserve">this </w:t>
      </w:r>
      <w:r w:rsidR="002E6278" w:rsidRPr="00E44378">
        <w:rPr>
          <w:rFonts w:ascii="Palatino Linotype" w:hAnsi="Palatino Linotype"/>
          <w:sz w:val="24"/>
          <w:szCs w:val="24"/>
        </w:rPr>
        <w:t>can provide substantial educational benefit and operate as an effective means to widen access, market courses through ‘testers’</w:t>
      </w:r>
      <w:r w:rsidR="006C1040" w:rsidRPr="00E44378">
        <w:rPr>
          <w:rFonts w:ascii="Palatino Linotype" w:hAnsi="Palatino Linotype"/>
          <w:sz w:val="24"/>
          <w:szCs w:val="24"/>
        </w:rPr>
        <w:t>,</w:t>
      </w:r>
      <w:r w:rsidR="002E6278" w:rsidRPr="00E44378">
        <w:rPr>
          <w:rFonts w:ascii="Palatino Linotype" w:hAnsi="Palatino Linotype"/>
          <w:sz w:val="24"/>
          <w:szCs w:val="24"/>
        </w:rPr>
        <w:t xml:space="preserve"> and promote a providers brand for high quality online courses. </w:t>
      </w:r>
      <w:r w:rsidRPr="00E44378">
        <w:rPr>
          <w:rFonts w:ascii="Palatino Linotype" w:hAnsi="Palatino Linotype"/>
          <w:sz w:val="24"/>
          <w:szCs w:val="24"/>
        </w:rPr>
        <w:t xml:space="preserve">This digital initiative </w:t>
      </w:r>
      <w:r w:rsidR="006C1040" w:rsidRPr="00E44378">
        <w:rPr>
          <w:rFonts w:ascii="Palatino Linotype" w:hAnsi="Palatino Linotype"/>
          <w:sz w:val="24"/>
          <w:szCs w:val="24"/>
        </w:rPr>
        <w:t xml:space="preserve">has </w:t>
      </w:r>
      <w:r w:rsidRPr="00E44378">
        <w:rPr>
          <w:rFonts w:ascii="Palatino Linotype" w:hAnsi="Palatino Linotype"/>
          <w:sz w:val="24"/>
          <w:szCs w:val="24"/>
        </w:rPr>
        <w:t>opened up the Law Society to a large audience of legal and non-legal professionals alike and demonstrated the commitment of the organisation to public interest and increasing access to justice and an understanding of the law.</w:t>
      </w:r>
    </w:p>
    <w:p w14:paraId="04D1E6CC" w14:textId="77777777" w:rsidR="007B698C" w:rsidRPr="00E44378" w:rsidRDefault="007B698C" w:rsidP="00E44378">
      <w:pPr>
        <w:spacing w:after="160" w:line="480" w:lineRule="auto"/>
        <w:jc w:val="both"/>
        <w:rPr>
          <w:rFonts w:ascii="Palatino Linotype" w:hAnsi="Palatino Linotype"/>
          <w:sz w:val="24"/>
          <w:szCs w:val="24"/>
        </w:rPr>
      </w:pPr>
    </w:p>
    <w:p w14:paraId="3384E116" w14:textId="77777777" w:rsidR="007F3FAA" w:rsidRPr="007F3FAA" w:rsidRDefault="007F3FAA" w:rsidP="007F3FAA">
      <w:pPr>
        <w:rPr>
          <w:rFonts w:ascii="Arial" w:eastAsia="Times New Roman" w:hAnsi="Arial" w:cs="Arial"/>
          <w:sz w:val="24"/>
          <w:szCs w:val="24"/>
          <w:lang w:eastAsia="en-IE"/>
        </w:rPr>
      </w:pPr>
      <w:r w:rsidRPr="007F3FAA">
        <w:rPr>
          <w:rFonts w:ascii="Arial" w:eastAsia="Times New Roman" w:hAnsi="Arial" w:cs="Arial"/>
          <w:b/>
          <w:sz w:val="24"/>
          <w:szCs w:val="24"/>
          <w:lang w:eastAsia="en-IE"/>
        </w:rPr>
        <w:lastRenderedPageBreak/>
        <w:t>Appendix A</w:t>
      </w:r>
      <w:r w:rsidRPr="007F3FAA">
        <w:rPr>
          <w:rFonts w:ascii="Arial" w:eastAsia="Times New Roman" w:hAnsi="Arial" w:cs="Arial"/>
          <w:sz w:val="24"/>
          <w:szCs w:val="24"/>
          <w:lang w:eastAsia="en-IE"/>
        </w:rPr>
        <w:t>: MOOC demographic profile 2016 – 2018:</w:t>
      </w:r>
    </w:p>
    <w:tbl>
      <w:tblPr>
        <w:tblW w:w="4716" w:type="dxa"/>
        <w:tblInd w:w="108" w:type="dxa"/>
        <w:tblLook w:val="04A0" w:firstRow="1" w:lastRow="0" w:firstColumn="1" w:lastColumn="0" w:noHBand="0" w:noVBand="1"/>
      </w:tblPr>
      <w:tblGrid>
        <w:gridCol w:w="2828"/>
        <w:gridCol w:w="777"/>
        <w:gridCol w:w="1111"/>
      </w:tblGrid>
      <w:tr w:rsidR="007F3FAA" w:rsidRPr="007F3FAA" w14:paraId="0F47A3A5" w14:textId="77777777" w:rsidTr="003A33C9">
        <w:trPr>
          <w:trHeight w:val="289"/>
        </w:trPr>
        <w:tc>
          <w:tcPr>
            <w:tcW w:w="2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BDCFE"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 </w:t>
            </w:r>
          </w:p>
        </w:tc>
        <w:tc>
          <w:tcPr>
            <w:tcW w:w="188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119A123" w14:textId="77777777" w:rsidR="007F3FAA" w:rsidRPr="007F3FAA" w:rsidRDefault="007F3FAA" w:rsidP="007F3FAA">
            <w:pPr>
              <w:spacing w:after="0" w:line="240" w:lineRule="auto"/>
              <w:jc w:val="center"/>
              <w:rPr>
                <w:rFonts w:ascii="Calibri" w:eastAsia="Times New Roman" w:hAnsi="Calibri" w:cs="Times New Roman"/>
                <w:b/>
                <w:bCs/>
                <w:color w:val="000000"/>
                <w:lang w:eastAsia="en-IE"/>
              </w:rPr>
            </w:pPr>
            <w:r w:rsidRPr="007F3FAA">
              <w:rPr>
                <w:rFonts w:ascii="Calibri" w:eastAsia="Times New Roman" w:hAnsi="Calibri" w:cs="Times New Roman"/>
                <w:b/>
                <w:bCs/>
                <w:color w:val="000000"/>
                <w:lang w:eastAsia="en-IE"/>
              </w:rPr>
              <w:t>Gender</w:t>
            </w:r>
          </w:p>
        </w:tc>
      </w:tr>
      <w:tr w:rsidR="007F3FAA" w:rsidRPr="007F3FAA" w14:paraId="0DCFB301" w14:textId="77777777" w:rsidTr="003A33C9">
        <w:trPr>
          <w:trHeight w:val="300"/>
        </w:trPr>
        <w:tc>
          <w:tcPr>
            <w:tcW w:w="2828" w:type="dxa"/>
            <w:tcBorders>
              <w:top w:val="nil"/>
              <w:left w:val="single" w:sz="4" w:space="0" w:color="auto"/>
              <w:bottom w:val="nil"/>
              <w:right w:val="single" w:sz="4" w:space="0" w:color="auto"/>
            </w:tcBorders>
            <w:shd w:val="clear" w:color="auto" w:fill="auto"/>
            <w:noWrap/>
            <w:vAlign w:val="bottom"/>
            <w:hideMark/>
          </w:tcPr>
          <w:p w14:paraId="4A5DA1F2"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 </w:t>
            </w:r>
          </w:p>
        </w:tc>
        <w:tc>
          <w:tcPr>
            <w:tcW w:w="777" w:type="dxa"/>
            <w:tcBorders>
              <w:top w:val="nil"/>
              <w:left w:val="nil"/>
              <w:bottom w:val="single" w:sz="4" w:space="0" w:color="auto"/>
              <w:right w:val="nil"/>
            </w:tcBorders>
            <w:shd w:val="clear" w:color="auto" w:fill="auto"/>
            <w:noWrap/>
            <w:vAlign w:val="bottom"/>
            <w:hideMark/>
          </w:tcPr>
          <w:p w14:paraId="051A92D1"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Male</w:t>
            </w:r>
          </w:p>
        </w:tc>
        <w:tc>
          <w:tcPr>
            <w:tcW w:w="1111" w:type="dxa"/>
            <w:tcBorders>
              <w:top w:val="nil"/>
              <w:left w:val="nil"/>
              <w:bottom w:val="single" w:sz="4" w:space="0" w:color="auto"/>
              <w:right w:val="single" w:sz="4" w:space="0" w:color="auto"/>
            </w:tcBorders>
            <w:shd w:val="clear" w:color="auto" w:fill="auto"/>
            <w:noWrap/>
            <w:vAlign w:val="bottom"/>
            <w:hideMark/>
          </w:tcPr>
          <w:p w14:paraId="677EFD7E"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Female</w:t>
            </w:r>
          </w:p>
        </w:tc>
      </w:tr>
      <w:tr w:rsidR="007F3FAA" w:rsidRPr="007F3FAA" w14:paraId="04D94498" w14:textId="77777777" w:rsidTr="003A33C9">
        <w:trPr>
          <w:trHeight w:val="289"/>
        </w:trPr>
        <w:tc>
          <w:tcPr>
            <w:tcW w:w="2828" w:type="dxa"/>
            <w:tcBorders>
              <w:top w:val="single" w:sz="4" w:space="0" w:color="auto"/>
              <w:left w:val="single" w:sz="4" w:space="0" w:color="auto"/>
              <w:bottom w:val="nil"/>
              <w:right w:val="single" w:sz="4" w:space="0" w:color="auto"/>
            </w:tcBorders>
            <w:shd w:val="clear" w:color="000000" w:fill="D9D9D9"/>
            <w:noWrap/>
            <w:vAlign w:val="bottom"/>
            <w:hideMark/>
          </w:tcPr>
          <w:p w14:paraId="7412D3E0"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2016 Total Registered %</w:t>
            </w:r>
          </w:p>
        </w:tc>
        <w:tc>
          <w:tcPr>
            <w:tcW w:w="777" w:type="dxa"/>
            <w:tcBorders>
              <w:top w:val="nil"/>
              <w:left w:val="nil"/>
              <w:bottom w:val="nil"/>
              <w:right w:val="nil"/>
            </w:tcBorders>
            <w:shd w:val="clear" w:color="000000" w:fill="D9D9D9"/>
            <w:noWrap/>
            <w:vAlign w:val="bottom"/>
            <w:hideMark/>
          </w:tcPr>
          <w:p w14:paraId="11572027"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64%</w:t>
            </w:r>
          </w:p>
        </w:tc>
        <w:tc>
          <w:tcPr>
            <w:tcW w:w="1111" w:type="dxa"/>
            <w:tcBorders>
              <w:top w:val="nil"/>
              <w:left w:val="nil"/>
              <w:bottom w:val="nil"/>
              <w:right w:val="single" w:sz="4" w:space="0" w:color="auto"/>
            </w:tcBorders>
            <w:shd w:val="clear" w:color="000000" w:fill="D9D9D9"/>
            <w:noWrap/>
            <w:vAlign w:val="bottom"/>
            <w:hideMark/>
          </w:tcPr>
          <w:p w14:paraId="567941AC"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36%</w:t>
            </w:r>
          </w:p>
        </w:tc>
      </w:tr>
      <w:tr w:rsidR="007F3FAA" w:rsidRPr="007F3FAA" w14:paraId="1C2D5F41" w14:textId="77777777" w:rsidTr="003A33C9">
        <w:trPr>
          <w:trHeight w:val="289"/>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14:paraId="1E293E48"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2016 Total Completed %</w:t>
            </w:r>
          </w:p>
        </w:tc>
        <w:tc>
          <w:tcPr>
            <w:tcW w:w="777" w:type="dxa"/>
            <w:tcBorders>
              <w:top w:val="nil"/>
              <w:left w:val="nil"/>
              <w:bottom w:val="single" w:sz="4" w:space="0" w:color="auto"/>
              <w:right w:val="nil"/>
            </w:tcBorders>
            <w:shd w:val="clear" w:color="auto" w:fill="auto"/>
            <w:noWrap/>
            <w:vAlign w:val="bottom"/>
            <w:hideMark/>
          </w:tcPr>
          <w:p w14:paraId="2F471970"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51%</w:t>
            </w:r>
          </w:p>
        </w:tc>
        <w:tc>
          <w:tcPr>
            <w:tcW w:w="1111" w:type="dxa"/>
            <w:tcBorders>
              <w:top w:val="nil"/>
              <w:left w:val="nil"/>
              <w:bottom w:val="single" w:sz="4" w:space="0" w:color="auto"/>
              <w:right w:val="single" w:sz="4" w:space="0" w:color="auto"/>
            </w:tcBorders>
            <w:shd w:val="clear" w:color="auto" w:fill="auto"/>
            <w:noWrap/>
            <w:vAlign w:val="bottom"/>
            <w:hideMark/>
          </w:tcPr>
          <w:p w14:paraId="55A7A9E3"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47%</w:t>
            </w:r>
          </w:p>
        </w:tc>
      </w:tr>
      <w:tr w:rsidR="007F3FAA" w:rsidRPr="007F3FAA" w14:paraId="60767003" w14:textId="77777777" w:rsidTr="003A33C9">
        <w:trPr>
          <w:trHeight w:val="289"/>
        </w:trPr>
        <w:tc>
          <w:tcPr>
            <w:tcW w:w="2828" w:type="dxa"/>
            <w:tcBorders>
              <w:top w:val="nil"/>
              <w:left w:val="single" w:sz="4" w:space="0" w:color="auto"/>
              <w:bottom w:val="nil"/>
              <w:right w:val="single" w:sz="4" w:space="0" w:color="auto"/>
            </w:tcBorders>
            <w:shd w:val="clear" w:color="000000" w:fill="D9D9D9"/>
            <w:noWrap/>
            <w:vAlign w:val="bottom"/>
            <w:hideMark/>
          </w:tcPr>
          <w:p w14:paraId="13AC08C6"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2017 Total Registered %</w:t>
            </w:r>
          </w:p>
        </w:tc>
        <w:tc>
          <w:tcPr>
            <w:tcW w:w="777" w:type="dxa"/>
            <w:tcBorders>
              <w:top w:val="nil"/>
              <w:left w:val="nil"/>
              <w:bottom w:val="nil"/>
              <w:right w:val="nil"/>
            </w:tcBorders>
            <w:shd w:val="clear" w:color="000000" w:fill="D9D9D9"/>
            <w:noWrap/>
            <w:vAlign w:val="bottom"/>
            <w:hideMark/>
          </w:tcPr>
          <w:p w14:paraId="49D94455"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29%</w:t>
            </w:r>
          </w:p>
        </w:tc>
        <w:tc>
          <w:tcPr>
            <w:tcW w:w="1111" w:type="dxa"/>
            <w:tcBorders>
              <w:top w:val="nil"/>
              <w:left w:val="nil"/>
              <w:bottom w:val="nil"/>
              <w:right w:val="single" w:sz="4" w:space="0" w:color="auto"/>
            </w:tcBorders>
            <w:shd w:val="clear" w:color="000000" w:fill="D9D9D9"/>
            <w:noWrap/>
            <w:vAlign w:val="bottom"/>
            <w:hideMark/>
          </w:tcPr>
          <w:p w14:paraId="2F1F57C2"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71%</w:t>
            </w:r>
          </w:p>
        </w:tc>
      </w:tr>
      <w:tr w:rsidR="007F3FAA" w:rsidRPr="007F3FAA" w14:paraId="2EC4BB12" w14:textId="77777777" w:rsidTr="003A33C9">
        <w:trPr>
          <w:trHeight w:val="289"/>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14:paraId="3AB40852"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2017 Total Completed %</w:t>
            </w:r>
          </w:p>
        </w:tc>
        <w:tc>
          <w:tcPr>
            <w:tcW w:w="777" w:type="dxa"/>
            <w:tcBorders>
              <w:top w:val="nil"/>
              <w:left w:val="nil"/>
              <w:bottom w:val="single" w:sz="4" w:space="0" w:color="auto"/>
              <w:right w:val="nil"/>
            </w:tcBorders>
            <w:shd w:val="clear" w:color="auto" w:fill="auto"/>
            <w:noWrap/>
            <w:vAlign w:val="bottom"/>
            <w:hideMark/>
          </w:tcPr>
          <w:p w14:paraId="27AFF47A"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37%</w:t>
            </w:r>
          </w:p>
        </w:tc>
        <w:tc>
          <w:tcPr>
            <w:tcW w:w="1111" w:type="dxa"/>
            <w:tcBorders>
              <w:top w:val="nil"/>
              <w:left w:val="nil"/>
              <w:bottom w:val="single" w:sz="4" w:space="0" w:color="auto"/>
              <w:right w:val="single" w:sz="4" w:space="0" w:color="auto"/>
            </w:tcBorders>
            <w:shd w:val="clear" w:color="auto" w:fill="auto"/>
            <w:noWrap/>
            <w:vAlign w:val="bottom"/>
            <w:hideMark/>
          </w:tcPr>
          <w:p w14:paraId="2442B920"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63%</w:t>
            </w:r>
          </w:p>
        </w:tc>
      </w:tr>
      <w:tr w:rsidR="007F3FAA" w:rsidRPr="007F3FAA" w14:paraId="5C100B3D" w14:textId="77777777" w:rsidTr="003A33C9">
        <w:trPr>
          <w:trHeight w:val="289"/>
        </w:trPr>
        <w:tc>
          <w:tcPr>
            <w:tcW w:w="2828" w:type="dxa"/>
            <w:tcBorders>
              <w:top w:val="nil"/>
              <w:left w:val="single" w:sz="4" w:space="0" w:color="auto"/>
              <w:bottom w:val="nil"/>
              <w:right w:val="single" w:sz="4" w:space="0" w:color="auto"/>
            </w:tcBorders>
            <w:shd w:val="clear" w:color="000000" w:fill="D9D9D9"/>
            <w:noWrap/>
            <w:vAlign w:val="bottom"/>
            <w:hideMark/>
          </w:tcPr>
          <w:p w14:paraId="4C496F17"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2018 Total Registered %</w:t>
            </w:r>
          </w:p>
        </w:tc>
        <w:tc>
          <w:tcPr>
            <w:tcW w:w="777" w:type="dxa"/>
            <w:tcBorders>
              <w:top w:val="nil"/>
              <w:left w:val="nil"/>
              <w:bottom w:val="nil"/>
              <w:right w:val="nil"/>
            </w:tcBorders>
            <w:shd w:val="clear" w:color="000000" w:fill="D9D9D9"/>
            <w:noWrap/>
            <w:vAlign w:val="bottom"/>
            <w:hideMark/>
          </w:tcPr>
          <w:p w14:paraId="38379F1F"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55%</w:t>
            </w:r>
          </w:p>
        </w:tc>
        <w:tc>
          <w:tcPr>
            <w:tcW w:w="1111" w:type="dxa"/>
            <w:tcBorders>
              <w:top w:val="nil"/>
              <w:left w:val="nil"/>
              <w:bottom w:val="nil"/>
              <w:right w:val="single" w:sz="4" w:space="0" w:color="auto"/>
            </w:tcBorders>
            <w:shd w:val="clear" w:color="000000" w:fill="D9D9D9"/>
            <w:noWrap/>
            <w:vAlign w:val="bottom"/>
            <w:hideMark/>
          </w:tcPr>
          <w:p w14:paraId="48E032F7"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45%</w:t>
            </w:r>
          </w:p>
        </w:tc>
      </w:tr>
      <w:tr w:rsidR="007F3FAA" w:rsidRPr="007F3FAA" w14:paraId="6C7F73F9" w14:textId="77777777" w:rsidTr="003A33C9">
        <w:trPr>
          <w:trHeight w:val="289"/>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14:paraId="6E8C175F"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2018 Total Completed %</w:t>
            </w:r>
          </w:p>
        </w:tc>
        <w:tc>
          <w:tcPr>
            <w:tcW w:w="777" w:type="dxa"/>
            <w:tcBorders>
              <w:top w:val="nil"/>
              <w:left w:val="nil"/>
              <w:bottom w:val="single" w:sz="4" w:space="0" w:color="auto"/>
              <w:right w:val="nil"/>
            </w:tcBorders>
            <w:shd w:val="clear" w:color="auto" w:fill="auto"/>
            <w:noWrap/>
            <w:vAlign w:val="bottom"/>
            <w:hideMark/>
          </w:tcPr>
          <w:p w14:paraId="0F698D27"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50%</w:t>
            </w:r>
          </w:p>
        </w:tc>
        <w:tc>
          <w:tcPr>
            <w:tcW w:w="1111" w:type="dxa"/>
            <w:tcBorders>
              <w:top w:val="nil"/>
              <w:left w:val="nil"/>
              <w:bottom w:val="single" w:sz="4" w:space="0" w:color="auto"/>
              <w:right w:val="single" w:sz="4" w:space="0" w:color="auto"/>
            </w:tcBorders>
            <w:shd w:val="clear" w:color="auto" w:fill="auto"/>
            <w:noWrap/>
            <w:vAlign w:val="bottom"/>
            <w:hideMark/>
          </w:tcPr>
          <w:p w14:paraId="5F58CB63"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50%</w:t>
            </w:r>
          </w:p>
        </w:tc>
      </w:tr>
    </w:tbl>
    <w:p w14:paraId="7090FD95" w14:textId="77777777" w:rsidR="007F3FAA" w:rsidRPr="007F3FAA" w:rsidRDefault="007F3FAA" w:rsidP="007F3FAA">
      <w:pPr>
        <w:rPr>
          <w:rFonts w:ascii="Arial" w:eastAsia="Times New Roman" w:hAnsi="Arial" w:cs="Arial"/>
          <w:sz w:val="24"/>
          <w:szCs w:val="24"/>
          <w:lang w:eastAsia="en-IE"/>
        </w:rPr>
      </w:pPr>
    </w:p>
    <w:tbl>
      <w:tblPr>
        <w:tblW w:w="8476" w:type="dxa"/>
        <w:tblInd w:w="108" w:type="dxa"/>
        <w:tblLook w:val="04A0" w:firstRow="1" w:lastRow="0" w:firstColumn="1" w:lastColumn="0" w:noHBand="0" w:noVBand="1"/>
      </w:tblPr>
      <w:tblGrid>
        <w:gridCol w:w="2828"/>
        <w:gridCol w:w="893"/>
        <w:gridCol w:w="884"/>
        <w:gridCol w:w="884"/>
        <w:gridCol w:w="884"/>
        <w:gridCol w:w="884"/>
        <w:gridCol w:w="1219"/>
      </w:tblGrid>
      <w:tr w:rsidR="007F3FAA" w:rsidRPr="007F3FAA" w14:paraId="4255FD1A" w14:textId="77777777" w:rsidTr="003A33C9">
        <w:trPr>
          <w:trHeight w:val="289"/>
        </w:trPr>
        <w:tc>
          <w:tcPr>
            <w:tcW w:w="2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D2D27"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 </w:t>
            </w:r>
          </w:p>
        </w:tc>
        <w:tc>
          <w:tcPr>
            <w:tcW w:w="5648"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299D38F" w14:textId="77777777" w:rsidR="007F3FAA" w:rsidRPr="007F3FAA" w:rsidRDefault="007F3FAA" w:rsidP="007F3FAA">
            <w:pPr>
              <w:spacing w:after="0" w:line="240" w:lineRule="auto"/>
              <w:jc w:val="center"/>
              <w:rPr>
                <w:rFonts w:ascii="Calibri" w:eastAsia="Times New Roman" w:hAnsi="Calibri" w:cs="Times New Roman"/>
                <w:b/>
                <w:bCs/>
                <w:color w:val="000000"/>
                <w:lang w:eastAsia="en-IE"/>
              </w:rPr>
            </w:pPr>
            <w:r w:rsidRPr="007F3FAA">
              <w:rPr>
                <w:rFonts w:ascii="Calibri" w:eastAsia="Times New Roman" w:hAnsi="Calibri" w:cs="Times New Roman"/>
                <w:b/>
                <w:bCs/>
                <w:color w:val="000000"/>
                <w:lang w:eastAsia="en-IE"/>
              </w:rPr>
              <w:t>Age</w:t>
            </w:r>
          </w:p>
        </w:tc>
      </w:tr>
      <w:tr w:rsidR="007F3FAA" w:rsidRPr="007F3FAA" w14:paraId="0D8DB128" w14:textId="77777777" w:rsidTr="003A33C9">
        <w:trPr>
          <w:trHeight w:val="300"/>
        </w:trPr>
        <w:tc>
          <w:tcPr>
            <w:tcW w:w="2828" w:type="dxa"/>
            <w:tcBorders>
              <w:top w:val="nil"/>
              <w:left w:val="single" w:sz="4" w:space="0" w:color="auto"/>
              <w:bottom w:val="nil"/>
              <w:right w:val="single" w:sz="4" w:space="0" w:color="auto"/>
            </w:tcBorders>
            <w:shd w:val="clear" w:color="auto" w:fill="auto"/>
            <w:noWrap/>
            <w:vAlign w:val="bottom"/>
            <w:hideMark/>
          </w:tcPr>
          <w:p w14:paraId="77DB945A"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 </w:t>
            </w:r>
          </w:p>
        </w:tc>
        <w:tc>
          <w:tcPr>
            <w:tcW w:w="893" w:type="dxa"/>
            <w:tcBorders>
              <w:top w:val="nil"/>
              <w:left w:val="nil"/>
              <w:bottom w:val="single" w:sz="4" w:space="0" w:color="auto"/>
              <w:right w:val="nil"/>
            </w:tcBorders>
            <w:shd w:val="clear" w:color="auto" w:fill="auto"/>
            <w:noWrap/>
            <w:vAlign w:val="bottom"/>
            <w:hideMark/>
          </w:tcPr>
          <w:p w14:paraId="3DD72C98"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20-29</w:t>
            </w:r>
          </w:p>
        </w:tc>
        <w:tc>
          <w:tcPr>
            <w:tcW w:w="884" w:type="dxa"/>
            <w:tcBorders>
              <w:top w:val="nil"/>
              <w:left w:val="nil"/>
              <w:bottom w:val="single" w:sz="4" w:space="0" w:color="auto"/>
              <w:right w:val="nil"/>
            </w:tcBorders>
            <w:shd w:val="clear" w:color="auto" w:fill="auto"/>
            <w:noWrap/>
            <w:vAlign w:val="bottom"/>
            <w:hideMark/>
          </w:tcPr>
          <w:p w14:paraId="02D68C47"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30-39</w:t>
            </w:r>
          </w:p>
        </w:tc>
        <w:tc>
          <w:tcPr>
            <w:tcW w:w="884" w:type="dxa"/>
            <w:tcBorders>
              <w:top w:val="nil"/>
              <w:left w:val="nil"/>
              <w:bottom w:val="single" w:sz="4" w:space="0" w:color="auto"/>
              <w:right w:val="nil"/>
            </w:tcBorders>
            <w:shd w:val="clear" w:color="auto" w:fill="auto"/>
            <w:noWrap/>
            <w:vAlign w:val="bottom"/>
            <w:hideMark/>
          </w:tcPr>
          <w:p w14:paraId="7BD03716"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40-49</w:t>
            </w:r>
          </w:p>
        </w:tc>
        <w:tc>
          <w:tcPr>
            <w:tcW w:w="884" w:type="dxa"/>
            <w:tcBorders>
              <w:top w:val="nil"/>
              <w:left w:val="nil"/>
              <w:bottom w:val="single" w:sz="4" w:space="0" w:color="auto"/>
              <w:right w:val="nil"/>
            </w:tcBorders>
            <w:shd w:val="clear" w:color="auto" w:fill="auto"/>
            <w:noWrap/>
            <w:vAlign w:val="bottom"/>
            <w:hideMark/>
          </w:tcPr>
          <w:p w14:paraId="7DDE4924"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50-59</w:t>
            </w:r>
          </w:p>
        </w:tc>
        <w:tc>
          <w:tcPr>
            <w:tcW w:w="884" w:type="dxa"/>
            <w:tcBorders>
              <w:top w:val="nil"/>
              <w:left w:val="nil"/>
              <w:bottom w:val="single" w:sz="4" w:space="0" w:color="auto"/>
              <w:right w:val="nil"/>
            </w:tcBorders>
            <w:shd w:val="clear" w:color="auto" w:fill="auto"/>
            <w:noWrap/>
            <w:vAlign w:val="bottom"/>
            <w:hideMark/>
          </w:tcPr>
          <w:p w14:paraId="53A8EE7A"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60-69</w:t>
            </w:r>
          </w:p>
        </w:tc>
        <w:tc>
          <w:tcPr>
            <w:tcW w:w="1219" w:type="dxa"/>
            <w:tcBorders>
              <w:top w:val="nil"/>
              <w:left w:val="nil"/>
              <w:bottom w:val="single" w:sz="4" w:space="0" w:color="auto"/>
              <w:right w:val="single" w:sz="4" w:space="0" w:color="auto"/>
            </w:tcBorders>
            <w:shd w:val="clear" w:color="auto" w:fill="auto"/>
            <w:noWrap/>
            <w:vAlign w:val="bottom"/>
            <w:hideMark/>
          </w:tcPr>
          <w:p w14:paraId="12D196AA"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Over 70</w:t>
            </w:r>
          </w:p>
        </w:tc>
      </w:tr>
      <w:tr w:rsidR="007F3FAA" w:rsidRPr="007F3FAA" w14:paraId="4D24FF30" w14:textId="77777777" w:rsidTr="003A33C9">
        <w:trPr>
          <w:trHeight w:val="289"/>
        </w:trPr>
        <w:tc>
          <w:tcPr>
            <w:tcW w:w="2828" w:type="dxa"/>
            <w:tcBorders>
              <w:top w:val="single" w:sz="4" w:space="0" w:color="auto"/>
              <w:left w:val="single" w:sz="4" w:space="0" w:color="auto"/>
              <w:bottom w:val="nil"/>
              <w:right w:val="single" w:sz="4" w:space="0" w:color="auto"/>
            </w:tcBorders>
            <w:shd w:val="clear" w:color="000000" w:fill="D9D9D9"/>
            <w:noWrap/>
            <w:vAlign w:val="bottom"/>
            <w:hideMark/>
          </w:tcPr>
          <w:p w14:paraId="0FD20441"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2016 Total Registered %</w:t>
            </w:r>
          </w:p>
        </w:tc>
        <w:tc>
          <w:tcPr>
            <w:tcW w:w="893" w:type="dxa"/>
            <w:tcBorders>
              <w:top w:val="nil"/>
              <w:left w:val="nil"/>
              <w:bottom w:val="nil"/>
              <w:right w:val="nil"/>
            </w:tcBorders>
            <w:shd w:val="clear" w:color="000000" w:fill="D9D9D9"/>
            <w:noWrap/>
            <w:vAlign w:val="bottom"/>
            <w:hideMark/>
          </w:tcPr>
          <w:p w14:paraId="06F9F859"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23%</w:t>
            </w:r>
          </w:p>
        </w:tc>
        <w:tc>
          <w:tcPr>
            <w:tcW w:w="884" w:type="dxa"/>
            <w:tcBorders>
              <w:top w:val="nil"/>
              <w:left w:val="nil"/>
              <w:bottom w:val="nil"/>
              <w:right w:val="nil"/>
            </w:tcBorders>
            <w:shd w:val="clear" w:color="000000" w:fill="D9D9D9"/>
            <w:noWrap/>
            <w:vAlign w:val="bottom"/>
            <w:hideMark/>
          </w:tcPr>
          <w:p w14:paraId="3EB933CA"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38%</w:t>
            </w:r>
          </w:p>
        </w:tc>
        <w:tc>
          <w:tcPr>
            <w:tcW w:w="884" w:type="dxa"/>
            <w:tcBorders>
              <w:top w:val="nil"/>
              <w:left w:val="nil"/>
              <w:bottom w:val="nil"/>
              <w:right w:val="nil"/>
            </w:tcBorders>
            <w:shd w:val="clear" w:color="000000" w:fill="D9D9D9"/>
            <w:noWrap/>
            <w:vAlign w:val="bottom"/>
            <w:hideMark/>
          </w:tcPr>
          <w:p w14:paraId="6204B4D5"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25%</w:t>
            </w:r>
          </w:p>
        </w:tc>
        <w:tc>
          <w:tcPr>
            <w:tcW w:w="884" w:type="dxa"/>
            <w:tcBorders>
              <w:top w:val="nil"/>
              <w:left w:val="nil"/>
              <w:bottom w:val="nil"/>
              <w:right w:val="nil"/>
            </w:tcBorders>
            <w:shd w:val="clear" w:color="000000" w:fill="D9D9D9"/>
            <w:noWrap/>
            <w:vAlign w:val="bottom"/>
            <w:hideMark/>
          </w:tcPr>
          <w:p w14:paraId="699A3128"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11%</w:t>
            </w:r>
          </w:p>
        </w:tc>
        <w:tc>
          <w:tcPr>
            <w:tcW w:w="884" w:type="dxa"/>
            <w:tcBorders>
              <w:top w:val="nil"/>
              <w:left w:val="nil"/>
              <w:bottom w:val="nil"/>
              <w:right w:val="nil"/>
            </w:tcBorders>
            <w:shd w:val="clear" w:color="000000" w:fill="D9D9D9"/>
            <w:noWrap/>
            <w:vAlign w:val="bottom"/>
            <w:hideMark/>
          </w:tcPr>
          <w:p w14:paraId="5B5CCD4E"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w:t>
            </w:r>
          </w:p>
        </w:tc>
        <w:tc>
          <w:tcPr>
            <w:tcW w:w="1219" w:type="dxa"/>
            <w:tcBorders>
              <w:top w:val="nil"/>
              <w:left w:val="nil"/>
              <w:bottom w:val="nil"/>
              <w:right w:val="single" w:sz="4" w:space="0" w:color="auto"/>
            </w:tcBorders>
            <w:shd w:val="clear" w:color="000000" w:fill="D9D9D9"/>
            <w:noWrap/>
            <w:vAlign w:val="bottom"/>
            <w:hideMark/>
          </w:tcPr>
          <w:p w14:paraId="123D1A42"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0%</w:t>
            </w:r>
          </w:p>
        </w:tc>
      </w:tr>
      <w:tr w:rsidR="007F3FAA" w:rsidRPr="007F3FAA" w14:paraId="7DEC9C12" w14:textId="77777777" w:rsidTr="003A33C9">
        <w:trPr>
          <w:trHeight w:val="289"/>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14:paraId="1F5EAA88"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2016 Total Completed %</w:t>
            </w:r>
          </w:p>
        </w:tc>
        <w:tc>
          <w:tcPr>
            <w:tcW w:w="893" w:type="dxa"/>
            <w:tcBorders>
              <w:top w:val="nil"/>
              <w:left w:val="nil"/>
              <w:bottom w:val="single" w:sz="4" w:space="0" w:color="auto"/>
              <w:right w:val="nil"/>
            </w:tcBorders>
            <w:shd w:val="clear" w:color="auto" w:fill="auto"/>
            <w:noWrap/>
            <w:vAlign w:val="bottom"/>
            <w:hideMark/>
          </w:tcPr>
          <w:p w14:paraId="0DC0F1EF"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22%</w:t>
            </w:r>
          </w:p>
        </w:tc>
        <w:tc>
          <w:tcPr>
            <w:tcW w:w="884" w:type="dxa"/>
            <w:tcBorders>
              <w:top w:val="nil"/>
              <w:left w:val="nil"/>
              <w:bottom w:val="single" w:sz="4" w:space="0" w:color="auto"/>
              <w:right w:val="nil"/>
            </w:tcBorders>
            <w:shd w:val="clear" w:color="auto" w:fill="auto"/>
            <w:noWrap/>
            <w:vAlign w:val="bottom"/>
            <w:hideMark/>
          </w:tcPr>
          <w:p w14:paraId="3E0E1F16"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39%</w:t>
            </w:r>
          </w:p>
        </w:tc>
        <w:tc>
          <w:tcPr>
            <w:tcW w:w="884" w:type="dxa"/>
            <w:tcBorders>
              <w:top w:val="nil"/>
              <w:left w:val="nil"/>
              <w:bottom w:val="single" w:sz="4" w:space="0" w:color="auto"/>
              <w:right w:val="nil"/>
            </w:tcBorders>
            <w:shd w:val="clear" w:color="auto" w:fill="auto"/>
            <w:noWrap/>
            <w:vAlign w:val="bottom"/>
            <w:hideMark/>
          </w:tcPr>
          <w:p w14:paraId="3ECB70D9"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22%</w:t>
            </w:r>
          </w:p>
        </w:tc>
        <w:tc>
          <w:tcPr>
            <w:tcW w:w="884" w:type="dxa"/>
            <w:tcBorders>
              <w:top w:val="nil"/>
              <w:left w:val="nil"/>
              <w:bottom w:val="single" w:sz="4" w:space="0" w:color="auto"/>
              <w:right w:val="nil"/>
            </w:tcBorders>
            <w:shd w:val="clear" w:color="auto" w:fill="auto"/>
            <w:noWrap/>
            <w:vAlign w:val="bottom"/>
            <w:hideMark/>
          </w:tcPr>
          <w:p w14:paraId="1DB51737"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11%</w:t>
            </w:r>
          </w:p>
        </w:tc>
        <w:tc>
          <w:tcPr>
            <w:tcW w:w="884" w:type="dxa"/>
            <w:tcBorders>
              <w:top w:val="nil"/>
              <w:left w:val="nil"/>
              <w:bottom w:val="single" w:sz="4" w:space="0" w:color="auto"/>
              <w:right w:val="nil"/>
            </w:tcBorders>
            <w:shd w:val="clear" w:color="auto" w:fill="auto"/>
            <w:noWrap/>
            <w:vAlign w:val="bottom"/>
            <w:hideMark/>
          </w:tcPr>
          <w:p w14:paraId="47485F6A"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6%</w:t>
            </w:r>
          </w:p>
        </w:tc>
        <w:tc>
          <w:tcPr>
            <w:tcW w:w="1219" w:type="dxa"/>
            <w:tcBorders>
              <w:top w:val="nil"/>
              <w:left w:val="nil"/>
              <w:bottom w:val="single" w:sz="4" w:space="0" w:color="auto"/>
              <w:right w:val="single" w:sz="4" w:space="0" w:color="auto"/>
            </w:tcBorders>
            <w:shd w:val="clear" w:color="auto" w:fill="auto"/>
            <w:noWrap/>
            <w:vAlign w:val="bottom"/>
            <w:hideMark/>
          </w:tcPr>
          <w:p w14:paraId="3E813575"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 </w:t>
            </w:r>
          </w:p>
        </w:tc>
      </w:tr>
      <w:tr w:rsidR="007F3FAA" w:rsidRPr="007F3FAA" w14:paraId="438FAF71" w14:textId="77777777" w:rsidTr="003A33C9">
        <w:trPr>
          <w:trHeight w:val="289"/>
        </w:trPr>
        <w:tc>
          <w:tcPr>
            <w:tcW w:w="2828" w:type="dxa"/>
            <w:tcBorders>
              <w:top w:val="nil"/>
              <w:left w:val="single" w:sz="4" w:space="0" w:color="auto"/>
              <w:bottom w:val="nil"/>
              <w:right w:val="single" w:sz="4" w:space="0" w:color="auto"/>
            </w:tcBorders>
            <w:shd w:val="clear" w:color="000000" w:fill="D9D9D9"/>
            <w:noWrap/>
            <w:vAlign w:val="bottom"/>
            <w:hideMark/>
          </w:tcPr>
          <w:p w14:paraId="792C652F"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2017 Total Registered %</w:t>
            </w:r>
          </w:p>
        </w:tc>
        <w:tc>
          <w:tcPr>
            <w:tcW w:w="893" w:type="dxa"/>
            <w:tcBorders>
              <w:top w:val="nil"/>
              <w:left w:val="nil"/>
              <w:bottom w:val="nil"/>
              <w:right w:val="nil"/>
            </w:tcBorders>
            <w:shd w:val="clear" w:color="000000" w:fill="D9D9D9"/>
            <w:noWrap/>
            <w:vAlign w:val="bottom"/>
            <w:hideMark/>
          </w:tcPr>
          <w:p w14:paraId="3732A5A6"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24%</w:t>
            </w:r>
          </w:p>
        </w:tc>
        <w:tc>
          <w:tcPr>
            <w:tcW w:w="884" w:type="dxa"/>
            <w:tcBorders>
              <w:top w:val="nil"/>
              <w:left w:val="nil"/>
              <w:bottom w:val="nil"/>
              <w:right w:val="nil"/>
            </w:tcBorders>
            <w:shd w:val="clear" w:color="000000" w:fill="D9D9D9"/>
            <w:noWrap/>
            <w:vAlign w:val="bottom"/>
            <w:hideMark/>
          </w:tcPr>
          <w:p w14:paraId="2D09A899"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37%</w:t>
            </w:r>
          </w:p>
        </w:tc>
        <w:tc>
          <w:tcPr>
            <w:tcW w:w="884" w:type="dxa"/>
            <w:tcBorders>
              <w:top w:val="nil"/>
              <w:left w:val="nil"/>
              <w:bottom w:val="nil"/>
              <w:right w:val="nil"/>
            </w:tcBorders>
            <w:shd w:val="clear" w:color="000000" w:fill="D9D9D9"/>
            <w:noWrap/>
            <w:vAlign w:val="bottom"/>
            <w:hideMark/>
          </w:tcPr>
          <w:p w14:paraId="6695C082"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25%</w:t>
            </w:r>
          </w:p>
        </w:tc>
        <w:tc>
          <w:tcPr>
            <w:tcW w:w="884" w:type="dxa"/>
            <w:tcBorders>
              <w:top w:val="nil"/>
              <w:left w:val="nil"/>
              <w:bottom w:val="nil"/>
              <w:right w:val="nil"/>
            </w:tcBorders>
            <w:shd w:val="clear" w:color="000000" w:fill="D9D9D9"/>
            <w:noWrap/>
            <w:vAlign w:val="bottom"/>
            <w:hideMark/>
          </w:tcPr>
          <w:p w14:paraId="1A072DA5"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12%</w:t>
            </w:r>
          </w:p>
        </w:tc>
        <w:tc>
          <w:tcPr>
            <w:tcW w:w="884" w:type="dxa"/>
            <w:tcBorders>
              <w:top w:val="nil"/>
              <w:left w:val="nil"/>
              <w:bottom w:val="nil"/>
              <w:right w:val="nil"/>
            </w:tcBorders>
            <w:shd w:val="clear" w:color="000000" w:fill="D9D9D9"/>
            <w:noWrap/>
            <w:vAlign w:val="bottom"/>
            <w:hideMark/>
          </w:tcPr>
          <w:p w14:paraId="206ED46E"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w:t>
            </w:r>
          </w:p>
        </w:tc>
        <w:tc>
          <w:tcPr>
            <w:tcW w:w="1219" w:type="dxa"/>
            <w:tcBorders>
              <w:top w:val="nil"/>
              <w:left w:val="nil"/>
              <w:bottom w:val="nil"/>
              <w:right w:val="single" w:sz="4" w:space="0" w:color="auto"/>
            </w:tcBorders>
            <w:shd w:val="clear" w:color="000000" w:fill="D9D9D9"/>
            <w:noWrap/>
            <w:vAlign w:val="bottom"/>
            <w:hideMark/>
          </w:tcPr>
          <w:p w14:paraId="56D8505C"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0%</w:t>
            </w:r>
          </w:p>
        </w:tc>
      </w:tr>
      <w:tr w:rsidR="007F3FAA" w:rsidRPr="007F3FAA" w14:paraId="3F7441DF" w14:textId="77777777" w:rsidTr="003A33C9">
        <w:trPr>
          <w:trHeight w:val="289"/>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14:paraId="7A4A499B"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2017 Total Completed %</w:t>
            </w:r>
          </w:p>
        </w:tc>
        <w:tc>
          <w:tcPr>
            <w:tcW w:w="893" w:type="dxa"/>
            <w:tcBorders>
              <w:top w:val="nil"/>
              <w:left w:val="nil"/>
              <w:bottom w:val="single" w:sz="4" w:space="0" w:color="auto"/>
              <w:right w:val="nil"/>
            </w:tcBorders>
            <w:shd w:val="clear" w:color="auto" w:fill="auto"/>
            <w:noWrap/>
            <w:vAlign w:val="bottom"/>
            <w:hideMark/>
          </w:tcPr>
          <w:p w14:paraId="0EF6AB0F"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24%</w:t>
            </w:r>
          </w:p>
        </w:tc>
        <w:tc>
          <w:tcPr>
            <w:tcW w:w="884" w:type="dxa"/>
            <w:tcBorders>
              <w:top w:val="nil"/>
              <w:left w:val="nil"/>
              <w:bottom w:val="single" w:sz="4" w:space="0" w:color="auto"/>
              <w:right w:val="nil"/>
            </w:tcBorders>
            <w:shd w:val="clear" w:color="auto" w:fill="auto"/>
            <w:noWrap/>
            <w:vAlign w:val="bottom"/>
            <w:hideMark/>
          </w:tcPr>
          <w:p w14:paraId="280D1992"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39%</w:t>
            </w:r>
          </w:p>
        </w:tc>
        <w:tc>
          <w:tcPr>
            <w:tcW w:w="884" w:type="dxa"/>
            <w:tcBorders>
              <w:top w:val="nil"/>
              <w:left w:val="nil"/>
              <w:bottom w:val="single" w:sz="4" w:space="0" w:color="auto"/>
              <w:right w:val="nil"/>
            </w:tcBorders>
            <w:shd w:val="clear" w:color="auto" w:fill="auto"/>
            <w:noWrap/>
            <w:vAlign w:val="bottom"/>
            <w:hideMark/>
          </w:tcPr>
          <w:p w14:paraId="199AB595"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23%</w:t>
            </w:r>
          </w:p>
        </w:tc>
        <w:tc>
          <w:tcPr>
            <w:tcW w:w="884" w:type="dxa"/>
            <w:tcBorders>
              <w:top w:val="nil"/>
              <w:left w:val="nil"/>
              <w:bottom w:val="single" w:sz="4" w:space="0" w:color="auto"/>
              <w:right w:val="nil"/>
            </w:tcBorders>
            <w:shd w:val="clear" w:color="auto" w:fill="auto"/>
            <w:noWrap/>
            <w:vAlign w:val="bottom"/>
            <w:hideMark/>
          </w:tcPr>
          <w:p w14:paraId="5F34C9CD"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12%</w:t>
            </w:r>
          </w:p>
        </w:tc>
        <w:tc>
          <w:tcPr>
            <w:tcW w:w="884" w:type="dxa"/>
            <w:tcBorders>
              <w:top w:val="nil"/>
              <w:left w:val="nil"/>
              <w:bottom w:val="single" w:sz="4" w:space="0" w:color="auto"/>
              <w:right w:val="nil"/>
            </w:tcBorders>
            <w:shd w:val="clear" w:color="auto" w:fill="auto"/>
            <w:noWrap/>
            <w:vAlign w:val="bottom"/>
            <w:hideMark/>
          </w:tcPr>
          <w:p w14:paraId="072EB1EA"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w:t>
            </w:r>
          </w:p>
        </w:tc>
        <w:tc>
          <w:tcPr>
            <w:tcW w:w="1219" w:type="dxa"/>
            <w:tcBorders>
              <w:top w:val="nil"/>
              <w:left w:val="nil"/>
              <w:bottom w:val="single" w:sz="4" w:space="0" w:color="auto"/>
              <w:right w:val="single" w:sz="4" w:space="0" w:color="auto"/>
            </w:tcBorders>
            <w:shd w:val="clear" w:color="auto" w:fill="auto"/>
            <w:noWrap/>
            <w:vAlign w:val="bottom"/>
            <w:hideMark/>
          </w:tcPr>
          <w:p w14:paraId="256C1BD3"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 </w:t>
            </w:r>
          </w:p>
        </w:tc>
      </w:tr>
      <w:tr w:rsidR="007F3FAA" w:rsidRPr="007F3FAA" w14:paraId="72B58F32" w14:textId="77777777" w:rsidTr="003A33C9">
        <w:trPr>
          <w:trHeight w:val="289"/>
        </w:trPr>
        <w:tc>
          <w:tcPr>
            <w:tcW w:w="2828" w:type="dxa"/>
            <w:tcBorders>
              <w:top w:val="nil"/>
              <w:left w:val="single" w:sz="4" w:space="0" w:color="auto"/>
              <w:bottom w:val="nil"/>
              <w:right w:val="single" w:sz="4" w:space="0" w:color="auto"/>
            </w:tcBorders>
            <w:shd w:val="clear" w:color="000000" w:fill="D9D9D9"/>
            <w:noWrap/>
            <w:vAlign w:val="bottom"/>
            <w:hideMark/>
          </w:tcPr>
          <w:p w14:paraId="6A0FE824"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2018 Total Registered %</w:t>
            </w:r>
          </w:p>
        </w:tc>
        <w:tc>
          <w:tcPr>
            <w:tcW w:w="893" w:type="dxa"/>
            <w:tcBorders>
              <w:top w:val="nil"/>
              <w:left w:val="nil"/>
              <w:bottom w:val="nil"/>
              <w:right w:val="nil"/>
            </w:tcBorders>
            <w:shd w:val="clear" w:color="000000" w:fill="D9D9D9"/>
            <w:noWrap/>
            <w:vAlign w:val="bottom"/>
            <w:hideMark/>
          </w:tcPr>
          <w:p w14:paraId="7F49AF00"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25%</w:t>
            </w:r>
          </w:p>
        </w:tc>
        <w:tc>
          <w:tcPr>
            <w:tcW w:w="884" w:type="dxa"/>
            <w:tcBorders>
              <w:top w:val="nil"/>
              <w:left w:val="nil"/>
              <w:bottom w:val="nil"/>
              <w:right w:val="nil"/>
            </w:tcBorders>
            <w:shd w:val="clear" w:color="000000" w:fill="D9D9D9"/>
            <w:noWrap/>
            <w:vAlign w:val="bottom"/>
            <w:hideMark/>
          </w:tcPr>
          <w:p w14:paraId="48CB91DA"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33%</w:t>
            </w:r>
          </w:p>
        </w:tc>
        <w:tc>
          <w:tcPr>
            <w:tcW w:w="884" w:type="dxa"/>
            <w:tcBorders>
              <w:top w:val="nil"/>
              <w:left w:val="nil"/>
              <w:bottom w:val="nil"/>
              <w:right w:val="nil"/>
            </w:tcBorders>
            <w:shd w:val="clear" w:color="000000" w:fill="D9D9D9"/>
            <w:noWrap/>
            <w:vAlign w:val="bottom"/>
            <w:hideMark/>
          </w:tcPr>
          <w:p w14:paraId="44A745F7"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25%</w:t>
            </w:r>
          </w:p>
        </w:tc>
        <w:tc>
          <w:tcPr>
            <w:tcW w:w="884" w:type="dxa"/>
            <w:tcBorders>
              <w:top w:val="nil"/>
              <w:left w:val="nil"/>
              <w:bottom w:val="nil"/>
              <w:right w:val="nil"/>
            </w:tcBorders>
            <w:shd w:val="clear" w:color="000000" w:fill="D9D9D9"/>
            <w:noWrap/>
            <w:vAlign w:val="bottom"/>
            <w:hideMark/>
          </w:tcPr>
          <w:p w14:paraId="6033F28A"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12%</w:t>
            </w:r>
          </w:p>
        </w:tc>
        <w:tc>
          <w:tcPr>
            <w:tcW w:w="884" w:type="dxa"/>
            <w:tcBorders>
              <w:top w:val="nil"/>
              <w:left w:val="nil"/>
              <w:bottom w:val="nil"/>
              <w:right w:val="nil"/>
            </w:tcBorders>
            <w:shd w:val="clear" w:color="000000" w:fill="D9D9D9"/>
            <w:noWrap/>
            <w:vAlign w:val="bottom"/>
            <w:hideMark/>
          </w:tcPr>
          <w:p w14:paraId="43EC81DB"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w:t>
            </w:r>
          </w:p>
        </w:tc>
        <w:tc>
          <w:tcPr>
            <w:tcW w:w="1219" w:type="dxa"/>
            <w:tcBorders>
              <w:top w:val="nil"/>
              <w:left w:val="nil"/>
              <w:bottom w:val="nil"/>
              <w:right w:val="single" w:sz="4" w:space="0" w:color="auto"/>
            </w:tcBorders>
            <w:shd w:val="clear" w:color="000000" w:fill="D9D9D9"/>
            <w:noWrap/>
            <w:vAlign w:val="bottom"/>
            <w:hideMark/>
          </w:tcPr>
          <w:p w14:paraId="633E93B6"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0%</w:t>
            </w:r>
          </w:p>
        </w:tc>
      </w:tr>
      <w:tr w:rsidR="007F3FAA" w:rsidRPr="007F3FAA" w14:paraId="4A2B1A44" w14:textId="77777777" w:rsidTr="003A33C9">
        <w:trPr>
          <w:trHeight w:val="289"/>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14:paraId="3A436873"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2018 Total Completed %</w:t>
            </w:r>
          </w:p>
        </w:tc>
        <w:tc>
          <w:tcPr>
            <w:tcW w:w="893" w:type="dxa"/>
            <w:tcBorders>
              <w:top w:val="nil"/>
              <w:left w:val="nil"/>
              <w:bottom w:val="single" w:sz="4" w:space="0" w:color="auto"/>
              <w:right w:val="nil"/>
            </w:tcBorders>
            <w:shd w:val="clear" w:color="auto" w:fill="auto"/>
            <w:noWrap/>
            <w:vAlign w:val="bottom"/>
            <w:hideMark/>
          </w:tcPr>
          <w:p w14:paraId="470AE436"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24%</w:t>
            </w:r>
          </w:p>
        </w:tc>
        <w:tc>
          <w:tcPr>
            <w:tcW w:w="884" w:type="dxa"/>
            <w:tcBorders>
              <w:top w:val="nil"/>
              <w:left w:val="nil"/>
              <w:bottom w:val="single" w:sz="4" w:space="0" w:color="auto"/>
              <w:right w:val="nil"/>
            </w:tcBorders>
            <w:shd w:val="clear" w:color="auto" w:fill="auto"/>
            <w:noWrap/>
            <w:vAlign w:val="bottom"/>
            <w:hideMark/>
          </w:tcPr>
          <w:p w14:paraId="07E1BCB1"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29%</w:t>
            </w:r>
          </w:p>
        </w:tc>
        <w:tc>
          <w:tcPr>
            <w:tcW w:w="884" w:type="dxa"/>
            <w:tcBorders>
              <w:top w:val="nil"/>
              <w:left w:val="nil"/>
              <w:bottom w:val="single" w:sz="4" w:space="0" w:color="auto"/>
              <w:right w:val="nil"/>
            </w:tcBorders>
            <w:shd w:val="clear" w:color="auto" w:fill="auto"/>
            <w:noWrap/>
            <w:vAlign w:val="bottom"/>
            <w:hideMark/>
          </w:tcPr>
          <w:p w14:paraId="7A109A4E"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23%</w:t>
            </w:r>
          </w:p>
        </w:tc>
        <w:tc>
          <w:tcPr>
            <w:tcW w:w="884" w:type="dxa"/>
            <w:tcBorders>
              <w:top w:val="nil"/>
              <w:left w:val="nil"/>
              <w:bottom w:val="single" w:sz="4" w:space="0" w:color="auto"/>
              <w:right w:val="nil"/>
            </w:tcBorders>
            <w:shd w:val="clear" w:color="auto" w:fill="auto"/>
            <w:noWrap/>
            <w:vAlign w:val="bottom"/>
            <w:hideMark/>
          </w:tcPr>
          <w:p w14:paraId="69FC9187"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14%</w:t>
            </w:r>
          </w:p>
        </w:tc>
        <w:tc>
          <w:tcPr>
            <w:tcW w:w="884" w:type="dxa"/>
            <w:tcBorders>
              <w:top w:val="nil"/>
              <w:left w:val="nil"/>
              <w:bottom w:val="single" w:sz="4" w:space="0" w:color="auto"/>
              <w:right w:val="nil"/>
            </w:tcBorders>
            <w:shd w:val="clear" w:color="auto" w:fill="auto"/>
            <w:noWrap/>
            <w:vAlign w:val="bottom"/>
            <w:hideMark/>
          </w:tcPr>
          <w:p w14:paraId="1967D72A"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w:t>
            </w:r>
          </w:p>
        </w:tc>
        <w:tc>
          <w:tcPr>
            <w:tcW w:w="1219" w:type="dxa"/>
            <w:tcBorders>
              <w:top w:val="nil"/>
              <w:left w:val="nil"/>
              <w:bottom w:val="single" w:sz="4" w:space="0" w:color="auto"/>
              <w:right w:val="single" w:sz="4" w:space="0" w:color="auto"/>
            </w:tcBorders>
            <w:shd w:val="clear" w:color="auto" w:fill="auto"/>
            <w:noWrap/>
            <w:vAlign w:val="bottom"/>
            <w:hideMark/>
          </w:tcPr>
          <w:p w14:paraId="3FB6280C"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0%</w:t>
            </w:r>
          </w:p>
        </w:tc>
      </w:tr>
    </w:tbl>
    <w:p w14:paraId="729B8E99" w14:textId="77777777" w:rsidR="007F3FAA" w:rsidRPr="007F3FAA" w:rsidRDefault="007F3FAA" w:rsidP="007F3FAA">
      <w:pPr>
        <w:rPr>
          <w:rFonts w:ascii="Arial" w:eastAsia="Times New Roman" w:hAnsi="Arial" w:cs="Arial"/>
          <w:sz w:val="24"/>
          <w:szCs w:val="24"/>
          <w:lang w:eastAsia="en-IE"/>
        </w:rPr>
      </w:pPr>
    </w:p>
    <w:tbl>
      <w:tblPr>
        <w:tblW w:w="5176" w:type="dxa"/>
        <w:tblInd w:w="108" w:type="dxa"/>
        <w:tblLook w:val="04A0" w:firstRow="1" w:lastRow="0" w:firstColumn="1" w:lastColumn="0" w:noHBand="0" w:noVBand="1"/>
      </w:tblPr>
      <w:tblGrid>
        <w:gridCol w:w="2828"/>
        <w:gridCol w:w="1419"/>
        <w:gridCol w:w="976"/>
      </w:tblGrid>
      <w:tr w:rsidR="007F3FAA" w:rsidRPr="007F3FAA" w14:paraId="51EEA30D" w14:textId="77777777" w:rsidTr="003A33C9">
        <w:trPr>
          <w:trHeight w:val="289"/>
        </w:trPr>
        <w:tc>
          <w:tcPr>
            <w:tcW w:w="2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A7300"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 </w:t>
            </w:r>
          </w:p>
        </w:tc>
        <w:tc>
          <w:tcPr>
            <w:tcW w:w="234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DAA4BD" w14:textId="77777777" w:rsidR="007F3FAA" w:rsidRPr="007F3FAA" w:rsidRDefault="007F3FAA" w:rsidP="007F3FAA">
            <w:pPr>
              <w:spacing w:after="0" w:line="240" w:lineRule="auto"/>
              <w:jc w:val="center"/>
              <w:rPr>
                <w:rFonts w:ascii="Calibri" w:eastAsia="Times New Roman" w:hAnsi="Calibri" w:cs="Times New Roman"/>
                <w:b/>
                <w:bCs/>
                <w:color w:val="000000"/>
                <w:lang w:eastAsia="en-IE"/>
              </w:rPr>
            </w:pPr>
            <w:r w:rsidRPr="007F3FAA">
              <w:rPr>
                <w:rFonts w:ascii="Calibri" w:eastAsia="Times New Roman" w:hAnsi="Calibri" w:cs="Times New Roman"/>
                <w:b/>
                <w:bCs/>
                <w:color w:val="000000"/>
                <w:lang w:eastAsia="en-IE"/>
              </w:rPr>
              <w:t>Location</w:t>
            </w:r>
          </w:p>
        </w:tc>
      </w:tr>
      <w:tr w:rsidR="007F3FAA" w:rsidRPr="007F3FAA" w14:paraId="36C8572F" w14:textId="77777777" w:rsidTr="003A33C9">
        <w:trPr>
          <w:trHeight w:val="300"/>
        </w:trPr>
        <w:tc>
          <w:tcPr>
            <w:tcW w:w="2828" w:type="dxa"/>
            <w:tcBorders>
              <w:top w:val="nil"/>
              <w:left w:val="single" w:sz="4" w:space="0" w:color="auto"/>
              <w:bottom w:val="nil"/>
              <w:right w:val="single" w:sz="4" w:space="0" w:color="auto"/>
            </w:tcBorders>
            <w:shd w:val="clear" w:color="auto" w:fill="auto"/>
            <w:noWrap/>
            <w:vAlign w:val="bottom"/>
            <w:hideMark/>
          </w:tcPr>
          <w:p w14:paraId="4AF212FF"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 </w:t>
            </w:r>
          </w:p>
        </w:tc>
        <w:tc>
          <w:tcPr>
            <w:tcW w:w="1419" w:type="dxa"/>
            <w:tcBorders>
              <w:top w:val="nil"/>
              <w:left w:val="nil"/>
              <w:bottom w:val="single" w:sz="4" w:space="0" w:color="auto"/>
              <w:right w:val="nil"/>
            </w:tcBorders>
            <w:shd w:val="clear" w:color="auto" w:fill="auto"/>
            <w:noWrap/>
            <w:vAlign w:val="bottom"/>
            <w:hideMark/>
          </w:tcPr>
          <w:p w14:paraId="43CFA258"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International</w:t>
            </w:r>
          </w:p>
        </w:tc>
        <w:tc>
          <w:tcPr>
            <w:tcW w:w="929" w:type="dxa"/>
            <w:tcBorders>
              <w:top w:val="nil"/>
              <w:left w:val="nil"/>
              <w:bottom w:val="single" w:sz="4" w:space="0" w:color="auto"/>
              <w:right w:val="single" w:sz="4" w:space="0" w:color="auto"/>
            </w:tcBorders>
            <w:shd w:val="clear" w:color="auto" w:fill="auto"/>
            <w:noWrap/>
            <w:vAlign w:val="bottom"/>
            <w:hideMark/>
          </w:tcPr>
          <w:p w14:paraId="0F93DE6B"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National</w:t>
            </w:r>
          </w:p>
        </w:tc>
      </w:tr>
      <w:tr w:rsidR="007F3FAA" w:rsidRPr="007F3FAA" w14:paraId="6D810E60" w14:textId="77777777" w:rsidTr="003A33C9">
        <w:trPr>
          <w:trHeight w:val="289"/>
        </w:trPr>
        <w:tc>
          <w:tcPr>
            <w:tcW w:w="2828" w:type="dxa"/>
            <w:tcBorders>
              <w:top w:val="single" w:sz="4" w:space="0" w:color="auto"/>
              <w:left w:val="single" w:sz="4" w:space="0" w:color="auto"/>
              <w:bottom w:val="nil"/>
              <w:right w:val="single" w:sz="4" w:space="0" w:color="auto"/>
            </w:tcBorders>
            <w:shd w:val="clear" w:color="000000" w:fill="D9D9D9"/>
            <w:noWrap/>
            <w:vAlign w:val="bottom"/>
            <w:hideMark/>
          </w:tcPr>
          <w:p w14:paraId="3EC57546"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2016 Total Registered %</w:t>
            </w:r>
          </w:p>
        </w:tc>
        <w:tc>
          <w:tcPr>
            <w:tcW w:w="1419" w:type="dxa"/>
            <w:tcBorders>
              <w:top w:val="nil"/>
              <w:left w:val="nil"/>
              <w:bottom w:val="nil"/>
              <w:right w:val="nil"/>
            </w:tcBorders>
            <w:shd w:val="clear" w:color="000000" w:fill="D9D9D9"/>
            <w:noWrap/>
            <w:vAlign w:val="bottom"/>
            <w:hideMark/>
          </w:tcPr>
          <w:p w14:paraId="3830D80B"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4%</w:t>
            </w:r>
          </w:p>
        </w:tc>
        <w:tc>
          <w:tcPr>
            <w:tcW w:w="929" w:type="dxa"/>
            <w:tcBorders>
              <w:top w:val="nil"/>
              <w:left w:val="nil"/>
              <w:bottom w:val="nil"/>
              <w:right w:val="single" w:sz="4" w:space="0" w:color="auto"/>
            </w:tcBorders>
            <w:shd w:val="clear" w:color="000000" w:fill="D9D9D9"/>
            <w:noWrap/>
            <w:vAlign w:val="bottom"/>
            <w:hideMark/>
          </w:tcPr>
          <w:p w14:paraId="44DD0120"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96%</w:t>
            </w:r>
          </w:p>
        </w:tc>
      </w:tr>
      <w:tr w:rsidR="007F3FAA" w:rsidRPr="007F3FAA" w14:paraId="2D31606A" w14:textId="77777777" w:rsidTr="003A33C9">
        <w:trPr>
          <w:trHeight w:val="289"/>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14:paraId="0B116C58"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2016 Total Completed %</w:t>
            </w:r>
          </w:p>
        </w:tc>
        <w:tc>
          <w:tcPr>
            <w:tcW w:w="1419" w:type="dxa"/>
            <w:tcBorders>
              <w:top w:val="nil"/>
              <w:left w:val="nil"/>
              <w:bottom w:val="single" w:sz="4" w:space="0" w:color="auto"/>
              <w:right w:val="nil"/>
            </w:tcBorders>
            <w:shd w:val="clear" w:color="auto" w:fill="auto"/>
            <w:noWrap/>
            <w:vAlign w:val="bottom"/>
            <w:hideMark/>
          </w:tcPr>
          <w:p w14:paraId="36761C00"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6%</w:t>
            </w:r>
          </w:p>
        </w:tc>
        <w:tc>
          <w:tcPr>
            <w:tcW w:w="929" w:type="dxa"/>
            <w:tcBorders>
              <w:top w:val="nil"/>
              <w:left w:val="nil"/>
              <w:bottom w:val="single" w:sz="4" w:space="0" w:color="auto"/>
              <w:right w:val="single" w:sz="4" w:space="0" w:color="auto"/>
            </w:tcBorders>
            <w:shd w:val="clear" w:color="auto" w:fill="auto"/>
            <w:noWrap/>
            <w:vAlign w:val="bottom"/>
            <w:hideMark/>
          </w:tcPr>
          <w:p w14:paraId="6C1CF008"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94%</w:t>
            </w:r>
          </w:p>
        </w:tc>
      </w:tr>
      <w:tr w:rsidR="007F3FAA" w:rsidRPr="007F3FAA" w14:paraId="0AB4837B" w14:textId="77777777" w:rsidTr="003A33C9">
        <w:trPr>
          <w:trHeight w:val="289"/>
        </w:trPr>
        <w:tc>
          <w:tcPr>
            <w:tcW w:w="2828" w:type="dxa"/>
            <w:tcBorders>
              <w:top w:val="nil"/>
              <w:left w:val="single" w:sz="4" w:space="0" w:color="auto"/>
              <w:bottom w:val="nil"/>
              <w:right w:val="single" w:sz="4" w:space="0" w:color="auto"/>
            </w:tcBorders>
            <w:shd w:val="clear" w:color="000000" w:fill="D9D9D9"/>
            <w:noWrap/>
            <w:vAlign w:val="bottom"/>
            <w:hideMark/>
          </w:tcPr>
          <w:p w14:paraId="5A4C7F93"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2017 Total Registered %</w:t>
            </w:r>
          </w:p>
        </w:tc>
        <w:tc>
          <w:tcPr>
            <w:tcW w:w="1419" w:type="dxa"/>
            <w:tcBorders>
              <w:top w:val="nil"/>
              <w:left w:val="nil"/>
              <w:bottom w:val="nil"/>
              <w:right w:val="nil"/>
            </w:tcBorders>
            <w:shd w:val="clear" w:color="000000" w:fill="D9D9D9"/>
            <w:noWrap/>
            <w:vAlign w:val="bottom"/>
            <w:hideMark/>
          </w:tcPr>
          <w:p w14:paraId="43C705AA"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10%</w:t>
            </w:r>
          </w:p>
        </w:tc>
        <w:tc>
          <w:tcPr>
            <w:tcW w:w="929" w:type="dxa"/>
            <w:tcBorders>
              <w:top w:val="nil"/>
              <w:left w:val="nil"/>
              <w:bottom w:val="nil"/>
              <w:right w:val="single" w:sz="4" w:space="0" w:color="auto"/>
            </w:tcBorders>
            <w:shd w:val="clear" w:color="000000" w:fill="D9D9D9"/>
            <w:noWrap/>
            <w:vAlign w:val="bottom"/>
            <w:hideMark/>
          </w:tcPr>
          <w:p w14:paraId="45312DBD"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90%</w:t>
            </w:r>
          </w:p>
        </w:tc>
      </w:tr>
      <w:tr w:rsidR="007F3FAA" w:rsidRPr="007F3FAA" w14:paraId="3C75154F" w14:textId="77777777" w:rsidTr="003A33C9">
        <w:trPr>
          <w:trHeight w:val="289"/>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14:paraId="4A24B4AA"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2017 Total Completed %</w:t>
            </w:r>
          </w:p>
        </w:tc>
        <w:tc>
          <w:tcPr>
            <w:tcW w:w="1419" w:type="dxa"/>
            <w:tcBorders>
              <w:top w:val="nil"/>
              <w:left w:val="nil"/>
              <w:bottom w:val="single" w:sz="4" w:space="0" w:color="auto"/>
              <w:right w:val="nil"/>
            </w:tcBorders>
            <w:shd w:val="clear" w:color="auto" w:fill="auto"/>
            <w:noWrap/>
            <w:vAlign w:val="bottom"/>
            <w:hideMark/>
          </w:tcPr>
          <w:p w14:paraId="7D33B353"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w:t>
            </w:r>
          </w:p>
        </w:tc>
        <w:tc>
          <w:tcPr>
            <w:tcW w:w="929" w:type="dxa"/>
            <w:tcBorders>
              <w:top w:val="nil"/>
              <w:left w:val="nil"/>
              <w:bottom w:val="single" w:sz="4" w:space="0" w:color="auto"/>
              <w:right w:val="single" w:sz="4" w:space="0" w:color="auto"/>
            </w:tcBorders>
            <w:shd w:val="clear" w:color="auto" w:fill="auto"/>
            <w:noWrap/>
            <w:vAlign w:val="bottom"/>
            <w:hideMark/>
          </w:tcPr>
          <w:p w14:paraId="437361A0"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97%</w:t>
            </w:r>
          </w:p>
        </w:tc>
      </w:tr>
      <w:tr w:rsidR="007F3FAA" w:rsidRPr="007F3FAA" w14:paraId="588E349F" w14:textId="77777777" w:rsidTr="003A33C9">
        <w:trPr>
          <w:trHeight w:val="289"/>
        </w:trPr>
        <w:tc>
          <w:tcPr>
            <w:tcW w:w="2828" w:type="dxa"/>
            <w:tcBorders>
              <w:top w:val="nil"/>
              <w:left w:val="single" w:sz="4" w:space="0" w:color="auto"/>
              <w:bottom w:val="nil"/>
              <w:right w:val="single" w:sz="4" w:space="0" w:color="auto"/>
            </w:tcBorders>
            <w:shd w:val="clear" w:color="000000" w:fill="D9D9D9"/>
            <w:noWrap/>
            <w:vAlign w:val="bottom"/>
            <w:hideMark/>
          </w:tcPr>
          <w:p w14:paraId="72BF5DE6"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2018 Total Registered %</w:t>
            </w:r>
          </w:p>
        </w:tc>
        <w:tc>
          <w:tcPr>
            <w:tcW w:w="1419" w:type="dxa"/>
            <w:tcBorders>
              <w:top w:val="nil"/>
              <w:left w:val="nil"/>
              <w:bottom w:val="nil"/>
              <w:right w:val="nil"/>
            </w:tcBorders>
            <w:shd w:val="clear" w:color="000000" w:fill="D9D9D9"/>
            <w:noWrap/>
            <w:vAlign w:val="bottom"/>
            <w:hideMark/>
          </w:tcPr>
          <w:p w14:paraId="32823778"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13%</w:t>
            </w:r>
          </w:p>
        </w:tc>
        <w:tc>
          <w:tcPr>
            <w:tcW w:w="929" w:type="dxa"/>
            <w:tcBorders>
              <w:top w:val="nil"/>
              <w:left w:val="nil"/>
              <w:bottom w:val="nil"/>
              <w:right w:val="single" w:sz="4" w:space="0" w:color="auto"/>
            </w:tcBorders>
            <w:shd w:val="clear" w:color="000000" w:fill="D9D9D9"/>
            <w:noWrap/>
            <w:vAlign w:val="bottom"/>
            <w:hideMark/>
          </w:tcPr>
          <w:p w14:paraId="4896B442"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87%</w:t>
            </w:r>
          </w:p>
        </w:tc>
      </w:tr>
      <w:tr w:rsidR="007F3FAA" w:rsidRPr="007F3FAA" w14:paraId="564C2AF2" w14:textId="77777777" w:rsidTr="003A33C9">
        <w:trPr>
          <w:trHeight w:val="289"/>
        </w:trPr>
        <w:tc>
          <w:tcPr>
            <w:tcW w:w="2828" w:type="dxa"/>
            <w:tcBorders>
              <w:top w:val="nil"/>
              <w:left w:val="single" w:sz="4" w:space="0" w:color="auto"/>
              <w:bottom w:val="single" w:sz="4" w:space="0" w:color="auto"/>
              <w:right w:val="single" w:sz="4" w:space="0" w:color="auto"/>
            </w:tcBorders>
            <w:shd w:val="clear" w:color="auto" w:fill="auto"/>
            <w:noWrap/>
            <w:vAlign w:val="bottom"/>
            <w:hideMark/>
          </w:tcPr>
          <w:p w14:paraId="6285A023"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2018 Total Completed %</w:t>
            </w:r>
          </w:p>
        </w:tc>
        <w:tc>
          <w:tcPr>
            <w:tcW w:w="1419" w:type="dxa"/>
            <w:tcBorders>
              <w:top w:val="nil"/>
              <w:left w:val="nil"/>
              <w:bottom w:val="single" w:sz="4" w:space="0" w:color="auto"/>
              <w:right w:val="nil"/>
            </w:tcBorders>
            <w:shd w:val="clear" w:color="auto" w:fill="auto"/>
            <w:noWrap/>
            <w:vAlign w:val="bottom"/>
            <w:hideMark/>
          </w:tcPr>
          <w:p w14:paraId="3B5D3987"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5%</w:t>
            </w:r>
          </w:p>
        </w:tc>
        <w:tc>
          <w:tcPr>
            <w:tcW w:w="929" w:type="dxa"/>
            <w:tcBorders>
              <w:top w:val="nil"/>
              <w:left w:val="nil"/>
              <w:bottom w:val="single" w:sz="4" w:space="0" w:color="auto"/>
              <w:right w:val="single" w:sz="4" w:space="0" w:color="auto"/>
            </w:tcBorders>
            <w:shd w:val="clear" w:color="auto" w:fill="auto"/>
            <w:noWrap/>
            <w:vAlign w:val="bottom"/>
            <w:hideMark/>
          </w:tcPr>
          <w:p w14:paraId="0274CF95"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95%</w:t>
            </w:r>
          </w:p>
        </w:tc>
      </w:tr>
    </w:tbl>
    <w:p w14:paraId="43185903" w14:textId="77777777" w:rsidR="007F3FAA" w:rsidRPr="007F3FAA" w:rsidRDefault="007F3FAA" w:rsidP="007F3FAA">
      <w:pPr>
        <w:rPr>
          <w:rFonts w:ascii="Arial" w:eastAsia="Times New Roman" w:hAnsi="Arial" w:cs="Arial"/>
          <w:sz w:val="24"/>
          <w:szCs w:val="24"/>
          <w:lang w:eastAsia="en-IE"/>
        </w:rPr>
      </w:pPr>
    </w:p>
    <w:tbl>
      <w:tblPr>
        <w:tblW w:w="8780" w:type="dxa"/>
        <w:tblInd w:w="108" w:type="dxa"/>
        <w:tblLook w:val="04A0" w:firstRow="1" w:lastRow="0" w:firstColumn="1" w:lastColumn="0" w:noHBand="0" w:noVBand="1"/>
      </w:tblPr>
      <w:tblGrid>
        <w:gridCol w:w="2525"/>
        <w:gridCol w:w="1398"/>
        <w:gridCol w:w="1944"/>
        <w:gridCol w:w="1459"/>
        <w:gridCol w:w="1003"/>
        <w:gridCol w:w="579"/>
      </w:tblGrid>
      <w:tr w:rsidR="007F3FAA" w:rsidRPr="007F3FAA" w14:paraId="3E25AC8E" w14:textId="77777777" w:rsidTr="003A33C9">
        <w:trPr>
          <w:trHeight w:val="281"/>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BA36E"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 </w:t>
            </w:r>
          </w:p>
        </w:tc>
        <w:tc>
          <w:tcPr>
            <w:tcW w:w="6245" w:type="dxa"/>
            <w:gridSpan w:val="5"/>
            <w:tcBorders>
              <w:top w:val="single" w:sz="4" w:space="0" w:color="auto"/>
              <w:left w:val="nil"/>
              <w:bottom w:val="single" w:sz="4" w:space="0" w:color="auto"/>
              <w:right w:val="single" w:sz="4" w:space="0" w:color="auto"/>
            </w:tcBorders>
            <w:shd w:val="clear" w:color="auto" w:fill="auto"/>
            <w:noWrap/>
            <w:vAlign w:val="bottom"/>
            <w:hideMark/>
          </w:tcPr>
          <w:p w14:paraId="7759768B" w14:textId="77777777" w:rsidR="007F3FAA" w:rsidRPr="007F3FAA" w:rsidRDefault="007F3FAA" w:rsidP="007F3FAA">
            <w:pPr>
              <w:spacing w:after="0" w:line="240" w:lineRule="auto"/>
              <w:jc w:val="center"/>
              <w:rPr>
                <w:rFonts w:ascii="Calibri" w:eastAsia="Times New Roman" w:hAnsi="Calibri" w:cs="Times New Roman"/>
                <w:b/>
                <w:bCs/>
                <w:color w:val="000000"/>
                <w:lang w:eastAsia="en-IE"/>
              </w:rPr>
            </w:pPr>
            <w:r w:rsidRPr="007F3FAA">
              <w:rPr>
                <w:rFonts w:ascii="Calibri" w:eastAsia="Times New Roman" w:hAnsi="Calibri" w:cs="Times New Roman"/>
                <w:b/>
                <w:bCs/>
                <w:color w:val="000000"/>
                <w:lang w:eastAsia="en-IE"/>
              </w:rPr>
              <w:t>Education</w:t>
            </w:r>
          </w:p>
        </w:tc>
      </w:tr>
      <w:tr w:rsidR="007F3FAA" w:rsidRPr="007F3FAA" w14:paraId="0D08BFC1" w14:textId="77777777" w:rsidTr="003A33C9">
        <w:trPr>
          <w:trHeight w:val="291"/>
        </w:trPr>
        <w:tc>
          <w:tcPr>
            <w:tcW w:w="2535" w:type="dxa"/>
            <w:tcBorders>
              <w:top w:val="nil"/>
              <w:left w:val="single" w:sz="4" w:space="0" w:color="auto"/>
              <w:bottom w:val="nil"/>
              <w:right w:val="single" w:sz="4" w:space="0" w:color="auto"/>
            </w:tcBorders>
            <w:shd w:val="clear" w:color="auto" w:fill="auto"/>
            <w:noWrap/>
            <w:vAlign w:val="bottom"/>
            <w:hideMark/>
          </w:tcPr>
          <w:p w14:paraId="46599961"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 </w:t>
            </w:r>
          </w:p>
        </w:tc>
        <w:tc>
          <w:tcPr>
            <w:tcW w:w="1403" w:type="dxa"/>
            <w:tcBorders>
              <w:top w:val="nil"/>
              <w:left w:val="nil"/>
              <w:bottom w:val="single" w:sz="4" w:space="0" w:color="auto"/>
              <w:right w:val="nil"/>
            </w:tcBorders>
            <w:shd w:val="clear" w:color="auto" w:fill="auto"/>
            <w:noWrap/>
            <w:vAlign w:val="bottom"/>
            <w:hideMark/>
          </w:tcPr>
          <w:p w14:paraId="765DF740"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Secondary school</w:t>
            </w:r>
          </w:p>
        </w:tc>
        <w:tc>
          <w:tcPr>
            <w:tcW w:w="1952" w:type="dxa"/>
            <w:tcBorders>
              <w:top w:val="nil"/>
              <w:left w:val="nil"/>
              <w:bottom w:val="single" w:sz="4" w:space="0" w:color="auto"/>
              <w:right w:val="nil"/>
            </w:tcBorders>
            <w:shd w:val="clear" w:color="auto" w:fill="auto"/>
            <w:noWrap/>
            <w:vAlign w:val="bottom"/>
            <w:hideMark/>
          </w:tcPr>
          <w:p w14:paraId="0DE34A5D"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Undergrad cert/diploma</w:t>
            </w:r>
          </w:p>
        </w:tc>
        <w:tc>
          <w:tcPr>
            <w:tcW w:w="1465" w:type="dxa"/>
            <w:tcBorders>
              <w:top w:val="nil"/>
              <w:left w:val="nil"/>
              <w:bottom w:val="single" w:sz="4" w:space="0" w:color="auto"/>
              <w:right w:val="nil"/>
            </w:tcBorders>
            <w:shd w:val="clear" w:color="auto" w:fill="auto"/>
            <w:noWrap/>
            <w:vAlign w:val="bottom"/>
            <w:hideMark/>
          </w:tcPr>
          <w:p w14:paraId="63A88BDA"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Undergrad degree</w:t>
            </w:r>
          </w:p>
        </w:tc>
        <w:tc>
          <w:tcPr>
            <w:tcW w:w="903" w:type="dxa"/>
            <w:tcBorders>
              <w:top w:val="nil"/>
              <w:left w:val="nil"/>
              <w:bottom w:val="single" w:sz="4" w:space="0" w:color="auto"/>
              <w:right w:val="nil"/>
            </w:tcBorders>
            <w:shd w:val="clear" w:color="auto" w:fill="auto"/>
            <w:noWrap/>
            <w:vAlign w:val="bottom"/>
            <w:hideMark/>
          </w:tcPr>
          <w:p w14:paraId="540A21A1"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Postgrad</w:t>
            </w:r>
          </w:p>
        </w:tc>
        <w:tc>
          <w:tcPr>
            <w:tcW w:w="521" w:type="dxa"/>
            <w:tcBorders>
              <w:top w:val="nil"/>
              <w:left w:val="nil"/>
              <w:bottom w:val="single" w:sz="4" w:space="0" w:color="auto"/>
              <w:right w:val="single" w:sz="4" w:space="0" w:color="auto"/>
            </w:tcBorders>
            <w:shd w:val="clear" w:color="auto" w:fill="auto"/>
            <w:noWrap/>
            <w:vAlign w:val="bottom"/>
            <w:hideMark/>
          </w:tcPr>
          <w:p w14:paraId="23B90BDC"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PhD</w:t>
            </w:r>
          </w:p>
        </w:tc>
      </w:tr>
      <w:tr w:rsidR="007F3FAA" w:rsidRPr="007F3FAA" w14:paraId="31AF24DC" w14:textId="77777777" w:rsidTr="003A33C9">
        <w:trPr>
          <w:trHeight w:val="281"/>
        </w:trPr>
        <w:tc>
          <w:tcPr>
            <w:tcW w:w="2535" w:type="dxa"/>
            <w:tcBorders>
              <w:top w:val="single" w:sz="4" w:space="0" w:color="auto"/>
              <w:left w:val="single" w:sz="4" w:space="0" w:color="auto"/>
              <w:bottom w:val="nil"/>
              <w:right w:val="single" w:sz="4" w:space="0" w:color="auto"/>
            </w:tcBorders>
            <w:shd w:val="clear" w:color="000000" w:fill="D9D9D9"/>
            <w:noWrap/>
            <w:vAlign w:val="bottom"/>
            <w:hideMark/>
          </w:tcPr>
          <w:p w14:paraId="23B117DF"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2016 Total Registered %</w:t>
            </w:r>
          </w:p>
        </w:tc>
        <w:tc>
          <w:tcPr>
            <w:tcW w:w="1403" w:type="dxa"/>
            <w:tcBorders>
              <w:top w:val="nil"/>
              <w:left w:val="nil"/>
              <w:bottom w:val="nil"/>
              <w:right w:val="nil"/>
            </w:tcBorders>
            <w:shd w:val="clear" w:color="000000" w:fill="D9D9D9"/>
            <w:noWrap/>
            <w:vAlign w:val="bottom"/>
            <w:hideMark/>
          </w:tcPr>
          <w:p w14:paraId="5BED87CC"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6%</w:t>
            </w:r>
          </w:p>
        </w:tc>
        <w:tc>
          <w:tcPr>
            <w:tcW w:w="1952" w:type="dxa"/>
            <w:tcBorders>
              <w:top w:val="nil"/>
              <w:left w:val="nil"/>
              <w:bottom w:val="nil"/>
              <w:right w:val="nil"/>
            </w:tcBorders>
            <w:shd w:val="clear" w:color="000000" w:fill="D9D9D9"/>
            <w:noWrap/>
            <w:vAlign w:val="bottom"/>
            <w:hideMark/>
          </w:tcPr>
          <w:p w14:paraId="427F8962"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10%</w:t>
            </w:r>
          </w:p>
        </w:tc>
        <w:tc>
          <w:tcPr>
            <w:tcW w:w="1465" w:type="dxa"/>
            <w:tcBorders>
              <w:top w:val="nil"/>
              <w:left w:val="nil"/>
              <w:bottom w:val="nil"/>
              <w:right w:val="nil"/>
            </w:tcBorders>
            <w:shd w:val="clear" w:color="000000" w:fill="D9D9D9"/>
            <w:noWrap/>
            <w:vAlign w:val="bottom"/>
            <w:hideMark/>
          </w:tcPr>
          <w:p w14:paraId="31C63A23"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31%</w:t>
            </w:r>
          </w:p>
        </w:tc>
        <w:tc>
          <w:tcPr>
            <w:tcW w:w="903" w:type="dxa"/>
            <w:tcBorders>
              <w:top w:val="nil"/>
              <w:left w:val="nil"/>
              <w:bottom w:val="nil"/>
              <w:right w:val="nil"/>
            </w:tcBorders>
            <w:shd w:val="clear" w:color="000000" w:fill="D9D9D9"/>
            <w:noWrap/>
            <w:vAlign w:val="bottom"/>
            <w:hideMark/>
          </w:tcPr>
          <w:p w14:paraId="1CB119C6"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50%</w:t>
            </w:r>
          </w:p>
        </w:tc>
        <w:tc>
          <w:tcPr>
            <w:tcW w:w="521" w:type="dxa"/>
            <w:tcBorders>
              <w:top w:val="single" w:sz="4" w:space="0" w:color="auto"/>
              <w:left w:val="nil"/>
              <w:bottom w:val="nil"/>
              <w:right w:val="single" w:sz="4" w:space="0" w:color="auto"/>
            </w:tcBorders>
            <w:shd w:val="clear" w:color="000000" w:fill="D9D9D9"/>
            <w:noWrap/>
            <w:vAlign w:val="bottom"/>
            <w:hideMark/>
          </w:tcPr>
          <w:p w14:paraId="5136783A"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w:t>
            </w:r>
          </w:p>
        </w:tc>
      </w:tr>
      <w:tr w:rsidR="007F3FAA" w:rsidRPr="007F3FAA" w14:paraId="5E2B8185" w14:textId="77777777" w:rsidTr="003A33C9">
        <w:trPr>
          <w:trHeight w:val="281"/>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2725D2F5"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2016 Total Completed %</w:t>
            </w:r>
          </w:p>
        </w:tc>
        <w:tc>
          <w:tcPr>
            <w:tcW w:w="1403" w:type="dxa"/>
            <w:tcBorders>
              <w:top w:val="nil"/>
              <w:left w:val="nil"/>
              <w:bottom w:val="single" w:sz="4" w:space="0" w:color="auto"/>
              <w:right w:val="nil"/>
            </w:tcBorders>
            <w:shd w:val="clear" w:color="auto" w:fill="auto"/>
            <w:noWrap/>
            <w:vAlign w:val="bottom"/>
            <w:hideMark/>
          </w:tcPr>
          <w:p w14:paraId="711ABBF8"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4%</w:t>
            </w:r>
          </w:p>
        </w:tc>
        <w:tc>
          <w:tcPr>
            <w:tcW w:w="1952" w:type="dxa"/>
            <w:tcBorders>
              <w:top w:val="nil"/>
              <w:left w:val="nil"/>
              <w:bottom w:val="single" w:sz="4" w:space="0" w:color="auto"/>
              <w:right w:val="nil"/>
            </w:tcBorders>
            <w:shd w:val="clear" w:color="auto" w:fill="auto"/>
            <w:noWrap/>
            <w:vAlign w:val="bottom"/>
            <w:hideMark/>
          </w:tcPr>
          <w:p w14:paraId="29AA176D"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9%</w:t>
            </w:r>
          </w:p>
        </w:tc>
        <w:tc>
          <w:tcPr>
            <w:tcW w:w="1465" w:type="dxa"/>
            <w:tcBorders>
              <w:top w:val="nil"/>
              <w:left w:val="nil"/>
              <w:bottom w:val="single" w:sz="4" w:space="0" w:color="auto"/>
              <w:right w:val="nil"/>
            </w:tcBorders>
            <w:shd w:val="clear" w:color="auto" w:fill="auto"/>
            <w:noWrap/>
            <w:vAlign w:val="bottom"/>
            <w:hideMark/>
          </w:tcPr>
          <w:p w14:paraId="7D516D83"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34%</w:t>
            </w:r>
          </w:p>
        </w:tc>
        <w:tc>
          <w:tcPr>
            <w:tcW w:w="903" w:type="dxa"/>
            <w:tcBorders>
              <w:top w:val="nil"/>
              <w:left w:val="nil"/>
              <w:bottom w:val="single" w:sz="4" w:space="0" w:color="auto"/>
              <w:right w:val="nil"/>
            </w:tcBorders>
            <w:shd w:val="clear" w:color="auto" w:fill="auto"/>
            <w:noWrap/>
            <w:vAlign w:val="bottom"/>
            <w:hideMark/>
          </w:tcPr>
          <w:p w14:paraId="37E32E48"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52%</w:t>
            </w:r>
          </w:p>
        </w:tc>
        <w:tc>
          <w:tcPr>
            <w:tcW w:w="521" w:type="dxa"/>
            <w:tcBorders>
              <w:top w:val="nil"/>
              <w:left w:val="nil"/>
              <w:bottom w:val="single" w:sz="4" w:space="0" w:color="auto"/>
              <w:right w:val="single" w:sz="4" w:space="0" w:color="auto"/>
            </w:tcBorders>
            <w:shd w:val="clear" w:color="auto" w:fill="auto"/>
            <w:noWrap/>
            <w:vAlign w:val="bottom"/>
            <w:hideMark/>
          </w:tcPr>
          <w:p w14:paraId="21734504"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1%</w:t>
            </w:r>
          </w:p>
        </w:tc>
      </w:tr>
      <w:tr w:rsidR="007F3FAA" w:rsidRPr="007F3FAA" w14:paraId="50912E67" w14:textId="77777777" w:rsidTr="003A33C9">
        <w:trPr>
          <w:trHeight w:val="281"/>
        </w:trPr>
        <w:tc>
          <w:tcPr>
            <w:tcW w:w="2535" w:type="dxa"/>
            <w:tcBorders>
              <w:top w:val="nil"/>
              <w:left w:val="single" w:sz="4" w:space="0" w:color="auto"/>
              <w:bottom w:val="nil"/>
              <w:right w:val="single" w:sz="4" w:space="0" w:color="auto"/>
            </w:tcBorders>
            <w:shd w:val="clear" w:color="000000" w:fill="D9D9D9"/>
            <w:noWrap/>
            <w:vAlign w:val="bottom"/>
            <w:hideMark/>
          </w:tcPr>
          <w:p w14:paraId="4614A7B4"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2017 Total Registered %</w:t>
            </w:r>
          </w:p>
        </w:tc>
        <w:tc>
          <w:tcPr>
            <w:tcW w:w="1403" w:type="dxa"/>
            <w:tcBorders>
              <w:top w:val="nil"/>
              <w:left w:val="nil"/>
              <w:bottom w:val="nil"/>
              <w:right w:val="nil"/>
            </w:tcBorders>
            <w:shd w:val="clear" w:color="000000" w:fill="D9D9D9"/>
            <w:noWrap/>
            <w:vAlign w:val="bottom"/>
            <w:hideMark/>
          </w:tcPr>
          <w:p w14:paraId="21727CCF"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5%</w:t>
            </w:r>
          </w:p>
        </w:tc>
        <w:tc>
          <w:tcPr>
            <w:tcW w:w="1952" w:type="dxa"/>
            <w:tcBorders>
              <w:top w:val="nil"/>
              <w:left w:val="nil"/>
              <w:bottom w:val="nil"/>
              <w:right w:val="nil"/>
            </w:tcBorders>
            <w:shd w:val="clear" w:color="000000" w:fill="D9D9D9"/>
            <w:noWrap/>
            <w:vAlign w:val="bottom"/>
            <w:hideMark/>
          </w:tcPr>
          <w:p w14:paraId="402AD190"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10%</w:t>
            </w:r>
          </w:p>
        </w:tc>
        <w:tc>
          <w:tcPr>
            <w:tcW w:w="1465" w:type="dxa"/>
            <w:tcBorders>
              <w:top w:val="nil"/>
              <w:left w:val="nil"/>
              <w:bottom w:val="nil"/>
              <w:right w:val="nil"/>
            </w:tcBorders>
            <w:shd w:val="clear" w:color="000000" w:fill="D9D9D9"/>
            <w:noWrap/>
            <w:vAlign w:val="bottom"/>
            <w:hideMark/>
          </w:tcPr>
          <w:p w14:paraId="45B65C47"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33%</w:t>
            </w:r>
          </w:p>
        </w:tc>
        <w:tc>
          <w:tcPr>
            <w:tcW w:w="903" w:type="dxa"/>
            <w:tcBorders>
              <w:top w:val="nil"/>
              <w:left w:val="nil"/>
              <w:bottom w:val="nil"/>
              <w:right w:val="nil"/>
            </w:tcBorders>
            <w:shd w:val="clear" w:color="000000" w:fill="D9D9D9"/>
            <w:noWrap/>
            <w:vAlign w:val="bottom"/>
            <w:hideMark/>
          </w:tcPr>
          <w:p w14:paraId="7FFED6E5"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50%</w:t>
            </w:r>
          </w:p>
        </w:tc>
        <w:tc>
          <w:tcPr>
            <w:tcW w:w="521" w:type="dxa"/>
            <w:tcBorders>
              <w:top w:val="nil"/>
              <w:left w:val="nil"/>
              <w:bottom w:val="nil"/>
              <w:right w:val="single" w:sz="4" w:space="0" w:color="auto"/>
            </w:tcBorders>
            <w:shd w:val="clear" w:color="000000" w:fill="D9D9D9"/>
            <w:noWrap/>
            <w:vAlign w:val="bottom"/>
            <w:hideMark/>
          </w:tcPr>
          <w:p w14:paraId="6E871DDA"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w:t>
            </w:r>
          </w:p>
        </w:tc>
      </w:tr>
      <w:tr w:rsidR="007F3FAA" w:rsidRPr="007F3FAA" w14:paraId="577FFA48" w14:textId="77777777" w:rsidTr="003A33C9">
        <w:trPr>
          <w:trHeight w:val="281"/>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6CAE0925"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2017 Total Completed %</w:t>
            </w:r>
          </w:p>
        </w:tc>
        <w:tc>
          <w:tcPr>
            <w:tcW w:w="1403" w:type="dxa"/>
            <w:tcBorders>
              <w:top w:val="nil"/>
              <w:left w:val="nil"/>
              <w:bottom w:val="single" w:sz="4" w:space="0" w:color="auto"/>
              <w:right w:val="nil"/>
            </w:tcBorders>
            <w:shd w:val="clear" w:color="auto" w:fill="auto"/>
            <w:noWrap/>
            <w:vAlign w:val="bottom"/>
            <w:hideMark/>
          </w:tcPr>
          <w:p w14:paraId="6BA1C793"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4%</w:t>
            </w:r>
          </w:p>
        </w:tc>
        <w:tc>
          <w:tcPr>
            <w:tcW w:w="1952" w:type="dxa"/>
            <w:tcBorders>
              <w:top w:val="nil"/>
              <w:left w:val="nil"/>
              <w:bottom w:val="single" w:sz="4" w:space="0" w:color="auto"/>
              <w:right w:val="nil"/>
            </w:tcBorders>
            <w:shd w:val="clear" w:color="auto" w:fill="auto"/>
            <w:noWrap/>
            <w:vAlign w:val="bottom"/>
            <w:hideMark/>
          </w:tcPr>
          <w:p w14:paraId="38724B43"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8%</w:t>
            </w:r>
          </w:p>
        </w:tc>
        <w:tc>
          <w:tcPr>
            <w:tcW w:w="1465" w:type="dxa"/>
            <w:tcBorders>
              <w:top w:val="nil"/>
              <w:left w:val="nil"/>
              <w:bottom w:val="single" w:sz="4" w:space="0" w:color="auto"/>
              <w:right w:val="nil"/>
            </w:tcBorders>
            <w:shd w:val="clear" w:color="auto" w:fill="auto"/>
            <w:noWrap/>
            <w:vAlign w:val="bottom"/>
            <w:hideMark/>
          </w:tcPr>
          <w:p w14:paraId="13BE22BB"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31%</w:t>
            </w:r>
          </w:p>
        </w:tc>
        <w:tc>
          <w:tcPr>
            <w:tcW w:w="903" w:type="dxa"/>
            <w:tcBorders>
              <w:top w:val="nil"/>
              <w:left w:val="nil"/>
              <w:bottom w:val="single" w:sz="4" w:space="0" w:color="auto"/>
              <w:right w:val="nil"/>
            </w:tcBorders>
            <w:shd w:val="clear" w:color="auto" w:fill="auto"/>
            <w:noWrap/>
            <w:vAlign w:val="bottom"/>
            <w:hideMark/>
          </w:tcPr>
          <w:p w14:paraId="00472E2A"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56%</w:t>
            </w:r>
          </w:p>
        </w:tc>
        <w:tc>
          <w:tcPr>
            <w:tcW w:w="521" w:type="dxa"/>
            <w:tcBorders>
              <w:top w:val="nil"/>
              <w:left w:val="nil"/>
              <w:bottom w:val="single" w:sz="4" w:space="0" w:color="auto"/>
              <w:right w:val="single" w:sz="4" w:space="0" w:color="auto"/>
            </w:tcBorders>
            <w:shd w:val="clear" w:color="auto" w:fill="auto"/>
            <w:noWrap/>
            <w:vAlign w:val="bottom"/>
            <w:hideMark/>
          </w:tcPr>
          <w:p w14:paraId="45C2A6A6"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1%</w:t>
            </w:r>
          </w:p>
        </w:tc>
      </w:tr>
      <w:tr w:rsidR="007F3FAA" w:rsidRPr="007F3FAA" w14:paraId="1AB06A53" w14:textId="77777777" w:rsidTr="003A33C9">
        <w:trPr>
          <w:trHeight w:val="281"/>
        </w:trPr>
        <w:tc>
          <w:tcPr>
            <w:tcW w:w="2535" w:type="dxa"/>
            <w:tcBorders>
              <w:top w:val="nil"/>
              <w:left w:val="single" w:sz="4" w:space="0" w:color="auto"/>
              <w:bottom w:val="nil"/>
              <w:right w:val="single" w:sz="4" w:space="0" w:color="auto"/>
            </w:tcBorders>
            <w:shd w:val="clear" w:color="000000" w:fill="D9D9D9"/>
            <w:noWrap/>
            <w:vAlign w:val="bottom"/>
            <w:hideMark/>
          </w:tcPr>
          <w:p w14:paraId="63B18B6C"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2018 Total Registered %</w:t>
            </w:r>
          </w:p>
        </w:tc>
        <w:tc>
          <w:tcPr>
            <w:tcW w:w="1403" w:type="dxa"/>
            <w:tcBorders>
              <w:top w:val="nil"/>
              <w:left w:val="nil"/>
              <w:bottom w:val="nil"/>
              <w:right w:val="nil"/>
            </w:tcBorders>
            <w:shd w:val="clear" w:color="000000" w:fill="D9D9D9"/>
            <w:noWrap/>
            <w:vAlign w:val="bottom"/>
            <w:hideMark/>
          </w:tcPr>
          <w:p w14:paraId="2D3EA453"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6%</w:t>
            </w:r>
          </w:p>
        </w:tc>
        <w:tc>
          <w:tcPr>
            <w:tcW w:w="1952" w:type="dxa"/>
            <w:tcBorders>
              <w:top w:val="nil"/>
              <w:left w:val="nil"/>
              <w:bottom w:val="nil"/>
              <w:right w:val="nil"/>
            </w:tcBorders>
            <w:shd w:val="clear" w:color="000000" w:fill="D9D9D9"/>
            <w:noWrap/>
            <w:vAlign w:val="bottom"/>
            <w:hideMark/>
          </w:tcPr>
          <w:p w14:paraId="5732C1D1"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10%</w:t>
            </w:r>
          </w:p>
        </w:tc>
        <w:tc>
          <w:tcPr>
            <w:tcW w:w="1465" w:type="dxa"/>
            <w:tcBorders>
              <w:top w:val="nil"/>
              <w:left w:val="nil"/>
              <w:bottom w:val="nil"/>
              <w:right w:val="nil"/>
            </w:tcBorders>
            <w:shd w:val="clear" w:color="000000" w:fill="D9D9D9"/>
            <w:noWrap/>
            <w:vAlign w:val="bottom"/>
            <w:hideMark/>
          </w:tcPr>
          <w:p w14:paraId="51425B92"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34%</w:t>
            </w:r>
          </w:p>
        </w:tc>
        <w:tc>
          <w:tcPr>
            <w:tcW w:w="903" w:type="dxa"/>
            <w:tcBorders>
              <w:top w:val="nil"/>
              <w:left w:val="nil"/>
              <w:bottom w:val="nil"/>
              <w:right w:val="nil"/>
            </w:tcBorders>
            <w:shd w:val="clear" w:color="000000" w:fill="D9D9D9"/>
            <w:noWrap/>
            <w:vAlign w:val="bottom"/>
            <w:hideMark/>
          </w:tcPr>
          <w:p w14:paraId="79BFD869"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48%</w:t>
            </w:r>
          </w:p>
        </w:tc>
        <w:tc>
          <w:tcPr>
            <w:tcW w:w="521" w:type="dxa"/>
            <w:tcBorders>
              <w:top w:val="nil"/>
              <w:left w:val="nil"/>
              <w:bottom w:val="nil"/>
              <w:right w:val="single" w:sz="4" w:space="0" w:color="auto"/>
            </w:tcBorders>
            <w:shd w:val="clear" w:color="000000" w:fill="D9D9D9"/>
            <w:noWrap/>
            <w:vAlign w:val="bottom"/>
            <w:hideMark/>
          </w:tcPr>
          <w:p w14:paraId="4FDE3552"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w:t>
            </w:r>
          </w:p>
        </w:tc>
      </w:tr>
      <w:tr w:rsidR="007F3FAA" w:rsidRPr="007F3FAA" w14:paraId="658A9B57" w14:textId="77777777" w:rsidTr="003A33C9">
        <w:trPr>
          <w:trHeight w:val="281"/>
        </w:trPr>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7CEBBC54" w14:textId="77777777" w:rsidR="007F3FAA" w:rsidRPr="007F3FAA" w:rsidRDefault="007F3FAA" w:rsidP="007F3FAA">
            <w:pPr>
              <w:spacing w:after="0" w:line="240" w:lineRule="auto"/>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2018 Total Completed %</w:t>
            </w:r>
          </w:p>
        </w:tc>
        <w:tc>
          <w:tcPr>
            <w:tcW w:w="1403" w:type="dxa"/>
            <w:tcBorders>
              <w:top w:val="nil"/>
              <w:left w:val="nil"/>
              <w:bottom w:val="single" w:sz="4" w:space="0" w:color="auto"/>
              <w:right w:val="nil"/>
            </w:tcBorders>
            <w:shd w:val="clear" w:color="auto" w:fill="auto"/>
            <w:noWrap/>
            <w:vAlign w:val="bottom"/>
            <w:hideMark/>
          </w:tcPr>
          <w:p w14:paraId="7AA4DBF9"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5%</w:t>
            </w:r>
          </w:p>
        </w:tc>
        <w:tc>
          <w:tcPr>
            <w:tcW w:w="1952" w:type="dxa"/>
            <w:tcBorders>
              <w:top w:val="nil"/>
              <w:left w:val="nil"/>
              <w:bottom w:val="single" w:sz="4" w:space="0" w:color="auto"/>
              <w:right w:val="nil"/>
            </w:tcBorders>
            <w:shd w:val="clear" w:color="auto" w:fill="auto"/>
            <w:noWrap/>
            <w:vAlign w:val="bottom"/>
            <w:hideMark/>
          </w:tcPr>
          <w:p w14:paraId="2197CA3B"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8%</w:t>
            </w:r>
          </w:p>
        </w:tc>
        <w:tc>
          <w:tcPr>
            <w:tcW w:w="1465" w:type="dxa"/>
            <w:tcBorders>
              <w:top w:val="nil"/>
              <w:left w:val="nil"/>
              <w:bottom w:val="single" w:sz="4" w:space="0" w:color="auto"/>
              <w:right w:val="nil"/>
            </w:tcBorders>
            <w:shd w:val="clear" w:color="auto" w:fill="auto"/>
            <w:noWrap/>
            <w:vAlign w:val="bottom"/>
            <w:hideMark/>
          </w:tcPr>
          <w:p w14:paraId="57360D21"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34%</w:t>
            </w:r>
          </w:p>
        </w:tc>
        <w:tc>
          <w:tcPr>
            <w:tcW w:w="903" w:type="dxa"/>
            <w:tcBorders>
              <w:top w:val="nil"/>
              <w:left w:val="nil"/>
              <w:bottom w:val="single" w:sz="4" w:space="0" w:color="auto"/>
              <w:right w:val="nil"/>
            </w:tcBorders>
            <w:shd w:val="clear" w:color="auto" w:fill="auto"/>
            <w:noWrap/>
            <w:vAlign w:val="bottom"/>
            <w:hideMark/>
          </w:tcPr>
          <w:p w14:paraId="4FA280B5"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52%</w:t>
            </w:r>
          </w:p>
        </w:tc>
        <w:tc>
          <w:tcPr>
            <w:tcW w:w="521" w:type="dxa"/>
            <w:tcBorders>
              <w:top w:val="nil"/>
              <w:left w:val="nil"/>
              <w:bottom w:val="single" w:sz="4" w:space="0" w:color="auto"/>
              <w:right w:val="single" w:sz="4" w:space="0" w:color="auto"/>
            </w:tcBorders>
            <w:shd w:val="clear" w:color="auto" w:fill="auto"/>
            <w:noWrap/>
            <w:vAlign w:val="bottom"/>
            <w:hideMark/>
          </w:tcPr>
          <w:p w14:paraId="283071CD" w14:textId="77777777" w:rsidR="007F3FAA" w:rsidRPr="007F3FAA" w:rsidRDefault="007F3FAA" w:rsidP="007F3FAA">
            <w:pPr>
              <w:spacing w:after="0" w:line="240" w:lineRule="auto"/>
              <w:jc w:val="right"/>
              <w:rPr>
                <w:rFonts w:ascii="Calibri" w:eastAsia="Times New Roman" w:hAnsi="Calibri" w:cs="Times New Roman"/>
                <w:color w:val="000000"/>
                <w:lang w:eastAsia="en-IE"/>
              </w:rPr>
            </w:pPr>
            <w:r w:rsidRPr="007F3FAA">
              <w:rPr>
                <w:rFonts w:ascii="Calibri" w:eastAsia="Times New Roman" w:hAnsi="Calibri" w:cs="Times New Roman"/>
                <w:color w:val="000000"/>
                <w:lang w:eastAsia="en-IE"/>
              </w:rPr>
              <w:t>1%</w:t>
            </w:r>
          </w:p>
        </w:tc>
      </w:tr>
    </w:tbl>
    <w:p w14:paraId="11763897" w14:textId="77777777" w:rsidR="007F3FAA" w:rsidRPr="007F3FAA" w:rsidRDefault="007F3FAA" w:rsidP="007F3FAA">
      <w:pPr>
        <w:rPr>
          <w:rFonts w:ascii="Arial" w:eastAsia="Times New Roman" w:hAnsi="Arial" w:cs="Arial"/>
          <w:sz w:val="24"/>
          <w:szCs w:val="24"/>
          <w:lang w:eastAsia="en-IE"/>
        </w:rPr>
      </w:pPr>
    </w:p>
    <w:p w14:paraId="0FCB1A3F" w14:textId="77777777" w:rsidR="007B698C" w:rsidRPr="000A5D43" w:rsidRDefault="007B698C" w:rsidP="008D7936">
      <w:pPr>
        <w:jc w:val="both"/>
        <w:rPr>
          <w:rFonts w:cs="Arial"/>
          <w:i/>
        </w:rPr>
      </w:pPr>
    </w:p>
    <w:sectPr w:rsidR="007B698C" w:rsidRPr="000A5D43" w:rsidSect="00324E33">
      <w:headerReference w:type="default" r:id="rId9"/>
      <w:footerReference w:type="even" r:id="rId10"/>
      <w:footerReference w:type="default" r:id="rId11"/>
      <w:pgSz w:w="11906" w:h="16838"/>
      <w:pgMar w:top="1440" w:right="1440" w:bottom="1440" w:left="144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7D4E3" w14:textId="77777777" w:rsidR="00CD3A82" w:rsidRDefault="00CD3A82" w:rsidP="009D240D">
      <w:pPr>
        <w:spacing w:after="0" w:line="240" w:lineRule="auto"/>
      </w:pPr>
      <w:r>
        <w:separator/>
      </w:r>
    </w:p>
  </w:endnote>
  <w:endnote w:type="continuationSeparator" w:id="0">
    <w:p w14:paraId="6D20E075" w14:textId="77777777" w:rsidR="00CD3A82" w:rsidRDefault="00CD3A82" w:rsidP="009D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22768339"/>
      <w:docPartObj>
        <w:docPartGallery w:val="Page Numbers (Bottom of Page)"/>
        <w:docPartUnique/>
      </w:docPartObj>
    </w:sdtPr>
    <w:sdtEndPr>
      <w:rPr>
        <w:rStyle w:val="PageNumber"/>
      </w:rPr>
    </w:sdtEndPr>
    <w:sdtContent>
      <w:p w14:paraId="26DF69BE" w14:textId="6448F920" w:rsidR="00EE5D14" w:rsidRDefault="00EE5D14" w:rsidP="00A149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23BB90" w14:textId="77777777" w:rsidR="00EE5D14" w:rsidRDefault="00EE5D14" w:rsidP="001816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997975"/>
      <w:docPartObj>
        <w:docPartGallery w:val="Page Numbers (Bottom of Page)"/>
        <w:docPartUnique/>
      </w:docPartObj>
    </w:sdtPr>
    <w:sdtEndPr>
      <w:rPr>
        <w:noProof/>
      </w:rPr>
    </w:sdtEndPr>
    <w:sdtContent>
      <w:p w14:paraId="5B1EB6CF" w14:textId="08DEF22E" w:rsidR="00324E33" w:rsidRDefault="00324E33">
        <w:pPr>
          <w:pStyle w:val="Footer"/>
          <w:jc w:val="center"/>
        </w:pPr>
        <w:r>
          <w:fldChar w:fldCharType="begin"/>
        </w:r>
        <w:r>
          <w:instrText xml:space="preserve"> PAGE   \* MERGEFORMAT </w:instrText>
        </w:r>
        <w:r>
          <w:fldChar w:fldCharType="separate"/>
        </w:r>
        <w:r w:rsidR="00C91BFB">
          <w:rPr>
            <w:noProof/>
          </w:rPr>
          <w:t>3</w:t>
        </w:r>
        <w:r>
          <w:rPr>
            <w:noProof/>
          </w:rPr>
          <w:fldChar w:fldCharType="end"/>
        </w:r>
      </w:p>
    </w:sdtContent>
  </w:sdt>
  <w:p w14:paraId="3233EB27" w14:textId="77777777" w:rsidR="00EE5D14" w:rsidRDefault="00EE5D14" w:rsidP="001816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D526B" w14:textId="77777777" w:rsidR="00CD3A82" w:rsidRDefault="00CD3A82" w:rsidP="009D240D">
      <w:pPr>
        <w:spacing w:after="0" w:line="240" w:lineRule="auto"/>
      </w:pPr>
      <w:r>
        <w:separator/>
      </w:r>
    </w:p>
  </w:footnote>
  <w:footnote w:type="continuationSeparator" w:id="0">
    <w:p w14:paraId="7ADF3672" w14:textId="77777777" w:rsidR="00CD3A82" w:rsidRDefault="00CD3A82" w:rsidP="009D240D">
      <w:pPr>
        <w:spacing w:after="0" w:line="240" w:lineRule="auto"/>
      </w:pPr>
      <w:r>
        <w:continuationSeparator/>
      </w:r>
    </w:p>
  </w:footnote>
  <w:footnote w:id="1">
    <w:p w14:paraId="780645ED" w14:textId="0A39AD89" w:rsidR="00EE5D14" w:rsidRPr="00031338" w:rsidRDefault="00EE5D14">
      <w:pPr>
        <w:pStyle w:val="FootnoteText"/>
        <w:rPr>
          <w:rFonts w:asciiTheme="minorHAnsi" w:hAnsiTheme="minorHAnsi" w:cs="Arial"/>
          <w:sz w:val="18"/>
          <w:szCs w:val="18"/>
        </w:rPr>
      </w:pPr>
      <w:r w:rsidRPr="00031338">
        <w:rPr>
          <w:rStyle w:val="FootnoteReference"/>
          <w:rFonts w:asciiTheme="minorHAnsi" w:hAnsiTheme="minorHAnsi"/>
          <w:sz w:val="18"/>
          <w:szCs w:val="18"/>
        </w:rPr>
        <w:footnoteRef/>
      </w:r>
      <w:r w:rsidRPr="00031338">
        <w:rPr>
          <w:rFonts w:asciiTheme="minorHAnsi" w:hAnsiTheme="minorHAnsi"/>
          <w:sz w:val="18"/>
          <w:szCs w:val="18"/>
        </w:rPr>
        <w:t xml:space="preserve"> </w:t>
      </w:r>
      <w:r w:rsidR="008911AD" w:rsidRPr="00031338">
        <w:rPr>
          <w:rFonts w:asciiTheme="minorHAnsi" w:hAnsiTheme="minorHAnsi" w:cs="Arial"/>
          <w:sz w:val="18"/>
          <w:szCs w:val="18"/>
        </w:rPr>
        <w:t xml:space="preserve">Head of Diploma Centre, </w:t>
      </w:r>
      <w:r w:rsidR="00F22B58">
        <w:rPr>
          <w:rFonts w:asciiTheme="minorHAnsi" w:hAnsiTheme="minorHAnsi" w:cs="Arial"/>
          <w:sz w:val="18"/>
          <w:szCs w:val="18"/>
        </w:rPr>
        <w:t xml:space="preserve">Solicitor, </w:t>
      </w:r>
      <w:r w:rsidR="008911AD" w:rsidRPr="00031338">
        <w:rPr>
          <w:rFonts w:asciiTheme="minorHAnsi" w:hAnsiTheme="minorHAnsi" w:cs="Arial"/>
          <w:sz w:val="18"/>
          <w:szCs w:val="18"/>
        </w:rPr>
        <w:t>Law Society of Ireland</w:t>
      </w:r>
      <w:r w:rsidR="008911AD">
        <w:rPr>
          <w:rFonts w:asciiTheme="minorHAnsi" w:hAnsiTheme="minorHAnsi" w:cs="Arial"/>
          <w:sz w:val="18"/>
          <w:szCs w:val="18"/>
        </w:rPr>
        <w:t>;</w:t>
      </w:r>
      <w:r w:rsidR="008911AD" w:rsidRPr="00031338">
        <w:rPr>
          <w:rFonts w:asciiTheme="minorHAnsi" w:hAnsiTheme="minorHAnsi" w:cs="Arial"/>
          <w:sz w:val="18"/>
          <w:szCs w:val="18"/>
        </w:rPr>
        <w:t xml:space="preserve"> </w:t>
      </w:r>
      <w:r w:rsidR="00F22B58" w:rsidRPr="00031338">
        <w:rPr>
          <w:rFonts w:asciiTheme="minorHAnsi" w:hAnsiTheme="minorHAnsi" w:cs="Arial"/>
          <w:bCs/>
          <w:sz w:val="18"/>
          <w:szCs w:val="18"/>
          <w:lang w:val="en-IE"/>
        </w:rPr>
        <w:t>Multimedia Coordinator, Diploma Centre</w:t>
      </w:r>
      <w:r w:rsidR="00F22B58">
        <w:rPr>
          <w:rFonts w:asciiTheme="minorHAnsi" w:hAnsiTheme="minorHAnsi" w:cs="Arial"/>
          <w:bCs/>
          <w:sz w:val="18"/>
          <w:szCs w:val="18"/>
          <w:lang w:val="en-IE"/>
        </w:rPr>
        <w:t xml:space="preserve">; </w:t>
      </w:r>
      <w:r w:rsidRPr="00031338">
        <w:rPr>
          <w:rFonts w:asciiTheme="minorHAnsi" w:hAnsiTheme="minorHAnsi" w:cs="Arial"/>
          <w:sz w:val="18"/>
          <w:szCs w:val="18"/>
        </w:rPr>
        <w:t xml:space="preserve">Solicitor, </w:t>
      </w:r>
      <w:r w:rsidR="00F22B58">
        <w:rPr>
          <w:rFonts w:asciiTheme="minorHAnsi" w:hAnsiTheme="minorHAnsi" w:cs="Arial"/>
          <w:sz w:val="18"/>
          <w:szCs w:val="18"/>
        </w:rPr>
        <w:t>Course Manager</w:t>
      </w:r>
      <w:r>
        <w:rPr>
          <w:rFonts w:asciiTheme="minorHAnsi" w:hAnsiTheme="minorHAnsi" w:cs="Arial"/>
          <w:sz w:val="18"/>
          <w:szCs w:val="18"/>
        </w:rPr>
        <w:t xml:space="preserve">; </w:t>
      </w:r>
      <w:r w:rsidR="007F6554">
        <w:rPr>
          <w:rFonts w:asciiTheme="minorHAnsi" w:hAnsiTheme="minorHAnsi" w:cs="Arial"/>
          <w:sz w:val="18"/>
          <w:szCs w:val="18"/>
        </w:rPr>
        <w:t xml:space="preserve">Solicitor, </w:t>
      </w:r>
      <w:r w:rsidR="00F22B58">
        <w:rPr>
          <w:rFonts w:asciiTheme="minorHAnsi" w:hAnsiTheme="minorHAnsi" w:cs="Arial"/>
          <w:sz w:val="18"/>
          <w:szCs w:val="18"/>
        </w:rPr>
        <w:t>Course</w:t>
      </w:r>
      <w:r w:rsidR="005F762B">
        <w:rPr>
          <w:rFonts w:asciiTheme="minorHAnsi" w:hAnsiTheme="minorHAnsi" w:cs="Arial"/>
          <w:sz w:val="18"/>
          <w:szCs w:val="18"/>
        </w:rPr>
        <w:t xml:space="preserve"> Manager, </w:t>
      </w:r>
      <w:r w:rsidR="005F762B" w:rsidRPr="00031338">
        <w:rPr>
          <w:rFonts w:asciiTheme="minorHAnsi" w:hAnsiTheme="minorHAnsi" w:cs="Arial"/>
          <w:sz w:val="18"/>
          <w:szCs w:val="18"/>
        </w:rPr>
        <w:t>Law Society of Ireland</w:t>
      </w:r>
      <w:r w:rsidR="005F762B">
        <w:rPr>
          <w:rFonts w:asciiTheme="minorHAnsi" w:hAnsiTheme="minorHAnsi" w:cs="Arial"/>
          <w:sz w:val="18"/>
          <w:szCs w:val="18"/>
        </w:rPr>
        <w:t>.</w:t>
      </w:r>
    </w:p>
  </w:footnote>
  <w:footnote w:id="2">
    <w:p w14:paraId="3EF0DC1F" w14:textId="6DC24E12" w:rsidR="00EE5D14" w:rsidRPr="00031338" w:rsidRDefault="00EE5D14" w:rsidP="00584F9E">
      <w:pPr>
        <w:pStyle w:val="FootnoteText"/>
        <w:snapToGrid w:val="0"/>
        <w:rPr>
          <w:rFonts w:asciiTheme="minorHAnsi" w:hAnsiTheme="minorHAnsi" w:cs="Arial"/>
          <w:sz w:val="18"/>
          <w:szCs w:val="18"/>
          <w:lang w:val="en-IE"/>
        </w:rPr>
      </w:pPr>
      <w:r w:rsidRPr="00031338">
        <w:rPr>
          <w:rStyle w:val="FootnoteReference"/>
          <w:rFonts w:asciiTheme="minorHAnsi" w:hAnsiTheme="minorHAnsi" w:cs="Arial"/>
          <w:sz w:val="18"/>
          <w:szCs w:val="18"/>
        </w:rPr>
        <w:footnoteRef/>
      </w:r>
      <w:r w:rsidRPr="00031338">
        <w:rPr>
          <w:rFonts w:asciiTheme="minorHAnsi" w:hAnsiTheme="minorHAnsi" w:cs="Arial"/>
          <w:sz w:val="18"/>
          <w:szCs w:val="18"/>
        </w:rPr>
        <w:t xml:space="preserve"> </w:t>
      </w:r>
      <w:r w:rsidRPr="00031338">
        <w:rPr>
          <w:rFonts w:asciiTheme="minorHAnsi" w:hAnsiTheme="minorHAnsi" w:cs="Arial"/>
          <w:color w:val="000000" w:themeColor="text1"/>
          <w:sz w:val="18"/>
          <w:szCs w:val="18"/>
          <w:lang w:val="en-IE" w:eastAsia="en-IE"/>
        </w:rPr>
        <w:t>The Diploma Centre, as part of the Education Department at the Law Society of Ireland</w:t>
      </w:r>
      <w:r>
        <w:rPr>
          <w:rFonts w:asciiTheme="minorHAnsi" w:hAnsiTheme="minorHAnsi" w:cs="Arial"/>
          <w:color w:val="000000" w:themeColor="text1"/>
          <w:sz w:val="18"/>
          <w:szCs w:val="18"/>
          <w:lang w:val="en-IE" w:eastAsia="en-IE"/>
        </w:rPr>
        <w:t>,</w:t>
      </w:r>
      <w:r w:rsidRPr="00031338">
        <w:rPr>
          <w:rFonts w:asciiTheme="minorHAnsi" w:hAnsiTheme="minorHAnsi" w:cs="Arial"/>
          <w:color w:val="000000" w:themeColor="text1"/>
          <w:sz w:val="18"/>
          <w:szCs w:val="18"/>
          <w:lang w:val="en-IE" w:eastAsia="en-IE"/>
        </w:rPr>
        <w:t xml:space="preserve"> has provided continuing professional legal education for over twenty years, offering a diverse range of postgraduate courses which are available both onsite and online. These courses are open to</w:t>
      </w:r>
      <w:r w:rsidR="00934F93">
        <w:rPr>
          <w:rFonts w:asciiTheme="minorHAnsi" w:hAnsiTheme="minorHAnsi" w:cs="Arial"/>
          <w:color w:val="000000" w:themeColor="text1"/>
          <w:sz w:val="18"/>
          <w:szCs w:val="18"/>
          <w:lang w:val="en-IE" w:eastAsia="en-IE"/>
        </w:rPr>
        <w:t xml:space="preserve"> </w:t>
      </w:r>
      <w:r w:rsidRPr="00031338">
        <w:rPr>
          <w:rFonts w:asciiTheme="minorHAnsi" w:hAnsiTheme="minorHAnsi" w:cs="Arial"/>
          <w:color w:val="000000" w:themeColor="text1"/>
          <w:sz w:val="18"/>
          <w:szCs w:val="18"/>
          <w:lang w:val="en-IE" w:eastAsia="en-IE"/>
        </w:rPr>
        <w:t>solicitors, trainees</w:t>
      </w:r>
      <w:r>
        <w:rPr>
          <w:rFonts w:asciiTheme="minorHAnsi" w:hAnsiTheme="minorHAnsi" w:cs="Arial"/>
          <w:color w:val="000000" w:themeColor="text1"/>
          <w:sz w:val="18"/>
          <w:szCs w:val="18"/>
          <w:lang w:val="en-IE" w:eastAsia="en-IE"/>
        </w:rPr>
        <w:t>,</w:t>
      </w:r>
      <w:r w:rsidRPr="00031338">
        <w:rPr>
          <w:rFonts w:asciiTheme="minorHAnsi" w:hAnsiTheme="minorHAnsi" w:cs="Arial"/>
          <w:color w:val="000000" w:themeColor="text1"/>
          <w:sz w:val="18"/>
          <w:szCs w:val="18"/>
          <w:lang w:val="en-IE" w:eastAsia="en-IE"/>
        </w:rPr>
        <w:t xml:space="preserve"> and barristers, with a number of courses welcoming suitably qualified non-legal professionals.</w:t>
      </w:r>
    </w:p>
  </w:footnote>
  <w:footnote w:id="3">
    <w:p w14:paraId="408D49AE" w14:textId="2E55B926" w:rsidR="00EE5D14" w:rsidRPr="00031338" w:rsidRDefault="00EE5D14">
      <w:pPr>
        <w:pStyle w:val="FootnoteText"/>
        <w:rPr>
          <w:rFonts w:asciiTheme="minorHAnsi" w:hAnsiTheme="minorHAnsi"/>
          <w:sz w:val="18"/>
          <w:szCs w:val="18"/>
          <w:lang w:val="en-IE"/>
        </w:rPr>
      </w:pPr>
      <w:r w:rsidRPr="00031338">
        <w:rPr>
          <w:rStyle w:val="FootnoteReference"/>
          <w:rFonts w:asciiTheme="minorHAnsi" w:hAnsiTheme="minorHAnsi"/>
          <w:sz w:val="18"/>
          <w:szCs w:val="18"/>
        </w:rPr>
        <w:footnoteRef/>
      </w:r>
      <w:r w:rsidRPr="00031338">
        <w:rPr>
          <w:rFonts w:asciiTheme="minorHAnsi" w:hAnsiTheme="minorHAnsi"/>
          <w:sz w:val="18"/>
          <w:szCs w:val="18"/>
        </w:rPr>
        <w:t xml:space="preserve"> </w:t>
      </w:r>
      <w:r w:rsidR="005F762B">
        <w:rPr>
          <w:rFonts w:asciiTheme="minorHAnsi" w:hAnsiTheme="minorHAnsi"/>
          <w:sz w:val="18"/>
          <w:szCs w:val="18"/>
          <w:lang w:val="en-IE"/>
        </w:rPr>
        <w:t>Awaiting publication, Law Society of Ireland.</w:t>
      </w:r>
    </w:p>
  </w:footnote>
  <w:footnote w:id="4">
    <w:p w14:paraId="4ABBD90C" w14:textId="51886C39" w:rsidR="007F3FAA" w:rsidRPr="000A5D43" w:rsidRDefault="007F3FAA">
      <w:pPr>
        <w:pStyle w:val="FootnoteText"/>
        <w:rPr>
          <w:lang w:val="en-IE"/>
        </w:rPr>
      </w:pPr>
      <w:r>
        <w:rPr>
          <w:rStyle w:val="FootnoteReference"/>
        </w:rPr>
        <w:footnoteRef/>
      </w:r>
      <w:r>
        <w:t xml:space="preserve"> </w:t>
      </w:r>
      <w:r w:rsidRPr="000A5D43">
        <w:rPr>
          <w:rFonts w:asciiTheme="minorHAnsi" w:hAnsiTheme="minorHAnsi"/>
          <w:sz w:val="18"/>
          <w:szCs w:val="18"/>
        </w:rPr>
        <w:t>Appendix A: MOOC demographic profile 2016 – 2018:</w:t>
      </w:r>
    </w:p>
  </w:footnote>
  <w:footnote w:id="5">
    <w:p w14:paraId="29C59528" w14:textId="4120D9D5" w:rsidR="00EE5D14" w:rsidRPr="00F61A48" w:rsidRDefault="00EE5D14" w:rsidP="005F762B">
      <w:pPr>
        <w:pStyle w:val="FootnoteText"/>
        <w:rPr>
          <w:rFonts w:asciiTheme="minorHAnsi" w:hAnsiTheme="minorHAnsi" w:cs="Arial"/>
          <w:sz w:val="18"/>
          <w:szCs w:val="18"/>
          <w:lang w:val="en-IE"/>
        </w:rPr>
      </w:pPr>
      <w:r w:rsidRPr="00F61A48">
        <w:rPr>
          <w:rStyle w:val="FootnoteReference"/>
          <w:rFonts w:asciiTheme="minorHAnsi" w:hAnsiTheme="minorHAnsi"/>
          <w:sz w:val="18"/>
          <w:szCs w:val="18"/>
        </w:rPr>
        <w:footnoteRef/>
      </w:r>
      <w:r w:rsidRPr="00F61A48">
        <w:rPr>
          <w:rFonts w:asciiTheme="minorHAnsi" w:hAnsiTheme="minorHAnsi"/>
          <w:sz w:val="18"/>
          <w:szCs w:val="18"/>
        </w:rPr>
        <w:t xml:space="preserve"> </w:t>
      </w:r>
      <w:r w:rsidRPr="00F61A48">
        <w:rPr>
          <w:rFonts w:asciiTheme="minorHAnsi" w:hAnsiTheme="minorHAnsi" w:cs="Arial"/>
          <w:sz w:val="18"/>
          <w:szCs w:val="18"/>
        </w:rPr>
        <w:t xml:space="preserve">Solicitor General’s Committee on Public Legal Education, ‘A Ten Year Vision for Public Legal Education’ (LawWorks, 31 October 2018), &lt;https://www.lawworks.org.uk/sites/default/files/files/10YearVisionForPLE-web.pdf&gt; </w:t>
      </w:r>
    </w:p>
  </w:footnote>
  <w:footnote w:id="6">
    <w:p w14:paraId="61833BCA" w14:textId="2B71B746" w:rsidR="00EE5D14" w:rsidRPr="005F762B" w:rsidRDefault="00EE5D14" w:rsidP="005F762B">
      <w:pPr>
        <w:spacing w:after="0" w:line="240" w:lineRule="auto"/>
        <w:rPr>
          <w:rFonts w:ascii="Arial" w:hAnsi="Arial" w:cs="Arial"/>
        </w:rPr>
      </w:pPr>
      <w:r w:rsidRPr="00B947CE">
        <w:rPr>
          <w:rStyle w:val="FootnoteReference"/>
          <w:sz w:val="18"/>
          <w:szCs w:val="18"/>
        </w:rPr>
        <w:footnoteRef/>
      </w:r>
      <w:r w:rsidRPr="00B947CE">
        <w:rPr>
          <w:sz w:val="18"/>
          <w:szCs w:val="18"/>
        </w:rPr>
        <w:t xml:space="preserve"> </w:t>
      </w:r>
      <w:r w:rsidRPr="00822C7F">
        <w:rPr>
          <w:rFonts w:cs="Arial"/>
          <w:sz w:val="18"/>
          <w:szCs w:val="18"/>
        </w:rPr>
        <w:t>Richard Grimes, ‘Evaluating legal literacy programmes – aims, challenges, models and a call to action’ (2018) 2(1) International Journal of Public Legal Education 28</w:t>
      </w:r>
      <w:r w:rsidR="005F762B">
        <w:rPr>
          <w:rFonts w:cs="Arial"/>
          <w:sz w:val="18"/>
          <w:szCs w:val="18"/>
        </w:rPr>
        <w:t>.</w:t>
      </w:r>
    </w:p>
  </w:footnote>
  <w:footnote w:id="7">
    <w:p w14:paraId="16A42901" w14:textId="58B2EBC9" w:rsidR="00EE5D14" w:rsidRPr="00F61A48" w:rsidRDefault="00EE5D14" w:rsidP="005F762B">
      <w:pPr>
        <w:pStyle w:val="FootnoteText"/>
        <w:rPr>
          <w:rFonts w:asciiTheme="minorHAnsi" w:hAnsiTheme="minorHAnsi" w:cs="Arial"/>
          <w:sz w:val="18"/>
          <w:szCs w:val="18"/>
        </w:rPr>
      </w:pPr>
      <w:r w:rsidRPr="00F61A48">
        <w:rPr>
          <w:rStyle w:val="FootnoteReference"/>
          <w:rFonts w:asciiTheme="minorHAnsi" w:hAnsiTheme="minorHAnsi"/>
          <w:sz w:val="18"/>
          <w:szCs w:val="18"/>
        </w:rPr>
        <w:footnoteRef/>
      </w:r>
      <w:r w:rsidRPr="00F61A48">
        <w:rPr>
          <w:rFonts w:asciiTheme="minorHAnsi" w:hAnsiTheme="minorHAnsi"/>
          <w:sz w:val="18"/>
          <w:szCs w:val="18"/>
        </w:rPr>
        <w:t xml:space="preserve"> </w:t>
      </w:r>
      <w:r w:rsidRPr="00F61A48">
        <w:rPr>
          <w:rFonts w:asciiTheme="minorHAnsi" w:hAnsiTheme="minorHAnsi" w:cs="Arial"/>
          <w:sz w:val="18"/>
          <w:szCs w:val="18"/>
        </w:rPr>
        <w:t xml:space="preserve">For a fuller discussion of the distinction between legal advice, legal information and legal self-help see: Ashley Falk, Michelle Korpan &amp; Noah Wernikowski, ‘Legal Information, Legal Advice &amp; Access to Justice’ (University of Saskatchewan Dean’s Forum, 1 March 2017) &lt;https://law.usask.ca/documents/research/deans-forum/Paper%201%20-%20Legal%20Information,%20Legal%20Advice%20Access%20to%20Justice%20.pdf&gt;  </w:t>
      </w:r>
    </w:p>
  </w:footnote>
  <w:footnote w:id="8">
    <w:p w14:paraId="4CE9BB33" w14:textId="3D68B69D" w:rsidR="00EE5D14" w:rsidRPr="00F61A48" w:rsidRDefault="00EE5D14" w:rsidP="005F762B">
      <w:pPr>
        <w:pStyle w:val="FootnoteText"/>
        <w:rPr>
          <w:rFonts w:asciiTheme="minorHAnsi" w:hAnsiTheme="minorHAnsi"/>
          <w:sz w:val="18"/>
          <w:szCs w:val="18"/>
          <w:lang w:val="en-IE"/>
        </w:rPr>
      </w:pPr>
      <w:r w:rsidRPr="00F61A48">
        <w:rPr>
          <w:rStyle w:val="FootnoteReference"/>
          <w:rFonts w:asciiTheme="minorHAnsi" w:hAnsiTheme="minorHAnsi"/>
          <w:sz w:val="18"/>
          <w:szCs w:val="18"/>
        </w:rPr>
        <w:footnoteRef/>
      </w:r>
      <w:r w:rsidRPr="00F61A48">
        <w:rPr>
          <w:rFonts w:asciiTheme="minorHAnsi" w:hAnsiTheme="minorHAnsi"/>
          <w:sz w:val="18"/>
          <w:szCs w:val="18"/>
        </w:rPr>
        <w:t xml:space="preserve"> </w:t>
      </w:r>
      <w:r w:rsidRPr="00F61A48">
        <w:rPr>
          <w:rFonts w:asciiTheme="minorHAnsi" w:hAnsiTheme="minorHAnsi" w:cs="Arial"/>
          <w:sz w:val="18"/>
          <w:szCs w:val="18"/>
        </w:rPr>
        <w:t>Public Legal Education and Support (PLEAS), ‘Developing capable citizens: the role of public legal education’ (</w:t>
      </w:r>
      <w:r w:rsidRPr="00F61A48">
        <w:rPr>
          <w:rFonts w:asciiTheme="minorHAnsi" w:hAnsiTheme="minorHAnsi" w:cs="Arial"/>
          <w:i/>
          <w:sz w:val="18"/>
          <w:szCs w:val="18"/>
        </w:rPr>
        <w:t>Law for Life</w:t>
      </w:r>
      <w:r w:rsidRPr="00F61A48">
        <w:rPr>
          <w:rFonts w:asciiTheme="minorHAnsi" w:hAnsiTheme="minorHAnsi" w:cs="Arial"/>
          <w:sz w:val="18"/>
          <w:szCs w:val="18"/>
        </w:rPr>
        <w:t>, July 2007) &lt;https://lawforlife.org.uk/wp-content/uploads/2013/05/pleas-task-force-report-14.pdf&gt; accessed 12 December 2018</w:t>
      </w:r>
      <w:r w:rsidRPr="00F61A48">
        <w:rPr>
          <w:rFonts w:asciiTheme="minorHAnsi" w:hAnsiTheme="minorHAnsi"/>
          <w:sz w:val="18"/>
          <w:szCs w:val="18"/>
        </w:rPr>
        <w:t xml:space="preserve"> </w:t>
      </w:r>
    </w:p>
  </w:footnote>
  <w:footnote w:id="9">
    <w:p w14:paraId="24244B41" w14:textId="6B2CE453" w:rsidR="00EE5D14" w:rsidRPr="006236F1" w:rsidRDefault="00EE5D14" w:rsidP="005F762B">
      <w:pPr>
        <w:pStyle w:val="FootnoteText"/>
        <w:snapToGrid w:val="0"/>
        <w:rPr>
          <w:rFonts w:ascii="Arial" w:hAnsi="Arial" w:cs="Arial"/>
          <w:sz w:val="16"/>
          <w:szCs w:val="16"/>
        </w:rPr>
      </w:pPr>
      <w:r w:rsidRPr="00F61A48">
        <w:rPr>
          <w:rStyle w:val="FootnoteReference"/>
          <w:rFonts w:asciiTheme="minorHAnsi" w:hAnsiTheme="minorHAnsi"/>
          <w:sz w:val="18"/>
          <w:szCs w:val="18"/>
        </w:rPr>
        <w:footnoteRef/>
      </w:r>
      <w:r w:rsidRPr="00F61A48">
        <w:rPr>
          <w:rFonts w:asciiTheme="minorHAnsi" w:hAnsiTheme="minorHAnsi" w:cs="Arial"/>
          <w:sz w:val="18"/>
          <w:szCs w:val="18"/>
        </w:rPr>
        <w:t xml:space="preserve"> Lois Gander, ‘Defining PLE’ (</w:t>
      </w:r>
      <w:r w:rsidRPr="00F61A48">
        <w:rPr>
          <w:rFonts w:asciiTheme="minorHAnsi" w:hAnsiTheme="minorHAnsi" w:cs="Arial"/>
          <w:i/>
          <w:sz w:val="18"/>
          <w:szCs w:val="18"/>
        </w:rPr>
        <w:t>Public Legal Education Canada</w:t>
      </w:r>
      <w:r w:rsidRPr="00F61A48">
        <w:rPr>
          <w:rFonts w:asciiTheme="minorHAnsi" w:hAnsiTheme="minorHAnsi" w:cs="Arial"/>
          <w:sz w:val="18"/>
          <w:szCs w:val="18"/>
        </w:rPr>
        <w:t>, 2015) &lt;</w:t>
      </w:r>
      <w:hyperlink r:id="rId1" w:history="1">
        <w:r w:rsidRPr="00F61A48">
          <w:rPr>
            <w:rFonts w:asciiTheme="minorHAnsi" w:hAnsiTheme="minorHAnsi" w:cs="Arial"/>
            <w:sz w:val="18"/>
            <w:szCs w:val="18"/>
          </w:rPr>
          <w:t>http://www.plecanada.org/what-is-ple/defining-ple</w:t>
        </w:r>
      </w:hyperlink>
      <w:r w:rsidRPr="00F61A48">
        <w:rPr>
          <w:rFonts w:asciiTheme="minorHAnsi" w:hAnsiTheme="minorHAnsi" w:cs="Arial"/>
          <w:sz w:val="18"/>
          <w:szCs w:val="18"/>
        </w:rPr>
        <w:t>&gt; accessed 12 December 2018</w:t>
      </w:r>
    </w:p>
  </w:footnote>
  <w:footnote w:id="10">
    <w:p w14:paraId="3B96E626" w14:textId="7697BAC4" w:rsidR="00EE5D14" w:rsidRPr="00B947CE" w:rsidRDefault="00EE5D14" w:rsidP="005F762B">
      <w:pPr>
        <w:pStyle w:val="FootnoteText"/>
        <w:rPr>
          <w:rFonts w:asciiTheme="minorHAnsi" w:hAnsiTheme="minorHAnsi"/>
          <w:sz w:val="18"/>
          <w:szCs w:val="18"/>
        </w:rPr>
      </w:pPr>
      <w:r w:rsidRPr="00B947CE">
        <w:rPr>
          <w:rStyle w:val="FootnoteReference"/>
          <w:rFonts w:asciiTheme="minorHAnsi" w:hAnsiTheme="minorHAnsi"/>
          <w:sz w:val="18"/>
          <w:szCs w:val="18"/>
        </w:rPr>
        <w:footnoteRef/>
      </w:r>
      <w:r w:rsidRPr="00B947CE">
        <w:rPr>
          <w:rFonts w:asciiTheme="minorHAnsi" w:hAnsiTheme="minorHAnsi"/>
          <w:sz w:val="18"/>
          <w:szCs w:val="18"/>
        </w:rPr>
        <w:t xml:space="preserve"> </w:t>
      </w:r>
      <w:r w:rsidRPr="0050312C">
        <w:rPr>
          <w:rFonts w:asciiTheme="minorHAnsi" w:hAnsiTheme="minorHAnsi" w:cs="Arial"/>
          <w:sz w:val="18"/>
          <w:szCs w:val="18"/>
        </w:rPr>
        <w:t>Richard Grimes, ‘Evaluating legal literacy programmes – aims, challenges, models and a call to action’ (2018) 2(1) International Journal of Public Legal Education 28</w:t>
      </w:r>
    </w:p>
  </w:footnote>
  <w:footnote w:id="11">
    <w:p w14:paraId="7ACFFE9D" w14:textId="5D0DE9F3" w:rsidR="005D29CA" w:rsidRDefault="005D29CA">
      <w:pPr>
        <w:pStyle w:val="FootnoteText"/>
      </w:pPr>
      <w:r>
        <w:rPr>
          <w:rStyle w:val="FootnoteReference"/>
        </w:rPr>
        <w:footnoteRef/>
      </w:r>
      <w:r>
        <w:t xml:space="preserve"> </w:t>
      </w:r>
      <w:r w:rsidRPr="005D29CA">
        <w:rPr>
          <w:rFonts w:asciiTheme="minorHAnsi" w:eastAsia="Times New Roman" w:hAnsiTheme="minorHAnsi" w:cstheme="minorHAnsi"/>
          <w:color w:val="000000"/>
          <w:sz w:val="18"/>
          <w:szCs w:val="18"/>
          <w:lang w:eastAsia="en-IE"/>
        </w:rPr>
        <w:t xml:space="preserve">Encouraged by the response to MOOCs at the Law Society of Ireland, the Law Society of Scotland ran their first MOOC in 2017. They collaborated with a large local firm who specialised in shipping law and </w:t>
      </w:r>
      <w:r w:rsidRPr="005D29CA">
        <w:rPr>
          <w:rFonts w:asciiTheme="minorHAnsi" w:eastAsia="Times New Roman" w:hAnsiTheme="minorHAnsi" w:cstheme="minorHAnsi"/>
          <w:sz w:val="18"/>
          <w:szCs w:val="18"/>
          <w:lang w:eastAsia="en-IE"/>
        </w:rPr>
        <w:t>indicate that they plan to launch another MOOC. See further: &lt;</w:t>
      </w:r>
      <w:hyperlink r:id="rId2" w:anchor=".XDyuSc_7Rok" w:history="1">
        <w:r w:rsidRPr="005D29CA">
          <w:rPr>
            <w:rStyle w:val="Hyperlink"/>
            <w:rFonts w:asciiTheme="minorHAnsi" w:eastAsia="Times New Roman" w:hAnsiTheme="minorHAnsi" w:cstheme="minorHAnsi"/>
            <w:color w:val="auto"/>
            <w:sz w:val="18"/>
            <w:szCs w:val="18"/>
            <w:u w:val="none"/>
            <w:lang w:eastAsia="en-IE"/>
          </w:rPr>
          <w:t>http://www.journalonline.co.uk/Magazine/62-12/1024127.aspx#.XDyuSc_7Rok</w:t>
        </w:r>
      </w:hyperlink>
      <w:r w:rsidRPr="005D29CA">
        <w:rPr>
          <w:rStyle w:val="Hyperlink"/>
          <w:rFonts w:asciiTheme="minorHAnsi" w:eastAsia="Times New Roman" w:hAnsiTheme="minorHAnsi" w:cstheme="minorHAnsi"/>
          <w:color w:val="auto"/>
          <w:sz w:val="18"/>
          <w:szCs w:val="18"/>
          <w:u w:val="none"/>
          <w:lang w:eastAsia="en-IE"/>
        </w:rPr>
        <w:t>&gt;</w:t>
      </w:r>
      <w:r w:rsidRPr="005D29CA">
        <w:rPr>
          <w:rFonts w:asciiTheme="minorHAnsi" w:eastAsia="Times New Roman" w:hAnsiTheme="minorHAnsi" w:cstheme="minorHAnsi"/>
          <w:sz w:val="18"/>
          <w:szCs w:val="18"/>
          <w:lang w:eastAsia="en-IE"/>
        </w:rPr>
        <w:t xml:space="preserve"> accessed 12 January 2019</w:t>
      </w:r>
    </w:p>
  </w:footnote>
  <w:footnote w:id="12">
    <w:p w14:paraId="03DDF8D1" w14:textId="5A781EEC" w:rsidR="00F22B58" w:rsidRPr="00F22B58" w:rsidRDefault="00F22B58" w:rsidP="00F22B58">
      <w:pPr>
        <w:spacing w:after="0" w:line="240" w:lineRule="auto"/>
        <w:jc w:val="both"/>
        <w:rPr>
          <w:rFonts w:cstheme="minorHAnsi"/>
          <w:i/>
          <w:sz w:val="18"/>
          <w:szCs w:val="18"/>
        </w:rPr>
      </w:pPr>
      <w:r w:rsidRPr="00F22B58">
        <w:rPr>
          <w:rStyle w:val="FootnoteReference"/>
          <w:rFonts w:cstheme="minorHAnsi"/>
          <w:sz w:val="18"/>
          <w:szCs w:val="18"/>
        </w:rPr>
        <w:footnoteRef/>
      </w:r>
      <w:r w:rsidRPr="00F22B58">
        <w:rPr>
          <w:rFonts w:cstheme="minorHAnsi"/>
          <w:sz w:val="18"/>
          <w:szCs w:val="18"/>
        </w:rPr>
        <w:t xml:space="preserve">   </w:t>
      </w:r>
      <w:hyperlink r:id="rId3" w:history="1">
        <w:r w:rsidRPr="00F22B58">
          <w:rPr>
            <w:rStyle w:val="Hyperlink"/>
            <w:rFonts w:cstheme="minorHAnsi"/>
            <w:sz w:val="18"/>
            <w:szCs w:val="18"/>
          </w:rPr>
          <w:t>https://www.americanbar.org/groups/public_education/</w:t>
        </w:r>
      </w:hyperlink>
      <w:r w:rsidRPr="00F22B58">
        <w:rPr>
          <w:rFonts w:cstheme="minorHAnsi"/>
          <w:sz w:val="18"/>
          <w:szCs w:val="18"/>
        </w:rPr>
        <w:t>)</w:t>
      </w:r>
    </w:p>
  </w:footnote>
  <w:footnote w:id="13">
    <w:p w14:paraId="2FFB410D" w14:textId="6565818F" w:rsidR="00EE5D14" w:rsidRPr="00F22B58" w:rsidRDefault="00EE5D14" w:rsidP="00F22B58">
      <w:pPr>
        <w:pStyle w:val="FootnoteText"/>
        <w:rPr>
          <w:rFonts w:asciiTheme="minorHAnsi" w:hAnsiTheme="minorHAnsi" w:cstheme="minorHAnsi"/>
          <w:sz w:val="18"/>
          <w:szCs w:val="18"/>
          <w:lang w:val="en-IE"/>
        </w:rPr>
      </w:pPr>
      <w:r w:rsidRPr="00F22B58">
        <w:rPr>
          <w:rStyle w:val="FootnoteReference"/>
          <w:rFonts w:asciiTheme="minorHAnsi" w:hAnsiTheme="minorHAnsi" w:cstheme="minorHAnsi"/>
          <w:sz w:val="18"/>
          <w:szCs w:val="18"/>
        </w:rPr>
        <w:footnoteRef/>
      </w:r>
      <w:r w:rsidRPr="00F22B58">
        <w:rPr>
          <w:rFonts w:asciiTheme="minorHAnsi" w:hAnsiTheme="minorHAnsi" w:cstheme="minorHAnsi"/>
          <w:sz w:val="18"/>
          <w:szCs w:val="18"/>
        </w:rPr>
        <w:t xml:space="preserve"> The Canadian Bar Association, ‘Public legal education and information in Canada’ (</w:t>
      </w:r>
      <w:r w:rsidRPr="00F22B58">
        <w:rPr>
          <w:rFonts w:asciiTheme="minorHAnsi" w:hAnsiTheme="minorHAnsi" w:cstheme="minorHAnsi"/>
          <w:i/>
          <w:sz w:val="18"/>
          <w:szCs w:val="18"/>
        </w:rPr>
        <w:t>The Canadian Bar Association</w:t>
      </w:r>
      <w:r w:rsidRPr="00F22B58">
        <w:rPr>
          <w:rFonts w:asciiTheme="minorHAnsi" w:hAnsiTheme="minorHAnsi" w:cstheme="minorHAnsi"/>
          <w:sz w:val="18"/>
          <w:szCs w:val="18"/>
        </w:rPr>
        <w:t>, 2018) &lt;</w:t>
      </w:r>
      <w:hyperlink r:id="rId4" w:history="1">
        <w:r w:rsidRPr="00F22B58">
          <w:rPr>
            <w:rStyle w:val="Hyperlink"/>
            <w:rFonts w:asciiTheme="minorHAnsi" w:hAnsiTheme="minorHAnsi" w:cstheme="minorHAnsi"/>
            <w:color w:val="auto"/>
            <w:sz w:val="18"/>
            <w:szCs w:val="18"/>
            <w:u w:val="none"/>
          </w:rPr>
          <w:t>http://www.cba.org/For-The-Public/Public-Legal-Education-and-Information-in-Canada</w:t>
        </w:r>
      </w:hyperlink>
      <w:r w:rsidRPr="00F22B58">
        <w:rPr>
          <w:rStyle w:val="Hyperlink"/>
          <w:rFonts w:asciiTheme="minorHAnsi" w:hAnsiTheme="minorHAnsi" w:cstheme="minorHAnsi"/>
          <w:color w:val="auto"/>
          <w:sz w:val="18"/>
          <w:szCs w:val="18"/>
          <w:u w:val="none"/>
        </w:rPr>
        <w:t>&gt;</w:t>
      </w:r>
      <w:r w:rsidRPr="00F22B58">
        <w:rPr>
          <w:rFonts w:asciiTheme="minorHAnsi" w:hAnsiTheme="minorHAnsi" w:cstheme="minorHAnsi"/>
          <w:sz w:val="18"/>
          <w:szCs w:val="18"/>
        </w:rPr>
        <w:t xml:space="preserve"> accessed 21 December 2018</w:t>
      </w:r>
    </w:p>
  </w:footnote>
  <w:footnote w:id="14">
    <w:p w14:paraId="77C5FCFE" w14:textId="27955686" w:rsidR="00EE5D14" w:rsidRPr="00F22B58" w:rsidRDefault="00EE5D14" w:rsidP="00D41734">
      <w:pPr>
        <w:shd w:val="clear" w:color="auto" w:fill="FFFFFF"/>
        <w:spacing w:after="0" w:line="240" w:lineRule="auto"/>
        <w:rPr>
          <w:rFonts w:eastAsia="Times New Roman" w:cstheme="minorHAnsi"/>
          <w:sz w:val="18"/>
          <w:szCs w:val="18"/>
          <w:lang w:eastAsia="en-IE"/>
        </w:rPr>
      </w:pPr>
      <w:r w:rsidRPr="00F22B58">
        <w:rPr>
          <w:rStyle w:val="FootnoteReference"/>
          <w:rFonts w:cstheme="minorHAnsi"/>
          <w:sz w:val="18"/>
          <w:szCs w:val="18"/>
        </w:rPr>
        <w:footnoteRef/>
      </w:r>
      <w:r w:rsidR="002723E4" w:rsidRPr="00F22B58">
        <w:rPr>
          <w:rFonts w:cstheme="minorHAnsi"/>
          <w:sz w:val="18"/>
          <w:szCs w:val="18"/>
        </w:rPr>
        <w:t xml:space="preserve"> </w:t>
      </w:r>
      <w:r w:rsidRPr="00F22B58">
        <w:rPr>
          <w:rFonts w:cstheme="minorHAnsi"/>
          <w:sz w:val="18"/>
          <w:szCs w:val="18"/>
        </w:rPr>
        <w:t>The Law Society, ‘Public legal education’ (</w:t>
      </w:r>
      <w:r w:rsidRPr="00F22B58">
        <w:rPr>
          <w:rFonts w:cstheme="minorHAnsi"/>
          <w:i/>
          <w:sz w:val="18"/>
          <w:szCs w:val="18"/>
        </w:rPr>
        <w:t>The Law Society</w:t>
      </w:r>
      <w:r w:rsidRPr="00F22B58">
        <w:rPr>
          <w:rFonts w:cstheme="minorHAnsi"/>
          <w:sz w:val="18"/>
          <w:szCs w:val="18"/>
        </w:rPr>
        <w:t>, 2018) &lt;</w:t>
      </w:r>
      <w:hyperlink r:id="rId5" w:history="1">
        <w:r w:rsidRPr="00F22B58">
          <w:rPr>
            <w:rStyle w:val="Hyperlink"/>
            <w:rFonts w:cstheme="minorHAnsi"/>
            <w:color w:val="auto"/>
            <w:sz w:val="18"/>
            <w:szCs w:val="18"/>
            <w:u w:val="none"/>
          </w:rPr>
          <w:t>https://www.lawsociety.org.uk/support-services/public-legal-education</w:t>
        </w:r>
      </w:hyperlink>
      <w:r w:rsidRPr="00F22B58">
        <w:rPr>
          <w:rStyle w:val="Hyperlink"/>
          <w:rFonts w:cstheme="minorHAnsi"/>
          <w:color w:val="auto"/>
          <w:sz w:val="18"/>
          <w:szCs w:val="18"/>
          <w:u w:val="none"/>
        </w:rPr>
        <w:t>&gt; accessed 21 December 2018</w:t>
      </w:r>
    </w:p>
  </w:footnote>
  <w:footnote w:id="15">
    <w:p w14:paraId="34DBEF42" w14:textId="201482D4" w:rsidR="00EE5D14" w:rsidRPr="0000343B" w:rsidRDefault="00EE5D14">
      <w:pPr>
        <w:pStyle w:val="FootnoteText"/>
      </w:pPr>
      <w:r w:rsidRPr="00F22B58">
        <w:rPr>
          <w:rStyle w:val="FootnoteReference"/>
          <w:rFonts w:asciiTheme="minorHAnsi" w:hAnsiTheme="minorHAnsi" w:cstheme="minorHAnsi"/>
          <w:sz w:val="18"/>
          <w:szCs w:val="18"/>
        </w:rPr>
        <w:footnoteRef/>
      </w:r>
      <w:r w:rsidRPr="00F22B58">
        <w:rPr>
          <w:rFonts w:asciiTheme="minorHAnsi" w:hAnsiTheme="minorHAnsi" w:cstheme="minorHAnsi"/>
          <w:sz w:val="18"/>
          <w:szCs w:val="18"/>
        </w:rPr>
        <w:t xml:space="preserve"> Robert Buckland QC MP</w:t>
      </w:r>
      <w:r w:rsidRPr="00F61A48">
        <w:rPr>
          <w:rFonts w:asciiTheme="minorHAnsi" w:hAnsiTheme="minorHAnsi" w:cs="Arial"/>
          <w:sz w:val="18"/>
          <w:szCs w:val="18"/>
        </w:rPr>
        <w:t xml:space="preserve"> &amp; Attorney General’s Office, ‘Our vision for legal education’ (</w:t>
      </w:r>
      <w:r w:rsidRPr="00F61A48">
        <w:rPr>
          <w:rFonts w:asciiTheme="minorHAnsi" w:hAnsiTheme="minorHAnsi" w:cs="Arial"/>
          <w:i/>
          <w:sz w:val="18"/>
          <w:szCs w:val="18"/>
        </w:rPr>
        <w:t>Government UK</w:t>
      </w:r>
      <w:r w:rsidRPr="00F61A48">
        <w:rPr>
          <w:rFonts w:asciiTheme="minorHAnsi" w:hAnsiTheme="minorHAnsi" w:cs="Arial"/>
          <w:sz w:val="18"/>
          <w:szCs w:val="18"/>
        </w:rPr>
        <w:t xml:space="preserve">, 31 October 2018) </w:t>
      </w:r>
      <w:r w:rsidR="002723E4">
        <w:rPr>
          <w:rFonts w:asciiTheme="minorHAnsi" w:hAnsiTheme="minorHAnsi" w:cs="Arial"/>
          <w:sz w:val="18"/>
          <w:szCs w:val="18"/>
        </w:rPr>
        <w:t>&lt;</w:t>
      </w:r>
      <w:r w:rsidRPr="00F61A48">
        <w:rPr>
          <w:rFonts w:asciiTheme="minorHAnsi" w:hAnsiTheme="minorHAnsi" w:cs="Arial"/>
          <w:sz w:val="18"/>
          <w:szCs w:val="18"/>
        </w:rPr>
        <w:t>https://www.gov.uk/government/news/our-vision-for-legal-education&gt; accessed 31 October 2018</w:t>
      </w:r>
    </w:p>
  </w:footnote>
  <w:footnote w:id="16">
    <w:p w14:paraId="1EA1B3AF" w14:textId="21209D68" w:rsidR="00AE3325" w:rsidRPr="00F22B58" w:rsidRDefault="00AE3325">
      <w:pPr>
        <w:pStyle w:val="FootnoteText"/>
        <w:rPr>
          <w:rFonts w:asciiTheme="minorHAnsi" w:hAnsiTheme="minorHAnsi" w:cstheme="minorHAnsi"/>
          <w:sz w:val="18"/>
          <w:szCs w:val="18"/>
          <w:lang w:val="en-IE"/>
        </w:rPr>
      </w:pPr>
      <w:r w:rsidRPr="00F22B58">
        <w:rPr>
          <w:rStyle w:val="FootnoteReference"/>
          <w:rFonts w:asciiTheme="minorHAnsi" w:hAnsiTheme="minorHAnsi" w:cstheme="minorHAnsi"/>
        </w:rPr>
        <w:footnoteRef/>
      </w:r>
      <w:r w:rsidRPr="00F22B58">
        <w:rPr>
          <w:rFonts w:asciiTheme="minorHAnsi" w:hAnsiTheme="minorHAnsi" w:cstheme="minorHAnsi"/>
        </w:rPr>
        <w:t xml:space="preserve"> </w:t>
      </w:r>
      <w:r w:rsidRPr="00F22B58">
        <w:rPr>
          <w:rFonts w:asciiTheme="minorHAnsi" w:hAnsiTheme="minorHAnsi" w:cstheme="minorHAnsi"/>
          <w:sz w:val="18"/>
          <w:szCs w:val="18"/>
          <w:lang w:val="en-IE"/>
        </w:rPr>
        <w:t>Approximately 11,000 of our 18,000 members hold practicing certificates</w:t>
      </w:r>
    </w:p>
  </w:footnote>
  <w:footnote w:id="17">
    <w:p w14:paraId="1380E310" w14:textId="6706A5D8" w:rsidR="00EE5D14" w:rsidRPr="00F22B58" w:rsidRDefault="00EE5D14">
      <w:pPr>
        <w:pStyle w:val="FootnoteText"/>
        <w:rPr>
          <w:rFonts w:asciiTheme="minorHAnsi" w:hAnsiTheme="minorHAnsi" w:cstheme="minorHAnsi"/>
          <w:sz w:val="18"/>
          <w:szCs w:val="18"/>
          <w:lang w:val="en-IE"/>
        </w:rPr>
      </w:pPr>
      <w:r w:rsidRPr="00F22B58">
        <w:rPr>
          <w:rStyle w:val="FootnoteReference"/>
          <w:rFonts w:asciiTheme="minorHAnsi" w:hAnsiTheme="minorHAnsi" w:cstheme="minorHAnsi"/>
          <w:sz w:val="18"/>
          <w:szCs w:val="18"/>
        </w:rPr>
        <w:footnoteRef/>
      </w:r>
      <w:r w:rsidRPr="00F22B58">
        <w:rPr>
          <w:rFonts w:asciiTheme="minorHAnsi" w:hAnsiTheme="minorHAnsi" w:cstheme="minorHAnsi"/>
          <w:sz w:val="18"/>
          <w:szCs w:val="18"/>
        </w:rPr>
        <w:t xml:space="preserve"> https://www.lawsociety.ie/Public/</w:t>
      </w:r>
    </w:p>
  </w:footnote>
  <w:footnote w:id="18">
    <w:p w14:paraId="43C46F4B" w14:textId="72ED32C2" w:rsidR="00EE5D14" w:rsidRPr="00F22B58" w:rsidRDefault="00EE5D14" w:rsidP="009D240D">
      <w:pPr>
        <w:pStyle w:val="FootnoteText"/>
        <w:rPr>
          <w:rFonts w:asciiTheme="minorHAnsi" w:hAnsiTheme="minorHAnsi" w:cstheme="minorHAnsi"/>
          <w:sz w:val="18"/>
          <w:szCs w:val="18"/>
          <w:lang w:val="en-IE"/>
        </w:rPr>
      </w:pPr>
      <w:r w:rsidRPr="00F22B58">
        <w:rPr>
          <w:rStyle w:val="FootnoteReference"/>
          <w:rFonts w:asciiTheme="minorHAnsi" w:hAnsiTheme="minorHAnsi" w:cstheme="minorHAnsi"/>
          <w:sz w:val="18"/>
          <w:szCs w:val="18"/>
        </w:rPr>
        <w:footnoteRef/>
      </w:r>
      <w:r w:rsidRPr="00F22B58">
        <w:rPr>
          <w:rFonts w:asciiTheme="minorHAnsi" w:hAnsiTheme="minorHAnsi" w:cstheme="minorHAnsi"/>
          <w:sz w:val="18"/>
          <w:szCs w:val="18"/>
        </w:rPr>
        <w:t xml:space="preserve"> </w:t>
      </w:r>
      <w:r w:rsidRPr="00F22B58">
        <w:rPr>
          <w:rFonts w:asciiTheme="minorHAnsi" w:hAnsiTheme="minorHAnsi" w:cstheme="minorHAnsi"/>
          <w:sz w:val="18"/>
          <w:szCs w:val="18"/>
          <w:lang w:val="en-IE"/>
        </w:rPr>
        <w:t xml:space="preserve">In Ireland, the transition year (TY) is a one-year programme offered between the Junior and Senior cycle at secondary school – see </w:t>
      </w:r>
      <w:r w:rsidR="002723E4" w:rsidRPr="00F22B58">
        <w:rPr>
          <w:rFonts w:asciiTheme="minorHAnsi" w:hAnsiTheme="minorHAnsi" w:cstheme="minorHAnsi"/>
          <w:sz w:val="18"/>
          <w:szCs w:val="18"/>
          <w:lang w:val="en-IE"/>
        </w:rPr>
        <w:t>&lt;</w:t>
      </w:r>
      <w:r w:rsidRPr="00F22B58">
        <w:rPr>
          <w:rFonts w:asciiTheme="minorHAnsi" w:hAnsiTheme="minorHAnsi" w:cstheme="minorHAnsi"/>
          <w:sz w:val="18"/>
          <w:szCs w:val="18"/>
          <w:lang w:val="en-IE"/>
        </w:rPr>
        <w:t>https://www.education.ie/en/Schools-Colleges/Info</w:t>
      </w:r>
      <w:r w:rsidRPr="00F22B58">
        <w:rPr>
          <w:rFonts w:asciiTheme="minorHAnsi" w:hAnsiTheme="minorHAnsi" w:cstheme="minorHAnsi"/>
          <w:b/>
          <w:sz w:val="18"/>
          <w:szCs w:val="18"/>
          <w:lang w:val="en-IE"/>
        </w:rPr>
        <w:t>r</w:t>
      </w:r>
      <w:r w:rsidRPr="00F22B58">
        <w:rPr>
          <w:rFonts w:asciiTheme="minorHAnsi" w:hAnsiTheme="minorHAnsi" w:cstheme="minorHAnsi"/>
          <w:sz w:val="18"/>
          <w:szCs w:val="18"/>
          <w:lang w:val="en-IE"/>
        </w:rPr>
        <w:t>mation/Curriculum-and-Syllabus/Transition-Year-/</w:t>
      </w:r>
      <w:r w:rsidR="002723E4" w:rsidRPr="00F22B58">
        <w:rPr>
          <w:rFonts w:asciiTheme="minorHAnsi" w:hAnsiTheme="minorHAnsi" w:cstheme="minorHAnsi"/>
          <w:sz w:val="18"/>
          <w:szCs w:val="18"/>
          <w:lang w:val="en-IE"/>
        </w:rPr>
        <w:t>&gt;</w:t>
      </w:r>
    </w:p>
  </w:footnote>
  <w:footnote w:id="19">
    <w:p w14:paraId="78052E09" w14:textId="01187CF5" w:rsidR="00EE5D14" w:rsidRPr="00F22B58" w:rsidRDefault="00EE5D14">
      <w:pPr>
        <w:pStyle w:val="FootnoteText"/>
        <w:rPr>
          <w:rFonts w:asciiTheme="minorHAnsi" w:hAnsiTheme="minorHAnsi" w:cstheme="minorHAnsi"/>
          <w:sz w:val="18"/>
          <w:szCs w:val="18"/>
        </w:rPr>
      </w:pPr>
      <w:r w:rsidRPr="00F22B58">
        <w:rPr>
          <w:rStyle w:val="FootnoteReference"/>
          <w:rFonts w:asciiTheme="minorHAnsi" w:hAnsiTheme="minorHAnsi" w:cstheme="minorHAnsi"/>
          <w:sz w:val="18"/>
          <w:szCs w:val="18"/>
        </w:rPr>
        <w:footnoteRef/>
      </w:r>
      <w:r w:rsidRPr="00F22B58">
        <w:rPr>
          <w:rFonts w:asciiTheme="minorHAnsi" w:hAnsiTheme="minorHAnsi" w:cstheme="minorHAnsi"/>
          <w:sz w:val="18"/>
          <w:szCs w:val="18"/>
        </w:rPr>
        <w:t xml:space="preserve"> https://www.lawsociety.ie/Public/Public-Legal-Education/streetlaw-prison/</w:t>
      </w:r>
    </w:p>
  </w:footnote>
  <w:footnote w:id="20">
    <w:p w14:paraId="59042DE1" w14:textId="7A7F1249" w:rsidR="00EE5D14" w:rsidRPr="00F22B58" w:rsidRDefault="00EE5D14">
      <w:pPr>
        <w:pStyle w:val="FootnoteText"/>
        <w:rPr>
          <w:rFonts w:asciiTheme="minorHAnsi" w:hAnsiTheme="minorHAnsi" w:cstheme="minorHAnsi"/>
          <w:sz w:val="18"/>
          <w:szCs w:val="18"/>
          <w:lang w:val="en-IE"/>
        </w:rPr>
      </w:pPr>
      <w:r w:rsidRPr="00F22B58">
        <w:rPr>
          <w:rStyle w:val="FootnoteReference"/>
          <w:rFonts w:asciiTheme="minorHAnsi" w:hAnsiTheme="minorHAnsi" w:cstheme="minorHAnsi"/>
          <w:sz w:val="18"/>
          <w:szCs w:val="18"/>
        </w:rPr>
        <w:footnoteRef/>
      </w:r>
      <w:r w:rsidRPr="00F22B58">
        <w:rPr>
          <w:rFonts w:asciiTheme="minorHAnsi" w:hAnsiTheme="minorHAnsi" w:cstheme="minorHAnsi"/>
          <w:sz w:val="18"/>
          <w:szCs w:val="18"/>
        </w:rPr>
        <w:t xml:space="preserve"> http://solas.ie/</w:t>
      </w:r>
    </w:p>
  </w:footnote>
  <w:footnote w:id="21">
    <w:p w14:paraId="025BA343" w14:textId="50F53121" w:rsidR="00EE5D14" w:rsidRPr="00F22B58" w:rsidRDefault="00EE5D14">
      <w:pPr>
        <w:pStyle w:val="FootnoteText"/>
        <w:rPr>
          <w:rFonts w:asciiTheme="minorHAnsi" w:hAnsiTheme="minorHAnsi" w:cstheme="minorHAnsi"/>
          <w:sz w:val="18"/>
          <w:szCs w:val="18"/>
          <w:lang w:val="en-IE"/>
        </w:rPr>
      </w:pPr>
      <w:r w:rsidRPr="00F22B58">
        <w:rPr>
          <w:rStyle w:val="FootnoteReference"/>
          <w:rFonts w:asciiTheme="minorHAnsi" w:hAnsiTheme="minorHAnsi" w:cstheme="minorHAnsi"/>
          <w:sz w:val="18"/>
          <w:szCs w:val="18"/>
        </w:rPr>
        <w:footnoteRef/>
      </w:r>
      <w:r w:rsidRPr="00F22B58">
        <w:rPr>
          <w:rFonts w:asciiTheme="minorHAnsi" w:hAnsiTheme="minorHAnsi" w:cstheme="minorHAnsi"/>
          <w:sz w:val="18"/>
          <w:szCs w:val="18"/>
        </w:rPr>
        <w:t xml:space="preserve"> </w:t>
      </w:r>
      <w:r w:rsidRPr="00F22B58">
        <w:rPr>
          <w:rFonts w:asciiTheme="minorHAnsi" w:hAnsiTheme="minorHAnsi" w:cstheme="minorHAnsi"/>
          <w:sz w:val="18"/>
          <w:szCs w:val="18"/>
          <w:lang w:val="en-IE"/>
        </w:rPr>
        <w:t>https://www.lawsociety.ie/futuresolicitors</w:t>
      </w:r>
    </w:p>
  </w:footnote>
  <w:footnote w:id="22">
    <w:p w14:paraId="6CA49735" w14:textId="0157D556" w:rsidR="00EE5D14" w:rsidRPr="00F22B58" w:rsidRDefault="00EE5D14">
      <w:pPr>
        <w:pStyle w:val="FootnoteText"/>
        <w:rPr>
          <w:rFonts w:asciiTheme="minorHAnsi" w:hAnsiTheme="minorHAnsi" w:cstheme="minorHAnsi"/>
          <w:sz w:val="18"/>
          <w:szCs w:val="18"/>
          <w:lang w:val="en-IE"/>
        </w:rPr>
      </w:pPr>
      <w:r w:rsidRPr="00F22B58">
        <w:rPr>
          <w:rStyle w:val="FootnoteReference"/>
          <w:rFonts w:asciiTheme="minorHAnsi" w:hAnsiTheme="minorHAnsi" w:cstheme="minorHAnsi"/>
          <w:sz w:val="18"/>
          <w:szCs w:val="18"/>
        </w:rPr>
        <w:footnoteRef/>
      </w:r>
      <w:r w:rsidRPr="00F22B58">
        <w:rPr>
          <w:rFonts w:asciiTheme="minorHAnsi" w:hAnsiTheme="minorHAnsi" w:cstheme="minorHAnsi"/>
          <w:sz w:val="18"/>
          <w:szCs w:val="18"/>
        </w:rPr>
        <w:t xml:space="preserve"> https://www.lawsociety.ie/Public/Public-Legal-Education/certificate-in-public-legal-education/</w:t>
      </w:r>
    </w:p>
  </w:footnote>
  <w:footnote w:id="23">
    <w:p w14:paraId="72345559" w14:textId="242720D6" w:rsidR="00EE5D14" w:rsidRPr="00F22B58" w:rsidRDefault="00EE5D14">
      <w:pPr>
        <w:pStyle w:val="FootnoteText"/>
        <w:rPr>
          <w:rFonts w:asciiTheme="minorHAnsi" w:hAnsiTheme="minorHAnsi" w:cstheme="minorHAnsi"/>
          <w:sz w:val="18"/>
          <w:szCs w:val="18"/>
        </w:rPr>
      </w:pPr>
      <w:r w:rsidRPr="00F22B58">
        <w:rPr>
          <w:rStyle w:val="FootnoteReference"/>
          <w:rFonts w:asciiTheme="minorHAnsi" w:hAnsiTheme="minorHAnsi" w:cstheme="minorHAnsi"/>
          <w:sz w:val="18"/>
          <w:szCs w:val="18"/>
        </w:rPr>
        <w:footnoteRef/>
      </w:r>
      <w:r w:rsidRPr="00F22B58">
        <w:rPr>
          <w:rFonts w:asciiTheme="minorHAnsi" w:hAnsiTheme="minorHAnsi" w:cstheme="minorHAnsi"/>
          <w:sz w:val="18"/>
          <w:szCs w:val="18"/>
        </w:rPr>
        <w:t xml:space="preserve"> http://futurevoices.ie/</w:t>
      </w:r>
    </w:p>
  </w:footnote>
  <w:footnote w:id="24">
    <w:p w14:paraId="5A7A47CF" w14:textId="523A06A5" w:rsidR="00EE5D14" w:rsidRPr="00F22B58" w:rsidRDefault="00EE5D14">
      <w:pPr>
        <w:pStyle w:val="FootnoteText"/>
        <w:rPr>
          <w:rFonts w:asciiTheme="minorHAnsi" w:hAnsiTheme="minorHAnsi"/>
          <w:sz w:val="18"/>
          <w:szCs w:val="18"/>
          <w:lang w:val="en-IE"/>
        </w:rPr>
      </w:pPr>
      <w:r w:rsidRPr="00F22B58">
        <w:rPr>
          <w:rStyle w:val="FootnoteReference"/>
          <w:rFonts w:asciiTheme="minorHAnsi" w:hAnsiTheme="minorHAnsi" w:cstheme="minorHAnsi"/>
          <w:sz w:val="18"/>
          <w:szCs w:val="18"/>
        </w:rPr>
        <w:footnoteRef/>
      </w:r>
      <w:r w:rsidRPr="00F22B58">
        <w:rPr>
          <w:rFonts w:asciiTheme="minorHAnsi" w:hAnsiTheme="minorHAnsi" w:cstheme="minorHAnsi"/>
          <w:sz w:val="18"/>
          <w:szCs w:val="18"/>
        </w:rPr>
        <w:t xml:space="preserve"> Sean </w:t>
      </w:r>
      <w:r w:rsidRPr="00F22B58">
        <w:rPr>
          <w:rFonts w:asciiTheme="minorHAnsi" w:hAnsiTheme="minorHAnsi" w:cstheme="minorHAnsi"/>
          <w:color w:val="111111"/>
          <w:sz w:val="18"/>
          <w:szCs w:val="18"/>
          <w:shd w:val="clear" w:color="auto" w:fill="FFFFFF"/>
        </w:rPr>
        <w:t>Arthurs, Melinda Cooperman, Jessica Gallagher, Freda Grealy, John Lunney, Rob Marrs, &amp; Richard Roe, ‘From Zero to 60: Building Belief, Capacity and Community in Street Law Instructors in One Weekend’ (2017)</w:t>
      </w:r>
      <w:r w:rsidR="00934F93" w:rsidRPr="00F22B58">
        <w:rPr>
          <w:rFonts w:asciiTheme="minorHAnsi" w:hAnsiTheme="minorHAnsi" w:cstheme="minorHAnsi"/>
          <w:color w:val="111111"/>
          <w:sz w:val="18"/>
          <w:szCs w:val="18"/>
          <w:shd w:val="clear" w:color="auto" w:fill="FFFFFF"/>
        </w:rPr>
        <w:t xml:space="preserve"> </w:t>
      </w:r>
      <w:r w:rsidRPr="00F22B58">
        <w:rPr>
          <w:rFonts w:asciiTheme="minorHAnsi" w:hAnsiTheme="minorHAnsi" w:cstheme="minorHAnsi"/>
          <w:color w:val="111111"/>
          <w:sz w:val="18"/>
          <w:szCs w:val="18"/>
          <w:shd w:val="clear" w:color="auto" w:fill="FFFFFF"/>
        </w:rPr>
        <w:t xml:space="preserve">24(2) </w:t>
      </w:r>
      <w:r w:rsidRPr="00F22B58">
        <w:rPr>
          <w:rStyle w:val="Emphasis"/>
          <w:rFonts w:asciiTheme="minorHAnsi" w:hAnsiTheme="minorHAnsi" w:cstheme="minorHAnsi"/>
          <w:i w:val="0"/>
          <w:color w:val="111111"/>
          <w:sz w:val="18"/>
          <w:szCs w:val="18"/>
          <w:shd w:val="clear" w:color="auto" w:fill="FFFFFF"/>
        </w:rPr>
        <w:t>International Journal of Clinical Legal Education,</w:t>
      </w:r>
      <w:r w:rsidRPr="00F22B58">
        <w:rPr>
          <w:rStyle w:val="Emphasis"/>
          <w:rFonts w:asciiTheme="minorHAnsi" w:hAnsiTheme="minorHAnsi" w:cstheme="minorHAnsi"/>
          <w:color w:val="111111"/>
          <w:sz w:val="18"/>
          <w:szCs w:val="18"/>
          <w:shd w:val="clear" w:color="auto" w:fill="FFFFFF"/>
        </w:rPr>
        <w:t xml:space="preserve"> </w:t>
      </w:r>
      <w:r w:rsidRPr="00F22B58">
        <w:rPr>
          <w:rFonts w:asciiTheme="minorHAnsi" w:hAnsiTheme="minorHAnsi" w:cstheme="minorHAnsi"/>
          <w:color w:val="111111"/>
          <w:sz w:val="18"/>
          <w:szCs w:val="18"/>
          <w:shd w:val="clear" w:color="auto" w:fill="FFFFFF"/>
        </w:rPr>
        <w:t>118-241</w:t>
      </w:r>
    </w:p>
  </w:footnote>
  <w:footnote w:id="25">
    <w:p w14:paraId="240DE581" w14:textId="1F17B4F1" w:rsidR="004A5F54" w:rsidRPr="000A5D43" w:rsidRDefault="004A5F54">
      <w:pPr>
        <w:pStyle w:val="FootnoteText"/>
        <w:rPr>
          <w:lang w:val="en-IE"/>
        </w:rPr>
      </w:pPr>
      <w:r>
        <w:rPr>
          <w:rStyle w:val="FootnoteReference"/>
        </w:rPr>
        <w:footnoteRef/>
      </w:r>
      <w:r>
        <w:t xml:space="preserve"> </w:t>
      </w:r>
      <w:r w:rsidRPr="000A5D43">
        <w:rPr>
          <w:rFonts w:asciiTheme="minorHAnsi" w:hAnsiTheme="minorHAnsi"/>
          <w:sz w:val="18"/>
          <w:szCs w:val="18"/>
        </w:rPr>
        <w:t xml:space="preserve">Five factors found within landmark study of three MOOCs: (1) problem-centric learning with clear exposition, (2) instructor accessibility and passion, (3) active learning, (4) peer interaction, and (5) using helpful course resources. </w:t>
      </w:r>
      <w:r w:rsidRPr="000A5D43">
        <w:rPr>
          <w:rFonts w:asciiTheme="minorHAnsi" w:hAnsiTheme="minorHAnsi"/>
          <w:sz w:val="18"/>
          <w:szCs w:val="18"/>
          <w:lang w:val="en-IE"/>
        </w:rPr>
        <w:t>Hew, K. F. (2014) ‘Promoting engagement in online courses: What strategies can we learn from three highly rated MOOCs’, British Journal of Education Technology, 47(2), pp. 320-341. doi: 10.1111/bjet.12235</w:t>
      </w:r>
    </w:p>
  </w:footnote>
  <w:footnote w:id="26">
    <w:p w14:paraId="5FEDBF59" w14:textId="24432D6B" w:rsidR="002723E4" w:rsidRPr="008C0367" w:rsidRDefault="002723E4">
      <w:pPr>
        <w:pStyle w:val="FootnoteText"/>
        <w:rPr>
          <w:rFonts w:asciiTheme="minorHAnsi" w:hAnsiTheme="minorHAnsi"/>
          <w:sz w:val="18"/>
          <w:szCs w:val="18"/>
        </w:rPr>
      </w:pPr>
      <w:r w:rsidRPr="008C0367">
        <w:rPr>
          <w:rStyle w:val="FootnoteReference"/>
          <w:rFonts w:asciiTheme="minorHAnsi" w:hAnsiTheme="minorHAnsi"/>
          <w:sz w:val="18"/>
          <w:szCs w:val="18"/>
        </w:rPr>
        <w:footnoteRef/>
      </w:r>
      <w:r w:rsidRPr="008C0367">
        <w:rPr>
          <w:rFonts w:asciiTheme="minorHAnsi" w:hAnsiTheme="minorHAnsi"/>
          <w:sz w:val="18"/>
          <w:szCs w:val="18"/>
        </w:rPr>
        <w:t xml:space="preserve"> Olaf Zawacki-Richter, Aras Bozkurt, Uthman Alturki &amp; Ahmed Aldraiweesh, ‘What Research Says About MOOCS – An Explorative Content Analysis’ (2018) 19(1)</w:t>
      </w:r>
      <w:r w:rsidR="008C0367" w:rsidRPr="008C0367">
        <w:rPr>
          <w:rFonts w:asciiTheme="minorHAnsi" w:hAnsiTheme="minorHAnsi"/>
          <w:sz w:val="18"/>
          <w:szCs w:val="18"/>
        </w:rPr>
        <w:t xml:space="preserve"> International Review of Research in Open and Distributed Learning 252</w:t>
      </w:r>
      <w:r w:rsidR="00072D7A">
        <w:rPr>
          <w:rFonts w:asciiTheme="minorHAnsi" w:hAnsiTheme="minorHAnsi"/>
          <w:sz w:val="18"/>
          <w:szCs w:val="18"/>
        </w:rPr>
        <w:t xml:space="preserve">. </w:t>
      </w:r>
      <w:r w:rsidR="00072D7A" w:rsidRPr="00072D7A">
        <w:rPr>
          <w:rFonts w:asciiTheme="minorHAnsi" w:hAnsiTheme="minorHAnsi"/>
          <w:sz w:val="18"/>
          <w:szCs w:val="18"/>
          <w:lang w:val="en-IE"/>
        </w:rPr>
        <w:t>10.19173/irrodl.v19i1.3356</w:t>
      </w:r>
    </w:p>
  </w:footnote>
  <w:footnote w:id="27">
    <w:p w14:paraId="20311A7C" w14:textId="77777777" w:rsidR="00AE3325" w:rsidRPr="00AB28B2" w:rsidRDefault="00AE3325" w:rsidP="00AE3325">
      <w:pPr>
        <w:pStyle w:val="FootnoteText"/>
        <w:rPr>
          <w:lang w:val="en-IE"/>
        </w:rPr>
      </w:pPr>
      <w:r>
        <w:rPr>
          <w:rStyle w:val="FootnoteReference"/>
        </w:rPr>
        <w:footnoteRef/>
      </w:r>
      <w:r>
        <w:t xml:space="preserve"> </w:t>
      </w:r>
      <w:r w:rsidRPr="00603B95">
        <w:rPr>
          <w:rFonts w:asciiTheme="minorHAnsi" w:hAnsiTheme="minorHAnsi"/>
          <w:sz w:val="18"/>
          <w:szCs w:val="18"/>
        </w:rPr>
        <w:t>Law Society of Ireland, ‘Corporate Social Responsibility Statement’ (</w:t>
      </w:r>
      <w:r w:rsidRPr="00603B95">
        <w:rPr>
          <w:rFonts w:asciiTheme="minorHAnsi" w:hAnsiTheme="minorHAnsi"/>
          <w:i/>
          <w:sz w:val="18"/>
          <w:szCs w:val="18"/>
        </w:rPr>
        <w:t>Law Society of Ireland</w:t>
      </w:r>
      <w:r w:rsidRPr="00603B95">
        <w:rPr>
          <w:rFonts w:asciiTheme="minorHAnsi" w:hAnsiTheme="minorHAnsi"/>
          <w:sz w:val="18"/>
          <w:szCs w:val="18"/>
        </w:rPr>
        <w:t>, 2018)</w:t>
      </w:r>
    </w:p>
  </w:footnote>
  <w:footnote w:id="28">
    <w:p w14:paraId="16D1CCBC" w14:textId="77777777" w:rsidR="00AE3325" w:rsidRPr="00AB28B2" w:rsidRDefault="00AE3325" w:rsidP="00AE3325">
      <w:pPr>
        <w:pStyle w:val="FootnoteText"/>
        <w:rPr>
          <w:rFonts w:asciiTheme="minorHAnsi" w:hAnsiTheme="minorHAnsi"/>
          <w:sz w:val="18"/>
          <w:szCs w:val="18"/>
          <w:lang w:val="en-IE"/>
        </w:rPr>
      </w:pPr>
      <w:r>
        <w:rPr>
          <w:rStyle w:val="FootnoteReference"/>
        </w:rPr>
        <w:footnoteRef/>
      </w:r>
      <w:r>
        <w:t xml:space="preserve"> </w:t>
      </w:r>
      <w:r w:rsidRPr="00AB28B2">
        <w:rPr>
          <w:rFonts w:asciiTheme="minorHAnsi" w:hAnsiTheme="minorHAnsi"/>
          <w:sz w:val="18"/>
          <w:szCs w:val="18"/>
          <w:lang w:val="en-IE"/>
        </w:rPr>
        <w:t>Department of Enterprise and Innovation</w:t>
      </w:r>
      <w:r>
        <w:rPr>
          <w:rFonts w:asciiTheme="minorHAnsi" w:hAnsiTheme="minorHAnsi"/>
          <w:sz w:val="18"/>
          <w:szCs w:val="18"/>
          <w:lang w:val="en-IE"/>
        </w:rPr>
        <w:t>,</w:t>
      </w:r>
      <w:r w:rsidRPr="00AB28B2">
        <w:rPr>
          <w:rFonts w:asciiTheme="minorHAnsi" w:hAnsiTheme="minorHAnsi"/>
          <w:sz w:val="18"/>
          <w:szCs w:val="18"/>
          <w:lang w:val="en-IE"/>
        </w:rPr>
        <w:t xml:space="preserve"> ‘Towards Responsible Business, Irelands National Plan on Corporate Social Responsibility 2017 -2020</w:t>
      </w:r>
      <w:r>
        <w:rPr>
          <w:rFonts w:asciiTheme="minorHAnsi" w:hAnsiTheme="minorHAnsi"/>
          <w:sz w:val="18"/>
          <w:szCs w:val="18"/>
          <w:lang w:val="en-IE"/>
        </w:rPr>
        <w:t>’ &lt;</w:t>
      </w:r>
      <w:r w:rsidRPr="002723E4">
        <w:rPr>
          <w:rFonts w:asciiTheme="minorHAnsi" w:hAnsiTheme="minorHAnsi"/>
          <w:sz w:val="18"/>
          <w:szCs w:val="18"/>
          <w:lang w:val="en-IE"/>
        </w:rPr>
        <w:t>https://dbei.gov.ie/en/Publications/Publication-files/Towards-Responsible-Business-Ireland%E2%80%99s-National-Plan-CSR-2017-2020.pdf</w:t>
      </w:r>
      <w:r>
        <w:rPr>
          <w:rFonts w:asciiTheme="minorHAnsi" w:hAnsiTheme="minorHAnsi"/>
          <w:sz w:val="18"/>
          <w:szCs w:val="18"/>
          <w:lang w:val="en-IE"/>
        </w:rPr>
        <w:t>&gt; accessed 21 February 2019</w:t>
      </w:r>
    </w:p>
  </w:footnote>
  <w:footnote w:id="29">
    <w:p w14:paraId="69ED561C" w14:textId="77777777" w:rsidR="00AE3325" w:rsidRPr="00603B95" w:rsidRDefault="00AE3325" w:rsidP="00AE3325">
      <w:pPr>
        <w:pStyle w:val="FootnoteText"/>
        <w:rPr>
          <w:rFonts w:asciiTheme="minorHAnsi" w:hAnsiTheme="minorHAnsi"/>
          <w:sz w:val="18"/>
          <w:szCs w:val="18"/>
          <w:lang w:val="en-IE"/>
        </w:rPr>
      </w:pPr>
      <w:r w:rsidRPr="009320EF">
        <w:rPr>
          <w:rStyle w:val="FootnoteReference"/>
          <w:rFonts w:asciiTheme="minorHAnsi" w:hAnsiTheme="minorHAnsi"/>
          <w:sz w:val="18"/>
          <w:szCs w:val="18"/>
        </w:rPr>
        <w:footnoteRef/>
      </w:r>
      <w:r w:rsidRPr="009320EF">
        <w:rPr>
          <w:rFonts w:asciiTheme="minorHAnsi" w:hAnsiTheme="minorHAnsi"/>
          <w:sz w:val="18"/>
          <w:szCs w:val="18"/>
        </w:rPr>
        <w:t xml:space="preserve"> </w:t>
      </w:r>
      <w:r w:rsidRPr="009320EF">
        <w:rPr>
          <w:rFonts w:asciiTheme="minorHAnsi" w:hAnsiTheme="minorHAnsi"/>
          <w:sz w:val="18"/>
          <w:szCs w:val="18"/>
          <w:lang w:val="en-IE"/>
        </w:rPr>
        <w:t>Approximately 11,000 of our 18,000 members hold practicing certificates.</w:t>
      </w:r>
      <w:r>
        <w:rPr>
          <w:rFonts w:asciiTheme="minorHAnsi" w:hAnsiTheme="minorHAnsi"/>
          <w:sz w:val="18"/>
          <w:szCs w:val="18"/>
          <w:lang w:val="en-IE"/>
        </w:rPr>
        <w:t xml:space="preserve"> Confusing use of certificates, diplomas.</w:t>
      </w:r>
    </w:p>
  </w:footnote>
  <w:footnote w:id="30">
    <w:p w14:paraId="0E56DB20" w14:textId="5EF30437" w:rsidR="00EE5D14" w:rsidRPr="00DF2F7A" w:rsidRDefault="00EE5D14">
      <w:pPr>
        <w:pStyle w:val="FootnoteText"/>
        <w:rPr>
          <w:rFonts w:asciiTheme="minorHAnsi" w:hAnsiTheme="minorHAnsi"/>
          <w:sz w:val="18"/>
          <w:szCs w:val="18"/>
        </w:rPr>
      </w:pPr>
      <w:r w:rsidRPr="00DF2F7A">
        <w:rPr>
          <w:rStyle w:val="FootnoteReference"/>
          <w:rFonts w:asciiTheme="minorHAnsi" w:hAnsiTheme="minorHAnsi"/>
          <w:sz w:val="18"/>
          <w:szCs w:val="18"/>
        </w:rPr>
        <w:footnoteRef/>
      </w:r>
      <w:r w:rsidRPr="00DF2F7A">
        <w:rPr>
          <w:rFonts w:asciiTheme="minorHAnsi" w:hAnsiTheme="minorHAnsi"/>
          <w:sz w:val="18"/>
          <w:szCs w:val="18"/>
        </w:rPr>
        <w:t xml:space="preserve"> </w:t>
      </w:r>
      <w:r w:rsidRPr="00DF2F7A">
        <w:rPr>
          <w:rFonts w:asciiTheme="minorHAnsi" w:hAnsiTheme="minorHAnsi"/>
          <w:sz w:val="18"/>
          <w:szCs w:val="18"/>
          <w:lang w:val="en-IE"/>
        </w:rPr>
        <w:t>Gardaí is the name for the Irish Policing Authority.</w:t>
      </w:r>
    </w:p>
  </w:footnote>
  <w:footnote w:id="31">
    <w:p w14:paraId="0E1692EF" w14:textId="78CB09A7" w:rsidR="00EE5D14" w:rsidRPr="00D03681" w:rsidRDefault="00EE5D14" w:rsidP="00D03681">
      <w:pPr>
        <w:pStyle w:val="FootnoteText"/>
        <w:rPr>
          <w:sz w:val="18"/>
          <w:szCs w:val="18"/>
          <w:lang w:val="en-IE"/>
        </w:rPr>
      </w:pPr>
      <w:r w:rsidRPr="00D03681">
        <w:rPr>
          <w:rStyle w:val="FootnoteReference"/>
          <w:sz w:val="18"/>
          <w:szCs w:val="18"/>
        </w:rPr>
        <w:footnoteRef/>
      </w:r>
      <w:r w:rsidRPr="00D03681">
        <w:rPr>
          <w:sz w:val="18"/>
          <w:szCs w:val="18"/>
        </w:rPr>
        <w:t xml:space="preserve"> </w:t>
      </w:r>
      <w:r w:rsidRPr="00D03681">
        <w:rPr>
          <w:rFonts w:asciiTheme="minorHAnsi" w:hAnsiTheme="minorHAnsi"/>
          <w:sz w:val="18"/>
          <w:szCs w:val="18"/>
        </w:rPr>
        <w:t>Times Higher Education, ‘MOOC completion rates “below 7%”’(</w:t>
      </w:r>
      <w:r w:rsidRPr="00D03681">
        <w:rPr>
          <w:rFonts w:asciiTheme="minorHAnsi" w:hAnsiTheme="minorHAnsi"/>
          <w:i/>
          <w:sz w:val="18"/>
          <w:szCs w:val="18"/>
        </w:rPr>
        <w:t>Times Higher Education</w:t>
      </w:r>
      <w:r w:rsidRPr="00D03681">
        <w:rPr>
          <w:rFonts w:asciiTheme="minorHAnsi" w:hAnsiTheme="minorHAnsi"/>
          <w:sz w:val="18"/>
          <w:szCs w:val="18"/>
        </w:rPr>
        <w:t>, 2013)</w:t>
      </w:r>
    </w:p>
  </w:footnote>
  <w:footnote w:id="32">
    <w:p w14:paraId="09DC7D61" w14:textId="60CCD662" w:rsidR="00EE5D14" w:rsidRPr="00D03681" w:rsidRDefault="00EE5D14" w:rsidP="00D03681">
      <w:pPr>
        <w:pStyle w:val="FootnoteText"/>
        <w:rPr>
          <w:sz w:val="18"/>
          <w:szCs w:val="18"/>
          <w:lang w:val="en-IE"/>
        </w:rPr>
      </w:pPr>
      <w:r w:rsidRPr="00D03681">
        <w:rPr>
          <w:rStyle w:val="FootnoteReference"/>
          <w:rFonts w:asciiTheme="minorHAnsi" w:hAnsiTheme="minorHAnsi"/>
          <w:sz w:val="18"/>
          <w:szCs w:val="18"/>
        </w:rPr>
        <w:footnoteRef/>
      </w:r>
      <w:r w:rsidRPr="00D03681">
        <w:rPr>
          <w:rFonts w:asciiTheme="minorHAnsi" w:hAnsiTheme="minorHAnsi"/>
          <w:sz w:val="18"/>
          <w:szCs w:val="18"/>
        </w:rPr>
        <w:t xml:space="preserve"> </w:t>
      </w:r>
      <w:r w:rsidRPr="00D03681">
        <w:rPr>
          <w:rFonts w:asciiTheme="minorHAnsi" w:hAnsiTheme="minorHAnsi"/>
          <w:sz w:val="18"/>
          <w:szCs w:val="18"/>
          <w:lang w:val="en-IE"/>
        </w:rPr>
        <w:t>Massachusetts Institute of Technology, ‘Study of MOOCs offers insights into online learner engagement and behavior’, (</w:t>
      </w:r>
      <w:r w:rsidRPr="00D03681">
        <w:rPr>
          <w:rFonts w:asciiTheme="minorHAnsi" w:hAnsiTheme="minorHAnsi"/>
          <w:i/>
          <w:sz w:val="18"/>
          <w:szCs w:val="18"/>
          <w:lang w:val="en-IE"/>
        </w:rPr>
        <w:t>MIT Office of Digital Learning</w:t>
      </w:r>
      <w:r w:rsidRPr="00D03681">
        <w:rPr>
          <w:rFonts w:asciiTheme="minorHAnsi" w:hAnsiTheme="minorHAnsi"/>
          <w:sz w:val="18"/>
          <w:szCs w:val="18"/>
          <w:lang w:val="en-IE"/>
        </w:rPr>
        <w:t>, 2017) &lt;</w:t>
      </w:r>
      <w:r w:rsidRPr="00D03681">
        <w:rPr>
          <w:rFonts w:asciiTheme="minorHAnsi" w:hAnsiTheme="minorHAnsi"/>
          <w:sz w:val="18"/>
          <w:szCs w:val="18"/>
        </w:rPr>
        <w:t>https://blog.edx.org/study-moocs-offers-insights-online-learner-engagement-behavior&gt; accessed 29 August 2018</w:t>
      </w:r>
    </w:p>
  </w:footnote>
  <w:footnote w:id="33">
    <w:p w14:paraId="5859D395" w14:textId="77777777" w:rsidR="004A5F54" w:rsidRPr="004A5F54" w:rsidRDefault="004A5F54" w:rsidP="004A5F54">
      <w:pPr>
        <w:pStyle w:val="FootnoteText"/>
        <w:rPr>
          <w:lang w:val="en-IE"/>
        </w:rPr>
      </w:pPr>
      <w:r>
        <w:rPr>
          <w:rStyle w:val="FootnoteReference"/>
        </w:rPr>
        <w:footnoteRef/>
      </w:r>
      <w:r>
        <w:t xml:space="preserve"> </w:t>
      </w:r>
      <w:r w:rsidRPr="004A5F54">
        <w:rPr>
          <w:lang w:val="en-IE"/>
        </w:rPr>
        <w:t>Porter, S. (2015) ‘The economics of MOOCs: A sustainable future?’, The Bottom Line, 28(1/2), pp. 52-62. doi: 10.1108/BL-12-2014-0035</w:t>
      </w:r>
    </w:p>
    <w:p w14:paraId="7945A8A8" w14:textId="1FBFABF2" w:rsidR="004A5F54" w:rsidRPr="000A5D43" w:rsidRDefault="004A5F54">
      <w:pPr>
        <w:pStyle w:val="FootnoteText"/>
        <w:rPr>
          <w:lang w:val="en-IE"/>
        </w:rPr>
      </w:pPr>
    </w:p>
  </w:footnote>
  <w:footnote w:id="34">
    <w:p w14:paraId="6738F067" w14:textId="30ED1C49" w:rsidR="00EE5D14" w:rsidRPr="005C7788" w:rsidRDefault="00EE5D14" w:rsidP="005C7788">
      <w:pPr>
        <w:pStyle w:val="Default"/>
        <w:pBdr>
          <w:top w:val="nil"/>
          <w:left w:val="nil"/>
          <w:bottom w:val="nil"/>
          <w:right w:val="nil"/>
          <w:between w:val="nil"/>
          <w:bar w:val="nil"/>
        </w:pBdr>
        <w:rPr>
          <w:rFonts w:asciiTheme="minorHAnsi" w:eastAsia="Arial" w:hAnsiTheme="minorHAnsi" w:cs="Arial"/>
          <w:color w:val="222222"/>
          <w:sz w:val="18"/>
          <w:szCs w:val="18"/>
        </w:rPr>
      </w:pPr>
      <w:r w:rsidRPr="00A90FC1">
        <w:rPr>
          <w:rFonts w:asciiTheme="minorHAnsi" w:hAnsiTheme="minorHAnsi"/>
          <w:sz w:val="18"/>
          <w:szCs w:val="18"/>
          <w:vertAlign w:val="superscript"/>
        </w:rPr>
        <w:footnoteRef/>
      </w:r>
      <w:r w:rsidRPr="00A90FC1">
        <w:rPr>
          <w:rFonts w:asciiTheme="minorHAnsi" w:hAnsiTheme="minorHAnsi"/>
          <w:sz w:val="18"/>
          <w:szCs w:val="18"/>
        </w:rPr>
        <w:t xml:space="preserve"> </w:t>
      </w:r>
      <w:r>
        <w:rPr>
          <w:rFonts w:asciiTheme="minorHAnsi" w:hAnsiTheme="minorHAnsi"/>
          <w:sz w:val="18"/>
          <w:szCs w:val="18"/>
        </w:rPr>
        <w:t xml:space="preserve">Rebecca A. </w:t>
      </w:r>
      <w:r w:rsidRPr="00A90FC1">
        <w:rPr>
          <w:rFonts w:asciiTheme="minorHAnsi" w:hAnsiTheme="minorHAnsi"/>
          <w:color w:val="222222"/>
          <w:sz w:val="18"/>
          <w:szCs w:val="18"/>
        </w:rPr>
        <w:t xml:space="preserve">Croxton </w:t>
      </w:r>
      <w:r>
        <w:rPr>
          <w:rFonts w:asciiTheme="minorHAnsi" w:hAnsiTheme="minorHAnsi"/>
          <w:color w:val="222222"/>
          <w:sz w:val="18"/>
          <w:szCs w:val="18"/>
        </w:rPr>
        <w:t xml:space="preserve">and Anthony S. </w:t>
      </w:r>
      <w:r w:rsidRPr="00A90FC1">
        <w:rPr>
          <w:rFonts w:asciiTheme="minorHAnsi" w:hAnsiTheme="minorHAnsi"/>
          <w:color w:val="222222"/>
          <w:sz w:val="18"/>
          <w:szCs w:val="18"/>
        </w:rPr>
        <w:t>Chow</w:t>
      </w:r>
      <w:r>
        <w:rPr>
          <w:rFonts w:asciiTheme="minorHAnsi" w:hAnsiTheme="minorHAnsi"/>
          <w:color w:val="222222"/>
          <w:sz w:val="18"/>
          <w:szCs w:val="18"/>
        </w:rPr>
        <w:t>,</w:t>
      </w:r>
      <w:r w:rsidRPr="00A90FC1">
        <w:rPr>
          <w:rFonts w:asciiTheme="minorHAnsi" w:hAnsiTheme="minorHAnsi"/>
          <w:color w:val="222222"/>
          <w:sz w:val="18"/>
          <w:szCs w:val="18"/>
        </w:rPr>
        <w:t xml:space="preserve"> </w:t>
      </w:r>
      <w:r>
        <w:rPr>
          <w:rFonts w:asciiTheme="minorHAnsi" w:hAnsiTheme="minorHAnsi"/>
          <w:color w:val="222222"/>
          <w:sz w:val="18"/>
          <w:szCs w:val="18"/>
        </w:rPr>
        <w:t>‘</w:t>
      </w:r>
      <w:r w:rsidRPr="00A90FC1">
        <w:rPr>
          <w:rFonts w:asciiTheme="minorHAnsi" w:hAnsiTheme="minorHAnsi"/>
          <w:color w:val="222222"/>
          <w:sz w:val="18"/>
          <w:szCs w:val="18"/>
        </w:rPr>
        <w:t>Using Addie and systems thinking as the framework for developing a MOOC: a case study</w:t>
      </w:r>
      <w:r>
        <w:rPr>
          <w:rFonts w:asciiTheme="minorHAnsi" w:hAnsiTheme="minorHAnsi"/>
          <w:color w:val="222222"/>
          <w:sz w:val="18"/>
          <w:szCs w:val="18"/>
        </w:rPr>
        <w:t>’</w:t>
      </w:r>
      <w:r w:rsidRPr="00A90FC1">
        <w:rPr>
          <w:rFonts w:asciiTheme="minorHAnsi" w:hAnsiTheme="minorHAnsi"/>
          <w:color w:val="222222"/>
          <w:sz w:val="18"/>
          <w:szCs w:val="18"/>
        </w:rPr>
        <w:t xml:space="preserve"> </w:t>
      </w:r>
      <w:r>
        <w:rPr>
          <w:rFonts w:asciiTheme="minorHAnsi" w:hAnsiTheme="minorHAnsi"/>
          <w:color w:val="222222"/>
          <w:sz w:val="18"/>
          <w:szCs w:val="18"/>
        </w:rPr>
        <w:t xml:space="preserve">(2015) 16(4) </w:t>
      </w:r>
      <w:r w:rsidRPr="000757F1">
        <w:rPr>
          <w:rFonts w:asciiTheme="minorHAnsi" w:hAnsiTheme="minorHAnsi"/>
          <w:iCs/>
          <w:color w:val="222222"/>
          <w:sz w:val="18"/>
          <w:szCs w:val="18"/>
        </w:rPr>
        <w:t>Quarterly Review of Distance Education</w:t>
      </w:r>
      <w:r w:rsidRPr="00A90FC1">
        <w:rPr>
          <w:rFonts w:asciiTheme="minorHAnsi" w:hAnsiTheme="minorHAnsi"/>
          <w:color w:val="222222"/>
          <w:sz w:val="18"/>
          <w:szCs w:val="18"/>
        </w:rPr>
        <w:t xml:space="preserve"> 83</w:t>
      </w:r>
      <w:r>
        <w:rPr>
          <w:rFonts w:asciiTheme="minorHAnsi" w:hAnsiTheme="minorHAnsi"/>
          <w:color w:val="222222"/>
          <w:sz w:val="18"/>
          <w:szCs w:val="18"/>
        </w:rPr>
        <w:t xml:space="preserve">; Norazah </w:t>
      </w:r>
      <w:r w:rsidRPr="000757F1">
        <w:rPr>
          <w:rFonts w:asciiTheme="minorHAnsi" w:hAnsiTheme="minorHAnsi"/>
          <w:color w:val="222222"/>
          <w:sz w:val="18"/>
          <w:szCs w:val="18"/>
          <w:lang w:val="en-IE"/>
        </w:rPr>
        <w:t xml:space="preserve">Nordin, </w:t>
      </w:r>
      <w:r>
        <w:rPr>
          <w:rFonts w:asciiTheme="minorHAnsi" w:hAnsiTheme="minorHAnsi"/>
          <w:color w:val="222222"/>
          <w:sz w:val="18"/>
          <w:szCs w:val="18"/>
          <w:lang w:val="en-IE"/>
        </w:rPr>
        <w:t xml:space="preserve">Mohamed Amin </w:t>
      </w:r>
      <w:r w:rsidRPr="000757F1">
        <w:rPr>
          <w:rFonts w:asciiTheme="minorHAnsi" w:hAnsiTheme="minorHAnsi"/>
          <w:color w:val="222222"/>
          <w:sz w:val="18"/>
          <w:szCs w:val="18"/>
          <w:lang w:val="en-IE"/>
        </w:rPr>
        <w:t xml:space="preserve">Embi, &amp; </w:t>
      </w:r>
      <w:r>
        <w:rPr>
          <w:rFonts w:asciiTheme="minorHAnsi" w:hAnsiTheme="minorHAnsi"/>
          <w:color w:val="222222"/>
          <w:sz w:val="18"/>
          <w:szCs w:val="18"/>
          <w:lang w:val="en-IE"/>
        </w:rPr>
        <w:t xml:space="preserve">Helmi </w:t>
      </w:r>
      <w:r w:rsidRPr="000757F1">
        <w:rPr>
          <w:rFonts w:asciiTheme="minorHAnsi" w:hAnsiTheme="minorHAnsi"/>
          <w:color w:val="222222"/>
          <w:sz w:val="18"/>
          <w:szCs w:val="18"/>
          <w:lang w:val="en-IE"/>
        </w:rPr>
        <w:t>Norman</w:t>
      </w:r>
      <w:r>
        <w:rPr>
          <w:rFonts w:asciiTheme="minorHAnsi" w:hAnsiTheme="minorHAnsi"/>
          <w:color w:val="222222"/>
          <w:sz w:val="18"/>
          <w:szCs w:val="18"/>
          <w:lang w:val="en-IE"/>
        </w:rPr>
        <w:t>,</w:t>
      </w:r>
      <w:r w:rsidRPr="000757F1">
        <w:rPr>
          <w:rFonts w:asciiTheme="minorHAnsi" w:hAnsiTheme="minorHAnsi"/>
          <w:color w:val="222222"/>
          <w:sz w:val="18"/>
          <w:szCs w:val="18"/>
          <w:lang w:val="en-IE"/>
        </w:rPr>
        <w:t xml:space="preserve"> </w:t>
      </w:r>
      <w:r>
        <w:rPr>
          <w:rFonts w:asciiTheme="minorHAnsi" w:hAnsiTheme="minorHAnsi"/>
          <w:color w:val="222222"/>
          <w:sz w:val="18"/>
          <w:szCs w:val="18"/>
          <w:lang w:val="en-IE"/>
        </w:rPr>
        <w:t>‘</w:t>
      </w:r>
      <w:r w:rsidRPr="00A90FC1">
        <w:rPr>
          <w:rFonts w:asciiTheme="minorHAnsi" w:hAnsiTheme="minorHAnsi"/>
          <w:color w:val="222222"/>
          <w:sz w:val="18"/>
          <w:szCs w:val="18"/>
        </w:rPr>
        <w:t>Towards Envisioning the Future of Learning in Malaysia: Development of a Malaysia MOOC</w:t>
      </w:r>
      <w:r>
        <w:rPr>
          <w:rFonts w:asciiTheme="minorHAnsi" w:hAnsiTheme="minorHAnsi"/>
          <w:color w:val="222222"/>
          <w:sz w:val="18"/>
          <w:szCs w:val="18"/>
        </w:rPr>
        <w:t>:</w:t>
      </w:r>
      <w:r w:rsidRPr="00A90FC1">
        <w:rPr>
          <w:rFonts w:asciiTheme="minorHAnsi" w:hAnsiTheme="minorHAnsi"/>
          <w:color w:val="222222"/>
          <w:sz w:val="18"/>
          <w:szCs w:val="18"/>
        </w:rPr>
        <w:t xml:space="preserve"> Based on the Iterative ADDIE Instructional Design Framework</w:t>
      </w:r>
      <w:r>
        <w:rPr>
          <w:rFonts w:asciiTheme="minorHAnsi" w:hAnsiTheme="minorHAnsi"/>
          <w:color w:val="222222"/>
          <w:sz w:val="18"/>
          <w:szCs w:val="18"/>
        </w:rPr>
        <w:t>’</w:t>
      </w:r>
      <w:r w:rsidRPr="00A90FC1">
        <w:rPr>
          <w:rFonts w:asciiTheme="minorHAnsi" w:hAnsiTheme="minorHAnsi"/>
          <w:color w:val="222222"/>
          <w:sz w:val="18"/>
          <w:szCs w:val="18"/>
        </w:rPr>
        <w:t xml:space="preserve"> </w:t>
      </w:r>
      <w:r>
        <w:rPr>
          <w:rFonts w:asciiTheme="minorHAnsi" w:hAnsiTheme="minorHAnsi"/>
          <w:color w:val="222222"/>
          <w:sz w:val="18"/>
          <w:szCs w:val="18"/>
        </w:rPr>
        <w:t>in</w:t>
      </w:r>
      <w:r w:rsidRPr="00A90FC1">
        <w:rPr>
          <w:rFonts w:asciiTheme="minorHAnsi" w:hAnsiTheme="minorHAnsi"/>
          <w:color w:val="222222"/>
          <w:sz w:val="18"/>
          <w:szCs w:val="18"/>
        </w:rPr>
        <w:t xml:space="preserve"> </w:t>
      </w:r>
      <w:r w:rsidRPr="00A90FC1">
        <w:rPr>
          <w:rFonts w:asciiTheme="minorHAnsi" w:hAnsiTheme="minorHAnsi"/>
          <w:i/>
          <w:iCs/>
          <w:color w:val="222222"/>
          <w:sz w:val="18"/>
          <w:szCs w:val="18"/>
        </w:rPr>
        <w:t>Envisioning the Future of Online Learning</w:t>
      </w:r>
      <w:r w:rsidRPr="00E44378">
        <w:rPr>
          <w:rFonts w:asciiTheme="minorHAnsi" w:hAnsiTheme="minorHAnsi"/>
          <w:color w:val="222222"/>
          <w:sz w:val="18"/>
          <w:szCs w:val="18"/>
          <w:lang w:val="en-GB"/>
        </w:rPr>
        <w:t xml:space="preserve"> (Springer 2016) 269-279</w:t>
      </w:r>
    </w:p>
  </w:footnote>
  <w:footnote w:id="35">
    <w:p w14:paraId="6AA96291" w14:textId="045D1A49" w:rsidR="00EE5D14" w:rsidRPr="0069334A" w:rsidRDefault="00EE5D14" w:rsidP="005C7788">
      <w:pPr>
        <w:pStyle w:val="FootnoteText"/>
        <w:rPr>
          <w:rFonts w:asciiTheme="minorHAnsi" w:hAnsiTheme="minorHAnsi" w:cstheme="minorHAnsi"/>
          <w:sz w:val="18"/>
          <w:szCs w:val="18"/>
          <w:lang w:val="en-IE"/>
        </w:rPr>
      </w:pPr>
      <w:r w:rsidRPr="0069334A">
        <w:rPr>
          <w:rStyle w:val="FootnoteReference"/>
          <w:rFonts w:asciiTheme="minorHAnsi" w:hAnsiTheme="minorHAnsi" w:cstheme="minorHAnsi"/>
          <w:sz w:val="18"/>
          <w:szCs w:val="18"/>
        </w:rPr>
        <w:footnoteRef/>
      </w:r>
      <w:r w:rsidRPr="0069334A">
        <w:rPr>
          <w:rFonts w:asciiTheme="minorHAnsi" w:hAnsiTheme="minorHAnsi" w:cstheme="minorHAnsi"/>
          <w:sz w:val="18"/>
          <w:szCs w:val="18"/>
        </w:rPr>
        <w:t xml:space="preserve"> </w:t>
      </w:r>
      <w:r>
        <w:rPr>
          <w:rFonts w:asciiTheme="minorHAnsi" w:hAnsiTheme="minorHAnsi" w:cstheme="minorHAnsi"/>
          <w:sz w:val="18"/>
          <w:szCs w:val="18"/>
        </w:rPr>
        <w:t xml:space="preserve">Anoush </w:t>
      </w:r>
      <w:r w:rsidRPr="0069334A">
        <w:rPr>
          <w:rFonts w:asciiTheme="minorHAnsi" w:hAnsiTheme="minorHAnsi" w:cstheme="minorHAnsi"/>
          <w:sz w:val="18"/>
          <w:szCs w:val="18"/>
        </w:rPr>
        <w:t xml:space="preserve">Margaryan, </w:t>
      </w:r>
      <w:r>
        <w:rPr>
          <w:rFonts w:asciiTheme="minorHAnsi" w:hAnsiTheme="minorHAnsi" w:cstheme="minorHAnsi"/>
          <w:sz w:val="18"/>
          <w:szCs w:val="18"/>
        </w:rPr>
        <w:t xml:space="preserve">Manuela </w:t>
      </w:r>
      <w:r w:rsidRPr="0069334A">
        <w:rPr>
          <w:rFonts w:asciiTheme="minorHAnsi" w:hAnsiTheme="minorHAnsi" w:cstheme="minorHAnsi"/>
          <w:sz w:val="18"/>
          <w:szCs w:val="18"/>
        </w:rPr>
        <w:t xml:space="preserve">Bianco &amp; </w:t>
      </w:r>
      <w:r>
        <w:rPr>
          <w:rFonts w:asciiTheme="minorHAnsi" w:hAnsiTheme="minorHAnsi" w:cstheme="minorHAnsi"/>
          <w:sz w:val="18"/>
          <w:szCs w:val="18"/>
        </w:rPr>
        <w:t xml:space="preserve">Allison </w:t>
      </w:r>
      <w:r w:rsidRPr="0069334A">
        <w:rPr>
          <w:rFonts w:asciiTheme="minorHAnsi" w:hAnsiTheme="minorHAnsi" w:cstheme="minorHAnsi"/>
          <w:sz w:val="18"/>
          <w:szCs w:val="18"/>
        </w:rPr>
        <w:t xml:space="preserve">Littlejohn, </w:t>
      </w:r>
      <w:r>
        <w:rPr>
          <w:rFonts w:asciiTheme="minorHAnsi" w:hAnsiTheme="minorHAnsi" w:cstheme="minorHAnsi"/>
          <w:sz w:val="18"/>
          <w:szCs w:val="18"/>
        </w:rPr>
        <w:t>‘</w:t>
      </w:r>
      <w:r w:rsidRPr="0069334A">
        <w:rPr>
          <w:rFonts w:asciiTheme="minorHAnsi" w:hAnsiTheme="minorHAnsi" w:cstheme="minorHAnsi"/>
          <w:sz w:val="18"/>
          <w:szCs w:val="18"/>
        </w:rPr>
        <w:t>Instructional quality of massive open online courses</w:t>
      </w:r>
      <w:r>
        <w:rPr>
          <w:rFonts w:asciiTheme="minorHAnsi" w:hAnsiTheme="minorHAnsi" w:cstheme="minorHAnsi"/>
          <w:sz w:val="18"/>
          <w:szCs w:val="18"/>
        </w:rPr>
        <w:t xml:space="preserve"> </w:t>
      </w:r>
      <w:r w:rsidRPr="0069334A">
        <w:rPr>
          <w:rFonts w:asciiTheme="minorHAnsi" w:hAnsiTheme="minorHAnsi" w:cstheme="minorHAnsi"/>
          <w:sz w:val="18"/>
          <w:szCs w:val="18"/>
        </w:rPr>
        <w:t>(MOOCs)</w:t>
      </w:r>
      <w:r>
        <w:rPr>
          <w:rFonts w:asciiTheme="minorHAnsi" w:hAnsiTheme="minorHAnsi" w:cstheme="minorHAnsi"/>
          <w:sz w:val="18"/>
          <w:szCs w:val="18"/>
        </w:rPr>
        <w:t>’</w:t>
      </w:r>
      <w:r w:rsidRPr="0069334A">
        <w:rPr>
          <w:rFonts w:asciiTheme="minorHAnsi" w:hAnsiTheme="minorHAnsi" w:cstheme="minorHAnsi"/>
          <w:sz w:val="18"/>
          <w:szCs w:val="18"/>
        </w:rPr>
        <w:t xml:space="preserve"> </w:t>
      </w:r>
      <w:r>
        <w:rPr>
          <w:rFonts w:asciiTheme="minorHAnsi" w:hAnsiTheme="minorHAnsi" w:cstheme="minorHAnsi"/>
          <w:sz w:val="18"/>
          <w:szCs w:val="18"/>
        </w:rPr>
        <w:t xml:space="preserve">(2015) 80 </w:t>
      </w:r>
      <w:r w:rsidRPr="0069334A">
        <w:rPr>
          <w:rFonts w:asciiTheme="minorHAnsi" w:hAnsiTheme="minorHAnsi" w:cstheme="minorHAnsi"/>
          <w:sz w:val="18"/>
          <w:szCs w:val="18"/>
        </w:rPr>
        <w:t>Computers &amp; Education</w:t>
      </w:r>
      <w:r>
        <w:rPr>
          <w:rFonts w:asciiTheme="minorHAnsi" w:hAnsiTheme="minorHAnsi" w:cstheme="minorHAnsi"/>
          <w:sz w:val="18"/>
          <w:szCs w:val="18"/>
        </w:rPr>
        <w:t xml:space="preserve"> </w:t>
      </w:r>
      <w:r w:rsidRPr="0069334A">
        <w:rPr>
          <w:rFonts w:asciiTheme="minorHAnsi" w:hAnsiTheme="minorHAnsi" w:cstheme="minorHAnsi"/>
          <w:sz w:val="18"/>
          <w:szCs w:val="18"/>
        </w:rPr>
        <w:t>77. doi: 10.1016/j.compedu.2014.08.005</w:t>
      </w:r>
    </w:p>
  </w:footnote>
  <w:footnote w:id="36">
    <w:p w14:paraId="780A096E" w14:textId="00B38525" w:rsidR="00EE5D14" w:rsidRPr="00BE0F25" w:rsidRDefault="00EE5D14" w:rsidP="005C7788">
      <w:pPr>
        <w:pStyle w:val="FootnoteText"/>
        <w:rPr>
          <w:rFonts w:asciiTheme="minorHAnsi" w:hAnsiTheme="minorHAnsi"/>
          <w:sz w:val="18"/>
          <w:szCs w:val="18"/>
          <w:lang w:val="en-IE"/>
        </w:rPr>
      </w:pPr>
      <w:r w:rsidRPr="00BE0F25">
        <w:rPr>
          <w:rStyle w:val="FootnoteReference"/>
          <w:rFonts w:asciiTheme="minorHAnsi" w:hAnsiTheme="minorHAnsi"/>
          <w:sz w:val="18"/>
          <w:szCs w:val="18"/>
        </w:rPr>
        <w:footnoteRef/>
      </w:r>
      <w:r w:rsidRPr="00BE0F25">
        <w:rPr>
          <w:rFonts w:asciiTheme="minorHAnsi" w:hAnsiTheme="minorHAnsi"/>
          <w:sz w:val="18"/>
          <w:szCs w:val="18"/>
        </w:rPr>
        <w:t xml:space="preserve"> https://enovation.ie/</w:t>
      </w:r>
    </w:p>
  </w:footnote>
  <w:footnote w:id="37">
    <w:p w14:paraId="1C040E0A" w14:textId="77777777" w:rsidR="004A759A" w:rsidRPr="00F8004C" w:rsidRDefault="004A759A" w:rsidP="004A759A">
      <w:pPr>
        <w:pStyle w:val="FootnoteText"/>
        <w:rPr>
          <w:rFonts w:asciiTheme="minorHAnsi" w:hAnsiTheme="minorHAnsi"/>
          <w:sz w:val="18"/>
          <w:szCs w:val="18"/>
          <w:lang w:val="en-IE"/>
        </w:rPr>
      </w:pPr>
      <w:r w:rsidRPr="0025023E">
        <w:rPr>
          <w:rStyle w:val="FootnoteReference"/>
          <w:rFonts w:asciiTheme="minorHAnsi" w:hAnsiTheme="minorHAnsi"/>
          <w:sz w:val="18"/>
          <w:szCs w:val="18"/>
        </w:rPr>
        <w:footnoteRef/>
      </w:r>
      <w:r w:rsidRPr="0025023E">
        <w:rPr>
          <w:rFonts w:asciiTheme="minorHAnsi" w:hAnsiTheme="minorHAnsi"/>
          <w:sz w:val="18"/>
          <w:szCs w:val="18"/>
        </w:rPr>
        <w:t xml:space="preserve"> </w:t>
      </w:r>
      <w:r>
        <w:rPr>
          <w:rFonts w:asciiTheme="minorHAnsi" w:hAnsiTheme="minorHAnsi"/>
          <w:sz w:val="18"/>
          <w:szCs w:val="18"/>
        </w:rPr>
        <w:t xml:space="preserve">Joe </w:t>
      </w:r>
      <w:r w:rsidRPr="0025023E">
        <w:rPr>
          <w:rFonts w:asciiTheme="minorHAnsi" w:hAnsiTheme="minorHAnsi"/>
          <w:sz w:val="18"/>
          <w:szCs w:val="18"/>
        </w:rPr>
        <w:t xml:space="preserve">Warren, </w:t>
      </w:r>
      <w:r>
        <w:rPr>
          <w:rFonts w:asciiTheme="minorHAnsi" w:hAnsiTheme="minorHAnsi"/>
          <w:sz w:val="18"/>
          <w:szCs w:val="18"/>
        </w:rPr>
        <w:t xml:space="preserve">Scott </w:t>
      </w:r>
      <w:r w:rsidRPr="0025023E">
        <w:rPr>
          <w:rFonts w:asciiTheme="minorHAnsi" w:hAnsiTheme="minorHAnsi"/>
          <w:sz w:val="18"/>
          <w:szCs w:val="18"/>
        </w:rPr>
        <w:t xml:space="preserve">Rixner, </w:t>
      </w:r>
      <w:r>
        <w:rPr>
          <w:rFonts w:asciiTheme="minorHAnsi" w:hAnsiTheme="minorHAnsi"/>
          <w:sz w:val="18"/>
          <w:szCs w:val="18"/>
        </w:rPr>
        <w:t xml:space="preserve">John </w:t>
      </w:r>
      <w:r w:rsidRPr="0025023E">
        <w:rPr>
          <w:rFonts w:asciiTheme="minorHAnsi" w:hAnsiTheme="minorHAnsi"/>
          <w:sz w:val="18"/>
          <w:szCs w:val="18"/>
        </w:rPr>
        <w:t xml:space="preserve">Greiner &amp; </w:t>
      </w:r>
      <w:r>
        <w:rPr>
          <w:rFonts w:asciiTheme="minorHAnsi" w:hAnsiTheme="minorHAnsi"/>
          <w:sz w:val="18"/>
          <w:szCs w:val="18"/>
        </w:rPr>
        <w:t xml:space="preserve">Stephen </w:t>
      </w:r>
      <w:r w:rsidRPr="0025023E">
        <w:rPr>
          <w:rFonts w:asciiTheme="minorHAnsi" w:hAnsiTheme="minorHAnsi"/>
          <w:sz w:val="18"/>
          <w:szCs w:val="18"/>
        </w:rPr>
        <w:t>Wong</w:t>
      </w:r>
      <w:r>
        <w:rPr>
          <w:rFonts w:asciiTheme="minorHAnsi" w:hAnsiTheme="minorHAnsi"/>
          <w:sz w:val="18"/>
          <w:szCs w:val="18"/>
        </w:rPr>
        <w:t>,</w:t>
      </w:r>
      <w:r w:rsidRPr="0025023E">
        <w:rPr>
          <w:rFonts w:asciiTheme="minorHAnsi" w:hAnsiTheme="minorHAnsi"/>
          <w:sz w:val="18"/>
          <w:szCs w:val="18"/>
        </w:rPr>
        <w:t xml:space="preserve"> </w:t>
      </w:r>
      <w:r>
        <w:rPr>
          <w:rFonts w:asciiTheme="minorHAnsi" w:hAnsiTheme="minorHAnsi"/>
          <w:sz w:val="18"/>
          <w:szCs w:val="18"/>
        </w:rPr>
        <w:t>‘</w:t>
      </w:r>
      <w:r w:rsidRPr="0025023E">
        <w:rPr>
          <w:rFonts w:asciiTheme="minorHAnsi" w:hAnsiTheme="minorHAnsi"/>
          <w:sz w:val="18"/>
          <w:szCs w:val="18"/>
        </w:rPr>
        <w:t>Facilitating human int</w:t>
      </w:r>
      <w:r>
        <w:rPr>
          <w:rFonts w:asciiTheme="minorHAnsi" w:hAnsiTheme="minorHAnsi"/>
          <w:sz w:val="18"/>
          <w:szCs w:val="18"/>
        </w:rPr>
        <w:t>e</w:t>
      </w:r>
      <w:r w:rsidRPr="0025023E">
        <w:rPr>
          <w:rFonts w:asciiTheme="minorHAnsi" w:hAnsiTheme="minorHAnsi"/>
          <w:sz w:val="18"/>
          <w:szCs w:val="18"/>
        </w:rPr>
        <w:t>raction in an online programming course</w:t>
      </w:r>
      <w:r>
        <w:rPr>
          <w:rFonts w:asciiTheme="minorHAnsi" w:hAnsiTheme="minorHAnsi"/>
          <w:sz w:val="18"/>
          <w:szCs w:val="18"/>
        </w:rPr>
        <w:t>’</w:t>
      </w:r>
      <w:r w:rsidRPr="0025023E">
        <w:rPr>
          <w:rFonts w:asciiTheme="minorHAnsi" w:hAnsiTheme="minorHAnsi"/>
          <w:sz w:val="18"/>
          <w:szCs w:val="18"/>
        </w:rPr>
        <w:t xml:space="preserve"> </w:t>
      </w:r>
      <w:r>
        <w:rPr>
          <w:rFonts w:asciiTheme="minorHAnsi" w:hAnsiTheme="minorHAnsi"/>
          <w:sz w:val="18"/>
          <w:szCs w:val="18"/>
        </w:rPr>
        <w:t>i</w:t>
      </w:r>
      <w:r w:rsidRPr="0025023E">
        <w:rPr>
          <w:rFonts w:asciiTheme="minorHAnsi" w:hAnsiTheme="minorHAnsi"/>
          <w:sz w:val="18"/>
          <w:szCs w:val="18"/>
        </w:rPr>
        <w:t xml:space="preserve">n </w:t>
      </w:r>
      <w:r w:rsidRPr="0025023E">
        <w:rPr>
          <w:rFonts w:asciiTheme="minorHAnsi" w:hAnsiTheme="minorHAnsi"/>
          <w:i/>
          <w:sz w:val="18"/>
          <w:szCs w:val="18"/>
        </w:rPr>
        <w:t>Proc. SIGCSE</w:t>
      </w:r>
      <w:r w:rsidRPr="0025023E">
        <w:rPr>
          <w:rFonts w:asciiTheme="minorHAnsi" w:hAnsiTheme="minorHAnsi"/>
          <w:sz w:val="18"/>
          <w:szCs w:val="18"/>
        </w:rPr>
        <w:t xml:space="preserve"> 2014 </w:t>
      </w:r>
      <w:r>
        <w:rPr>
          <w:rFonts w:asciiTheme="minorHAnsi" w:hAnsiTheme="minorHAnsi"/>
          <w:sz w:val="18"/>
          <w:szCs w:val="18"/>
        </w:rPr>
        <w:t xml:space="preserve">(ACM Press 2014) </w:t>
      </w:r>
      <w:r w:rsidRPr="0025023E">
        <w:rPr>
          <w:rFonts w:asciiTheme="minorHAnsi" w:hAnsiTheme="minorHAnsi"/>
          <w:sz w:val="18"/>
          <w:szCs w:val="18"/>
        </w:rPr>
        <w:t>665 – 670</w:t>
      </w:r>
    </w:p>
  </w:footnote>
  <w:footnote w:id="38">
    <w:p w14:paraId="629B5ED6" w14:textId="77777777" w:rsidR="004A759A" w:rsidRPr="000A5DEA" w:rsidRDefault="004A759A" w:rsidP="004A759A">
      <w:pPr>
        <w:pStyle w:val="FootnoteText"/>
        <w:rPr>
          <w:rFonts w:asciiTheme="minorHAnsi" w:hAnsiTheme="minorHAnsi"/>
          <w:sz w:val="18"/>
          <w:szCs w:val="18"/>
          <w:lang w:val="en-IE"/>
        </w:rPr>
      </w:pPr>
      <w:r w:rsidRPr="000A5DEA">
        <w:rPr>
          <w:rStyle w:val="FootnoteReference"/>
          <w:rFonts w:asciiTheme="minorHAnsi" w:hAnsiTheme="minorHAnsi"/>
          <w:sz w:val="18"/>
          <w:szCs w:val="18"/>
        </w:rPr>
        <w:footnoteRef/>
      </w:r>
      <w:r w:rsidRPr="000A5DEA">
        <w:rPr>
          <w:rFonts w:asciiTheme="minorHAnsi" w:hAnsiTheme="minorHAnsi"/>
          <w:sz w:val="18"/>
          <w:szCs w:val="18"/>
        </w:rPr>
        <w:t xml:space="preserve"> </w:t>
      </w:r>
      <w:r>
        <w:rPr>
          <w:rFonts w:asciiTheme="minorHAnsi" w:hAnsiTheme="minorHAnsi"/>
          <w:sz w:val="18"/>
          <w:szCs w:val="18"/>
        </w:rPr>
        <w:t xml:space="preserve">Khe Foon </w:t>
      </w:r>
      <w:r w:rsidRPr="000A5DEA">
        <w:rPr>
          <w:rFonts w:asciiTheme="minorHAnsi" w:hAnsiTheme="minorHAnsi"/>
          <w:sz w:val="18"/>
          <w:szCs w:val="18"/>
        </w:rPr>
        <w:t>Hew</w:t>
      </w:r>
      <w:r>
        <w:rPr>
          <w:rFonts w:asciiTheme="minorHAnsi" w:hAnsiTheme="minorHAnsi"/>
          <w:sz w:val="18"/>
          <w:szCs w:val="18"/>
        </w:rPr>
        <w:t>,</w:t>
      </w:r>
      <w:r w:rsidRPr="000A5DEA">
        <w:rPr>
          <w:rFonts w:asciiTheme="minorHAnsi" w:hAnsiTheme="minorHAnsi"/>
          <w:sz w:val="18"/>
          <w:szCs w:val="18"/>
        </w:rPr>
        <w:t xml:space="preserve"> ‘Promoting engagement in online courses: What strategies can we learn from three highly rated MOOCs’ </w:t>
      </w:r>
      <w:r>
        <w:rPr>
          <w:rFonts w:asciiTheme="minorHAnsi" w:hAnsiTheme="minorHAnsi"/>
          <w:sz w:val="18"/>
          <w:szCs w:val="18"/>
        </w:rPr>
        <w:t xml:space="preserve">(2014) 47(2) </w:t>
      </w:r>
      <w:r w:rsidRPr="003A282C">
        <w:rPr>
          <w:rFonts w:asciiTheme="minorHAnsi" w:hAnsiTheme="minorHAnsi"/>
          <w:sz w:val="18"/>
          <w:szCs w:val="18"/>
        </w:rPr>
        <w:t>British Journal of Education Technology</w:t>
      </w:r>
      <w:r>
        <w:rPr>
          <w:rFonts w:asciiTheme="minorHAnsi" w:hAnsiTheme="minorHAnsi"/>
          <w:sz w:val="18"/>
          <w:szCs w:val="18"/>
        </w:rPr>
        <w:t xml:space="preserve"> </w:t>
      </w:r>
      <w:r w:rsidRPr="000A5DEA">
        <w:rPr>
          <w:rFonts w:asciiTheme="minorHAnsi" w:hAnsiTheme="minorHAnsi"/>
          <w:sz w:val="18"/>
          <w:szCs w:val="18"/>
        </w:rPr>
        <w:t>320-341. doi: 10.1111/bjet.12235</w:t>
      </w:r>
    </w:p>
  </w:footnote>
  <w:footnote w:id="39">
    <w:p w14:paraId="2EFC83E8" w14:textId="33B9D5A1" w:rsidR="00EE5D14" w:rsidRDefault="00EE5D14" w:rsidP="00081072">
      <w:pPr>
        <w:pStyle w:val="FootnoteText"/>
        <w:rPr>
          <w:rStyle w:val="NoneA"/>
          <w:rFonts w:asciiTheme="minorHAnsi" w:hAnsiTheme="minorHAnsi"/>
          <w:sz w:val="18"/>
          <w:szCs w:val="18"/>
        </w:rPr>
      </w:pPr>
      <w:r w:rsidRPr="0025023E">
        <w:rPr>
          <w:rStyle w:val="NoneA"/>
          <w:rFonts w:asciiTheme="minorHAnsi" w:eastAsia="Times New Roman" w:hAnsiTheme="minorHAnsi"/>
          <w:sz w:val="18"/>
          <w:szCs w:val="18"/>
          <w:vertAlign w:val="superscript"/>
        </w:rPr>
        <w:footnoteRef/>
      </w:r>
      <w:r w:rsidRPr="0025023E">
        <w:rPr>
          <w:rStyle w:val="NoneA"/>
          <w:rFonts w:asciiTheme="minorHAnsi" w:hAnsiTheme="minorHAnsi"/>
          <w:sz w:val="18"/>
          <w:szCs w:val="18"/>
        </w:rPr>
        <w:t xml:space="preserve"> Philip J. Guo, Juho Kim &amp; Rob Rubin, ‘How video production affects student engagement: An empirical study of MOOC videos’ in </w:t>
      </w:r>
      <w:r w:rsidRPr="0025023E">
        <w:rPr>
          <w:rStyle w:val="NoneA"/>
          <w:rFonts w:asciiTheme="minorHAnsi" w:hAnsiTheme="minorHAnsi"/>
          <w:i/>
          <w:sz w:val="18"/>
          <w:szCs w:val="18"/>
        </w:rPr>
        <w:t>Proceedings Of The First ACM Conference On Learning@Scale Conference 2014</w:t>
      </w:r>
      <w:r w:rsidRPr="0025023E">
        <w:rPr>
          <w:rStyle w:val="NoneA"/>
          <w:rFonts w:asciiTheme="minorHAnsi" w:hAnsiTheme="minorHAnsi"/>
          <w:sz w:val="18"/>
          <w:szCs w:val="18"/>
        </w:rPr>
        <w:t xml:space="preserve"> (ACM Press 2014) 41-50</w:t>
      </w:r>
    </w:p>
    <w:p w14:paraId="534CED08" w14:textId="789FEDFC" w:rsidR="00BE6602" w:rsidRPr="004A759A" w:rsidRDefault="00BE6602" w:rsidP="00081072">
      <w:pPr>
        <w:pStyle w:val="FootnoteText"/>
        <w:rPr>
          <w:rFonts w:asciiTheme="minorHAnsi" w:hAnsiTheme="minorHAnsi"/>
          <w:sz w:val="18"/>
          <w:szCs w:val="18"/>
        </w:rPr>
      </w:pPr>
      <w:r w:rsidRPr="005F762B">
        <w:rPr>
          <w:rFonts w:asciiTheme="minorHAnsi" w:hAnsiTheme="minorHAnsi" w:cs="Arial"/>
          <w:color w:val="222222"/>
          <w:sz w:val="18"/>
          <w:szCs w:val="18"/>
          <w:shd w:val="clear" w:color="auto" w:fill="FFFFFF"/>
        </w:rPr>
        <w:t xml:space="preserve">Juho Kim, Philip J Guo, Daniel T Seaton, Piotr Mitros, Krzysztof Z Gajos, Robert C Miller, ‘Understanding in – video dropouts and interaction peaks in online lecture videos’ </w:t>
      </w:r>
      <w:r w:rsidRPr="00BE6602">
        <w:rPr>
          <w:rStyle w:val="NoneA"/>
          <w:rFonts w:asciiTheme="minorHAnsi" w:hAnsiTheme="minorHAnsi"/>
          <w:sz w:val="18"/>
          <w:szCs w:val="18"/>
        </w:rPr>
        <w:t xml:space="preserve">in </w:t>
      </w:r>
      <w:r w:rsidRPr="00BE6602">
        <w:rPr>
          <w:rStyle w:val="NoneA"/>
          <w:rFonts w:asciiTheme="minorHAnsi" w:hAnsiTheme="minorHAnsi"/>
          <w:i/>
          <w:sz w:val="18"/>
          <w:szCs w:val="18"/>
        </w:rPr>
        <w:t>Proceedings Of The First ACM Conference On Learning@Scale Conference 2014</w:t>
      </w:r>
      <w:r w:rsidRPr="004A759A">
        <w:rPr>
          <w:rStyle w:val="NoneA"/>
          <w:rFonts w:asciiTheme="minorHAnsi" w:hAnsiTheme="minorHAnsi"/>
          <w:sz w:val="18"/>
          <w:szCs w:val="18"/>
        </w:rPr>
        <w:t xml:space="preserve"> (ACM Press 2014) 31-40</w:t>
      </w:r>
    </w:p>
  </w:footnote>
  <w:footnote w:id="40">
    <w:p w14:paraId="37B90C33" w14:textId="738EF0D2" w:rsidR="00EE5D14" w:rsidRPr="0025023E" w:rsidRDefault="00EE5D14" w:rsidP="002C55DB">
      <w:pPr>
        <w:pStyle w:val="FootnoteText"/>
        <w:rPr>
          <w:rFonts w:asciiTheme="minorHAnsi" w:hAnsiTheme="minorHAnsi"/>
          <w:sz w:val="18"/>
          <w:szCs w:val="18"/>
        </w:rPr>
      </w:pPr>
      <w:r w:rsidRPr="0025023E">
        <w:rPr>
          <w:rStyle w:val="NoneA"/>
          <w:rFonts w:asciiTheme="minorHAnsi" w:eastAsia="Times New Roman" w:hAnsiTheme="minorHAnsi"/>
          <w:sz w:val="18"/>
          <w:szCs w:val="18"/>
          <w:vertAlign w:val="superscript"/>
        </w:rPr>
        <w:footnoteRef/>
      </w:r>
      <w:r w:rsidRPr="0025023E">
        <w:rPr>
          <w:rStyle w:val="NoneA"/>
          <w:rFonts w:asciiTheme="minorHAnsi" w:hAnsiTheme="minorHAnsi"/>
          <w:sz w:val="18"/>
          <w:szCs w:val="18"/>
        </w:rPr>
        <w:t xml:space="preserve"> </w:t>
      </w:r>
      <w:r>
        <w:rPr>
          <w:rStyle w:val="NoneA"/>
          <w:rFonts w:asciiTheme="minorHAnsi" w:hAnsiTheme="minorHAnsi"/>
          <w:sz w:val="18"/>
          <w:szCs w:val="18"/>
        </w:rPr>
        <w:t xml:space="preserve">Ibid, </w:t>
      </w:r>
      <w:r w:rsidRPr="0025023E">
        <w:rPr>
          <w:rStyle w:val="NoneA"/>
          <w:rFonts w:asciiTheme="minorHAnsi" w:hAnsiTheme="minorHAnsi"/>
          <w:i/>
          <w:sz w:val="18"/>
          <w:szCs w:val="18"/>
        </w:rPr>
        <w:t>supra</w:t>
      </w:r>
      <w:r w:rsidRPr="0025023E">
        <w:rPr>
          <w:rStyle w:val="NoneA"/>
          <w:rFonts w:asciiTheme="minorHAnsi" w:hAnsiTheme="minorHAnsi"/>
          <w:sz w:val="18"/>
          <w:szCs w:val="18"/>
        </w:rPr>
        <w:t xml:space="preserve"> n. 16, p 42.</w:t>
      </w:r>
    </w:p>
  </w:footnote>
  <w:footnote w:id="41">
    <w:p w14:paraId="7A7AFCD4" w14:textId="3D9E0B00" w:rsidR="00EE5D14" w:rsidRPr="0025023E" w:rsidRDefault="00EE5D14">
      <w:pPr>
        <w:pStyle w:val="FootnoteText"/>
        <w:rPr>
          <w:rFonts w:asciiTheme="minorHAnsi" w:hAnsiTheme="minorHAnsi"/>
          <w:sz w:val="18"/>
          <w:szCs w:val="18"/>
          <w:lang w:val="en-IE"/>
        </w:rPr>
      </w:pPr>
      <w:r w:rsidRPr="0025023E">
        <w:rPr>
          <w:rStyle w:val="FootnoteReference"/>
          <w:rFonts w:asciiTheme="minorHAnsi" w:hAnsiTheme="minorHAnsi"/>
          <w:sz w:val="18"/>
          <w:szCs w:val="18"/>
        </w:rPr>
        <w:footnoteRef/>
      </w:r>
      <w:r w:rsidRPr="0025023E">
        <w:rPr>
          <w:rFonts w:asciiTheme="minorHAnsi" w:hAnsiTheme="minorHAnsi"/>
          <w:sz w:val="18"/>
          <w:szCs w:val="18"/>
        </w:rPr>
        <w:t xml:space="preserve"> </w:t>
      </w:r>
      <w:r>
        <w:rPr>
          <w:rFonts w:asciiTheme="minorHAnsi" w:hAnsiTheme="minorHAnsi"/>
          <w:sz w:val="18"/>
          <w:szCs w:val="18"/>
        </w:rPr>
        <w:t xml:space="preserve">Lynette </w:t>
      </w:r>
      <w:r>
        <w:rPr>
          <w:rFonts w:asciiTheme="minorHAnsi" w:hAnsiTheme="minorHAnsi"/>
          <w:sz w:val="18"/>
          <w:szCs w:val="18"/>
          <w:lang w:val="en-IE"/>
        </w:rPr>
        <w:t>Nagel</w:t>
      </w:r>
      <w:r w:rsidRPr="0025023E">
        <w:rPr>
          <w:rFonts w:asciiTheme="minorHAnsi" w:hAnsiTheme="minorHAnsi"/>
          <w:sz w:val="18"/>
          <w:szCs w:val="18"/>
          <w:lang w:val="en-IE"/>
        </w:rPr>
        <w:t xml:space="preserve"> </w:t>
      </w:r>
      <w:r>
        <w:rPr>
          <w:rFonts w:asciiTheme="minorHAnsi" w:hAnsiTheme="minorHAnsi"/>
          <w:sz w:val="18"/>
          <w:szCs w:val="18"/>
          <w:lang w:val="en-IE"/>
        </w:rPr>
        <w:t xml:space="preserve">&amp; Theuns G. </w:t>
      </w:r>
      <w:r w:rsidRPr="0025023E">
        <w:rPr>
          <w:rFonts w:asciiTheme="minorHAnsi" w:hAnsiTheme="minorHAnsi"/>
          <w:sz w:val="18"/>
          <w:szCs w:val="18"/>
          <w:lang w:val="en-IE"/>
        </w:rPr>
        <w:t>Kotzé</w:t>
      </w:r>
      <w:r>
        <w:rPr>
          <w:rFonts w:asciiTheme="minorHAnsi" w:hAnsiTheme="minorHAnsi"/>
          <w:sz w:val="18"/>
          <w:szCs w:val="18"/>
          <w:lang w:val="en-IE"/>
        </w:rPr>
        <w:t>,</w:t>
      </w:r>
      <w:r w:rsidRPr="0025023E">
        <w:rPr>
          <w:rFonts w:asciiTheme="minorHAnsi" w:hAnsiTheme="minorHAnsi"/>
          <w:sz w:val="18"/>
          <w:szCs w:val="18"/>
          <w:lang w:val="en-IE"/>
        </w:rPr>
        <w:t xml:space="preserve"> ‘Supersizing e-learning: What a CoI survey reveals about teaching presence in a large online class’ </w:t>
      </w:r>
      <w:r>
        <w:rPr>
          <w:rFonts w:asciiTheme="minorHAnsi" w:hAnsiTheme="minorHAnsi"/>
          <w:sz w:val="18"/>
          <w:szCs w:val="18"/>
          <w:lang w:val="en-IE"/>
        </w:rPr>
        <w:t xml:space="preserve">(2009) 13(1) </w:t>
      </w:r>
      <w:r w:rsidRPr="0025023E">
        <w:rPr>
          <w:rFonts w:asciiTheme="minorHAnsi" w:hAnsiTheme="minorHAnsi"/>
          <w:sz w:val="18"/>
          <w:szCs w:val="18"/>
          <w:lang w:val="en-IE"/>
        </w:rPr>
        <w:t>Internet and Higher Education. doi:10.1016/j.iheduc.2009.12.001</w:t>
      </w:r>
    </w:p>
  </w:footnote>
  <w:footnote w:id="42">
    <w:p w14:paraId="480151C8" w14:textId="6139237B" w:rsidR="00EE5D14" w:rsidRPr="0025023E" w:rsidRDefault="00EE5D14" w:rsidP="0025023E">
      <w:pPr>
        <w:pStyle w:val="FootnoteText"/>
        <w:rPr>
          <w:rFonts w:asciiTheme="minorHAnsi" w:hAnsiTheme="minorHAnsi"/>
          <w:sz w:val="18"/>
          <w:szCs w:val="18"/>
          <w:lang w:val="en-IE"/>
        </w:rPr>
      </w:pPr>
      <w:r w:rsidRPr="0025023E">
        <w:rPr>
          <w:rStyle w:val="FootnoteReference"/>
          <w:rFonts w:asciiTheme="minorHAnsi" w:hAnsiTheme="minorHAnsi"/>
          <w:sz w:val="18"/>
          <w:szCs w:val="18"/>
        </w:rPr>
        <w:footnoteRef/>
      </w:r>
      <w:r w:rsidRPr="0025023E">
        <w:rPr>
          <w:rFonts w:asciiTheme="minorHAnsi" w:hAnsiTheme="minorHAnsi"/>
          <w:sz w:val="18"/>
          <w:szCs w:val="18"/>
        </w:rPr>
        <w:t xml:space="preserve"> </w:t>
      </w:r>
      <w:r>
        <w:rPr>
          <w:rFonts w:asciiTheme="minorHAnsi" w:hAnsiTheme="minorHAnsi"/>
          <w:sz w:val="18"/>
          <w:szCs w:val="18"/>
        </w:rPr>
        <w:t>Ibid, p.50</w:t>
      </w:r>
    </w:p>
  </w:footnote>
  <w:footnote w:id="43">
    <w:p w14:paraId="75AB35E7" w14:textId="3E77EEB8" w:rsidR="00EE5D14" w:rsidRPr="0025023E" w:rsidRDefault="00EE5D14" w:rsidP="00DF7D43">
      <w:pPr>
        <w:pStyle w:val="FootnoteText"/>
        <w:rPr>
          <w:rFonts w:asciiTheme="minorHAnsi" w:hAnsiTheme="minorHAnsi"/>
          <w:sz w:val="18"/>
          <w:szCs w:val="18"/>
          <w:lang w:val="en-IE"/>
        </w:rPr>
      </w:pPr>
      <w:r w:rsidRPr="0025023E">
        <w:rPr>
          <w:rStyle w:val="FootnoteReference"/>
          <w:rFonts w:asciiTheme="minorHAnsi" w:hAnsiTheme="minorHAnsi"/>
          <w:sz w:val="18"/>
          <w:szCs w:val="18"/>
        </w:rPr>
        <w:footnoteRef/>
      </w:r>
      <w:r w:rsidRPr="0025023E">
        <w:rPr>
          <w:rFonts w:asciiTheme="minorHAnsi" w:hAnsiTheme="minorHAnsi"/>
          <w:sz w:val="18"/>
          <w:szCs w:val="18"/>
        </w:rPr>
        <w:t xml:space="preserve"> </w:t>
      </w:r>
      <w:r>
        <w:rPr>
          <w:rFonts w:asciiTheme="minorHAnsi" w:hAnsiTheme="minorHAnsi"/>
          <w:sz w:val="18"/>
          <w:szCs w:val="18"/>
        </w:rPr>
        <w:t xml:space="preserve">Derrick </w:t>
      </w:r>
      <w:r w:rsidRPr="0025023E">
        <w:rPr>
          <w:rFonts w:asciiTheme="minorHAnsi" w:hAnsiTheme="minorHAnsi"/>
          <w:sz w:val="18"/>
          <w:szCs w:val="18"/>
        </w:rPr>
        <w:t xml:space="preserve">Coatzee, </w:t>
      </w:r>
      <w:r>
        <w:rPr>
          <w:rFonts w:asciiTheme="minorHAnsi" w:hAnsiTheme="minorHAnsi"/>
          <w:sz w:val="18"/>
          <w:szCs w:val="18"/>
        </w:rPr>
        <w:t xml:space="preserve">Armando </w:t>
      </w:r>
      <w:r w:rsidRPr="0025023E">
        <w:rPr>
          <w:rFonts w:asciiTheme="minorHAnsi" w:hAnsiTheme="minorHAnsi"/>
          <w:sz w:val="18"/>
          <w:szCs w:val="18"/>
        </w:rPr>
        <w:t xml:space="preserve">Fox, </w:t>
      </w:r>
      <w:r>
        <w:rPr>
          <w:rFonts w:asciiTheme="minorHAnsi" w:hAnsiTheme="minorHAnsi"/>
          <w:sz w:val="18"/>
          <w:szCs w:val="18"/>
        </w:rPr>
        <w:t xml:space="preserve">Marti A. </w:t>
      </w:r>
      <w:r w:rsidRPr="0025023E">
        <w:rPr>
          <w:rFonts w:asciiTheme="minorHAnsi" w:hAnsiTheme="minorHAnsi"/>
          <w:sz w:val="18"/>
          <w:szCs w:val="18"/>
        </w:rPr>
        <w:t xml:space="preserve">Hearst, &amp; </w:t>
      </w:r>
      <w:r>
        <w:rPr>
          <w:rFonts w:asciiTheme="minorHAnsi" w:hAnsiTheme="minorHAnsi"/>
          <w:sz w:val="18"/>
          <w:szCs w:val="18"/>
        </w:rPr>
        <w:t>B</w:t>
      </w:r>
      <w:r>
        <w:t>j</w:t>
      </w:r>
      <w:r w:rsidRPr="0025023E">
        <w:rPr>
          <w:rFonts w:asciiTheme="minorHAnsi" w:hAnsiTheme="minorHAnsi"/>
          <w:sz w:val="18"/>
          <w:szCs w:val="18"/>
        </w:rPr>
        <w:t>örn Hartmann</w:t>
      </w:r>
      <w:r>
        <w:rPr>
          <w:rFonts w:asciiTheme="minorHAnsi" w:hAnsiTheme="minorHAnsi"/>
          <w:sz w:val="18"/>
          <w:szCs w:val="18"/>
        </w:rPr>
        <w:t>,</w:t>
      </w:r>
      <w:r w:rsidRPr="0025023E">
        <w:rPr>
          <w:rFonts w:asciiTheme="minorHAnsi" w:hAnsiTheme="minorHAnsi"/>
          <w:sz w:val="18"/>
          <w:szCs w:val="18"/>
        </w:rPr>
        <w:t xml:space="preserve"> </w:t>
      </w:r>
      <w:r>
        <w:rPr>
          <w:rFonts w:asciiTheme="minorHAnsi" w:hAnsiTheme="minorHAnsi"/>
          <w:sz w:val="18"/>
          <w:szCs w:val="18"/>
        </w:rPr>
        <w:t>‘</w:t>
      </w:r>
      <w:r w:rsidRPr="0025023E">
        <w:rPr>
          <w:rFonts w:asciiTheme="minorHAnsi" w:hAnsiTheme="minorHAnsi"/>
          <w:sz w:val="18"/>
          <w:szCs w:val="18"/>
        </w:rPr>
        <w:t>Should your MOOC forum use a reputation system</w:t>
      </w:r>
      <w:r>
        <w:rPr>
          <w:rFonts w:asciiTheme="minorHAnsi" w:hAnsiTheme="minorHAnsi"/>
          <w:sz w:val="18"/>
          <w:szCs w:val="18"/>
        </w:rPr>
        <w:t>?’</w:t>
      </w:r>
      <w:r w:rsidRPr="0025023E">
        <w:rPr>
          <w:rFonts w:asciiTheme="minorHAnsi" w:hAnsiTheme="minorHAnsi"/>
          <w:sz w:val="18"/>
          <w:szCs w:val="18"/>
        </w:rPr>
        <w:t xml:space="preserve"> </w:t>
      </w:r>
      <w:r>
        <w:rPr>
          <w:rFonts w:asciiTheme="minorHAnsi" w:hAnsiTheme="minorHAnsi"/>
          <w:sz w:val="18"/>
          <w:szCs w:val="18"/>
        </w:rPr>
        <w:t>i</w:t>
      </w:r>
      <w:r w:rsidRPr="0025023E">
        <w:rPr>
          <w:rFonts w:asciiTheme="minorHAnsi" w:hAnsiTheme="minorHAnsi"/>
          <w:sz w:val="18"/>
          <w:szCs w:val="18"/>
        </w:rPr>
        <w:t xml:space="preserve">n </w:t>
      </w:r>
      <w:r w:rsidRPr="0025023E">
        <w:rPr>
          <w:rFonts w:asciiTheme="minorHAnsi" w:hAnsiTheme="minorHAnsi"/>
          <w:i/>
          <w:sz w:val="18"/>
          <w:szCs w:val="18"/>
        </w:rPr>
        <w:t>Proc. CSCW</w:t>
      </w:r>
      <w:r w:rsidRPr="0025023E">
        <w:rPr>
          <w:rFonts w:asciiTheme="minorHAnsi" w:hAnsiTheme="minorHAnsi"/>
          <w:sz w:val="18"/>
          <w:szCs w:val="18"/>
        </w:rPr>
        <w:t xml:space="preserve"> 2014 </w:t>
      </w:r>
      <w:r>
        <w:rPr>
          <w:rFonts w:asciiTheme="minorHAnsi" w:hAnsiTheme="minorHAnsi"/>
          <w:sz w:val="18"/>
          <w:szCs w:val="18"/>
        </w:rPr>
        <w:t xml:space="preserve">ACM (2014) </w:t>
      </w:r>
      <w:r w:rsidRPr="0025023E">
        <w:rPr>
          <w:rFonts w:asciiTheme="minorHAnsi" w:hAnsiTheme="minorHAnsi"/>
          <w:sz w:val="18"/>
          <w:szCs w:val="18"/>
        </w:rPr>
        <w:t>1176 – 1187</w:t>
      </w:r>
    </w:p>
  </w:footnote>
  <w:footnote w:id="44">
    <w:p w14:paraId="18557BC8" w14:textId="77777777" w:rsidR="003610FB" w:rsidRPr="003610FB" w:rsidRDefault="003610FB" w:rsidP="003610FB">
      <w:pPr>
        <w:pStyle w:val="FootnoteText"/>
        <w:rPr>
          <w:rFonts w:asciiTheme="minorHAnsi" w:hAnsiTheme="minorHAnsi" w:cs="Arial"/>
          <w:color w:val="222222"/>
          <w:sz w:val="18"/>
          <w:szCs w:val="18"/>
          <w:shd w:val="clear" w:color="auto" w:fill="FFFFFF"/>
        </w:rPr>
      </w:pPr>
      <w:r>
        <w:rPr>
          <w:rStyle w:val="FootnoteReference"/>
        </w:rPr>
        <w:footnoteRef/>
      </w:r>
      <w:r>
        <w:t xml:space="preserve"> </w:t>
      </w:r>
      <w:r w:rsidRPr="003610FB">
        <w:rPr>
          <w:rFonts w:asciiTheme="minorHAnsi" w:hAnsiTheme="minorHAnsi"/>
          <w:sz w:val="18"/>
          <w:szCs w:val="18"/>
        </w:rPr>
        <w:t>Armando Fox</w:t>
      </w:r>
      <w:r w:rsidRPr="003610FB">
        <w:rPr>
          <w:rFonts w:asciiTheme="minorHAnsi" w:hAnsiTheme="minorHAnsi" w:cs="Arial"/>
          <w:color w:val="222222"/>
          <w:sz w:val="18"/>
          <w:szCs w:val="18"/>
          <w:shd w:val="clear" w:color="auto" w:fill="FFFFFF"/>
        </w:rPr>
        <w:t xml:space="preserve">, </w:t>
      </w:r>
      <w:r w:rsidRPr="005F64C0">
        <w:rPr>
          <w:rFonts w:asciiTheme="minorHAnsi" w:hAnsiTheme="minorHAnsi" w:cs="Arial"/>
          <w:color w:val="222222"/>
          <w:sz w:val="18"/>
          <w:szCs w:val="18"/>
          <w:shd w:val="clear" w:color="auto" w:fill="FFFFFF"/>
        </w:rPr>
        <w:t>“From MOOCs to SPOCs</w:t>
      </w:r>
      <w:r w:rsidRPr="003610FB">
        <w:rPr>
          <w:rFonts w:asciiTheme="minorHAnsi" w:hAnsiTheme="minorHAnsi" w:cs="Arial"/>
          <w:color w:val="222222"/>
          <w:sz w:val="18"/>
          <w:szCs w:val="18"/>
          <w:shd w:val="clear" w:color="auto" w:fill="FFFFFF"/>
        </w:rPr>
        <w:t>”</w:t>
      </w:r>
      <w:r w:rsidRPr="005F64C0">
        <w:rPr>
          <w:rFonts w:asciiTheme="minorHAnsi" w:hAnsiTheme="minorHAnsi" w:cs="Arial"/>
          <w:color w:val="222222"/>
          <w:sz w:val="18"/>
          <w:szCs w:val="18"/>
          <w:shd w:val="clear" w:color="auto" w:fill="FFFFFF"/>
        </w:rPr>
        <w:t>. </w:t>
      </w:r>
      <w:r w:rsidRPr="005F64C0">
        <w:rPr>
          <w:rFonts w:asciiTheme="minorHAnsi" w:hAnsiTheme="minorHAnsi" w:cs="Arial"/>
          <w:i/>
          <w:iCs/>
          <w:color w:val="222222"/>
          <w:sz w:val="18"/>
          <w:szCs w:val="18"/>
          <w:shd w:val="clear" w:color="auto" w:fill="FFFFFF"/>
        </w:rPr>
        <w:t>Commun. ACM</w:t>
      </w:r>
      <w:r w:rsidRPr="005F64C0">
        <w:rPr>
          <w:rFonts w:asciiTheme="minorHAnsi" w:hAnsiTheme="minorHAnsi" w:cs="Arial"/>
          <w:color w:val="222222"/>
          <w:sz w:val="18"/>
          <w:szCs w:val="18"/>
          <w:shd w:val="clear" w:color="auto" w:fill="FFFFFF"/>
        </w:rPr>
        <w:t>, </w:t>
      </w:r>
      <w:r w:rsidRPr="005F64C0">
        <w:rPr>
          <w:rFonts w:asciiTheme="minorHAnsi" w:hAnsiTheme="minorHAnsi" w:cs="Arial"/>
          <w:i/>
          <w:iCs/>
          <w:color w:val="222222"/>
          <w:sz w:val="18"/>
          <w:szCs w:val="18"/>
          <w:shd w:val="clear" w:color="auto" w:fill="FFFFFF"/>
        </w:rPr>
        <w:t>56</w:t>
      </w:r>
      <w:r w:rsidRPr="005F64C0">
        <w:rPr>
          <w:rFonts w:asciiTheme="minorHAnsi" w:hAnsiTheme="minorHAnsi" w:cs="Arial"/>
          <w:color w:val="222222"/>
          <w:sz w:val="18"/>
          <w:szCs w:val="18"/>
          <w:shd w:val="clear" w:color="auto" w:fill="FFFFFF"/>
        </w:rPr>
        <w:t>(12)</w:t>
      </w:r>
      <w:r w:rsidRPr="003610FB">
        <w:rPr>
          <w:rFonts w:asciiTheme="minorHAnsi" w:hAnsiTheme="minorHAnsi" w:cs="Arial"/>
          <w:color w:val="222222"/>
          <w:sz w:val="18"/>
          <w:szCs w:val="18"/>
          <w:shd w:val="clear" w:color="auto" w:fill="FFFFFF"/>
        </w:rPr>
        <w:t xml:space="preserve"> ( 2013 )</w:t>
      </w:r>
      <w:r w:rsidRPr="005F64C0">
        <w:rPr>
          <w:rFonts w:asciiTheme="minorHAnsi" w:hAnsiTheme="minorHAnsi" w:cs="Arial"/>
          <w:color w:val="222222"/>
          <w:sz w:val="18"/>
          <w:szCs w:val="18"/>
          <w:shd w:val="clear" w:color="auto" w:fill="FFFFFF"/>
        </w:rPr>
        <w:t xml:space="preserve"> pp.38-40.</w:t>
      </w:r>
    </w:p>
    <w:p w14:paraId="227A762F" w14:textId="77777777" w:rsidR="003610FB" w:rsidRPr="005F64C0" w:rsidRDefault="003610FB" w:rsidP="003610FB">
      <w:pPr>
        <w:pStyle w:val="FootnoteText"/>
        <w:rPr>
          <w:rFonts w:asciiTheme="minorHAnsi" w:hAnsiTheme="minorHAnsi"/>
          <w:sz w:val="18"/>
          <w:szCs w:val="18"/>
        </w:rPr>
      </w:pPr>
      <w:r w:rsidRPr="003610FB">
        <w:rPr>
          <w:rFonts w:asciiTheme="minorHAnsi" w:hAnsiTheme="minorHAnsi" w:cs="Arial"/>
          <w:color w:val="222222"/>
          <w:sz w:val="18"/>
          <w:szCs w:val="18"/>
          <w:shd w:val="clear" w:color="auto" w:fill="FFFFFF"/>
        </w:rPr>
        <w:t xml:space="preserve">   </w:t>
      </w:r>
      <w:r w:rsidRPr="005F64C0">
        <w:rPr>
          <w:rFonts w:asciiTheme="minorHAnsi" w:hAnsiTheme="minorHAnsi" w:cs="Arial"/>
          <w:color w:val="222222"/>
          <w:sz w:val="18"/>
          <w:szCs w:val="18"/>
          <w:shd w:val="clear" w:color="auto" w:fill="FFFFFF"/>
        </w:rPr>
        <w:t>Kaplan, Andreas M., and Michael Haenlein</w:t>
      </w:r>
      <w:bookmarkStart w:id="0" w:name="_GoBack"/>
      <w:bookmarkEnd w:id="0"/>
      <w:r w:rsidRPr="005F64C0">
        <w:rPr>
          <w:rFonts w:asciiTheme="minorHAnsi" w:hAnsiTheme="minorHAnsi" w:cs="Arial"/>
          <w:color w:val="222222"/>
          <w:sz w:val="18"/>
          <w:szCs w:val="18"/>
          <w:shd w:val="clear" w:color="auto" w:fill="FFFFFF"/>
        </w:rPr>
        <w:t>. "Higher education and the digital revolution: About MOOCs, SPOCs, social media, and the Cookie Monster." </w:t>
      </w:r>
      <w:r w:rsidRPr="005F64C0">
        <w:rPr>
          <w:rFonts w:asciiTheme="minorHAnsi" w:hAnsiTheme="minorHAnsi" w:cs="Arial"/>
          <w:i/>
          <w:iCs/>
          <w:color w:val="222222"/>
          <w:sz w:val="18"/>
          <w:szCs w:val="18"/>
          <w:shd w:val="clear" w:color="auto" w:fill="FFFFFF"/>
        </w:rPr>
        <w:t>Business Horizons</w:t>
      </w:r>
      <w:r w:rsidRPr="005F64C0">
        <w:rPr>
          <w:rFonts w:asciiTheme="minorHAnsi" w:hAnsiTheme="minorHAnsi" w:cs="Arial"/>
          <w:color w:val="222222"/>
          <w:sz w:val="18"/>
          <w:szCs w:val="18"/>
          <w:shd w:val="clear" w:color="auto" w:fill="FFFFFF"/>
        </w:rPr>
        <w:t> 59.4 (2016): 441-450.</w:t>
      </w:r>
    </w:p>
  </w:footnote>
  <w:footnote w:id="45">
    <w:p w14:paraId="4F14AA56" w14:textId="77777777" w:rsidR="003610FB" w:rsidRPr="005F64C0" w:rsidRDefault="003610FB" w:rsidP="003610FB">
      <w:pPr>
        <w:pStyle w:val="FootnoteText"/>
        <w:rPr>
          <w:rFonts w:asciiTheme="minorHAnsi" w:hAnsiTheme="minorHAnsi"/>
        </w:rPr>
      </w:pPr>
      <w:r w:rsidRPr="005F64C0">
        <w:rPr>
          <w:rStyle w:val="FootnoteReference"/>
          <w:rFonts w:asciiTheme="minorHAnsi" w:hAnsiTheme="minorHAnsi"/>
          <w:sz w:val="18"/>
          <w:szCs w:val="18"/>
        </w:rPr>
        <w:footnoteRef/>
      </w:r>
      <w:r w:rsidRPr="005F64C0">
        <w:rPr>
          <w:rFonts w:asciiTheme="minorHAnsi" w:hAnsiTheme="minorHAnsi"/>
          <w:sz w:val="18"/>
          <w:szCs w:val="18"/>
        </w:rPr>
        <w:t xml:space="preserve"> </w:t>
      </w:r>
      <w:r w:rsidRPr="005F64C0">
        <w:rPr>
          <w:rFonts w:asciiTheme="minorHAnsi" w:hAnsiTheme="minorHAnsi" w:cs="Arial"/>
          <w:color w:val="222222"/>
          <w:sz w:val="18"/>
          <w:szCs w:val="18"/>
          <w:shd w:val="clear" w:color="auto" w:fill="FFFFFF"/>
        </w:rPr>
        <w:t>Michael. Legg, "New Skills for New Lawyers: Responding to Technology and Practice Developments." (2018).</w:t>
      </w:r>
    </w:p>
  </w:footnote>
  <w:footnote w:id="46">
    <w:p w14:paraId="49E3F23B" w14:textId="77777777" w:rsidR="004A759A" w:rsidRPr="0000343B" w:rsidRDefault="00EE5D14" w:rsidP="004A759A">
      <w:pPr>
        <w:pStyle w:val="FootnoteText"/>
      </w:pPr>
      <w:r w:rsidRPr="000A5DEA">
        <w:rPr>
          <w:rStyle w:val="FootnoteReference"/>
          <w:rFonts w:asciiTheme="minorHAnsi" w:hAnsiTheme="minorHAnsi"/>
          <w:sz w:val="18"/>
          <w:szCs w:val="18"/>
        </w:rPr>
        <w:footnoteRef/>
      </w:r>
      <w:r>
        <w:t xml:space="preserve"> </w:t>
      </w:r>
      <w:r w:rsidR="004A759A" w:rsidRPr="00F61A48">
        <w:rPr>
          <w:rFonts w:asciiTheme="minorHAnsi" w:hAnsiTheme="minorHAnsi" w:cs="Arial"/>
          <w:sz w:val="18"/>
          <w:szCs w:val="18"/>
        </w:rPr>
        <w:t>Robert Buckland QC MP &amp; Attorney General’s Office, ‘Our vision for legal education’ (</w:t>
      </w:r>
      <w:r w:rsidR="004A759A" w:rsidRPr="00F61A48">
        <w:rPr>
          <w:rFonts w:asciiTheme="minorHAnsi" w:hAnsiTheme="minorHAnsi" w:cs="Arial"/>
          <w:i/>
          <w:sz w:val="18"/>
          <w:szCs w:val="18"/>
        </w:rPr>
        <w:t>Government UK</w:t>
      </w:r>
      <w:r w:rsidR="004A759A" w:rsidRPr="00F61A48">
        <w:rPr>
          <w:rFonts w:asciiTheme="minorHAnsi" w:hAnsiTheme="minorHAnsi" w:cs="Arial"/>
          <w:sz w:val="18"/>
          <w:szCs w:val="18"/>
        </w:rPr>
        <w:t>, 31 October 2018) https://www.gov.uk/government/news/our-vision-for-legal-education&gt; accessed 31 October 2018</w:t>
      </w:r>
    </w:p>
    <w:p w14:paraId="6EA50157" w14:textId="3EF77F54" w:rsidR="00EE5D14" w:rsidRPr="00031338" w:rsidRDefault="00EE5D14">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65E26" w14:textId="77777777" w:rsidR="00324E33" w:rsidRPr="00A57BE7" w:rsidRDefault="00324E33" w:rsidP="00324E33">
    <w:pPr>
      <w:pStyle w:val="Header"/>
      <w:jc w:val="center"/>
      <w:rPr>
        <w:rFonts w:ascii="Palatino Linotype" w:hAnsi="Palatino Linotype"/>
        <w:sz w:val="20"/>
        <w:szCs w:val="20"/>
      </w:rPr>
    </w:pPr>
    <w:r w:rsidRPr="00A57BE7">
      <w:rPr>
        <w:rFonts w:ascii="Palatino Linotype" w:hAnsi="Palatino Linotype"/>
        <w:sz w:val="20"/>
        <w:szCs w:val="20"/>
      </w:rPr>
      <w:t>IJPLE 3 (1) 2019</w:t>
    </w:r>
  </w:p>
  <w:p w14:paraId="26952D8B" w14:textId="77777777" w:rsidR="00324E33" w:rsidRDefault="00324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6172"/>
    <w:multiLevelType w:val="multilevel"/>
    <w:tmpl w:val="3B3A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138D0"/>
    <w:multiLevelType w:val="hybridMultilevel"/>
    <w:tmpl w:val="ABBA99D2"/>
    <w:lvl w:ilvl="0" w:tplc="18090001">
      <w:start w:val="1"/>
      <w:numFmt w:val="bullet"/>
      <w:lvlText w:val=""/>
      <w:lvlJc w:val="left"/>
      <w:pPr>
        <w:ind w:left="772" w:hanging="360"/>
      </w:pPr>
      <w:rPr>
        <w:rFonts w:ascii="Symbol" w:hAnsi="Symbol" w:hint="default"/>
      </w:rPr>
    </w:lvl>
    <w:lvl w:ilvl="1" w:tplc="18090003" w:tentative="1">
      <w:start w:val="1"/>
      <w:numFmt w:val="bullet"/>
      <w:lvlText w:val="o"/>
      <w:lvlJc w:val="left"/>
      <w:pPr>
        <w:ind w:left="1492" w:hanging="360"/>
      </w:pPr>
      <w:rPr>
        <w:rFonts w:ascii="Courier New" w:hAnsi="Courier New" w:cs="Courier New" w:hint="default"/>
      </w:rPr>
    </w:lvl>
    <w:lvl w:ilvl="2" w:tplc="18090005" w:tentative="1">
      <w:start w:val="1"/>
      <w:numFmt w:val="bullet"/>
      <w:lvlText w:val=""/>
      <w:lvlJc w:val="left"/>
      <w:pPr>
        <w:ind w:left="2212" w:hanging="360"/>
      </w:pPr>
      <w:rPr>
        <w:rFonts w:ascii="Wingdings" w:hAnsi="Wingdings" w:hint="default"/>
      </w:rPr>
    </w:lvl>
    <w:lvl w:ilvl="3" w:tplc="18090001" w:tentative="1">
      <w:start w:val="1"/>
      <w:numFmt w:val="bullet"/>
      <w:lvlText w:val=""/>
      <w:lvlJc w:val="left"/>
      <w:pPr>
        <w:ind w:left="2932" w:hanging="360"/>
      </w:pPr>
      <w:rPr>
        <w:rFonts w:ascii="Symbol" w:hAnsi="Symbol" w:hint="default"/>
      </w:rPr>
    </w:lvl>
    <w:lvl w:ilvl="4" w:tplc="18090003" w:tentative="1">
      <w:start w:val="1"/>
      <w:numFmt w:val="bullet"/>
      <w:lvlText w:val="o"/>
      <w:lvlJc w:val="left"/>
      <w:pPr>
        <w:ind w:left="3652" w:hanging="360"/>
      </w:pPr>
      <w:rPr>
        <w:rFonts w:ascii="Courier New" w:hAnsi="Courier New" w:cs="Courier New" w:hint="default"/>
      </w:rPr>
    </w:lvl>
    <w:lvl w:ilvl="5" w:tplc="18090005" w:tentative="1">
      <w:start w:val="1"/>
      <w:numFmt w:val="bullet"/>
      <w:lvlText w:val=""/>
      <w:lvlJc w:val="left"/>
      <w:pPr>
        <w:ind w:left="4372" w:hanging="360"/>
      </w:pPr>
      <w:rPr>
        <w:rFonts w:ascii="Wingdings" w:hAnsi="Wingdings" w:hint="default"/>
      </w:rPr>
    </w:lvl>
    <w:lvl w:ilvl="6" w:tplc="18090001" w:tentative="1">
      <w:start w:val="1"/>
      <w:numFmt w:val="bullet"/>
      <w:lvlText w:val=""/>
      <w:lvlJc w:val="left"/>
      <w:pPr>
        <w:ind w:left="5092" w:hanging="360"/>
      </w:pPr>
      <w:rPr>
        <w:rFonts w:ascii="Symbol" w:hAnsi="Symbol" w:hint="default"/>
      </w:rPr>
    </w:lvl>
    <w:lvl w:ilvl="7" w:tplc="18090003" w:tentative="1">
      <w:start w:val="1"/>
      <w:numFmt w:val="bullet"/>
      <w:lvlText w:val="o"/>
      <w:lvlJc w:val="left"/>
      <w:pPr>
        <w:ind w:left="5812" w:hanging="360"/>
      </w:pPr>
      <w:rPr>
        <w:rFonts w:ascii="Courier New" w:hAnsi="Courier New" w:cs="Courier New" w:hint="default"/>
      </w:rPr>
    </w:lvl>
    <w:lvl w:ilvl="8" w:tplc="18090005" w:tentative="1">
      <w:start w:val="1"/>
      <w:numFmt w:val="bullet"/>
      <w:lvlText w:val=""/>
      <w:lvlJc w:val="left"/>
      <w:pPr>
        <w:ind w:left="6532" w:hanging="360"/>
      </w:pPr>
      <w:rPr>
        <w:rFonts w:ascii="Wingdings" w:hAnsi="Wingdings" w:hint="default"/>
      </w:rPr>
    </w:lvl>
  </w:abstractNum>
  <w:abstractNum w:abstractNumId="2" w15:restartNumberingAfterBreak="0">
    <w:nsid w:val="1201611B"/>
    <w:multiLevelType w:val="hybridMultilevel"/>
    <w:tmpl w:val="112055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36B1C44"/>
    <w:multiLevelType w:val="hybridMultilevel"/>
    <w:tmpl w:val="13B463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1457108C"/>
    <w:multiLevelType w:val="hybridMultilevel"/>
    <w:tmpl w:val="D868AA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046E51"/>
    <w:multiLevelType w:val="hybridMultilevel"/>
    <w:tmpl w:val="E43C89B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5871B02"/>
    <w:multiLevelType w:val="hybridMultilevel"/>
    <w:tmpl w:val="AF56E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F16D1A"/>
    <w:multiLevelType w:val="hybridMultilevel"/>
    <w:tmpl w:val="7E10B4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C3963EC"/>
    <w:multiLevelType w:val="multilevel"/>
    <w:tmpl w:val="44D89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B97117"/>
    <w:multiLevelType w:val="hybridMultilevel"/>
    <w:tmpl w:val="410AAD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DC417EE"/>
    <w:multiLevelType w:val="hybridMultilevel"/>
    <w:tmpl w:val="91528B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E8754FA"/>
    <w:multiLevelType w:val="hybridMultilevel"/>
    <w:tmpl w:val="A57048C8"/>
    <w:lvl w:ilvl="0" w:tplc="AF689A86">
      <w:start w:val="34"/>
      <w:numFmt w:val="bullet"/>
      <w:lvlText w:val="-"/>
      <w:lvlJc w:val="left"/>
      <w:pPr>
        <w:ind w:left="720" w:hanging="360"/>
      </w:pPr>
      <w:rPr>
        <w:rFonts w:ascii="Calibri" w:eastAsiaTheme="minorHAnsi" w:hAnsi="Calibri"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0C37E83"/>
    <w:multiLevelType w:val="hybridMultilevel"/>
    <w:tmpl w:val="776E35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5612D94"/>
    <w:multiLevelType w:val="multilevel"/>
    <w:tmpl w:val="832CAD8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E20EDD"/>
    <w:multiLevelType w:val="multilevel"/>
    <w:tmpl w:val="D1BE009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C87A50"/>
    <w:multiLevelType w:val="multilevel"/>
    <w:tmpl w:val="67CEE9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081C32"/>
    <w:multiLevelType w:val="hybridMultilevel"/>
    <w:tmpl w:val="A900E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BF751C0"/>
    <w:multiLevelType w:val="hybridMultilevel"/>
    <w:tmpl w:val="1F8EE4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1431C9"/>
    <w:multiLevelType w:val="hybridMultilevel"/>
    <w:tmpl w:val="62CCA6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794D65"/>
    <w:multiLevelType w:val="hybridMultilevel"/>
    <w:tmpl w:val="C1927868"/>
    <w:lvl w:ilvl="0" w:tplc="18090001">
      <w:start w:val="1"/>
      <w:numFmt w:val="bullet"/>
      <w:lvlText w:val=""/>
      <w:lvlJc w:val="left"/>
      <w:pPr>
        <w:ind w:left="787" w:hanging="360"/>
      </w:pPr>
      <w:rPr>
        <w:rFonts w:ascii="Symbol" w:hAnsi="Symbol" w:hint="default"/>
      </w:rPr>
    </w:lvl>
    <w:lvl w:ilvl="1" w:tplc="18090003">
      <w:start w:val="1"/>
      <w:numFmt w:val="bullet"/>
      <w:lvlText w:val="o"/>
      <w:lvlJc w:val="left"/>
      <w:pPr>
        <w:ind w:left="1507" w:hanging="360"/>
      </w:pPr>
      <w:rPr>
        <w:rFonts w:ascii="Courier New" w:hAnsi="Courier New" w:cs="Courier New" w:hint="default"/>
      </w:rPr>
    </w:lvl>
    <w:lvl w:ilvl="2" w:tplc="18090005">
      <w:start w:val="1"/>
      <w:numFmt w:val="bullet"/>
      <w:lvlText w:val=""/>
      <w:lvlJc w:val="left"/>
      <w:pPr>
        <w:ind w:left="2227" w:hanging="360"/>
      </w:pPr>
      <w:rPr>
        <w:rFonts w:ascii="Wingdings" w:hAnsi="Wingdings" w:hint="default"/>
      </w:rPr>
    </w:lvl>
    <w:lvl w:ilvl="3" w:tplc="18090001">
      <w:start w:val="1"/>
      <w:numFmt w:val="bullet"/>
      <w:lvlText w:val=""/>
      <w:lvlJc w:val="left"/>
      <w:pPr>
        <w:ind w:left="2947" w:hanging="360"/>
      </w:pPr>
      <w:rPr>
        <w:rFonts w:ascii="Symbol" w:hAnsi="Symbol" w:hint="default"/>
      </w:rPr>
    </w:lvl>
    <w:lvl w:ilvl="4" w:tplc="18090003">
      <w:start w:val="1"/>
      <w:numFmt w:val="bullet"/>
      <w:lvlText w:val="o"/>
      <w:lvlJc w:val="left"/>
      <w:pPr>
        <w:ind w:left="3667" w:hanging="360"/>
      </w:pPr>
      <w:rPr>
        <w:rFonts w:ascii="Courier New" w:hAnsi="Courier New" w:cs="Courier New" w:hint="default"/>
      </w:rPr>
    </w:lvl>
    <w:lvl w:ilvl="5" w:tplc="18090005">
      <w:start w:val="1"/>
      <w:numFmt w:val="bullet"/>
      <w:lvlText w:val=""/>
      <w:lvlJc w:val="left"/>
      <w:pPr>
        <w:ind w:left="4387" w:hanging="360"/>
      </w:pPr>
      <w:rPr>
        <w:rFonts w:ascii="Wingdings" w:hAnsi="Wingdings" w:hint="default"/>
      </w:rPr>
    </w:lvl>
    <w:lvl w:ilvl="6" w:tplc="18090001">
      <w:start w:val="1"/>
      <w:numFmt w:val="bullet"/>
      <w:lvlText w:val=""/>
      <w:lvlJc w:val="left"/>
      <w:pPr>
        <w:ind w:left="5107" w:hanging="360"/>
      </w:pPr>
      <w:rPr>
        <w:rFonts w:ascii="Symbol" w:hAnsi="Symbol" w:hint="default"/>
      </w:rPr>
    </w:lvl>
    <w:lvl w:ilvl="7" w:tplc="18090003">
      <w:start w:val="1"/>
      <w:numFmt w:val="bullet"/>
      <w:lvlText w:val="o"/>
      <w:lvlJc w:val="left"/>
      <w:pPr>
        <w:ind w:left="5827" w:hanging="360"/>
      </w:pPr>
      <w:rPr>
        <w:rFonts w:ascii="Courier New" w:hAnsi="Courier New" w:cs="Courier New" w:hint="default"/>
      </w:rPr>
    </w:lvl>
    <w:lvl w:ilvl="8" w:tplc="18090005">
      <w:start w:val="1"/>
      <w:numFmt w:val="bullet"/>
      <w:lvlText w:val=""/>
      <w:lvlJc w:val="left"/>
      <w:pPr>
        <w:ind w:left="6547" w:hanging="360"/>
      </w:pPr>
      <w:rPr>
        <w:rFonts w:ascii="Wingdings" w:hAnsi="Wingdings" w:hint="default"/>
      </w:rPr>
    </w:lvl>
  </w:abstractNum>
  <w:abstractNum w:abstractNumId="20" w15:restartNumberingAfterBreak="0">
    <w:nsid w:val="2E650AE7"/>
    <w:multiLevelType w:val="hybridMultilevel"/>
    <w:tmpl w:val="F4842A84"/>
    <w:styleLink w:val="Bullet"/>
    <w:lvl w:ilvl="0" w:tplc="8898A07A">
      <w:start w:val="1"/>
      <w:numFmt w:val="bullet"/>
      <w:lvlText w:val="•"/>
      <w:lvlJc w:val="left"/>
      <w:pPr>
        <w:ind w:left="16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7AC004">
      <w:start w:val="1"/>
      <w:numFmt w:val="bullet"/>
      <w:lvlText w:val="•"/>
      <w:lvlJc w:val="left"/>
      <w:pPr>
        <w:ind w:left="34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9C26D4">
      <w:start w:val="1"/>
      <w:numFmt w:val="bullet"/>
      <w:lvlText w:val="•"/>
      <w:lvlJc w:val="left"/>
      <w:pPr>
        <w:ind w:left="52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020D62">
      <w:start w:val="1"/>
      <w:numFmt w:val="bullet"/>
      <w:lvlText w:val="•"/>
      <w:lvlJc w:val="left"/>
      <w:pPr>
        <w:ind w:left="70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78485C">
      <w:start w:val="1"/>
      <w:numFmt w:val="bullet"/>
      <w:lvlText w:val="•"/>
      <w:lvlJc w:val="left"/>
      <w:pPr>
        <w:ind w:left="88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50DD96">
      <w:start w:val="1"/>
      <w:numFmt w:val="bullet"/>
      <w:lvlText w:val="•"/>
      <w:lvlJc w:val="left"/>
      <w:pPr>
        <w:ind w:left="106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22E2EE">
      <w:start w:val="1"/>
      <w:numFmt w:val="bullet"/>
      <w:lvlText w:val="•"/>
      <w:lvlJc w:val="left"/>
      <w:pPr>
        <w:ind w:left="124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B4888C">
      <w:start w:val="1"/>
      <w:numFmt w:val="bullet"/>
      <w:lvlText w:val="•"/>
      <w:lvlJc w:val="left"/>
      <w:pPr>
        <w:ind w:left="142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28DA84">
      <w:start w:val="1"/>
      <w:numFmt w:val="bullet"/>
      <w:lvlText w:val="•"/>
      <w:lvlJc w:val="left"/>
      <w:pPr>
        <w:ind w:left="160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3C4C01"/>
    <w:multiLevelType w:val="hybridMultilevel"/>
    <w:tmpl w:val="B0403574"/>
    <w:lvl w:ilvl="0" w:tplc="F1E0E110">
      <w:start w:val="1"/>
      <w:numFmt w:val="decimal"/>
      <w:lvlText w:val="%1."/>
      <w:lvlJc w:val="left"/>
      <w:pPr>
        <w:ind w:left="765" w:hanging="360"/>
      </w:pPr>
      <w:rPr>
        <w:b/>
      </w:rPr>
    </w:lvl>
    <w:lvl w:ilvl="1" w:tplc="18090019">
      <w:start w:val="1"/>
      <w:numFmt w:val="lowerLetter"/>
      <w:lvlText w:val="%2."/>
      <w:lvlJc w:val="left"/>
      <w:pPr>
        <w:ind w:left="1485" w:hanging="360"/>
      </w:pPr>
    </w:lvl>
    <w:lvl w:ilvl="2" w:tplc="1809001B">
      <w:start w:val="1"/>
      <w:numFmt w:val="lowerRoman"/>
      <w:lvlText w:val="%3."/>
      <w:lvlJc w:val="right"/>
      <w:pPr>
        <w:ind w:left="2205" w:hanging="180"/>
      </w:pPr>
    </w:lvl>
    <w:lvl w:ilvl="3" w:tplc="1809000F">
      <w:start w:val="1"/>
      <w:numFmt w:val="decimal"/>
      <w:lvlText w:val="%4."/>
      <w:lvlJc w:val="left"/>
      <w:pPr>
        <w:ind w:left="2925" w:hanging="360"/>
      </w:pPr>
    </w:lvl>
    <w:lvl w:ilvl="4" w:tplc="18090019">
      <w:start w:val="1"/>
      <w:numFmt w:val="lowerLetter"/>
      <w:lvlText w:val="%5."/>
      <w:lvlJc w:val="left"/>
      <w:pPr>
        <w:ind w:left="3645" w:hanging="360"/>
      </w:pPr>
    </w:lvl>
    <w:lvl w:ilvl="5" w:tplc="1809001B">
      <w:start w:val="1"/>
      <w:numFmt w:val="lowerRoman"/>
      <w:lvlText w:val="%6."/>
      <w:lvlJc w:val="right"/>
      <w:pPr>
        <w:ind w:left="4365" w:hanging="180"/>
      </w:pPr>
    </w:lvl>
    <w:lvl w:ilvl="6" w:tplc="1809000F">
      <w:start w:val="1"/>
      <w:numFmt w:val="decimal"/>
      <w:lvlText w:val="%7."/>
      <w:lvlJc w:val="left"/>
      <w:pPr>
        <w:ind w:left="5085" w:hanging="360"/>
      </w:pPr>
    </w:lvl>
    <w:lvl w:ilvl="7" w:tplc="18090019">
      <w:start w:val="1"/>
      <w:numFmt w:val="lowerLetter"/>
      <w:lvlText w:val="%8."/>
      <w:lvlJc w:val="left"/>
      <w:pPr>
        <w:ind w:left="5805" w:hanging="360"/>
      </w:pPr>
    </w:lvl>
    <w:lvl w:ilvl="8" w:tplc="1809001B">
      <w:start w:val="1"/>
      <w:numFmt w:val="lowerRoman"/>
      <w:lvlText w:val="%9."/>
      <w:lvlJc w:val="right"/>
      <w:pPr>
        <w:ind w:left="6525" w:hanging="180"/>
      </w:pPr>
    </w:lvl>
  </w:abstractNum>
  <w:abstractNum w:abstractNumId="22" w15:restartNumberingAfterBreak="0">
    <w:nsid w:val="38B249BE"/>
    <w:multiLevelType w:val="hybridMultilevel"/>
    <w:tmpl w:val="69DEF6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AF8475F"/>
    <w:multiLevelType w:val="hybridMultilevel"/>
    <w:tmpl w:val="94D64D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CA6416E"/>
    <w:multiLevelType w:val="hybridMultilevel"/>
    <w:tmpl w:val="CCB83D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E2773B3"/>
    <w:multiLevelType w:val="hybridMultilevel"/>
    <w:tmpl w:val="F4FAAE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8A85AFA"/>
    <w:multiLevelType w:val="multilevel"/>
    <w:tmpl w:val="D7B0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611164"/>
    <w:multiLevelType w:val="hybridMultilevel"/>
    <w:tmpl w:val="66BE09A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E844799"/>
    <w:multiLevelType w:val="hybridMultilevel"/>
    <w:tmpl w:val="18C0F3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EF070E8"/>
    <w:multiLevelType w:val="hybridMultilevel"/>
    <w:tmpl w:val="7E10B4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3130C8A"/>
    <w:multiLevelType w:val="hybridMultilevel"/>
    <w:tmpl w:val="86469D8E"/>
    <w:lvl w:ilvl="0" w:tplc="D9924FF8">
      <w:start w:val="1"/>
      <w:numFmt w:val="bullet"/>
      <w:lvlText w:val="»"/>
      <w:lvlJc w:val="left"/>
      <w:pPr>
        <w:tabs>
          <w:tab w:val="num" w:pos="720"/>
        </w:tabs>
        <w:ind w:left="720" w:hanging="360"/>
      </w:pPr>
      <w:rPr>
        <w:rFonts w:ascii="Arial" w:hAnsi="Arial" w:hint="default"/>
      </w:rPr>
    </w:lvl>
    <w:lvl w:ilvl="1" w:tplc="4F40AFDC" w:tentative="1">
      <w:start w:val="1"/>
      <w:numFmt w:val="bullet"/>
      <w:lvlText w:val="»"/>
      <w:lvlJc w:val="left"/>
      <w:pPr>
        <w:tabs>
          <w:tab w:val="num" w:pos="1440"/>
        </w:tabs>
        <w:ind w:left="1440" w:hanging="360"/>
      </w:pPr>
      <w:rPr>
        <w:rFonts w:ascii="Arial" w:hAnsi="Arial" w:hint="default"/>
      </w:rPr>
    </w:lvl>
    <w:lvl w:ilvl="2" w:tplc="FFC82232" w:tentative="1">
      <w:start w:val="1"/>
      <w:numFmt w:val="bullet"/>
      <w:lvlText w:val="»"/>
      <w:lvlJc w:val="left"/>
      <w:pPr>
        <w:tabs>
          <w:tab w:val="num" w:pos="2160"/>
        </w:tabs>
        <w:ind w:left="2160" w:hanging="360"/>
      </w:pPr>
      <w:rPr>
        <w:rFonts w:ascii="Arial" w:hAnsi="Arial" w:hint="default"/>
      </w:rPr>
    </w:lvl>
    <w:lvl w:ilvl="3" w:tplc="3ED284C4" w:tentative="1">
      <w:start w:val="1"/>
      <w:numFmt w:val="bullet"/>
      <w:lvlText w:val="»"/>
      <w:lvlJc w:val="left"/>
      <w:pPr>
        <w:tabs>
          <w:tab w:val="num" w:pos="2880"/>
        </w:tabs>
        <w:ind w:left="2880" w:hanging="360"/>
      </w:pPr>
      <w:rPr>
        <w:rFonts w:ascii="Arial" w:hAnsi="Arial" w:hint="default"/>
      </w:rPr>
    </w:lvl>
    <w:lvl w:ilvl="4" w:tplc="E8B887FA" w:tentative="1">
      <w:start w:val="1"/>
      <w:numFmt w:val="bullet"/>
      <w:lvlText w:val="»"/>
      <w:lvlJc w:val="left"/>
      <w:pPr>
        <w:tabs>
          <w:tab w:val="num" w:pos="3600"/>
        </w:tabs>
        <w:ind w:left="3600" w:hanging="360"/>
      </w:pPr>
      <w:rPr>
        <w:rFonts w:ascii="Arial" w:hAnsi="Arial" w:hint="default"/>
      </w:rPr>
    </w:lvl>
    <w:lvl w:ilvl="5" w:tplc="E648E8CC" w:tentative="1">
      <w:start w:val="1"/>
      <w:numFmt w:val="bullet"/>
      <w:lvlText w:val="»"/>
      <w:lvlJc w:val="left"/>
      <w:pPr>
        <w:tabs>
          <w:tab w:val="num" w:pos="4320"/>
        </w:tabs>
        <w:ind w:left="4320" w:hanging="360"/>
      </w:pPr>
      <w:rPr>
        <w:rFonts w:ascii="Arial" w:hAnsi="Arial" w:hint="default"/>
      </w:rPr>
    </w:lvl>
    <w:lvl w:ilvl="6" w:tplc="84CE59F0" w:tentative="1">
      <w:start w:val="1"/>
      <w:numFmt w:val="bullet"/>
      <w:lvlText w:val="»"/>
      <w:lvlJc w:val="left"/>
      <w:pPr>
        <w:tabs>
          <w:tab w:val="num" w:pos="5040"/>
        </w:tabs>
        <w:ind w:left="5040" w:hanging="360"/>
      </w:pPr>
      <w:rPr>
        <w:rFonts w:ascii="Arial" w:hAnsi="Arial" w:hint="default"/>
      </w:rPr>
    </w:lvl>
    <w:lvl w:ilvl="7" w:tplc="AB78C8E8" w:tentative="1">
      <w:start w:val="1"/>
      <w:numFmt w:val="bullet"/>
      <w:lvlText w:val="»"/>
      <w:lvlJc w:val="left"/>
      <w:pPr>
        <w:tabs>
          <w:tab w:val="num" w:pos="5760"/>
        </w:tabs>
        <w:ind w:left="5760" w:hanging="360"/>
      </w:pPr>
      <w:rPr>
        <w:rFonts w:ascii="Arial" w:hAnsi="Arial" w:hint="default"/>
      </w:rPr>
    </w:lvl>
    <w:lvl w:ilvl="8" w:tplc="E0B294F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D647B2"/>
    <w:multiLevelType w:val="multilevel"/>
    <w:tmpl w:val="9284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E30DEA"/>
    <w:multiLevelType w:val="multilevel"/>
    <w:tmpl w:val="0BA65D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E32304"/>
    <w:multiLevelType w:val="hybridMultilevel"/>
    <w:tmpl w:val="FAB0BA7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94A000C"/>
    <w:multiLevelType w:val="hybridMultilevel"/>
    <w:tmpl w:val="2396B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9936EFA"/>
    <w:multiLevelType w:val="hybridMultilevel"/>
    <w:tmpl w:val="898C5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AFD296C"/>
    <w:multiLevelType w:val="hybridMultilevel"/>
    <w:tmpl w:val="BB1231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B697525"/>
    <w:multiLevelType w:val="hybridMultilevel"/>
    <w:tmpl w:val="D85E2C7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ECD7123"/>
    <w:multiLevelType w:val="hybridMultilevel"/>
    <w:tmpl w:val="9D16C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9D3C91"/>
    <w:multiLevelType w:val="hybridMultilevel"/>
    <w:tmpl w:val="F4842A84"/>
    <w:numStyleLink w:val="Bullet"/>
  </w:abstractNum>
  <w:abstractNum w:abstractNumId="40" w15:restartNumberingAfterBreak="0">
    <w:nsid w:val="70437A4B"/>
    <w:multiLevelType w:val="multilevel"/>
    <w:tmpl w:val="C87CFB9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7C91C0A"/>
    <w:multiLevelType w:val="hybridMultilevel"/>
    <w:tmpl w:val="410AAD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5"/>
  </w:num>
  <w:num w:numId="2">
    <w:abstractNumId w:val="30"/>
  </w:num>
  <w:num w:numId="3">
    <w:abstractNumId w:val="11"/>
  </w:num>
  <w:num w:numId="4">
    <w:abstractNumId w:val="27"/>
  </w:num>
  <w:num w:numId="5">
    <w:abstractNumId w:val="37"/>
  </w:num>
  <w:num w:numId="6">
    <w:abstractNumId w:val="19"/>
  </w:num>
  <w:num w:numId="7">
    <w:abstractNumId w:val="12"/>
  </w:num>
  <w:num w:numId="8">
    <w:abstractNumId w:val="24"/>
  </w:num>
  <w:num w:numId="9">
    <w:abstractNumId w:val="36"/>
  </w:num>
  <w:num w:numId="10">
    <w:abstractNumId w:val="5"/>
  </w:num>
  <w:num w:numId="11">
    <w:abstractNumId w:val="40"/>
  </w:num>
  <w:num w:numId="12">
    <w:abstractNumId w:val="17"/>
  </w:num>
  <w:num w:numId="13">
    <w:abstractNumId w:val="15"/>
  </w:num>
  <w:num w:numId="14">
    <w:abstractNumId w:val="32"/>
  </w:num>
  <w:num w:numId="15">
    <w:abstractNumId w:val="13"/>
  </w:num>
  <w:num w:numId="16">
    <w:abstractNumId w:val="3"/>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4"/>
  </w:num>
  <w:num w:numId="20">
    <w:abstractNumId w:val="41"/>
  </w:num>
  <w:num w:numId="21">
    <w:abstractNumId w:val="0"/>
  </w:num>
  <w:num w:numId="22">
    <w:abstractNumId w:val="8"/>
  </w:num>
  <w:num w:numId="23">
    <w:abstractNumId w:val="21"/>
  </w:num>
  <w:num w:numId="24">
    <w:abstractNumId w:val="9"/>
  </w:num>
  <w:num w:numId="25">
    <w:abstractNumId w:val="16"/>
  </w:num>
  <w:num w:numId="26">
    <w:abstractNumId w:val="26"/>
  </w:num>
  <w:num w:numId="27">
    <w:abstractNumId w:val="23"/>
  </w:num>
  <w:num w:numId="28">
    <w:abstractNumId w:val="2"/>
  </w:num>
  <w:num w:numId="29">
    <w:abstractNumId w:val="18"/>
  </w:num>
  <w:num w:numId="30">
    <w:abstractNumId w:val="25"/>
  </w:num>
  <w:num w:numId="31">
    <w:abstractNumId w:val="6"/>
  </w:num>
  <w:num w:numId="32">
    <w:abstractNumId w:val="10"/>
  </w:num>
  <w:num w:numId="33">
    <w:abstractNumId w:val="38"/>
  </w:num>
  <w:num w:numId="34">
    <w:abstractNumId w:val="31"/>
  </w:num>
  <w:num w:numId="35">
    <w:abstractNumId w:val="29"/>
  </w:num>
  <w:num w:numId="36">
    <w:abstractNumId w:val="7"/>
  </w:num>
  <w:num w:numId="37">
    <w:abstractNumId w:val="34"/>
  </w:num>
  <w:num w:numId="38">
    <w:abstractNumId w:val="33"/>
  </w:num>
  <w:num w:numId="39">
    <w:abstractNumId w:val="22"/>
  </w:num>
  <w:num w:numId="40">
    <w:abstractNumId w:val="28"/>
  </w:num>
  <w:num w:numId="41">
    <w:abstractNumId w:val="20"/>
  </w:num>
  <w:num w:numId="42">
    <w:abstractNumId w:val="39"/>
  </w:num>
  <w:num w:numId="43">
    <w:abstractNumId w:val="39"/>
    <w:lvlOverride w:ilvl="0">
      <w:lvl w:ilvl="0" w:tplc="A58A4D1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3D0EBC6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4E1E616E">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404E712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A5DEE3B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4B02DD0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BDDEA3F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27509E46">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5B820262">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27"/>
    <w:rsid w:val="00002227"/>
    <w:rsid w:val="0000343B"/>
    <w:rsid w:val="000252DC"/>
    <w:rsid w:val="00031338"/>
    <w:rsid w:val="0003651C"/>
    <w:rsid w:val="00053ED0"/>
    <w:rsid w:val="00055F8A"/>
    <w:rsid w:val="00057AA3"/>
    <w:rsid w:val="000645BC"/>
    <w:rsid w:val="00064D48"/>
    <w:rsid w:val="00067C7F"/>
    <w:rsid w:val="0007003D"/>
    <w:rsid w:val="000714E4"/>
    <w:rsid w:val="000726D5"/>
    <w:rsid w:val="00072D7A"/>
    <w:rsid w:val="000757F1"/>
    <w:rsid w:val="00081072"/>
    <w:rsid w:val="0008275F"/>
    <w:rsid w:val="000924EC"/>
    <w:rsid w:val="00094232"/>
    <w:rsid w:val="000974C7"/>
    <w:rsid w:val="000A5D43"/>
    <w:rsid w:val="000A5DEA"/>
    <w:rsid w:val="000B09D0"/>
    <w:rsid w:val="000B35AE"/>
    <w:rsid w:val="000E6430"/>
    <w:rsid w:val="000E6AE4"/>
    <w:rsid w:val="000F14BA"/>
    <w:rsid w:val="000F4FB2"/>
    <w:rsid w:val="00134B3F"/>
    <w:rsid w:val="00152C4C"/>
    <w:rsid w:val="00156CCE"/>
    <w:rsid w:val="00161F6F"/>
    <w:rsid w:val="00174EBB"/>
    <w:rsid w:val="00176760"/>
    <w:rsid w:val="0018163A"/>
    <w:rsid w:val="001A5607"/>
    <w:rsid w:val="001A7DEA"/>
    <w:rsid w:val="001B16DA"/>
    <w:rsid w:val="001B3663"/>
    <w:rsid w:val="001B7537"/>
    <w:rsid w:val="001C04B7"/>
    <w:rsid w:val="001C26C1"/>
    <w:rsid w:val="001D68A8"/>
    <w:rsid w:val="001F3537"/>
    <w:rsid w:val="00210C76"/>
    <w:rsid w:val="0021112F"/>
    <w:rsid w:val="00216C64"/>
    <w:rsid w:val="002300F1"/>
    <w:rsid w:val="0023281B"/>
    <w:rsid w:val="00235287"/>
    <w:rsid w:val="00244B60"/>
    <w:rsid w:val="0025023E"/>
    <w:rsid w:val="002723E4"/>
    <w:rsid w:val="00272D1C"/>
    <w:rsid w:val="00273FC9"/>
    <w:rsid w:val="002740F6"/>
    <w:rsid w:val="00276C04"/>
    <w:rsid w:val="0028700B"/>
    <w:rsid w:val="002A1DE3"/>
    <w:rsid w:val="002A711B"/>
    <w:rsid w:val="002B3A5F"/>
    <w:rsid w:val="002B6532"/>
    <w:rsid w:val="002C55DB"/>
    <w:rsid w:val="002C5E8D"/>
    <w:rsid w:val="002D02DF"/>
    <w:rsid w:val="002D15E7"/>
    <w:rsid w:val="002D1D55"/>
    <w:rsid w:val="002D7C9B"/>
    <w:rsid w:val="002E6278"/>
    <w:rsid w:val="003066F0"/>
    <w:rsid w:val="003150F6"/>
    <w:rsid w:val="003157AE"/>
    <w:rsid w:val="00324E33"/>
    <w:rsid w:val="00326386"/>
    <w:rsid w:val="003375B2"/>
    <w:rsid w:val="003610FB"/>
    <w:rsid w:val="0036474E"/>
    <w:rsid w:val="00366007"/>
    <w:rsid w:val="003678FC"/>
    <w:rsid w:val="00372192"/>
    <w:rsid w:val="003724A1"/>
    <w:rsid w:val="0038314C"/>
    <w:rsid w:val="003A0861"/>
    <w:rsid w:val="003A282C"/>
    <w:rsid w:val="003A645A"/>
    <w:rsid w:val="003B1C91"/>
    <w:rsid w:val="003C391F"/>
    <w:rsid w:val="003C3BDA"/>
    <w:rsid w:val="00405538"/>
    <w:rsid w:val="00416306"/>
    <w:rsid w:val="004254C8"/>
    <w:rsid w:val="004331D3"/>
    <w:rsid w:val="00444F92"/>
    <w:rsid w:val="004450CE"/>
    <w:rsid w:val="00451457"/>
    <w:rsid w:val="00475DD5"/>
    <w:rsid w:val="00486284"/>
    <w:rsid w:val="004A5F54"/>
    <w:rsid w:val="004A759A"/>
    <w:rsid w:val="004B2389"/>
    <w:rsid w:val="004B27C2"/>
    <w:rsid w:val="004C1BFE"/>
    <w:rsid w:val="004D1189"/>
    <w:rsid w:val="004F67BE"/>
    <w:rsid w:val="00515764"/>
    <w:rsid w:val="00521385"/>
    <w:rsid w:val="0053587C"/>
    <w:rsid w:val="00584F9E"/>
    <w:rsid w:val="00587028"/>
    <w:rsid w:val="0059527A"/>
    <w:rsid w:val="00595FBD"/>
    <w:rsid w:val="005A2EAA"/>
    <w:rsid w:val="005B6A4B"/>
    <w:rsid w:val="005C300D"/>
    <w:rsid w:val="005C7788"/>
    <w:rsid w:val="005D0005"/>
    <w:rsid w:val="005D29CA"/>
    <w:rsid w:val="005D72ED"/>
    <w:rsid w:val="005F5C99"/>
    <w:rsid w:val="005F762B"/>
    <w:rsid w:val="00603B95"/>
    <w:rsid w:val="0060433D"/>
    <w:rsid w:val="00614BB4"/>
    <w:rsid w:val="006171AA"/>
    <w:rsid w:val="006207E4"/>
    <w:rsid w:val="0062114A"/>
    <w:rsid w:val="006236F1"/>
    <w:rsid w:val="00627D53"/>
    <w:rsid w:val="006625F2"/>
    <w:rsid w:val="006642F5"/>
    <w:rsid w:val="00666220"/>
    <w:rsid w:val="0067184F"/>
    <w:rsid w:val="006811C1"/>
    <w:rsid w:val="0069265F"/>
    <w:rsid w:val="0069334A"/>
    <w:rsid w:val="006B4379"/>
    <w:rsid w:val="006B6783"/>
    <w:rsid w:val="006C1040"/>
    <w:rsid w:val="006C165B"/>
    <w:rsid w:val="006C40B3"/>
    <w:rsid w:val="006D1B83"/>
    <w:rsid w:val="006E78C1"/>
    <w:rsid w:val="006E7E57"/>
    <w:rsid w:val="007047D9"/>
    <w:rsid w:val="00711D7F"/>
    <w:rsid w:val="00717F7A"/>
    <w:rsid w:val="007215C6"/>
    <w:rsid w:val="007252AF"/>
    <w:rsid w:val="0073132D"/>
    <w:rsid w:val="00736A85"/>
    <w:rsid w:val="00745230"/>
    <w:rsid w:val="00751A59"/>
    <w:rsid w:val="00752121"/>
    <w:rsid w:val="007661B3"/>
    <w:rsid w:val="00772562"/>
    <w:rsid w:val="00777E18"/>
    <w:rsid w:val="00787C5A"/>
    <w:rsid w:val="00792260"/>
    <w:rsid w:val="007A47B4"/>
    <w:rsid w:val="007B5511"/>
    <w:rsid w:val="007B698C"/>
    <w:rsid w:val="007D198B"/>
    <w:rsid w:val="007F05A6"/>
    <w:rsid w:val="007F3FAA"/>
    <w:rsid w:val="007F6554"/>
    <w:rsid w:val="00822C7F"/>
    <w:rsid w:val="00837C32"/>
    <w:rsid w:val="00843E87"/>
    <w:rsid w:val="008568B2"/>
    <w:rsid w:val="00860535"/>
    <w:rsid w:val="00865B64"/>
    <w:rsid w:val="008809B8"/>
    <w:rsid w:val="00886027"/>
    <w:rsid w:val="008911AD"/>
    <w:rsid w:val="008C0367"/>
    <w:rsid w:val="008D7936"/>
    <w:rsid w:val="008E1C45"/>
    <w:rsid w:val="00901125"/>
    <w:rsid w:val="00907576"/>
    <w:rsid w:val="00910147"/>
    <w:rsid w:val="00910BEB"/>
    <w:rsid w:val="009176BF"/>
    <w:rsid w:val="00921240"/>
    <w:rsid w:val="00923889"/>
    <w:rsid w:val="009320EF"/>
    <w:rsid w:val="00934F93"/>
    <w:rsid w:val="00936E6D"/>
    <w:rsid w:val="00952FBB"/>
    <w:rsid w:val="00953202"/>
    <w:rsid w:val="00954E0A"/>
    <w:rsid w:val="009556FE"/>
    <w:rsid w:val="0095664F"/>
    <w:rsid w:val="00957EE5"/>
    <w:rsid w:val="00992CBF"/>
    <w:rsid w:val="009A5D21"/>
    <w:rsid w:val="009C04C1"/>
    <w:rsid w:val="009C2083"/>
    <w:rsid w:val="009C424B"/>
    <w:rsid w:val="009C43BB"/>
    <w:rsid w:val="009D240D"/>
    <w:rsid w:val="009E0C69"/>
    <w:rsid w:val="009E5CF7"/>
    <w:rsid w:val="009F42C0"/>
    <w:rsid w:val="009F68A2"/>
    <w:rsid w:val="00A0084A"/>
    <w:rsid w:val="00A149AE"/>
    <w:rsid w:val="00A15ECC"/>
    <w:rsid w:val="00A2182E"/>
    <w:rsid w:val="00A3079C"/>
    <w:rsid w:val="00A375B9"/>
    <w:rsid w:val="00A46605"/>
    <w:rsid w:val="00A46C3A"/>
    <w:rsid w:val="00A60456"/>
    <w:rsid w:val="00A65193"/>
    <w:rsid w:val="00A90FC1"/>
    <w:rsid w:val="00A97201"/>
    <w:rsid w:val="00AA42F1"/>
    <w:rsid w:val="00AA768B"/>
    <w:rsid w:val="00AB28B2"/>
    <w:rsid w:val="00AB2B23"/>
    <w:rsid w:val="00AC56D2"/>
    <w:rsid w:val="00AC72D8"/>
    <w:rsid w:val="00AD2C4D"/>
    <w:rsid w:val="00AD422E"/>
    <w:rsid w:val="00AD4D08"/>
    <w:rsid w:val="00AE3325"/>
    <w:rsid w:val="00AE54CB"/>
    <w:rsid w:val="00AF560A"/>
    <w:rsid w:val="00AF7A88"/>
    <w:rsid w:val="00B01D2B"/>
    <w:rsid w:val="00B02761"/>
    <w:rsid w:val="00B03959"/>
    <w:rsid w:val="00B221BB"/>
    <w:rsid w:val="00B302A1"/>
    <w:rsid w:val="00B525D2"/>
    <w:rsid w:val="00B53142"/>
    <w:rsid w:val="00B735D1"/>
    <w:rsid w:val="00B83BEB"/>
    <w:rsid w:val="00B92654"/>
    <w:rsid w:val="00B947CE"/>
    <w:rsid w:val="00B96DE0"/>
    <w:rsid w:val="00BB09CD"/>
    <w:rsid w:val="00BB7632"/>
    <w:rsid w:val="00BE065A"/>
    <w:rsid w:val="00BE0F25"/>
    <w:rsid w:val="00BE390A"/>
    <w:rsid w:val="00BE6602"/>
    <w:rsid w:val="00C02806"/>
    <w:rsid w:val="00C04E2C"/>
    <w:rsid w:val="00C074E8"/>
    <w:rsid w:val="00C25CA8"/>
    <w:rsid w:val="00C46D77"/>
    <w:rsid w:val="00C60D4A"/>
    <w:rsid w:val="00C638C6"/>
    <w:rsid w:val="00C671CF"/>
    <w:rsid w:val="00C7310B"/>
    <w:rsid w:val="00C819D5"/>
    <w:rsid w:val="00C840FE"/>
    <w:rsid w:val="00C84DFF"/>
    <w:rsid w:val="00C853D7"/>
    <w:rsid w:val="00C91BFB"/>
    <w:rsid w:val="00C946B0"/>
    <w:rsid w:val="00CB0CC9"/>
    <w:rsid w:val="00CB1A81"/>
    <w:rsid w:val="00CB5725"/>
    <w:rsid w:val="00CC3A9D"/>
    <w:rsid w:val="00CC4CBC"/>
    <w:rsid w:val="00CD3A82"/>
    <w:rsid w:val="00CD7A7A"/>
    <w:rsid w:val="00CD7C53"/>
    <w:rsid w:val="00D00F40"/>
    <w:rsid w:val="00D02796"/>
    <w:rsid w:val="00D03681"/>
    <w:rsid w:val="00D27754"/>
    <w:rsid w:val="00D37D2A"/>
    <w:rsid w:val="00D41734"/>
    <w:rsid w:val="00D609B3"/>
    <w:rsid w:val="00D66A30"/>
    <w:rsid w:val="00D83CDC"/>
    <w:rsid w:val="00D96E0B"/>
    <w:rsid w:val="00DB5EFA"/>
    <w:rsid w:val="00DB5F48"/>
    <w:rsid w:val="00DC2BFC"/>
    <w:rsid w:val="00DC68D9"/>
    <w:rsid w:val="00DC7E28"/>
    <w:rsid w:val="00DD0EE9"/>
    <w:rsid w:val="00DE0F74"/>
    <w:rsid w:val="00DE5573"/>
    <w:rsid w:val="00DF1D89"/>
    <w:rsid w:val="00DF2F7A"/>
    <w:rsid w:val="00DF74B6"/>
    <w:rsid w:val="00DF7D43"/>
    <w:rsid w:val="00E16AF7"/>
    <w:rsid w:val="00E35B1E"/>
    <w:rsid w:val="00E44378"/>
    <w:rsid w:val="00E70A67"/>
    <w:rsid w:val="00E72FD8"/>
    <w:rsid w:val="00E86ADA"/>
    <w:rsid w:val="00EA5F21"/>
    <w:rsid w:val="00EA7707"/>
    <w:rsid w:val="00EC2E3F"/>
    <w:rsid w:val="00EE5D14"/>
    <w:rsid w:val="00EE729B"/>
    <w:rsid w:val="00EF453B"/>
    <w:rsid w:val="00F2016E"/>
    <w:rsid w:val="00F22B58"/>
    <w:rsid w:val="00F42232"/>
    <w:rsid w:val="00F45D65"/>
    <w:rsid w:val="00F61759"/>
    <w:rsid w:val="00F61A48"/>
    <w:rsid w:val="00F67D89"/>
    <w:rsid w:val="00F70EC5"/>
    <w:rsid w:val="00F76F69"/>
    <w:rsid w:val="00F8004C"/>
    <w:rsid w:val="00F82932"/>
    <w:rsid w:val="00F839A0"/>
    <w:rsid w:val="00F845DC"/>
    <w:rsid w:val="00F8533E"/>
    <w:rsid w:val="00FB1175"/>
    <w:rsid w:val="00FB2E85"/>
    <w:rsid w:val="00FC11E0"/>
    <w:rsid w:val="00FD34FC"/>
    <w:rsid w:val="00FD3D1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60C8"/>
  <w15:docId w15:val="{818C1DF9-33BB-FF4C-A479-A4A9B187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ody"/>
    <w:next w:val="Normal"/>
    <w:link w:val="Heading1Char"/>
    <w:uiPriority w:val="9"/>
    <w:qFormat/>
    <w:rsid w:val="009D240D"/>
    <w:pPr>
      <w:spacing w:before="200" w:line="240" w:lineRule="auto"/>
      <w:jc w:val="both"/>
      <w:outlineLvl w:val="0"/>
    </w:pPr>
    <w:rPr>
      <w:rFonts w:ascii="Arial" w:hAnsi="Arial" w:cs="Arial"/>
      <w:b/>
      <w:bCs/>
      <w:color w:val="auto"/>
      <w:lang w:val="en-IE"/>
    </w:rPr>
  </w:style>
  <w:style w:type="paragraph" w:styleId="Heading2">
    <w:name w:val="heading 2"/>
    <w:basedOn w:val="Heading1"/>
    <w:next w:val="Normal"/>
    <w:link w:val="Heading2Char"/>
    <w:uiPriority w:val="9"/>
    <w:unhideWhenUsed/>
    <w:qFormat/>
    <w:rsid w:val="009D240D"/>
    <w:pPr>
      <w:spacing w:before="300" w:after="120"/>
      <w:outlineLvl w:val="1"/>
    </w:pPr>
  </w:style>
  <w:style w:type="paragraph" w:styleId="Heading3">
    <w:name w:val="heading 3"/>
    <w:basedOn w:val="Normal"/>
    <w:next w:val="Normal"/>
    <w:link w:val="Heading3Char"/>
    <w:uiPriority w:val="9"/>
    <w:unhideWhenUsed/>
    <w:qFormat/>
    <w:rsid w:val="006211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227"/>
    <w:rPr>
      <w:color w:val="0000FF" w:themeColor="hyperlink"/>
      <w:u w:val="single"/>
    </w:rPr>
  </w:style>
  <w:style w:type="character" w:styleId="CommentReference">
    <w:name w:val="annotation reference"/>
    <w:basedOn w:val="DefaultParagraphFont"/>
    <w:uiPriority w:val="99"/>
    <w:semiHidden/>
    <w:unhideWhenUsed/>
    <w:rsid w:val="00002227"/>
    <w:rPr>
      <w:sz w:val="16"/>
      <w:szCs w:val="16"/>
    </w:rPr>
  </w:style>
  <w:style w:type="paragraph" w:styleId="CommentText">
    <w:name w:val="annotation text"/>
    <w:basedOn w:val="Normal"/>
    <w:link w:val="CommentTextChar"/>
    <w:uiPriority w:val="99"/>
    <w:semiHidden/>
    <w:unhideWhenUsed/>
    <w:rsid w:val="00002227"/>
    <w:pPr>
      <w:spacing w:line="240" w:lineRule="auto"/>
    </w:pPr>
    <w:rPr>
      <w:sz w:val="20"/>
      <w:szCs w:val="20"/>
    </w:rPr>
  </w:style>
  <w:style w:type="character" w:customStyle="1" w:styleId="CommentTextChar">
    <w:name w:val="Comment Text Char"/>
    <w:basedOn w:val="DefaultParagraphFont"/>
    <w:link w:val="CommentText"/>
    <w:uiPriority w:val="99"/>
    <w:semiHidden/>
    <w:rsid w:val="00002227"/>
    <w:rPr>
      <w:sz w:val="20"/>
      <w:szCs w:val="20"/>
    </w:rPr>
  </w:style>
  <w:style w:type="paragraph" w:styleId="CommentSubject">
    <w:name w:val="annotation subject"/>
    <w:basedOn w:val="CommentText"/>
    <w:next w:val="CommentText"/>
    <w:link w:val="CommentSubjectChar"/>
    <w:uiPriority w:val="99"/>
    <w:semiHidden/>
    <w:unhideWhenUsed/>
    <w:rsid w:val="00002227"/>
    <w:rPr>
      <w:b/>
      <w:bCs/>
    </w:rPr>
  </w:style>
  <w:style w:type="character" w:customStyle="1" w:styleId="CommentSubjectChar">
    <w:name w:val="Comment Subject Char"/>
    <w:basedOn w:val="CommentTextChar"/>
    <w:link w:val="CommentSubject"/>
    <w:uiPriority w:val="99"/>
    <w:semiHidden/>
    <w:rsid w:val="00002227"/>
    <w:rPr>
      <w:b/>
      <w:bCs/>
      <w:sz w:val="20"/>
      <w:szCs w:val="20"/>
    </w:rPr>
  </w:style>
  <w:style w:type="paragraph" w:styleId="BalloonText">
    <w:name w:val="Balloon Text"/>
    <w:basedOn w:val="Normal"/>
    <w:link w:val="BalloonTextChar"/>
    <w:uiPriority w:val="99"/>
    <w:semiHidden/>
    <w:unhideWhenUsed/>
    <w:rsid w:val="00002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227"/>
    <w:rPr>
      <w:rFonts w:ascii="Tahoma" w:hAnsi="Tahoma" w:cs="Tahoma"/>
      <w:sz w:val="16"/>
      <w:szCs w:val="16"/>
    </w:rPr>
  </w:style>
  <w:style w:type="paragraph" w:styleId="ListParagraph">
    <w:name w:val="List Paragraph"/>
    <w:basedOn w:val="Normal"/>
    <w:uiPriority w:val="34"/>
    <w:qFormat/>
    <w:rsid w:val="005F5C99"/>
    <w:pPr>
      <w:ind w:left="720"/>
      <w:contextualSpacing/>
    </w:pPr>
  </w:style>
  <w:style w:type="paragraph" w:styleId="NormalWeb">
    <w:name w:val="Normal (Web)"/>
    <w:basedOn w:val="Normal"/>
    <w:uiPriority w:val="99"/>
    <w:unhideWhenUsed/>
    <w:rsid w:val="005F5C99"/>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59"/>
    <w:rsid w:val="00A46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240D"/>
    <w:rPr>
      <w:rFonts w:ascii="Arial" w:eastAsia="Calibri" w:hAnsi="Arial" w:cs="Arial"/>
      <w:b/>
      <w:bCs/>
      <w:u w:color="000000"/>
      <w:bdr w:val="nil"/>
      <w:lang w:eastAsia="en-IE"/>
    </w:rPr>
  </w:style>
  <w:style w:type="character" w:customStyle="1" w:styleId="Heading2Char">
    <w:name w:val="Heading 2 Char"/>
    <w:basedOn w:val="DefaultParagraphFont"/>
    <w:link w:val="Heading2"/>
    <w:uiPriority w:val="9"/>
    <w:rsid w:val="009D240D"/>
    <w:rPr>
      <w:rFonts w:ascii="Arial" w:eastAsia="Calibri" w:hAnsi="Arial" w:cs="Arial"/>
      <w:b/>
      <w:bCs/>
      <w:u w:color="000000"/>
      <w:bdr w:val="nil"/>
      <w:lang w:eastAsia="en-IE"/>
    </w:rPr>
  </w:style>
  <w:style w:type="paragraph" w:customStyle="1" w:styleId="Body">
    <w:name w:val="Body"/>
    <w:rsid w:val="009D240D"/>
    <w:pPr>
      <w:pBdr>
        <w:top w:val="nil"/>
        <w:left w:val="nil"/>
        <w:bottom w:val="nil"/>
        <w:right w:val="nil"/>
        <w:between w:val="nil"/>
        <w:bar w:val="nil"/>
      </w:pBdr>
    </w:pPr>
    <w:rPr>
      <w:rFonts w:ascii="Calibri" w:eastAsia="Calibri" w:hAnsi="Calibri" w:cs="Calibri"/>
      <w:color w:val="000000"/>
      <w:u w:color="000000"/>
      <w:bdr w:val="nil"/>
      <w:lang w:val="en-US" w:eastAsia="en-IE"/>
    </w:rPr>
  </w:style>
  <w:style w:type="paragraph" w:styleId="FootnoteText">
    <w:name w:val="footnote text"/>
    <w:basedOn w:val="Normal"/>
    <w:link w:val="FootnoteTextChar"/>
    <w:unhideWhenUsed/>
    <w:qFormat/>
    <w:rsid w:val="009D240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rPr>
  </w:style>
  <w:style w:type="character" w:customStyle="1" w:styleId="FootnoteTextChar">
    <w:name w:val="Footnote Text Char"/>
    <w:basedOn w:val="DefaultParagraphFont"/>
    <w:link w:val="FootnoteText"/>
    <w:uiPriority w:val="99"/>
    <w:rsid w:val="009D240D"/>
    <w:rPr>
      <w:rFonts w:ascii="Times New Roman" w:eastAsia="Arial Unicode MS" w:hAnsi="Times New Roman" w:cs="Times New Roman"/>
      <w:sz w:val="20"/>
      <w:szCs w:val="20"/>
      <w:bdr w:val="nil"/>
      <w:lang w:val="en-GB"/>
    </w:rPr>
  </w:style>
  <w:style w:type="character" w:styleId="FootnoteReference">
    <w:name w:val="footnote reference"/>
    <w:aliases w:val="Standard + Block,Erste Zeile:  1 cm"/>
    <w:basedOn w:val="DefaultParagraphFont"/>
    <w:uiPriority w:val="99"/>
    <w:unhideWhenUsed/>
    <w:qFormat/>
    <w:rsid w:val="009D240D"/>
    <w:rPr>
      <w:vertAlign w:val="superscript"/>
    </w:rPr>
  </w:style>
  <w:style w:type="paragraph" w:customStyle="1" w:styleId="Default">
    <w:name w:val="Default"/>
    <w:rsid w:val="009D240D"/>
    <w:pPr>
      <w:spacing w:after="0" w:line="240" w:lineRule="auto"/>
    </w:pPr>
    <w:rPr>
      <w:rFonts w:ascii="Helvetica" w:eastAsia="Arial Unicode MS" w:hAnsi="Helvetica" w:cs="Arial Unicode MS"/>
      <w:color w:val="000000"/>
      <w:u w:color="000000"/>
      <w:lang w:val="en-US"/>
    </w:rPr>
  </w:style>
  <w:style w:type="character" w:styleId="Strong">
    <w:name w:val="Strong"/>
    <w:basedOn w:val="DefaultParagraphFont"/>
    <w:qFormat/>
    <w:rsid w:val="0018163A"/>
    <w:rPr>
      <w:b/>
      <w:bCs/>
    </w:rPr>
  </w:style>
  <w:style w:type="paragraph" w:styleId="Footer">
    <w:name w:val="footer"/>
    <w:basedOn w:val="Normal"/>
    <w:link w:val="FooterChar"/>
    <w:uiPriority w:val="99"/>
    <w:unhideWhenUsed/>
    <w:rsid w:val="00181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63A"/>
  </w:style>
  <w:style w:type="character" w:styleId="PageNumber">
    <w:name w:val="page number"/>
    <w:basedOn w:val="DefaultParagraphFont"/>
    <w:uiPriority w:val="99"/>
    <w:semiHidden/>
    <w:unhideWhenUsed/>
    <w:rsid w:val="0018163A"/>
  </w:style>
  <w:style w:type="character" w:styleId="Emphasis">
    <w:name w:val="Emphasis"/>
    <w:basedOn w:val="DefaultParagraphFont"/>
    <w:uiPriority w:val="20"/>
    <w:qFormat/>
    <w:rsid w:val="00F82932"/>
    <w:rPr>
      <w:i/>
      <w:iCs/>
    </w:rPr>
  </w:style>
  <w:style w:type="paragraph" w:customStyle="1" w:styleId="qtextpara">
    <w:name w:val="qtext_para"/>
    <w:basedOn w:val="Normal"/>
    <w:rsid w:val="004331D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PlainText">
    <w:name w:val="Plain Text"/>
    <w:basedOn w:val="Normal"/>
    <w:link w:val="PlainTextChar"/>
    <w:uiPriority w:val="99"/>
    <w:unhideWhenUsed/>
    <w:rsid w:val="005D72ED"/>
    <w:pPr>
      <w:spacing w:after="0" w:line="240" w:lineRule="auto"/>
    </w:pPr>
    <w:rPr>
      <w:rFonts w:ascii="Calibri" w:eastAsia="Times New Roman" w:hAnsi="Calibri" w:cs="Times New Roman"/>
      <w:szCs w:val="21"/>
      <w:lang w:eastAsia="en-IE"/>
    </w:rPr>
  </w:style>
  <w:style w:type="character" w:customStyle="1" w:styleId="PlainTextChar">
    <w:name w:val="Plain Text Char"/>
    <w:basedOn w:val="DefaultParagraphFont"/>
    <w:link w:val="PlainText"/>
    <w:uiPriority w:val="99"/>
    <w:rsid w:val="005D72ED"/>
    <w:rPr>
      <w:rFonts w:ascii="Calibri" w:eastAsia="Times New Roman" w:hAnsi="Calibri" w:cs="Times New Roman"/>
      <w:szCs w:val="21"/>
      <w:lang w:eastAsia="en-IE"/>
    </w:rPr>
  </w:style>
  <w:style w:type="character" w:customStyle="1" w:styleId="Heading3Char">
    <w:name w:val="Heading 3 Char"/>
    <w:basedOn w:val="DefaultParagraphFont"/>
    <w:link w:val="Heading3"/>
    <w:uiPriority w:val="9"/>
    <w:rsid w:val="0062114A"/>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952FBB"/>
    <w:pPr>
      <w:spacing w:after="0" w:line="240" w:lineRule="auto"/>
    </w:pPr>
    <w:rPr>
      <w:rFonts w:ascii="Cambria" w:eastAsia="MS Mincho" w:hAnsi="Cambria" w:cs="Times New Roman"/>
      <w:sz w:val="24"/>
      <w:szCs w:val="24"/>
      <w:lang w:val="en-US"/>
    </w:rPr>
  </w:style>
  <w:style w:type="character" w:customStyle="1" w:styleId="EndnoteTextChar">
    <w:name w:val="Endnote Text Char"/>
    <w:basedOn w:val="DefaultParagraphFont"/>
    <w:link w:val="EndnoteText"/>
    <w:uiPriority w:val="99"/>
    <w:semiHidden/>
    <w:rsid w:val="00952FBB"/>
    <w:rPr>
      <w:rFonts w:ascii="Cambria" w:eastAsia="MS Mincho" w:hAnsi="Cambria" w:cs="Times New Roman"/>
      <w:sz w:val="24"/>
      <w:szCs w:val="24"/>
      <w:lang w:val="en-US"/>
    </w:rPr>
  </w:style>
  <w:style w:type="character" w:styleId="EndnoteReference">
    <w:name w:val="endnote reference"/>
    <w:uiPriority w:val="99"/>
    <w:semiHidden/>
    <w:unhideWhenUsed/>
    <w:rsid w:val="00952FBB"/>
    <w:rPr>
      <w:vertAlign w:val="superscript"/>
    </w:rPr>
  </w:style>
  <w:style w:type="paragraph" w:customStyle="1" w:styleId="Footnote">
    <w:name w:val="Footnote"/>
    <w:rsid w:val="00B221BB"/>
    <w:pPr>
      <w:pBdr>
        <w:top w:val="nil"/>
        <w:left w:val="nil"/>
        <w:bottom w:val="nil"/>
        <w:right w:val="nil"/>
        <w:between w:val="nil"/>
        <w:bar w:val="nil"/>
      </w:pBdr>
      <w:spacing w:after="0" w:line="240" w:lineRule="auto"/>
    </w:pPr>
    <w:rPr>
      <w:rFonts w:ascii="Helvetica" w:eastAsia="Helvetica" w:hAnsi="Helvetica" w:cs="Helvetica"/>
      <w:color w:val="000000"/>
      <w:bdr w:val="nil"/>
      <w:lang w:eastAsia="en-IE"/>
    </w:rPr>
  </w:style>
  <w:style w:type="numbering" w:customStyle="1" w:styleId="Bullet">
    <w:name w:val="Bullet"/>
    <w:rsid w:val="00B221BB"/>
    <w:pPr>
      <w:numPr>
        <w:numId w:val="41"/>
      </w:numPr>
    </w:pPr>
  </w:style>
  <w:style w:type="paragraph" w:styleId="Caption">
    <w:name w:val="caption"/>
    <w:basedOn w:val="Normal"/>
    <w:next w:val="Normal"/>
    <w:uiPriority w:val="35"/>
    <w:unhideWhenUsed/>
    <w:qFormat/>
    <w:rsid w:val="00B221BB"/>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lang w:val="en-US"/>
    </w:rPr>
  </w:style>
  <w:style w:type="character" w:customStyle="1" w:styleId="NoneA">
    <w:name w:val="None A"/>
    <w:rsid w:val="002C55DB"/>
    <w:rPr>
      <w:lang w:val="en-US"/>
    </w:rPr>
  </w:style>
  <w:style w:type="character" w:styleId="FollowedHyperlink">
    <w:name w:val="FollowedHyperlink"/>
    <w:basedOn w:val="DefaultParagraphFont"/>
    <w:uiPriority w:val="99"/>
    <w:semiHidden/>
    <w:unhideWhenUsed/>
    <w:rsid w:val="00055F8A"/>
    <w:rPr>
      <w:color w:val="800080" w:themeColor="followedHyperlink"/>
      <w:u w:val="single"/>
    </w:rPr>
  </w:style>
  <w:style w:type="paragraph" w:styleId="Revision">
    <w:name w:val="Revision"/>
    <w:hidden/>
    <w:uiPriority w:val="99"/>
    <w:semiHidden/>
    <w:rsid w:val="0003651C"/>
    <w:pPr>
      <w:spacing w:after="0" w:line="240" w:lineRule="auto"/>
    </w:pPr>
  </w:style>
  <w:style w:type="paragraph" w:styleId="Header">
    <w:name w:val="header"/>
    <w:basedOn w:val="Normal"/>
    <w:link w:val="HeaderChar"/>
    <w:uiPriority w:val="99"/>
    <w:unhideWhenUsed/>
    <w:rsid w:val="00324E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2230">
      <w:bodyDiv w:val="1"/>
      <w:marLeft w:val="0"/>
      <w:marRight w:val="0"/>
      <w:marTop w:val="0"/>
      <w:marBottom w:val="0"/>
      <w:divBdr>
        <w:top w:val="none" w:sz="0" w:space="0" w:color="auto"/>
        <w:left w:val="none" w:sz="0" w:space="0" w:color="auto"/>
        <w:bottom w:val="none" w:sz="0" w:space="0" w:color="auto"/>
        <w:right w:val="none" w:sz="0" w:space="0" w:color="auto"/>
      </w:divBdr>
    </w:div>
    <w:div w:id="322197196">
      <w:bodyDiv w:val="1"/>
      <w:marLeft w:val="0"/>
      <w:marRight w:val="0"/>
      <w:marTop w:val="0"/>
      <w:marBottom w:val="0"/>
      <w:divBdr>
        <w:top w:val="none" w:sz="0" w:space="0" w:color="auto"/>
        <w:left w:val="none" w:sz="0" w:space="0" w:color="auto"/>
        <w:bottom w:val="none" w:sz="0" w:space="0" w:color="auto"/>
        <w:right w:val="none" w:sz="0" w:space="0" w:color="auto"/>
      </w:divBdr>
    </w:div>
    <w:div w:id="378286358">
      <w:bodyDiv w:val="1"/>
      <w:marLeft w:val="0"/>
      <w:marRight w:val="0"/>
      <w:marTop w:val="0"/>
      <w:marBottom w:val="0"/>
      <w:divBdr>
        <w:top w:val="none" w:sz="0" w:space="0" w:color="auto"/>
        <w:left w:val="none" w:sz="0" w:space="0" w:color="auto"/>
        <w:bottom w:val="none" w:sz="0" w:space="0" w:color="auto"/>
        <w:right w:val="none" w:sz="0" w:space="0" w:color="auto"/>
      </w:divBdr>
    </w:div>
    <w:div w:id="437872714">
      <w:bodyDiv w:val="1"/>
      <w:marLeft w:val="0"/>
      <w:marRight w:val="0"/>
      <w:marTop w:val="0"/>
      <w:marBottom w:val="0"/>
      <w:divBdr>
        <w:top w:val="none" w:sz="0" w:space="0" w:color="auto"/>
        <w:left w:val="none" w:sz="0" w:space="0" w:color="auto"/>
        <w:bottom w:val="none" w:sz="0" w:space="0" w:color="auto"/>
        <w:right w:val="none" w:sz="0" w:space="0" w:color="auto"/>
      </w:divBdr>
    </w:div>
    <w:div w:id="462233756">
      <w:bodyDiv w:val="1"/>
      <w:marLeft w:val="0"/>
      <w:marRight w:val="0"/>
      <w:marTop w:val="0"/>
      <w:marBottom w:val="0"/>
      <w:divBdr>
        <w:top w:val="none" w:sz="0" w:space="0" w:color="auto"/>
        <w:left w:val="none" w:sz="0" w:space="0" w:color="auto"/>
        <w:bottom w:val="none" w:sz="0" w:space="0" w:color="auto"/>
        <w:right w:val="none" w:sz="0" w:space="0" w:color="auto"/>
      </w:divBdr>
    </w:div>
    <w:div w:id="692000587">
      <w:bodyDiv w:val="1"/>
      <w:marLeft w:val="0"/>
      <w:marRight w:val="0"/>
      <w:marTop w:val="0"/>
      <w:marBottom w:val="0"/>
      <w:divBdr>
        <w:top w:val="none" w:sz="0" w:space="0" w:color="auto"/>
        <w:left w:val="none" w:sz="0" w:space="0" w:color="auto"/>
        <w:bottom w:val="none" w:sz="0" w:space="0" w:color="auto"/>
        <w:right w:val="none" w:sz="0" w:space="0" w:color="auto"/>
      </w:divBdr>
    </w:div>
    <w:div w:id="815142021">
      <w:bodyDiv w:val="1"/>
      <w:marLeft w:val="0"/>
      <w:marRight w:val="0"/>
      <w:marTop w:val="0"/>
      <w:marBottom w:val="0"/>
      <w:divBdr>
        <w:top w:val="none" w:sz="0" w:space="0" w:color="auto"/>
        <w:left w:val="none" w:sz="0" w:space="0" w:color="auto"/>
        <w:bottom w:val="none" w:sz="0" w:space="0" w:color="auto"/>
        <w:right w:val="none" w:sz="0" w:space="0" w:color="auto"/>
      </w:divBdr>
    </w:div>
    <w:div w:id="1183011656">
      <w:bodyDiv w:val="1"/>
      <w:marLeft w:val="0"/>
      <w:marRight w:val="0"/>
      <w:marTop w:val="0"/>
      <w:marBottom w:val="0"/>
      <w:divBdr>
        <w:top w:val="none" w:sz="0" w:space="0" w:color="auto"/>
        <w:left w:val="none" w:sz="0" w:space="0" w:color="auto"/>
        <w:bottom w:val="none" w:sz="0" w:space="0" w:color="auto"/>
        <w:right w:val="none" w:sz="0" w:space="0" w:color="auto"/>
      </w:divBdr>
    </w:div>
    <w:div w:id="1330131898">
      <w:bodyDiv w:val="1"/>
      <w:marLeft w:val="0"/>
      <w:marRight w:val="0"/>
      <w:marTop w:val="0"/>
      <w:marBottom w:val="0"/>
      <w:divBdr>
        <w:top w:val="none" w:sz="0" w:space="0" w:color="auto"/>
        <w:left w:val="none" w:sz="0" w:space="0" w:color="auto"/>
        <w:bottom w:val="none" w:sz="0" w:space="0" w:color="auto"/>
        <w:right w:val="none" w:sz="0" w:space="0" w:color="auto"/>
      </w:divBdr>
    </w:div>
    <w:div w:id="1639917844">
      <w:bodyDiv w:val="1"/>
      <w:marLeft w:val="0"/>
      <w:marRight w:val="0"/>
      <w:marTop w:val="0"/>
      <w:marBottom w:val="0"/>
      <w:divBdr>
        <w:top w:val="none" w:sz="0" w:space="0" w:color="auto"/>
        <w:left w:val="none" w:sz="0" w:space="0" w:color="auto"/>
        <w:bottom w:val="none" w:sz="0" w:space="0" w:color="auto"/>
        <w:right w:val="none" w:sz="0" w:space="0" w:color="auto"/>
      </w:divBdr>
    </w:div>
    <w:div w:id="1785885098">
      <w:bodyDiv w:val="1"/>
      <w:marLeft w:val="0"/>
      <w:marRight w:val="0"/>
      <w:marTop w:val="0"/>
      <w:marBottom w:val="0"/>
      <w:divBdr>
        <w:top w:val="none" w:sz="0" w:space="0" w:color="auto"/>
        <w:left w:val="none" w:sz="0" w:space="0" w:color="auto"/>
        <w:bottom w:val="none" w:sz="0" w:space="0" w:color="auto"/>
        <w:right w:val="none" w:sz="0" w:space="0" w:color="auto"/>
      </w:divBdr>
    </w:div>
    <w:div w:id="1955091054">
      <w:bodyDiv w:val="1"/>
      <w:marLeft w:val="0"/>
      <w:marRight w:val="0"/>
      <w:marTop w:val="0"/>
      <w:marBottom w:val="0"/>
      <w:divBdr>
        <w:top w:val="none" w:sz="0" w:space="0" w:color="auto"/>
        <w:left w:val="none" w:sz="0" w:space="0" w:color="auto"/>
        <w:bottom w:val="none" w:sz="0" w:space="0" w:color="auto"/>
        <w:right w:val="none" w:sz="0" w:space="0" w:color="auto"/>
      </w:divBdr>
    </w:div>
    <w:div w:id="2005282168">
      <w:bodyDiv w:val="1"/>
      <w:marLeft w:val="0"/>
      <w:marRight w:val="0"/>
      <w:marTop w:val="0"/>
      <w:marBottom w:val="0"/>
      <w:divBdr>
        <w:top w:val="none" w:sz="0" w:space="0" w:color="auto"/>
        <w:left w:val="none" w:sz="0" w:space="0" w:color="auto"/>
        <w:bottom w:val="none" w:sz="0" w:space="0" w:color="auto"/>
        <w:right w:val="none" w:sz="0" w:space="0" w:color="auto"/>
      </w:divBdr>
      <w:divsChild>
        <w:div w:id="736979214">
          <w:marLeft w:val="0"/>
          <w:marRight w:val="0"/>
          <w:marTop w:val="0"/>
          <w:marBottom w:val="0"/>
          <w:divBdr>
            <w:top w:val="none" w:sz="0" w:space="0" w:color="auto"/>
            <w:left w:val="none" w:sz="0" w:space="0" w:color="auto"/>
            <w:bottom w:val="none" w:sz="0" w:space="0" w:color="auto"/>
            <w:right w:val="none" w:sz="0" w:space="0" w:color="auto"/>
          </w:divBdr>
        </w:div>
        <w:div w:id="1563325157">
          <w:marLeft w:val="720"/>
          <w:marRight w:val="0"/>
          <w:marTop w:val="0"/>
          <w:marBottom w:val="0"/>
          <w:divBdr>
            <w:top w:val="none" w:sz="0" w:space="0" w:color="auto"/>
            <w:left w:val="none" w:sz="0" w:space="0" w:color="auto"/>
            <w:bottom w:val="none" w:sz="0" w:space="0" w:color="auto"/>
            <w:right w:val="none" w:sz="0" w:space="0" w:color="auto"/>
          </w:divBdr>
        </w:div>
        <w:div w:id="1406413069">
          <w:marLeft w:val="720"/>
          <w:marRight w:val="0"/>
          <w:marTop w:val="0"/>
          <w:marBottom w:val="0"/>
          <w:divBdr>
            <w:top w:val="none" w:sz="0" w:space="0" w:color="auto"/>
            <w:left w:val="none" w:sz="0" w:space="0" w:color="auto"/>
            <w:bottom w:val="none" w:sz="0" w:space="0" w:color="auto"/>
            <w:right w:val="none" w:sz="0" w:space="0" w:color="auto"/>
          </w:divBdr>
        </w:div>
      </w:divsChild>
    </w:div>
    <w:div w:id="2007508941">
      <w:bodyDiv w:val="1"/>
      <w:marLeft w:val="0"/>
      <w:marRight w:val="0"/>
      <w:marTop w:val="0"/>
      <w:marBottom w:val="0"/>
      <w:divBdr>
        <w:top w:val="none" w:sz="0" w:space="0" w:color="auto"/>
        <w:left w:val="none" w:sz="0" w:space="0" w:color="auto"/>
        <w:bottom w:val="none" w:sz="0" w:space="0" w:color="auto"/>
        <w:right w:val="none" w:sz="0" w:space="0" w:color="auto"/>
      </w:divBdr>
      <w:divsChild>
        <w:div w:id="1983076476">
          <w:marLeft w:val="547"/>
          <w:marRight w:val="0"/>
          <w:marTop w:val="80"/>
          <w:marBottom w:val="0"/>
          <w:divBdr>
            <w:top w:val="none" w:sz="0" w:space="0" w:color="auto"/>
            <w:left w:val="none" w:sz="0" w:space="0" w:color="auto"/>
            <w:bottom w:val="none" w:sz="0" w:space="0" w:color="auto"/>
            <w:right w:val="none" w:sz="0" w:space="0" w:color="auto"/>
          </w:divBdr>
        </w:div>
        <w:div w:id="439685101">
          <w:marLeft w:val="547"/>
          <w:marRight w:val="0"/>
          <w:marTop w:val="80"/>
          <w:marBottom w:val="0"/>
          <w:divBdr>
            <w:top w:val="none" w:sz="0" w:space="0" w:color="auto"/>
            <w:left w:val="none" w:sz="0" w:space="0" w:color="auto"/>
            <w:bottom w:val="none" w:sz="0" w:space="0" w:color="auto"/>
            <w:right w:val="none" w:sz="0" w:space="0" w:color="auto"/>
          </w:divBdr>
        </w:div>
        <w:div w:id="711881800">
          <w:marLeft w:val="547"/>
          <w:marRight w:val="0"/>
          <w:marTop w:val="80"/>
          <w:marBottom w:val="0"/>
          <w:divBdr>
            <w:top w:val="none" w:sz="0" w:space="0" w:color="auto"/>
            <w:left w:val="none" w:sz="0" w:space="0" w:color="auto"/>
            <w:bottom w:val="none" w:sz="0" w:space="0" w:color="auto"/>
            <w:right w:val="none" w:sz="0" w:space="0" w:color="auto"/>
          </w:divBdr>
        </w:div>
        <w:div w:id="581138734">
          <w:marLeft w:val="547"/>
          <w:marRight w:val="0"/>
          <w:marTop w:val="80"/>
          <w:marBottom w:val="0"/>
          <w:divBdr>
            <w:top w:val="none" w:sz="0" w:space="0" w:color="auto"/>
            <w:left w:val="none" w:sz="0" w:space="0" w:color="auto"/>
            <w:bottom w:val="none" w:sz="0" w:space="0" w:color="auto"/>
            <w:right w:val="none" w:sz="0" w:space="0" w:color="auto"/>
          </w:divBdr>
        </w:div>
        <w:div w:id="1915818705">
          <w:marLeft w:val="547"/>
          <w:marRight w:val="0"/>
          <w:marTop w:val="80"/>
          <w:marBottom w:val="0"/>
          <w:divBdr>
            <w:top w:val="none" w:sz="0" w:space="0" w:color="auto"/>
            <w:left w:val="none" w:sz="0" w:space="0" w:color="auto"/>
            <w:bottom w:val="none" w:sz="0" w:space="0" w:color="auto"/>
            <w:right w:val="none" w:sz="0" w:space="0" w:color="auto"/>
          </w:divBdr>
        </w:div>
      </w:divsChild>
    </w:div>
    <w:div w:id="206937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americanbar.org/groups/public_education/" TargetMode="External"/><Relationship Id="rId2" Type="http://schemas.openxmlformats.org/officeDocument/2006/relationships/hyperlink" Target="http://www.journalonline.co.uk/Magazine/62-12/1024127.aspx" TargetMode="External"/><Relationship Id="rId1" Type="http://schemas.openxmlformats.org/officeDocument/2006/relationships/hyperlink" Target="http://www.plecanada.org/what-is-ple/defining-ple/" TargetMode="External"/><Relationship Id="rId5" Type="http://schemas.openxmlformats.org/officeDocument/2006/relationships/hyperlink" Target="https://www.lawsociety.org.uk/support-services/public-legal-education/" TargetMode="External"/><Relationship Id="rId4" Type="http://schemas.openxmlformats.org/officeDocument/2006/relationships/hyperlink" Target="http://www.cba.org/For-The-Public/Public-Legal-Education-and-Information-in-Ca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0DD1B-1C63-43A4-8A0D-C8A53A02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4663</Words>
  <Characters>26584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Lunney</dc:creator>
  <cp:lastModifiedBy>Paul Burns</cp:lastModifiedBy>
  <cp:revision>2</cp:revision>
  <cp:lastPrinted>2019-05-15T14:12:00Z</cp:lastPrinted>
  <dcterms:created xsi:type="dcterms:W3CDTF">2019-05-31T10:49:00Z</dcterms:created>
  <dcterms:modified xsi:type="dcterms:W3CDTF">2019-05-31T10:49:00Z</dcterms:modified>
</cp:coreProperties>
</file>