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200DF" w14:textId="77777777" w:rsidR="000747AD" w:rsidRDefault="00493BB4" w:rsidP="000747AD">
      <w:pPr>
        <w:spacing w:after="120" w:line="360" w:lineRule="auto"/>
        <w:jc w:val="center"/>
        <w:rPr>
          <w:rFonts w:ascii="Palatino Linotype" w:hAnsi="Palatino Linotype" w:cs="Arial"/>
          <w:b/>
          <w:sz w:val="28"/>
          <w:szCs w:val="28"/>
        </w:rPr>
      </w:pPr>
      <w:r w:rsidRPr="000747AD">
        <w:rPr>
          <w:rFonts w:ascii="Palatino Linotype" w:hAnsi="Palatino Linotype" w:cs="Arial"/>
          <w:b/>
          <w:sz w:val="28"/>
          <w:szCs w:val="28"/>
        </w:rPr>
        <w:t xml:space="preserve">Collaborative </w:t>
      </w:r>
      <w:r w:rsidR="00F75AF6" w:rsidRPr="000747AD">
        <w:rPr>
          <w:rFonts w:ascii="Palatino Linotype" w:hAnsi="Palatino Linotype" w:cs="Arial"/>
          <w:b/>
          <w:sz w:val="28"/>
          <w:szCs w:val="28"/>
        </w:rPr>
        <w:t>public legal education</w:t>
      </w:r>
      <w:r w:rsidRPr="000747AD">
        <w:rPr>
          <w:rFonts w:ascii="Palatino Linotype" w:hAnsi="Palatino Linotype" w:cs="Arial"/>
          <w:b/>
          <w:sz w:val="28"/>
          <w:szCs w:val="28"/>
        </w:rPr>
        <w:t>:</w:t>
      </w:r>
    </w:p>
    <w:p w14:paraId="0EC59E1E" w14:textId="6F275197" w:rsidR="00493BB4" w:rsidRPr="000747AD" w:rsidRDefault="00493BB4" w:rsidP="000747AD">
      <w:pPr>
        <w:spacing w:after="120" w:line="360" w:lineRule="auto"/>
        <w:jc w:val="center"/>
        <w:rPr>
          <w:rFonts w:ascii="Palatino Linotype" w:hAnsi="Palatino Linotype" w:cs="Arial"/>
          <w:b/>
          <w:sz w:val="28"/>
          <w:szCs w:val="28"/>
        </w:rPr>
      </w:pPr>
      <w:r w:rsidRPr="000747AD">
        <w:rPr>
          <w:rFonts w:ascii="Palatino Linotype" w:hAnsi="Palatino Linotype" w:cs="Arial"/>
          <w:b/>
          <w:sz w:val="28"/>
          <w:szCs w:val="28"/>
        </w:rPr>
        <w:t xml:space="preserve">a case of </w:t>
      </w:r>
      <w:r w:rsidR="00DA3730" w:rsidRPr="000747AD">
        <w:rPr>
          <w:rFonts w:ascii="Palatino Linotype" w:hAnsi="Palatino Linotype" w:cs="Arial"/>
          <w:b/>
          <w:sz w:val="28"/>
          <w:szCs w:val="28"/>
        </w:rPr>
        <w:t>‘</w:t>
      </w:r>
      <w:r w:rsidRPr="000747AD">
        <w:rPr>
          <w:rFonts w:ascii="Palatino Linotype" w:hAnsi="Palatino Linotype" w:cs="Arial"/>
          <w:b/>
          <w:sz w:val="28"/>
          <w:szCs w:val="28"/>
        </w:rPr>
        <w:t>many hands make light work</w:t>
      </w:r>
      <w:r w:rsidR="00DA3730" w:rsidRPr="000747AD">
        <w:rPr>
          <w:rFonts w:ascii="Palatino Linotype" w:hAnsi="Palatino Linotype" w:cs="Arial"/>
          <w:b/>
          <w:sz w:val="28"/>
          <w:szCs w:val="28"/>
        </w:rPr>
        <w:t>’</w:t>
      </w:r>
      <w:r w:rsidRPr="000747AD">
        <w:rPr>
          <w:rFonts w:ascii="Palatino Linotype" w:hAnsi="Palatino Linotype" w:cs="Arial"/>
          <w:b/>
          <w:sz w:val="28"/>
          <w:szCs w:val="28"/>
        </w:rPr>
        <w:t xml:space="preserve">, or </w:t>
      </w:r>
      <w:r w:rsidR="00DA3730" w:rsidRPr="000747AD">
        <w:rPr>
          <w:rFonts w:ascii="Palatino Linotype" w:hAnsi="Palatino Linotype" w:cs="Arial"/>
          <w:b/>
          <w:sz w:val="28"/>
          <w:szCs w:val="28"/>
        </w:rPr>
        <w:t>‘</w:t>
      </w:r>
      <w:r w:rsidRPr="000747AD">
        <w:rPr>
          <w:rFonts w:ascii="Palatino Linotype" w:hAnsi="Palatino Linotype" w:cs="Arial"/>
          <w:b/>
          <w:sz w:val="28"/>
          <w:szCs w:val="28"/>
        </w:rPr>
        <w:t>too many cooks</w:t>
      </w:r>
      <w:r w:rsidR="00DA3730" w:rsidRPr="000747AD">
        <w:rPr>
          <w:rFonts w:ascii="Palatino Linotype" w:hAnsi="Palatino Linotype" w:cs="Arial"/>
          <w:b/>
          <w:sz w:val="28"/>
          <w:szCs w:val="28"/>
        </w:rPr>
        <w:t>’</w:t>
      </w:r>
      <w:r w:rsidRPr="000747AD">
        <w:rPr>
          <w:rFonts w:ascii="Palatino Linotype" w:hAnsi="Palatino Linotype" w:cs="Arial"/>
          <w:b/>
          <w:sz w:val="28"/>
          <w:szCs w:val="28"/>
        </w:rPr>
        <w:t>?!</w:t>
      </w:r>
    </w:p>
    <w:p w14:paraId="7252AE17" w14:textId="77777777" w:rsidR="000747AD" w:rsidRDefault="000747AD" w:rsidP="000747AD">
      <w:pPr>
        <w:spacing w:line="480" w:lineRule="auto"/>
        <w:jc w:val="center"/>
        <w:rPr>
          <w:rFonts w:ascii="Palatino Linotype" w:hAnsi="Palatino Linotype" w:cs="Arial"/>
          <w:i/>
          <w:sz w:val="24"/>
          <w:szCs w:val="24"/>
        </w:rPr>
      </w:pPr>
    </w:p>
    <w:p w14:paraId="27BBC67D" w14:textId="34CB323A" w:rsidR="004B1137" w:rsidRPr="000747AD" w:rsidRDefault="004B1137" w:rsidP="000747AD">
      <w:pPr>
        <w:spacing w:line="480" w:lineRule="auto"/>
        <w:jc w:val="center"/>
        <w:rPr>
          <w:rFonts w:ascii="Palatino Linotype" w:hAnsi="Palatino Linotype" w:cs="Arial"/>
          <w:i/>
          <w:sz w:val="24"/>
          <w:szCs w:val="24"/>
        </w:rPr>
      </w:pPr>
      <w:r w:rsidRPr="000747AD">
        <w:rPr>
          <w:rFonts w:ascii="Palatino Linotype" w:hAnsi="Palatino Linotype" w:cs="Arial"/>
          <w:i/>
          <w:sz w:val="24"/>
          <w:szCs w:val="24"/>
        </w:rPr>
        <w:t>Rachael Kirkup, Streetlaw Supervising Solicitor, BPP University Law School</w:t>
      </w:r>
    </w:p>
    <w:p w14:paraId="7B45D943" w14:textId="77777777" w:rsidR="000747AD" w:rsidRDefault="000747AD" w:rsidP="004303D6">
      <w:pPr>
        <w:widowControl w:val="0"/>
        <w:spacing w:line="480" w:lineRule="auto"/>
        <w:jc w:val="both"/>
        <w:rPr>
          <w:rFonts w:ascii="Palatino Linotype" w:hAnsi="Palatino Linotype" w:cs="Arial"/>
          <w:b/>
          <w:sz w:val="24"/>
          <w:szCs w:val="24"/>
        </w:rPr>
      </w:pPr>
    </w:p>
    <w:p w14:paraId="61166FB5" w14:textId="001BCBC2" w:rsidR="00962C20" w:rsidRDefault="008B694E" w:rsidP="004303D6">
      <w:pPr>
        <w:widowControl w:val="0"/>
        <w:spacing w:line="480" w:lineRule="auto"/>
        <w:jc w:val="both"/>
        <w:rPr>
          <w:rFonts w:ascii="Palatino Linotype" w:hAnsi="Palatino Linotype" w:cs="Arial"/>
          <w:b/>
          <w:sz w:val="24"/>
          <w:szCs w:val="24"/>
        </w:rPr>
      </w:pPr>
      <w:r w:rsidRPr="00EB2CD4">
        <w:rPr>
          <w:rFonts w:ascii="Palatino Linotype" w:hAnsi="Palatino Linotype" w:cs="Arial"/>
          <w:b/>
          <w:sz w:val="24"/>
          <w:szCs w:val="24"/>
        </w:rPr>
        <w:t>Abstract: t</w:t>
      </w:r>
      <w:r w:rsidR="00BD6375" w:rsidRPr="00EB2CD4">
        <w:rPr>
          <w:rFonts w:ascii="Palatino Linotype" w:hAnsi="Palatino Linotype" w:cs="Arial"/>
          <w:b/>
          <w:sz w:val="24"/>
          <w:szCs w:val="24"/>
        </w:rPr>
        <w:t>he following opinion piece offers views on the benefits and challenges of collaborating with other individuals or entities to deliver public legal education, and some practical tips to consider wh</w:t>
      </w:r>
      <w:r w:rsidR="000747AD">
        <w:rPr>
          <w:rFonts w:ascii="Palatino Linotype" w:hAnsi="Palatino Linotype" w:cs="Arial"/>
          <w:b/>
          <w:sz w:val="24"/>
          <w:szCs w:val="24"/>
        </w:rPr>
        <w:t>en embarking on such a venture.</w:t>
      </w:r>
    </w:p>
    <w:p w14:paraId="456472AB" w14:textId="77777777" w:rsidR="000747AD" w:rsidRPr="00EB2CD4" w:rsidRDefault="000747AD" w:rsidP="004303D6">
      <w:pPr>
        <w:widowControl w:val="0"/>
        <w:spacing w:line="480" w:lineRule="auto"/>
        <w:jc w:val="both"/>
        <w:rPr>
          <w:rFonts w:ascii="Palatino Linotype" w:hAnsi="Palatino Linotype" w:cs="Arial"/>
          <w:sz w:val="24"/>
          <w:szCs w:val="24"/>
        </w:rPr>
      </w:pPr>
    </w:p>
    <w:p w14:paraId="036012B2" w14:textId="4A508A05" w:rsidR="00643F88" w:rsidRPr="00EB2CD4" w:rsidRDefault="00493BB4" w:rsidP="004303D6">
      <w:pPr>
        <w:widowControl w:val="0"/>
        <w:spacing w:line="480" w:lineRule="auto"/>
        <w:jc w:val="both"/>
        <w:rPr>
          <w:rFonts w:ascii="Palatino Linotype" w:hAnsi="Palatino Linotype" w:cs="Arial"/>
          <w:sz w:val="24"/>
          <w:szCs w:val="24"/>
        </w:rPr>
      </w:pPr>
      <w:r w:rsidRPr="00EB2CD4">
        <w:rPr>
          <w:rFonts w:ascii="Palatino Linotype" w:hAnsi="Palatino Linotype" w:cs="Arial"/>
          <w:sz w:val="24"/>
          <w:szCs w:val="24"/>
        </w:rPr>
        <w:t>BPP University Law School’s Pro Bono Centre</w:t>
      </w:r>
      <w:r w:rsidR="00B7011F" w:rsidRPr="00EB2CD4">
        <w:rPr>
          <w:rFonts w:ascii="Palatino Linotype" w:hAnsi="Palatino Linotype" w:cs="Arial"/>
          <w:sz w:val="24"/>
          <w:szCs w:val="24"/>
        </w:rPr>
        <w:t xml:space="preserve"> (“BPP”)</w:t>
      </w:r>
      <w:r w:rsidRPr="00EB2CD4">
        <w:rPr>
          <w:rFonts w:ascii="Palatino Linotype" w:hAnsi="Palatino Linotype" w:cs="Arial"/>
          <w:sz w:val="24"/>
          <w:szCs w:val="24"/>
        </w:rPr>
        <w:t xml:space="preserve"> </w:t>
      </w:r>
      <w:r w:rsidR="00D916AD" w:rsidRPr="00EB2CD4">
        <w:rPr>
          <w:rFonts w:ascii="Palatino Linotype" w:hAnsi="Palatino Linotype" w:cs="Arial"/>
          <w:sz w:val="24"/>
          <w:szCs w:val="24"/>
        </w:rPr>
        <w:t>is entering its 15</w:t>
      </w:r>
      <w:r w:rsidR="00D916AD" w:rsidRPr="00EB2CD4">
        <w:rPr>
          <w:rFonts w:ascii="Palatino Linotype" w:hAnsi="Palatino Linotype" w:cs="Arial"/>
          <w:sz w:val="24"/>
          <w:szCs w:val="24"/>
          <w:vertAlign w:val="superscript"/>
        </w:rPr>
        <w:t>th</w:t>
      </w:r>
      <w:r w:rsidR="00D916AD" w:rsidRPr="00EB2CD4">
        <w:rPr>
          <w:rFonts w:ascii="Palatino Linotype" w:hAnsi="Palatino Linotype" w:cs="Arial"/>
          <w:sz w:val="24"/>
          <w:szCs w:val="24"/>
        </w:rPr>
        <w:t xml:space="preserve"> year of running</w:t>
      </w:r>
      <w:r w:rsidRPr="00EB2CD4">
        <w:rPr>
          <w:rFonts w:ascii="Palatino Linotype" w:hAnsi="Palatino Linotype" w:cs="Arial"/>
          <w:sz w:val="24"/>
          <w:szCs w:val="24"/>
        </w:rPr>
        <w:t xml:space="preserve"> Streetlaw, a free public legal education </w:t>
      </w:r>
      <w:r w:rsidR="00DA3730" w:rsidRPr="00EB2CD4">
        <w:rPr>
          <w:rFonts w:ascii="Palatino Linotype" w:hAnsi="Palatino Linotype" w:cs="Arial"/>
          <w:sz w:val="24"/>
          <w:szCs w:val="24"/>
        </w:rPr>
        <w:t xml:space="preserve">(“PLE”) </w:t>
      </w:r>
      <w:r w:rsidR="00A41C14" w:rsidRPr="00EB2CD4">
        <w:rPr>
          <w:rFonts w:ascii="Palatino Linotype" w:hAnsi="Palatino Linotype" w:cs="Arial"/>
          <w:sz w:val="24"/>
          <w:szCs w:val="24"/>
        </w:rPr>
        <w:t>project delivered by law student volunteers</w:t>
      </w:r>
      <w:r w:rsidRPr="00EB2CD4">
        <w:rPr>
          <w:rFonts w:ascii="Palatino Linotype" w:hAnsi="Palatino Linotype" w:cs="Arial"/>
          <w:sz w:val="24"/>
          <w:szCs w:val="24"/>
        </w:rPr>
        <w:t xml:space="preserve">. </w:t>
      </w:r>
      <w:r w:rsidR="00B7011F" w:rsidRPr="00EB2CD4">
        <w:rPr>
          <w:rFonts w:ascii="Palatino Linotype" w:hAnsi="Palatino Linotype" w:cs="Arial"/>
          <w:sz w:val="24"/>
          <w:szCs w:val="24"/>
        </w:rPr>
        <w:t>The</w:t>
      </w:r>
      <w:r w:rsidRPr="00EB2CD4">
        <w:rPr>
          <w:rFonts w:ascii="Palatino Linotype" w:hAnsi="Palatino Linotype" w:cs="Arial"/>
          <w:sz w:val="24"/>
          <w:szCs w:val="24"/>
        </w:rPr>
        <w:t xml:space="preserve"> project works with a range of people</w:t>
      </w:r>
      <w:r w:rsidR="00311BF3" w:rsidRPr="00EB2CD4">
        <w:rPr>
          <w:rFonts w:ascii="Palatino Linotype" w:hAnsi="Palatino Linotype" w:cs="Arial"/>
          <w:sz w:val="24"/>
          <w:szCs w:val="24"/>
        </w:rPr>
        <w:t xml:space="preserve"> in the UK</w:t>
      </w:r>
      <w:r w:rsidRPr="00EB2CD4">
        <w:rPr>
          <w:rFonts w:ascii="Palatino Linotype" w:hAnsi="Palatino Linotype" w:cs="Arial"/>
          <w:sz w:val="24"/>
          <w:szCs w:val="24"/>
        </w:rPr>
        <w:t xml:space="preserve"> including schoolchildren, prisoners and ex-offenders, </w:t>
      </w:r>
      <w:r w:rsidR="00B7011F" w:rsidRPr="00EB2CD4">
        <w:rPr>
          <w:rFonts w:ascii="Palatino Linotype" w:hAnsi="Palatino Linotype" w:cs="Arial"/>
          <w:sz w:val="24"/>
          <w:szCs w:val="24"/>
        </w:rPr>
        <w:t xml:space="preserve">people affected by homelessness, </w:t>
      </w:r>
      <w:r w:rsidRPr="00EB2CD4">
        <w:rPr>
          <w:rFonts w:ascii="Palatino Linotype" w:hAnsi="Palatino Linotype" w:cs="Arial"/>
          <w:sz w:val="24"/>
          <w:szCs w:val="24"/>
        </w:rPr>
        <w:t>and mental health charities. In the 2017/18 academic year</w:t>
      </w:r>
      <w:r w:rsidR="00C87206" w:rsidRPr="00EB2CD4">
        <w:rPr>
          <w:rFonts w:ascii="Palatino Linotype" w:hAnsi="Palatino Linotype" w:cs="Arial"/>
          <w:sz w:val="24"/>
          <w:szCs w:val="24"/>
        </w:rPr>
        <w:t>,</w:t>
      </w:r>
      <w:r w:rsidRPr="00EB2CD4">
        <w:rPr>
          <w:rFonts w:ascii="Palatino Linotype" w:hAnsi="Palatino Linotype" w:cs="Arial"/>
          <w:sz w:val="24"/>
          <w:szCs w:val="24"/>
        </w:rPr>
        <w:t xml:space="preserve"> over 450 </w:t>
      </w:r>
      <w:r w:rsidR="00EC0961" w:rsidRPr="00EB2CD4">
        <w:rPr>
          <w:rFonts w:ascii="Palatino Linotype" w:hAnsi="Palatino Linotype" w:cs="Arial"/>
          <w:sz w:val="24"/>
          <w:szCs w:val="24"/>
        </w:rPr>
        <w:t xml:space="preserve">BPP law </w:t>
      </w:r>
      <w:r w:rsidRPr="00EB2CD4">
        <w:rPr>
          <w:rFonts w:ascii="Palatino Linotype" w:hAnsi="Palatino Linotype" w:cs="Arial"/>
          <w:sz w:val="24"/>
          <w:szCs w:val="24"/>
        </w:rPr>
        <w:t xml:space="preserve">student volunteers </w:t>
      </w:r>
      <w:r w:rsidR="00DA3730" w:rsidRPr="00EB2CD4">
        <w:rPr>
          <w:rFonts w:ascii="Palatino Linotype" w:hAnsi="Palatino Linotype" w:cs="Arial"/>
          <w:sz w:val="24"/>
          <w:szCs w:val="24"/>
        </w:rPr>
        <w:t>delivered over 350 hours of PLE to o</w:t>
      </w:r>
      <w:r w:rsidR="00643F88" w:rsidRPr="00EB2CD4">
        <w:rPr>
          <w:rFonts w:ascii="Palatino Linotype" w:hAnsi="Palatino Linotype" w:cs="Arial"/>
          <w:sz w:val="24"/>
          <w:szCs w:val="24"/>
        </w:rPr>
        <w:t>ver 3500 members of the public</w:t>
      </w:r>
      <w:r w:rsidR="008B694E" w:rsidRPr="00EB2CD4">
        <w:rPr>
          <w:rFonts w:ascii="Palatino Linotype" w:hAnsi="Palatino Linotype" w:cs="Arial"/>
          <w:sz w:val="24"/>
          <w:szCs w:val="24"/>
        </w:rPr>
        <w:t>, in and around the seven cities in the UK</w:t>
      </w:r>
      <w:r w:rsidR="007A798E" w:rsidRPr="00EB2CD4">
        <w:rPr>
          <w:rFonts w:ascii="Palatino Linotype" w:hAnsi="Palatino Linotype" w:cs="Arial"/>
          <w:sz w:val="24"/>
          <w:szCs w:val="24"/>
        </w:rPr>
        <w:t xml:space="preserve"> in which </w:t>
      </w:r>
      <w:r w:rsidR="00EC0961" w:rsidRPr="00EB2CD4">
        <w:rPr>
          <w:rFonts w:ascii="Palatino Linotype" w:hAnsi="Palatino Linotype" w:cs="Arial"/>
          <w:sz w:val="24"/>
          <w:szCs w:val="24"/>
        </w:rPr>
        <w:t>BPP</w:t>
      </w:r>
      <w:r w:rsidR="007A798E" w:rsidRPr="00EB2CD4">
        <w:rPr>
          <w:rFonts w:ascii="Palatino Linotype" w:hAnsi="Palatino Linotype" w:cs="Arial"/>
          <w:sz w:val="24"/>
          <w:szCs w:val="24"/>
        </w:rPr>
        <w:t xml:space="preserve"> operates</w:t>
      </w:r>
      <w:r w:rsidR="00643F88" w:rsidRPr="00EB2CD4">
        <w:rPr>
          <w:rFonts w:ascii="Palatino Linotype" w:hAnsi="Palatino Linotype" w:cs="Arial"/>
          <w:sz w:val="24"/>
          <w:szCs w:val="24"/>
        </w:rPr>
        <w:t>.</w:t>
      </w:r>
    </w:p>
    <w:p w14:paraId="17B9F05D" w14:textId="5A82662A" w:rsidR="00FC5406" w:rsidRPr="00EB2CD4" w:rsidRDefault="00B7011F" w:rsidP="004303D6">
      <w:pPr>
        <w:widowControl w:val="0"/>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To deliver </w:t>
      </w:r>
      <w:r w:rsidR="00DA3730" w:rsidRPr="00EB2CD4">
        <w:rPr>
          <w:rFonts w:ascii="Palatino Linotype" w:hAnsi="Palatino Linotype" w:cs="Arial"/>
          <w:sz w:val="24"/>
          <w:szCs w:val="24"/>
        </w:rPr>
        <w:t xml:space="preserve">PLE </w:t>
      </w:r>
      <w:r w:rsidRPr="00EB2CD4">
        <w:rPr>
          <w:rFonts w:ascii="Palatino Linotype" w:hAnsi="Palatino Linotype" w:cs="Arial"/>
          <w:sz w:val="24"/>
          <w:szCs w:val="24"/>
        </w:rPr>
        <w:t xml:space="preserve">on this scale, BPP has often looked outside of the university for </w:t>
      </w:r>
      <w:r w:rsidR="00DA3730" w:rsidRPr="00EB2CD4">
        <w:rPr>
          <w:rFonts w:ascii="Palatino Linotype" w:hAnsi="Palatino Linotype" w:cs="Arial"/>
          <w:sz w:val="24"/>
          <w:szCs w:val="24"/>
        </w:rPr>
        <w:t xml:space="preserve">external </w:t>
      </w:r>
      <w:r w:rsidRPr="00EB2CD4">
        <w:rPr>
          <w:rFonts w:ascii="Palatino Linotype" w:hAnsi="Palatino Linotype" w:cs="Arial"/>
          <w:sz w:val="24"/>
          <w:szCs w:val="24"/>
        </w:rPr>
        <w:t>support</w:t>
      </w:r>
      <w:r w:rsidR="00DA3730" w:rsidRPr="00EB2CD4">
        <w:rPr>
          <w:rFonts w:ascii="Palatino Linotype" w:hAnsi="Palatino Linotype" w:cs="Arial"/>
          <w:sz w:val="24"/>
          <w:szCs w:val="24"/>
        </w:rPr>
        <w:t xml:space="preserve"> for its projects</w:t>
      </w:r>
      <w:r w:rsidRPr="00EB2CD4">
        <w:rPr>
          <w:rFonts w:ascii="Palatino Linotype" w:hAnsi="Palatino Linotype" w:cs="Arial"/>
          <w:sz w:val="24"/>
          <w:szCs w:val="24"/>
        </w:rPr>
        <w:t xml:space="preserve">. We have collaborated with </w:t>
      </w:r>
      <w:r w:rsidR="00DA3730" w:rsidRPr="00EB2CD4">
        <w:rPr>
          <w:rFonts w:ascii="Palatino Linotype" w:hAnsi="Palatino Linotype" w:cs="Arial"/>
          <w:sz w:val="24"/>
          <w:szCs w:val="24"/>
        </w:rPr>
        <w:t xml:space="preserve">other </w:t>
      </w:r>
      <w:r w:rsidRPr="00EB2CD4">
        <w:rPr>
          <w:rFonts w:ascii="Palatino Linotype" w:hAnsi="Palatino Linotype" w:cs="Arial"/>
          <w:sz w:val="24"/>
          <w:szCs w:val="24"/>
        </w:rPr>
        <w:t>professionals</w:t>
      </w:r>
      <w:r w:rsidR="00DA3730" w:rsidRPr="00EB2CD4">
        <w:rPr>
          <w:rFonts w:ascii="Palatino Linotype" w:hAnsi="Palatino Linotype" w:cs="Arial"/>
          <w:sz w:val="24"/>
          <w:szCs w:val="24"/>
        </w:rPr>
        <w:t>, universities</w:t>
      </w:r>
      <w:r w:rsidR="00A13A9E" w:rsidRPr="00EB2CD4">
        <w:rPr>
          <w:rFonts w:ascii="Palatino Linotype" w:hAnsi="Palatino Linotype" w:cs="Arial"/>
          <w:sz w:val="24"/>
          <w:szCs w:val="24"/>
        </w:rPr>
        <w:t>,</w:t>
      </w:r>
      <w:r w:rsidR="00DA3730" w:rsidRPr="00EB2CD4">
        <w:rPr>
          <w:rFonts w:ascii="Palatino Linotype" w:hAnsi="Palatino Linotype" w:cs="Arial"/>
          <w:sz w:val="24"/>
          <w:szCs w:val="24"/>
        </w:rPr>
        <w:t xml:space="preserve"> organisations and charities </w:t>
      </w:r>
      <w:r w:rsidRPr="00EB2CD4">
        <w:rPr>
          <w:rFonts w:ascii="Palatino Linotype" w:hAnsi="Palatino Linotype" w:cs="Arial"/>
          <w:sz w:val="24"/>
          <w:szCs w:val="24"/>
        </w:rPr>
        <w:t xml:space="preserve">in a </w:t>
      </w:r>
      <w:r w:rsidR="00DA3730" w:rsidRPr="00EB2CD4">
        <w:rPr>
          <w:rFonts w:ascii="Palatino Linotype" w:hAnsi="Palatino Linotype" w:cs="Arial"/>
          <w:sz w:val="24"/>
          <w:szCs w:val="24"/>
        </w:rPr>
        <w:t>number</w:t>
      </w:r>
      <w:r w:rsidRPr="00EB2CD4">
        <w:rPr>
          <w:rFonts w:ascii="Palatino Linotype" w:hAnsi="Palatino Linotype" w:cs="Arial"/>
          <w:sz w:val="24"/>
          <w:szCs w:val="24"/>
        </w:rPr>
        <w:t xml:space="preserve"> of ways, including</w:t>
      </w:r>
      <w:r w:rsidR="00DA3730" w:rsidRPr="00EB2CD4">
        <w:rPr>
          <w:rFonts w:ascii="Palatino Linotype" w:hAnsi="Palatino Linotype" w:cs="Arial"/>
          <w:sz w:val="24"/>
          <w:szCs w:val="24"/>
        </w:rPr>
        <w:t xml:space="preserve"> </w:t>
      </w:r>
      <w:r w:rsidR="00311BF3" w:rsidRPr="00EB2CD4">
        <w:rPr>
          <w:rFonts w:ascii="Palatino Linotype" w:hAnsi="Palatino Linotype" w:cs="Arial"/>
          <w:sz w:val="24"/>
          <w:szCs w:val="24"/>
        </w:rPr>
        <w:t xml:space="preserve">co-delivering </w:t>
      </w:r>
      <w:r w:rsidR="00DA3730" w:rsidRPr="00EB2CD4">
        <w:rPr>
          <w:rFonts w:ascii="Palatino Linotype" w:hAnsi="Palatino Linotype" w:cs="Arial"/>
          <w:sz w:val="24"/>
          <w:szCs w:val="24"/>
        </w:rPr>
        <w:t xml:space="preserve">discrete PLE events (e.g. a nationwide campaign to engage law students and legal professionals in </w:t>
      </w:r>
      <w:r w:rsidR="00DA3730" w:rsidRPr="00EB2CD4">
        <w:rPr>
          <w:rFonts w:ascii="Palatino Linotype" w:hAnsi="Palatino Linotype" w:cs="Arial"/>
          <w:sz w:val="24"/>
          <w:szCs w:val="24"/>
        </w:rPr>
        <w:lastRenderedPageBreak/>
        <w:t>teaching young people about social media and the law</w:t>
      </w:r>
      <w:r w:rsidR="004303D6" w:rsidRPr="00EB2CD4">
        <w:rPr>
          <w:rFonts w:ascii="Palatino Linotype" w:hAnsi="Palatino Linotype" w:cs="Arial"/>
          <w:sz w:val="24"/>
          <w:szCs w:val="24"/>
        </w:rPr>
        <w:t>,</w:t>
      </w:r>
      <w:r w:rsidR="00DA3730" w:rsidRPr="00EB2CD4">
        <w:rPr>
          <w:rFonts w:ascii="Palatino Linotype" w:hAnsi="Palatino Linotype" w:cs="Arial"/>
          <w:sz w:val="24"/>
          <w:szCs w:val="24"/>
        </w:rPr>
        <w:t xml:space="preserve"> in collaboration wi</w:t>
      </w:r>
      <w:r w:rsidR="0055299A" w:rsidRPr="00EB2CD4">
        <w:rPr>
          <w:rFonts w:ascii="Palatino Linotype" w:hAnsi="Palatino Linotype" w:cs="Arial"/>
          <w:sz w:val="24"/>
          <w:szCs w:val="24"/>
        </w:rPr>
        <w:t>th Young Citizens</w:t>
      </w:r>
      <w:r w:rsidR="00971E98" w:rsidRPr="00EB2CD4">
        <w:rPr>
          <w:rStyle w:val="FootnoteReference"/>
          <w:rFonts w:ascii="Palatino Linotype" w:hAnsi="Palatino Linotype" w:cs="Arial"/>
          <w:sz w:val="24"/>
          <w:szCs w:val="24"/>
        </w:rPr>
        <w:footnoteReference w:id="1"/>
      </w:r>
      <w:r w:rsidR="0055299A" w:rsidRPr="00EB2CD4">
        <w:rPr>
          <w:rFonts w:ascii="Palatino Linotype" w:hAnsi="Palatino Linotype" w:cs="Arial"/>
          <w:sz w:val="24"/>
          <w:szCs w:val="24"/>
        </w:rPr>
        <w:t xml:space="preserve">), </w:t>
      </w:r>
      <w:r w:rsidR="007614F3" w:rsidRPr="00EB2CD4">
        <w:rPr>
          <w:rFonts w:ascii="Palatino Linotype" w:hAnsi="Palatino Linotype" w:cs="Arial"/>
          <w:sz w:val="24"/>
          <w:szCs w:val="24"/>
        </w:rPr>
        <w:t xml:space="preserve">and </w:t>
      </w:r>
      <w:r w:rsidR="00DA3730" w:rsidRPr="00EB2CD4">
        <w:rPr>
          <w:rFonts w:ascii="Palatino Linotype" w:hAnsi="Palatino Linotype" w:cs="Arial"/>
          <w:sz w:val="24"/>
          <w:szCs w:val="24"/>
        </w:rPr>
        <w:t xml:space="preserve">ongoing projects (e.g. delivering PLE </w:t>
      </w:r>
      <w:r w:rsidR="0033570B" w:rsidRPr="00EB2CD4">
        <w:rPr>
          <w:rFonts w:ascii="Palatino Linotype" w:hAnsi="Palatino Linotype" w:cs="Arial"/>
          <w:sz w:val="24"/>
          <w:szCs w:val="24"/>
        </w:rPr>
        <w:t xml:space="preserve">about </w:t>
      </w:r>
      <w:r w:rsidR="008B694E" w:rsidRPr="00EB2CD4">
        <w:rPr>
          <w:rFonts w:ascii="Palatino Linotype" w:hAnsi="Palatino Linotype" w:cs="Arial"/>
          <w:sz w:val="24"/>
          <w:szCs w:val="24"/>
        </w:rPr>
        <w:t>Tribunal</w:t>
      </w:r>
      <w:r w:rsidR="00A41C14" w:rsidRPr="00EB2CD4">
        <w:rPr>
          <w:rFonts w:ascii="Palatino Linotype" w:hAnsi="Palatino Linotype" w:cs="Arial"/>
          <w:sz w:val="24"/>
          <w:szCs w:val="24"/>
        </w:rPr>
        <w:t xml:space="preserve"> procedure</w:t>
      </w:r>
      <w:r w:rsidR="008748DD" w:rsidRPr="00EB2CD4">
        <w:rPr>
          <w:rFonts w:ascii="Palatino Linotype" w:hAnsi="Palatino Linotype" w:cs="Arial"/>
          <w:sz w:val="24"/>
          <w:szCs w:val="24"/>
        </w:rPr>
        <w:t>s</w:t>
      </w:r>
      <w:r w:rsidR="0033570B" w:rsidRPr="00EB2CD4">
        <w:rPr>
          <w:rFonts w:ascii="Palatino Linotype" w:hAnsi="Palatino Linotype" w:cs="Arial"/>
          <w:sz w:val="24"/>
          <w:szCs w:val="24"/>
        </w:rPr>
        <w:t xml:space="preserve"> </w:t>
      </w:r>
      <w:r w:rsidR="00DA3730" w:rsidRPr="00EB2CD4">
        <w:rPr>
          <w:rFonts w:ascii="Palatino Linotype" w:hAnsi="Palatino Linotype" w:cs="Arial"/>
          <w:sz w:val="24"/>
          <w:szCs w:val="24"/>
        </w:rPr>
        <w:t xml:space="preserve">to litigants in person </w:t>
      </w:r>
      <w:r w:rsidR="008B694E" w:rsidRPr="00EB2CD4">
        <w:rPr>
          <w:rFonts w:ascii="Palatino Linotype" w:hAnsi="Palatino Linotype" w:cs="Arial"/>
          <w:sz w:val="24"/>
          <w:szCs w:val="24"/>
        </w:rPr>
        <w:t>running</w:t>
      </w:r>
      <w:r w:rsidR="00A41C14" w:rsidRPr="00EB2CD4">
        <w:rPr>
          <w:rFonts w:ascii="Palatino Linotype" w:hAnsi="Palatino Linotype" w:cs="Arial"/>
          <w:sz w:val="24"/>
          <w:szCs w:val="24"/>
        </w:rPr>
        <w:t xml:space="preserve"> Employment Tribunal claims</w:t>
      </w:r>
      <w:r w:rsidR="00DA3730" w:rsidRPr="00EB2CD4">
        <w:rPr>
          <w:rFonts w:ascii="Palatino Linotype" w:hAnsi="Palatino Linotype" w:cs="Arial"/>
          <w:sz w:val="24"/>
          <w:szCs w:val="24"/>
        </w:rPr>
        <w:t xml:space="preserve">, in collaboration </w:t>
      </w:r>
      <w:r w:rsidR="0055299A" w:rsidRPr="00EB2CD4">
        <w:rPr>
          <w:rFonts w:ascii="Palatino Linotype" w:hAnsi="Palatino Linotype" w:cs="Arial"/>
          <w:sz w:val="24"/>
          <w:szCs w:val="24"/>
        </w:rPr>
        <w:t xml:space="preserve">with local universities, </w:t>
      </w:r>
      <w:r w:rsidR="008B694E" w:rsidRPr="00EB2CD4">
        <w:rPr>
          <w:rFonts w:ascii="Palatino Linotype" w:hAnsi="Palatino Linotype" w:cs="Arial"/>
          <w:sz w:val="24"/>
          <w:szCs w:val="24"/>
        </w:rPr>
        <w:t>Tribunals</w:t>
      </w:r>
      <w:r w:rsidR="0055299A" w:rsidRPr="00EB2CD4">
        <w:rPr>
          <w:rFonts w:ascii="Palatino Linotype" w:hAnsi="Palatino Linotype" w:cs="Arial"/>
          <w:sz w:val="24"/>
          <w:szCs w:val="24"/>
        </w:rPr>
        <w:t xml:space="preserve"> and ACAS</w:t>
      </w:r>
      <w:r w:rsidR="00DA3730" w:rsidRPr="00EB2CD4">
        <w:rPr>
          <w:rFonts w:ascii="Palatino Linotype" w:hAnsi="Palatino Linotype" w:cs="Arial"/>
          <w:sz w:val="24"/>
          <w:szCs w:val="24"/>
        </w:rPr>
        <w:t xml:space="preserve">). </w:t>
      </w:r>
    </w:p>
    <w:p w14:paraId="5346CE04" w14:textId="2D5C1857" w:rsidR="00962B8F" w:rsidRPr="00EB2CD4" w:rsidRDefault="00962B8F" w:rsidP="004303D6">
      <w:pPr>
        <w:widowControl w:val="0"/>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Many of </w:t>
      </w:r>
      <w:r w:rsidR="00333955" w:rsidRPr="00EB2CD4">
        <w:rPr>
          <w:rFonts w:ascii="Palatino Linotype" w:hAnsi="Palatino Linotype" w:cs="Arial"/>
          <w:sz w:val="24"/>
          <w:szCs w:val="24"/>
        </w:rPr>
        <w:t>our PLE</w:t>
      </w:r>
      <w:r w:rsidRPr="00EB2CD4">
        <w:rPr>
          <w:rFonts w:ascii="Palatino Linotype" w:hAnsi="Palatino Linotype" w:cs="Arial"/>
          <w:sz w:val="24"/>
          <w:szCs w:val="24"/>
        </w:rPr>
        <w:t xml:space="preserve"> collaborations</w:t>
      </w:r>
      <w:r w:rsidR="00B435B4" w:rsidRPr="00EB2CD4">
        <w:rPr>
          <w:rFonts w:ascii="Palatino Linotype" w:hAnsi="Palatino Linotype" w:cs="Arial"/>
          <w:sz w:val="24"/>
          <w:szCs w:val="24"/>
        </w:rPr>
        <w:t xml:space="preserve"> have been and continue to be</w:t>
      </w:r>
      <w:r w:rsidR="0055299A" w:rsidRPr="00EB2CD4">
        <w:rPr>
          <w:rFonts w:ascii="Palatino Linotype" w:hAnsi="Palatino Linotype" w:cs="Arial"/>
          <w:sz w:val="24"/>
          <w:szCs w:val="24"/>
        </w:rPr>
        <w:t xml:space="preserve"> </w:t>
      </w:r>
      <w:r w:rsidRPr="00EB2CD4">
        <w:rPr>
          <w:rFonts w:ascii="Palatino Linotype" w:hAnsi="Palatino Linotype" w:cs="Arial"/>
          <w:sz w:val="24"/>
          <w:szCs w:val="24"/>
        </w:rPr>
        <w:t>successful. However, there have been times where the projects have encountered stumbling blocks, perhaps because we</w:t>
      </w:r>
      <w:r w:rsidR="008B694E" w:rsidRPr="00EB2CD4">
        <w:rPr>
          <w:rFonts w:ascii="Palatino Linotype" w:hAnsi="Palatino Linotype" w:cs="Arial"/>
          <w:sz w:val="24"/>
          <w:szCs w:val="24"/>
        </w:rPr>
        <w:t xml:space="preserve">, </w:t>
      </w:r>
      <w:r w:rsidR="008748DD" w:rsidRPr="00EB2CD4">
        <w:rPr>
          <w:rFonts w:ascii="Palatino Linotype" w:hAnsi="Palatino Linotype" w:cs="Arial"/>
          <w:sz w:val="24"/>
          <w:szCs w:val="24"/>
        </w:rPr>
        <w:t>or our collaborators</w:t>
      </w:r>
      <w:r w:rsidR="008B694E" w:rsidRPr="00EB2CD4">
        <w:rPr>
          <w:rFonts w:ascii="Palatino Linotype" w:hAnsi="Palatino Linotype" w:cs="Arial"/>
          <w:sz w:val="24"/>
          <w:szCs w:val="24"/>
        </w:rPr>
        <w:t>,</w:t>
      </w:r>
      <w:r w:rsidR="008748DD" w:rsidRPr="00EB2CD4">
        <w:rPr>
          <w:rFonts w:ascii="Palatino Linotype" w:hAnsi="Palatino Linotype" w:cs="Arial"/>
          <w:sz w:val="24"/>
          <w:szCs w:val="24"/>
        </w:rPr>
        <w:t xml:space="preserve"> </w:t>
      </w:r>
      <w:r w:rsidRPr="00EB2CD4">
        <w:rPr>
          <w:rFonts w:ascii="Palatino Linotype" w:hAnsi="Palatino Linotype" w:cs="Arial"/>
          <w:sz w:val="24"/>
          <w:szCs w:val="24"/>
        </w:rPr>
        <w:t>have been slow to recognise problems</w:t>
      </w:r>
      <w:r w:rsidR="008748DD" w:rsidRPr="00EB2CD4">
        <w:rPr>
          <w:rFonts w:ascii="Palatino Linotype" w:hAnsi="Palatino Linotype" w:cs="Arial"/>
          <w:sz w:val="24"/>
          <w:szCs w:val="24"/>
        </w:rPr>
        <w:t>,</w:t>
      </w:r>
      <w:r w:rsidRPr="00EB2CD4">
        <w:rPr>
          <w:rFonts w:ascii="Palatino Linotype" w:hAnsi="Palatino Linotype" w:cs="Arial"/>
          <w:sz w:val="24"/>
          <w:szCs w:val="24"/>
        </w:rPr>
        <w:t xml:space="preserve"> or </w:t>
      </w:r>
      <w:r w:rsidR="00A41C14" w:rsidRPr="00EB2CD4">
        <w:rPr>
          <w:rFonts w:ascii="Palatino Linotype" w:hAnsi="Palatino Linotype" w:cs="Arial"/>
          <w:sz w:val="24"/>
          <w:szCs w:val="24"/>
        </w:rPr>
        <w:t xml:space="preserve">too polite </w:t>
      </w:r>
      <w:r w:rsidR="00311BF3" w:rsidRPr="00EB2CD4">
        <w:rPr>
          <w:rFonts w:ascii="Palatino Linotype" w:hAnsi="Palatino Linotype" w:cs="Arial"/>
          <w:sz w:val="24"/>
          <w:szCs w:val="24"/>
        </w:rPr>
        <w:t xml:space="preserve">to </w:t>
      </w:r>
      <w:r w:rsidRPr="00EB2CD4">
        <w:rPr>
          <w:rFonts w:ascii="Palatino Linotype" w:hAnsi="Palatino Linotype" w:cs="Arial"/>
          <w:sz w:val="24"/>
          <w:szCs w:val="24"/>
        </w:rPr>
        <w:t xml:space="preserve">voice our concerns about them. </w:t>
      </w:r>
    </w:p>
    <w:p w14:paraId="608248AD" w14:textId="793E4A13" w:rsidR="000747AD" w:rsidRDefault="00962B8F" w:rsidP="004303D6">
      <w:pPr>
        <w:spacing w:line="480" w:lineRule="auto"/>
        <w:jc w:val="both"/>
        <w:rPr>
          <w:rFonts w:ascii="Palatino Linotype" w:hAnsi="Palatino Linotype" w:cs="Arial"/>
          <w:color w:val="000000" w:themeColor="text1"/>
          <w:sz w:val="24"/>
          <w:szCs w:val="24"/>
        </w:rPr>
      </w:pPr>
      <w:r w:rsidRPr="00EB2CD4">
        <w:rPr>
          <w:rFonts w:ascii="Palatino Linotype" w:hAnsi="Palatino Linotype" w:cs="Arial"/>
          <w:sz w:val="24"/>
          <w:szCs w:val="24"/>
        </w:rPr>
        <w:t xml:space="preserve">The BPP team recently met to exchange </w:t>
      </w:r>
      <w:r w:rsidR="008748DD" w:rsidRPr="00EB2CD4">
        <w:rPr>
          <w:rFonts w:ascii="Palatino Linotype" w:hAnsi="Palatino Linotype" w:cs="Arial"/>
          <w:sz w:val="24"/>
          <w:szCs w:val="24"/>
        </w:rPr>
        <w:t>views</w:t>
      </w:r>
      <w:r w:rsidRPr="00EB2CD4">
        <w:rPr>
          <w:rFonts w:ascii="Palatino Linotype" w:hAnsi="Palatino Linotype" w:cs="Arial"/>
          <w:sz w:val="24"/>
          <w:szCs w:val="24"/>
        </w:rPr>
        <w:t xml:space="preserve"> about</w:t>
      </w:r>
      <w:r w:rsidR="0055299A" w:rsidRPr="00EB2CD4">
        <w:rPr>
          <w:rFonts w:ascii="Palatino Linotype" w:hAnsi="Palatino Linotype" w:cs="Arial"/>
          <w:sz w:val="24"/>
          <w:szCs w:val="24"/>
        </w:rPr>
        <w:t xml:space="preserve"> the various collaborative PLE projects </w:t>
      </w:r>
      <w:r w:rsidR="001F56E3" w:rsidRPr="00EB2CD4">
        <w:rPr>
          <w:rFonts w:ascii="Palatino Linotype" w:hAnsi="Palatino Linotype" w:cs="Arial"/>
          <w:sz w:val="24"/>
          <w:szCs w:val="24"/>
        </w:rPr>
        <w:t>in which team members have been involved</w:t>
      </w:r>
      <w:r w:rsidRPr="00EB2CD4">
        <w:rPr>
          <w:rFonts w:ascii="Palatino Linotype" w:hAnsi="Palatino Linotype" w:cs="Arial"/>
          <w:sz w:val="24"/>
          <w:szCs w:val="24"/>
        </w:rPr>
        <w:t xml:space="preserve">. The </w:t>
      </w:r>
      <w:r w:rsidR="00A41C14" w:rsidRPr="00EB2CD4">
        <w:rPr>
          <w:rFonts w:ascii="Palatino Linotype" w:hAnsi="Palatino Linotype" w:cs="Arial"/>
          <w:sz w:val="24"/>
          <w:szCs w:val="24"/>
        </w:rPr>
        <w:t>outcome of that meeting</w:t>
      </w:r>
      <w:r w:rsidR="0055299A" w:rsidRPr="00EB2CD4">
        <w:rPr>
          <w:rFonts w:ascii="Palatino Linotype" w:hAnsi="Palatino Linotype" w:cs="Arial"/>
          <w:sz w:val="24"/>
          <w:szCs w:val="24"/>
        </w:rPr>
        <w:t xml:space="preserve"> is this article: a summary of the main benefits and challenges of </w:t>
      </w:r>
      <w:r w:rsidR="00A36151" w:rsidRPr="00EB2CD4">
        <w:rPr>
          <w:rFonts w:ascii="Palatino Linotype" w:hAnsi="Palatino Linotype" w:cs="Arial"/>
          <w:sz w:val="24"/>
          <w:szCs w:val="24"/>
        </w:rPr>
        <w:t xml:space="preserve">collaborative PLE </w:t>
      </w:r>
      <w:r w:rsidR="00EC0961" w:rsidRPr="00EB2CD4">
        <w:rPr>
          <w:rFonts w:ascii="Palatino Linotype" w:hAnsi="Palatino Linotype" w:cs="Arial"/>
          <w:sz w:val="24"/>
          <w:szCs w:val="24"/>
        </w:rPr>
        <w:t>as the BPP team</w:t>
      </w:r>
      <w:r w:rsidR="0055299A" w:rsidRPr="00EB2CD4">
        <w:rPr>
          <w:rFonts w:ascii="Palatino Linotype" w:hAnsi="Palatino Linotype" w:cs="Arial"/>
          <w:sz w:val="24"/>
          <w:szCs w:val="24"/>
        </w:rPr>
        <w:t xml:space="preserve"> perceive</w:t>
      </w:r>
      <w:r w:rsidR="00EC0961" w:rsidRPr="00EB2CD4">
        <w:rPr>
          <w:rFonts w:ascii="Palatino Linotype" w:hAnsi="Palatino Linotype" w:cs="Arial"/>
          <w:sz w:val="24"/>
          <w:szCs w:val="24"/>
        </w:rPr>
        <w:t>s</w:t>
      </w:r>
      <w:r w:rsidR="0055299A" w:rsidRPr="00EB2CD4">
        <w:rPr>
          <w:rFonts w:ascii="Palatino Linotype" w:hAnsi="Palatino Linotype" w:cs="Arial"/>
          <w:sz w:val="24"/>
          <w:szCs w:val="24"/>
        </w:rPr>
        <w:t xml:space="preserve"> them, and a</w:t>
      </w:r>
      <w:r w:rsidRPr="00EB2CD4">
        <w:rPr>
          <w:rFonts w:ascii="Palatino Linotype" w:hAnsi="Palatino Linotype" w:cs="Arial"/>
          <w:sz w:val="24"/>
          <w:szCs w:val="24"/>
        </w:rPr>
        <w:t xml:space="preserve"> list of </w:t>
      </w:r>
      <w:r w:rsidR="00794A4F" w:rsidRPr="00EB2CD4">
        <w:rPr>
          <w:rFonts w:ascii="Palatino Linotype" w:hAnsi="Palatino Linotype" w:cs="Arial"/>
          <w:sz w:val="24"/>
          <w:szCs w:val="24"/>
        </w:rPr>
        <w:t xml:space="preserve">5 </w:t>
      </w:r>
      <w:r w:rsidRPr="00EB2CD4">
        <w:rPr>
          <w:rFonts w:ascii="Palatino Linotype" w:hAnsi="Palatino Linotype" w:cs="Arial"/>
          <w:sz w:val="24"/>
          <w:szCs w:val="24"/>
        </w:rPr>
        <w:t>practical</w:t>
      </w:r>
      <w:r w:rsidR="00A36151" w:rsidRPr="00EB2CD4">
        <w:rPr>
          <w:rFonts w:ascii="Palatino Linotype" w:hAnsi="Palatino Linotype" w:cs="Arial"/>
          <w:sz w:val="24"/>
          <w:szCs w:val="24"/>
        </w:rPr>
        <w:t xml:space="preserve"> tips for anybody </w:t>
      </w:r>
      <w:r w:rsidRPr="00EB2CD4">
        <w:rPr>
          <w:rFonts w:ascii="Palatino Linotype" w:hAnsi="Palatino Linotype" w:cs="Arial"/>
          <w:sz w:val="24"/>
          <w:szCs w:val="24"/>
        </w:rPr>
        <w:t xml:space="preserve">considering </w:t>
      </w:r>
      <w:r w:rsidR="00A36151" w:rsidRPr="00EB2CD4">
        <w:rPr>
          <w:rFonts w:ascii="Palatino Linotype" w:hAnsi="Palatino Linotype" w:cs="Arial"/>
          <w:sz w:val="24"/>
          <w:szCs w:val="24"/>
        </w:rPr>
        <w:t>launching</w:t>
      </w:r>
      <w:r w:rsidRPr="00EB2CD4">
        <w:rPr>
          <w:rFonts w:ascii="Palatino Linotype" w:hAnsi="Palatino Linotype" w:cs="Arial"/>
          <w:sz w:val="24"/>
          <w:szCs w:val="24"/>
        </w:rPr>
        <w:t xml:space="preserve"> a collaborative PLE project. </w:t>
      </w:r>
      <w:r w:rsidR="004E0791" w:rsidRPr="00EB2CD4">
        <w:rPr>
          <w:rFonts w:ascii="Palatino Linotype" w:hAnsi="Palatino Linotype" w:cs="Arial"/>
          <w:sz w:val="24"/>
          <w:szCs w:val="24"/>
        </w:rPr>
        <w:t>We found</w:t>
      </w:r>
      <w:r w:rsidR="00311BF3" w:rsidRPr="00EB2CD4">
        <w:rPr>
          <w:rFonts w:ascii="Palatino Linotype" w:hAnsi="Palatino Linotype" w:cs="Arial"/>
          <w:sz w:val="24"/>
          <w:szCs w:val="24"/>
        </w:rPr>
        <w:t xml:space="preserve"> little </w:t>
      </w:r>
      <w:r w:rsidR="004303D6" w:rsidRPr="00EB2CD4">
        <w:rPr>
          <w:rFonts w:ascii="Palatino Linotype" w:hAnsi="Palatino Linotype" w:cs="Arial"/>
          <w:sz w:val="24"/>
          <w:szCs w:val="24"/>
        </w:rPr>
        <w:t>in the</w:t>
      </w:r>
      <w:r w:rsidR="00311BF3" w:rsidRPr="00EB2CD4">
        <w:rPr>
          <w:rFonts w:ascii="Palatino Linotype" w:hAnsi="Palatino Linotype" w:cs="Arial"/>
          <w:sz w:val="24"/>
          <w:szCs w:val="24"/>
        </w:rPr>
        <w:t xml:space="preserve"> existing literature on collaborative PLE projects; however, </w:t>
      </w:r>
      <w:r w:rsidR="004E0791" w:rsidRPr="00EB2CD4">
        <w:rPr>
          <w:rFonts w:ascii="Palatino Linotype" w:hAnsi="Palatino Linotype" w:cs="Arial"/>
          <w:sz w:val="24"/>
          <w:szCs w:val="24"/>
        </w:rPr>
        <w:t>we have been able to draw support</w:t>
      </w:r>
      <w:r w:rsidR="00FB0F0B" w:rsidRPr="00EB2CD4">
        <w:rPr>
          <w:rFonts w:ascii="Palatino Linotype" w:hAnsi="Palatino Linotype" w:cs="Arial"/>
          <w:sz w:val="24"/>
          <w:szCs w:val="24"/>
        </w:rPr>
        <w:t xml:space="preserve"> for our views</w:t>
      </w:r>
      <w:r w:rsidR="004E0791" w:rsidRPr="00EB2CD4">
        <w:rPr>
          <w:rFonts w:ascii="Palatino Linotype" w:hAnsi="Palatino Linotype" w:cs="Arial"/>
          <w:sz w:val="24"/>
          <w:szCs w:val="24"/>
        </w:rPr>
        <w:t xml:space="preserve"> and extrapolate lessons from </w:t>
      </w:r>
      <w:r w:rsidR="00311BF3" w:rsidRPr="00EB2CD4">
        <w:rPr>
          <w:rFonts w:ascii="Palatino Linotype" w:hAnsi="Palatino Linotype" w:cs="Arial"/>
          <w:sz w:val="24"/>
          <w:szCs w:val="24"/>
        </w:rPr>
        <w:t xml:space="preserve">scholarship </w:t>
      </w:r>
      <w:r w:rsidR="004E0791" w:rsidRPr="00EB2CD4">
        <w:rPr>
          <w:rFonts w:ascii="Palatino Linotype" w:hAnsi="Palatino Linotype" w:cs="Arial"/>
          <w:sz w:val="24"/>
          <w:szCs w:val="24"/>
        </w:rPr>
        <w:t xml:space="preserve">emanating from </w:t>
      </w:r>
      <w:r w:rsidR="004E0791" w:rsidRPr="00EB2CD4">
        <w:rPr>
          <w:rFonts w:ascii="Palatino Linotype" w:hAnsi="Palatino Linotype" w:cs="Arial"/>
          <w:color w:val="000000" w:themeColor="text1"/>
          <w:sz w:val="24"/>
          <w:szCs w:val="24"/>
        </w:rPr>
        <w:t xml:space="preserve">the </w:t>
      </w:r>
      <w:r w:rsidR="00311BF3" w:rsidRPr="00EB2CD4">
        <w:rPr>
          <w:rFonts w:ascii="Palatino Linotype" w:hAnsi="Palatino Linotype" w:cs="Arial"/>
          <w:color w:val="000000" w:themeColor="text1"/>
          <w:sz w:val="24"/>
          <w:szCs w:val="24"/>
        </w:rPr>
        <w:t>chiropractic</w:t>
      </w:r>
      <w:r w:rsidR="000747AD">
        <w:rPr>
          <w:rFonts w:ascii="Palatino Linotype" w:hAnsi="Palatino Linotype" w:cs="Arial"/>
          <w:color w:val="000000" w:themeColor="text1"/>
          <w:sz w:val="24"/>
          <w:szCs w:val="24"/>
        </w:rPr>
        <w:t>, medical and business fields.</w:t>
      </w:r>
    </w:p>
    <w:p w14:paraId="65ACAC91" w14:textId="2486311B" w:rsidR="000747AD" w:rsidRDefault="000747AD" w:rsidP="004303D6">
      <w:pPr>
        <w:spacing w:line="480" w:lineRule="auto"/>
        <w:jc w:val="both"/>
        <w:rPr>
          <w:rFonts w:ascii="Palatino Linotype" w:hAnsi="Palatino Linotype" w:cs="Arial"/>
          <w:color w:val="000000" w:themeColor="text1"/>
          <w:sz w:val="24"/>
          <w:szCs w:val="24"/>
        </w:rPr>
      </w:pPr>
    </w:p>
    <w:p w14:paraId="4B169859" w14:textId="77777777" w:rsidR="000747AD" w:rsidRPr="00EB2CD4" w:rsidRDefault="000747AD" w:rsidP="004303D6">
      <w:pPr>
        <w:spacing w:line="480" w:lineRule="auto"/>
        <w:jc w:val="both"/>
        <w:rPr>
          <w:rFonts w:ascii="Palatino Linotype" w:hAnsi="Palatino Linotype" w:cs="Arial"/>
          <w:color w:val="000000" w:themeColor="text1"/>
          <w:sz w:val="24"/>
          <w:szCs w:val="24"/>
        </w:rPr>
      </w:pPr>
    </w:p>
    <w:p w14:paraId="28F6C5B8" w14:textId="77777777" w:rsidR="00311BF3" w:rsidRPr="00EB2CD4" w:rsidRDefault="00FB0F0B" w:rsidP="004303D6">
      <w:pPr>
        <w:spacing w:line="480" w:lineRule="auto"/>
        <w:jc w:val="both"/>
        <w:rPr>
          <w:rFonts w:ascii="Palatino Linotype" w:hAnsi="Palatino Linotype" w:cs="Arial"/>
          <w:b/>
          <w:sz w:val="24"/>
          <w:szCs w:val="24"/>
        </w:rPr>
      </w:pPr>
      <w:r w:rsidRPr="00EB2CD4">
        <w:rPr>
          <w:rFonts w:ascii="Palatino Linotype" w:hAnsi="Palatino Linotype" w:cs="Arial"/>
          <w:b/>
          <w:sz w:val="24"/>
          <w:szCs w:val="24"/>
        </w:rPr>
        <w:lastRenderedPageBreak/>
        <w:t xml:space="preserve">The definition of collaboration </w:t>
      </w:r>
    </w:p>
    <w:p w14:paraId="1E0BD992" w14:textId="28DC8BFA" w:rsidR="00311BF3" w:rsidRPr="00EB2CD4" w:rsidRDefault="00FB0F0B"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For the purposes of this article we have adopted the definition of collaboration favoured by </w:t>
      </w:r>
      <w:r w:rsidR="00311BF3" w:rsidRPr="00EB2CD4">
        <w:rPr>
          <w:rFonts w:ascii="Palatino Linotype" w:hAnsi="Palatino Linotype" w:cs="Arial"/>
          <w:sz w:val="24"/>
          <w:szCs w:val="24"/>
        </w:rPr>
        <w:t>Mattessich and Monsey</w:t>
      </w:r>
      <w:r w:rsidR="00760B9A" w:rsidRPr="00EB2CD4">
        <w:rPr>
          <w:rFonts w:ascii="Palatino Linotype" w:hAnsi="Palatino Linotype" w:cs="Arial"/>
          <w:sz w:val="24"/>
          <w:szCs w:val="24"/>
        </w:rPr>
        <w:t xml:space="preserve"> (1992)</w:t>
      </w:r>
      <w:r w:rsidR="008502A2" w:rsidRPr="00EB2CD4">
        <w:rPr>
          <w:rStyle w:val="FootnoteReference"/>
          <w:rFonts w:ascii="Palatino Linotype" w:hAnsi="Palatino Linotype" w:cs="Arial"/>
          <w:sz w:val="24"/>
          <w:szCs w:val="24"/>
        </w:rPr>
        <w:footnoteReference w:id="2"/>
      </w:r>
      <w:r w:rsidRPr="00EB2CD4">
        <w:rPr>
          <w:rFonts w:ascii="Palatino Linotype" w:hAnsi="Palatino Linotype" w:cs="Arial"/>
          <w:sz w:val="24"/>
          <w:szCs w:val="24"/>
        </w:rPr>
        <w:t xml:space="preserve">: a </w:t>
      </w:r>
      <w:r w:rsidR="00D611AF" w:rsidRPr="00EB2CD4">
        <w:rPr>
          <w:rFonts w:ascii="Palatino Linotype" w:hAnsi="Palatino Linotype" w:cs="Arial"/>
          <w:sz w:val="24"/>
          <w:szCs w:val="24"/>
        </w:rPr>
        <w:t>“</w:t>
      </w:r>
      <w:r w:rsidR="00311BF3" w:rsidRPr="00EB2CD4">
        <w:rPr>
          <w:rFonts w:ascii="Palatino Linotype" w:hAnsi="Palatino Linotype" w:cs="Arial"/>
          <w:sz w:val="24"/>
          <w:szCs w:val="24"/>
        </w:rPr>
        <w:t xml:space="preserve">mutually beneficial </w:t>
      </w:r>
      <w:r w:rsidR="00502548" w:rsidRPr="00EB2CD4">
        <w:rPr>
          <w:rFonts w:ascii="Palatino Linotype" w:hAnsi="Palatino Linotype" w:cs="Arial"/>
          <w:sz w:val="24"/>
          <w:szCs w:val="24"/>
        </w:rPr>
        <w:t xml:space="preserve">and well-defined </w:t>
      </w:r>
      <w:r w:rsidR="00311BF3" w:rsidRPr="00EB2CD4">
        <w:rPr>
          <w:rFonts w:ascii="Palatino Linotype" w:hAnsi="Palatino Linotype" w:cs="Arial"/>
          <w:sz w:val="24"/>
          <w:szCs w:val="24"/>
        </w:rPr>
        <w:t>relationship entered into by two or more organ</w:t>
      </w:r>
      <w:r w:rsidR="00502548" w:rsidRPr="00EB2CD4">
        <w:rPr>
          <w:rFonts w:ascii="Palatino Linotype" w:hAnsi="Palatino Linotype" w:cs="Arial"/>
          <w:sz w:val="24"/>
          <w:szCs w:val="24"/>
        </w:rPr>
        <w:t>izations to achieve common goal</w:t>
      </w:r>
      <w:r w:rsidR="001C06A6" w:rsidRPr="00EB2CD4">
        <w:rPr>
          <w:rFonts w:ascii="Palatino Linotype" w:hAnsi="Palatino Linotype" w:cs="Arial"/>
          <w:sz w:val="24"/>
          <w:szCs w:val="24"/>
        </w:rPr>
        <w:t>s</w:t>
      </w:r>
      <w:r w:rsidR="002F444D" w:rsidRPr="00EB2CD4">
        <w:rPr>
          <w:rFonts w:ascii="Palatino Linotype" w:hAnsi="Palatino Linotype" w:cs="Arial"/>
          <w:sz w:val="24"/>
          <w:szCs w:val="24"/>
        </w:rPr>
        <w:t>”</w:t>
      </w:r>
      <w:r w:rsidR="00311BF3" w:rsidRPr="00EB2CD4">
        <w:rPr>
          <w:rFonts w:ascii="Palatino Linotype" w:hAnsi="Palatino Linotype" w:cs="Arial"/>
          <w:sz w:val="24"/>
          <w:szCs w:val="24"/>
        </w:rPr>
        <w:t xml:space="preserve">. </w:t>
      </w:r>
      <w:r w:rsidR="00502548" w:rsidRPr="00EB2CD4">
        <w:rPr>
          <w:rFonts w:ascii="Palatino Linotype" w:hAnsi="Palatino Linotype" w:cs="Arial"/>
          <w:sz w:val="24"/>
          <w:szCs w:val="24"/>
        </w:rPr>
        <w:t>This relationship</w:t>
      </w:r>
      <w:r w:rsidR="001C06A6" w:rsidRPr="00EB2CD4">
        <w:rPr>
          <w:rFonts w:ascii="Palatino Linotype" w:hAnsi="Palatino Linotype" w:cs="Arial"/>
          <w:sz w:val="24"/>
          <w:szCs w:val="24"/>
        </w:rPr>
        <w:t xml:space="preserve"> includes the</w:t>
      </w:r>
      <w:r w:rsidR="00502548" w:rsidRPr="00EB2CD4">
        <w:rPr>
          <w:rFonts w:ascii="Palatino Linotype" w:hAnsi="Palatino Linotype" w:cs="Arial"/>
          <w:sz w:val="24"/>
          <w:szCs w:val="24"/>
        </w:rPr>
        <w:t xml:space="preserve"> sharing of</w:t>
      </w:r>
      <w:r w:rsidR="00311BF3" w:rsidRPr="00EB2CD4">
        <w:rPr>
          <w:rFonts w:ascii="Palatino Linotype" w:hAnsi="Palatino Linotype" w:cs="Arial"/>
          <w:sz w:val="24"/>
          <w:szCs w:val="24"/>
        </w:rPr>
        <w:t xml:space="preserve"> responsibility, accountability, resources and rewards.</w:t>
      </w:r>
    </w:p>
    <w:p w14:paraId="6027E648" w14:textId="77777777" w:rsidR="009A6C8C" w:rsidRPr="00EB2CD4" w:rsidRDefault="002D7BC4" w:rsidP="004303D6">
      <w:pPr>
        <w:spacing w:line="480" w:lineRule="auto"/>
        <w:jc w:val="both"/>
        <w:rPr>
          <w:rFonts w:ascii="Palatino Linotype" w:hAnsi="Palatino Linotype" w:cs="Arial"/>
          <w:b/>
          <w:sz w:val="24"/>
          <w:szCs w:val="24"/>
        </w:rPr>
      </w:pPr>
      <w:r w:rsidRPr="00EB2CD4">
        <w:rPr>
          <w:rFonts w:ascii="Palatino Linotype" w:hAnsi="Palatino Linotype" w:cs="Arial"/>
          <w:b/>
          <w:sz w:val="24"/>
          <w:szCs w:val="24"/>
        </w:rPr>
        <w:t>B</w:t>
      </w:r>
      <w:r w:rsidR="009A6C8C" w:rsidRPr="00EB2CD4">
        <w:rPr>
          <w:rFonts w:ascii="Palatino Linotype" w:hAnsi="Palatino Linotype" w:cs="Arial"/>
          <w:b/>
          <w:sz w:val="24"/>
          <w:szCs w:val="24"/>
        </w:rPr>
        <w:t xml:space="preserve">enefits of collaborative PLE </w:t>
      </w:r>
    </w:p>
    <w:p w14:paraId="75BA53B6" w14:textId="33E0815B" w:rsidR="00B86EC7" w:rsidRPr="00EB2CD4" w:rsidRDefault="00295197"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So, do many hands make light work? </w:t>
      </w:r>
      <w:r w:rsidR="009A6C8C" w:rsidRPr="00EB2CD4">
        <w:rPr>
          <w:rFonts w:ascii="Palatino Linotype" w:hAnsi="Palatino Linotype" w:cs="Arial"/>
          <w:i/>
          <w:sz w:val="24"/>
          <w:szCs w:val="24"/>
        </w:rPr>
        <w:t>True</w:t>
      </w:r>
      <w:r w:rsidR="009A6C8C" w:rsidRPr="00EB2CD4">
        <w:rPr>
          <w:rFonts w:ascii="Palatino Linotype" w:hAnsi="Palatino Linotype" w:cs="Arial"/>
          <w:sz w:val="24"/>
          <w:szCs w:val="24"/>
        </w:rPr>
        <w:t xml:space="preserve"> collaboration, done well, can lead to a PLE project </w:t>
      </w:r>
      <w:r w:rsidR="00C871DB" w:rsidRPr="00EB2CD4">
        <w:rPr>
          <w:rFonts w:ascii="Palatino Linotype" w:hAnsi="Palatino Linotype" w:cs="Arial"/>
          <w:sz w:val="24"/>
          <w:szCs w:val="24"/>
        </w:rPr>
        <w:t>that is wider in scope</w:t>
      </w:r>
      <w:r w:rsidRPr="00EB2CD4">
        <w:rPr>
          <w:rFonts w:ascii="Palatino Linotype" w:hAnsi="Palatino Linotype" w:cs="Arial"/>
          <w:sz w:val="24"/>
          <w:szCs w:val="24"/>
        </w:rPr>
        <w:t>,</w:t>
      </w:r>
      <w:r w:rsidR="00C871DB" w:rsidRPr="00EB2CD4">
        <w:rPr>
          <w:rFonts w:ascii="Palatino Linotype" w:hAnsi="Palatino Linotype" w:cs="Arial"/>
          <w:sz w:val="24"/>
          <w:szCs w:val="24"/>
        </w:rPr>
        <w:t xml:space="preserve"> and higher in quality</w:t>
      </w:r>
      <w:r w:rsidRPr="00EB2CD4">
        <w:rPr>
          <w:rFonts w:ascii="Palatino Linotype" w:hAnsi="Palatino Linotype" w:cs="Arial"/>
          <w:sz w:val="24"/>
          <w:szCs w:val="24"/>
        </w:rPr>
        <w:t>,</w:t>
      </w:r>
      <w:r w:rsidR="00C871DB" w:rsidRPr="00EB2CD4">
        <w:rPr>
          <w:rFonts w:ascii="Palatino Linotype" w:hAnsi="Palatino Linotype" w:cs="Arial"/>
          <w:sz w:val="24"/>
          <w:szCs w:val="24"/>
        </w:rPr>
        <w:t xml:space="preserve"> than might have </w:t>
      </w:r>
      <w:r w:rsidR="00CE488A" w:rsidRPr="00EB2CD4">
        <w:rPr>
          <w:rFonts w:ascii="Palatino Linotype" w:hAnsi="Palatino Linotype" w:cs="Arial"/>
          <w:sz w:val="24"/>
          <w:szCs w:val="24"/>
        </w:rPr>
        <w:t xml:space="preserve">been </w:t>
      </w:r>
      <w:r w:rsidR="00C871DB" w:rsidRPr="00EB2CD4">
        <w:rPr>
          <w:rFonts w:ascii="Palatino Linotype" w:hAnsi="Palatino Linotype" w:cs="Arial"/>
          <w:sz w:val="24"/>
          <w:szCs w:val="24"/>
        </w:rPr>
        <w:t xml:space="preserve">achieved on </w:t>
      </w:r>
      <w:r w:rsidR="00CE488A" w:rsidRPr="00EB2CD4">
        <w:rPr>
          <w:rFonts w:ascii="Palatino Linotype" w:hAnsi="Palatino Linotype" w:cs="Arial"/>
          <w:sz w:val="24"/>
          <w:szCs w:val="24"/>
        </w:rPr>
        <w:t xml:space="preserve">one’s </w:t>
      </w:r>
      <w:r w:rsidR="00C871DB" w:rsidRPr="00EB2CD4">
        <w:rPr>
          <w:rFonts w:ascii="Palatino Linotype" w:hAnsi="Palatino Linotype" w:cs="Arial"/>
          <w:sz w:val="24"/>
          <w:szCs w:val="24"/>
        </w:rPr>
        <w:t>own</w:t>
      </w:r>
      <w:r w:rsidR="009A6C8C" w:rsidRPr="00EB2CD4">
        <w:rPr>
          <w:rFonts w:ascii="Palatino Linotype" w:hAnsi="Palatino Linotype" w:cs="Arial"/>
          <w:sz w:val="24"/>
          <w:szCs w:val="24"/>
        </w:rPr>
        <w:t>. You may have a fantastic idea for a topic</w:t>
      </w:r>
      <w:r w:rsidR="008E260E" w:rsidRPr="00EB2CD4">
        <w:rPr>
          <w:rFonts w:ascii="Palatino Linotype" w:hAnsi="Palatino Linotype" w:cs="Arial"/>
          <w:sz w:val="24"/>
          <w:szCs w:val="24"/>
        </w:rPr>
        <w:t>,</w:t>
      </w:r>
      <w:r w:rsidR="009A6C8C" w:rsidRPr="00EB2CD4">
        <w:rPr>
          <w:rFonts w:ascii="Palatino Linotype" w:hAnsi="Palatino Linotype" w:cs="Arial"/>
          <w:sz w:val="24"/>
          <w:szCs w:val="24"/>
        </w:rPr>
        <w:t xml:space="preserve"> and</w:t>
      </w:r>
      <w:r w:rsidR="00D611AF" w:rsidRPr="00EB2CD4">
        <w:rPr>
          <w:rFonts w:ascii="Palatino Linotype" w:hAnsi="Palatino Linotype" w:cs="Arial"/>
          <w:sz w:val="24"/>
          <w:szCs w:val="24"/>
        </w:rPr>
        <w:t>/or</w:t>
      </w:r>
      <w:r w:rsidR="009A6C8C" w:rsidRPr="00EB2CD4">
        <w:rPr>
          <w:rFonts w:ascii="Palatino Linotype" w:hAnsi="Palatino Linotype" w:cs="Arial"/>
          <w:sz w:val="24"/>
          <w:szCs w:val="24"/>
        </w:rPr>
        <w:t xml:space="preserve"> </w:t>
      </w:r>
      <w:r w:rsidR="00C871DB" w:rsidRPr="00EB2CD4">
        <w:rPr>
          <w:rFonts w:ascii="Palatino Linotype" w:hAnsi="Palatino Linotype" w:cs="Arial"/>
          <w:sz w:val="24"/>
          <w:szCs w:val="24"/>
        </w:rPr>
        <w:t xml:space="preserve">a </w:t>
      </w:r>
      <w:r w:rsidR="009A6C8C" w:rsidRPr="00EB2CD4">
        <w:rPr>
          <w:rFonts w:ascii="Palatino Linotype" w:hAnsi="Palatino Linotype" w:cs="Arial"/>
          <w:sz w:val="24"/>
          <w:szCs w:val="24"/>
        </w:rPr>
        <w:t>target audience, but lack the know-how, contacts, and/or resource</w:t>
      </w:r>
      <w:r w:rsidR="008E260E" w:rsidRPr="00EB2CD4">
        <w:rPr>
          <w:rFonts w:ascii="Palatino Linotype" w:hAnsi="Palatino Linotype" w:cs="Arial"/>
          <w:sz w:val="24"/>
          <w:szCs w:val="24"/>
        </w:rPr>
        <w:t>s</w:t>
      </w:r>
      <w:r w:rsidR="009A6C8C" w:rsidRPr="00EB2CD4">
        <w:rPr>
          <w:rFonts w:ascii="Palatino Linotype" w:hAnsi="Palatino Linotype" w:cs="Arial"/>
          <w:sz w:val="24"/>
          <w:szCs w:val="24"/>
        </w:rPr>
        <w:t xml:space="preserve"> to bring that idea to life. Th</w:t>
      </w:r>
      <w:r w:rsidR="008E260E" w:rsidRPr="00EB2CD4">
        <w:rPr>
          <w:rFonts w:ascii="Palatino Linotype" w:hAnsi="Palatino Linotype" w:cs="Arial"/>
          <w:sz w:val="24"/>
          <w:szCs w:val="24"/>
        </w:rPr>
        <w:t>i</w:t>
      </w:r>
      <w:r w:rsidR="009A6C8C" w:rsidRPr="00EB2CD4">
        <w:rPr>
          <w:rFonts w:ascii="Palatino Linotype" w:hAnsi="Palatino Linotype" w:cs="Arial"/>
          <w:sz w:val="24"/>
          <w:szCs w:val="24"/>
        </w:rPr>
        <w:t xml:space="preserve">s </w:t>
      </w:r>
      <w:r w:rsidR="008E260E" w:rsidRPr="00EB2CD4">
        <w:rPr>
          <w:rFonts w:ascii="Palatino Linotype" w:hAnsi="Palatino Linotype" w:cs="Arial"/>
          <w:sz w:val="24"/>
          <w:szCs w:val="24"/>
        </w:rPr>
        <w:t xml:space="preserve">is </w:t>
      </w:r>
      <w:r w:rsidR="009A6C8C" w:rsidRPr="00EB2CD4">
        <w:rPr>
          <w:rFonts w:ascii="Palatino Linotype" w:hAnsi="Palatino Linotype" w:cs="Arial"/>
          <w:sz w:val="24"/>
          <w:szCs w:val="24"/>
        </w:rPr>
        <w:t xml:space="preserve">where collaboration </w:t>
      </w:r>
      <w:r w:rsidR="00B86EC7" w:rsidRPr="00EB2CD4">
        <w:rPr>
          <w:rFonts w:ascii="Palatino Linotype" w:hAnsi="Palatino Linotype" w:cs="Arial"/>
          <w:sz w:val="24"/>
          <w:szCs w:val="24"/>
        </w:rPr>
        <w:t xml:space="preserve">can really add value. </w:t>
      </w:r>
    </w:p>
    <w:p w14:paraId="082A5B1E" w14:textId="64FEB1CA" w:rsidR="00B86EC7" w:rsidRPr="00EB2CD4" w:rsidRDefault="00CD3AD5"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Drummond and McKeever</w:t>
      </w:r>
      <w:r w:rsidR="000C5AC0" w:rsidRPr="00EB2CD4">
        <w:rPr>
          <w:rFonts w:ascii="Palatino Linotype" w:hAnsi="Palatino Linotype" w:cs="Arial"/>
          <w:sz w:val="24"/>
          <w:szCs w:val="24"/>
        </w:rPr>
        <w:t xml:space="preserve"> (2015)</w:t>
      </w:r>
      <w:r w:rsidR="008502A2" w:rsidRPr="00EB2CD4">
        <w:rPr>
          <w:rStyle w:val="FootnoteReference"/>
          <w:rFonts w:ascii="Palatino Linotype" w:hAnsi="Palatino Linotype" w:cs="Arial"/>
          <w:sz w:val="24"/>
          <w:szCs w:val="24"/>
        </w:rPr>
        <w:footnoteReference w:id="3"/>
      </w:r>
      <w:r w:rsidR="00C55C73" w:rsidRPr="00EB2CD4">
        <w:rPr>
          <w:rFonts w:ascii="Palatino Linotype" w:hAnsi="Palatino Linotype" w:cs="Arial"/>
          <w:sz w:val="24"/>
          <w:szCs w:val="24"/>
        </w:rPr>
        <w:t xml:space="preserve"> </w:t>
      </w:r>
      <w:r w:rsidR="008C7277" w:rsidRPr="00EB2CD4">
        <w:rPr>
          <w:rFonts w:ascii="Palatino Linotype" w:hAnsi="Palatino Linotype" w:cs="Arial"/>
          <w:sz w:val="24"/>
          <w:szCs w:val="24"/>
        </w:rPr>
        <w:t>report</w:t>
      </w:r>
      <w:r w:rsidRPr="00EB2CD4">
        <w:rPr>
          <w:rFonts w:ascii="Palatino Linotype" w:hAnsi="Palatino Linotype" w:cs="Arial"/>
          <w:sz w:val="24"/>
          <w:szCs w:val="24"/>
        </w:rPr>
        <w:t xml:space="preserve"> that 75% of</w:t>
      </w:r>
      <w:r w:rsidR="00812111" w:rsidRPr="00EB2CD4">
        <w:rPr>
          <w:rFonts w:ascii="Palatino Linotype" w:hAnsi="Palatino Linotype" w:cs="Arial"/>
          <w:sz w:val="24"/>
          <w:szCs w:val="24"/>
        </w:rPr>
        <w:t xml:space="preserve"> university law</w:t>
      </w:r>
      <w:r w:rsidRPr="00EB2CD4">
        <w:rPr>
          <w:rFonts w:ascii="Palatino Linotype" w:hAnsi="Palatino Linotype" w:cs="Arial"/>
          <w:sz w:val="24"/>
          <w:szCs w:val="24"/>
        </w:rPr>
        <w:t xml:space="preserve"> clinics </w:t>
      </w:r>
      <w:r w:rsidR="00812111" w:rsidRPr="00EB2CD4">
        <w:rPr>
          <w:rFonts w:ascii="Palatino Linotype" w:hAnsi="Palatino Linotype" w:cs="Arial"/>
          <w:sz w:val="24"/>
          <w:szCs w:val="24"/>
        </w:rPr>
        <w:t xml:space="preserve">they </w:t>
      </w:r>
      <w:r w:rsidRPr="00EB2CD4">
        <w:rPr>
          <w:rFonts w:ascii="Palatino Linotype" w:hAnsi="Palatino Linotype" w:cs="Arial"/>
          <w:sz w:val="24"/>
          <w:szCs w:val="24"/>
        </w:rPr>
        <w:t xml:space="preserve">surveyed had formal collaborative arrangements with solicitors, barristers, advice agencies and legal charities, and that the main value such collaborations brought </w:t>
      </w:r>
      <w:r w:rsidR="00812111" w:rsidRPr="00EB2CD4">
        <w:rPr>
          <w:rFonts w:ascii="Palatino Linotype" w:hAnsi="Palatino Linotype" w:cs="Arial"/>
          <w:sz w:val="24"/>
          <w:szCs w:val="24"/>
        </w:rPr>
        <w:t xml:space="preserve">(from the perspective of the universities) </w:t>
      </w:r>
      <w:r w:rsidRPr="00EB2CD4">
        <w:rPr>
          <w:rFonts w:ascii="Palatino Linotype" w:hAnsi="Palatino Linotype" w:cs="Arial"/>
          <w:sz w:val="24"/>
          <w:szCs w:val="24"/>
        </w:rPr>
        <w:t>was supervision, expertise, capacity</w:t>
      </w:r>
      <w:r w:rsidR="00812111" w:rsidRPr="00EB2CD4">
        <w:rPr>
          <w:rFonts w:ascii="Palatino Linotype" w:hAnsi="Palatino Linotype" w:cs="Arial"/>
          <w:sz w:val="24"/>
          <w:szCs w:val="24"/>
        </w:rPr>
        <w:t>,</w:t>
      </w:r>
      <w:r w:rsidRPr="00EB2CD4">
        <w:rPr>
          <w:rFonts w:ascii="Palatino Linotype" w:hAnsi="Palatino Linotype" w:cs="Arial"/>
          <w:sz w:val="24"/>
          <w:szCs w:val="24"/>
        </w:rPr>
        <w:t xml:space="preserve"> and support. In a PLE context, e</w:t>
      </w:r>
      <w:r w:rsidR="00B86EC7" w:rsidRPr="00EB2CD4">
        <w:rPr>
          <w:rFonts w:ascii="Palatino Linotype" w:hAnsi="Palatino Linotype" w:cs="Arial"/>
          <w:sz w:val="24"/>
          <w:szCs w:val="24"/>
        </w:rPr>
        <w:t xml:space="preserve">xternals may be able to provide the expertise that you/your </w:t>
      </w:r>
      <w:r w:rsidR="00B86EC7" w:rsidRPr="00EB2CD4">
        <w:rPr>
          <w:rFonts w:ascii="Palatino Linotype" w:hAnsi="Palatino Linotype" w:cs="Arial"/>
          <w:sz w:val="24"/>
          <w:szCs w:val="24"/>
        </w:rPr>
        <w:lastRenderedPageBreak/>
        <w:t xml:space="preserve">institution are lacking – whether that is </w:t>
      </w:r>
      <w:r w:rsidR="00BE702A" w:rsidRPr="00EB2CD4">
        <w:rPr>
          <w:rFonts w:ascii="Palatino Linotype" w:hAnsi="Palatino Linotype" w:cs="Arial"/>
          <w:sz w:val="24"/>
          <w:szCs w:val="24"/>
        </w:rPr>
        <w:t>regarding the</w:t>
      </w:r>
      <w:r w:rsidR="00B86EC7" w:rsidRPr="00EB2CD4">
        <w:rPr>
          <w:rFonts w:ascii="Palatino Linotype" w:hAnsi="Palatino Linotype" w:cs="Arial"/>
          <w:sz w:val="24"/>
          <w:szCs w:val="24"/>
        </w:rPr>
        <w:t xml:space="preserve"> legal content</w:t>
      </w:r>
      <w:r w:rsidRPr="00EB2CD4">
        <w:rPr>
          <w:rFonts w:ascii="Palatino Linotype" w:hAnsi="Palatino Linotype" w:cs="Arial"/>
          <w:sz w:val="24"/>
          <w:szCs w:val="24"/>
        </w:rPr>
        <w:t xml:space="preserve"> of your workshops</w:t>
      </w:r>
      <w:r w:rsidR="00BE702A" w:rsidRPr="00EB2CD4">
        <w:rPr>
          <w:rFonts w:ascii="Palatino Linotype" w:hAnsi="Palatino Linotype" w:cs="Arial"/>
          <w:sz w:val="24"/>
          <w:szCs w:val="24"/>
        </w:rPr>
        <w:t>,</w:t>
      </w:r>
      <w:r w:rsidR="00B86EC7" w:rsidRPr="00EB2CD4">
        <w:rPr>
          <w:rFonts w:ascii="Palatino Linotype" w:hAnsi="Palatino Linotype" w:cs="Arial"/>
          <w:sz w:val="24"/>
          <w:szCs w:val="24"/>
        </w:rPr>
        <w:t xml:space="preserve"> or knowledge about how to deliver that content to a specific audience.</w:t>
      </w:r>
      <w:r w:rsidR="004E0791" w:rsidRPr="00EB2CD4">
        <w:rPr>
          <w:rFonts w:ascii="Palatino Linotype" w:hAnsi="Palatino Linotype" w:cs="Arial"/>
          <w:sz w:val="24"/>
          <w:szCs w:val="24"/>
        </w:rPr>
        <w:t xml:space="preserve"> </w:t>
      </w:r>
      <w:r w:rsidRPr="00EB2CD4">
        <w:rPr>
          <w:rFonts w:ascii="Palatino Linotype" w:hAnsi="Palatino Linotype" w:cs="Arial"/>
          <w:sz w:val="24"/>
          <w:szCs w:val="24"/>
        </w:rPr>
        <w:t xml:space="preserve">At BPP, </w:t>
      </w:r>
      <w:r w:rsidR="00812111" w:rsidRPr="00EB2CD4">
        <w:rPr>
          <w:rFonts w:ascii="Palatino Linotype" w:hAnsi="Palatino Linotype" w:cs="Arial"/>
          <w:sz w:val="24"/>
          <w:szCs w:val="24"/>
        </w:rPr>
        <w:t xml:space="preserve">for example, </w:t>
      </w:r>
      <w:r w:rsidRPr="00EB2CD4">
        <w:rPr>
          <w:rFonts w:ascii="Palatino Linotype" w:hAnsi="Palatino Linotype" w:cs="Arial"/>
          <w:sz w:val="24"/>
          <w:szCs w:val="24"/>
        </w:rPr>
        <w:t xml:space="preserve">since 2016 </w:t>
      </w:r>
      <w:r w:rsidR="00BA3FEE" w:rsidRPr="00EB2CD4">
        <w:rPr>
          <w:rFonts w:ascii="Palatino Linotype" w:hAnsi="Palatino Linotype" w:cs="Arial"/>
          <w:sz w:val="24"/>
          <w:szCs w:val="24"/>
        </w:rPr>
        <w:t xml:space="preserve">a mental capacity specialist external to </w:t>
      </w:r>
      <w:r w:rsidRPr="00EB2CD4">
        <w:rPr>
          <w:rFonts w:ascii="Palatino Linotype" w:hAnsi="Palatino Linotype" w:cs="Arial"/>
          <w:sz w:val="24"/>
          <w:szCs w:val="24"/>
        </w:rPr>
        <w:t xml:space="preserve">the university </w:t>
      </w:r>
      <w:r w:rsidR="00BA3FEE" w:rsidRPr="00EB2CD4">
        <w:rPr>
          <w:rFonts w:ascii="Palatino Linotype" w:hAnsi="Palatino Linotype" w:cs="Arial"/>
          <w:sz w:val="24"/>
          <w:szCs w:val="24"/>
        </w:rPr>
        <w:t xml:space="preserve">has provided the legal content and training to equip </w:t>
      </w:r>
      <w:r w:rsidR="00B435B4" w:rsidRPr="00EB2CD4">
        <w:rPr>
          <w:rFonts w:ascii="Palatino Linotype" w:hAnsi="Palatino Linotype" w:cs="Arial"/>
          <w:sz w:val="24"/>
          <w:szCs w:val="24"/>
        </w:rPr>
        <w:t xml:space="preserve">law </w:t>
      </w:r>
      <w:r w:rsidR="00BA3FEE" w:rsidRPr="00EB2CD4">
        <w:rPr>
          <w:rFonts w:ascii="Palatino Linotype" w:hAnsi="Palatino Linotype" w:cs="Arial"/>
          <w:sz w:val="24"/>
          <w:szCs w:val="24"/>
        </w:rPr>
        <w:t xml:space="preserve">student volunteers </w:t>
      </w:r>
      <w:r w:rsidR="001D3056" w:rsidRPr="00EB2CD4">
        <w:rPr>
          <w:rFonts w:ascii="Palatino Linotype" w:hAnsi="Palatino Linotype" w:cs="Arial"/>
          <w:sz w:val="24"/>
          <w:szCs w:val="24"/>
        </w:rPr>
        <w:t xml:space="preserve">with </w:t>
      </w:r>
      <w:r w:rsidR="004F4C05" w:rsidRPr="00EB2CD4">
        <w:rPr>
          <w:rFonts w:ascii="Palatino Linotype" w:hAnsi="Palatino Linotype" w:cs="Arial"/>
          <w:sz w:val="24"/>
          <w:szCs w:val="24"/>
        </w:rPr>
        <w:t xml:space="preserve">the </w:t>
      </w:r>
      <w:r w:rsidR="001D3056" w:rsidRPr="00EB2CD4">
        <w:rPr>
          <w:rFonts w:ascii="Palatino Linotype" w:hAnsi="Palatino Linotype" w:cs="Arial"/>
          <w:sz w:val="24"/>
          <w:szCs w:val="24"/>
        </w:rPr>
        <w:t xml:space="preserve">confidence and competency </w:t>
      </w:r>
      <w:r w:rsidR="00BA3FEE" w:rsidRPr="00EB2CD4">
        <w:rPr>
          <w:rFonts w:ascii="Palatino Linotype" w:hAnsi="Palatino Linotype" w:cs="Arial"/>
          <w:sz w:val="24"/>
          <w:szCs w:val="24"/>
        </w:rPr>
        <w:t>to deliver PLE workshops to dementia carer groups</w:t>
      </w:r>
      <w:r w:rsidR="00295197" w:rsidRPr="00EB2CD4">
        <w:rPr>
          <w:rFonts w:ascii="Palatino Linotype" w:hAnsi="Palatino Linotype" w:cs="Arial"/>
          <w:sz w:val="24"/>
          <w:szCs w:val="24"/>
        </w:rPr>
        <w:t>,</w:t>
      </w:r>
      <w:r w:rsidR="00BA3FEE" w:rsidRPr="00EB2CD4">
        <w:rPr>
          <w:rFonts w:ascii="Palatino Linotype" w:hAnsi="Palatino Linotype" w:cs="Arial"/>
          <w:sz w:val="24"/>
          <w:szCs w:val="24"/>
        </w:rPr>
        <w:t xml:space="preserve"> </w:t>
      </w:r>
      <w:r w:rsidR="000D66CB" w:rsidRPr="00EB2CD4">
        <w:rPr>
          <w:rFonts w:ascii="Palatino Linotype" w:hAnsi="Palatino Linotype" w:cs="Arial"/>
          <w:sz w:val="24"/>
          <w:szCs w:val="24"/>
        </w:rPr>
        <w:t xml:space="preserve">focussed on </w:t>
      </w:r>
      <w:r w:rsidR="00BA3FEE" w:rsidRPr="00EB2CD4">
        <w:rPr>
          <w:rFonts w:ascii="Palatino Linotype" w:hAnsi="Palatino Linotype" w:cs="Arial"/>
          <w:sz w:val="24"/>
          <w:szCs w:val="24"/>
        </w:rPr>
        <w:t>their legal rights and responsibilities un</w:t>
      </w:r>
      <w:r w:rsidR="00246622" w:rsidRPr="00EB2CD4">
        <w:rPr>
          <w:rFonts w:ascii="Palatino Linotype" w:hAnsi="Palatino Linotype" w:cs="Arial"/>
          <w:sz w:val="24"/>
          <w:szCs w:val="24"/>
        </w:rPr>
        <w:t>der mental health legislation</w:t>
      </w:r>
      <w:r w:rsidRPr="00EB2CD4">
        <w:rPr>
          <w:rFonts w:ascii="Palatino Linotype" w:hAnsi="Palatino Linotype" w:cs="Arial"/>
          <w:sz w:val="24"/>
          <w:szCs w:val="24"/>
        </w:rPr>
        <w:t xml:space="preserve"> (the ‘With Law In Mind’ project)</w:t>
      </w:r>
      <w:r w:rsidR="00246622" w:rsidRPr="00EB2CD4">
        <w:rPr>
          <w:rFonts w:ascii="Palatino Linotype" w:hAnsi="Palatino Linotype" w:cs="Arial"/>
          <w:sz w:val="24"/>
          <w:szCs w:val="24"/>
        </w:rPr>
        <w:t xml:space="preserve">. Over 300 carers </w:t>
      </w:r>
      <w:r w:rsidR="002D7BC4" w:rsidRPr="00EB2CD4">
        <w:rPr>
          <w:rFonts w:ascii="Palatino Linotype" w:hAnsi="Palatino Linotype" w:cs="Arial"/>
          <w:sz w:val="24"/>
          <w:szCs w:val="24"/>
        </w:rPr>
        <w:t xml:space="preserve">in the Greater Manchester area </w:t>
      </w:r>
      <w:r w:rsidR="00246622" w:rsidRPr="00EB2CD4">
        <w:rPr>
          <w:rFonts w:ascii="Palatino Linotype" w:hAnsi="Palatino Linotype" w:cs="Arial"/>
          <w:sz w:val="24"/>
          <w:szCs w:val="24"/>
        </w:rPr>
        <w:t xml:space="preserve">have now </w:t>
      </w:r>
      <w:r w:rsidRPr="00EB2CD4">
        <w:rPr>
          <w:rFonts w:ascii="Palatino Linotype" w:hAnsi="Palatino Linotype" w:cs="Arial"/>
          <w:sz w:val="24"/>
          <w:szCs w:val="24"/>
        </w:rPr>
        <w:t>benefited from these workshops.</w:t>
      </w:r>
      <w:r w:rsidR="00B435B4" w:rsidRPr="00EB2CD4">
        <w:rPr>
          <w:rFonts w:ascii="Palatino Linotype" w:hAnsi="Palatino Linotype" w:cs="Arial"/>
          <w:sz w:val="24"/>
          <w:szCs w:val="24"/>
        </w:rPr>
        <w:t xml:space="preserve"> </w:t>
      </w:r>
      <w:r w:rsidR="000D66CB" w:rsidRPr="00EB2CD4">
        <w:rPr>
          <w:rFonts w:ascii="Palatino Linotype" w:hAnsi="Palatino Linotype" w:cs="Arial"/>
          <w:sz w:val="24"/>
          <w:szCs w:val="24"/>
        </w:rPr>
        <w:t xml:space="preserve">BPP </w:t>
      </w:r>
      <w:r w:rsidR="00362718" w:rsidRPr="00EB2CD4">
        <w:rPr>
          <w:rFonts w:ascii="Palatino Linotype" w:hAnsi="Palatino Linotype" w:cs="Arial"/>
          <w:sz w:val="24"/>
          <w:szCs w:val="24"/>
        </w:rPr>
        <w:t>ha</w:t>
      </w:r>
      <w:r w:rsidR="000D66CB" w:rsidRPr="00EB2CD4">
        <w:rPr>
          <w:rFonts w:ascii="Palatino Linotype" w:hAnsi="Palatino Linotype" w:cs="Arial"/>
          <w:sz w:val="24"/>
          <w:szCs w:val="24"/>
        </w:rPr>
        <w:t>s</w:t>
      </w:r>
      <w:r w:rsidR="00362718" w:rsidRPr="00EB2CD4">
        <w:rPr>
          <w:rFonts w:ascii="Palatino Linotype" w:hAnsi="Palatino Linotype" w:cs="Arial"/>
          <w:sz w:val="24"/>
          <w:szCs w:val="24"/>
        </w:rPr>
        <w:t xml:space="preserve"> also benefitted from numerous barristers from Carmelite Chambers dedicating their free time to check the legal content of our criminal law Streetlaw workshops, including sessions on Knife Crime and Secondary Liability. </w:t>
      </w:r>
      <w:r w:rsidR="00B435B4" w:rsidRPr="00EB2CD4">
        <w:rPr>
          <w:rFonts w:ascii="Palatino Linotype" w:hAnsi="Palatino Linotype" w:cs="Arial"/>
          <w:sz w:val="24"/>
          <w:szCs w:val="24"/>
        </w:rPr>
        <w:t>Certainly, collaborations of this kind can help support the goals of the Government’s recently launched 10 Year Vision and Goals for Public Legal Education</w:t>
      </w:r>
      <w:r w:rsidR="00C55C73" w:rsidRPr="00EB2CD4">
        <w:rPr>
          <w:rStyle w:val="FootnoteReference"/>
          <w:rFonts w:ascii="Palatino Linotype" w:hAnsi="Palatino Linotype" w:cs="Arial"/>
          <w:sz w:val="24"/>
          <w:szCs w:val="24"/>
        </w:rPr>
        <w:footnoteReference w:id="4"/>
      </w:r>
      <w:r w:rsidR="00C55C73" w:rsidRPr="00EB2CD4">
        <w:rPr>
          <w:rFonts w:ascii="Palatino Linotype" w:hAnsi="Palatino Linotype" w:cs="Arial"/>
          <w:sz w:val="24"/>
          <w:szCs w:val="24"/>
        </w:rPr>
        <w:t xml:space="preserve"> </w:t>
      </w:r>
      <w:r w:rsidR="00B435B4" w:rsidRPr="00EB2CD4">
        <w:rPr>
          <w:rFonts w:ascii="Palatino Linotype" w:hAnsi="Palatino Linotype" w:cs="Arial"/>
          <w:sz w:val="24"/>
          <w:szCs w:val="24"/>
        </w:rPr>
        <w:t>(“</w:t>
      </w:r>
      <w:r w:rsidR="008B694E" w:rsidRPr="00EB2CD4">
        <w:rPr>
          <w:rFonts w:ascii="Palatino Linotype" w:hAnsi="Palatino Linotype" w:cs="Arial"/>
          <w:sz w:val="24"/>
          <w:szCs w:val="24"/>
        </w:rPr>
        <w:t>t</w:t>
      </w:r>
      <w:r w:rsidR="00B435B4" w:rsidRPr="00EB2CD4">
        <w:rPr>
          <w:rFonts w:ascii="Palatino Linotype" w:hAnsi="Palatino Linotype" w:cs="Arial"/>
          <w:sz w:val="24"/>
          <w:szCs w:val="24"/>
        </w:rPr>
        <w:t xml:space="preserve">he 10 Year Vision”), which include ensuring that the legal content of PLE is accurate and of high quality. </w:t>
      </w:r>
    </w:p>
    <w:p w14:paraId="6EC2D8AF" w14:textId="77777777" w:rsidR="00744BB4" w:rsidRPr="00EB2CD4" w:rsidRDefault="00CF567B" w:rsidP="004303D6">
      <w:pPr>
        <w:spacing w:line="480" w:lineRule="auto"/>
        <w:jc w:val="both"/>
        <w:rPr>
          <w:rFonts w:ascii="Palatino Linotype" w:hAnsi="Palatino Linotype" w:cs="Arial"/>
          <w:i/>
          <w:color w:val="FF0000"/>
          <w:sz w:val="24"/>
          <w:szCs w:val="24"/>
        </w:rPr>
      </w:pPr>
      <w:r w:rsidRPr="00EB2CD4">
        <w:rPr>
          <w:rFonts w:ascii="Palatino Linotype" w:hAnsi="Palatino Linotype" w:cs="Arial"/>
          <w:sz w:val="24"/>
          <w:szCs w:val="24"/>
        </w:rPr>
        <w:t xml:space="preserve">If not </w:t>
      </w:r>
      <w:r w:rsidR="00950158" w:rsidRPr="00EB2CD4">
        <w:rPr>
          <w:rFonts w:ascii="Palatino Linotype" w:hAnsi="Palatino Linotype" w:cs="Arial"/>
          <w:sz w:val="24"/>
          <w:szCs w:val="24"/>
        </w:rPr>
        <w:t xml:space="preserve">their </w:t>
      </w:r>
      <w:r w:rsidRPr="00EB2CD4">
        <w:rPr>
          <w:rFonts w:ascii="Palatino Linotype" w:hAnsi="Palatino Linotype" w:cs="Arial"/>
          <w:sz w:val="24"/>
          <w:szCs w:val="24"/>
        </w:rPr>
        <w:t xml:space="preserve">legal expertise, other potential collaborators </w:t>
      </w:r>
      <w:r w:rsidR="002D7BC4" w:rsidRPr="00EB2CD4">
        <w:rPr>
          <w:rFonts w:ascii="Palatino Linotype" w:hAnsi="Palatino Linotype" w:cs="Arial"/>
          <w:sz w:val="24"/>
          <w:szCs w:val="24"/>
        </w:rPr>
        <w:t>may be able to share contacts;</w:t>
      </w:r>
      <w:r w:rsidR="00B86EC7" w:rsidRPr="00EB2CD4">
        <w:rPr>
          <w:rFonts w:ascii="Palatino Linotype" w:hAnsi="Palatino Linotype" w:cs="Arial"/>
          <w:sz w:val="24"/>
          <w:szCs w:val="24"/>
        </w:rPr>
        <w:t xml:space="preserve"> staff </w:t>
      </w:r>
      <w:r w:rsidR="00BE702A" w:rsidRPr="00EB2CD4">
        <w:rPr>
          <w:rFonts w:ascii="Palatino Linotype" w:hAnsi="Palatino Linotype" w:cs="Arial"/>
          <w:sz w:val="24"/>
          <w:szCs w:val="24"/>
        </w:rPr>
        <w:t>and</w:t>
      </w:r>
      <w:r w:rsidR="002D7BC4" w:rsidRPr="00EB2CD4">
        <w:rPr>
          <w:rFonts w:ascii="Palatino Linotype" w:hAnsi="Palatino Linotype" w:cs="Arial"/>
          <w:sz w:val="24"/>
          <w:szCs w:val="24"/>
        </w:rPr>
        <w:t xml:space="preserve"> student resource;</w:t>
      </w:r>
      <w:r w:rsidR="00B86EC7" w:rsidRPr="00EB2CD4">
        <w:rPr>
          <w:rFonts w:ascii="Palatino Linotype" w:hAnsi="Palatino Linotype" w:cs="Arial"/>
          <w:sz w:val="24"/>
          <w:szCs w:val="24"/>
        </w:rPr>
        <w:t xml:space="preserve"> physical space </w:t>
      </w:r>
      <w:r w:rsidR="002D7BC4" w:rsidRPr="00EB2CD4">
        <w:rPr>
          <w:rFonts w:ascii="Palatino Linotype" w:hAnsi="Palatino Linotype" w:cs="Arial"/>
          <w:sz w:val="24"/>
          <w:szCs w:val="24"/>
        </w:rPr>
        <w:t>and equipment; or</w:t>
      </w:r>
      <w:r w:rsidR="008A3135" w:rsidRPr="00EB2CD4">
        <w:rPr>
          <w:rFonts w:ascii="Palatino Linotype" w:hAnsi="Palatino Linotype" w:cs="Arial"/>
          <w:sz w:val="24"/>
          <w:szCs w:val="24"/>
        </w:rPr>
        <w:t xml:space="preserve"> - </w:t>
      </w:r>
      <w:r w:rsidR="00B86EC7" w:rsidRPr="00EB2CD4">
        <w:rPr>
          <w:rFonts w:ascii="Palatino Linotype" w:hAnsi="Palatino Linotype" w:cs="Arial"/>
          <w:sz w:val="24"/>
          <w:szCs w:val="24"/>
        </w:rPr>
        <w:t xml:space="preserve">our </w:t>
      </w:r>
      <w:r w:rsidR="008A3135" w:rsidRPr="00EB2CD4">
        <w:rPr>
          <w:rFonts w:ascii="Palatino Linotype" w:hAnsi="Palatino Linotype" w:cs="Arial"/>
          <w:sz w:val="24"/>
          <w:szCs w:val="24"/>
        </w:rPr>
        <w:t xml:space="preserve">personal </w:t>
      </w:r>
      <w:r w:rsidR="00B86EC7" w:rsidRPr="00EB2CD4">
        <w:rPr>
          <w:rFonts w:ascii="Palatino Linotype" w:hAnsi="Palatino Linotype" w:cs="Arial"/>
          <w:sz w:val="24"/>
          <w:szCs w:val="24"/>
        </w:rPr>
        <w:t xml:space="preserve">favourite – money to buy the tea and cakes for </w:t>
      </w:r>
      <w:r w:rsidR="00A861E5" w:rsidRPr="00EB2CD4">
        <w:rPr>
          <w:rFonts w:ascii="Palatino Linotype" w:hAnsi="Palatino Linotype" w:cs="Arial"/>
          <w:sz w:val="24"/>
          <w:szCs w:val="24"/>
        </w:rPr>
        <w:t>your</w:t>
      </w:r>
      <w:r w:rsidR="00B86EC7" w:rsidRPr="00EB2CD4">
        <w:rPr>
          <w:rFonts w:ascii="Palatino Linotype" w:hAnsi="Palatino Linotype" w:cs="Arial"/>
          <w:sz w:val="24"/>
          <w:szCs w:val="24"/>
        </w:rPr>
        <w:t xml:space="preserve"> PLE </w:t>
      </w:r>
      <w:r w:rsidR="00A861E5" w:rsidRPr="00EB2CD4">
        <w:rPr>
          <w:rFonts w:ascii="Palatino Linotype" w:hAnsi="Palatino Linotype" w:cs="Arial"/>
          <w:sz w:val="24"/>
          <w:szCs w:val="24"/>
        </w:rPr>
        <w:t>events</w:t>
      </w:r>
      <w:r w:rsidR="008A3135" w:rsidRPr="00EB2CD4">
        <w:rPr>
          <w:rFonts w:ascii="Palatino Linotype" w:hAnsi="Palatino Linotype" w:cs="Arial"/>
          <w:sz w:val="24"/>
          <w:szCs w:val="24"/>
        </w:rPr>
        <w:t xml:space="preserve"> (which</w:t>
      </w:r>
      <w:r w:rsidR="00295197" w:rsidRPr="00EB2CD4">
        <w:rPr>
          <w:rFonts w:ascii="Palatino Linotype" w:hAnsi="Palatino Linotype" w:cs="Arial"/>
          <w:sz w:val="24"/>
          <w:szCs w:val="24"/>
        </w:rPr>
        <w:t>,</w:t>
      </w:r>
      <w:r w:rsidR="008A3135" w:rsidRPr="00EB2CD4">
        <w:rPr>
          <w:rFonts w:ascii="Palatino Linotype" w:hAnsi="Palatino Linotype" w:cs="Arial"/>
          <w:sz w:val="24"/>
          <w:szCs w:val="24"/>
        </w:rPr>
        <w:t xml:space="preserve"> joking aside, can </w:t>
      </w:r>
      <w:r w:rsidR="00295197" w:rsidRPr="00EB2CD4">
        <w:rPr>
          <w:rFonts w:ascii="Palatino Linotype" w:hAnsi="Palatino Linotype" w:cs="Arial"/>
          <w:sz w:val="24"/>
          <w:szCs w:val="24"/>
        </w:rPr>
        <w:t>often put</w:t>
      </w:r>
      <w:r w:rsidR="008A3135" w:rsidRPr="00EB2CD4">
        <w:rPr>
          <w:rFonts w:ascii="Palatino Linotype" w:hAnsi="Palatino Linotype" w:cs="Arial"/>
          <w:sz w:val="24"/>
          <w:szCs w:val="24"/>
        </w:rPr>
        <w:t xml:space="preserve"> many </w:t>
      </w:r>
      <w:r w:rsidR="001D3056" w:rsidRPr="00EB2CD4">
        <w:rPr>
          <w:rFonts w:ascii="Palatino Linotype" w:hAnsi="Palatino Linotype" w:cs="Arial"/>
          <w:sz w:val="24"/>
          <w:szCs w:val="24"/>
        </w:rPr>
        <w:t xml:space="preserve">Streetlaw </w:t>
      </w:r>
      <w:r w:rsidR="008A3135" w:rsidRPr="00EB2CD4">
        <w:rPr>
          <w:rFonts w:ascii="Palatino Linotype" w:hAnsi="Palatino Linotype" w:cs="Arial"/>
          <w:sz w:val="24"/>
          <w:szCs w:val="24"/>
        </w:rPr>
        <w:t>audiences at ease)</w:t>
      </w:r>
      <w:r w:rsidR="00B86EC7" w:rsidRPr="00EB2CD4">
        <w:rPr>
          <w:rFonts w:ascii="Palatino Linotype" w:hAnsi="Palatino Linotype" w:cs="Arial"/>
          <w:sz w:val="24"/>
          <w:szCs w:val="24"/>
        </w:rPr>
        <w:t xml:space="preserve">! </w:t>
      </w:r>
    </w:p>
    <w:p w14:paraId="0F3168D4" w14:textId="4C913225" w:rsidR="00FA02A0" w:rsidRPr="00EB2CD4" w:rsidRDefault="00383910"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lastRenderedPageBreak/>
        <w:t>The</w:t>
      </w:r>
      <w:r w:rsidR="00A861E5" w:rsidRPr="00EB2CD4">
        <w:rPr>
          <w:rFonts w:ascii="Palatino Linotype" w:hAnsi="Palatino Linotype" w:cs="Arial"/>
          <w:sz w:val="24"/>
          <w:szCs w:val="24"/>
        </w:rPr>
        <w:t xml:space="preserve"> result</w:t>
      </w:r>
      <w:r w:rsidRPr="00EB2CD4">
        <w:rPr>
          <w:rFonts w:ascii="Palatino Linotype" w:hAnsi="Palatino Linotype" w:cs="Arial"/>
          <w:sz w:val="24"/>
          <w:szCs w:val="24"/>
        </w:rPr>
        <w:t xml:space="preserve"> of this pooling of knowledge, resources and costs can mean much</w:t>
      </w:r>
      <w:r w:rsidR="00A861E5" w:rsidRPr="00EB2CD4">
        <w:rPr>
          <w:rFonts w:ascii="Palatino Linotype" w:hAnsi="Palatino Linotype" w:cs="Arial"/>
          <w:sz w:val="24"/>
          <w:szCs w:val="24"/>
        </w:rPr>
        <w:t xml:space="preserve"> needed information </w:t>
      </w:r>
      <w:r w:rsidR="00690C18" w:rsidRPr="00EB2CD4">
        <w:rPr>
          <w:rFonts w:ascii="Palatino Linotype" w:hAnsi="Palatino Linotype" w:cs="Arial"/>
          <w:sz w:val="24"/>
          <w:szCs w:val="24"/>
        </w:rPr>
        <w:t xml:space="preserve">is </w:t>
      </w:r>
      <w:r w:rsidR="001D3056" w:rsidRPr="00EB2CD4">
        <w:rPr>
          <w:rFonts w:ascii="Palatino Linotype" w:hAnsi="Palatino Linotype" w:cs="Arial"/>
          <w:sz w:val="24"/>
          <w:szCs w:val="24"/>
        </w:rPr>
        <w:t xml:space="preserve">delivered </w:t>
      </w:r>
      <w:r w:rsidR="00A861E5" w:rsidRPr="00EB2CD4">
        <w:rPr>
          <w:rFonts w:ascii="Palatino Linotype" w:hAnsi="Palatino Linotype" w:cs="Arial"/>
          <w:sz w:val="24"/>
          <w:szCs w:val="24"/>
        </w:rPr>
        <w:t>to a wider audience</w:t>
      </w:r>
      <w:r w:rsidR="00B435B4" w:rsidRPr="00EB2CD4">
        <w:rPr>
          <w:rFonts w:ascii="Palatino Linotype" w:hAnsi="Palatino Linotype" w:cs="Arial"/>
          <w:sz w:val="24"/>
          <w:szCs w:val="24"/>
        </w:rPr>
        <w:t xml:space="preserve"> (in line with </w:t>
      </w:r>
      <w:r w:rsidR="008B694E" w:rsidRPr="00EB2CD4">
        <w:rPr>
          <w:rFonts w:ascii="Palatino Linotype" w:hAnsi="Palatino Linotype" w:cs="Arial"/>
          <w:sz w:val="24"/>
          <w:szCs w:val="24"/>
        </w:rPr>
        <w:t>t</w:t>
      </w:r>
      <w:r w:rsidR="00B435B4" w:rsidRPr="00EB2CD4">
        <w:rPr>
          <w:rFonts w:ascii="Palatino Linotype" w:hAnsi="Palatino Linotype" w:cs="Arial"/>
          <w:sz w:val="24"/>
          <w:szCs w:val="24"/>
        </w:rPr>
        <w:t>he 10 Year Vision’s aim of scaling up PLE delivery by the legal community). It can expose</w:t>
      </w:r>
      <w:r w:rsidR="00A861E5" w:rsidRPr="00EB2CD4">
        <w:rPr>
          <w:rFonts w:ascii="Palatino Linotype" w:hAnsi="Palatino Linotype" w:cs="Arial"/>
          <w:sz w:val="24"/>
          <w:szCs w:val="24"/>
        </w:rPr>
        <w:t xml:space="preserve"> </w:t>
      </w:r>
      <w:r w:rsidR="0075194F" w:rsidRPr="00EB2CD4">
        <w:rPr>
          <w:rFonts w:ascii="Palatino Linotype" w:hAnsi="Palatino Linotype" w:cs="Arial"/>
          <w:sz w:val="24"/>
          <w:szCs w:val="24"/>
        </w:rPr>
        <w:t xml:space="preserve">your law </w:t>
      </w:r>
      <w:r w:rsidR="00A861E5" w:rsidRPr="00EB2CD4">
        <w:rPr>
          <w:rFonts w:ascii="Palatino Linotype" w:hAnsi="Palatino Linotype" w:cs="Arial"/>
          <w:sz w:val="24"/>
          <w:szCs w:val="24"/>
        </w:rPr>
        <w:t xml:space="preserve">students to </w:t>
      </w:r>
      <w:r w:rsidR="00B435B4" w:rsidRPr="00EB2CD4">
        <w:rPr>
          <w:rFonts w:ascii="Palatino Linotype" w:hAnsi="Palatino Linotype" w:cs="Arial"/>
          <w:sz w:val="24"/>
          <w:szCs w:val="24"/>
        </w:rPr>
        <w:t>professionals</w:t>
      </w:r>
      <w:r w:rsidR="00950158" w:rsidRPr="00EB2CD4">
        <w:rPr>
          <w:rFonts w:ascii="Palatino Linotype" w:hAnsi="Palatino Linotype" w:cs="Arial"/>
          <w:sz w:val="24"/>
          <w:szCs w:val="24"/>
        </w:rPr>
        <w:t xml:space="preserve"> who</w:t>
      </w:r>
      <w:r w:rsidR="00B435B4" w:rsidRPr="00EB2CD4">
        <w:rPr>
          <w:rFonts w:ascii="Palatino Linotype" w:hAnsi="Palatino Linotype" w:cs="Arial"/>
          <w:sz w:val="24"/>
          <w:szCs w:val="24"/>
        </w:rPr>
        <w:t xml:space="preserve"> </w:t>
      </w:r>
      <w:r w:rsidR="002B628E" w:rsidRPr="00EB2CD4">
        <w:rPr>
          <w:rFonts w:ascii="Palatino Linotype" w:hAnsi="Palatino Linotype" w:cs="Arial"/>
          <w:sz w:val="24"/>
          <w:szCs w:val="24"/>
        </w:rPr>
        <w:t xml:space="preserve">are </w:t>
      </w:r>
      <w:r w:rsidR="00B435B4" w:rsidRPr="00EB2CD4">
        <w:rPr>
          <w:rFonts w:ascii="Palatino Linotype" w:hAnsi="Palatino Linotype" w:cs="Arial"/>
          <w:sz w:val="24"/>
          <w:szCs w:val="24"/>
        </w:rPr>
        <w:t xml:space="preserve">willing to </w:t>
      </w:r>
      <w:r w:rsidR="00A85922" w:rsidRPr="00EB2CD4">
        <w:rPr>
          <w:rFonts w:ascii="Palatino Linotype" w:hAnsi="Palatino Linotype" w:cs="Arial"/>
          <w:sz w:val="24"/>
          <w:szCs w:val="24"/>
        </w:rPr>
        <w:t>provide career advice</w:t>
      </w:r>
      <w:r w:rsidR="00BB2017" w:rsidRPr="00EB2CD4">
        <w:rPr>
          <w:rFonts w:ascii="Palatino Linotype" w:hAnsi="Palatino Linotype" w:cs="Arial"/>
          <w:sz w:val="24"/>
          <w:szCs w:val="24"/>
        </w:rPr>
        <w:t xml:space="preserve">, </w:t>
      </w:r>
      <w:r w:rsidR="00B435B4" w:rsidRPr="00EB2CD4">
        <w:rPr>
          <w:rFonts w:ascii="Palatino Linotype" w:hAnsi="Palatino Linotype" w:cs="Arial"/>
          <w:sz w:val="24"/>
          <w:szCs w:val="24"/>
        </w:rPr>
        <w:t>demonstrate good practice</w:t>
      </w:r>
      <w:r w:rsidR="00B05523" w:rsidRPr="00EB2CD4">
        <w:rPr>
          <w:rFonts w:ascii="Palatino Linotype" w:hAnsi="Palatino Linotype" w:cs="Arial"/>
          <w:sz w:val="24"/>
          <w:szCs w:val="24"/>
        </w:rPr>
        <w:t xml:space="preserve"> and</w:t>
      </w:r>
      <w:r w:rsidR="00A85922" w:rsidRPr="00EB2CD4">
        <w:rPr>
          <w:rFonts w:ascii="Palatino Linotype" w:hAnsi="Palatino Linotype" w:cs="Arial"/>
          <w:sz w:val="24"/>
          <w:szCs w:val="24"/>
        </w:rPr>
        <w:t xml:space="preserve"> </w:t>
      </w:r>
      <w:r w:rsidR="00BB2017" w:rsidRPr="00EB2CD4">
        <w:rPr>
          <w:rFonts w:ascii="Palatino Linotype" w:hAnsi="Palatino Linotype" w:cs="Arial"/>
          <w:sz w:val="24"/>
          <w:szCs w:val="24"/>
        </w:rPr>
        <w:t xml:space="preserve">show </w:t>
      </w:r>
      <w:r w:rsidR="00A85922" w:rsidRPr="00EB2CD4">
        <w:rPr>
          <w:rFonts w:ascii="Palatino Linotype" w:hAnsi="Palatino Linotype" w:cs="Arial"/>
          <w:sz w:val="24"/>
          <w:szCs w:val="24"/>
        </w:rPr>
        <w:t xml:space="preserve">a career-long commitment to </w:t>
      </w:r>
      <w:r w:rsidR="00A85922" w:rsidRPr="00EB2CD4">
        <w:rPr>
          <w:rFonts w:ascii="Palatino Linotype" w:hAnsi="Palatino Linotype" w:cs="Arial"/>
          <w:i/>
          <w:sz w:val="24"/>
          <w:szCs w:val="24"/>
        </w:rPr>
        <w:t>pro bono</w:t>
      </w:r>
      <w:r w:rsidR="00A85922" w:rsidRPr="00EB2CD4">
        <w:rPr>
          <w:rFonts w:ascii="Palatino Linotype" w:hAnsi="Palatino Linotype" w:cs="Arial"/>
          <w:sz w:val="24"/>
          <w:szCs w:val="24"/>
        </w:rPr>
        <w:t xml:space="preserve"> work</w:t>
      </w:r>
      <w:r w:rsidR="00FA02A0" w:rsidRPr="00EB2CD4">
        <w:rPr>
          <w:rFonts w:ascii="Palatino Linotype" w:hAnsi="Palatino Linotype" w:cs="Arial"/>
          <w:sz w:val="24"/>
          <w:szCs w:val="24"/>
        </w:rPr>
        <w:t xml:space="preserve">, as </w:t>
      </w:r>
      <w:r w:rsidR="00BB2017" w:rsidRPr="00EB2CD4">
        <w:rPr>
          <w:rFonts w:ascii="Palatino Linotype" w:hAnsi="Palatino Linotype" w:cs="Arial"/>
          <w:sz w:val="24"/>
          <w:szCs w:val="24"/>
        </w:rPr>
        <w:t xml:space="preserve">well as </w:t>
      </w:r>
      <w:r w:rsidR="007B0AA8" w:rsidRPr="00EB2CD4">
        <w:rPr>
          <w:rFonts w:ascii="Palatino Linotype" w:hAnsi="Palatino Linotype" w:cs="Arial"/>
          <w:sz w:val="24"/>
          <w:szCs w:val="24"/>
        </w:rPr>
        <w:t>providing students with</w:t>
      </w:r>
      <w:r w:rsidR="00BB2017" w:rsidRPr="00EB2CD4">
        <w:rPr>
          <w:rFonts w:ascii="Palatino Linotype" w:hAnsi="Palatino Linotype" w:cs="Arial"/>
          <w:sz w:val="24"/>
          <w:szCs w:val="24"/>
        </w:rPr>
        <w:t xml:space="preserve"> </w:t>
      </w:r>
      <w:r w:rsidR="00A861E5" w:rsidRPr="00EB2CD4">
        <w:rPr>
          <w:rFonts w:ascii="Palatino Linotype" w:hAnsi="Palatino Linotype" w:cs="Arial"/>
          <w:sz w:val="24"/>
          <w:szCs w:val="24"/>
        </w:rPr>
        <w:t xml:space="preserve">new experiences </w:t>
      </w:r>
      <w:r w:rsidR="003623F2" w:rsidRPr="00EB2CD4">
        <w:rPr>
          <w:rFonts w:ascii="Palatino Linotype" w:hAnsi="Palatino Linotype" w:cs="Arial"/>
          <w:sz w:val="24"/>
          <w:szCs w:val="24"/>
        </w:rPr>
        <w:t xml:space="preserve">which can </w:t>
      </w:r>
      <w:r w:rsidR="00A861E5" w:rsidRPr="00EB2CD4">
        <w:rPr>
          <w:rFonts w:ascii="Palatino Linotype" w:hAnsi="Palatino Linotype" w:cs="Arial"/>
          <w:sz w:val="24"/>
          <w:szCs w:val="24"/>
        </w:rPr>
        <w:t>develop knowledge and skills</w:t>
      </w:r>
      <w:r w:rsidRPr="00EB2CD4">
        <w:rPr>
          <w:rFonts w:ascii="Palatino Linotype" w:hAnsi="Palatino Linotype" w:cs="Arial"/>
          <w:sz w:val="24"/>
          <w:szCs w:val="24"/>
        </w:rPr>
        <w:t xml:space="preserve"> relevant to their</w:t>
      </w:r>
      <w:r w:rsidR="00B435B4" w:rsidRPr="00EB2CD4">
        <w:rPr>
          <w:rFonts w:ascii="Palatino Linotype" w:hAnsi="Palatino Linotype" w:cs="Arial"/>
          <w:sz w:val="24"/>
          <w:szCs w:val="24"/>
        </w:rPr>
        <w:t xml:space="preserve"> chosen</w:t>
      </w:r>
      <w:r w:rsidRPr="00EB2CD4">
        <w:rPr>
          <w:rFonts w:ascii="Palatino Linotype" w:hAnsi="Palatino Linotype" w:cs="Arial"/>
          <w:sz w:val="24"/>
          <w:szCs w:val="24"/>
        </w:rPr>
        <w:t xml:space="preserve"> discipline</w:t>
      </w:r>
      <w:r w:rsidR="00A861E5" w:rsidRPr="00EB2CD4">
        <w:rPr>
          <w:rFonts w:ascii="Palatino Linotype" w:hAnsi="Palatino Linotype" w:cs="Arial"/>
          <w:sz w:val="24"/>
          <w:szCs w:val="24"/>
        </w:rPr>
        <w:t xml:space="preserve">, including communication, teamwork and client empathy. </w:t>
      </w:r>
    </w:p>
    <w:p w14:paraId="758F4CED" w14:textId="77777777" w:rsidR="002A7207" w:rsidRPr="00EB2CD4" w:rsidRDefault="00383910"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Green and Johnson</w:t>
      </w:r>
      <w:r w:rsidR="002D7BC4" w:rsidRPr="00EB2CD4">
        <w:rPr>
          <w:rFonts w:ascii="Palatino Linotype" w:hAnsi="Palatino Linotype" w:cs="Arial"/>
          <w:sz w:val="24"/>
          <w:szCs w:val="24"/>
        </w:rPr>
        <w:t xml:space="preserve"> (2015)</w:t>
      </w:r>
      <w:r w:rsidR="00C55C73" w:rsidRPr="00EB2CD4">
        <w:rPr>
          <w:rStyle w:val="FootnoteReference"/>
          <w:rFonts w:ascii="Palatino Linotype" w:hAnsi="Palatino Linotype" w:cs="Arial"/>
          <w:sz w:val="24"/>
          <w:szCs w:val="24"/>
        </w:rPr>
        <w:footnoteReference w:id="5"/>
      </w:r>
      <w:r w:rsidR="008C7277" w:rsidRPr="00EB2CD4">
        <w:rPr>
          <w:rFonts w:ascii="Palatino Linotype" w:hAnsi="Palatino Linotype" w:cs="Arial"/>
          <w:sz w:val="24"/>
          <w:szCs w:val="24"/>
        </w:rPr>
        <w:t xml:space="preserve"> </w:t>
      </w:r>
      <w:r w:rsidRPr="00EB2CD4">
        <w:rPr>
          <w:rFonts w:ascii="Palatino Linotype" w:hAnsi="Palatino Linotype" w:cs="Arial"/>
          <w:sz w:val="24"/>
          <w:szCs w:val="24"/>
        </w:rPr>
        <w:t xml:space="preserve">cite </w:t>
      </w:r>
      <w:r w:rsidR="00166523" w:rsidRPr="00EB2CD4">
        <w:rPr>
          <w:rFonts w:ascii="Palatino Linotype" w:hAnsi="Palatino Linotype" w:cs="Arial"/>
          <w:sz w:val="24"/>
          <w:szCs w:val="24"/>
        </w:rPr>
        <w:t xml:space="preserve">many of </w:t>
      </w:r>
      <w:r w:rsidR="00FA02A0" w:rsidRPr="00EB2CD4">
        <w:rPr>
          <w:rFonts w:ascii="Palatino Linotype" w:hAnsi="Palatino Linotype" w:cs="Arial"/>
          <w:sz w:val="24"/>
          <w:szCs w:val="24"/>
        </w:rPr>
        <w:t>the</w:t>
      </w:r>
      <w:r w:rsidRPr="00EB2CD4">
        <w:rPr>
          <w:rFonts w:ascii="Palatino Linotype" w:hAnsi="Palatino Linotype" w:cs="Arial"/>
          <w:sz w:val="24"/>
          <w:szCs w:val="24"/>
        </w:rPr>
        <w:t xml:space="preserve"> benefits </w:t>
      </w:r>
      <w:r w:rsidR="00FA02A0" w:rsidRPr="00EB2CD4">
        <w:rPr>
          <w:rFonts w:ascii="Palatino Linotype" w:hAnsi="Palatino Linotype" w:cs="Arial"/>
          <w:sz w:val="24"/>
          <w:szCs w:val="24"/>
        </w:rPr>
        <w:t xml:space="preserve">referred to above </w:t>
      </w:r>
      <w:r w:rsidRPr="00EB2CD4">
        <w:rPr>
          <w:rFonts w:ascii="Palatino Linotype" w:hAnsi="Palatino Linotype" w:cs="Arial"/>
          <w:sz w:val="24"/>
          <w:szCs w:val="24"/>
        </w:rPr>
        <w:t xml:space="preserve">in </w:t>
      </w:r>
      <w:r w:rsidR="002D7BC4" w:rsidRPr="00EB2CD4">
        <w:rPr>
          <w:rFonts w:ascii="Palatino Linotype" w:hAnsi="Palatino Linotype" w:cs="Arial"/>
          <w:sz w:val="24"/>
          <w:szCs w:val="24"/>
        </w:rPr>
        <w:t>their</w:t>
      </w:r>
      <w:r w:rsidRPr="00EB2CD4">
        <w:rPr>
          <w:rFonts w:ascii="Palatino Linotype" w:hAnsi="Palatino Linotype" w:cs="Arial"/>
          <w:sz w:val="24"/>
          <w:szCs w:val="24"/>
        </w:rPr>
        <w:t xml:space="preserve"> review of inter</w:t>
      </w:r>
      <w:r w:rsidR="0053127B" w:rsidRPr="00EB2CD4">
        <w:rPr>
          <w:rFonts w:ascii="Palatino Linotype" w:hAnsi="Palatino Linotype" w:cs="Arial"/>
          <w:sz w:val="24"/>
          <w:szCs w:val="24"/>
        </w:rPr>
        <w:t>-</w:t>
      </w:r>
      <w:r w:rsidRPr="00EB2CD4">
        <w:rPr>
          <w:rFonts w:ascii="Palatino Linotype" w:hAnsi="Palatino Linotype" w:cs="Arial"/>
          <w:sz w:val="24"/>
          <w:szCs w:val="24"/>
        </w:rPr>
        <w:t xml:space="preserve">professional collaboration in the healthcare </w:t>
      </w:r>
      <w:r w:rsidR="008C7277" w:rsidRPr="00EB2CD4">
        <w:rPr>
          <w:rFonts w:ascii="Palatino Linotype" w:hAnsi="Palatino Linotype" w:cs="Arial"/>
          <w:sz w:val="24"/>
          <w:szCs w:val="24"/>
        </w:rPr>
        <w:t>sector</w:t>
      </w:r>
      <w:r w:rsidRPr="00EB2CD4">
        <w:rPr>
          <w:rFonts w:ascii="Palatino Linotype" w:hAnsi="Palatino Linotype" w:cs="Arial"/>
          <w:sz w:val="24"/>
          <w:szCs w:val="24"/>
        </w:rPr>
        <w:t>, as well as the ‘reflected’</w:t>
      </w:r>
      <w:r w:rsidR="008C7277" w:rsidRPr="00EB2CD4">
        <w:rPr>
          <w:rFonts w:ascii="Palatino Linotype" w:hAnsi="Palatino Linotype" w:cs="Arial"/>
          <w:sz w:val="24"/>
          <w:szCs w:val="24"/>
        </w:rPr>
        <w:t xml:space="preserve"> benefit</w:t>
      </w:r>
      <w:r w:rsidRPr="00EB2CD4">
        <w:rPr>
          <w:rFonts w:ascii="Palatino Linotype" w:hAnsi="Palatino Linotype" w:cs="Arial"/>
          <w:sz w:val="24"/>
          <w:szCs w:val="24"/>
        </w:rPr>
        <w:t xml:space="preserve"> of associating with others who are successful.</w:t>
      </w:r>
    </w:p>
    <w:p w14:paraId="7B95DFA6" w14:textId="425767E6" w:rsidR="0053127B" w:rsidRPr="00EB2CD4" w:rsidRDefault="0053127B" w:rsidP="004303D6">
      <w:pPr>
        <w:spacing w:line="480" w:lineRule="auto"/>
        <w:jc w:val="both"/>
        <w:rPr>
          <w:rFonts w:ascii="Palatino Linotype" w:hAnsi="Palatino Linotype" w:cs="Arial"/>
          <w:b/>
          <w:sz w:val="24"/>
          <w:szCs w:val="24"/>
        </w:rPr>
      </w:pPr>
      <w:r w:rsidRPr="00EB2CD4">
        <w:rPr>
          <w:rFonts w:ascii="Palatino Linotype" w:hAnsi="Palatino Linotype" w:cs="Arial"/>
          <w:b/>
          <w:sz w:val="24"/>
          <w:szCs w:val="24"/>
        </w:rPr>
        <w:t>Challenges of collaborative PLE</w:t>
      </w:r>
    </w:p>
    <w:p w14:paraId="3FB1EFB8" w14:textId="537CC02F" w:rsidR="00853DE5" w:rsidRPr="00EB2CD4" w:rsidRDefault="00295197"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There are, of course, potential </w:t>
      </w:r>
      <w:r w:rsidR="0053127B" w:rsidRPr="00EB2CD4">
        <w:rPr>
          <w:rFonts w:ascii="Palatino Linotype" w:hAnsi="Palatino Linotype" w:cs="Arial"/>
          <w:sz w:val="24"/>
          <w:szCs w:val="24"/>
        </w:rPr>
        <w:t>barriers to successful</w:t>
      </w:r>
      <w:r w:rsidRPr="00EB2CD4">
        <w:rPr>
          <w:rFonts w:ascii="Palatino Linotype" w:hAnsi="Palatino Linotype" w:cs="Arial"/>
          <w:sz w:val="24"/>
          <w:szCs w:val="24"/>
        </w:rPr>
        <w:t xml:space="preserve"> collaboration</w:t>
      </w:r>
      <w:r w:rsidR="0053127B" w:rsidRPr="00EB2CD4">
        <w:rPr>
          <w:rFonts w:ascii="Palatino Linotype" w:hAnsi="Palatino Linotype" w:cs="Arial"/>
          <w:sz w:val="24"/>
          <w:szCs w:val="24"/>
        </w:rPr>
        <w:t xml:space="preserve"> – th</w:t>
      </w:r>
      <w:r w:rsidRPr="00EB2CD4">
        <w:rPr>
          <w:rFonts w:ascii="Palatino Linotype" w:hAnsi="Palatino Linotype" w:cs="Arial"/>
          <w:sz w:val="24"/>
          <w:szCs w:val="24"/>
        </w:rPr>
        <w:t xml:space="preserve">e dreaded </w:t>
      </w:r>
      <w:r w:rsidR="00E01BB7" w:rsidRPr="00EB2CD4">
        <w:rPr>
          <w:rFonts w:ascii="Palatino Linotype" w:hAnsi="Palatino Linotype" w:cs="Arial"/>
          <w:sz w:val="24"/>
          <w:szCs w:val="24"/>
        </w:rPr>
        <w:t>‘</w:t>
      </w:r>
      <w:r w:rsidRPr="00EB2CD4">
        <w:rPr>
          <w:rFonts w:ascii="Palatino Linotype" w:hAnsi="Palatino Linotype" w:cs="Arial"/>
          <w:sz w:val="24"/>
          <w:szCs w:val="24"/>
        </w:rPr>
        <w:t>too many cooks</w:t>
      </w:r>
      <w:r w:rsidR="00E01BB7" w:rsidRPr="00EB2CD4">
        <w:rPr>
          <w:rFonts w:ascii="Palatino Linotype" w:hAnsi="Palatino Linotype" w:cs="Arial"/>
          <w:sz w:val="24"/>
          <w:szCs w:val="24"/>
        </w:rPr>
        <w:t>’</w:t>
      </w:r>
      <w:r w:rsidRPr="00EB2CD4">
        <w:rPr>
          <w:rFonts w:ascii="Palatino Linotype" w:hAnsi="Palatino Linotype" w:cs="Arial"/>
          <w:sz w:val="24"/>
          <w:szCs w:val="24"/>
        </w:rPr>
        <w:t xml:space="preserve"> spoiling the proverbial </w:t>
      </w:r>
      <w:r w:rsidR="00E01BB7" w:rsidRPr="00EB2CD4">
        <w:rPr>
          <w:rFonts w:ascii="Palatino Linotype" w:hAnsi="Palatino Linotype" w:cs="Arial"/>
          <w:sz w:val="24"/>
          <w:szCs w:val="24"/>
        </w:rPr>
        <w:t>‘</w:t>
      </w:r>
      <w:r w:rsidRPr="00EB2CD4">
        <w:rPr>
          <w:rFonts w:ascii="Palatino Linotype" w:hAnsi="Palatino Linotype" w:cs="Arial"/>
          <w:sz w:val="24"/>
          <w:szCs w:val="24"/>
        </w:rPr>
        <w:t>broth</w:t>
      </w:r>
      <w:r w:rsidR="00E01BB7" w:rsidRPr="00EB2CD4">
        <w:rPr>
          <w:rFonts w:ascii="Palatino Linotype" w:hAnsi="Palatino Linotype" w:cs="Arial"/>
          <w:sz w:val="24"/>
          <w:szCs w:val="24"/>
        </w:rPr>
        <w:t>’</w:t>
      </w:r>
      <w:r w:rsidRPr="00EB2CD4">
        <w:rPr>
          <w:rFonts w:ascii="Palatino Linotype" w:hAnsi="Palatino Linotype" w:cs="Arial"/>
          <w:sz w:val="24"/>
          <w:szCs w:val="24"/>
        </w:rPr>
        <w:t xml:space="preserve">. </w:t>
      </w:r>
      <w:r w:rsidR="00166523" w:rsidRPr="00EB2CD4">
        <w:rPr>
          <w:rFonts w:ascii="Palatino Linotype" w:hAnsi="Palatino Linotype" w:cs="Arial"/>
          <w:sz w:val="24"/>
          <w:szCs w:val="24"/>
        </w:rPr>
        <w:t xml:space="preserve">Green and Johnson (2015) comment that conflict of some degree is inevitable </w:t>
      </w:r>
      <w:r w:rsidR="00A32508" w:rsidRPr="00EB2CD4">
        <w:rPr>
          <w:rFonts w:ascii="Palatino Linotype" w:hAnsi="Palatino Linotype" w:cs="Arial"/>
          <w:sz w:val="24"/>
          <w:szCs w:val="24"/>
        </w:rPr>
        <w:t>during</w:t>
      </w:r>
      <w:r w:rsidR="00166523" w:rsidRPr="00EB2CD4">
        <w:rPr>
          <w:rFonts w:ascii="Palatino Linotype" w:hAnsi="Palatino Linotype" w:cs="Arial"/>
          <w:sz w:val="24"/>
          <w:szCs w:val="24"/>
        </w:rPr>
        <w:t xml:space="preserve"> collaborative projects, because in all likelihood there will be some differences in culture, attitude, value and customs between different institutions. </w:t>
      </w:r>
      <w:r w:rsidR="00DA3730" w:rsidRPr="00EB2CD4">
        <w:rPr>
          <w:rFonts w:ascii="Palatino Linotype" w:hAnsi="Palatino Linotype" w:cs="Arial"/>
          <w:sz w:val="24"/>
          <w:szCs w:val="24"/>
        </w:rPr>
        <w:t xml:space="preserve">Frustrations </w:t>
      </w:r>
      <w:r w:rsidR="00261954" w:rsidRPr="00EB2CD4">
        <w:rPr>
          <w:rFonts w:ascii="Palatino Linotype" w:hAnsi="Palatino Linotype" w:cs="Arial"/>
          <w:sz w:val="24"/>
          <w:szCs w:val="24"/>
        </w:rPr>
        <w:t xml:space="preserve">can </w:t>
      </w:r>
      <w:r w:rsidR="00DA3730" w:rsidRPr="00EB2CD4">
        <w:rPr>
          <w:rFonts w:ascii="Palatino Linotype" w:hAnsi="Palatino Linotype" w:cs="Arial"/>
          <w:sz w:val="24"/>
          <w:szCs w:val="24"/>
        </w:rPr>
        <w:t>rise where individuals feel that there is an unequal distribution of tasks</w:t>
      </w:r>
      <w:r w:rsidRPr="00EB2CD4">
        <w:rPr>
          <w:rFonts w:ascii="Palatino Linotype" w:hAnsi="Palatino Linotype" w:cs="Arial"/>
          <w:sz w:val="24"/>
          <w:szCs w:val="24"/>
        </w:rPr>
        <w:t xml:space="preserve"> or effort</w:t>
      </w:r>
      <w:r w:rsidR="00DA3730" w:rsidRPr="00EB2CD4">
        <w:rPr>
          <w:rFonts w:ascii="Palatino Linotype" w:hAnsi="Palatino Linotype" w:cs="Arial"/>
          <w:sz w:val="24"/>
          <w:szCs w:val="24"/>
        </w:rPr>
        <w:t xml:space="preserve">, </w:t>
      </w:r>
      <w:r w:rsidR="00261954" w:rsidRPr="00EB2CD4">
        <w:rPr>
          <w:rFonts w:ascii="Palatino Linotype" w:hAnsi="Palatino Linotype" w:cs="Arial"/>
          <w:sz w:val="24"/>
          <w:szCs w:val="24"/>
        </w:rPr>
        <w:t xml:space="preserve">the group </w:t>
      </w:r>
      <w:r w:rsidR="00DA3730" w:rsidRPr="00EB2CD4">
        <w:rPr>
          <w:rFonts w:ascii="Palatino Linotype" w:hAnsi="Palatino Linotype" w:cs="Arial"/>
          <w:sz w:val="24"/>
          <w:szCs w:val="24"/>
        </w:rPr>
        <w:t xml:space="preserve">lack </w:t>
      </w:r>
      <w:r w:rsidR="00261954" w:rsidRPr="00EB2CD4">
        <w:rPr>
          <w:rFonts w:ascii="Palatino Linotype" w:hAnsi="Palatino Linotype" w:cs="Arial"/>
          <w:sz w:val="24"/>
          <w:szCs w:val="24"/>
        </w:rPr>
        <w:t>a</w:t>
      </w:r>
      <w:r w:rsidR="00DA3730" w:rsidRPr="00EB2CD4">
        <w:rPr>
          <w:rFonts w:ascii="Palatino Linotype" w:hAnsi="Palatino Linotype" w:cs="Arial"/>
          <w:sz w:val="24"/>
          <w:szCs w:val="24"/>
        </w:rPr>
        <w:t xml:space="preserve"> shared vision</w:t>
      </w:r>
      <w:r w:rsidRPr="00EB2CD4">
        <w:rPr>
          <w:rFonts w:ascii="Palatino Linotype" w:hAnsi="Palatino Linotype" w:cs="Arial"/>
          <w:sz w:val="24"/>
          <w:szCs w:val="24"/>
        </w:rPr>
        <w:t>,</w:t>
      </w:r>
      <w:r w:rsidR="00261954" w:rsidRPr="00EB2CD4">
        <w:rPr>
          <w:rFonts w:ascii="Palatino Linotype" w:hAnsi="Palatino Linotype" w:cs="Arial"/>
          <w:sz w:val="24"/>
          <w:szCs w:val="24"/>
        </w:rPr>
        <w:t xml:space="preserve"> or there are </w:t>
      </w:r>
      <w:r w:rsidRPr="00EB2CD4">
        <w:rPr>
          <w:rFonts w:ascii="Palatino Linotype" w:hAnsi="Palatino Linotype" w:cs="Arial"/>
          <w:sz w:val="24"/>
          <w:szCs w:val="24"/>
        </w:rPr>
        <w:t>c</w:t>
      </w:r>
      <w:r w:rsidR="00166523" w:rsidRPr="00EB2CD4">
        <w:rPr>
          <w:rFonts w:ascii="Palatino Linotype" w:hAnsi="Palatino Linotype" w:cs="Arial"/>
          <w:sz w:val="24"/>
          <w:szCs w:val="24"/>
        </w:rPr>
        <w:t>lashing agendas of institutions</w:t>
      </w:r>
      <w:r w:rsidRPr="00EB2CD4">
        <w:rPr>
          <w:rFonts w:ascii="Palatino Linotype" w:hAnsi="Palatino Linotype" w:cs="Arial"/>
          <w:sz w:val="24"/>
          <w:szCs w:val="24"/>
        </w:rPr>
        <w:t>.</w:t>
      </w:r>
      <w:r w:rsidR="00BB12F2" w:rsidRPr="00EB2CD4">
        <w:rPr>
          <w:rFonts w:ascii="Palatino Linotype" w:hAnsi="Palatino Linotype" w:cs="Arial"/>
          <w:sz w:val="24"/>
          <w:szCs w:val="24"/>
        </w:rPr>
        <w:t xml:space="preserve"> </w:t>
      </w:r>
      <w:r w:rsidRPr="00EB2CD4">
        <w:rPr>
          <w:rFonts w:ascii="Palatino Linotype" w:hAnsi="Palatino Linotype" w:cs="Arial"/>
          <w:sz w:val="24"/>
          <w:szCs w:val="24"/>
        </w:rPr>
        <w:t xml:space="preserve">There is also the much derided </w:t>
      </w:r>
      <w:r w:rsidR="001F1135" w:rsidRPr="00EB2CD4">
        <w:rPr>
          <w:rFonts w:ascii="Palatino Linotype" w:hAnsi="Palatino Linotype" w:cs="Arial"/>
          <w:sz w:val="24"/>
          <w:szCs w:val="24"/>
        </w:rPr>
        <w:t>‘</w:t>
      </w:r>
      <w:r w:rsidR="00A73919">
        <w:rPr>
          <w:rFonts w:ascii="Palatino Linotype" w:hAnsi="Palatino Linotype" w:cs="Arial"/>
          <w:sz w:val="24"/>
          <w:szCs w:val="24"/>
        </w:rPr>
        <w:t>trial</w:t>
      </w:r>
      <w:r w:rsidRPr="00EB2CD4">
        <w:rPr>
          <w:rFonts w:ascii="Palatino Linotype" w:hAnsi="Palatino Linotype" w:cs="Arial"/>
          <w:sz w:val="24"/>
          <w:szCs w:val="24"/>
          <w:lang w:val="en-US"/>
        </w:rPr>
        <w:t xml:space="preserve"> by committee</w:t>
      </w:r>
      <w:r w:rsidR="001F1135" w:rsidRPr="00EB2CD4">
        <w:rPr>
          <w:rFonts w:ascii="Palatino Linotype" w:hAnsi="Palatino Linotype" w:cs="Arial"/>
          <w:sz w:val="24"/>
          <w:szCs w:val="24"/>
          <w:lang w:val="en-US"/>
        </w:rPr>
        <w:t>’</w:t>
      </w:r>
      <w:r w:rsidRPr="00EB2CD4">
        <w:rPr>
          <w:rFonts w:ascii="Palatino Linotype" w:hAnsi="Palatino Linotype" w:cs="Arial"/>
          <w:sz w:val="24"/>
          <w:szCs w:val="24"/>
          <w:lang w:val="en-US"/>
        </w:rPr>
        <w:t xml:space="preserve"> – getting everyone’s comments on the minutiae </w:t>
      </w:r>
      <w:r w:rsidR="00401A72" w:rsidRPr="00EB2CD4">
        <w:rPr>
          <w:rFonts w:ascii="Palatino Linotype" w:hAnsi="Palatino Linotype" w:cs="Arial"/>
          <w:sz w:val="24"/>
          <w:szCs w:val="24"/>
          <w:lang w:val="en-US"/>
        </w:rPr>
        <w:t xml:space="preserve">of a </w:t>
      </w:r>
      <w:r w:rsidR="00246622" w:rsidRPr="00EB2CD4">
        <w:rPr>
          <w:rFonts w:ascii="Palatino Linotype" w:hAnsi="Palatino Linotype" w:cs="Arial"/>
          <w:sz w:val="24"/>
          <w:szCs w:val="24"/>
          <w:lang w:val="en-US"/>
        </w:rPr>
        <w:t xml:space="preserve">draft </w:t>
      </w:r>
      <w:r w:rsidR="00401A72" w:rsidRPr="00EB2CD4">
        <w:rPr>
          <w:rFonts w:ascii="Palatino Linotype" w:hAnsi="Palatino Linotype" w:cs="Arial"/>
          <w:sz w:val="24"/>
          <w:szCs w:val="24"/>
          <w:lang w:val="en-US"/>
        </w:rPr>
        <w:t xml:space="preserve">document </w:t>
      </w:r>
      <w:r w:rsidR="000C0FC4" w:rsidRPr="00EB2CD4">
        <w:rPr>
          <w:rFonts w:ascii="Palatino Linotype" w:hAnsi="Palatino Linotype" w:cs="Arial"/>
          <w:sz w:val="24"/>
          <w:szCs w:val="24"/>
          <w:lang w:val="en-US"/>
        </w:rPr>
        <w:t xml:space="preserve">or </w:t>
      </w:r>
      <w:r w:rsidR="00246622" w:rsidRPr="00EB2CD4">
        <w:rPr>
          <w:rFonts w:ascii="Palatino Linotype" w:hAnsi="Palatino Linotype" w:cs="Arial"/>
          <w:sz w:val="24"/>
          <w:szCs w:val="24"/>
          <w:lang w:val="en-US"/>
        </w:rPr>
        <w:lastRenderedPageBreak/>
        <w:t>email</w:t>
      </w:r>
      <w:r w:rsidR="000C0FC4" w:rsidRPr="00EB2CD4">
        <w:rPr>
          <w:rFonts w:ascii="Palatino Linotype" w:hAnsi="Palatino Linotype" w:cs="Arial"/>
          <w:sz w:val="24"/>
          <w:szCs w:val="24"/>
          <w:lang w:val="en-US"/>
        </w:rPr>
        <w:t xml:space="preserve"> </w:t>
      </w:r>
      <w:r w:rsidR="00401A72" w:rsidRPr="00EB2CD4">
        <w:rPr>
          <w:rFonts w:ascii="Palatino Linotype" w:hAnsi="Palatino Linotype" w:cs="Arial"/>
          <w:sz w:val="24"/>
          <w:szCs w:val="24"/>
          <w:lang w:val="en-US"/>
        </w:rPr>
        <w:t>can slow progress and foster an atmosphere of distrust.</w:t>
      </w:r>
      <w:r w:rsidR="00BB12F2" w:rsidRPr="00EB2CD4">
        <w:rPr>
          <w:rFonts w:ascii="Palatino Linotype" w:hAnsi="Palatino Linotype" w:cs="Arial"/>
          <w:sz w:val="24"/>
          <w:szCs w:val="24"/>
          <w:lang w:val="en-US"/>
        </w:rPr>
        <w:t xml:space="preserve"> A negative atmosphere can be exacerbated if </w:t>
      </w:r>
      <w:r w:rsidR="0072438C" w:rsidRPr="00EB2CD4">
        <w:rPr>
          <w:rFonts w:ascii="Palatino Linotype" w:hAnsi="Palatino Linotype" w:cs="Arial"/>
          <w:sz w:val="24"/>
          <w:szCs w:val="24"/>
          <w:lang w:val="en-US"/>
        </w:rPr>
        <w:t>individuals</w:t>
      </w:r>
      <w:r w:rsidR="00BB12F2" w:rsidRPr="00EB2CD4">
        <w:rPr>
          <w:rFonts w:ascii="Palatino Linotype" w:hAnsi="Palatino Linotype" w:cs="Arial"/>
          <w:sz w:val="24"/>
          <w:szCs w:val="24"/>
          <w:lang w:val="en-US"/>
        </w:rPr>
        <w:t xml:space="preserve"> sense they</w:t>
      </w:r>
      <w:r w:rsidR="0072438C" w:rsidRPr="00EB2CD4">
        <w:rPr>
          <w:rFonts w:ascii="Palatino Linotype" w:hAnsi="Palatino Linotype" w:cs="Arial"/>
          <w:sz w:val="24"/>
          <w:szCs w:val="24"/>
          <w:lang w:val="en-US"/>
        </w:rPr>
        <w:t xml:space="preserve">/their institutions </w:t>
      </w:r>
      <w:r w:rsidR="00BB12F2" w:rsidRPr="00EB2CD4">
        <w:rPr>
          <w:rFonts w:ascii="Palatino Linotype" w:hAnsi="Palatino Linotype" w:cs="Arial"/>
          <w:sz w:val="24"/>
          <w:szCs w:val="24"/>
          <w:lang w:val="en-US"/>
        </w:rPr>
        <w:t>are viewed as having a ‘lower status’</w:t>
      </w:r>
      <w:r w:rsidR="0072438C" w:rsidRPr="00EB2CD4">
        <w:rPr>
          <w:rFonts w:ascii="Palatino Linotype" w:hAnsi="Palatino Linotype" w:cs="Arial"/>
          <w:sz w:val="24"/>
          <w:szCs w:val="24"/>
          <w:lang w:val="en-US"/>
        </w:rPr>
        <w:t xml:space="preserve"> than their fellow collaborators</w:t>
      </w:r>
      <w:r w:rsidR="00883281" w:rsidRPr="00EB2CD4">
        <w:rPr>
          <w:rFonts w:ascii="Palatino Linotype" w:hAnsi="Palatino Linotype" w:cs="Arial"/>
          <w:sz w:val="24"/>
          <w:szCs w:val="24"/>
          <w:lang w:val="en-US"/>
        </w:rPr>
        <w:t>, or territorialism exists (</w:t>
      </w:r>
      <w:r w:rsidR="00BB12F2" w:rsidRPr="00EB2CD4">
        <w:rPr>
          <w:rFonts w:ascii="Palatino Linotype" w:hAnsi="Palatino Linotype" w:cs="Arial"/>
          <w:sz w:val="24"/>
          <w:szCs w:val="24"/>
          <w:lang w:val="en-US"/>
        </w:rPr>
        <w:t xml:space="preserve">because collaborators may be rivals in other </w:t>
      </w:r>
      <w:r w:rsidR="0072438C" w:rsidRPr="00EB2CD4">
        <w:rPr>
          <w:rFonts w:ascii="Palatino Linotype" w:hAnsi="Palatino Linotype" w:cs="Arial"/>
          <w:sz w:val="24"/>
          <w:szCs w:val="24"/>
          <w:lang w:val="en-US"/>
        </w:rPr>
        <w:t>respects</w:t>
      </w:r>
      <w:r w:rsidR="00BB12F2" w:rsidRPr="00EB2CD4">
        <w:rPr>
          <w:rFonts w:ascii="Palatino Linotype" w:hAnsi="Palatino Linotype" w:cs="Arial"/>
          <w:sz w:val="24"/>
          <w:szCs w:val="24"/>
          <w:lang w:val="en-US"/>
        </w:rPr>
        <w:t xml:space="preserve"> e.g. competing for funding, staff or students).  </w:t>
      </w:r>
    </w:p>
    <w:p w14:paraId="2C5053DD" w14:textId="744C83C2" w:rsidR="00802B68" w:rsidRPr="00EB2CD4" w:rsidRDefault="00295197"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At </w:t>
      </w:r>
      <w:r w:rsidR="001F56E3" w:rsidRPr="00EB2CD4">
        <w:rPr>
          <w:rFonts w:ascii="Palatino Linotype" w:hAnsi="Palatino Linotype" w:cs="Arial"/>
          <w:sz w:val="24"/>
          <w:szCs w:val="24"/>
        </w:rPr>
        <w:t xml:space="preserve">their </w:t>
      </w:r>
      <w:r w:rsidRPr="00EB2CD4">
        <w:rPr>
          <w:rFonts w:ascii="Palatino Linotype" w:hAnsi="Palatino Linotype" w:cs="Arial"/>
          <w:sz w:val="24"/>
          <w:szCs w:val="24"/>
        </w:rPr>
        <w:t xml:space="preserve">worst, joint PLE projects can leave you feeling exhausted, </w:t>
      </w:r>
      <w:r w:rsidR="00D10A2F" w:rsidRPr="00EB2CD4">
        <w:rPr>
          <w:rFonts w:ascii="Palatino Linotype" w:hAnsi="Palatino Linotype" w:cs="Arial"/>
          <w:sz w:val="24"/>
          <w:szCs w:val="24"/>
        </w:rPr>
        <w:t xml:space="preserve">overworked </w:t>
      </w:r>
      <w:r w:rsidRPr="00EB2CD4">
        <w:rPr>
          <w:rFonts w:ascii="Palatino Linotype" w:hAnsi="Palatino Linotype" w:cs="Arial"/>
          <w:sz w:val="24"/>
          <w:szCs w:val="24"/>
        </w:rPr>
        <w:t>and undervalued</w:t>
      </w:r>
      <w:r w:rsidR="004D0D3D" w:rsidRPr="00EB2CD4">
        <w:rPr>
          <w:rFonts w:ascii="Palatino Linotype" w:hAnsi="Palatino Linotype" w:cs="Arial"/>
          <w:sz w:val="24"/>
          <w:szCs w:val="24"/>
        </w:rPr>
        <w:t xml:space="preserve">, </w:t>
      </w:r>
      <w:r w:rsidRPr="00EB2CD4">
        <w:rPr>
          <w:rFonts w:ascii="Palatino Linotype" w:hAnsi="Palatino Linotype" w:cs="Arial"/>
          <w:sz w:val="24"/>
          <w:szCs w:val="24"/>
        </w:rPr>
        <w:t>and concerned that your own and your institution’s</w:t>
      </w:r>
      <w:r w:rsidR="00DA3730" w:rsidRPr="00EB2CD4">
        <w:rPr>
          <w:rFonts w:ascii="Palatino Linotype" w:hAnsi="Palatino Linotype" w:cs="Arial"/>
          <w:sz w:val="24"/>
          <w:szCs w:val="24"/>
        </w:rPr>
        <w:t xml:space="preserve"> reputation </w:t>
      </w:r>
      <w:r w:rsidRPr="00EB2CD4">
        <w:rPr>
          <w:rFonts w:ascii="Palatino Linotype" w:hAnsi="Palatino Linotype" w:cs="Arial"/>
          <w:sz w:val="24"/>
          <w:szCs w:val="24"/>
        </w:rPr>
        <w:t>will be</w:t>
      </w:r>
      <w:r w:rsidR="00DA3730" w:rsidRPr="00EB2CD4">
        <w:rPr>
          <w:rFonts w:ascii="Palatino Linotype" w:hAnsi="Palatino Linotype" w:cs="Arial"/>
          <w:sz w:val="24"/>
          <w:szCs w:val="24"/>
        </w:rPr>
        <w:t xml:space="preserve"> marred by inconsistent quality </w:t>
      </w:r>
      <w:r w:rsidRPr="00EB2CD4">
        <w:rPr>
          <w:rFonts w:ascii="Palatino Linotype" w:hAnsi="Palatino Linotype" w:cs="Arial"/>
          <w:sz w:val="24"/>
          <w:szCs w:val="24"/>
        </w:rPr>
        <w:t xml:space="preserve">in project delivery. </w:t>
      </w:r>
      <w:r w:rsidR="004752D4" w:rsidRPr="00EB2CD4">
        <w:rPr>
          <w:rFonts w:ascii="Palatino Linotype" w:hAnsi="Palatino Linotype" w:cs="Arial"/>
          <w:sz w:val="24"/>
          <w:szCs w:val="24"/>
        </w:rPr>
        <w:t>To make sure you reap the benefits</w:t>
      </w:r>
      <w:r w:rsidR="00401A72" w:rsidRPr="00EB2CD4">
        <w:rPr>
          <w:rFonts w:ascii="Palatino Linotype" w:hAnsi="Palatino Linotype" w:cs="Arial"/>
          <w:sz w:val="24"/>
          <w:szCs w:val="24"/>
        </w:rPr>
        <w:t xml:space="preserve"> </w:t>
      </w:r>
      <w:r w:rsidR="00246622" w:rsidRPr="00EB2CD4">
        <w:rPr>
          <w:rFonts w:ascii="Palatino Linotype" w:hAnsi="Palatino Linotype" w:cs="Arial"/>
          <w:sz w:val="24"/>
          <w:szCs w:val="24"/>
        </w:rPr>
        <w:t>that</w:t>
      </w:r>
      <w:r w:rsidR="00401A72" w:rsidRPr="00EB2CD4">
        <w:rPr>
          <w:rFonts w:ascii="Palatino Linotype" w:hAnsi="Palatino Linotype" w:cs="Arial"/>
          <w:sz w:val="24"/>
          <w:szCs w:val="24"/>
        </w:rPr>
        <w:t xml:space="preserve"> a</w:t>
      </w:r>
      <w:r w:rsidR="00E95DB4" w:rsidRPr="00EB2CD4">
        <w:rPr>
          <w:rFonts w:ascii="Palatino Linotype" w:hAnsi="Palatino Linotype" w:cs="Arial"/>
          <w:sz w:val="24"/>
          <w:szCs w:val="24"/>
        </w:rPr>
        <w:t xml:space="preserve"> collaborative </w:t>
      </w:r>
      <w:r w:rsidR="00401A72" w:rsidRPr="00EB2CD4">
        <w:rPr>
          <w:rFonts w:ascii="Palatino Linotype" w:hAnsi="Palatino Linotype" w:cs="Arial"/>
          <w:sz w:val="24"/>
          <w:szCs w:val="24"/>
        </w:rPr>
        <w:t xml:space="preserve">PLE project can afford, and </w:t>
      </w:r>
      <w:r w:rsidR="0024632E" w:rsidRPr="00EB2CD4">
        <w:rPr>
          <w:rFonts w:ascii="Palatino Linotype" w:hAnsi="Palatino Linotype" w:cs="Arial"/>
          <w:sz w:val="24"/>
          <w:szCs w:val="24"/>
        </w:rPr>
        <w:t xml:space="preserve">to </w:t>
      </w:r>
      <w:r w:rsidR="00401A72" w:rsidRPr="00EB2CD4">
        <w:rPr>
          <w:rFonts w:ascii="Palatino Linotype" w:hAnsi="Palatino Linotype" w:cs="Arial"/>
          <w:sz w:val="24"/>
          <w:szCs w:val="24"/>
        </w:rPr>
        <w:t>avoid the pitfalls</w:t>
      </w:r>
      <w:r w:rsidR="005F5977" w:rsidRPr="00EB2CD4">
        <w:rPr>
          <w:rFonts w:ascii="Palatino Linotype" w:hAnsi="Palatino Linotype" w:cs="Arial"/>
          <w:sz w:val="24"/>
          <w:szCs w:val="24"/>
        </w:rPr>
        <w:t xml:space="preserve">, </w:t>
      </w:r>
      <w:r w:rsidR="008C7277" w:rsidRPr="00EB2CD4">
        <w:rPr>
          <w:rFonts w:ascii="Palatino Linotype" w:hAnsi="Palatino Linotype" w:cs="Arial"/>
          <w:sz w:val="24"/>
          <w:szCs w:val="24"/>
        </w:rPr>
        <w:t xml:space="preserve">we set out below </w:t>
      </w:r>
      <w:r w:rsidR="008F7733" w:rsidRPr="00EB2CD4">
        <w:rPr>
          <w:rFonts w:ascii="Palatino Linotype" w:hAnsi="Palatino Linotype" w:cs="Arial"/>
          <w:sz w:val="24"/>
          <w:szCs w:val="24"/>
        </w:rPr>
        <w:t>BPP’s</w:t>
      </w:r>
      <w:r w:rsidR="005F5977" w:rsidRPr="00EB2CD4">
        <w:rPr>
          <w:rFonts w:ascii="Palatino Linotype" w:hAnsi="Palatino Linotype" w:cs="Arial"/>
          <w:sz w:val="24"/>
          <w:szCs w:val="24"/>
        </w:rPr>
        <w:t xml:space="preserve"> top</w:t>
      </w:r>
      <w:r w:rsidR="00794A4F" w:rsidRPr="00EB2CD4">
        <w:rPr>
          <w:rFonts w:ascii="Palatino Linotype" w:hAnsi="Palatino Linotype" w:cs="Arial"/>
          <w:sz w:val="24"/>
          <w:szCs w:val="24"/>
        </w:rPr>
        <w:t xml:space="preserve"> 5</w:t>
      </w:r>
      <w:r w:rsidR="005F5977" w:rsidRPr="00EB2CD4">
        <w:rPr>
          <w:rFonts w:ascii="Palatino Linotype" w:hAnsi="Palatino Linotype" w:cs="Arial"/>
          <w:sz w:val="24"/>
          <w:szCs w:val="24"/>
        </w:rPr>
        <w:t xml:space="preserve"> tips for keeping your col</w:t>
      </w:r>
      <w:r w:rsidR="00802B68" w:rsidRPr="00EB2CD4">
        <w:rPr>
          <w:rFonts w:ascii="Palatino Linotype" w:hAnsi="Palatino Linotype" w:cs="Arial"/>
          <w:sz w:val="24"/>
          <w:szCs w:val="24"/>
        </w:rPr>
        <w:t>laborative PLE project on track.</w:t>
      </w:r>
    </w:p>
    <w:p w14:paraId="42D954D8" w14:textId="77777777" w:rsidR="00261954" w:rsidRPr="00EB2CD4" w:rsidRDefault="00261954" w:rsidP="004303D6">
      <w:pPr>
        <w:pStyle w:val="ListParagraph"/>
        <w:numPr>
          <w:ilvl w:val="0"/>
          <w:numId w:val="17"/>
        </w:numPr>
        <w:spacing w:line="480" w:lineRule="auto"/>
        <w:jc w:val="both"/>
        <w:rPr>
          <w:rFonts w:ascii="Palatino Linotype" w:hAnsi="Palatino Linotype" w:cs="Arial"/>
          <w:b/>
          <w:sz w:val="24"/>
          <w:szCs w:val="24"/>
        </w:rPr>
      </w:pPr>
      <w:r w:rsidRPr="00EB2CD4">
        <w:rPr>
          <w:rFonts w:ascii="Palatino Linotype" w:hAnsi="Palatino Linotype" w:cs="Arial"/>
          <w:b/>
          <w:sz w:val="24"/>
          <w:szCs w:val="24"/>
        </w:rPr>
        <w:t>Agree a set of share</w:t>
      </w:r>
      <w:r w:rsidR="009D46ED" w:rsidRPr="00EB2CD4">
        <w:rPr>
          <w:rFonts w:ascii="Palatino Linotype" w:hAnsi="Palatino Linotype" w:cs="Arial"/>
          <w:b/>
          <w:sz w:val="24"/>
          <w:szCs w:val="24"/>
        </w:rPr>
        <w:t>d</w:t>
      </w:r>
      <w:r w:rsidRPr="00EB2CD4">
        <w:rPr>
          <w:rFonts w:ascii="Palatino Linotype" w:hAnsi="Palatino Linotype" w:cs="Arial"/>
          <w:b/>
          <w:sz w:val="24"/>
          <w:szCs w:val="24"/>
        </w:rPr>
        <w:t xml:space="preserve"> </w:t>
      </w:r>
      <w:r w:rsidR="001978E7" w:rsidRPr="00EB2CD4">
        <w:rPr>
          <w:rFonts w:ascii="Palatino Linotype" w:hAnsi="Palatino Linotype" w:cs="Arial"/>
          <w:b/>
          <w:sz w:val="24"/>
          <w:szCs w:val="24"/>
        </w:rPr>
        <w:t>goals</w:t>
      </w:r>
      <w:r w:rsidRPr="00EB2CD4">
        <w:rPr>
          <w:rFonts w:ascii="Palatino Linotype" w:hAnsi="Palatino Linotype" w:cs="Arial"/>
          <w:b/>
          <w:sz w:val="24"/>
          <w:szCs w:val="24"/>
        </w:rPr>
        <w:t xml:space="preserve"> and values at the outset</w:t>
      </w:r>
      <w:r w:rsidR="00A5057D" w:rsidRPr="00EB2CD4">
        <w:rPr>
          <w:rFonts w:ascii="Palatino Linotype" w:hAnsi="Palatino Linotype" w:cs="Arial"/>
          <w:b/>
          <w:sz w:val="24"/>
          <w:szCs w:val="24"/>
        </w:rPr>
        <w:t xml:space="preserve"> </w:t>
      </w:r>
    </w:p>
    <w:p w14:paraId="2698BEEF" w14:textId="0EB679EA" w:rsidR="002077A6" w:rsidRPr="00EB2CD4" w:rsidRDefault="00385299"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Mattessich and Monsey (1992) </w:t>
      </w:r>
      <w:r w:rsidR="00091D15" w:rsidRPr="00EB2CD4">
        <w:rPr>
          <w:rFonts w:ascii="Palatino Linotype" w:hAnsi="Palatino Linotype" w:cs="Arial"/>
          <w:sz w:val="24"/>
          <w:szCs w:val="24"/>
        </w:rPr>
        <w:t>identify</w:t>
      </w:r>
      <w:r w:rsidRPr="00EB2CD4">
        <w:rPr>
          <w:rFonts w:ascii="Palatino Linotype" w:hAnsi="Palatino Linotype" w:cs="Arial"/>
          <w:sz w:val="24"/>
          <w:szCs w:val="24"/>
        </w:rPr>
        <w:t xml:space="preserve"> a shared vision, </w:t>
      </w:r>
      <w:r w:rsidR="00853DE5" w:rsidRPr="00EB2CD4">
        <w:rPr>
          <w:rFonts w:ascii="Palatino Linotype" w:hAnsi="Palatino Linotype" w:cs="Arial"/>
          <w:sz w:val="24"/>
          <w:szCs w:val="24"/>
        </w:rPr>
        <w:t>with clearly agreed upon objectives</w:t>
      </w:r>
      <w:r w:rsidRPr="00EB2CD4">
        <w:rPr>
          <w:rFonts w:ascii="Palatino Linotype" w:hAnsi="Palatino Linotype" w:cs="Arial"/>
          <w:sz w:val="24"/>
          <w:szCs w:val="24"/>
        </w:rPr>
        <w:t>,</w:t>
      </w:r>
      <w:r w:rsidR="00853DE5" w:rsidRPr="00EB2CD4">
        <w:rPr>
          <w:rFonts w:ascii="Palatino Linotype" w:hAnsi="Palatino Linotype" w:cs="Arial"/>
          <w:sz w:val="24"/>
          <w:szCs w:val="24"/>
        </w:rPr>
        <w:t xml:space="preserve"> as a key factor influencing the success of collaboration. </w:t>
      </w:r>
      <w:r w:rsidR="0014309D" w:rsidRPr="00EB2CD4">
        <w:rPr>
          <w:rFonts w:ascii="Palatino Linotype" w:hAnsi="Palatino Linotype" w:cs="Arial"/>
          <w:sz w:val="24"/>
          <w:szCs w:val="24"/>
        </w:rPr>
        <w:t>Vangen and Huxham (2003)</w:t>
      </w:r>
      <w:r w:rsidR="00C55C73" w:rsidRPr="00EB2CD4">
        <w:rPr>
          <w:rStyle w:val="FootnoteReference"/>
          <w:rFonts w:ascii="Palatino Linotype" w:hAnsi="Palatino Linotype" w:cs="Arial"/>
          <w:sz w:val="24"/>
          <w:szCs w:val="24"/>
        </w:rPr>
        <w:footnoteReference w:id="6"/>
      </w:r>
      <w:r w:rsidR="00C55C73" w:rsidRPr="00EB2CD4">
        <w:rPr>
          <w:rFonts w:ascii="Palatino Linotype" w:hAnsi="Palatino Linotype" w:cs="Arial"/>
          <w:sz w:val="24"/>
          <w:szCs w:val="24"/>
        </w:rPr>
        <w:t xml:space="preserve"> </w:t>
      </w:r>
      <w:r w:rsidR="0014309D" w:rsidRPr="00EB2CD4">
        <w:rPr>
          <w:rFonts w:ascii="Palatino Linotype" w:hAnsi="Palatino Linotype" w:cs="Arial"/>
          <w:sz w:val="24"/>
          <w:szCs w:val="24"/>
        </w:rPr>
        <w:t xml:space="preserve">argue that the differing resources that provide potential for collaborative advantage are, in fact, often a result of differences in organisational purpose. Therefore, organisations having different reasons for wanting to collaborate is not just a likelihood, but to be expected. </w:t>
      </w:r>
      <w:r w:rsidR="00166523" w:rsidRPr="00EB2CD4">
        <w:rPr>
          <w:rFonts w:ascii="Palatino Linotype" w:hAnsi="Palatino Linotype" w:cs="Arial"/>
          <w:sz w:val="24"/>
          <w:szCs w:val="24"/>
        </w:rPr>
        <w:t xml:space="preserve">For example, </w:t>
      </w:r>
      <w:r w:rsidR="00932E9F" w:rsidRPr="00EB2CD4">
        <w:rPr>
          <w:rFonts w:ascii="Palatino Linotype" w:hAnsi="Palatino Linotype" w:cs="Arial"/>
          <w:sz w:val="24"/>
          <w:szCs w:val="24"/>
        </w:rPr>
        <w:t>Drummond and McKeever</w:t>
      </w:r>
      <w:r w:rsidRPr="00EB2CD4">
        <w:rPr>
          <w:rFonts w:ascii="Palatino Linotype" w:hAnsi="Palatino Linotype" w:cs="Arial"/>
          <w:sz w:val="24"/>
          <w:szCs w:val="24"/>
        </w:rPr>
        <w:t xml:space="preserve"> (2015)</w:t>
      </w:r>
      <w:r w:rsidR="00932E9F" w:rsidRPr="00EB2CD4">
        <w:rPr>
          <w:rFonts w:ascii="Palatino Linotype" w:hAnsi="Palatino Linotype" w:cs="Arial"/>
          <w:sz w:val="24"/>
          <w:szCs w:val="24"/>
        </w:rPr>
        <w:t xml:space="preserve"> report </w:t>
      </w:r>
      <w:r w:rsidR="00261954" w:rsidRPr="00EB2CD4">
        <w:rPr>
          <w:rFonts w:ascii="Palatino Linotype" w:hAnsi="Palatino Linotype" w:cs="Arial"/>
          <w:sz w:val="24"/>
          <w:szCs w:val="24"/>
        </w:rPr>
        <w:t xml:space="preserve">contributing to their organisation’s </w:t>
      </w:r>
      <w:r w:rsidR="00932E9F" w:rsidRPr="00EB2CD4">
        <w:rPr>
          <w:rFonts w:ascii="Palatino Linotype" w:hAnsi="Palatino Linotype" w:cs="Arial"/>
          <w:sz w:val="24"/>
          <w:szCs w:val="24"/>
        </w:rPr>
        <w:t xml:space="preserve">corporate social responsibilities as a </w:t>
      </w:r>
      <w:r w:rsidR="00932E9F" w:rsidRPr="00EB2CD4">
        <w:rPr>
          <w:rFonts w:ascii="Palatino Linotype" w:hAnsi="Palatino Linotype" w:cs="Arial"/>
          <w:sz w:val="24"/>
          <w:szCs w:val="24"/>
        </w:rPr>
        <w:lastRenderedPageBreak/>
        <w:t>key driver for private corporations collaborating with university law clinics</w:t>
      </w:r>
      <w:r w:rsidR="0014309D" w:rsidRPr="00EB2CD4">
        <w:rPr>
          <w:rFonts w:ascii="Palatino Linotype" w:hAnsi="Palatino Linotype" w:cs="Arial"/>
          <w:sz w:val="24"/>
          <w:szCs w:val="24"/>
        </w:rPr>
        <w:t>;</w:t>
      </w:r>
      <w:r w:rsidR="00091D15" w:rsidRPr="00EB2CD4">
        <w:rPr>
          <w:rFonts w:ascii="Palatino Linotype" w:hAnsi="Palatino Linotype" w:cs="Arial"/>
          <w:sz w:val="24"/>
          <w:szCs w:val="24"/>
        </w:rPr>
        <w:t xml:space="preserve"> </w:t>
      </w:r>
      <w:r w:rsidR="00663E41" w:rsidRPr="00EB2CD4">
        <w:rPr>
          <w:rFonts w:ascii="Palatino Linotype" w:hAnsi="Palatino Linotype" w:cs="Arial"/>
          <w:sz w:val="24"/>
          <w:szCs w:val="24"/>
        </w:rPr>
        <w:t xml:space="preserve">the </w:t>
      </w:r>
      <w:r w:rsidR="00091D15" w:rsidRPr="00EB2CD4">
        <w:rPr>
          <w:rFonts w:ascii="Palatino Linotype" w:hAnsi="Palatino Linotype" w:cs="Arial"/>
          <w:sz w:val="24"/>
          <w:szCs w:val="24"/>
        </w:rPr>
        <w:t>universities themselves may be</w:t>
      </w:r>
      <w:r w:rsidR="00166523" w:rsidRPr="00EB2CD4">
        <w:rPr>
          <w:rFonts w:ascii="Palatino Linotype" w:hAnsi="Palatino Linotype" w:cs="Arial"/>
          <w:sz w:val="24"/>
          <w:szCs w:val="24"/>
        </w:rPr>
        <w:t xml:space="preserve"> more</w:t>
      </w:r>
      <w:r w:rsidR="00091D15" w:rsidRPr="00EB2CD4">
        <w:rPr>
          <w:rFonts w:ascii="Palatino Linotype" w:hAnsi="Palatino Linotype" w:cs="Arial"/>
          <w:sz w:val="24"/>
          <w:szCs w:val="24"/>
        </w:rPr>
        <w:t xml:space="preserve"> focussed on </w:t>
      </w:r>
      <w:r w:rsidR="00663E41" w:rsidRPr="00EB2CD4">
        <w:rPr>
          <w:rFonts w:ascii="Palatino Linotype" w:hAnsi="Palatino Linotype" w:cs="Arial"/>
          <w:sz w:val="24"/>
          <w:szCs w:val="24"/>
        </w:rPr>
        <w:t xml:space="preserve">raising their </w:t>
      </w:r>
      <w:r w:rsidR="00166523" w:rsidRPr="00EB2CD4">
        <w:rPr>
          <w:rFonts w:ascii="Palatino Linotype" w:hAnsi="Palatino Linotype" w:cs="Arial"/>
          <w:sz w:val="24"/>
          <w:szCs w:val="24"/>
        </w:rPr>
        <w:t xml:space="preserve">institutions’ and </w:t>
      </w:r>
      <w:r w:rsidR="00663E41" w:rsidRPr="00EB2CD4">
        <w:rPr>
          <w:rFonts w:ascii="Palatino Linotype" w:hAnsi="Palatino Linotype" w:cs="Arial"/>
          <w:sz w:val="24"/>
          <w:szCs w:val="24"/>
        </w:rPr>
        <w:t xml:space="preserve">students’ profile within </w:t>
      </w:r>
      <w:r w:rsidR="00091D15" w:rsidRPr="00EB2CD4">
        <w:rPr>
          <w:rFonts w:ascii="Palatino Linotype" w:hAnsi="Palatino Linotype" w:cs="Arial"/>
          <w:sz w:val="24"/>
          <w:szCs w:val="24"/>
        </w:rPr>
        <w:t xml:space="preserve">the legal </w:t>
      </w:r>
      <w:r w:rsidR="00663E41" w:rsidRPr="00EB2CD4">
        <w:rPr>
          <w:rFonts w:ascii="Palatino Linotype" w:hAnsi="Palatino Linotype" w:cs="Arial"/>
          <w:sz w:val="24"/>
          <w:szCs w:val="24"/>
        </w:rPr>
        <w:t>market</w:t>
      </w:r>
      <w:r w:rsidR="00166523" w:rsidRPr="00EB2CD4">
        <w:rPr>
          <w:rFonts w:ascii="Palatino Linotype" w:hAnsi="Palatino Linotype" w:cs="Arial"/>
          <w:sz w:val="24"/>
          <w:szCs w:val="24"/>
        </w:rPr>
        <w:t>,</w:t>
      </w:r>
      <w:r w:rsidR="00091D15" w:rsidRPr="00EB2CD4">
        <w:rPr>
          <w:rFonts w:ascii="Palatino Linotype" w:hAnsi="Palatino Linotype" w:cs="Arial"/>
          <w:sz w:val="24"/>
          <w:szCs w:val="24"/>
        </w:rPr>
        <w:t xml:space="preserve"> </w:t>
      </w:r>
      <w:r w:rsidR="00663E41" w:rsidRPr="00EB2CD4">
        <w:rPr>
          <w:rFonts w:ascii="Palatino Linotype" w:hAnsi="Palatino Linotype" w:cs="Arial"/>
          <w:sz w:val="24"/>
          <w:szCs w:val="24"/>
        </w:rPr>
        <w:t>and</w:t>
      </w:r>
      <w:r w:rsidR="00091D15" w:rsidRPr="00EB2CD4">
        <w:rPr>
          <w:rFonts w:ascii="Palatino Linotype" w:hAnsi="Palatino Linotype" w:cs="Arial"/>
          <w:sz w:val="24"/>
          <w:szCs w:val="24"/>
        </w:rPr>
        <w:t xml:space="preserve"> </w:t>
      </w:r>
      <w:r w:rsidR="0014309D" w:rsidRPr="00EB2CD4">
        <w:rPr>
          <w:rFonts w:ascii="Palatino Linotype" w:hAnsi="Palatino Linotype" w:cs="Arial"/>
          <w:sz w:val="24"/>
          <w:szCs w:val="24"/>
        </w:rPr>
        <w:t>improving graduate outcomes.</w:t>
      </w:r>
    </w:p>
    <w:p w14:paraId="4CE18FD8" w14:textId="45D15D6F" w:rsidR="001978E7" w:rsidRPr="00EB2CD4" w:rsidRDefault="00883281"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Institutional</w:t>
      </w:r>
      <w:r w:rsidR="002077A6" w:rsidRPr="00EB2CD4">
        <w:rPr>
          <w:rFonts w:ascii="Palatino Linotype" w:hAnsi="Palatino Linotype" w:cs="Arial"/>
          <w:sz w:val="24"/>
          <w:szCs w:val="24"/>
        </w:rPr>
        <w:t xml:space="preserve"> and individual agendas may be different, but it does not mean they are incompatible. </w:t>
      </w:r>
      <w:r w:rsidR="009A6C8C" w:rsidRPr="00EB2CD4">
        <w:rPr>
          <w:rFonts w:ascii="Palatino Linotype" w:hAnsi="Palatino Linotype" w:cs="Arial"/>
          <w:sz w:val="24"/>
          <w:szCs w:val="24"/>
        </w:rPr>
        <w:t>I</w:t>
      </w:r>
      <w:r w:rsidR="00261954" w:rsidRPr="00EB2CD4">
        <w:rPr>
          <w:rFonts w:ascii="Palatino Linotype" w:hAnsi="Palatino Linotype" w:cs="Arial"/>
          <w:sz w:val="24"/>
          <w:szCs w:val="24"/>
        </w:rPr>
        <w:t xml:space="preserve">t is </w:t>
      </w:r>
      <w:r w:rsidR="009A6C8C" w:rsidRPr="00EB2CD4">
        <w:rPr>
          <w:rFonts w:ascii="Palatino Linotype" w:hAnsi="Palatino Linotype" w:cs="Arial"/>
          <w:sz w:val="24"/>
          <w:szCs w:val="24"/>
        </w:rPr>
        <w:t>important</w:t>
      </w:r>
      <w:r w:rsidR="002077A6" w:rsidRPr="00EB2CD4">
        <w:rPr>
          <w:rFonts w:ascii="Palatino Linotype" w:hAnsi="Palatino Linotype" w:cs="Arial"/>
          <w:sz w:val="24"/>
          <w:szCs w:val="24"/>
        </w:rPr>
        <w:t xml:space="preserve"> </w:t>
      </w:r>
      <w:r w:rsidR="000505D6" w:rsidRPr="00EB2CD4">
        <w:rPr>
          <w:rFonts w:ascii="Palatino Linotype" w:hAnsi="Palatino Linotype" w:cs="Arial"/>
          <w:sz w:val="24"/>
          <w:szCs w:val="24"/>
        </w:rPr>
        <w:t xml:space="preserve">that all collaborators are </w:t>
      </w:r>
      <w:r w:rsidR="002077A6" w:rsidRPr="00EB2CD4">
        <w:rPr>
          <w:rFonts w:ascii="Palatino Linotype" w:hAnsi="Palatino Linotype" w:cs="Arial"/>
          <w:sz w:val="24"/>
          <w:szCs w:val="24"/>
        </w:rPr>
        <w:t xml:space="preserve">as </w:t>
      </w:r>
      <w:r w:rsidR="009A6C8C" w:rsidRPr="00EB2CD4">
        <w:rPr>
          <w:rFonts w:ascii="Palatino Linotype" w:hAnsi="Palatino Linotype" w:cs="Arial"/>
          <w:sz w:val="24"/>
          <w:szCs w:val="24"/>
        </w:rPr>
        <w:t>honest</w:t>
      </w:r>
      <w:r w:rsidR="00261954" w:rsidRPr="00EB2CD4">
        <w:rPr>
          <w:rFonts w:ascii="Palatino Linotype" w:hAnsi="Palatino Linotype" w:cs="Arial"/>
          <w:sz w:val="24"/>
          <w:szCs w:val="24"/>
        </w:rPr>
        <w:t xml:space="preserve"> </w:t>
      </w:r>
      <w:r w:rsidR="002077A6" w:rsidRPr="00EB2CD4">
        <w:rPr>
          <w:rFonts w:ascii="Palatino Linotype" w:hAnsi="Palatino Linotype" w:cs="Arial"/>
          <w:sz w:val="24"/>
          <w:szCs w:val="24"/>
        </w:rPr>
        <w:t xml:space="preserve">as they can be </w:t>
      </w:r>
      <w:r w:rsidR="000505D6" w:rsidRPr="00EB2CD4">
        <w:rPr>
          <w:rFonts w:ascii="Palatino Linotype" w:hAnsi="Palatino Linotype" w:cs="Arial"/>
          <w:sz w:val="24"/>
          <w:szCs w:val="24"/>
        </w:rPr>
        <w:t xml:space="preserve">about </w:t>
      </w:r>
      <w:r w:rsidR="00756F47" w:rsidRPr="00EB2CD4">
        <w:rPr>
          <w:rFonts w:ascii="Palatino Linotype" w:hAnsi="Palatino Linotype" w:cs="Arial"/>
          <w:sz w:val="24"/>
          <w:szCs w:val="24"/>
        </w:rPr>
        <w:t>what they</w:t>
      </w:r>
      <w:r w:rsidR="000505D6" w:rsidRPr="00EB2CD4">
        <w:rPr>
          <w:rFonts w:ascii="Palatino Linotype" w:hAnsi="Palatino Linotype" w:cs="Arial"/>
          <w:sz w:val="24"/>
          <w:szCs w:val="24"/>
        </w:rPr>
        <w:t>/their</w:t>
      </w:r>
      <w:r w:rsidR="006A4F45" w:rsidRPr="00EB2CD4">
        <w:rPr>
          <w:rFonts w:ascii="Palatino Linotype" w:hAnsi="Palatino Linotype" w:cs="Arial"/>
          <w:sz w:val="24"/>
          <w:szCs w:val="24"/>
        </w:rPr>
        <w:t xml:space="preserve"> institutions</w:t>
      </w:r>
      <w:r w:rsidR="00756F47" w:rsidRPr="00EB2CD4">
        <w:rPr>
          <w:rFonts w:ascii="Palatino Linotype" w:hAnsi="Palatino Linotype" w:cs="Arial"/>
          <w:sz w:val="24"/>
          <w:szCs w:val="24"/>
        </w:rPr>
        <w:t xml:space="preserve"> </w:t>
      </w:r>
      <w:r w:rsidR="00853DE5" w:rsidRPr="00EB2CD4">
        <w:rPr>
          <w:rFonts w:ascii="Palatino Linotype" w:hAnsi="Palatino Linotype" w:cs="Arial"/>
          <w:sz w:val="24"/>
          <w:szCs w:val="24"/>
        </w:rPr>
        <w:t xml:space="preserve">are prepared to invest in the alliance </w:t>
      </w:r>
      <w:r w:rsidR="002D5CFF" w:rsidRPr="00EB2CD4">
        <w:rPr>
          <w:rFonts w:ascii="Palatino Linotype" w:hAnsi="Palatino Linotype" w:cs="Arial"/>
          <w:sz w:val="24"/>
          <w:szCs w:val="24"/>
        </w:rPr>
        <w:t xml:space="preserve">(e.g. finance; human resource) </w:t>
      </w:r>
      <w:r w:rsidR="00853DE5" w:rsidRPr="00EB2CD4">
        <w:rPr>
          <w:rFonts w:ascii="Palatino Linotype" w:hAnsi="Palatino Linotype" w:cs="Arial"/>
          <w:sz w:val="24"/>
          <w:szCs w:val="24"/>
        </w:rPr>
        <w:t xml:space="preserve">and what they </w:t>
      </w:r>
      <w:r w:rsidR="00756F47" w:rsidRPr="00EB2CD4">
        <w:rPr>
          <w:rFonts w:ascii="Palatino Linotype" w:hAnsi="Palatino Linotype" w:cs="Arial"/>
          <w:sz w:val="24"/>
          <w:szCs w:val="24"/>
        </w:rPr>
        <w:t xml:space="preserve">hope to gain from </w:t>
      </w:r>
      <w:r w:rsidR="00853DE5" w:rsidRPr="00EB2CD4">
        <w:rPr>
          <w:rFonts w:ascii="Palatino Linotype" w:hAnsi="Palatino Linotype" w:cs="Arial"/>
          <w:sz w:val="24"/>
          <w:szCs w:val="24"/>
        </w:rPr>
        <w:t>it</w:t>
      </w:r>
      <w:r w:rsidR="00756F47" w:rsidRPr="00EB2CD4">
        <w:rPr>
          <w:rFonts w:ascii="Palatino Linotype" w:hAnsi="Palatino Linotype" w:cs="Arial"/>
          <w:sz w:val="24"/>
          <w:szCs w:val="24"/>
        </w:rPr>
        <w:t xml:space="preserve">. </w:t>
      </w:r>
      <w:r w:rsidR="003E3C0F" w:rsidRPr="00EB2CD4">
        <w:rPr>
          <w:rFonts w:ascii="Palatino Linotype" w:hAnsi="Palatino Linotype" w:cs="Arial"/>
          <w:sz w:val="24"/>
          <w:szCs w:val="24"/>
        </w:rPr>
        <w:t xml:space="preserve">Such honesty can help </w:t>
      </w:r>
      <w:r w:rsidR="00166523" w:rsidRPr="00EB2CD4">
        <w:rPr>
          <w:rFonts w:ascii="Palatino Linotype" w:hAnsi="Palatino Linotype" w:cs="Arial"/>
          <w:sz w:val="24"/>
          <w:szCs w:val="24"/>
        </w:rPr>
        <w:t xml:space="preserve">with </w:t>
      </w:r>
      <w:r w:rsidR="003E3C0F" w:rsidRPr="00EB2CD4">
        <w:rPr>
          <w:rFonts w:ascii="Palatino Linotype" w:hAnsi="Palatino Linotype" w:cs="Arial"/>
          <w:sz w:val="24"/>
          <w:szCs w:val="24"/>
        </w:rPr>
        <w:t xml:space="preserve">trust building, </w:t>
      </w:r>
      <w:r w:rsidR="00853DE5" w:rsidRPr="00EB2CD4">
        <w:rPr>
          <w:rFonts w:ascii="Palatino Linotype" w:hAnsi="Palatino Linotype" w:cs="Arial"/>
          <w:sz w:val="24"/>
          <w:szCs w:val="24"/>
        </w:rPr>
        <w:t xml:space="preserve">and allows parties to consider if the differing </w:t>
      </w:r>
      <w:r w:rsidR="00756F47" w:rsidRPr="00EB2CD4">
        <w:rPr>
          <w:rFonts w:ascii="Palatino Linotype" w:hAnsi="Palatino Linotype" w:cs="Arial"/>
          <w:sz w:val="24"/>
          <w:szCs w:val="24"/>
        </w:rPr>
        <w:t xml:space="preserve">aims </w:t>
      </w:r>
      <w:r w:rsidR="006A4F45" w:rsidRPr="00EB2CD4">
        <w:rPr>
          <w:rFonts w:ascii="Palatino Linotype" w:hAnsi="Palatino Linotype" w:cs="Arial"/>
          <w:sz w:val="24"/>
          <w:szCs w:val="24"/>
        </w:rPr>
        <w:t>can be accommodated</w:t>
      </w:r>
      <w:r w:rsidR="00E30232" w:rsidRPr="00EB2CD4">
        <w:rPr>
          <w:rFonts w:ascii="Palatino Linotype" w:hAnsi="Palatino Linotype" w:cs="Arial"/>
          <w:sz w:val="24"/>
          <w:szCs w:val="24"/>
        </w:rPr>
        <w:t>.</w:t>
      </w:r>
      <w:r w:rsidR="00D34F57" w:rsidRPr="00EB2CD4">
        <w:rPr>
          <w:rFonts w:ascii="Palatino Linotype" w:hAnsi="Palatino Linotype" w:cs="Arial"/>
          <w:sz w:val="24"/>
          <w:szCs w:val="24"/>
        </w:rPr>
        <w:t xml:space="preserve"> If </w:t>
      </w:r>
      <w:r w:rsidR="003E3C0F" w:rsidRPr="00EB2CD4">
        <w:rPr>
          <w:rFonts w:ascii="Palatino Linotype" w:hAnsi="Palatino Linotype" w:cs="Arial"/>
          <w:sz w:val="24"/>
          <w:szCs w:val="24"/>
        </w:rPr>
        <w:t>they cannot</w:t>
      </w:r>
      <w:r w:rsidR="00D34F57" w:rsidRPr="00EB2CD4">
        <w:rPr>
          <w:rFonts w:ascii="Palatino Linotype" w:hAnsi="Palatino Linotype" w:cs="Arial"/>
          <w:sz w:val="24"/>
          <w:szCs w:val="24"/>
        </w:rPr>
        <w:t>, ask yourselves if you should be purs</w:t>
      </w:r>
      <w:r w:rsidR="008B694E" w:rsidRPr="00EB2CD4">
        <w:rPr>
          <w:rFonts w:ascii="Palatino Linotype" w:hAnsi="Palatino Linotype" w:cs="Arial"/>
          <w:sz w:val="24"/>
          <w:szCs w:val="24"/>
        </w:rPr>
        <w:t>u</w:t>
      </w:r>
      <w:r w:rsidR="00D34F57" w:rsidRPr="00EB2CD4">
        <w:rPr>
          <w:rFonts w:ascii="Palatino Linotype" w:hAnsi="Palatino Linotype" w:cs="Arial"/>
          <w:sz w:val="24"/>
          <w:szCs w:val="24"/>
        </w:rPr>
        <w:t xml:space="preserve">ing this particular </w:t>
      </w:r>
      <w:r w:rsidR="00756F47" w:rsidRPr="00EB2CD4">
        <w:rPr>
          <w:rFonts w:ascii="Palatino Linotype" w:hAnsi="Palatino Linotype" w:cs="Arial"/>
          <w:sz w:val="24"/>
          <w:szCs w:val="24"/>
        </w:rPr>
        <w:t>collaboration</w:t>
      </w:r>
      <w:r w:rsidR="00D34F57" w:rsidRPr="00EB2CD4">
        <w:rPr>
          <w:rFonts w:ascii="Palatino Linotype" w:hAnsi="Palatino Linotype" w:cs="Arial"/>
          <w:sz w:val="24"/>
          <w:szCs w:val="24"/>
        </w:rPr>
        <w:t xml:space="preserve">. </w:t>
      </w:r>
    </w:p>
    <w:p w14:paraId="0454E083" w14:textId="5736993F" w:rsidR="00C00734" w:rsidRPr="00EB2CD4" w:rsidRDefault="00D34F57" w:rsidP="00C00734">
      <w:pPr>
        <w:spacing w:line="480" w:lineRule="auto"/>
        <w:jc w:val="both"/>
        <w:rPr>
          <w:rFonts w:ascii="Palatino Linotype" w:hAnsi="Palatino Linotype" w:cs="Arial"/>
          <w:b/>
          <w:sz w:val="24"/>
          <w:szCs w:val="24"/>
        </w:rPr>
      </w:pPr>
      <w:r w:rsidRPr="00EB2CD4">
        <w:rPr>
          <w:rFonts w:ascii="Palatino Linotype" w:hAnsi="Palatino Linotype" w:cs="Arial"/>
          <w:sz w:val="24"/>
          <w:szCs w:val="24"/>
        </w:rPr>
        <w:t>Your agreed</w:t>
      </w:r>
      <w:r w:rsidR="00E30232" w:rsidRPr="00EB2CD4">
        <w:rPr>
          <w:rFonts w:ascii="Palatino Linotype" w:hAnsi="Palatino Linotype" w:cs="Arial"/>
          <w:sz w:val="24"/>
          <w:szCs w:val="24"/>
        </w:rPr>
        <w:t xml:space="preserve"> set of objectives an</w:t>
      </w:r>
      <w:r w:rsidRPr="00EB2CD4">
        <w:rPr>
          <w:rFonts w:ascii="Palatino Linotype" w:hAnsi="Palatino Linotype" w:cs="Arial"/>
          <w:sz w:val="24"/>
          <w:szCs w:val="24"/>
        </w:rPr>
        <w:t xml:space="preserve">d values </w:t>
      </w:r>
      <w:r w:rsidR="00091D15" w:rsidRPr="00EB2CD4">
        <w:rPr>
          <w:rFonts w:ascii="Palatino Linotype" w:hAnsi="Palatino Linotype" w:cs="Arial"/>
          <w:sz w:val="24"/>
          <w:szCs w:val="24"/>
        </w:rPr>
        <w:t xml:space="preserve">should </w:t>
      </w:r>
      <w:r w:rsidR="00166523" w:rsidRPr="00EB2CD4">
        <w:rPr>
          <w:rFonts w:ascii="Palatino Linotype" w:hAnsi="Palatino Linotype" w:cs="Arial"/>
          <w:sz w:val="24"/>
          <w:szCs w:val="24"/>
        </w:rPr>
        <w:t xml:space="preserve">ideally </w:t>
      </w:r>
      <w:r w:rsidR="00091D15" w:rsidRPr="00EB2CD4">
        <w:rPr>
          <w:rFonts w:ascii="Palatino Linotype" w:hAnsi="Palatino Linotype" w:cs="Arial"/>
          <w:sz w:val="24"/>
          <w:szCs w:val="24"/>
        </w:rPr>
        <w:t xml:space="preserve">be committed to paper, and </w:t>
      </w:r>
      <w:r w:rsidRPr="00EB2CD4">
        <w:rPr>
          <w:rFonts w:ascii="Palatino Linotype" w:hAnsi="Palatino Linotype" w:cs="Arial"/>
          <w:sz w:val="24"/>
          <w:szCs w:val="24"/>
        </w:rPr>
        <w:t>can be revisited at pre-agreed times</w:t>
      </w:r>
      <w:r w:rsidR="00E30232" w:rsidRPr="00EB2CD4">
        <w:rPr>
          <w:rFonts w:ascii="Palatino Linotype" w:hAnsi="Palatino Linotype" w:cs="Arial"/>
          <w:sz w:val="24"/>
          <w:szCs w:val="24"/>
        </w:rPr>
        <w:t xml:space="preserve">, or whenever you </w:t>
      </w:r>
      <w:r w:rsidRPr="00EB2CD4">
        <w:rPr>
          <w:rFonts w:ascii="Palatino Linotype" w:hAnsi="Palatino Linotype" w:cs="Arial"/>
          <w:sz w:val="24"/>
          <w:szCs w:val="24"/>
        </w:rPr>
        <w:t xml:space="preserve">feel the project is </w:t>
      </w:r>
      <w:r w:rsidR="00391A2C" w:rsidRPr="00EB2CD4">
        <w:rPr>
          <w:rFonts w:ascii="Palatino Linotype" w:hAnsi="Palatino Linotype" w:cs="Arial"/>
          <w:sz w:val="24"/>
          <w:szCs w:val="24"/>
        </w:rPr>
        <w:t>going in a direction you did not agree</w:t>
      </w:r>
      <w:r w:rsidR="00166523" w:rsidRPr="00EB2CD4">
        <w:rPr>
          <w:rFonts w:ascii="Palatino Linotype" w:hAnsi="Palatino Linotype" w:cs="Arial"/>
          <w:sz w:val="24"/>
          <w:szCs w:val="24"/>
        </w:rPr>
        <w:t xml:space="preserve"> to</w:t>
      </w:r>
      <w:r w:rsidR="00391A2C" w:rsidRPr="00EB2CD4">
        <w:rPr>
          <w:rFonts w:ascii="Palatino Linotype" w:hAnsi="Palatino Linotype" w:cs="Arial"/>
          <w:sz w:val="24"/>
          <w:szCs w:val="24"/>
        </w:rPr>
        <w:t xml:space="preserve"> or expect. </w:t>
      </w:r>
      <w:r w:rsidR="008A266B" w:rsidRPr="00EB2CD4">
        <w:rPr>
          <w:rFonts w:ascii="Palatino Linotype" w:hAnsi="Palatino Linotype" w:cs="Arial"/>
          <w:sz w:val="24"/>
          <w:szCs w:val="24"/>
        </w:rPr>
        <w:t xml:space="preserve">An example of this is the Key Objectives document drawn up for the Law Ambassador Programme which runs at BPP Leeds. This is a two-year programme which matches sixth form students with a local law firm and BPP students, providing them with a range of legal experiences including office tours, court visits and mock trial challenges. </w:t>
      </w:r>
      <w:r w:rsidR="00A62D33" w:rsidRPr="00EB2CD4">
        <w:rPr>
          <w:rFonts w:ascii="Palatino Linotype" w:hAnsi="Palatino Linotype" w:cs="Arial"/>
          <w:sz w:val="24"/>
          <w:szCs w:val="24"/>
        </w:rPr>
        <w:t>It seeks to improve young people’s legal knowledge and skills, raise their career aspirations, and create positive perceptions of the legal profession</w:t>
      </w:r>
      <w:r w:rsidR="008A266B" w:rsidRPr="00EB2CD4">
        <w:rPr>
          <w:rFonts w:ascii="Palatino Linotype" w:hAnsi="Palatino Linotype" w:cs="Arial"/>
          <w:sz w:val="24"/>
          <w:szCs w:val="24"/>
        </w:rPr>
        <w:t xml:space="preserve">. Specific objectives for each collaborator differ: for </w:t>
      </w:r>
      <w:r w:rsidR="00C00734" w:rsidRPr="00EB2CD4">
        <w:rPr>
          <w:rFonts w:ascii="Palatino Linotype" w:hAnsi="Palatino Linotype" w:cs="Arial"/>
          <w:sz w:val="24"/>
          <w:szCs w:val="24"/>
        </w:rPr>
        <w:t xml:space="preserve">the </w:t>
      </w:r>
      <w:r w:rsidR="008A266B" w:rsidRPr="00EB2CD4">
        <w:rPr>
          <w:rFonts w:ascii="Palatino Linotype" w:hAnsi="Palatino Linotype" w:cs="Arial"/>
          <w:sz w:val="24"/>
          <w:szCs w:val="24"/>
        </w:rPr>
        <w:t xml:space="preserve">law firms, a </w:t>
      </w:r>
      <w:r w:rsidR="00315C0B" w:rsidRPr="00EB2CD4">
        <w:rPr>
          <w:rFonts w:ascii="Palatino Linotype" w:hAnsi="Palatino Linotype" w:cs="Arial"/>
          <w:sz w:val="24"/>
          <w:szCs w:val="24"/>
        </w:rPr>
        <w:t>significant</w:t>
      </w:r>
      <w:r w:rsidR="008A266B" w:rsidRPr="00EB2CD4">
        <w:rPr>
          <w:rFonts w:ascii="Palatino Linotype" w:hAnsi="Palatino Linotype" w:cs="Arial"/>
          <w:sz w:val="24"/>
          <w:szCs w:val="24"/>
        </w:rPr>
        <w:t xml:space="preserve"> motivator </w:t>
      </w:r>
      <w:r w:rsidR="00C00734" w:rsidRPr="00EB2CD4">
        <w:rPr>
          <w:rFonts w:ascii="Palatino Linotype" w:hAnsi="Palatino Linotype" w:cs="Arial"/>
          <w:sz w:val="24"/>
          <w:szCs w:val="24"/>
        </w:rPr>
        <w:t>is</w:t>
      </w:r>
      <w:r w:rsidR="008A266B" w:rsidRPr="00EB2CD4">
        <w:rPr>
          <w:rFonts w:ascii="Palatino Linotype" w:hAnsi="Palatino Linotype" w:cs="Arial"/>
          <w:sz w:val="24"/>
          <w:szCs w:val="24"/>
        </w:rPr>
        <w:t xml:space="preserve"> the provision of an accessible way for </w:t>
      </w:r>
      <w:r w:rsidR="00A62D33" w:rsidRPr="00EB2CD4">
        <w:rPr>
          <w:rFonts w:ascii="Palatino Linotype" w:hAnsi="Palatino Linotype" w:cs="Arial"/>
          <w:sz w:val="24"/>
          <w:szCs w:val="24"/>
        </w:rPr>
        <w:t>staff</w:t>
      </w:r>
      <w:r w:rsidR="008A266B" w:rsidRPr="00EB2CD4">
        <w:rPr>
          <w:rFonts w:ascii="Palatino Linotype" w:hAnsi="Palatino Linotype" w:cs="Arial"/>
          <w:sz w:val="24"/>
          <w:szCs w:val="24"/>
        </w:rPr>
        <w:t xml:space="preserve"> to contribute to their </w:t>
      </w:r>
      <w:r w:rsidR="005F50E2" w:rsidRPr="00EB2CD4">
        <w:rPr>
          <w:rFonts w:ascii="Palatino Linotype" w:hAnsi="Palatino Linotype" w:cs="Arial"/>
          <w:sz w:val="24"/>
          <w:szCs w:val="24"/>
        </w:rPr>
        <w:t>c</w:t>
      </w:r>
      <w:r w:rsidR="008A266B" w:rsidRPr="00EB2CD4">
        <w:rPr>
          <w:rFonts w:ascii="Palatino Linotype" w:hAnsi="Palatino Linotype" w:cs="Arial"/>
          <w:sz w:val="24"/>
          <w:szCs w:val="24"/>
        </w:rPr>
        <w:t xml:space="preserve">orporate </w:t>
      </w:r>
      <w:r w:rsidR="005F50E2" w:rsidRPr="00EB2CD4">
        <w:rPr>
          <w:rFonts w:ascii="Palatino Linotype" w:hAnsi="Palatino Linotype" w:cs="Arial"/>
          <w:sz w:val="24"/>
          <w:szCs w:val="24"/>
        </w:rPr>
        <w:t>s</w:t>
      </w:r>
      <w:r w:rsidR="008A266B" w:rsidRPr="00EB2CD4">
        <w:rPr>
          <w:rFonts w:ascii="Palatino Linotype" w:hAnsi="Palatino Linotype" w:cs="Arial"/>
          <w:sz w:val="24"/>
          <w:szCs w:val="24"/>
        </w:rPr>
        <w:t xml:space="preserve">ocial </w:t>
      </w:r>
      <w:r w:rsidR="005F50E2" w:rsidRPr="00EB2CD4">
        <w:rPr>
          <w:rFonts w:ascii="Palatino Linotype" w:hAnsi="Palatino Linotype" w:cs="Arial"/>
          <w:sz w:val="24"/>
          <w:szCs w:val="24"/>
        </w:rPr>
        <w:t>r</w:t>
      </w:r>
      <w:r w:rsidR="008A266B" w:rsidRPr="00EB2CD4">
        <w:rPr>
          <w:rFonts w:ascii="Palatino Linotype" w:hAnsi="Palatino Linotype" w:cs="Arial"/>
          <w:sz w:val="24"/>
          <w:szCs w:val="24"/>
        </w:rPr>
        <w:t>esponsibility agenda</w:t>
      </w:r>
      <w:r w:rsidR="004B1137" w:rsidRPr="00EB2CD4">
        <w:rPr>
          <w:rFonts w:ascii="Palatino Linotype" w:hAnsi="Palatino Linotype" w:cs="Arial"/>
          <w:sz w:val="24"/>
          <w:szCs w:val="24"/>
        </w:rPr>
        <w:t>,</w:t>
      </w:r>
      <w:r w:rsidR="008A266B" w:rsidRPr="00EB2CD4">
        <w:rPr>
          <w:rFonts w:ascii="Palatino Linotype" w:hAnsi="Palatino Linotype" w:cs="Arial"/>
          <w:sz w:val="24"/>
          <w:szCs w:val="24"/>
        </w:rPr>
        <w:t xml:space="preserve"> </w:t>
      </w:r>
      <w:r w:rsidR="00315C0B" w:rsidRPr="00EB2CD4">
        <w:rPr>
          <w:rFonts w:ascii="Palatino Linotype" w:hAnsi="Palatino Linotype" w:cs="Arial"/>
          <w:sz w:val="24"/>
          <w:szCs w:val="24"/>
        </w:rPr>
        <w:t xml:space="preserve">whilst </w:t>
      </w:r>
      <w:r w:rsidR="008A266B" w:rsidRPr="00EB2CD4">
        <w:rPr>
          <w:rFonts w:ascii="Palatino Linotype" w:hAnsi="Palatino Linotype" w:cs="Arial"/>
          <w:sz w:val="24"/>
          <w:szCs w:val="24"/>
        </w:rPr>
        <w:t>refin</w:t>
      </w:r>
      <w:r w:rsidR="00315C0B" w:rsidRPr="00EB2CD4">
        <w:rPr>
          <w:rFonts w:ascii="Palatino Linotype" w:hAnsi="Palatino Linotype" w:cs="Arial"/>
          <w:sz w:val="24"/>
          <w:szCs w:val="24"/>
        </w:rPr>
        <w:t>ing</w:t>
      </w:r>
      <w:r w:rsidR="008A266B" w:rsidRPr="00EB2CD4">
        <w:rPr>
          <w:rFonts w:ascii="Palatino Linotype" w:hAnsi="Palatino Linotype" w:cs="Arial"/>
          <w:sz w:val="24"/>
          <w:szCs w:val="24"/>
        </w:rPr>
        <w:t xml:space="preserve"> </w:t>
      </w:r>
      <w:r w:rsidR="00A62D33" w:rsidRPr="00EB2CD4">
        <w:rPr>
          <w:rFonts w:ascii="Palatino Linotype" w:hAnsi="Palatino Linotype" w:cs="Arial"/>
          <w:sz w:val="24"/>
          <w:szCs w:val="24"/>
        </w:rPr>
        <w:t>their</w:t>
      </w:r>
      <w:r w:rsidR="008A266B" w:rsidRPr="00EB2CD4">
        <w:rPr>
          <w:rFonts w:ascii="Palatino Linotype" w:hAnsi="Palatino Linotype" w:cs="Arial"/>
          <w:sz w:val="24"/>
          <w:szCs w:val="24"/>
        </w:rPr>
        <w:t xml:space="preserve"> mentoring skills</w:t>
      </w:r>
      <w:r w:rsidR="00315C0B" w:rsidRPr="00EB2CD4">
        <w:rPr>
          <w:rFonts w:ascii="Palatino Linotype" w:hAnsi="Palatino Linotype" w:cs="Arial"/>
          <w:sz w:val="24"/>
          <w:szCs w:val="24"/>
        </w:rPr>
        <w:t xml:space="preserve"> for translation back into the workplace</w:t>
      </w:r>
      <w:r w:rsidR="00A62D33" w:rsidRPr="00EB2CD4">
        <w:rPr>
          <w:rFonts w:ascii="Palatino Linotype" w:hAnsi="Palatino Linotype" w:cs="Arial"/>
          <w:sz w:val="24"/>
          <w:szCs w:val="24"/>
        </w:rPr>
        <w:t xml:space="preserve">. </w:t>
      </w:r>
      <w:r w:rsidR="008A266B" w:rsidRPr="00EB2CD4">
        <w:rPr>
          <w:rFonts w:ascii="Palatino Linotype" w:hAnsi="Palatino Linotype" w:cs="Arial"/>
          <w:sz w:val="24"/>
          <w:szCs w:val="24"/>
        </w:rPr>
        <w:t>BPP</w:t>
      </w:r>
      <w:r w:rsidR="001F1C80" w:rsidRPr="00EB2CD4">
        <w:rPr>
          <w:rFonts w:ascii="Palatino Linotype" w:hAnsi="Palatino Linotype" w:cs="Arial"/>
          <w:sz w:val="24"/>
          <w:szCs w:val="24"/>
        </w:rPr>
        <w:t xml:space="preserve"> is </w:t>
      </w:r>
      <w:r w:rsidR="00315C0B" w:rsidRPr="00EB2CD4">
        <w:rPr>
          <w:rFonts w:ascii="Palatino Linotype" w:hAnsi="Palatino Linotype" w:cs="Arial"/>
          <w:sz w:val="24"/>
          <w:szCs w:val="24"/>
        </w:rPr>
        <w:t>drawn to</w:t>
      </w:r>
      <w:r w:rsidR="002D5CFF" w:rsidRPr="00EB2CD4">
        <w:rPr>
          <w:rFonts w:ascii="Palatino Linotype" w:hAnsi="Palatino Linotype" w:cs="Arial"/>
          <w:sz w:val="24"/>
          <w:szCs w:val="24"/>
        </w:rPr>
        <w:t xml:space="preserve"> the</w:t>
      </w:r>
      <w:r w:rsidR="00315C0B" w:rsidRPr="00EB2CD4">
        <w:rPr>
          <w:rFonts w:ascii="Palatino Linotype" w:hAnsi="Palatino Linotype" w:cs="Arial"/>
          <w:sz w:val="24"/>
          <w:szCs w:val="24"/>
        </w:rPr>
        <w:t xml:space="preserve"> </w:t>
      </w:r>
      <w:r w:rsidR="008A266B" w:rsidRPr="00EB2CD4">
        <w:rPr>
          <w:rFonts w:ascii="Palatino Linotype" w:hAnsi="Palatino Linotype" w:cs="Arial"/>
          <w:sz w:val="24"/>
          <w:szCs w:val="24"/>
        </w:rPr>
        <w:lastRenderedPageBreak/>
        <w:t xml:space="preserve">opportunities for its </w:t>
      </w:r>
      <w:r w:rsidR="00476C81" w:rsidRPr="00EB2CD4">
        <w:rPr>
          <w:rFonts w:ascii="Palatino Linotype" w:hAnsi="Palatino Linotype" w:cs="Arial"/>
          <w:sz w:val="24"/>
          <w:szCs w:val="24"/>
        </w:rPr>
        <w:t xml:space="preserve">own </w:t>
      </w:r>
      <w:r w:rsidR="008A266B" w:rsidRPr="00EB2CD4">
        <w:rPr>
          <w:rFonts w:ascii="Palatino Linotype" w:hAnsi="Palatino Linotype" w:cs="Arial"/>
          <w:sz w:val="24"/>
          <w:szCs w:val="24"/>
        </w:rPr>
        <w:t>students to enhance their employability skills (e.g. public speaking) and to network with / learn from legal professionals. BPP also ha</w:t>
      </w:r>
      <w:r w:rsidR="00C00734" w:rsidRPr="00EB2CD4">
        <w:rPr>
          <w:rFonts w:ascii="Palatino Linotype" w:hAnsi="Palatino Linotype" w:cs="Arial"/>
          <w:sz w:val="24"/>
          <w:szCs w:val="24"/>
        </w:rPr>
        <w:t>d</w:t>
      </w:r>
      <w:r w:rsidR="008A266B" w:rsidRPr="00EB2CD4">
        <w:rPr>
          <w:rFonts w:ascii="Palatino Linotype" w:hAnsi="Palatino Linotype" w:cs="Arial"/>
          <w:sz w:val="24"/>
          <w:szCs w:val="24"/>
        </w:rPr>
        <w:t xml:space="preserve"> a particular interest in launching a project which could potentially track recipients of PLE across a period of time and thus provide the opportunity to measure </w:t>
      </w:r>
      <w:r w:rsidR="00C00734" w:rsidRPr="00EB2CD4">
        <w:rPr>
          <w:rFonts w:ascii="Palatino Linotype" w:hAnsi="Palatino Linotype" w:cs="Arial"/>
          <w:sz w:val="24"/>
          <w:szCs w:val="24"/>
        </w:rPr>
        <w:t xml:space="preserve">the </w:t>
      </w:r>
      <w:r w:rsidR="008A266B" w:rsidRPr="00EB2CD4">
        <w:rPr>
          <w:rFonts w:ascii="Palatino Linotype" w:hAnsi="Palatino Linotype" w:cs="Arial"/>
          <w:sz w:val="24"/>
          <w:szCs w:val="24"/>
        </w:rPr>
        <w:t xml:space="preserve">impact of PLE on its audience (in line with the 10 Year Vision’s goal </w:t>
      </w:r>
      <w:r w:rsidR="00C41136" w:rsidRPr="00EB2CD4">
        <w:rPr>
          <w:rFonts w:ascii="Palatino Linotype" w:hAnsi="Palatino Linotype" w:cs="Arial"/>
          <w:sz w:val="24"/>
          <w:szCs w:val="24"/>
        </w:rPr>
        <w:t xml:space="preserve">(number 1) </w:t>
      </w:r>
      <w:r w:rsidR="008A266B" w:rsidRPr="00EB2CD4">
        <w:rPr>
          <w:rFonts w:ascii="Palatino Linotype" w:hAnsi="Palatino Linotype" w:cs="Arial"/>
          <w:sz w:val="24"/>
          <w:szCs w:val="24"/>
        </w:rPr>
        <w:t xml:space="preserve">of supporting PLE with a robust evidence base). The collaborators are all, however, united by </w:t>
      </w:r>
      <w:r w:rsidR="001F1C80" w:rsidRPr="00EB2CD4">
        <w:rPr>
          <w:rFonts w:ascii="Palatino Linotype" w:hAnsi="Palatino Linotype" w:cs="Arial"/>
          <w:sz w:val="24"/>
          <w:szCs w:val="24"/>
        </w:rPr>
        <w:t>two</w:t>
      </w:r>
      <w:r w:rsidR="008A266B" w:rsidRPr="00EB2CD4">
        <w:rPr>
          <w:rFonts w:ascii="Palatino Linotype" w:hAnsi="Palatino Linotype" w:cs="Arial"/>
          <w:sz w:val="24"/>
          <w:szCs w:val="24"/>
        </w:rPr>
        <w:t xml:space="preserve"> overarching objective</w:t>
      </w:r>
      <w:r w:rsidR="001F1C80" w:rsidRPr="00EB2CD4">
        <w:rPr>
          <w:rFonts w:ascii="Palatino Linotype" w:hAnsi="Palatino Linotype" w:cs="Arial"/>
          <w:sz w:val="24"/>
          <w:szCs w:val="24"/>
        </w:rPr>
        <w:t>s:</w:t>
      </w:r>
      <w:r w:rsidR="008A266B" w:rsidRPr="00EB2CD4">
        <w:rPr>
          <w:rFonts w:ascii="Palatino Linotype" w:hAnsi="Palatino Linotype" w:cs="Arial"/>
          <w:sz w:val="24"/>
          <w:szCs w:val="24"/>
        </w:rPr>
        <w:t xml:space="preserve"> to use their </w:t>
      </w:r>
      <w:r w:rsidR="00C00734" w:rsidRPr="00EB2CD4">
        <w:rPr>
          <w:rFonts w:ascii="Palatino Linotype" w:hAnsi="Palatino Linotype" w:cs="Arial"/>
          <w:sz w:val="24"/>
          <w:szCs w:val="24"/>
        </w:rPr>
        <w:t xml:space="preserve">legal </w:t>
      </w:r>
      <w:r w:rsidR="008A266B" w:rsidRPr="00EB2CD4">
        <w:rPr>
          <w:rFonts w:ascii="Palatino Linotype" w:hAnsi="Palatino Linotype" w:cs="Arial"/>
          <w:sz w:val="24"/>
          <w:szCs w:val="24"/>
        </w:rPr>
        <w:t xml:space="preserve">expertise to make a valuable contribution to their local community, and to promote inclusivity in the legal profession. </w:t>
      </w:r>
      <w:r w:rsidR="00C00734" w:rsidRPr="00EB2CD4">
        <w:rPr>
          <w:rFonts w:ascii="Palatino Linotype" w:hAnsi="Palatino Linotype" w:cs="Arial"/>
          <w:sz w:val="24"/>
          <w:szCs w:val="24"/>
        </w:rPr>
        <w:t>As the project sees its first Law Ambassador cohort graduate</w:t>
      </w:r>
      <w:r w:rsidR="00476C81" w:rsidRPr="00EB2CD4">
        <w:rPr>
          <w:rFonts w:ascii="Palatino Linotype" w:hAnsi="Palatino Linotype" w:cs="Arial"/>
          <w:sz w:val="24"/>
          <w:szCs w:val="24"/>
        </w:rPr>
        <w:t>,</w:t>
      </w:r>
      <w:r w:rsidR="00C00734" w:rsidRPr="00EB2CD4">
        <w:rPr>
          <w:rFonts w:ascii="Palatino Linotype" w:hAnsi="Palatino Linotype" w:cs="Arial"/>
          <w:sz w:val="24"/>
          <w:szCs w:val="24"/>
        </w:rPr>
        <w:t xml:space="preserve"> and enters </w:t>
      </w:r>
      <w:r w:rsidR="00476C81" w:rsidRPr="00EB2CD4">
        <w:rPr>
          <w:rFonts w:ascii="Palatino Linotype" w:hAnsi="Palatino Linotype" w:cs="Arial"/>
          <w:sz w:val="24"/>
          <w:szCs w:val="24"/>
        </w:rPr>
        <w:t xml:space="preserve">into </w:t>
      </w:r>
      <w:r w:rsidR="00C00734" w:rsidRPr="00EB2CD4">
        <w:rPr>
          <w:rFonts w:ascii="Palatino Linotype" w:hAnsi="Palatino Linotype" w:cs="Arial"/>
          <w:sz w:val="24"/>
          <w:szCs w:val="24"/>
        </w:rPr>
        <w:t xml:space="preserve">its annual review period, the Key Objectives document has proven </w:t>
      </w:r>
      <w:r w:rsidR="005F50E2" w:rsidRPr="00EB2CD4">
        <w:rPr>
          <w:rFonts w:ascii="Palatino Linotype" w:hAnsi="Palatino Linotype" w:cs="Arial"/>
          <w:sz w:val="24"/>
          <w:szCs w:val="24"/>
        </w:rPr>
        <w:t>pivotal</w:t>
      </w:r>
      <w:r w:rsidR="00C00734" w:rsidRPr="00EB2CD4">
        <w:rPr>
          <w:rFonts w:ascii="Palatino Linotype" w:hAnsi="Palatino Linotype" w:cs="Arial"/>
          <w:sz w:val="24"/>
          <w:szCs w:val="24"/>
        </w:rPr>
        <w:t xml:space="preserve"> in shaping ongoing improvements with the project</w:t>
      </w:r>
      <w:r w:rsidR="00BC496C" w:rsidRPr="00EB2CD4">
        <w:rPr>
          <w:rFonts w:ascii="Palatino Linotype" w:hAnsi="Palatino Linotype" w:cs="Arial"/>
          <w:sz w:val="24"/>
          <w:szCs w:val="24"/>
        </w:rPr>
        <w:t xml:space="preserve"> (e.g. changes to pre- and post-programme participant questionnaire design</w:t>
      </w:r>
      <w:r w:rsidR="00125D3A" w:rsidRPr="00EB2CD4">
        <w:rPr>
          <w:rFonts w:ascii="Palatino Linotype" w:hAnsi="Palatino Linotype" w:cs="Arial"/>
          <w:sz w:val="24"/>
          <w:szCs w:val="24"/>
        </w:rPr>
        <w:t>;</w:t>
      </w:r>
      <w:r w:rsidR="00BC496C" w:rsidRPr="00EB2CD4">
        <w:rPr>
          <w:rFonts w:ascii="Palatino Linotype" w:hAnsi="Palatino Linotype" w:cs="Arial"/>
          <w:sz w:val="24"/>
          <w:szCs w:val="24"/>
        </w:rPr>
        <w:t xml:space="preserve"> the introduction of one-to-one email mentoring opportunities for lawyers) </w:t>
      </w:r>
      <w:r w:rsidR="002D5CFF" w:rsidRPr="00EB2CD4">
        <w:rPr>
          <w:rFonts w:ascii="Palatino Linotype" w:hAnsi="Palatino Linotype" w:cs="Arial"/>
          <w:sz w:val="24"/>
          <w:szCs w:val="24"/>
        </w:rPr>
        <w:t xml:space="preserve">and </w:t>
      </w:r>
      <w:r w:rsidR="004B1137" w:rsidRPr="00EB2CD4">
        <w:rPr>
          <w:rFonts w:ascii="Palatino Linotype" w:hAnsi="Palatino Linotype" w:cs="Arial"/>
          <w:sz w:val="24"/>
          <w:szCs w:val="24"/>
        </w:rPr>
        <w:t xml:space="preserve">thus </w:t>
      </w:r>
      <w:r w:rsidR="002D5CFF" w:rsidRPr="00EB2CD4">
        <w:rPr>
          <w:rFonts w:ascii="Palatino Linotype" w:hAnsi="Palatino Linotype" w:cs="Arial"/>
          <w:sz w:val="24"/>
          <w:szCs w:val="24"/>
        </w:rPr>
        <w:t>securing future commitment from all collaborators</w:t>
      </w:r>
      <w:r w:rsidR="00125D3A" w:rsidRPr="00EB2CD4">
        <w:rPr>
          <w:rFonts w:ascii="Palatino Linotype" w:hAnsi="Palatino Linotype" w:cs="Arial"/>
          <w:sz w:val="24"/>
          <w:szCs w:val="24"/>
        </w:rPr>
        <w:t>.</w:t>
      </w:r>
      <w:r w:rsidR="002D5CFF" w:rsidRPr="00EB2CD4">
        <w:rPr>
          <w:rFonts w:ascii="Palatino Linotype" w:hAnsi="Palatino Linotype" w:cs="Arial"/>
          <w:sz w:val="24"/>
          <w:szCs w:val="24"/>
        </w:rPr>
        <w:t xml:space="preserve"> </w:t>
      </w:r>
    </w:p>
    <w:p w14:paraId="1827461D" w14:textId="5E3EB1B5" w:rsidR="00E91561" w:rsidRPr="00EB2CD4" w:rsidRDefault="007F16C1" w:rsidP="004303D6">
      <w:pPr>
        <w:pStyle w:val="ListParagraph"/>
        <w:numPr>
          <w:ilvl w:val="0"/>
          <w:numId w:val="17"/>
        </w:numPr>
        <w:spacing w:line="480" w:lineRule="auto"/>
        <w:jc w:val="both"/>
        <w:rPr>
          <w:rFonts w:ascii="Palatino Linotype" w:hAnsi="Palatino Linotype" w:cs="Arial"/>
          <w:b/>
          <w:sz w:val="24"/>
          <w:szCs w:val="24"/>
        </w:rPr>
      </w:pPr>
      <w:r w:rsidRPr="00EB2CD4">
        <w:rPr>
          <w:rFonts w:ascii="Palatino Linotype" w:hAnsi="Palatino Linotype" w:cs="Arial"/>
          <w:b/>
          <w:sz w:val="24"/>
          <w:szCs w:val="24"/>
        </w:rPr>
        <w:t xml:space="preserve">Tell each other about </w:t>
      </w:r>
      <w:r w:rsidR="00173E3F" w:rsidRPr="00EB2CD4">
        <w:rPr>
          <w:rFonts w:ascii="Palatino Linotype" w:hAnsi="Palatino Linotype" w:cs="Arial"/>
          <w:b/>
          <w:sz w:val="24"/>
          <w:szCs w:val="24"/>
        </w:rPr>
        <w:t>the</w:t>
      </w:r>
      <w:r w:rsidRPr="00EB2CD4">
        <w:rPr>
          <w:rFonts w:ascii="Palatino Linotype" w:hAnsi="Palatino Linotype" w:cs="Arial"/>
          <w:b/>
          <w:sz w:val="24"/>
          <w:szCs w:val="24"/>
        </w:rPr>
        <w:t xml:space="preserve"> </w:t>
      </w:r>
      <w:r w:rsidR="00661CAC" w:rsidRPr="00EB2CD4">
        <w:rPr>
          <w:rFonts w:ascii="Palatino Linotype" w:hAnsi="Palatino Linotype" w:cs="Arial"/>
          <w:b/>
          <w:sz w:val="24"/>
          <w:szCs w:val="24"/>
        </w:rPr>
        <w:t xml:space="preserve">relevant </w:t>
      </w:r>
      <w:r w:rsidR="007668E1" w:rsidRPr="00EB2CD4">
        <w:rPr>
          <w:rFonts w:ascii="Palatino Linotype" w:hAnsi="Palatino Linotype" w:cs="Arial"/>
          <w:b/>
          <w:sz w:val="24"/>
          <w:szCs w:val="24"/>
        </w:rPr>
        <w:t xml:space="preserve">skills, knowledge, </w:t>
      </w:r>
      <w:r w:rsidR="00E91561" w:rsidRPr="00EB2CD4">
        <w:rPr>
          <w:rFonts w:ascii="Palatino Linotype" w:hAnsi="Palatino Linotype" w:cs="Arial"/>
          <w:b/>
          <w:sz w:val="24"/>
          <w:szCs w:val="24"/>
        </w:rPr>
        <w:t>interests</w:t>
      </w:r>
      <w:r w:rsidR="007668E1" w:rsidRPr="00EB2CD4">
        <w:rPr>
          <w:rFonts w:ascii="Palatino Linotype" w:hAnsi="Palatino Linotype" w:cs="Arial"/>
          <w:b/>
          <w:sz w:val="24"/>
          <w:szCs w:val="24"/>
        </w:rPr>
        <w:t>, resources</w:t>
      </w:r>
      <w:r w:rsidR="00374CC1" w:rsidRPr="00EB2CD4">
        <w:rPr>
          <w:rFonts w:ascii="Palatino Linotype" w:hAnsi="Palatino Linotype" w:cs="Arial"/>
          <w:b/>
          <w:sz w:val="24"/>
          <w:szCs w:val="24"/>
        </w:rPr>
        <w:t xml:space="preserve"> and timetables </w:t>
      </w:r>
      <w:r w:rsidR="00A43B5E" w:rsidRPr="00EB2CD4">
        <w:rPr>
          <w:rFonts w:ascii="Palatino Linotype" w:hAnsi="Palatino Linotype" w:cs="Arial"/>
          <w:b/>
          <w:sz w:val="24"/>
          <w:szCs w:val="24"/>
        </w:rPr>
        <w:t>you/</w:t>
      </w:r>
      <w:r w:rsidR="007668E1" w:rsidRPr="00EB2CD4">
        <w:rPr>
          <w:rFonts w:ascii="Palatino Linotype" w:hAnsi="Palatino Linotype" w:cs="Arial"/>
          <w:b/>
          <w:sz w:val="24"/>
          <w:szCs w:val="24"/>
        </w:rPr>
        <w:t xml:space="preserve">your institutions have </w:t>
      </w:r>
    </w:p>
    <w:p w14:paraId="269EE15E" w14:textId="36679753" w:rsidR="00E91561" w:rsidRPr="00EB2CD4" w:rsidRDefault="00661CAC" w:rsidP="006C1CED">
      <w:pPr>
        <w:spacing w:line="480" w:lineRule="auto"/>
        <w:ind w:left="60"/>
        <w:jc w:val="both"/>
        <w:rPr>
          <w:rFonts w:ascii="Palatino Linotype" w:hAnsi="Palatino Linotype" w:cs="Arial"/>
          <w:sz w:val="24"/>
          <w:szCs w:val="24"/>
        </w:rPr>
      </w:pPr>
      <w:r w:rsidRPr="00EB2CD4">
        <w:rPr>
          <w:rFonts w:ascii="Palatino Linotype" w:hAnsi="Palatino Linotype" w:cs="Arial"/>
          <w:sz w:val="24"/>
          <w:szCs w:val="24"/>
        </w:rPr>
        <w:t>Clearly delineated roles and responsibilities ha</w:t>
      </w:r>
      <w:r w:rsidR="00DC1C06" w:rsidRPr="00EB2CD4">
        <w:rPr>
          <w:rFonts w:ascii="Palatino Linotype" w:hAnsi="Palatino Linotype" w:cs="Arial"/>
          <w:sz w:val="24"/>
          <w:szCs w:val="24"/>
        </w:rPr>
        <w:t>ve</w:t>
      </w:r>
      <w:r w:rsidRPr="00EB2CD4">
        <w:rPr>
          <w:rFonts w:ascii="Palatino Linotype" w:hAnsi="Palatino Linotype" w:cs="Arial"/>
          <w:sz w:val="24"/>
          <w:szCs w:val="24"/>
        </w:rPr>
        <w:t xml:space="preserve"> also been identified as crucial to successful collaboration (Mattessich and Monsey</w:t>
      </w:r>
      <w:r w:rsidR="00D90F00" w:rsidRPr="00EB2CD4">
        <w:rPr>
          <w:rFonts w:ascii="Palatino Linotype" w:hAnsi="Palatino Linotype" w:cs="Arial"/>
          <w:sz w:val="24"/>
          <w:szCs w:val="24"/>
        </w:rPr>
        <w:t xml:space="preserve">, </w:t>
      </w:r>
      <w:r w:rsidRPr="00EB2CD4">
        <w:rPr>
          <w:rFonts w:ascii="Palatino Linotype" w:hAnsi="Palatino Linotype" w:cs="Arial"/>
          <w:sz w:val="24"/>
          <w:szCs w:val="24"/>
        </w:rPr>
        <w:t xml:space="preserve">1992).  Such discussions </w:t>
      </w:r>
      <w:r w:rsidR="007668E1" w:rsidRPr="00EB2CD4">
        <w:rPr>
          <w:rFonts w:ascii="Palatino Linotype" w:hAnsi="Palatino Linotype" w:cs="Arial"/>
          <w:sz w:val="24"/>
          <w:szCs w:val="24"/>
        </w:rPr>
        <w:t xml:space="preserve">should </w:t>
      </w:r>
      <w:r w:rsidRPr="00EB2CD4">
        <w:rPr>
          <w:rFonts w:ascii="Palatino Linotype" w:hAnsi="Palatino Linotype" w:cs="Arial"/>
          <w:sz w:val="24"/>
          <w:szCs w:val="24"/>
        </w:rPr>
        <w:t xml:space="preserve">take place </w:t>
      </w:r>
      <w:r w:rsidR="007668E1" w:rsidRPr="00EB2CD4">
        <w:rPr>
          <w:rFonts w:ascii="Palatino Linotype" w:hAnsi="Palatino Linotype" w:cs="Arial"/>
          <w:sz w:val="24"/>
          <w:szCs w:val="24"/>
        </w:rPr>
        <w:t>at one</w:t>
      </w:r>
      <w:r w:rsidR="00E91561" w:rsidRPr="00EB2CD4">
        <w:rPr>
          <w:rFonts w:ascii="Palatino Linotype" w:hAnsi="Palatino Linotype" w:cs="Arial"/>
          <w:sz w:val="24"/>
          <w:szCs w:val="24"/>
        </w:rPr>
        <w:t xml:space="preserve"> of your earliest meetings </w:t>
      </w:r>
      <w:r w:rsidR="007668E1" w:rsidRPr="00EB2CD4">
        <w:rPr>
          <w:rFonts w:ascii="Palatino Linotype" w:hAnsi="Palatino Linotype" w:cs="Arial"/>
          <w:sz w:val="24"/>
          <w:szCs w:val="24"/>
        </w:rPr>
        <w:t xml:space="preserve">– arguably </w:t>
      </w:r>
      <w:r w:rsidR="00DE7DF5" w:rsidRPr="00EB2CD4">
        <w:rPr>
          <w:rFonts w:ascii="Palatino Linotype" w:hAnsi="Palatino Linotype" w:cs="Arial"/>
          <w:sz w:val="24"/>
          <w:szCs w:val="24"/>
        </w:rPr>
        <w:t xml:space="preserve">even before you </w:t>
      </w:r>
      <w:r w:rsidR="00C27D4B" w:rsidRPr="00EB2CD4">
        <w:rPr>
          <w:rFonts w:ascii="Palatino Linotype" w:hAnsi="Palatino Linotype" w:cs="Arial"/>
          <w:sz w:val="24"/>
          <w:szCs w:val="24"/>
        </w:rPr>
        <w:t>agree</w:t>
      </w:r>
      <w:r w:rsidR="004956BB" w:rsidRPr="00EB2CD4">
        <w:rPr>
          <w:rFonts w:ascii="Palatino Linotype" w:hAnsi="Palatino Linotype" w:cs="Arial"/>
          <w:sz w:val="24"/>
          <w:szCs w:val="24"/>
        </w:rPr>
        <w:t xml:space="preserve"> to </w:t>
      </w:r>
      <w:r w:rsidR="007668E1" w:rsidRPr="00EB2CD4">
        <w:rPr>
          <w:rFonts w:ascii="Palatino Linotype" w:hAnsi="Palatino Linotype" w:cs="Arial"/>
          <w:sz w:val="24"/>
          <w:szCs w:val="24"/>
        </w:rPr>
        <w:t xml:space="preserve">embark on the collaborative </w:t>
      </w:r>
      <w:r w:rsidR="004956BB" w:rsidRPr="00EB2CD4">
        <w:rPr>
          <w:rFonts w:ascii="Palatino Linotype" w:hAnsi="Palatino Linotype" w:cs="Arial"/>
          <w:sz w:val="24"/>
          <w:szCs w:val="24"/>
        </w:rPr>
        <w:t>project</w:t>
      </w:r>
      <w:r w:rsidR="00E91561" w:rsidRPr="00EB2CD4">
        <w:rPr>
          <w:rFonts w:ascii="Palatino Linotype" w:hAnsi="Palatino Linotype" w:cs="Arial"/>
          <w:sz w:val="24"/>
          <w:szCs w:val="24"/>
        </w:rPr>
        <w:t>.</w:t>
      </w:r>
      <w:r w:rsidR="00201D46" w:rsidRPr="00EB2CD4">
        <w:rPr>
          <w:rFonts w:ascii="Palatino Linotype" w:hAnsi="Palatino Linotype" w:cs="Arial"/>
          <w:sz w:val="24"/>
          <w:szCs w:val="24"/>
        </w:rPr>
        <w:t xml:space="preserve"> </w:t>
      </w:r>
      <w:r w:rsidR="009C7E1C" w:rsidRPr="00EB2CD4">
        <w:rPr>
          <w:rFonts w:ascii="Palatino Linotype" w:hAnsi="Palatino Linotype" w:cs="Arial"/>
          <w:sz w:val="24"/>
          <w:szCs w:val="24"/>
        </w:rPr>
        <w:t>Someone might have particular e</w:t>
      </w:r>
      <w:r w:rsidR="009B1276" w:rsidRPr="00EB2CD4">
        <w:rPr>
          <w:rFonts w:ascii="Palatino Linotype" w:hAnsi="Palatino Linotype" w:cs="Arial"/>
          <w:sz w:val="24"/>
          <w:szCs w:val="24"/>
        </w:rPr>
        <w:t xml:space="preserve">xpertise in relation to a legal topic, </w:t>
      </w:r>
      <w:r w:rsidR="004D7EAF" w:rsidRPr="00EB2CD4">
        <w:rPr>
          <w:rFonts w:ascii="Palatino Linotype" w:hAnsi="Palatino Linotype" w:cs="Arial"/>
          <w:sz w:val="24"/>
          <w:szCs w:val="24"/>
        </w:rPr>
        <w:t xml:space="preserve">in </w:t>
      </w:r>
      <w:r w:rsidR="00171BF0" w:rsidRPr="00EB2CD4">
        <w:rPr>
          <w:rFonts w:ascii="Palatino Linotype" w:hAnsi="Palatino Linotype" w:cs="Arial"/>
          <w:sz w:val="24"/>
          <w:szCs w:val="24"/>
        </w:rPr>
        <w:t>training people to deliver effective presentations</w:t>
      </w:r>
      <w:r w:rsidR="00E97527" w:rsidRPr="00EB2CD4">
        <w:rPr>
          <w:rFonts w:ascii="Palatino Linotype" w:hAnsi="Palatino Linotype" w:cs="Arial"/>
          <w:sz w:val="24"/>
          <w:szCs w:val="24"/>
        </w:rPr>
        <w:t>, or working with the target audience (e.g. an ex-school teacher</w:t>
      </w:r>
      <w:r w:rsidR="00EF1D4D" w:rsidRPr="00EB2CD4">
        <w:rPr>
          <w:rFonts w:ascii="Palatino Linotype" w:hAnsi="Palatino Linotype" w:cs="Arial"/>
          <w:sz w:val="24"/>
          <w:szCs w:val="24"/>
        </w:rPr>
        <w:t xml:space="preserve"> or prison officer</w:t>
      </w:r>
      <w:r w:rsidR="00E97527" w:rsidRPr="00EB2CD4">
        <w:rPr>
          <w:rFonts w:ascii="Palatino Linotype" w:hAnsi="Palatino Linotype" w:cs="Arial"/>
          <w:sz w:val="24"/>
          <w:szCs w:val="24"/>
        </w:rPr>
        <w:t>)</w:t>
      </w:r>
      <w:r w:rsidR="00171BF0" w:rsidRPr="00EB2CD4">
        <w:rPr>
          <w:rFonts w:ascii="Palatino Linotype" w:hAnsi="Palatino Linotype" w:cs="Arial"/>
          <w:sz w:val="24"/>
          <w:szCs w:val="24"/>
        </w:rPr>
        <w:t>. A</w:t>
      </w:r>
      <w:r w:rsidR="00A4085E" w:rsidRPr="00EB2CD4">
        <w:rPr>
          <w:rFonts w:ascii="Palatino Linotype" w:hAnsi="Palatino Linotype" w:cs="Arial"/>
          <w:sz w:val="24"/>
          <w:szCs w:val="24"/>
        </w:rPr>
        <w:t xml:space="preserve">nother person may have </w:t>
      </w:r>
      <w:r w:rsidR="00E91561" w:rsidRPr="00EB2CD4">
        <w:rPr>
          <w:rFonts w:ascii="Palatino Linotype" w:hAnsi="Palatino Linotype" w:cs="Arial"/>
          <w:sz w:val="24"/>
          <w:szCs w:val="24"/>
        </w:rPr>
        <w:lastRenderedPageBreak/>
        <w:t>useful contacts</w:t>
      </w:r>
      <w:r w:rsidR="002978C4" w:rsidRPr="00EB2CD4">
        <w:rPr>
          <w:rFonts w:ascii="Palatino Linotype" w:hAnsi="Palatino Linotype" w:cs="Arial"/>
          <w:sz w:val="24"/>
          <w:szCs w:val="24"/>
        </w:rPr>
        <w:t xml:space="preserve"> externally (e.g. potential venues for delivery) or</w:t>
      </w:r>
      <w:r w:rsidR="00E91561" w:rsidRPr="00EB2CD4">
        <w:rPr>
          <w:rFonts w:ascii="Palatino Linotype" w:hAnsi="Palatino Linotype" w:cs="Arial"/>
          <w:sz w:val="24"/>
          <w:szCs w:val="24"/>
        </w:rPr>
        <w:t xml:space="preserve"> internally (e.g. marketing teams</w:t>
      </w:r>
      <w:r w:rsidR="00A531C7" w:rsidRPr="00EB2CD4">
        <w:rPr>
          <w:rFonts w:ascii="Palatino Linotype" w:hAnsi="Palatino Linotype" w:cs="Arial"/>
          <w:sz w:val="24"/>
          <w:szCs w:val="24"/>
        </w:rPr>
        <w:t xml:space="preserve">; </w:t>
      </w:r>
      <w:r w:rsidR="002978C4" w:rsidRPr="00EB2CD4">
        <w:rPr>
          <w:rFonts w:ascii="Palatino Linotype" w:hAnsi="Palatino Linotype" w:cs="Arial"/>
          <w:sz w:val="24"/>
          <w:szCs w:val="24"/>
        </w:rPr>
        <w:t xml:space="preserve">outreach and widening participation teams with established contacts in the community; </w:t>
      </w:r>
      <w:r w:rsidR="00171BF0" w:rsidRPr="00EB2CD4">
        <w:rPr>
          <w:rFonts w:ascii="Palatino Linotype" w:hAnsi="Palatino Linotype" w:cs="Arial"/>
          <w:sz w:val="24"/>
          <w:szCs w:val="24"/>
        </w:rPr>
        <w:t>lecturers</w:t>
      </w:r>
      <w:r w:rsidR="002978C4" w:rsidRPr="00EB2CD4">
        <w:rPr>
          <w:rFonts w:ascii="Palatino Linotype" w:hAnsi="Palatino Linotype" w:cs="Arial"/>
          <w:sz w:val="24"/>
          <w:szCs w:val="24"/>
        </w:rPr>
        <w:t xml:space="preserve"> in drama, technology or business faculties, whose students </w:t>
      </w:r>
      <w:r w:rsidR="00A531C7" w:rsidRPr="00EB2CD4">
        <w:rPr>
          <w:rFonts w:ascii="Palatino Linotype" w:hAnsi="Palatino Linotype" w:cs="Arial"/>
          <w:sz w:val="24"/>
          <w:szCs w:val="24"/>
        </w:rPr>
        <w:t xml:space="preserve">could contribute </w:t>
      </w:r>
      <w:r w:rsidR="00C72CF9" w:rsidRPr="00EB2CD4">
        <w:rPr>
          <w:rFonts w:ascii="Palatino Linotype" w:hAnsi="Palatino Linotype" w:cs="Arial"/>
          <w:sz w:val="24"/>
          <w:szCs w:val="24"/>
        </w:rPr>
        <w:t>to</w:t>
      </w:r>
      <w:r w:rsidR="00A531C7" w:rsidRPr="00EB2CD4">
        <w:rPr>
          <w:rFonts w:ascii="Palatino Linotype" w:hAnsi="Palatino Linotype" w:cs="Arial"/>
          <w:sz w:val="24"/>
          <w:szCs w:val="24"/>
        </w:rPr>
        <w:t xml:space="preserve"> content</w:t>
      </w:r>
      <w:r w:rsidR="00C72CF9" w:rsidRPr="00EB2CD4">
        <w:rPr>
          <w:rFonts w:ascii="Palatino Linotype" w:hAnsi="Palatino Linotype" w:cs="Arial"/>
          <w:sz w:val="24"/>
          <w:szCs w:val="24"/>
        </w:rPr>
        <w:t xml:space="preserve"> development</w:t>
      </w:r>
      <w:r w:rsidR="002978C4" w:rsidRPr="00EB2CD4">
        <w:rPr>
          <w:rFonts w:ascii="Palatino Linotype" w:hAnsi="Palatino Linotype" w:cs="Arial"/>
          <w:sz w:val="24"/>
          <w:szCs w:val="24"/>
        </w:rPr>
        <w:t>)</w:t>
      </w:r>
      <w:r w:rsidR="00171BF0" w:rsidRPr="00EB2CD4">
        <w:rPr>
          <w:rFonts w:ascii="Palatino Linotype" w:hAnsi="Palatino Linotype" w:cs="Arial"/>
          <w:sz w:val="24"/>
          <w:szCs w:val="24"/>
        </w:rPr>
        <w:t>. O</w:t>
      </w:r>
      <w:r w:rsidR="002978C4" w:rsidRPr="00EB2CD4">
        <w:rPr>
          <w:rFonts w:ascii="Palatino Linotype" w:hAnsi="Palatino Linotype" w:cs="Arial"/>
          <w:sz w:val="24"/>
          <w:szCs w:val="24"/>
        </w:rPr>
        <w:t xml:space="preserve">thers </w:t>
      </w:r>
      <w:r w:rsidR="0030510F" w:rsidRPr="00EB2CD4">
        <w:rPr>
          <w:rFonts w:ascii="Palatino Linotype" w:hAnsi="Palatino Linotype" w:cs="Arial"/>
          <w:sz w:val="24"/>
          <w:szCs w:val="24"/>
        </w:rPr>
        <w:t xml:space="preserve">might </w:t>
      </w:r>
      <w:r w:rsidR="00AE59BE" w:rsidRPr="00EB2CD4">
        <w:rPr>
          <w:rFonts w:ascii="Palatino Linotype" w:hAnsi="Palatino Linotype" w:cs="Arial"/>
          <w:sz w:val="24"/>
          <w:szCs w:val="24"/>
        </w:rPr>
        <w:t>lack experience in</w:t>
      </w:r>
      <w:r w:rsidR="007C25F7" w:rsidRPr="00EB2CD4">
        <w:rPr>
          <w:rFonts w:ascii="Palatino Linotype" w:hAnsi="Palatino Linotype" w:cs="Arial"/>
          <w:sz w:val="24"/>
          <w:szCs w:val="24"/>
        </w:rPr>
        <w:t xml:space="preserve">, for example, </w:t>
      </w:r>
      <w:r w:rsidR="00AE59BE" w:rsidRPr="00EB2CD4">
        <w:rPr>
          <w:rFonts w:ascii="Palatino Linotype" w:hAnsi="Palatino Linotype" w:cs="Arial"/>
          <w:sz w:val="24"/>
          <w:szCs w:val="24"/>
        </w:rPr>
        <w:t>networking</w:t>
      </w:r>
      <w:r w:rsidR="002978C4" w:rsidRPr="00EB2CD4">
        <w:rPr>
          <w:rFonts w:ascii="Palatino Linotype" w:hAnsi="Palatino Linotype" w:cs="Arial"/>
          <w:sz w:val="24"/>
          <w:szCs w:val="24"/>
        </w:rPr>
        <w:t xml:space="preserve">, </w:t>
      </w:r>
      <w:r w:rsidR="00AE59BE" w:rsidRPr="00EB2CD4">
        <w:rPr>
          <w:rFonts w:ascii="Palatino Linotype" w:hAnsi="Palatino Linotype" w:cs="Arial"/>
          <w:sz w:val="24"/>
          <w:szCs w:val="24"/>
        </w:rPr>
        <w:t xml:space="preserve">but be looking for the opportunity to develop these skills. </w:t>
      </w:r>
    </w:p>
    <w:p w14:paraId="1E49B0DE" w14:textId="77777777" w:rsidR="00B54F97" w:rsidRPr="00EB2CD4" w:rsidRDefault="00975BBC" w:rsidP="00B54F97">
      <w:pPr>
        <w:spacing w:line="480" w:lineRule="auto"/>
        <w:jc w:val="both"/>
        <w:rPr>
          <w:rFonts w:ascii="Palatino Linotype" w:hAnsi="Palatino Linotype" w:cs="Arial"/>
          <w:sz w:val="24"/>
          <w:szCs w:val="24"/>
        </w:rPr>
      </w:pPr>
      <w:r w:rsidRPr="00EB2CD4">
        <w:rPr>
          <w:rFonts w:ascii="Palatino Linotype" w:hAnsi="Palatino Linotype" w:cs="Arial"/>
          <w:sz w:val="24"/>
          <w:szCs w:val="24"/>
        </w:rPr>
        <w:t>It pays to be conscious t</w:t>
      </w:r>
      <w:r w:rsidR="00374CC1" w:rsidRPr="00EB2CD4">
        <w:rPr>
          <w:rFonts w:ascii="Palatino Linotype" w:hAnsi="Palatino Linotype" w:cs="Arial"/>
          <w:sz w:val="24"/>
          <w:szCs w:val="24"/>
        </w:rPr>
        <w:t>hat each person/institution will have different pressure points in their work calendar – for universities</w:t>
      </w:r>
      <w:r w:rsidR="00166523" w:rsidRPr="00EB2CD4">
        <w:rPr>
          <w:rFonts w:ascii="Palatino Linotype" w:hAnsi="Palatino Linotype" w:cs="Arial"/>
          <w:sz w:val="24"/>
          <w:szCs w:val="24"/>
        </w:rPr>
        <w:t>,</w:t>
      </w:r>
      <w:r w:rsidRPr="00EB2CD4">
        <w:rPr>
          <w:rFonts w:ascii="Palatino Linotype" w:hAnsi="Palatino Linotype" w:cs="Arial"/>
          <w:sz w:val="24"/>
          <w:szCs w:val="24"/>
        </w:rPr>
        <w:t xml:space="preserve"> this might be induction weeks, </w:t>
      </w:r>
      <w:r w:rsidR="00374CC1" w:rsidRPr="00EB2CD4">
        <w:rPr>
          <w:rFonts w:ascii="Palatino Linotype" w:hAnsi="Palatino Linotype" w:cs="Arial"/>
          <w:sz w:val="24"/>
          <w:szCs w:val="24"/>
        </w:rPr>
        <w:t>exam periods</w:t>
      </w:r>
      <w:r w:rsidRPr="00EB2CD4">
        <w:rPr>
          <w:rFonts w:ascii="Palatino Linotype" w:hAnsi="Palatino Linotype" w:cs="Arial"/>
          <w:sz w:val="24"/>
          <w:szCs w:val="24"/>
        </w:rPr>
        <w:t xml:space="preserve"> or inspections from regulatory bodies</w:t>
      </w:r>
      <w:r w:rsidR="00374CC1" w:rsidRPr="00EB2CD4">
        <w:rPr>
          <w:rFonts w:ascii="Palatino Linotype" w:hAnsi="Palatino Linotype" w:cs="Arial"/>
          <w:sz w:val="24"/>
          <w:szCs w:val="24"/>
        </w:rPr>
        <w:t>; for external professionals</w:t>
      </w:r>
      <w:r w:rsidR="00F80039" w:rsidRPr="00EB2CD4">
        <w:rPr>
          <w:rFonts w:ascii="Palatino Linotype" w:hAnsi="Palatino Linotype" w:cs="Arial"/>
          <w:sz w:val="24"/>
          <w:szCs w:val="24"/>
        </w:rPr>
        <w:t>,</w:t>
      </w:r>
      <w:r w:rsidR="00374CC1" w:rsidRPr="00EB2CD4">
        <w:rPr>
          <w:rFonts w:ascii="Palatino Linotype" w:hAnsi="Palatino Linotype" w:cs="Arial"/>
          <w:sz w:val="24"/>
          <w:szCs w:val="24"/>
        </w:rPr>
        <w:t xml:space="preserve"> this might be the end of the financial year, or conferences they regularly host or attend. Equally, you are all entitled to your </w:t>
      </w:r>
      <w:r w:rsidR="00F80039" w:rsidRPr="00EB2CD4">
        <w:rPr>
          <w:rFonts w:ascii="Palatino Linotype" w:hAnsi="Palatino Linotype" w:cs="Arial"/>
          <w:sz w:val="24"/>
          <w:szCs w:val="24"/>
        </w:rPr>
        <w:t>‘</w:t>
      </w:r>
      <w:r w:rsidR="00374CC1" w:rsidRPr="00EB2CD4">
        <w:rPr>
          <w:rFonts w:ascii="Palatino Linotype" w:hAnsi="Palatino Linotype" w:cs="Arial"/>
          <w:sz w:val="24"/>
          <w:szCs w:val="24"/>
        </w:rPr>
        <w:t>down time</w:t>
      </w:r>
      <w:r w:rsidR="00F80039" w:rsidRPr="00EB2CD4">
        <w:rPr>
          <w:rFonts w:ascii="Palatino Linotype" w:hAnsi="Palatino Linotype" w:cs="Arial"/>
          <w:sz w:val="24"/>
          <w:szCs w:val="24"/>
        </w:rPr>
        <w:t>’</w:t>
      </w:r>
      <w:r w:rsidR="00374CC1" w:rsidRPr="00EB2CD4">
        <w:rPr>
          <w:rFonts w:ascii="Palatino Linotype" w:hAnsi="Palatino Linotype" w:cs="Arial"/>
          <w:sz w:val="24"/>
          <w:szCs w:val="24"/>
        </w:rPr>
        <w:t xml:space="preserve"> and don’t expect or want to be contacted about the project during those periods. Discuss these issues openly and early on, so you can plan the PLE project timetable (and scale) around this, and </w:t>
      </w:r>
      <w:r w:rsidR="00A43B5E" w:rsidRPr="00EB2CD4">
        <w:rPr>
          <w:rFonts w:ascii="Palatino Linotype" w:hAnsi="Palatino Linotype" w:cs="Arial"/>
          <w:sz w:val="24"/>
          <w:szCs w:val="24"/>
        </w:rPr>
        <w:t xml:space="preserve">share the workload accordingly. </w:t>
      </w:r>
      <w:r w:rsidR="002A1535" w:rsidRPr="00EB2CD4">
        <w:rPr>
          <w:rFonts w:ascii="Palatino Linotype" w:hAnsi="Palatino Linotype" w:cs="Arial"/>
          <w:sz w:val="24"/>
          <w:szCs w:val="24"/>
        </w:rPr>
        <w:t xml:space="preserve">You can then agree a list of tasks and </w:t>
      </w:r>
      <w:r w:rsidR="00374CC1" w:rsidRPr="00EB2CD4">
        <w:rPr>
          <w:rFonts w:ascii="Palatino Linotype" w:hAnsi="Palatino Linotype" w:cs="Arial"/>
          <w:sz w:val="24"/>
          <w:szCs w:val="24"/>
        </w:rPr>
        <w:t xml:space="preserve">deadlines and </w:t>
      </w:r>
      <w:r w:rsidR="00BB2EF4" w:rsidRPr="00EB2CD4">
        <w:rPr>
          <w:rFonts w:ascii="Palatino Linotype" w:hAnsi="Palatino Linotype" w:cs="Arial"/>
          <w:sz w:val="24"/>
          <w:szCs w:val="24"/>
        </w:rPr>
        <w:t xml:space="preserve">(being mindful of general workload allocation) </w:t>
      </w:r>
      <w:r w:rsidR="002A1535" w:rsidRPr="00EB2CD4">
        <w:rPr>
          <w:rFonts w:ascii="Palatino Linotype" w:hAnsi="Palatino Linotype" w:cs="Arial"/>
          <w:sz w:val="24"/>
          <w:szCs w:val="24"/>
        </w:rPr>
        <w:t xml:space="preserve">match those tasks </w:t>
      </w:r>
      <w:r w:rsidR="004D7EAF" w:rsidRPr="00EB2CD4">
        <w:rPr>
          <w:rFonts w:ascii="Palatino Linotype" w:hAnsi="Palatino Linotype" w:cs="Arial"/>
          <w:sz w:val="24"/>
          <w:szCs w:val="24"/>
        </w:rPr>
        <w:t>to</w:t>
      </w:r>
      <w:r w:rsidR="00661CAC" w:rsidRPr="00EB2CD4">
        <w:rPr>
          <w:rFonts w:ascii="Palatino Linotype" w:hAnsi="Palatino Linotype" w:cs="Arial"/>
          <w:sz w:val="24"/>
          <w:szCs w:val="24"/>
        </w:rPr>
        <w:t xml:space="preserve"> the relevant person(s)</w:t>
      </w:r>
      <w:r w:rsidR="00270075" w:rsidRPr="00EB2CD4">
        <w:rPr>
          <w:rFonts w:ascii="Palatino Linotype" w:hAnsi="Palatino Linotype" w:cs="Arial"/>
          <w:sz w:val="24"/>
          <w:szCs w:val="24"/>
        </w:rPr>
        <w:t xml:space="preserve"> – and importantly, let them get on with it; they can report back on their progress at regular catch ups</w:t>
      </w:r>
      <w:r w:rsidR="004D7EAF" w:rsidRPr="00EB2CD4">
        <w:rPr>
          <w:rFonts w:ascii="Palatino Linotype" w:hAnsi="Palatino Linotype" w:cs="Arial"/>
          <w:sz w:val="24"/>
          <w:szCs w:val="24"/>
        </w:rPr>
        <w:t>.</w:t>
      </w:r>
      <w:r w:rsidR="00E56AE2" w:rsidRPr="00EB2CD4">
        <w:rPr>
          <w:rFonts w:ascii="Palatino Linotype" w:hAnsi="Palatino Linotype" w:cs="Arial"/>
          <w:sz w:val="24"/>
          <w:szCs w:val="24"/>
        </w:rPr>
        <w:t xml:space="preserve"> Try to share those dreary but unavoidable tasks</w:t>
      </w:r>
      <w:r w:rsidR="00166523" w:rsidRPr="00EB2CD4">
        <w:rPr>
          <w:rFonts w:ascii="Palatino Linotype" w:hAnsi="Palatino Linotype" w:cs="Arial"/>
          <w:sz w:val="24"/>
          <w:szCs w:val="24"/>
        </w:rPr>
        <w:t xml:space="preserve"> evenly</w:t>
      </w:r>
      <w:r w:rsidR="00E56AE2" w:rsidRPr="00EB2CD4">
        <w:rPr>
          <w:rFonts w:ascii="Palatino Linotype" w:hAnsi="Palatino Linotype" w:cs="Arial"/>
          <w:sz w:val="24"/>
          <w:szCs w:val="24"/>
        </w:rPr>
        <w:t xml:space="preserve"> (e.g. endless photocopying</w:t>
      </w:r>
      <w:r w:rsidR="00166523" w:rsidRPr="00EB2CD4">
        <w:rPr>
          <w:rFonts w:ascii="Palatino Linotype" w:hAnsi="Palatino Linotype" w:cs="Arial"/>
          <w:sz w:val="24"/>
          <w:szCs w:val="24"/>
        </w:rPr>
        <w:t>!)</w:t>
      </w:r>
      <w:r w:rsidR="00696887" w:rsidRPr="00EB2CD4">
        <w:rPr>
          <w:rFonts w:ascii="Palatino Linotype" w:hAnsi="Palatino Linotype" w:cs="Arial"/>
          <w:sz w:val="24"/>
          <w:szCs w:val="24"/>
        </w:rPr>
        <w:t xml:space="preserve">, </w:t>
      </w:r>
      <w:r w:rsidR="00E56AE2" w:rsidRPr="00EB2CD4">
        <w:rPr>
          <w:rFonts w:ascii="Palatino Linotype" w:hAnsi="Palatino Linotype" w:cs="Arial"/>
          <w:sz w:val="24"/>
          <w:szCs w:val="24"/>
        </w:rPr>
        <w:t xml:space="preserve">so people remain passionate about their involvement </w:t>
      </w:r>
      <w:r w:rsidR="00F80039" w:rsidRPr="00EB2CD4">
        <w:rPr>
          <w:rFonts w:ascii="Palatino Linotype" w:hAnsi="Palatino Linotype" w:cs="Arial"/>
          <w:sz w:val="24"/>
          <w:szCs w:val="24"/>
        </w:rPr>
        <w:t xml:space="preserve">in </w:t>
      </w:r>
      <w:r w:rsidR="000A45FB" w:rsidRPr="00EB2CD4">
        <w:rPr>
          <w:rFonts w:ascii="Palatino Linotype" w:hAnsi="Palatino Linotype" w:cs="Arial"/>
          <w:sz w:val="24"/>
          <w:szCs w:val="24"/>
        </w:rPr>
        <w:t xml:space="preserve">the </w:t>
      </w:r>
      <w:r w:rsidR="00E56AE2" w:rsidRPr="00EB2CD4">
        <w:rPr>
          <w:rFonts w:ascii="Palatino Linotype" w:hAnsi="Palatino Linotype" w:cs="Arial"/>
          <w:sz w:val="24"/>
          <w:szCs w:val="24"/>
        </w:rPr>
        <w:t>project</w:t>
      </w:r>
      <w:r w:rsidR="00B959E5" w:rsidRPr="00EB2CD4">
        <w:rPr>
          <w:rFonts w:ascii="Palatino Linotype" w:hAnsi="Palatino Linotype" w:cs="Arial"/>
          <w:sz w:val="24"/>
          <w:szCs w:val="24"/>
        </w:rPr>
        <w:t xml:space="preserve">, </w:t>
      </w:r>
      <w:r w:rsidR="00696887" w:rsidRPr="00EB2CD4">
        <w:rPr>
          <w:rFonts w:ascii="Palatino Linotype" w:hAnsi="Palatino Linotype" w:cs="Arial"/>
          <w:sz w:val="24"/>
          <w:szCs w:val="24"/>
        </w:rPr>
        <w:t xml:space="preserve">and </w:t>
      </w:r>
      <w:r w:rsidR="00171BF0" w:rsidRPr="00EB2CD4">
        <w:rPr>
          <w:rFonts w:ascii="Palatino Linotype" w:hAnsi="Palatino Linotype" w:cs="Arial"/>
          <w:sz w:val="24"/>
          <w:szCs w:val="24"/>
        </w:rPr>
        <w:t>feel their</w:t>
      </w:r>
      <w:r w:rsidR="00696887" w:rsidRPr="00EB2CD4">
        <w:rPr>
          <w:rFonts w:ascii="Palatino Linotype" w:hAnsi="Palatino Linotype" w:cs="Arial"/>
          <w:sz w:val="24"/>
          <w:szCs w:val="24"/>
        </w:rPr>
        <w:t xml:space="preserve"> contribution </w:t>
      </w:r>
      <w:r w:rsidR="00171BF0" w:rsidRPr="00EB2CD4">
        <w:rPr>
          <w:rFonts w:ascii="Palatino Linotype" w:hAnsi="Palatino Linotype" w:cs="Arial"/>
          <w:sz w:val="24"/>
          <w:szCs w:val="24"/>
        </w:rPr>
        <w:t xml:space="preserve">is </w:t>
      </w:r>
      <w:r w:rsidR="00B959E5" w:rsidRPr="00EB2CD4">
        <w:rPr>
          <w:rFonts w:ascii="Palatino Linotype" w:hAnsi="Palatino Linotype" w:cs="Arial"/>
          <w:sz w:val="24"/>
          <w:szCs w:val="24"/>
        </w:rPr>
        <w:t>valued</w:t>
      </w:r>
      <w:r w:rsidR="00E56AE2" w:rsidRPr="00EB2CD4">
        <w:rPr>
          <w:rFonts w:ascii="Palatino Linotype" w:hAnsi="Palatino Linotype" w:cs="Arial"/>
          <w:sz w:val="24"/>
          <w:szCs w:val="24"/>
        </w:rPr>
        <w:t xml:space="preserve">. </w:t>
      </w:r>
    </w:p>
    <w:p w14:paraId="449589D6" w14:textId="64729D42" w:rsidR="004D212F" w:rsidRPr="004D1FCE" w:rsidRDefault="002449E8" w:rsidP="00B54F97">
      <w:pPr>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Open discussions in this regard – and having a key person at each institution answerable for the project </w:t>
      </w:r>
      <w:r w:rsidR="00A73919">
        <w:rPr>
          <w:rFonts w:ascii="Palatino Linotype" w:hAnsi="Palatino Linotype" w:cs="Arial"/>
          <w:sz w:val="24"/>
          <w:szCs w:val="24"/>
        </w:rPr>
        <w:t>–</w:t>
      </w:r>
      <w:r w:rsidRPr="00EB2CD4">
        <w:rPr>
          <w:rFonts w:ascii="Palatino Linotype" w:hAnsi="Palatino Linotype" w:cs="Arial"/>
          <w:sz w:val="24"/>
          <w:szCs w:val="24"/>
        </w:rPr>
        <w:t xml:space="preserve"> have</w:t>
      </w:r>
      <w:r w:rsidR="00A73919">
        <w:rPr>
          <w:rFonts w:ascii="Palatino Linotype" w:hAnsi="Palatino Linotype" w:cs="Arial"/>
          <w:sz w:val="24"/>
          <w:szCs w:val="24"/>
        </w:rPr>
        <w:t xml:space="preserve"> </w:t>
      </w:r>
      <w:r w:rsidRPr="00EB2CD4">
        <w:rPr>
          <w:rFonts w:ascii="Palatino Linotype" w:hAnsi="Palatino Linotype" w:cs="Arial"/>
          <w:sz w:val="24"/>
          <w:szCs w:val="24"/>
        </w:rPr>
        <w:t xml:space="preserve">aided the smooth running of the Streetlaw in the </w:t>
      </w:r>
      <w:r w:rsidRPr="00EB2CD4">
        <w:rPr>
          <w:rFonts w:ascii="Palatino Linotype" w:hAnsi="Palatino Linotype" w:cs="Arial"/>
          <w:sz w:val="24"/>
          <w:szCs w:val="24"/>
        </w:rPr>
        <w:lastRenderedPageBreak/>
        <w:t xml:space="preserve">Cardiff Employment Tribunal project </w:t>
      </w:r>
      <w:r w:rsidR="007D24E2" w:rsidRPr="00EB2CD4">
        <w:rPr>
          <w:rFonts w:ascii="Palatino Linotype" w:hAnsi="Palatino Linotype" w:cs="Arial"/>
          <w:sz w:val="24"/>
          <w:szCs w:val="24"/>
        </w:rPr>
        <w:t>since 2017</w:t>
      </w:r>
      <w:r w:rsidRPr="00EB2CD4">
        <w:rPr>
          <w:rFonts w:ascii="Palatino Linotype" w:hAnsi="Palatino Linotype" w:cs="Arial"/>
          <w:sz w:val="24"/>
          <w:szCs w:val="24"/>
        </w:rPr>
        <w:t xml:space="preserve">. </w:t>
      </w:r>
      <w:r w:rsidR="006C1CED" w:rsidRPr="00EB2CD4">
        <w:rPr>
          <w:rFonts w:ascii="Palatino Linotype" w:hAnsi="Palatino Linotype" w:cs="Arial"/>
          <w:sz w:val="24"/>
          <w:szCs w:val="24"/>
        </w:rPr>
        <w:t xml:space="preserve">BPP is one of four universities collaborating on this project. </w:t>
      </w:r>
      <w:r w:rsidR="004D212F" w:rsidRPr="00EB2CD4">
        <w:rPr>
          <w:rFonts w:ascii="Palatino Linotype" w:hAnsi="Palatino Linotype" w:cs="Arial"/>
          <w:sz w:val="24"/>
          <w:szCs w:val="24"/>
        </w:rPr>
        <w:t>The PLE workshops on Tribunal procedures run on a monthly basis from November to May each year, to align with the academic year. At the outset</w:t>
      </w:r>
      <w:r w:rsidR="00B54F97" w:rsidRPr="00EB2CD4">
        <w:rPr>
          <w:rFonts w:ascii="Palatino Linotype" w:hAnsi="Palatino Linotype" w:cs="Arial"/>
          <w:sz w:val="24"/>
          <w:szCs w:val="24"/>
        </w:rPr>
        <w:t xml:space="preserve"> of this collaboration</w:t>
      </w:r>
      <w:r w:rsidR="004D212F" w:rsidRPr="00EB2CD4">
        <w:rPr>
          <w:rFonts w:ascii="Palatino Linotype" w:hAnsi="Palatino Linotype" w:cs="Arial"/>
          <w:sz w:val="24"/>
          <w:szCs w:val="24"/>
        </w:rPr>
        <w:t>, major tasks</w:t>
      </w:r>
      <w:r w:rsidRPr="00EB2CD4">
        <w:rPr>
          <w:rFonts w:ascii="Palatino Linotype" w:hAnsi="Palatino Linotype" w:cs="Arial"/>
          <w:sz w:val="24"/>
          <w:szCs w:val="24"/>
        </w:rPr>
        <w:t xml:space="preserve"> were divided up between </w:t>
      </w:r>
      <w:r w:rsidR="004D212F" w:rsidRPr="00EB2CD4">
        <w:rPr>
          <w:rFonts w:ascii="Palatino Linotype" w:hAnsi="Palatino Linotype" w:cs="Arial"/>
          <w:sz w:val="24"/>
          <w:szCs w:val="24"/>
        </w:rPr>
        <w:t xml:space="preserve">the </w:t>
      </w:r>
      <w:r w:rsidRPr="00EB2CD4">
        <w:rPr>
          <w:rFonts w:ascii="Palatino Linotype" w:hAnsi="Palatino Linotype" w:cs="Arial"/>
          <w:sz w:val="24"/>
          <w:szCs w:val="24"/>
        </w:rPr>
        <w:t>four participating universities according to internal expertise</w:t>
      </w:r>
      <w:r w:rsidR="004D212F" w:rsidRPr="00EB2CD4">
        <w:rPr>
          <w:rFonts w:ascii="Palatino Linotype" w:hAnsi="Palatino Linotype" w:cs="Arial"/>
          <w:sz w:val="24"/>
          <w:szCs w:val="24"/>
        </w:rPr>
        <w:t xml:space="preserve"> and resource</w:t>
      </w:r>
      <w:r w:rsidRPr="00EB2CD4">
        <w:rPr>
          <w:rFonts w:ascii="Palatino Linotype" w:hAnsi="Palatino Linotype" w:cs="Arial"/>
          <w:sz w:val="24"/>
          <w:szCs w:val="24"/>
        </w:rPr>
        <w:t xml:space="preserve"> e.g. </w:t>
      </w:r>
      <w:r w:rsidR="004D212F" w:rsidRPr="00EB2CD4">
        <w:rPr>
          <w:rFonts w:ascii="Palatino Linotype" w:hAnsi="Palatino Linotype" w:cs="Arial"/>
          <w:sz w:val="24"/>
          <w:szCs w:val="24"/>
        </w:rPr>
        <w:t xml:space="preserve">a staff member </w:t>
      </w:r>
      <w:r w:rsidRPr="00EB2CD4">
        <w:rPr>
          <w:rFonts w:ascii="Palatino Linotype" w:hAnsi="Palatino Linotype" w:cs="Arial"/>
          <w:sz w:val="24"/>
          <w:szCs w:val="24"/>
        </w:rPr>
        <w:t xml:space="preserve">with employment law </w:t>
      </w:r>
      <w:r w:rsidR="00B54F97" w:rsidRPr="00EB2CD4">
        <w:rPr>
          <w:rFonts w:ascii="Palatino Linotype" w:hAnsi="Palatino Linotype" w:cs="Arial"/>
          <w:sz w:val="24"/>
          <w:szCs w:val="24"/>
        </w:rPr>
        <w:t>experience</w:t>
      </w:r>
      <w:r w:rsidRPr="00EB2CD4">
        <w:rPr>
          <w:rFonts w:ascii="Palatino Linotype" w:hAnsi="Palatino Linotype" w:cs="Arial"/>
          <w:sz w:val="24"/>
          <w:szCs w:val="24"/>
        </w:rPr>
        <w:t xml:space="preserve"> developed the workshop </w:t>
      </w:r>
      <w:r w:rsidR="00B54F97" w:rsidRPr="00EB2CD4">
        <w:rPr>
          <w:rFonts w:ascii="Palatino Linotype" w:hAnsi="Palatino Linotype" w:cs="Arial"/>
          <w:sz w:val="24"/>
          <w:szCs w:val="24"/>
        </w:rPr>
        <w:t xml:space="preserve">and training </w:t>
      </w:r>
      <w:r w:rsidRPr="00EB2CD4">
        <w:rPr>
          <w:rFonts w:ascii="Palatino Linotype" w:hAnsi="Palatino Linotype" w:cs="Arial"/>
          <w:sz w:val="24"/>
          <w:szCs w:val="24"/>
        </w:rPr>
        <w:t>content; others utilised their contacts to lead on marketing strategy</w:t>
      </w:r>
      <w:r w:rsidR="004D212F" w:rsidRPr="00EB2CD4">
        <w:rPr>
          <w:rFonts w:ascii="Palatino Linotype" w:hAnsi="Palatino Linotype" w:cs="Arial"/>
          <w:sz w:val="24"/>
          <w:szCs w:val="24"/>
        </w:rPr>
        <w:t xml:space="preserve">; </w:t>
      </w:r>
      <w:r w:rsidR="00B54F97" w:rsidRPr="00EB2CD4">
        <w:rPr>
          <w:rFonts w:ascii="Palatino Linotype" w:hAnsi="Palatino Linotype" w:cs="Arial"/>
          <w:sz w:val="24"/>
          <w:szCs w:val="24"/>
        </w:rPr>
        <w:t xml:space="preserve">and </w:t>
      </w:r>
      <w:r w:rsidR="004D212F" w:rsidRPr="00EB2CD4">
        <w:rPr>
          <w:rFonts w:ascii="Palatino Linotype" w:hAnsi="Palatino Linotype" w:cs="Arial"/>
          <w:sz w:val="24"/>
          <w:szCs w:val="24"/>
        </w:rPr>
        <w:t xml:space="preserve">another institution with the most </w:t>
      </w:r>
      <w:r w:rsidR="00B54F97" w:rsidRPr="00EB2CD4">
        <w:rPr>
          <w:rFonts w:ascii="Palatino Linotype" w:hAnsi="Palatino Linotype" w:cs="Arial"/>
          <w:sz w:val="24"/>
          <w:szCs w:val="24"/>
        </w:rPr>
        <w:t xml:space="preserve">central and </w:t>
      </w:r>
      <w:r w:rsidR="004D212F" w:rsidRPr="00EB2CD4">
        <w:rPr>
          <w:rFonts w:ascii="Palatino Linotype" w:hAnsi="Palatino Linotype" w:cs="Arial"/>
          <w:sz w:val="24"/>
          <w:szCs w:val="24"/>
        </w:rPr>
        <w:t xml:space="preserve">suitable </w:t>
      </w:r>
      <w:r w:rsidR="00B54F97" w:rsidRPr="00EB2CD4">
        <w:rPr>
          <w:rFonts w:ascii="Palatino Linotype" w:hAnsi="Palatino Linotype" w:cs="Arial"/>
          <w:sz w:val="24"/>
          <w:szCs w:val="24"/>
        </w:rPr>
        <w:t xml:space="preserve">conference </w:t>
      </w:r>
      <w:r w:rsidR="004D212F" w:rsidRPr="00EB2CD4">
        <w:rPr>
          <w:rFonts w:ascii="Palatino Linotype" w:hAnsi="Palatino Linotype" w:cs="Arial"/>
          <w:sz w:val="24"/>
          <w:szCs w:val="24"/>
        </w:rPr>
        <w:t xml:space="preserve">facilities hosted </w:t>
      </w:r>
      <w:r w:rsidR="009D7120" w:rsidRPr="00EB2CD4">
        <w:rPr>
          <w:rFonts w:ascii="Palatino Linotype" w:hAnsi="Palatino Linotype" w:cs="Arial"/>
          <w:sz w:val="24"/>
          <w:szCs w:val="24"/>
        </w:rPr>
        <w:t xml:space="preserve">the </w:t>
      </w:r>
      <w:r w:rsidR="00B54F97" w:rsidRPr="00EB2CD4">
        <w:rPr>
          <w:rFonts w:ascii="Palatino Linotype" w:hAnsi="Palatino Linotype" w:cs="Arial"/>
          <w:sz w:val="24"/>
          <w:szCs w:val="24"/>
        </w:rPr>
        <w:t>student</w:t>
      </w:r>
      <w:r w:rsidR="004D212F" w:rsidRPr="00EB2CD4">
        <w:rPr>
          <w:rFonts w:ascii="Palatino Linotype" w:hAnsi="Palatino Linotype" w:cs="Arial"/>
          <w:sz w:val="24"/>
          <w:szCs w:val="24"/>
        </w:rPr>
        <w:t xml:space="preserve"> training</w:t>
      </w:r>
      <w:r w:rsidRPr="00EB2CD4">
        <w:rPr>
          <w:rFonts w:ascii="Palatino Linotype" w:hAnsi="Palatino Linotype" w:cs="Arial"/>
          <w:sz w:val="24"/>
          <w:szCs w:val="24"/>
        </w:rPr>
        <w:t>.</w:t>
      </w:r>
      <w:r w:rsidR="009D7120" w:rsidRPr="00EB2CD4">
        <w:rPr>
          <w:rFonts w:ascii="Palatino Linotype" w:hAnsi="Palatino Linotype" w:cs="Arial"/>
          <w:sz w:val="24"/>
          <w:szCs w:val="24"/>
        </w:rPr>
        <w:t xml:space="preserve"> All student volunteers attend the same training and use the same presenting materials to ensure consistency and quality across the board.</w:t>
      </w:r>
      <w:r w:rsidRPr="00EB2CD4">
        <w:rPr>
          <w:rFonts w:ascii="Palatino Linotype" w:hAnsi="Palatino Linotype" w:cs="Arial"/>
          <w:sz w:val="24"/>
          <w:szCs w:val="24"/>
        </w:rPr>
        <w:t xml:space="preserve"> </w:t>
      </w:r>
      <w:r w:rsidR="00156126" w:rsidRPr="00EB2CD4">
        <w:rPr>
          <w:rFonts w:ascii="Palatino Linotype" w:hAnsi="Palatino Linotype" w:cs="Arial"/>
          <w:sz w:val="24"/>
          <w:szCs w:val="24"/>
        </w:rPr>
        <w:t>Valuable insight was also provided</w:t>
      </w:r>
      <w:r w:rsidR="009D7120" w:rsidRPr="00EB2CD4">
        <w:rPr>
          <w:rFonts w:ascii="Palatino Linotype" w:hAnsi="Palatino Linotype" w:cs="Arial"/>
          <w:sz w:val="24"/>
          <w:szCs w:val="24"/>
        </w:rPr>
        <w:t xml:space="preserve"> early on</w:t>
      </w:r>
      <w:r w:rsidR="00156126" w:rsidRPr="00EB2CD4">
        <w:rPr>
          <w:rFonts w:ascii="Palatino Linotype" w:hAnsi="Palatino Linotype" w:cs="Arial"/>
          <w:sz w:val="24"/>
          <w:szCs w:val="24"/>
        </w:rPr>
        <w:t xml:space="preserve"> by Birmingham University</w:t>
      </w:r>
      <w:r w:rsidR="009D7120" w:rsidRPr="00EB2CD4">
        <w:rPr>
          <w:rFonts w:ascii="Palatino Linotype" w:hAnsi="Palatino Linotype" w:cs="Arial"/>
          <w:sz w:val="24"/>
          <w:szCs w:val="24"/>
        </w:rPr>
        <w:t>,</w:t>
      </w:r>
      <w:r w:rsidR="00156126" w:rsidRPr="00EB2CD4">
        <w:rPr>
          <w:rFonts w:ascii="Palatino Linotype" w:hAnsi="Palatino Linotype" w:cs="Arial"/>
          <w:sz w:val="24"/>
          <w:szCs w:val="24"/>
        </w:rPr>
        <w:t xml:space="preserve"> who germinated the idea of PLE workshops about Tribunal procedure at their local Civil Justice Centre in 2015</w:t>
      </w:r>
      <w:r w:rsidR="00156126" w:rsidRPr="00EB2CD4">
        <w:rPr>
          <w:rStyle w:val="FootnoteReference"/>
          <w:rFonts w:ascii="Palatino Linotype" w:hAnsi="Palatino Linotype" w:cs="Arial"/>
          <w:sz w:val="24"/>
          <w:szCs w:val="24"/>
        </w:rPr>
        <w:footnoteReference w:id="7"/>
      </w:r>
      <w:r w:rsidR="00156126" w:rsidRPr="00EB2CD4">
        <w:rPr>
          <w:rFonts w:ascii="Palatino Linotype" w:hAnsi="Palatino Linotype" w:cs="Arial"/>
          <w:sz w:val="24"/>
          <w:szCs w:val="24"/>
        </w:rPr>
        <w:t xml:space="preserve">. </w:t>
      </w:r>
      <w:r w:rsidR="004D212F" w:rsidRPr="00EB2CD4">
        <w:rPr>
          <w:rFonts w:ascii="Palatino Linotype" w:hAnsi="Palatino Linotype" w:cs="Arial"/>
          <w:sz w:val="24"/>
          <w:szCs w:val="24"/>
        </w:rPr>
        <w:t xml:space="preserve">An all-party conference call now takes place each August to reflect on the previous year and plan for the year ahead (although bi-monthly catch ups may be needed in the fledgling year of </w:t>
      </w:r>
      <w:r w:rsidR="00B54F97" w:rsidRPr="00EB2CD4">
        <w:rPr>
          <w:rFonts w:ascii="Palatino Linotype" w:hAnsi="Palatino Linotype" w:cs="Arial"/>
          <w:sz w:val="24"/>
          <w:szCs w:val="24"/>
        </w:rPr>
        <w:t>such a</w:t>
      </w:r>
      <w:r w:rsidR="004D212F" w:rsidRPr="00EB2CD4">
        <w:rPr>
          <w:rFonts w:ascii="Palatino Linotype" w:hAnsi="Palatino Linotype" w:cs="Arial"/>
          <w:sz w:val="24"/>
          <w:szCs w:val="24"/>
        </w:rPr>
        <w:t xml:space="preserve"> project)</w:t>
      </w:r>
      <w:r w:rsidR="00B54F97" w:rsidRPr="00EB2CD4">
        <w:rPr>
          <w:rFonts w:ascii="Palatino Linotype" w:hAnsi="Palatino Linotype" w:cs="Arial"/>
          <w:sz w:val="24"/>
          <w:szCs w:val="24"/>
        </w:rPr>
        <w:t xml:space="preserve">. </w:t>
      </w:r>
      <w:r w:rsidR="004D212F" w:rsidRPr="00EB2CD4">
        <w:rPr>
          <w:rFonts w:ascii="Palatino Linotype" w:hAnsi="Palatino Linotype" w:cs="Arial"/>
          <w:sz w:val="24"/>
          <w:szCs w:val="24"/>
        </w:rPr>
        <w:t>Application, training and workshop dates are agreed</w:t>
      </w:r>
      <w:r w:rsidR="00B54F97" w:rsidRPr="00EB2CD4">
        <w:rPr>
          <w:rFonts w:ascii="Palatino Linotype" w:hAnsi="Palatino Linotype" w:cs="Arial"/>
          <w:sz w:val="24"/>
          <w:szCs w:val="24"/>
        </w:rPr>
        <w:t xml:space="preserve"> </w:t>
      </w:r>
      <w:r w:rsidR="007D24E2" w:rsidRPr="00EB2CD4">
        <w:rPr>
          <w:rFonts w:ascii="Palatino Linotype" w:hAnsi="Palatino Linotype" w:cs="Arial"/>
          <w:sz w:val="24"/>
          <w:szCs w:val="24"/>
        </w:rPr>
        <w:t xml:space="preserve">with a Tribunal Judge </w:t>
      </w:r>
      <w:r w:rsidR="00B54F97" w:rsidRPr="00EB2CD4">
        <w:rPr>
          <w:rFonts w:ascii="Palatino Linotype" w:hAnsi="Palatino Linotype" w:cs="Arial"/>
          <w:sz w:val="24"/>
          <w:szCs w:val="24"/>
        </w:rPr>
        <w:t>on this call</w:t>
      </w:r>
      <w:r w:rsidR="004D212F" w:rsidRPr="00EB2CD4">
        <w:rPr>
          <w:rFonts w:ascii="Palatino Linotype" w:hAnsi="Palatino Linotype" w:cs="Arial"/>
          <w:sz w:val="24"/>
          <w:szCs w:val="24"/>
        </w:rPr>
        <w:t>, with universities ass</w:t>
      </w:r>
      <w:r w:rsidR="00B54F97" w:rsidRPr="00EB2CD4">
        <w:rPr>
          <w:rFonts w:ascii="Palatino Linotype" w:hAnsi="Palatino Linotype" w:cs="Arial"/>
          <w:sz w:val="24"/>
          <w:szCs w:val="24"/>
        </w:rPr>
        <w:t xml:space="preserve">igned to </w:t>
      </w:r>
      <w:r w:rsidR="004D212F" w:rsidRPr="00EB2CD4">
        <w:rPr>
          <w:rFonts w:ascii="Palatino Linotype" w:hAnsi="Palatino Linotype" w:cs="Arial"/>
          <w:sz w:val="24"/>
          <w:szCs w:val="24"/>
        </w:rPr>
        <w:t xml:space="preserve">monthly presenting slots according to their </w:t>
      </w:r>
      <w:r w:rsidR="007D24E2" w:rsidRPr="00EB2CD4">
        <w:rPr>
          <w:rFonts w:ascii="Palatino Linotype" w:hAnsi="Palatino Linotype" w:cs="Arial"/>
          <w:sz w:val="24"/>
          <w:szCs w:val="24"/>
        </w:rPr>
        <w:t xml:space="preserve">teaching and </w:t>
      </w:r>
      <w:r w:rsidR="004D212F" w:rsidRPr="00EB2CD4">
        <w:rPr>
          <w:rFonts w:ascii="Palatino Linotype" w:hAnsi="Palatino Linotype" w:cs="Arial"/>
          <w:sz w:val="24"/>
          <w:szCs w:val="24"/>
        </w:rPr>
        <w:t>exam timetables.</w:t>
      </w:r>
      <w:r w:rsidR="004D212F" w:rsidRPr="00EB2CD4">
        <w:rPr>
          <w:rFonts w:ascii="Palatino Linotype" w:hAnsi="Palatino Linotype" w:cs="Calibri"/>
          <w:color w:val="1F497D"/>
          <w:sz w:val="24"/>
          <w:szCs w:val="24"/>
          <w:lang w:val="en-US"/>
        </w:rPr>
        <w:t xml:space="preserve"> </w:t>
      </w:r>
      <w:r w:rsidR="00B54F97" w:rsidRPr="004D1FCE">
        <w:rPr>
          <w:rFonts w:ascii="Palatino Linotype" w:hAnsi="Palatino Linotype" w:cs="Calibri"/>
          <w:sz w:val="24"/>
          <w:szCs w:val="24"/>
        </w:rPr>
        <w:t xml:space="preserve">Whilst each university is responsible for their assigned workshops, feedback (e.g. </w:t>
      </w:r>
      <w:r w:rsidR="003E5134" w:rsidRPr="004D1FCE">
        <w:rPr>
          <w:rFonts w:ascii="Palatino Linotype" w:hAnsi="Palatino Linotype" w:cs="Calibri"/>
          <w:sz w:val="24"/>
          <w:szCs w:val="24"/>
        </w:rPr>
        <w:t xml:space="preserve">on </w:t>
      </w:r>
      <w:r w:rsidR="00B54F97" w:rsidRPr="004D1FCE">
        <w:rPr>
          <w:rFonts w:ascii="Palatino Linotype" w:hAnsi="Palatino Linotype" w:cs="Calibri"/>
          <w:sz w:val="24"/>
          <w:szCs w:val="24"/>
        </w:rPr>
        <w:t xml:space="preserve">audience attendance or </w:t>
      </w:r>
      <w:r w:rsidR="007D24E2" w:rsidRPr="004D1FCE">
        <w:rPr>
          <w:rFonts w:ascii="Palatino Linotype" w:hAnsi="Palatino Linotype" w:cs="Calibri"/>
          <w:sz w:val="24"/>
          <w:szCs w:val="24"/>
        </w:rPr>
        <w:t>questions raised</w:t>
      </w:r>
      <w:r w:rsidR="00B54F97" w:rsidRPr="004D1FCE">
        <w:rPr>
          <w:rFonts w:ascii="Palatino Linotype" w:hAnsi="Palatino Linotype" w:cs="Calibri"/>
          <w:sz w:val="24"/>
          <w:szCs w:val="24"/>
        </w:rPr>
        <w:t>) is filtered back to</w:t>
      </w:r>
      <w:r w:rsidR="007D24E2" w:rsidRPr="004D1FCE">
        <w:rPr>
          <w:rFonts w:ascii="Palatino Linotype" w:hAnsi="Palatino Linotype" w:cs="Calibri"/>
          <w:sz w:val="24"/>
          <w:szCs w:val="24"/>
        </w:rPr>
        <w:t xml:space="preserve"> all collaborators after each workshop, </w:t>
      </w:r>
      <w:r w:rsidR="00B54F97" w:rsidRPr="004D1FCE">
        <w:rPr>
          <w:rFonts w:ascii="Palatino Linotype" w:hAnsi="Palatino Linotype" w:cs="Calibri"/>
          <w:sz w:val="24"/>
          <w:szCs w:val="24"/>
        </w:rPr>
        <w:t>via an email group.</w:t>
      </w:r>
      <w:r w:rsidR="00B54F97" w:rsidRPr="004D1FCE">
        <w:rPr>
          <w:rFonts w:ascii="Calibri" w:hAnsi="Calibri" w:cs="Calibri"/>
          <w:sz w:val="24"/>
          <w:szCs w:val="24"/>
        </w:rPr>
        <w:t xml:space="preserve"> </w:t>
      </w:r>
    </w:p>
    <w:p w14:paraId="4FF4AF87" w14:textId="1BBCFB0D" w:rsidR="00391319" w:rsidRPr="00EB2CD4" w:rsidRDefault="00391319" w:rsidP="004303D6">
      <w:pPr>
        <w:pStyle w:val="ListParagraph"/>
        <w:numPr>
          <w:ilvl w:val="0"/>
          <w:numId w:val="17"/>
        </w:numPr>
        <w:spacing w:line="480" w:lineRule="auto"/>
        <w:jc w:val="both"/>
        <w:rPr>
          <w:rFonts w:ascii="Palatino Linotype" w:hAnsi="Palatino Linotype" w:cs="Arial"/>
          <w:sz w:val="24"/>
          <w:szCs w:val="24"/>
        </w:rPr>
      </w:pPr>
      <w:r w:rsidRPr="00EB2CD4">
        <w:rPr>
          <w:rFonts w:ascii="Palatino Linotype" w:hAnsi="Palatino Linotype" w:cs="Arial"/>
          <w:b/>
          <w:sz w:val="24"/>
          <w:szCs w:val="24"/>
        </w:rPr>
        <w:lastRenderedPageBreak/>
        <w:t xml:space="preserve">Aim for “small wins” to start with </w:t>
      </w:r>
    </w:p>
    <w:p w14:paraId="78FEB5BE" w14:textId="027B9A8F" w:rsidR="00391319" w:rsidRPr="00EB2CD4" w:rsidRDefault="00385299"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Mattessich and Monsey (1992)</w:t>
      </w:r>
      <w:r w:rsidR="00B959E5" w:rsidRPr="00EB2CD4">
        <w:rPr>
          <w:rFonts w:ascii="Palatino Linotype" w:hAnsi="Palatino Linotype" w:cs="Arial"/>
          <w:sz w:val="24"/>
          <w:szCs w:val="24"/>
        </w:rPr>
        <w:t xml:space="preserve"> also </w:t>
      </w:r>
      <w:r w:rsidR="00391319" w:rsidRPr="00EB2CD4">
        <w:rPr>
          <w:rFonts w:ascii="Palatino Linotype" w:hAnsi="Palatino Linotype" w:cs="Arial"/>
          <w:sz w:val="24"/>
          <w:szCs w:val="24"/>
        </w:rPr>
        <w:t xml:space="preserve">identify </w:t>
      </w:r>
      <w:r w:rsidR="00166523" w:rsidRPr="00EB2CD4">
        <w:rPr>
          <w:rFonts w:ascii="Palatino Linotype" w:hAnsi="Palatino Linotype" w:cs="Arial"/>
          <w:sz w:val="24"/>
          <w:szCs w:val="24"/>
        </w:rPr>
        <w:t xml:space="preserve">the presence of </w:t>
      </w:r>
      <w:r w:rsidR="00391319" w:rsidRPr="00EB2CD4">
        <w:rPr>
          <w:rFonts w:ascii="Palatino Linotype" w:hAnsi="Palatino Linotype" w:cs="Arial"/>
          <w:sz w:val="24"/>
          <w:szCs w:val="24"/>
        </w:rPr>
        <w:t xml:space="preserve">mutual trust and respect as </w:t>
      </w:r>
      <w:r w:rsidR="00166523" w:rsidRPr="00EB2CD4">
        <w:rPr>
          <w:rFonts w:ascii="Palatino Linotype" w:hAnsi="Palatino Linotype" w:cs="Arial"/>
          <w:sz w:val="24"/>
          <w:szCs w:val="24"/>
        </w:rPr>
        <w:t>pivotal to the likely success of a collaborative project</w:t>
      </w:r>
      <w:r w:rsidR="00391319" w:rsidRPr="00EB2CD4">
        <w:rPr>
          <w:rFonts w:ascii="Palatino Linotype" w:hAnsi="Palatino Linotype" w:cs="Arial"/>
          <w:sz w:val="24"/>
          <w:szCs w:val="24"/>
        </w:rPr>
        <w:t>. However, trust takes time to build. Trust between collaborators with no shared history may be based on reputation in the market alone, and therefore will require a ‘leap of fait</w:t>
      </w:r>
      <w:r w:rsidR="00F34202" w:rsidRPr="00EB2CD4">
        <w:rPr>
          <w:rFonts w:ascii="Palatino Linotype" w:hAnsi="Palatino Linotype" w:cs="Arial"/>
          <w:sz w:val="24"/>
          <w:szCs w:val="24"/>
        </w:rPr>
        <w:t>h’ from the parties to initiat</w:t>
      </w:r>
      <w:r w:rsidR="00391319" w:rsidRPr="00EB2CD4">
        <w:rPr>
          <w:rFonts w:ascii="Palatino Linotype" w:hAnsi="Palatino Linotype" w:cs="Arial"/>
          <w:sz w:val="24"/>
          <w:szCs w:val="24"/>
        </w:rPr>
        <w:t>e the collaboration in the first place. For this reason, Vangen and Huxham</w:t>
      </w:r>
      <w:r w:rsidR="00B959E5" w:rsidRPr="00EB2CD4">
        <w:rPr>
          <w:rFonts w:ascii="Palatino Linotype" w:hAnsi="Palatino Linotype" w:cs="Arial"/>
          <w:sz w:val="24"/>
          <w:szCs w:val="24"/>
        </w:rPr>
        <w:t xml:space="preserve"> (2003)</w:t>
      </w:r>
      <w:r w:rsidR="000C5AC0" w:rsidRPr="00EB2CD4">
        <w:rPr>
          <w:rFonts w:ascii="Palatino Linotype" w:hAnsi="Palatino Linotype" w:cs="Arial"/>
          <w:sz w:val="24"/>
          <w:szCs w:val="24"/>
        </w:rPr>
        <w:t xml:space="preserve"> </w:t>
      </w:r>
      <w:r w:rsidR="00391319" w:rsidRPr="00EB2CD4">
        <w:rPr>
          <w:rFonts w:ascii="Palatino Linotype" w:hAnsi="Palatino Linotype" w:cs="Arial"/>
          <w:sz w:val="24"/>
          <w:szCs w:val="24"/>
        </w:rPr>
        <w:t xml:space="preserve">make the case for setting realistic, modest outcomes at the beginning of new collaborative projects, which can, once met, reinforce trusting attitudes, heighten enthusiasm and set the groundwork for more ambitious collaboration. </w:t>
      </w:r>
    </w:p>
    <w:p w14:paraId="5E8F22D9" w14:textId="219779C1" w:rsidR="00391319" w:rsidRPr="00EB2CD4" w:rsidRDefault="00391319"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Low risk initiatives might include running a one</w:t>
      </w:r>
      <w:r w:rsidR="00F80039" w:rsidRPr="00EB2CD4">
        <w:rPr>
          <w:rFonts w:ascii="Palatino Linotype" w:hAnsi="Palatino Linotype" w:cs="Arial"/>
          <w:sz w:val="24"/>
          <w:szCs w:val="24"/>
        </w:rPr>
        <w:t>-</w:t>
      </w:r>
      <w:r w:rsidRPr="00EB2CD4">
        <w:rPr>
          <w:rFonts w:ascii="Palatino Linotype" w:hAnsi="Palatino Linotype" w:cs="Arial"/>
          <w:sz w:val="24"/>
          <w:szCs w:val="24"/>
        </w:rPr>
        <w:t xml:space="preserve">off PLE event or a pilot </w:t>
      </w:r>
      <w:r w:rsidR="001E7013" w:rsidRPr="00EB2CD4">
        <w:rPr>
          <w:rFonts w:ascii="Palatino Linotype" w:hAnsi="Palatino Linotype" w:cs="Arial"/>
          <w:sz w:val="24"/>
          <w:szCs w:val="24"/>
        </w:rPr>
        <w:t>that is</w:t>
      </w:r>
      <w:r w:rsidR="00950158" w:rsidRPr="00EB2CD4">
        <w:rPr>
          <w:rFonts w:ascii="Palatino Linotype" w:hAnsi="Palatino Linotype" w:cs="Arial"/>
          <w:sz w:val="24"/>
          <w:szCs w:val="24"/>
        </w:rPr>
        <w:t xml:space="preserve"> </w:t>
      </w:r>
      <w:r w:rsidRPr="00EB2CD4">
        <w:rPr>
          <w:rFonts w:ascii="Palatino Linotype" w:hAnsi="Palatino Linotype" w:cs="Arial"/>
          <w:sz w:val="24"/>
          <w:szCs w:val="24"/>
        </w:rPr>
        <w:t xml:space="preserve">limited in scope </w:t>
      </w:r>
      <w:r w:rsidR="001E7013" w:rsidRPr="00EB2CD4">
        <w:rPr>
          <w:rFonts w:ascii="Palatino Linotype" w:hAnsi="Palatino Linotype" w:cs="Arial"/>
          <w:sz w:val="24"/>
          <w:szCs w:val="24"/>
        </w:rPr>
        <w:t>with regards to</w:t>
      </w:r>
      <w:r w:rsidR="003174C5" w:rsidRPr="00EB2CD4">
        <w:rPr>
          <w:rFonts w:ascii="Palatino Linotype" w:hAnsi="Palatino Linotype" w:cs="Arial"/>
          <w:sz w:val="24"/>
          <w:szCs w:val="24"/>
        </w:rPr>
        <w:t>, for example</w:t>
      </w:r>
      <w:r w:rsidR="001E7013" w:rsidRPr="00EB2CD4">
        <w:rPr>
          <w:rFonts w:ascii="Palatino Linotype" w:hAnsi="Palatino Linotype" w:cs="Arial"/>
          <w:sz w:val="24"/>
          <w:szCs w:val="24"/>
        </w:rPr>
        <w:t>,</w:t>
      </w:r>
      <w:r w:rsidRPr="00EB2CD4">
        <w:rPr>
          <w:rFonts w:ascii="Palatino Linotype" w:hAnsi="Palatino Linotype" w:cs="Arial"/>
          <w:sz w:val="24"/>
          <w:szCs w:val="24"/>
        </w:rPr>
        <w:t xml:space="preserve"> the number of student volunteers, </w:t>
      </w:r>
      <w:r w:rsidR="00166523" w:rsidRPr="00EB2CD4">
        <w:rPr>
          <w:rFonts w:ascii="Palatino Linotype" w:hAnsi="Palatino Linotype" w:cs="Arial"/>
          <w:sz w:val="24"/>
          <w:szCs w:val="24"/>
        </w:rPr>
        <w:t>target</w:t>
      </w:r>
      <w:r w:rsidRPr="00EB2CD4">
        <w:rPr>
          <w:rFonts w:ascii="Palatino Linotype" w:hAnsi="Palatino Linotype" w:cs="Arial"/>
          <w:sz w:val="24"/>
          <w:szCs w:val="24"/>
        </w:rPr>
        <w:t xml:space="preserve"> venues or topics involved. </w:t>
      </w:r>
      <w:r w:rsidR="00166523" w:rsidRPr="00EB2CD4">
        <w:rPr>
          <w:rFonts w:ascii="Palatino Linotype" w:hAnsi="Palatino Linotype" w:cs="Arial"/>
          <w:sz w:val="24"/>
          <w:szCs w:val="24"/>
        </w:rPr>
        <w:t xml:space="preserve">By way of example, </w:t>
      </w:r>
      <w:r w:rsidRPr="00EB2CD4">
        <w:rPr>
          <w:rFonts w:ascii="Palatino Linotype" w:hAnsi="Palatino Linotype" w:cs="Arial"/>
          <w:sz w:val="24"/>
          <w:szCs w:val="24"/>
        </w:rPr>
        <w:t>BPP’s Employment Tribunal PLE project (limited in scope to a single venue and topic (</w:t>
      </w:r>
      <w:r w:rsidR="008B694E" w:rsidRPr="00EB2CD4">
        <w:rPr>
          <w:rFonts w:ascii="Palatino Linotype" w:hAnsi="Palatino Linotype" w:cs="Arial"/>
          <w:sz w:val="24"/>
          <w:szCs w:val="24"/>
        </w:rPr>
        <w:t>Tribunal</w:t>
      </w:r>
      <w:r w:rsidRPr="00EB2CD4">
        <w:rPr>
          <w:rFonts w:ascii="Palatino Linotype" w:hAnsi="Palatino Linotype" w:cs="Arial"/>
          <w:sz w:val="24"/>
          <w:szCs w:val="24"/>
        </w:rPr>
        <w:t xml:space="preserve"> procedures); and initially for a 12 week pilot) is entering its </w:t>
      </w:r>
      <w:r w:rsidR="007D24E2" w:rsidRPr="00EB2CD4">
        <w:rPr>
          <w:rFonts w:ascii="Palatino Linotype" w:hAnsi="Palatino Linotype" w:cs="Arial"/>
          <w:sz w:val="24"/>
          <w:szCs w:val="24"/>
        </w:rPr>
        <w:t xml:space="preserve">fourth </w:t>
      </w:r>
      <w:r w:rsidRPr="00EB2CD4">
        <w:rPr>
          <w:rFonts w:ascii="Palatino Linotype" w:hAnsi="Palatino Linotype" w:cs="Arial"/>
          <w:sz w:val="24"/>
          <w:szCs w:val="24"/>
        </w:rPr>
        <w:t>year of successful collaboration with local un</w:t>
      </w:r>
      <w:r w:rsidR="00166523" w:rsidRPr="00EB2CD4">
        <w:rPr>
          <w:rFonts w:ascii="Palatino Linotype" w:hAnsi="Palatino Linotype" w:cs="Arial"/>
          <w:sz w:val="24"/>
          <w:szCs w:val="24"/>
        </w:rPr>
        <w:t xml:space="preserve">iversities, the </w:t>
      </w:r>
      <w:r w:rsidR="008B694E" w:rsidRPr="00EB2CD4">
        <w:rPr>
          <w:rFonts w:ascii="Palatino Linotype" w:hAnsi="Palatino Linotype" w:cs="Arial"/>
          <w:sz w:val="24"/>
          <w:szCs w:val="24"/>
        </w:rPr>
        <w:t>Tribunals</w:t>
      </w:r>
      <w:r w:rsidR="00166523" w:rsidRPr="00EB2CD4">
        <w:rPr>
          <w:rFonts w:ascii="Palatino Linotype" w:hAnsi="Palatino Linotype" w:cs="Arial"/>
          <w:sz w:val="24"/>
          <w:szCs w:val="24"/>
        </w:rPr>
        <w:t xml:space="preserve"> and ACAS</w:t>
      </w:r>
      <w:r w:rsidR="007D24E2" w:rsidRPr="00EB2CD4">
        <w:rPr>
          <w:rFonts w:ascii="Palatino Linotype" w:hAnsi="Palatino Linotype" w:cs="Arial"/>
          <w:sz w:val="24"/>
          <w:szCs w:val="24"/>
        </w:rPr>
        <w:t xml:space="preserve"> in Lon</w:t>
      </w:r>
      <w:r w:rsidR="00156126" w:rsidRPr="00EB2CD4">
        <w:rPr>
          <w:rFonts w:ascii="Palatino Linotype" w:hAnsi="Palatino Linotype" w:cs="Arial"/>
          <w:sz w:val="24"/>
          <w:szCs w:val="24"/>
        </w:rPr>
        <w:t>don. T</w:t>
      </w:r>
      <w:r w:rsidR="007D24E2" w:rsidRPr="00EB2CD4">
        <w:rPr>
          <w:rFonts w:ascii="Palatino Linotype" w:hAnsi="Palatino Linotype" w:cs="Arial"/>
          <w:sz w:val="24"/>
          <w:szCs w:val="24"/>
        </w:rPr>
        <w:t xml:space="preserve">his </w:t>
      </w:r>
      <w:r w:rsidR="00156126" w:rsidRPr="00EB2CD4">
        <w:rPr>
          <w:rFonts w:ascii="Palatino Linotype" w:hAnsi="Palatino Linotype" w:cs="Arial"/>
          <w:sz w:val="24"/>
          <w:szCs w:val="24"/>
        </w:rPr>
        <w:t xml:space="preserve">successful </w:t>
      </w:r>
      <w:r w:rsidR="007D24E2" w:rsidRPr="00EB2CD4">
        <w:rPr>
          <w:rFonts w:ascii="Palatino Linotype" w:hAnsi="Palatino Linotype" w:cs="Arial"/>
          <w:sz w:val="24"/>
          <w:szCs w:val="24"/>
        </w:rPr>
        <w:t xml:space="preserve">‘blueprint’ </w:t>
      </w:r>
      <w:r w:rsidR="009D7120" w:rsidRPr="00EB2CD4">
        <w:rPr>
          <w:rFonts w:ascii="Palatino Linotype" w:hAnsi="Palatino Linotype" w:cs="Arial"/>
          <w:sz w:val="24"/>
          <w:szCs w:val="24"/>
        </w:rPr>
        <w:t>has</w:t>
      </w:r>
      <w:r w:rsidR="00156126" w:rsidRPr="00EB2CD4">
        <w:rPr>
          <w:rFonts w:ascii="Palatino Linotype" w:hAnsi="Palatino Linotype" w:cs="Arial"/>
          <w:sz w:val="24"/>
          <w:szCs w:val="24"/>
        </w:rPr>
        <w:t xml:space="preserve"> then</w:t>
      </w:r>
      <w:r w:rsidR="009D7120" w:rsidRPr="00EB2CD4">
        <w:rPr>
          <w:rFonts w:ascii="Palatino Linotype" w:hAnsi="Palatino Linotype" w:cs="Arial"/>
          <w:sz w:val="24"/>
          <w:szCs w:val="24"/>
        </w:rPr>
        <w:t xml:space="preserve"> been</w:t>
      </w:r>
      <w:r w:rsidR="00156126" w:rsidRPr="00EB2CD4">
        <w:rPr>
          <w:rFonts w:ascii="Palatino Linotype" w:hAnsi="Palatino Linotype" w:cs="Arial"/>
          <w:sz w:val="24"/>
          <w:szCs w:val="24"/>
        </w:rPr>
        <w:t xml:space="preserve"> </w:t>
      </w:r>
      <w:r w:rsidR="007D24E2" w:rsidRPr="00EB2CD4">
        <w:rPr>
          <w:rFonts w:ascii="Palatino Linotype" w:hAnsi="Palatino Linotype" w:cs="Arial"/>
          <w:sz w:val="24"/>
          <w:szCs w:val="24"/>
        </w:rPr>
        <w:t>used to expand the project to the Cardiff and Manchester Tribunals</w:t>
      </w:r>
      <w:r w:rsidR="00166523" w:rsidRPr="00EB2CD4">
        <w:rPr>
          <w:rFonts w:ascii="Palatino Linotype" w:hAnsi="Palatino Linotype" w:cs="Arial"/>
          <w:sz w:val="24"/>
          <w:szCs w:val="24"/>
        </w:rPr>
        <w:t xml:space="preserve">. By contrast, </w:t>
      </w:r>
      <w:r w:rsidR="008B1219" w:rsidRPr="00EB2CD4">
        <w:rPr>
          <w:rFonts w:ascii="Palatino Linotype" w:hAnsi="Palatino Linotype" w:cs="Arial"/>
          <w:sz w:val="24"/>
          <w:szCs w:val="24"/>
        </w:rPr>
        <w:t xml:space="preserve">another collaborative </w:t>
      </w:r>
      <w:r w:rsidRPr="00EB2CD4">
        <w:rPr>
          <w:rFonts w:ascii="Palatino Linotype" w:hAnsi="Palatino Linotype" w:cs="Arial"/>
          <w:sz w:val="24"/>
          <w:szCs w:val="24"/>
        </w:rPr>
        <w:t>PLE project initiated in Leeds</w:t>
      </w:r>
      <w:r w:rsidR="009D7120" w:rsidRPr="00EB2CD4">
        <w:rPr>
          <w:rFonts w:ascii="Palatino Linotype" w:hAnsi="Palatino Linotype" w:cs="Arial"/>
          <w:sz w:val="24"/>
          <w:szCs w:val="24"/>
        </w:rPr>
        <w:t xml:space="preserve"> with local universities</w:t>
      </w:r>
      <w:r w:rsidR="006C1CED" w:rsidRPr="00EB2CD4">
        <w:rPr>
          <w:rFonts w:ascii="Palatino Linotype" w:hAnsi="Palatino Linotype" w:cs="Arial"/>
          <w:sz w:val="24"/>
          <w:szCs w:val="24"/>
        </w:rPr>
        <w:t xml:space="preserve"> and </w:t>
      </w:r>
      <w:r w:rsidRPr="00EB2CD4">
        <w:rPr>
          <w:rFonts w:ascii="Palatino Linotype" w:hAnsi="Palatino Linotype" w:cs="Arial"/>
          <w:sz w:val="24"/>
          <w:szCs w:val="24"/>
        </w:rPr>
        <w:t xml:space="preserve">offering </w:t>
      </w:r>
      <w:r w:rsidR="00166523" w:rsidRPr="00EB2CD4">
        <w:rPr>
          <w:rFonts w:ascii="Palatino Linotype" w:hAnsi="Palatino Linotype" w:cs="Arial"/>
          <w:sz w:val="24"/>
          <w:szCs w:val="24"/>
        </w:rPr>
        <w:t xml:space="preserve">entirely </w:t>
      </w:r>
      <w:r w:rsidRPr="00EB2CD4">
        <w:rPr>
          <w:rFonts w:ascii="Palatino Linotype" w:hAnsi="Palatino Linotype" w:cs="Arial"/>
          <w:sz w:val="24"/>
          <w:szCs w:val="24"/>
        </w:rPr>
        <w:t>bespoke workshops to a v</w:t>
      </w:r>
      <w:r w:rsidR="00166523" w:rsidRPr="00EB2CD4">
        <w:rPr>
          <w:rFonts w:ascii="Palatino Linotype" w:hAnsi="Palatino Linotype" w:cs="Arial"/>
          <w:sz w:val="24"/>
          <w:szCs w:val="24"/>
        </w:rPr>
        <w:t>ariety of community groups</w:t>
      </w:r>
      <w:r w:rsidR="009D7120" w:rsidRPr="00EB2CD4">
        <w:rPr>
          <w:rFonts w:ascii="Palatino Linotype" w:hAnsi="Palatino Linotype" w:cs="Arial"/>
          <w:sz w:val="24"/>
          <w:szCs w:val="24"/>
        </w:rPr>
        <w:t>,</w:t>
      </w:r>
      <w:r w:rsidR="00166523" w:rsidRPr="00EB2CD4">
        <w:rPr>
          <w:rFonts w:ascii="Palatino Linotype" w:hAnsi="Palatino Linotype" w:cs="Arial"/>
          <w:sz w:val="24"/>
          <w:szCs w:val="24"/>
        </w:rPr>
        <w:t xml:space="preserve"> has </w:t>
      </w:r>
      <w:r w:rsidRPr="00EB2CD4">
        <w:rPr>
          <w:rFonts w:ascii="Palatino Linotype" w:hAnsi="Palatino Linotype" w:cs="Arial"/>
          <w:sz w:val="24"/>
          <w:szCs w:val="24"/>
        </w:rPr>
        <w:t xml:space="preserve">recently closed. Hindsight has shined a light on the overly ambitious nature of this </w:t>
      </w:r>
      <w:r w:rsidR="00F34202" w:rsidRPr="00EB2CD4">
        <w:rPr>
          <w:rFonts w:ascii="Palatino Linotype" w:hAnsi="Palatino Linotype" w:cs="Arial"/>
          <w:sz w:val="24"/>
          <w:szCs w:val="24"/>
        </w:rPr>
        <w:t>bespoke</w:t>
      </w:r>
      <w:r w:rsidRPr="00EB2CD4">
        <w:rPr>
          <w:rFonts w:ascii="Palatino Linotype" w:hAnsi="Palatino Linotype" w:cs="Arial"/>
          <w:sz w:val="24"/>
          <w:szCs w:val="24"/>
        </w:rPr>
        <w:t xml:space="preserve"> offering, which led to difficulties in meeting audience expectations, and overr</w:t>
      </w:r>
      <w:r w:rsidR="00F34202" w:rsidRPr="00EB2CD4">
        <w:rPr>
          <w:rFonts w:ascii="Palatino Linotype" w:hAnsi="Palatino Linotype" w:cs="Arial"/>
          <w:sz w:val="24"/>
          <w:szCs w:val="24"/>
        </w:rPr>
        <w:t xml:space="preserve">eliance on one particular lawyer’s </w:t>
      </w:r>
      <w:r w:rsidRPr="00EB2CD4">
        <w:rPr>
          <w:rFonts w:ascii="Palatino Linotype" w:hAnsi="Palatino Linotype" w:cs="Arial"/>
          <w:sz w:val="24"/>
          <w:szCs w:val="24"/>
        </w:rPr>
        <w:t>expertise (immigration</w:t>
      </w:r>
      <w:r w:rsidR="00166523" w:rsidRPr="00EB2CD4">
        <w:rPr>
          <w:rFonts w:ascii="Palatino Linotype" w:hAnsi="Palatino Linotype" w:cs="Arial"/>
          <w:sz w:val="24"/>
          <w:szCs w:val="24"/>
        </w:rPr>
        <w:t xml:space="preserve"> law</w:t>
      </w:r>
      <w:r w:rsidRPr="00EB2CD4">
        <w:rPr>
          <w:rFonts w:ascii="Palatino Linotype" w:hAnsi="Palatino Linotype" w:cs="Arial"/>
          <w:sz w:val="24"/>
          <w:szCs w:val="24"/>
        </w:rPr>
        <w:t>) and good nature!</w:t>
      </w:r>
    </w:p>
    <w:p w14:paraId="7FBDE865" w14:textId="77777777" w:rsidR="005D12C9" w:rsidRPr="00EB2CD4" w:rsidRDefault="005D12C9" w:rsidP="004303D6">
      <w:pPr>
        <w:pStyle w:val="ListParagraph"/>
        <w:numPr>
          <w:ilvl w:val="0"/>
          <w:numId w:val="17"/>
        </w:numPr>
        <w:spacing w:line="480" w:lineRule="auto"/>
        <w:contextualSpacing w:val="0"/>
        <w:jc w:val="both"/>
        <w:rPr>
          <w:rFonts w:ascii="Palatino Linotype" w:hAnsi="Palatino Linotype" w:cs="Arial"/>
          <w:b/>
          <w:sz w:val="24"/>
          <w:szCs w:val="24"/>
        </w:rPr>
      </w:pPr>
      <w:r w:rsidRPr="00EB2CD4">
        <w:rPr>
          <w:rFonts w:ascii="Palatino Linotype" w:hAnsi="Palatino Linotype" w:cs="Arial"/>
          <w:b/>
          <w:sz w:val="24"/>
          <w:szCs w:val="24"/>
        </w:rPr>
        <w:lastRenderedPageBreak/>
        <w:t xml:space="preserve">Embrace </w:t>
      </w:r>
      <w:r w:rsidR="002B40DD" w:rsidRPr="00EB2CD4">
        <w:rPr>
          <w:rFonts w:ascii="Palatino Linotype" w:hAnsi="Palatino Linotype" w:cs="Arial"/>
          <w:b/>
          <w:sz w:val="24"/>
          <w:szCs w:val="24"/>
        </w:rPr>
        <w:t xml:space="preserve">online </w:t>
      </w:r>
      <w:r w:rsidRPr="00EB2CD4">
        <w:rPr>
          <w:rFonts w:ascii="Palatino Linotype" w:hAnsi="Palatino Linotype" w:cs="Arial"/>
          <w:b/>
          <w:sz w:val="24"/>
          <w:szCs w:val="24"/>
        </w:rPr>
        <w:t xml:space="preserve">technology </w:t>
      </w:r>
    </w:p>
    <w:p w14:paraId="37360334" w14:textId="4B269A35" w:rsidR="00D5224B" w:rsidRPr="00EB2CD4" w:rsidRDefault="00391319"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Open and frequent</w:t>
      </w:r>
      <w:r w:rsidR="00B959E5" w:rsidRPr="00EB2CD4">
        <w:rPr>
          <w:rFonts w:ascii="Palatino Linotype" w:hAnsi="Palatino Linotype" w:cs="Arial"/>
          <w:sz w:val="24"/>
          <w:szCs w:val="24"/>
        </w:rPr>
        <w:t xml:space="preserve"> communication </w:t>
      </w:r>
      <w:r w:rsidR="00166523" w:rsidRPr="00EB2CD4">
        <w:rPr>
          <w:rFonts w:ascii="Palatino Linotype" w:hAnsi="Palatino Linotype" w:cs="Arial"/>
          <w:sz w:val="24"/>
          <w:szCs w:val="24"/>
        </w:rPr>
        <w:t xml:space="preserve">has been recognised as essential </w:t>
      </w:r>
      <w:r w:rsidR="00B959E5" w:rsidRPr="00EB2CD4">
        <w:rPr>
          <w:rFonts w:ascii="Palatino Linotype" w:hAnsi="Palatino Linotype" w:cs="Arial"/>
          <w:sz w:val="24"/>
          <w:szCs w:val="24"/>
        </w:rPr>
        <w:t>to successful collaboration (Mattessich and Monsey</w:t>
      </w:r>
      <w:r w:rsidR="00F351E3" w:rsidRPr="00EB2CD4">
        <w:rPr>
          <w:rFonts w:ascii="Palatino Linotype" w:hAnsi="Palatino Linotype" w:cs="Arial"/>
          <w:sz w:val="24"/>
          <w:szCs w:val="24"/>
        </w:rPr>
        <w:t xml:space="preserve">, </w:t>
      </w:r>
      <w:r w:rsidR="00B959E5" w:rsidRPr="00EB2CD4">
        <w:rPr>
          <w:rFonts w:ascii="Palatino Linotype" w:hAnsi="Palatino Linotype" w:cs="Arial"/>
          <w:sz w:val="24"/>
          <w:szCs w:val="24"/>
        </w:rPr>
        <w:t>1992), but so are e</w:t>
      </w:r>
      <w:r w:rsidR="00D5224B" w:rsidRPr="00EB2CD4">
        <w:rPr>
          <w:rFonts w:ascii="Palatino Linotype" w:hAnsi="Palatino Linotype" w:cs="Arial"/>
          <w:sz w:val="24"/>
          <w:szCs w:val="24"/>
        </w:rPr>
        <w:t xml:space="preserve">fficient working practices. </w:t>
      </w:r>
      <w:r w:rsidR="00A75C9E" w:rsidRPr="00EB2CD4">
        <w:rPr>
          <w:rFonts w:ascii="Palatino Linotype" w:hAnsi="Palatino Linotype" w:cs="Arial"/>
          <w:sz w:val="24"/>
          <w:szCs w:val="24"/>
        </w:rPr>
        <w:t>No-one</w:t>
      </w:r>
      <w:r w:rsidR="00D5224B" w:rsidRPr="00EB2CD4">
        <w:rPr>
          <w:rFonts w:ascii="Palatino Linotype" w:hAnsi="Palatino Linotype" w:cs="Arial"/>
          <w:sz w:val="24"/>
          <w:szCs w:val="24"/>
        </w:rPr>
        <w:t xml:space="preserve"> wants to return to their desk to a trail of emails </w:t>
      </w:r>
      <w:r w:rsidR="005C4FEB" w:rsidRPr="00EB2CD4">
        <w:rPr>
          <w:rFonts w:ascii="Palatino Linotype" w:hAnsi="Palatino Linotype" w:cs="Arial"/>
          <w:sz w:val="24"/>
          <w:szCs w:val="24"/>
        </w:rPr>
        <w:t>debating</w:t>
      </w:r>
      <w:r w:rsidR="00D5224B" w:rsidRPr="00EB2CD4">
        <w:rPr>
          <w:rFonts w:ascii="Palatino Linotype" w:hAnsi="Palatino Linotype" w:cs="Arial"/>
          <w:sz w:val="24"/>
          <w:szCs w:val="24"/>
        </w:rPr>
        <w:t xml:space="preserve"> whether </w:t>
      </w:r>
      <w:r w:rsidR="00E83176" w:rsidRPr="00EB2CD4">
        <w:rPr>
          <w:rFonts w:ascii="Palatino Linotype" w:hAnsi="Palatino Linotype" w:cs="Arial"/>
          <w:sz w:val="24"/>
          <w:szCs w:val="24"/>
        </w:rPr>
        <w:t>you</w:t>
      </w:r>
      <w:r w:rsidR="00D5224B" w:rsidRPr="00EB2CD4">
        <w:rPr>
          <w:rFonts w:ascii="Palatino Linotype" w:hAnsi="Palatino Linotype" w:cs="Arial"/>
          <w:sz w:val="24"/>
          <w:szCs w:val="24"/>
        </w:rPr>
        <w:t xml:space="preserve"> should </w:t>
      </w:r>
      <w:r w:rsidR="005C4FEB" w:rsidRPr="00EB2CD4">
        <w:rPr>
          <w:rFonts w:ascii="Palatino Linotype" w:hAnsi="Palatino Linotype" w:cs="Arial"/>
          <w:sz w:val="24"/>
          <w:szCs w:val="24"/>
        </w:rPr>
        <w:t>serve</w:t>
      </w:r>
      <w:r w:rsidR="00D5224B" w:rsidRPr="00EB2CD4">
        <w:rPr>
          <w:rFonts w:ascii="Palatino Linotype" w:hAnsi="Palatino Linotype" w:cs="Arial"/>
          <w:sz w:val="24"/>
          <w:szCs w:val="24"/>
        </w:rPr>
        <w:t xml:space="preserve"> </w:t>
      </w:r>
      <w:r w:rsidR="005C4FEB" w:rsidRPr="00EB2CD4">
        <w:rPr>
          <w:rFonts w:ascii="Palatino Linotype" w:hAnsi="Palatino Linotype" w:cs="Arial"/>
          <w:sz w:val="24"/>
          <w:szCs w:val="24"/>
        </w:rPr>
        <w:t>g</w:t>
      </w:r>
      <w:r w:rsidR="00D5224B" w:rsidRPr="00EB2CD4">
        <w:rPr>
          <w:rFonts w:ascii="Palatino Linotype" w:hAnsi="Palatino Linotype" w:cs="Arial"/>
          <w:sz w:val="24"/>
          <w:szCs w:val="24"/>
        </w:rPr>
        <w:t xml:space="preserve">aribaldis or </w:t>
      </w:r>
      <w:r w:rsidR="005C4FEB" w:rsidRPr="00EB2CD4">
        <w:rPr>
          <w:rFonts w:ascii="Palatino Linotype" w:hAnsi="Palatino Linotype" w:cs="Arial"/>
          <w:sz w:val="24"/>
          <w:szCs w:val="24"/>
        </w:rPr>
        <w:t>b</w:t>
      </w:r>
      <w:r w:rsidR="00D5224B" w:rsidRPr="00EB2CD4">
        <w:rPr>
          <w:rFonts w:ascii="Palatino Linotype" w:hAnsi="Palatino Linotype" w:cs="Arial"/>
          <w:sz w:val="24"/>
          <w:szCs w:val="24"/>
        </w:rPr>
        <w:t xml:space="preserve">ourbon biscuits at </w:t>
      </w:r>
      <w:r w:rsidR="00E83176" w:rsidRPr="00EB2CD4">
        <w:rPr>
          <w:rFonts w:ascii="Palatino Linotype" w:hAnsi="Palatino Linotype" w:cs="Arial"/>
          <w:sz w:val="24"/>
          <w:szCs w:val="24"/>
        </w:rPr>
        <w:t>y</w:t>
      </w:r>
      <w:r w:rsidR="005C4FEB" w:rsidRPr="00EB2CD4">
        <w:rPr>
          <w:rFonts w:ascii="Palatino Linotype" w:hAnsi="Palatino Linotype" w:cs="Arial"/>
          <w:sz w:val="24"/>
          <w:szCs w:val="24"/>
        </w:rPr>
        <w:t>our</w:t>
      </w:r>
      <w:r w:rsidR="00D5224B" w:rsidRPr="00EB2CD4">
        <w:rPr>
          <w:rFonts w:ascii="Palatino Linotype" w:hAnsi="Palatino Linotype" w:cs="Arial"/>
          <w:sz w:val="24"/>
          <w:szCs w:val="24"/>
        </w:rPr>
        <w:t xml:space="preserve"> </w:t>
      </w:r>
      <w:r w:rsidR="00166523" w:rsidRPr="00EB2CD4">
        <w:rPr>
          <w:rFonts w:ascii="Palatino Linotype" w:hAnsi="Palatino Linotype" w:cs="Arial"/>
          <w:sz w:val="24"/>
          <w:szCs w:val="24"/>
        </w:rPr>
        <w:t xml:space="preserve">PLE </w:t>
      </w:r>
      <w:r w:rsidR="005C4FEB" w:rsidRPr="00EB2CD4">
        <w:rPr>
          <w:rFonts w:ascii="Palatino Linotype" w:hAnsi="Palatino Linotype" w:cs="Arial"/>
          <w:sz w:val="24"/>
          <w:szCs w:val="24"/>
        </w:rPr>
        <w:t xml:space="preserve">project’s </w:t>
      </w:r>
      <w:r w:rsidR="00D5224B" w:rsidRPr="00EB2CD4">
        <w:rPr>
          <w:rFonts w:ascii="Palatino Linotype" w:hAnsi="Palatino Linotype" w:cs="Arial"/>
          <w:sz w:val="24"/>
          <w:szCs w:val="24"/>
        </w:rPr>
        <w:t xml:space="preserve">launch event! </w:t>
      </w:r>
      <w:r w:rsidR="005C4FEB" w:rsidRPr="00EB2CD4">
        <w:rPr>
          <w:rFonts w:ascii="Palatino Linotype" w:hAnsi="Palatino Linotype" w:cs="Arial"/>
          <w:sz w:val="24"/>
          <w:szCs w:val="24"/>
        </w:rPr>
        <w:t>S</w:t>
      </w:r>
      <w:r w:rsidR="00A75C9E" w:rsidRPr="00EB2CD4">
        <w:rPr>
          <w:rFonts w:ascii="Palatino Linotype" w:hAnsi="Palatino Linotype" w:cs="Arial"/>
          <w:sz w:val="24"/>
          <w:szCs w:val="24"/>
        </w:rPr>
        <w:t>oftware</w:t>
      </w:r>
      <w:r w:rsidR="005C4FEB" w:rsidRPr="00EB2CD4">
        <w:rPr>
          <w:rFonts w:ascii="Palatino Linotype" w:hAnsi="Palatino Linotype" w:cs="Arial"/>
          <w:sz w:val="24"/>
          <w:szCs w:val="24"/>
        </w:rPr>
        <w:t xml:space="preserve"> and web-based platforms</w:t>
      </w:r>
      <w:r w:rsidR="007C172D" w:rsidRPr="00EB2CD4">
        <w:rPr>
          <w:rFonts w:ascii="Palatino Linotype" w:hAnsi="Palatino Linotype" w:cs="Arial"/>
          <w:sz w:val="24"/>
          <w:szCs w:val="24"/>
        </w:rPr>
        <w:t xml:space="preserve"> </w:t>
      </w:r>
      <w:r w:rsidR="005C4FEB" w:rsidRPr="00EB2CD4">
        <w:rPr>
          <w:rFonts w:ascii="Palatino Linotype" w:hAnsi="Palatino Linotype" w:cs="Arial"/>
          <w:sz w:val="24"/>
          <w:szCs w:val="24"/>
        </w:rPr>
        <w:t xml:space="preserve">are </w:t>
      </w:r>
      <w:r w:rsidR="007C172D" w:rsidRPr="00EB2CD4">
        <w:rPr>
          <w:rFonts w:ascii="Palatino Linotype" w:hAnsi="Palatino Linotype" w:cs="Arial"/>
          <w:sz w:val="24"/>
          <w:szCs w:val="24"/>
        </w:rPr>
        <w:t>available</w:t>
      </w:r>
      <w:r w:rsidR="00D5224B" w:rsidRPr="00EB2CD4">
        <w:rPr>
          <w:rFonts w:ascii="Palatino Linotype" w:hAnsi="Palatino Linotype" w:cs="Arial"/>
          <w:sz w:val="24"/>
          <w:szCs w:val="24"/>
        </w:rPr>
        <w:t xml:space="preserve"> </w:t>
      </w:r>
      <w:r w:rsidR="002B40DD" w:rsidRPr="00EB2CD4">
        <w:rPr>
          <w:rFonts w:ascii="Palatino Linotype" w:hAnsi="Palatino Linotype" w:cs="Arial"/>
          <w:sz w:val="24"/>
          <w:szCs w:val="24"/>
        </w:rPr>
        <w:t xml:space="preserve">(often, </w:t>
      </w:r>
      <w:r w:rsidR="008B694E" w:rsidRPr="00EB2CD4">
        <w:rPr>
          <w:rFonts w:ascii="Palatino Linotype" w:hAnsi="Palatino Linotype" w:cs="Arial"/>
          <w:sz w:val="24"/>
          <w:szCs w:val="24"/>
        </w:rPr>
        <w:t>without charge</w:t>
      </w:r>
      <w:r w:rsidR="002B40DD" w:rsidRPr="00EB2CD4">
        <w:rPr>
          <w:rFonts w:ascii="Palatino Linotype" w:hAnsi="Palatino Linotype" w:cs="Arial"/>
          <w:sz w:val="24"/>
          <w:szCs w:val="24"/>
        </w:rPr>
        <w:t xml:space="preserve">) </w:t>
      </w:r>
      <w:r w:rsidR="00A75C9E" w:rsidRPr="00EB2CD4">
        <w:rPr>
          <w:rFonts w:ascii="Palatino Linotype" w:hAnsi="Palatino Linotype" w:cs="Arial"/>
          <w:sz w:val="24"/>
          <w:szCs w:val="24"/>
        </w:rPr>
        <w:t xml:space="preserve">to share </w:t>
      </w:r>
      <w:r w:rsidR="00D5224B" w:rsidRPr="00EB2CD4">
        <w:rPr>
          <w:rFonts w:ascii="Palatino Linotype" w:hAnsi="Palatino Linotype" w:cs="Arial"/>
          <w:sz w:val="24"/>
          <w:szCs w:val="24"/>
        </w:rPr>
        <w:t xml:space="preserve">ideas and information </w:t>
      </w:r>
      <w:r w:rsidR="00A75C9E" w:rsidRPr="00EB2CD4">
        <w:rPr>
          <w:rFonts w:ascii="Palatino Linotype" w:hAnsi="Palatino Linotype" w:cs="Arial"/>
          <w:sz w:val="24"/>
          <w:szCs w:val="24"/>
        </w:rPr>
        <w:t>in a commun</w:t>
      </w:r>
      <w:r w:rsidR="005C4FEB" w:rsidRPr="00EB2CD4">
        <w:rPr>
          <w:rFonts w:ascii="Palatino Linotype" w:hAnsi="Palatino Linotype" w:cs="Arial"/>
          <w:sz w:val="24"/>
          <w:szCs w:val="24"/>
        </w:rPr>
        <w:t xml:space="preserve">al </w:t>
      </w:r>
      <w:r w:rsidR="00A75C9E" w:rsidRPr="00EB2CD4">
        <w:rPr>
          <w:rFonts w:ascii="Palatino Linotype" w:hAnsi="Palatino Linotype" w:cs="Arial"/>
          <w:sz w:val="24"/>
          <w:szCs w:val="24"/>
        </w:rPr>
        <w:t>space</w:t>
      </w:r>
      <w:r w:rsidR="005C4FEB" w:rsidRPr="00EB2CD4">
        <w:rPr>
          <w:rFonts w:ascii="Palatino Linotype" w:hAnsi="Palatino Linotype" w:cs="Arial"/>
          <w:sz w:val="24"/>
          <w:szCs w:val="24"/>
        </w:rPr>
        <w:t xml:space="preserve">, </w:t>
      </w:r>
      <w:r w:rsidR="003E5134" w:rsidRPr="00EB2CD4">
        <w:rPr>
          <w:rFonts w:ascii="Palatino Linotype" w:hAnsi="Palatino Linotype" w:cs="Arial"/>
          <w:sz w:val="24"/>
          <w:szCs w:val="24"/>
        </w:rPr>
        <w:t xml:space="preserve">which </w:t>
      </w:r>
      <w:r w:rsidR="005C4FEB" w:rsidRPr="00EB2CD4">
        <w:rPr>
          <w:rFonts w:ascii="Palatino Linotype" w:hAnsi="Palatino Linotype" w:cs="Arial"/>
          <w:sz w:val="24"/>
          <w:szCs w:val="24"/>
        </w:rPr>
        <w:t xml:space="preserve">can </w:t>
      </w:r>
      <w:r w:rsidR="005E552D" w:rsidRPr="00EB2CD4">
        <w:rPr>
          <w:rFonts w:ascii="Palatino Linotype" w:hAnsi="Palatino Linotype" w:cs="Arial"/>
          <w:sz w:val="24"/>
          <w:szCs w:val="24"/>
        </w:rPr>
        <w:t xml:space="preserve">arrive </w:t>
      </w:r>
      <w:r w:rsidR="005C4FEB" w:rsidRPr="00EB2CD4">
        <w:rPr>
          <w:rFonts w:ascii="Palatino Linotype" w:hAnsi="Palatino Linotype" w:cs="Arial"/>
          <w:sz w:val="24"/>
          <w:szCs w:val="24"/>
        </w:rPr>
        <w:t xml:space="preserve">separately to your </w:t>
      </w:r>
      <w:r w:rsidR="002B40DD" w:rsidRPr="00EB2CD4">
        <w:rPr>
          <w:rFonts w:ascii="Palatino Linotype" w:hAnsi="Palatino Linotype" w:cs="Arial"/>
          <w:sz w:val="24"/>
          <w:szCs w:val="24"/>
        </w:rPr>
        <w:t>main</w:t>
      </w:r>
      <w:r w:rsidR="005C4FEB" w:rsidRPr="00EB2CD4">
        <w:rPr>
          <w:rFonts w:ascii="Palatino Linotype" w:hAnsi="Palatino Linotype" w:cs="Arial"/>
          <w:sz w:val="24"/>
          <w:szCs w:val="24"/>
        </w:rPr>
        <w:t xml:space="preserve"> inbox</w:t>
      </w:r>
      <w:r w:rsidR="00A75C9E" w:rsidRPr="00EB2CD4">
        <w:rPr>
          <w:rFonts w:ascii="Palatino Linotype" w:hAnsi="Palatino Linotype" w:cs="Arial"/>
          <w:sz w:val="24"/>
          <w:szCs w:val="24"/>
        </w:rPr>
        <w:t xml:space="preserve">. We mention a few </w:t>
      </w:r>
      <w:r w:rsidR="005C4FEB" w:rsidRPr="00EB2CD4">
        <w:rPr>
          <w:rFonts w:ascii="Palatino Linotype" w:hAnsi="Palatino Linotype" w:cs="Arial"/>
          <w:sz w:val="24"/>
          <w:szCs w:val="24"/>
        </w:rPr>
        <w:t xml:space="preserve">here </w:t>
      </w:r>
      <w:r w:rsidR="00A75C9E" w:rsidRPr="00EB2CD4">
        <w:rPr>
          <w:rFonts w:ascii="Palatino Linotype" w:hAnsi="Palatino Linotype" w:cs="Arial"/>
          <w:sz w:val="24"/>
          <w:szCs w:val="24"/>
        </w:rPr>
        <w:t xml:space="preserve">by way of example, but recommend you investigate what is right for your budget and your PLE project’s specific needs. </w:t>
      </w:r>
    </w:p>
    <w:p w14:paraId="10712B92" w14:textId="77777777" w:rsidR="00484586" w:rsidRPr="00EB2CD4" w:rsidRDefault="002B40DD"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Consider using a messaging platform for project specific communications (e.g. Slack). </w:t>
      </w:r>
      <w:r w:rsidR="00E83176" w:rsidRPr="00EB2CD4">
        <w:rPr>
          <w:rFonts w:ascii="Palatino Linotype" w:hAnsi="Palatino Linotype" w:cs="Arial"/>
          <w:sz w:val="24"/>
          <w:szCs w:val="24"/>
        </w:rPr>
        <w:t xml:space="preserve">These platforms can often integrate </w:t>
      </w:r>
      <w:r w:rsidRPr="00EB2CD4">
        <w:rPr>
          <w:rFonts w:ascii="Palatino Linotype" w:hAnsi="Palatino Linotype" w:cs="Arial"/>
          <w:sz w:val="24"/>
          <w:szCs w:val="24"/>
        </w:rPr>
        <w:t xml:space="preserve">other features / </w:t>
      </w:r>
      <w:r w:rsidR="00E83176" w:rsidRPr="00EB2CD4">
        <w:rPr>
          <w:rFonts w:ascii="Palatino Linotype" w:hAnsi="Palatino Linotype" w:cs="Arial"/>
          <w:sz w:val="24"/>
          <w:szCs w:val="24"/>
        </w:rPr>
        <w:t>platforms</w:t>
      </w:r>
      <w:r w:rsidRPr="00EB2CD4">
        <w:rPr>
          <w:rFonts w:ascii="Palatino Linotype" w:hAnsi="Palatino Linotype" w:cs="Arial"/>
          <w:sz w:val="24"/>
          <w:szCs w:val="24"/>
        </w:rPr>
        <w:t xml:space="preserve"> mentioned in the remainder of this </w:t>
      </w:r>
      <w:r w:rsidR="00533D4A" w:rsidRPr="00EB2CD4">
        <w:rPr>
          <w:rFonts w:ascii="Palatino Linotype" w:hAnsi="Palatino Linotype" w:cs="Arial"/>
          <w:sz w:val="24"/>
          <w:szCs w:val="24"/>
        </w:rPr>
        <w:t>section</w:t>
      </w:r>
      <w:r w:rsidRPr="00EB2CD4">
        <w:rPr>
          <w:rFonts w:ascii="Palatino Linotype" w:hAnsi="Palatino Linotype" w:cs="Arial"/>
          <w:sz w:val="24"/>
          <w:szCs w:val="24"/>
        </w:rPr>
        <w:t xml:space="preserve"> (and </w:t>
      </w:r>
      <w:r w:rsidR="007B4408" w:rsidRPr="00EB2CD4">
        <w:rPr>
          <w:rFonts w:ascii="Palatino Linotype" w:hAnsi="Palatino Linotype" w:cs="Arial"/>
          <w:sz w:val="24"/>
          <w:szCs w:val="24"/>
        </w:rPr>
        <w:t xml:space="preserve">can </w:t>
      </w:r>
      <w:r w:rsidRPr="00EB2CD4">
        <w:rPr>
          <w:rFonts w:ascii="Palatino Linotype" w:hAnsi="Palatino Linotype" w:cs="Arial"/>
          <w:sz w:val="24"/>
          <w:szCs w:val="24"/>
        </w:rPr>
        <w:t xml:space="preserve">be </w:t>
      </w:r>
      <w:r w:rsidR="007B4408" w:rsidRPr="00EB2CD4">
        <w:rPr>
          <w:rFonts w:ascii="Palatino Linotype" w:hAnsi="Palatino Linotype" w:cs="Arial"/>
          <w:sz w:val="24"/>
          <w:szCs w:val="24"/>
        </w:rPr>
        <w:t>accessed</w:t>
      </w:r>
      <w:r w:rsidRPr="00EB2CD4">
        <w:rPr>
          <w:rFonts w:ascii="Palatino Linotype" w:hAnsi="Palatino Linotype" w:cs="Arial"/>
          <w:sz w:val="24"/>
          <w:szCs w:val="24"/>
        </w:rPr>
        <w:t xml:space="preserve"> via </w:t>
      </w:r>
      <w:r w:rsidR="00E243A6" w:rsidRPr="00EB2CD4">
        <w:rPr>
          <w:rFonts w:ascii="Palatino Linotype" w:hAnsi="Palatino Linotype" w:cs="Arial"/>
          <w:sz w:val="24"/>
          <w:szCs w:val="24"/>
        </w:rPr>
        <w:t xml:space="preserve">a </w:t>
      </w:r>
      <w:r w:rsidRPr="00EB2CD4">
        <w:rPr>
          <w:rFonts w:ascii="Palatino Linotype" w:hAnsi="Palatino Linotype" w:cs="Arial"/>
          <w:sz w:val="24"/>
          <w:szCs w:val="24"/>
        </w:rPr>
        <w:t xml:space="preserve">smartphone). </w:t>
      </w:r>
    </w:p>
    <w:p w14:paraId="38EE2A83" w14:textId="711CB83B" w:rsidR="005C4FEB" w:rsidRPr="00EB2CD4" w:rsidRDefault="00A75C9E" w:rsidP="004303D6">
      <w:pPr>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You may be a regular user of telephone and video conferencing, but do explore all the features of any facilities you have </w:t>
      </w:r>
      <w:r w:rsidR="005C4FEB" w:rsidRPr="00EB2CD4">
        <w:rPr>
          <w:rFonts w:ascii="Palatino Linotype" w:hAnsi="Palatino Linotype" w:cs="Arial"/>
          <w:sz w:val="24"/>
          <w:szCs w:val="24"/>
        </w:rPr>
        <w:t xml:space="preserve">access to </w:t>
      </w:r>
      <w:r w:rsidRPr="00EB2CD4">
        <w:rPr>
          <w:rFonts w:ascii="Palatino Linotype" w:hAnsi="Palatino Linotype" w:cs="Arial"/>
          <w:sz w:val="24"/>
          <w:szCs w:val="24"/>
        </w:rPr>
        <w:t>(e.g. Skype) – many have the ability to share files and screens</w:t>
      </w:r>
      <w:r w:rsidR="00E243A6" w:rsidRPr="00EB2CD4">
        <w:rPr>
          <w:rFonts w:ascii="Palatino Linotype" w:hAnsi="Palatino Linotype" w:cs="Arial"/>
          <w:sz w:val="24"/>
          <w:szCs w:val="24"/>
        </w:rPr>
        <w:t>,</w:t>
      </w:r>
      <w:r w:rsidRPr="00EB2CD4">
        <w:rPr>
          <w:rFonts w:ascii="Palatino Linotype" w:hAnsi="Palatino Linotype" w:cs="Arial"/>
          <w:sz w:val="24"/>
          <w:szCs w:val="24"/>
        </w:rPr>
        <w:t xml:space="preserve"> </w:t>
      </w:r>
      <w:r w:rsidR="00A43B5E" w:rsidRPr="00EB2CD4">
        <w:rPr>
          <w:rFonts w:ascii="Palatino Linotype" w:hAnsi="Palatino Linotype" w:cs="Arial"/>
          <w:sz w:val="24"/>
          <w:szCs w:val="24"/>
        </w:rPr>
        <w:t xml:space="preserve">to support </w:t>
      </w:r>
      <w:r w:rsidR="00F717B9" w:rsidRPr="00EB2CD4">
        <w:rPr>
          <w:rFonts w:ascii="Palatino Linotype" w:hAnsi="Palatino Linotype" w:cs="Arial"/>
          <w:sz w:val="24"/>
          <w:szCs w:val="24"/>
        </w:rPr>
        <w:t>working</w:t>
      </w:r>
      <w:r w:rsidRPr="00EB2CD4">
        <w:rPr>
          <w:rFonts w:ascii="Palatino Linotype" w:hAnsi="Palatino Linotype" w:cs="Arial"/>
          <w:sz w:val="24"/>
          <w:szCs w:val="24"/>
        </w:rPr>
        <w:t xml:space="preserve"> on project </w:t>
      </w:r>
      <w:r w:rsidR="00FE7A48" w:rsidRPr="00EB2CD4">
        <w:rPr>
          <w:rFonts w:ascii="Palatino Linotype" w:hAnsi="Palatino Linotype" w:cs="Arial"/>
          <w:sz w:val="24"/>
          <w:szCs w:val="24"/>
        </w:rPr>
        <w:t xml:space="preserve">content </w:t>
      </w:r>
      <w:r w:rsidRPr="00EB2CD4">
        <w:rPr>
          <w:rFonts w:ascii="Palatino Linotype" w:hAnsi="Palatino Linotype" w:cs="Arial"/>
          <w:sz w:val="24"/>
          <w:szCs w:val="24"/>
        </w:rPr>
        <w:t>as a group</w:t>
      </w:r>
      <w:r w:rsidR="00E243A6" w:rsidRPr="00EB2CD4">
        <w:rPr>
          <w:rFonts w:ascii="Palatino Linotype" w:hAnsi="Palatino Linotype" w:cs="Arial"/>
          <w:sz w:val="24"/>
          <w:szCs w:val="24"/>
        </w:rPr>
        <w:t xml:space="preserve"> in real time</w:t>
      </w:r>
      <w:r w:rsidRPr="00EB2CD4">
        <w:rPr>
          <w:rFonts w:ascii="Palatino Linotype" w:hAnsi="Palatino Linotype" w:cs="Arial"/>
          <w:sz w:val="24"/>
          <w:szCs w:val="24"/>
        </w:rPr>
        <w:t xml:space="preserve">. </w:t>
      </w:r>
      <w:r w:rsidR="00D5224B" w:rsidRPr="00EB2CD4">
        <w:rPr>
          <w:rFonts w:ascii="Palatino Linotype" w:hAnsi="Palatino Linotype" w:cs="Arial"/>
          <w:sz w:val="24"/>
          <w:szCs w:val="24"/>
        </w:rPr>
        <w:t xml:space="preserve">Online polls can be used to establish best availability for </w:t>
      </w:r>
      <w:r w:rsidRPr="00EB2CD4">
        <w:rPr>
          <w:rFonts w:ascii="Palatino Linotype" w:hAnsi="Palatino Linotype" w:cs="Arial"/>
          <w:sz w:val="24"/>
          <w:szCs w:val="24"/>
        </w:rPr>
        <w:t>progress meetings</w:t>
      </w:r>
      <w:r w:rsidR="00D5224B" w:rsidRPr="00EB2CD4">
        <w:rPr>
          <w:rFonts w:ascii="Palatino Linotype" w:hAnsi="Palatino Linotype" w:cs="Arial"/>
          <w:sz w:val="24"/>
          <w:szCs w:val="24"/>
        </w:rPr>
        <w:t xml:space="preserve"> and </w:t>
      </w:r>
      <w:r w:rsidRPr="00EB2CD4">
        <w:rPr>
          <w:rFonts w:ascii="Palatino Linotype" w:hAnsi="Palatino Linotype" w:cs="Arial"/>
          <w:sz w:val="24"/>
          <w:szCs w:val="24"/>
        </w:rPr>
        <w:t>PLE workshops</w:t>
      </w:r>
      <w:r w:rsidR="00D5224B" w:rsidRPr="00EB2CD4">
        <w:rPr>
          <w:rFonts w:ascii="Palatino Linotype" w:hAnsi="Palatino Linotype" w:cs="Arial"/>
          <w:sz w:val="24"/>
          <w:szCs w:val="24"/>
        </w:rPr>
        <w:t xml:space="preserve"> (e.g. Doodle; Sign </w:t>
      </w:r>
      <w:r w:rsidR="003E5134" w:rsidRPr="00EB2CD4">
        <w:rPr>
          <w:rFonts w:ascii="Palatino Linotype" w:hAnsi="Palatino Linotype" w:cs="Arial"/>
          <w:sz w:val="24"/>
          <w:szCs w:val="24"/>
        </w:rPr>
        <w:t>Up</w:t>
      </w:r>
      <w:r w:rsidR="00D5224B" w:rsidRPr="00EB2CD4">
        <w:rPr>
          <w:rFonts w:ascii="Palatino Linotype" w:hAnsi="Palatino Linotype" w:cs="Arial"/>
          <w:sz w:val="24"/>
          <w:szCs w:val="24"/>
        </w:rPr>
        <w:t>); event platforms can be used to centralise the organisation</w:t>
      </w:r>
      <w:r w:rsidR="00950158" w:rsidRPr="00EB2CD4">
        <w:rPr>
          <w:rFonts w:ascii="Palatino Linotype" w:hAnsi="Palatino Linotype" w:cs="Arial"/>
          <w:sz w:val="24"/>
          <w:szCs w:val="24"/>
        </w:rPr>
        <w:t xml:space="preserve"> of</w:t>
      </w:r>
      <w:r w:rsidR="002D250E" w:rsidRPr="00EB2CD4">
        <w:rPr>
          <w:rFonts w:ascii="Palatino Linotype" w:hAnsi="Palatino Linotype" w:cs="Arial"/>
          <w:sz w:val="24"/>
          <w:szCs w:val="24"/>
        </w:rPr>
        <w:t xml:space="preserve"> </w:t>
      </w:r>
      <w:r w:rsidR="005C4FEB" w:rsidRPr="00EB2CD4">
        <w:rPr>
          <w:rFonts w:ascii="Palatino Linotype" w:hAnsi="Palatino Linotype" w:cs="Arial"/>
          <w:sz w:val="24"/>
          <w:szCs w:val="24"/>
        </w:rPr>
        <w:t xml:space="preserve">student </w:t>
      </w:r>
      <w:r w:rsidR="00D5224B" w:rsidRPr="00EB2CD4">
        <w:rPr>
          <w:rFonts w:ascii="Palatino Linotype" w:hAnsi="Palatino Linotype" w:cs="Arial"/>
          <w:sz w:val="24"/>
          <w:szCs w:val="24"/>
        </w:rPr>
        <w:t>training</w:t>
      </w:r>
      <w:r w:rsidR="00950158" w:rsidRPr="00EB2CD4">
        <w:rPr>
          <w:rFonts w:ascii="Palatino Linotype" w:hAnsi="Palatino Linotype" w:cs="Arial"/>
          <w:sz w:val="24"/>
          <w:szCs w:val="24"/>
        </w:rPr>
        <w:t xml:space="preserve"> dates</w:t>
      </w:r>
      <w:r w:rsidR="005C4FEB" w:rsidRPr="00EB2CD4">
        <w:rPr>
          <w:rFonts w:ascii="Palatino Linotype" w:hAnsi="Palatino Linotype" w:cs="Arial"/>
          <w:sz w:val="24"/>
          <w:szCs w:val="24"/>
        </w:rPr>
        <w:t xml:space="preserve"> </w:t>
      </w:r>
      <w:r w:rsidR="00D5224B" w:rsidRPr="00EB2CD4">
        <w:rPr>
          <w:rFonts w:ascii="Palatino Linotype" w:hAnsi="Palatino Linotype" w:cs="Arial"/>
          <w:sz w:val="24"/>
          <w:szCs w:val="24"/>
        </w:rPr>
        <w:t>(e.g. Eventbrite);</w:t>
      </w:r>
      <w:r w:rsidR="005C4FEB" w:rsidRPr="00EB2CD4">
        <w:rPr>
          <w:rFonts w:ascii="Palatino Linotype" w:hAnsi="Palatino Linotype" w:cs="Arial"/>
          <w:sz w:val="24"/>
          <w:szCs w:val="24"/>
        </w:rPr>
        <w:t xml:space="preserve"> and</w:t>
      </w:r>
      <w:r w:rsidR="00D5224B" w:rsidRPr="00EB2CD4">
        <w:rPr>
          <w:rFonts w:ascii="Palatino Linotype" w:hAnsi="Palatino Linotype" w:cs="Arial"/>
          <w:sz w:val="24"/>
          <w:szCs w:val="24"/>
        </w:rPr>
        <w:t xml:space="preserve"> </w:t>
      </w:r>
      <w:r w:rsidRPr="00EB2CD4">
        <w:rPr>
          <w:rFonts w:ascii="Palatino Linotype" w:hAnsi="Palatino Linotype" w:cs="Arial"/>
          <w:sz w:val="24"/>
          <w:szCs w:val="24"/>
        </w:rPr>
        <w:t>presentation</w:t>
      </w:r>
      <w:r w:rsidR="00533D4A" w:rsidRPr="00EB2CD4">
        <w:rPr>
          <w:rFonts w:ascii="Palatino Linotype" w:hAnsi="Palatino Linotype" w:cs="Arial"/>
          <w:sz w:val="24"/>
          <w:szCs w:val="24"/>
        </w:rPr>
        <w:t xml:space="preserve"> editors allow staff, </w:t>
      </w:r>
      <w:r w:rsidR="00D5224B" w:rsidRPr="00EB2CD4">
        <w:rPr>
          <w:rFonts w:ascii="Palatino Linotype" w:hAnsi="Palatino Linotype" w:cs="Arial"/>
          <w:sz w:val="24"/>
          <w:szCs w:val="24"/>
        </w:rPr>
        <w:t xml:space="preserve">students </w:t>
      </w:r>
      <w:r w:rsidR="00533D4A" w:rsidRPr="00EB2CD4">
        <w:rPr>
          <w:rFonts w:ascii="Palatino Linotype" w:hAnsi="Palatino Linotype" w:cs="Arial"/>
          <w:sz w:val="24"/>
          <w:szCs w:val="24"/>
        </w:rPr>
        <w:t xml:space="preserve">and external supporters </w:t>
      </w:r>
      <w:r w:rsidR="00D5224B" w:rsidRPr="00EB2CD4">
        <w:rPr>
          <w:rFonts w:ascii="Palatino Linotype" w:hAnsi="Palatino Linotype" w:cs="Arial"/>
          <w:sz w:val="24"/>
          <w:szCs w:val="24"/>
        </w:rPr>
        <w:t xml:space="preserve">to collaborate remotely on shared </w:t>
      </w:r>
      <w:r w:rsidRPr="00EB2CD4">
        <w:rPr>
          <w:rFonts w:ascii="Palatino Linotype" w:hAnsi="Palatino Linotype" w:cs="Arial"/>
          <w:sz w:val="24"/>
          <w:szCs w:val="24"/>
        </w:rPr>
        <w:t>documents</w:t>
      </w:r>
      <w:r w:rsidR="00D5224B" w:rsidRPr="00EB2CD4">
        <w:rPr>
          <w:rFonts w:ascii="Palatino Linotype" w:hAnsi="Palatino Linotype" w:cs="Arial"/>
          <w:sz w:val="24"/>
          <w:szCs w:val="24"/>
        </w:rPr>
        <w:t xml:space="preserve"> </w:t>
      </w:r>
      <w:r w:rsidR="00533D4A" w:rsidRPr="00EB2CD4">
        <w:rPr>
          <w:rFonts w:ascii="Palatino Linotype" w:hAnsi="Palatino Linotype" w:cs="Arial"/>
          <w:sz w:val="24"/>
          <w:szCs w:val="24"/>
        </w:rPr>
        <w:t xml:space="preserve">such as your workshop materials </w:t>
      </w:r>
      <w:r w:rsidR="00D5224B" w:rsidRPr="00EB2CD4">
        <w:rPr>
          <w:rFonts w:ascii="Palatino Linotype" w:hAnsi="Palatino Linotype" w:cs="Arial"/>
          <w:sz w:val="24"/>
          <w:szCs w:val="24"/>
        </w:rPr>
        <w:t xml:space="preserve">(e.g. Google </w:t>
      </w:r>
      <w:r w:rsidR="003E5134" w:rsidRPr="00EB2CD4">
        <w:rPr>
          <w:rFonts w:ascii="Palatino Linotype" w:hAnsi="Palatino Linotype" w:cs="Arial"/>
          <w:sz w:val="24"/>
          <w:szCs w:val="24"/>
        </w:rPr>
        <w:t>Slides</w:t>
      </w:r>
      <w:r w:rsidRPr="00EB2CD4">
        <w:rPr>
          <w:rFonts w:ascii="Palatino Linotype" w:hAnsi="Palatino Linotype" w:cs="Arial"/>
          <w:sz w:val="24"/>
          <w:szCs w:val="24"/>
        </w:rPr>
        <w:t xml:space="preserve">). Virtual noticeboards (e.g. Trello) provide a visual journey for your project’s </w:t>
      </w:r>
      <w:r w:rsidR="005C4FEB" w:rsidRPr="00EB2CD4">
        <w:rPr>
          <w:rFonts w:ascii="Palatino Linotype" w:hAnsi="Palatino Linotype" w:cs="Arial"/>
          <w:sz w:val="24"/>
          <w:szCs w:val="24"/>
        </w:rPr>
        <w:t>timeline</w:t>
      </w:r>
      <w:r w:rsidRPr="00EB2CD4">
        <w:rPr>
          <w:rFonts w:ascii="Palatino Linotype" w:hAnsi="Palatino Linotype" w:cs="Arial"/>
          <w:sz w:val="24"/>
          <w:szCs w:val="24"/>
        </w:rPr>
        <w:t xml:space="preserve">, </w:t>
      </w:r>
      <w:r w:rsidR="005C4FEB" w:rsidRPr="00EB2CD4">
        <w:rPr>
          <w:rFonts w:ascii="Palatino Linotype" w:hAnsi="Palatino Linotype" w:cs="Arial"/>
          <w:sz w:val="24"/>
          <w:szCs w:val="24"/>
        </w:rPr>
        <w:t>and can be used to</w:t>
      </w:r>
      <w:r w:rsidRPr="00EB2CD4">
        <w:rPr>
          <w:rFonts w:ascii="Palatino Linotype" w:hAnsi="Palatino Linotype" w:cs="Arial"/>
          <w:sz w:val="24"/>
          <w:szCs w:val="24"/>
        </w:rPr>
        <w:t xml:space="preserve"> supervis</w:t>
      </w:r>
      <w:r w:rsidR="005C4FEB" w:rsidRPr="00EB2CD4">
        <w:rPr>
          <w:rFonts w:ascii="Palatino Linotype" w:hAnsi="Palatino Linotype" w:cs="Arial"/>
          <w:sz w:val="24"/>
          <w:szCs w:val="24"/>
        </w:rPr>
        <w:t>e</w:t>
      </w:r>
      <w:r w:rsidRPr="00EB2CD4">
        <w:rPr>
          <w:rFonts w:ascii="Palatino Linotype" w:hAnsi="Palatino Linotype" w:cs="Arial"/>
          <w:sz w:val="24"/>
          <w:szCs w:val="24"/>
        </w:rPr>
        <w:t xml:space="preserve"> </w:t>
      </w:r>
      <w:r w:rsidR="005C4FEB" w:rsidRPr="00EB2CD4">
        <w:rPr>
          <w:rFonts w:ascii="Palatino Linotype" w:hAnsi="Palatino Linotype" w:cs="Arial"/>
          <w:sz w:val="24"/>
          <w:szCs w:val="24"/>
        </w:rPr>
        <w:lastRenderedPageBreak/>
        <w:t xml:space="preserve">students’ </w:t>
      </w:r>
      <w:r w:rsidRPr="00EB2CD4">
        <w:rPr>
          <w:rFonts w:ascii="Palatino Linotype" w:hAnsi="Palatino Linotype" w:cs="Arial"/>
          <w:sz w:val="24"/>
          <w:szCs w:val="24"/>
        </w:rPr>
        <w:t xml:space="preserve">research. Tasks can be assigned to individuals, deadlines set and progress </w:t>
      </w:r>
      <w:r w:rsidR="005C4FEB" w:rsidRPr="00EB2CD4">
        <w:rPr>
          <w:rFonts w:ascii="Palatino Linotype" w:hAnsi="Palatino Linotype" w:cs="Arial"/>
          <w:sz w:val="24"/>
          <w:szCs w:val="24"/>
        </w:rPr>
        <w:t>monitored</w:t>
      </w:r>
      <w:r w:rsidRPr="00EB2CD4">
        <w:rPr>
          <w:rFonts w:ascii="Palatino Linotype" w:hAnsi="Palatino Linotype" w:cs="Arial"/>
          <w:sz w:val="24"/>
          <w:szCs w:val="24"/>
        </w:rPr>
        <w:t>.</w:t>
      </w:r>
      <w:r w:rsidR="005C4FEB" w:rsidRPr="00EB2CD4">
        <w:rPr>
          <w:rFonts w:ascii="Palatino Linotype" w:hAnsi="Palatino Linotype" w:cs="Arial"/>
          <w:sz w:val="24"/>
          <w:szCs w:val="24"/>
        </w:rPr>
        <w:t xml:space="preserve"> </w:t>
      </w:r>
    </w:p>
    <w:p w14:paraId="14383813" w14:textId="663B2AE0" w:rsidR="001F1C80" w:rsidRDefault="00A75C9E" w:rsidP="001F1C80">
      <w:pPr>
        <w:spacing w:line="480" w:lineRule="auto"/>
        <w:jc w:val="both"/>
        <w:rPr>
          <w:rFonts w:ascii="Palatino Linotype" w:hAnsi="Palatino Linotype" w:cs="Arial"/>
          <w:sz w:val="24"/>
          <w:szCs w:val="24"/>
        </w:rPr>
      </w:pPr>
      <w:r w:rsidRPr="00EB2CD4">
        <w:rPr>
          <w:rFonts w:ascii="Palatino Linotype" w:hAnsi="Palatino Linotype" w:cs="Arial"/>
          <w:sz w:val="24"/>
          <w:szCs w:val="24"/>
        </w:rPr>
        <w:t xml:space="preserve">Whichever platforms you </w:t>
      </w:r>
      <w:r w:rsidR="002B40DD" w:rsidRPr="00EB2CD4">
        <w:rPr>
          <w:rFonts w:ascii="Palatino Linotype" w:hAnsi="Palatino Linotype" w:cs="Arial"/>
          <w:sz w:val="24"/>
          <w:szCs w:val="24"/>
        </w:rPr>
        <w:t xml:space="preserve">ultimately </w:t>
      </w:r>
      <w:r w:rsidRPr="00EB2CD4">
        <w:rPr>
          <w:rFonts w:ascii="Palatino Linotype" w:hAnsi="Palatino Linotype" w:cs="Arial"/>
          <w:sz w:val="24"/>
          <w:szCs w:val="24"/>
        </w:rPr>
        <w:t xml:space="preserve">adopt, remember you are likely to be sharing information and potentially personal data (e.g. student contact details) outside of your organisation. </w:t>
      </w:r>
      <w:r w:rsidR="00524415" w:rsidRPr="00EB2CD4">
        <w:rPr>
          <w:rFonts w:ascii="Palatino Linotype" w:hAnsi="Palatino Linotype" w:cs="Arial"/>
          <w:sz w:val="24"/>
          <w:szCs w:val="24"/>
        </w:rPr>
        <w:t>Be mindful, therefore</w:t>
      </w:r>
      <w:r w:rsidR="00CA12A1" w:rsidRPr="00EB2CD4">
        <w:rPr>
          <w:rFonts w:ascii="Palatino Linotype" w:hAnsi="Palatino Linotype" w:cs="Arial"/>
          <w:sz w:val="24"/>
          <w:szCs w:val="24"/>
        </w:rPr>
        <w:t>,</w:t>
      </w:r>
      <w:r w:rsidR="00524415" w:rsidRPr="00EB2CD4">
        <w:rPr>
          <w:rFonts w:ascii="Palatino Linotype" w:hAnsi="Palatino Linotype" w:cs="Arial"/>
          <w:sz w:val="24"/>
          <w:szCs w:val="24"/>
        </w:rPr>
        <w:t xml:space="preserve"> of your obligations under the General Data Protection Regulation</w:t>
      </w:r>
      <w:r w:rsidR="00C55C73" w:rsidRPr="00EB2CD4">
        <w:rPr>
          <w:rStyle w:val="FootnoteReference"/>
          <w:rFonts w:ascii="Palatino Linotype" w:hAnsi="Palatino Linotype" w:cs="Arial"/>
          <w:sz w:val="24"/>
          <w:szCs w:val="24"/>
        </w:rPr>
        <w:footnoteReference w:id="8"/>
      </w:r>
      <w:r w:rsidR="00524415" w:rsidRPr="00EB2CD4">
        <w:rPr>
          <w:rFonts w:ascii="Palatino Linotype" w:hAnsi="Palatino Linotype" w:cs="Arial"/>
          <w:sz w:val="24"/>
          <w:szCs w:val="24"/>
        </w:rPr>
        <w:t xml:space="preserve">. Beyond password protecting documents, it </w:t>
      </w:r>
      <w:r w:rsidRPr="00EB2CD4">
        <w:rPr>
          <w:rFonts w:ascii="Palatino Linotype" w:hAnsi="Palatino Linotype" w:cs="Arial"/>
          <w:sz w:val="24"/>
          <w:szCs w:val="24"/>
        </w:rPr>
        <w:t xml:space="preserve">would be wise to </w:t>
      </w:r>
      <w:r w:rsidR="00524415" w:rsidRPr="00EB2CD4">
        <w:rPr>
          <w:rFonts w:ascii="Palatino Linotype" w:hAnsi="Palatino Linotype" w:cs="Arial"/>
          <w:sz w:val="24"/>
          <w:szCs w:val="24"/>
        </w:rPr>
        <w:t>seek guidance from your internal legal team about best practice with regard</w:t>
      </w:r>
      <w:r w:rsidR="002D250E" w:rsidRPr="00EB2CD4">
        <w:rPr>
          <w:rFonts w:ascii="Palatino Linotype" w:hAnsi="Palatino Linotype" w:cs="Arial"/>
          <w:sz w:val="24"/>
          <w:szCs w:val="24"/>
        </w:rPr>
        <w:t>s</w:t>
      </w:r>
      <w:r w:rsidR="00524415" w:rsidRPr="00EB2CD4">
        <w:rPr>
          <w:rFonts w:ascii="Palatino Linotype" w:hAnsi="Palatino Linotype" w:cs="Arial"/>
          <w:sz w:val="24"/>
          <w:szCs w:val="24"/>
        </w:rPr>
        <w:t xml:space="preserve"> to </w:t>
      </w:r>
      <w:r w:rsidR="00CA12A1" w:rsidRPr="00EB2CD4">
        <w:rPr>
          <w:rFonts w:ascii="Palatino Linotype" w:hAnsi="Palatino Linotype" w:cs="Arial"/>
          <w:sz w:val="24"/>
          <w:szCs w:val="24"/>
        </w:rPr>
        <w:t>sharing project information externally via e-mail or</w:t>
      </w:r>
      <w:r w:rsidR="00524415" w:rsidRPr="00EB2CD4">
        <w:rPr>
          <w:rFonts w:ascii="Palatino Linotype" w:hAnsi="Palatino Linotype" w:cs="Arial"/>
          <w:sz w:val="24"/>
          <w:szCs w:val="24"/>
        </w:rPr>
        <w:t xml:space="preserve"> </w:t>
      </w:r>
      <w:r w:rsidR="00804563" w:rsidRPr="00EB2CD4">
        <w:rPr>
          <w:rFonts w:ascii="Palatino Linotype" w:hAnsi="Palatino Linotype" w:cs="Arial"/>
          <w:sz w:val="24"/>
          <w:szCs w:val="24"/>
        </w:rPr>
        <w:t xml:space="preserve">web-based </w:t>
      </w:r>
      <w:r w:rsidR="00524415" w:rsidRPr="00EB2CD4">
        <w:rPr>
          <w:rFonts w:ascii="Palatino Linotype" w:hAnsi="Palatino Linotype" w:cs="Arial"/>
          <w:sz w:val="24"/>
          <w:szCs w:val="24"/>
        </w:rPr>
        <w:t xml:space="preserve">platforms. </w:t>
      </w:r>
      <w:r w:rsidR="001F1C80" w:rsidRPr="00EB2CD4">
        <w:rPr>
          <w:rFonts w:ascii="Palatino Linotype" w:hAnsi="Palatino Linotype" w:cs="Arial"/>
          <w:sz w:val="24"/>
          <w:szCs w:val="24"/>
        </w:rPr>
        <w:t>Collaborators less familiar with new forms of technology (Prensky</w:t>
      </w:r>
      <w:r w:rsidR="00972FD8" w:rsidRPr="00EB2CD4">
        <w:rPr>
          <w:rFonts w:ascii="Palatino Linotype" w:hAnsi="Palatino Linotype" w:cs="Arial"/>
          <w:sz w:val="24"/>
          <w:szCs w:val="24"/>
        </w:rPr>
        <w:t>’s</w:t>
      </w:r>
      <w:r w:rsidR="001F1C80" w:rsidRPr="00EB2CD4">
        <w:rPr>
          <w:rFonts w:ascii="Palatino Linotype" w:hAnsi="Palatino Linotype" w:cs="Arial"/>
          <w:sz w:val="24"/>
          <w:szCs w:val="24"/>
        </w:rPr>
        <w:t xml:space="preserve"> (2001)</w:t>
      </w:r>
      <w:r w:rsidR="001F1C80" w:rsidRPr="00EB2CD4">
        <w:rPr>
          <w:rStyle w:val="FootnoteReference"/>
          <w:rFonts w:ascii="Palatino Linotype" w:hAnsi="Palatino Linotype" w:cs="Arial"/>
          <w:sz w:val="24"/>
          <w:szCs w:val="24"/>
        </w:rPr>
        <w:footnoteReference w:id="9"/>
      </w:r>
      <w:r w:rsidR="001F1C80" w:rsidRPr="00EB2CD4">
        <w:rPr>
          <w:rFonts w:ascii="Palatino Linotype" w:hAnsi="Palatino Linotype" w:cs="Arial"/>
          <w:sz w:val="24"/>
          <w:szCs w:val="24"/>
        </w:rPr>
        <w:t xml:space="preserve"> so-called “digital immigrants”) may also </w:t>
      </w:r>
      <w:r w:rsidR="008D0415" w:rsidRPr="00EB2CD4">
        <w:rPr>
          <w:rFonts w:ascii="Palatino Linotype" w:hAnsi="Palatino Linotype" w:cs="Arial"/>
          <w:sz w:val="24"/>
          <w:szCs w:val="24"/>
        </w:rPr>
        <w:t xml:space="preserve">appreciate receiving </w:t>
      </w:r>
      <w:r w:rsidR="001F1C80" w:rsidRPr="00EB2CD4">
        <w:rPr>
          <w:rFonts w:ascii="Palatino Linotype" w:hAnsi="Palatino Linotype" w:cs="Arial"/>
          <w:sz w:val="24"/>
          <w:szCs w:val="24"/>
        </w:rPr>
        <w:t xml:space="preserve">training </w:t>
      </w:r>
      <w:r w:rsidR="004B1137" w:rsidRPr="00EB2CD4">
        <w:rPr>
          <w:rFonts w:ascii="Palatino Linotype" w:hAnsi="Palatino Linotype" w:cs="Arial"/>
          <w:sz w:val="24"/>
          <w:szCs w:val="24"/>
        </w:rPr>
        <w:t xml:space="preserve">and / or support </w:t>
      </w:r>
      <w:r w:rsidR="001F1C80" w:rsidRPr="00EB2CD4">
        <w:rPr>
          <w:rFonts w:ascii="Palatino Linotype" w:hAnsi="Palatino Linotype" w:cs="Arial"/>
          <w:sz w:val="24"/>
          <w:szCs w:val="24"/>
        </w:rPr>
        <w:t xml:space="preserve">from any willing “digital natives” </w:t>
      </w:r>
      <w:r w:rsidR="00315C0B" w:rsidRPr="00EB2CD4">
        <w:rPr>
          <w:rFonts w:ascii="Palatino Linotype" w:hAnsi="Palatino Linotype" w:cs="Arial"/>
          <w:sz w:val="24"/>
          <w:szCs w:val="24"/>
        </w:rPr>
        <w:t xml:space="preserve">amongst </w:t>
      </w:r>
      <w:r w:rsidR="008D0415" w:rsidRPr="00EB2CD4">
        <w:rPr>
          <w:rFonts w:ascii="Palatino Linotype" w:hAnsi="Palatino Linotype" w:cs="Arial"/>
          <w:sz w:val="24"/>
          <w:szCs w:val="24"/>
        </w:rPr>
        <w:t>the group</w:t>
      </w:r>
      <w:r w:rsidR="00315C0B" w:rsidRPr="00EB2CD4">
        <w:rPr>
          <w:rFonts w:ascii="Palatino Linotype" w:hAnsi="Palatino Linotype" w:cs="Arial"/>
          <w:sz w:val="24"/>
          <w:szCs w:val="24"/>
        </w:rPr>
        <w:t xml:space="preserve"> </w:t>
      </w:r>
      <w:r w:rsidR="001F1C80" w:rsidRPr="00EB2CD4">
        <w:rPr>
          <w:rFonts w:ascii="Palatino Linotype" w:hAnsi="Palatino Linotype" w:cs="Arial"/>
          <w:sz w:val="24"/>
          <w:szCs w:val="24"/>
        </w:rPr>
        <w:t>(those born into the digital world and</w:t>
      </w:r>
      <w:r w:rsidR="001F1C80" w:rsidRPr="001F1C80">
        <w:rPr>
          <w:rFonts w:ascii="Palatino Linotype" w:hAnsi="Palatino Linotype" w:cs="Arial"/>
          <w:sz w:val="24"/>
          <w:szCs w:val="24"/>
        </w:rPr>
        <w:t xml:space="preserve"> </w:t>
      </w:r>
      <w:r w:rsidR="00315C0B">
        <w:rPr>
          <w:rFonts w:ascii="Palatino Linotype" w:hAnsi="Palatino Linotype" w:cs="Arial"/>
          <w:sz w:val="24"/>
          <w:szCs w:val="24"/>
        </w:rPr>
        <w:t xml:space="preserve">who have been comfortable </w:t>
      </w:r>
      <w:r w:rsidR="001F1C80" w:rsidRPr="001F1C80">
        <w:rPr>
          <w:rFonts w:ascii="Palatino Linotype" w:hAnsi="Palatino Linotype" w:cs="Arial"/>
          <w:sz w:val="24"/>
          <w:szCs w:val="24"/>
        </w:rPr>
        <w:t xml:space="preserve">interacting with it since </w:t>
      </w:r>
      <w:r w:rsidR="00315C0B" w:rsidRPr="001F1C80">
        <w:rPr>
          <w:rFonts w:ascii="Palatino Linotype" w:hAnsi="Palatino Linotype" w:cs="Arial"/>
          <w:sz w:val="24"/>
          <w:szCs w:val="24"/>
        </w:rPr>
        <w:t>childhood</w:t>
      </w:r>
      <w:r w:rsidR="001F1C80" w:rsidRPr="001F1C80">
        <w:rPr>
          <w:rFonts w:ascii="Palatino Linotype" w:hAnsi="Palatino Linotype" w:cs="Arial"/>
          <w:sz w:val="24"/>
          <w:szCs w:val="24"/>
        </w:rPr>
        <w:t>).</w:t>
      </w:r>
      <w:r w:rsidR="001F1C80">
        <w:rPr>
          <w:rFonts w:ascii="Palatino Linotype" w:hAnsi="Palatino Linotype" w:cs="Arial"/>
          <w:sz w:val="24"/>
          <w:szCs w:val="24"/>
        </w:rPr>
        <w:t xml:space="preserve"> </w:t>
      </w:r>
      <w:r w:rsidR="00315C0B">
        <w:rPr>
          <w:rFonts w:ascii="Palatino Linotype" w:hAnsi="Palatino Linotype" w:cs="Arial"/>
          <w:sz w:val="24"/>
          <w:szCs w:val="24"/>
        </w:rPr>
        <w:t xml:space="preserve">The </w:t>
      </w:r>
      <w:r w:rsidR="004B1137">
        <w:rPr>
          <w:rFonts w:ascii="Palatino Linotype" w:hAnsi="Palatino Linotype" w:cs="Arial"/>
          <w:sz w:val="24"/>
          <w:szCs w:val="24"/>
        </w:rPr>
        <w:t xml:space="preserve">(now closed) </w:t>
      </w:r>
      <w:r w:rsidR="006C1CED">
        <w:rPr>
          <w:rFonts w:ascii="Palatino Linotype" w:hAnsi="Palatino Linotype" w:cs="Arial"/>
          <w:sz w:val="24"/>
          <w:szCs w:val="24"/>
        </w:rPr>
        <w:t xml:space="preserve">collaborative </w:t>
      </w:r>
      <w:r w:rsidR="00315C0B">
        <w:rPr>
          <w:rFonts w:ascii="Palatino Linotype" w:hAnsi="Palatino Linotype" w:cs="Arial"/>
          <w:sz w:val="24"/>
          <w:szCs w:val="24"/>
        </w:rPr>
        <w:t xml:space="preserve">PLE project in Leeds suffered early </w:t>
      </w:r>
      <w:r w:rsidR="004B1137">
        <w:rPr>
          <w:rFonts w:ascii="Palatino Linotype" w:hAnsi="Palatino Linotype" w:cs="Arial"/>
          <w:sz w:val="24"/>
          <w:szCs w:val="24"/>
        </w:rPr>
        <w:t>setbacks</w:t>
      </w:r>
      <w:r w:rsidR="00315C0B">
        <w:rPr>
          <w:rFonts w:ascii="Palatino Linotype" w:hAnsi="Palatino Linotype" w:cs="Arial"/>
          <w:sz w:val="24"/>
          <w:szCs w:val="24"/>
        </w:rPr>
        <w:t xml:space="preserve"> in this regard, as a lack of confidence with document sharing and communication platforms amongst some collaborators led to inconsistent adoption of the</w:t>
      </w:r>
      <w:r w:rsidR="004B1137">
        <w:rPr>
          <w:rFonts w:ascii="Palatino Linotype" w:hAnsi="Palatino Linotype" w:cs="Arial"/>
          <w:sz w:val="24"/>
          <w:szCs w:val="24"/>
        </w:rPr>
        <w:t>se</w:t>
      </w:r>
      <w:r w:rsidR="00315C0B">
        <w:rPr>
          <w:rFonts w:ascii="Palatino Linotype" w:hAnsi="Palatino Linotype" w:cs="Arial"/>
          <w:sz w:val="24"/>
          <w:szCs w:val="24"/>
        </w:rPr>
        <w:t xml:space="preserve"> tools </w:t>
      </w:r>
      <w:r w:rsidR="004B1137">
        <w:rPr>
          <w:rFonts w:ascii="Palatino Linotype" w:hAnsi="Palatino Linotype" w:cs="Arial"/>
          <w:sz w:val="24"/>
          <w:szCs w:val="24"/>
        </w:rPr>
        <w:t>within</w:t>
      </w:r>
      <w:r w:rsidR="00315C0B">
        <w:rPr>
          <w:rFonts w:ascii="Palatino Linotype" w:hAnsi="Palatino Linotype" w:cs="Arial"/>
          <w:sz w:val="24"/>
          <w:szCs w:val="24"/>
        </w:rPr>
        <w:t xml:space="preserve"> the group (thus undermining </w:t>
      </w:r>
      <w:r w:rsidR="004B1137">
        <w:rPr>
          <w:rFonts w:ascii="Palatino Linotype" w:hAnsi="Palatino Linotype" w:cs="Arial"/>
          <w:sz w:val="24"/>
          <w:szCs w:val="24"/>
        </w:rPr>
        <w:t>the tools’</w:t>
      </w:r>
      <w:r w:rsidR="00315C0B">
        <w:rPr>
          <w:rFonts w:ascii="Palatino Linotype" w:hAnsi="Palatino Linotype" w:cs="Arial"/>
          <w:sz w:val="24"/>
          <w:szCs w:val="24"/>
        </w:rPr>
        <w:t xml:space="preserve"> intended benefits).</w:t>
      </w:r>
    </w:p>
    <w:p w14:paraId="06E8C233" w14:textId="3F3491ED" w:rsidR="00A73919" w:rsidRDefault="00A73919" w:rsidP="001F1C80">
      <w:pPr>
        <w:spacing w:line="480" w:lineRule="auto"/>
        <w:jc w:val="both"/>
        <w:rPr>
          <w:rFonts w:ascii="Palatino Linotype" w:hAnsi="Palatino Linotype" w:cs="Arial"/>
          <w:sz w:val="24"/>
          <w:szCs w:val="24"/>
        </w:rPr>
      </w:pPr>
    </w:p>
    <w:p w14:paraId="5ECF03F7" w14:textId="77777777" w:rsidR="00A73919" w:rsidRPr="001F1C80" w:rsidRDefault="00A73919" w:rsidP="001F1C80">
      <w:pPr>
        <w:spacing w:line="480" w:lineRule="auto"/>
        <w:jc w:val="both"/>
        <w:rPr>
          <w:rFonts w:ascii="Palatino Linotype" w:hAnsi="Palatino Linotype" w:cs="Arial"/>
          <w:sz w:val="24"/>
          <w:szCs w:val="24"/>
        </w:rPr>
      </w:pPr>
    </w:p>
    <w:p w14:paraId="3B037715" w14:textId="0FD1A8BC" w:rsidR="00261954" w:rsidRPr="004303D6" w:rsidRDefault="00815FB6" w:rsidP="004303D6">
      <w:pPr>
        <w:pStyle w:val="ListParagraph"/>
        <w:numPr>
          <w:ilvl w:val="0"/>
          <w:numId w:val="17"/>
        </w:numPr>
        <w:spacing w:line="480" w:lineRule="auto"/>
        <w:jc w:val="both"/>
        <w:rPr>
          <w:rFonts w:ascii="Palatino Linotype" w:hAnsi="Palatino Linotype" w:cs="Arial"/>
          <w:b/>
          <w:sz w:val="24"/>
          <w:szCs w:val="24"/>
        </w:rPr>
      </w:pPr>
      <w:r w:rsidRPr="004303D6">
        <w:rPr>
          <w:rFonts w:ascii="Palatino Linotype" w:hAnsi="Palatino Linotype" w:cs="Arial"/>
          <w:b/>
          <w:sz w:val="24"/>
          <w:szCs w:val="24"/>
        </w:rPr>
        <w:lastRenderedPageBreak/>
        <w:t xml:space="preserve">Reflect, </w:t>
      </w:r>
      <w:r w:rsidR="003F5B34" w:rsidRPr="004303D6">
        <w:rPr>
          <w:rFonts w:ascii="Palatino Linotype" w:hAnsi="Palatino Linotype" w:cs="Arial"/>
          <w:b/>
          <w:sz w:val="24"/>
          <w:szCs w:val="24"/>
        </w:rPr>
        <w:t>adapt</w:t>
      </w:r>
      <w:r w:rsidR="00CB6B52" w:rsidRPr="004303D6">
        <w:rPr>
          <w:rFonts w:ascii="Palatino Linotype" w:hAnsi="Palatino Linotype" w:cs="Arial"/>
          <w:b/>
          <w:sz w:val="24"/>
          <w:szCs w:val="24"/>
        </w:rPr>
        <w:t>,</w:t>
      </w:r>
      <w:r w:rsidR="000E619A" w:rsidRPr="004303D6">
        <w:rPr>
          <w:rFonts w:ascii="Palatino Linotype" w:hAnsi="Palatino Linotype" w:cs="Arial"/>
          <w:b/>
          <w:sz w:val="24"/>
          <w:szCs w:val="24"/>
        </w:rPr>
        <w:t xml:space="preserve"> and be prepared to make difficult decisions</w:t>
      </w:r>
    </w:p>
    <w:p w14:paraId="0EFC2BC9" w14:textId="01A5CB3D" w:rsidR="00B33386" w:rsidRPr="004303D6" w:rsidRDefault="00261954" w:rsidP="004303D6">
      <w:pPr>
        <w:spacing w:line="480" w:lineRule="auto"/>
        <w:jc w:val="both"/>
        <w:rPr>
          <w:rFonts w:ascii="Palatino Linotype" w:hAnsi="Palatino Linotype" w:cs="Arial"/>
          <w:sz w:val="24"/>
          <w:szCs w:val="24"/>
        </w:rPr>
      </w:pPr>
      <w:r w:rsidRPr="004303D6">
        <w:rPr>
          <w:rFonts w:ascii="Palatino Linotype" w:hAnsi="Palatino Linotype" w:cs="Arial"/>
          <w:sz w:val="24"/>
          <w:szCs w:val="24"/>
        </w:rPr>
        <w:t>Revisit your shared objective</w:t>
      </w:r>
      <w:r w:rsidR="001A0C0E" w:rsidRPr="004303D6">
        <w:rPr>
          <w:rFonts w:ascii="Palatino Linotype" w:hAnsi="Palatino Linotype" w:cs="Arial"/>
          <w:sz w:val="24"/>
          <w:szCs w:val="24"/>
        </w:rPr>
        <w:t>s</w:t>
      </w:r>
      <w:r w:rsidRPr="004303D6">
        <w:rPr>
          <w:rFonts w:ascii="Palatino Linotype" w:hAnsi="Palatino Linotype" w:cs="Arial"/>
          <w:sz w:val="24"/>
          <w:szCs w:val="24"/>
        </w:rPr>
        <w:t xml:space="preserve"> and values at appropriate</w:t>
      </w:r>
      <w:r w:rsidR="0035640A" w:rsidRPr="004303D6">
        <w:rPr>
          <w:rFonts w:ascii="Palatino Linotype" w:hAnsi="Palatino Linotype" w:cs="Arial"/>
          <w:sz w:val="24"/>
          <w:szCs w:val="24"/>
        </w:rPr>
        <w:t xml:space="preserve"> and pre-agreed</w:t>
      </w:r>
      <w:r w:rsidR="00C85609" w:rsidRPr="004303D6">
        <w:rPr>
          <w:rFonts w:ascii="Palatino Linotype" w:hAnsi="Palatino Linotype" w:cs="Arial"/>
          <w:sz w:val="24"/>
          <w:szCs w:val="24"/>
        </w:rPr>
        <w:t xml:space="preserve"> point</w:t>
      </w:r>
      <w:r w:rsidR="0035640A" w:rsidRPr="004303D6">
        <w:rPr>
          <w:rFonts w:ascii="Palatino Linotype" w:hAnsi="Palatino Linotype" w:cs="Arial"/>
          <w:sz w:val="24"/>
          <w:szCs w:val="24"/>
        </w:rPr>
        <w:t>s in time</w:t>
      </w:r>
      <w:r w:rsidR="00C85609" w:rsidRPr="004303D6">
        <w:rPr>
          <w:rFonts w:ascii="Palatino Linotype" w:hAnsi="Palatino Linotype" w:cs="Arial"/>
          <w:sz w:val="24"/>
          <w:szCs w:val="24"/>
        </w:rPr>
        <w:t>. When</w:t>
      </w:r>
      <w:r w:rsidR="00BF0914" w:rsidRPr="004303D6">
        <w:rPr>
          <w:rFonts w:ascii="Palatino Linotype" w:hAnsi="Palatino Linotype" w:cs="Arial"/>
          <w:sz w:val="24"/>
          <w:szCs w:val="24"/>
        </w:rPr>
        <w:t xml:space="preserve"> </w:t>
      </w:r>
      <w:r w:rsidR="00C85609" w:rsidRPr="004303D6">
        <w:rPr>
          <w:rFonts w:ascii="Palatino Linotype" w:hAnsi="Palatino Linotype" w:cs="Arial"/>
          <w:sz w:val="24"/>
          <w:szCs w:val="24"/>
        </w:rPr>
        <w:t>exactly</w:t>
      </w:r>
      <w:r w:rsidR="00BF0914" w:rsidRPr="004303D6">
        <w:rPr>
          <w:rFonts w:ascii="Palatino Linotype" w:hAnsi="Palatino Linotype" w:cs="Arial"/>
          <w:sz w:val="24"/>
          <w:szCs w:val="24"/>
        </w:rPr>
        <w:t xml:space="preserve"> </w:t>
      </w:r>
      <w:r w:rsidR="00C85609" w:rsidRPr="004303D6">
        <w:rPr>
          <w:rFonts w:ascii="Palatino Linotype" w:hAnsi="Palatino Linotype" w:cs="Arial"/>
          <w:sz w:val="24"/>
          <w:szCs w:val="24"/>
        </w:rPr>
        <w:t>you do this</w:t>
      </w:r>
      <w:r w:rsidR="005F6A1C" w:rsidRPr="004303D6">
        <w:rPr>
          <w:rFonts w:ascii="Palatino Linotype" w:hAnsi="Palatino Linotype" w:cs="Arial"/>
          <w:sz w:val="24"/>
          <w:szCs w:val="24"/>
        </w:rPr>
        <w:t xml:space="preserve"> </w:t>
      </w:r>
      <w:r w:rsidRPr="004303D6">
        <w:rPr>
          <w:rFonts w:ascii="Palatino Linotype" w:hAnsi="Palatino Linotype" w:cs="Arial"/>
          <w:sz w:val="24"/>
          <w:szCs w:val="24"/>
        </w:rPr>
        <w:t xml:space="preserve">may be dictated by the </w:t>
      </w:r>
      <w:r w:rsidR="005F6A1C" w:rsidRPr="004303D6">
        <w:rPr>
          <w:rFonts w:ascii="Palatino Linotype" w:hAnsi="Palatino Linotype" w:cs="Arial"/>
          <w:sz w:val="24"/>
          <w:szCs w:val="24"/>
        </w:rPr>
        <w:t>timeline</w:t>
      </w:r>
      <w:r w:rsidRPr="004303D6">
        <w:rPr>
          <w:rFonts w:ascii="Palatino Linotype" w:hAnsi="Palatino Linotype" w:cs="Arial"/>
          <w:sz w:val="24"/>
          <w:szCs w:val="24"/>
        </w:rPr>
        <w:t xml:space="preserve"> of </w:t>
      </w:r>
      <w:r w:rsidR="00CB6B52" w:rsidRPr="004303D6">
        <w:rPr>
          <w:rFonts w:ascii="Palatino Linotype" w:hAnsi="Palatino Linotype" w:cs="Arial"/>
          <w:sz w:val="24"/>
          <w:szCs w:val="24"/>
        </w:rPr>
        <w:t>your PLE</w:t>
      </w:r>
      <w:r w:rsidRPr="004303D6">
        <w:rPr>
          <w:rFonts w:ascii="Palatino Linotype" w:hAnsi="Palatino Linotype" w:cs="Arial"/>
          <w:sz w:val="24"/>
          <w:szCs w:val="24"/>
        </w:rPr>
        <w:t xml:space="preserve"> project </w:t>
      </w:r>
      <w:r w:rsidR="00EA56BF" w:rsidRPr="004303D6">
        <w:rPr>
          <w:rFonts w:ascii="Palatino Linotype" w:hAnsi="Palatino Linotype" w:cs="Arial"/>
          <w:sz w:val="24"/>
          <w:szCs w:val="24"/>
        </w:rPr>
        <w:t>(</w:t>
      </w:r>
      <w:r w:rsidRPr="004303D6">
        <w:rPr>
          <w:rFonts w:ascii="Palatino Linotype" w:hAnsi="Palatino Linotype" w:cs="Arial"/>
          <w:sz w:val="24"/>
          <w:szCs w:val="24"/>
        </w:rPr>
        <w:t xml:space="preserve">e.g. </w:t>
      </w:r>
      <w:r w:rsidR="00EA56BF" w:rsidRPr="004303D6">
        <w:rPr>
          <w:rFonts w:ascii="Palatino Linotype" w:hAnsi="Palatino Linotype" w:cs="Arial"/>
          <w:sz w:val="24"/>
          <w:szCs w:val="24"/>
        </w:rPr>
        <w:t>one-off</w:t>
      </w:r>
      <w:r w:rsidRPr="004303D6">
        <w:rPr>
          <w:rFonts w:ascii="Palatino Linotype" w:hAnsi="Palatino Linotype" w:cs="Arial"/>
          <w:sz w:val="24"/>
          <w:szCs w:val="24"/>
        </w:rPr>
        <w:t xml:space="preserve"> ev</w:t>
      </w:r>
      <w:r w:rsidR="00C85609" w:rsidRPr="004303D6">
        <w:rPr>
          <w:rFonts w:ascii="Palatino Linotype" w:hAnsi="Palatino Linotype" w:cs="Arial"/>
          <w:sz w:val="24"/>
          <w:szCs w:val="24"/>
        </w:rPr>
        <w:t>ent, term or academic year long</w:t>
      </w:r>
      <w:r w:rsidR="00EA56BF" w:rsidRPr="004303D6">
        <w:rPr>
          <w:rFonts w:ascii="Palatino Linotype" w:hAnsi="Palatino Linotype" w:cs="Arial"/>
          <w:sz w:val="24"/>
          <w:szCs w:val="24"/>
        </w:rPr>
        <w:t>)</w:t>
      </w:r>
      <w:r w:rsidR="00C85609" w:rsidRPr="004303D6">
        <w:rPr>
          <w:rFonts w:ascii="Palatino Linotype" w:hAnsi="Palatino Linotype" w:cs="Arial"/>
          <w:sz w:val="24"/>
          <w:szCs w:val="24"/>
        </w:rPr>
        <w:t xml:space="preserve">. </w:t>
      </w:r>
      <w:r w:rsidRPr="004303D6">
        <w:rPr>
          <w:rFonts w:ascii="Palatino Linotype" w:hAnsi="Palatino Linotype" w:cs="Arial"/>
          <w:sz w:val="24"/>
          <w:szCs w:val="24"/>
        </w:rPr>
        <w:t xml:space="preserve"> </w:t>
      </w:r>
      <w:r w:rsidR="00C85609" w:rsidRPr="004303D6">
        <w:rPr>
          <w:rFonts w:ascii="Palatino Linotype" w:hAnsi="Palatino Linotype" w:cs="Arial"/>
          <w:sz w:val="24"/>
          <w:szCs w:val="24"/>
        </w:rPr>
        <w:t xml:space="preserve">Evaluate the extent to which the values have been adhered to and the objectives met. Identify what worked well, what could be done better, and be honest about whether </w:t>
      </w:r>
      <w:r w:rsidR="00AC2010" w:rsidRPr="004303D6">
        <w:rPr>
          <w:rFonts w:ascii="Palatino Linotype" w:hAnsi="Palatino Linotype" w:cs="Arial"/>
          <w:sz w:val="24"/>
          <w:szCs w:val="24"/>
        </w:rPr>
        <w:t xml:space="preserve">these reflections </w:t>
      </w:r>
      <w:r w:rsidR="007A423F" w:rsidRPr="004303D6">
        <w:rPr>
          <w:rFonts w:ascii="Palatino Linotype" w:hAnsi="Palatino Linotype" w:cs="Arial"/>
          <w:sz w:val="24"/>
          <w:szCs w:val="24"/>
        </w:rPr>
        <w:t xml:space="preserve">(or </w:t>
      </w:r>
      <w:r w:rsidR="00C85609" w:rsidRPr="004303D6">
        <w:rPr>
          <w:rFonts w:ascii="Palatino Linotype" w:hAnsi="Palatino Linotype" w:cs="Arial"/>
          <w:sz w:val="24"/>
          <w:szCs w:val="24"/>
        </w:rPr>
        <w:t xml:space="preserve">any </w:t>
      </w:r>
      <w:r w:rsidR="00AC2010" w:rsidRPr="004303D6">
        <w:rPr>
          <w:rFonts w:ascii="Palatino Linotype" w:hAnsi="Palatino Linotype" w:cs="Arial"/>
          <w:sz w:val="24"/>
          <w:szCs w:val="24"/>
        </w:rPr>
        <w:t>recent or anticipated change in</w:t>
      </w:r>
      <w:r w:rsidR="00C85609" w:rsidRPr="004303D6">
        <w:rPr>
          <w:rFonts w:ascii="Palatino Linotype" w:hAnsi="Palatino Linotype" w:cs="Arial"/>
          <w:sz w:val="24"/>
          <w:szCs w:val="24"/>
        </w:rPr>
        <w:t xml:space="preserve"> circumstances</w:t>
      </w:r>
      <w:r w:rsidR="0035640A" w:rsidRPr="004303D6">
        <w:rPr>
          <w:rFonts w:ascii="Palatino Linotype" w:hAnsi="Palatino Linotype" w:cs="Arial"/>
          <w:sz w:val="24"/>
          <w:szCs w:val="24"/>
        </w:rPr>
        <w:t xml:space="preserve"> e.g. changes in personnel or resources available</w:t>
      </w:r>
      <w:r w:rsidR="007A423F" w:rsidRPr="004303D6">
        <w:rPr>
          <w:rFonts w:ascii="Palatino Linotype" w:hAnsi="Palatino Linotype" w:cs="Arial"/>
          <w:sz w:val="24"/>
          <w:szCs w:val="24"/>
        </w:rPr>
        <w:t xml:space="preserve">) mean </w:t>
      </w:r>
      <w:r w:rsidR="00C36372" w:rsidRPr="004303D6">
        <w:rPr>
          <w:rFonts w:ascii="Palatino Linotype" w:hAnsi="Palatino Linotype" w:cs="Arial"/>
          <w:sz w:val="24"/>
          <w:szCs w:val="24"/>
        </w:rPr>
        <w:t xml:space="preserve">that </w:t>
      </w:r>
      <w:r w:rsidR="007A423F" w:rsidRPr="004303D6">
        <w:rPr>
          <w:rFonts w:ascii="Palatino Linotype" w:hAnsi="Palatino Linotype" w:cs="Arial"/>
          <w:sz w:val="24"/>
          <w:szCs w:val="24"/>
        </w:rPr>
        <w:t xml:space="preserve">the </w:t>
      </w:r>
      <w:r w:rsidR="00401798" w:rsidRPr="004303D6">
        <w:rPr>
          <w:rFonts w:ascii="Palatino Linotype" w:hAnsi="Palatino Linotype" w:cs="Arial"/>
          <w:sz w:val="24"/>
          <w:szCs w:val="24"/>
        </w:rPr>
        <w:t xml:space="preserve">PLE </w:t>
      </w:r>
      <w:r w:rsidR="007A423F" w:rsidRPr="004303D6">
        <w:rPr>
          <w:rFonts w:ascii="Palatino Linotype" w:hAnsi="Palatino Linotype" w:cs="Arial"/>
          <w:sz w:val="24"/>
          <w:szCs w:val="24"/>
        </w:rPr>
        <w:t>project shoul</w:t>
      </w:r>
      <w:r w:rsidR="00CB6B52" w:rsidRPr="004303D6">
        <w:rPr>
          <w:rFonts w:ascii="Palatino Linotype" w:hAnsi="Palatino Linotype" w:cs="Arial"/>
          <w:sz w:val="24"/>
          <w:szCs w:val="24"/>
        </w:rPr>
        <w:t xml:space="preserve">d continue in its current guise, or </w:t>
      </w:r>
      <w:r w:rsidR="007A423F" w:rsidRPr="004303D6">
        <w:rPr>
          <w:rFonts w:ascii="Palatino Linotype" w:hAnsi="Palatino Linotype" w:cs="Arial"/>
          <w:sz w:val="24"/>
          <w:szCs w:val="24"/>
        </w:rPr>
        <w:t>at all.</w:t>
      </w:r>
      <w:r w:rsidR="002A3EDD" w:rsidRPr="004303D6">
        <w:rPr>
          <w:rFonts w:ascii="Palatino Linotype" w:hAnsi="Palatino Linotype" w:cs="Arial"/>
          <w:sz w:val="24"/>
          <w:szCs w:val="24"/>
        </w:rPr>
        <w:t xml:space="preserve"> </w:t>
      </w:r>
    </w:p>
    <w:p w14:paraId="7B28789C" w14:textId="7FF5B0E9" w:rsidR="0035640A" w:rsidRPr="004303D6" w:rsidRDefault="0035640A" w:rsidP="004303D6">
      <w:pPr>
        <w:spacing w:line="480" w:lineRule="auto"/>
        <w:jc w:val="both"/>
        <w:rPr>
          <w:rFonts w:ascii="Palatino Linotype" w:hAnsi="Palatino Linotype" w:cs="Arial"/>
          <w:sz w:val="24"/>
          <w:szCs w:val="24"/>
        </w:rPr>
      </w:pPr>
      <w:r w:rsidRPr="004303D6">
        <w:rPr>
          <w:rFonts w:ascii="Palatino Linotype" w:hAnsi="Palatino Linotype" w:cs="Arial"/>
          <w:sz w:val="24"/>
          <w:szCs w:val="24"/>
        </w:rPr>
        <w:t>Green and Johnson</w:t>
      </w:r>
      <w:r w:rsidR="00B33386" w:rsidRPr="004303D6">
        <w:rPr>
          <w:rFonts w:ascii="Palatino Linotype" w:hAnsi="Palatino Linotype" w:cs="Arial"/>
          <w:sz w:val="24"/>
          <w:szCs w:val="24"/>
        </w:rPr>
        <w:t xml:space="preserve"> (2015)</w:t>
      </w:r>
      <w:r w:rsidRPr="004303D6">
        <w:rPr>
          <w:rFonts w:ascii="Palatino Linotype" w:hAnsi="Palatino Linotype" w:cs="Arial"/>
          <w:sz w:val="24"/>
          <w:szCs w:val="24"/>
        </w:rPr>
        <w:t xml:space="preserve"> tell us that it is important to know when it is time to stop. </w:t>
      </w:r>
      <w:r w:rsidR="00B33386" w:rsidRPr="004303D6">
        <w:rPr>
          <w:rFonts w:ascii="Palatino Linotype" w:hAnsi="Palatino Linotype" w:cs="Arial"/>
          <w:sz w:val="24"/>
          <w:szCs w:val="24"/>
        </w:rPr>
        <w:t>As Professor Morten Hansen says, “</w:t>
      </w:r>
      <w:r w:rsidR="001A0C0E" w:rsidRPr="004303D6">
        <w:rPr>
          <w:rFonts w:ascii="Palatino Linotype" w:hAnsi="Palatino Linotype" w:cs="Arial"/>
          <w:sz w:val="24"/>
          <w:szCs w:val="24"/>
        </w:rPr>
        <w:t>the goal of collaboration is not collaboration but better results”</w:t>
      </w:r>
      <w:r w:rsidR="002C0462" w:rsidRPr="004303D6">
        <w:rPr>
          <w:rStyle w:val="FootnoteReference"/>
          <w:rFonts w:ascii="Palatino Linotype" w:hAnsi="Palatino Linotype" w:cs="Arial"/>
          <w:sz w:val="24"/>
          <w:szCs w:val="24"/>
        </w:rPr>
        <w:footnoteReference w:id="10"/>
      </w:r>
      <w:r w:rsidR="00B33386" w:rsidRPr="004303D6">
        <w:rPr>
          <w:rFonts w:ascii="Palatino Linotype" w:hAnsi="Palatino Linotype" w:cs="Arial"/>
          <w:sz w:val="24"/>
          <w:szCs w:val="24"/>
        </w:rPr>
        <w:t xml:space="preserve"> </w:t>
      </w:r>
      <w:r w:rsidRPr="004303D6">
        <w:rPr>
          <w:rFonts w:ascii="Palatino Linotype" w:hAnsi="Palatino Linotype" w:cs="Arial"/>
          <w:sz w:val="24"/>
          <w:szCs w:val="24"/>
        </w:rPr>
        <w:t xml:space="preserve">– and you need to </w:t>
      </w:r>
      <w:r w:rsidR="00B33386" w:rsidRPr="004303D6">
        <w:rPr>
          <w:rFonts w:ascii="Palatino Linotype" w:hAnsi="Palatino Linotype" w:cs="Arial"/>
          <w:sz w:val="24"/>
          <w:szCs w:val="24"/>
        </w:rPr>
        <w:t>regularly assess</w:t>
      </w:r>
      <w:r w:rsidRPr="004303D6">
        <w:rPr>
          <w:rFonts w:ascii="Palatino Linotype" w:hAnsi="Palatino Linotype" w:cs="Arial"/>
          <w:sz w:val="24"/>
          <w:szCs w:val="24"/>
        </w:rPr>
        <w:t xml:space="preserve"> whether those results have been achieved and/or remain achievable. </w:t>
      </w:r>
      <w:r w:rsidR="002A3EDD" w:rsidRPr="004303D6">
        <w:rPr>
          <w:rFonts w:ascii="Palatino Linotype" w:hAnsi="Palatino Linotype" w:cs="Arial"/>
          <w:sz w:val="24"/>
          <w:szCs w:val="24"/>
        </w:rPr>
        <w:t xml:space="preserve">Closing a </w:t>
      </w:r>
      <w:r w:rsidR="00166523" w:rsidRPr="004303D6">
        <w:rPr>
          <w:rFonts w:ascii="Palatino Linotype" w:hAnsi="Palatino Linotype" w:cs="Arial"/>
          <w:sz w:val="24"/>
          <w:szCs w:val="24"/>
        </w:rPr>
        <w:t xml:space="preserve">PLE </w:t>
      </w:r>
      <w:r w:rsidR="002A3EDD" w:rsidRPr="004303D6">
        <w:rPr>
          <w:rFonts w:ascii="Palatino Linotype" w:hAnsi="Palatino Linotype" w:cs="Arial"/>
          <w:sz w:val="24"/>
          <w:szCs w:val="24"/>
        </w:rPr>
        <w:t xml:space="preserve">project does not equate to failure: </w:t>
      </w:r>
      <w:r w:rsidR="00D339ED" w:rsidRPr="004303D6">
        <w:rPr>
          <w:rFonts w:ascii="Palatino Linotype" w:hAnsi="Palatino Linotype" w:cs="Arial"/>
          <w:sz w:val="24"/>
          <w:szCs w:val="24"/>
        </w:rPr>
        <w:t>you will have added value to your students</w:t>
      </w:r>
      <w:r w:rsidR="00CB6B52" w:rsidRPr="004303D6">
        <w:rPr>
          <w:rFonts w:ascii="Palatino Linotype" w:hAnsi="Palatino Linotype" w:cs="Arial"/>
          <w:sz w:val="24"/>
          <w:szCs w:val="24"/>
        </w:rPr>
        <w:t>’</w:t>
      </w:r>
      <w:r w:rsidR="00D339ED" w:rsidRPr="004303D6">
        <w:rPr>
          <w:rFonts w:ascii="Palatino Linotype" w:hAnsi="Palatino Linotype" w:cs="Arial"/>
          <w:sz w:val="24"/>
          <w:szCs w:val="24"/>
        </w:rPr>
        <w:t xml:space="preserve"> and audience members’ lives for the durati</w:t>
      </w:r>
      <w:r w:rsidR="006716D9" w:rsidRPr="004303D6">
        <w:rPr>
          <w:rFonts w:ascii="Palatino Linotype" w:hAnsi="Palatino Linotype" w:cs="Arial"/>
          <w:sz w:val="24"/>
          <w:szCs w:val="24"/>
        </w:rPr>
        <w:t>on of the collaborative project, and fostered professional relationships</w:t>
      </w:r>
      <w:r w:rsidR="00166523" w:rsidRPr="004303D6">
        <w:rPr>
          <w:rFonts w:ascii="Palatino Linotype" w:hAnsi="Palatino Linotype" w:cs="Arial"/>
          <w:sz w:val="24"/>
          <w:szCs w:val="24"/>
        </w:rPr>
        <w:t xml:space="preserve"> (which may beget further collaboration)</w:t>
      </w:r>
      <w:r w:rsidR="006716D9" w:rsidRPr="004303D6">
        <w:rPr>
          <w:rFonts w:ascii="Palatino Linotype" w:hAnsi="Palatino Linotype" w:cs="Arial"/>
          <w:sz w:val="24"/>
          <w:szCs w:val="24"/>
        </w:rPr>
        <w:t>. O</w:t>
      </w:r>
      <w:r w:rsidR="002A3EDD" w:rsidRPr="004303D6">
        <w:rPr>
          <w:rFonts w:ascii="Palatino Linotype" w:hAnsi="Palatino Linotype" w:cs="Arial"/>
          <w:sz w:val="24"/>
          <w:szCs w:val="24"/>
        </w:rPr>
        <w:t xml:space="preserve">ne of the biggest lessons we have learnt working in </w:t>
      </w:r>
      <w:r w:rsidR="002A3EDD" w:rsidRPr="004303D6">
        <w:rPr>
          <w:rFonts w:ascii="Palatino Linotype" w:hAnsi="Palatino Linotype" w:cs="Arial"/>
          <w:i/>
          <w:sz w:val="24"/>
          <w:szCs w:val="24"/>
        </w:rPr>
        <w:t>pro bono</w:t>
      </w:r>
      <w:r w:rsidR="00705B6F" w:rsidRPr="004303D6">
        <w:rPr>
          <w:rFonts w:ascii="Palatino Linotype" w:hAnsi="Palatino Linotype" w:cs="Arial"/>
          <w:sz w:val="24"/>
          <w:szCs w:val="24"/>
        </w:rPr>
        <w:t xml:space="preserve">, </w:t>
      </w:r>
      <w:r w:rsidR="002A3EDD" w:rsidRPr="004303D6">
        <w:rPr>
          <w:rFonts w:ascii="Palatino Linotype" w:hAnsi="Palatino Linotype" w:cs="Arial"/>
          <w:sz w:val="24"/>
          <w:szCs w:val="24"/>
        </w:rPr>
        <w:t xml:space="preserve">is </w:t>
      </w:r>
      <w:r w:rsidR="00705B6F" w:rsidRPr="004303D6">
        <w:rPr>
          <w:rFonts w:ascii="Palatino Linotype" w:hAnsi="Palatino Linotype" w:cs="Arial"/>
          <w:sz w:val="24"/>
          <w:szCs w:val="24"/>
        </w:rPr>
        <w:t xml:space="preserve">that </w:t>
      </w:r>
      <w:r w:rsidR="002A3EDD" w:rsidRPr="004303D6">
        <w:rPr>
          <w:rFonts w:ascii="Palatino Linotype" w:hAnsi="Palatino Linotype" w:cs="Arial"/>
          <w:sz w:val="24"/>
          <w:szCs w:val="24"/>
        </w:rPr>
        <w:t xml:space="preserve">there </w:t>
      </w:r>
      <w:r w:rsidR="00CB6B52" w:rsidRPr="004303D6">
        <w:rPr>
          <w:rFonts w:ascii="Palatino Linotype" w:hAnsi="Palatino Linotype" w:cs="Arial"/>
          <w:sz w:val="24"/>
          <w:szCs w:val="24"/>
        </w:rPr>
        <w:t xml:space="preserve">are </w:t>
      </w:r>
      <w:r w:rsidR="002A3EDD" w:rsidRPr="004303D6">
        <w:rPr>
          <w:rFonts w:ascii="Palatino Linotype" w:hAnsi="Palatino Linotype" w:cs="Arial"/>
          <w:sz w:val="24"/>
          <w:szCs w:val="24"/>
        </w:rPr>
        <w:t xml:space="preserve">more people to help </w:t>
      </w:r>
      <w:r w:rsidR="00C873E0" w:rsidRPr="004303D6">
        <w:rPr>
          <w:rFonts w:ascii="Palatino Linotype" w:hAnsi="Palatino Linotype" w:cs="Arial"/>
          <w:sz w:val="24"/>
          <w:szCs w:val="24"/>
        </w:rPr>
        <w:t xml:space="preserve">- </w:t>
      </w:r>
      <w:r w:rsidR="00705B6F" w:rsidRPr="004303D6">
        <w:rPr>
          <w:rFonts w:ascii="Palatino Linotype" w:hAnsi="Palatino Linotype" w:cs="Arial"/>
          <w:sz w:val="24"/>
          <w:szCs w:val="24"/>
        </w:rPr>
        <w:t>and more ways to help them</w:t>
      </w:r>
      <w:r w:rsidR="00C873E0" w:rsidRPr="004303D6">
        <w:rPr>
          <w:rFonts w:ascii="Palatino Linotype" w:hAnsi="Palatino Linotype" w:cs="Arial"/>
          <w:sz w:val="24"/>
          <w:szCs w:val="24"/>
        </w:rPr>
        <w:t xml:space="preserve"> - </w:t>
      </w:r>
      <w:r w:rsidR="002A3EDD" w:rsidRPr="004303D6">
        <w:rPr>
          <w:rFonts w:ascii="Palatino Linotype" w:hAnsi="Palatino Linotype" w:cs="Arial"/>
          <w:sz w:val="24"/>
          <w:szCs w:val="24"/>
        </w:rPr>
        <w:t>th</w:t>
      </w:r>
      <w:r w:rsidR="00EA56BF" w:rsidRPr="004303D6">
        <w:rPr>
          <w:rFonts w:ascii="Palatino Linotype" w:hAnsi="Palatino Linotype" w:cs="Arial"/>
          <w:sz w:val="24"/>
          <w:szCs w:val="24"/>
        </w:rPr>
        <w:t>a</w:t>
      </w:r>
      <w:r w:rsidR="002A3EDD" w:rsidRPr="004303D6">
        <w:rPr>
          <w:rFonts w:ascii="Palatino Linotype" w:hAnsi="Palatino Linotype" w:cs="Arial"/>
          <w:sz w:val="24"/>
          <w:szCs w:val="24"/>
        </w:rPr>
        <w:t xml:space="preserve">n we possibly can, so it’s </w:t>
      </w:r>
      <w:r w:rsidR="00C873E0" w:rsidRPr="004303D6">
        <w:rPr>
          <w:rFonts w:ascii="Palatino Linotype" w:hAnsi="Palatino Linotype" w:cs="Arial"/>
          <w:sz w:val="24"/>
          <w:szCs w:val="24"/>
        </w:rPr>
        <w:t xml:space="preserve">important to recognise that even our collective </w:t>
      </w:r>
      <w:r w:rsidR="002A3EDD" w:rsidRPr="004303D6">
        <w:rPr>
          <w:rFonts w:ascii="Palatino Linotype" w:hAnsi="Palatino Linotype" w:cs="Arial"/>
          <w:sz w:val="24"/>
          <w:szCs w:val="24"/>
        </w:rPr>
        <w:t>resources are finite</w:t>
      </w:r>
      <w:r w:rsidR="00C873E0" w:rsidRPr="004303D6">
        <w:rPr>
          <w:rFonts w:ascii="Palatino Linotype" w:hAnsi="Palatino Linotype" w:cs="Arial"/>
          <w:sz w:val="24"/>
          <w:szCs w:val="24"/>
        </w:rPr>
        <w:t>,</w:t>
      </w:r>
      <w:r w:rsidR="002A3EDD" w:rsidRPr="004303D6">
        <w:rPr>
          <w:rFonts w:ascii="Palatino Linotype" w:hAnsi="Palatino Linotype" w:cs="Arial"/>
          <w:sz w:val="24"/>
          <w:szCs w:val="24"/>
        </w:rPr>
        <w:t xml:space="preserve"> and we </w:t>
      </w:r>
      <w:r w:rsidR="00C873E0" w:rsidRPr="004303D6">
        <w:rPr>
          <w:rFonts w:ascii="Palatino Linotype" w:hAnsi="Palatino Linotype" w:cs="Arial"/>
          <w:sz w:val="24"/>
          <w:szCs w:val="24"/>
        </w:rPr>
        <w:t>should all</w:t>
      </w:r>
      <w:r w:rsidR="002A3EDD" w:rsidRPr="004303D6">
        <w:rPr>
          <w:rFonts w:ascii="Palatino Linotype" w:hAnsi="Palatino Linotype" w:cs="Arial"/>
          <w:sz w:val="24"/>
          <w:szCs w:val="24"/>
        </w:rPr>
        <w:t xml:space="preserve"> direct them to where they can deliver the best value for all relevant stakeholders.</w:t>
      </w:r>
    </w:p>
    <w:p w14:paraId="7942B846" w14:textId="422EAD8E" w:rsidR="005902BD" w:rsidRPr="004303D6" w:rsidRDefault="00794A4F" w:rsidP="004303D6">
      <w:pPr>
        <w:spacing w:line="480" w:lineRule="auto"/>
        <w:jc w:val="both"/>
        <w:rPr>
          <w:rFonts w:ascii="Palatino Linotype" w:hAnsi="Palatino Linotype" w:cs="Arial"/>
          <w:b/>
          <w:sz w:val="24"/>
          <w:szCs w:val="24"/>
        </w:rPr>
      </w:pPr>
      <w:r w:rsidRPr="004303D6">
        <w:rPr>
          <w:rFonts w:ascii="Palatino Linotype" w:hAnsi="Palatino Linotype" w:cs="Arial"/>
          <w:b/>
          <w:sz w:val="24"/>
          <w:szCs w:val="24"/>
        </w:rPr>
        <w:lastRenderedPageBreak/>
        <w:t xml:space="preserve">Future collaborative PLE </w:t>
      </w:r>
      <w:r w:rsidR="00575E2F" w:rsidRPr="004303D6">
        <w:rPr>
          <w:rFonts w:ascii="Palatino Linotype" w:hAnsi="Palatino Linotype" w:cs="Arial"/>
          <w:b/>
          <w:sz w:val="24"/>
          <w:szCs w:val="24"/>
        </w:rPr>
        <w:t xml:space="preserve">projects: </w:t>
      </w:r>
      <w:r w:rsidRPr="004303D6">
        <w:rPr>
          <w:rFonts w:ascii="Palatino Linotype" w:hAnsi="Palatino Linotype" w:cs="Arial"/>
          <w:b/>
          <w:sz w:val="24"/>
          <w:szCs w:val="24"/>
        </w:rPr>
        <w:t>l</w:t>
      </w:r>
      <w:r w:rsidR="005902BD" w:rsidRPr="004303D6">
        <w:rPr>
          <w:rFonts w:ascii="Palatino Linotype" w:hAnsi="Palatino Linotype" w:cs="Arial"/>
          <w:b/>
          <w:sz w:val="24"/>
          <w:szCs w:val="24"/>
        </w:rPr>
        <w:t xml:space="preserve">ooking beyond the legal sphere for potential collaborators </w:t>
      </w:r>
    </w:p>
    <w:p w14:paraId="0FA44E38" w14:textId="65E42DEC" w:rsidR="005902BD" w:rsidRPr="004303D6" w:rsidRDefault="00166523" w:rsidP="004303D6">
      <w:pPr>
        <w:spacing w:line="480" w:lineRule="auto"/>
        <w:jc w:val="both"/>
        <w:rPr>
          <w:rFonts w:ascii="Palatino Linotype" w:hAnsi="Palatino Linotype" w:cs="Arial"/>
          <w:sz w:val="24"/>
          <w:szCs w:val="24"/>
        </w:rPr>
      </w:pPr>
      <w:r w:rsidRPr="004303D6">
        <w:rPr>
          <w:rFonts w:ascii="Palatino Linotype" w:hAnsi="Palatino Linotype" w:cs="Arial"/>
          <w:sz w:val="24"/>
          <w:szCs w:val="24"/>
        </w:rPr>
        <w:t>W</w:t>
      </w:r>
      <w:r w:rsidR="005902BD" w:rsidRPr="004303D6">
        <w:rPr>
          <w:rFonts w:ascii="Palatino Linotype" w:hAnsi="Palatino Linotype" w:cs="Arial"/>
          <w:sz w:val="24"/>
          <w:szCs w:val="24"/>
        </w:rPr>
        <w:t xml:space="preserve">hilst running </w:t>
      </w:r>
      <w:r w:rsidR="005902BD" w:rsidRPr="004303D6">
        <w:rPr>
          <w:rFonts w:ascii="Palatino Linotype" w:hAnsi="Palatino Linotype" w:cs="Arial"/>
          <w:i/>
          <w:sz w:val="24"/>
          <w:szCs w:val="24"/>
        </w:rPr>
        <w:t>pro bono</w:t>
      </w:r>
      <w:r w:rsidR="005902BD" w:rsidRPr="004303D6">
        <w:rPr>
          <w:rFonts w:ascii="Palatino Linotype" w:hAnsi="Palatino Linotype" w:cs="Arial"/>
          <w:sz w:val="24"/>
          <w:szCs w:val="24"/>
        </w:rPr>
        <w:t xml:space="preserve"> projects at BPP, it has become evident </w:t>
      </w:r>
      <w:r w:rsidR="00E9289F" w:rsidRPr="004303D6">
        <w:rPr>
          <w:rFonts w:ascii="Palatino Linotype" w:hAnsi="Palatino Linotype" w:cs="Arial"/>
          <w:sz w:val="24"/>
          <w:szCs w:val="24"/>
        </w:rPr>
        <w:t xml:space="preserve">to us </w:t>
      </w:r>
      <w:r w:rsidR="005902BD" w:rsidRPr="004303D6">
        <w:rPr>
          <w:rFonts w:ascii="Palatino Linotype" w:hAnsi="Palatino Linotype" w:cs="Arial"/>
          <w:sz w:val="24"/>
          <w:szCs w:val="24"/>
        </w:rPr>
        <w:t xml:space="preserve">that many clients and audience members experience a clustering of problems. Whilst </w:t>
      </w:r>
      <w:r w:rsidR="00E87596" w:rsidRPr="004303D6">
        <w:rPr>
          <w:rFonts w:ascii="Palatino Linotype" w:hAnsi="Palatino Linotype" w:cs="Arial"/>
          <w:sz w:val="24"/>
          <w:szCs w:val="24"/>
        </w:rPr>
        <w:t xml:space="preserve">law </w:t>
      </w:r>
      <w:r w:rsidR="005902BD" w:rsidRPr="004303D6">
        <w:rPr>
          <w:rFonts w:ascii="Palatino Linotype" w:hAnsi="Palatino Linotype" w:cs="Arial"/>
          <w:sz w:val="24"/>
          <w:szCs w:val="24"/>
        </w:rPr>
        <w:t>students may</w:t>
      </w:r>
      <w:r w:rsidR="00760B9A" w:rsidRPr="004303D6">
        <w:rPr>
          <w:rFonts w:ascii="Palatino Linotype" w:hAnsi="Palatino Linotype" w:cs="Arial"/>
          <w:sz w:val="24"/>
          <w:szCs w:val="24"/>
        </w:rPr>
        <w:t xml:space="preserve"> </w:t>
      </w:r>
      <w:r w:rsidR="00927014" w:rsidRPr="004303D6">
        <w:rPr>
          <w:rFonts w:ascii="Palatino Linotype" w:hAnsi="Palatino Linotype" w:cs="Arial"/>
          <w:sz w:val="24"/>
          <w:szCs w:val="24"/>
        </w:rPr>
        <w:t>traditionally</w:t>
      </w:r>
      <w:r w:rsidR="005902BD" w:rsidRPr="004303D6">
        <w:rPr>
          <w:rFonts w:ascii="Palatino Linotype" w:hAnsi="Palatino Linotype" w:cs="Arial"/>
          <w:sz w:val="24"/>
          <w:szCs w:val="24"/>
        </w:rPr>
        <w:t xml:space="preserve"> study and be assessed on legal </w:t>
      </w:r>
      <w:r w:rsidR="00E9289F" w:rsidRPr="004303D6">
        <w:rPr>
          <w:rFonts w:ascii="Palatino Linotype" w:hAnsi="Palatino Linotype" w:cs="Arial"/>
          <w:sz w:val="24"/>
          <w:szCs w:val="24"/>
        </w:rPr>
        <w:t>issues</w:t>
      </w:r>
      <w:r w:rsidR="005902BD" w:rsidRPr="004303D6">
        <w:rPr>
          <w:rFonts w:ascii="Palatino Linotype" w:hAnsi="Palatino Linotype" w:cs="Arial"/>
          <w:sz w:val="24"/>
          <w:szCs w:val="24"/>
        </w:rPr>
        <w:t xml:space="preserve"> in discrete subject areas, real life rarely present</w:t>
      </w:r>
      <w:r w:rsidR="00760B9A" w:rsidRPr="004303D6">
        <w:rPr>
          <w:rFonts w:ascii="Palatino Linotype" w:hAnsi="Palatino Linotype" w:cs="Arial"/>
          <w:sz w:val="24"/>
          <w:szCs w:val="24"/>
        </w:rPr>
        <w:t>s legal</w:t>
      </w:r>
      <w:r w:rsidR="00E9289F" w:rsidRPr="004303D6">
        <w:rPr>
          <w:rFonts w:ascii="Palatino Linotype" w:hAnsi="Palatino Linotype" w:cs="Arial"/>
          <w:sz w:val="24"/>
          <w:szCs w:val="24"/>
        </w:rPr>
        <w:t xml:space="preserve"> (and associated)</w:t>
      </w:r>
      <w:r w:rsidR="00760B9A" w:rsidRPr="004303D6">
        <w:rPr>
          <w:rFonts w:ascii="Palatino Linotype" w:hAnsi="Palatino Linotype" w:cs="Arial"/>
          <w:sz w:val="24"/>
          <w:szCs w:val="24"/>
        </w:rPr>
        <w:t xml:space="preserve"> </w:t>
      </w:r>
      <w:r w:rsidR="005902BD" w:rsidRPr="004303D6">
        <w:rPr>
          <w:rFonts w:ascii="Palatino Linotype" w:hAnsi="Palatino Linotype" w:cs="Arial"/>
          <w:sz w:val="24"/>
          <w:szCs w:val="24"/>
        </w:rPr>
        <w:t>problems</w:t>
      </w:r>
      <w:r w:rsidR="00E87596" w:rsidRPr="004303D6">
        <w:rPr>
          <w:rFonts w:ascii="Palatino Linotype" w:hAnsi="Palatino Linotype" w:cs="Arial"/>
          <w:sz w:val="24"/>
          <w:szCs w:val="24"/>
        </w:rPr>
        <w:t xml:space="preserve"> in such neat packages</w:t>
      </w:r>
      <w:r w:rsidR="005902BD" w:rsidRPr="004303D6">
        <w:rPr>
          <w:rFonts w:ascii="Palatino Linotype" w:hAnsi="Palatino Linotype" w:cs="Arial"/>
          <w:sz w:val="24"/>
          <w:szCs w:val="24"/>
        </w:rPr>
        <w:t>. For example, a person</w:t>
      </w:r>
      <w:r w:rsidRPr="004303D6">
        <w:rPr>
          <w:rFonts w:ascii="Palatino Linotype" w:hAnsi="Palatino Linotype" w:cs="Arial"/>
          <w:sz w:val="24"/>
          <w:szCs w:val="24"/>
        </w:rPr>
        <w:t xml:space="preserve"> on sick leave from work due to </w:t>
      </w:r>
      <w:r w:rsidR="005902BD" w:rsidRPr="004303D6">
        <w:rPr>
          <w:rFonts w:ascii="Palatino Linotype" w:hAnsi="Palatino Linotype" w:cs="Arial"/>
          <w:sz w:val="24"/>
          <w:szCs w:val="24"/>
        </w:rPr>
        <w:t xml:space="preserve">bullying </w:t>
      </w:r>
      <w:r w:rsidR="00E87596" w:rsidRPr="004303D6">
        <w:rPr>
          <w:rFonts w:ascii="Palatino Linotype" w:hAnsi="Palatino Linotype" w:cs="Arial"/>
          <w:sz w:val="24"/>
          <w:szCs w:val="24"/>
        </w:rPr>
        <w:t>and harassment</w:t>
      </w:r>
      <w:r w:rsidR="005902BD" w:rsidRPr="004303D6">
        <w:rPr>
          <w:rFonts w:ascii="Palatino Linotype" w:hAnsi="Palatino Linotype" w:cs="Arial"/>
          <w:sz w:val="24"/>
          <w:szCs w:val="24"/>
        </w:rPr>
        <w:t xml:space="preserve"> may find themselves experiencing mental health issues as well as facing financial hardship (with a knock-on effect on their </w:t>
      </w:r>
      <w:r w:rsidR="00C41136">
        <w:rPr>
          <w:rFonts w:ascii="Palatino Linotype" w:hAnsi="Palatino Linotype" w:cs="Arial"/>
          <w:sz w:val="24"/>
          <w:szCs w:val="24"/>
        </w:rPr>
        <w:t xml:space="preserve">employment, </w:t>
      </w:r>
      <w:r w:rsidR="005902BD" w:rsidRPr="004303D6">
        <w:rPr>
          <w:rFonts w:ascii="Palatino Linotype" w:hAnsi="Palatino Linotype" w:cs="Arial"/>
          <w:sz w:val="24"/>
          <w:szCs w:val="24"/>
        </w:rPr>
        <w:t xml:space="preserve">housing situation, personal relationships, and so forth). </w:t>
      </w:r>
      <w:r w:rsidR="002C0462" w:rsidRPr="004303D6">
        <w:rPr>
          <w:rFonts w:ascii="Palatino Linotype" w:hAnsi="Palatino Linotype" w:cs="Arial"/>
          <w:sz w:val="24"/>
          <w:szCs w:val="24"/>
        </w:rPr>
        <w:t xml:space="preserve">In 2017 Citizens’ Advice reported that 82% of clients surveyed reported legal problems making them feel more stressed, </w:t>
      </w:r>
      <w:r w:rsidR="00533D4A" w:rsidRPr="004303D6">
        <w:rPr>
          <w:rFonts w:ascii="Palatino Linotype" w:hAnsi="Palatino Linotype" w:cs="Arial"/>
          <w:sz w:val="24"/>
          <w:szCs w:val="24"/>
        </w:rPr>
        <w:t>depressed or anxious, and 60% felt their physical health worsened</w:t>
      </w:r>
      <w:r w:rsidR="00427B19" w:rsidRPr="004303D6">
        <w:rPr>
          <w:rFonts w:ascii="Palatino Linotype" w:hAnsi="Palatino Linotype" w:cs="Arial"/>
          <w:sz w:val="24"/>
          <w:szCs w:val="24"/>
        </w:rPr>
        <w:t xml:space="preserve"> as a result</w:t>
      </w:r>
      <w:r w:rsidR="002C0462" w:rsidRPr="004303D6">
        <w:rPr>
          <w:rStyle w:val="FootnoteReference"/>
          <w:rFonts w:ascii="Palatino Linotype" w:hAnsi="Palatino Linotype" w:cs="Arial"/>
          <w:sz w:val="24"/>
          <w:szCs w:val="24"/>
        </w:rPr>
        <w:footnoteReference w:id="11"/>
      </w:r>
      <w:r w:rsidR="00533D4A" w:rsidRPr="004303D6">
        <w:rPr>
          <w:rFonts w:ascii="Palatino Linotype" w:hAnsi="Palatino Linotype" w:cs="Arial"/>
          <w:sz w:val="24"/>
          <w:szCs w:val="24"/>
        </w:rPr>
        <w:t>.</w:t>
      </w:r>
      <w:r w:rsidR="00A230E8">
        <w:rPr>
          <w:rFonts w:ascii="Palatino Linotype" w:hAnsi="Palatino Linotype" w:cs="Arial"/>
          <w:sz w:val="24"/>
          <w:szCs w:val="24"/>
        </w:rPr>
        <w:t xml:space="preserve"> </w:t>
      </w:r>
    </w:p>
    <w:p w14:paraId="602A1D74" w14:textId="7CFB6B48" w:rsidR="00A230E8" w:rsidRDefault="005902BD" w:rsidP="00293D9C">
      <w:pPr>
        <w:spacing w:line="480" w:lineRule="auto"/>
        <w:jc w:val="both"/>
        <w:rPr>
          <w:rFonts w:ascii="Palatino Linotype" w:hAnsi="Palatino Linotype" w:cs="Arial"/>
          <w:sz w:val="24"/>
          <w:szCs w:val="24"/>
        </w:rPr>
      </w:pPr>
      <w:r w:rsidRPr="004303D6">
        <w:rPr>
          <w:rFonts w:ascii="Palatino Linotype" w:hAnsi="Palatino Linotype" w:cs="Arial"/>
          <w:sz w:val="24"/>
          <w:szCs w:val="24"/>
        </w:rPr>
        <w:t>Given this reality, Curran</w:t>
      </w:r>
      <w:r w:rsidR="00724E54" w:rsidRPr="004303D6">
        <w:rPr>
          <w:rFonts w:ascii="Palatino Linotype" w:hAnsi="Palatino Linotype" w:cs="Arial"/>
          <w:sz w:val="24"/>
          <w:szCs w:val="24"/>
        </w:rPr>
        <w:t xml:space="preserve"> (2017)</w:t>
      </w:r>
      <w:r w:rsidR="00C55C73" w:rsidRPr="004303D6">
        <w:rPr>
          <w:rStyle w:val="FootnoteReference"/>
          <w:rFonts w:ascii="Palatino Linotype" w:hAnsi="Palatino Linotype" w:cs="Arial"/>
          <w:sz w:val="24"/>
          <w:szCs w:val="24"/>
        </w:rPr>
        <w:footnoteReference w:id="12"/>
      </w:r>
      <w:r w:rsidRPr="004303D6">
        <w:rPr>
          <w:rFonts w:ascii="Palatino Linotype" w:hAnsi="Palatino Linotype" w:cs="Arial"/>
          <w:sz w:val="24"/>
          <w:szCs w:val="24"/>
        </w:rPr>
        <w:t xml:space="preserve"> is critical of traditional courses which teach law in isolatio</w:t>
      </w:r>
      <w:r w:rsidR="00E87596" w:rsidRPr="004303D6">
        <w:rPr>
          <w:rFonts w:ascii="Palatino Linotype" w:hAnsi="Palatino Linotype" w:cs="Arial"/>
          <w:sz w:val="24"/>
          <w:szCs w:val="24"/>
        </w:rPr>
        <w:t xml:space="preserve">n from social contexts. </w:t>
      </w:r>
      <w:r w:rsidR="00052DB0" w:rsidRPr="004303D6">
        <w:rPr>
          <w:rFonts w:ascii="Palatino Linotype" w:hAnsi="Palatino Linotype" w:cs="Arial"/>
          <w:sz w:val="24"/>
          <w:szCs w:val="24"/>
        </w:rPr>
        <w:t xml:space="preserve">The author </w:t>
      </w:r>
      <w:r w:rsidR="00E87596" w:rsidRPr="004303D6">
        <w:rPr>
          <w:rFonts w:ascii="Palatino Linotype" w:hAnsi="Palatino Linotype" w:cs="Arial"/>
          <w:sz w:val="24"/>
          <w:szCs w:val="24"/>
        </w:rPr>
        <w:t xml:space="preserve">is </w:t>
      </w:r>
      <w:r w:rsidRPr="004303D6">
        <w:rPr>
          <w:rFonts w:ascii="Palatino Linotype" w:hAnsi="Palatino Linotype" w:cs="Arial"/>
          <w:sz w:val="24"/>
          <w:szCs w:val="24"/>
        </w:rPr>
        <w:t>a keen advocate of inter-disciplinary collaboration and supervises a legal service within a community health setting</w:t>
      </w:r>
      <w:r w:rsidR="00E45EA8">
        <w:rPr>
          <w:rFonts w:ascii="Palatino Linotype" w:hAnsi="Palatino Linotype" w:cs="Arial"/>
          <w:sz w:val="24"/>
          <w:szCs w:val="24"/>
        </w:rPr>
        <w:t xml:space="preserve"> at the ANU School of Law, Australia</w:t>
      </w:r>
      <w:r w:rsidRPr="004303D6">
        <w:rPr>
          <w:rFonts w:ascii="Palatino Linotype" w:hAnsi="Palatino Linotype" w:cs="Arial"/>
          <w:sz w:val="24"/>
          <w:szCs w:val="24"/>
        </w:rPr>
        <w:t xml:space="preserve">. Recognising a synergy between skills teaching in a number of disciplines (e.g. problem solving; relationship-building; interviewing; </w:t>
      </w:r>
      <w:r w:rsidRPr="004303D6">
        <w:rPr>
          <w:rFonts w:ascii="Palatino Linotype" w:hAnsi="Palatino Linotype" w:cs="Arial"/>
          <w:sz w:val="24"/>
          <w:szCs w:val="24"/>
        </w:rPr>
        <w:lastRenderedPageBreak/>
        <w:t xml:space="preserve">communication), she has introduced joint learning at an undergraduate level across a variety </w:t>
      </w:r>
      <w:r w:rsidR="009D0478" w:rsidRPr="004303D6">
        <w:rPr>
          <w:rFonts w:ascii="Palatino Linotype" w:hAnsi="Palatino Linotype" w:cs="Arial"/>
          <w:sz w:val="24"/>
          <w:szCs w:val="24"/>
        </w:rPr>
        <w:t xml:space="preserve">of </w:t>
      </w:r>
      <w:r w:rsidRPr="004303D6">
        <w:rPr>
          <w:rFonts w:ascii="Palatino Linotype" w:hAnsi="Palatino Linotype" w:cs="Arial"/>
          <w:sz w:val="24"/>
          <w:szCs w:val="24"/>
        </w:rPr>
        <w:t>courses</w:t>
      </w:r>
      <w:r w:rsidR="000B5956" w:rsidRPr="004303D6">
        <w:rPr>
          <w:rFonts w:ascii="Palatino Linotype" w:hAnsi="Palatino Linotype" w:cs="Arial"/>
          <w:sz w:val="24"/>
          <w:szCs w:val="24"/>
        </w:rPr>
        <w:t>,</w:t>
      </w:r>
      <w:r w:rsidRPr="004303D6">
        <w:rPr>
          <w:rFonts w:ascii="Palatino Linotype" w:hAnsi="Palatino Linotype" w:cs="Arial"/>
          <w:sz w:val="24"/>
          <w:szCs w:val="24"/>
        </w:rPr>
        <w:t xml:space="preserve"> including nursing, psychology and law. She encourages law students to emerge from their traditional silos to consider the broader health, social and economic dimensions of their clients’ legal problems. She argues that better client outcomes can be achieved </w:t>
      </w:r>
      <w:r w:rsidR="008B694E" w:rsidRPr="004303D6">
        <w:rPr>
          <w:rFonts w:ascii="Palatino Linotype" w:hAnsi="Palatino Linotype" w:cs="Arial"/>
          <w:sz w:val="24"/>
          <w:szCs w:val="24"/>
        </w:rPr>
        <w:t>when</w:t>
      </w:r>
      <w:r w:rsidRPr="004303D6">
        <w:rPr>
          <w:rFonts w:ascii="Palatino Linotype" w:hAnsi="Palatino Linotype" w:cs="Arial"/>
          <w:sz w:val="24"/>
          <w:szCs w:val="24"/>
        </w:rPr>
        <w:t xml:space="preserve"> professionals have a deepened understanding of the contextual and interconnected causes and solutions of clients’ issues, and a heightened appreciation of other professionals’ roles in solving a person’s problems</w:t>
      </w:r>
      <w:r w:rsidR="00724E54" w:rsidRPr="004303D6">
        <w:rPr>
          <w:rFonts w:ascii="Palatino Linotype" w:hAnsi="Palatino Linotype" w:cs="Arial"/>
          <w:sz w:val="24"/>
          <w:szCs w:val="24"/>
        </w:rPr>
        <w:t xml:space="preserve"> (so they can, for example, refer clients to appropriate sources of help).</w:t>
      </w:r>
      <w:r w:rsidR="006F1E97" w:rsidRPr="004303D6">
        <w:rPr>
          <w:rFonts w:ascii="Palatino Linotype" w:hAnsi="Palatino Linotype" w:cs="Arial"/>
          <w:sz w:val="24"/>
          <w:szCs w:val="24"/>
        </w:rPr>
        <w:t xml:space="preserve"> </w:t>
      </w:r>
      <w:r w:rsidR="00724E54" w:rsidRPr="004303D6">
        <w:rPr>
          <w:rFonts w:ascii="Palatino Linotype" w:hAnsi="Palatino Linotype" w:cs="Arial"/>
          <w:sz w:val="24"/>
          <w:szCs w:val="24"/>
        </w:rPr>
        <w:t xml:space="preserve">In one longitudinal study, </w:t>
      </w:r>
      <w:r w:rsidR="00480086" w:rsidRPr="004303D6">
        <w:rPr>
          <w:rFonts w:ascii="Palatino Linotype" w:hAnsi="Palatino Linotype" w:cs="Arial"/>
          <w:sz w:val="24"/>
          <w:szCs w:val="24"/>
        </w:rPr>
        <w:t>Curran</w:t>
      </w:r>
      <w:r w:rsidR="00C55C73" w:rsidRPr="004303D6">
        <w:rPr>
          <w:rFonts w:ascii="Palatino Linotype" w:hAnsi="Palatino Linotype" w:cs="Arial"/>
          <w:sz w:val="24"/>
          <w:szCs w:val="24"/>
        </w:rPr>
        <w:t xml:space="preserve"> (2017</w:t>
      </w:r>
      <w:r w:rsidR="00724E54" w:rsidRPr="004303D6">
        <w:rPr>
          <w:rFonts w:ascii="Palatino Linotype" w:hAnsi="Palatino Linotype" w:cs="Arial"/>
          <w:sz w:val="24"/>
          <w:szCs w:val="24"/>
        </w:rPr>
        <w:t>)</w:t>
      </w:r>
      <w:r w:rsidR="00C55C73" w:rsidRPr="004303D6">
        <w:rPr>
          <w:rStyle w:val="FootnoteReference"/>
          <w:rFonts w:ascii="Palatino Linotype" w:hAnsi="Palatino Linotype" w:cs="Arial"/>
          <w:sz w:val="24"/>
          <w:szCs w:val="24"/>
        </w:rPr>
        <w:footnoteReference w:id="13"/>
      </w:r>
      <w:r w:rsidR="00C55C73" w:rsidRPr="004303D6">
        <w:rPr>
          <w:rFonts w:ascii="Palatino Linotype" w:hAnsi="Palatino Linotype" w:cs="Arial"/>
          <w:sz w:val="24"/>
          <w:szCs w:val="24"/>
        </w:rPr>
        <w:t xml:space="preserve"> </w:t>
      </w:r>
      <w:r w:rsidR="006F1E97" w:rsidRPr="004303D6">
        <w:rPr>
          <w:rFonts w:ascii="Palatino Linotype" w:hAnsi="Palatino Linotype" w:cs="Arial"/>
          <w:sz w:val="24"/>
          <w:szCs w:val="24"/>
        </w:rPr>
        <w:t xml:space="preserve">reports that </w:t>
      </w:r>
      <w:r w:rsidR="00724E54" w:rsidRPr="004303D6">
        <w:rPr>
          <w:rFonts w:ascii="Palatino Linotype" w:hAnsi="Palatino Linotype" w:cs="Arial"/>
          <w:sz w:val="24"/>
          <w:szCs w:val="24"/>
        </w:rPr>
        <w:t xml:space="preserve">91% of clients </w:t>
      </w:r>
      <w:r w:rsidR="006F1E97" w:rsidRPr="004303D6">
        <w:rPr>
          <w:rFonts w:ascii="Palatino Linotype" w:hAnsi="Palatino Linotype" w:cs="Arial"/>
          <w:sz w:val="24"/>
          <w:szCs w:val="24"/>
        </w:rPr>
        <w:t xml:space="preserve">of a law clinic in a health setting </w:t>
      </w:r>
      <w:r w:rsidR="00724E54" w:rsidRPr="004303D6">
        <w:rPr>
          <w:rFonts w:ascii="Palatino Linotype" w:hAnsi="Palatino Linotype" w:cs="Arial"/>
          <w:sz w:val="24"/>
          <w:szCs w:val="24"/>
        </w:rPr>
        <w:t>indicat</w:t>
      </w:r>
      <w:r w:rsidR="006F1E97" w:rsidRPr="004303D6">
        <w:rPr>
          <w:rFonts w:ascii="Palatino Linotype" w:hAnsi="Palatino Linotype" w:cs="Arial"/>
          <w:sz w:val="24"/>
          <w:szCs w:val="24"/>
        </w:rPr>
        <w:t>ed</w:t>
      </w:r>
      <w:r w:rsidR="00724E54" w:rsidRPr="004303D6">
        <w:rPr>
          <w:rFonts w:ascii="Palatino Linotype" w:hAnsi="Palatino Linotype" w:cs="Arial"/>
          <w:sz w:val="24"/>
          <w:szCs w:val="24"/>
        </w:rPr>
        <w:t xml:space="preserve"> that they would not have seen a lawyer </w:t>
      </w:r>
      <w:r w:rsidR="00C27CAC" w:rsidRPr="004303D6">
        <w:rPr>
          <w:rFonts w:ascii="Palatino Linotype" w:hAnsi="Palatino Linotype" w:cs="Arial"/>
          <w:sz w:val="24"/>
          <w:szCs w:val="24"/>
        </w:rPr>
        <w:t>about</w:t>
      </w:r>
      <w:r w:rsidR="00724E54" w:rsidRPr="004303D6">
        <w:rPr>
          <w:rFonts w:ascii="Palatino Linotype" w:hAnsi="Palatino Linotype" w:cs="Arial"/>
          <w:sz w:val="24"/>
          <w:szCs w:val="24"/>
        </w:rPr>
        <w:t xml:space="preserve"> their legal problem</w:t>
      </w:r>
      <w:r w:rsidR="00166523" w:rsidRPr="004303D6">
        <w:rPr>
          <w:rFonts w:ascii="Palatino Linotype" w:hAnsi="Palatino Linotype" w:cs="Arial"/>
          <w:sz w:val="24"/>
          <w:szCs w:val="24"/>
        </w:rPr>
        <w:t>,</w:t>
      </w:r>
      <w:r w:rsidR="00724E54" w:rsidRPr="004303D6">
        <w:rPr>
          <w:rFonts w:ascii="Palatino Linotype" w:hAnsi="Palatino Linotype" w:cs="Arial"/>
          <w:sz w:val="24"/>
          <w:szCs w:val="24"/>
        </w:rPr>
        <w:t xml:space="preserve"> had they not been referred by a health </w:t>
      </w:r>
      <w:r w:rsidR="006F1E97" w:rsidRPr="004303D6">
        <w:rPr>
          <w:rFonts w:ascii="Palatino Linotype" w:hAnsi="Palatino Linotype" w:cs="Arial"/>
          <w:sz w:val="24"/>
          <w:szCs w:val="24"/>
        </w:rPr>
        <w:t xml:space="preserve">professional. </w:t>
      </w:r>
    </w:p>
    <w:p w14:paraId="19258622" w14:textId="781B77B9" w:rsidR="00D43485" w:rsidRDefault="00293D9C" w:rsidP="00EB2CD4">
      <w:pPr>
        <w:autoSpaceDE w:val="0"/>
        <w:autoSpaceDN w:val="0"/>
        <w:adjustRightInd w:val="0"/>
        <w:spacing w:after="0" w:line="480" w:lineRule="auto"/>
        <w:jc w:val="both"/>
        <w:rPr>
          <w:rFonts w:ascii="Palatino Linotype" w:hAnsi="Palatino Linotype" w:cs="Arial"/>
          <w:sz w:val="24"/>
          <w:szCs w:val="24"/>
        </w:rPr>
      </w:pPr>
      <w:r w:rsidRPr="00E45EA8">
        <w:rPr>
          <w:rFonts w:ascii="Palatino Linotype" w:hAnsi="Palatino Linotype" w:cs="Arial"/>
          <w:sz w:val="24"/>
          <w:szCs w:val="24"/>
        </w:rPr>
        <w:t>Bliss et al. (2012)</w:t>
      </w:r>
      <w:r w:rsidR="00125D3A">
        <w:rPr>
          <w:rStyle w:val="FootnoteReference"/>
          <w:rFonts w:ascii="Palatino Linotype" w:hAnsi="Palatino Linotype" w:cs="Arial"/>
          <w:sz w:val="24"/>
          <w:szCs w:val="24"/>
        </w:rPr>
        <w:footnoteReference w:id="14"/>
      </w:r>
      <w:r w:rsidRPr="00E45EA8">
        <w:rPr>
          <w:rFonts w:ascii="Palatino Linotype" w:hAnsi="Palatino Linotype" w:cs="Arial"/>
          <w:sz w:val="24"/>
          <w:szCs w:val="24"/>
        </w:rPr>
        <w:t xml:space="preserve"> have also run a successful interdisciplinary clinic at Georgia State University College of Law since 2006, providing law, social work and medical students with opportunities to learn together through joint classes </w:t>
      </w:r>
      <w:r w:rsidR="00587314">
        <w:rPr>
          <w:rFonts w:ascii="Palatino Linotype" w:hAnsi="Palatino Linotype" w:cs="Arial"/>
          <w:sz w:val="24"/>
          <w:szCs w:val="24"/>
        </w:rPr>
        <w:t xml:space="preserve">(e.g.  exploring each discipline’s rules, ethics and beliefs) </w:t>
      </w:r>
      <w:r w:rsidRPr="00E45EA8">
        <w:rPr>
          <w:rFonts w:ascii="Palatino Linotype" w:hAnsi="Palatino Linotype" w:cs="Arial"/>
          <w:sz w:val="24"/>
          <w:szCs w:val="24"/>
        </w:rPr>
        <w:t xml:space="preserve">and attending rounds in both law clinics and hospitals. Bliss </w:t>
      </w:r>
      <w:r w:rsidR="00D43485">
        <w:rPr>
          <w:rFonts w:ascii="Palatino Linotype" w:hAnsi="Palatino Linotype" w:cs="Arial"/>
          <w:sz w:val="24"/>
          <w:szCs w:val="24"/>
        </w:rPr>
        <w:t>et al. comment</w:t>
      </w:r>
      <w:r w:rsidRPr="00E45EA8">
        <w:rPr>
          <w:rFonts w:ascii="Palatino Linotype" w:hAnsi="Palatino Linotype" w:cs="Arial"/>
          <w:sz w:val="24"/>
          <w:szCs w:val="24"/>
        </w:rPr>
        <w:t xml:space="preserve"> that the opportunity to learn with</w:t>
      </w:r>
      <w:r w:rsidR="00E45EA8">
        <w:rPr>
          <w:rFonts w:ascii="Palatino Linotype" w:hAnsi="Palatino Linotype" w:cs="Arial"/>
          <w:sz w:val="24"/>
          <w:szCs w:val="24"/>
        </w:rPr>
        <w:t xml:space="preserve"> (a</w:t>
      </w:r>
      <w:r w:rsidRPr="00E45EA8">
        <w:rPr>
          <w:rFonts w:ascii="Palatino Linotype" w:hAnsi="Palatino Linotype" w:cs="Arial"/>
          <w:sz w:val="24"/>
          <w:szCs w:val="24"/>
        </w:rPr>
        <w:t>nd from</w:t>
      </w:r>
      <w:r w:rsidR="00E45EA8">
        <w:rPr>
          <w:rFonts w:ascii="Palatino Linotype" w:hAnsi="Palatino Linotype" w:cs="Arial"/>
          <w:sz w:val="24"/>
          <w:szCs w:val="24"/>
        </w:rPr>
        <w:t>)</w:t>
      </w:r>
      <w:r w:rsidRPr="00E45EA8">
        <w:rPr>
          <w:rFonts w:ascii="Palatino Linotype" w:hAnsi="Palatino Linotype" w:cs="Arial"/>
          <w:sz w:val="24"/>
          <w:szCs w:val="24"/>
        </w:rPr>
        <w:t xml:space="preserve"> students from other disciplines has better prepared law students for practice in a myriad of ways, including </w:t>
      </w:r>
      <w:r w:rsidR="00587314">
        <w:rPr>
          <w:rFonts w:ascii="Palatino Linotype" w:hAnsi="Palatino Linotype" w:cs="Arial"/>
          <w:sz w:val="24"/>
          <w:szCs w:val="24"/>
        </w:rPr>
        <w:t>enhancing their</w:t>
      </w:r>
      <w:r w:rsidRPr="00E45EA8">
        <w:rPr>
          <w:rFonts w:ascii="Palatino Linotype" w:hAnsi="Palatino Linotype" w:cs="Arial"/>
          <w:sz w:val="24"/>
          <w:szCs w:val="24"/>
        </w:rPr>
        <w:t xml:space="preserve"> problem solving</w:t>
      </w:r>
      <w:r w:rsidR="00587314">
        <w:rPr>
          <w:rFonts w:ascii="Palatino Linotype" w:hAnsi="Palatino Linotype" w:cs="Arial"/>
          <w:sz w:val="24"/>
          <w:szCs w:val="24"/>
        </w:rPr>
        <w:t xml:space="preserve">, reflective </w:t>
      </w:r>
      <w:r w:rsidRPr="00E45EA8">
        <w:rPr>
          <w:rFonts w:ascii="Palatino Linotype" w:hAnsi="Palatino Linotype" w:cs="Arial"/>
          <w:sz w:val="24"/>
          <w:szCs w:val="24"/>
        </w:rPr>
        <w:t xml:space="preserve">and collaborative skills, </w:t>
      </w:r>
      <w:r w:rsidR="00587314">
        <w:rPr>
          <w:rFonts w:ascii="Palatino Linotype" w:hAnsi="Palatino Linotype" w:cs="Arial"/>
          <w:sz w:val="24"/>
          <w:szCs w:val="24"/>
        </w:rPr>
        <w:lastRenderedPageBreak/>
        <w:t xml:space="preserve">developing a wider community of professionals, </w:t>
      </w:r>
      <w:r w:rsidRPr="00E45EA8">
        <w:rPr>
          <w:rFonts w:ascii="Palatino Linotype" w:hAnsi="Palatino Linotype" w:cs="Arial"/>
          <w:sz w:val="24"/>
          <w:szCs w:val="24"/>
        </w:rPr>
        <w:t xml:space="preserve">and broadening their understanding of social justice issues. </w:t>
      </w:r>
      <w:r w:rsidR="00D43485">
        <w:rPr>
          <w:rFonts w:ascii="Palatino Linotype" w:hAnsi="Palatino Linotype" w:cs="Arial"/>
          <w:sz w:val="24"/>
          <w:szCs w:val="24"/>
        </w:rPr>
        <w:t>The authors also report</w:t>
      </w:r>
      <w:r w:rsidRPr="00E45EA8">
        <w:rPr>
          <w:rFonts w:ascii="Palatino Linotype" w:hAnsi="Palatino Linotype" w:cs="Arial"/>
          <w:sz w:val="24"/>
          <w:szCs w:val="24"/>
        </w:rPr>
        <w:t xml:space="preserve"> an increase in </w:t>
      </w:r>
      <w:r w:rsidR="00E45EA8">
        <w:rPr>
          <w:rFonts w:ascii="Palatino Linotype" w:hAnsi="Palatino Linotype" w:cs="Arial"/>
          <w:sz w:val="24"/>
          <w:szCs w:val="24"/>
        </w:rPr>
        <w:t>medics’</w:t>
      </w:r>
      <w:r w:rsidRPr="00E45EA8">
        <w:rPr>
          <w:rFonts w:ascii="Palatino Linotype" w:hAnsi="Palatino Linotype" w:cs="Arial"/>
          <w:sz w:val="24"/>
          <w:szCs w:val="24"/>
        </w:rPr>
        <w:t xml:space="preserve"> recognition of socio</w:t>
      </w:r>
      <w:r w:rsidR="00BC6363" w:rsidRPr="00E45EA8">
        <w:rPr>
          <w:rFonts w:ascii="Palatino Linotype" w:hAnsi="Palatino Linotype" w:cs="Arial"/>
          <w:sz w:val="24"/>
          <w:szCs w:val="24"/>
        </w:rPr>
        <w:t>-</w:t>
      </w:r>
      <w:r w:rsidRPr="00E45EA8">
        <w:rPr>
          <w:rFonts w:ascii="Palatino Linotype" w:hAnsi="Palatino Linotype" w:cs="Arial"/>
          <w:sz w:val="24"/>
          <w:szCs w:val="24"/>
        </w:rPr>
        <w:t xml:space="preserve">economic factors that can affect people’s health and potentially engage legal issues (e.g. </w:t>
      </w:r>
      <w:r w:rsidR="009D7120">
        <w:rPr>
          <w:rFonts w:ascii="Palatino Linotype" w:hAnsi="Palatino Linotype" w:cs="Arial"/>
          <w:sz w:val="24"/>
          <w:szCs w:val="24"/>
        </w:rPr>
        <w:t xml:space="preserve">a </w:t>
      </w:r>
      <w:r w:rsidRPr="00E45EA8">
        <w:rPr>
          <w:rFonts w:ascii="Palatino Linotype" w:hAnsi="Palatino Linotype" w:cs="Arial"/>
          <w:sz w:val="24"/>
          <w:szCs w:val="24"/>
        </w:rPr>
        <w:t xml:space="preserve">lack of </w:t>
      </w:r>
      <w:r w:rsidR="009D7120">
        <w:rPr>
          <w:rFonts w:ascii="Palatino Linotype" w:hAnsi="Palatino Linotype" w:cs="Arial"/>
          <w:sz w:val="24"/>
          <w:szCs w:val="24"/>
        </w:rPr>
        <w:t xml:space="preserve">adequate </w:t>
      </w:r>
      <w:r w:rsidRPr="00E45EA8">
        <w:rPr>
          <w:rFonts w:ascii="Palatino Linotype" w:hAnsi="Palatino Linotype" w:cs="Arial"/>
          <w:sz w:val="24"/>
          <w:szCs w:val="24"/>
        </w:rPr>
        <w:t xml:space="preserve">heating exacerbating a child’s asthma condition). Over time, this has led to a growth in referrals to the student law clinic, and thus positive outcomes for patients. </w:t>
      </w:r>
    </w:p>
    <w:p w14:paraId="18493CD5" w14:textId="77777777" w:rsidR="001163AE" w:rsidRDefault="00C41136" w:rsidP="001163AE">
      <w:pPr>
        <w:autoSpaceDE w:val="0"/>
        <w:autoSpaceDN w:val="0"/>
        <w:adjustRightInd w:val="0"/>
        <w:spacing w:after="0" w:line="480" w:lineRule="auto"/>
        <w:jc w:val="both"/>
        <w:rPr>
          <w:rFonts w:ascii="Palatino Linotype" w:hAnsi="Palatino Linotype" w:cs="GoudyOldStyleMTStd"/>
          <w:sz w:val="24"/>
          <w:szCs w:val="24"/>
        </w:rPr>
      </w:pPr>
      <w:r w:rsidRPr="00E45EA8">
        <w:rPr>
          <w:rFonts w:ascii="Palatino Linotype" w:hAnsi="Palatino Linotype" w:cs="Arial"/>
          <w:sz w:val="24"/>
          <w:szCs w:val="24"/>
        </w:rPr>
        <w:t>Bliss</w:t>
      </w:r>
      <w:r w:rsidR="00D43485">
        <w:rPr>
          <w:rFonts w:ascii="Palatino Linotype" w:hAnsi="Palatino Linotype" w:cs="Arial"/>
          <w:sz w:val="24"/>
          <w:szCs w:val="24"/>
        </w:rPr>
        <w:t xml:space="preserve"> et al</w:t>
      </w:r>
      <w:r w:rsidR="009D7120">
        <w:rPr>
          <w:rFonts w:ascii="Palatino Linotype" w:hAnsi="Palatino Linotype" w:cs="Arial"/>
          <w:sz w:val="24"/>
          <w:szCs w:val="24"/>
        </w:rPr>
        <w:t>.</w:t>
      </w:r>
      <w:r w:rsidRPr="00E45EA8">
        <w:rPr>
          <w:rFonts w:ascii="Palatino Linotype" w:hAnsi="Palatino Linotype" w:cs="Arial"/>
          <w:sz w:val="24"/>
          <w:szCs w:val="24"/>
        </w:rPr>
        <w:t>’s findings chime with those of  Galowitz (2014)</w:t>
      </w:r>
      <w:r w:rsidRPr="00E45EA8">
        <w:rPr>
          <w:rStyle w:val="FootnoteReference"/>
          <w:rFonts w:ascii="Palatino Linotype" w:hAnsi="Palatino Linotype" w:cs="Arial"/>
          <w:sz w:val="24"/>
          <w:szCs w:val="24"/>
        </w:rPr>
        <w:footnoteReference w:id="15"/>
      </w:r>
      <w:r w:rsidRPr="00E45EA8">
        <w:rPr>
          <w:rFonts w:ascii="Palatino Linotype" w:hAnsi="Palatino Linotype" w:cs="Arial"/>
          <w:sz w:val="24"/>
          <w:szCs w:val="24"/>
        </w:rPr>
        <w:t xml:space="preserve">, who </w:t>
      </w:r>
      <w:r w:rsidR="00D43485">
        <w:rPr>
          <w:rFonts w:ascii="Palatino Linotype" w:hAnsi="Palatino Linotype" w:cs="Arial"/>
          <w:sz w:val="24"/>
          <w:szCs w:val="24"/>
        </w:rPr>
        <w:t xml:space="preserve">also </w:t>
      </w:r>
      <w:r w:rsidRPr="00E45EA8">
        <w:rPr>
          <w:rFonts w:ascii="Palatino Linotype" w:hAnsi="Palatino Linotype" w:cs="Arial"/>
          <w:sz w:val="24"/>
          <w:szCs w:val="24"/>
        </w:rPr>
        <w:t xml:space="preserve">cites </w:t>
      </w:r>
      <w:r w:rsidR="00D43485">
        <w:rPr>
          <w:rFonts w:ascii="Palatino Linotype" w:hAnsi="Palatino Linotype" w:cs="Arial"/>
          <w:sz w:val="24"/>
          <w:szCs w:val="24"/>
        </w:rPr>
        <w:t>improved student</w:t>
      </w:r>
      <w:r w:rsidRPr="00E45EA8">
        <w:rPr>
          <w:rFonts w:ascii="Palatino Linotype" w:hAnsi="Palatino Linotype" w:cs="Arial"/>
          <w:sz w:val="24"/>
          <w:szCs w:val="24"/>
        </w:rPr>
        <w:t xml:space="preserve"> </w:t>
      </w:r>
      <w:r w:rsidRPr="00D43485">
        <w:rPr>
          <w:rFonts w:ascii="Palatino Linotype" w:hAnsi="Palatino Linotype" w:cs="GoudyOldStyleMTStd"/>
          <w:sz w:val="24"/>
          <w:szCs w:val="24"/>
        </w:rPr>
        <w:t>problem-solving</w:t>
      </w:r>
      <w:r w:rsidR="00587314">
        <w:rPr>
          <w:rFonts w:ascii="Palatino Linotype" w:hAnsi="Palatino Linotype" w:cs="GoudyOldStyleMTStd"/>
          <w:sz w:val="24"/>
          <w:szCs w:val="24"/>
        </w:rPr>
        <w:t>, reflective</w:t>
      </w:r>
      <w:r w:rsidRPr="00D43485">
        <w:rPr>
          <w:rFonts w:ascii="Palatino Linotype" w:hAnsi="Palatino Linotype" w:cs="GoudyOldStyleMTStd"/>
          <w:sz w:val="24"/>
          <w:szCs w:val="24"/>
        </w:rPr>
        <w:t xml:space="preserve"> and collaborative skills as some of the observed benefits of law and medical student participation in the </w:t>
      </w:r>
      <w:r w:rsidR="00BC6363" w:rsidRPr="00D43485">
        <w:rPr>
          <w:rFonts w:ascii="Palatino Linotype" w:hAnsi="Palatino Linotype" w:cs="GoudyOldStyleMTStd"/>
          <w:sz w:val="24"/>
          <w:szCs w:val="24"/>
        </w:rPr>
        <w:t>Medical-Legal Advocacy Clinic at New York University</w:t>
      </w:r>
      <w:r w:rsidRPr="00D43485">
        <w:rPr>
          <w:rFonts w:ascii="Palatino Linotype" w:hAnsi="Palatino Linotype" w:cs="GoudyOldStyleMTStd"/>
          <w:sz w:val="24"/>
          <w:szCs w:val="24"/>
        </w:rPr>
        <w:t xml:space="preserve"> </w:t>
      </w:r>
      <w:r w:rsidR="00BC6363" w:rsidRPr="00D43485">
        <w:rPr>
          <w:rFonts w:ascii="Palatino Linotype" w:hAnsi="Palatino Linotype" w:cs="GoudyOldStyleMTStd"/>
          <w:sz w:val="24"/>
          <w:szCs w:val="24"/>
        </w:rPr>
        <w:t>School of Law</w:t>
      </w:r>
      <w:r w:rsidR="00D43485">
        <w:rPr>
          <w:rFonts w:ascii="Palatino Linotype" w:hAnsi="Palatino Linotype" w:cs="GoudyOldStyleMTStd"/>
          <w:sz w:val="24"/>
          <w:szCs w:val="24"/>
        </w:rPr>
        <w:t xml:space="preserve"> (ultimately leading</w:t>
      </w:r>
      <w:r w:rsidR="00D43485" w:rsidRPr="00D43485">
        <w:rPr>
          <w:rFonts w:ascii="Palatino Linotype" w:hAnsi="Palatino Linotype" w:cs="GoudyOldStyleMTStd"/>
          <w:sz w:val="24"/>
          <w:szCs w:val="24"/>
        </w:rPr>
        <w:t xml:space="preserve"> </w:t>
      </w:r>
      <w:r w:rsidR="00D43485">
        <w:rPr>
          <w:rFonts w:ascii="Palatino Linotype" w:hAnsi="Palatino Linotype" w:cs="GoudyOldStyleMTStd"/>
          <w:sz w:val="24"/>
          <w:szCs w:val="24"/>
        </w:rPr>
        <w:t xml:space="preserve">to </w:t>
      </w:r>
      <w:r w:rsidR="00D43485" w:rsidRPr="00D43485">
        <w:rPr>
          <w:rFonts w:ascii="Palatino Linotype" w:hAnsi="Palatino Linotype" w:cs="GoudyOldStyleMTStd"/>
          <w:sz w:val="24"/>
          <w:szCs w:val="24"/>
        </w:rPr>
        <w:t>better</w:t>
      </w:r>
      <w:r w:rsidR="00D43485">
        <w:rPr>
          <w:rFonts w:ascii="Palatino Linotype" w:hAnsi="Palatino Linotype" w:cs="GoudyOldStyleMTStd"/>
          <w:sz w:val="24"/>
          <w:szCs w:val="24"/>
        </w:rPr>
        <w:t>, more creative responses</w:t>
      </w:r>
      <w:r w:rsidR="00972FD8">
        <w:rPr>
          <w:rFonts w:ascii="Palatino Linotype" w:hAnsi="Palatino Linotype" w:cs="GoudyOldStyleMTStd"/>
          <w:sz w:val="24"/>
          <w:szCs w:val="24"/>
        </w:rPr>
        <w:t xml:space="preserve"> being provided</w:t>
      </w:r>
      <w:r w:rsidR="00D43485">
        <w:rPr>
          <w:rFonts w:ascii="Palatino Linotype" w:hAnsi="Palatino Linotype" w:cs="GoudyOldStyleMTStd"/>
          <w:sz w:val="24"/>
          <w:szCs w:val="24"/>
        </w:rPr>
        <w:t xml:space="preserve"> to </w:t>
      </w:r>
      <w:r w:rsidR="00D43485" w:rsidRPr="00D43485">
        <w:rPr>
          <w:rFonts w:ascii="Palatino Linotype" w:hAnsi="Palatino Linotype" w:cs="GoudyOldStyleMTStd"/>
          <w:sz w:val="24"/>
          <w:szCs w:val="24"/>
        </w:rPr>
        <w:t>clients</w:t>
      </w:r>
      <w:r w:rsidR="009D7120">
        <w:rPr>
          <w:rFonts w:ascii="Palatino Linotype" w:hAnsi="Palatino Linotype" w:cs="GoudyOldStyleMTStd"/>
          <w:sz w:val="24"/>
          <w:szCs w:val="24"/>
        </w:rPr>
        <w:t>’ various problems</w:t>
      </w:r>
      <w:r w:rsidR="00587314">
        <w:rPr>
          <w:rFonts w:ascii="Palatino Linotype" w:hAnsi="Palatino Linotype" w:cs="GoudyOldStyleMTStd"/>
          <w:sz w:val="24"/>
          <w:szCs w:val="24"/>
        </w:rPr>
        <w:t>, as those problems are considered from a more diverse range of viewpoints</w:t>
      </w:r>
      <w:r w:rsidR="00D43485">
        <w:rPr>
          <w:rFonts w:ascii="Palatino Linotype" w:hAnsi="Palatino Linotype" w:cs="GoudyOldStyleMTStd"/>
          <w:sz w:val="24"/>
          <w:szCs w:val="24"/>
        </w:rPr>
        <w:t>).</w:t>
      </w:r>
    </w:p>
    <w:p w14:paraId="66EAEA1A" w14:textId="1A0F3525" w:rsidR="001163AE" w:rsidRPr="00944391" w:rsidRDefault="001163AE" w:rsidP="001163AE">
      <w:pPr>
        <w:autoSpaceDE w:val="0"/>
        <w:autoSpaceDN w:val="0"/>
        <w:adjustRightInd w:val="0"/>
        <w:spacing w:after="0" w:line="480" w:lineRule="auto"/>
        <w:jc w:val="both"/>
        <w:rPr>
          <w:rFonts w:ascii="Palatino Linotype" w:hAnsi="Palatino Linotype" w:cs="GoudyOldStyleMTStd"/>
          <w:sz w:val="24"/>
          <w:szCs w:val="24"/>
        </w:rPr>
      </w:pPr>
      <w:r>
        <w:rPr>
          <w:rFonts w:ascii="Palatino Linotype" w:hAnsi="Palatino Linotype" w:cs="GoudyOldStyleMTStd"/>
          <w:sz w:val="24"/>
          <w:szCs w:val="24"/>
        </w:rPr>
        <w:t xml:space="preserve">Interdisciplinary </w:t>
      </w:r>
      <w:r w:rsidRPr="00944391">
        <w:rPr>
          <w:rFonts w:ascii="Palatino Linotype" w:hAnsi="Palatino Linotype" w:cs="GoudyOldStyleMTStd"/>
          <w:sz w:val="24"/>
          <w:szCs w:val="24"/>
        </w:rPr>
        <w:t xml:space="preserve">collaboration </w:t>
      </w:r>
      <w:r>
        <w:rPr>
          <w:rFonts w:ascii="Palatino Linotype" w:hAnsi="Palatino Linotype" w:cs="GoudyOldStyleMTStd"/>
          <w:sz w:val="24"/>
          <w:szCs w:val="24"/>
        </w:rPr>
        <w:t>naturally</w:t>
      </w:r>
      <w:r w:rsidRPr="00944391">
        <w:rPr>
          <w:rFonts w:ascii="Palatino Linotype" w:hAnsi="Palatino Linotype" w:cs="GoudyOldStyleMTStd"/>
          <w:sz w:val="24"/>
          <w:szCs w:val="24"/>
        </w:rPr>
        <w:t xml:space="preserve"> bring forth </w:t>
      </w:r>
      <w:r>
        <w:rPr>
          <w:rFonts w:ascii="Palatino Linotype" w:hAnsi="Palatino Linotype" w:cs="GoudyOldStyleMTStd"/>
          <w:sz w:val="24"/>
          <w:szCs w:val="24"/>
        </w:rPr>
        <w:t xml:space="preserve">some </w:t>
      </w:r>
      <w:r w:rsidRPr="00944391">
        <w:rPr>
          <w:rFonts w:ascii="Palatino Linotype" w:hAnsi="Palatino Linotype" w:cs="GoudyOldStyleMTStd"/>
          <w:sz w:val="24"/>
          <w:szCs w:val="24"/>
        </w:rPr>
        <w:t>challenges, with Lerner and Taliti (</w:t>
      </w:r>
      <w:r>
        <w:rPr>
          <w:rFonts w:ascii="Palatino Linotype" w:hAnsi="Palatino Linotype" w:cs="GoudyOldStyleMTStd"/>
          <w:sz w:val="24"/>
          <w:szCs w:val="24"/>
        </w:rPr>
        <w:t>2006</w:t>
      </w:r>
      <w:r w:rsidRPr="00944391">
        <w:rPr>
          <w:rFonts w:ascii="Palatino Linotype" w:hAnsi="Palatino Linotype" w:cs="GoudyOldStyleMTStd"/>
          <w:sz w:val="24"/>
          <w:szCs w:val="24"/>
        </w:rPr>
        <w:t>)</w:t>
      </w:r>
      <w:r>
        <w:rPr>
          <w:rStyle w:val="FootnoteReference"/>
          <w:rFonts w:ascii="Palatino Linotype" w:hAnsi="Palatino Linotype" w:cs="GoudyOldStyleMTStd"/>
          <w:sz w:val="24"/>
          <w:szCs w:val="24"/>
        </w:rPr>
        <w:footnoteReference w:id="16"/>
      </w:r>
      <w:r w:rsidRPr="00944391">
        <w:rPr>
          <w:rFonts w:ascii="Palatino Linotype" w:hAnsi="Palatino Linotype" w:cs="GoudyOldStyleMTStd"/>
          <w:sz w:val="24"/>
          <w:szCs w:val="24"/>
        </w:rPr>
        <w:t xml:space="preserve"> drawing attention to </w:t>
      </w:r>
      <w:r>
        <w:rPr>
          <w:rFonts w:ascii="Palatino Linotype" w:hAnsi="Palatino Linotype" w:cs="GoudyOldStyleMTStd"/>
          <w:sz w:val="24"/>
          <w:szCs w:val="24"/>
        </w:rPr>
        <w:t xml:space="preserve">the </w:t>
      </w:r>
      <w:r w:rsidRPr="00944391">
        <w:rPr>
          <w:rFonts w:ascii="Palatino Linotype" w:hAnsi="Palatino Linotype" w:cs="GoudyOldStyleMTStd"/>
          <w:sz w:val="24"/>
          <w:szCs w:val="24"/>
        </w:rPr>
        <w:t xml:space="preserve">differences in language, customs and values of the different professions creating anxiety amongst some students (particularly early on in </w:t>
      </w:r>
      <w:r w:rsidR="00371943">
        <w:rPr>
          <w:rFonts w:ascii="Palatino Linotype" w:hAnsi="Palatino Linotype" w:cs="GoudyOldStyleMTStd"/>
          <w:sz w:val="24"/>
          <w:szCs w:val="24"/>
        </w:rPr>
        <w:t>a</w:t>
      </w:r>
      <w:r w:rsidRPr="00944391">
        <w:rPr>
          <w:rFonts w:ascii="Palatino Linotype" w:hAnsi="Palatino Linotype" w:cs="GoudyOldStyleMTStd"/>
          <w:sz w:val="24"/>
          <w:szCs w:val="24"/>
        </w:rPr>
        <w:t xml:space="preserve"> course), </w:t>
      </w:r>
      <w:r>
        <w:rPr>
          <w:rFonts w:ascii="Palatino Linotype" w:hAnsi="Palatino Linotype" w:cs="GoudyOldStyleMTStd"/>
          <w:sz w:val="24"/>
          <w:szCs w:val="24"/>
        </w:rPr>
        <w:t>albeit ultimately providing a learning opportunity and mirror for reflection for those students. There are also l</w:t>
      </w:r>
      <w:r w:rsidRPr="00944391">
        <w:rPr>
          <w:rFonts w:ascii="Palatino Linotype" w:hAnsi="Palatino Linotype" w:cs="GoudyOldStyleMTStd"/>
          <w:sz w:val="24"/>
          <w:szCs w:val="24"/>
        </w:rPr>
        <w:t xml:space="preserve">ogistical </w:t>
      </w:r>
      <w:r>
        <w:rPr>
          <w:rFonts w:ascii="Palatino Linotype" w:hAnsi="Palatino Linotype" w:cs="GoudyOldStyleMTStd"/>
          <w:sz w:val="24"/>
          <w:szCs w:val="24"/>
        </w:rPr>
        <w:t>difficulties in</w:t>
      </w:r>
      <w:r w:rsidRPr="00944391">
        <w:rPr>
          <w:rFonts w:ascii="Palatino Linotype" w:hAnsi="Palatino Linotype" w:cs="GoudyOldStyleMTStd"/>
          <w:sz w:val="24"/>
          <w:szCs w:val="24"/>
        </w:rPr>
        <w:t xml:space="preserve"> scheduling</w:t>
      </w:r>
      <w:r>
        <w:rPr>
          <w:rFonts w:ascii="Palatino Linotype" w:hAnsi="Palatino Linotype" w:cs="GoudyOldStyleMTStd"/>
          <w:sz w:val="24"/>
          <w:szCs w:val="24"/>
        </w:rPr>
        <w:t xml:space="preserve"> </w:t>
      </w:r>
      <w:r>
        <w:rPr>
          <w:rFonts w:ascii="Palatino Linotype" w:hAnsi="Palatino Linotype" w:cs="GoudyOldStyleMTStd"/>
          <w:sz w:val="24"/>
          <w:szCs w:val="24"/>
        </w:rPr>
        <w:lastRenderedPageBreak/>
        <w:t>timetables</w:t>
      </w:r>
      <w:r w:rsidRPr="00944391">
        <w:rPr>
          <w:rFonts w:ascii="Palatino Linotype" w:hAnsi="Palatino Linotype" w:cs="GoudyOldStyleMTStd"/>
          <w:sz w:val="24"/>
          <w:szCs w:val="24"/>
        </w:rPr>
        <w:t xml:space="preserve"> </w:t>
      </w:r>
      <w:r>
        <w:rPr>
          <w:rFonts w:ascii="Palatino Linotype" w:hAnsi="Palatino Linotype" w:cs="GoudyOldStyleMTStd"/>
          <w:sz w:val="24"/>
          <w:szCs w:val="24"/>
        </w:rPr>
        <w:t>across</w:t>
      </w:r>
      <w:r w:rsidRPr="00944391">
        <w:rPr>
          <w:rFonts w:ascii="Palatino Linotype" w:hAnsi="Palatino Linotype" w:cs="GoudyOldStyleMTStd"/>
          <w:sz w:val="24"/>
          <w:szCs w:val="24"/>
        </w:rPr>
        <w:t xml:space="preserve"> different schools / professions. Our top 5 tips can hopefully go some way towards preparing</w:t>
      </w:r>
      <w:r>
        <w:rPr>
          <w:rFonts w:ascii="Palatino Linotype" w:hAnsi="Palatino Linotype" w:cs="GoudyOldStyleMTStd"/>
          <w:sz w:val="24"/>
          <w:szCs w:val="24"/>
        </w:rPr>
        <w:t xml:space="preserve"> you</w:t>
      </w:r>
      <w:r w:rsidRPr="00944391">
        <w:rPr>
          <w:rFonts w:ascii="Palatino Linotype" w:hAnsi="Palatino Linotype" w:cs="GoudyOldStyleMTStd"/>
          <w:sz w:val="24"/>
          <w:szCs w:val="24"/>
        </w:rPr>
        <w:t xml:space="preserve"> for such eventualities.  </w:t>
      </w:r>
    </w:p>
    <w:p w14:paraId="63C5125A" w14:textId="4D56BC3C" w:rsidR="00D43485" w:rsidRPr="00125D3A" w:rsidRDefault="00D43485" w:rsidP="00EB2CD4">
      <w:pPr>
        <w:spacing w:line="480" w:lineRule="auto"/>
        <w:jc w:val="both"/>
        <w:rPr>
          <w:rFonts w:ascii="Palatino Linotype" w:hAnsi="Palatino Linotype"/>
          <w:color w:val="404040"/>
          <w:sz w:val="21"/>
          <w:szCs w:val="21"/>
        </w:rPr>
      </w:pPr>
      <w:r w:rsidRPr="00125D3A">
        <w:rPr>
          <w:rFonts w:ascii="Palatino Linotype" w:hAnsi="Palatino Linotype" w:cs="Arial"/>
          <w:sz w:val="24"/>
          <w:szCs w:val="24"/>
        </w:rPr>
        <w:t>Universities</w:t>
      </w:r>
      <w:r w:rsidR="00BC6363" w:rsidRPr="00125D3A">
        <w:rPr>
          <w:rFonts w:ascii="Palatino Linotype" w:hAnsi="Palatino Linotype" w:cs="Arial"/>
          <w:sz w:val="24"/>
          <w:szCs w:val="24"/>
        </w:rPr>
        <w:t xml:space="preserve"> in the UK have </w:t>
      </w:r>
      <w:r w:rsidRPr="00125D3A">
        <w:rPr>
          <w:rFonts w:ascii="Palatino Linotype" w:hAnsi="Palatino Linotype" w:cs="Arial"/>
          <w:sz w:val="24"/>
          <w:szCs w:val="24"/>
        </w:rPr>
        <w:t xml:space="preserve">generally </w:t>
      </w:r>
      <w:r w:rsidR="00BC6363" w:rsidRPr="00125D3A">
        <w:rPr>
          <w:rFonts w:ascii="Palatino Linotype" w:hAnsi="Palatino Linotype" w:cs="Arial"/>
          <w:sz w:val="24"/>
          <w:szCs w:val="24"/>
        </w:rPr>
        <w:t xml:space="preserve">been slower to recognise </w:t>
      </w:r>
      <w:r w:rsidRPr="00125D3A">
        <w:rPr>
          <w:rFonts w:ascii="Palatino Linotype" w:hAnsi="Palatino Linotype" w:cs="Arial"/>
          <w:sz w:val="24"/>
          <w:szCs w:val="24"/>
        </w:rPr>
        <w:t xml:space="preserve">and act upon </w:t>
      </w:r>
      <w:r w:rsidR="00BC6363" w:rsidRPr="00125D3A">
        <w:rPr>
          <w:rFonts w:ascii="Palatino Linotype" w:hAnsi="Palatino Linotype" w:cs="Arial"/>
          <w:sz w:val="24"/>
          <w:szCs w:val="24"/>
        </w:rPr>
        <w:t xml:space="preserve">the potential value of </w:t>
      </w:r>
      <w:r w:rsidRPr="00125D3A">
        <w:rPr>
          <w:rFonts w:ascii="Palatino Linotype" w:hAnsi="Palatino Linotype" w:cs="Arial"/>
          <w:sz w:val="24"/>
          <w:szCs w:val="24"/>
        </w:rPr>
        <w:t>partnerships</w:t>
      </w:r>
      <w:r w:rsidR="00BC6363" w:rsidRPr="00125D3A">
        <w:rPr>
          <w:rFonts w:ascii="Palatino Linotype" w:hAnsi="Palatino Linotype" w:cs="Arial"/>
          <w:sz w:val="24"/>
          <w:szCs w:val="24"/>
        </w:rPr>
        <w:t xml:space="preserve"> </w:t>
      </w:r>
      <w:r w:rsidRPr="00125D3A">
        <w:rPr>
          <w:rFonts w:ascii="Palatino Linotype" w:hAnsi="Palatino Linotype" w:cs="Arial"/>
          <w:sz w:val="24"/>
          <w:szCs w:val="24"/>
        </w:rPr>
        <w:t xml:space="preserve">between health and legal services. However, </w:t>
      </w:r>
      <w:r w:rsidRPr="00125D3A">
        <w:rPr>
          <w:rFonts w:ascii="Palatino Linotype" w:hAnsi="Palatino Linotype"/>
          <w:sz w:val="24"/>
          <w:szCs w:val="24"/>
          <w:lang w:val="en"/>
        </w:rPr>
        <w:t>UCL Laws (2017)</w:t>
      </w:r>
      <w:r w:rsidRPr="00125D3A">
        <w:rPr>
          <w:rStyle w:val="FootnoteReference"/>
          <w:rFonts w:ascii="Palatino Linotype" w:hAnsi="Palatino Linotype"/>
          <w:sz w:val="24"/>
          <w:szCs w:val="24"/>
          <w:lang w:val="en"/>
        </w:rPr>
        <w:footnoteReference w:id="17"/>
      </w:r>
      <w:r w:rsidRPr="00125D3A">
        <w:rPr>
          <w:rFonts w:ascii="Palatino Linotype" w:hAnsi="Palatino Linotype"/>
          <w:sz w:val="24"/>
          <w:szCs w:val="24"/>
          <w:lang w:val="en"/>
        </w:rPr>
        <w:t xml:space="preserve"> </w:t>
      </w:r>
      <w:r w:rsidRPr="00125D3A">
        <w:rPr>
          <w:rFonts w:ascii="Palatino Linotype" w:hAnsi="Palatino Linotype"/>
          <w:sz w:val="24"/>
          <w:szCs w:val="24"/>
        </w:rPr>
        <w:t xml:space="preserve">have </w:t>
      </w:r>
      <w:r w:rsidRPr="00125D3A">
        <w:rPr>
          <w:rFonts w:ascii="Palatino Linotype" w:hAnsi="Palatino Linotype"/>
          <w:sz w:val="24"/>
          <w:szCs w:val="24"/>
          <w:lang w:val="en"/>
        </w:rPr>
        <w:t xml:space="preserve">recently taken heed of research which </w:t>
      </w:r>
      <w:r w:rsidR="00125D3A">
        <w:rPr>
          <w:rFonts w:ascii="Palatino Linotype" w:hAnsi="Palatino Linotype"/>
          <w:sz w:val="24"/>
          <w:szCs w:val="24"/>
          <w:lang w:val="en"/>
        </w:rPr>
        <w:t>posits</w:t>
      </w:r>
      <w:r w:rsidRPr="00125D3A">
        <w:rPr>
          <w:rFonts w:ascii="Palatino Linotype" w:hAnsi="Palatino Linotype"/>
          <w:sz w:val="24"/>
          <w:szCs w:val="24"/>
          <w:lang w:val="en"/>
        </w:rPr>
        <w:t xml:space="preserve"> a positive correlation between unresolved socio-legal problems and ill health (particularly mental wellbeing), and which suggests that people vulnerable to social exclusion are not only more likely to develop such problems, but are also less likely to access </w:t>
      </w:r>
      <w:r w:rsidRPr="00891A1B">
        <w:rPr>
          <w:rFonts w:ascii="Palatino Linotype" w:hAnsi="Palatino Linotype"/>
          <w:sz w:val="24"/>
          <w:szCs w:val="24"/>
          <w:lang w:val="en"/>
        </w:rPr>
        <w:t xml:space="preserve">relevant support. Their report advocates for the </w:t>
      </w:r>
      <w:r w:rsidRPr="00891A1B">
        <w:rPr>
          <w:rFonts w:ascii="Palatino Linotype" w:hAnsi="Palatino Linotype"/>
          <w:sz w:val="24"/>
          <w:szCs w:val="24"/>
        </w:rPr>
        <w:t xml:space="preserve">co-location of advice services to increase access for those unable or unwilling to seek advice (e.g. elderly; disabled) and to reduce potential stigma associated with advice receipt (and indeed, they have operated an integrated </w:t>
      </w:r>
      <w:r w:rsidR="00A73919">
        <w:rPr>
          <w:rFonts w:ascii="Palatino Linotype" w:hAnsi="Palatino Linotype"/>
          <w:sz w:val="24"/>
          <w:szCs w:val="24"/>
        </w:rPr>
        <w:t>Legal</w:t>
      </w:r>
      <w:r w:rsidRPr="00891A1B">
        <w:rPr>
          <w:rFonts w:ascii="Palatino Linotype" w:hAnsi="Palatino Linotype"/>
          <w:sz w:val="24"/>
          <w:szCs w:val="24"/>
          <w:lang w:val="en"/>
        </w:rPr>
        <w:t xml:space="preserve"> Advice Clinic from a health and wellbeing centre in east London since January 2016). </w:t>
      </w:r>
      <w:r w:rsidR="00293D9C" w:rsidRPr="00891A1B">
        <w:rPr>
          <w:rFonts w:ascii="Palatino Linotype" w:hAnsi="Palatino Linotype"/>
          <w:sz w:val="24"/>
          <w:szCs w:val="24"/>
          <w:lang w:val="en"/>
        </w:rPr>
        <w:t xml:space="preserve"> </w:t>
      </w:r>
      <w:r w:rsidRPr="00891A1B">
        <w:rPr>
          <w:rFonts w:ascii="Palatino Linotype" w:hAnsi="Palatino Linotype"/>
          <w:sz w:val="24"/>
          <w:szCs w:val="24"/>
          <w:lang w:val="en"/>
        </w:rPr>
        <w:t xml:space="preserve">It is possible that similar initiatives will spring up </w:t>
      </w:r>
      <w:r w:rsidR="00125D3A" w:rsidRPr="00891A1B">
        <w:rPr>
          <w:rFonts w:ascii="Palatino Linotype" w:hAnsi="Palatino Linotype"/>
          <w:sz w:val="24"/>
          <w:szCs w:val="24"/>
          <w:lang w:val="en"/>
        </w:rPr>
        <w:t>around</w:t>
      </w:r>
      <w:r w:rsidRPr="00891A1B">
        <w:rPr>
          <w:rFonts w:ascii="Palatino Linotype" w:hAnsi="Palatino Linotype"/>
          <w:sz w:val="24"/>
          <w:szCs w:val="24"/>
          <w:lang w:val="en"/>
        </w:rPr>
        <w:t xml:space="preserve"> the UK</w:t>
      </w:r>
      <w:r w:rsidR="00125D3A">
        <w:rPr>
          <w:rFonts w:ascii="Palatino Linotype" w:hAnsi="Palatino Linotype"/>
          <w:sz w:val="24"/>
          <w:szCs w:val="24"/>
          <w:lang w:val="en"/>
        </w:rPr>
        <w:t xml:space="preserve"> in the next decade</w:t>
      </w:r>
      <w:r w:rsidRPr="00125D3A">
        <w:rPr>
          <w:rFonts w:ascii="Palatino Linotype" w:hAnsi="Palatino Linotype"/>
          <w:sz w:val="24"/>
          <w:szCs w:val="24"/>
          <w:lang w:val="en"/>
        </w:rPr>
        <w:t xml:space="preserve">, in light of the </w:t>
      </w:r>
      <w:r w:rsidRPr="00125D3A">
        <w:rPr>
          <w:rFonts w:ascii="Palatino Linotype" w:hAnsi="Palatino Linotype"/>
          <w:color w:val="404040"/>
          <w:sz w:val="24"/>
          <w:szCs w:val="24"/>
        </w:rPr>
        <w:t>Ministry of Justice</w:t>
      </w:r>
      <w:r w:rsidR="00125D3A">
        <w:rPr>
          <w:rFonts w:ascii="Palatino Linotype" w:hAnsi="Palatino Linotype"/>
          <w:color w:val="404040"/>
          <w:sz w:val="24"/>
          <w:szCs w:val="24"/>
        </w:rPr>
        <w:t>’s</w:t>
      </w:r>
      <w:r w:rsidRPr="00125D3A">
        <w:rPr>
          <w:rFonts w:ascii="Palatino Linotype" w:hAnsi="Palatino Linotype"/>
          <w:color w:val="404040"/>
          <w:sz w:val="24"/>
          <w:szCs w:val="24"/>
        </w:rPr>
        <w:t xml:space="preserve"> (2019)</w:t>
      </w:r>
      <w:r w:rsidR="00BC496C" w:rsidRPr="00125D3A">
        <w:rPr>
          <w:rStyle w:val="FootnoteReference"/>
          <w:rFonts w:ascii="Palatino Linotype" w:hAnsi="Palatino Linotype"/>
          <w:color w:val="404040"/>
          <w:sz w:val="24"/>
          <w:szCs w:val="24"/>
        </w:rPr>
        <w:footnoteReference w:id="18"/>
      </w:r>
      <w:r w:rsidRPr="00125D3A">
        <w:rPr>
          <w:rFonts w:ascii="Palatino Linotype" w:hAnsi="Palatino Linotype"/>
          <w:color w:val="404040"/>
          <w:sz w:val="24"/>
          <w:szCs w:val="24"/>
        </w:rPr>
        <w:t xml:space="preserve"> recent </w:t>
      </w:r>
      <w:r w:rsidR="00BC496C" w:rsidRPr="00125D3A">
        <w:rPr>
          <w:rFonts w:ascii="Palatino Linotype" w:hAnsi="Palatino Linotype"/>
          <w:color w:val="404040"/>
          <w:sz w:val="24"/>
          <w:szCs w:val="24"/>
        </w:rPr>
        <w:t>review of legal aid reforms. The report floats the</w:t>
      </w:r>
      <w:r w:rsidRPr="00125D3A">
        <w:rPr>
          <w:rFonts w:ascii="Palatino Linotype" w:hAnsi="Palatino Linotype"/>
          <w:color w:val="404040"/>
          <w:sz w:val="24"/>
          <w:szCs w:val="24"/>
        </w:rPr>
        <w:t xml:space="preserve"> idea </w:t>
      </w:r>
      <w:r w:rsidR="00BC496C" w:rsidRPr="00125D3A">
        <w:rPr>
          <w:rFonts w:ascii="Palatino Linotype" w:hAnsi="Palatino Linotype"/>
          <w:color w:val="404040"/>
          <w:sz w:val="24"/>
          <w:szCs w:val="24"/>
        </w:rPr>
        <w:t>of</w:t>
      </w:r>
      <w:r w:rsidRPr="00125D3A">
        <w:rPr>
          <w:rFonts w:ascii="Palatino Linotype" w:hAnsi="Palatino Linotype"/>
          <w:color w:val="404040"/>
          <w:sz w:val="24"/>
          <w:szCs w:val="24"/>
        </w:rPr>
        <w:t xml:space="preserve"> embed</w:t>
      </w:r>
      <w:r w:rsidR="00BC496C" w:rsidRPr="00125D3A">
        <w:rPr>
          <w:rFonts w:ascii="Palatino Linotype" w:hAnsi="Palatino Linotype"/>
          <w:color w:val="404040"/>
          <w:sz w:val="24"/>
          <w:szCs w:val="24"/>
        </w:rPr>
        <w:t>ding</w:t>
      </w:r>
      <w:r w:rsidRPr="00125D3A">
        <w:rPr>
          <w:rFonts w:ascii="Palatino Linotype" w:hAnsi="Palatino Linotype"/>
          <w:color w:val="404040"/>
          <w:sz w:val="24"/>
          <w:szCs w:val="24"/>
        </w:rPr>
        <w:t xml:space="preserve"> legal services into other services (such as GP surgeries) to create a ‘one stop shop</w:t>
      </w:r>
      <w:r w:rsidR="00891A1B">
        <w:rPr>
          <w:rFonts w:ascii="Palatino Linotype" w:hAnsi="Palatino Linotype"/>
          <w:color w:val="404040"/>
          <w:sz w:val="24"/>
          <w:szCs w:val="24"/>
        </w:rPr>
        <w:t>’</w:t>
      </w:r>
      <w:r w:rsidRPr="00125D3A">
        <w:rPr>
          <w:rFonts w:ascii="Palatino Linotype" w:hAnsi="Palatino Linotype"/>
          <w:color w:val="404040"/>
          <w:sz w:val="24"/>
          <w:szCs w:val="24"/>
        </w:rPr>
        <w:t xml:space="preserve">, with the aim of </w:t>
      </w:r>
      <w:r w:rsidR="00891A1B">
        <w:rPr>
          <w:rFonts w:ascii="Palatino Linotype" w:hAnsi="Palatino Linotype"/>
          <w:color w:val="404040"/>
          <w:sz w:val="24"/>
          <w:szCs w:val="24"/>
        </w:rPr>
        <w:t xml:space="preserve">better </w:t>
      </w:r>
      <w:r w:rsidRPr="00125D3A">
        <w:rPr>
          <w:rFonts w:ascii="Palatino Linotype" w:hAnsi="Palatino Linotype"/>
          <w:color w:val="404040"/>
          <w:sz w:val="24"/>
          <w:szCs w:val="24"/>
        </w:rPr>
        <w:t xml:space="preserve">addressing </w:t>
      </w:r>
      <w:r w:rsidRPr="00125D3A">
        <w:rPr>
          <w:rFonts w:ascii="Palatino Linotype" w:hAnsi="Palatino Linotype"/>
          <w:color w:val="404040"/>
          <w:sz w:val="24"/>
          <w:szCs w:val="24"/>
        </w:rPr>
        <w:lastRenderedPageBreak/>
        <w:t xml:space="preserve">issues (such as housing and benefits) which could exacerbate </w:t>
      </w:r>
      <w:r w:rsidR="00972FD8">
        <w:rPr>
          <w:rFonts w:ascii="Palatino Linotype" w:hAnsi="Palatino Linotype"/>
          <w:color w:val="404040"/>
          <w:sz w:val="24"/>
          <w:szCs w:val="24"/>
        </w:rPr>
        <w:t xml:space="preserve">individuals’ </w:t>
      </w:r>
      <w:r w:rsidRPr="00125D3A">
        <w:rPr>
          <w:rFonts w:ascii="Palatino Linotype" w:hAnsi="Palatino Linotype"/>
          <w:color w:val="404040"/>
          <w:sz w:val="24"/>
          <w:szCs w:val="24"/>
        </w:rPr>
        <w:t>mental health problems.</w:t>
      </w:r>
      <w:r w:rsidRPr="00125D3A">
        <w:rPr>
          <w:rFonts w:ascii="Palatino Linotype" w:hAnsi="Palatino Linotype"/>
          <w:color w:val="404040"/>
          <w:sz w:val="21"/>
          <w:szCs w:val="21"/>
        </w:rPr>
        <w:t xml:space="preserve"> </w:t>
      </w:r>
    </w:p>
    <w:p w14:paraId="59B76FE4" w14:textId="50CCE2BA" w:rsidR="00CC2CB5" w:rsidRPr="004303D6" w:rsidRDefault="005902BD" w:rsidP="004303D6">
      <w:pPr>
        <w:spacing w:line="480" w:lineRule="auto"/>
        <w:jc w:val="both"/>
        <w:rPr>
          <w:rFonts w:ascii="Palatino Linotype" w:hAnsi="Palatino Linotype" w:cs="Arial"/>
          <w:color w:val="FF0000"/>
          <w:sz w:val="24"/>
          <w:szCs w:val="24"/>
        </w:rPr>
      </w:pPr>
      <w:r w:rsidRPr="004303D6">
        <w:rPr>
          <w:rFonts w:ascii="Palatino Linotype" w:hAnsi="Palatino Linotype" w:cs="Arial"/>
          <w:sz w:val="24"/>
          <w:szCs w:val="24"/>
        </w:rPr>
        <w:t xml:space="preserve">In light of </w:t>
      </w:r>
      <w:r w:rsidR="00293D9C">
        <w:rPr>
          <w:rFonts w:ascii="Palatino Linotype" w:hAnsi="Palatino Linotype" w:cs="Arial"/>
          <w:sz w:val="24"/>
          <w:szCs w:val="24"/>
        </w:rPr>
        <w:t>the above</w:t>
      </w:r>
      <w:r w:rsidRPr="004303D6">
        <w:rPr>
          <w:rFonts w:ascii="Palatino Linotype" w:hAnsi="Palatino Linotype" w:cs="Arial"/>
          <w:sz w:val="24"/>
          <w:szCs w:val="24"/>
        </w:rPr>
        <w:t xml:space="preserve"> findings, we encourage you to consider whether there is scope for you to l</w:t>
      </w:r>
      <w:r w:rsidR="00166523" w:rsidRPr="004303D6">
        <w:rPr>
          <w:rFonts w:ascii="Palatino Linotype" w:hAnsi="Palatino Linotype" w:cs="Arial"/>
          <w:sz w:val="24"/>
          <w:szCs w:val="24"/>
        </w:rPr>
        <w:t xml:space="preserve">ook for potential </w:t>
      </w:r>
      <w:r w:rsidR="00F005CB">
        <w:rPr>
          <w:rFonts w:ascii="Palatino Linotype" w:hAnsi="Palatino Linotype" w:cs="Arial"/>
          <w:sz w:val="24"/>
          <w:szCs w:val="24"/>
        </w:rPr>
        <w:t xml:space="preserve">PLE </w:t>
      </w:r>
      <w:r w:rsidR="00166523" w:rsidRPr="004303D6">
        <w:rPr>
          <w:rFonts w:ascii="Palatino Linotype" w:hAnsi="Palatino Linotype" w:cs="Arial"/>
          <w:sz w:val="24"/>
          <w:szCs w:val="24"/>
        </w:rPr>
        <w:t xml:space="preserve">collaborators </w:t>
      </w:r>
      <w:r w:rsidRPr="004303D6">
        <w:rPr>
          <w:rFonts w:ascii="Palatino Linotype" w:hAnsi="Palatino Linotype" w:cs="Arial"/>
          <w:sz w:val="24"/>
          <w:szCs w:val="24"/>
        </w:rPr>
        <w:t>within other Schools in your universities</w:t>
      </w:r>
      <w:r w:rsidR="00166523" w:rsidRPr="004303D6">
        <w:rPr>
          <w:rFonts w:ascii="Palatino Linotype" w:hAnsi="Palatino Linotype" w:cs="Arial"/>
          <w:sz w:val="24"/>
          <w:szCs w:val="24"/>
        </w:rPr>
        <w:t xml:space="preserve">, </w:t>
      </w:r>
      <w:r w:rsidR="00EC5B0B" w:rsidRPr="004303D6">
        <w:rPr>
          <w:rFonts w:ascii="Palatino Linotype" w:hAnsi="Palatino Linotype" w:cs="Arial"/>
          <w:sz w:val="24"/>
          <w:szCs w:val="24"/>
        </w:rPr>
        <w:t>and</w:t>
      </w:r>
      <w:r w:rsidR="00166523" w:rsidRPr="004303D6">
        <w:rPr>
          <w:rFonts w:ascii="Palatino Linotype" w:hAnsi="Palatino Linotype" w:cs="Arial"/>
          <w:sz w:val="24"/>
          <w:szCs w:val="24"/>
        </w:rPr>
        <w:t xml:space="preserve"> outside of the legal </w:t>
      </w:r>
      <w:r w:rsidR="00214B67" w:rsidRPr="004303D6">
        <w:rPr>
          <w:rFonts w:ascii="Palatino Linotype" w:hAnsi="Palatino Linotype" w:cs="Arial"/>
          <w:sz w:val="24"/>
          <w:szCs w:val="24"/>
        </w:rPr>
        <w:t>sphere altogether</w:t>
      </w:r>
      <w:r w:rsidRPr="004303D6">
        <w:rPr>
          <w:rFonts w:ascii="Palatino Linotype" w:hAnsi="Palatino Linotype" w:cs="Arial"/>
          <w:sz w:val="24"/>
          <w:szCs w:val="24"/>
        </w:rPr>
        <w:t xml:space="preserve">. BPP staff are currently developing links with colleagues in our Health </w:t>
      </w:r>
      <w:r w:rsidR="00950158" w:rsidRPr="004303D6">
        <w:rPr>
          <w:rFonts w:ascii="Palatino Linotype" w:hAnsi="Palatino Linotype" w:cs="Arial"/>
          <w:sz w:val="24"/>
          <w:szCs w:val="24"/>
        </w:rPr>
        <w:t xml:space="preserve">School </w:t>
      </w:r>
      <w:r w:rsidRPr="004303D6">
        <w:rPr>
          <w:rFonts w:ascii="Palatino Linotype" w:hAnsi="Palatino Linotype" w:cs="Arial"/>
          <w:sz w:val="24"/>
          <w:szCs w:val="24"/>
        </w:rPr>
        <w:t xml:space="preserve">and Business School with a view to launching community education </w:t>
      </w:r>
      <w:r w:rsidR="00480086" w:rsidRPr="004303D6">
        <w:rPr>
          <w:rFonts w:ascii="Palatino Linotype" w:hAnsi="Palatino Linotype" w:cs="Arial"/>
          <w:sz w:val="24"/>
          <w:szCs w:val="24"/>
        </w:rPr>
        <w:t>packages</w:t>
      </w:r>
      <w:r w:rsidRPr="004303D6">
        <w:rPr>
          <w:rFonts w:ascii="Palatino Linotype" w:hAnsi="Palatino Linotype" w:cs="Arial"/>
          <w:sz w:val="24"/>
          <w:szCs w:val="24"/>
        </w:rPr>
        <w:t xml:space="preserve"> co-delivered by students from a variety of disciplines, including psychology, nursing and accounting. </w:t>
      </w:r>
      <w:r w:rsidR="00CC2CB5" w:rsidRPr="004303D6">
        <w:rPr>
          <w:rFonts w:ascii="Palatino Linotype" w:hAnsi="Palatino Linotype" w:cs="Arial"/>
          <w:sz w:val="24"/>
          <w:szCs w:val="24"/>
        </w:rPr>
        <w:t xml:space="preserve">Part of the educational package </w:t>
      </w:r>
      <w:r w:rsidR="00161559" w:rsidRPr="004303D6">
        <w:rPr>
          <w:rFonts w:ascii="Palatino Linotype" w:hAnsi="Palatino Linotype" w:cs="Arial"/>
          <w:sz w:val="24"/>
          <w:szCs w:val="24"/>
        </w:rPr>
        <w:t>is likely to</w:t>
      </w:r>
      <w:r w:rsidR="00CC2CB5" w:rsidRPr="004303D6">
        <w:rPr>
          <w:rFonts w:ascii="Palatino Linotype" w:hAnsi="Palatino Linotype" w:cs="Arial"/>
          <w:sz w:val="24"/>
          <w:szCs w:val="24"/>
        </w:rPr>
        <w:t xml:space="preserve"> involve law students </w:t>
      </w:r>
      <w:r w:rsidR="00513299" w:rsidRPr="004303D6">
        <w:rPr>
          <w:rFonts w:ascii="Palatino Linotype" w:hAnsi="Palatino Linotype" w:cs="Arial"/>
          <w:sz w:val="24"/>
          <w:szCs w:val="24"/>
        </w:rPr>
        <w:t xml:space="preserve">and students from other disciplines </w:t>
      </w:r>
      <w:r w:rsidR="00CC2CB5" w:rsidRPr="004303D6">
        <w:rPr>
          <w:rFonts w:ascii="Palatino Linotype" w:hAnsi="Palatino Linotype" w:cs="Arial"/>
          <w:sz w:val="24"/>
          <w:szCs w:val="24"/>
        </w:rPr>
        <w:t xml:space="preserve">educating </w:t>
      </w:r>
      <w:r w:rsidR="00513299" w:rsidRPr="004303D6">
        <w:rPr>
          <w:rFonts w:ascii="Palatino Linotype" w:hAnsi="Palatino Linotype" w:cs="Arial"/>
          <w:sz w:val="24"/>
          <w:szCs w:val="24"/>
        </w:rPr>
        <w:t xml:space="preserve">each other </w:t>
      </w:r>
      <w:r w:rsidR="00CC2CB5" w:rsidRPr="004303D6">
        <w:rPr>
          <w:rFonts w:ascii="Palatino Linotype" w:hAnsi="Palatino Linotype" w:cs="Arial"/>
          <w:sz w:val="24"/>
          <w:szCs w:val="24"/>
        </w:rPr>
        <w:t xml:space="preserve">on the role </w:t>
      </w:r>
      <w:r w:rsidR="00BA0F2E" w:rsidRPr="004303D6">
        <w:rPr>
          <w:rFonts w:ascii="Palatino Linotype" w:hAnsi="Palatino Linotype" w:cs="Arial"/>
          <w:sz w:val="24"/>
          <w:szCs w:val="24"/>
        </w:rPr>
        <w:t xml:space="preserve">of </w:t>
      </w:r>
      <w:r w:rsidR="00513299" w:rsidRPr="004303D6">
        <w:rPr>
          <w:rFonts w:ascii="Palatino Linotype" w:hAnsi="Palatino Linotype" w:cs="Arial"/>
          <w:sz w:val="24"/>
          <w:szCs w:val="24"/>
        </w:rPr>
        <w:t xml:space="preserve">their respective </w:t>
      </w:r>
      <w:r w:rsidR="00CC2CB5" w:rsidRPr="004303D6">
        <w:rPr>
          <w:rFonts w:ascii="Palatino Linotype" w:hAnsi="Palatino Linotype" w:cs="Arial"/>
          <w:sz w:val="24"/>
          <w:szCs w:val="24"/>
        </w:rPr>
        <w:t>profession</w:t>
      </w:r>
      <w:r w:rsidR="00513299" w:rsidRPr="004303D6">
        <w:rPr>
          <w:rFonts w:ascii="Palatino Linotype" w:hAnsi="Palatino Linotype" w:cs="Arial"/>
          <w:sz w:val="24"/>
          <w:szCs w:val="24"/>
        </w:rPr>
        <w:t>s</w:t>
      </w:r>
      <w:r w:rsidR="00CC2CB5" w:rsidRPr="004303D6">
        <w:rPr>
          <w:rFonts w:ascii="Palatino Linotype" w:hAnsi="Palatino Linotype" w:cs="Arial"/>
          <w:sz w:val="24"/>
          <w:szCs w:val="24"/>
        </w:rPr>
        <w:t xml:space="preserve"> in identifying and resolving </w:t>
      </w:r>
      <w:r w:rsidR="00513299" w:rsidRPr="004303D6">
        <w:rPr>
          <w:rFonts w:ascii="Palatino Linotype" w:hAnsi="Palatino Linotype" w:cs="Arial"/>
          <w:sz w:val="24"/>
          <w:szCs w:val="24"/>
        </w:rPr>
        <w:t>(potentia</w:t>
      </w:r>
      <w:r w:rsidR="00EC5B0B" w:rsidRPr="004303D6">
        <w:rPr>
          <w:rFonts w:ascii="Palatino Linotype" w:hAnsi="Palatino Linotype" w:cs="Arial"/>
          <w:sz w:val="24"/>
          <w:szCs w:val="24"/>
        </w:rPr>
        <w:t>lly interconnected</w:t>
      </w:r>
      <w:r w:rsidR="00513299" w:rsidRPr="004303D6">
        <w:rPr>
          <w:rFonts w:ascii="Palatino Linotype" w:hAnsi="Palatino Linotype" w:cs="Arial"/>
          <w:sz w:val="24"/>
          <w:szCs w:val="24"/>
        </w:rPr>
        <w:t xml:space="preserve">) </w:t>
      </w:r>
      <w:r w:rsidR="00CC2CB5" w:rsidRPr="004303D6">
        <w:rPr>
          <w:rFonts w:ascii="Palatino Linotype" w:hAnsi="Palatino Linotype" w:cs="Arial"/>
          <w:sz w:val="24"/>
          <w:szCs w:val="24"/>
        </w:rPr>
        <w:t>client problems</w:t>
      </w:r>
      <w:r w:rsidR="00513299" w:rsidRPr="004303D6">
        <w:rPr>
          <w:rFonts w:ascii="Palatino Linotype" w:hAnsi="Palatino Linotype" w:cs="Arial"/>
          <w:sz w:val="24"/>
          <w:szCs w:val="24"/>
        </w:rPr>
        <w:t>.</w:t>
      </w:r>
      <w:r w:rsidR="00950158" w:rsidRPr="004303D6">
        <w:rPr>
          <w:rFonts w:ascii="Palatino Linotype" w:hAnsi="Palatino Linotype" w:cs="Arial"/>
          <w:sz w:val="24"/>
          <w:szCs w:val="24"/>
        </w:rPr>
        <w:t xml:space="preserve"> </w:t>
      </w:r>
    </w:p>
    <w:p w14:paraId="6D4C73B0" w14:textId="0EA3DC8B" w:rsidR="009E1178" w:rsidRPr="004303D6" w:rsidRDefault="002C26C6" w:rsidP="004303D6">
      <w:pPr>
        <w:spacing w:line="480" w:lineRule="auto"/>
        <w:jc w:val="both"/>
        <w:rPr>
          <w:rFonts w:ascii="Palatino Linotype" w:hAnsi="Palatino Linotype" w:cs="Arial"/>
          <w:sz w:val="24"/>
          <w:szCs w:val="24"/>
        </w:rPr>
      </w:pPr>
      <w:r w:rsidRPr="004303D6">
        <w:rPr>
          <w:rFonts w:ascii="Palatino Linotype" w:hAnsi="Palatino Linotype" w:cs="Arial"/>
          <w:sz w:val="24"/>
          <w:szCs w:val="24"/>
        </w:rPr>
        <w:t>L</w:t>
      </w:r>
      <w:r w:rsidR="005902BD" w:rsidRPr="004303D6">
        <w:rPr>
          <w:rFonts w:ascii="Palatino Linotype" w:hAnsi="Palatino Linotype" w:cs="Arial"/>
          <w:sz w:val="24"/>
          <w:szCs w:val="24"/>
        </w:rPr>
        <w:t xml:space="preserve">aw students delivering </w:t>
      </w:r>
      <w:r w:rsidR="00166523" w:rsidRPr="004303D6">
        <w:rPr>
          <w:rFonts w:ascii="Palatino Linotype" w:hAnsi="Palatino Linotype" w:cs="Arial"/>
          <w:sz w:val="24"/>
          <w:szCs w:val="24"/>
        </w:rPr>
        <w:t>PLE</w:t>
      </w:r>
      <w:r w:rsidR="00161559" w:rsidRPr="004303D6">
        <w:rPr>
          <w:rFonts w:ascii="Palatino Linotype" w:hAnsi="Palatino Linotype" w:cs="Arial"/>
          <w:sz w:val="24"/>
          <w:szCs w:val="24"/>
        </w:rPr>
        <w:t xml:space="preserve"> workshop</w:t>
      </w:r>
      <w:r w:rsidR="00166523" w:rsidRPr="004303D6">
        <w:rPr>
          <w:rFonts w:ascii="Palatino Linotype" w:hAnsi="Palatino Linotype" w:cs="Arial"/>
          <w:sz w:val="24"/>
          <w:szCs w:val="24"/>
        </w:rPr>
        <w:t>s</w:t>
      </w:r>
      <w:r w:rsidR="005902BD" w:rsidRPr="004303D6">
        <w:rPr>
          <w:rFonts w:ascii="Palatino Linotype" w:hAnsi="Palatino Linotype" w:cs="Arial"/>
          <w:sz w:val="24"/>
          <w:szCs w:val="24"/>
        </w:rPr>
        <w:t xml:space="preserve"> to </w:t>
      </w:r>
      <w:r w:rsidR="00E85C0B" w:rsidRPr="004303D6">
        <w:rPr>
          <w:rFonts w:ascii="Palatino Linotype" w:hAnsi="Palatino Linotype" w:cs="Arial"/>
          <w:sz w:val="24"/>
          <w:szCs w:val="24"/>
        </w:rPr>
        <w:t>women’s support groups about</w:t>
      </w:r>
      <w:r w:rsidR="005902BD" w:rsidRPr="004303D6">
        <w:rPr>
          <w:rFonts w:ascii="Palatino Linotype" w:hAnsi="Palatino Linotype" w:cs="Arial"/>
          <w:sz w:val="24"/>
          <w:szCs w:val="24"/>
        </w:rPr>
        <w:t xml:space="preserve"> </w:t>
      </w:r>
      <w:r w:rsidR="00E62BCB" w:rsidRPr="004303D6">
        <w:rPr>
          <w:rFonts w:ascii="Palatino Linotype" w:hAnsi="Palatino Linotype" w:cs="Arial"/>
          <w:sz w:val="24"/>
          <w:szCs w:val="24"/>
        </w:rPr>
        <w:t xml:space="preserve">Female Genital Mutilation </w:t>
      </w:r>
      <w:r w:rsidR="00EC5B0B" w:rsidRPr="004303D6">
        <w:rPr>
          <w:rFonts w:ascii="Palatino Linotype" w:hAnsi="Palatino Linotype" w:cs="Arial"/>
          <w:sz w:val="24"/>
          <w:szCs w:val="24"/>
        </w:rPr>
        <w:t xml:space="preserve">(“FGM”) </w:t>
      </w:r>
      <w:r w:rsidR="00480086" w:rsidRPr="004303D6">
        <w:rPr>
          <w:rFonts w:ascii="Palatino Linotype" w:hAnsi="Palatino Linotype" w:cs="Arial"/>
          <w:sz w:val="24"/>
          <w:szCs w:val="24"/>
        </w:rPr>
        <w:t>could</w:t>
      </w:r>
      <w:r w:rsidRPr="004303D6">
        <w:rPr>
          <w:rFonts w:ascii="Palatino Linotype" w:hAnsi="Palatino Linotype" w:cs="Arial"/>
          <w:sz w:val="24"/>
          <w:szCs w:val="24"/>
        </w:rPr>
        <w:t>, for example,</w:t>
      </w:r>
      <w:r w:rsidR="00480086" w:rsidRPr="004303D6">
        <w:rPr>
          <w:rFonts w:ascii="Palatino Linotype" w:hAnsi="Palatino Linotype" w:cs="Arial"/>
          <w:sz w:val="24"/>
          <w:szCs w:val="24"/>
        </w:rPr>
        <w:t xml:space="preserve"> </w:t>
      </w:r>
      <w:r w:rsidR="005902BD" w:rsidRPr="004303D6">
        <w:rPr>
          <w:rFonts w:ascii="Palatino Linotype" w:hAnsi="Palatino Linotype" w:cs="Arial"/>
          <w:sz w:val="24"/>
          <w:szCs w:val="24"/>
        </w:rPr>
        <w:t>benefit from input from staff and students from healthcare, education and social care fields, in order to gain an understanding of the role of multiple agencies in supporting FGM survivors</w:t>
      </w:r>
      <w:r w:rsidR="00166523" w:rsidRPr="004303D6">
        <w:rPr>
          <w:rFonts w:ascii="Palatino Linotype" w:hAnsi="Palatino Linotype" w:cs="Arial"/>
          <w:sz w:val="24"/>
          <w:szCs w:val="24"/>
        </w:rPr>
        <w:t>,</w:t>
      </w:r>
      <w:r w:rsidR="005902BD" w:rsidRPr="004303D6">
        <w:rPr>
          <w:rFonts w:ascii="Palatino Linotype" w:hAnsi="Palatino Linotype" w:cs="Arial"/>
          <w:sz w:val="24"/>
          <w:szCs w:val="24"/>
        </w:rPr>
        <w:t xml:space="preserve"> and tackling the underlying causes</w:t>
      </w:r>
      <w:r w:rsidRPr="004303D6">
        <w:rPr>
          <w:rFonts w:ascii="Palatino Linotype" w:hAnsi="Palatino Linotype" w:cs="Arial"/>
          <w:sz w:val="24"/>
          <w:szCs w:val="24"/>
        </w:rPr>
        <w:t xml:space="preserve"> of this criminal activity</w:t>
      </w:r>
      <w:r w:rsidR="00480086" w:rsidRPr="004303D6">
        <w:rPr>
          <w:rFonts w:ascii="Palatino Linotype" w:hAnsi="Palatino Linotype" w:cs="Arial"/>
          <w:sz w:val="24"/>
          <w:szCs w:val="24"/>
        </w:rPr>
        <w:t xml:space="preserve">. </w:t>
      </w:r>
      <w:r w:rsidR="00CC2CB5" w:rsidRPr="004303D6">
        <w:rPr>
          <w:rFonts w:ascii="Palatino Linotype" w:hAnsi="Palatino Linotype" w:cs="Arial"/>
          <w:sz w:val="24"/>
          <w:szCs w:val="24"/>
        </w:rPr>
        <w:t xml:space="preserve">The </w:t>
      </w:r>
      <w:r w:rsidR="00166523" w:rsidRPr="004303D6">
        <w:rPr>
          <w:rFonts w:ascii="Palatino Linotype" w:hAnsi="Palatino Linotype" w:cs="Arial"/>
          <w:sz w:val="24"/>
          <w:szCs w:val="24"/>
        </w:rPr>
        <w:t xml:space="preserve">potential </w:t>
      </w:r>
      <w:r w:rsidR="00214B67" w:rsidRPr="004303D6">
        <w:rPr>
          <w:rFonts w:ascii="Palatino Linotype" w:hAnsi="Palatino Linotype" w:cs="Arial"/>
          <w:sz w:val="24"/>
          <w:szCs w:val="24"/>
        </w:rPr>
        <w:t>benefits</w:t>
      </w:r>
      <w:r w:rsidR="00CC2CB5" w:rsidRPr="004303D6">
        <w:rPr>
          <w:rFonts w:ascii="Palatino Linotype" w:hAnsi="Palatino Linotype" w:cs="Arial"/>
          <w:sz w:val="24"/>
          <w:szCs w:val="24"/>
        </w:rPr>
        <w:t xml:space="preserve"> of </w:t>
      </w:r>
      <w:r w:rsidR="008A0062" w:rsidRPr="004303D6">
        <w:rPr>
          <w:rFonts w:ascii="Palatino Linotype" w:hAnsi="Palatino Linotype" w:cs="Arial"/>
          <w:sz w:val="24"/>
          <w:szCs w:val="24"/>
        </w:rPr>
        <w:t xml:space="preserve">a </w:t>
      </w:r>
      <w:r w:rsidR="00214B67" w:rsidRPr="004303D6">
        <w:rPr>
          <w:rFonts w:ascii="Palatino Linotype" w:hAnsi="Palatino Linotype" w:cs="Arial"/>
          <w:sz w:val="24"/>
          <w:szCs w:val="24"/>
        </w:rPr>
        <w:t xml:space="preserve">Knife Crime </w:t>
      </w:r>
      <w:r w:rsidR="008A0062" w:rsidRPr="004303D6">
        <w:rPr>
          <w:rFonts w:ascii="Palatino Linotype" w:hAnsi="Palatino Linotype" w:cs="Arial"/>
          <w:sz w:val="24"/>
          <w:szCs w:val="24"/>
        </w:rPr>
        <w:t xml:space="preserve">workshop </w:t>
      </w:r>
      <w:r w:rsidR="00166523" w:rsidRPr="004303D6">
        <w:rPr>
          <w:rFonts w:ascii="Palatino Linotype" w:hAnsi="Palatino Linotype" w:cs="Arial"/>
          <w:sz w:val="24"/>
          <w:szCs w:val="24"/>
        </w:rPr>
        <w:t>for</w:t>
      </w:r>
      <w:r w:rsidR="008A0062" w:rsidRPr="004303D6">
        <w:rPr>
          <w:rFonts w:ascii="Palatino Linotype" w:hAnsi="Palatino Linotype" w:cs="Arial"/>
          <w:sz w:val="24"/>
          <w:szCs w:val="24"/>
        </w:rPr>
        <w:t xml:space="preserve"> youth offender</w:t>
      </w:r>
      <w:r w:rsidR="00166523" w:rsidRPr="004303D6">
        <w:rPr>
          <w:rFonts w:ascii="Palatino Linotype" w:hAnsi="Palatino Linotype" w:cs="Arial"/>
          <w:sz w:val="24"/>
          <w:szCs w:val="24"/>
        </w:rPr>
        <w:t>s</w:t>
      </w:r>
      <w:r w:rsidR="008A0062" w:rsidRPr="004303D6">
        <w:rPr>
          <w:rFonts w:ascii="Palatino Linotype" w:hAnsi="Palatino Linotype" w:cs="Arial"/>
          <w:sz w:val="24"/>
          <w:szCs w:val="24"/>
        </w:rPr>
        <w:t xml:space="preserve"> could be </w:t>
      </w:r>
      <w:r w:rsidR="00214B67" w:rsidRPr="004303D6">
        <w:rPr>
          <w:rFonts w:ascii="Palatino Linotype" w:hAnsi="Palatino Linotype" w:cs="Arial"/>
          <w:sz w:val="24"/>
          <w:szCs w:val="24"/>
        </w:rPr>
        <w:t xml:space="preserve">greatly </w:t>
      </w:r>
      <w:r w:rsidR="008A0062" w:rsidRPr="004303D6">
        <w:rPr>
          <w:rFonts w:ascii="Palatino Linotype" w:hAnsi="Palatino Linotype" w:cs="Arial"/>
          <w:sz w:val="24"/>
          <w:szCs w:val="24"/>
        </w:rPr>
        <w:t xml:space="preserve">increased if it moved beyond the legal consequences of being caught in possession of a knife, and medical students </w:t>
      </w:r>
      <w:r w:rsidR="00166523" w:rsidRPr="004303D6">
        <w:rPr>
          <w:rFonts w:ascii="Palatino Linotype" w:hAnsi="Palatino Linotype" w:cs="Arial"/>
          <w:sz w:val="24"/>
          <w:szCs w:val="24"/>
        </w:rPr>
        <w:t>spoke</w:t>
      </w:r>
      <w:r w:rsidR="008A0062" w:rsidRPr="004303D6">
        <w:rPr>
          <w:rFonts w:ascii="Palatino Linotype" w:hAnsi="Palatino Linotype" w:cs="Arial"/>
          <w:sz w:val="24"/>
          <w:szCs w:val="24"/>
        </w:rPr>
        <w:t xml:space="preserve"> of the devastating</w:t>
      </w:r>
      <w:r w:rsidR="00575375" w:rsidRPr="004303D6">
        <w:rPr>
          <w:rFonts w:ascii="Palatino Linotype" w:hAnsi="Palatino Linotype" w:cs="Arial"/>
          <w:sz w:val="24"/>
          <w:szCs w:val="24"/>
        </w:rPr>
        <w:t xml:space="preserve"> </w:t>
      </w:r>
      <w:r w:rsidR="008A0062" w:rsidRPr="004303D6">
        <w:rPr>
          <w:rFonts w:ascii="Palatino Linotype" w:hAnsi="Palatino Linotype" w:cs="Arial"/>
          <w:sz w:val="24"/>
          <w:szCs w:val="24"/>
        </w:rPr>
        <w:t>impact</w:t>
      </w:r>
      <w:r w:rsidR="00166523" w:rsidRPr="004303D6">
        <w:rPr>
          <w:rFonts w:ascii="Palatino Linotype" w:hAnsi="Palatino Linotype" w:cs="Arial"/>
          <w:sz w:val="24"/>
          <w:szCs w:val="24"/>
        </w:rPr>
        <w:t xml:space="preserve"> of a knife wound on </w:t>
      </w:r>
      <w:r w:rsidR="00214B67" w:rsidRPr="004303D6">
        <w:rPr>
          <w:rFonts w:ascii="Palatino Linotype" w:hAnsi="Palatino Linotype" w:cs="Arial"/>
          <w:sz w:val="24"/>
          <w:szCs w:val="24"/>
        </w:rPr>
        <w:t>a</w:t>
      </w:r>
      <w:r w:rsidR="00166523" w:rsidRPr="004303D6">
        <w:rPr>
          <w:rFonts w:ascii="Palatino Linotype" w:hAnsi="Palatino Linotype" w:cs="Arial"/>
          <w:sz w:val="24"/>
          <w:szCs w:val="24"/>
        </w:rPr>
        <w:t xml:space="preserve"> victim</w:t>
      </w:r>
      <w:r w:rsidR="00F005CB">
        <w:rPr>
          <w:rFonts w:ascii="Palatino Linotype" w:hAnsi="Palatino Linotype" w:cs="Arial"/>
          <w:sz w:val="24"/>
          <w:szCs w:val="24"/>
        </w:rPr>
        <w:t xml:space="preserve">, and addressed myths about “safe” </w:t>
      </w:r>
      <w:r w:rsidR="00972FD8">
        <w:rPr>
          <w:rFonts w:ascii="Palatino Linotype" w:hAnsi="Palatino Linotype" w:cs="Arial"/>
          <w:sz w:val="24"/>
          <w:szCs w:val="24"/>
        </w:rPr>
        <w:t>areas of the body</w:t>
      </w:r>
      <w:r w:rsidR="00F005CB">
        <w:rPr>
          <w:rFonts w:ascii="Palatino Linotype" w:hAnsi="Palatino Linotype" w:cs="Arial"/>
          <w:sz w:val="24"/>
          <w:szCs w:val="24"/>
        </w:rPr>
        <w:t xml:space="preserve"> to stab someone</w:t>
      </w:r>
      <w:r w:rsidR="00166523" w:rsidRPr="004303D6">
        <w:rPr>
          <w:rFonts w:ascii="Palatino Linotype" w:hAnsi="Palatino Linotype" w:cs="Arial"/>
          <w:sz w:val="24"/>
          <w:szCs w:val="24"/>
        </w:rPr>
        <w:t>. Impending updates to the Relationship and Sex Education national curriculum</w:t>
      </w:r>
      <w:r w:rsidR="009E1178" w:rsidRPr="004303D6">
        <w:rPr>
          <w:rFonts w:ascii="Palatino Linotype" w:hAnsi="Palatino Linotype" w:cs="Arial"/>
          <w:sz w:val="24"/>
          <w:szCs w:val="24"/>
        </w:rPr>
        <w:t xml:space="preserve"> (due to come into force in </w:t>
      </w:r>
      <w:r w:rsidR="00F005CB">
        <w:rPr>
          <w:rFonts w:ascii="Palatino Linotype" w:hAnsi="Palatino Linotype" w:cs="Arial"/>
          <w:sz w:val="24"/>
          <w:szCs w:val="24"/>
        </w:rPr>
        <w:lastRenderedPageBreak/>
        <w:t xml:space="preserve">September </w:t>
      </w:r>
      <w:r w:rsidR="00244A3D" w:rsidRPr="004303D6">
        <w:rPr>
          <w:rFonts w:ascii="Palatino Linotype" w:hAnsi="Palatino Linotype" w:cs="Arial"/>
          <w:sz w:val="24"/>
          <w:szCs w:val="24"/>
        </w:rPr>
        <w:t>20</w:t>
      </w:r>
      <w:r w:rsidR="00244A3D">
        <w:rPr>
          <w:rFonts w:ascii="Palatino Linotype" w:hAnsi="Palatino Linotype" w:cs="Arial"/>
          <w:sz w:val="24"/>
          <w:szCs w:val="24"/>
        </w:rPr>
        <w:t>20</w:t>
      </w:r>
      <w:r w:rsidR="009E1178" w:rsidRPr="004303D6">
        <w:rPr>
          <w:rFonts w:ascii="Palatino Linotype" w:hAnsi="Palatino Linotype" w:cs="Arial"/>
          <w:sz w:val="24"/>
          <w:szCs w:val="24"/>
        </w:rPr>
        <w:t>)</w:t>
      </w:r>
      <w:r w:rsidR="00C55C73" w:rsidRPr="004303D6">
        <w:rPr>
          <w:rStyle w:val="FootnoteReference"/>
          <w:rFonts w:ascii="Palatino Linotype" w:hAnsi="Palatino Linotype" w:cs="Arial"/>
          <w:sz w:val="24"/>
          <w:szCs w:val="24"/>
        </w:rPr>
        <w:footnoteReference w:id="19"/>
      </w:r>
      <w:r w:rsidR="00C55C73" w:rsidRPr="004303D6">
        <w:rPr>
          <w:rFonts w:ascii="Palatino Linotype" w:hAnsi="Palatino Linotype" w:cs="Arial"/>
          <w:sz w:val="24"/>
          <w:szCs w:val="24"/>
        </w:rPr>
        <w:t xml:space="preserve"> </w:t>
      </w:r>
      <w:r w:rsidR="00166523" w:rsidRPr="004303D6">
        <w:rPr>
          <w:rFonts w:ascii="Palatino Linotype" w:hAnsi="Palatino Linotype" w:cs="Arial"/>
          <w:sz w:val="24"/>
          <w:szCs w:val="24"/>
        </w:rPr>
        <w:t>include the introduction of topics such as mental wellbeing</w:t>
      </w:r>
      <w:r w:rsidR="009E1178" w:rsidRPr="004303D6">
        <w:rPr>
          <w:rFonts w:ascii="Palatino Linotype" w:hAnsi="Palatino Linotype" w:cs="Arial"/>
          <w:sz w:val="24"/>
          <w:szCs w:val="24"/>
        </w:rPr>
        <w:t xml:space="preserve"> and digital resilience; </w:t>
      </w:r>
      <w:r w:rsidR="00166523" w:rsidRPr="004303D6">
        <w:rPr>
          <w:rFonts w:ascii="Palatino Linotype" w:hAnsi="Palatino Linotype" w:cs="Arial"/>
          <w:sz w:val="24"/>
          <w:szCs w:val="24"/>
        </w:rPr>
        <w:t>the laws relating to sexting, revenge porn and sexual consen</w:t>
      </w:r>
      <w:r w:rsidR="009E1178" w:rsidRPr="004303D6">
        <w:rPr>
          <w:rFonts w:ascii="Palatino Linotype" w:hAnsi="Palatino Linotype" w:cs="Arial"/>
          <w:sz w:val="24"/>
          <w:szCs w:val="24"/>
        </w:rPr>
        <w:t>t; cyberbullying;</w:t>
      </w:r>
      <w:r w:rsidR="00166523" w:rsidRPr="004303D6">
        <w:rPr>
          <w:rFonts w:ascii="Palatino Linotype" w:hAnsi="Palatino Linotype" w:cs="Arial"/>
          <w:sz w:val="24"/>
          <w:szCs w:val="24"/>
        </w:rPr>
        <w:t xml:space="preserve"> and keeping personal </w:t>
      </w:r>
      <w:r w:rsidR="00214B67" w:rsidRPr="004303D6">
        <w:rPr>
          <w:rFonts w:ascii="Palatino Linotype" w:hAnsi="Palatino Linotype" w:cs="Arial"/>
          <w:sz w:val="24"/>
          <w:szCs w:val="24"/>
        </w:rPr>
        <w:t>information private</w:t>
      </w:r>
      <w:r w:rsidR="005A1E97" w:rsidRPr="004303D6">
        <w:rPr>
          <w:rFonts w:ascii="Palatino Linotype" w:hAnsi="Palatino Linotype" w:cs="Arial"/>
          <w:sz w:val="24"/>
          <w:szCs w:val="24"/>
        </w:rPr>
        <w:t xml:space="preserve"> in an online environment</w:t>
      </w:r>
      <w:r w:rsidR="00214B67" w:rsidRPr="004303D6">
        <w:rPr>
          <w:rFonts w:ascii="Palatino Linotype" w:hAnsi="Palatino Linotype" w:cs="Arial"/>
          <w:sz w:val="24"/>
          <w:szCs w:val="24"/>
        </w:rPr>
        <w:t xml:space="preserve">. This </w:t>
      </w:r>
      <w:r w:rsidR="00166523" w:rsidRPr="004303D6">
        <w:rPr>
          <w:rFonts w:ascii="Palatino Linotype" w:hAnsi="Palatino Linotype" w:cs="Arial"/>
          <w:sz w:val="24"/>
          <w:szCs w:val="24"/>
        </w:rPr>
        <w:t xml:space="preserve">surely provides </w:t>
      </w:r>
      <w:r w:rsidR="00214B67" w:rsidRPr="004303D6">
        <w:rPr>
          <w:rFonts w:ascii="Palatino Linotype" w:hAnsi="Palatino Linotype" w:cs="Arial"/>
          <w:sz w:val="24"/>
          <w:szCs w:val="24"/>
        </w:rPr>
        <w:t>opportunity</w:t>
      </w:r>
      <w:r w:rsidR="00166523" w:rsidRPr="004303D6">
        <w:rPr>
          <w:rFonts w:ascii="Palatino Linotype" w:hAnsi="Palatino Linotype" w:cs="Arial"/>
          <w:sz w:val="24"/>
          <w:szCs w:val="24"/>
        </w:rPr>
        <w:t xml:space="preserve"> for collaboration amongst law, health and technology-minded students and professionals</w:t>
      </w:r>
      <w:r w:rsidR="00E85C0B" w:rsidRPr="004303D6">
        <w:rPr>
          <w:rFonts w:ascii="Palatino Linotype" w:hAnsi="Palatino Linotype" w:cs="Arial"/>
          <w:sz w:val="24"/>
          <w:szCs w:val="24"/>
        </w:rPr>
        <w:t xml:space="preserve">, </w:t>
      </w:r>
      <w:r w:rsidR="00214B67" w:rsidRPr="004303D6">
        <w:rPr>
          <w:rFonts w:ascii="Palatino Linotype" w:hAnsi="Palatino Linotype" w:cs="Arial"/>
          <w:sz w:val="24"/>
          <w:szCs w:val="24"/>
        </w:rPr>
        <w:t xml:space="preserve">in order to deliver relevant </w:t>
      </w:r>
      <w:r w:rsidR="009E1178" w:rsidRPr="004303D6">
        <w:rPr>
          <w:rFonts w:ascii="Palatino Linotype" w:hAnsi="Palatino Linotype" w:cs="Arial"/>
          <w:sz w:val="24"/>
          <w:szCs w:val="24"/>
        </w:rPr>
        <w:t xml:space="preserve">relationship and </w:t>
      </w:r>
      <w:r w:rsidR="00091907" w:rsidRPr="004303D6">
        <w:rPr>
          <w:rFonts w:ascii="Palatino Linotype" w:hAnsi="Palatino Linotype" w:cs="Arial"/>
          <w:sz w:val="24"/>
          <w:szCs w:val="24"/>
        </w:rPr>
        <w:t>sex education</w:t>
      </w:r>
      <w:r w:rsidR="00214B67" w:rsidRPr="004303D6">
        <w:rPr>
          <w:rFonts w:ascii="Palatino Linotype" w:hAnsi="Palatino Linotype" w:cs="Arial"/>
          <w:sz w:val="24"/>
          <w:szCs w:val="24"/>
        </w:rPr>
        <w:t xml:space="preserve"> workshops to school aged children. </w:t>
      </w:r>
      <w:r w:rsidR="009E1178" w:rsidRPr="004303D6">
        <w:rPr>
          <w:rFonts w:ascii="Palatino Linotype" w:hAnsi="Palatino Linotype" w:cs="Arial"/>
          <w:sz w:val="24"/>
          <w:szCs w:val="24"/>
        </w:rPr>
        <w:t xml:space="preserve">These and other potential multi-disciplinary </w:t>
      </w:r>
      <w:r w:rsidR="00760B9A" w:rsidRPr="004303D6">
        <w:rPr>
          <w:rFonts w:ascii="Palatino Linotype" w:hAnsi="Palatino Linotype" w:cs="Arial"/>
          <w:sz w:val="24"/>
          <w:szCs w:val="24"/>
        </w:rPr>
        <w:t xml:space="preserve">collaborations </w:t>
      </w:r>
      <w:r w:rsidR="00CC2CB5" w:rsidRPr="004303D6">
        <w:rPr>
          <w:rFonts w:ascii="Palatino Linotype" w:hAnsi="Palatino Linotype" w:cs="Arial"/>
          <w:sz w:val="24"/>
          <w:szCs w:val="24"/>
        </w:rPr>
        <w:t>would fit well</w:t>
      </w:r>
      <w:r w:rsidR="00760B9A" w:rsidRPr="004303D6">
        <w:rPr>
          <w:rFonts w:ascii="Palatino Linotype" w:hAnsi="Palatino Linotype" w:cs="Arial"/>
          <w:sz w:val="24"/>
          <w:szCs w:val="24"/>
        </w:rPr>
        <w:t xml:space="preserve"> with </w:t>
      </w:r>
      <w:r w:rsidR="000C5AC0" w:rsidRPr="004303D6">
        <w:rPr>
          <w:rFonts w:ascii="Palatino Linotype" w:hAnsi="Palatino Linotype" w:cs="Arial"/>
          <w:sz w:val="24"/>
          <w:szCs w:val="24"/>
        </w:rPr>
        <w:t>the</w:t>
      </w:r>
      <w:r w:rsidR="00CC2CB5" w:rsidRPr="004303D6">
        <w:rPr>
          <w:rFonts w:ascii="Palatino Linotype" w:hAnsi="Palatino Linotype" w:cs="Arial"/>
          <w:sz w:val="24"/>
          <w:szCs w:val="24"/>
        </w:rPr>
        <w:t xml:space="preserve"> 10 Year Vision</w:t>
      </w:r>
      <w:r w:rsidR="000C5AC0" w:rsidRPr="004303D6">
        <w:rPr>
          <w:rFonts w:ascii="Palatino Linotype" w:hAnsi="Palatino Linotype" w:cs="Arial"/>
          <w:sz w:val="24"/>
          <w:szCs w:val="24"/>
        </w:rPr>
        <w:t>’s goal</w:t>
      </w:r>
      <w:r w:rsidR="005A71CD" w:rsidRPr="004303D6">
        <w:rPr>
          <w:rFonts w:ascii="Palatino Linotype" w:hAnsi="Palatino Linotype" w:cs="Arial"/>
          <w:sz w:val="24"/>
          <w:szCs w:val="24"/>
        </w:rPr>
        <w:t xml:space="preserve"> (number 7) </w:t>
      </w:r>
      <w:r w:rsidR="000C5AC0" w:rsidRPr="004303D6">
        <w:rPr>
          <w:rFonts w:ascii="Palatino Linotype" w:hAnsi="Palatino Linotype" w:cs="Arial"/>
          <w:sz w:val="24"/>
          <w:szCs w:val="24"/>
        </w:rPr>
        <w:t xml:space="preserve">for PLE </w:t>
      </w:r>
      <w:r w:rsidR="008A0062" w:rsidRPr="004303D6">
        <w:rPr>
          <w:rFonts w:ascii="Palatino Linotype" w:hAnsi="Palatino Linotype" w:cs="Arial"/>
          <w:sz w:val="24"/>
          <w:szCs w:val="24"/>
        </w:rPr>
        <w:t xml:space="preserve">to </w:t>
      </w:r>
      <w:r w:rsidR="00CC2CB5" w:rsidRPr="004303D6">
        <w:rPr>
          <w:rFonts w:ascii="Palatino Linotype" w:hAnsi="Palatino Linotype" w:cs="Arial"/>
          <w:sz w:val="24"/>
          <w:szCs w:val="24"/>
        </w:rPr>
        <w:t xml:space="preserve">be understood as </w:t>
      </w:r>
      <w:r w:rsidR="008A0062" w:rsidRPr="004303D6">
        <w:rPr>
          <w:rFonts w:ascii="Palatino Linotype" w:hAnsi="Palatino Linotype" w:cs="Arial"/>
          <w:sz w:val="24"/>
          <w:szCs w:val="24"/>
        </w:rPr>
        <w:t>beneficial</w:t>
      </w:r>
      <w:r w:rsidR="00CC2CB5" w:rsidRPr="004303D6">
        <w:rPr>
          <w:rFonts w:ascii="Palatino Linotype" w:hAnsi="Palatino Linotype" w:cs="Arial"/>
          <w:sz w:val="24"/>
          <w:szCs w:val="24"/>
        </w:rPr>
        <w:t>, and utilised</w:t>
      </w:r>
      <w:r w:rsidR="005A71CD" w:rsidRPr="004303D6">
        <w:rPr>
          <w:rFonts w:ascii="Palatino Linotype" w:hAnsi="Palatino Linotype" w:cs="Arial"/>
          <w:sz w:val="24"/>
          <w:szCs w:val="24"/>
        </w:rPr>
        <w:t xml:space="preserve"> by/embedded</w:t>
      </w:r>
      <w:r w:rsidR="00CC2CB5" w:rsidRPr="004303D6">
        <w:rPr>
          <w:rFonts w:ascii="Palatino Linotype" w:hAnsi="Palatino Linotype" w:cs="Arial"/>
          <w:sz w:val="24"/>
          <w:szCs w:val="24"/>
        </w:rPr>
        <w:t xml:space="preserve"> </w:t>
      </w:r>
      <w:r w:rsidR="005A71CD" w:rsidRPr="004303D6">
        <w:rPr>
          <w:rFonts w:ascii="Palatino Linotype" w:hAnsi="Palatino Linotype" w:cs="Arial"/>
          <w:sz w:val="24"/>
          <w:szCs w:val="24"/>
        </w:rPr>
        <w:t>in</w:t>
      </w:r>
      <w:r w:rsidR="00CC2CB5" w:rsidRPr="004303D6">
        <w:rPr>
          <w:rFonts w:ascii="Palatino Linotype" w:hAnsi="Palatino Linotype" w:cs="Arial"/>
          <w:sz w:val="24"/>
          <w:szCs w:val="24"/>
        </w:rPr>
        <w:t xml:space="preserve"> other sectors </w:t>
      </w:r>
      <w:r w:rsidR="00E74D92" w:rsidRPr="004303D6">
        <w:rPr>
          <w:rFonts w:ascii="Palatino Linotype" w:hAnsi="Palatino Linotype" w:cs="Arial"/>
          <w:sz w:val="24"/>
          <w:szCs w:val="24"/>
        </w:rPr>
        <w:t xml:space="preserve">that </w:t>
      </w:r>
      <w:r w:rsidR="008A0062" w:rsidRPr="004303D6">
        <w:rPr>
          <w:rFonts w:ascii="Palatino Linotype" w:hAnsi="Palatino Linotype" w:cs="Arial"/>
          <w:sz w:val="24"/>
          <w:szCs w:val="24"/>
        </w:rPr>
        <w:t>do not traditionally deliver</w:t>
      </w:r>
      <w:r w:rsidR="009E1178" w:rsidRPr="004303D6">
        <w:rPr>
          <w:rFonts w:ascii="Palatino Linotype" w:hAnsi="Palatino Linotype" w:cs="Arial"/>
          <w:sz w:val="24"/>
          <w:szCs w:val="24"/>
        </w:rPr>
        <w:t xml:space="preserve"> PLE (e.g. health, banks, insurance, housing).</w:t>
      </w:r>
    </w:p>
    <w:p w14:paraId="28FF1C6D" w14:textId="46A0DAB1" w:rsidR="005902BD" w:rsidRPr="004303D6" w:rsidRDefault="00A23991" w:rsidP="004303D6">
      <w:pPr>
        <w:spacing w:line="480" w:lineRule="auto"/>
        <w:jc w:val="both"/>
        <w:rPr>
          <w:rFonts w:ascii="Palatino Linotype" w:hAnsi="Palatino Linotype" w:cs="Arial"/>
          <w:sz w:val="24"/>
          <w:szCs w:val="24"/>
        </w:rPr>
      </w:pPr>
      <w:r w:rsidRPr="004303D6">
        <w:rPr>
          <w:rFonts w:ascii="Palatino Linotype" w:hAnsi="Palatino Linotype" w:cs="Arial"/>
          <w:sz w:val="24"/>
          <w:szCs w:val="24"/>
        </w:rPr>
        <w:t>Evaluation of</w:t>
      </w:r>
      <w:r w:rsidR="005902BD" w:rsidRPr="004303D6">
        <w:rPr>
          <w:rFonts w:ascii="Palatino Linotype" w:hAnsi="Palatino Linotype" w:cs="Arial"/>
          <w:sz w:val="24"/>
          <w:szCs w:val="24"/>
        </w:rPr>
        <w:t xml:space="preserve"> the first 12 months of </w:t>
      </w:r>
      <w:r w:rsidR="008A0062" w:rsidRPr="004303D6">
        <w:rPr>
          <w:rFonts w:ascii="Palatino Linotype" w:hAnsi="Palatino Linotype" w:cs="Arial"/>
          <w:sz w:val="24"/>
          <w:szCs w:val="24"/>
        </w:rPr>
        <w:t>BPP Schools’</w:t>
      </w:r>
      <w:r w:rsidR="005902BD" w:rsidRPr="004303D6">
        <w:rPr>
          <w:rFonts w:ascii="Palatino Linotype" w:hAnsi="Palatino Linotype" w:cs="Arial"/>
          <w:sz w:val="24"/>
          <w:szCs w:val="24"/>
        </w:rPr>
        <w:t xml:space="preserve"> joint initiative is planned</w:t>
      </w:r>
      <w:r w:rsidR="00480086" w:rsidRPr="004303D6">
        <w:rPr>
          <w:rFonts w:ascii="Palatino Linotype" w:hAnsi="Palatino Linotype" w:cs="Arial"/>
          <w:sz w:val="24"/>
          <w:szCs w:val="24"/>
        </w:rPr>
        <w:t xml:space="preserve">, and we look forward to hearing about progress </w:t>
      </w:r>
      <w:r w:rsidR="00453279" w:rsidRPr="004303D6">
        <w:rPr>
          <w:rFonts w:ascii="Palatino Linotype" w:hAnsi="Palatino Linotype" w:cs="Arial"/>
          <w:sz w:val="24"/>
          <w:szCs w:val="24"/>
        </w:rPr>
        <w:t>made by</w:t>
      </w:r>
      <w:r w:rsidR="00480086" w:rsidRPr="004303D6">
        <w:rPr>
          <w:rFonts w:ascii="Palatino Linotype" w:hAnsi="Palatino Linotype" w:cs="Arial"/>
          <w:sz w:val="24"/>
          <w:szCs w:val="24"/>
        </w:rPr>
        <w:t xml:space="preserve"> similar initiatives</w:t>
      </w:r>
      <w:r w:rsidR="0064741E" w:rsidRPr="004303D6">
        <w:rPr>
          <w:rFonts w:ascii="Palatino Linotype" w:hAnsi="Palatino Linotype" w:cs="Arial"/>
          <w:sz w:val="24"/>
          <w:szCs w:val="24"/>
        </w:rPr>
        <w:t>,</w:t>
      </w:r>
      <w:r w:rsidR="00480086" w:rsidRPr="004303D6">
        <w:rPr>
          <w:rFonts w:ascii="Palatino Linotype" w:hAnsi="Palatino Linotype" w:cs="Arial"/>
          <w:sz w:val="24"/>
          <w:szCs w:val="24"/>
        </w:rPr>
        <w:t xml:space="preserve"> such as Portsmouth University’s</w:t>
      </w:r>
      <w:r w:rsidR="00F459B4" w:rsidRPr="004303D6">
        <w:rPr>
          <w:rFonts w:ascii="Palatino Linotype" w:hAnsi="Palatino Linotype" w:cs="Arial"/>
          <w:sz w:val="24"/>
          <w:szCs w:val="24"/>
        </w:rPr>
        <w:t xml:space="preserve"> establishment of a </w:t>
      </w:r>
      <w:r w:rsidR="000C5AC0" w:rsidRPr="004303D6">
        <w:rPr>
          <w:rFonts w:ascii="Palatino Linotype" w:hAnsi="Palatino Linotype" w:cs="Arial"/>
          <w:sz w:val="24"/>
          <w:szCs w:val="24"/>
        </w:rPr>
        <w:t>multidisciplinary</w:t>
      </w:r>
      <w:r w:rsidR="00F459B4" w:rsidRPr="004303D6">
        <w:rPr>
          <w:rFonts w:ascii="Palatino Linotype" w:hAnsi="Palatino Linotype" w:cs="Arial"/>
          <w:sz w:val="24"/>
          <w:szCs w:val="24"/>
        </w:rPr>
        <w:t xml:space="preserve"> service practice</w:t>
      </w:r>
      <w:r w:rsidR="000C5AC0" w:rsidRPr="004303D6">
        <w:rPr>
          <w:rFonts w:ascii="Palatino Linotype" w:hAnsi="Palatino Linotype" w:cs="Arial"/>
          <w:sz w:val="24"/>
          <w:szCs w:val="24"/>
        </w:rPr>
        <w:t xml:space="preserve"> in a communi</w:t>
      </w:r>
      <w:r w:rsidRPr="004303D6">
        <w:rPr>
          <w:rFonts w:ascii="Palatino Linotype" w:hAnsi="Palatino Linotype" w:cs="Arial"/>
          <w:sz w:val="24"/>
          <w:szCs w:val="24"/>
        </w:rPr>
        <w:t xml:space="preserve">ty setting, </w:t>
      </w:r>
      <w:r w:rsidR="00F459B4" w:rsidRPr="004303D6">
        <w:rPr>
          <w:rFonts w:ascii="Palatino Linotype" w:hAnsi="Palatino Linotype" w:cs="Arial"/>
          <w:sz w:val="24"/>
          <w:szCs w:val="24"/>
        </w:rPr>
        <w:t xml:space="preserve">between </w:t>
      </w:r>
      <w:r w:rsidR="000C5AC0" w:rsidRPr="004303D6">
        <w:rPr>
          <w:rFonts w:ascii="Palatino Linotype" w:hAnsi="Palatino Linotype" w:cs="Arial"/>
          <w:sz w:val="24"/>
          <w:szCs w:val="24"/>
        </w:rPr>
        <w:t>the Schools of L</w:t>
      </w:r>
      <w:r w:rsidR="00F459B4" w:rsidRPr="004303D6">
        <w:rPr>
          <w:rFonts w:ascii="Palatino Linotype" w:hAnsi="Palatino Linotype" w:cs="Arial"/>
          <w:sz w:val="24"/>
          <w:szCs w:val="24"/>
        </w:rPr>
        <w:t xml:space="preserve">aw and </w:t>
      </w:r>
      <w:r w:rsidR="000C5AC0" w:rsidRPr="004303D6">
        <w:rPr>
          <w:rFonts w:ascii="Palatino Linotype" w:hAnsi="Palatino Linotype" w:cs="Arial"/>
          <w:sz w:val="24"/>
          <w:szCs w:val="24"/>
        </w:rPr>
        <w:t>N</w:t>
      </w:r>
      <w:r w:rsidR="00F459B4" w:rsidRPr="004303D6">
        <w:rPr>
          <w:rFonts w:ascii="Palatino Linotype" w:hAnsi="Palatino Linotype" w:cs="Arial"/>
          <w:sz w:val="24"/>
          <w:szCs w:val="24"/>
        </w:rPr>
        <w:t xml:space="preserve">ursing (with ambitions to </w:t>
      </w:r>
      <w:r w:rsidR="00E86246" w:rsidRPr="004303D6">
        <w:rPr>
          <w:rFonts w:ascii="Palatino Linotype" w:hAnsi="Palatino Linotype" w:cs="Arial"/>
          <w:sz w:val="24"/>
          <w:szCs w:val="24"/>
        </w:rPr>
        <w:t>eventually</w:t>
      </w:r>
      <w:r w:rsidR="00F459B4" w:rsidRPr="004303D6">
        <w:rPr>
          <w:rFonts w:ascii="Palatino Linotype" w:hAnsi="Palatino Linotype" w:cs="Arial"/>
          <w:sz w:val="24"/>
          <w:szCs w:val="24"/>
        </w:rPr>
        <w:t xml:space="preserve"> </w:t>
      </w:r>
      <w:r w:rsidR="000C5AC0" w:rsidRPr="004303D6">
        <w:rPr>
          <w:rFonts w:ascii="Palatino Linotype" w:hAnsi="Palatino Linotype" w:cs="Arial"/>
          <w:sz w:val="24"/>
          <w:szCs w:val="24"/>
        </w:rPr>
        <w:t>incorporate the S</w:t>
      </w:r>
      <w:r w:rsidR="00F459B4" w:rsidRPr="004303D6">
        <w:rPr>
          <w:rFonts w:ascii="Palatino Linotype" w:hAnsi="Palatino Linotype" w:cs="Arial"/>
          <w:sz w:val="24"/>
          <w:szCs w:val="24"/>
        </w:rPr>
        <w:t xml:space="preserve">chools of </w:t>
      </w:r>
      <w:r w:rsidR="000C5AC0" w:rsidRPr="004303D6">
        <w:rPr>
          <w:rFonts w:ascii="Palatino Linotype" w:hAnsi="Palatino Linotype" w:cs="Arial"/>
          <w:sz w:val="24"/>
          <w:szCs w:val="24"/>
        </w:rPr>
        <w:t>P</w:t>
      </w:r>
      <w:r w:rsidR="00F459B4" w:rsidRPr="004303D6">
        <w:rPr>
          <w:rFonts w:ascii="Palatino Linotype" w:hAnsi="Palatino Linotype" w:cs="Arial"/>
          <w:sz w:val="24"/>
          <w:szCs w:val="24"/>
        </w:rPr>
        <w:t xml:space="preserve">harmacy, </w:t>
      </w:r>
      <w:r w:rsidR="000C5AC0" w:rsidRPr="004303D6">
        <w:rPr>
          <w:rFonts w:ascii="Palatino Linotype" w:hAnsi="Palatino Linotype" w:cs="Arial"/>
          <w:sz w:val="24"/>
          <w:szCs w:val="24"/>
        </w:rPr>
        <w:t>Dentistry and S</w:t>
      </w:r>
      <w:r w:rsidR="00F459B4" w:rsidRPr="004303D6">
        <w:rPr>
          <w:rFonts w:ascii="Palatino Linotype" w:hAnsi="Palatino Linotype" w:cs="Arial"/>
          <w:sz w:val="24"/>
          <w:szCs w:val="24"/>
        </w:rPr>
        <w:t>ocial</w:t>
      </w:r>
      <w:r w:rsidR="000C5AC0" w:rsidRPr="004303D6">
        <w:rPr>
          <w:rFonts w:ascii="Palatino Linotype" w:hAnsi="Palatino Linotype" w:cs="Arial"/>
          <w:sz w:val="24"/>
          <w:szCs w:val="24"/>
        </w:rPr>
        <w:t xml:space="preserve"> W</w:t>
      </w:r>
      <w:r w:rsidR="00F459B4" w:rsidRPr="004303D6">
        <w:rPr>
          <w:rFonts w:ascii="Palatino Linotype" w:hAnsi="Palatino Linotype" w:cs="Arial"/>
          <w:sz w:val="24"/>
          <w:szCs w:val="24"/>
        </w:rPr>
        <w:t>ork).</w:t>
      </w:r>
      <w:r w:rsidR="000C5AC0" w:rsidRPr="004303D6">
        <w:rPr>
          <w:rFonts w:ascii="Palatino Linotype" w:hAnsi="Palatino Linotype" w:cs="Arial"/>
          <w:sz w:val="24"/>
          <w:szCs w:val="24"/>
        </w:rPr>
        <w:t xml:space="preserve"> Curran</w:t>
      </w:r>
      <w:r w:rsidR="0064741E" w:rsidRPr="004303D6">
        <w:rPr>
          <w:rFonts w:ascii="Palatino Linotype" w:hAnsi="Palatino Linotype" w:cs="Arial"/>
          <w:sz w:val="24"/>
          <w:szCs w:val="24"/>
        </w:rPr>
        <w:t xml:space="preserve"> et al. </w:t>
      </w:r>
      <w:r w:rsidR="000C5AC0" w:rsidRPr="004303D6">
        <w:rPr>
          <w:rFonts w:ascii="Palatino Linotype" w:hAnsi="Palatino Linotype" w:cs="Arial"/>
          <w:sz w:val="24"/>
          <w:szCs w:val="24"/>
        </w:rPr>
        <w:t>(2018)</w:t>
      </w:r>
      <w:r w:rsidR="00C55C73" w:rsidRPr="004303D6">
        <w:rPr>
          <w:rStyle w:val="FootnoteReference"/>
          <w:rFonts w:ascii="Palatino Linotype" w:hAnsi="Palatino Linotype" w:cs="Arial"/>
          <w:sz w:val="24"/>
          <w:szCs w:val="24"/>
        </w:rPr>
        <w:footnoteReference w:id="20"/>
      </w:r>
      <w:r w:rsidR="00B11AC6" w:rsidRPr="004303D6">
        <w:rPr>
          <w:rFonts w:ascii="Palatino Linotype" w:hAnsi="Palatino Linotype" w:cs="Arial"/>
          <w:sz w:val="24"/>
          <w:szCs w:val="24"/>
        </w:rPr>
        <w:t xml:space="preserve"> report that the </w:t>
      </w:r>
      <w:r w:rsidR="00F459B4" w:rsidRPr="004303D6">
        <w:rPr>
          <w:rFonts w:ascii="Palatino Linotype" w:hAnsi="Palatino Linotype" w:cs="Arial"/>
          <w:sz w:val="24"/>
          <w:szCs w:val="24"/>
        </w:rPr>
        <w:t xml:space="preserve">first stage of </w:t>
      </w:r>
      <w:r w:rsidR="00B11AC6" w:rsidRPr="004303D6">
        <w:rPr>
          <w:rFonts w:ascii="Palatino Linotype" w:hAnsi="Palatino Linotype" w:cs="Arial"/>
          <w:sz w:val="24"/>
          <w:szCs w:val="24"/>
        </w:rPr>
        <w:t>the</w:t>
      </w:r>
      <w:r w:rsidR="00F459B4" w:rsidRPr="004303D6">
        <w:rPr>
          <w:rFonts w:ascii="Palatino Linotype" w:hAnsi="Palatino Linotype" w:cs="Arial"/>
          <w:sz w:val="24"/>
          <w:szCs w:val="24"/>
        </w:rPr>
        <w:t xml:space="preserve"> pilot </w:t>
      </w:r>
      <w:r w:rsidR="00513299" w:rsidRPr="004303D6">
        <w:rPr>
          <w:rFonts w:ascii="Palatino Linotype" w:hAnsi="Palatino Linotype" w:cs="Arial"/>
          <w:sz w:val="24"/>
          <w:szCs w:val="24"/>
        </w:rPr>
        <w:t xml:space="preserve">at Portsmouth University </w:t>
      </w:r>
      <w:r w:rsidR="00F459B4" w:rsidRPr="004303D6">
        <w:rPr>
          <w:rFonts w:ascii="Palatino Linotype" w:hAnsi="Palatino Linotype" w:cs="Arial"/>
          <w:sz w:val="24"/>
          <w:szCs w:val="24"/>
        </w:rPr>
        <w:t xml:space="preserve">will involve students </w:t>
      </w:r>
      <w:r w:rsidR="00453279" w:rsidRPr="004303D6">
        <w:rPr>
          <w:rFonts w:ascii="Palatino Linotype" w:hAnsi="Palatino Linotype" w:cs="Arial"/>
          <w:sz w:val="24"/>
          <w:szCs w:val="24"/>
        </w:rPr>
        <w:t xml:space="preserve">from a variety of disciplines </w:t>
      </w:r>
      <w:r w:rsidR="00F459B4" w:rsidRPr="004303D6">
        <w:rPr>
          <w:rFonts w:ascii="Palatino Linotype" w:hAnsi="Palatino Linotype" w:cs="Arial"/>
          <w:sz w:val="24"/>
          <w:szCs w:val="24"/>
        </w:rPr>
        <w:t xml:space="preserve">working in community settings </w:t>
      </w:r>
      <w:r w:rsidRPr="004303D6">
        <w:rPr>
          <w:rFonts w:ascii="Palatino Linotype" w:hAnsi="Palatino Linotype" w:cs="Arial"/>
          <w:sz w:val="24"/>
          <w:szCs w:val="24"/>
        </w:rPr>
        <w:t xml:space="preserve">(e.g. </w:t>
      </w:r>
      <w:r w:rsidRPr="004303D6">
        <w:rPr>
          <w:rFonts w:ascii="Palatino Linotype" w:hAnsi="Palatino Linotype" w:cs="Arial"/>
          <w:sz w:val="24"/>
          <w:szCs w:val="24"/>
        </w:rPr>
        <w:lastRenderedPageBreak/>
        <w:t xml:space="preserve">community centres and care homes) </w:t>
      </w:r>
      <w:r w:rsidR="00F459B4" w:rsidRPr="004303D6">
        <w:rPr>
          <w:rFonts w:ascii="Palatino Linotype" w:hAnsi="Palatino Linotype" w:cs="Arial"/>
          <w:sz w:val="24"/>
          <w:szCs w:val="24"/>
        </w:rPr>
        <w:t xml:space="preserve">to provide educational workshops on topics </w:t>
      </w:r>
      <w:r w:rsidRPr="004303D6">
        <w:rPr>
          <w:rFonts w:ascii="Palatino Linotype" w:hAnsi="Palatino Linotype" w:cs="Arial"/>
          <w:sz w:val="24"/>
          <w:szCs w:val="24"/>
        </w:rPr>
        <w:t>such as</w:t>
      </w:r>
      <w:r w:rsidR="00F459B4" w:rsidRPr="004303D6">
        <w:rPr>
          <w:rFonts w:ascii="Palatino Linotype" w:hAnsi="Palatino Linotype" w:cs="Arial"/>
          <w:sz w:val="24"/>
          <w:szCs w:val="24"/>
        </w:rPr>
        <w:t xml:space="preserve"> Powers of Attorney, accommodation rights, and access to benefits </w:t>
      </w:r>
      <w:r w:rsidR="00453279" w:rsidRPr="004303D6">
        <w:rPr>
          <w:rFonts w:ascii="Palatino Linotype" w:hAnsi="Palatino Linotype" w:cs="Arial"/>
          <w:sz w:val="24"/>
          <w:szCs w:val="24"/>
        </w:rPr>
        <w:t>by</w:t>
      </w:r>
      <w:r w:rsidR="00F459B4" w:rsidRPr="004303D6">
        <w:rPr>
          <w:rFonts w:ascii="Palatino Linotype" w:hAnsi="Palatino Linotype" w:cs="Arial"/>
          <w:sz w:val="24"/>
          <w:szCs w:val="24"/>
        </w:rPr>
        <w:t xml:space="preserve"> the elderly. </w:t>
      </w:r>
    </w:p>
    <w:p w14:paraId="3496B5C7" w14:textId="77777777" w:rsidR="00D9278E" w:rsidRPr="004303D6" w:rsidRDefault="00D9278E" w:rsidP="004303D6">
      <w:pPr>
        <w:spacing w:line="480" w:lineRule="auto"/>
        <w:jc w:val="both"/>
        <w:rPr>
          <w:rFonts w:ascii="Palatino Linotype" w:hAnsi="Palatino Linotype" w:cs="Arial"/>
          <w:b/>
          <w:sz w:val="24"/>
          <w:szCs w:val="24"/>
        </w:rPr>
      </w:pPr>
      <w:r w:rsidRPr="004303D6">
        <w:rPr>
          <w:rFonts w:ascii="Palatino Linotype" w:hAnsi="Palatino Linotype" w:cs="Arial"/>
          <w:b/>
          <w:sz w:val="24"/>
          <w:szCs w:val="24"/>
        </w:rPr>
        <w:t>Closing comments</w:t>
      </w:r>
    </w:p>
    <w:p w14:paraId="41A7C4AD" w14:textId="5ACBE767" w:rsidR="00246622" w:rsidRPr="004303D6" w:rsidRDefault="009E1178" w:rsidP="004303D6">
      <w:pPr>
        <w:spacing w:line="480" w:lineRule="auto"/>
        <w:jc w:val="both"/>
        <w:rPr>
          <w:rFonts w:ascii="Palatino Linotype" w:hAnsi="Palatino Linotype" w:cs="Arial"/>
          <w:sz w:val="24"/>
          <w:szCs w:val="24"/>
        </w:rPr>
      </w:pPr>
      <w:r w:rsidRPr="004303D6">
        <w:rPr>
          <w:rFonts w:ascii="Palatino Linotype" w:hAnsi="Palatino Linotype" w:cs="Arial"/>
          <w:sz w:val="24"/>
          <w:szCs w:val="24"/>
        </w:rPr>
        <w:t xml:space="preserve">Ultimately, </w:t>
      </w:r>
      <w:r w:rsidR="004E18EA" w:rsidRPr="004303D6">
        <w:rPr>
          <w:rFonts w:ascii="Palatino Linotype" w:hAnsi="Palatino Linotype" w:cs="Arial"/>
          <w:sz w:val="24"/>
          <w:szCs w:val="24"/>
        </w:rPr>
        <w:t xml:space="preserve">as </w:t>
      </w:r>
      <w:r w:rsidR="00D9278E" w:rsidRPr="004303D6">
        <w:rPr>
          <w:rFonts w:ascii="Palatino Linotype" w:hAnsi="Palatino Linotype" w:cs="Arial"/>
          <w:sz w:val="24"/>
          <w:szCs w:val="24"/>
        </w:rPr>
        <w:t>Green and Johnson (2015) acknowledge</w:t>
      </w:r>
      <w:r w:rsidR="004E18EA" w:rsidRPr="004303D6">
        <w:rPr>
          <w:rFonts w:ascii="Palatino Linotype" w:hAnsi="Palatino Linotype" w:cs="Arial"/>
          <w:sz w:val="24"/>
          <w:szCs w:val="24"/>
        </w:rPr>
        <w:t xml:space="preserve">, </w:t>
      </w:r>
      <w:r w:rsidR="00D9278E" w:rsidRPr="004303D6">
        <w:rPr>
          <w:rFonts w:ascii="Palatino Linotype" w:hAnsi="Palatino Linotype" w:cs="Arial"/>
          <w:sz w:val="24"/>
          <w:szCs w:val="24"/>
        </w:rPr>
        <w:t>building a successful collaboration cannot be reduced to a set formula</w:t>
      </w:r>
      <w:r w:rsidR="00F27EBC" w:rsidRPr="004303D6">
        <w:rPr>
          <w:rFonts w:ascii="Palatino Linotype" w:hAnsi="Palatino Linotype" w:cs="Arial"/>
          <w:sz w:val="24"/>
          <w:szCs w:val="24"/>
        </w:rPr>
        <w:t xml:space="preserve">. It </w:t>
      </w:r>
      <w:r w:rsidR="00D9278E" w:rsidRPr="004303D6">
        <w:rPr>
          <w:rFonts w:ascii="Palatino Linotype" w:hAnsi="Palatino Linotype" w:cs="Arial"/>
          <w:sz w:val="24"/>
          <w:szCs w:val="24"/>
        </w:rPr>
        <w:t xml:space="preserve">is a somewhat organic process which requires constant nurturing. You may find some of the suggestions in this article trite, but we hope they serve as a useful jumping off point to shape initial conversations with your potential </w:t>
      </w:r>
      <w:r w:rsidRPr="004303D6">
        <w:rPr>
          <w:rFonts w:ascii="Palatino Linotype" w:hAnsi="Palatino Linotype" w:cs="Arial"/>
          <w:sz w:val="24"/>
          <w:szCs w:val="24"/>
        </w:rPr>
        <w:t xml:space="preserve">PLE </w:t>
      </w:r>
      <w:r w:rsidR="00D9278E" w:rsidRPr="004303D6">
        <w:rPr>
          <w:rFonts w:ascii="Palatino Linotype" w:hAnsi="Palatino Linotype" w:cs="Arial"/>
          <w:sz w:val="24"/>
          <w:szCs w:val="24"/>
        </w:rPr>
        <w:t xml:space="preserve">collaborators. They may have equal applicability to collaborations on other </w:t>
      </w:r>
      <w:r w:rsidR="00D9278E" w:rsidRPr="004303D6">
        <w:rPr>
          <w:rFonts w:ascii="Palatino Linotype" w:hAnsi="Palatino Linotype" w:cs="Arial"/>
          <w:i/>
          <w:sz w:val="24"/>
          <w:szCs w:val="24"/>
        </w:rPr>
        <w:t>pro bono</w:t>
      </w:r>
      <w:r w:rsidR="00D9278E" w:rsidRPr="004303D6">
        <w:rPr>
          <w:rFonts w:ascii="Palatino Linotype" w:hAnsi="Palatino Linotype" w:cs="Arial"/>
          <w:sz w:val="24"/>
          <w:szCs w:val="24"/>
        </w:rPr>
        <w:t xml:space="preserve"> projects (e.g. clinics), and</w:t>
      </w:r>
      <w:r w:rsidR="003D08F9" w:rsidRPr="004303D6">
        <w:rPr>
          <w:rFonts w:ascii="Palatino Linotype" w:hAnsi="Palatino Linotype" w:cs="Arial"/>
          <w:sz w:val="24"/>
          <w:szCs w:val="24"/>
        </w:rPr>
        <w:t>,</w:t>
      </w:r>
      <w:r w:rsidR="00D9278E" w:rsidRPr="004303D6">
        <w:rPr>
          <w:rFonts w:ascii="Palatino Linotype" w:hAnsi="Palatino Linotype" w:cs="Arial"/>
          <w:sz w:val="24"/>
          <w:szCs w:val="24"/>
        </w:rPr>
        <w:t xml:space="preserve"> indeed</w:t>
      </w:r>
      <w:r w:rsidR="003D08F9" w:rsidRPr="004303D6">
        <w:rPr>
          <w:rFonts w:ascii="Palatino Linotype" w:hAnsi="Palatino Linotype" w:cs="Arial"/>
          <w:sz w:val="24"/>
          <w:szCs w:val="24"/>
        </w:rPr>
        <w:t>,</w:t>
      </w:r>
      <w:r w:rsidR="00D9278E" w:rsidRPr="004303D6">
        <w:rPr>
          <w:rFonts w:ascii="Palatino Linotype" w:hAnsi="Palatino Linotype" w:cs="Arial"/>
          <w:sz w:val="24"/>
          <w:szCs w:val="24"/>
        </w:rPr>
        <w:t xml:space="preserve"> working on internal projects with your own colleagues. </w:t>
      </w:r>
      <w:r w:rsidR="003149E8" w:rsidRPr="004303D6">
        <w:rPr>
          <w:rFonts w:ascii="Palatino Linotype" w:hAnsi="Palatino Linotype" w:cs="Arial"/>
          <w:sz w:val="24"/>
          <w:szCs w:val="24"/>
        </w:rPr>
        <w:t xml:space="preserve">We </w:t>
      </w:r>
      <w:r w:rsidR="00596FE7" w:rsidRPr="004303D6">
        <w:rPr>
          <w:rFonts w:ascii="Palatino Linotype" w:hAnsi="Palatino Linotype" w:cs="Arial"/>
          <w:sz w:val="24"/>
          <w:szCs w:val="24"/>
        </w:rPr>
        <w:t>wish</w:t>
      </w:r>
      <w:r w:rsidR="00D9278E" w:rsidRPr="004303D6">
        <w:rPr>
          <w:rFonts w:ascii="Palatino Linotype" w:hAnsi="Palatino Linotype" w:cs="Arial"/>
          <w:sz w:val="24"/>
          <w:szCs w:val="24"/>
        </w:rPr>
        <w:t xml:space="preserve"> you</w:t>
      </w:r>
      <w:r w:rsidR="00596FE7" w:rsidRPr="004303D6">
        <w:rPr>
          <w:rFonts w:ascii="Palatino Linotype" w:hAnsi="Palatino Linotype" w:cs="Arial"/>
          <w:sz w:val="24"/>
          <w:szCs w:val="24"/>
        </w:rPr>
        <w:t xml:space="preserve"> the best of luck with your collaborative PLE projects – may many hands make light work! </w:t>
      </w:r>
    </w:p>
    <w:sectPr w:rsidR="00246622" w:rsidRPr="004303D6" w:rsidSect="000747AD">
      <w:headerReference w:type="default" r:id="rId8"/>
      <w:footerReference w:type="default" r:id="rId9"/>
      <w:pgSz w:w="11906" w:h="16838"/>
      <w:pgMar w:top="1440" w:right="1440" w:bottom="1440" w:left="1440" w:header="708" w:footer="708" w:gutter="0"/>
      <w:pgNumType w:start="75"/>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E24B7" w16cid:durableId="1FBD317F"/>
  <w16cid:commentId w16cid:paraId="508D1168" w16cid:durableId="1FBD31AD"/>
  <w16cid:commentId w16cid:paraId="065EBC2E" w16cid:durableId="1FBD32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11F12" w14:textId="77777777" w:rsidR="00E17843" w:rsidRDefault="00E17843" w:rsidP="00311BF3">
      <w:pPr>
        <w:spacing w:after="0" w:line="240" w:lineRule="auto"/>
      </w:pPr>
      <w:r>
        <w:separator/>
      </w:r>
    </w:p>
  </w:endnote>
  <w:endnote w:type="continuationSeparator" w:id="0">
    <w:p w14:paraId="216F030D" w14:textId="77777777" w:rsidR="00E17843" w:rsidRDefault="00E17843" w:rsidP="0031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oudyOldStyleMTStd">
    <w:panose1 w:val="00000000000000000000"/>
    <w:charset w:val="00"/>
    <w:family w:val="roman"/>
    <w:notTrueType/>
    <w:pitch w:val="default"/>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342865"/>
      <w:docPartObj>
        <w:docPartGallery w:val="Page Numbers (Bottom of Page)"/>
        <w:docPartUnique/>
      </w:docPartObj>
    </w:sdtPr>
    <w:sdtEndPr>
      <w:rPr>
        <w:noProof/>
      </w:rPr>
    </w:sdtEndPr>
    <w:sdtContent>
      <w:p w14:paraId="59BC03AB" w14:textId="55F15E54" w:rsidR="000747AD" w:rsidRDefault="000747AD">
        <w:pPr>
          <w:pStyle w:val="Footer"/>
          <w:jc w:val="center"/>
        </w:pPr>
        <w:r>
          <w:fldChar w:fldCharType="begin"/>
        </w:r>
        <w:r>
          <w:instrText xml:space="preserve"> PAGE   \* MERGEFORMAT </w:instrText>
        </w:r>
        <w:r>
          <w:fldChar w:fldCharType="separate"/>
        </w:r>
        <w:r w:rsidR="00A73919">
          <w:rPr>
            <w:noProof/>
          </w:rPr>
          <w:t>75</w:t>
        </w:r>
        <w:r>
          <w:rPr>
            <w:noProof/>
          </w:rPr>
          <w:fldChar w:fldCharType="end"/>
        </w:r>
      </w:p>
    </w:sdtContent>
  </w:sdt>
  <w:p w14:paraId="68E4C711" w14:textId="77777777" w:rsidR="00744BB4" w:rsidRDefault="00744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72F57" w14:textId="77777777" w:rsidR="00E17843" w:rsidRDefault="00E17843" w:rsidP="00311BF3">
      <w:pPr>
        <w:spacing w:after="0" w:line="240" w:lineRule="auto"/>
      </w:pPr>
      <w:r>
        <w:separator/>
      </w:r>
    </w:p>
  </w:footnote>
  <w:footnote w:type="continuationSeparator" w:id="0">
    <w:p w14:paraId="670C4304" w14:textId="77777777" w:rsidR="00E17843" w:rsidRDefault="00E17843" w:rsidP="00311BF3">
      <w:pPr>
        <w:spacing w:after="0" w:line="240" w:lineRule="auto"/>
      </w:pPr>
      <w:r>
        <w:continuationSeparator/>
      </w:r>
    </w:p>
  </w:footnote>
  <w:footnote w:id="1">
    <w:p w14:paraId="6CE984AB" w14:textId="77777777" w:rsidR="00971E98" w:rsidRPr="00BC496C" w:rsidRDefault="00971E98">
      <w:pPr>
        <w:pStyle w:val="FootnoteText"/>
      </w:pPr>
      <w:r>
        <w:rPr>
          <w:rStyle w:val="FootnoteReference"/>
        </w:rPr>
        <w:footnoteRef/>
      </w:r>
      <w:r>
        <w:t xml:space="preserve"> </w:t>
      </w:r>
      <w:hyperlink r:id="rId1" w:history="1">
        <w:r w:rsidRPr="00BC496C">
          <w:rPr>
            <w:rStyle w:val="Hyperlink"/>
          </w:rPr>
          <w:t>http://www.cleo-uk.org/product/national-pro-bono-week-volunteer-bring-law-life-local-school/</w:t>
        </w:r>
      </w:hyperlink>
      <w:r w:rsidR="002C0462" w:rsidRPr="00BC496C">
        <w:rPr>
          <w:rStyle w:val="Hyperlink"/>
        </w:rPr>
        <w:t xml:space="preserve"> </w:t>
      </w:r>
      <w:r w:rsidR="002C0462" w:rsidRPr="00BC496C">
        <w:rPr>
          <w:rStyle w:val="Hyperlink"/>
          <w:u w:val="none"/>
        </w:rPr>
        <w:t>[accessed 26 11 18]</w:t>
      </w:r>
    </w:p>
    <w:p w14:paraId="55937A3F" w14:textId="77777777" w:rsidR="00971E98" w:rsidRPr="00BC496C" w:rsidRDefault="00971E98">
      <w:pPr>
        <w:pStyle w:val="FootnoteText"/>
      </w:pPr>
    </w:p>
  </w:footnote>
  <w:footnote w:id="2">
    <w:p w14:paraId="15C5B2E8" w14:textId="18EB1A46" w:rsidR="008502A2" w:rsidRPr="00BC496C" w:rsidRDefault="008502A2">
      <w:pPr>
        <w:pStyle w:val="FootnoteText"/>
      </w:pPr>
      <w:r w:rsidRPr="00BC496C">
        <w:rPr>
          <w:rStyle w:val="FootnoteReference"/>
        </w:rPr>
        <w:footnoteRef/>
      </w:r>
      <w:r w:rsidRPr="00BC496C">
        <w:t xml:space="preserve"> </w:t>
      </w:r>
      <w:r w:rsidRPr="00BC496C">
        <w:rPr>
          <w:rFonts w:cstheme="minorHAnsi"/>
        </w:rPr>
        <w:t>Mattessich PW, Monsey BR. 53 St. Paul MN: Amherst H. Wilder Foundation; 1992. Collaboration – What Makes It Work: A Review of Research Literature on Factors Influencing Successful Collaboration. Wilder Research Center.</w:t>
      </w:r>
      <w:r w:rsidR="00744BB4" w:rsidRPr="00BC496C">
        <w:rPr>
          <w:rFonts w:cstheme="minorHAnsi"/>
        </w:rPr>
        <w:t xml:space="preserve"> Available at: </w:t>
      </w:r>
      <w:hyperlink r:id="rId2" w:history="1">
        <w:r w:rsidR="00744BB4" w:rsidRPr="00BC496C">
          <w:rPr>
            <w:rStyle w:val="Hyperlink"/>
            <w:rFonts w:cstheme="minorHAnsi"/>
          </w:rPr>
          <w:t>https://eric.ed.gov/?id=ED390758</w:t>
        </w:r>
      </w:hyperlink>
      <w:r w:rsidR="00744BB4" w:rsidRPr="00BC496C">
        <w:rPr>
          <w:rFonts w:cstheme="minorHAnsi"/>
        </w:rPr>
        <w:t xml:space="preserve"> [accessed 14 12 18] </w:t>
      </w:r>
    </w:p>
  </w:footnote>
  <w:footnote w:id="3">
    <w:p w14:paraId="5C6D36F6" w14:textId="6AB4E1D6" w:rsidR="008502A2" w:rsidRPr="00BC496C" w:rsidRDefault="008502A2">
      <w:pPr>
        <w:pStyle w:val="FootnoteText"/>
      </w:pPr>
      <w:r w:rsidRPr="00BC496C">
        <w:rPr>
          <w:rStyle w:val="FootnoteReference"/>
        </w:rPr>
        <w:footnoteRef/>
      </w:r>
      <w:r w:rsidRPr="00BC496C">
        <w:t xml:space="preserve"> </w:t>
      </w:r>
      <w:r w:rsidRPr="00BC496C">
        <w:rPr>
          <w:rFonts w:cstheme="minorHAnsi"/>
        </w:rPr>
        <w:t xml:space="preserve">Drummond, O. and McKeever, G. (2015) </w:t>
      </w:r>
      <w:r w:rsidRPr="00BC496C">
        <w:rPr>
          <w:rFonts w:cstheme="minorHAnsi"/>
          <w:i/>
          <w:iCs/>
        </w:rPr>
        <w:t xml:space="preserve">Access to Justice through University Law Clinics </w:t>
      </w:r>
      <w:r w:rsidRPr="00BC496C">
        <w:rPr>
          <w:rFonts w:cstheme="minorHAnsi"/>
        </w:rPr>
        <w:t xml:space="preserve">(Ulster: </w:t>
      </w:r>
      <w:r w:rsidR="00744BB4" w:rsidRPr="00BC496C">
        <w:rPr>
          <w:rFonts w:cstheme="minorHAnsi"/>
        </w:rPr>
        <w:t>Ulster University Law School). A</w:t>
      </w:r>
      <w:r w:rsidRPr="00BC496C">
        <w:rPr>
          <w:rFonts w:cstheme="minorHAnsi"/>
        </w:rPr>
        <w:t xml:space="preserve">vailable at: </w:t>
      </w:r>
      <w:hyperlink r:id="rId3" w:history="1">
        <w:r w:rsidRPr="00BC496C">
          <w:rPr>
            <w:rStyle w:val="Hyperlink"/>
            <w:rFonts w:cstheme="minorHAnsi"/>
          </w:rPr>
          <w:t>https://www.ulster.ac.uk/__data/assets/pdf_file/0003/132654/Access-to-Justice-through-Uni-Law-Clinics-November-2015.pdf</w:t>
        </w:r>
      </w:hyperlink>
      <w:r w:rsidRPr="00BC496C">
        <w:rPr>
          <w:rFonts w:cstheme="minorHAnsi"/>
        </w:rPr>
        <w:t xml:space="preserve"> [accessed 14 11 2018]</w:t>
      </w:r>
    </w:p>
  </w:footnote>
  <w:footnote w:id="4">
    <w:p w14:paraId="64E25C8C" w14:textId="77777777" w:rsidR="00C55C73" w:rsidRPr="00BC496C" w:rsidRDefault="00C55C73" w:rsidP="00C55C73">
      <w:pPr>
        <w:pStyle w:val="FootnoteText"/>
        <w:rPr>
          <w:rFonts w:cstheme="minorHAnsi"/>
        </w:rPr>
      </w:pPr>
      <w:r w:rsidRPr="00BC496C">
        <w:rPr>
          <w:rStyle w:val="FootnoteReference"/>
        </w:rPr>
        <w:footnoteRef/>
      </w:r>
      <w:r w:rsidRPr="00BC496C">
        <w:t xml:space="preserve"> </w:t>
      </w:r>
      <w:r w:rsidRPr="00BC496C">
        <w:rPr>
          <w:rFonts w:cstheme="minorHAnsi"/>
        </w:rPr>
        <w:t xml:space="preserve">‘A Ten Year Vision for Public Legal Education’ prepared by the Solicitor General’s Committee on Public Legal education, found at: </w:t>
      </w:r>
      <w:hyperlink r:id="rId4" w:history="1">
        <w:r w:rsidRPr="00BC496C">
          <w:rPr>
            <w:rStyle w:val="Hyperlink"/>
            <w:rFonts w:cstheme="minorHAnsi"/>
          </w:rPr>
          <w:t>https://www.lawworks.org.uk/about-us/news/public-legal-education-new-vision-statement</w:t>
        </w:r>
      </w:hyperlink>
      <w:r w:rsidRPr="00BC496C">
        <w:rPr>
          <w:rFonts w:cstheme="minorHAnsi"/>
        </w:rPr>
        <w:t xml:space="preserve"> [accessed 15 11 2018]</w:t>
      </w:r>
    </w:p>
    <w:p w14:paraId="5B055740" w14:textId="77777777" w:rsidR="00C55C73" w:rsidRPr="00BC496C" w:rsidRDefault="00C55C73">
      <w:pPr>
        <w:pStyle w:val="FootnoteText"/>
      </w:pPr>
    </w:p>
  </w:footnote>
  <w:footnote w:id="5">
    <w:p w14:paraId="76F11DC5" w14:textId="0119674F" w:rsidR="00C55C73" w:rsidRPr="00BC496C" w:rsidRDefault="00C55C73">
      <w:pPr>
        <w:pStyle w:val="FootnoteText"/>
      </w:pPr>
      <w:r w:rsidRPr="00BC496C">
        <w:rPr>
          <w:rStyle w:val="FootnoteReference"/>
        </w:rPr>
        <w:footnoteRef/>
      </w:r>
      <w:r w:rsidRPr="00BC496C">
        <w:t xml:space="preserve"> </w:t>
      </w:r>
      <w:r w:rsidRPr="00BC496C">
        <w:rPr>
          <w:rFonts w:cstheme="minorHAnsi"/>
        </w:rPr>
        <w:t xml:space="preserve">Green BN, Johnson CD. Interprofessional collaboration in research, education, and clinical practice: working together for a better future. </w:t>
      </w:r>
      <w:r w:rsidRPr="00BC496C">
        <w:rPr>
          <w:rFonts w:cstheme="minorHAnsi"/>
          <w:i/>
          <w:iCs/>
        </w:rPr>
        <w:t>J Chiropr Educ</w:t>
      </w:r>
      <w:r w:rsidRPr="00BC496C">
        <w:rPr>
          <w:rFonts w:cstheme="minorHAnsi"/>
        </w:rPr>
        <w:t>. 2015;29(1):1-10.</w:t>
      </w:r>
      <w:r w:rsidR="00744BB4" w:rsidRPr="00BC496C">
        <w:rPr>
          <w:rFonts w:cstheme="minorHAnsi"/>
        </w:rPr>
        <w:t xml:space="preserve"> Available at: </w:t>
      </w:r>
      <w:hyperlink r:id="rId5" w:history="1">
        <w:r w:rsidR="00744BB4" w:rsidRPr="00BC496C">
          <w:rPr>
            <w:rStyle w:val="Hyperlink"/>
            <w:rFonts w:cstheme="minorHAnsi"/>
          </w:rPr>
          <w:t>https://www.ncbi.nlm.nih.gov/pmc/articles/PMC4360764/</w:t>
        </w:r>
      </w:hyperlink>
      <w:r w:rsidR="00744BB4" w:rsidRPr="00BC496C">
        <w:rPr>
          <w:rFonts w:cstheme="minorHAnsi"/>
        </w:rPr>
        <w:t xml:space="preserve"> [accessed 13 12 2018]</w:t>
      </w:r>
    </w:p>
  </w:footnote>
  <w:footnote w:id="6">
    <w:p w14:paraId="1B100182" w14:textId="4C7B4300" w:rsidR="00C55C73" w:rsidRPr="00BC496C" w:rsidRDefault="00C55C73">
      <w:pPr>
        <w:pStyle w:val="FootnoteText"/>
      </w:pPr>
      <w:r w:rsidRPr="00BC496C">
        <w:rPr>
          <w:rStyle w:val="FootnoteReference"/>
        </w:rPr>
        <w:footnoteRef/>
      </w:r>
      <w:r w:rsidRPr="00BC496C">
        <w:t xml:space="preserve"> </w:t>
      </w:r>
      <w:r w:rsidRPr="00BC496C">
        <w:rPr>
          <w:rFonts w:cstheme="minorHAnsi"/>
        </w:rPr>
        <w:t xml:space="preserve">Vangen S, Huxham C. Nurturing collaborative relations: building rust in interorganisational collaboration. J Appl Behav Sci. 2003; 39:5 </w:t>
      </w:r>
      <w:r w:rsidR="00744BB4" w:rsidRPr="00BC496C">
        <w:rPr>
          <w:rFonts w:cstheme="minorHAnsi"/>
        </w:rPr>
        <w:t>–</w:t>
      </w:r>
      <w:r w:rsidRPr="00BC496C">
        <w:rPr>
          <w:rFonts w:cstheme="minorHAnsi"/>
        </w:rPr>
        <w:t xml:space="preserve"> 31</w:t>
      </w:r>
      <w:r w:rsidR="00744BB4" w:rsidRPr="00BC496C">
        <w:rPr>
          <w:rFonts w:cstheme="minorHAnsi"/>
        </w:rPr>
        <w:t xml:space="preserve">. Available at: </w:t>
      </w:r>
      <w:hyperlink r:id="rId6" w:history="1">
        <w:r w:rsidR="00744BB4" w:rsidRPr="00BC496C">
          <w:rPr>
            <w:rStyle w:val="Hyperlink"/>
            <w:rFonts w:cstheme="minorHAnsi"/>
          </w:rPr>
          <w:t>https://www.researchgate.net/publication/239536801_Nurturing_Collaborative_Relations_Building_Trust_in_Interorganizational_Collaboration</w:t>
        </w:r>
      </w:hyperlink>
      <w:r w:rsidR="00744BB4" w:rsidRPr="00BC496C">
        <w:rPr>
          <w:rFonts w:cstheme="minorHAnsi"/>
        </w:rPr>
        <w:t xml:space="preserve"> [accessed 11 12 2018] </w:t>
      </w:r>
    </w:p>
  </w:footnote>
  <w:footnote w:id="7">
    <w:p w14:paraId="1DDEF1B0" w14:textId="264B1793" w:rsidR="00156126" w:rsidRDefault="00156126">
      <w:pPr>
        <w:pStyle w:val="FootnoteText"/>
      </w:pPr>
      <w:r>
        <w:rPr>
          <w:rStyle w:val="FootnoteReference"/>
        </w:rPr>
        <w:footnoteRef/>
      </w:r>
      <w:r>
        <w:t xml:space="preserve"> See further: </w:t>
      </w:r>
      <w:r w:rsidRPr="00156126">
        <w:t>https://www.birmingham.ac.uk/schools/law/life/pro-bono/aboutus.aspx</w:t>
      </w:r>
    </w:p>
  </w:footnote>
  <w:footnote w:id="8">
    <w:p w14:paraId="5016A447" w14:textId="77777777" w:rsidR="00C55C73" w:rsidRPr="00BC496C" w:rsidRDefault="00C55C73">
      <w:pPr>
        <w:pStyle w:val="FootnoteText"/>
      </w:pPr>
      <w:r w:rsidRPr="00BC496C">
        <w:rPr>
          <w:rStyle w:val="FootnoteReference"/>
        </w:rPr>
        <w:footnoteRef/>
      </w:r>
      <w:r w:rsidRPr="00BC496C">
        <w:t xml:space="preserve"> </w:t>
      </w:r>
      <w:hyperlink r:id="rId7" w:history="1">
        <w:r w:rsidRPr="00BC496C">
          <w:rPr>
            <w:rStyle w:val="Hyperlink"/>
            <w:rFonts w:cstheme="minorHAnsi"/>
          </w:rPr>
          <w:t>https://gdpr-info.eu/</w:t>
        </w:r>
      </w:hyperlink>
      <w:r w:rsidRPr="00BC496C">
        <w:rPr>
          <w:rFonts w:cstheme="minorHAnsi"/>
        </w:rPr>
        <w:t xml:space="preserve"> [accessed 15 11 2018]</w:t>
      </w:r>
    </w:p>
  </w:footnote>
  <w:footnote w:id="9">
    <w:p w14:paraId="3024A95C" w14:textId="4B154F3A" w:rsidR="001F1C80" w:rsidRPr="00125D3A" w:rsidRDefault="001F1C80" w:rsidP="001F1C80">
      <w:pPr>
        <w:pStyle w:val="FootnoteText"/>
      </w:pPr>
      <w:r w:rsidRPr="00BC496C">
        <w:rPr>
          <w:rStyle w:val="FootnoteReference"/>
        </w:rPr>
        <w:footnoteRef/>
      </w:r>
      <w:r w:rsidRPr="00BC496C">
        <w:t xml:space="preserve"> Prensky, M (2001). Digital</w:t>
      </w:r>
      <w:r w:rsidRPr="00125D3A">
        <w:t xml:space="preserve"> Natives, Digital Immigrants Part 1. On the Horizon. 9. 1-6</w:t>
      </w:r>
      <w:r w:rsidR="004B1137" w:rsidRPr="00125D3A">
        <w:t xml:space="preserve">. Available at: </w:t>
      </w:r>
      <w:hyperlink r:id="rId8" w:history="1">
        <w:r w:rsidRPr="00BC496C">
          <w:rPr>
            <w:rStyle w:val="Hyperlink"/>
          </w:rPr>
          <w:t>https://www.marcprensky.com/writing/Prensky%20-%20Digital%20Natives,%20Digital%20Immigrants%20-%20Part1.pdf</w:t>
        </w:r>
      </w:hyperlink>
      <w:r w:rsidRPr="00BC496C">
        <w:t xml:space="preserve"> </w:t>
      </w:r>
      <w:r w:rsidR="004B1137" w:rsidRPr="00BC496C">
        <w:t>[accessed 13 5 19]</w:t>
      </w:r>
    </w:p>
  </w:footnote>
  <w:footnote w:id="10">
    <w:p w14:paraId="0FA91FA6" w14:textId="77777777" w:rsidR="002C0462" w:rsidRPr="00125D3A" w:rsidRDefault="002C0462">
      <w:pPr>
        <w:pStyle w:val="FootnoteText"/>
      </w:pPr>
      <w:r w:rsidRPr="00BC496C">
        <w:rPr>
          <w:rStyle w:val="FootnoteReference"/>
        </w:rPr>
        <w:footnoteRef/>
      </w:r>
      <w:r w:rsidRPr="00BC496C">
        <w:t xml:space="preserve"> </w:t>
      </w:r>
      <w:r w:rsidRPr="00125D3A">
        <w:rPr>
          <w:color w:val="222222"/>
          <w:shd w:val="clear" w:color="auto" w:fill="FFFFFF"/>
        </w:rPr>
        <w:t>Harvard Business Review IdeaCast</w:t>
      </w:r>
      <w:r w:rsidRPr="00BC496C">
        <w:t xml:space="preserve">: ‘The Right Way to Collaborate (If you Must)’: </w:t>
      </w:r>
      <w:hyperlink r:id="rId9" w:history="1">
        <w:r w:rsidRPr="00125D3A">
          <w:rPr>
            <w:rStyle w:val="Hyperlink"/>
          </w:rPr>
          <w:t>https://hbr.org/2010/03/the-right-way-to-collaborate-i.html</w:t>
        </w:r>
      </w:hyperlink>
      <w:r w:rsidRPr="00BC496C">
        <w:t xml:space="preserve"> [accessed 26 11 18]</w:t>
      </w:r>
    </w:p>
  </w:footnote>
  <w:footnote w:id="11">
    <w:p w14:paraId="662FCD56" w14:textId="4DCC58BE" w:rsidR="002C0462" w:rsidRPr="00125D3A" w:rsidRDefault="002C0462">
      <w:pPr>
        <w:pStyle w:val="FootnoteText"/>
      </w:pPr>
      <w:r w:rsidRPr="00BC496C">
        <w:rPr>
          <w:rStyle w:val="FootnoteReference"/>
        </w:rPr>
        <w:footnoteRef/>
      </w:r>
      <w:r w:rsidRPr="00BC496C">
        <w:t xml:space="preserve"> Citizens Advice: Modelling​ ​our​ ​value to​ ​society​ ​in​ ​2016/17, Technical Annex: The difference</w:t>
      </w:r>
      <w:r w:rsidR="00744BB4" w:rsidRPr="00125D3A">
        <w:t xml:space="preserve"> we make: Our impact in 2016/17. Available </w:t>
      </w:r>
      <w:r w:rsidRPr="00125D3A">
        <w:t xml:space="preserve">at: </w:t>
      </w:r>
      <w:hyperlink r:id="rId10" w:history="1">
        <w:r w:rsidRPr="00125D3A">
          <w:rPr>
            <w:rStyle w:val="Hyperlink"/>
          </w:rPr>
          <w:t>https://www.citizensadvice.org.uk/about-us/difference-we-make/impact-of-citizens-advice-service/all-our-impact/</w:t>
        </w:r>
      </w:hyperlink>
      <w:r w:rsidRPr="00BC496C">
        <w:t xml:space="preserve"> [accessed </w:t>
      </w:r>
      <w:r w:rsidRPr="00125D3A">
        <w:t xml:space="preserve">26 11 2018] </w:t>
      </w:r>
    </w:p>
  </w:footnote>
  <w:footnote w:id="12">
    <w:p w14:paraId="52E5589F" w14:textId="3FF7939C" w:rsidR="00C55C73" w:rsidRPr="00125D3A" w:rsidRDefault="00C55C73">
      <w:pPr>
        <w:pStyle w:val="FootnoteText"/>
      </w:pPr>
      <w:r w:rsidRPr="00BC496C">
        <w:rPr>
          <w:rStyle w:val="FootnoteReference"/>
        </w:rPr>
        <w:footnoteRef/>
      </w:r>
      <w:r w:rsidR="000102A7" w:rsidRPr="00BC496C">
        <w:rPr>
          <w:vertAlign w:val="superscript"/>
        </w:rPr>
        <w:t>, 11</w:t>
      </w:r>
      <w:r w:rsidRPr="00125D3A">
        <w:t xml:space="preserve"> </w:t>
      </w:r>
      <w:hyperlink r:id="rId11" w:history="1">
        <w:r w:rsidRPr="00125D3A">
          <w:rPr>
            <w:rStyle w:val="Hyperlink"/>
            <w:rFonts w:cstheme="minorHAnsi"/>
            <w:color w:val="auto"/>
            <w:u w:val="none"/>
            <w:lang w:val="en-US"/>
          </w:rPr>
          <w:t>Curran, L (2017): 'Reflections on Practice and Recent Research to Enable Future Practitioners to Learn About Working Collaboratively Across Disciplines to Better Help the Community', Journal of Commonwealth Law and Legal Education, vol. 12, no. 1, pp. 46-64.</w:t>
        </w:r>
      </w:hyperlink>
      <w:r w:rsidR="00744BB4" w:rsidRPr="00BC496C">
        <w:rPr>
          <w:rStyle w:val="Hyperlink"/>
          <w:rFonts w:cstheme="minorHAnsi"/>
          <w:color w:val="auto"/>
          <w:u w:val="none"/>
          <w:lang w:val="en-US"/>
        </w:rPr>
        <w:t xml:space="preserve"> Available at: </w:t>
      </w:r>
      <w:hyperlink r:id="rId12" w:history="1">
        <w:r w:rsidR="00744BB4" w:rsidRPr="00125D3A">
          <w:rPr>
            <w:rStyle w:val="Hyperlink"/>
            <w:rFonts w:cstheme="minorHAnsi"/>
            <w:lang w:val="en-US"/>
          </w:rPr>
          <w:t>https://www.researchgate.net/publication/321878476_'Reflections_on_Practice_and_Recent_Research_to_Enable_Future_Practitioners_to_Learn_About_Working_Collaboratively_Across_Disciplines_to_Better_Help_the_Community'_Vol_12_No_1_Autumn_2017_Journal_of_C</w:t>
        </w:r>
      </w:hyperlink>
      <w:r w:rsidR="00744BB4" w:rsidRPr="00BC496C">
        <w:rPr>
          <w:rStyle w:val="Hyperlink"/>
          <w:rFonts w:cstheme="minorHAnsi"/>
          <w:color w:val="auto"/>
          <w:u w:val="none"/>
          <w:lang w:val="en-US"/>
        </w:rPr>
        <w:t xml:space="preserve"> [accessed 13 12 2018] </w:t>
      </w:r>
    </w:p>
  </w:footnote>
  <w:footnote w:id="13">
    <w:p w14:paraId="4385B9AE" w14:textId="77777777" w:rsidR="00C55C73" w:rsidRPr="00125D3A" w:rsidRDefault="00C55C73" w:rsidP="00C55C73">
      <w:pPr>
        <w:pStyle w:val="FootnoteText"/>
      </w:pPr>
    </w:p>
  </w:footnote>
  <w:footnote w:id="14">
    <w:p w14:paraId="5A867D7A" w14:textId="1C848072" w:rsidR="00125D3A" w:rsidRDefault="00125D3A" w:rsidP="00125D3A">
      <w:pPr>
        <w:rPr>
          <w:rFonts w:ascii="Arial" w:hAnsi="Arial" w:cs="Arial"/>
          <w:sz w:val="20"/>
          <w:szCs w:val="20"/>
        </w:rPr>
      </w:pPr>
      <w:r>
        <w:rPr>
          <w:rStyle w:val="FootnoteReference"/>
        </w:rPr>
        <w:footnoteRef/>
      </w:r>
      <w:r>
        <w:t xml:space="preserve"> </w:t>
      </w:r>
      <w:r w:rsidR="001163AE">
        <w:rPr>
          <w:rFonts w:cs="Arial"/>
          <w:sz w:val="20"/>
          <w:szCs w:val="20"/>
        </w:rPr>
        <w:t xml:space="preserve">Bliss, L </w:t>
      </w:r>
      <w:r w:rsidRPr="00125D3A">
        <w:rPr>
          <w:rFonts w:cs="Arial"/>
          <w:sz w:val="20"/>
          <w:szCs w:val="20"/>
        </w:rPr>
        <w:t>&amp; Caley, S &amp; Pettignano, R. (2012). A Model for Interdisciplinary Clinical Education: Medical and Legal Professionals Learning and Working Together to Promote Public Health. International Journal of Clinical Legal Education. 2012. 149. 10.19164/ijcle.v18i0.4.</w:t>
      </w:r>
    </w:p>
    <w:p w14:paraId="77199DE4" w14:textId="0A0DEEDD" w:rsidR="00125D3A" w:rsidRDefault="00125D3A">
      <w:pPr>
        <w:pStyle w:val="FootnoteText"/>
      </w:pPr>
    </w:p>
  </w:footnote>
  <w:footnote w:id="15">
    <w:p w14:paraId="2D676094" w14:textId="49D74DCC" w:rsidR="00C41136" w:rsidRPr="00BC496C" w:rsidRDefault="00C41136" w:rsidP="00C41136">
      <w:pPr>
        <w:pStyle w:val="FootnoteText"/>
      </w:pPr>
      <w:r w:rsidRPr="00BC496C">
        <w:rPr>
          <w:rStyle w:val="FootnoteReference"/>
        </w:rPr>
        <w:footnoteRef/>
      </w:r>
      <w:r w:rsidRPr="00BC496C">
        <w:t xml:space="preserve"> Galowitz, P</w:t>
      </w:r>
      <w:r w:rsidRPr="00125D3A">
        <w:t xml:space="preserve">. (2014). The Opportunities and Challenges of an Interdisciplinary Clinic. International Journal of Clinical Legal Education. 18. 165. 10.19164/ijcle.v18i0.5 [accessed 15 5 19]. Available at: </w:t>
      </w:r>
      <w:hyperlink r:id="rId13" w:history="1">
        <w:r w:rsidRPr="00BC496C">
          <w:rPr>
            <w:rStyle w:val="Hyperlink"/>
          </w:rPr>
          <w:t>h</w:t>
        </w:r>
        <w:r w:rsidRPr="00125D3A">
          <w:rPr>
            <w:rStyle w:val="Hyperlink"/>
          </w:rPr>
          <w:t>ttp://www.northumbriajournals.co.uk/index.php/ijcle/issue/view/6</w:t>
        </w:r>
      </w:hyperlink>
      <w:r w:rsidRPr="00BC496C">
        <w:t xml:space="preserve"> </w:t>
      </w:r>
    </w:p>
  </w:footnote>
  <w:footnote w:id="16">
    <w:p w14:paraId="5D23C7BA" w14:textId="2A6BB6A8" w:rsidR="001163AE" w:rsidRPr="00944391" w:rsidRDefault="001163AE" w:rsidP="001163AE">
      <w:pPr>
        <w:pStyle w:val="FootnoteText"/>
      </w:pPr>
      <w:r>
        <w:rPr>
          <w:rStyle w:val="FootnoteReference"/>
        </w:rPr>
        <w:footnoteRef/>
      </w:r>
      <w:r>
        <w:t xml:space="preserve"> Lerner, A &amp; Talati, E (2006</w:t>
      </w:r>
      <w:r w:rsidRPr="00944391">
        <w:t>). Teaching Law And Educating Lawyers: Closing The Gap Through Multidisciplinary Experiential Learning. International Journal of Clinic</w:t>
      </w:r>
      <w:r>
        <w:t xml:space="preserve">al Legal Education. 10. 96 [accessed 20 5 19]. Available at: </w:t>
      </w:r>
      <w:hyperlink r:id="rId14" w:history="1">
        <w:r w:rsidRPr="0055583F">
          <w:rPr>
            <w:rStyle w:val="Hyperlink"/>
          </w:rPr>
          <w:t>http://www.northumbriajournals.co.uk/index.php/ijcle/article/view/80/83</w:t>
        </w:r>
      </w:hyperlink>
      <w:r>
        <w:t xml:space="preserve"> </w:t>
      </w:r>
    </w:p>
  </w:footnote>
  <w:footnote w:id="17">
    <w:p w14:paraId="23731AAC" w14:textId="77777777" w:rsidR="00D43485" w:rsidRPr="00125D3A" w:rsidRDefault="00D43485" w:rsidP="00D43485">
      <w:pPr>
        <w:pStyle w:val="Default"/>
        <w:rPr>
          <w:rFonts w:asciiTheme="minorHAnsi" w:hAnsiTheme="minorHAnsi"/>
          <w:sz w:val="20"/>
          <w:szCs w:val="20"/>
        </w:rPr>
      </w:pPr>
      <w:r w:rsidRPr="00125D3A">
        <w:rPr>
          <w:rStyle w:val="FootnoteReference"/>
          <w:rFonts w:asciiTheme="minorHAnsi" w:hAnsiTheme="minorHAnsi"/>
          <w:sz w:val="20"/>
          <w:szCs w:val="20"/>
        </w:rPr>
        <w:footnoteRef/>
      </w:r>
      <w:r w:rsidRPr="00125D3A">
        <w:rPr>
          <w:rFonts w:asciiTheme="minorHAnsi" w:hAnsiTheme="minorHAnsi"/>
          <w:sz w:val="20"/>
          <w:szCs w:val="20"/>
        </w:rPr>
        <w:t xml:space="preserve"> UCL Centre for Access to Justice, </w:t>
      </w:r>
      <w:r w:rsidRPr="00125D3A">
        <w:rPr>
          <w:rFonts w:asciiTheme="minorHAnsi" w:hAnsiTheme="minorHAnsi"/>
          <w:bCs/>
          <w:sz w:val="20"/>
          <w:szCs w:val="20"/>
        </w:rPr>
        <w:t xml:space="preserve">Health Justice Partnerships in Social Prescribing </w:t>
      </w:r>
    </w:p>
    <w:p w14:paraId="11D2FEFF" w14:textId="77777777" w:rsidR="00D43485" w:rsidRPr="00125D3A" w:rsidRDefault="00D43485" w:rsidP="00D43485">
      <w:pPr>
        <w:pStyle w:val="Default"/>
        <w:rPr>
          <w:rFonts w:asciiTheme="minorHAnsi" w:hAnsiTheme="minorHAnsi"/>
          <w:sz w:val="20"/>
          <w:szCs w:val="20"/>
          <w:lang w:val="en-US"/>
        </w:rPr>
      </w:pPr>
      <w:r w:rsidRPr="00125D3A">
        <w:rPr>
          <w:rFonts w:asciiTheme="minorHAnsi" w:hAnsiTheme="minorHAnsi"/>
          <w:bCs/>
          <w:sz w:val="20"/>
          <w:szCs w:val="20"/>
        </w:rPr>
        <w:t xml:space="preserve">International Workshop, Background Materials and Full Event Report, November 2017 accessed 15 5 19]. Available at: </w:t>
      </w:r>
      <w:hyperlink r:id="rId15" w:history="1">
        <w:r w:rsidRPr="00125D3A">
          <w:rPr>
            <w:rStyle w:val="Hyperlink"/>
            <w:rFonts w:asciiTheme="minorHAnsi" w:hAnsiTheme="minorHAnsi"/>
            <w:sz w:val="20"/>
            <w:szCs w:val="20"/>
          </w:rPr>
          <w:t>https://www.ucl.ac.uk/access-to-justice/sites/access-to-justice/files/hjp_workshop_background_materials_and_event_report_2.pdf</w:t>
        </w:r>
      </w:hyperlink>
    </w:p>
    <w:p w14:paraId="668D2D30" w14:textId="77777777" w:rsidR="00D43485" w:rsidRPr="00BC496C" w:rsidRDefault="00D43485" w:rsidP="00D43485">
      <w:pPr>
        <w:pStyle w:val="FootnoteText"/>
      </w:pPr>
    </w:p>
  </w:footnote>
  <w:footnote w:id="18">
    <w:p w14:paraId="75BBEDF2" w14:textId="77777777" w:rsidR="00BC496C" w:rsidRPr="00125D3A" w:rsidRDefault="00BC496C" w:rsidP="00BC496C">
      <w:pPr>
        <w:rPr>
          <w:sz w:val="20"/>
          <w:szCs w:val="20"/>
        </w:rPr>
      </w:pPr>
      <w:r w:rsidRPr="00125D3A">
        <w:rPr>
          <w:rStyle w:val="FootnoteReference"/>
          <w:sz w:val="20"/>
          <w:szCs w:val="20"/>
        </w:rPr>
        <w:footnoteRef/>
      </w:r>
      <w:r w:rsidRPr="00125D3A">
        <w:rPr>
          <w:sz w:val="20"/>
          <w:szCs w:val="20"/>
        </w:rPr>
        <w:t xml:space="preserve"> </w:t>
      </w:r>
      <w:r w:rsidRPr="00125D3A">
        <w:rPr>
          <w:rFonts w:cs="Arial"/>
          <w:sz w:val="20"/>
          <w:szCs w:val="20"/>
        </w:rPr>
        <w:t xml:space="preserve">Ministry of Justice, Post-Implementation Review of Part 1 of </w:t>
      </w:r>
      <w:r w:rsidRPr="00125D3A">
        <w:rPr>
          <w:rFonts w:cs="Arial"/>
          <w:b/>
          <w:bCs/>
          <w:sz w:val="20"/>
          <w:szCs w:val="20"/>
        </w:rPr>
        <w:t xml:space="preserve">the Legal Aid, Sentencing and Punishment of Offenders Act 2012 </w:t>
      </w:r>
      <w:r w:rsidRPr="00125D3A">
        <w:rPr>
          <w:rFonts w:cs="Arial"/>
          <w:sz w:val="20"/>
          <w:szCs w:val="20"/>
        </w:rPr>
        <w:t>(</w:t>
      </w:r>
      <w:r w:rsidRPr="00125D3A">
        <w:rPr>
          <w:sz w:val="20"/>
          <w:szCs w:val="20"/>
        </w:rPr>
        <w:t xml:space="preserve">p.104), February 2019 [accessed 15 5 19]. Available at:  </w:t>
      </w:r>
      <w:hyperlink r:id="rId16" w:history="1">
        <w:r w:rsidRPr="00125D3A">
          <w:rPr>
            <w:rStyle w:val="Hyperlink"/>
            <w:sz w:val="20"/>
            <w:szCs w:val="20"/>
          </w:rPr>
          <w:t>https://www.gov.uk/government/publications/post-implementation-review-of-part-1-of-laspo</w:t>
        </w:r>
      </w:hyperlink>
    </w:p>
    <w:p w14:paraId="1C3FD5B3" w14:textId="0FD61081" w:rsidR="00BC496C" w:rsidRPr="00BC496C" w:rsidRDefault="00BC496C">
      <w:pPr>
        <w:pStyle w:val="FootnoteText"/>
      </w:pPr>
    </w:p>
  </w:footnote>
  <w:footnote w:id="19">
    <w:p w14:paraId="7C3133F4" w14:textId="77777777" w:rsidR="00C55C73" w:rsidRPr="00BC496C" w:rsidRDefault="00C55C73">
      <w:pPr>
        <w:pStyle w:val="FootnoteText"/>
      </w:pPr>
      <w:r w:rsidRPr="00BC496C">
        <w:rPr>
          <w:rStyle w:val="FootnoteReference"/>
        </w:rPr>
        <w:footnoteRef/>
      </w:r>
      <w:r w:rsidRPr="00BC496C">
        <w:t xml:space="preserve"> </w:t>
      </w:r>
      <w:hyperlink r:id="rId17" w:history="1">
        <w:r w:rsidRPr="00BC496C">
          <w:rPr>
            <w:rStyle w:val="Hyperlink"/>
            <w:rFonts w:cstheme="minorHAnsi"/>
          </w:rPr>
          <w:t>https://www.gov.uk/government/news/new-relationships-and-health-education-in-schools</w:t>
        </w:r>
      </w:hyperlink>
      <w:r w:rsidRPr="00BC496C">
        <w:rPr>
          <w:rFonts w:cstheme="minorHAnsi"/>
        </w:rPr>
        <w:t xml:space="preserve"> [accessed 15 11 2018]</w:t>
      </w:r>
    </w:p>
  </w:footnote>
  <w:footnote w:id="20">
    <w:p w14:paraId="06A31F7D" w14:textId="60F628EE" w:rsidR="00C55C73" w:rsidRPr="00BC496C" w:rsidRDefault="00C55C73">
      <w:pPr>
        <w:pStyle w:val="FootnoteText"/>
      </w:pPr>
      <w:r w:rsidRPr="00BC496C">
        <w:rPr>
          <w:rStyle w:val="FootnoteReference"/>
        </w:rPr>
        <w:footnoteRef/>
      </w:r>
      <w:r w:rsidRPr="00BC496C">
        <w:t xml:space="preserve"> </w:t>
      </w:r>
      <w:r w:rsidRPr="00BC496C">
        <w:rPr>
          <w:rFonts w:cstheme="minorHAnsi"/>
        </w:rPr>
        <w:t>Curran C, Ryde</w:t>
      </w:r>
      <w:r w:rsidRPr="00125D3A">
        <w:rPr>
          <w:rFonts w:cstheme="minorHAnsi"/>
        </w:rPr>
        <w:t>r I and Strevens</w:t>
      </w:r>
      <w:bookmarkStart w:id="0" w:name="_GoBack"/>
      <w:bookmarkEnd w:id="0"/>
      <w:r w:rsidRPr="00125D3A">
        <w:rPr>
          <w:rFonts w:cstheme="minorHAnsi"/>
        </w:rPr>
        <w:t xml:space="preserve">, C (2018): </w:t>
      </w:r>
      <w:hyperlink r:id="rId18" w:history="1">
        <w:r w:rsidRPr="00BC496C">
          <w:rPr>
            <w:rStyle w:val="Hyperlink"/>
            <w:rFonts w:cstheme="minorHAnsi"/>
            <w:color w:val="auto"/>
            <w:u w:val="none"/>
          </w:rPr>
          <w:t>Educating future practitioners through an Interdisciplinary Student Clinic</w:t>
        </w:r>
      </w:hyperlink>
      <w:r w:rsidRPr="00BC496C">
        <w:rPr>
          <w:rFonts w:cstheme="minorHAnsi"/>
        </w:rPr>
        <w:t xml:space="preserve">: </w:t>
      </w:r>
      <w:r w:rsidRPr="00BC496C">
        <w:rPr>
          <w:rFonts w:cstheme="minorHAnsi"/>
          <w:i/>
          <w:lang w:val="en-US"/>
        </w:rPr>
        <w:t>International Journal of Clinical Legal Education</w:t>
      </w:r>
      <w:r w:rsidRPr="00125D3A">
        <w:rPr>
          <w:rFonts w:cstheme="minorHAnsi"/>
          <w:lang w:val="en-US"/>
        </w:rPr>
        <w:t>, Vol 25, No 2,pp 4 – 34.</w:t>
      </w:r>
      <w:r w:rsidR="00744BB4" w:rsidRPr="00125D3A">
        <w:rPr>
          <w:rFonts w:cstheme="minorHAnsi"/>
          <w:lang w:val="en-US"/>
        </w:rPr>
        <w:t xml:space="preserve"> Available at: </w:t>
      </w:r>
      <w:hyperlink r:id="rId19" w:history="1">
        <w:r w:rsidR="00744BB4" w:rsidRPr="00BC496C">
          <w:rPr>
            <w:rStyle w:val="Hyperlink"/>
            <w:rFonts w:cstheme="minorHAnsi"/>
            <w:lang w:val="en-US"/>
          </w:rPr>
          <w:t>http://www.northumbriajournals.co.uk/index.php/ijcle/article/view/693</w:t>
        </w:r>
      </w:hyperlink>
      <w:r w:rsidR="00744BB4" w:rsidRPr="00BC496C">
        <w:rPr>
          <w:rFonts w:cstheme="minorHAnsi"/>
          <w:lang w:val="en-US"/>
        </w:rPr>
        <w:t xml:space="preserve"> [accessed 14 12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0"/>
        <w:szCs w:val="20"/>
      </w:rPr>
      <w:id w:val="-422948595"/>
      <w:docPartObj>
        <w:docPartGallery w:val="Page Numbers (Top of Page)"/>
        <w:docPartUnique/>
      </w:docPartObj>
    </w:sdtPr>
    <w:sdtEndPr>
      <w:rPr>
        <w:noProof/>
      </w:rPr>
    </w:sdtEndPr>
    <w:sdtContent>
      <w:p w14:paraId="05E9A704" w14:textId="54546014" w:rsidR="000747AD" w:rsidRPr="000747AD" w:rsidRDefault="000747AD" w:rsidP="000747AD">
        <w:pPr>
          <w:pStyle w:val="Header"/>
          <w:jc w:val="center"/>
          <w:rPr>
            <w:rFonts w:ascii="Palatino Linotype" w:hAnsi="Palatino Linotype"/>
            <w:sz w:val="20"/>
            <w:szCs w:val="20"/>
          </w:rPr>
        </w:pPr>
        <w:r w:rsidRPr="001178D7">
          <w:rPr>
            <w:rFonts w:ascii="Palatino Linotype" w:hAnsi="Palatino Linotype"/>
            <w:sz w:val="20"/>
            <w:szCs w:val="20"/>
          </w:rPr>
          <w:t>IJPLE 3 (1) 2019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C44"/>
    <w:multiLevelType w:val="hybridMultilevel"/>
    <w:tmpl w:val="F9C48D7A"/>
    <w:lvl w:ilvl="0" w:tplc="1772C4CA">
      <w:start w:val="1"/>
      <w:numFmt w:val="decimal"/>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C5B200E"/>
    <w:multiLevelType w:val="hybridMultilevel"/>
    <w:tmpl w:val="B08EE48E"/>
    <w:lvl w:ilvl="0" w:tplc="ECEE0A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9D5973"/>
    <w:multiLevelType w:val="hybridMultilevel"/>
    <w:tmpl w:val="27507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3E0662"/>
    <w:multiLevelType w:val="hybridMultilevel"/>
    <w:tmpl w:val="6980E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32FDA"/>
    <w:multiLevelType w:val="hybridMultilevel"/>
    <w:tmpl w:val="27507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C75AA"/>
    <w:multiLevelType w:val="hybridMultilevel"/>
    <w:tmpl w:val="70027F6A"/>
    <w:lvl w:ilvl="0" w:tplc="B99ABFD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095E6E"/>
    <w:multiLevelType w:val="hybridMultilevel"/>
    <w:tmpl w:val="06D8DDE8"/>
    <w:lvl w:ilvl="0" w:tplc="0809000F">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0450DF"/>
    <w:multiLevelType w:val="hybridMultilevel"/>
    <w:tmpl w:val="6EB828CA"/>
    <w:lvl w:ilvl="0" w:tplc="4CF4A0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F20DAC"/>
    <w:multiLevelType w:val="hybridMultilevel"/>
    <w:tmpl w:val="27507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F410D7"/>
    <w:multiLevelType w:val="hybridMultilevel"/>
    <w:tmpl w:val="7E8E804A"/>
    <w:lvl w:ilvl="0" w:tplc="0EFC5F4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212B2"/>
    <w:multiLevelType w:val="hybridMultilevel"/>
    <w:tmpl w:val="C21C6686"/>
    <w:lvl w:ilvl="0" w:tplc="10723EFC">
      <w:start w:val="79"/>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3269BB"/>
    <w:multiLevelType w:val="hybridMultilevel"/>
    <w:tmpl w:val="D0665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8347F4"/>
    <w:multiLevelType w:val="hybridMultilevel"/>
    <w:tmpl w:val="0100A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C706A3"/>
    <w:multiLevelType w:val="hybridMultilevel"/>
    <w:tmpl w:val="BBC29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2E78A7"/>
    <w:multiLevelType w:val="hybridMultilevel"/>
    <w:tmpl w:val="FA8097C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286761"/>
    <w:multiLevelType w:val="hybridMultilevel"/>
    <w:tmpl w:val="27507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B2AA6"/>
    <w:multiLevelType w:val="hybridMultilevel"/>
    <w:tmpl w:val="48FAF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4B32C2"/>
    <w:multiLevelType w:val="hybridMultilevel"/>
    <w:tmpl w:val="E33C01C8"/>
    <w:lvl w:ilvl="0" w:tplc="0EFC5F4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2"/>
  </w:num>
  <w:num w:numId="4">
    <w:abstractNumId w:val="5"/>
  </w:num>
  <w:num w:numId="5">
    <w:abstractNumId w:val="14"/>
  </w:num>
  <w:num w:numId="6">
    <w:abstractNumId w:val="10"/>
  </w:num>
  <w:num w:numId="7">
    <w:abstractNumId w:val="13"/>
  </w:num>
  <w:num w:numId="8">
    <w:abstractNumId w:val="8"/>
  </w:num>
  <w:num w:numId="9">
    <w:abstractNumId w:val="3"/>
  </w:num>
  <w:num w:numId="10">
    <w:abstractNumId w:val="6"/>
  </w:num>
  <w:num w:numId="11">
    <w:abstractNumId w:val="9"/>
  </w:num>
  <w:num w:numId="12">
    <w:abstractNumId w:val="1"/>
  </w:num>
  <w:num w:numId="13">
    <w:abstractNumId w:val="17"/>
  </w:num>
  <w:num w:numId="14">
    <w:abstractNumId w:val="15"/>
  </w:num>
  <w:num w:numId="15">
    <w:abstractNumId w:val="4"/>
  </w:num>
  <w:num w:numId="16">
    <w:abstractNumId w:val="2"/>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B4"/>
    <w:rsid w:val="00005A07"/>
    <w:rsid w:val="000102A7"/>
    <w:rsid w:val="0001554A"/>
    <w:rsid w:val="000505D6"/>
    <w:rsid w:val="00052DB0"/>
    <w:rsid w:val="000725BB"/>
    <w:rsid w:val="000747AD"/>
    <w:rsid w:val="00091907"/>
    <w:rsid w:val="00091D15"/>
    <w:rsid w:val="000A15A0"/>
    <w:rsid w:val="000A45FB"/>
    <w:rsid w:val="000B5956"/>
    <w:rsid w:val="000C0FC4"/>
    <w:rsid w:val="000C5AC0"/>
    <w:rsid w:val="000D66CB"/>
    <w:rsid w:val="000D69CB"/>
    <w:rsid w:val="000E619A"/>
    <w:rsid w:val="000F52E8"/>
    <w:rsid w:val="001163AE"/>
    <w:rsid w:val="00125D3A"/>
    <w:rsid w:val="0014309D"/>
    <w:rsid w:val="00152FEA"/>
    <w:rsid w:val="00156126"/>
    <w:rsid w:val="0016002E"/>
    <w:rsid w:val="001601C7"/>
    <w:rsid w:val="00161559"/>
    <w:rsid w:val="00166523"/>
    <w:rsid w:val="00171BF0"/>
    <w:rsid w:val="00173E3F"/>
    <w:rsid w:val="00175A6B"/>
    <w:rsid w:val="001978E7"/>
    <w:rsid w:val="001A0C0E"/>
    <w:rsid w:val="001A384A"/>
    <w:rsid w:val="001A4F8D"/>
    <w:rsid w:val="001B3EAB"/>
    <w:rsid w:val="001B566B"/>
    <w:rsid w:val="001C06A6"/>
    <w:rsid w:val="001C4953"/>
    <w:rsid w:val="001D3056"/>
    <w:rsid w:val="001E7013"/>
    <w:rsid w:val="001F1135"/>
    <w:rsid w:val="001F1C80"/>
    <w:rsid w:val="001F2EB5"/>
    <w:rsid w:val="001F56E3"/>
    <w:rsid w:val="00201D46"/>
    <w:rsid w:val="00203980"/>
    <w:rsid w:val="002077A6"/>
    <w:rsid w:val="00214B67"/>
    <w:rsid w:val="00234660"/>
    <w:rsid w:val="002449E8"/>
    <w:rsid w:val="00244A3D"/>
    <w:rsid w:val="0024632E"/>
    <w:rsid w:val="00246622"/>
    <w:rsid w:val="00261954"/>
    <w:rsid w:val="00270075"/>
    <w:rsid w:val="00293D9C"/>
    <w:rsid w:val="00295197"/>
    <w:rsid w:val="002978C4"/>
    <w:rsid w:val="002A07AB"/>
    <w:rsid w:val="002A1535"/>
    <w:rsid w:val="002A35EA"/>
    <w:rsid w:val="002A3EDD"/>
    <w:rsid w:val="002A5C61"/>
    <w:rsid w:val="002A7207"/>
    <w:rsid w:val="002B40DD"/>
    <w:rsid w:val="002B628E"/>
    <w:rsid w:val="002B7611"/>
    <w:rsid w:val="002C0462"/>
    <w:rsid w:val="002C26C6"/>
    <w:rsid w:val="002D250E"/>
    <w:rsid w:val="002D5CFF"/>
    <w:rsid w:val="002D7BC4"/>
    <w:rsid w:val="002E69DE"/>
    <w:rsid w:val="002F444D"/>
    <w:rsid w:val="002F4604"/>
    <w:rsid w:val="0030510F"/>
    <w:rsid w:val="00307FC4"/>
    <w:rsid w:val="00311BF3"/>
    <w:rsid w:val="003149E8"/>
    <w:rsid w:val="00315C0B"/>
    <w:rsid w:val="003174C5"/>
    <w:rsid w:val="003175CB"/>
    <w:rsid w:val="0033384E"/>
    <w:rsid w:val="00333955"/>
    <w:rsid w:val="00334BD2"/>
    <w:rsid w:val="0033570B"/>
    <w:rsid w:val="0035640A"/>
    <w:rsid w:val="003623F2"/>
    <w:rsid w:val="00362718"/>
    <w:rsid w:val="00371724"/>
    <w:rsid w:val="00371943"/>
    <w:rsid w:val="00374CC1"/>
    <w:rsid w:val="00383910"/>
    <w:rsid w:val="00385299"/>
    <w:rsid w:val="00391319"/>
    <w:rsid w:val="00391A2C"/>
    <w:rsid w:val="003A7D3B"/>
    <w:rsid w:val="003B1D32"/>
    <w:rsid w:val="003B5BCE"/>
    <w:rsid w:val="003D08F9"/>
    <w:rsid w:val="003E3C0F"/>
    <w:rsid w:val="003E5134"/>
    <w:rsid w:val="003F5B34"/>
    <w:rsid w:val="00401798"/>
    <w:rsid w:val="00401A72"/>
    <w:rsid w:val="004030DA"/>
    <w:rsid w:val="00422127"/>
    <w:rsid w:val="00427B19"/>
    <w:rsid w:val="004303D6"/>
    <w:rsid w:val="0044692A"/>
    <w:rsid w:val="0045114B"/>
    <w:rsid w:val="00453279"/>
    <w:rsid w:val="004752D4"/>
    <w:rsid w:val="00476C81"/>
    <w:rsid w:val="00480086"/>
    <w:rsid w:val="00480D89"/>
    <w:rsid w:val="004825D1"/>
    <w:rsid w:val="00483239"/>
    <w:rsid w:val="00484586"/>
    <w:rsid w:val="00493BB4"/>
    <w:rsid w:val="004956BB"/>
    <w:rsid w:val="00497645"/>
    <w:rsid w:val="004A4401"/>
    <w:rsid w:val="004B1137"/>
    <w:rsid w:val="004B3644"/>
    <w:rsid w:val="004D0D3D"/>
    <w:rsid w:val="004D1FCE"/>
    <w:rsid w:val="004D212F"/>
    <w:rsid w:val="004D7EAF"/>
    <w:rsid w:val="004E0791"/>
    <w:rsid w:val="004E18EA"/>
    <w:rsid w:val="004F4C05"/>
    <w:rsid w:val="00502548"/>
    <w:rsid w:val="00512181"/>
    <w:rsid w:val="00513299"/>
    <w:rsid w:val="00514CB7"/>
    <w:rsid w:val="005226AB"/>
    <w:rsid w:val="00524415"/>
    <w:rsid w:val="00527597"/>
    <w:rsid w:val="0053127B"/>
    <w:rsid w:val="00533D4A"/>
    <w:rsid w:val="0055299A"/>
    <w:rsid w:val="00554CA5"/>
    <w:rsid w:val="00557003"/>
    <w:rsid w:val="00564945"/>
    <w:rsid w:val="00565658"/>
    <w:rsid w:val="00575375"/>
    <w:rsid w:val="00575E2F"/>
    <w:rsid w:val="0057682D"/>
    <w:rsid w:val="00576FA7"/>
    <w:rsid w:val="00587314"/>
    <w:rsid w:val="005902BD"/>
    <w:rsid w:val="00596FE7"/>
    <w:rsid w:val="005A1E97"/>
    <w:rsid w:val="005A71CD"/>
    <w:rsid w:val="005B4A83"/>
    <w:rsid w:val="005C4FEB"/>
    <w:rsid w:val="005D12C9"/>
    <w:rsid w:val="005E2C37"/>
    <w:rsid w:val="005E552D"/>
    <w:rsid w:val="005F50E2"/>
    <w:rsid w:val="005F5977"/>
    <w:rsid w:val="005F6552"/>
    <w:rsid w:val="005F6A1C"/>
    <w:rsid w:val="00600651"/>
    <w:rsid w:val="006344D0"/>
    <w:rsid w:val="00643F88"/>
    <w:rsid w:val="0064741E"/>
    <w:rsid w:val="00661CAC"/>
    <w:rsid w:val="00663E41"/>
    <w:rsid w:val="006716D9"/>
    <w:rsid w:val="00680C8D"/>
    <w:rsid w:val="00690C18"/>
    <w:rsid w:val="00696887"/>
    <w:rsid w:val="006A4F45"/>
    <w:rsid w:val="006C1CED"/>
    <w:rsid w:val="006C7765"/>
    <w:rsid w:val="006D4460"/>
    <w:rsid w:val="006F1E97"/>
    <w:rsid w:val="006F3E0E"/>
    <w:rsid w:val="00705B6F"/>
    <w:rsid w:val="00716BA5"/>
    <w:rsid w:val="0072438C"/>
    <w:rsid w:val="00724E54"/>
    <w:rsid w:val="0073716C"/>
    <w:rsid w:val="00744BB4"/>
    <w:rsid w:val="0075194F"/>
    <w:rsid w:val="00756F47"/>
    <w:rsid w:val="00760B9A"/>
    <w:rsid w:val="007614F3"/>
    <w:rsid w:val="007668E1"/>
    <w:rsid w:val="00767B8B"/>
    <w:rsid w:val="00794A4F"/>
    <w:rsid w:val="007A423F"/>
    <w:rsid w:val="007A798E"/>
    <w:rsid w:val="007B0AA8"/>
    <w:rsid w:val="007B4408"/>
    <w:rsid w:val="007B4B5D"/>
    <w:rsid w:val="007C172D"/>
    <w:rsid w:val="007C25F7"/>
    <w:rsid w:val="007D0ABE"/>
    <w:rsid w:val="007D24E2"/>
    <w:rsid w:val="007F16C1"/>
    <w:rsid w:val="00802B68"/>
    <w:rsid w:val="00804563"/>
    <w:rsid w:val="00812111"/>
    <w:rsid w:val="00815FB6"/>
    <w:rsid w:val="00820DFC"/>
    <w:rsid w:val="00835CE1"/>
    <w:rsid w:val="00843692"/>
    <w:rsid w:val="008502A2"/>
    <w:rsid w:val="00853DE5"/>
    <w:rsid w:val="00865F1C"/>
    <w:rsid w:val="008748DD"/>
    <w:rsid w:val="00877B26"/>
    <w:rsid w:val="00882D6B"/>
    <w:rsid w:val="00883281"/>
    <w:rsid w:val="00891A1B"/>
    <w:rsid w:val="008A0062"/>
    <w:rsid w:val="008A0D0A"/>
    <w:rsid w:val="008A266B"/>
    <w:rsid w:val="008A3135"/>
    <w:rsid w:val="008B1219"/>
    <w:rsid w:val="008B694E"/>
    <w:rsid w:val="008C7277"/>
    <w:rsid w:val="008D0415"/>
    <w:rsid w:val="008E260E"/>
    <w:rsid w:val="008F605B"/>
    <w:rsid w:val="008F7733"/>
    <w:rsid w:val="009249AB"/>
    <w:rsid w:val="00927014"/>
    <w:rsid w:val="00932E9F"/>
    <w:rsid w:val="00943AFA"/>
    <w:rsid w:val="00950158"/>
    <w:rsid w:val="00962B8F"/>
    <w:rsid w:val="00962C20"/>
    <w:rsid w:val="00971E98"/>
    <w:rsid w:val="00972FD8"/>
    <w:rsid w:val="00975BBC"/>
    <w:rsid w:val="009A6B0E"/>
    <w:rsid w:val="009A6C8C"/>
    <w:rsid w:val="009B1276"/>
    <w:rsid w:val="009B765E"/>
    <w:rsid w:val="009C7E1C"/>
    <w:rsid w:val="009D0478"/>
    <w:rsid w:val="009D46ED"/>
    <w:rsid w:val="009D7120"/>
    <w:rsid w:val="009E1178"/>
    <w:rsid w:val="009E2FBC"/>
    <w:rsid w:val="00A11EC6"/>
    <w:rsid w:val="00A13A9E"/>
    <w:rsid w:val="00A230E8"/>
    <w:rsid w:val="00A23155"/>
    <w:rsid w:val="00A23991"/>
    <w:rsid w:val="00A32508"/>
    <w:rsid w:val="00A36151"/>
    <w:rsid w:val="00A4085E"/>
    <w:rsid w:val="00A41C14"/>
    <w:rsid w:val="00A43B5E"/>
    <w:rsid w:val="00A47827"/>
    <w:rsid w:val="00A5057D"/>
    <w:rsid w:val="00A531C7"/>
    <w:rsid w:val="00A62D33"/>
    <w:rsid w:val="00A65340"/>
    <w:rsid w:val="00A73919"/>
    <w:rsid w:val="00A75C9E"/>
    <w:rsid w:val="00A75CD5"/>
    <w:rsid w:val="00A76357"/>
    <w:rsid w:val="00A85922"/>
    <w:rsid w:val="00A861E5"/>
    <w:rsid w:val="00AC2010"/>
    <w:rsid w:val="00AE59BE"/>
    <w:rsid w:val="00B05523"/>
    <w:rsid w:val="00B07AD0"/>
    <w:rsid w:val="00B11AC6"/>
    <w:rsid w:val="00B124F9"/>
    <w:rsid w:val="00B33386"/>
    <w:rsid w:val="00B35667"/>
    <w:rsid w:val="00B42901"/>
    <w:rsid w:val="00B435B4"/>
    <w:rsid w:val="00B54F97"/>
    <w:rsid w:val="00B604E8"/>
    <w:rsid w:val="00B7011F"/>
    <w:rsid w:val="00B73586"/>
    <w:rsid w:val="00B847C4"/>
    <w:rsid w:val="00B86EC7"/>
    <w:rsid w:val="00B87423"/>
    <w:rsid w:val="00B959E5"/>
    <w:rsid w:val="00BA0F2E"/>
    <w:rsid w:val="00BA3FEE"/>
    <w:rsid w:val="00BB12F2"/>
    <w:rsid w:val="00BB2017"/>
    <w:rsid w:val="00BB21B3"/>
    <w:rsid w:val="00BB2EF4"/>
    <w:rsid w:val="00BC496C"/>
    <w:rsid w:val="00BC6363"/>
    <w:rsid w:val="00BD6375"/>
    <w:rsid w:val="00BD73D6"/>
    <w:rsid w:val="00BE702A"/>
    <w:rsid w:val="00BF0914"/>
    <w:rsid w:val="00C00734"/>
    <w:rsid w:val="00C264BC"/>
    <w:rsid w:val="00C27CAC"/>
    <w:rsid w:val="00C27D4B"/>
    <w:rsid w:val="00C36372"/>
    <w:rsid w:val="00C41136"/>
    <w:rsid w:val="00C55C73"/>
    <w:rsid w:val="00C66989"/>
    <w:rsid w:val="00C66CDE"/>
    <w:rsid w:val="00C72CF9"/>
    <w:rsid w:val="00C7741A"/>
    <w:rsid w:val="00C85609"/>
    <w:rsid w:val="00C871DB"/>
    <w:rsid w:val="00C87206"/>
    <w:rsid w:val="00C873E0"/>
    <w:rsid w:val="00CA12A1"/>
    <w:rsid w:val="00CB2706"/>
    <w:rsid w:val="00CB6B52"/>
    <w:rsid w:val="00CC2CB5"/>
    <w:rsid w:val="00CD3AD5"/>
    <w:rsid w:val="00CE488A"/>
    <w:rsid w:val="00CF567B"/>
    <w:rsid w:val="00D10A2F"/>
    <w:rsid w:val="00D23C8D"/>
    <w:rsid w:val="00D339ED"/>
    <w:rsid w:val="00D34F57"/>
    <w:rsid w:val="00D43485"/>
    <w:rsid w:val="00D5224B"/>
    <w:rsid w:val="00D611AF"/>
    <w:rsid w:val="00D65A35"/>
    <w:rsid w:val="00D70EFB"/>
    <w:rsid w:val="00D83C64"/>
    <w:rsid w:val="00D84084"/>
    <w:rsid w:val="00D90F00"/>
    <w:rsid w:val="00D916AD"/>
    <w:rsid w:val="00D9278E"/>
    <w:rsid w:val="00DA3730"/>
    <w:rsid w:val="00DA7639"/>
    <w:rsid w:val="00DB027E"/>
    <w:rsid w:val="00DB1DC5"/>
    <w:rsid w:val="00DB70CE"/>
    <w:rsid w:val="00DC1C06"/>
    <w:rsid w:val="00DE40D2"/>
    <w:rsid w:val="00DE7DF5"/>
    <w:rsid w:val="00E00454"/>
    <w:rsid w:val="00E01BB7"/>
    <w:rsid w:val="00E17843"/>
    <w:rsid w:val="00E21AC6"/>
    <w:rsid w:val="00E243A6"/>
    <w:rsid w:val="00E277F1"/>
    <w:rsid w:val="00E30232"/>
    <w:rsid w:val="00E45EA8"/>
    <w:rsid w:val="00E5696F"/>
    <w:rsid w:val="00E56AE2"/>
    <w:rsid w:val="00E62BCB"/>
    <w:rsid w:val="00E654DC"/>
    <w:rsid w:val="00E74D92"/>
    <w:rsid w:val="00E83176"/>
    <w:rsid w:val="00E85C0B"/>
    <w:rsid w:val="00E86246"/>
    <w:rsid w:val="00E87596"/>
    <w:rsid w:val="00E91561"/>
    <w:rsid w:val="00E9289F"/>
    <w:rsid w:val="00E95DB4"/>
    <w:rsid w:val="00E97527"/>
    <w:rsid w:val="00EA3786"/>
    <w:rsid w:val="00EA56BF"/>
    <w:rsid w:val="00EB2CD4"/>
    <w:rsid w:val="00EB5BC1"/>
    <w:rsid w:val="00EC0961"/>
    <w:rsid w:val="00EC5B0B"/>
    <w:rsid w:val="00ED774D"/>
    <w:rsid w:val="00EE102D"/>
    <w:rsid w:val="00EE70B1"/>
    <w:rsid w:val="00EF0177"/>
    <w:rsid w:val="00EF07AA"/>
    <w:rsid w:val="00EF1D4D"/>
    <w:rsid w:val="00F005CB"/>
    <w:rsid w:val="00F23506"/>
    <w:rsid w:val="00F27EBC"/>
    <w:rsid w:val="00F34202"/>
    <w:rsid w:val="00F351E3"/>
    <w:rsid w:val="00F459B4"/>
    <w:rsid w:val="00F717B9"/>
    <w:rsid w:val="00F75AF6"/>
    <w:rsid w:val="00F80039"/>
    <w:rsid w:val="00FA02A0"/>
    <w:rsid w:val="00FA4EC2"/>
    <w:rsid w:val="00FB0CE8"/>
    <w:rsid w:val="00FB0F0B"/>
    <w:rsid w:val="00FC03B0"/>
    <w:rsid w:val="00FC184D"/>
    <w:rsid w:val="00FC5406"/>
    <w:rsid w:val="00FD2520"/>
    <w:rsid w:val="00FE7A48"/>
    <w:rsid w:val="00FF4A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3BB4"/>
    <w:pPr>
      <w:ind w:left="720"/>
      <w:contextualSpacing/>
    </w:pPr>
    <w:rPr>
      <w:rFonts w:eastAsiaTheme="minorEastAsia"/>
      <w:lang w:val="en-US" w:eastAsia="ja-JP"/>
    </w:rPr>
  </w:style>
  <w:style w:type="character" w:customStyle="1" w:styleId="ListParagraphChar">
    <w:name w:val="List Paragraph Char"/>
    <w:link w:val="ListParagraph"/>
    <w:uiPriority w:val="34"/>
    <w:rsid w:val="00493BB4"/>
    <w:rPr>
      <w:rFonts w:eastAsiaTheme="minorEastAsia"/>
      <w:lang w:val="en-US" w:eastAsia="ja-JP"/>
    </w:rPr>
  </w:style>
  <w:style w:type="character" w:styleId="Hyperlink">
    <w:name w:val="Hyperlink"/>
    <w:basedOn w:val="DefaultParagraphFont"/>
    <w:uiPriority w:val="99"/>
    <w:unhideWhenUsed/>
    <w:rsid w:val="00A36151"/>
    <w:rPr>
      <w:color w:val="0563C1" w:themeColor="hyperlink"/>
      <w:u w:val="single"/>
    </w:rPr>
  </w:style>
  <w:style w:type="character" w:styleId="FollowedHyperlink">
    <w:name w:val="FollowedHyperlink"/>
    <w:basedOn w:val="DefaultParagraphFont"/>
    <w:uiPriority w:val="99"/>
    <w:semiHidden/>
    <w:unhideWhenUsed/>
    <w:rsid w:val="005226AB"/>
    <w:rPr>
      <w:color w:val="954F72" w:themeColor="followedHyperlink"/>
      <w:u w:val="single"/>
    </w:rPr>
  </w:style>
  <w:style w:type="paragraph" w:styleId="EndnoteText">
    <w:name w:val="endnote text"/>
    <w:basedOn w:val="Normal"/>
    <w:link w:val="EndnoteTextChar"/>
    <w:uiPriority w:val="99"/>
    <w:semiHidden/>
    <w:unhideWhenUsed/>
    <w:rsid w:val="00311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1BF3"/>
    <w:rPr>
      <w:sz w:val="20"/>
      <w:szCs w:val="20"/>
    </w:rPr>
  </w:style>
  <w:style w:type="character" w:styleId="EndnoteReference">
    <w:name w:val="endnote reference"/>
    <w:basedOn w:val="DefaultParagraphFont"/>
    <w:uiPriority w:val="99"/>
    <w:semiHidden/>
    <w:unhideWhenUsed/>
    <w:rsid w:val="00311BF3"/>
    <w:rPr>
      <w:vertAlign w:val="superscript"/>
    </w:rPr>
  </w:style>
  <w:style w:type="character" w:customStyle="1" w:styleId="citation">
    <w:name w:val="citation"/>
    <w:basedOn w:val="DefaultParagraphFont"/>
    <w:rsid w:val="00B07AD0"/>
  </w:style>
  <w:style w:type="paragraph" w:styleId="BalloonText">
    <w:name w:val="Balloon Text"/>
    <w:basedOn w:val="Normal"/>
    <w:link w:val="BalloonTextChar"/>
    <w:uiPriority w:val="99"/>
    <w:semiHidden/>
    <w:unhideWhenUsed/>
    <w:rsid w:val="00B43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5B4"/>
    <w:rPr>
      <w:rFonts w:ascii="Segoe UI" w:hAnsi="Segoe UI" w:cs="Segoe UI"/>
      <w:sz w:val="18"/>
      <w:szCs w:val="18"/>
    </w:rPr>
  </w:style>
  <w:style w:type="paragraph" w:styleId="FootnoteText">
    <w:name w:val="footnote text"/>
    <w:basedOn w:val="Normal"/>
    <w:link w:val="FootnoteTextChar"/>
    <w:uiPriority w:val="99"/>
    <w:semiHidden/>
    <w:unhideWhenUsed/>
    <w:rsid w:val="008502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2A2"/>
    <w:rPr>
      <w:sz w:val="20"/>
      <w:szCs w:val="20"/>
    </w:rPr>
  </w:style>
  <w:style w:type="character" w:styleId="FootnoteReference">
    <w:name w:val="footnote reference"/>
    <w:basedOn w:val="DefaultParagraphFont"/>
    <w:uiPriority w:val="99"/>
    <w:semiHidden/>
    <w:unhideWhenUsed/>
    <w:rsid w:val="008502A2"/>
    <w:rPr>
      <w:vertAlign w:val="superscript"/>
    </w:rPr>
  </w:style>
  <w:style w:type="character" w:styleId="CommentReference">
    <w:name w:val="annotation reference"/>
    <w:basedOn w:val="DefaultParagraphFont"/>
    <w:uiPriority w:val="99"/>
    <w:semiHidden/>
    <w:unhideWhenUsed/>
    <w:rsid w:val="001C4953"/>
    <w:rPr>
      <w:sz w:val="16"/>
      <w:szCs w:val="16"/>
    </w:rPr>
  </w:style>
  <w:style w:type="paragraph" w:styleId="CommentText">
    <w:name w:val="annotation text"/>
    <w:basedOn w:val="Normal"/>
    <w:link w:val="CommentTextChar"/>
    <w:uiPriority w:val="99"/>
    <w:semiHidden/>
    <w:unhideWhenUsed/>
    <w:rsid w:val="001C4953"/>
    <w:pPr>
      <w:spacing w:line="240" w:lineRule="auto"/>
    </w:pPr>
    <w:rPr>
      <w:sz w:val="20"/>
      <w:szCs w:val="20"/>
    </w:rPr>
  </w:style>
  <w:style w:type="character" w:customStyle="1" w:styleId="CommentTextChar">
    <w:name w:val="Comment Text Char"/>
    <w:basedOn w:val="DefaultParagraphFont"/>
    <w:link w:val="CommentText"/>
    <w:uiPriority w:val="99"/>
    <w:semiHidden/>
    <w:rsid w:val="001C4953"/>
    <w:rPr>
      <w:sz w:val="20"/>
      <w:szCs w:val="20"/>
    </w:rPr>
  </w:style>
  <w:style w:type="paragraph" w:styleId="CommentSubject">
    <w:name w:val="annotation subject"/>
    <w:basedOn w:val="CommentText"/>
    <w:next w:val="CommentText"/>
    <w:link w:val="CommentSubjectChar"/>
    <w:uiPriority w:val="99"/>
    <w:semiHidden/>
    <w:unhideWhenUsed/>
    <w:rsid w:val="001C4953"/>
    <w:rPr>
      <w:b/>
      <w:bCs/>
    </w:rPr>
  </w:style>
  <w:style w:type="character" w:customStyle="1" w:styleId="CommentSubjectChar">
    <w:name w:val="Comment Subject Char"/>
    <w:basedOn w:val="CommentTextChar"/>
    <w:link w:val="CommentSubject"/>
    <w:uiPriority w:val="99"/>
    <w:semiHidden/>
    <w:rsid w:val="001C4953"/>
    <w:rPr>
      <w:b/>
      <w:bCs/>
      <w:sz w:val="20"/>
      <w:szCs w:val="20"/>
    </w:rPr>
  </w:style>
  <w:style w:type="paragraph" w:styleId="Header">
    <w:name w:val="header"/>
    <w:basedOn w:val="Normal"/>
    <w:link w:val="HeaderChar"/>
    <w:uiPriority w:val="99"/>
    <w:unhideWhenUsed/>
    <w:rsid w:val="00744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BB4"/>
  </w:style>
  <w:style w:type="paragraph" w:styleId="Footer">
    <w:name w:val="footer"/>
    <w:basedOn w:val="Normal"/>
    <w:link w:val="FooterChar"/>
    <w:uiPriority w:val="99"/>
    <w:unhideWhenUsed/>
    <w:rsid w:val="00744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BB4"/>
  </w:style>
  <w:style w:type="paragraph" w:styleId="NormalWeb">
    <w:name w:val="Normal (Web)"/>
    <w:basedOn w:val="Normal"/>
    <w:uiPriority w:val="99"/>
    <w:unhideWhenUsed/>
    <w:rsid w:val="00A230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93D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72374">
      <w:bodyDiv w:val="1"/>
      <w:marLeft w:val="0"/>
      <w:marRight w:val="0"/>
      <w:marTop w:val="0"/>
      <w:marBottom w:val="0"/>
      <w:divBdr>
        <w:top w:val="none" w:sz="0" w:space="0" w:color="auto"/>
        <w:left w:val="none" w:sz="0" w:space="0" w:color="auto"/>
        <w:bottom w:val="none" w:sz="0" w:space="0" w:color="auto"/>
        <w:right w:val="none" w:sz="0" w:space="0" w:color="auto"/>
      </w:divBdr>
    </w:div>
    <w:div w:id="313608020">
      <w:bodyDiv w:val="1"/>
      <w:marLeft w:val="0"/>
      <w:marRight w:val="0"/>
      <w:marTop w:val="0"/>
      <w:marBottom w:val="0"/>
      <w:divBdr>
        <w:top w:val="none" w:sz="0" w:space="0" w:color="auto"/>
        <w:left w:val="none" w:sz="0" w:space="0" w:color="auto"/>
        <w:bottom w:val="none" w:sz="0" w:space="0" w:color="auto"/>
        <w:right w:val="none" w:sz="0" w:space="0" w:color="auto"/>
      </w:divBdr>
    </w:div>
    <w:div w:id="483394550">
      <w:bodyDiv w:val="1"/>
      <w:marLeft w:val="0"/>
      <w:marRight w:val="0"/>
      <w:marTop w:val="0"/>
      <w:marBottom w:val="0"/>
      <w:divBdr>
        <w:top w:val="none" w:sz="0" w:space="0" w:color="auto"/>
        <w:left w:val="none" w:sz="0" w:space="0" w:color="auto"/>
        <w:bottom w:val="none" w:sz="0" w:space="0" w:color="auto"/>
        <w:right w:val="none" w:sz="0" w:space="0" w:color="auto"/>
      </w:divBdr>
    </w:div>
    <w:div w:id="1259144873">
      <w:bodyDiv w:val="1"/>
      <w:marLeft w:val="0"/>
      <w:marRight w:val="0"/>
      <w:marTop w:val="0"/>
      <w:marBottom w:val="0"/>
      <w:divBdr>
        <w:top w:val="none" w:sz="0" w:space="0" w:color="auto"/>
        <w:left w:val="none" w:sz="0" w:space="0" w:color="auto"/>
        <w:bottom w:val="none" w:sz="0" w:space="0" w:color="auto"/>
        <w:right w:val="none" w:sz="0" w:space="0" w:color="auto"/>
      </w:divBdr>
    </w:div>
    <w:div w:id="1261766479">
      <w:bodyDiv w:val="1"/>
      <w:marLeft w:val="0"/>
      <w:marRight w:val="0"/>
      <w:marTop w:val="0"/>
      <w:marBottom w:val="0"/>
      <w:divBdr>
        <w:top w:val="none" w:sz="0" w:space="0" w:color="auto"/>
        <w:left w:val="none" w:sz="0" w:space="0" w:color="auto"/>
        <w:bottom w:val="none" w:sz="0" w:space="0" w:color="auto"/>
        <w:right w:val="none" w:sz="0" w:space="0" w:color="auto"/>
      </w:divBdr>
    </w:div>
    <w:div w:id="1349140959">
      <w:bodyDiv w:val="1"/>
      <w:marLeft w:val="0"/>
      <w:marRight w:val="0"/>
      <w:marTop w:val="0"/>
      <w:marBottom w:val="0"/>
      <w:divBdr>
        <w:top w:val="none" w:sz="0" w:space="0" w:color="auto"/>
        <w:left w:val="none" w:sz="0" w:space="0" w:color="auto"/>
        <w:bottom w:val="none" w:sz="0" w:space="0" w:color="auto"/>
        <w:right w:val="none" w:sz="0" w:space="0" w:color="auto"/>
      </w:divBdr>
    </w:div>
    <w:div w:id="1432970578">
      <w:bodyDiv w:val="1"/>
      <w:marLeft w:val="0"/>
      <w:marRight w:val="0"/>
      <w:marTop w:val="0"/>
      <w:marBottom w:val="0"/>
      <w:divBdr>
        <w:top w:val="none" w:sz="0" w:space="0" w:color="auto"/>
        <w:left w:val="none" w:sz="0" w:space="0" w:color="auto"/>
        <w:bottom w:val="none" w:sz="0" w:space="0" w:color="auto"/>
        <w:right w:val="none" w:sz="0" w:space="0" w:color="auto"/>
      </w:divBdr>
    </w:div>
    <w:div w:id="1484851546">
      <w:bodyDiv w:val="1"/>
      <w:marLeft w:val="0"/>
      <w:marRight w:val="0"/>
      <w:marTop w:val="0"/>
      <w:marBottom w:val="0"/>
      <w:divBdr>
        <w:top w:val="none" w:sz="0" w:space="0" w:color="auto"/>
        <w:left w:val="none" w:sz="0" w:space="0" w:color="auto"/>
        <w:bottom w:val="none" w:sz="0" w:space="0" w:color="auto"/>
        <w:right w:val="none" w:sz="0" w:space="0" w:color="auto"/>
      </w:divBdr>
    </w:div>
    <w:div w:id="1609971227">
      <w:bodyDiv w:val="1"/>
      <w:marLeft w:val="0"/>
      <w:marRight w:val="0"/>
      <w:marTop w:val="0"/>
      <w:marBottom w:val="0"/>
      <w:divBdr>
        <w:top w:val="none" w:sz="0" w:space="0" w:color="auto"/>
        <w:left w:val="none" w:sz="0" w:space="0" w:color="auto"/>
        <w:bottom w:val="none" w:sz="0" w:space="0" w:color="auto"/>
        <w:right w:val="none" w:sz="0" w:space="0" w:color="auto"/>
      </w:divBdr>
    </w:div>
    <w:div w:id="16672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rcprensky.com/writing/Prensky%20-%20Digital%20Natives,%20Digital%20Immigrants%20-%20Part1.pdf" TargetMode="External"/><Relationship Id="rId13" Type="http://schemas.openxmlformats.org/officeDocument/2006/relationships/hyperlink" Target="http://www.northumbriajournals.co.uk/index.php/ijcle/issue/view/6" TargetMode="External"/><Relationship Id="rId18" Type="http://schemas.openxmlformats.org/officeDocument/2006/relationships/hyperlink" Target="http://journals.northumbria.ac.uk/index.php/ijcle/article/view/693" TargetMode="External"/><Relationship Id="rId3" Type="http://schemas.openxmlformats.org/officeDocument/2006/relationships/hyperlink" Target="https://www.ulster.ac.uk/__data/assets/pdf_file/0003/132654/Access-to-Justice-through-Uni-Law-Clinics-November-2015.pdf" TargetMode="External"/><Relationship Id="rId7" Type="http://schemas.openxmlformats.org/officeDocument/2006/relationships/hyperlink" Target="https://gdpr-info.eu/" TargetMode="External"/><Relationship Id="rId12" Type="http://schemas.openxmlformats.org/officeDocument/2006/relationships/hyperlink" Target="https://www.researchgate.net/publication/321878476_'Reflections_on_Practice_and_Recent_Research_to_Enable_Future_Practitioners_to_Learn_About_Working_Collaboratively_Across_Disciplines_to_Better_Help_the_Community'_Vol_12_No_1_Autumn_2017_Journal_of_C" TargetMode="External"/><Relationship Id="rId17" Type="http://schemas.openxmlformats.org/officeDocument/2006/relationships/hyperlink" Target="https://www.gov.uk/government/news/new-relationships-and-health-education-in-schools" TargetMode="External"/><Relationship Id="rId2" Type="http://schemas.openxmlformats.org/officeDocument/2006/relationships/hyperlink" Target="https://eric.ed.gov/?id=ED390758" TargetMode="External"/><Relationship Id="rId16" Type="http://schemas.openxmlformats.org/officeDocument/2006/relationships/hyperlink" Target="https://www.gov.uk/government/publications/post-implementation-review-of-part-1-of-laspo" TargetMode="External"/><Relationship Id="rId1" Type="http://schemas.openxmlformats.org/officeDocument/2006/relationships/hyperlink" Target="http://www.cleo-uk.org/product/national-pro-bono-week-volunteer-bring-law-life-local-school/" TargetMode="External"/><Relationship Id="rId6" Type="http://schemas.openxmlformats.org/officeDocument/2006/relationships/hyperlink" Target="https://www.researchgate.net/publication/239536801_Nurturing_Collaborative_Relations_Building_Trust_in_Interorganizational_Collaboration" TargetMode="External"/><Relationship Id="rId11" Type="http://schemas.openxmlformats.org/officeDocument/2006/relationships/hyperlink" Target="https://researchers.anu.edu.au/publications/137931" TargetMode="External"/><Relationship Id="rId5" Type="http://schemas.openxmlformats.org/officeDocument/2006/relationships/hyperlink" Target="https://www.ncbi.nlm.nih.gov/pmc/articles/PMC4360764/" TargetMode="External"/><Relationship Id="rId15" Type="http://schemas.openxmlformats.org/officeDocument/2006/relationships/hyperlink" Target="https://www.ucl.ac.uk/access-to-justice/sites/access-to-justice/files/hjp_workshop_background_materials_and_event_report_2.pdf" TargetMode="External"/><Relationship Id="rId10" Type="http://schemas.openxmlformats.org/officeDocument/2006/relationships/hyperlink" Target="https://www.citizensadvice.org.uk/about-us/difference-we-make/impact-of-citizens-advice-service/all-our-impact/" TargetMode="External"/><Relationship Id="rId19" Type="http://schemas.openxmlformats.org/officeDocument/2006/relationships/hyperlink" Target="http://www.northumbriajournals.co.uk/index.php/ijcle/article/view/693" TargetMode="External"/><Relationship Id="rId4" Type="http://schemas.openxmlformats.org/officeDocument/2006/relationships/hyperlink" Target="https://www.lawworks.org.uk/about-us/news/public-legal-education-new-vision-statement" TargetMode="External"/><Relationship Id="rId9" Type="http://schemas.openxmlformats.org/officeDocument/2006/relationships/hyperlink" Target="https://hbr.org/2010/03/the-right-way-to-collaborate-i.html" TargetMode="External"/><Relationship Id="rId14" Type="http://schemas.openxmlformats.org/officeDocument/2006/relationships/hyperlink" Target="http://www.northumbriajournals.co.uk/index.php/ijcle/article/view/8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993B2-0440-444F-A464-CB17BE28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4937</Words>
  <Characters>25085</Characters>
  <Application>Microsoft Office Word</Application>
  <DocSecurity>0</DocSecurity>
  <Lines>404</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2019-05-31T11:35:00Z</dcterms:created>
  <dcterms:modified xsi:type="dcterms:W3CDTF">2019-05-31T11:35:00Z</dcterms:modified>
</cp:coreProperties>
</file>