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96B" w:rsidRDefault="00930BF0" w:rsidP="00ED39BA">
      <w:pPr>
        <w:jc w:val="both"/>
        <w:rPr>
          <w:sz w:val="56"/>
          <w:szCs w:val="56"/>
        </w:rPr>
      </w:pPr>
      <w:bookmarkStart w:id="0" w:name="_GoBack"/>
      <w:bookmarkEnd w:id="0"/>
      <w:r w:rsidRPr="00930BF0">
        <w:rPr>
          <w:sz w:val="56"/>
          <w:szCs w:val="56"/>
        </w:rPr>
        <w:t>A student right of audience? Implications of law students appearing in court</w:t>
      </w:r>
    </w:p>
    <w:p w:rsidR="00930BF0" w:rsidRPr="00930BF0" w:rsidRDefault="00930BF0" w:rsidP="00ED39BA">
      <w:pPr>
        <w:jc w:val="both"/>
        <w:rPr>
          <w:b/>
        </w:rPr>
      </w:pPr>
      <w:r>
        <w:rPr>
          <w:b/>
        </w:rPr>
        <w:t>Susan Campbell</w:t>
      </w:r>
      <w:r>
        <w:rPr>
          <w:rStyle w:val="FootnoteReference"/>
          <w:b/>
        </w:rPr>
        <w:footnoteReference w:customMarkFollows="1" w:id="1"/>
        <w:t>*</w:t>
      </w:r>
    </w:p>
    <w:p w:rsidR="00930BF0" w:rsidRPr="008E58D7" w:rsidRDefault="00930BF0" w:rsidP="00ED39BA">
      <w:pPr>
        <w:jc w:val="both"/>
        <w:rPr>
          <w:i/>
        </w:rPr>
      </w:pPr>
      <w:r w:rsidRPr="008E58D7">
        <w:rPr>
          <w:i/>
        </w:rPr>
        <w:t>This article examines the policy considerations underlying the common law limitation of the right of audience in the courts to professionally qualified and regulated advocates. It discusses the program conducted by Monash University in Australia whereby law students regularly represent their clients in court and analyses the safeguards built into this program in an attempt to meet those policy considerations. Finally the article looks briefly at the intriguing question of whether student advocates might be immune from liability for negligence, since that immunity still applies in Australia.</w:t>
      </w:r>
    </w:p>
    <w:p w:rsidR="00930BF0" w:rsidRDefault="00930BF0" w:rsidP="00ED39BA">
      <w:pPr>
        <w:jc w:val="both"/>
        <w:rPr>
          <w:b/>
        </w:rPr>
      </w:pPr>
      <w:r w:rsidRPr="00930BF0">
        <w:rPr>
          <w:b/>
        </w:rPr>
        <w:t>PART I  The common law right of audience</w:t>
      </w:r>
    </w:p>
    <w:p w:rsidR="00930BF0" w:rsidRDefault="00930BF0" w:rsidP="00ED39BA">
      <w:pPr>
        <w:jc w:val="both"/>
      </w:pPr>
      <w:r w:rsidRPr="00930BF0">
        <w:t>The common law principle that only professionally qualified lawyers are entitled to represent litigants in court is deeply embedded in English and Australian lega</w:t>
      </w:r>
      <w:r>
        <w:t>l consciousness. Judith Dickson</w:t>
      </w:r>
      <w:r>
        <w:rPr>
          <w:rStyle w:val="FootnoteReference"/>
        </w:rPr>
        <w:footnoteReference w:id="2"/>
      </w:r>
      <w:r w:rsidRPr="00930BF0">
        <w:t xml:space="preserve"> has traced the origins of this principle back as early as the late fourteenth century but contemporary courts in both jurisdictions usually begin a discussion of the principle wit</w:t>
      </w:r>
      <w:r>
        <w:t xml:space="preserve">h reference to </w:t>
      </w:r>
      <w:r w:rsidRPr="0060224F">
        <w:rPr>
          <w:i/>
        </w:rPr>
        <w:t>Collier v Hicks</w:t>
      </w:r>
      <w:r>
        <w:rPr>
          <w:rStyle w:val="FootnoteReference"/>
        </w:rPr>
        <w:footnoteReference w:id="3"/>
      </w:r>
      <w:r>
        <w:t xml:space="preserve"> </w:t>
      </w:r>
      <w:r w:rsidRPr="00930BF0">
        <w:t>where Lord Tenterden CJ said “the Superior Courts do not allow every person to interfere in the proceedings as an advocate but confine that privilege to gentlemen admitted to the Bar by the members of one of the Inns of Court”</w:t>
      </w:r>
      <w:r>
        <w:rPr>
          <w:rStyle w:val="FootnoteReference"/>
        </w:rPr>
        <w:footnoteReference w:id="4"/>
      </w:r>
      <w:r w:rsidRPr="00930BF0">
        <w:t xml:space="preserve"> and Parke J referred to the “ancient usage” whereby “persons of a particular class are allowed to prac</w:t>
      </w:r>
      <w:r>
        <w:t>tise as advocates”.</w:t>
      </w:r>
      <w:r>
        <w:rPr>
          <w:rStyle w:val="FootnoteReference"/>
        </w:rPr>
        <w:footnoteReference w:id="5"/>
      </w:r>
    </w:p>
    <w:p w:rsidR="00930BF0" w:rsidRDefault="00930BF0" w:rsidP="00ED39BA">
      <w:pPr>
        <w:jc w:val="both"/>
      </w:pPr>
      <w:r w:rsidRPr="00930BF0">
        <w:t xml:space="preserve">A snapshot of cases across the succeeding one hundred and seventy years shows the courts upholding this principle without question. In </w:t>
      </w:r>
      <w:r w:rsidRPr="0060224F">
        <w:rPr>
          <w:i/>
        </w:rPr>
        <w:t xml:space="preserve">Tritonia Ltd v Equity </w:t>
      </w:r>
      <w:r w:rsidR="00CB3631" w:rsidRPr="0060224F">
        <w:rPr>
          <w:i/>
        </w:rPr>
        <w:t>and Law Life Assurance Society</w:t>
      </w:r>
      <w:r w:rsidR="00CB3631">
        <w:rPr>
          <w:rStyle w:val="FootnoteReference"/>
        </w:rPr>
        <w:footnoteReference w:id="6"/>
      </w:r>
      <w:r w:rsidR="00CB3631">
        <w:t xml:space="preserve"> </w:t>
      </w:r>
      <w:r w:rsidRPr="00930BF0">
        <w:t>Viscount Simon LC referred to the rule “limiting a right of audience on behalf of others to</w:t>
      </w:r>
      <w:r w:rsidR="00610C75">
        <w:t xml:space="preserve"> </w:t>
      </w:r>
      <w:r w:rsidR="00610C75" w:rsidRPr="00610C75">
        <w:t>members of the English or S</w:t>
      </w:r>
      <w:r w:rsidR="00610C75">
        <w:t>cottish or Northern Irish Bars”</w:t>
      </w:r>
      <w:r w:rsidR="00610C75">
        <w:rPr>
          <w:rStyle w:val="FootnoteReference"/>
        </w:rPr>
        <w:footnoteReference w:id="7"/>
      </w:r>
      <w:r w:rsidR="00610C75" w:rsidRPr="00610C75">
        <w:t xml:space="preserve"> and in Abse v Smith</w:t>
      </w:r>
      <w:r w:rsidR="00610C75">
        <w:rPr>
          <w:rStyle w:val="FootnoteReference"/>
        </w:rPr>
        <w:footnoteReference w:id="8"/>
      </w:r>
      <w:r w:rsidR="00610C75" w:rsidRPr="00610C75">
        <w:t xml:space="preserve"> Lord Donaldson MR went so far as to say “Limitation of the categories of persons whom courts are prepared to hear as advocates </w:t>
      </w:r>
      <w:r w:rsidR="00610C75" w:rsidRPr="00610C75">
        <w:lastRenderedPageBreak/>
        <w:t xml:space="preserve">for parties to proceedings before them is, so far as I know, a feature of all developed systems for </w:t>
      </w:r>
      <w:r w:rsidR="00610C75">
        <w:t>the administration of justice.”</w:t>
      </w:r>
      <w:r w:rsidR="00610C75">
        <w:rPr>
          <w:rStyle w:val="FootnoteReference"/>
        </w:rPr>
        <w:footnoteReference w:id="9"/>
      </w:r>
    </w:p>
    <w:p w:rsidR="00610C75" w:rsidRDefault="00610C75" w:rsidP="00ED39BA">
      <w:pPr>
        <w:jc w:val="both"/>
      </w:pPr>
      <w:r w:rsidRPr="00610C75">
        <w:t>In Australia both State and Federal courts have unhesitatingly applied the principle, the most recent example being the decision of the New South Wales Court o</w:t>
      </w:r>
      <w:r>
        <w:t xml:space="preserve">f Appeal in </w:t>
      </w:r>
      <w:r w:rsidRPr="00ED4DF4">
        <w:rPr>
          <w:i/>
        </w:rPr>
        <w:t>Damjanovic v Maley</w:t>
      </w:r>
      <w:r>
        <w:t>.</w:t>
      </w:r>
      <w:r>
        <w:rPr>
          <w:rStyle w:val="FootnoteReference"/>
        </w:rPr>
        <w:footnoteReference w:id="10"/>
      </w:r>
    </w:p>
    <w:p w:rsidR="00610C75" w:rsidRDefault="00610C75" w:rsidP="00ED39BA">
      <w:pPr>
        <w:jc w:val="both"/>
      </w:pPr>
      <w:r w:rsidRPr="00610C75">
        <w:t xml:space="preserve">The emergence in the 1970’s of the concept of the “McKenzie friend” might be thought to have represented an inroad into the profession’s monopoly on the right of audience. However it is clear from McKenzie and subsequent cases that the role of a McKenzie friend does not include the right to address the </w:t>
      </w:r>
      <w:r>
        <w:t xml:space="preserve">court. In </w:t>
      </w:r>
      <w:r w:rsidRPr="00ED4DF4">
        <w:rPr>
          <w:i/>
        </w:rPr>
        <w:t>McKenzie v McKenzie</w:t>
      </w:r>
      <w:r>
        <w:t xml:space="preserve"> </w:t>
      </w:r>
      <w:r>
        <w:rPr>
          <w:rStyle w:val="FootnoteReference"/>
        </w:rPr>
        <w:footnoteReference w:id="11"/>
      </w:r>
      <w:r>
        <w:t>itself Davies LJ</w:t>
      </w:r>
      <w:r>
        <w:rPr>
          <w:rStyle w:val="FootnoteReference"/>
        </w:rPr>
        <w:footnoteReference w:id="12"/>
      </w:r>
      <w:r w:rsidRPr="00610C75">
        <w:t xml:space="preserve"> quoted the words of Lord Tenterden CJ in Collier v Hicks that any one may attend court “as a friend of either party, may take notes, may quietly make suggestions, and give advice but no one can demand to take part in th</w:t>
      </w:r>
      <w:r>
        <w:t>e proceedings as an advocate.”</w:t>
      </w:r>
      <w:r>
        <w:rPr>
          <w:rStyle w:val="FootnoteReference"/>
        </w:rPr>
        <w:footnoteReference w:id="13"/>
      </w:r>
    </w:p>
    <w:p w:rsidR="00610C75" w:rsidRDefault="00610C75" w:rsidP="00ED39BA">
      <w:pPr>
        <w:jc w:val="both"/>
      </w:pPr>
      <w:r w:rsidRPr="00610C75">
        <w:t xml:space="preserve">Recent English cases (which may reflect a trend toward the increasing use of lay advocates) reinforce the limits on the activities of a McKenzie friend. They go on to assert a court’s power to control and if necessary to banish a McKenzie friend whose conduct disrupts the proceedings. In </w:t>
      </w:r>
      <w:r w:rsidRPr="00ED4DF4">
        <w:rPr>
          <w:i/>
        </w:rPr>
        <w:t>R v Bow County Court ex p Pelling</w:t>
      </w:r>
      <w:r>
        <w:rPr>
          <w:rStyle w:val="FootnoteReference"/>
        </w:rPr>
        <w:footnoteReference w:id="14"/>
      </w:r>
      <w:r w:rsidRPr="00610C75">
        <w:t xml:space="preserve"> Lord Woolf gave as an example the friend indirectly running the case and using the litigant as a puppet. Staughton LJ in </w:t>
      </w:r>
      <w:r w:rsidRPr="00ED4DF4">
        <w:rPr>
          <w:i/>
        </w:rPr>
        <w:t>R v Leicester City Justices ex p Barrow</w:t>
      </w:r>
      <w:r>
        <w:rPr>
          <w:rStyle w:val="FootnoteReference"/>
        </w:rPr>
        <w:footnoteReference w:id="15"/>
      </w:r>
      <w:r w:rsidRPr="00610C75">
        <w:t xml:space="preserve"> cited conduct such as wasting time as by prompting the litigant to ask irrelevant questions.</w:t>
      </w:r>
    </w:p>
    <w:p w:rsidR="00610C75" w:rsidRDefault="00610C75" w:rsidP="00ED39BA">
      <w:pPr>
        <w:jc w:val="both"/>
      </w:pPr>
      <w:r w:rsidRPr="00610C75">
        <w:t>Whatever the behaviour of a McKenzie friend, it is clear that the role in fact reinforces the common law limitation on the right of audience.</w:t>
      </w:r>
    </w:p>
    <w:p w:rsidR="00610C75" w:rsidRDefault="00610C75" w:rsidP="00ED39BA">
      <w:pPr>
        <w:jc w:val="both"/>
      </w:pPr>
      <w:r w:rsidRPr="00610C75">
        <w:t>The principle is largely mirrored, ra</w:t>
      </w:r>
      <w:r>
        <w:t>ther than altered, by statute.</w:t>
      </w:r>
      <w:r>
        <w:rPr>
          <w:rStyle w:val="FootnoteReference"/>
        </w:rPr>
        <w:footnoteReference w:id="16"/>
      </w:r>
      <w:r w:rsidRPr="00610C75">
        <w:t xml:space="preserve"> Australian legislation governing the jurisdiction and procedure in each court generally provides that a party to proceedings before the court may appear either personally or by a legal practitioner. It is worth noting that, even in those States where the profession was formerly divided, the legislation frequently gave both branches of the profession a right of audience. For example, the New South Wales District Court Act 1973 provides that “A party to any proceedings may appear by a barrister or solicitor retained b</w:t>
      </w:r>
      <w:r>
        <w:t>y or on behalf of that party.”</w:t>
      </w:r>
      <w:r>
        <w:rPr>
          <w:rStyle w:val="FootnoteReference"/>
        </w:rPr>
        <w:footnoteReference w:id="17"/>
      </w:r>
    </w:p>
    <w:p w:rsidR="00610C75" w:rsidRDefault="00610C75" w:rsidP="00ED39BA">
      <w:pPr>
        <w:jc w:val="both"/>
      </w:pPr>
      <w:r w:rsidRPr="00610C75">
        <w:t>In those States where the profession is legally fused, such as Victoria, the distinction between barristers and solicitors is of course irrelevant (although it is not entirely unknown for some judges to be “unable to hear” a solicitor seeking to appear before them).</w:t>
      </w:r>
    </w:p>
    <w:p w:rsidR="00610C75" w:rsidRDefault="00610C75" w:rsidP="00ED39BA">
      <w:pPr>
        <w:jc w:val="both"/>
      </w:pPr>
      <w:r w:rsidRPr="00610C75">
        <w:t xml:space="preserve">The recent extension of the right of audience to solicitors in England and Wales, through the </w:t>
      </w:r>
      <w:r w:rsidRPr="00B377B5">
        <w:rPr>
          <w:i/>
        </w:rPr>
        <w:t>Courts and Legal Services Act 1990</w:t>
      </w:r>
      <w:r w:rsidRPr="00610C75">
        <w:t xml:space="preserve"> and the </w:t>
      </w:r>
      <w:r w:rsidRPr="00B377B5">
        <w:rPr>
          <w:i/>
        </w:rPr>
        <w:t>Access to Justice Act 1999</w:t>
      </w:r>
      <w:r w:rsidRPr="00610C75">
        <w:t xml:space="preserve">, brings Australian and English </w:t>
      </w:r>
      <w:r w:rsidRPr="00610C75">
        <w:lastRenderedPageBreak/>
        <w:t>jurisdictions broadly into line but in neither case does the relevant legislation affect the underlying common law principle prohibiting unqualified advocates.</w:t>
      </w:r>
    </w:p>
    <w:p w:rsidR="000F395A" w:rsidRDefault="000F395A" w:rsidP="00ED39BA">
      <w:pPr>
        <w:jc w:val="both"/>
      </w:pPr>
      <w:r w:rsidRPr="000F395A">
        <w:t>While the courts have consistently maintained the right of audience principle, the policies put forward to justify it vary considerably (as is often the case in reasoning based on the public interest). One might reasonably assume that the paramount consideration should be the protection of the litigant from incompetent advocacy, and this is indeed one of the bases on which the princip</w:t>
      </w:r>
      <w:r>
        <w:t>le is founded. But in Tritonia</w:t>
      </w:r>
      <w:r>
        <w:rPr>
          <w:rStyle w:val="FootnoteReference"/>
        </w:rPr>
        <w:footnoteReference w:id="18"/>
      </w:r>
      <w:r w:rsidRPr="000F395A">
        <w:t xml:space="preserve"> the only consideration relied upon by the House of Lords was the assistance to the court itself which trained advocates provide.</w:t>
      </w:r>
    </w:p>
    <w:p w:rsidR="000F395A" w:rsidRDefault="000F395A" w:rsidP="00ED39BA">
      <w:pPr>
        <w:jc w:val="both"/>
      </w:pPr>
      <w:r w:rsidRPr="000F395A">
        <w:t>One might also expect numerous references to the complexities of litigation, which cannot properly be handled by untrained adv</w:t>
      </w:r>
      <w:r>
        <w:t xml:space="preserve">ocates. But in </w:t>
      </w:r>
      <w:r w:rsidRPr="00802462">
        <w:rPr>
          <w:i/>
        </w:rPr>
        <w:t>Collier v Hicks</w:t>
      </w:r>
      <w:r>
        <w:rPr>
          <w:rStyle w:val="FootnoteReference"/>
        </w:rPr>
        <w:footnoteReference w:id="19"/>
      </w:r>
      <w:r w:rsidRPr="000F395A">
        <w:t xml:space="preserve"> itself Lord Tenterden CJ said that it was to the benefit of the parties that they should not be represented at all, otherwise they might be put to “heavy and grievous expense” and that it was in the interests of justice, at least in summary proceedings, to hear only the parties themselves, “without that nicety of discussion, and subtlety of argument, which are likely to be introduced by persons more accustomed to legal questions”</w:t>
      </w:r>
      <w:r>
        <w:t>.</w:t>
      </w:r>
      <w:r>
        <w:rPr>
          <w:rStyle w:val="FootnoteReference"/>
        </w:rPr>
        <w:footnoteReference w:id="20"/>
      </w:r>
    </w:p>
    <w:p w:rsidR="000F395A" w:rsidRDefault="000F395A" w:rsidP="00ED39BA">
      <w:pPr>
        <w:jc w:val="both"/>
      </w:pPr>
      <w:r w:rsidRPr="000F395A">
        <w:t>Some courts are concerned that an untrained advocate mi</w:t>
      </w:r>
      <w:r>
        <w:t>ght “cause the litigant loss”,</w:t>
      </w:r>
      <w:r>
        <w:rPr>
          <w:rStyle w:val="FootnoteReference"/>
        </w:rPr>
        <w:footnoteReference w:id="21"/>
      </w:r>
      <w:r w:rsidRPr="000F395A">
        <w:t xml:space="preserve"> which suggests that the judges had forgotten that, in Australia at least, a client has no right to sue an incompetent </w:t>
      </w:r>
      <w:r w:rsidRPr="00DC02A8">
        <w:rPr>
          <w:u w:val="single"/>
        </w:rPr>
        <w:t>professional</w:t>
      </w:r>
      <w:r w:rsidRPr="000F395A">
        <w:t xml:space="preserve"> advocate for any loss caused by the latter’s negligence.</w:t>
      </w:r>
    </w:p>
    <w:p w:rsidR="000F395A" w:rsidRDefault="000F395A" w:rsidP="00ED39BA">
      <w:pPr>
        <w:jc w:val="both"/>
      </w:pPr>
      <w:r w:rsidRPr="000F395A">
        <w:t>In addition to a general concern for the competence of advocates, whether for the assistance of the court or in the interest of the litigant, the other consideration most referred to is the issue of “probity”, that is, that an admitted practitioner as an officer of the court owes clearly recognised duties to the court and to the administration of justice and in certain situations such duties take precedence over the client’s own interests. This policy is put most forcefully by Donaldso</w:t>
      </w:r>
      <w:r>
        <w:t xml:space="preserve">n MR in </w:t>
      </w:r>
      <w:r w:rsidRPr="007929C8">
        <w:rPr>
          <w:i/>
        </w:rPr>
        <w:t>Abse v Smith</w:t>
      </w:r>
      <w:r>
        <w:rPr>
          <w:rStyle w:val="FootnoteReference"/>
        </w:rPr>
        <w:footnoteReference w:id="22"/>
      </w:r>
      <w:r w:rsidRPr="000F395A">
        <w:t xml:space="preserve"> and is worth quoting at length.</w:t>
      </w:r>
    </w:p>
    <w:p w:rsidR="000F395A" w:rsidRDefault="000F395A" w:rsidP="00ED39BA">
      <w:pPr>
        <w:jc w:val="both"/>
      </w:pPr>
      <w:r w:rsidRPr="000F395A">
        <w:t>“But quite apart from the public interest in ensuring that advocates appearing in the courts have the requisite standard of skill, there is another and even more important</w:t>
      </w:r>
      <w:r>
        <w:t xml:space="preserve"> </w:t>
      </w:r>
      <w:r w:rsidRPr="000F395A">
        <w:t>requirement......This is the requirement of absolute probity. The public interest</w:t>
      </w:r>
      <w:r>
        <w:t xml:space="preserve"> </w:t>
      </w:r>
      <w:r w:rsidRPr="000F395A">
        <w:t xml:space="preserve">requires that the courts shall be able to have absolute trust in the advocates who appear before them. The only interest and duty of the judge is to seek to do justice in accordance with the law. The interest of the parties is to seek a favourable decision and their duty is limited to complying with the rules of court, giving truthful testimony and refraining from taking positive steps to deceive the court. The interest and duty of the advocate is much more complex, because it involves divided loyalties. He wishes to promote his client’s interest and it is his duty to do so by all legitimate means. But he also has an interest in the proper administration of justice, to which his profession is dedicated, and he owes a duty to the court to assist in ensuring that this is achieved. The potential for conflict between these interests and duties is very considerable, yet the public interest in the administration of justice requires that they be resolved in accordance with established professional rules and conventions and that the judges shall </w:t>
      </w:r>
      <w:r w:rsidRPr="000F395A">
        <w:lastRenderedPageBreak/>
        <w:t>be in a position to assume that they are being so resolved. There is thus an overriding public interest in the maintenance amongst</w:t>
      </w:r>
      <w:r>
        <w:t xml:space="preserve"> </w:t>
      </w:r>
      <w:r w:rsidRPr="000F395A">
        <w:t>advocates not only of a general standard of probity, but of a high professional standard, involving a skilled appreciation of how conflict</w:t>
      </w:r>
      <w:r>
        <w:t>s of duty are to be resolved.”</w:t>
      </w:r>
      <w:r>
        <w:rPr>
          <w:rStyle w:val="FootnoteReference"/>
        </w:rPr>
        <w:footnoteReference w:id="23"/>
      </w:r>
    </w:p>
    <w:p w:rsidR="000F395A" w:rsidRDefault="000F395A" w:rsidP="00ED39BA">
      <w:pPr>
        <w:jc w:val="both"/>
      </w:pPr>
      <w:r w:rsidRPr="000F395A">
        <w:t xml:space="preserve">This statement of the advocate’s duty to the administration of justice, compelling as it is, seems, to Australian readers at least, remarkably familiar from the decisions justifying the continuation of an advocate’s immunity from liability for negligence and there is some irony in the fact that the same arguments are used to justify both a monopoly of the right of audience and immunity from an obligation to take reasonable care in </w:t>
      </w:r>
      <w:r>
        <w:t>the exercise of that monopoly.</w:t>
      </w:r>
      <w:r>
        <w:rPr>
          <w:rStyle w:val="FootnoteReference"/>
        </w:rPr>
        <w:footnoteReference w:id="24"/>
      </w:r>
    </w:p>
    <w:p w:rsidR="000F395A" w:rsidRDefault="000F395A" w:rsidP="00ED39BA">
      <w:pPr>
        <w:jc w:val="both"/>
      </w:pPr>
      <w:r w:rsidRPr="000F395A">
        <w:t>Further secondary arguments in support of the monopoly on the right of audience were collect</w:t>
      </w:r>
      <w:r>
        <w:t xml:space="preserve">ed by Stein JA in </w:t>
      </w:r>
      <w:r w:rsidRPr="007929C8">
        <w:rPr>
          <w:i/>
        </w:rPr>
        <w:t>Damjanovic</w:t>
      </w:r>
      <w:r>
        <w:t>,</w:t>
      </w:r>
      <w:r>
        <w:rPr>
          <w:rStyle w:val="FootnoteReference"/>
        </w:rPr>
        <w:footnoteReference w:id="25"/>
      </w:r>
      <w:r w:rsidRPr="000F395A">
        <w:t>such as the fact that a lay advocate is not subject to a disciplinary code, may not be liable to an order for costs, is likely to take longer in the conduct of proceedings and would not recognise a duty to the opponent. He concluded by citing Mahoney AP in another New South W</w:t>
      </w:r>
      <w:r>
        <w:t>ales Court of Appeal decision,</w:t>
      </w:r>
      <w:r>
        <w:rPr>
          <w:rStyle w:val="FootnoteReference"/>
        </w:rPr>
        <w:footnoteReference w:id="26"/>
      </w:r>
      <w:r w:rsidRPr="000F395A">
        <w:t xml:space="preserve"> where that judge formulated three guiding principles in the preservation of the restriction of the right of audience:</w:t>
      </w:r>
    </w:p>
    <w:p w:rsidR="00281A89" w:rsidRDefault="00281A89" w:rsidP="007929C8">
      <w:pPr>
        <w:ind w:left="720"/>
        <w:jc w:val="both"/>
      </w:pPr>
      <w:r w:rsidRPr="00281A89">
        <w:t>“First, the duty owed by counsel to the court; secondly, the possibility of unqualified advocates interfering with the course of a proceeding and causing loss and delay; and thirdly, the public interest in the effective efficient and timeous disposal of litigation: “the administration of justice requires that full assistance be available to the court in determining the issues of fact and law which come before it. The isolation of issues and the presentation of the consideration (sic) which support one answer rather than another are things best done by a person</w:t>
      </w:r>
      <w:r>
        <w:t xml:space="preserve"> experienced in such matters.”</w:t>
      </w:r>
      <w:r>
        <w:rPr>
          <w:rStyle w:val="FootnoteReference"/>
        </w:rPr>
        <w:footnoteReference w:id="27"/>
      </w:r>
    </w:p>
    <w:p w:rsidR="00281A89" w:rsidRDefault="00281A89" w:rsidP="00ED39BA">
      <w:pPr>
        <w:jc w:val="both"/>
      </w:pPr>
      <w:r w:rsidRPr="00281A89">
        <w:t>These arguments will be examined more closely in Part III of this article.</w:t>
      </w:r>
    </w:p>
    <w:p w:rsidR="00281A89" w:rsidRDefault="00281A89" w:rsidP="00ED39BA">
      <w:pPr>
        <w:jc w:val="both"/>
      </w:pPr>
      <w:r w:rsidRPr="00281A89">
        <w:t>Given the courts’ unwavering support for the restriction of the right of audience to the profession, the question must now be asked: on what legal basis may law students (or those lay advocates who were the subject of the cases already discussed) seek to appear before the court?</w:t>
      </w:r>
    </w:p>
    <w:p w:rsidR="00D60AC8" w:rsidRDefault="00D60AC8" w:rsidP="00ED39BA">
      <w:pPr>
        <w:jc w:val="both"/>
      </w:pPr>
      <w:r w:rsidRPr="00D60AC8">
        <w:t>The answer lies in another familiar concept: the inherent jurisdiction of every court to regulate proceedings before it. As an element of this jurisdiction, every court has a discretion to permit any person to appear as advocate before it. This discretion was upheld by the Privy Council (on appeal from the Supreme Court of New S</w:t>
      </w:r>
      <w:r>
        <w:t xml:space="preserve">outh Wales) in </w:t>
      </w:r>
      <w:r w:rsidRPr="00FC0D5A">
        <w:rPr>
          <w:i/>
        </w:rPr>
        <w:t>O’Toole v Scott</w:t>
      </w:r>
      <w:r>
        <w:rPr>
          <w:rStyle w:val="FootnoteReference"/>
        </w:rPr>
        <w:footnoteReference w:id="28"/>
      </w:r>
      <w:r w:rsidRPr="00D60AC8">
        <w:t xml:space="preserve"> and has been recognised in English cases such as </w:t>
      </w:r>
      <w:r w:rsidRPr="00FC0D5A">
        <w:rPr>
          <w:i/>
        </w:rPr>
        <w:t>Abse v Smith</w:t>
      </w:r>
      <w:r>
        <w:rPr>
          <w:rStyle w:val="FootnoteReference"/>
        </w:rPr>
        <w:footnoteReference w:id="29"/>
      </w:r>
      <w:r w:rsidRPr="00D60AC8">
        <w:t xml:space="preserve"> which canvassed a number of earlier English cases to the same effect. The Privy Council held that statutory provisions granting the usual right of audience to the profession did not abrogate the discretion so that, while members of the profession have a right to appear, this exists side by side with the court’s general discretion to permit other persons to appear.</w:t>
      </w:r>
    </w:p>
    <w:p w:rsidR="00433782" w:rsidRDefault="00433782" w:rsidP="00ED39BA">
      <w:pPr>
        <w:jc w:val="both"/>
      </w:pPr>
      <w:r w:rsidRPr="00433782">
        <w:lastRenderedPageBreak/>
        <w:t>The position in Australia, therefore, is that an unqualified advocate, such as a student, while having no right to appear, does have the right to seek the court’s exercise of its discretion in granti</w:t>
      </w:r>
      <w:r>
        <w:t>ng him or her leave to appear.</w:t>
      </w:r>
      <w:r>
        <w:rPr>
          <w:rStyle w:val="FootnoteReference"/>
        </w:rPr>
        <w:footnoteReference w:id="30"/>
      </w:r>
    </w:p>
    <w:p w:rsidR="00433782" w:rsidRDefault="00433782" w:rsidP="00ED39BA">
      <w:pPr>
        <w:jc w:val="both"/>
      </w:pPr>
      <w:r w:rsidRPr="00433782">
        <w:t>Although the position is now different in England in that the discretion has been abrogated by</w:t>
      </w:r>
      <w:r>
        <w:t xml:space="preserve"> </w:t>
      </w:r>
      <w:r w:rsidRPr="00433782">
        <w:t xml:space="preserve">27(1) </w:t>
      </w:r>
      <w:r w:rsidRPr="001E798F">
        <w:rPr>
          <w:i/>
        </w:rPr>
        <w:t>Courts and Legal Services Act</w:t>
      </w:r>
      <w:r w:rsidRPr="00433782">
        <w:t xml:space="preserve"> 1990, it is proposed to examine the criteria on which the</w:t>
      </w:r>
      <w:r>
        <w:t xml:space="preserve"> </w:t>
      </w:r>
      <w:r w:rsidRPr="00433782">
        <w:t>common law discretion will be exercised, because it is suggested that similar criteria should be applied by courts in granting a right of audience under s.27(2)(c) of the Act.</w:t>
      </w:r>
    </w:p>
    <w:p w:rsidR="00433782" w:rsidRDefault="00433782" w:rsidP="00ED39BA">
      <w:pPr>
        <w:jc w:val="both"/>
      </w:pPr>
      <w:r w:rsidRPr="00433782">
        <w:t>The Australian cases indicate that there are two issues which arise when the court is considering whether or not to exercise its discretion and grant an unqualified advocate leave to appear.</w:t>
      </w:r>
    </w:p>
    <w:p w:rsidR="00433782" w:rsidRDefault="00433782" w:rsidP="00ED39BA">
      <w:pPr>
        <w:jc w:val="both"/>
      </w:pPr>
      <w:r w:rsidRPr="00433782">
        <w:t>First, should the discretion be exercised liberally or only in exceptional cases?</w:t>
      </w:r>
    </w:p>
    <w:p w:rsidR="00433782" w:rsidRDefault="00433782" w:rsidP="00ED39BA">
      <w:pPr>
        <w:jc w:val="both"/>
      </w:pPr>
      <w:r w:rsidRPr="00433782">
        <w:t>Secondly, is it exercised differently according to whether the proceedings in question are in the lower courts or in a superior court such as a Supreme Court?</w:t>
      </w:r>
    </w:p>
    <w:p w:rsidR="00433782" w:rsidRDefault="00433782" w:rsidP="00ED39BA">
      <w:pPr>
        <w:jc w:val="both"/>
      </w:pPr>
      <w:r w:rsidRPr="00433782">
        <w:t>With regard to the first issue, the Privy Council expressly considered the question. It concluded:</w:t>
      </w:r>
    </w:p>
    <w:p w:rsidR="00433782" w:rsidRDefault="00433782" w:rsidP="001E798F">
      <w:pPr>
        <w:ind w:left="720"/>
        <w:jc w:val="both"/>
      </w:pPr>
      <w:r w:rsidRPr="00433782">
        <w:t>“[The discretion] can be exercised either on general grounds common to many cases or on special grounds arising in a particular case. Its exercise should not be confined to cases where there is a strict necessity; it should be regarded as proper for a magistrate to exercise the discretion in order to secure or promote convenience and expedition and efficiency in t</w:t>
      </w:r>
      <w:r>
        <w:t>he administration of justice.”</w:t>
      </w:r>
      <w:r>
        <w:rPr>
          <w:rStyle w:val="FootnoteReference"/>
        </w:rPr>
        <w:footnoteReference w:id="31"/>
      </w:r>
    </w:p>
    <w:p w:rsidR="00433782" w:rsidRDefault="00433782" w:rsidP="00ED39BA">
      <w:pPr>
        <w:jc w:val="both"/>
      </w:pPr>
      <w:r w:rsidRPr="00433782">
        <w:t>However subsequent Australian cases have expressed the positio</w:t>
      </w:r>
      <w:r>
        <w:t xml:space="preserve">n more narrowly. In </w:t>
      </w:r>
      <w:r w:rsidRPr="00BB4BB4">
        <w:rPr>
          <w:i/>
        </w:rPr>
        <w:t>R v Schagen</w:t>
      </w:r>
      <w:r>
        <w:rPr>
          <w:rStyle w:val="FootnoteReference"/>
        </w:rPr>
        <w:footnoteReference w:id="32"/>
      </w:r>
      <w:r w:rsidRPr="00433782">
        <w:t xml:space="preserve"> the Western Australian Court of Criminal Appeal permitted two students to represent an appellant who was deaf and “virtually incomprehensible” but made it plain that it was a rare and exceptional case. In </w:t>
      </w:r>
      <w:r w:rsidRPr="00BB4BB4">
        <w:rPr>
          <w:i/>
        </w:rPr>
        <w:t>Galladin Pty Ltd v Aimnorth Pty Ltd</w:t>
      </w:r>
      <w:r>
        <w:rPr>
          <w:rStyle w:val="FootnoteReference"/>
        </w:rPr>
        <w:footnoteReference w:id="33"/>
      </w:r>
      <w:r w:rsidRPr="00433782">
        <w:t xml:space="preserve"> Perry J of the South Australian Supreme Court said the discretion must be carefully cont</w:t>
      </w:r>
      <w:r>
        <w:t xml:space="preserve">rolled. In </w:t>
      </w:r>
      <w:r w:rsidRPr="00BB4BB4">
        <w:rPr>
          <w:i/>
        </w:rPr>
        <w:t>Damjanovic v Maley</w:t>
      </w:r>
      <w:r>
        <w:t xml:space="preserve"> </w:t>
      </w:r>
      <w:r>
        <w:rPr>
          <w:rStyle w:val="FootnoteReference"/>
        </w:rPr>
        <w:footnoteReference w:id="34"/>
      </w:r>
      <w:r w:rsidR="00BB4BB4">
        <w:t xml:space="preserve"> </w:t>
      </w:r>
      <w:r w:rsidRPr="00433782">
        <w:t>Stein JA said that the authorities suggest that higher courts should be very chary at giving leave and, on the facts of the case before him, found that the circumstances relied upon by the applicant for leave to appear were n</w:t>
      </w:r>
      <w:r>
        <w:t>ot “so exceptional or special”</w:t>
      </w:r>
      <w:r>
        <w:rPr>
          <w:rStyle w:val="FootnoteReference"/>
        </w:rPr>
        <w:footnoteReference w:id="35"/>
      </w:r>
      <w:r w:rsidRPr="00433782">
        <w:t xml:space="preserve"> as to make it appropriate for the court to have granted leave to appear. In </w:t>
      </w:r>
      <w:r w:rsidRPr="00BB4BB4">
        <w:rPr>
          <w:i/>
        </w:rPr>
        <w:t>Scotts Head Developments Pty Ltd v Pallisar Pty. Ltd</w:t>
      </w:r>
      <w:r>
        <w:rPr>
          <w:rStyle w:val="FootnoteReference"/>
        </w:rPr>
        <w:footnoteReference w:id="36"/>
      </w:r>
      <w:r w:rsidRPr="00433782">
        <w:t xml:space="preserve"> Mahoney AP appeared to ignore the very nature of a discretion when he acknowledged that the court had a discretion but said that the court “has long adopted the general rule that it will not allow an appearance by a person who has not been admitted to practice before it.”</w:t>
      </w:r>
    </w:p>
    <w:p w:rsidR="003A0761" w:rsidRDefault="003A0761" w:rsidP="00ED39BA">
      <w:pPr>
        <w:jc w:val="both"/>
      </w:pPr>
      <w:r w:rsidRPr="003A0761">
        <w:lastRenderedPageBreak/>
        <w:t>(However none of the Australian cases appear to have taken a position as extreme as that adopted by the Co</w:t>
      </w:r>
      <w:r>
        <w:t xml:space="preserve">urt of Appeal in </w:t>
      </w:r>
      <w:r w:rsidRPr="00D80DA6">
        <w:rPr>
          <w:i/>
        </w:rPr>
        <w:t>Abse v Smith</w:t>
      </w:r>
      <w:r>
        <w:t xml:space="preserve"> </w:t>
      </w:r>
      <w:r>
        <w:rPr>
          <w:rStyle w:val="FootnoteReference"/>
        </w:rPr>
        <w:footnoteReference w:id="37"/>
      </w:r>
      <w:r w:rsidRPr="003A0761">
        <w:t xml:space="preserve">where the issue was whether a solicitor should have been permitted to appear to read a statement agreed between the parties in settlement of a defamation action. Not only did the Court of Appeal refuse to countenance appearance by the solicitor; it also held that it was for the judges of the court </w:t>
      </w:r>
      <w:r w:rsidRPr="00D80DA6">
        <w:rPr>
          <w:i/>
        </w:rPr>
        <w:t>collectively</w:t>
      </w:r>
      <w:r w:rsidRPr="003A0761">
        <w:t xml:space="preserve"> to decide whether or not to modify established practices.)</w:t>
      </w:r>
    </w:p>
    <w:p w:rsidR="00D14E2B" w:rsidRDefault="00D14E2B" w:rsidP="00ED39BA">
      <w:pPr>
        <w:jc w:val="both"/>
      </w:pPr>
      <w:r w:rsidRPr="00D14E2B">
        <w:t>It appears therefore that, at least in superior courts, the discretion will be exercised only rarely. Furthermore some of the cases involve a complicating factor, that of a corporate party seeking to appear through an unqualified advocate, in breach of the established rule that corporations may conduct litigation only through a legal practitioner. It may be, therefore, that the corporate litigant carries a double burden in seeking to persuade the court to permit representation by a lay advocate.</w:t>
      </w:r>
    </w:p>
    <w:p w:rsidR="00D14E2B" w:rsidRDefault="00D14E2B" w:rsidP="00ED39BA">
      <w:pPr>
        <w:jc w:val="both"/>
      </w:pPr>
      <w:r w:rsidRPr="00D14E2B">
        <w:t xml:space="preserve">As to the second issue, whether the discretion will be exercised differently according to the court’s place in </w:t>
      </w:r>
      <w:r>
        <w:t xml:space="preserve">the hierarchy, </w:t>
      </w:r>
      <w:r w:rsidRPr="00D80DA6">
        <w:rPr>
          <w:i/>
        </w:rPr>
        <w:t>O’Toole v Scott</w:t>
      </w:r>
      <w:r>
        <w:rPr>
          <w:rStyle w:val="FootnoteReference"/>
        </w:rPr>
        <w:footnoteReference w:id="38"/>
      </w:r>
      <w:r w:rsidRPr="00D14E2B">
        <w:t xml:space="preserve"> concerned a summary prosecution in the Magistrates’ Court (the lowest court in the Australian hierarchy). All the other cases discussed related to applications for leave to appear in either the District Court (the court between the Magistrates’ Court and the Supreme Court) or in Supreme Courts. It may be that the Privy Council in </w:t>
      </w:r>
      <w:r w:rsidRPr="00D80DA6">
        <w:rPr>
          <w:i/>
        </w:rPr>
        <w:t xml:space="preserve">O’Toole </w:t>
      </w:r>
      <w:r w:rsidRPr="00D14E2B">
        <w:t>was willing to take a more relaxed view of the possibility of unqualified advocates appearing in the Magistrates Courts, particularly as the unqualified advocate in q</w:t>
      </w:r>
      <w:r>
        <w:t>uestion was a police prosecutor.</w:t>
      </w:r>
    </w:p>
    <w:p w:rsidR="00D14E2B" w:rsidRDefault="00D14E2B" w:rsidP="00ED39BA">
      <w:pPr>
        <w:jc w:val="both"/>
      </w:pPr>
      <w:r w:rsidRPr="00D14E2B">
        <w:t>In contrast it is not surprising, given the nature and complexity of the Supreme Courts’ jurisdiction, if the judges are extremely reluctant to countenance lay advocacy.</w:t>
      </w:r>
    </w:p>
    <w:p w:rsidR="00D14E2B" w:rsidRDefault="00D14E2B" w:rsidP="00ED39BA">
      <w:pPr>
        <w:jc w:val="both"/>
      </w:pPr>
      <w:r w:rsidRPr="00D14E2B">
        <w:t>The examination of the cases on the circumstances in which a court will grant a lay advocate leave to appear discloses no consistent criteria to guide future applicants. It would seem that an unqualified advocate seeking leave to appear would be dependent entirely upon the circumstances of the individual case and the inclination of the presiding judge or magistrate.</w:t>
      </w:r>
    </w:p>
    <w:p w:rsidR="00D14E2B" w:rsidRDefault="00D14E2B" w:rsidP="00ED39BA">
      <w:pPr>
        <w:jc w:val="both"/>
        <w:rPr>
          <w:b/>
        </w:rPr>
      </w:pPr>
      <w:r w:rsidRPr="00D14E2B">
        <w:rPr>
          <w:b/>
        </w:rPr>
        <w:t>PART II  The Monash Student Appearance Program</w:t>
      </w:r>
    </w:p>
    <w:p w:rsidR="00D14E2B" w:rsidRDefault="00D14E2B" w:rsidP="00ED39BA">
      <w:pPr>
        <w:jc w:val="both"/>
      </w:pPr>
      <w:r w:rsidRPr="00D14E2B">
        <w:t>It is in this context of ancient legal principle and judicial discretion that the Monash University clinical legal education teachers developed the “Student Appearance Program” which after ten years has become a routine part of the clinical students’ experience. This part of the article will outline the key elements in the program, the social and political context and the strategies adopted in persuading courts to accept the concept of students appearing regularly before them.</w:t>
      </w:r>
    </w:p>
    <w:p w:rsidR="00D14E2B" w:rsidRDefault="00D14E2B" w:rsidP="00ED39BA">
      <w:pPr>
        <w:jc w:val="both"/>
      </w:pPr>
      <w:r w:rsidRPr="00D14E2B">
        <w:t>The Monash clinical program is based in two community legal centres. The students, in the final year of their law degree, work in the centre for a semester (five months) for credit for their degree. They are supervised by teaching staff who are qualified and experienced practitioners. Clients come from the local community.</w:t>
      </w:r>
    </w:p>
    <w:p w:rsidR="00D14E2B" w:rsidRDefault="00D14E2B" w:rsidP="00ED39BA">
      <w:pPr>
        <w:jc w:val="both"/>
      </w:pPr>
      <w:r w:rsidRPr="00D14E2B">
        <w:t xml:space="preserve">The fundamental philosophy of the program is that students take frontline responsibility for the conduct of their clients’ matters. They take initial instructions, then discuss the problem with their supervisor before returning to the client with advice. If the matter is appropriate for the centre to </w:t>
      </w:r>
      <w:r w:rsidRPr="00D14E2B">
        <w:lastRenderedPageBreak/>
        <w:t>take on, the student opens a file and carries out all the tasks required, whether it be research, writing to the opposing party, briefing counsel etc. All the students’ work is closely supervised: all letters and documents are checked by the supervisor before being typed and supervisors hold a weekly file review with each individual student to discuss the next steps to be taken, strategies to be adopted etc.</w:t>
      </w:r>
    </w:p>
    <w:p w:rsidR="00D14E2B" w:rsidRDefault="00D14E2B" w:rsidP="00ED39BA">
      <w:pPr>
        <w:jc w:val="both"/>
      </w:pPr>
      <w:r w:rsidRPr="00D14E2B">
        <w:t>Among the most common types of matters handled by the centres are summary criminal prosecutions and simple family law matters. Despite the existence of a public legal aid system these clients are frequently ineligible for aid.</w:t>
      </w:r>
    </w:p>
    <w:p w:rsidR="00B17D89" w:rsidRDefault="00B17D89" w:rsidP="00ED39BA">
      <w:pPr>
        <w:jc w:val="both"/>
      </w:pPr>
      <w:r w:rsidRPr="00B17D89">
        <w:t>The legal aid system in Victoria is administered by a body formerly entitled the Legal Aid Commission of Victoria (now Victoria Legal Aid) established under the Victorian Legal Aid Act 1978.</w:t>
      </w:r>
    </w:p>
    <w:p w:rsidR="00B17D89" w:rsidRDefault="00B17D89" w:rsidP="00ED39BA">
      <w:pPr>
        <w:jc w:val="both"/>
      </w:pPr>
      <w:r w:rsidRPr="00B17D89">
        <w:t>The Act provides two key criteria for the granting of legal aid: a means test and a “merit” test. The “merit” provision is suitably broad: if the provision of aid is “reasonable having regard to all relevant matters”: (s.24(1)). Section 24(4) provides that all relevant matters include: “the nature and extent of any benefit that may accrue to the person, to the public or to any section of the public from the provision of the assistance or of any detriment that may be suffered by the person, by the public or by any section of the public if the assistance is not provided”; and in the case of court proceedings, “whether the proceeding is likely to terminate in a manner favourable to the person”.</w:t>
      </w:r>
    </w:p>
    <w:p w:rsidR="00B17D89" w:rsidRDefault="00B17D89" w:rsidP="00ED39BA">
      <w:pPr>
        <w:jc w:val="both"/>
      </w:pPr>
      <w:r w:rsidRPr="00B17D89">
        <w:t>In order to implement these legislative criteria, the Legal Aid Commission formulated a detailed means test and a set of priorities and guidelines under the merit test. Although criminal matters are generally the first priority, within that category, for obvious reasons, priority is given to matters carrying the more serious penalties. Generally, for summary criminal matters, aid will not be granted unless the applicant faces a real risk of imprisonment or fines totalling above a certain minimum.</w:t>
      </w:r>
    </w:p>
    <w:p w:rsidR="00FD79CC" w:rsidRDefault="00FD79CC" w:rsidP="00ED39BA">
      <w:pPr>
        <w:jc w:val="both"/>
      </w:pPr>
      <w:r w:rsidRPr="00FD79CC">
        <w:t>Although no observer could challenge these priorities, within the context of continuing constraints in the legal aid budget the result is that numbers of legal centre clients facing summary criminal or traffic charges cannot afford counsel’s fee but are ineligible for legal aid.</w:t>
      </w:r>
    </w:p>
    <w:p w:rsidR="00FD79CC" w:rsidRDefault="00FD79CC" w:rsidP="00ED39BA">
      <w:pPr>
        <w:jc w:val="both"/>
      </w:pPr>
      <w:r w:rsidRPr="00FD79CC">
        <w:t>A detailed breakdown of the number of unrepresented defendants in the Magistrates court is not available, nor does the legal aid body publish statistics of applications and their outcomes in other than broad general categories. But the Legal Aid Commission of Victoria Statutory Annual Reports for the period 1989–1992 show a sharp increase in the percentage of applications refused, from 20.5% in 1989–90 to 26.4% in 199</w:t>
      </w:r>
      <w:r>
        <w:t>0–1991 to 29.3% for 1991–1992.</w:t>
      </w:r>
      <w:r>
        <w:rPr>
          <w:rStyle w:val="FootnoteReference"/>
        </w:rPr>
        <w:footnoteReference w:id="39"/>
      </w:r>
    </w:p>
    <w:p w:rsidR="00FD79CC" w:rsidRDefault="00FD79CC" w:rsidP="00ED39BA">
      <w:pPr>
        <w:jc w:val="both"/>
      </w:pPr>
      <w:r w:rsidRPr="00FD79CC">
        <w:t>In the area of family law, the second general area of priority for the Legal Aid Commission, aid has never been available for divorce applications, which under the Commonwealth Family Law Act 1975 follow a simple procedure and can realistically be handled by an English-speaking applicant. However an applicant with language difficulties cannot be expected to present the application unassisted.</w:t>
      </w:r>
    </w:p>
    <w:p w:rsidR="00FD79CC" w:rsidRDefault="00FD79CC" w:rsidP="00ED39BA">
      <w:pPr>
        <w:jc w:val="both"/>
      </w:pPr>
      <w:r w:rsidRPr="00FD79CC">
        <w:t>By 1992 the Family Court was beginning to speak publicly of the need for improved legal aid. In his Foreword to the Court’s Annual Report of 1991–92 the Chief Justice wrote:</w:t>
      </w:r>
    </w:p>
    <w:p w:rsidR="00FD79CC" w:rsidRDefault="00FD79CC" w:rsidP="0081496A">
      <w:pPr>
        <w:ind w:left="720"/>
        <w:jc w:val="both"/>
      </w:pPr>
      <w:r w:rsidRPr="00FD79CC">
        <w:lastRenderedPageBreak/>
        <w:t>“There are three major impediments to access to the court. The first of these is effective legal representation and this has been progressively diminished by the combined effects of the recession and a significant reduction in legal aid funds availab</w:t>
      </w:r>
      <w:r>
        <w:t>le in the area of family law.”</w:t>
      </w:r>
      <w:r>
        <w:rPr>
          <w:rStyle w:val="FootnoteReference"/>
        </w:rPr>
        <w:footnoteReference w:id="40"/>
      </w:r>
    </w:p>
    <w:p w:rsidR="00FD79CC" w:rsidRDefault="00FD79CC" w:rsidP="00ED39BA">
      <w:pPr>
        <w:jc w:val="both"/>
      </w:pPr>
      <w:r w:rsidRPr="00FD79CC">
        <w:t>(The legal aid situation in Australia has worsened with the intervention of the conservative Federal Government elected in 1996. The Federal Government has always contributed more than 50% of total legal aid funds and the new government set about severely reducing its contribution. In 1997 the director of the UK Legal Action Group visiting Australia commented that legal aid funding in the UK amounted to A$60 per head of population, whereas in Australia i</w:t>
      </w:r>
      <w:r>
        <w:t>t amounted to A$15 per head.)</w:t>
      </w:r>
      <w:r>
        <w:rPr>
          <w:rStyle w:val="FootnoteReference"/>
        </w:rPr>
        <w:footnoteReference w:id="41"/>
      </w:r>
    </w:p>
    <w:p w:rsidR="00E5319D" w:rsidRDefault="00E5319D" w:rsidP="00ED39BA">
      <w:pPr>
        <w:jc w:val="both"/>
      </w:pPr>
      <w:r w:rsidRPr="00E5319D">
        <w:t>It was in this context that clinical teachers and students were seeing increasing numbers of clients in criminal and family matters who were not eligible for legal aid but who, on any reasonable view, were quite unable to represent themselves, because of their language or educational disadvantages. It was particularly frustrating for students who might have devoted a great deal of time and effort to preparing a client’s case, but felt that their work was almost wasted because of the lack of competent representation. We therefore decided to embark upon a campaign to enable students to provide that representation. Our objectives were both the provision of better service to our clients and the expansion of our students’ educational experience.</w:t>
      </w:r>
    </w:p>
    <w:p w:rsidR="00E5319D" w:rsidRDefault="00E5319D" w:rsidP="00ED39BA">
      <w:pPr>
        <w:jc w:val="both"/>
      </w:pPr>
      <w:r w:rsidRPr="00E5319D">
        <w:t>A previous attempt to have students permitted to represent their clients had failed. We approached the Chief Justice of the Family Court with a proposal that students be granted a limited right of audience in the local registry of the Court, where the legal centres were well known to registry staff.</w:t>
      </w:r>
    </w:p>
    <w:p w:rsidR="00E5319D" w:rsidRDefault="00E5319D" w:rsidP="00ED39BA">
      <w:pPr>
        <w:jc w:val="both"/>
      </w:pPr>
      <w:r w:rsidRPr="00E5319D">
        <w:t>Unfortunately we failed to do our homework properly and although the Chief Justice personally favoured the idea, it met with</w:t>
      </w:r>
      <w:r>
        <w:t xml:space="preserve"> “almost universal opposition”</w:t>
      </w:r>
      <w:r>
        <w:rPr>
          <w:rStyle w:val="FootnoteReference"/>
        </w:rPr>
        <w:footnoteReference w:id="42"/>
      </w:r>
      <w:r w:rsidRPr="00E5319D">
        <w:t xml:space="preserve"> from the other members of the court, who took the view that an amendment to the relevant provision of the Court Rules would be required. Had we done our research and prepared a full submission on the law and the ex</w:t>
      </w:r>
      <w:r>
        <w:t xml:space="preserve">istence of the </w:t>
      </w:r>
      <w:r w:rsidRPr="000211F6">
        <w:rPr>
          <w:i/>
        </w:rPr>
        <w:t>O’Toole v Scott</w:t>
      </w:r>
      <w:r>
        <w:rPr>
          <w:rStyle w:val="FootnoteReference"/>
        </w:rPr>
        <w:footnoteReference w:id="43"/>
      </w:r>
      <w:r w:rsidRPr="00E5319D">
        <w:t xml:space="preserve"> discretion, the result might have been different, because less than three years later we received a very positive response from the Judge in charge of our region of the court.</w:t>
      </w:r>
    </w:p>
    <w:p w:rsidR="00E5319D" w:rsidRDefault="00E5319D" w:rsidP="00ED39BA">
      <w:pPr>
        <w:jc w:val="both"/>
      </w:pPr>
      <w:r w:rsidRPr="00E5319D">
        <w:t>It is possible that the change in attitude was caused by a realisation of the impact of the steady increase in the number of unrepresented litigants, particularly in the local registry. (The Registry in Dandenong, in the outer south-east of Melbourne, is generally regarded as having the highest percentage of unrepresented litigants – 40% – of any Family Court registry in Australia. Its catchment area includes high levels of non-English-speaking residents and socio-economic disadvantage.)</w:t>
      </w:r>
    </w:p>
    <w:p w:rsidR="00E5319D" w:rsidRDefault="00E5319D" w:rsidP="00ED39BA">
      <w:pPr>
        <w:jc w:val="both"/>
      </w:pPr>
      <w:r w:rsidRPr="00E5319D">
        <w:t>Having learnt our lesson from the first approach to the Family Court, we now did the research and prepared a far more detailed submission and a set of guidelines, setting out the criteria limiting the clients, cases and students to which the proposed “Student Appearance program” might apply.</w:t>
      </w:r>
    </w:p>
    <w:p w:rsidR="00E5319D" w:rsidRDefault="00E5319D" w:rsidP="00ED39BA">
      <w:pPr>
        <w:jc w:val="both"/>
      </w:pPr>
      <w:r w:rsidRPr="00E5319D">
        <w:t>The key components of the guidelines were, and still are:</w:t>
      </w:r>
    </w:p>
    <w:p w:rsidR="00540616" w:rsidRDefault="00540616" w:rsidP="00ED39BA">
      <w:pPr>
        <w:jc w:val="both"/>
      </w:pPr>
      <w:r w:rsidRPr="00540616">
        <w:lastRenderedPageBreak/>
        <w:t>● students would appear only for clients who had no access to qualified representation (other</w:t>
      </w:r>
      <w:r>
        <w:t xml:space="preserve"> </w:t>
      </w:r>
      <w:r w:rsidRPr="00540616">
        <w:t xml:space="preserve">than a legal aid Duty Lawyer); </w:t>
      </w:r>
    </w:p>
    <w:p w:rsidR="00540616" w:rsidRDefault="00540616" w:rsidP="00ED39BA">
      <w:pPr>
        <w:jc w:val="both"/>
      </w:pPr>
      <w:r w:rsidRPr="00540616">
        <w:t>● students would appear only in unopposed matters in the Magistrates Court and the Family</w:t>
      </w:r>
      <w:r>
        <w:t xml:space="preserve"> Court; </w:t>
      </w:r>
    </w:p>
    <w:p w:rsidR="00540616" w:rsidRDefault="00540616" w:rsidP="00ED39BA">
      <w:pPr>
        <w:jc w:val="both"/>
      </w:pPr>
      <w:r w:rsidRPr="00540616">
        <w:t>● students’ appearances would be ‘supervised’ in court by a qualified practitioner.</w:t>
      </w:r>
    </w:p>
    <w:p w:rsidR="00540616" w:rsidRDefault="00540616" w:rsidP="00ED39BA">
      <w:pPr>
        <w:jc w:val="both"/>
      </w:pPr>
      <w:r w:rsidRPr="00540616">
        <w:t>The guidelines have a number of underlying objectives. The restriction of student appearances to matters where the client has no access to qualified representation serves three purposes. We can say in all honesty that the client can hardly be worse off with representation by a well prepared and supervised student than if he or she had to appear unrepresented. The private profession can see that there is no risk of the program taking clients who would otherwise be paying their fees (personally or through Legal Aid); and there is an obvious benefit to courts increasingly burdened with unrepresented litigants.</w:t>
      </w:r>
    </w:p>
    <w:p w:rsidR="00540616" w:rsidRDefault="00540616" w:rsidP="00ED39BA">
      <w:pPr>
        <w:jc w:val="both"/>
      </w:pPr>
      <w:r w:rsidRPr="00540616">
        <w:t>The restriction to unopposed matters in the Magistrates Court or Family Court enabled us to meet</w:t>
      </w:r>
      <w:r>
        <w:t xml:space="preserve"> </w:t>
      </w:r>
      <w:r w:rsidRPr="00540616">
        <w:t>the major categories of need among our legal centre clients – guilty pleas in summary criminal matters in the Magistrates Court and divorce applications in the Family Court where for language or other reasons the client could not reasonably be expected to present the application unaided.(The nature of our clientele is such that we get a significant number of relatively complex divorce applications: for example, where the parties married in Afghanistan, fled to a refugee camp in Pakistan, then separated somewhere between there and Australia. The Marriage Certificate is lost and a new one cannot be obtained because the equivalent of the Registry of Births Deaths and Marriages in Kabul has been bombed by one side or another. The client has not seen her husband for two years and, as refugees, there may not be any family members in Australia on whom substituted service of the application may be effected. Cases such as these provide a wonderful learning experience for the student and if he or she has been responsible for the preparation of all the documents necessary to support the application, the opportunity to present the application in court as the culmination of his or her work provides a remarkable sense of achievement.)</w:t>
      </w:r>
    </w:p>
    <w:p w:rsidR="00540616" w:rsidRDefault="00540616" w:rsidP="00ED39BA">
      <w:pPr>
        <w:jc w:val="both"/>
      </w:pPr>
      <w:r w:rsidRPr="00540616">
        <w:t>Cases in these categories are most likely to be ineligible for legal aid and therefore meet the “no other access to representation” criterion. Furthermore, they are by their nature able to be prepared fully in advance – the possibility of ambush by an opposing party is minimal or non-existent and, as most legal centre supervisors are solicitors rather than barristers, we are thoroughly confident of our ability to prepare our students for these cases.</w:t>
      </w:r>
    </w:p>
    <w:p w:rsidR="00540616" w:rsidRDefault="00540616" w:rsidP="00ED39BA">
      <w:pPr>
        <w:jc w:val="both"/>
      </w:pPr>
      <w:r w:rsidRPr="00540616">
        <w:t>The third critical element in the guidelines, that a student would be “supervised” in court by a qualified practitioner, provides the reassurance of someone who could step in and take over if something went wrong (although this has never been necessary).</w:t>
      </w:r>
    </w:p>
    <w:p w:rsidR="00540616" w:rsidRDefault="00540616" w:rsidP="00ED39BA">
      <w:pPr>
        <w:jc w:val="both"/>
      </w:pPr>
      <w:r w:rsidRPr="00540616">
        <w:t>A final element which we regard as important is that, as teaching staff, we take responsibility for assessing whether an individual student is competent to appear. There is no expectation that every student enrolled in the clinical subject will have the opportunity to appear.</w:t>
      </w:r>
    </w:p>
    <w:p w:rsidR="00540616" w:rsidRDefault="00540616" w:rsidP="00ED39BA">
      <w:pPr>
        <w:jc w:val="both"/>
      </w:pPr>
      <w:r w:rsidRPr="00540616">
        <w:t xml:space="preserve">Having prepared the explanation of the law and the guidelines, we laid the groundwork in other ways before approaching the courts. We decided it would be important to have the support of, or at </w:t>
      </w:r>
      <w:r w:rsidRPr="00540616">
        <w:lastRenderedPageBreak/>
        <w:t>least no active opposition from, the profession. The Law Institute (the equivalent of the Law Society) was remarkably positive, its Council voting unanim</w:t>
      </w:r>
      <w:r>
        <w:t>ously to support our proposal.</w:t>
      </w:r>
      <w:r>
        <w:rPr>
          <w:rStyle w:val="FootnoteReference"/>
        </w:rPr>
        <w:footnoteReference w:id="44"/>
      </w:r>
    </w:p>
    <w:p w:rsidR="00540616" w:rsidRDefault="00540616" w:rsidP="00ED39BA">
      <w:pPr>
        <w:jc w:val="both"/>
      </w:pPr>
      <w:r w:rsidRPr="00540616">
        <w:t>The Victorian Bar Council referred the proposal to several sub-committees, wrote several expositions of the relevant legal issues and then concluded that it was a</w:t>
      </w:r>
      <w:r>
        <w:t xml:space="preserve"> matter for the courts.</w:t>
      </w:r>
      <w:r>
        <w:rPr>
          <w:rStyle w:val="FootnoteReference"/>
        </w:rPr>
        <w:footnoteReference w:id="45"/>
      </w:r>
    </w:p>
    <w:p w:rsidR="00540616" w:rsidRDefault="00540616" w:rsidP="00ED39BA">
      <w:pPr>
        <w:jc w:val="both"/>
      </w:pPr>
      <w:r w:rsidRPr="00540616">
        <w:t>At the same time, we asked those of our students who had accompanied a client to court as a McKenzie friend, or represented a client in a tribunal, to write brief accounts of their experience. The purpose was to attach these accounts to our submission to the Magistrates Court, to illustrate in concrete terms the types of cases in which we proposed students should be allowed to appear and to provide preliminary evidence that our students were indeed competent in “lower level matters”. (Several students who had gone to court as a McKenzie friend were asked by the Magistrate to speak on behalf of the client and had acquitted themselves well, despite the fact that they had not expected to represent the client in this way and had therefore not prepared for it.)</w:t>
      </w:r>
    </w:p>
    <w:p w:rsidR="00540616" w:rsidRDefault="00540616" w:rsidP="00ED39BA">
      <w:pPr>
        <w:jc w:val="both"/>
      </w:pPr>
      <w:r w:rsidRPr="00540616">
        <w:t>The proposal was finally ready to be submitted to the Chief Magistrate. (After our false start with the Family Court we decided to begin this time with the Magistrates Court.) We included</w:t>
      </w:r>
      <w:r>
        <w:t xml:space="preserve"> </w:t>
      </w:r>
      <w:r w:rsidRPr="00540616">
        <w:t>information on the clinical program and described the Student Appearance proposal as ‘the logical extension of our existing course’. The proposal was considered by the Council of Magistrates and received the support o</w:t>
      </w:r>
      <w:r>
        <w:t>f the ‘overwhelming majority’.</w:t>
      </w:r>
      <w:r>
        <w:rPr>
          <w:rStyle w:val="FootnoteReference"/>
        </w:rPr>
        <w:footnoteReference w:id="46"/>
      </w:r>
      <w:r w:rsidRPr="00540616">
        <w:t xml:space="preserve"> A very small minority expressed strong disagreement and of course the Chief Magistrate, who personally supported it, could not direct her colleagues in the exercise of their discretion.</w:t>
      </w:r>
    </w:p>
    <w:p w:rsidR="00540616" w:rsidRDefault="00540616" w:rsidP="00ED39BA">
      <w:pPr>
        <w:jc w:val="both"/>
      </w:pPr>
      <w:r w:rsidRPr="00540616">
        <w:t>We then submitted the proposal to the Judge Administrator of our region of the Family Court. Within a month the Chief Justice and Southern Region Judges gave their support and the program began at the beginning of 1993.</w:t>
      </w:r>
    </w:p>
    <w:p w:rsidR="00540616" w:rsidRDefault="00540616" w:rsidP="00ED39BA">
      <w:pPr>
        <w:jc w:val="both"/>
        <w:rPr>
          <w:b/>
        </w:rPr>
      </w:pPr>
      <w:r w:rsidRPr="00540616">
        <w:rPr>
          <w:b/>
        </w:rPr>
        <w:t>The process</w:t>
      </w:r>
    </w:p>
    <w:p w:rsidR="00540616" w:rsidRDefault="00540616" w:rsidP="00ED39BA">
      <w:pPr>
        <w:jc w:val="both"/>
      </w:pPr>
      <w:r w:rsidRPr="00540616">
        <w:t>Once the clinic supervisor has identified a case as meeting the guidelines and the student wants to represent the client, the program is explained to the client, who of course is free to decide either to represent him or herself or to rely on a Duty Lawyer. If the client wants the student to represent him or her, s/he is asked to sign a form of consent. This includes an acknowledgement that the client is aware that the student is not a qualified lawyer. This form can be produced to the court if required and is placed on the client’s file after the hearing.</w:t>
      </w:r>
    </w:p>
    <w:p w:rsidR="00540616" w:rsidRDefault="00540616" w:rsidP="00ED39BA">
      <w:pPr>
        <w:jc w:val="both"/>
      </w:pPr>
      <w:r w:rsidRPr="00540616">
        <w:t>The student is then responsible for preparing the matter fully. Most teachers require their students to prepare a complete “script”, which the teacher then checks, but the student is of course told that on no account are they to read their script in court. The objective is that the student knows the facts, the law and the procedure so thoroughly that they can answer any question put to them, preferably without reference to their notes. (In this respect it is easy to understand that a student’s performance may be much more competent than a junior barrister who has received the brief only the night before the hearing.)</w:t>
      </w:r>
    </w:p>
    <w:p w:rsidR="00540616" w:rsidRDefault="00540616" w:rsidP="00ED39BA">
      <w:pPr>
        <w:jc w:val="both"/>
      </w:pPr>
      <w:r w:rsidRPr="00540616">
        <w:lastRenderedPageBreak/>
        <w:t>In the early years of the program, clinic teachers tried to act as the in-court supervisor of their students wherever possible. As the program became more routine and we became more confident of the courts’ attitude, we have tended to arrange for other practitioners, barristers or legal aid lawyers, to act as in court supervisors.</w:t>
      </w:r>
    </w:p>
    <w:p w:rsidR="00540616" w:rsidRDefault="00540616" w:rsidP="00ED39BA">
      <w:pPr>
        <w:jc w:val="both"/>
      </w:pPr>
      <w:r w:rsidRPr="00540616">
        <w:t>On the day of the hearing when the student checks in with the court office, s/he informs the court co-ordinator that it is a student appearance and this is noted on the court file. This means that when the case is called the Magistrate or Registrar can see that a student is representing the client. All the student has to do is formally to seek leave to appear on behalf of the relevant party. From then on the case proceeds as normal.</w:t>
      </w:r>
    </w:p>
    <w:p w:rsidR="00540616" w:rsidRPr="004164D0" w:rsidRDefault="00540616" w:rsidP="00ED39BA">
      <w:pPr>
        <w:jc w:val="both"/>
        <w:rPr>
          <w:b/>
        </w:rPr>
      </w:pPr>
      <w:r w:rsidRPr="004164D0">
        <w:rPr>
          <w:b/>
        </w:rPr>
        <w:t>Assessment</w:t>
      </w:r>
    </w:p>
    <w:p w:rsidR="00540616" w:rsidRDefault="00540616" w:rsidP="00ED39BA">
      <w:pPr>
        <w:jc w:val="both"/>
      </w:pPr>
      <w:r w:rsidRPr="00540616">
        <w:t>Initially we had not intended that appearances would be assessable. However, it quickly became apparent that the students put so much work into their preparation, in a subject which itself required significantly more work than a conventional academic subject, that fairness required that they be allowed to count appearances as part of their assessment.</w:t>
      </w:r>
    </w:p>
    <w:p w:rsidR="00540616" w:rsidRDefault="00540616" w:rsidP="00ED39BA">
      <w:pPr>
        <w:jc w:val="both"/>
      </w:pPr>
      <w:r w:rsidRPr="00540616">
        <w:t>We therefore introduced a regime that allowed students to choose, for 20% of the total mark in the clinical subject, either an assignment (which had previously been mandatory) or two</w:t>
      </w:r>
      <w:r>
        <w:t xml:space="preserve"> </w:t>
      </w:r>
      <w:r w:rsidRPr="00540616">
        <w:t>appearances and a 1000 word report. The elements of assessment for the appearances themselves are: pre-hearing preparation; adherence to rules of court etiquette; content of appearance; and after-court explanation to the client.</w:t>
      </w:r>
    </w:p>
    <w:p w:rsidR="00540616" w:rsidRDefault="00540616" w:rsidP="00ED39BA">
      <w:pPr>
        <w:jc w:val="both"/>
      </w:pPr>
      <w:r w:rsidRPr="00540616">
        <w:t>For the report, the student is required to compare the two appearances in respect of issues such as preparation, supervisor’s role, how the clients felt about being represented by a student; ethical issues and what they learnt from the experience.</w:t>
      </w:r>
    </w:p>
    <w:p w:rsidR="004164D0" w:rsidRDefault="004164D0" w:rsidP="00ED39BA">
      <w:pPr>
        <w:jc w:val="both"/>
      </w:pPr>
      <w:r w:rsidRPr="004164D0">
        <w:t>The introduction of assessment into the program added an additional practical factor – the in-court supervisor would be asked t</w:t>
      </w:r>
      <w:r>
        <w:t>o complete the assessment form.</w:t>
      </w:r>
      <w:r>
        <w:rPr>
          <w:rStyle w:val="FootnoteReference"/>
        </w:rPr>
        <w:footnoteReference w:id="47"/>
      </w:r>
      <w:r w:rsidRPr="004164D0">
        <w:t xml:space="preserve"> However as the majority of supervisors are more than willing to give students detailed feedback this has not proved to be a difficulty.</w:t>
      </w:r>
    </w:p>
    <w:p w:rsidR="004164D0" w:rsidRDefault="004164D0" w:rsidP="00ED39BA">
      <w:pPr>
        <w:jc w:val="both"/>
      </w:pPr>
      <w:r w:rsidRPr="004164D0">
        <w:t>Secondly when a student has done one appearance and therefore opted for this form of assessment there is some pressure on the clinic supervisor to “find” a second appearance for that student. The teacher’s responsibility to balance the interests of clients and students is discussed more fully below.</w:t>
      </w:r>
    </w:p>
    <w:p w:rsidR="004164D0" w:rsidRPr="004164D0" w:rsidRDefault="004164D0" w:rsidP="00ED39BA">
      <w:pPr>
        <w:jc w:val="both"/>
        <w:rPr>
          <w:b/>
        </w:rPr>
      </w:pPr>
      <w:r w:rsidRPr="004164D0">
        <w:rPr>
          <w:b/>
        </w:rPr>
        <w:t>Magistrates’ attitude</w:t>
      </w:r>
    </w:p>
    <w:p w:rsidR="004164D0" w:rsidRDefault="004164D0" w:rsidP="00ED39BA">
      <w:pPr>
        <w:jc w:val="both"/>
      </w:pPr>
      <w:r w:rsidRPr="004164D0">
        <w:t xml:space="preserve">Given that a small number of Magistrates had made it known in advance that they opposed the program we have experienced very few difficulties. A record was kept of every appearance in the first few years and when an individual Magistrate refused leave to a student, all teachers tried in subsequent cases to ensure that a case was not heard before that Magistrate. Some Magistrates </w:t>
      </w:r>
      <w:r w:rsidRPr="004164D0">
        <w:lastRenderedPageBreak/>
        <w:t>who refused leave in the first case that came before them eventually changed their mind and granted leave in later cases without demur.</w:t>
      </w:r>
    </w:p>
    <w:p w:rsidR="004164D0" w:rsidRPr="004164D0" w:rsidRDefault="004164D0" w:rsidP="00ED39BA">
      <w:pPr>
        <w:jc w:val="both"/>
        <w:rPr>
          <w:b/>
        </w:rPr>
      </w:pPr>
      <w:r w:rsidRPr="004164D0">
        <w:rPr>
          <w:b/>
        </w:rPr>
        <w:t>Evaluating the students’ performance</w:t>
      </w:r>
    </w:p>
    <w:p w:rsidR="004164D0" w:rsidRDefault="004164D0" w:rsidP="00ED39BA">
      <w:pPr>
        <w:jc w:val="both"/>
      </w:pPr>
      <w:r w:rsidRPr="004164D0">
        <w:t>In the ten years since the program began students have represented more than 1,000 clients who would otherwise have gone unrepresented.</w:t>
      </w:r>
    </w:p>
    <w:p w:rsidR="004164D0" w:rsidRDefault="004164D0" w:rsidP="00ED39BA">
      <w:pPr>
        <w:jc w:val="both"/>
      </w:pPr>
      <w:r w:rsidRPr="004164D0">
        <w:t>No systematic evaluation of the quality of the students’ performance has been carried out but the marks awarded by practitioners who act as in-court supervisors indicate a high level of competence. In one semester the average mark given by external supervisors was 87.5%.</w:t>
      </w:r>
    </w:p>
    <w:p w:rsidR="004164D0" w:rsidRDefault="004164D0" w:rsidP="00ED39BA">
      <w:pPr>
        <w:jc w:val="both"/>
      </w:pPr>
      <w:r w:rsidRPr="004164D0">
        <w:t>In a research project recently completed by the author and Judith Di</w:t>
      </w:r>
      <w:r>
        <w:t>ckson of La Trobe University,</w:t>
      </w:r>
      <w:r>
        <w:rPr>
          <w:rStyle w:val="FootnoteReference"/>
        </w:rPr>
        <w:footnoteReference w:id="48"/>
      </w:r>
      <w:r w:rsidRPr="004164D0">
        <w:t>magistrates who had presided over, and practitioners who had supervised, at least two appearances were interviewed about their views of the program. The magistrates were clearly very positive. They supported the program because of its educational value to students; they thought that the students’ performance was generally as good as that of junior practitioners and that they assisted the court.</w:t>
      </w:r>
    </w:p>
    <w:p w:rsidR="004164D0" w:rsidRDefault="004164D0" w:rsidP="00ED39BA">
      <w:pPr>
        <w:jc w:val="both"/>
      </w:pPr>
      <w:r w:rsidRPr="004164D0">
        <w:t>Similarly the practitioners interviewed considered that the students they had seen were often as good as and sometimes better than junior practitioners, mainly because the students had obviously prepared so thoroughly; and one said the students were of a very high standard. The practitioners all agreed that the representation provided by the students was much more efficient in the court process than an unrepresented defendant.</w:t>
      </w:r>
    </w:p>
    <w:p w:rsidR="00B85F0E" w:rsidRDefault="00B85F0E" w:rsidP="00ED39BA">
      <w:pPr>
        <w:jc w:val="both"/>
      </w:pPr>
      <w:r w:rsidRPr="00B85F0E">
        <w:t>Clients’ views of the service they received from the students have not been recorded other than anecdotally. It is probable that most clients, who had become used to dealing with a student during the conduct of their matter in the legal centre, took it for granted when the same student represented them. Clients were therefore not particularly concerned by the legal significance of having a student represent them, even though they had had this aspect brought to their attention when the consent form was explained to them.</w:t>
      </w:r>
    </w:p>
    <w:p w:rsidR="004164D0" w:rsidRPr="006214E2" w:rsidRDefault="00B85F0E" w:rsidP="00ED39BA">
      <w:pPr>
        <w:jc w:val="both"/>
        <w:rPr>
          <w:b/>
        </w:rPr>
      </w:pPr>
      <w:r w:rsidRPr="006214E2">
        <w:rPr>
          <w:b/>
        </w:rPr>
        <w:t>The role of the clinic supervisor</w:t>
      </w:r>
    </w:p>
    <w:p w:rsidR="00B85F0E" w:rsidRDefault="00B85F0E" w:rsidP="00ED39BA">
      <w:pPr>
        <w:jc w:val="both"/>
      </w:pPr>
      <w:r w:rsidRPr="00B85F0E">
        <w:t xml:space="preserve">The clinic supervisors play a dual role: they are teachers and practitioners. In all the work of the legal centres in which students are involved, they have a dual responsibility – to protect the client’s interest in receiving competent legal service and the student’s interest in expanding their educational experience. The supervisor must constantly weigh and balance the two interests. This requires a careful assessment of the legal tasks which must be carried out and the timeframe within which this must be done, in order to advance the client’s position; and an equally careful assessment of the competence of the individual student and their capacity to meet the relevant timeframe. The student will learn more if they are given the responsibility and the opportunity to perform the work required; but the client will suffer if the student cannot competently complete it within time. Into </w:t>
      </w:r>
      <w:r w:rsidRPr="00B85F0E">
        <w:lastRenderedPageBreak/>
        <w:t>this mix the supervisor must add their own availability – to be accessible to advise the student and to check their work.</w:t>
      </w:r>
    </w:p>
    <w:p w:rsidR="00B85F0E" w:rsidRDefault="00B85F0E" w:rsidP="00ED39BA">
      <w:pPr>
        <w:jc w:val="both"/>
      </w:pPr>
      <w:r w:rsidRPr="00B85F0E">
        <w:t>The same process applies within the specific context of the student appearance program. When a client comes into the legal centre with, for example, a summary criminal matter, the supervisor must assess a number of interlocking factors:</w:t>
      </w:r>
    </w:p>
    <w:p w:rsidR="00B85F0E" w:rsidRDefault="00B85F0E" w:rsidP="00ED39BA">
      <w:pPr>
        <w:pStyle w:val="ListParagraph"/>
        <w:numPr>
          <w:ilvl w:val="0"/>
          <w:numId w:val="1"/>
        </w:numPr>
        <w:jc w:val="both"/>
      </w:pPr>
      <w:r w:rsidRPr="00B85F0E">
        <w:t>should the client plead guilty or not guilty? If the plea is not guilty, the matter will not be within the program guidelines;</w:t>
      </w:r>
    </w:p>
    <w:p w:rsidR="00B85F0E" w:rsidRDefault="00B85F0E" w:rsidP="00ED39BA">
      <w:pPr>
        <w:pStyle w:val="ListParagraph"/>
        <w:numPr>
          <w:ilvl w:val="0"/>
          <w:numId w:val="1"/>
        </w:numPr>
        <w:jc w:val="both"/>
      </w:pPr>
      <w:r w:rsidRPr="00B85F0E">
        <w:t>might the client be eligible for legal aid? If so, again the case is outside the guidelines;</w:t>
      </w:r>
    </w:p>
    <w:p w:rsidR="00B85F0E" w:rsidRDefault="00B85F0E" w:rsidP="00ED39BA">
      <w:pPr>
        <w:pStyle w:val="ListParagraph"/>
        <w:numPr>
          <w:ilvl w:val="0"/>
          <w:numId w:val="1"/>
        </w:numPr>
        <w:jc w:val="both"/>
      </w:pPr>
      <w:r w:rsidRPr="00B85F0E">
        <w:t>is there time to make an application for legal aid?</w:t>
      </w:r>
    </w:p>
    <w:p w:rsidR="00B85F0E" w:rsidRDefault="00B85F0E" w:rsidP="00ED39BA">
      <w:pPr>
        <w:pStyle w:val="ListParagraph"/>
        <w:numPr>
          <w:ilvl w:val="0"/>
          <w:numId w:val="1"/>
        </w:numPr>
        <w:jc w:val="both"/>
      </w:pPr>
      <w:r w:rsidRPr="00B85F0E">
        <w:t>even if the appropriate plea is guilty, is the case appropriate for student representation, bearing in mind the seriousness of the charge, the client’s prior history etc? These factors might on reflection strengthen an application for legal aid.</w:t>
      </w:r>
    </w:p>
    <w:p w:rsidR="00B85F0E" w:rsidRDefault="00B85F0E" w:rsidP="00ED39BA">
      <w:pPr>
        <w:pStyle w:val="ListParagraph"/>
        <w:numPr>
          <w:ilvl w:val="0"/>
          <w:numId w:val="1"/>
        </w:numPr>
        <w:jc w:val="both"/>
      </w:pPr>
      <w:r w:rsidRPr="00B85F0E">
        <w:t>If the case is appropriate for student representation, is the individual student who has interviewed the client and taken on the conduct of the matter competent to do it?</w:t>
      </w:r>
    </w:p>
    <w:p w:rsidR="00B85F0E" w:rsidRDefault="00BF08BB" w:rsidP="00ED39BA">
      <w:pPr>
        <w:jc w:val="both"/>
      </w:pPr>
      <w:r w:rsidRPr="00BF08BB">
        <w:t>In this complex formula the supervisor must be careful to put aside the consideration, mentioned earlier, that the student “needs a second appearance”.</w:t>
      </w:r>
    </w:p>
    <w:p w:rsidR="00BF08BB" w:rsidRDefault="00BF08BB" w:rsidP="00ED39BA">
      <w:pPr>
        <w:jc w:val="both"/>
      </w:pPr>
      <w:r w:rsidRPr="00BF08BB">
        <w:t>The supervisor identifies and articulates these factors in discussion with the student. In so doing the supervisor is modelling for the student the careful professional attitude of putting the client’s interest first and acknowledging the ethical obligations inherent in the lawyer’s role.</w:t>
      </w:r>
    </w:p>
    <w:p w:rsidR="00BF08BB" w:rsidRDefault="00BF08BB" w:rsidP="00ED39BA">
      <w:pPr>
        <w:jc w:val="both"/>
      </w:pPr>
      <w:r w:rsidRPr="00BF08BB">
        <w:t>The more substantial aspect of the supervisor’s role in the student appearance program relates to the student’s preparation for the appearance. With every appearance, the reputation of the program is at stake and the supervisor must provide the student with advice, support and the</w:t>
      </w:r>
      <w:r>
        <w:t xml:space="preserve"> </w:t>
      </w:r>
      <w:r w:rsidRPr="00BF08BB">
        <w:t>appropriate sense of responsibility for the client; while not burdening him or her with the added responsibility of the fate of the whole program.</w:t>
      </w:r>
    </w:p>
    <w:p w:rsidR="00BF08BB" w:rsidRDefault="00BF08BB" w:rsidP="00ED39BA">
      <w:pPr>
        <w:jc w:val="both"/>
      </w:pPr>
      <w:r w:rsidRPr="00BF08BB">
        <w:t>From the moment that the question of student representation is discussed throughout the preparation of the appearance, the supervisor helps the student to identify the ethical issues involved: the duty to put the client’s case, the duty not to mislead the court. What can be said on behalf of the client? What must not be said?</w:t>
      </w:r>
    </w:p>
    <w:p w:rsidR="00BF08BB" w:rsidRPr="00BF08BB" w:rsidRDefault="00BF08BB" w:rsidP="00ED39BA">
      <w:pPr>
        <w:jc w:val="both"/>
        <w:rPr>
          <w:b/>
        </w:rPr>
      </w:pPr>
      <w:r w:rsidRPr="00BF08BB">
        <w:rPr>
          <w:b/>
        </w:rPr>
        <w:t>Part III  Can student appearances meet the policies underlying the limited right of audience?</w:t>
      </w:r>
    </w:p>
    <w:p w:rsidR="00BF08BB" w:rsidRDefault="00BF08BB" w:rsidP="00ED39BA">
      <w:pPr>
        <w:jc w:val="both"/>
      </w:pPr>
      <w:r w:rsidRPr="00BF08BB">
        <w:t>Can a Student Appearance program, operating within the guidelines discussed earlier, meet the justifications put forward by the courts for the restriction of the right of audience to qualified practitioners?</w:t>
      </w:r>
    </w:p>
    <w:p w:rsidR="00BF08BB" w:rsidRDefault="00BF08BB" w:rsidP="00ED39BA">
      <w:pPr>
        <w:jc w:val="both"/>
      </w:pPr>
      <w:r w:rsidRPr="00BF08BB">
        <w:t>There is no doubt that, as long as the emphasis is on the formal status of admitted practitioners, students do not have that status. But can they meet the substance of the courts’ requirements?</w:t>
      </w:r>
    </w:p>
    <w:p w:rsidR="00BF08BB" w:rsidRDefault="00BF08BB" w:rsidP="00ED39BA">
      <w:pPr>
        <w:jc w:val="both"/>
      </w:pPr>
      <w:r w:rsidRPr="00BF08BB">
        <w:t>It is suggested that, provided students’ appearances are confined to limited categories of cases and clinic supervisors continue to take full responsibility for their thorough preparation, they do in fact meet the major requirements.</w:t>
      </w:r>
    </w:p>
    <w:p w:rsidR="00BF08BB" w:rsidRDefault="00BF08BB" w:rsidP="00ED39BA">
      <w:pPr>
        <w:jc w:val="both"/>
      </w:pPr>
      <w:r w:rsidRPr="00BF08BB">
        <w:lastRenderedPageBreak/>
        <w:t>The critical issue is that ex hypothesi the alternative to student representation is litigants in person. There can be no doubt that a well prepared student is far more likely, in the words of Mahoney AP, to provide “full assistance to the court...in the isolation of issues and the presentation of considerations which support o</w:t>
      </w:r>
      <w:r>
        <w:t>ne answer rather than another.”</w:t>
      </w:r>
      <w:r>
        <w:rPr>
          <w:rStyle w:val="FootnoteReference"/>
        </w:rPr>
        <w:footnoteReference w:id="49"/>
      </w:r>
      <w:r w:rsidRPr="00BF08BB">
        <w:t xml:space="preserve"> Whether in a guilty plea or a family law application the student presents the facts relevantly and concisely, identifies the legal issues and articulates the outcomes sought. It is virtually impossible for the overwhelming majority of litigants in person to do this.</w:t>
      </w:r>
    </w:p>
    <w:p w:rsidR="00286D73" w:rsidRDefault="00286D73" w:rsidP="00ED39BA">
      <w:pPr>
        <w:jc w:val="both"/>
      </w:pPr>
      <w:r w:rsidRPr="00286D73">
        <w:t xml:space="preserve">Secondly the clinic supervisors ensure that students are extremely conscious of their duty to the court and considerable care is taken in the preparation of the appearance to ensure that this duty is fulfilled. Although the litigant in person has </w:t>
      </w:r>
      <w:r>
        <w:t>a duty not to mislead the court</w:t>
      </w:r>
      <w:r>
        <w:rPr>
          <w:rStyle w:val="FootnoteReference"/>
        </w:rPr>
        <w:footnoteReference w:id="50"/>
      </w:r>
      <w:r w:rsidRPr="00286D73">
        <w:t xml:space="preserve"> it is asking a great deal of the average person that they resist the temptation to cross the fine line between putting the truth as favourably as possible and exaggerating or embellishing it.</w:t>
      </w:r>
    </w:p>
    <w:p w:rsidR="00286D73" w:rsidRDefault="00286D73" w:rsidP="00ED39BA">
      <w:pPr>
        <w:jc w:val="both"/>
      </w:pPr>
      <w:r w:rsidRPr="00286D73">
        <w:t>Thirdly, the role of any advocate, qualified or not, includes controlling the anxious or temperamental litigant who, in the absence of the sense that their story is being told and heard, might well disrupt the proceedings by outbursts or abuse.</w:t>
      </w:r>
    </w:p>
    <w:p w:rsidR="00286D73" w:rsidRDefault="00286D73" w:rsidP="00ED39BA">
      <w:pPr>
        <w:jc w:val="both"/>
      </w:pPr>
      <w:r w:rsidRPr="00286D73">
        <w:t>The one consideration underlying the restricted right of audience which student appearances cannot meet is the availability of disciplinary sanctions over practitioners who fail to meet their ethical obligations. The very fact that students are not admitted to practice makes this self-evident (although presumably if a student’s conduct were inappropriate in the extreme they could be held in contempt of court).</w:t>
      </w:r>
    </w:p>
    <w:p w:rsidR="00286D73" w:rsidRDefault="00286D73" w:rsidP="00ED39BA">
      <w:pPr>
        <w:jc w:val="both"/>
      </w:pPr>
      <w:r w:rsidRPr="00286D73">
        <w:t>It is to meet this issue that the research project referred to above, in proposing model legislation governing student advocacy, recommends that a provision be included imposing “the same duties</w:t>
      </w:r>
      <w:r>
        <w:t xml:space="preserve"> </w:t>
      </w:r>
      <w:r w:rsidR="001A7B82" w:rsidRPr="001A7B82">
        <w:t>and obligations” on student advocates as if they were qualified practitioners.</w:t>
      </w:r>
    </w:p>
    <w:p w:rsidR="001A7B82" w:rsidRDefault="001A7B82" w:rsidP="00ED39BA">
      <w:pPr>
        <w:jc w:val="both"/>
      </w:pPr>
      <w:r w:rsidRPr="001A7B82">
        <w:t>The final issue to be considered is whether a student could “cause the litigant loss” and this leads to a discussion of whether a student advocate would be liable to a client in negligence.</w:t>
      </w:r>
    </w:p>
    <w:p w:rsidR="001A7B82" w:rsidRPr="00E85BC6" w:rsidRDefault="001A7B82" w:rsidP="00ED39BA">
      <w:pPr>
        <w:jc w:val="both"/>
        <w:rPr>
          <w:b/>
        </w:rPr>
      </w:pPr>
      <w:r w:rsidRPr="00E85BC6">
        <w:rPr>
          <w:b/>
        </w:rPr>
        <w:t>PART IV  A student immunity?</w:t>
      </w:r>
    </w:p>
    <w:p w:rsidR="001A7B82" w:rsidRDefault="001A7B82" w:rsidP="00ED39BA">
      <w:pPr>
        <w:jc w:val="both"/>
      </w:pPr>
      <w:r w:rsidRPr="001A7B82">
        <w:t>The applicable authority in Australia on the advocate’s immunity from liability for negligent in-court conduct is the decision of the High Court of Aus</w:t>
      </w:r>
      <w:r>
        <w:t xml:space="preserve">tralia in </w:t>
      </w:r>
      <w:r w:rsidRPr="0089055A">
        <w:rPr>
          <w:i/>
        </w:rPr>
        <w:t>Giannarelli v Wraith</w:t>
      </w:r>
      <w:r>
        <w:rPr>
          <w:rStyle w:val="FootnoteReference"/>
        </w:rPr>
        <w:footnoteReference w:id="51"/>
      </w:r>
      <w:r w:rsidRPr="001A7B82">
        <w:t xml:space="preserve"> where by a 4/3 majority the Court upheld the immunity, following the same reasoning as </w:t>
      </w:r>
      <w:r w:rsidRPr="0089055A">
        <w:rPr>
          <w:i/>
        </w:rPr>
        <w:t>Rondel v Worsley</w:t>
      </w:r>
      <w:r>
        <w:rPr>
          <w:rStyle w:val="FootnoteReference"/>
        </w:rPr>
        <w:footnoteReference w:id="52"/>
      </w:r>
      <w:r w:rsidRPr="001A7B82">
        <w:t xml:space="preserve"> and </w:t>
      </w:r>
      <w:r w:rsidRPr="0089055A">
        <w:rPr>
          <w:i/>
        </w:rPr>
        <w:t>Saif Ali v Sydney Mitchell &amp; Co</w:t>
      </w:r>
      <w:r>
        <w:t>.</w:t>
      </w:r>
      <w:r>
        <w:rPr>
          <w:rStyle w:val="FootnoteReference"/>
        </w:rPr>
        <w:footnoteReference w:id="53"/>
      </w:r>
    </w:p>
    <w:p w:rsidR="00A42984" w:rsidRDefault="00A42984" w:rsidP="00ED39BA">
      <w:pPr>
        <w:jc w:val="both"/>
      </w:pPr>
      <w:r>
        <w:t>In 1999</w:t>
      </w:r>
      <w:r>
        <w:rPr>
          <w:rStyle w:val="FootnoteReference"/>
        </w:rPr>
        <w:footnoteReference w:id="54"/>
      </w:r>
      <w:r w:rsidRPr="00A42984">
        <w:t xml:space="preserve"> the High Court was expressly invited to reconsider its dec</w:t>
      </w:r>
      <w:r w:rsidR="00BF2766">
        <w:t xml:space="preserve">ision in </w:t>
      </w:r>
      <w:r w:rsidR="00BF2766" w:rsidRPr="0089055A">
        <w:rPr>
          <w:i/>
        </w:rPr>
        <w:t>Giannarelli v Wraith</w:t>
      </w:r>
      <w:r w:rsidR="00BF2766">
        <w:t>.</w:t>
      </w:r>
      <w:r w:rsidR="00BF2766">
        <w:rPr>
          <w:rStyle w:val="FootnoteReference"/>
        </w:rPr>
        <w:footnoteReference w:id="55"/>
      </w:r>
      <w:r w:rsidRPr="00A42984">
        <w:t xml:space="preserve"> In a decision handed down seven months before that of the House of Lords in </w:t>
      </w:r>
      <w:r w:rsidRPr="0089055A">
        <w:rPr>
          <w:i/>
        </w:rPr>
        <w:t xml:space="preserve">Arthur </w:t>
      </w:r>
      <w:r w:rsidR="00BF2766" w:rsidRPr="0089055A">
        <w:rPr>
          <w:i/>
        </w:rPr>
        <w:t>J.S. Hall &amp; Co. Ltd. v</w:t>
      </w:r>
      <w:r w:rsidR="00BF2766">
        <w:t xml:space="preserve"> </w:t>
      </w:r>
      <w:r w:rsidR="00BF2766" w:rsidRPr="00FA31E2">
        <w:rPr>
          <w:i/>
        </w:rPr>
        <w:lastRenderedPageBreak/>
        <w:t>Simons</w:t>
      </w:r>
      <w:r w:rsidR="00BF2766">
        <w:t>,</w:t>
      </w:r>
      <w:r w:rsidR="00BF2766">
        <w:rPr>
          <w:rStyle w:val="FootnoteReference"/>
        </w:rPr>
        <w:footnoteReference w:id="56"/>
      </w:r>
      <w:r w:rsidRPr="00A42984">
        <w:t xml:space="preserve"> effectively abolishing the immunity, the Court rejected the invitation. The practitioners who were defendants to the claims in this case were held not to have been negligent and the Court was therefore able to put aside the issue of advocates’ immunity on the basis that it did not need to be considered.</w:t>
      </w:r>
    </w:p>
    <w:p w:rsidR="007D0DFB" w:rsidRDefault="007D0DFB" w:rsidP="00ED39BA">
      <w:pPr>
        <w:jc w:val="both"/>
      </w:pPr>
      <w:r w:rsidRPr="007D0DFB">
        <w:t>However there were indications from thr</w:t>
      </w:r>
      <w:r>
        <w:t>ee judges that on “another day”</w:t>
      </w:r>
      <w:r>
        <w:rPr>
          <w:rStyle w:val="FootnoteReference"/>
        </w:rPr>
        <w:footnoteReference w:id="57"/>
      </w:r>
      <w:r w:rsidRPr="007D0DFB">
        <w:t xml:space="preserve"> the issue might be reconsidered. Gaudron J (since retired) said that had the question of “immunity” arisen, she would have granted leave to re-open </w:t>
      </w:r>
      <w:r w:rsidRPr="00FA31E2">
        <w:rPr>
          <w:i/>
        </w:rPr>
        <w:t>Giannarelli</w:t>
      </w:r>
      <w:r w:rsidRPr="007D0DFB">
        <w:t xml:space="preserve"> because proximity – “more precisely the nature of the relationship mandated by that notion – may exclude the existence of a duty of care on the part of legal practitioners </w:t>
      </w:r>
      <w:r>
        <w:t>with respect to work in court.”</w:t>
      </w:r>
      <w:r>
        <w:rPr>
          <w:rStyle w:val="FootnoteReference"/>
        </w:rPr>
        <w:footnoteReference w:id="58"/>
      </w:r>
      <w:r w:rsidRPr="007D0DFB">
        <w:t xml:space="preserve"> Gummow J acknowledged that a number of issues arise</w:t>
      </w:r>
      <w:r>
        <w:t xml:space="preserve"> with respect to the immunity.</w:t>
      </w:r>
      <w:r>
        <w:rPr>
          <w:rStyle w:val="FootnoteReference"/>
        </w:rPr>
        <w:footnoteReference w:id="59"/>
      </w:r>
      <w:r w:rsidRPr="007D0DFB">
        <w:t xml:space="preserve"> Kirby J devoted a significant part of his judgment to the policy issues relevant to the immunity and said that the binding authority of </w:t>
      </w:r>
      <w:r w:rsidRPr="00FA31E2">
        <w:rPr>
          <w:i/>
        </w:rPr>
        <w:t>Giannarelli</w:t>
      </w:r>
      <w:r w:rsidRPr="007D0DFB">
        <w:t xml:space="preserve"> is confined to immunity i</w:t>
      </w:r>
      <w:r>
        <w:t>n respect of in-court conduct.</w:t>
      </w:r>
      <w:r>
        <w:rPr>
          <w:rStyle w:val="FootnoteReference"/>
        </w:rPr>
        <w:footnoteReference w:id="60"/>
      </w:r>
    </w:p>
    <w:p w:rsidR="00CB5C29" w:rsidRDefault="00CB5C29" w:rsidP="00ED39BA">
      <w:pPr>
        <w:jc w:val="both"/>
      </w:pPr>
      <w:r w:rsidRPr="00CB5C29">
        <w:t>It therefore seems likely that the issue of the immunity will be re-opened by the High Court in a case where it cannot be avoided.</w:t>
      </w:r>
    </w:p>
    <w:p w:rsidR="00CB5C29" w:rsidRDefault="00CB5C29" w:rsidP="00ED39BA">
      <w:pPr>
        <w:jc w:val="both"/>
      </w:pPr>
      <w:r w:rsidRPr="00CB5C29">
        <w:t xml:space="preserve">However, as long as </w:t>
      </w:r>
      <w:r w:rsidRPr="00FA31E2">
        <w:rPr>
          <w:i/>
        </w:rPr>
        <w:t>Giannarelli v Wraith</w:t>
      </w:r>
      <w:r w:rsidRPr="00CB5C29">
        <w:t xml:space="preserve"> remains the applicable law in Australia, it is necessary to analyse the reasoning in that decision in an attempt to answer the question of whether students as advocates might also be immune from liability for any negligence in the conduct of the matter in court.</w:t>
      </w:r>
    </w:p>
    <w:p w:rsidR="00CB5C29" w:rsidRDefault="00CB5C29" w:rsidP="00ED39BA">
      <w:pPr>
        <w:jc w:val="both"/>
      </w:pPr>
      <w:r w:rsidRPr="00CB5C29">
        <w:t xml:space="preserve">The plaintiffs in </w:t>
      </w:r>
      <w:r w:rsidRPr="00FA31E2">
        <w:rPr>
          <w:i/>
        </w:rPr>
        <w:t>Giannarelli</w:t>
      </w:r>
      <w:r w:rsidRPr="00CB5C29">
        <w:t xml:space="preserve"> were three men who had been convicted of perjury as a result of evidence they gave to a Royal Commission. The negligence complained of against their counsel was that the latter failed to raise in the plaintiffs’ defence of the perjury proceedings provisions of the Commonwealth Royal Commissions Act 1902 which rendered evidence given to a Royal Commission inadmissible in criminal proceedings. There could perhaps be no clearer example of professional negligence.</w:t>
      </w:r>
    </w:p>
    <w:p w:rsidR="00CB5C29" w:rsidRDefault="003F07E3" w:rsidP="00ED39BA">
      <w:pPr>
        <w:jc w:val="both"/>
      </w:pPr>
      <w:r w:rsidRPr="003F07E3">
        <w:t>The leading judgment in the High Court is that of Mason CJ. After r</w:t>
      </w:r>
      <w:r>
        <w:t>eferring to Rondel v Worsley’s</w:t>
      </w:r>
      <w:r>
        <w:rPr>
          <w:rStyle w:val="FootnoteReference"/>
        </w:rPr>
        <w:footnoteReference w:id="61"/>
      </w:r>
      <w:r w:rsidRPr="003F07E3">
        <w:t xml:space="preserve"> rejection of the argument that a barrister’s inability to sue for his fees could support his immunity in negligence, the Chief Justice went on to support the maintenance of the immunity on two considerations of public policy. The first is counsel’s duty to the court, which overrides the duty to the client but which might be threatened by counsel’s concern to avoid the risk of a negligence action by the client. The second consideration is the “relitigation” argument, that an action for negligence would constitute a collateral attack on the d</w:t>
      </w:r>
      <w:r>
        <w:t>ecision in the principal case.</w:t>
      </w:r>
      <w:r>
        <w:rPr>
          <w:rStyle w:val="FootnoteReference"/>
        </w:rPr>
        <w:footnoteReference w:id="62"/>
      </w:r>
    </w:p>
    <w:p w:rsidR="00DA7EE2" w:rsidRDefault="00DA7EE2" w:rsidP="00ED39BA">
      <w:pPr>
        <w:jc w:val="both"/>
      </w:pPr>
      <w:r w:rsidRPr="00DA7EE2">
        <w:t>Leaving aside the merits of these arguments, which have been dealt with persuasively by the House of Lords, the question becomes: can such considerations of public policy apply equally to unqualified advocates appearing by leave of the court?</w:t>
      </w:r>
    </w:p>
    <w:p w:rsidR="00DA7EE2" w:rsidRDefault="00DA7EE2" w:rsidP="00ED39BA">
      <w:pPr>
        <w:jc w:val="both"/>
      </w:pPr>
      <w:r w:rsidRPr="00DA7EE2">
        <w:lastRenderedPageBreak/>
        <w:t>It is clear that the “relitigation” argument can logically apply with equal force to cases conducted by a lay advocate and those conducted by an admitted practitioner, because it is an argument based not on the status of the advocate or even on his or her role, but one based on the efficient operation of the system, the administration of j</w:t>
      </w:r>
      <w:r>
        <w:t>ustice in the abstract.</w:t>
      </w:r>
      <w:r>
        <w:rPr>
          <w:rStyle w:val="FootnoteReference"/>
        </w:rPr>
        <w:footnoteReference w:id="63"/>
      </w:r>
    </w:p>
    <w:p w:rsidR="00DA7EE2" w:rsidRDefault="00DA7EE2" w:rsidP="00ED39BA">
      <w:pPr>
        <w:jc w:val="both"/>
      </w:pPr>
      <w:r w:rsidRPr="00DA7EE2">
        <w:t>As to the first ground of public policy, that the risk of being sued for negligence by the client might influence the advocate’s conduct of the case at the expense of his or her duty to exercise independent judgment in the interest of the court, prima facie it might be concluded that the immunity could not apply to unqualified advocates simply because they do not owe a duty to the court as qualified advocates do. The justification for the immunity would therefore not apply to unqualified advocates. And it is probably no answer to this argument to say that, in seeking leave to appear, the unqualified advocate voluntarily assumes the duty imposed upon qualified advocates by virtue of their status as officers of the court.</w:t>
      </w:r>
    </w:p>
    <w:p w:rsidR="00DA7EE2" w:rsidRDefault="00DA7EE2" w:rsidP="00ED39BA">
      <w:pPr>
        <w:jc w:val="both"/>
      </w:pPr>
      <w:r w:rsidRPr="00DA7EE2">
        <w:t>However analysis of this justification for the immunity at a deeper level produces another issue. Is the immunity in fact based upon the advocate’s status or upon the function he or she fulfils in the conduct of litigation? If it is based upon the advocate’s status as a person admitted to a regulated profession who is subject to prescribed disciplinary sanctions for unacceptable conduct, then there can be no basis for extending the immunity to unqualified advocates.</w:t>
      </w:r>
    </w:p>
    <w:p w:rsidR="00DA7EE2" w:rsidRDefault="00DA7EE2" w:rsidP="00ED39BA">
      <w:pPr>
        <w:jc w:val="both"/>
      </w:pPr>
      <w:r w:rsidRPr="00DA7EE2">
        <w:t>Alternatively, if the immunity is justified on the basis of the function the advocate performs within the system of justice, then there may be no reason why any person carrying out this function with the permission of the court should not be covered by the immunity.</w:t>
      </w:r>
    </w:p>
    <w:p w:rsidR="00DA7EE2" w:rsidRDefault="00DA7EE2" w:rsidP="00ED39BA">
      <w:pPr>
        <w:jc w:val="both"/>
      </w:pPr>
      <w:r w:rsidRPr="00DA7EE2">
        <w:t xml:space="preserve">A close analysis of the majority judgments in </w:t>
      </w:r>
      <w:r w:rsidRPr="00AC2C9C">
        <w:rPr>
          <w:i/>
        </w:rPr>
        <w:t>Giannarelli v Wraith</w:t>
      </w:r>
      <w:r w:rsidRPr="00DA7EE2">
        <w:t xml:space="preserve"> suggests that this may well be the case. The judgments refer throughout to the advocate’s role in assisting the administration of justice, to counsel exercising an independent judgment “i</w:t>
      </w:r>
      <w:r>
        <w:t>n the interests of the court”.</w:t>
      </w:r>
      <w:r>
        <w:rPr>
          <w:rStyle w:val="FootnoteReference"/>
        </w:rPr>
        <w:footnoteReference w:id="64"/>
      </w:r>
      <w:r w:rsidRPr="00DA7EE2">
        <w:t xml:space="preserve"> For example, Mason CJ said:</w:t>
      </w:r>
    </w:p>
    <w:p w:rsidR="002D77FA" w:rsidRDefault="002D77FA" w:rsidP="00ED39BA">
      <w:pPr>
        <w:jc w:val="both"/>
      </w:pPr>
      <w:r w:rsidRPr="002D77FA">
        <w:t xml:space="preserve">“It follows that the exposure of counsel to liability in negligence for breach of a common law duty of care would create a real risk of adverse consequences for the efficient administration of justice. Litigation would tend to become more lengthy, </w:t>
      </w:r>
      <w:r>
        <w:t>more complex and more costly.”</w:t>
      </w:r>
      <w:r>
        <w:rPr>
          <w:rStyle w:val="FootnoteReference"/>
        </w:rPr>
        <w:footnoteReference w:id="65"/>
      </w:r>
    </w:p>
    <w:p w:rsidR="00DA7EE2" w:rsidRDefault="00C129A3" w:rsidP="00ED39BA">
      <w:pPr>
        <w:jc w:val="both"/>
      </w:pPr>
      <w:r w:rsidRPr="00C129A3">
        <w:t>Brennan J said:</w:t>
      </w:r>
    </w:p>
    <w:p w:rsidR="00C129A3" w:rsidRDefault="00C129A3" w:rsidP="00962156">
      <w:pPr>
        <w:ind w:left="720"/>
        <w:jc w:val="both"/>
      </w:pPr>
      <w:r w:rsidRPr="00C129A3">
        <w:t>“If the immunity of counsel were abrogated, the assistance which courts obtain from the advocacy of an independent pr</w:t>
      </w:r>
      <w:r>
        <w:t>ofession would be imperilled.”</w:t>
      </w:r>
      <w:r>
        <w:rPr>
          <w:rStyle w:val="FootnoteReference"/>
        </w:rPr>
        <w:footnoteReference w:id="66"/>
      </w:r>
    </w:p>
    <w:p w:rsidR="00C129A3" w:rsidRDefault="00C129A3" w:rsidP="00ED39BA">
      <w:pPr>
        <w:jc w:val="both"/>
      </w:pPr>
      <w:r w:rsidRPr="00C129A3">
        <w:t>The point is reinforced by the court’s acceptance that the immunity extends to a solicitor/advocate. As Wilson J said,</w:t>
      </w:r>
    </w:p>
    <w:p w:rsidR="00C129A3" w:rsidRDefault="00C129A3" w:rsidP="005D2A4C">
      <w:pPr>
        <w:ind w:left="720"/>
        <w:jc w:val="both"/>
      </w:pPr>
      <w:r w:rsidRPr="00C129A3">
        <w:lastRenderedPageBreak/>
        <w:t xml:space="preserve">“The critical factors are the function (the advocate) is performing at the material time and the impact which non-recognition of immunity might have upon the administration of justice. </w:t>
      </w:r>
      <w:r w:rsidRPr="005D2A4C">
        <w:rPr>
          <w:i/>
        </w:rPr>
        <w:t>It is the function of advocacy that attracts the immunity</w:t>
      </w:r>
      <w:r w:rsidRPr="00C129A3">
        <w:t xml:space="preserve">,(emphasis added) and, accordingly, it matters little whether the advocate is admitted to practice as a solicitor </w:t>
      </w:r>
      <w:r>
        <w:t>or as a barrister or as both.”</w:t>
      </w:r>
      <w:r>
        <w:rPr>
          <w:rStyle w:val="FootnoteReference"/>
        </w:rPr>
        <w:footnoteReference w:id="67"/>
      </w:r>
    </w:p>
    <w:p w:rsidR="005E738B" w:rsidRDefault="005E738B" w:rsidP="00ED39BA">
      <w:pPr>
        <w:jc w:val="both"/>
      </w:pPr>
      <w:r w:rsidRPr="005E738B">
        <w:t>If it is accepted that the immunity exists to protect the advocate’s role in the administration of justice, then it is at least arguable that an unqualified advocate should also benefit from the immunity, at least where the litigant would otherwise be unrepresented. The unqualified advocate is given leave to appear precisely because the courts accept that they are assisted by the appearance of an advocate who is able to present the litigant’s case clearly, concisely and honestly.</w:t>
      </w:r>
    </w:p>
    <w:p w:rsidR="005E738B" w:rsidRDefault="005E738B" w:rsidP="00ED39BA">
      <w:pPr>
        <w:jc w:val="both"/>
      </w:pPr>
      <w:r w:rsidRPr="005E738B">
        <w:t xml:space="preserve">In theory, therefore, the Monash students might be protected by the immunity. On the other hand, the argument that the advocate is entitled to immunity because of the role he or she plays in assisting the court and therefore advancing the administration of justice would not necessarily apply to all unqualified advocates, such as those who feature in cases such as </w:t>
      </w:r>
      <w:r w:rsidRPr="0012151E">
        <w:rPr>
          <w:i/>
        </w:rPr>
        <w:t>Paragon Finance plc v Noueiri</w:t>
      </w:r>
      <w:r>
        <w:t xml:space="preserve"> </w:t>
      </w:r>
      <w:r>
        <w:rPr>
          <w:rStyle w:val="FootnoteReference"/>
        </w:rPr>
        <w:footnoteReference w:id="68"/>
      </w:r>
      <w:r w:rsidRPr="005E738B">
        <w:t xml:space="preserve">and </w:t>
      </w:r>
      <w:r w:rsidRPr="0012151E">
        <w:rPr>
          <w:i/>
        </w:rPr>
        <w:t>R v Leicester City Justices ex p Barrow</w:t>
      </w:r>
      <w:r>
        <w:t>.</w:t>
      </w:r>
      <w:r>
        <w:rPr>
          <w:rStyle w:val="FootnoteReference"/>
        </w:rPr>
        <w:footnoteReference w:id="69"/>
      </w:r>
    </w:p>
    <w:p w:rsidR="005E738B" w:rsidRDefault="005E738B" w:rsidP="00ED39BA">
      <w:pPr>
        <w:jc w:val="both"/>
      </w:pPr>
      <w:r w:rsidRPr="005E738B">
        <w:t>But it is difficult to see how the courts could draw a distinction between the unqualified advocate operating within a program which ensures careful supervision and preparation, and those who seek to appear without such endorsement. It would not be acceptable to apply the immunity on a case by case basis.</w:t>
      </w:r>
    </w:p>
    <w:p w:rsidR="005E738B" w:rsidRDefault="005E738B" w:rsidP="00ED39BA">
      <w:pPr>
        <w:jc w:val="both"/>
      </w:pPr>
      <w:r w:rsidRPr="005E738B">
        <w:t>Furthermore, given the criticism which the immunity attracts, ack</w:t>
      </w:r>
      <w:r>
        <w:t>nowledged by the House of Lords</w:t>
      </w:r>
      <w:r>
        <w:rPr>
          <w:rStyle w:val="FootnoteReference"/>
        </w:rPr>
        <w:footnoteReference w:id="70"/>
      </w:r>
      <w:r w:rsidRPr="005E738B">
        <w:t xml:space="preserve"> and by the minority j</w:t>
      </w:r>
      <w:r>
        <w:t xml:space="preserve">udges in </w:t>
      </w:r>
      <w:r w:rsidRPr="00071BE0">
        <w:rPr>
          <w:i/>
        </w:rPr>
        <w:t>Giannarelli v Wraith</w:t>
      </w:r>
      <w:r>
        <w:t>,</w:t>
      </w:r>
      <w:r>
        <w:rPr>
          <w:rStyle w:val="FootnoteReference"/>
        </w:rPr>
        <w:footnoteReference w:id="71"/>
      </w:r>
      <w:r w:rsidRPr="005E738B">
        <w:t xml:space="preserve"> it is unlikely in the extreme that the High Court would extend the immunity, no matter how strictly logical the argument.</w:t>
      </w:r>
    </w:p>
    <w:p w:rsidR="00272D0C" w:rsidRDefault="00566571" w:rsidP="00ED39BA">
      <w:pPr>
        <w:jc w:val="both"/>
      </w:pPr>
      <w:r w:rsidRPr="00566571">
        <w:t>Consequently the Monash program has never relied upon the possibility of its students being protected by the immunity. Instead we rely upon more pragmatic considerations: the fact that, in</w:t>
      </w:r>
      <w:r>
        <w:t xml:space="preserve"> </w:t>
      </w:r>
      <w:r w:rsidRPr="00566571">
        <w:t>the categories of cases in which students appear, it is highly unlikely that a client would suffer any provable “loss” which could be attributed to a student’s conduct; and the assumption that a client who wished to sue would be advised to sue either the in-court supervisor, or the clinic supervisor and the University, all of whom are covered by professional indemnity insurance.</w:t>
      </w:r>
    </w:p>
    <w:p w:rsidR="00566571" w:rsidRDefault="00566571" w:rsidP="00ED39BA">
      <w:pPr>
        <w:jc w:val="both"/>
      </w:pPr>
      <w:r w:rsidRPr="00566571">
        <w:lastRenderedPageBreak/>
        <w:t>But ultimately we rely upon careful selection of cases and students and meticulous preparation of the content of the appearance.</w:t>
      </w:r>
    </w:p>
    <w:p w:rsidR="00566571" w:rsidRPr="00566571" w:rsidRDefault="00566571" w:rsidP="00ED39BA">
      <w:pPr>
        <w:jc w:val="both"/>
        <w:rPr>
          <w:b/>
        </w:rPr>
      </w:pPr>
      <w:r w:rsidRPr="00566571">
        <w:rPr>
          <w:b/>
        </w:rPr>
        <w:t>Conclusion</w:t>
      </w:r>
    </w:p>
    <w:p w:rsidR="00566571" w:rsidRDefault="00566571" w:rsidP="00ED39BA">
      <w:pPr>
        <w:jc w:val="both"/>
      </w:pPr>
      <w:r w:rsidRPr="00566571">
        <w:t>In an ideal system every litigant would be represented by qualified and competent counsel.</w:t>
      </w:r>
    </w:p>
    <w:p w:rsidR="00566571" w:rsidRDefault="00566571" w:rsidP="00ED39BA">
      <w:pPr>
        <w:jc w:val="both"/>
      </w:pPr>
      <w:r w:rsidRPr="00566571">
        <w:t>But as long as the public legal aid system does not fulfil this ideal, law students can play a small but important role in filling the gap. If a system is established which ensures a certain minimum level of competence the courts as well as the litigants will benefit and the students’ education will be enriched.</w:t>
      </w:r>
    </w:p>
    <w:p w:rsidR="00566571" w:rsidRPr="00540616" w:rsidRDefault="00566571" w:rsidP="00ED39BA">
      <w:pPr>
        <w:jc w:val="both"/>
      </w:pPr>
      <w:r w:rsidRPr="00566571">
        <w:t>Legislative provision would regularise the concept, define the parameters within which students could appear and establish a minimum threshold of ethical responsibility in the interests of the litigant and the administration of justice.</w:t>
      </w:r>
    </w:p>
    <w:sectPr w:rsidR="00566571" w:rsidRPr="005406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117" w:rsidRDefault="007F5117" w:rsidP="00930BF0">
      <w:pPr>
        <w:spacing w:after="0" w:line="240" w:lineRule="auto"/>
      </w:pPr>
      <w:r>
        <w:separator/>
      </w:r>
    </w:p>
  </w:endnote>
  <w:endnote w:type="continuationSeparator" w:id="0">
    <w:p w:rsidR="007F5117" w:rsidRDefault="007F5117" w:rsidP="00930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117" w:rsidRDefault="007F5117" w:rsidP="00930BF0">
      <w:pPr>
        <w:spacing w:after="0" w:line="240" w:lineRule="auto"/>
      </w:pPr>
      <w:r>
        <w:separator/>
      </w:r>
    </w:p>
  </w:footnote>
  <w:footnote w:type="continuationSeparator" w:id="0">
    <w:p w:rsidR="007F5117" w:rsidRDefault="007F5117" w:rsidP="00930BF0">
      <w:pPr>
        <w:spacing w:after="0" w:line="240" w:lineRule="auto"/>
      </w:pPr>
      <w:r>
        <w:continuationSeparator/>
      </w:r>
    </w:p>
  </w:footnote>
  <w:footnote w:id="1">
    <w:p w:rsidR="00930BF0" w:rsidRDefault="00930BF0" w:rsidP="0060224F">
      <w:pPr>
        <w:pStyle w:val="FootnoteText"/>
        <w:jc w:val="both"/>
      </w:pPr>
      <w:r>
        <w:rPr>
          <w:rStyle w:val="FootnoteReference"/>
        </w:rPr>
        <w:t>*</w:t>
      </w:r>
      <w:r>
        <w:t xml:space="preserve"> </w:t>
      </w:r>
      <w:r w:rsidRPr="00930BF0">
        <w:t>Professional Fellow in Legal Practice, Faculty of Law,</w:t>
      </w:r>
      <w:r>
        <w:t xml:space="preserve"> </w:t>
      </w:r>
      <w:r w:rsidRPr="00930BF0">
        <w:t>Monash University, Victoria, Australia</w:t>
      </w:r>
      <w:r>
        <w:t xml:space="preserve">. </w:t>
      </w:r>
      <w:r w:rsidRPr="00930BF0">
        <w:t>Susan Campbell is Director of Legal Practice Programs at Monash University and runs, among other things, the Law Faculty’s clinical legal education program.</w:t>
      </w:r>
    </w:p>
  </w:footnote>
  <w:footnote w:id="2">
    <w:p w:rsidR="00930BF0" w:rsidRDefault="00930BF0" w:rsidP="0060224F">
      <w:pPr>
        <w:pStyle w:val="FootnoteText"/>
        <w:jc w:val="both"/>
      </w:pPr>
      <w:r>
        <w:rPr>
          <w:rStyle w:val="FootnoteReference"/>
        </w:rPr>
        <w:footnoteRef/>
      </w:r>
      <w:r>
        <w:t xml:space="preserve"> </w:t>
      </w:r>
      <w:r w:rsidRPr="00930BF0">
        <w:t>Dickson J, “Students in Court: Competent and Ethical</w:t>
      </w:r>
      <w:r>
        <w:t xml:space="preserve">  </w:t>
      </w:r>
      <w:r w:rsidRPr="00930BF0">
        <w:t>Advocates” (1998) vol 16(2) Journal of Professional</w:t>
      </w:r>
      <w:r>
        <w:t xml:space="preserve"> </w:t>
      </w:r>
      <w:r w:rsidRPr="00930BF0">
        <w:t>Legal Education 155 at p.158</w:t>
      </w:r>
    </w:p>
  </w:footnote>
  <w:footnote w:id="3">
    <w:p w:rsidR="00930BF0" w:rsidRDefault="00930BF0" w:rsidP="0060224F">
      <w:pPr>
        <w:pStyle w:val="FootnoteText"/>
        <w:jc w:val="both"/>
      </w:pPr>
      <w:r>
        <w:rPr>
          <w:rStyle w:val="FootnoteReference"/>
        </w:rPr>
        <w:footnoteRef/>
      </w:r>
      <w:r>
        <w:t xml:space="preserve"> (</w:t>
      </w:r>
      <w:r w:rsidRPr="00930BF0">
        <w:t>1831) 2 B. &amp; Ad. 663; 109 ER 1290</w:t>
      </w:r>
    </w:p>
  </w:footnote>
  <w:footnote w:id="4">
    <w:p w:rsidR="00930BF0" w:rsidRDefault="00930BF0" w:rsidP="0060224F">
      <w:pPr>
        <w:pStyle w:val="FootnoteText"/>
        <w:jc w:val="both"/>
      </w:pPr>
      <w:r>
        <w:rPr>
          <w:rStyle w:val="FootnoteReference"/>
        </w:rPr>
        <w:footnoteRef/>
      </w:r>
      <w:r>
        <w:t xml:space="preserve"> </w:t>
      </w:r>
      <w:r w:rsidRPr="00930BF0">
        <w:t>ibid at 668; 1292</w:t>
      </w:r>
    </w:p>
  </w:footnote>
  <w:footnote w:id="5">
    <w:p w:rsidR="00930BF0" w:rsidRDefault="00930BF0" w:rsidP="0060224F">
      <w:pPr>
        <w:pStyle w:val="FootnoteText"/>
        <w:jc w:val="both"/>
      </w:pPr>
      <w:r>
        <w:rPr>
          <w:rStyle w:val="FootnoteReference"/>
        </w:rPr>
        <w:footnoteRef/>
      </w:r>
      <w:r>
        <w:t xml:space="preserve"> </w:t>
      </w:r>
      <w:r w:rsidRPr="00930BF0">
        <w:t>ibid at 671; 1293</w:t>
      </w:r>
    </w:p>
  </w:footnote>
  <w:footnote w:id="6">
    <w:p w:rsidR="00CB3631" w:rsidRDefault="00CB3631" w:rsidP="0060224F">
      <w:pPr>
        <w:pStyle w:val="FootnoteText"/>
        <w:jc w:val="both"/>
      </w:pPr>
      <w:r>
        <w:rPr>
          <w:rStyle w:val="FootnoteReference"/>
        </w:rPr>
        <w:footnoteRef/>
      </w:r>
      <w:r>
        <w:t xml:space="preserve"> </w:t>
      </w:r>
      <w:r w:rsidRPr="00CB3631">
        <w:t>[1943] AC 584</w:t>
      </w:r>
    </w:p>
  </w:footnote>
  <w:footnote w:id="7">
    <w:p w:rsidR="00610C75" w:rsidRDefault="00610C75" w:rsidP="0060224F">
      <w:pPr>
        <w:pStyle w:val="FootnoteText"/>
        <w:jc w:val="both"/>
      </w:pPr>
      <w:r>
        <w:rPr>
          <w:rStyle w:val="FootnoteReference"/>
        </w:rPr>
        <w:footnoteRef/>
      </w:r>
      <w:r>
        <w:t xml:space="preserve"> </w:t>
      </w:r>
      <w:r w:rsidRPr="00610C75">
        <w:t>ibid at 587</w:t>
      </w:r>
    </w:p>
  </w:footnote>
  <w:footnote w:id="8">
    <w:p w:rsidR="00610C75" w:rsidRDefault="00610C75" w:rsidP="0060224F">
      <w:pPr>
        <w:pStyle w:val="FootnoteText"/>
        <w:jc w:val="both"/>
      </w:pPr>
      <w:r>
        <w:rPr>
          <w:rStyle w:val="FootnoteReference"/>
        </w:rPr>
        <w:footnoteRef/>
      </w:r>
      <w:r>
        <w:t xml:space="preserve"> </w:t>
      </w:r>
      <w:r w:rsidRPr="00610C75">
        <w:t>[1986] 2 WLR 322</w:t>
      </w:r>
    </w:p>
  </w:footnote>
  <w:footnote w:id="9">
    <w:p w:rsidR="00610C75" w:rsidRDefault="00610C75">
      <w:pPr>
        <w:pStyle w:val="FootnoteText"/>
      </w:pPr>
      <w:r>
        <w:rPr>
          <w:rStyle w:val="FootnoteReference"/>
        </w:rPr>
        <w:footnoteRef/>
      </w:r>
      <w:r>
        <w:t xml:space="preserve"> </w:t>
      </w:r>
      <w:r w:rsidRPr="00610C75">
        <w:t>ibid at 326</w:t>
      </w:r>
    </w:p>
  </w:footnote>
  <w:footnote w:id="10">
    <w:p w:rsidR="00610C75" w:rsidRDefault="00610C75">
      <w:pPr>
        <w:pStyle w:val="FootnoteText"/>
      </w:pPr>
      <w:r>
        <w:rPr>
          <w:rStyle w:val="FootnoteReference"/>
        </w:rPr>
        <w:footnoteRef/>
      </w:r>
      <w:r>
        <w:t xml:space="preserve"> </w:t>
      </w:r>
      <w:r w:rsidRPr="00610C75">
        <w:t>[2002] NSWCA 230</w:t>
      </w:r>
    </w:p>
  </w:footnote>
  <w:footnote w:id="11">
    <w:p w:rsidR="00610C75" w:rsidRDefault="00610C75">
      <w:pPr>
        <w:pStyle w:val="FootnoteText"/>
      </w:pPr>
      <w:r>
        <w:rPr>
          <w:rStyle w:val="FootnoteReference"/>
        </w:rPr>
        <w:footnoteRef/>
      </w:r>
      <w:r>
        <w:t xml:space="preserve"> </w:t>
      </w:r>
      <w:r w:rsidRPr="00610C75">
        <w:t>[1971] P 33</w:t>
      </w:r>
    </w:p>
  </w:footnote>
  <w:footnote w:id="12">
    <w:p w:rsidR="00610C75" w:rsidRDefault="00610C75">
      <w:pPr>
        <w:pStyle w:val="FootnoteText"/>
      </w:pPr>
      <w:r>
        <w:rPr>
          <w:rStyle w:val="FootnoteReference"/>
        </w:rPr>
        <w:footnoteRef/>
      </w:r>
      <w:r>
        <w:t xml:space="preserve"> </w:t>
      </w:r>
      <w:r w:rsidRPr="00610C75">
        <w:t>ibid at 38</w:t>
      </w:r>
    </w:p>
  </w:footnote>
  <w:footnote w:id="13">
    <w:p w:rsidR="00610C75" w:rsidRDefault="00610C75">
      <w:pPr>
        <w:pStyle w:val="FootnoteText"/>
      </w:pPr>
      <w:r>
        <w:rPr>
          <w:rStyle w:val="FootnoteReference"/>
        </w:rPr>
        <w:footnoteRef/>
      </w:r>
      <w:r>
        <w:t xml:space="preserve"> </w:t>
      </w:r>
      <w:r w:rsidRPr="00610C75">
        <w:t>(1831) 2 B.&amp; Ad. 663 at 668; 109 ER 1290 at 1292</w:t>
      </w:r>
    </w:p>
  </w:footnote>
  <w:footnote w:id="14">
    <w:p w:rsidR="00610C75" w:rsidRDefault="00610C75">
      <w:pPr>
        <w:pStyle w:val="FootnoteText"/>
      </w:pPr>
      <w:r>
        <w:rPr>
          <w:rStyle w:val="FootnoteReference"/>
        </w:rPr>
        <w:footnoteRef/>
      </w:r>
      <w:r>
        <w:t xml:space="preserve"> </w:t>
      </w:r>
      <w:r w:rsidRPr="00610C75">
        <w:t>[1999] 4 All ER 751</w:t>
      </w:r>
    </w:p>
  </w:footnote>
  <w:footnote w:id="15">
    <w:p w:rsidR="00610C75" w:rsidRDefault="00610C75">
      <w:pPr>
        <w:pStyle w:val="FootnoteText"/>
      </w:pPr>
      <w:r>
        <w:rPr>
          <w:rStyle w:val="FootnoteReference"/>
        </w:rPr>
        <w:footnoteRef/>
      </w:r>
      <w:r>
        <w:t xml:space="preserve"> </w:t>
      </w:r>
      <w:r w:rsidRPr="00610C75">
        <w:t>[1991] 2 QB 260</w:t>
      </w:r>
    </w:p>
  </w:footnote>
  <w:footnote w:id="16">
    <w:p w:rsidR="00610C75" w:rsidRDefault="00610C75">
      <w:pPr>
        <w:pStyle w:val="FootnoteText"/>
      </w:pPr>
      <w:r>
        <w:rPr>
          <w:rStyle w:val="FootnoteReference"/>
        </w:rPr>
        <w:footnoteRef/>
      </w:r>
      <w:r>
        <w:t xml:space="preserve"> </w:t>
      </w:r>
      <w:r w:rsidRPr="00610C75">
        <w:t>apart from minor inroads such as that effected by the</w:t>
      </w:r>
      <w:r>
        <w:t xml:space="preserve"> </w:t>
      </w:r>
      <w:r w:rsidRPr="00610C75">
        <w:t>Lay Representatives (Rights of Audience) Order 1992</w:t>
      </w:r>
    </w:p>
  </w:footnote>
  <w:footnote w:id="17">
    <w:p w:rsidR="00610C75" w:rsidRDefault="00610C75">
      <w:pPr>
        <w:pStyle w:val="FootnoteText"/>
      </w:pPr>
      <w:r>
        <w:rPr>
          <w:rStyle w:val="FootnoteReference"/>
        </w:rPr>
        <w:footnoteRef/>
      </w:r>
      <w:r>
        <w:t xml:space="preserve"> </w:t>
      </w:r>
      <w:r w:rsidRPr="00610C75">
        <w:t>s.43</w:t>
      </w:r>
    </w:p>
  </w:footnote>
  <w:footnote w:id="18">
    <w:p w:rsidR="000F395A" w:rsidRDefault="000F395A">
      <w:pPr>
        <w:pStyle w:val="FootnoteText"/>
      </w:pPr>
      <w:r>
        <w:rPr>
          <w:rStyle w:val="FootnoteReference"/>
        </w:rPr>
        <w:footnoteRef/>
      </w:r>
      <w:r>
        <w:t xml:space="preserve"> Note 5 above</w:t>
      </w:r>
    </w:p>
  </w:footnote>
  <w:footnote w:id="19">
    <w:p w:rsidR="000F395A" w:rsidRDefault="000F395A">
      <w:pPr>
        <w:pStyle w:val="FootnoteText"/>
      </w:pPr>
      <w:r>
        <w:rPr>
          <w:rStyle w:val="FootnoteReference"/>
        </w:rPr>
        <w:footnoteRef/>
      </w:r>
      <w:r>
        <w:t xml:space="preserve"> Note 2 above</w:t>
      </w:r>
    </w:p>
  </w:footnote>
  <w:footnote w:id="20">
    <w:p w:rsidR="000F395A" w:rsidRDefault="000F395A">
      <w:pPr>
        <w:pStyle w:val="FootnoteText"/>
      </w:pPr>
      <w:r>
        <w:rPr>
          <w:rStyle w:val="FootnoteReference"/>
        </w:rPr>
        <w:footnoteRef/>
      </w:r>
      <w:r>
        <w:t xml:space="preserve"> Ibid at 668</w:t>
      </w:r>
    </w:p>
  </w:footnote>
  <w:footnote w:id="21">
    <w:p w:rsidR="000F395A" w:rsidRDefault="000F395A">
      <w:pPr>
        <w:pStyle w:val="FootnoteText"/>
      </w:pPr>
      <w:r>
        <w:rPr>
          <w:rStyle w:val="FootnoteReference"/>
        </w:rPr>
        <w:footnoteRef/>
      </w:r>
      <w:r>
        <w:t xml:space="preserve"> </w:t>
      </w:r>
      <w:r w:rsidRPr="000F395A">
        <w:t>20 per Stein JA in Damjanovic v Maley note 9 above: “Lay</w:t>
      </w:r>
      <w:r>
        <w:t xml:space="preserve"> </w:t>
      </w:r>
      <w:r w:rsidRPr="000F395A">
        <w:t>advocates are unqualified, unaccredited and uninsured” at para 79</w:t>
      </w:r>
    </w:p>
  </w:footnote>
  <w:footnote w:id="22">
    <w:p w:rsidR="000F395A" w:rsidRDefault="000F395A">
      <w:pPr>
        <w:pStyle w:val="FootnoteText"/>
      </w:pPr>
      <w:r>
        <w:rPr>
          <w:rStyle w:val="FootnoteReference"/>
        </w:rPr>
        <w:footnoteRef/>
      </w:r>
      <w:r>
        <w:t xml:space="preserve"> Note 6 above</w:t>
      </w:r>
    </w:p>
  </w:footnote>
  <w:footnote w:id="23">
    <w:p w:rsidR="000F395A" w:rsidRDefault="000F395A" w:rsidP="00FC0D5A">
      <w:pPr>
        <w:pStyle w:val="FootnoteText"/>
        <w:jc w:val="both"/>
      </w:pPr>
      <w:r>
        <w:rPr>
          <w:rStyle w:val="FootnoteReference"/>
        </w:rPr>
        <w:footnoteRef/>
      </w:r>
      <w:r>
        <w:t xml:space="preserve"> Ibid at 326</w:t>
      </w:r>
    </w:p>
  </w:footnote>
  <w:footnote w:id="24">
    <w:p w:rsidR="000F395A" w:rsidRDefault="000F395A" w:rsidP="00FC0D5A">
      <w:pPr>
        <w:pStyle w:val="FootnoteText"/>
        <w:jc w:val="both"/>
      </w:pPr>
      <w:r>
        <w:rPr>
          <w:rStyle w:val="FootnoteReference"/>
        </w:rPr>
        <w:footnoteRef/>
      </w:r>
      <w:r>
        <w:t xml:space="preserve"> </w:t>
      </w:r>
      <w:r w:rsidRPr="000F395A">
        <w:t>Abse v Smith was decided in 1986 not long before the</w:t>
      </w:r>
      <w:r>
        <w:t xml:space="preserve"> </w:t>
      </w:r>
      <w:r w:rsidRPr="000F395A">
        <w:t>enactment of the Courts and Legal Services Act 1990 and Donaldson MR went on to say that the best way to ensure the maintenance of high standards was to limit advocacy to a relatively small group of practitioners, ie the Bar – at 327</w:t>
      </w:r>
    </w:p>
  </w:footnote>
  <w:footnote w:id="25">
    <w:p w:rsidR="000F395A" w:rsidRDefault="000F395A" w:rsidP="00FC0D5A">
      <w:pPr>
        <w:pStyle w:val="FootnoteText"/>
        <w:jc w:val="both"/>
      </w:pPr>
      <w:r>
        <w:rPr>
          <w:rStyle w:val="FootnoteReference"/>
        </w:rPr>
        <w:footnoteRef/>
      </w:r>
      <w:r>
        <w:t xml:space="preserve"> Note 19 above</w:t>
      </w:r>
    </w:p>
  </w:footnote>
  <w:footnote w:id="26">
    <w:p w:rsidR="000F395A" w:rsidRDefault="000F395A" w:rsidP="00FC0D5A">
      <w:pPr>
        <w:pStyle w:val="FootnoteText"/>
        <w:jc w:val="both"/>
      </w:pPr>
      <w:r>
        <w:rPr>
          <w:rStyle w:val="FootnoteReference"/>
        </w:rPr>
        <w:footnoteRef/>
      </w:r>
      <w:r>
        <w:t xml:space="preserve"> </w:t>
      </w:r>
      <w:r w:rsidRPr="000F395A">
        <w:t>Scotts Head Developments Pty. Ltd v Pallisar Pty. Ltd</w:t>
      </w:r>
      <w:r>
        <w:t xml:space="preserve"> </w:t>
      </w:r>
      <w:r w:rsidRPr="000F395A">
        <w:t>(unreported, Court of Appeal, 6 September 1994)</w:t>
      </w:r>
    </w:p>
  </w:footnote>
  <w:footnote w:id="27">
    <w:p w:rsidR="00281A89" w:rsidRDefault="00281A89" w:rsidP="00FC0D5A">
      <w:pPr>
        <w:pStyle w:val="FootnoteText"/>
        <w:jc w:val="both"/>
      </w:pPr>
      <w:r>
        <w:rPr>
          <w:rStyle w:val="FootnoteReference"/>
        </w:rPr>
        <w:footnoteRef/>
      </w:r>
      <w:r>
        <w:t xml:space="preserve"> </w:t>
      </w:r>
      <w:r w:rsidR="00D60AC8" w:rsidRPr="00D60AC8">
        <w:t>ibid at pp. 3–4</w:t>
      </w:r>
    </w:p>
  </w:footnote>
  <w:footnote w:id="28">
    <w:p w:rsidR="00D60AC8" w:rsidRDefault="00D60AC8" w:rsidP="00FC0D5A">
      <w:pPr>
        <w:pStyle w:val="FootnoteText"/>
        <w:jc w:val="both"/>
      </w:pPr>
      <w:r>
        <w:rPr>
          <w:rStyle w:val="FootnoteReference"/>
        </w:rPr>
        <w:footnoteRef/>
      </w:r>
      <w:r>
        <w:t xml:space="preserve"> </w:t>
      </w:r>
      <w:r w:rsidRPr="00D60AC8">
        <w:t>[1965] AC 939</w:t>
      </w:r>
    </w:p>
  </w:footnote>
  <w:footnote w:id="29">
    <w:p w:rsidR="00D60AC8" w:rsidRDefault="00D60AC8" w:rsidP="00FC0D5A">
      <w:pPr>
        <w:pStyle w:val="FootnoteText"/>
        <w:jc w:val="both"/>
      </w:pPr>
      <w:r>
        <w:rPr>
          <w:rStyle w:val="FootnoteReference"/>
        </w:rPr>
        <w:footnoteRef/>
      </w:r>
      <w:r>
        <w:t xml:space="preserve"> </w:t>
      </w:r>
      <w:r w:rsidRPr="00D60AC8">
        <w:t>note 7 above</w:t>
      </w:r>
    </w:p>
  </w:footnote>
  <w:footnote w:id="30">
    <w:p w:rsidR="00433782" w:rsidRDefault="00433782">
      <w:pPr>
        <w:pStyle w:val="FootnoteText"/>
      </w:pPr>
      <w:r>
        <w:rPr>
          <w:rStyle w:val="FootnoteReference"/>
        </w:rPr>
        <w:footnoteRef/>
      </w:r>
      <w:r>
        <w:t xml:space="preserve"> </w:t>
      </w:r>
      <w:r w:rsidR="00FA2A47" w:rsidRPr="00FA2A47">
        <w:t>This is in marked contrast to the position in the United</w:t>
      </w:r>
      <w:r w:rsidR="00602A3B">
        <w:t xml:space="preserve"> </w:t>
      </w:r>
      <w:r w:rsidR="00602A3B" w:rsidRPr="00602A3B">
        <w:t>States where all 50 States have introduced “Student Practice Rules” – see Kuruc J W &amp; Brown R A “Student Practice rules in the United States” (1994) August The Bar Examiner 40 and the ABA Model Student Legal Assistance Rule</w:t>
      </w:r>
    </w:p>
  </w:footnote>
  <w:footnote w:id="31">
    <w:p w:rsidR="00433782" w:rsidRDefault="00433782">
      <w:pPr>
        <w:pStyle w:val="FootnoteText"/>
      </w:pPr>
      <w:r>
        <w:rPr>
          <w:rStyle w:val="FootnoteReference"/>
        </w:rPr>
        <w:footnoteRef/>
      </w:r>
      <w:r w:rsidR="00602A3B" w:rsidRPr="00602A3B">
        <w:t xml:space="preserve"> O’Toole v Scott note 26 above at 959</w:t>
      </w:r>
    </w:p>
  </w:footnote>
  <w:footnote w:id="32">
    <w:p w:rsidR="00433782" w:rsidRDefault="00433782">
      <w:pPr>
        <w:pStyle w:val="FootnoteText"/>
      </w:pPr>
      <w:r>
        <w:rPr>
          <w:rStyle w:val="FootnoteReference"/>
        </w:rPr>
        <w:footnoteRef/>
      </w:r>
      <w:r w:rsidR="00602A3B">
        <w:t xml:space="preserve"> (</w:t>
      </w:r>
      <w:r w:rsidR="00602A3B" w:rsidRPr="00602A3B">
        <w:t>1993) 65 A Crim R 500</w:t>
      </w:r>
    </w:p>
  </w:footnote>
  <w:footnote w:id="33">
    <w:p w:rsidR="00433782" w:rsidRDefault="00433782">
      <w:pPr>
        <w:pStyle w:val="FootnoteText"/>
      </w:pPr>
      <w:r>
        <w:rPr>
          <w:rStyle w:val="FootnoteReference"/>
        </w:rPr>
        <w:footnoteRef/>
      </w:r>
      <w:r>
        <w:t xml:space="preserve"> </w:t>
      </w:r>
      <w:r w:rsidR="00602A3B">
        <w:t>(</w:t>
      </w:r>
      <w:r w:rsidR="00602A3B" w:rsidRPr="00602A3B">
        <w:t>1993) 60 SASR 145</w:t>
      </w:r>
    </w:p>
  </w:footnote>
  <w:footnote w:id="34">
    <w:p w:rsidR="00433782" w:rsidRDefault="00433782">
      <w:pPr>
        <w:pStyle w:val="FootnoteText"/>
      </w:pPr>
      <w:r>
        <w:rPr>
          <w:rStyle w:val="FootnoteReference"/>
        </w:rPr>
        <w:footnoteRef/>
      </w:r>
      <w:r>
        <w:t xml:space="preserve"> </w:t>
      </w:r>
      <w:r w:rsidR="00602A3B">
        <w:t>Note 9 above</w:t>
      </w:r>
    </w:p>
  </w:footnote>
  <w:footnote w:id="35">
    <w:p w:rsidR="00433782" w:rsidRDefault="00433782">
      <w:pPr>
        <w:pStyle w:val="FootnoteText"/>
      </w:pPr>
      <w:r>
        <w:rPr>
          <w:rStyle w:val="FootnoteReference"/>
        </w:rPr>
        <w:footnoteRef/>
      </w:r>
      <w:r>
        <w:t xml:space="preserve"> </w:t>
      </w:r>
      <w:r w:rsidR="00602A3B" w:rsidRPr="00602A3B">
        <w:t>ibid para 87</w:t>
      </w:r>
    </w:p>
  </w:footnote>
  <w:footnote w:id="36">
    <w:p w:rsidR="00433782" w:rsidRDefault="00433782">
      <w:pPr>
        <w:pStyle w:val="FootnoteText"/>
      </w:pPr>
      <w:r>
        <w:rPr>
          <w:rStyle w:val="FootnoteReference"/>
        </w:rPr>
        <w:footnoteRef/>
      </w:r>
      <w:r>
        <w:t xml:space="preserve"> </w:t>
      </w:r>
      <w:r w:rsidR="00602A3B" w:rsidRPr="00602A3B">
        <w:t>note 24 above</w:t>
      </w:r>
    </w:p>
  </w:footnote>
  <w:footnote w:id="37">
    <w:p w:rsidR="003A0761" w:rsidRDefault="003A0761">
      <w:pPr>
        <w:pStyle w:val="FootnoteText"/>
      </w:pPr>
      <w:r>
        <w:rPr>
          <w:rStyle w:val="FootnoteReference"/>
        </w:rPr>
        <w:footnoteRef/>
      </w:r>
      <w:r>
        <w:t xml:space="preserve"> Note 7 above</w:t>
      </w:r>
    </w:p>
  </w:footnote>
  <w:footnote w:id="38">
    <w:p w:rsidR="00D14E2B" w:rsidRDefault="00D14E2B">
      <w:pPr>
        <w:pStyle w:val="FootnoteText"/>
      </w:pPr>
      <w:r>
        <w:rPr>
          <w:rStyle w:val="FootnoteReference"/>
        </w:rPr>
        <w:footnoteRef/>
      </w:r>
      <w:r>
        <w:t xml:space="preserve"> Note 26 above</w:t>
      </w:r>
    </w:p>
  </w:footnote>
  <w:footnote w:id="39">
    <w:p w:rsidR="00FD79CC" w:rsidRDefault="00FD79CC">
      <w:pPr>
        <w:pStyle w:val="FootnoteText"/>
      </w:pPr>
      <w:r>
        <w:rPr>
          <w:rStyle w:val="FootnoteReference"/>
        </w:rPr>
        <w:footnoteRef/>
      </w:r>
      <w:r w:rsidR="00D80DA6">
        <w:t xml:space="preserve"> </w:t>
      </w:r>
      <w:r w:rsidRPr="00FD79CC">
        <w:t>Legal Aid Commission of Victoria, Statutory Annual</w:t>
      </w:r>
      <w:r>
        <w:t xml:space="preserve"> </w:t>
      </w:r>
      <w:r w:rsidRPr="00FD79CC">
        <w:t>Reports, 1989–1990, 1990–1991, 1991–1992, Education and Information Division Legal Aid Commission of Victoria Melbourne.</w:t>
      </w:r>
    </w:p>
  </w:footnote>
  <w:footnote w:id="40">
    <w:p w:rsidR="00FD79CC" w:rsidRDefault="00FD79CC" w:rsidP="00583C93">
      <w:pPr>
        <w:pStyle w:val="FootnoteText"/>
        <w:jc w:val="both"/>
      </w:pPr>
      <w:r>
        <w:rPr>
          <w:rStyle w:val="FootnoteReference"/>
        </w:rPr>
        <w:footnoteRef/>
      </w:r>
      <w:r w:rsidRPr="00FD79CC">
        <w:t xml:space="preserve"> Family Court of Australia, Annual Report 1991–1992</w:t>
      </w:r>
      <w:r>
        <w:t xml:space="preserve"> </w:t>
      </w:r>
      <w:r w:rsidRPr="00FD79CC">
        <w:t>Australian Government Publishing Service, Canberra,</w:t>
      </w:r>
      <w:r>
        <w:t xml:space="preserve"> at p.8</w:t>
      </w:r>
    </w:p>
  </w:footnote>
  <w:footnote w:id="41">
    <w:p w:rsidR="00FD79CC" w:rsidRDefault="00FD79CC" w:rsidP="00583C93">
      <w:pPr>
        <w:pStyle w:val="FootnoteText"/>
        <w:jc w:val="both"/>
      </w:pPr>
      <w:r>
        <w:rPr>
          <w:rStyle w:val="FootnoteReference"/>
        </w:rPr>
        <w:footnoteRef/>
      </w:r>
      <w:r>
        <w:t xml:space="preserve"> </w:t>
      </w:r>
      <w:r w:rsidR="00CB1025">
        <w:t>cited in (1997) November NSW Law Society Journal at p.19</w:t>
      </w:r>
    </w:p>
  </w:footnote>
  <w:footnote w:id="42">
    <w:p w:rsidR="00E5319D" w:rsidRDefault="00E5319D" w:rsidP="00583C93">
      <w:pPr>
        <w:pStyle w:val="FootnoteText"/>
        <w:jc w:val="both"/>
      </w:pPr>
      <w:r>
        <w:rPr>
          <w:rStyle w:val="FootnoteReference"/>
        </w:rPr>
        <w:footnoteRef/>
      </w:r>
      <w:r w:rsidRPr="00E5319D">
        <w:t xml:space="preserve"> Correspondence Hon Justice Nicholson, Chief Justice, Family Court of Australia, to the author, 13 June 1990</w:t>
      </w:r>
    </w:p>
  </w:footnote>
  <w:footnote w:id="43">
    <w:p w:rsidR="00E5319D" w:rsidRDefault="00E5319D" w:rsidP="00583C93">
      <w:pPr>
        <w:pStyle w:val="FootnoteText"/>
        <w:jc w:val="both"/>
      </w:pPr>
      <w:r>
        <w:rPr>
          <w:rStyle w:val="FootnoteReference"/>
        </w:rPr>
        <w:footnoteRef/>
      </w:r>
      <w:r>
        <w:t xml:space="preserve"> Note 26 above</w:t>
      </w:r>
    </w:p>
  </w:footnote>
  <w:footnote w:id="44">
    <w:p w:rsidR="00540616" w:rsidRPr="00266CE7" w:rsidRDefault="00540616" w:rsidP="00266CE7">
      <w:pPr>
        <w:pStyle w:val="FootnoteText"/>
        <w:jc w:val="both"/>
      </w:pPr>
      <w:r w:rsidRPr="000211F6">
        <w:rPr>
          <w:rStyle w:val="FootnoteReference"/>
          <w:i/>
        </w:rPr>
        <w:footnoteRef/>
      </w:r>
      <w:r w:rsidRPr="000211F6">
        <w:rPr>
          <w:i/>
        </w:rPr>
        <w:t xml:space="preserve"> </w:t>
      </w:r>
      <w:r w:rsidRPr="00266CE7">
        <w:t>Council of the Law Institute of Victoria, 21 November 1991</w:t>
      </w:r>
    </w:p>
  </w:footnote>
  <w:footnote w:id="45">
    <w:p w:rsidR="00540616" w:rsidRPr="00266CE7" w:rsidRDefault="00540616" w:rsidP="00266CE7">
      <w:pPr>
        <w:pStyle w:val="FootnoteText"/>
        <w:jc w:val="both"/>
      </w:pPr>
      <w:r w:rsidRPr="00266CE7">
        <w:rPr>
          <w:rStyle w:val="FootnoteReference"/>
        </w:rPr>
        <w:footnoteRef/>
      </w:r>
      <w:r w:rsidRPr="00266CE7">
        <w:t xml:space="preserve"> Correspondence A J Kirkham, QC, Chairman, Victorian Bar Council, to the author, 8 and 14 May 1992</w:t>
      </w:r>
    </w:p>
  </w:footnote>
  <w:footnote w:id="46">
    <w:p w:rsidR="00540616" w:rsidRPr="00266CE7" w:rsidRDefault="00540616" w:rsidP="00266CE7">
      <w:pPr>
        <w:pStyle w:val="FootnoteText"/>
        <w:jc w:val="both"/>
      </w:pPr>
      <w:r w:rsidRPr="00266CE7">
        <w:rPr>
          <w:rStyle w:val="FootnoteReference"/>
        </w:rPr>
        <w:footnoteRef/>
      </w:r>
      <w:r w:rsidRPr="00266CE7">
        <w:t xml:space="preserve"> Correspondence Ms Sally Brown, Chief Magistrate, Magistrates Court of Victoria, to the author, 21 January 1993</w:t>
      </w:r>
    </w:p>
  </w:footnote>
  <w:footnote w:id="47">
    <w:p w:rsidR="004164D0" w:rsidRDefault="004164D0" w:rsidP="00562D7E">
      <w:pPr>
        <w:pStyle w:val="FootnoteText"/>
        <w:jc w:val="both"/>
      </w:pPr>
      <w:r>
        <w:rPr>
          <w:rStyle w:val="FootnoteReference"/>
        </w:rPr>
        <w:footnoteRef/>
      </w:r>
      <w:r>
        <w:t xml:space="preserve"> </w:t>
      </w:r>
      <w:r w:rsidRPr="004164D0">
        <w:t>On one occasion, when the author was in-court supervisor</w:t>
      </w:r>
      <w:r>
        <w:t xml:space="preserve"> </w:t>
      </w:r>
      <w:r w:rsidRPr="004164D0">
        <w:t>for one of her students, when the student had finished her plea, the Magistrate looked across and said “Well Mrs Campbell, you would have to give her 10 out of 10 for that”. The thought of giving the magistrates the assessment form to complete flashed briefly through our minds.</w:t>
      </w:r>
    </w:p>
    <w:p w:rsidR="004164D0" w:rsidRDefault="004164D0">
      <w:pPr>
        <w:pStyle w:val="FootnoteText"/>
      </w:pPr>
    </w:p>
  </w:footnote>
  <w:footnote w:id="48">
    <w:p w:rsidR="004164D0" w:rsidRDefault="004164D0" w:rsidP="00F23F66">
      <w:pPr>
        <w:pStyle w:val="FootnoteText"/>
        <w:jc w:val="both"/>
      </w:pPr>
      <w:r>
        <w:rPr>
          <w:rStyle w:val="FootnoteReference"/>
        </w:rPr>
        <w:footnoteRef/>
      </w:r>
      <w:r>
        <w:t xml:space="preserve"> </w:t>
      </w:r>
      <w:r w:rsidRPr="004164D0">
        <w:t>Dickson, J and Campbell, S, Student Advocacy in</w:t>
      </w:r>
      <w:r>
        <w:t xml:space="preserve"> </w:t>
      </w:r>
      <w:r w:rsidRPr="004164D0">
        <w:t>Australian Courts: Recommendations for a Model Program, Report to the Commonwealth Attorney-General’s Department, September 2003. It is hoped to publish an article based on this project in the near future.</w:t>
      </w:r>
    </w:p>
  </w:footnote>
  <w:footnote w:id="49">
    <w:p w:rsidR="00BF08BB" w:rsidRDefault="00BF08BB">
      <w:pPr>
        <w:pStyle w:val="FootnoteText"/>
      </w:pPr>
      <w:r>
        <w:rPr>
          <w:rStyle w:val="FootnoteReference"/>
        </w:rPr>
        <w:footnoteRef/>
      </w:r>
      <w:r w:rsidRPr="00BF08BB">
        <w:t xml:space="preserve"> Scotts Head Developments Pty. Ltd v Pallisar, note 24</w:t>
      </w:r>
      <w:r>
        <w:t xml:space="preserve"> above</w:t>
      </w:r>
    </w:p>
  </w:footnote>
  <w:footnote w:id="50">
    <w:p w:rsidR="00286D73" w:rsidRDefault="00286D73">
      <w:pPr>
        <w:pStyle w:val="FootnoteText"/>
      </w:pPr>
      <w:r>
        <w:rPr>
          <w:rStyle w:val="FootnoteReference"/>
        </w:rPr>
        <w:footnoteRef/>
      </w:r>
      <w:r>
        <w:t xml:space="preserve"> </w:t>
      </w:r>
      <w:r w:rsidRPr="00286D73">
        <w:t>Vernon v Bosley (No.2) [1997] 1 All ER 614 per Stuart-Smith LJ at p.629</w:t>
      </w:r>
    </w:p>
  </w:footnote>
  <w:footnote w:id="51">
    <w:p w:rsidR="001A7B82" w:rsidRDefault="001A7B82">
      <w:pPr>
        <w:pStyle w:val="FootnoteText"/>
      </w:pPr>
      <w:r>
        <w:rPr>
          <w:rStyle w:val="FootnoteReference"/>
        </w:rPr>
        <w:footnoteRef/>
      </w:r>
      <w:r>
        <w:t xml:space="preserve"> </w:t>
      </w:r>
      <w:r w:rsidRPr="001A7B82">
        <w:t>(1987–1988) 165 CLR 543</w:t>
      </w:r>
    </w:p>
  </w:footnote>
  <w:footnote w:id="52">
    <w:p w:rsidR="001A7B82" w:rsidRDefault="001A7B82">
      <w:pPr>
        <w:pStyle w:val="FootnoteText"/>
      </w:pPr>
      <w:r>
        <w:rPr>
          <w:rStyle w:val="FootnoteReference"/>
        </w:rPr>
        <w:footnoteRef/>
      </w:r>
      <w:r>
        <w:t xml:space="preserve"> [</w:t>
      </w:r>
      <w:r w:rsidRPr="001A7B82">
        <w:t>1969] 1 AC 191</w:t>
      </w:r>
    </w:p>
  </w:footnote>
  <w:footnote w:id="53">
    <w:p w:rsidR="001A7B82" w:rsidRDefault="001A7B82">
      <w:pPr>
        <w:pStyle w:val="FootnoteText"/>
      </w:pPr>
      <w:r>
        <w:rPr>
          <w:rStyle w:val="FootnoteReference"/>
        </w:rPr>
        <w:footnoteRef/>
      </w:r>
      <w:r>
        <w:t xml:space="preserve"> </w:t>
      </w:r>
      <w:r w:rsidRPr="001A7B82">
        <w:t>[1980] AC 198</w:t>
      </w:r>
    </w:p>
  </w:footnote>
  <w:footnote w:id="54">
    <w:p w:rsidR="00A42984" w:rsidRDefault="00A42984">
      <w:pPr>
        <w:pStyle w:val="FootnoteText"/>
      </w:pPr>
      <w:r>
        <w:rPr>
          <w:rStyle w:val="FootnoteReference"/>
        </w:rPr>
        <w:footnoteRef/>
      </w:r>
      <w:r>
        <w:t xml:space="preserve"> </w:t>
      </w:r>
      <w:r w:rsidR="00BF2766" w:rsidRPr="00BF2766">
        <w:t>Boland v Yates Property Corporation Pty. Ltd and</w:t>
      </w:r>
      <w:r w:rsidR="00BF2766">
        <w:t xml:space="preserve"> </w:t>
      </w:r>
      <w:r w:rsidR="00BF2766" w:rsidRPr="00BF2766">
        <w:t>Another 167 ALR 575</w:t>
      </w:r>
    </w:p>
  </w:footnote>
  <w:footnote w:id="55">
    <w:p w:rsidR="00BF2766" w:rsidRDefault="00BF2766">
      <w:pPr>
        <w:pStyle w:val="FootnoteText"/>
      </w:pPr>
      <w:r>
        <w:rPr>
          <w:rStyle w:val="FootnoteReference"/>
        </w:rPr>
        <w:footnoteRef/>
      </w:r>
      <w:r>
        <w:t xml:space="preserve"> Note 49 above</w:t>
      </w:r>
    </w:p>
  </w:footnote>
  <w:footnote w:id="56">
    <w:p w:rsidR="00BF2766" w:rsidRDefault="00BF2766">
      <w:pPr>
        <w:pStyle w:val="FootnoteText"/>
      </w:pPr>
      <w:r>
        <w:rPr>
          <w:rStyle w:val="FootnoteReference"/>
        </w:rPr>
        <w:footnoteRef/>
      </w:r>
      <w:r>
        <w:t xml:space="preserve"> </w:t>
      </w:r>
      <w:r w:rsidR="007D0DFB" w:rsidRPr="007D0DFB">
        <w:t>[2002] 1 AC 665</w:t>
      </w:r>
    </w:p>
  </w:footnote>
  <w:footnote w:id="57">
    <w:p w:rsidR="007D0DFB" w:rsidRDefault="007D0DFB">
      <w:pPr>
        <w:pStyle w:val="FootnoteText"/>
      </w:pPr>
      <w:r>
        <w:rPr>
          <w:rStyle w:val="FootnoteReference"/>
        </w:rPr>
        <w:footnoteRef/>
      </w:r>
      <w:r>
        <w:t xml:space="preserve"> </w:t>
      </w:r>
      <w:r w:rsidRPr="007D0DFB">
        <w:t>Boland note 52 above at p.604 para 116</w:t>
      </w:r>
    </w:p>
  </w:footnote>
  <w:footnote w:id="58">
    <w:p w:rsidR="007D0DFB" w:rsidRDefault="007D0DFB">
      <w:pPr>
        <w:pStyle w:val="FootnoteText"/>
      </w:pPr>
      <w:r>
        <w:rPr>
          <w:rStyle w:val="FootnoteReference"/>
        </w:rPr>
        <w:footnoteRef/>
      </w:r>
      <w:r>
        <w:t xml:space="preserve"> </w:t>
      </w:r>
      <w:r w:rsidRPr="007D0DFB">
        <w:t>ibid p.602 para 107</w:t>
      </w:r>
    </w:p>
  </w:footnote>
  <w:footnote w:id="59">
    <w:p w:rsidR="007D0DFB" w:rsidRDefault="007D0DFB">
      <w:pPr>
        <w:pStyle w:val="FootnoteText"/>
      </w:pPr>
      <w:r>
        <w:rPr>
          <w:rStyle w:val="FootnoteReference"/>
        </w:rPr>
        <w:footnoteRef/>
      </w:r>
      <w:r>
        <w:t xml:space="preserve"> </w:t>
      </w:r>
      <w:r w:rsidRPr="007D0DFB">
        <w:t>ibid p.603–4 paras 113–114</w:t>
      </w:r>
    </w:p>
  </w:footnote>
  <w:footnote w:id="60">
    <w:p w:rsidR="007D0DFB" w:rsidRDefault="007D0DFB">
      <w:pPr>
        <w:pStyle w:val="FootnoteText"/>
      </w:pPr>
      <w:r>
        <w:rPr>
          <w:rStyle w:val="FootnoteReference"/>
        </w:rPr>
        <w:footnoteRef/>
      </w:r>
      <w:r>
        <w:t xml:space="preserve"> </w:t>
      </w:r>
      <w:r w:rsidRPr="007D0DFB">
        <w:t>ibid p. 618 para 150</w:t>
      </w:r>
    </w:p>
  </w:footnote>
  <w:footnote w:id="61">
    <w:p w:rsidR="003F07E3" w:rsidRDefault="003F07E3">
      <w:pPr>
        <w:pStyle w:val="FootnoteText"/>
      </w:pPr>
      <w:r>
        <w:rPr>
          <w:rStyle w:val="FootnoteReference"/>
        </w:rPr>
        <w:footnoteRef/>
      </w:r>
      <w:r w:rsidRPr="003F07E3">
        <w:t xml:space="preserve"> note 50 above</w:t>
      </w:r>
    </w:p>
  </w:footnote>
  <w:footnote w:id="62">
    <w:p w:rsidR="003F07E3" w:rsidRDefault="003F07E3">
      <w:pPr>
        <w:pStyle w:val="FootnoteText"/>
      </w:pPr>
      <w:r>
        <w:rPr>
          <w:rStyle w:val="FootnoteReference"/>
        </w:rPr>
        <w:footnoteRef/>
      </w:r>
      <w:r w:rsidRPr="003F07E3">
        <w:t xml:space="preserve"> Giannarelli v Wraith note 49 above at p.555</w:t>
      </w:r>
    </w:p>
  </w:footnote>
  <w:footnote w:id="63">
    <w:p w:rsidR="00DA7EE2" w:rsidRDefault="00DA7EE2" w:rsidP="00962156">
      <w:pPr>
        <w:pStyle w:val="FootnoteText"/>
        <w:jc w:val="both"/>
      </w:pPr>
      <w:r>
        <w:rPr>
          <w:rStyle w:val="FootnoteReference"/>
        </w:rPr>
        <w:footnoteRef/>
      </w:r>
      <w:r w:rsidRPr="00DA7EE2">
        <w:t xml:space="preserve"> It is also an argument which ignores the fact that the capacity of a disappointed litigant to sue his or her solicitor for negligence in the preparation of the case has</w:t>
      </w:r>
      <w:r>
        <w:t xml:space="preserve"> </w:t>
      </w:r>
      <w:r w:rsidRPr="00DA7EE2">
        <w:t>exactly the same consequences of relitigating, ‘tarnishing’ the earlier decision and bringing the administration of justice into disrepute – per Wilson J at 574.</w:t>
      </w:r>
    </w:p>
  </w:footnote>
  <w:footnote w:id="64">
    <w:p w:rsidR="00DA7EE2" w:rsidRDefault="00DA7EE2" w:rsidP="00962156">
      <w:pPr>
        <w:pStyle w:val="FootnoteText"/>
        <w:jc w:val="both"/>
      </w:pPr>
      <w:r>
        <w:rPr>
          <w:rStyle w:val="FootnoteReference"/>
        </w:rPr>
        <w:footnoteRef/>
      </w:r>
      <w:r>
        <w:t xml:space="preserve"> </w:t>
      </w:r>
      <w:r w:rsidRPr="00DA7EE2">
        <w:t>Giannarelli v Wraith note 49 above at p.557</w:t>
      </w:r>
    </w:p>
  </w:footnote>
  <w:footnote w:id="65">
    <w:p w:rsidR="002D77FA" w:rsidRDefault="002D77FA" w:rsidP="00962156">
      <w:pPr>
        <w:pStyle w:val="FootnoteText"/>
        <w:jc w:val="both"/>
      </w:pPr>
      <w:r>
        <w:rPr>
          <w:rStyle w:val="FootnoteReference"/>
        </w:rPr>
        <w:footnoteRef/>
      </w:r>
      <w:r>
        <w:t xml:space="preserve"> id</w:t>
      </w:r>
    </w:p>
  </w:footnote>
  <w:footnote w:id="66">
    <w:p w:rsidR="00C129A3" w:rsidRDefault="00C129A3" w:rsidP="00962156">
      <w:pPr>
        <w:pStyle w:val="FootnoteText"/>
        <w:jc w:val="both"/>
      </w:pPr>
      <w:r>
        <w:rPr>
          <w:rStyle w:val="FootnoteReference"/>
        </w:rPr>
        <w:footnoteRef/>
      </w:r>
      <w:r>
        <w:t xml:space="preserve"> </w:t>
      </w:r>
      <w:r w:rsidRPr="00C129A3">
        <w:t>ibid at p.579</w:t>
      </w:r>
    </w:p>
  </w:footnote>
  <w:footnote w:id="67">
    <w:p w:rsidR="00C129A3" w:rsidRDefault="00C129A3" w:rsidP="00071BE0">
      <w:pPr>
        <w:pStyle w:val="FootnoteText"/>
        <w:jc w:val="both"/>
      </w:pPr>
      <w:r>
        <w:rPr>
          <w:rStyle w:val="FootnoteReference"/>
        </w:rPr>
        <w:footnoteRef/>
      </w:r>
      <w:r w:rsidRPr="00C129A3">
        <w:t xml:space="preserve"> ibid at p. 577</w:t>
      </w:r>
    </w:p>
  </w:footnote>
  <w:footnote w:id="68">
    <w:p w:rsidR="005E738B" w:rsidRDefault="005E738B" w:rsidP="00071BE0">
      <w:pPr>
        <w:pStyle w:val="FootnoteText"/>
        <w:jc w:val="both"/>
      </w:pPr>
      <w:r>
        <w:rPr>
          <w:rStyle w:val="FootnoteReference"/>
        </w:rPr>
        <w:footnoteRef/>
      </w:r>
      <w:r>
        <w:t xml:space="preserve"> [2001] 1 WLR 2357 per Brooke LJ at 2363, quoting Judge LJ in another case involving the same lay advocate: ‘The courts from the master to the House of Lords have been inundated with a series of applications</w:t>
      </w:r>
    </w:p>
    <w:p w:rsidR="005E738B" w:rsidRDefault="005E738B" w:rsidP="00071BE0">
      <w:pPr>
        <w:pStyle w:val="FootnoteText"/>
        <w:jc w:val="both"/>
      </w:pPr>
      <w:r>
        <w:t>by Mr Alexander which have ultimately proved to be ill-founded. Time and again the exercise has been pointless and wasteful of limited court resources and from time to time has involved the defendants in additional expense.”</w:t>
      </w:r>
    </w:p>
  </w:footnote>
  <w:footnote w:id="69">
    <w:p w:rsidR="005E738B" w:rsidRDefault="005E738B" w:rsidP="00071BE0">
      <w:pPr>
        <w:pStyle w:val="FootnoteText"/>
        <w:jc w:val="both"/>
      </w:pPr>
      <w:r>
        <w:rPr>
          <w:rStyle w:val="FootnoteReference"/>
        </w:rPr>
        <w:footnoteRef/>
      </w:r>
      <w:r w:rsidRPr="005E738B">
        <w:t xml:space="preserve"> note 13 above, where Watkins LJ said (at p.271): “Increasingly justices are being placed in the intolerable position of being faced with people claiming to be friends of defendants who are either politically</w:t>
      </w:r>
      <w:r>
        <w:t xml:space="preserve"> </w:t>
      </w:r>
      <w:r w:rsidRPr="005E738B">
        <w:t>motivated or activists opposing some authority or other whose function it is to carry out the wishes of Parliament.”</w:t>
      </w:r>
    </w:p>
  </w:footnote>
  <w:footnote w:id="70">
    <w:p w:rsidR="005E738B" w:rsidRDefault="005E738B" w:rsidP="00071BE0">
      <w:pPr>
        <w:pStyle w:val="FootnoteText"/>
        <w:jc w:val="both"/>
      </w:pPr>
      <w:r>
        <w:rPr>
          <w:rStyle w:val="FootnoteReference"/>
        </w:rPr>
        <w:footnoteRef/>
      </w:r>
      <w:r>
        <w:t xml:space="preserve"> </w:t>
      </w:r>
      <w:r w:rsidRPr="005E738B">
        <w:t>Arthur J S Hall &amp; Co. Ltd v Simons note 54 above per</w:t>
      </w:r>
      <w:r>
        <w:t xml:space="preserve"> </w:t>
      </w:r>
      <w:r w:rsidRPr="005E738B">
        <w:t>Lord Steyn at p.678</w:t>
      </w:r>
    </w:p>
  </w:footnote>
  <w:footnote w:id="71">
    <w:p w:rsidR="005E738B" w:rsidRDefault="005E738B" w:rsidP="00071BE0">
      <w:pPr>
        <w:pStyle w:val="FootnoteText"/>
        <w:jc w:val="both"/>
      </w:pPr>
      <w:r>
        <w:rPr>
          <w:rStyle w:val="FootnoteReference"/>
        </w:rPr>
        <w:footnoteRef/>
      </w:r>
      <w:r>
        <w:t xml:space="preserve"> </w:t>
      </w:r>
      <w:r w:rsidRPr="005E738B">
        <w:t>note 49 above, per Deane J : “I do not consider that the</w:t>
      </w:r>
      <w:r>
        <w:t xml:space="preserve"> </w:t>
      </w:r>
      <w:r w:rsidRPr="005E738B">
        <w:t>considerations of public policy which are expounded in Rondel v Worsley and in the majority judgments in the present case outweigh or even balance the injustice and consequent public detriment involved in depriving a person, who is caught up in litigation and engages the professional services of a legal practitioner, of all redress under the common law for ‘in court’ negligence, however gross and callous in its nature or devastating in its consequences” at p.588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CF40BC"/>
    <w:multiLevelType w:val="hybridMultilevel"/>
    <w:tmpl w:val="44ACD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BF0"/>
    <w:rsid w:val="000211F6"/>
    <w:rsid w:val="00071BE0"/>
    <w:rsid w:val="000B7E86"/>
    <w:rsid w:val="000F395A"/>
    <w:rsid w:val="0012151E"/>
    <w:rsid w:val="001A7B82"/>
    <w:rsid w:val="001E798F"/>
    <w:rsid w:val="00266CE7"/>
    <w:rsid w:val="00272D0C"/>
    <w:rsid w:val="00281A89"/>
    <w:rsid w:val="00286D73"/>
    <w:rsid w:val="002D77FA"/>
    <w:rsid w:val="003A0761"/>
    <w:rsid w:val="003B3166"/>
    <w:rsid w:val="003F07E3"/>
    <w:rsid w:val="004164D0"/>
    <w:rsid w:val="00433782"/>
    <w:rsid w:val="00540616"/>
    <w:rsid w:val="00562D7E"/>
    <w:rsid w:val="00566571"/>
    <w:rsid w:val="00583C93"/>
    <w:rsid w:val="005D2A4C"/>
    <w:rsid w:val="005E738B"/>
    <w:rsid w:val="0060224F"/>
    <w:rsid w:val="00602A3B"/>
    <w:rsid w:val="00610C75"/>
    <w:rsid w:val="006214E2"/>
    <w:rsid w:val="007929C8"/>
    <w:rsid w:val="007D0DFB"/>
    <w:rsid w:val="007F5117"/>
    <w:rsid w:val="00802462"/>
    <w:rsid w:val="0081496A"/>
    <w:rsid w:val="0089055A"/>
    <w:rsid w:val="008E58D7"/>
    <w:rsid w:val="00930BF0"/>
    <w:rsid w:val="00962156"/>
    <w:rsid w:val="00A42984"/>
    <w:rsid w:val="00AC2C9C"/>
    <w:rsid w:val="00B17D89"/>
    <w:rsid w:val="00B377B5"/>
    <w:rsid w:val="00B85F0E"/>
    <w:rsid w:val="00BB4BB4"/>
    <w:rsid w:val="00BF08BB"/>
    <w:rsid w:val="00BF2766"/>
    <w:rsid w:val="00C129A3"/>
    <w:rsid w:val="00CB1025"/>
    <w:rsid w:val="00CB3631"/>
    <w:rsid w:val="00CB5C29"/>
    <w:rsid w:val="00D14E2B"/>
    <w:rsid w:val="00D60AC8"/>
    <w:rsid w:val="00D80DA6"/>
    <w:rsid w:val="00DA7EE2"/>
    <w:rsid w:val="00DC02A8"/>
    <w:rsid w:val="00DD50A1"/>
    <w:rsid w:val="00E5319D"/>
    <w:rsid w:val="00E85BC6"/>
    <w:rsid w:val="00ED39BA"/>
    <w:rsid w:val="00ED4DF4"/>
    <w:rsid w:val="00F23F66"/>
    <w:rsid w:val="00F9196B"/>
    <w:rsid w:val="00FA2A47"/>
    <w:rsid w:val="00FA31E2"/>
    <w:rsid w:val="00FC0D5A"/>
    <w:rsid w:val="00FD79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30BF0"/>
    <w:pPr>
      <w:spacing w:after="0" w:line="240" w:lineRule="auto"/>
    </w:pPr>
    <w:rPr>
      <w:sz w:val="20"/>
      <w:szCs w:val="20"/>
    </w:rPr>
  </w:style>
  <w:style w:type="character" w:customStyle="1" w:styleId="FootnoteTextChar">
    <w:name w:val="Footnote Text Char"/>
    <w:link w:val="FootnoteText"/>
    <w:uiPriority w:val="99"/>
    <w:semiHidden/>
    <w:rsid w:val="00930BF0"/>
    <w:rPr>
      <w:sz w:val="20"/>
      <w:szCs w:val="20"/>
    </w:rPr>
  </w:style>
  <w:style w:type="character" w:styleId="FootnoteReference">
    <w:name w:val="footnote reference"/>
    <w:uiPriority w:val="99"/>
    <w:semiHidden/>
    <w:unhideWhenUsed/>
    <w:rsid w:val="00930BF0"/>
    <w:rPr>
      <w:vertAlign w:val="superscript"/>
    </w:rPr>
  </w:style>
  <w:style w:type="paragraph" w:styleId="ListParagraph">
    <w:name w:val="List Paragraph"/>
    <w:basedOn w:val="Normal"/>
    <w:uiPriority w:val="34"/>
    <w:qFormat/>
    <w:rsid w:val="00B85F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30BF0"/>
    <w:pPr>
      <w:spacing w:after="0" w:line="240" w:lineRule="auto"/>
    </w:pPr>
    <w:rPr>
      <w:sz w:val="20"/>
      <w:szCs w:val="20"/>
    </w:rPr>
  </w:style>
  <w:style w:type="character" w:customStyle="1" w:styleId="FootnoteTextChar">
    <w:name w:val="Footnote Text Char"/>
    <w:link w:val="FootnoteText"/>
    <w:uiPriority w:val="99"/>
    <w:semiHidden/>
    <w:rsid w:val="00930BF0"/>
    <w:rPr>
      <w:sz w:val="20"/>
      <w:szCs w:val="20"/>
    </w:rPr>
  </w:style>
  <w:style w:type="character" w:styleId="FootnoteReference">
    <w:name w:val="footnote reference"/>
    <w:uiPriority w:val="99"/>
    <w:semiHidden/>
    <w:unhideWhenUsed/>
    <w:rsid w:val="00930BF0"/>
    <w:rPr>
      <w:vertAlign w:val="superscript"/>
    </w:rPr>
  </w:style>
  <w:style w:type="paragraph" w:styleId="ListParagraph">
    <w:name w:val="List Paragraph"/>
    <w:basedOn w:val="Normal"/>
    <w:uiPriority w:val="34"/>
    <w:qFormat/>
    <w:rsid w:val="00B85F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7F9BC-3FD6-4118-93F1-8389881A6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7583</Words>
  <Characters>43224</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50706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King</dc:creator>
  <cp:lastModifiedBy>Paul Burns</cp:lastModifiedBy>
  <cp:revision>2</cp:revision>
  <dcterms:created xsi:type="dcterms:W3CDTF">2016-07-12T15:19:00Z</dcterms:created>
  <dcterms:modified xsi:type="dcterms:W3CDTF">2016-07-12T15:19:00Z</dcterms:modified>
</cp:coreProperties>
</file>