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6470F0" w14:textId="064D4B88" w:rsidR="002B0EEB" w:rsidRPr="00320C53" w:rsidRDefault="00E662FA" w:rsidP="000C2DAB">
      <w:pPr>
        <w:spacing w:line="480" w:lineRule="auto"/>
        <w:jc w:val="both"/>
        <w:rPr>
          <w:rFonts w:ascii="Palatino Linotype" w:hAnsi="Palatino Linotype"/>
          <w:i/>
        </w:rPr>
      </w:pPr>
      <w:r>
        <w:rPr>
          <w:rFonts w:ascii="Palatino Linotype" w:hAnsi="Palatino Linotype"/>
          <w:i/>
        </w:rPr>
        <w:t>Extended Reflec</w:t>
      </w:r>
      <w:r w:rsidR="000C2DAB">
        <w:rPr>
          <w:rFonts w:ascii="Palatino Linotype" w:hAnsi="Palatino Linotype"/>
          <w:i/>
        </w:rPr>
        <w:t xml:space="preserve">tion: Teaching and Learning in Clinic </w:t>
      </w:r>
    </w:p>
    <w:p w14:paraId="12CF52F0" w14:textId="4A299A2C" w:rsidR="006E61C8" w:rsidRPr="000C2DAB" w:rsidRDefault="006E61C8" w:rsidP="000C2DAB">
      <w:pPr>
        <w:spacing w:line="480" w:lineRule="auto"/>
        <w:jc w:val="both"/>
        <w:rPr>
          <w:rFonts w:ascii="Palatino Linotype" w:hAnsi="Palatino Linotype"/>
          <w:b/>
          <w:sz w:val="28"/>
        </w:rPr>
      </w:pPr>
      <w:r w:rsidRPr="000C2DAB">
        <w:rPr>
          <w:rFonts w:ascii="Palatino Linotype" w:hAnsi="Palatino Linotype"/>
          <w:b/>
          <w:sz w:val="28"/>
        </w:rPr>
        <w:t>Clinic is the Basis for a Complete Legal Education:</w:t>
      </w:r>
      <w:r w:rsidR="00320C53" w:rsidRPr="000C2DAB">
        <w:rPr>
          <w:rFonts w:ascii="Palatino Linotype" w:hAnsi="Palatino Linotype"/>
          <w:b/>
          <w:sz w:val="28"/>
        </w:rPr>
        <w:t xml:space="preserve"> </w:t>
      </w:r>
      <w:r w:rsidRPr="000C2DAB">
        <w:rPr>
          <w:rFonts w:ascii="Palatino Linotype" w:hAnsi="Palatino Linotype"/>
          <w:b/>
          <w:sz w:val="28"/>
        </w:rPr>
        <w:t>Quality Assurance, Learning Outcomes and the Clinical Method</w:t>
      </w:r>
    </w:p>
    <w:p w14:paraId="3C44DB9A" w14:textId="3EC4182A" w:rsidR="006E61C8" w:rsidRPr="000C2DAB" w:rsidRDefault="006E61C8" w:rsidP="000C2DAB">
      <w:pPr>
        <w:spacing w:line="480" w:lineRule="auto"/>
        <w:jc w:val="both"/>
        <w:rPr>
          <w:rFonts w:ascii="Palatino Linotype" w:hAnsi="Palatino Linotype"/>
          <w:b/>
        </w:rPr>
      </w:pPr>
      <w:r w:rsidRPr="000C2DAB">
        <w:rPr>
          <w:rFonts w:ascii="Palatino Linotype" w:hAnsi="Palatino Linotype"/>
          <w:b/>
        </w:rPr>
        <w:t>Neil Gold</w:t>
      </w:r>
      <w:r w:rsidR="000C2DAB" w:rsidRPr="000C2DAB">
        <w:rPr>
          <w:rStyle w:val="FootnoteReference"/>
          <w:rFonts w:ascii="Palatino Linotype" w:hAnsi="Palatino Linotype"/>
          <w:b/>
        </w:rPr>
        <w:footnoteReference w:id="1"/>
      </w:r>
    </w:p>
    <w:p w14:paraId="38A97212" w14:textId="77777777" w:rsidR="006E61C8" w:rsidRPr="000C2DAB" w:rsidRDefault="006E61C8" w:rsidP="000C2DAB">
      <w:pPr>
        <w:spacing w:line="480" w:lineRule="auto"/>
        <w:jc w:val="both"/>
        <w:rPr>
          <w:rFonts w:ascii="Palatino Linotype" w:hAnsi="Palatino Linotype"/>
          <w:b/>
        </w:rPr>
      </w:pPr>
      <w:r w:rsidRPr="000C2DAB">
        <w:rPr>
          <w:rFonts w:ascii="Palatino Linotype" w:hAnsi="Palatino Linotype"/>
          <w:b/>
        </w:rPr>
        <w:t>University of Windsor, Canada</w:t>
      </w:r>
    </w:p>
    <w:p w14:paraId="5F611783" w14:textId="77777777" w:rsidR="000C2DAB" w:rsidRDefault="000C2DAB" w:rsidP="000C2DAB">
      <w:pPr>
        <w:spacing w:line="480" w:lineRule="auto"/>
        <w:jc w:val="both"/>
        <w:rPr>
          <w:rFonts w:ascii="Palatino Linotype" w:hAnsi="Palatino Linotype"/>
          <w:b/>
        </w:rPr>
      </w:pPr>
    </w:p>
    <w:p w14:paraId="4D3AD4E4" w14:textId="3B3F9080" w:rsidR="00E30BB7" w:rsidRPr="000C2DAB" w:rsidRDefault="000C2DAB" w:rsidP="000C2DAB">
      <w:pPr>
        <w:spacing w:line="480" w:lineRule="auto"/>
        <w:jc w:val="both"/>
        <w:rPr>
          <w:rFonts w:ascii="Palatino Linotype" w:hAnsi="Palatino Linotype"/>
        </w:rPr>
      </w:pPr>
      <w:r w:rsidRPr="000C2DAB">
        <w:rPr>
          <w:rFonts w:ascii="Palatino Linotype" w:hAnsi="Palatino Linotype"/>
        </w:rPr>
        <w:t>INTRODUCTION</w:t>
      </w:r>
    </w:p>
    <w:p w14:paraId="10976514" w14:textId="77777777" w:rsidR="000C2DAB" w:rsidRDefault="000C2DAB" w:rsidP="000C2DAB">
      <w:pPr>
        <w:spacing w:line="480" w:lineRule="auto"/>
        <w:jc w:val="both"/>
        <w:rPr>
          <w:rFonts w:ascii="Palatino Linotype" w:hAnsi="Palatino Linotype"/>
        </w:rPr>
      </w:pPr>
    </w:p>
    <w:p w14:paraId="335015C2" w14:textId="6F0BA80C" w:rsidR="00DB7A94" w:rsidRPr="00320C53" w:rsidRDefault="00A60469" w:rsidP="000C2DAB">
      <w:pPr>
        <w:spacing w:line="480" w:lineRule="auto"/>
        <w:jc w:val="both"/>
        <w:rPr>
          <w:rFonts w:ascii="Palatino Linotype" w:hAnsi="Palatino Linotype"/>
        </w:rPr>
      </w:pPr>
      <w:r w:rsidRPr="00320C53">
        <w:rPr>
          <w:rFonts w:ascii="Palatino Linotype" w:hAnsi="Palatino Linotype"/>
        </w:rPr>
        <w:t>Clinic is the basis for a complete legal education.</w:t>
      </w:r>
      <w:r w:rsidR="003506EA" w:rsidRPr="00320C53">
        <w:rPr>
          <w:rStyle w:val="FootnoteReference"/>
          <w:rFonts w:ascii="Palatino Linotype" w:hAnsi="Palatino Linotype"/>
        </w:rPr>
        <w:footnoteReference w:id="2"/>
      </w:r>
      <w:r w:rsidRPr="00320C53">
        <w:rPr>
          <w:rFonts w:ascii="Palatino Linotype" w:hAnsi="Palatino Linotype"/>
        </w:rPr>
        <w:t xml:space="preserve"> The time has come to stop treating </w:t>
      </w:r>
      <w:r w:rsidR="00A64665" w:rsidRPr="00320C53">
        <w:rPr>
          <w:rFonts w:ascii="Palatino Linotype" w:hAnsi="Palatino Linotype"/>
        </w:rPr>
        <w:t>clinic</w:t>
      </w:r>
      <w:r w:rsidRPr="00320C53">
        <w:rPr>
          <w:rFonts w:ascii="Palatino Linotype" w:hAnsi="Palatino Linotype"/>
        </w:rPr>
        <w:t xml:space="preserve"> as </w:t>
      </w:r>
      <w:r w:rsidR="00A64665" w:rsidRPr="00320C53">
        <w:rPr>
          <w:rFonts w:ascii="Palatino Linotype" w:hAnsi="Palatino Linotype"/>
        </w:rPr>
        <w:t xml:space="preserve">a </w:t>
      </w:r>
      <w:r w:rsidRPr="00320C53">
        <w:rPr>
          <w:rFonts w:ascii="Palatino Linotype" w:hAnsi="Palatino Linotype"/>
        </w:rPr>
        <w:t>marginal</w:t>
      </w:r>
      <w:r w:rsidR="00A64665" w:rsidRPr="00320C53">
        <w:rPr>
          <w:rFonts w:ascii="Palatino Linotype" w:hAnsi="Palatino Linotype"/>
        </w:rPr>
        <w:t>,</w:t>
      </w:r>
      <w:r w:rsidRPr="00320C53">
        <w:rPr>
          <w:rFonts w:ascii="Palatino Linotype" w:hAnsi="Palatino Linotype"/>
        </w:rPr>
        <w:t xml:space="preserve"> alternative approach to learning </w:t>
      </w:r>
      <w:r w:rsidR="00A64665" w:rsidRPr="00320C53">
        <w:rPr>
          <w:rFonts w:ascii="Palatino Linotype" w:hAnsi="Palatino Linotype"/>
        </w:rPr>
        <w:t>some but not all things requisite for a sound legal education aimed at producing capable practitioners</w:t>
      </w:r>
      <w:r w:rsidRPr="00320C53">
        <w:rPr>
          <w:rFonts w:ascii="Palatino Linotype" w:hAnsi="Palatino Linotype"/>
        </w:rPr>
        <w:t>.  It is a powerful</w:t>
      </w:r>
      <w:r w:rsidR="00DB7A94" w:rsidRPr="00320C53">
        <w:rPr>
          <w:rFonts w:ascii="Palatino Linotype" w:hAnsi="Palatino Linotype"/>
        </w:rPr>
        <w:t>ly effective</w:t>
      </w:r>
      <w:r w:rsidRPr="00320C53">
        <w:rPr>
          <w:rFonts w:ascii="Palatino Linotype" w:hAnsi="Palatino Linotype"/>
        </w:rPr>
        <w:t xml:space="preserve">, </w:t>
      </w:r>
      <w:r w:rsidR="00DB7A94" w:rsidRPr="00320C53">
        <w:rPr>
          <w:rFonts w:ascii="Palatino Linotype" w:hAnsi="Palatino Linotype"/>
        </w:rPr>
        <w:t>experiential and varied,</w:t>
      </w:r>
      <w:r w:rsidRPr="00320C53">
        <w:rPr>
          <w:rFonts w:ascii="Palatino Linotype" w:hAnsi="Palatino Linotype"/>
        </w:rPr>
        <w:t xml:space="preserve"> comprehensive approach to </w:t>
      </w:r>
      <w:r w:rsidR="00DB7A94" w:rsidRPr="00320C53">
        <w:rPr>
          <w:rFonts w:ascii="Palatino Linotype" w:hAnsi="Palatino Linotype"/>
        </w:rPr>
        <w:t xml:space="preserve">the structure and contents of a legal education. </w:t>
      </w:r>
      <w:r w:rsidR="00180DFD" w:rsidRPr="00320C53">
        <w:rPr>
          <w:rFonts w:ascii="Palatino Linotype" w:hAnsi="Palatino Linotype"/>
        </w:rPr>
        <w:t>I will argue that given a full interpretation of the term “Clinical Legal Education” (CLE), CLE in its many forms can serve as the model for a legal education. Also, i</w:t>
      </w:r>
      <w:r w:rsidR="00DB7A94" w:rsidRPr="00320C53">
        <w:rPr>
          <w:rFonts w:ascii="Palatino Linotype" w:hAnsi="Palatino Linotype"/>
        </w:rPr>
        <w:t xml:space="preserve">n this paper I will examine the relationship between the learning outcomes we have for a legal education and the learning methods characteristic of a </w:t>
      </w:r>
      <w:r w:rsidR="00DB7A94" w:rsidRPr="00320C53">
        <w:rPr>
          <w:rFonts w:ascii="Palatino Linotype" w:hAnsi="Palatino Linotype"/>
        </w:rPr>
        <w:lastRenderedPageBreak/>
        <w:t xml:space="preserve">variety of forms of clinical legal education. At another time it will be useful to show how assessment of learning through clinic suits the full range of outcomes as well. </w:t>
      </w:r>
    </w:p>
    <w:p w14:paraId="4328375A" w14:textId="77777777" w:rsidR="00DB7A94" w:rsidRPr="00320C53" w:rsidRDefault="00DB7A94" w:rsidP="000C2DAB">
      <w:pPr>
        <w:spacing w:line="480" w:lineRule="auto"/>
        <w:jc w:val="both"/>
        <w:rPr>
          <w:rFonts w:ascii="Palatino Linotype" w:hAnsi="Palatino Linotype"/>
        </w:rPr>
      </w:pPr>
    </w:p>
    <w:p w14:paraId="646BE47A" w14:textId="379B22BD" w:rsidR="00A64665" w:rsidRPr="000C2DAB" w:rsidRDefault="000C2DAB" w:rsidP="000C2DAB">
      <w:pPr>
        <w:pStyle w:val="ListParagraph"/>
        <w:numPr>
          <w:ilvl w:val="0"/>
          <w:numId w:val="38"/>
        </w:numPr>
        <w:spacing w:line="480" w:lineRule="auto"/>
        <w:jc w:val="both"/>
        <w:rPr>
          <w:rFonts w:ascii="Palatino Linotype" w:hAnsi="Palatino Linotype"/>
        </w:rPr>
      </w:pPr>
      <w:r w:rsidRPr="000C2DAB">
        <w:rPr>
          <w:rFonts w:ascii="Palatino Linotype" w:hAnsi="Palatino Linotype"/>
        </w:rPr>
        <w:t>LEARNING OUTCOMES</w:t>
      </w:r>
    </w:p>
    <w:p w14:paraId="5E574A5D" w14:textId="77777777" w:rsidR="00E662FA" w:rsidRDefault="00E662FA" w:rsidP="000C2DAB">
      <w:pPr>
        <w:spacing w:line="480" w:lineRule="auto"/>
        <w:jc w:val="both"/>
        <w:rPr>
          <w:rFonts w:ascii="Palatino Linotype" w:hAnsi="Palatino Linotype"/>
        </w:rPr>
      </w:pPr>
    </w:p>
    <w:p w14:paraId="124E85BC" w14:textId="73BA63E9" w:rsidR="00DD1E81" w:rsidRPr="00320C53" w:rsidRDefault="00E90CDE" w:rsidP="000C2DAB">
      <w:pPr>
        <w:spacing w:line="480" w:lineRule="auto"/>
        <w:jc w:val="both"/>
        <w:rPr>
          <w:rFonts w:ascii="Palatino Linotype" w:hAnsi="Palatino Linotype"/>
        </w:rPr>
      </w:pPr>
      <w:r w:rsidRPr="00320C53">
        <w:rPr>
          <w:rFonts w:ascii="Palatino Linotype" w:hAnsi="Palatino Linotype"/>
        </w:rPr>
        <w:t xml:space="preserve">In Australia, </w:t>
      </w:r>
      <w:r w:rsidR="00D32EA3" w:rsidRPr="00320C53">
        <w:rPr>
          <w:rFonts w:ascii="Palatino Linotype" w:hAnsi="Palatino Linotype"/>
        </w:rPr>
        <w:t xml:space="preserve">Canada, </w:t>
      </w:r>
      <w:r w:rsidR="00BB6F28" w:rsidRPr="00320C53">
        <w:rPr>
          <w:rFonts w:ascii="Palatino Linotype" w:hAnsi="Palatino Linotype"/>
        </w:rPr>
        <w:t xml:space="preserve">Europe, </w:t>
      </w:r>
      <w:r w:rsidRPr="00320C53">
        <w:rPr>
          <w:rFonts w:ascii="Palatino Linotype" w:hAnsi="Palatino Linotype"/>
        </w:rPr>
        <w:t xml:space="preserve">New Zealand, </w:t>
      </w:r>
      <w:r w:rsidR="00BB6F28" w:rsidRPr="00320C53">
        <w:rPr>
          <w:rFonts w:ascii="Palatino Linotype" w:hAnsi="Palatino Linotype"/>
        </w:rPr>
        <w:t xml:space="preserve">UK, </w:t>
      </w:r>
      <w:r w:rsidRPr="00320C53">
        <w:rPr>
          <w:rFonts w:ascii="Palatino Linotype" w:hAnsi="Palatino Linotype"/>
        </w:rPr>
        <w:t>and in many regions of the USA</w:t>
      </w:r>
      <w:r w:rsidR="000B77E7" w:rsidRPr="00320C53">
        <w:rPr>
          <w:rFonts w:ascii="Palatino Linotype" w:hAnsi="Palatino Linotype"/>
        </w:rPr>
        <w:t>,</w:t>
      </w:r>
      <w:r w:rsidRPr="00320C53">
        <w:rPr>
          <w:rFonts w:ascii="Palatino Linotype" w:hAnsi="Palatino Linotype"/>
        </w:rPr>
        <w:t xml:space="preserve"> outcome</w:t>
      </w:r>
      <w:r w:rsidR="000B77E7" w:rsidRPr="00320C53">
        <w:rPr>
          <w:rFonts w:ascii="Palatino Linotype" w:hAnsi="Palatino Linotype"/>
        </w:rPr>
        <w:t xml:space="preserve">s oriented programme planning, delivering, </w:t>
      </w:r>
      <w:r w:rsidRPr="00320C53">
        <w:rPr>
          <w:rFonts w:ascii="Palatino Linotype" w:hAnsi="Palatino Linotype"/>
        </w:rPr>
        <w:t xml:space="preserve">assessing and evaluating govern </w:t>
      </w:r>
      <w:r w:rsidR="00CF57B4" w:rsidRPr="00320C53">
        <w:rPr>
          <w:rFonts w:ascii="Palatino Linotype" w:hAnsi="Palatino Linotype"/>
        </w:rPr>
        <w:t>tertiary</w:t>
      </w:r>
      <w:r w:rsidR="00180DFD" w:rsidRPr="00320C53">
        <w:rPr>
          <w:rStyle w:val="FootnoteReference"/>
          <w:rFonts w:ascii="Palatino Linotype" w:hAnsi="Palatino Linotype"/>
        </w:rPr>
        <w:footnoteReference w:id="3"/>
      </w:r>
      <w:r w:rsidR="00CF57B4" w:rsidRPr="00320C53">
        <w:rPr>
          <w:rFonts w:ascii="Palatino Linotype" w:hAnsi="Palatino Linotype"/>
        </w:rPr>
        <w:t xml:space="preserve"> education </w:t>
      </w:r>
      <w:r w:rsidRPr="00320C53">
        <w:rPr>
          <w:rFonts w:ascii="Palatino Linotype" w:hAnsi="Palatino Linotype"/>
        </w:rPr>
        <w:t xml:space="preserve">quality assurance. </w:t>
      </w:r>
      <w:r w:rsidR="001C4251" w:rsidRPr="00320C53">
        <w:rPr>
          <w:rFonts w:ascii="Palatino Linotype" w:hAnsi="Palatino Linotype"/>
        </w:rPr>
        <w:t xml:space="preserve"> While no two jurisdictions are the same</w:t>
      </w:r>
      <w:r w:rsidR="005D1453" w:rsidRPr="00320C53">
        <w:rPr>
          <w:rFonts w:ascii="Palatino Linotype" w:hAnsi="Palatino Linotype"/>
        </w:rPr>
        <w:t>,</w:t>
      </w:r>
      <w:r w:rsidR="001C4251" w:rsidRPr="00320C53">
        <w:rPr>
          <w:rFonts w:ascii="Palatino Linotype" w:hAnsi="Palatino Linotype"/>
        </w:rPr>
        <w:t xml:space="preserve"> </w:t>
      </w:r>
      <w:r w:rsidR="00A64665" w:rsidRPr="00320C53">
        <w:rPr>
          <w:rFonts w:ascii="Palatino Linotype" w:hAnsi="Palatino Linotype"/>
        </w:rPr>
        <w:t xml:space="preserve">those conforming to </w:t>
      </w:r>
      <w:r w:rsidR="00D91C94" w:rsidRPr="00320C53">
        <w:rPr>
          <w:rFonts w:ascii="Palatino Linotype" w:hAnsi="Palatino Linotype"/>
        </w:rPr>
        <w:t>recognized</w:t>
      </w:r>
      <w:r w:rsidR="000B77E7" w:rsidRPr="00320C53">
        <w:rPr>
          <w:rFonts w:ascii="Palatino Linotype" w:hAnsi="Palatino Linotype"/>
        </w:rPr>
        <w:t xml:space="preserve"> </w:t>
      </w:r>
      <w:r w:rsidR="00A64665" w:rsidRPr="00320C53">
        <w:rPr>
          <w:rFonts w:ascii="Palatino Linotype" w:hAnsi="Palatino Linotype"/>
        </w:rPr>
        <w:t>quality</w:t>
      </w:r>
      <w:r w:rsidR="000B77E7" w:rsidRPr="00320C53">
        <w:rPr>
          <w:rFonts w:ascii="Palatino Linotype" w:hAnsi="Palatino Linotype"/>
        </w:rPr>
        <w:t xml:space="preserve"> </w:t>
      </w:r>
      <w:r w:rsidR="005D1453" w:rsidRPr="00320C53">
        <w:rPr>
          <w:rFonts w:ascii="Palatino Linotype" w:hAnsi="Palatino Linotype"/>
        </w:rPr>
        <w:t xml:space="preserve">assurance </w:t>
      </w:r>
      <w:r w:rsidR="000B77E7" w:rsidRPr="00320C53">
        <w:rPr>
          <w:rFonts w:ascii="Palatino Linotype" w:hAnsi="Palatino Linotype"/>
        </w:rPr>
        <w:t xml:space="preserve">models </w:t>
      </w:r>
      <w:r w:rsidR="001C4251" w:rsidRPr="00320C53">
        <w:rPr>
          <w:rFonts w:ascii="Palatino Linotype" w:hAnsi="Palatino Linotype"/>
        </w:rPr>
        <w:t xml:space="preserve">require </w:t>
      </w:r>
      <w:r w:rsidR="000B77E7" w:rsidRPr="00320C53">
        <w:rPr>
          <w:rFonts w:ascii="Palatino Linotype" w:hAnsi="Palatino Linotype"/>
        </w:rPr>
        <w:t xml:space="preserve">institutions </w:t>
      </w:r>
      <w:r w:rsidR="009E330B" w:rsidRPr="00320C53">
        <w:rPr>
          <w:rFonts w:ascii="Palatino Linotype" w:hAnsi="Palatino Linotype"/>
        </w:rPr>
        <w:t xml:space="preserve">to </w:t>
      </w:r>
      <w:r w:rsidR="000B77E7" w:rsidRPr="00320C53">
        <w:rPr>
          <w:rFonts w:ascii="Palatino Linotype" w:hAnsi="Palatino Linotype"/>
        </w:rPr>
        <w:t xml:space="preserve">demonstrate that </w:t>
      </w:r>
      <w:r w:rsidR="001C4251" w:rsidRPr="00320C53">
        <w:rPr>
          <w:rFonts w:ascii="Palatino Linotype" w:hAnsi="Palatino Linotype"/>
        </w:rPr>
        <w:t>graduates have achieved</w:t>
      </w:r>
      <w:r w:rsidR="000F118C" w:rsidRPr="00320C53">
        <w:rPr>
          <w:rFonts w:ascii="Palatino Linotype" w:hAnsi="Palatino Linotype"/>
        </w:rPr>
        <w:t>,</w:t>
      </w:r>
      <w:r w:rsidR="001C4251" w:rsidRPr="00320C53">
        <w:rPr>
          <w:rFonts w:ascii="Palatino Linotype" w:hAnsi="Palatino Linotype"/>
        </w:rPr>
        <w:t xml:space="preserve"> </w:t>
      </w:r>
      <w:r w:rsidR="000F118C" w:rsidRPr="00320C53">
        <w:rPr>
          <w:rFonts w:ascii="Palatino Linotype" w:hAnsi="Palatino Linotype"/>
        </w:rPr>
        <w:t xml:space="preserve">or are likely to have achieved, </w:t>
      </w:r>
      <w:r w:rsidR="001C4251" w:rsidRPr="00320C53">
        <w:rPr>
          <w:rFonts w:ascii="Palatino Linotype" w:hAnsi="Palatino Linotype"/>
        </w:rPr>
        <w:t xml:space="preserve">a specified range of </w:t>
      </w:r>
      <w:r w:rsidR="00A64665" w:rsidRPr="00320C53">
        <w:rPr>
          <w:rFonts w:ascii="Palatino Linotype" w:hAnsi="Palatino Linotype"/>
        </w:rPr>
        <w:t xml:space="preserve">learning outcomes </w:t>
      </w:r>
      <w:r w:rsidR="00767BF2" w:rsidRPr="00320C53">
        <w:rPr>
          <w:rFonts w:ascii="Palatino Linotype" w:hAnsi="Palatino Linotype"/>
        </w:rPr>
        <w:t xml:space="preserve">organized </w:t>
      </w:r>
      <w:r w:rsidR="000B77E7" w:rsidRPr="00320C53">
        <w:rPr>
          <w:rFonts w:ascii="Palatino Linotype" w:hAnsi="Palatino Linotype"/>
        </w:rPr>
        <w:t>within</w:t>
      </w:r>
      <w:r w:rsidR="00767BF2" w:rsidRPr="00320C53">
        <w:rPr>
          <w:rFonts w:ascii="Palatino Linotype" w:hAnsi="Palatino Linotype"/>
        </w:rPr>
        <w:t xml:space="preserve"> an </w:t>
      </w:r>
      <w:r w:rsidR="001C4251" w:rsidRPr="00320C53">
        <w:rPr>
          <w:rFonts w:ascii="Palatino Linotype" w:hAnsi="Palatino Linotype"/>
        </w:rPr>
        <w:t>acceptable taxonomy</w:t>
      </w:r>
      <w:r w:rsidR="00BB4C25" w:rsidRPr="00320C53">
        <w:rPr>
          <w:rFonts w:ascii="Palatino Linotype" w:hAnsi="Palatino Linotype"/>
        </w:rPr>
        <w:t xml:space="preserve"> or classification system</w:t>
      </w:r>
      <w:r w:rsidR="001C4251" w:rsidRPr="00320C53">
        <w:rPr>
          <w:rFonts w:ascii="Palatino Linotype" w:hAnsi="Palatino Linotype"/>
        </w:rPr>
        <w:t>.</w:t>
      </w:r>
      <w:r w:rsidR="00DD1E81" w:rsidRPr="00320C53">
        <w:rPr>
          <w:rStyle w:val="FootnoteReference"/>
          <w:rFonts w:ascii="Palatino Linotype" w:hAnsi="Palatino Linotype"/>
        </w:rPr>
        <w:footnoteReference w:id="4"/>
      </w:r>
      <w:r w:rsidR="00DD1E81" w:rsidRPr="00320C53">
        <w:rPr>
          <w:rFonts w:ascii="Palatino Linotype" w:hAnsi="Palatino Linotype"/>
        </w:rPr>
        <w:t xml:space="preserve">  Tertiary </w:t>
      </w:r>
      <w:r w:rsidR="00DD1E81" w:rsidRPr="00320C53">
        <w:rPr>
          <w:rFonts w:ascii="Palatino Linotype" w:hAnsi="Palatino Linotype"/>
        </w:rPr>
        <w:lastRenderedPageBreak/>
        <w:t xml:space="preserve">systems tend to apply the same schema to all baccalaureate programs, preferring professional programs to add anything that they believe the general set of expectations for university graduates may be lacking. </w:t>
      </w:r>
    </w:p>
    <w:p w14:paraId="6505FC3A" w14:textId="39FDB84A" w:rsidR="00DD1E81" w:rsidRPr="00320C53" w:rsidRDefault="00DD1E81" w:rsidP="000C2DAB">
      <w:pPr>
        <w:spacing w:line="480" w:lineRule="auto"/>
        <w:jc w:val="both"/>
        <w:rPr>
          <w:rFonts w:ascii="Palatino Linotype" w:hAnsi="Palatino Linotype"/>
        </w:rPr>
      </w:pPr>
      <w:r w:rsidRPr="00320C53">
        <w:rPr>
          <w:rFonts w:ascii="Palatino Linotype" w:hAnsi="Palatino Linotype"/>
        </w:rPr>
        <w:t>Many professions have long recognized outcomes orientations that aim for professional competence.  Competencies</w:t>
      </w:r>
      <w:r w:rsidR="00557ADF" w:rsidRPr="00320C53">
        <w:rPr>
          <w:rFonts w:ascii="Palatino Linotype" w:hAnsi="Palatino Linotype"/>
        </w:rPr>
        <w:t xml:space="preserve"> and abilities</w:t>
      </w:r>
      <w:r w:rsidRPr="00320C53">
        <w:rPr>
          <w:rFonts w:ascii="Palatino Linotype" w:hAnsi="Palatino Linotype"/>
        </w:rPr>
        <w:t>, profession-agreed learning outcomes, are at the heart of accounting, business, nursing, social work, medical, engineering and many other professional education and accreditation models in numerous jurisdictions.</w:t>
      </w:r>
      <w:r w:rsidRPr="00320C53">
        <w:rPr>
          <w:rStyle w:val="FootnoteReference"/>
          <w:rFonts w:ascii="Palatino Linotype" w:hAnsi="Palatino Linotype"/>
        </w:rPr>
        <w:footnoteReference w:id="5"/>
      </w:r>
      <w:r w:rsidRPr="00320C53">
        <w:rPr>
          <w:rFonts w:ascii="Palatino Linotype" w:hAnsi="Palatino Linotype"/>
        </w:rPr>
        <w:t xml:space="preserve">  Outcomes, or competency-based approaches, to university legal education and the professional preparation of lawyers exist in some places but are less prevalent than in other professions.  Discussion in much of the recent legal education literature moves or aims to </w:t>
      </w:r>
      <w:r w:rsidRPr="00320C53">
        <w:rPr>
          <w:rFonts w:ascii="Palatino Linotype" w:hAnsi="Palatino Linotype"/>
        </w:rPr>
        <w:lastRenderedPageBreak/>
        <w:t>move legal education closer to the mainstream of professional, competency-based</w:t>
      </w:r>
      <w:r w:rsidR="00B110AE" w:rsidRPr="00320C53">
        <w:rPr>
          <w:rStyle w:val="FootnoteReference"/>
          <w:rFonts w:ascii="Palatino Linotype" w:hAnsi="Palatino Linotype"/>
        </w:rPr>
        <w:footnoteReference w:id="6"/>
      </w:r>
      <w:r w:rsidRPr="00320C53">
        <w:rPr>
          <w:rFonts w:ascii="Palatino Linotype" w:hAnsi="Palatino Linotype"/>
        </w:rPr>
        <w:t xml:space="preserve"> education, generally.</w:t>
      </w:r>
      <w:r w:rsidRPr="00320C53">
        <w:rPr>
          <w:rStyle w:val="FootnoteReference"/>
          <w:rFonts w:ascii="Palatino Linotype" w:hAnsi="Palatino Linotype"/>
        </w:rPr>
        <w:footnoteReference w:id="7"/>
      </w:r>
    </w:p>
    <w:p w14:paraId="154109E8" w14:textId="78B74095" w:rsidR="00DD1E81" w:rsidRPr="00320C53" w:rsidRDefault="00DD1E81" w:rsidP="000C2DAB">
      <w:pPr>
        <w:spacing w:line="480" w:lineRule="auto"/>
        <w:jc w:val="both"/>
        <w:rPr>
          <w:rFonts w:ascii="Palatino Linotype" w:hAnsi="Palatino Linotype"/>
        </w:rPr>
      </w:pPr>
      <w:r w:rsidRPr="00320C53">
        <w:rPr>
          <w:rFonts w:ascii="Palatino Linotype" w:hAnsi="Palatino Linotype"/>
        </w:rPr>
        <w:t>Applying a Canadian (Ontario) model of learning outcomes, as well as specific legal professional views of desired law learning outcomes, this paper will seek to demonstrate that clinical legal education’s aspirations are traditional and mainstream: properly deployed conventional learning outcomes can be achieved through clinic</w:t>
      </w:r>
      <w:r w:rsidR="003334A0" w:rsidRPr="00320C53">
        <w:rPr>
          <w:rStyle w:val="FootnoteReference"/>
          <w:rFonts w:ascii="Palatino Linotype" w:hAnsi="Palatino Linotype"/>
        </w:rPr>
        <w:footnoteReference w:id="8"/>
      </w:r>
      <w:r w:rsidRPr="00320C53">
        <w:rPr>
          <w:rFonts w:ascii="Palatino Linotype" w:hAnsi="Palatino Linotype"/>
        </w:rPr>
        <w:t>.  As well</w:t>
      </w:r>
      <w:r w:rsidR="00927843" w:rsidRPr="00320C53">
        <w:rPr>
          <w:rFonts w:ascii="Palatino Linotype" w:hAnsi="Palatino Linotype"/>
        </w:rPr>
        <w:t>,</w:t>
      </w:r>
      <w:r w:rsidRPr="00320C53">
        <w:rPr>
          <w:rFonts w:ascii="Palatino Linotype" w:hAnsi="Palatino Linotype"/>
        </w:rPr>
        <w:t xml:space="preserve"> clinic learning outcomes are for the most part coterminous with current learning expectations of professional, legal and tertiary education.</w:t>
      </w:r>
      <w:r w:rsidRPr="00320C53">
        <w:rPr>
          <w:rStyle w:val="FootnoteReference"/>
          <w:rFonts w:ascii="Palatino Linotype" w:hAnsi="Palatino Linotype"/>
        </w:rPr>
        <w:footnoteReference w:id="9"/>
      </w:r>
      <w:r w:rsidRPr="00320C53">
        <w:rPr>
          <w:rFonts w:ascii="Palatino Linotype" w:hAnsi="Palatino Linotype"/>
        </w:rPr>
        <w:t xml:space="preserve"> Given its role in facilitating the achievement and assessment of key learning outcomes, clinic’s methods and outcomes play a major role in aiding law schools to demonstrate academic quality to regulators, to establish </w:t>
      </w:r>
      <w:r w:rsidRPr="00320C53">
        <w:rPr>
          <w:rFonts w:ascii="Palatino Linotype" w:hAnsi="Palatino Linotype"/>
        </w:rPr>
        <w:lastRenderedPageBreak/>
        <w:t xml:space="preserve">graduate competence to professional bodies, and to assure graduates’ readiness for multiple law and non-law career opportunities. </w:t>
      </w:r>
    </w:p>
    <w:p w14:paraId="5D4DDDED" w14:textId="77777777" w:rsidR="00DD1E81" w:rsidRPr="00320C53" w:rsidRDefault="00DD1E81" w:rsidP="000C2DAB">
      <w:pPr>
        <w:spacing w:line="480" w:lineRule="auto"/>
        <w:jc w:val="both"/>
        <w:rPr>
          <w:rFonts w:ascii="Palatino Linotype" w:hAnsi="Palatino Linotype"/>
        </w:rPr>
      </w:pPr>
    </w:p>
    <w:p w14:paraId="29DF76C0" w14:textId="6B5BC07C" w:rsidR="00DD1E81" w:rsidRPr="000C2DAB" w:rsidRDefault="000C2DAB" w:rsidP="000C2DAB">
      <w:pPr>
        <w:pStyle w:val="ListParagraph"/>
        <w:numPr>
          <w:ilvl w:val="0"/>
          <w:numId w:val="38"/>
        </w:numPr>
        <w:spacing w:line="480" w:lineRule="auto"/>
        <w:jc w:val="both"/>
        <w:rPr>
          <w:rFonts w:ascii="Palatino Linotype" w:hAnsi="Palatino Linotype"/>
        </w:rPr>
      </w:pPr>
      <w:r w:rsidRPr="000C2DAB">
        <w:rPr>
          <w:rFonts w:ascii="Palatino Linotype" w:hAnsi="Palatino Linotype"/>
        </w:rPr>
        <w:t>WHY LEARNING OUTCOMES?</w:t>
      </w:r>
    </w:p>
    <w:p w14:paraId="50AF641D" w14:textId="77777777" w:rsidR="00E662FA" w:rsidRDefault="00E662FA" w:rsidP="000C2DAB">
      <w:pPr>
        <w:spacing w:line="480" w:lineRule="auto"/>
        <w:jc w:val="both"/>
        <w:rPr>
          <w:rFonts w:ascii="Palatino Linotype" w:hAnsi="Palatino Linotype"/>
        </w:rPr>
      </w:pPr>
    </w:p>
    <w:p w14:paraId="09379502" w14:textId="66BEDD03" w:rsidR="00DD1E81" w:rsidRPr="00320C53" w:rsidRDefault="00DD1E81" w:rsidP="000C2DAB">
      <w:pPr>
        <w:spacing w:line="480" w:lineRule="auto"/>
        <w:jc w:val="both"/>
        <w:rPr>
          <w:rFonts w:ascii="Palatino Linotype" w:hAnsi="Palatino Linotype"/>
        </w:rPr>
      </w:pPr>
      <w:r w:rsidRPr="00320C53">
        <w:rPr>
          <w:rFonts w:ascii="Palatino Linotype" w:hAnsi="Palatino Linotype"/>
        </w:rPr>
        <w:t xml:space="preserve">The </w:t>
      </w:r>
      <w:r w:rsidR="00024ED8" w:rsidRPr="00320C53">
        <w:rPr>
          <w:rFonts w:ascii="Palatino Linotype" w:hAnsi="Palatino Linotype"/>
        </w:rPr>
        <w:t>inevitable</w:t>
      </w:r>
      <w:r w:rsidRPr="00320C53">
        <w:rPr>
          <w:rFonts w:ascii="Palatino Linotype" w:hAnsi="Palatino Linotype"/>
        </w:rPr>
        <w:t xml:space="preserve"> move towards outcomes oriented higher education in Canada has been in process for some time. In some jurisdictions it is still an idea worth considering. In at least two, Ontario and Alberta, it is the way ahead. It is astonishing, though explicable, that it has taken so long for this approach to win a place in tertiary Canadian education.</w:t>
      </w:r>
      <w:r w:rsidRPr="00320C53">
        <w:rPr>
          <w:rStyle w:val="FootnoteReference"/>
          <w:rFonts w:ascii="Palatino Linotype" w:hAnsi="Palatino Linotype"/>
        </w:rPr>
        <w:footnoteReference w:id="10"/>
      </w:r>
    </w:p>
    <w:p w14:paraId="2097CBDF" w14:textId="77777777" w:rsidR="003F2E53" w:rsidRPr="00320C53" w:rsidRDefault="00DD1E81" w:rsidP="000C2DAB">
      <w:pPr>
        <w:spacing w:line="480" w:lineRule="auto"/>
        <w:jc w:val="both"/>
        <w:rPr>
          <w:rFonts w:ascii="Palatino Linotype" w:hAnsi="Palatino Linotype"/>
        </w:rPr>
      </w:pPr>
      <w:r w:rsidRPr="00320C53">
        <w:rPr>
          <w:rFonts w:ascii="Palatino Linotype" w:hAnsi="Palatino Linotype"/>
        </w:rPr>
        <w:t>Quality assurance systems and professional/vocational preparation models insist on an outcomes-based approach for several reasons.</w:t>
      </w:r>
      <w:r w:rsidR="003506EA" w:rsidRPr="00320C53">
        <w:rPr>
          <w:rStyle w:val="FootnoteReference"/>
          <w:rFonts w:ascii="Palatino Linotype" w:hAnsi="Palatino Linotype"/>
        </w:rPr>
        <w:footnoteReference w:id="11"/>
      </w:r>
      <w:r w:rsidRPr="00320C53">
        <w:rPr>
          <w:rFonts w:ascii="Palatino Linotype" w:hAnsi="Palatino Linotype"/>
        </w:rPr>
        <w:t xml:space="preserve"> They seek to accomplish a number of co-</w:t>
      </w:r>
      <w:r w:rsidR="00927843" w:rsidRPr="00320C53">
        <w:rPr>
          <w:rFonts w:ascii="Palatino Linotype" w:hAnsi="Palatino Linotype"/>
        </w:rPr>
        <w:t>existing</w:t>
      </w:r>
      <w:r w:rsidRPr="00320C53">
        <w:rPr>
          <w:rFonts w:ascii="Palatino Linotype" w:hAnsi="Palatino Linotype"/>
        </w:rPr>
        <w:t xml:space="preserve"> </w:t>
      </w:r>
      <w:r w:rsidR="00927843" w:rsidRPr="00320C53">
        <w:rPr>
          <w:rFonts w:ascii="Palatino Linotype" w:hAnsi="Palatino Linotype"/>
        </w:rPr>
        <w:t>or</w:t>
      </w:r>
      <w:r w:rsidRPr="00320C53">
        <w:rPr>
          <w:rFonts w:ascii="Palatino Linotype" w:hAnsi="Palatino Linotype"/>
        </w:rPr>
        <w:t xml:space="preserve"> sometimes overlapping ends</w:t>
      </w:r>
      <w:r w:rsidR="00EC290C" w:rsidRPr="00320C53">
        <w:rPr>
          <w:rFonts w:ascii="Palatino Linotype" w:hAnsi="Palatino Linotype"/>
          <w:b/>
        </w:rPr>
        <w:t>.</w:t>
      </w:r>
      <w:r w:rsidR="00EC290C" w:rsidRPr="00320C53">
        <w:rPr>
          <w:rStyle w:val="FootnoteReference"/>
          <w:rFonts w:ascii="Palatino Linotype" w:hAnsi="Palatino Linotype"/>
          <w:b/>
        </w:rPr>
        <w:footnoteReference w:id="12"/>
      </w:r>
      <w:r w:rsidR="003B0D1A" w:rsidRPr="00320C53">
        <w:rPr>
          <w:rFonts w:ascii="Palatino Linotype" w:hAnsi="Palatino Linotype"/>
          <w:b/>
        </w:rPr>
        <w:t xml:space="preserve"> </w:t>
      </w:r>
      <w:r w:rsidR="00EC290C" w:rsidRPr="00320C53">
        <w:rPr>
          <w:rFonts w:ascii="Palatino Linotype" w:hAnsi="Palatino Linotype"/>
        </w:rPr>
        <w:t xml:space="preserve">This paper focuses on the contention that </w:t>
      </w:r>
      <w:r w:rsidR="00EC290C" w:rsidRPr="00320C53">
        <w:rPr>
          <w:rFonts w:ascii="Palatino Linotype" w:hAnsi="Palatino Linotype"/>
        </w:rPr>
        <w:lastRenderedPageBreak/>
        <w:t>clinic, a methodology for the promotion of learning, can serve to support student achievement of all learning out</w:t>
      </w:r>
      <w:r w:rsidR="003F2E53" w:rsidRPr="00320C53">
        <w:rPr>
          <w:rFonts w:ascii="Palatino Linotype" w:hAnsi="Palatino Linotype"/>
        </w:rPr>
        <w:t>comes, though some more readily</w:t>
      </w:r>
      <w:r w:rsidR="00EC290C" w:rsidRPr="00320C53">
        <w:rPr>
          <w:rFonts w:ascii="Palatino Linotype" w:hAnsi="Palatino Linotype"/>
        </w:rPr>
        <w:t xml:space="preserve">. </w:t>
      </w:r>
    </w:p>
    <w:p w14:paraId="795E0036" w14:textId="628609CD" w:rsidR="00EC290C" w:rsidRPr="00320C53" w:rsidRDefault="003F2E53" w:rsidP="000C2DAB">
      <w:pPr>
        <w:spacing w:line="480" w:lineRule="auto"/>
        <w:jc w:val="both"/>
        <w:rPr>
          <w:rFonts w:ascii="Palatino Linotype" w:hAnsi="Palatino Linotype"/>
        </w:rPr>
      </w:pPr>
      <w:r w:rsidRPr="00320C53">
        <w:rPr>
          <w:rFonts w:ascii="Palatino Linotype" w:hAnsi="Palatino Linotype"/>
        </w:rPr>
        <w:t xml:space="preserve">While </w:t>
      </w:r>
      <w:r w:rsidR="00EC290C" w:rsidRPr="00320C53">
        <w:rPr>
          <w:rFonts w:ascii="Palatino Linotype" w:hAnsi="Palatino Linotype"/>
        </w:rPr>
        <w:t>there are many reasons for outcomes-oriented education</w:t>
      </w:r>
      <w:r w:rsidR="003A705A" w:rsidRPr="00320C53">
        <w:rPr>
          <w:rFonts w:ascii="Palatino Linotype" w:hAnsi="Palatino Linotype"/>
        </w:rPr>
        <w:t xml:space="preserve"> (at least 13)</w:t>
      </w:r>
      <w:r w:rsidR="003A705A" w:rsidRPr="00320C53">
        <w:rPr>
          <w:rStyle w:val="FootnoteReference"/>
          <w:rFonts w:ascii="Palatino Linotype" w:hAnsi="Palatino Linotype"/>
        </w:rPr>
        <w:footnoteReference w:id="13"/>
      </w:r>
      <w:r w:rsidR="00EC290C" w:rsidRPr="00320C53">
        <w:rPr>
          <w:rFonts w:ascii="Palatino Linotype" w:hAnsi="Palatino Linotype"/>
        </w:rPr>
        <w:t>, our discussion is limited to the following:</w:t>
      </w:r>
    </w:p>
    <w:p w14:paraId="7E977078" w14:textId="110877B5" w:rsidR="00DD1E81" w:rsidRPr="00320C53" w:rsidRDefault="004F2BA4" w:rsidP="000C2DAB">
      <w:pPr>
        <w:pStyle w:val="ListParagraph"/>
        <w:numPr>
          <w:ilvl w:val="0"/>
          <w:numId w:val="1"/>
        </w:numPr>
        <w:spacing w:line="480" w:lineRule="auto"/>
        <w:jc w:val="both"/>
        <w:rPr>
          <w:rFonts w:ascii="Palatino Linotype" w:hAnsi="Palatino Linotype"/>
        </w:rPr>
      </w:pPr>
      <w:r w:rsidRPr="00320C53">
        <w:rPr>
          <w:rFonts w:ascii="Palatino Linotype" w:hAnsi="Palatino Linotype"/>
        </w:rPr>
        <w:t>t</w:t>
      </w:r>
      <w:r w:rsidR="00DD1E81" w:rsidRPr="00320C53">
        <w:rPr>
          <w:rFonts w:ascii="Palatino Linotype" w:hAnsi="Palatino Linotype"/>
        </w:rPr>
        <w:t>o provide quality assessors with clear, coherent and complete statements of the capabilities of graduates</w:t>
      </w:r>
      <w:r w:rsidR="00F12D8F" w:rsidRPr="00320C53">
        <w:rPr>
          <w:rFonts w:ascii="Palatino Linotype" w:hAnsi="Palatino Linotype"/>
        </w:rPr>
        <w:t>,</w:t>
      </w:r>
      <w:r w:rsidR="00DD1E81" w:rsidRPr="00320C53">
        <w:rPr>
          <w:rFonts w:ascii="Palatino Linotype" w:hAnsi="Palatino Linotype"/>
        </w:rPr>
        <w:t xml:space="preserve"> in terms of the minimum criteria and standards of knowledge, skills and attitudes required for the level of the award (degree, diploma or certificate) offered;</w:t>
      </w:r>
    </w:p>
    <w:p w14:paraId="0D520842" w14:textId="2A8E73BB" w:rsidR="00DD1E81" w:rsidRPr="00320C53" w:rsidRDefault="004F2BA4" w:rsidP="000C2DAB">
      <w:pPr>
        <w:pStyle w:val="ListParagraph"/>
        <w:numPr>
          <w:ilvl w:val="0"/>
          <w:numId w:val="1"/>
        </w:numPr>
        <w:spacing w:line="480" w:lineRule="auto"/>
        <w:jc w:val="both"/>
        <w:rPr>
          <w:rFonts w:ascii="Palatino Linotype" w:hAnsi="Palatino Linotype"/>
        </w:rPr>
      </w:pPr>
      <w:r w:rsidRPr="00320C53">
        <w:rPr>
          <w:rFonts w:ascii="Palatino Linotype" w:hAnsi="Palatino Linotype"/>
        </w:rPr>
        <w:lastRenderedPageBreak/>
        <w:t>t</w:t>
      </w:r>
      <w:r w:rsidR="00DD1E81" w:rsidRPr="00320C53">
        <w:rPr>
          <w:rFonts w:ascii="Palatino Linotype" w:hAnsi="Palatino Linotype"/>
        </w:rPr>
        <w:t xml:space="preserve">o improve student access to further study (post-graduate and professional) by providing post-graduate and professional institutions with a transparent, discernible and comparable set of degree level outcomes; </w:t>
      </w:r>
    </w:p>
    <w:p w14:paraId="53BAF921" w14:textId="74093445" w:rsidR="00DD1E81" w:rsidRPr="00320C53" w:rsidRDefault="004F2BA4" w:rsidP="000C2DAB">
      <w:pPr>
        <w:pStyle w:val="ListParagraph"/>
        <w:numPr>
          <w:ilvl w:val="0"/>
          <w:numId w:val="1"/>
        </w:numPr>
        <w:spacing w:line="480" w:lineRule="auto"/>
        <w:jc w:val="both"/>
        <w:rPr>
          <w:rFonts w:ascii="Palatino Linotype" w:hAnsi="Palatino Linotype"/>
        </w:rPr>
      </w:pPr>
      <w:r w:rsidRPr="00320C53">
        <w:rPr>
          <w:rFonts w:ascii="Palatino Linotype" w:hAnsi="Palatino Linotype"/>
        </w:rPr>
        <w:t>t</w:t>
      </w:r>
      <w:r w:rsidR="00DD1E81" w:rsidRPr="00320C53">
        <w:rPr>
          <w:rFonts w:ascii="Palatino Linotype" w:hAnsi="Palatino Linotype"/>
        </w:rPr>
        <w:t>o state for the benefit of professional regulators the capabilities of graduates in terms of the minimum standards of knowledge, skills and attitudes to assure them that the institution/jurisdiction has prescribed and graduates have achieved a clear, coherent and complete set of requirements for the level of the award (degree) and/or professional qualification offered;</w:t>
      </w:r>
    </w:p>
    <w:p w14:paraId="2260D52E" w14:textId="09C2BDA7" w:rsidR="00DD1E81" w:rsidRPr="00320C53" w:rsidRDefault="004F2BA4" w:rsidP="000C2DAB">
      <w:pPr>
        <w:pStyle w:val="ListParagraph"/>
        <w:numPr>
          <w:ilvl w:val="0"/>
          <w:numId w:val="1"/>
        </w:numPr>
        <w:spacing w:line="480" w:lineRule="auto"/>
        <w:jc w:val="both"/>
        <w:rPr>
          <w:rFonts w:ascii="Palatino Linotype" w:hAnsi="Palatino Linotype"/>
        </w:rPr>
      </w:pPr>
      <w:r w:rsidRPr="00320C53">
        <w:rPr>
          <w:rFonts w:ascii="Palatino Linotype" w:hAnsi="Palatino Linotype"/>
        </w:rPr>
        <w:t>t</w:t>
      </w:r>
      <w:r w:rsidR="00DD1E81" w:rsidRPr="00320C53">
        <w:rPr>
          <w:rFonts w:ascii="Palatino Linotype" w:hAnsi="Palatino Linotype"/>
        </w:rPr>
        <w:t>o identify the learning experiences that are most likely to assist in the achievement of the learning outcomes specified;</w:t>
      </w:r>
    </w:p>
    <w:p w14:paraId="32166156" w14:textId="5B58D263" w:rsidR="003C7419" w:rsidRPr="00320C53" w:rsidRDefault="004F2BA4" w:rsidP="000C2DAB">
      <w:pPr>
        <w:pStyle w:val="ListParagraph"/>
        <w:numPr>
          <w:ilvl w:val="0"/>
          <w:numId w:val="1"/>
        </w:numPr>
        <w:spacing w:line="480" w:lineRule="auto"/>
        <w:jc w:val="both"/>
        <w:rPr>
          <w:rFonts w:ascii="Palatino Linotype" w:hAnsi="Palatino Linotype"/>
        </w:rPr>
      </w:pPr>
      <w:r w:rsidRPr="00320C53">
        <w:rPr>
          <w:rFonts w:ascii="Palatino Linotype" w:hAnsi="Palatino Linotype"/>
        </w:rPr>
        <w:t>t</w:t>
      </w:r>
      <w:r w:rsidR="00DD1E81" w:rsidRPr="00320C53">
        <w:rPr>
          <w:rFonts w:ascii="Palatino Linotype" w:hAnsi="Palatino Linotype"/>
        </w:rPr>
        <w:t xml:space="preserve">o identify the means of assessment most likely to determine whether the outcomes have been achieved. </w:t>
      </w:r>
    </w:p>
    <w:p w14:paraId="6633BEF9" w14:textId="77777777" w:rsidR="000C2DAB" w:rsidRPr="00320C53" w:rsidRDefault="000C2DAB" w:rsidP="000C2DAB">
      <w:pPr>
        <w:spacing w:line="480" w:lineRule="auto"/>
        <w:jc w:val="both"/>
        <w:rPr>
          <w:rFonts w:ascii="Palatino Linotype" w:hAnsi="Palatino Linotype"/>
        </w:rPr>
      </w:pPr>
    </w:p>
    <w:p w14:paraId="70EF99D8" w14:textId="36876364" w:rsidR="00DD1E81" w:rsidRPr="000C2DAB" w:rsidRDefault="000C2DAB" w:rsidP="000C2DAB">
      <w:pPr>
        <w:pStyle w:val="ListParagraph"/>
        <w:numPr>
          <w:ilvl w:val="0"/>
          <w:numId w:val="38"/>
        </w:numPr>
        <w:spacing w:line="480" w:lineRule="auto"/>
        <w:jc w:val="both"/>
        <w:rPr>
          <w:rFonts w:ascii="Palatino Linotype" w:hAnsi="Palatino Linotype"/>
        </w:rPr>
      </w:pPr>
      <w:r>
        <w:rPr>
          <w:rFonts w:ascii="Palatino Linotype" w:hAnsi="Palatino Linotype"/>
        </w:rPr>
        <w:t>ONTARIO</w:t>
      </w:r>
      <w:r w:rsidRPr="000C2DAB">
        <w:rPr>
          <w:rFonts w:ascii="Palatino Linotype" w:hAnsi="Palatino Linotype"/>
        </w:rPr>
        <w:t xml:space="preserve"> UNIVERSITIES</w:t>
      </w:r>
      <w:r>
        <w:rPr>
          <w:rFonts w:ascii="Palatino Linotype" w:hAnsi="Palatino Linotype"/>
        </w:rPr>
        <w:t>’</w:t>
      </w:r>
      <w:r w:rsidRPr="000C2DAB">
        <w:rPr>
          <w:rFonts w:ascii="Palatino Linotype" w:hAnsi="Palatino Linotype"/>
        </w:rPr>
        <w:t xml:space="preserve"> UNDERGRADUATE DEGREE LEVEL EXPECTATIONS</w:t>
      </w:r>
    </w:p>
    <w:p w14:paraId="73A085B2" w14:textId="77777777" w:rsidR="00E662FA" w:rsidRDefault="00E662FA" w:rsidP="000C2DAB">
      <w:pPr>
        <w:spacing w:line="480" w:lineRule="auto"/>
        <w:jc w:val="both"/>
        <w:rPr>
          <w:rFonts w:ascii="Palatino Linotype" w:hAnsi="Palatino Linotype"/>
        </w:rPr>
      </w:pPr>
    </w:p>
    <w:p w14:paraId="39CB0A39" w14:textId="798C1812" w:rsidR="00DD1E81" w:rsidRPr="00320C53" w:rsidRDefault="00DD1E81" w:rsidP="000C2DAB">
      <w:pPr>
        <w:spacing w:line="480" w:lineRule="auto"/>
        <w:jc w:val="both"/>
        <w:rPr>
          <w:rFonts w:ascii="Palatino Linotype" w:hAnsi="Palatino Linotype"/>
        </w:rPr>
      </w:pPr>
      <w:r w:rsidRPr="00320C53">
        <w:rPr>
          <w:rFonts w:ascii="Palatino Linotype" w:hAnsi="Palatino Linotype"/>
        </w:rPr>
        <w:t>Ontario and some other provinces of Canada offer both a three-year “general” baccalaureate degree and a four-year “honours” baccalaureate degree.</w:t>
      </w:r>
      <w:r w:rsidRPr="00320C53">
        <w:rPr>
          <w:rStyle w:val="FootnoteReference"/>
          <w:rFonts w:ascii="Palatino Linotype" w:hAnsi="Palatino Linotype"/>
        </w:rPr>
        <w:footnoteReference w:id="14"/>
      </w:r>
      <w:r w:rsidRPr="00320C53">
        <w:rPr>
          <w:rFonts w:ascii="Palatino Linotype" w:hAnsi="Palatino Linotype"/>
        </w:rPr>
        <w:t xml:space="preserve"> In Ontario</w:t>
      </w:r>
      <w:r w:rsidR="00ED12FC" w:rsidRPr="00320C53">
        <w:rPr>
          <w:rFonts w:ascii="Palatino Linotype" w:hAnsi="Palatino Linotype"/>
        </w:rPr>
        <w:t>,</w:t>
      </w:r>
      <w:r w:rsidRPr="00320C53">
        <w:rPr>
          <w:rFonts w:ascii="Palatino Linotype" w:hAnsi="Palatino Linotype"/>
        </w:rPr>
        <w:t xml:space="preserve"> law is a second entry bachelor’s degree, as are medicine</w:t>
      </w:r>
      <w:r w:rsidR="003C7419" w:rsidRPr="00320C53">
        <w:rPr>
          <w:rFonts w:ascii="Palatino Linotype" w:hAnsi="Palatino Linotype"/>
        </w:rPr>
        <w:t xml:space="preserve">, dentistry </w:t>
      </w:r>
      <w:r w:rsidRPr="00320C53">
        <w:rPr>
          <w:rFonts w:ascii="Palatino Linotype" w:hAnsi="Palatino Linotype"/>
        </w:rPr>
        <w:t xml:space="preserve">and pharmacy (despite the </w:t>
      </w:r>
      <w:r w:rsidRPr="00320C53">
        <w:rPr>
          <w:rFonts w:ascii="Palatino Linotype" w:hAnsi="Palatino Linotype"/>
        </w:rPr>
        <w:lastRenderedPageBreak/>
        <w:t>degree nomenclature</w:t>
      </w:r>
      <w:r w:rsidR="003C7419" w:rsidRPr="00320C53">
        <w:rPr>
          <w:rFonts w:ascii="Palatino Linotype" w:hAnsi="Palatino Linotype"/>
        </w:rPr>
        <w:t>, suggesting doctoral level studies</w:t>
      </w:r>
      <w:r w:rsidRPr="00320C53">
        <w:rPr>
          <w:rFonts w:ascii="Palatino Linotype" w:hAnsi="Palatino Linotype"/>
        </w:rPr>
        <w:t xml:space="preserve">).  Normally, entrants to law study are expected to have an undergraduate degree, though students may occasionally be admitted after only two years of university.  The law degree designation is now almost uniformly </w:t>
      </w:r>
      <w:r w:rsidRPr="00320C53">
        <w:rPr>
          <w:rFonts w:ascii="Palatino Linotype" w:hAnsi="Palatino Linotype"/>
          <w:i/>
        </w:rPr>
        <w:t xml:space="preserve">Juris Doctor </w:t>
      </w:r>
      <w:r w:rsidRPr="00320C53">
        <w:rPr>
          <w:rFonts w:ascii="Palatino Linotype" w:hAnsi="Palatino Linotype"/>
        </w:rPr>
        <w:t>(</w:t>
      </w:r>
      <w:r w:rsidR="003506EA" w:rsidRPr="00320C53">
        <w:rPr>
          <w:rFonts w:ascii="Palatino Linotype" w:hAnsi="Palatino Linotype"/>
        </w:rPr>
        <w:t xml:space="preserve">JD, </w:t>
      </w:r>
      <w:r w:rsidRPr="00320C53">
        <w:rPr>
          <w:rFonts w:ascii="Palatino Linotype" w:hAnsi="Palatino Linotype"/>
        </w:rPr>
        <w:t xml:space="preserve">just as in Canada medicine offers an MD, dentistry a DDS and Pharmacy often a </w:t>
      </w:r>
      <w:proofErr w:type="spellStart"/>
      <w:r w:rsidRPr="00320C53">
        <w:rPr>
          <w:rFonts w:ascii="Palatino Linotype" w:hAnsi="Palatino Linotype"/>
        </w:rPr>
        <w:t>DPharm</w:t>
      </w:r>
      <w:proofErr w:type="spellEnd"/>
      <w:r w:rsidRPr="00320C53">
        <w:rPr>
          <w:rFonts w:ascii="Palatino Linotype" w:hAnsi="Palatino Linotype"/>
        </w:rPr>
        <w:t xml:space="preserve">). There are no honours-designated law degrees in Canada such as the LLB Hons in England.  </w:t>
      </w:r>
    </w:p>
    <w:p w14:paraId="27230286" w14:textId="2BDBD1D4" w:rsidR="00DD1E81" w:rsidRPr="00320C53" w:rsidRDefault="00DD1E81" w:rsidP="000C2DAB">
      <w:pPr>
        <w:spacing w:line="480" w:lineRule="auto"/>
        <w:jc w:val="both"/>
        <w:rPr>
          <w:rFonts w:ascii="Palatino Linotype" w:hAnsi="Palatino Linotype"/>
        </w:rPr>
      </w:pPr>
      <w:r w:rsidRPr="00320C53">
        <w:rPr>
          <w:rFonts w:ascii="Palatino Linotype" w:hAnsi="Palatino Linotype"/>
        </w:rPr>
        <w:t>The Ontario law schools are in the process of complying with the requirement that they describe the learning outcomes of their graduates in light of the University Undergraduate Degree Level Expectations (UUDLEs). For the sake of this discussion I will assume that the Ontario second-entry law degree is equivalent to an honours level degree (at least) for the purposes of compliance with the UUDLEs. After all, law school, unlike other Canadian undergraduate degree programs, offers a menu of virtually 100% law courses.</w:t>
      </w:r>
    </w:p>
    <w:p w14:paraId="3920E5AF" w14:textId="703603B5" w:rsidR="00DD1E81" w:rsidRPr="00320C53" w:rsidRDefault="00DD1E81" w:rsidP="000C2DAB">
      <w:pPr>
        <w:spacing w:line="480" w:lineRule="auto"/>
        <w:jc w:val="both"/>
        <w:rPr>
          <w:rFonts w:ascii="Palatino Linotype" w:hAnsi="Palatino Linotype"/>
        </w:rPr>
      </w:pPr>
      <w:r w:rsidRPr="00320C53">
        <w:rPr>
          <w:rFonts w:ascii="Palatino Linotype" w:hAnsi="Palatino Linotype"/>
        </w:rPr>
        <w:t>A committee of university academic vice-presidents (deputy vice-chancellors; provosts) developed the Ontario UUDLEs based on a model/schema that focuses on six levels of performance expectations.</w:t>
      </w:r>
      <w:r w:rsidRPr="00320C53">
        <w:rPr>
          <w:rStyle w:val="FootnoteReference"/>
          <w:rFonts w:ascii="Palatino Linotype" w:hAnsi="Palatino Linotype"/>
        </w:rPr>
        <w:footnoteReference w:id="15"/>
      </w:r>
      <w:r w:rsidRPr="00320C53">
        <w:rPr>
          <w:rFonts w:ascii="Palatino Linotype" w:hAnsi="Palatino Linotype"/>
        </w:rPr>
        <w:t xml:space="preserve"> </w:t>
      </w:r>
      <w:r w:rsidR="00101962" w:rsidRPr="00320C53">
        <w:rPr>
          <w:rFonts w:ascii="Palatino Linotype" w:hAnsi="Palatino Linotype"/>
        </w:rPr>
        <w:t xml:space="preserve"> </w:t>
      </w:r>
      <w:r w:rsidRPr="00320C53">
        <w:rPr>
          <w:rFonts w:ascii="Palatino Linotype" w:hAnsi="Palatino Linotype"/>
        </w:rPr>
        <w:t>The degree levels are:</w:t>
      </w:r>
    </w:p>
    <w:p w14:paraId="4230E019" w14:textId="16138011" w:rsidR="00DD1E81" w:rsidRPr="00320C53" w:rsidRDefault="00DD1E81" w:rsidP="000C2DAB">
      <w:pPr>
        <w:pStyle w:val="ListParagraph"/>
        <w:numPr>
          <w:ilvl w:val="0"/>
          <w:numId w:val="7"/>
        </w:numPr>
        <w:spacing w:line="480" w:lineRule="auto"/>
        <w:jc w:val="both"/>
        <w:rPr>
          <w:rFonts w:ascii="Palatino Linotype" w:hAnsi="Palatino Linotype"/>
        </w:rPr>
      </w:pPr>
      <w:r w:rsidRPr="00320C53">
        <w:rPr>
          <w:rFonts w:ascii="Palatino Linotype" w:hAnsi="Palatino Linotype"/>
        </w:rPr>
        <w:t>Breadth and Depth of Knowledge</w:t>
      </w:r>
    </w:p>
    <w:p w14:paraId="6DC6062F" w14:textId="256A737B" w:rsidR="00DD1E81" w:rsidRPr="00320C53" w:rsidRDefault="00DD1E81" w:rsidP="000C2DAB">
      <w:pPr>
        <w:pStyle w:val="ListParagraph"/>
        <w:numPr>
          <w:ilvl w:val="0"/>
          <w:numId w:val="7"/>
        </w:numPr>
        <w:spacing w:line="480" w:lineRule="auto"/>
        <w:jc w:val="both"/>
        <w:rPr>
          <w:rFonts w:ascii="Palatino Linotype" w:hAnsi="Palatino Linotype"/>
        </w:rPr>
      </w:pPr>
      <w:r w:rsidRPr="00320C53">
        <w:rPr>
          <w:rFonts w:ascii="Palatino Linotype" w:hAnsi="Palatino Linotype"/>
        </w:rPr>
        <w:t>Knowledge of Methodologies</w:t>
      </w:r>
    </w:p>
    <w:p w14:paraId="445253ED" w14:textId="6FE2AF15" w:rsidR="00DD1E81" w:rsidRPr="00320C53" w:rsidRDefault="00DD1E81" w:rsidP="000C2DAB">
      <w:pPr>
        <w:pStyle w:val="ListParagraph"/>
        <w:numPr>
          <w:ilvl w:val="0"/>
          <w:numId w:val="7"/>
        </w:numPr>
        <w:spacing w:line="480" w:lineRule="auto"/>
        <w:jc w:val="both"/>
        <w:rPr>
          <w:rFonts w:ascii="Palatino Linotype" w:hAnsi="Palatino Linotype"/>
        </w:rPr>
      </w:pPr>
      <w:r w:rsidRPr="00320C53">
        <w:rPr>
          <w:rFonts w:ascii="Palatino Linotype" w:hAnsi="Palatino Linotype"/>
        </w:rPr>
        <w:lastRenderedPageBreak/>
        <w:t>Application of Knowledge</w:t>
      </w:r>
    </w:p>
    <w:p w14:paraId="22479EEC" w14:textId="2636CF0C" w:rsidR="00DD1E81" w:rsidRPr="00320C53" w:rsidRDefault="00DD1E81" w:rsidP="000C2DAB">
      <w:pPr>
        <w:pStyle w:val="ListParagraph"/>
        <w:numPr>
          <w:ilvl w:val="0"/>
          <w:numId w:val="7"/>
        </w:numPr>
        <w:spacing w:line="480" w:lineRule="auto"/>
        <w:jc w:val="both"/>
        <w:rPr>
          <w:rFonts w:ascii="Palatino Linotype" w:hAnsi="Palatino Linotype"/>
        </w:rPr>
      </w:pPr>
      <w:r w:rsidRPr="00320C53">
        <w:rPr>
          <w:rFonts w:ascii="Palatino Linotype" w:hAnsi="Palatino Linotype"/>
        </w:rPr>
        <w:t>Communication Skills</w:t>
      </w:r>
    </w:p>
    <w:p w14:paraId="52F24C0E" w14:textId="77777777" w:rsidR="00DD1E81" w:rsidRPr="00320C53" w:rsidRDefault="00DD1E81" w:rsidP="000C2DAB">
      <w:pPr>
        <w:pStyle w:val="ListParagraph"/>
        <w:numPr>
          <w:ilvl w:val="0"/>
          <w:numId w:val="7"/>
        </w:numPr>
        <w:spacing w:line="480" w:lineRule="auto"/>
        <w:jc w:val="both"/>
        <w:rPr>
          <w:rFonts w:ascii="Palatino Linotype" w:hAnsi="Palatino Linotype"/>
          <w:lang w:val="en-CA"/>
        </w:rPr>
      </w:pPr>
      <w:r w:rsidRPr="00320C53">
        <w:rPr>
          <w:rFonts w:ascii="Palatino Linotype" w:hAnsi="Palatino Linotype"/>
          <w:lang w:val="en-CA"/>
        </w:rPr>
        <w:t>Awareness of Limits of Knowledge</w:t>
      </w:r>
    </w:p>
    <w:p w14:paraId="4202203C" w14:textId="77777777" w:rsidR="00DD1E81" w:rsidRPr="00320C53" w:rsidRDefault="00DD1E81" w:rsidP="000C2DAB">
      <w:pPr>
        <w:pStyle w:val="ListParagraph"/>
        <w:numPr>
          <w:ilvl w:val="0"/>
          <w:numId w:val="7"/>
        </w:numPr>
        <w:spacing w:line="480" w:lineRule="auto"/>
        <w:jc w:val="both"/>
        <w:rPr>
          <w:rFonts w:ascii="Palatino Linotype" w:hAnsi="Palatino Linotype"/>
          <w:lang w:val="en-CA"/>
        </w:rPr>
      </w:pPr>
      <w:r w:rsidRPr="00320C53">
        <w:rPr>
          <w:rFonts w:ascii="Palatino Linotype" w:hAnsi="Palatino Linotype"/>
          <w:lang w:val="en-CA"/>
        </w:rPr>
        <w:t xml:space="preserve">Autonomy and Professional Capacity </w:t>
      </w:r>
    </w:p>
    <w:p w14:paraId="7B094665" w14:textId="52505E48" w:rsidR="00DD1E81" w:rsidRPr="00320C53" w:rsidRDefault="00DD1E81" w:rsidP="000C2DAB">
      <w:pPr>
        <w:spacing w:line="480" w:lineRule="auto"/>
        <w:jc w:val="both"/>
        <w:rPr>
          <w:rFonts w:ascii="Palatino Linotype" w:hAnsi="Palatino Linotype"/>
          <w:lang w:val="en-CA"/>
        </w:rPr>
      </w:pPr>
      <w:r w:rsidRPr="00320C53">
        <w:rPr>
          <w:rFonts w:ascii="Palatino Linotype" w:hAnsi="Palatino Linotype"/>
        </w:rPr>
        <w:t>On the on</w:t>
      </w:r>
      <w:r w:rsidR="003C7419" w:rsidRPr="00320C53">
        <w:rPr>
          <w:rFonts w:ascii="Palatino Linotype" w:hAnsi="Palatino Linotype"/>
        </w:rPr>
        <w:t xml:space="preserve">e hand, this is not </w:t>
      </w:r>
      <w:r w:rsidR="003506EA" w:rsidRPr="00320C53">
        <w:rPr>
          <w:rFonts w:ascii="Palatino Linotype" w:hAnsi="Palatino Linotype"/>
        </w:rPr>
        <w:t>a taxonomy</w:t>
      </w:r>
      <w:r w:rsidR="003C7419" w:rsidRPr="00320C53">
        <w:rPr>
          <w:rFonts w:ascii="Palatino Linotype" w:hAnsi="Palatino Linotype"/>
        </w:rPr>
        <w:t>: t</w:t>
      </w:r>
      <w:r w:rsidRPr="00320C53">
        <w:rPr>
          <w:rFonts w:ascii="Palatino Linotype" w:hAnsi="Palatino Linotype"/>
        </w:rPr>
        <w:t>here is neither a consistent set of element types nor a classification system among the general categories. These “levels” are really different aspects or elements of the kinds and nature of knowledge, skills and attitudes expected of university graduates. Except perhaps for UUDLE 1. to some degree, the levels are not internally ordered by complexity or some other rationale of a consistently applied, developmental or hierarchical kind.  They tend to be compound-complex, made up of knowledge, skills and sometimes attitudes and values. On the other hand, each, or at least some levels, or parts of levels, might have their own taxonomic sub-classification. Level 1., Breadth and Depth of Knowledge, might in part be explicated by reference to Bloom’s Taxonomy in the Cognitive domain (revised).</w:t>
      </w:r>
      <w:r w:rsidRPr="00320C53">
        <w:rPr>
          <w:rStyle w:val="FootnoteReference"/>
          <w:rFonts w:ascii="Palatino Linotype" w:hAnsi="Palatino Linotype"/>
          <w:lang w:val="en-CA"/>
        </w:rPr>
        <w:t xml:space="preserve"> </w:t>
      </w:r>
      <w:r w:rsidRPr="00320C53">
        <w:rPr>
          <w:rStyle w:val="FootnoteReference"/>
          <w:rFonts w:ascii="Palatino Linotype" w:hAnsi="Palatino Linotype"/>
          <w:lang w:val="en-CA"/>
        </w:rPr>
        <w:footnoteReference w:id="16"/>
      </w:r>
      <w:r w:rsidRPr="00320C53">
        <w:rPr>
          <w:rFonts w:ascii="Palatino Linotype" w:hAnsi="Palatino Linotype"/>
        </w:rPr>
        <w:t xml:space="preserve">  Degree level 6., </w:t>
      </w:r>
      <w:r w:rsidRPr="00320C53">
        <w:rPr>
          <w:rFonts w:ascii="Palatino Linotype" w:hAnsi="Palatino Linotype"/>
          <w:lang w:val="en-CA"/>
        </w:rPr>
        <w:t>Autonomy and Professional Capacity, might be understandable by application or extension, at least in part, of Krathwohl’s Taxonomy in the Affective Domain.</w:t>
      </w:r>
      <w:r w:rsidRPr="00320C53">
        <w:rPr>
          <w:rStyle w:val="FootnoteReference"/>
          <w:rFonts w:ascii="Palatino Linotype" w:hAnsi="Palatino Linotype"/>
          <w:lang w:val="en-CA"/>
        </w:rPr>
        <w:footnoteReference w:id="17"/>
      </w:r>
      <w:r w:rsidRPr="00320C53">
        <w:rPr>
          <w:rFonts w:ascii="Palatino Linotype" w:hAnsi="Palatino Linotype"/>
          <w:lang w:val="en-CA"/>
        </w:rPr>
        <w:t xml:space="preserve"> Each of these taxonomies is </w:t>
      </w:r>
      <w:r w:rsidRPr="00320C53">
        <w:rPr>
          <w:rFonts w:ascii="Palatino Linotype" w:hAnsi="Palatino Linotype"/>
          <w:lang w:val="en-CA"/>
        </w:rPr>
        <w:lastRenderedPageBreak/>
        <w:t>organized by an internal system: either increasing complexity, in the case of Bloom’s Taxonomy in the Cognitive Domain, with the lower level’s mastery being a prerequisite to the mastery of the next higher level from level 1 to taxonomy level 6, or in the case of Krathwohl’s Taxonomy in the Affective Domain, to taxonomy level 5, on a hierarchy of degrees of internalization.</w:t>
      </w:r>
      <w:r w:rsidRPr="00320C53">
        <w:rPr>
          <w:rStyle w:val="FootnoteReference"/>
          <w:rFonts w:ascii="Palatino Linotype" w:hAnsi="Palatino Linotype"/>
          <w:lang w:val="en-CA"/>
        </w:rPr>
        <w:footnoteReference w:id="18"/>
      </w:r>
      <w:r w:rsidRPr="00320C53">
        <w:rPr>
          <w:rFonts w:ascii="Palatino Linotype" w:hAnsi="Palatino Linotype"/>
          <w:lang w:val="en-CA"/>
        </w:rPr>
        <w:t xml:space="preserve"> </w:t>
      </w:r>
    </w:p>
    <w:p w14:paraId="30B39341" w14:textId="02FCB6FE" w:rsidR="00DD1E81" w:rsidRDefault="00DD1E81" w:rsidP="000C2DAB">
      <w:pPr>
        <w:spacing w:line="480" w:lineRule="auto"/>
        <w:jc w:val="both"/>
        <w:rPr>
          <w:rFonts w:ascii="Palatino Linotype" w:hAnsi="Palatino Linotype"/>
        </w:rPr>
      </w:pPr>
      <w:r w:rsidRPr="00320C53">
        <w:rPr>
          <w:rFonts w:ascii="Palatino Linotype" w:hAnsi="Palatino Linotype"/>
        </w:rPr>
        <w:t xml:space="preserve">As noted above, there are counterpart schemes in many places that rely on outcomes for quality assurance. Some systems appear to require </w:t>
      </w:r>
      <w:r w:rsidR="00175052" w:rsidRPr="00320C53">
        <w:rPr>
          <w:rFonts w:ascii="Palatino Linotype" w:hAnsi="Palatino Linotype"/>
        </w:rPr>
        <w:t>ou</w:t>
      </w:r>
      <w:r w:rsidRPr="00320C53">
        <w:rPr>
          <w:rFonts w:ascii="Palatino Linotype" w:hAnsi="Palatino Linotype"/>
        </w:rPr>
        <w:t>tcomes statements without prescribing a system of degree level expectations.</w:t>
      </w:r>
      <w:r w:rsidRPr="00320C53">
        <w:rPr>
          <w:rStyle w:val="FootnoteReference"/>
          <w:rFonts w:ascii="Palatino Linotype" w:hAnsi="Palatino Linotype"/>
        </w:rPr>
        <w:footnoteReference w:id="19"/>
      </w:r>
      <w:r w:rsidRPr="00320C53">
        <w:rPr>
          <w:rFonts w:ascii="Palatino Linotype" w:hAnsi="Palatino Linotype"/>
        </w:rPr>
        <w:t xml:space="preserve"> Others stipulate a set of outcomes, while leaving room for institution-aligned variations, usually additions. The Lumina Foundation in the USA has created a degree profile that is to be tailored to institutional mission, mandate and characteristics.</w:t>
      </w:r>
      <w:r w:rsidRPr="00320C53">
        <w:rPr>
          <w:rStyle w:val="FootnoteReference"/>
          <w:rFonts w:ascii="Palatino Linotype" w:hAnsi="Palatino Linotype"/>
        </w:rPr>
        <w:footnoteReference w:id="20"/>
      </w:r>
    </w:p>
    <w:p w14:paraId="6F6FD1F4" w14:textId="7F542E68" w:rsidR="00312FBA" w:rsidRDefault="00312FBA" w:rsidP="000C2DAB">
      <w:pPr>
        <w:spacing w:line="480" w:lineRule="auto"/>
        <w:jc w:val="both"/>
        <w:rPr>
          <w:rFonts w:ascii="Palatino Linotype" w:hAnsi="Palatino Linotype"/>
        </w:rPr>
      </w:pPr>
      <w:r w:rsidRPr="00320C53">
        <w:rPr>
          <w:rFonts w:ascii="Palatino Linotype" w:hAnsi="Palatino Linotype"/>
        </w:rPr>
        <w:t>University law schools in Canada</w:t>
      </w:r>
      <w:r w:rsidR="00CF406A" w:rsidRPr="00320C53">
        <w:rPr>
          <w:rFonts w:ascii="Palatino Linotype" w:hAnsi="Palatino Linotype"/>
        </w:rPr>
        <w:t>, given the existence of</w:t>
      </w:r>
      <w:r w:rsidR="001A253C" w:rsidRPr="00320C53">
        <w:rPr>
          <w:rFonts w:ascii="Palatino Linotype" w:hAnsi="Palatino Linotype"/>
        </w:rPr>
        <w:t xml:space="preserve"> </w:t>
      </w:r>
      <w:r w:rsidR="004D6203" w:rsidRPr="00320C53">
        <w:rPr>
          <w:rFonts w:ascii="Palatino Linotype" w:hAnsi="Palatino Linotype"/>
        </w:rPr>
        <w:t>apprenticeships or</w:t>
      </w:r>
      <w:r w:rsidR="001A253C" w:rsidRPr="00320C53">
        <w:rPr>
          <w:rFonts w:ascii="Palatino Linotype" w:hAnsi="Palatino Linotype"/>
        </w:rPr>
        <w:t xml:space="preserve"> articles</w:t>
      </w:r>
      <w:r w:rsidR="004D6203" w:rsidRPr="00320C53">
        <w:rPr>
          <w:rFonts w:ascii="Palatino Linotype" w:hAnsi="Palatino Linotype"/>
        </w:rPr>
        <w:t>,</w:t>
      </w:r>
      <w:r w:rsidR="001A253C" w:rsidRPr="00320C53">
        <w:rPr>
          <w:rFonts w:ascii="Palatino Linotype" w:hAnsi="Palatino Linotype"/>
          <w:b/>
        </w:rPr>
        <w:t xml:space="preserve"> </w:t>
      </w:r>
      <w:r w:rsidRPr="00320C53">
        <w:rPr>
          <w:rFonts w:ascii="Palatino Linotype" w:hAnsi="Palatino Linotype"/>
        </w:rPr>
        <w:t>frequently take the view that their primary</w:t>
      </w:r>
      <w:r w:rsidR="00680122" w:rsidRPr="00320C53">
        <w:rPr>
          <w:rFonts w:ascii="Palatino Linotype" w:hAnsi="Palatino Linotype"/>
        </w:rPr>
        <w:t>, and sometimes only,</w:t>
      </w:r>
      <w:r w:rsidRPr="00320C53">
        <w:rPr>
          <w:rFonts w:ascii="Palatino Linotype" w:hAnsi="Palatino Linotype"/>
        </w:rPr>
        <w:t xml:space="preserve"> responsibility is to prepare persons to </w:t>
      </w:r>
      <w:r w:rsidR="00680122" w:rsidRPr="00320C53">
        <w:rPr>
          <w:rFonts w:ascii="Palatino Linotype" w:hAnsi="Palatino Linotype"/>
        </w:rPr>
        <w:t>meet the</w:t>
      </w:r>
      <w:r w:rsidRPr="00320C53">
        <w:rPr>
          <w:rFonts w:ascii="Palatino Linotype" w:hAnsi="Palatino Linotype"/>
        </w:rPr>
        <w:t xml:space="preserve"> academic</w:t>
      </w:r>
      <w:r w:rsidR="00680122" w:rsidRPr="00320C53">
        <w:rPr>
          <w:rFonts w:ascii="Palatino Linotype" w:hAnsi="Palatino Linotype"/>
        </w:rPr>
        <w:t xml:space="preserve"> requirements for the conferral of a degree, but not necessarily </w:t>
      </w:r>
      <w:r w:rsidR="00CA2B60" w:rsidRPr="00320C53">
        <w:rPr>
          <w:rFonts w:ascii="Palatino Linotype" w:hAnsi="Palatino Linotype"/>
        </w:rPr>
        <w:t xml:space="preserve">to </w:t>
      </w:r>
      <w:r w:rsidR="00E47E18" w:rsidRPr="00320C53">
        <w:rPr>
          <w:rFonts w:ascii="Palatino Linotype" w:hAnsi="Palatino Linotype"/>
        </w:rPr>
        <w:t xml:space="preserve">meet the </w:t>
      </w:r>
      <w:r w:rsidR="00680122" w:rsidRPr="00320C53">
        <w:rPr>
          <w:rFonts w:ascii="Palatino Linotype" w:hAnsi="Palatino Linotype"/>
        </w:rPr>
        <w:t xml:space="preserve">legal profession or governing body’s expectations for those intending to qualify for legal practice. </w:t>
      </w:r>
      <w:r w:rsidR="00E47E18" w:rsidRPr="00320C53">
        <w:rPr>
          <w:rFonts w:ascii="Palatino Linotype" w:hAnsi="Palatino Linotype"/>
        </w:rPr>
        <w:t>Although that would be many Canadian law schools</w:t>
      </w:r>
      <w:r w:rsidR="00D07D33" w:rsidRPr="00320C53">
        <w:rPr>
          <w:rFonts w:ascii="Palatino Linotype" w:hAnsi="Palatino Linotype"/>
        </w:rPr>
        <w:t>’</w:t>
      </w:r>
      <w:r w:rsidR="00E47E18" w:rsidRPr="00320C53">
        <w:rPr>
          <w:rFonts w:ascii="Palatino Linotype" w:hAnsi="Palatino Linotype"/>
        </w:rPr>
        <w:t xml:space="preserve"> pr</w:t>
      </w:r>
      <w:r w:rsidR="00FC173F" w:rsidRPr="00320C53">
        <w:rPr>
          <w:rFonts w:ascii="Palatino Linotype" w:hAnsi="Palatino Linotype"/>
        </w:rPr>
        <w:t>e</w:t>
      </w:r>
      <w:r w:rsidR="00E47E18" w:rsidRPr="00320C53">
        <w:rPr>
          <w:rFonts w:ascii="Palatino Linotype" w:hAnsi="Palatino Linotype"/>
        </w:rPr>
        <w:t>fer</w:t>
      </w:r>
      <w:r w:rsidR="00FC173F" w:rsidRPr="00320C53">
        <w:rPr>
          <w:rFonts w:ascii="Palatino Linotype" w:hAnsi="Palatino Linotype"/>
        </w:rPr>
        <w:t>e</w:t>
      </w:r>
      <w:r w:rsidR="00E47E18" w:rsidRPr="00320C53">
        <w:rPr>
          <w:rFonts w:ascii="Palatino Linotype" w:hAnsi="Palatino Linotype"/>
        </w:rPr>
        <w:t>nce, the reality is that th</w:t>
      </w:r>
      <w:r w:rsidR="00FC173F" w:rsidRPr="00320C53">
        <w:rPr>
          <w:rFonts w:ascii="Palatino Linotype" w:hAnsi="Palatino Linotype"/>
        </w:rPr>
        <w:t>ey</w:t>
      </w:r>
      <w:r w:rsidR="00E47E18" w:rsidRPr="00320C53">
        <w:rPr>
          <w:rFonts w:ascii="Palatino Linotype" w:hAnsi="Palatino Linotype"/>
        </w:rPr>
        <w:t xml:space="preserve"> will all conform to the requirement</w:t>
      </w:r>
      <w:r w:rsidR="00FC173F" w:rsidRPr="00320C53">
        <w:rPr>
          <w:rFonts w:ascii="Palatino Linotype" w:hAnsi="Palatino Linotype"/>
        </w:rPr>
        <w:t>s</w:t>
      </w:r>
      <w:r w:rsidR="00E47E18" w:rsidRPr="00320C53">
        <w:rPr>
          <w:rFonts w:ascii="Palatino Linotype" w:hAnsi="Palatino Linotype"/>
        </w:rPr>
        <w:t xml:space="preserve"> of the</w:t>
      </w:r>
      <w:r w:rsidR="00FC173F" w:rsidRPr="00320C53">
        <w:rPr>
          <w:rFonts w:ascii="Palatino Linotype" w:hAnsi="Palatino Linotype"/>
        </w:rPr>
        <w:t>ir</w:t>
      </w:r>
      <w:r w:rsidR="00E47E18" w:rsidRPr="00320C53">
        <w:rPr>
          <w:rFonts w:ascii="Palatino Linotype" w:hAnsi="Palatino Linotype"/>
        </w:rPr>
        <w:t xml:space="preserve"> </w:t>
      </w:r>
      <w:r w:rsidR="00E47E18" w:rsidRPr="00320C53">
        <w:rPr>
          <w:rFonts w:ascii="Palatino Linotype" w:hAnsi="Palatino Linotype"/>
        </w:rPr>
        <w:lastRenderedPageBreak/>
        <w:t>local governing bo</w:t>
      </w:r>
      <w:r w:rsidR="00FC173F" w:rsidRPr="00320C53">
        <w:rPr>
          <w:rFonts w:ascii="Palatino Linotype" w:hAnsi="Palatino Linotype"/>
        </w:rPr>
        <w:t xml:space="preserve">dy, including the prescription </w:t>
      </w:r>
      <w:r w:rsidR="00E47E18" w:rsidRPr="00320C53">
        <w:rPr>
          <w:rFonts w:ascii="Palatino Linotype" w:hAnsi="Palatino Linotype"/>
        </w:rPr>
        <w:t>of the Federation of L</w:t>
      </w:r>
      <w:r w:rsidR="00FC173F" w:rsidRPr="00320C53">
        <w:rPr>
          <w:rFonts w:ascii="Palatino Linotype" w:hAnsi="Palatino Linotype"/>
        </w:rPr>
        <w:t xml:space="preserve">aw Societies </w:t>
      </w:r>
      <w:r w:rsidR="00E47E18" w:rsidRPr="00320C53">
        <w:rPr>
          <w:rFonts w:ascii="Palatino Linotype" w:hAnsi="Palatino Linotype"/>
        </w:rPr>
        <w:t>of C</w:t>
      </w:r>
      <w:r w:rsidR="00FC173F" w:rsidRPr="00320C53">
        <w:rPr>
          <w:rFonts w:ascii="Palatino Linotype" w:hAnsi="Palatino Linotype"/>
        </w:rPr>
        <w:t>a</w:t>
      </w:r>
      <w:r w:rsidR="00E47E18" w:rsidRPr="00320C53">
        <w:rPr>
          <w:rFonts w:ascii="Palatino Linotype" w:hAnsi="Palatino Linotype"/>
        </w:rPr>
        <w:t>nada</w:t>
      </w:r>
      <w:r w:rsidR="00FC173F" w:rsidRPr="00320C53">
        <w:rPr>
          <w:rStyle w:val="FootnoteReference"/>
          <w:rFonts w:ascii="Palatino Linotype" w:hAnsi="Palatino Linotype"/>
        </w:rPr>
        <w:footnoteReference w:id="21"/>
      </w:r>
      <w:r w:rsidR="00E47E18" w:rsidRPr="00320C53">
        <w:rPr>
          <w:rFonts w:ascii="Palatino Linotype" w:hAnsi="Palatino Linotype"/>
        </w:rPr>
        <w:t xml:space="preserve">. </w:t>
      </w:r>
      <w:r w:rsidR="009B3174" w:rsidRPr="00320C53">
        <w:rPr>
          <w:rFonts w:ascii="Palatino Linotype" w:hAnsi="Palatino Linotype"/>
        </w:rPr>
        <w:t>Given the scope of this</w:t>
      </w:r>
      <w:r w:rsidR="000F639F" w:rsidRPr="00320C53">
        <w:rPr>
          <w:rFonts w:ascii="Palatino Linotype" w:hAnsi="Palatino Linotype"/>
        </w:rPr>
        <w:t xml:space="preserve"> paper </w:t>
      </w:r>
      <w:r w:rsidR="00811AF6" w:rsidRPr="00320C53">
        <w:rPr>
          <w:rFonts w:ascii="Palatino Linotype" w:hAnsi="Palatino Linotype"/>
        </w:rPr>
        <w:t>I have decided not to address this debate in detail.  However, nothing in this paper would require a law school or legal educators to diverge from a commitment to a strong, deep and wide academic preparation in th</w:t>
      </w:r>
      <w:r w:rsidR="00175052" w:rsidRPr="00320C53">
        <w:rPr>
          <w:rFonts w:ascii="Palatino Linotype" w:hAnsi="Palatino Linotype"/>
        </w:rPr>
        <w:t>e law; the education promoted in this paper</w:t>
      </w:r>
      <w:r w:rsidR="009B3174" w:rsidRPr="00320C53">
        <w:rPr>
          <w:rFonts w:ascii="Palatino Linotype" w:hAnsi="Palatino Linotype"/>
        </w:rPr>
        <w:t xml:space="preserve"> not only </w:t>
      </w:r>
      <w:r w:rsidR="00175052" w:rsidRPr="00320C53">
        <w:rPr>
          <w:rFonts w:ascii="Palatino Linotype" w:hAnsi="Palatino Linotype"/>
        </w:rPr>
        <w:t xml:space="preserve">serves as a </w:t>
      </w:r>
      <w:r w:rsidR="009B3174" w:rsidRPr="00320C53">
        <w:rPr>
          <w:rFonts w:ascii="Palatino Linotype" w:hAnsi="Palatino Linotype"/>
        </w:rPr>
        <w:t>firm</w:t>
      </w:r>
      <w:r w:rsidR="00175052" w:rsidRPr="00320C53">
        <w:rPr>
          <w:rFonts w:ascii="Palatino Linotype" w:hAnsi="Palatino Linotype"/>
        </w:rPr>
        <w:t xml:space="preserve"> basis for professional practice</w:t>
      </w:r>
      <w:r w:rsidR="009B3174" w:rsidRPr="00320C53">
        <w:rPr>
          <w:rFonts w:ascii="Palatino Linotype" w:hAnsi="Palatino Linotype"/>
        </w:rPr>
        <w:t xml:space="preserve"> but also for</w:t>
      </w:r>
      <w:r w:rsidR="00175052" w:rsidRPr="00320C53">
        <w:rPr>
          <w:rFonts w:ascii="Palatino Linotype" w:hAnsi="Palatino Linotype"/>
        </w:rPr>
        <w:t xml:space="preserve"> post-graduate study, career scholarship, </w:t>
      </w:r>
      <w:r w:rsidR="009B3174" w:rsidRPr="00320C53">
        <w:rPr>
          <w:rFonts w:ascii="Palatino Linotype" w:hAnsi="Palatino Linotype"/>
        </w:rPr>
        <w:t>and</w:t>
      </w:r>
      <w:r w:rsidR="00D07D33" w:rsidRPr="00320C53">
        <w:rPr>
          <w:rFonts w:ascii="Palatino Linotype" w:hAnsi="Palatino Linotype"/>
        </w:rPr>
        <w:t xml:space="preserve"> a host of legal and non-</w:t>
      </w:r>
      <w:r w:rsidR="00175052" w:rsidRPr="00320C53">
        <w:rPr>
          <w:rFonts w:ascii="Palatino Linotype" w:hAnsi="Palatino Linotype"/>
        </w:rPr>
        <w:t>legal careers</w:t>
      </w:r>
      <w:r w:rsidR="009B3174" w:rsidRPr="00320C53">
        <w:rPr>
          <w:rFonts w:ascii="Palatino Linotype" w:hAnsi="Palatino Linotype"/>
        </w:rPr>
        <w:t>.</w:t>
      </w:r>
    </w:p>
    <w:p w14:paraId="6339354E" w14:textId="77777777" w:rsidR="00E662FA" w:rsidRPr="00320C53" w:rsidRDefault="00E662FA" w:rsidP="000C2DAB">
      <w:pPr>
        <w:spacing w:line="480" w:lineRule="auto"/>
        <w:jc w:val="both"/>
        <w:rPr>
          <w:rFonts w:ascii="Palatino Linotype" w:hAnsi="Palatino Linotype"/>
        </w:rPr>
      </w:pPr>
    </w:p>
    <w:p w14:paraId="4F25C43D" w14:textId="45D2246A" w:rsidR="00DD1E81" w:rsidRPr="00E662FA" w:rsidRDefault="00E662FA" w:rsidP="00E662FA">
      <w:pPr>
        <w:pStyle w:val="ListParagraph"/>
        <w:numPr>
          <w:ilvl w:val="0"/>
          <w:numId w:val="38"/>
        </w:numPr>
        <w:spacing w:line="480" w:lineRule="auto"/>
        <w:jc w:val="both"/>
        <w:rPr>
          <w:rFonts w:ascii="Palatino Linotype" w:hAnsi="Palatino Linotype"/>
        </w:rPr>
      </w:pPr>
      <w:r w:rsidRPr="00E662FA">
        <w:rPr>
          <w:rFonts w:ascii="Palatino Linotype" w:hAnsi="Palatino Linotype"/>
        </w:rPr>
        <w:t>UUDLES AND LEGAL EDUCATION</w:t>
      </w:r>
    </w:p>
    <w:p w14:paraId="24BEE999" w14:textId="77777777" w:rsidR="00E662FA" w:rsidRDefault="00E662FA" w:rsidP="000C2DAB">
      <w:pPr>
        <w:spacing w:line="480" w:lineRule="auto"/>
        <w:jc w:val="both"/>
        <w:rPr>
          <w:rFonts w:ascii="Palatino Linotype" w:hAnsi="Palatino Linotype"/>
        </w:rPr>
      </w:pPr>
    </w:p>
    <w:p w14:paraId="62E5F04B" w14:textId="211A72D1" w:rsidR="00DD1E81" w:rsidRPr="00320C53" w:rsidRDefault="00DD1E81" w:rsidP="000C2DAB">
      <w:pPr>
        <w:spacing w:line="480" w:lineRule="auto"/>
        <w:jc w:val="both"/>
        <w:rPr>
          <w:rFonts w:ascii="Palatino Linotype" w:hAnsi="Palatino Linotype"/>
        </w:rPr>
      </w:pPr>
      <w:r w:rsidRPr="00320C53">
        <w:rPr>
          <w:rFonts w:ascii="Palatino Linotype" w:hAnsi="Palatino Linotype"/>
        </w:rPr>
        <w:t xml:space="preserve">How do these learning expectations mesh with our goals for legal education? In looking for a place that comprehensively describes what law schools should aim to produce, one is led initially to the various legal practice courses and legal professions </w:t>
      </w:r>
      <w:r w:rsidR="00FC173F" w:rsidRPr="00320C53">
        <w:rPr>
          <w:rFonts w:ascii="Palatino Linotype" w:hAnsi="Palatino Linotype"/>
        </w:rPr>
        <w:t xml:space="preserve">mostly </w:t>
      </w:r>
      <w:r w:rsidRPr="00320C53">
        <w:rPr>
          <w:rFonts w:ascii="Palatino Linotype" w:hAnsi="Palatino Linotype"/>
        </w:rPr>
        <w:t xml:space="preserve">in </w:t>
      </w:r>
      <w:r w:rsidR="00D07D33" w:rsidRPr="00320C53">
        <w:rPr>
          <w:rFonts w:ascii="Palatino Linotype" w:hAnsi="Palatino Linotype"/>
        </w:rPr>
        <w:t>C</w:t>
      </w:r>
      <w:r w:rsidRPr="00320C53">
        <w:rPr>
          <w:rFonts w:ascii="Palatino Linotype" w:hAnsi="Palatino Linotype"/>
        </w:rPr>
        <w:t xml:space="preserve">ommonwealth countries that have sought to describe their goals. England </w:t>
      </w:r>
      <w:r w:rsidR="00ED6D51" w:rsidRPr="00320C53">
        <w:rPr>
          <w:rFonts w:ascii="Palatino Linotype" w:hAnsi="Palatino Linotype"/>
        </w:rPr>
        <w:t xml:space="preserve">and </w:t>
      </w:r>
      <w:r w:rsidRPr="00320C53">
        <w:rPr>
          <w:rFonts w:ascii="Palatino Linotype" w:hAnsi="Palatino Linotype"/>
        </w:rPr>
        <w:t>Wales has contributed to the discussion in identifying its intended outcomes.</w:t>
      </w:r>
      <w:r w:rsidRPr="00320C53">
        <w:rPr>
          <w:rStyle w:val="FootnoteReference"/>
          <w:rFonts w:ascii="Palatino Linotype" w:hAnsi="Palatino Linotype"/>
        </w:rPr>
        <w:footnoteReference w:id="22"/>
      </w:r>
      <w:r w:rsidRPr="00320C53">
        <w:rPr>
          <w:rFonts w:ascii="Palatino Linotype" w:hAnsi="Palatino Linotype"/>
        </w:rPr>
        <w:t xml:space="preserve">  Australia, urged along by its goal of a national profession and the presence of a highly competitive post-</w:t>
      </w:r>
      <w:r w:rsidRPr="00320C53">
        <w:rPr>
          <w:rFonts w:ascii="Palatino Linotype" w:hAnsi="Palatino Linotype"/>
        </w:rPr>
        <w:lastRenderedPageBreak/>
        <w:t>graduate professional legal education sector, has played a part.</w:t>
      </w:r>
      <w:r w:rsidRPr="00320C53">
        <w:rPr>
          <w:rStyle w:val="FootnoteReference"/>
          <w:rFonts w:ascii="Palatino Linotype" w:hAnsi="Palatino Linotype"/>
        </w:rPr>
        <w:footnoteReference w:id="23"/>
      </w:r>
      <w:r w:rsidRPr="00320C53">
        <w:rPr>
          <w:rFonts w:ascii="Palatino Linotype" w:hAnsi="Palatino Linotype"/>
        </w:rPr>
        <w:t xml:space="preserve">  Canada has contributed in seeking to explicate what it means to be a lawyer.</w:t>
      </w:r>
      <w:r w:rsidRPr="00320C53">
        <w:rPr>
          <w:rStyle w:val="FootnoteReference"/>
          <w:rFonts w:ascii="Palatino Linotype" w:hAnsi="Palatino Linotype"/>
        </w:rPr>
        <w:footnoteReference w:id="24"/>
      </w:r>
      <w:r w:rsidRPr="00320C53">
        <w:rPr>
          <w:rFonts w:ascii="Palatino Linotype" w:hAnsi="Palatino Linotype"/>
        </w:rPr>
        <w:t xml:space="preserve"> New Zealand has produced work with statements of learning outcomes focused on the top up role of the professional legal education providers.</w:t>
      </w:r>
      <w:r w:rsidRPr="00320C53">
        <w:rPr>
          <w:rStyle w:val="FootnoteReference"/>
          <w:rFonts w:ascii="Palatino Linotype" w:hAnsi="Palatino Linotype"/>
        </w:rPr>
        <w:footnoteReference w:id="25"/>
      </w:r>
      <w:r w:rsidRPr="00320C53">
        <w:rPr>
          <w:rFonts w:ascii="Palatino Linotype" w:hAnsi="Palatino Linotype"/>
        </w:rPr>
        <w:t xml:space="preserve"> Then there is the ample American literature produced by clinicians who seek</w:t>
      </w:r>
      <w:r w:rsidR="00E21C29" w:rsidRPr="00320C53">
        <w:rPr>
          <w:rFonts w:ascii="Palatino Linotype" w:hAnsi="Palatino Linotype"/>
        </w:rPr>
        <w:t xml:space="preserve"> to</w:t>
      </w:r>
      <w:r w:rsidRPr="00320C53">
        <w:rPr>
          <w:rFonts w:ascii="Palatino Linotype" w:hAnsi="Palatino Linotype"/>
        </w:rPr>
        <w:t xml:space="preserve"> demonstrate the role clinic has in legal education.  Along the way the work of Roger </w:t>
      </w:r>
      <w:proofErr w:type="spellStart"/>
      <w:r w:rsidRPr="00320C53">
        <w:rPr>
          <w:rFonts w:ascii="Palatino Linotype" w:hAnsi="Palatino Linotype"/>
        </w:rPr>
        <w:t>Cramton</w:t>
      </w:r>
      <w:proofErr w:type="spellEnd"/>
      <w:r w:rsidRPr="00320C53">
        <w:rPr>
          <w:rStyle w:val="FootnoteReference"/>
          <w:rFonts w:ascii="Palatino Linotype" w:hAnsi="Palatino Linotype"/>
        </w:rPr>
        <w:footnoteReference w:id="26"/>
      </w:r>
      <w:r w:rsidRPr="00320C53">
        <w:rPr>
          <w:rFonts w:ascii="Palatino Linotype" w:hAnsi="Palatino Linotype"/>
        </w:rPr>
        <w:t xml:space="preserve"> and Robert </w:t>
      </w:r>
      <w:proofErr w:type="spellStart"/>
      <w:r w:rsidRPr="00320C53">
        <w:rPr>
          <w:rFonts w:ascii="Palatino Linotype" w:hAnsi="Palatino Linotype"/>
        </w:rPr>
        <w:t>MacCrate</w:t>
      </w:r>
      <w:proofErr w:type="spellEnd"/>
      <w:r w:rsidRPr="00320C53">
        <w:rPr>
          <w:rStyle w:val="FootnoteReference"/>
          <w:rFonts w:ascii="Palatino Linotype" w:hAnsi="Palatino Linotype"/>
        </w:rPr>
        <w:footnoteReference w:id="27"/>
      </w:r>
      <w:r w:rsidRPr="00320C53">
        <w:rPr>
          <w:rFonts w:ascii="Palatino Linotype" w:hAnsi="Palatino Linotype"/>
        </w:rPr>
        <w:t xml:space="preserve"> helps identify the needs and anticipated goals in American legal education. Finally, and most current</w:t>
      </w:r>
      <w:r w:rsidR="008E094A" w:rsidRPr="00320C53">
        <w:rPr>
          <w:rFonts w:ascii="Palatino Linotype" w:hAnsi="Palatino Linotype"/>
        </w:rPr>
        <w:t>ly</w:t>
      </w:r>
      <w:r w:rsidRPr="00320C53">
        <w:rPr>
          <w:rFonts w:ascii="Palatino Linotype" w:hAnsi="Palatino Linotype"/>
        </w:rPr>
        <w:t xml:space="preserve"> and comprehensively, we are benefited by the thoughtful and deep analyses provided by the </w:t>
      </w:r>
      <w:r w:rsidRPr="00320C53">
        <w:rPr>
          <w:rFonts w:ascii="Palatino Linotype" w:hAnsi="Palatino Linotype"/>
          <w:i/>
        </w:rPr>
        <w:t xml:space="preserve">Carnegie Report </w:t>
      </w:r>
      <w:r w:rsidRPr="00320C53">
        <w:rPr>
          <w:rFonts w:ascii="Palatino Linotype" w:hAnsi="Palatino Linotype"/>
        </w:rPr>
        <w:t>(Carnegie)</w:t>
      </w:r>
      <w:r w:rsidRPr="00320C53">
        <w:rPr>
          <w:rStyle w:val="FootnoteReference"/>
          <w:rFonts w:ascii="Palatino Linotype" w:hAnsi="Palatino Linotype"/>
        </w:rPr>
        <w:footnoteReference w:id="28"/>
      </w:r>
      <w:r w:rsidRPr="00320C53">
        <w:rPr>
          <w:rFonts w:ascii="Palatino Linotype" w:hAnsi="Palatino Linotype"/>
        </w:rPr>
        <w:t xml:space="preserve"> and the </w:t>
      </w:r>
      <w:r w:rsidRPr="00320C53">
        <w:rPr>
          <w:rFonts w:ascii="Palatino Linotype" w:hAnsi="Palatino Linotype"/>
          <w:i/>
        </w:rPr>
        <w:t>Best Practices Report</w:t>
      </w:r>
      <w:r w:rsidRPr="00320C53">
        <w:rPr>
          <w:rFonts w:ascii="Palatino Linotype" w:hAnsi="Palatino Linotype"/>
        </w:rPr>
        <w:t xml:space="preserve"> by Roy Stuckey and others (Stuckey).</w:t>
      </w:r>
      <w:r w:rsidRPr="00320C53">
        <w:rPr>
          <w:rStyle w:val="FootnoteReference"/>
          <w:rFonts w:ascii="Palatino Linotype" w:hAnsi="Palatino Linotype"/>
        </w:rPr>
        <w:footnoteReference w:id="29"/>
      </w:r>
      <w:r w:rsidRPr="00320C53">
        <w:rPr>
          <w:rFonts w:ascii="Palatino Linotype" w:hAnsi="Palatino Linotype"/>
        </w:rPr>
        <w:t xml:space="preserve"> </w:t>
      </w:r>
    </w:p>
    <w:p w14:paraId="0B4448A4" w14:textId="7922CA1F" w:rsidR="00DD1E81" w:rsidRPr="00320C53" w:rsidRDefault="00DD1E81" w:rsidP="000C2DAB">
      <w:pPr>
        <w:spacing w:line="480" w:lineRule="auto"/>
        <w:jc w:val="both"/>
        <w:rPr>
          <w:rFonts w:ascii="Palatino Linotype" w:hAnsi="Palatino Linotype"/>
        </w:rPr>
      </w:pPr>
      <w:r w:rsidRPr="00320C53">
        <w:rPr>
          <w:rFonts w:ascii="Palatino Linotype" w:hAnsi="Palatino Linotype"/>
        </w:rPr>
        <w:t xml:space="preserve">The organizing principles, classifications or schemas used by authors and professions in describing professional capability or competence are often dissimilar to one another. The analytical framework employed or developed does not necessarily emerge from any conventional systematic analytical or synthetic approach.  I am aware of one exception:  in 1990 and 1991 in British Columbia (BC), Canada, a group of intrepid course planners </w:t>
      </w:r>
      <w:r w:rsidRPr="00320C53">
        <w:rPr>
          <w:rFonts w:ascii="Palatino Linotype" w:hAnsi="Palatino Linotype"/>
        </w:rPr>
        <w:lastRenderedPageBreak/>
        <w:t>carried out a systematic instructional design process for the postgraduate pre-admission mandatory program for intending BC lawyers that entailed job, task and skills analyses. That produced a highly specific “master skills hierarchy” with plentiful sub-skills, but no definition of the knowledge and a limited statement of values and attitudes required. This limits the value of the work for those designing the undergraduate law curriculum.</w:t>
      </w:r>
      <w:r w:rsidRPr="00320C53">
        <w:rPr>
          <w:rStyle w:val="FootnoteReference"/>
          <w:rFonts w:ascii="Palatino Linotype" w:hAnsi="Palatino Linotype"/>
        </w:rPr>
        <w:footnoteReference w:id="30"/>
      </w:r>
      <w:r w:rsidRPr="00320C53">
        <w:rPr>
          <w:rFonts w:ascii="Palatino Linotype" w:hAnsi="Palatino Linotype"/>
        </w:rPr>
        <w:t xml:space="preserve">  </w:t>
      </w:r>
    </w:p>
    <w:p w14:paraId="0072E164" w14:textId="46836E53" w:rsidR="00DD1E81" w:rsidRPr="00320C53" w:rsidRDefault="00DD1E81" w:rsidP="000C2DAB">
      <w:pPr>
        <w:spacing w:line="480" w:lineRule="auto"/>
        <w:jc w:val="both"/>
        <w:rPr>
          <w:rFonts w:ascii="Palatino Linotype" w:hAnsi="Palatino Linotype"/>
        </w:rPr>
      </w:pPr>
      <w:r w:rsidRPr="00320C53">
        <w:rPr>
          <w:rFonts w:ascii="Palatino Linotype" w:hAnsi="Palatino Linotype"/>
        </w:rPr>
        <w:t xml:space="preserve">The most instructive and insightful work on what lawyers need to know and be able to do to be fully proficient practitioners is found in Stuckey and Carnegie. I have developed a rough concordance at </w:t>
      </w:r>
      <w:r w:rsidR="006C0797" w:rsidRPr="00320C53">
        <w:rPr>
          <w:rFonts w:ascii="Palatino Linotype" w:hAnsi="Palatino Linotype"/>
        </w:rPr>
        <w:t>“S</w:t>
      </w:r>
      <w:r w:rsidRPr="00320C53">
        <w:rPr>
          <w:rFonts w:ascii="Palatino Linotype" w:hAnsi="Palatino Linotype"/>
        </w:rPr>
        <w:t xml:space="preserve">chedule </w:t>
      </w:r>
      <w:r w:rsidR="006C0797" w:rsidRPr="00320C53">
        <w:rPr>
          <w:rFonts w:ascii="Palatino Linotype" w:hAnsi="Palatino Linotype"/>
        </w:rPr>
        <w:t>1”</w:t>
      </w:r>
      <w:r w:rsidRPr="00320C53">
        <w:rPr>
          <w:rFonts w:ascii="Palatino Linotype" w:hAnsi="Palatino Linotype"/>
        </w:rPr>
        <w:t xml:space="preserve"> that links the Ontario UUDLEs, employed formally for course and program preparation and evaluation, to both the Carnegie apprenticeships and tasks, and Stuckey’s principles</w:t>
      </w:r>
      <w:r w:rsidRPr="00320C53">
        <w:rPr>
          <w:rStyle w:val="FootnoteReference"/>
          <w:rFonts w:ascii="Palatino Linotype" w:hAnsi="Palatino Linotype"/>
        </w:rPr>
        <w:footnoteReference w:id="31"/>
      </w:r>
      <w:r w:rsidR="008E094A" w:rsidRPr="00320C53">
        <w:rPr>
          <w:rFonts w:ascii="Palatino Linotype" w:hAnsi="Palatino Linotype"/>
        </w:rPr>
        <w:t xml:space="preserve"> </w:t>
      </w:r>
      <w:r w:rsidRPr="00320C53">
        <w:rPr>
          <w:rFonts w:ascii="Palatino Linotype" w:hAnsi="Palatino Linotype"/>
        </w:rPr>
        <w:t xml:space="preserve">that are each aimed at the design of legal education programs </w:t>
      </w:r>
      <w:r w:rsidR="008E094A" w:rsidRPr="00320C53">
        <w:rPr>
          <w:rFonts w:ascii="Palatino Linotype" w:hAnsi="Palatino Linotype"/>
        </w:rPr>
        <w:t>intended</w:t>
      </w:r>
      <w:r w:rsidRPr="00320C53">
        <w:rPr>
          <w:rFonts w:ascii="Palatino Linotype" w:hAnsi="Palatino Linotype"/>
        </w:rPr>
        <w:t xml:space="preserve"> </w:t>
      </w:r>
      <w:r w:rsidR="008E094A" w:rsidRPr="00320C53">
        <w:rPr>
          <w:rFonts w:ascii="Palatino Linotype" w:hAnsi="Palatino Linotype"/>
        </w:rPr>
        <w:t>to produce</w:t>
      </w:r>
      <w:r w:rsidRPr="00320C53">
        <w:rPr>
          <w:rFonts w:ascii="Palatino Linotype" w:hAnsi="Palatino Linotype"/>
        </w:rPr>
        <w:t xml:space="preserve"> legal professionals. In so doing I will demonstrate that the UUDLEs, substantially, but incompletely in important ways, serve the interests of lawyer education and that through their explication one would see a range of outcomes for the ideal law school curriculum and as well as for the even less-than-ideal current commonplace curriculum. Then I will seek to show how clinical legal education as a methodology of teaching and learning serves to facilitate the accomplishment of the UUDLEs as extended and interpreted through the Carnegie and Stuckey lenses. If I am successful, or at least to the extent </w:t>
      </w:r>
      <w:r w:rsidR="006174B4" w:rsidRPr="00320C53">
        <w:rPr>
          <w:rFonts w:ascii="Palatino Linotype" w:hAnsi="Palatino Linotype"/>
        </w:rPr>
        <w:t xml:space="preserve">to which the reader concludes </w:t>
      </w:r>
      <w:r w:rsidRPr="00320C53">
        <w:rPr>
          <w:rFonts w:ascii="Palatino Linotype" w:hAnsi="Palatino Linotype"/>
        </w:rPr>
        <w:t xml:space="preserve">that I am successful, I </w:t>
      </w:r>
      <w:r w:rsidRPr="00320C53">
        <w:rPr>
          <w:rFonts w:ascii="Palatino Linotype" w:hAnsi="Palatino Linotype"/>
        </w:rPr>
        <w:lastRenderedPageBreak/>
        <w:t xml:space="preserve">will </w:t>
      </w:r>
      <w:r w:rsidR="006174B4" w:rsidRPr="00320C53">
        <w:rPr>
          <w:rFonts w:ascii="Palatino Linotype" w:hAnsi="Palatino Linotype"/>
        </w:rPr>
        <w:t xml:space="preserve">have </w:t>
      </w:r>
      <w:r w:rsidRPr="00320C53">
        <w:rPr>
          <w:rFonts w:ascii="Palatino Linotype" w:hAnsi="Palatino Linotype"/>
        </w:rPr>
        <w:t>show</w:t>
      </w:r>
      <w:r w:rsidR="006174B4" w:rsidRPr="00320C53">
        <w:rPr>
          <w:rFonts w:ascii="Palatino Linotype" w:hAnsi="Palatino Linotype"/>
        </w:rPr>
        <w:t>n</w:t>
      </w:r>
      <w:r w:rsidRPr="00320C53">
        <w:rPr>
          <w:rFonts w:ascii="Palatino Linotype" w:hAnsi="Palatino Linotype"/>
        </w:rPr>
        <w:t xml:space="preserve"> how clinical legal education serves the goals of all legal education, including a conventional legal education.</w:t>
      </w:r>
    </w:p>
    <w:p w14:paraId="4D81AB5A" w14:textId="77777777" w:rsidR="00943902" w:rsidRPr="00320C53" w:rsidRDefault="00943902" w:rsidP="000C2DAB">
      <w:pPr>
        <w:spacing w:line="480" w:lineRule="auto"/>
        <w:jc w:val="both"/>
        <w:rPr>
          <w:rFonts w:ascii="Palatino Linotype" w:hAnsi="Palatino Linotype"/>
        </w:rPr>
      </w:pPr>
    </w:p>
    <w:p w14:paraId="09711B20" w14:textId="66E13BD0" w:rsidR="00DD1E81" w:rsidRPr="00E662FA" w:rsidRDefault="00E662FA" w:rsidP="00E662FA">
      <w:pPr>
        <w:pStyle w:val="ListParagraph"/>
        <w:numPr>
          <w:ilvl w:val="0"/>
          <w:numId w:val="38"/>
        </w:numPr>
        <w:spacing w:line="480" w:lineRule="auto"/>
        <w:jc w:val="both"/>
        <w:rPr>
          <w:rFonts w:ascii="Palatino Linotype" w:hAnsi="Palatino Linotype"/>
        </w:rPr>
      </w:pPr>
      <w:r w:rsidRPr="00E662FA">
        <w:rPr>
          <w:rFonts w:ascii="Palatino Linotype" w:hAnsi="Palatino Linotype"/>
        </w:rPr>
        <w:t>A CLOSER EXAMINATION OF THE UUDLES</w:t>
      </w:r>
    </w:p>
    <w:p w14:paraId="02E77FCB" w14:textId="77777777" w:rsidR="00E662FA" w:rsidRDefault="00E662FA" w:rsidP="000C2DAB">
      <w:pPr>
        <w:spacing w:line="480" w:lineRule="auto"/>
        <w:jc w:val="both"/>
        <w:rPr>
          <w:rFonts w:ascii="Palatino Linotype" w:hAnsi="Palatino Linotype"/>
        </w:rPr>
      </w:pPr>
    </w:p>
    <w:p w14:paraId="29794DCF" w14:textId="1237C22B" w:rsidR="00DD1E81" w:rsidRPr="00320C53" w:rsidRDefault="00DD1E81" w:rsidP="000C2DAB">
      <w:pPr>
        <w:spacing w:line="480" w:lineRule="auto"/>
        <w:jc w:val="both"/>
        <w:rPr>
          <w:rFonts w:ascii="Palatino Linotype" w:hAnsi="Palatino Linotype"/>
          <w:lang w:val="en-CA"/>
        </w:rPr>
      </w:pPr>
      <w:r w:rsidRPr="00320C53">
        <w:rPr>
          <w:rFonts w:ascii="Palatino Linotype" w:hAnsi="Palatino Linotype"/>
        </w:rPr>
        <w:t xml:space="preserve">First then let’s take a closer look </w:t>
      </w:r>
      <w:r w:rsidR="00E662FA">
        <w:rPr>
          <w:rFonts w:ascii="Palatino Linotype" w:hAnsi="Palatino Linotype"/>
        </w:rPr>
        <w:t xml:space="preserve">at some of the Ontario UUDLEs. </w:t>
      </w:r>
      <w:r w:rsidRPr="00320C53">
        <w:rPr>
          <w:rFonts w:ascii="Palatino Linotype" w:hAnsi="Palatino Linotype"/>
          <w:lang w:val="en-CA"/>
        </w:rPr>
        <w:t>Here then are the six levels of the UUDLE 1., “breadth and depth of knowledge”:</w:t>
      </w:r>
      <w:r w:rsidR="001A253C" w:rsidRPr="00320C53">
        <w:rPr>
          <w:rFonts w:ascii="Palatino Linotype" w:hAnsi="Palatino Linotype"/>
          <w:lang w:val="en-CA"/>
        </w:rPr>
        <w:t xml:space="preserve"> </w:t>
      </w:r>
      <w:r w:rsidRPr="00320C53">
        <w:rPr>
          <w:rFonts w:ascii="Palatino Linotype" w:hAnsi="Palatino Linotype"/>
          <w:lang w:val="en-CA"/>
        </w:rPr>
        <w:t>a developed knowledge and critical understanding of the key concepts, methodologies, current advances, theoretical approaches and assumptions in a discipline overall, as well as in a specialized area of a discipline</w:t>
      </w:r>
    </w:p>
    <w:p w14:paraId="2DAAC6BC" w14:textId="77777777" w:rsidR="00DD1E81" w:rsidRPr="00320C53" w:rsidRDefault="00DD1E81" w:rsidP="000C2DAB">
      <w:pPr>
        <w:pStyle w:val="ListParagraph"/>
        <w:numPr>
          <w:ilvl w:val="0"/>
          <w:numId w:val="37"/>
        </w:numPr>
        <w:spacing w:line="480" w:lineRule="auto"/>
        <w:jc w:val="both"/>
        <w:rPr>
          <w:rFonts w:ascii="Palatino Linotype" w:hAnsi="Palatino Linotype"/>
          <w:lang w:val="en-CA"/>
        </w:rPr>
      </w:pPr>
      <w:r w:rsidRPr="00320C53">
        <w:rPr>
          <w:rFonts w:ascii="Palatino Linotype" w:hAnsi="Palatino Linotype"/>
          <w:lang w:val="en-CA"/>
        </w:rPr>
        <w:t>a developed understanding of many of the major fields in a discipline, including, where appropriate, from an interdisciplinary perspective, and how the fields may intersect with fields in related disciplines</w:t>
      </w:r>
    </w:p>
    <w:p w14:paraId="0B96D2AF" w14:textId="77777777" w:rsidR="00DD1E81" w:rsidRPr="00320C53" w:rsidRDefault="00DD1E81" w:rsidP="000C2DAB">
      <w:pPr>
        <w:pStyle w:val="ListParagraph"/>
        <w:numPr>
          <w:ilvl w:val="0"/>
          <w:numId w:val="37"/>
        </w:numPr>
        <w:spacing w:line="480" w:lineRule="auto"/>
        <w:jc w:val="both"/>
        <w:rPr>
          <w:rFonts w:ascii="Palatino Linotype" w:hAnsi="Palatino Linotype"/>
          <w:lang w:val="en-CA"/>
        </w:rPr>
      </w:pPr>
      <w:r w:rsidRPr="00320C53">
        <w:rPr>
          <w:rFonts w:ascii="Palatino Linotype" w:hAnsi="Palatino Linotype"/>
          <w:lang w:val="en-CA"/>
        </w:rPr>
        <w:t xml:space="preserve">a developed ability to: </w:t>
      </w:r>
    </w:p>
    <w:p w14:paraId="341D3E22" w14:textId="77777777" w:rsidR="00DD1E81" w:rsidRPr="00320C53" w:rsidRDefault="00DD1E81" w:rsidP="000C2DAB">
      <w:pPr>
        <w:pStyle w:val="ListParagraph"/>
        <w:spacing w:line="480" w:lineRule="auto"/>
        <w:ind w:left="1440"/>
        <w:jc w:val="both"/>
        <w:rPr>
          <w:rFonts w:ascii="Palatino Linotype" w:hAnsi="Palatino Linotype"/>
          <w:lang w:val="en-CA"/>
        </w:rPr>
      </w:pPr>
      <w:proofErr w:type="spellStart"/>
      <w:r w:rsidRPr="00320C53">
        <w:rPr>
          <w:rFonts w:ascii="Palatino Linotype" w:hAnsi="Palatino Linotype"/>
          <w:lang w:val="en-CA"/>
        </w:rPr>
        <w:t>i</w:t>
      </w:r>
      <w:proofErr w:type="spellEnd"/>
      <w:r w:rsidRPr="00320C53">
        <w:rPr>
          <w:rFonts w:ascii="Palatino Linotype" w:hAnsi="Palatino Linotype"/>
          <w:lang w:val="en-CA"/>
        </w:rPr>
        <w:t xml:space="preserve">) gather, review, evaluate and interpret information; and </w:t>
      </w:r>
    </w:p>
    <w:p w14:paraId="60E5632C" w14:textId="77777777" w:rsidR="00DD1E81" w:rsidRPr="00320C53" w:rsidRDefault="00DD1E81" w:rsidP="000C2DAB">
      <w:pPr>
        <w:pStyle w:val="ListParagraph"/>
        <w:spacing w:line="480" w:lineRule="auto"/>
        <w:ind w:left="1440"/>
        <w:jc w:val="both"/>
        <w:rPr>
          <w:rFonts w:ascii="Palatino Linotype" w:hAnsi="Palatino Linotype"/>
          <w:lang w:val="en-CA"/>
        </w:rPr>
      </w:pPr>
      <w:r w:rsidRPr="00320C53">
        <w:rPr>
          <w:rFonts w:ascii="Palatino Linotype" w:hAnsi="Palatino Linotype"/>
          <w:lang w:val="en-CA"/>
        </w:rPr>
        <w:t>ii) compare the merits of alternate hypotheses or creative options, relevant to one or more of the major fields in a discipline</w:t>
      </w:r>
    </w:p>
    <w:p w14:paraId="5B1A75BF" w14:textId="77777777" w:rsidR="00DD1E81" w:rsidRPr="00320C53" w:rsidRDefault="00DD1E81" w:rsidP="000C2DAB">
      <w:pPr>
        <w:pStyle w:val="ListParagraph"/>
        <w:numPr>
          <w:ilvl w:val="0"/>
          <w:numId w:val="37"/>
        </w:numPr>
        <w:spacing w:line="480" w:lineRule="auto"/>
        <w:jc w:val="both"/>
        <w:rPr>
          <w:rFonts w:ascii="Palatino Linotype" w:hAnsi="Palatino Linotype"/>
          <w:lang w:val="en-CA"/>
        </w:rPr>
      </w:pPr>
      <w:r w:rsidRPr="00320C53">
        <w:rPr>
          <w:rFonts w:ascii="Palatino Linotype" w:hAnsi="Palatino Linotype"/>
          <w:lang w:val="en-CA"/>
        </w:rPr>
        <w:t>a developed, detailed knowledge of and experience in research in an area of the discipline</w:t>
      </w:r>
    </w:p>
    <w:p w14:paraId="212411FB" w14:textId="77777777" w:rsidR="00DD1E81" w:rsidRPr="00320C53" w:rsidRDefault="00DD1E81" w:rsidP="000C2DAB">
      <w:pPr>
        <w:pStyle w:val="ListParagraph"/>
        <w:numPr>
          <w:ilvl w:val="0"/>
          <w:numId w:val="37"/>
        </w:numPr>
        <w:spacing w:line="480" w:lineRule="auto"/>
        <w:jc w:val="both"/>
        <w:rPr>
          <w:rFonts w:ascii="Palatino Linotype" w:hAnsi="Palatino Linotype"/>
          <w:lang w:val="en-CA"/>
        </w:rPr>
      </w:pPr>
      <w:r w:rsidRPr="00320C53">
        <w:rPr>
          <w:rFonts w:ascii="Palatino Linotype" w:hAnsi="Palatino Linotype"/>
          <w:lang w:val="en-CA"/>
        </w:rPr>
        <w:t>developed critical thinking and analytical skills inside and outside the discipline</w:t>
      </w:r>
    </w:p>
    <w:p w14:paraId="7FD28BBE" w14:textId="77777777" w:rsidR="00DD1E81" w:rsidRPr="00320C53" w:rsidRDefault="00DD1E81" w:rsidP="000C2DAB">
      <w:pPr>
        <w:pStyle w:val="ListParagraph"/>
        <w:numPr>
          <w:ilvl w:val="0"/>
          <w:numId w:val="37"/>
        </w:numPr>
        <w:spacing w:line="480" w:lineRule="auto"/>
        <w:jc w:val="both"/>
        <w:rPr>
          <w:rFonts w:ascii="Palatino Linotype" w:hAnsi="Palatino Linotype"/>
          <w:lang w:val="en-CA"/>
        </w:rPr>
      </w:pPr>
      <w:r w:rsidRPr="00320C53">
        <w:rPr>
          <w:rFonts w:ascii="Palatino Linotype" w:hAnsi="Palatino Linotype"/>
          <w:lang w:val="en-CA"/>
        </w:rPr>
        <w:lastRenderedPageBreak/>
        <w:t>the ability to apply learning from one or more areas outside the discipline</w:t>
      </w:r>
    </w:p>
    <w:p w14:paraId="5CD08984" w14:textId="18E59868" w:rsidR="00DD1E81" w:rsidRPr="00320C53" w:rsidRDefault="00DD1E81" w:rsidP="000C2DAB">
      <w:pPr>
        <w:spacing w:line="480" w:lineRule="auto"/>
        <w:jc w:val="both"/>
        <w:rPr>
          <w:rFonts w:ascii="Palatino Linotype" w:hAnsi="Palatino Linotype"/>
        </w:rPr>
      </w:pPr>
      <w:r w:rsidRPr="00320C53">
        <w:rPr>
          <w:rFonts w:ascii="Palatino Linotype" w:hAnsi="Palatino Linotype"/>
        </w:rPr>
        <w:t>The first element, a), of UUDLE 1. is compound complex.  It seeks “a developed knowledge and critical understanding” and thus aspires to the higher levels of Bloom’s Taxonomy in respect of “key concepts, methodologies, current advances, theoretical approaches</w:t>
      </w:r>
      <w:r w:rsidR="00D33571">
        <w:rPr>
          <w:rFonts w:ascii="Palatino Linotype" w:hAnsi="Palatino Linotype"/>
        </w:rPr>
        <w:t>..</w:t>
      </w:r>
      <w:r w:rsidRPr="00320C53">
        <w:rPr>
          <w:rFonts w:ascii="Palatino Linotype" w:hAnsi="Palatino Linotype"/>
        </w:rPr>
        <w:t>.”  “Remembering” is level 1. of Bloom’s Taxonomy.  A reasonable surrogate descriptor of the lowest level of remembering information or facts would be represented by the ability of a person to recall (a sub-level) or restate verbatim (a higher sub-level) a piece of information, what might be called a “fact”.  In law this level might be evidenced by the rote restatement of a rule. However, this degree level expectation 1. a) uses the words “developed knowledge” suggesting higher levels of the taxonomy such as at least Understanding (level 2. of Bloom) and perhaps Applying (level 3.).  As a rule, legal education would want even early students to be at least analyzing, level 4. of Bloom.  However, the degree level expectation goes on to use the words “critical understanding” suggesting the fifth level of Bloom, Evaluating. According to the schema it is necessary to be able to understand, apply and analyze before one can evaluate.  And so legal education would pursue all these levels and take</w:t>
      </w:r>
      <w:r w:rsidR="008E094A" w:rsidRPr="00320C53">
        <w:rPr>
          <w:rFonts w:ascii="Palatino Linotype" w:hAnsi="Palatino Linotype"/>
        </w:rPr>
        <w:t>,</w:t>
      </w:r>
      <w:r w:rsidRPr="00320C53">
        <w:rPr>
          <w:rFonts w:ascii="Palatino Linotype" w:hAnsi="Palatino Linotype"/>
        </w:rPr>
        <w:t xml:space="preserve"> or seek to take</w:t>
      </w:r>
      <w:r w:rsidR="008E094A" w:rsidRPr="00320C53">
        <w:rPr>
          <w:rFonts w:ascii="Palatino Linotype" w:hAnsi="Palatino Linotype"/>
        </w:rPr>
        <w:t>,</w:t>
      </w:r>
      <w:r w:rsidRPr="00320C53">
        <w:rPr>
          <w:rFonts w:ascii="Palatino Linotype" w:hAnsi="Palatino Linotype"/>
        </w:rPr>
        <w:t xml:space="preserve"> students to the highest level, often but not always, to level (6.), Creating. Certain aspects of legal problem solving </w:t>
      </w:r>
      <w:r w:rsidRPr="00320C53">
        <w:rPr>
          <w:rFonts w:ascii="Palatino Linotype" w:hAnsi="Palatino Linotype"/>
        </w:rPr>
        <w:lastRenderedPageBreak/>
        <w:t xml:space="preserve">no doubt take the student to Creating, depending on how fresh the problem is or how close it is to problems previously solved. </w:t>
      </w:r>
      <w:r w:rsidRPr="00320C53">
        <w:rPr>
          <w:rStyle w:val="FootnoteReference"/>
          <w:rFonts w:ascii="Palatino Linotype" w:hAnsi="Palatino Linotype"/>
        </w:rPr>
        <w:footnoteReference w:id="32"/>
      </w:r>
    </w:p>
    <w:p w14:paraId="6D912CC7" w14:textId="18E63C6B" w:rsidR="00DD1E81" w:rsidRPr="00320C53" w:rsidRDefault="00DD1E81" w:rsidP="000C2DAB">
      <w:pPr>
        <w:spacing w:line="480" w:lineRule="auto"/>
        <w:jc w:val="both"/>
        <w:rPr>
          <w:rFonts w:ascii="Palatino Linotype" w:hAnsi="Palatino Linotype"/>
        </w:rPr>
      </w:pPr>
      <w:r w:rsidRPr="00320C53">
        <w:rPr>
          <w:rFonts w:ascii="Palatino Linotype" w:hAnsi="Palatino Linotype"/>
        </w:rPr>
        <w:t xml:space="preserve">No doubt we would expect law students to be able to achieve higher levels of the taxonomy in first year, though strategic teaching will take students through the levels of remembering, understanding, applying, analyzing, evaluating and creating, not merely to the higher levels without some practice in the middle levels. Not until third year will students be developing their own schemas for critical evaluation thus combining creating with evaluating.  In addition students who provide novel, efficient and effective ways forward for clients, public policy development, legislative reform, risk management or project design will be operating at the highest levels of Bloom as well as doing what the UUDLEs, Stuckey and Carnegie would be aiming for. </w:t>
      </w:r>
    </w:p>
    <w:p w14:paraId="1B93D59B" w14:textId="3845A48E" w:rsidR="00DD1E81" w:rsidRPr="00320C53" w:rsidRDefault="00DD1E81" w:rsidP="000C2DAB">
      <w:pPr>
        <w:spacing w:line="480" w:lineRule="auto"/>
        <w:jc w:val="both"/>
        <w:rPr>
          <w:rFonts w:ascii="Palatino Linotype" w:hAnsi="Palatino Linotype"/>
        </w:rPr>
      </w:pPr>
      <w:r w:rsidRPr="00320C53">
        <w:rPr>
          <w:rFonts w:ascii="Palatino Linotype" w:hAnsi="Palatino Linotype"/>
        </w:rPr>
        <w:t xml:space="preserve">Carrying on with the </w:t>
      </w:r>
      <w:r w:rsidR="0011743E" w:rsidRPr="00320C53">
        <w:rPr>
          <w:rFonts w:ascii="Palatino Linotype" w:hAnsi="Palatino Linotype"/>
        </w:rPr>
        <w:t>UUDLE</w:t>
      </w:r>
      <w:r w:rsidR="00246BEB" w:rsidRPr="00320C53">
        <w:rPr>
          <w:rFonts w:ascii="Palatino Linotype" w:hAnsi="Palatino Linotype"/>
        </w:rPr>
        <w:t>, the</w:t>
      </w:r>
      <w:r w:rsidR="00880124" w:rsidRPr="00320C53">
        <w:rPr>
          <w:rFonts w:ascii="Palatino Linotype" w:hAnsi="Palatino Linotype"/>
        </w:rPr>
        <w:t xml:space="preserve"> item </w:t>
      </w:r>
      <w:r w:rsidRPr="00320C53">
        <w:rPr>
          <w:rFonts w:ascii="Palatino Linotype" w:hAnsi="Palatino Linotype"/>
        </w:rPr>
        <w:t>“key concepts”</w:t>
      </w:r>
      <w:r w:rsidR="00880124" w:rsidRPr="00320C53">
        <w:rPr>
          <w:rFonts w:ascii="Palatino Linotype" w:hAnsi="Palatino Linotype"/>
        </w:rPr>
        <w:t xml:space="preserve"> </w:t>
      </w:r>
      <w:r w:rsidRPr="00320C53">
        <w:rPr>
          <w:rFonts w:ascii="Palatino Linotype" w:hAnsi="Palatino Linotype"/>
        </w:rPr>
        <w:t>recall</w:t>
      </w:r>
      <w:r w:rsidR="004D69F8" w:rsidRPr="00320C53">
        <w:rPr>
          <w:rFonts w:ascii="Palatino Linotype" w:hAnsi="Palatino Linotype"/>
        </w:rPr>
        <w:t>s</w:t>
      </w:r>
      <w:r w:rsidRPr="00320C53">
        <w:rPr>
          <w:rFonts w:ascii="Palatino Linotype" w:hAnsi="Palatino Linotype"/>
        </w:rPr>
        <w:t xml:space="preserve"> the underlying bases and central ideas of and within the divisions of legal knowledge that are undertaken.  “[M]</w:t>
      </w:r>
      <w:proofErr w:type="spellStart"/>
      <w:r w:rsidRPr="00320C53">
        <w:rPr>
          <w:rFonts w:ascii="Palatino Linotype" w:hAnsi="Palatino Linotype"/>
        </w:rPr>
        <w:t>ethodologies</w:t>
      </w:r>
      <w:proofErr w:type="spellEnd"/>
      <w:r w:rsidRPr="00320C53">
        <w:rPr>
          <w:rFonts w:ascii="Palatino Linotype" w:hAnsi="Palatino Linotype"/>
        </w:rPr>
        <w:t xml:space="preserve">” suggest </w:t>
      </w:r>
      <w:r w:rsidRPr="00320C53">
        <w:rPr>
          <w:rFonts w:ascii="Palatino Linotype" w:hAnsi="Palatino Linotype"/>
          <w:i/>
        </w:rPr>
        <w:t xml:space="preserve">not </w:t>
      </w:r>
      <w:r w:rsidRPr="00320C53">
        <w:rPr>
          <w:rFonts w:ascii="Palatino Linotype" w:hAnsi="Palatino Linotype"/>
        </w:rPr>
        <w:t xml:space="preserve">the ability to do, </w:t>
      </w:r>
      <w:r w:rsidRPr="00320C53">
        <w:rPr>
          <w:rFonts w:ascii="Palatino Linotype" w:hAnsi="Palatino Linotype"/>
          <w:i/>
        </w:rPr>
        <w:t xml:space="preserve">i.e., </w:t>
      </w:r>
      <w:r w:rsidRPr="00320C53">
        <w:rPr>
          <w:rFonts w:ascii="Palatino Linotype" w:hAnsi="Palatino Linotype"/>
        </w:rPr>
        <w:t xml:space="preserve">carry out a methodology, in this UUDLE, but rather an understanding of the steps in the operations, procedures, and sequences and perhaps even protocols. The UUDLE refers to “theoretical approaches” which might be </w:t>
      </w:r>
      <w:r w:rsidRPr="00320C53">
        <w:rPr>
          <w:rStyle w:val="Strong"/>
          <w:rFonts w:ascii="Palatino Linotype" w:hAnsi="Palatino Linotype"/>
          <w:b w:val="0"/>
        </w:rPr>
        <w:t>coterminous</w:t>
      </w:r>
      <w:r w:rsidRPr="00320C53">
        <w:rPr>
          <w:rStyle w:val="Strong"/>
          <w:rFonts w:ascii="Palatino Linotype" w:hAnsi="Palatino Linotype"/>
        </w:rPr>
        <w:t xml:space="preserve"> </w:t>
      </w:r>
      <w:r w:rsidRPr="00320C53">
        <w:rPr>
          <w:rFonts w:ascii="Palatino Linotype" w:hAnsi="Palatino Linotype"/>
        </w:rPr>
        <w:t xml:space="preserve">with knowledge of theories, here legal theories, or describable ways of thinking about material presented.  The UUDLE insightfully declares </w:t>
      </w:r>
      <w:r w:rsidRPr="00320C53">
        <w:rPr>
          <w:rFonts w:ascii="Palatino Linotype" w:hAnsi="Palatino Linotype"/>
        </w:rPr>
        <w:lastRenderedPageBreak/>
        <w:t xml:space="preserve">that disciplines are in effect sub-cultures with “assumptions” of various sorts that at least initially should be made explicit and learned, lest they be passed on as unexplained habits. </w:t>
      </w:r>
    </w:p>
    <w:p w14:paraId="37CBFB8D" w14:textId="3447F3E1" w:rsidR="00A322FF" w:rsidRPr="00320C53" w:rsidRDefault="00DD1E81" w:rsidP="000C2DAB">
      <w:pPr>
        <w:spacing w:line="480" w:lineRule="auto"/>
        <w:jc w:val="both"/>
        <w:rPr>
          <w:rFonts w:ascii="Palatino Linotype" w:hAnsi="Palatino Linotype"/>
        </w:rPr>
      </w:pPr>
      <w:r w:rsidRPr="00320C53">
        <w:rPr>
          <w:rFonts w:ascii="Palatino Linotype" w:hAnsi="Palatino Linotype"/>
        </w:rPr>
        <w:t xml:space="preserve">This examination of UUDLE 1. a) begins to demonstrate a reasonably sophisticated understanding of the cognitive skill learning requirements of university (law) graduates.  The generic UUDLEs do not select content, rather leaving that to the disciplines.   Also, the UUDLEs are not structured by level of study (year 1, 2 or 3); rather they are statements of the terminal capabilities of a university graduate.  As we progress from level 1. a) to level 1. b) we move from a “developed knowledge” to a “developed understanding” of fields, interdisciplinarity, and field intersection. Perhaps in law this would include subjects and cognate subjects from other disciplines. At 1. c) </w:t>
      </w:r>
      <w:proofErr w:type="spellStart"/>
      <w:r w:rsidRPr="00320C53">
        <w:rPr>
          <w:rFonts w:ascii="Palatino Linotype" w:hAnsi="Palatino Linotype"/>
        </w:rPr>
        <w:t>i</w:t>
      </w:r>
      <w:proofErr w:type="spellEnd"/>
      <w:r w:rsidR="004D69F8" w:rsidRPr="00320C53">
        <w:rPr>
          <w:rFonts w:ascii="Palatino Linotype" w:hAnsi="Palatino Linotype"/>
        </w:rPr>
        <w:t>)</w:t>
      </w:r>
      <w:r w:rsidRPr="00320C53">
        <w:rPr>
          <w:rFonts w:ascii="Palatino Linotype" w:hAnsi="Palatino Linotype"/>
        </w:rPr>
        <w:t xml:space="preserve"> the UUDLE calls for “a developed ability” to collect and assess information, to make sense of it and then in 1. c) ii</w:t>
      </w:r>
      <w:r w:rsidR="004D69F8" w:rsidRPr="00320C53">
        <w:rPr>
          <w:rFonts w:ascii="Palatino Linotype" w:hAnsi="Palatino Linotype"/>
        </w:rPr>
        <w:t>)</w:t>
      </w:r>
      <w:r w:rsidRPr="00320C53">
        <w:rPr>
          <w:rFonts w:ascii="Palatino Linotype" w:hAnsi="Palatino Linotype"/>
        </w:rPr>
        <w:t xml:space="preserve"> students are required to evaluate by comparing the qualities of alternate approaches or options in “one or more” or conceivably all fields or subjects in the discipline.  Moving from c) to d) to e) and f) the student’s expected depth and breadth of knowledge increases along with her analytical and critical thinking leading ultimately to being able to apply learning from outside the discipline to the discipline or fields within it.</w:t>
      </w:r>
      <w:r w:rsidR="00A322FF" w:rsidRPr="00320C53">
        <w:rPr>
          <w:rFonts w:ascii="Palatino Linotype" w:hAnsi="Palatino Linotype"/>
        </w:rPr>
        <w:t xml:space="preserve"> This somewhat detailed review of UUDLE 1 illustrate</w:t>
      </w:r>
      <w:r w:rsidR="00A724D3" w:rsidRPr="00320C53">
        <w:rPr>
          <w:rFonts w:ascii="Palatino Linotype" w:hAnsi="Palatino Linotype"/>
        </w:rPr>
        <w:t>s some aspects of</w:t>
      </w:r>
      <w:r w:rsidR="00A322FF" w:rsidRPr="00320C53">
        <w:rPr>
          <w:rFonts w:ascii="Palatino Linotype" w:hAnsi="Palatino Linotype"/>
        </w:rPr>
        <w:t xml:space="preserve"> its relevance to law study and its relatively traditional cognitive skill and substantive knowledge elements. </w:t>
      </w:r>
    </w:p>
    <w:p w14:paraId="16D76112" w14:textId="5E06992C" w:rsidR="00DD1E81" w:rsidRPr="00320C53" w:rsidRDefault="00DD1E81" w:rsidP="000C2DAB">
      <w:pPr>
        <w:spacing w:line="480" w:lineRule="auto"/>
        <w:jc w:val="both"/>
        <w:rPr>
          <w:rFonts w:ascii="Palatino Linotype" w:hAnsi="Palatino Linotype"/>
        </w:rPr>
      </w:pPr>
      <w:r w:rsidRPr="00320C53">
        <w:rPr>
          <w:rFonts w:ascii="Palatino Linotype" w:hAnsi="Palatino Linotype"/>
        </w:rPr>
        <w:lastRenderedPageBreak/>
        <w:t xml:space="preserve">As one progresses to level 2, Application of Knowledge, of the UUDLEs one moves through problem solving, argument as a means of problem solving, and the ability to deal with advanced scholarship and current knowledge development (research) in the field development. </w:t>
      </w:r>
    </w:p>
    <w:p w14:paraId="5067DE20" w14:textId="5B31AF9C" w:rsidR="00DD1E81" w:rsidRPr="00320C53" w:rsidRDefault="00DD1E81" w:rsidP="000C2DAB">
      <w:pPr>
        <w:spacing w:line="480" w:lineRule="auto"/>
        <w:jc w:val="both"/>
        <w:rPr>
          <w:rFonts w:ascii="Palatino Linotype" w:hAnsi="Palatino Linotype"/>
        </w:rPr>
      </w:pPr>
      <w:r w:rsidRPr="00320C53">
        <w:rPr>
          <w:rFonts w:ascii="Palatino Linotype" w:hAnsi="Palatino Linotype"/>
        </w:rPr>
        <w:t xml:space="preserve">In level 3, Knowledge of Methodologies, the UUDLE takes us to more sophisticated problem solving and the critical assessment of arguments. </w:t>
      </w:r>
      <w:r w:rsidR="00A724D3" w:rsidRPr="00320C53">
        <w:rPr>
          <w:rFonts w:ascii="Palatino Linotype" w:hAnsi="Palatino Linotype"/>
        </w:rPr>
        <w:t>This is an area rich in aspects relevant to a legal education.</w:t>
      </w:r>
    </w:p>
    <w:p w14:paraId="2AFC3C37" w14:textId="001DC03F" w:rsidR="00DD1E81" w:rsidRPr="00320C53" w:rsidRDefault="00DD1E81" w:rsidP="000C2DAB">
      <w:pPr>
        <w:spacing w:line="480" w:lineRule="auto"/>
        <w:jc w:val="both"/>
        <w:rPr>
          <w:rFonts w:ascii="Palatino Linotype" w:hAnsi="Palatino Linotype"/>
        </w:rPr>
      </w:pPr>
      <w:r w:rsidRPr="00320C53">
        <w:rPr>
          <w:rFonts w:ascii="Palatino Linotype" w:hAnsi="Palatino Linotype"/>
        </w:rPr>
        <w:t>UUDLE 4 is a very brief statement about communications skills, both oral and written. Here the UUDLEs are clearly insufficient for the legal educator leaving practically barren the field of most operational lawyering skills</w:t>
      </w:r>
      <w:r w:rsidR="00A724D3" w:rsidRPr="00320C53">
        <w:rPr>
          <w:rStyle w:val="FootnoteReference"/>
          <w:rFonts w:ascii="Palatino Linotype" w:hAnsi="Palatino Linotype"/>
        </w:rPr>
        <w:footnoteReference w:id="33"/>
      </w:r>
      <w:r w:rsidRPr="00320C53">
        <w:rPr>
          <w:rFonts w:ascii="Palatino Linotype" w:hAnsi="Palatino Linotype"/>
        </w:rPr>
        <w:t xml:space="preserve"> and related subject matters.</w:t>
      </w:r>
      <w:r w:rsidR="00833B49" w:rsidRPr="00320C53">
        <w:rPr>
          <w:rStyle w:val="FootnoteReference"/>
          <w:rFonts w:ascii="Palatino Linotype" w:hAnsi="Palatino Linotype"/>
        </w:rPr>
        <w:footnoteReference w:id="34"/>
      </w:r>
    </w:p>
    <w:p w14:paraId="776F0B82" w14:textId="72C6D7CE" w:rsidR="00DD1E81" w:rsidRPr="00320C53" w:rsidRDefault="00DD1E81" w:rsidP="000C2DAB">
      <w:pPr>
        <w:spacing w:line="480" w:lineRule="auto"/>
        <w:jc w:val="both"/>
        <w:rPr>
          <w:rFonts w:ascii="Palatino Linotype" w:hAnsi="Palatino Linotype"/>
          <w:lang w:val="en-CA"/>
        </w:rPr>
      </w:pPr>
      <w:r w:rsidRPr="00320C53">
        <w:rPr>
          <w:rFonts w:ascii="Palatino Linotype" w:hAnsi="Palatino Linotype"/>
        </w:rPr>
        <w:t>UUDLE 5 is perhaps the most practically important outcome for professionals</w:t>
      </w:r>
      <w:r w:rsidRPr="00320C53">
        <w:rPr>
          <w:rFonts w:ascii="Palatino Linotype" w:hAnsi="Palatino Linotype"/>
          <w:lang w:val="en-CA"/>
        </w:rPr>
        <w:t>: “an understanding of the limits to their own knowledge and ability, and an appreciation of the uncertainty, ambiguity and limits to knowledge and how this might influence analyses and interpretations.”  Clearly professionals who do no</w:t>
      </w:r>
      <w:r w:rsidR="00ED6D51" w:rsidRPr="00320C53">
        <w:rPr>
          <w:rFonts w:ascii="Palatino Linotype" w:hAnsi="Palatino Linotype"/>
          <w:lang w:val="en-CA"/>
        </w:rPr>
        <w:t>t</w:t>
      </w:r>
      <w:r w:rsidRPr="00320C53">
        <w:rPr>
          <w:rFonts w:ascii="Palatino Linotype" w:hAnsi="Palatino Linotype"/>
          <w:lang w:val="en-CA"/>
        </w:rPr>
        <w:t xml:space="preserve"> know their limits pose dangers to their clients. They must know how to deal with their limitations both in action and in preparation </w:t>
      </w:r>
      <w:r w:rsidR="00A724D3" w:rsidRPr="00320C53">
        <w:rPr>
          <w:rFonts w:ascii="Palatino Linotype" w:hAnsi="Palatino Linotype"/>
          <w:lang w:val="en-CA"/>
        </w:rPr>
        <w:t>for their work</w:t>
      </w:r>
      <w:r w:rsidRPr="00320C53">
        <w:rPr>
          <w:rFonts w:ascii="Palatino Linotype" w:hAnsi="Palatino Linotype"/>
          <w:lang w:val="en-CA"/>
        </w:rPr>
        <w:t xml:space="preserve">. Sometimes circumstances leave no option and </w:t>
      </w:r>
      <w:r w:rsidRPr="00320C53">
        <w:rPr>
          <w:rFonts w:ascii="Palatino Linotype" w:hAnsi="Palatino Linotype"/>
          <w:lang w:val="en-CA"/>
        </w:rPr>
        <w:lastRenderedPageBreak/>
        <w:t xml:space="preserve">professionals must work with what they know and can do; most times they are bound to obtain the knowledge </w:t>
      </w:r>
      <w:r w:rsidR="00E465E6" w:rsidRPr="00320C53">
        <w:rPr>
          <w:rFonts w:ascii="Palatino Linotype" w:hAnsi="Palatino Linotype"/>
          <w:lang w:val="en-CA"/>
        </w:rPr>
        <w:t xml:space="preserve">required </w:t>
      </w:r>
      <w:r w:rsidRPr="00320C53">
        <w:rPr>
          <w:rFonts w:ascii="Palatino Linotype" w:hAnsi="Palatino Linotype"/>
          <w:lang w:val="en-CA"/>
        </w:rPr>
        <w:t xml:space="preserve">and </w:t>
      </w:r>
      <w:r w:rsidR="00E465E6" w:rsidRPr="00320C53">
        <w:rPr>
          <w:rFonts w:ascii="Palatino Linotype" w:hAnsi="Palatino Linotype"/>
          <w:lang w:val="en-CA"/>
        </w:rPr>
        <w:t>to have or somehow acquire the know-</w:t>
      </w:r>
      <w:r w:rsidRPr="00320C53">
        <w:rPr>
          <w:rFonts w:ascii="Palatino Linotype" w:hAnsi="Palatino Linotype"/>
          <w:lang w:val="en-CA"/>
        </w:rPr>
        <w:t xml:space="preserve">how. </w:t>
      </w:r>
    </w:p>
    <w:p w14:paraId="0EE9C649" w14:textId="0C5B6C3F" w:rsidR="00DD1E81" w:rsidRPr="00320C53" w:rsidRDefault="00DD1E81" w:rsidP="000C2DAB">
      <w:pPr>
        <w:spacing w:line="480" w:lineRule="auto"/>
        <w:jc w:val="both"/>
        <w:rPr>
          <w:rFonts w:ascii="Palatino Linotype" w:hAnsi="Palatino Linotype"/>
        </w:rPr>
      </w:pPr>
      <w:r w:rsidRPr="00320C53">
        <w:rPr>
          <w:rFonts w:ascii="Palatino Linotype" w:hAnsi="Palatino Linotype"/>
        </w:rPr>
        <w:t>UUDLE 6. is Autonomy and Professional Capacity. This UUDLE is concerned with the ability to learn to learn. It is also the UUDLE occupied with integrity and social responsibility.  Here again the UUDLEs sorely but explicably understate the requirement for professional learning and practice. There is nothing to stop legal education from expanding the contents of this UUDLE in order to meet the requirements of a (professional) legal education.</w:t>
      </w:r>
    </w:p>
    <w:p w14:paraId="1284A6D7" w14:textId="00209416" w:rsidR="00DD1E81" w:rsidRPr="00320C53" w:rsidRDefault="00DD1E81" w:rsidP="000C2DAB">
      <w:pPr>
        <w:spacing w:line="480" w:lineRule="auto"/>
        <w:jc w:val="both"/>
        <w:rPr>
          <w:rFonts w:ascii="Palatino Linotype" w:hAnsi="Palatino Linotype"/>
        </w:rPr>
      </w:pPr>
      <w:r w:rsidRPr="00320C53">
        <w:rPr>
          <w:rFonts w:ascii="Palatino Linotype" w:hAnsi="Palatino Linotype"/>
        </w:rPr>
        <w:t xml:space="preserve">Clearly, the UUDLEs do not prescribe the fullest desirable statement for learning outcomes for law students. They miss at least four critical components for legal education. First, professional skills such as interviewing, negotiation, advocacy </w:t>
      </w:r>
      <w:r w:rsidRPr="00320C53">
        <w:rPr>
          <w:rFonts w:ascii="Palatino Linotype" w:hAnsi="Palatino Linotype"/>
          <w:i/>
        </w:rPr>
        <w:t>etc.</w:t>
      </w:r>
      <w:r w:rsidRPr="00320C53">
        <w:rPr>
          <w:rFonts w:ascii="Palatino Linotype" w:hAnsi="Palatino Linotype"/>
        </w:rPr>
        <w:t xml:space="preserve"> are not treated at all, though oral and written communication could be expanded to fill this need. These operational capabilities are at the heart of carrying out legal work. Secondly, professionalism is only averted </w:t>
      </w:r>
      <w:r w:rsidR="003E6532" w:rsidRPr="00320C53">
        <w:rPr>
          <w:rFonts w:ascii="Palatino Linotype" w:hAnsi="Palatino Linotype"/>
        </w:rPr>
        <w:t xml:space="preserve">to </w:t>
      </w:r>
      <w:r w:rsidRPr="00320C53">
        <w:rPr>
          <w:rFonts w:ascii="Palatino Linotype" w:hAnsi="Palatino Linotype"/>
        </w:rPr>
        <w:t>and is really a different subject from UUDLE 6.’s reference to “academic integrity and social responsibility”,  though professionalism partakes of these two elements. Thirdly, the UUDLEs do not seek to integrate the professional profile elements that</w:t>
      </w:r>
      <w:r w:rsidR="004D69F8" w:rsidRPr="00320C53">
        <w:rPr>
          <w:rFonts w:ascii="Palatino Linotype" w:hAnsi="Palatino Linotype"/>
        </w:rPr>
        <w:t>,</w:t>
      </w:r>
      <w:r w:rsidRPr="00320C53">
        <w:rPr>
          <w:rFonts w:ascii="Palatino Linotype" w:hAnsi="Palatino Linotype"/>
        </w:rPr>
        <w:t xml:space="preserve"> when combined</w:t>
      </w:r>
      <w:r w:rsidR="00396BEA" w:rsidRPr="00320C53">
        <w:rPr>
          <w:rFonts w:ascii="Palatino Linotype" w:hAnsi="Palatino Linotype"/>
        </w:rPr>
        <w:t>,</w:t>
      </w:r>
      <w:r w:rsidRPr="00320C53">
        <w:rPr>
          <w:rFonts w:ascii="Palatino Linotype" w:hAnsi="Palatino Linotype"/>
        </w:rPr>
        <w:t xml:space="preserve"> make up the discipline of lawyering that both Carnegie and Stuckey </w:t>
      </w:r>
      <w:r w:rsidR="00CB7A91" w:rsidRPr="00320C53">
        <w:rPr>
          <w:rFonts w:ascii="Palatino Linotype" w:hAnsi="Palatino Linotype"/>
        </w:rPr>
        <w:t>illuminate</w:t>
      </w:r>
      <w:r w:rsidRPr="00320C53">
        <w:rPr>
          <w:rFonts w:ascii="Palatino Linotype" w:hAnsi="Palatino Linotype"/>
        </w:rPr>
        <w:t xml:space="preserve">. Professional legal practice is complex and artfully coordinates, orchestrates and integrates the full range of learnings from the variety of outcomes described.  Fourthly, the understanding of the role </w:t>
      </w:r>
      <w:r w:rsidR="003E6532" w:rsidRPr="00320C53">
        <w:rPr>
          <w:rFonts w:ascii="Palatino Linotype" w:hAnsi="Palatino Linotype"/>
        </w:rPr>
        <w:t xml:space="preserve">that </w:t>
      </w:r>
      <w:r w:rsidRPr="00320C53">
        <w:rPr>
          <w:rFonts w:ascii="Palatino Linotype" w:hAnsi="Palatino Linotype"/>
        </w:rPr>
        <w:t xml:space="preserve">context and </w:t>
      </w:r>
      <w:r w:rsidRPr="00320C53">
        <w:rPr>
          <w:rFonts w:ascii="Palatino Linotype" w:hAnsi="Palatino Linotype"/>
        </w:rPr>
        <w:lastRenderedPageBreak/>
        <w:t>circumstances play in finding approaches to meeting clients’ needs is not treated at all in the UUDLEs: the UUDLEs are not organized so as to nuance and texture learning according to context (personal, social, economic, political e</w:t>
      </w:r>
      <w:r w:rsidRPr="00320C53">
        <w:rPr>
          <w:rFonts w:ascii="Palatino Linotype" w:hAnsi="Palatino Linotype"/>
          <w:i/>
        </w:rPr>
        <w:t>tc</w:t>
      </w:r>
      <w:r w:rsidRPr="00320C53">
        <w:rPr>
          <w:rFonts w:ascii="Palatino Linotype" w:hAnsi="Palatino Linotype"/>
        </w:rPr>
        <w:t>.), a major contributor to the implicit perplexity and indeterminacy of legal problem solving on behalf of clients. The Ontario Universities Council on Quality Assurance that oversees the UUDLEs scheme would expect a law school to supplement the UUDLEs with degree level expectations for law graduates of this kind.</w:t>
      </w:r>
    </w:p>
    <w:p w14:paraId="71BAE8EF" w14:textId="78ACBD58" w:rsidR="00DD1E81" w:rsidRPr="00320C53" w:rsidRDefault="00DD1E81" w:rsidP="000C2DAB">
      <w:pPr>
        <w:spacing w:line="480" w:lineRule="auto"/>
        <w:jc w:val="both"/>
        <w:rPr>
          <w:rFonts w:ascii="Palatino Linotype" w:hAnsi="Palatino Linotype"/>
        </w:rPr>
      </w:pPr>
      <w:r w:rsidRPr="00320C53">
        <w:rPr>
          <w:rFonts w:ascii="Palatino Linotype" w:hAnsi="Palatino Linotype"/>
        </w:rPr>
        <w:t>I have develop</w:t>
      </w:r>
      <w:r w:rsidR="00E465E6" w:rsidRPr="00320C53">
        <w:rPr>
          <w:rFonts w:ascii="Palatino Linotype" w:hAnsi="Palatino Linotype"/>
        </w:rPr>
        <w:t>ed</w:t>
      </w:r>
      <w:r w:rsidRPr="00320C53">
        <w:rPr>
          <w:rFonts w:ascii="Palatino Linotype" w:hAnsi="Palatino Linotype"/>
        </w:rPr>
        <w:t xml:space="preserve"> a concordance of the </w:t>
      </w:r>
      <w:r w:rsidR="00E465E6" w:rsidRPr="00320C53">
        <w:rPr>
          <w:rFonts w:ascii="Palatino Linotype" w:hAnsi="Palatino Linotype"/>
        </w:rPr>
        <w:t xml:space="preserve">outcomes statements contained in the </w:t>
      </w:r>
      <w:r w:rsidRPr="00320C53">
        <w:rPr>
          <w:rFonts w:ascii="Palatino Linotype" w:hAnsi="Palatino Linotype"/>
        </w:rPr>
        <w:t xml:space="preserve">UUDLEs, Carnegie and Stuckey at </w:t>
      </w:r>
      <w:r w:rsidR="00202F15" w:rsidRPr="00320C53">
        <w:rPr>
          <w:rFonts w:ascii="Palatino Linotype" w:hAnsi="Palatino Linotype"/>
        </w:rPr>
        <w:t>“S</w:t>
      </w:r>
      <w:r w:rsidRPr="00320C53">
        <w:rPr>
          <w:rFonts w:ascii="Palatino Linotype" w:hAnsi="Palatino Linotype"/>
        </w:rPr>
        <w:t xml:space="preserve">chedule </w:t>
      </w:r>
      <w:r w:rsidR="00246BEB" w:rsidRPr="00320C53">
        <w:rPr>
          <w:rFonts w:ascii="Palatino Linotype" w:hAnsi="Palatino Linotype"/>
        </w:rPr>
        <w:t>1</w:t>
      </w:r>
      <w:r w:rsidR="000469A0" w:rsidRPr="00320C53">
        <w:rPr>
          <w:rFonts w:ascii="Palatino Linotype" w:hAnsi="Palatino Linotype"/>
        </w:rPr>
        <w:t>”</w:t>
      </w:r>
      <w:r w:rsidR="00E465E6" w:rsidRPr="00320C53">
        <w:rPr>
          <w:rFonts w:ascii="Palatino Linotype" w:hAnsi="Palatino Linotype"/>
        </w:rPr>
        <w:t xml:space="preserve"> that shows the equivalence or comparison of the components of one system to the components of another</w:t>
      </w:r>
      <w:r w:rsidRPr="00320C53">
        <w:rPr>
          <w:rFonts w:ascii="Palatino Linotype" w:hAnsi="Palatino Linotype"/>
        </w:rPr>
        <w:t xml:space="preserve">.   Given the gaps in the UUDLEs </w:t>
      </w:r>
      <w:r w:rsidR="00246BEB" w:rsidRPr="00320C53">
        <w:rPr>
          <w:rFonts w:ascii="Palatino Linotype" w:hAnsi="Palatino Linotype"/>
        </w:rPr>
        <w:t xml:space="preserve">relating to the aims of a legal education, </w:t>
      </w:r>
      <w:r w:rsidRPr="00320C53">
        <w:rPr>
          <w:rFonts w:ascii="Palatino Linotype" w:hAnsi="Palatino Linotype"/>
        </w:rPr>
        <w:t xml:space="preserve">the components of both Carnegie and Stuckey </w:t>
      </w:r>
      <w:r w:rsidR="000469A0" w:rsidRPr="00320C53">
        <w:rPr>
          <w:rFonts w:ascii="Palatino Linotype" w:hAnsi="Palatino Linotype"/>
        </w:rPr>
        <w:t xml:space="preserve">do </w:t>
      </w:r>
      <w:r w:rsidR="00246BEB" w:rsidRPr="00320C53">
        <w:rPr>
          <w:rFonts w:ascii="Palatino Linotype" w:hAnsi="Palatino Linotype"/>
        </w:rPr>
        <w:t>not line up perfectly</w:t>
      </w:r>
      <w:r w:rsidRPr="00320C53">
        <w:rPr>
          <w:rFonts w:ascii="Palatino Linotype" w:hAnsi="Palatino Linotype"/>
        </w:rPr>
        <w:t xml:space="preserve"> with the UUDLEs’ levels. However their placement suggests where the UUDLEs might be supplemented for law study</w:t>
      </w:r>
      <w:r w:rsidR="00246BEB" w:rsidRPr="00320C53">
        <w:rPr>
          <w:rFonts w:ascii="Palatino Linotype" w:hAnsi="Palatino Linotype"/>
        </w:rPr>
        <w:t>, were a law school seeking to comply with the Ontario degree level expectations</w:t>
      </w:r>
      <w:r w:rsidRPr="00320C53">
        <w:rPr>
          <w:rFonts w:ascii="Palatino Linotype" w:hAnsi="Palatino Linotype"/>
        </w:rPr>
        <w:t>.</w:t>
      </w:r>
    </w:p>
    <w:p w14:paraId="01B42CAE" w14:textId="703DD6BB" w:rsidR="008E2898" w:rsidRPr="00320C53" w:rsidRDefault="00DD1E81" w:rsidP="000C2DAB">
      <w:pPr>
        <w:spacing w:line="480" w:lineRule="auto"/>
        <w:jc w:val="both"/>
        <w:rPr>
          <w:rFonts w:ascii="Palatino Linotype" w:hAnsi="Palatino Linotype"/>
        </w:rPr>
      </w:pPr>
      <w:r w:rsidRPr="00320C53">
        <w:rPr>
          <w:rFonts w:ascii="Palatino Linotype" w:hAnsi="Palatino Linotype"/>
        </w:rPr>
        <w:t>One of the reasons we specify learning outcomes is so we can devise learning activities and assessment techniques that will help us support the achievement of the outcomes on the on</w:t>
      </w:r>
      <w:r w:rsidR="00ED6D51" w:rsidRPr="00320C53">
        <w:rPr>
          <w:rFonts w:ascii="Palatino Linotype" w:hAnsi="Palatino Linotype"/>
        </w:rPr>
        <w:t>e</w:t>
      </w:r>
      <w:r w:rsidRPr="00320C53">
        <w:rPr>
          <w:rFonts w:ascii="Palatino Linotype" w:hAnsi="Palatino Linotype"/>
        </w:rPr>
        <w:t xml:space="preserve"> hand and tell us to what extent they have been achieved on the other. Can clinical legal education support the achievement of the UUDLEs and of the Carnegie and Stuckey outcomes?</w:t>
      </w:r>
    </w:p>
    <w:p w14:paraId="637E1192" w14:textId="77777777" w:rsidR="008E094A" w:rsidRPr="00320C53" w:rsidRDefault="008E094A" w:rsidP="000C2DAB">
      <w:pPr>
        <w:spacing w:line="480" w:lineRule="auto"/>
        <w:jc w:val="both"/>
        <w:rPr>
          <w:rFonts w:ascii="Palatino Linotype" w:hAnsi="Palatino Linotype"/>
          <w:b/>
        </w:rPr>
      </w:pPr>
    </w:p>
    <w:p w14:paraId="1C2BAFB2" w14:textId="631F1E93" w:rsidR="008E094A" w:rsidRPr="00E662FA" w:rsidRDefault="00E662FA" w:rsidP="00E662FA">
      <w:pPr>
        <w:pStyle w:val="ListParagraph"/>
        <w:numPr>
          <w:ilvl w:val="0"/>
          <w:numId w:val="38"/>
        </w:numPr>
        <w:spacing w:line="480" w:lineRule="auto"/>
        <w:jc w:val="both"/>
        <w:rPr>
          <w:rFonts w:ascii="Palatino Linotype" w:hAnsi="Palatino Linotype"/>
        </w:rPr>
      </w:pPr>
      <w:r w:rsidRPr="00E662FA">
        <w:rPr>
          <w:rFonts w:ascii="Palatino Linotype" w:hAnsi="Palatino Linotype"/>
        </w:rPr>
        <w:lastRenderedPageBreak/>
        <w:t>WHAT IS CLINICAL LEGAL EDUCATION?</w:t>
      </w:r>
    </w:p>
    <w:p w14:paraId="4F24821F" w14:textId="77777777" w:rsidR="00E662FA" w:rsidRDefault="00E662FA" w:rsidP="000C2DAB">
      <w:pPr>
        <w:spacing w:line="480" w:lineRule="auto"/>
        <w:jc w:val="both"/>
        <w:rPr>
          <w:rFonts w:ascii="Palatino Linotype" w:hAnsi="Palatino Linotype"/>
        </w:rPr>
      </w:pPr>
    </w:p>
    <w:p w14:paraId="36363F98" w14:textId="77777777" w:rsidR="003E6532" w:rsidRPr="00320C53" w:rsidRDefault="00DD1E81" w:rsidP="000C2DAB">
      <w:pPr>
        <w:spacing w:line="480" w:lineRule="auto"/>
        <w:jc w:val="both"/>
        <w:rPr>
          <w:rFonts w:ascii="Palatino Linotype" w:hAnsi="Palatino Linotype"/>
        </w:rPr>
      </w:pPr>
      <w:r w:rsidRPr="00320C53">
        <w:rPr>
          <w:rFonts w:ascii="Palatino Linotype" w:hAnsi="Palatino Linotype"/>
        </w:rPr>
        <w:t>Clinical legal education is frequently described as a methodology for learning and teaching. It is usually defined as a method</w:t>
      </w:r>
      <w:r w:rsidRPr="00320C53">
        <w:rPr>
          <w:rStyle w:val="FootnoteReference"/>
          <w:rFonts w:ascii="Palatino Linotype" w:hAnsi="Palatino Linotype"/>
        </w:rPr>
        <w:footnoteReference w:id="35"/>
      </w:r>
      <w:r w:rsidRPr="00320C53">
        <w:rPr>
          <w:rFonts w:ascii="Palatino Linotype" w:hAnsi="Palatino Linotype"/>
        </w:rPr>
        <w:t xml:space="preserve"> that entails a student undertaking a recognizable and active role within the legal system, under supervision, usually as a lawyer, though other roles such as decider or investigator or law reformer would also be appropriate.  </w:t>
      </w:r>
    </w:p>
    <w:p w14:paraId="6405D24F" w14:textId="5A3267E2" w:rsidR="00DD1E81" w:rsidRPr="00320C53" w:rsidRDefault="00DD1E81" w:rsidP="000C2DAB">
      <w:pPr>
        <w:spacing w:line="480" w:lineRule="auto"/>
        <w:jc w:val="both"/>
        <w:rPr>
          <w:rFonts w:ascii="Palatino Linotype" w:hAnsi="Palatino Linotype"/>
          <w:b/>
        </w:rPr>
      </w:pPr>
      <w:r w:rsidRPr="00320C53">
        <w:rPr>
          <w:rFonts w:ascii="Palatino Linotype" w:hAnsi="Palatino Linotype"/>
        </w:rPr>
        <w:t>Classically, and some might say necessarily, this involves live client representation or its equivalent in other legal roles.</w:t>
      </w:r>
      <w:r w:rsidRPr="00320C53">
        <w:rPr>
          <w:rStyle w:val="FootnoteReference"/>
          <w:rFonts w:ascii="Palatino Linotype" w:hAnsi="Palatino Linotype"/>
        </w:rPr>
        <w:footnoteReference w:id="36"/>
      </w:r>
      <w:r w:rsidRPr="00320C53">
        <w:rPr>
          <w:rFonts w:ascii="Palatino Linotype" w:hAnsi="Palatino Linotype"/>
        </w:rPr>
        <w:t xml:space="preserve">  The supervisor, as guide and role model, should seek to be: thoughtful; insightful; measured-to-person, need and context; learned; holistic; and above all, constructively helpful.  The importance of the role of the clinic supervisor in explicating and supporting student learning cannot be understated.</w:t>
      </w:r>
      <w:r w:rsidR="00306AA9" w:rsidRPr="00320C53">
        <w:rPr>
          <w:rStyle w:val="FootnoteReference"/>
          <w:rFonts w:ascii="Palatino Linotype" w:hAnsi="Palatino Linotype"/>
        </w:rPr>
        <w:footnoteReference w:id="37"/>
      </w:r>
      <w:r w:rsidRPr="00320C53">
        <w:rPr>
          <w:rFonts w:ascii="Palatino Linotype" w:hAnsi="Palatino Linotype"/>
        </w:rPr>
        <w:t xml:space="preserve"> This interpretive and reflective modeling and methodology can contribute to </w:t>
      </w:r>
      <w:r w:rsidR="008E2898" w:rsidRPr="00320C53">
        <w:rPr>
          <w:rFonts w:ascii="Palatino Linotype" w:hAnsi="Palatino Linotype"/>
        </w:rPr>
        <w:t xml:space="preserve">students’ </w:t>
      </w:r>
      <w:r w:rsidRPr="00320C53">
        <w:rPr>
          <w:rFonts w:ascii="Palatino Linotype" w:hAnsi="Palatino Linotype"/>
        </w:rPr>
        <w:t xml:space="preserve">lifelong habits of learning and problem solving. In engaging the whole student, her thoughts, feelings, </w:t>
      </w:r>
      <w:r w:rsidRPr="00320C53">
        <w:rPr>
          <w:rFonts w:ascii="Palatino Linotype" w:hAnsi="Palatino Linotype"/>
        </w:rPr>
        <w:lastRenderedPageBreak/>
        <w:t>hopes and fears, the supervisor simultaneously engages the already stimulated affect and intellect of the student in her quest to deliver signal service. In this model, the student’s experiences as primary actor and her thinking and feeling about them before action, in action and upon reflection</w:t>
      </w:r>
      <w:r w:rsidRPr="00320C53">
        <w:rPr>
          <w:rStyle w:val="FootnoteReference"/>
          <w:rFonts w:ascii="Palatino Linotype" w:hAnsi="Palatino Linotype"/>
        </w:rPr>
        <w:footnoteReference w:id="38"/>
      </w:r>
      <w:r w:rsidRPr="00320C53">
        <w:rPr>
          <w:rFonts w:ascii="Palatino Linotype" w:hAnsi="Palatino Linotype"/>
        </w:rPr>
        <w:t xml:space="preserve"> are the focal point for guided debriefings and interpretations by the supervisor and often by the student herself once she has been trained to reflect in and on action.</w:t>
      </w:r>
    </w:p>
    <w:p w14:paraId="025D7EC9" w14:textId="77777777" w:rsidR="00DD1E81" w:rsidRPr="00320C53" w:rsidRDefault="00DD1E81" w:rsidP="000C2DAB">
      <w:pPr>
        <w:spacing w:line="480" w:lineRule="auto"/>
        <w:jc w:val="both"/>
        <w:rPr>
          <w:rFonts w:ascii="Palatino Linotype" w:hAnsi="Palatino Linotype"/>
        </w:rPr>
      </w:pPr>
    </w:p>
    <w:p w14:paraId="66C6F638" w14:textId="6DC53538" w:rsidR="00DD1E81" w:rsidRPr="00320C53" w:rsidRDefault="00DD1E81" w:rsidP="000C2DAB">
      <w:pPr>
        <w:spacing w:line="480" w:lineRule="auto"/>
        <w:ind w:left="720"/>
        <w:jc w:val="both"/>
        <w:rPr>
          <w:rFonts w:ascii="Palatino Linotype" w:hAnsi="Palatino Linotype"/>
        </w:rPr>
      </w:pPr>
      <w:r w:rsidRPr="00320C53">
        <w:rPr>
          <w:rFonts w:ascii="Palatino Linotype" w:hAnsi="Palatino Linotype"/>
        </w:rPr>
        <w:t>The teacher's role will require her to intervene at strategic moments where learning may be maximized. The special relationship of student and teacher will differ markedly from the traditional one.</w:t>
      </w:r>
      <w:r w:rsidR="00D33571">
        <w:rPr>
          <w:rFonts w:ascii="Palatino Linotype" w:hAnsi="Palatino Linotype"/>
        </w:rPr>
        <w:t xml:space="preserve"> …</w:t>
      </w:r>
      <w:r w:rsidRPr="00320C53">
        <w:rPr>
          <w:rFonts w:ascii="Palatino Linotype" w:hAnsi="Palatino Linotype"/>
        </w:rPr>
        <w:t xml:space="preserve"> The teacher should be a sensitive and caring individual who is able to empathize with the students' feelings… Also I think it should be noted that clinical work is not </w:t>
      </w:r>
      <w:r w:rsidRPr="00320C53">
        <w:rPr>
          <w:rFonts w:ascii="Palatino Linotype" w:hAnsi="Palatino Linotype"/>
          <w:i/>
        </w:rPr>
        <w:t>ad hoc</w:t>
      </w:r>
      <w:r w:rsidRPr="00320C53">
        <w:rPr>
          <w:rFonts w:ascii="Palatino Linotype" w:hAnsi="Palatino Linotype"/>
        </w:rPr>
        <w:t>. It depends upon a structured program of seminars and workshops, as well as upon didactic sessions. The clinic class must be given opportunity to organize and structure their experiences and to discuss them in a meaningful way.</w:t>
      </w:r>
      <w:r w:rsidRPr="00320C53">
        <w:rPr>
          <w:rStyle w:val="FootnoteReference"/>
          <w:rFonts w:ascii="Palatino Linotype" w:hAnsi="Palatino Linotype"/>
        </w:rPr>
        <w:footnoteReference w:id="39"/>
      </w:r>
    </w:p>
    <w:p w14:paraId="704D4C6D" w14:textId="77777777" w:rsidR="00DD1E81" w:rsidRPr="00320C53" w:rsidRDefault="00DD1E81" w:rsidP="000C2DAB">
      <w:pPr>
        <w:spacing w:line="480" w:lineRule="auto"/>
        <w:jc w:val="both"/>
        <w:rPr>
          <w:rFonts w:ascii="Palatino Linotype" w:hAnsi="Palatino Linotype"/>
        </w:rPr>
      </w:pPr>
    </w:p>
    <w:p w14:paraId="12E9E184" w14:textId="77136699" w:rsidR="00DD1E81" w:rsidRPr="00320C53" w:rsidRDefault="00DD1E81" w:rsidP="000C2DAB">
      <w:pPr>
        <w:spacing w:line="480" w:lineRule="auto"/>
        <w:jc w:val="both"/>
        <w:rPr>
          <w:rFonts w:ascii="Palatino Linotype" w:hAnsi="Palatino Linotype"/>
        </w:rPr>
      </w:pPr>
      <w:r w:rsidRPr="00320C53">
        <w:rPr>
          <w:rFonts w:ascii="Palatino Linotype" w:hAnsi="Palatino Linotype"/>
        </w:rPr>
        <w:lastRenderedPageBreak/>
        <w:t>Richard Grimes takes the following view of what clinic means as methodology:</w:t>
      </w:r>
      <w:r w:rsidRPr="00320C53">
        <w:rPr>
          <w:rFonts w:ascii="Palatino Linotype" w:hAnsi="Palatino Linotype" w:cs="Geneva"/>
          <w:color w:val="000000"/>
        </w:rPr>
        <w:t xml:space="preserve"> </w:t>
      </w:r>
      <w:r w:rsidRPr="00320C53">
        <w:rPr>
          <w:rFonts w:ascii="Palatino Linotype" w:hAnsi="Palatino Linotype"/>
        </w:rPr>
        <w:t>“a learning environment where students identify, research and apply knowledge in a setting which replicates, at least in part, th</w:t>
      </w:r>
      <w:r w:rsidR="00D33571">
        <w:rPr>
          <w:rFonts w:ascii="Palatino Linotype" w:hAnsi="Palatino Linotype"/>
        </w:rPr>
        <w:t xml:space="preserve">e world where it is </w:t>
      </w:r>
      <w:proofErr w:type="spellStart"/>
      <w:r w:rsidR="00D33571">
        <w:rPr>
          <w:rFonts w:ascii="Palatino Linotype" w:hAnsi="Palatino Linotype"/>
        </w:rPr>
        <w:t>practised</w:t>
      </w:r>
      <w:proofErr w:type="spellEnd"/>
      <w:r w:rsidR="00D33571">
        <w:rPr>
          <w:rFonts w:ascii="Palatino Linotype" w:hAnsi="Palatino Linotype"/>
        </w:rPr>
        <w:t>. ..</w:t>
      </w:r>
      <w:r w:rsidRPr="00320C53">
        <w:rPr>
          <w:rFonts w:ascii="Palatino Linotype" w:hAnsi="Palatino Linotype"/>
        </w:rPr>
        <w:t>. It almost inevitably means that the student takes on some aspect of a case and conducts this as it would ... be conducted in the real world.”</w:t>
      </w:r>
      <w:r w:rsidRPr="00320C53">
        <w:rPr>
          <w:rStyle w:val="FootnoteReference"/>
          <w:rFonts w:ascii="Palatino Linotype" w:hAnsi="Palatino Linotype"/>
        </w:rPr>
        <w:footnoteReference w:id="40"/>
      </w:r>
      <w:r w:rsidRPr="00320C53">
        <w:rPr>
          <w:rFonts w:ascii="Palatino Linotype" w:hAnsi="Palatino Linotype"/>
        </w:rPr>
        <w:t xml:space="preserve"> This would seem to allow for simulation and other methodologies to be included within the working definition of clinic as a methodology of learning and teaching. </w:t>
      </w:r>
    </w:p>
    <w:p w14:paraId="34EDE160" w14:textId="685802A0" w:rsidR="00DD1E81" w:rsidRPr="00320C53" w:rsidRDefault="00DD1E81" w:rsidP="000C2DAB">
      <w:pPr>
        <w:spacing w:line="480" w:lineRule="auto"/>
        <w:jc w:val="both"/>
        <w:rPr>
          <w:rFonts w:ascii="Palatino Linotype" w:hAnsi="Palatino Linotype"/>
        </w:rPr>
      </w:pPr>
      <w:r w:rsidRPr="00320C53">
        <w:rPr>
          <w:rFonts w:ascii="Palatino Linotype" w:hAnsi="Palatino Linotype"/>
        </w:rPr>
        <w:t>Frank Bloch adopted “live client under supervision” as his definition for the purposes of his article on andragogy and clinical legal education.</w:t>
      </w:r>
      <w:r w:rsidRPr="00320C53">
        <w:rPr>
          <w:rStyle w:val="FootnoteReference"/>
          <w:rFonts w:ascii="Palatino Linotype" w:hAnsi="Palatino Linotype"/>
        </w:rPr>
        <w:footnoteReference w:id="41"/>
      </w:r>
      <w:r w:rsidRPr="00320C53">
        <w:rPr>
          <w:rFonts w:ascii="Palatino Linotype" w:hAnsi="Palatino Linotype"/>
        </w:rPr>
        <w:t xml:space="preserve"> However, on a careful reading of the footnote supporting his adoption of the definition he notes the preference and desirability among some experienced clinicians for the live client under supervision approach: </w:t>
      </w:r>
      <w:proofErr w:type="spellStart"/>
      <w:r w:rsidRPr="00320C53">
        <w:rPr>
          <w:rFonts w:ascii="Palatino Linotype" w:hAnsi="Palatino Linotype"/>
        </w:rPr>
        <w:t>Meltsner</w:t>
      </w:r>
      <w:proofErr w:type="spellEnd"/>
      <w:r w:rsidRPr="00320C53">
        <w:rPr>
          <w:rFonts w:ascii="Palatino Linotype" w:hAnsi="Palatino Linotype"/>
        </w:rPr>
        <w:t xml:space="preserve"> and </w:t>
      </w:r>
      <w:proofErr w:type="spellStart"/>
      <w:r w:rsidRPr="00320C53">
        <w:rPr>
          <w:rFonts w:ascii="Palatino Linotype" w:hAnsi="Palatino Linotype"/>
        </w:rPr>
        <w:t>Schrag</w:t>
      </w:r>
      <w:proofErr w:type="spellEnd"/>
      <w:r w:rsidRPr="00320C53">
        <w:rPr>
          <w:rFonts w:ascii="Palatino Linotype" w:hAnsi="Palatino Linotype"/>
        </w:rPr>
        <w:t xml:space="preserve"> say that simulation </w:t>
      </w:r>
      <w:r w:rsidRPr="00320C53">
        <w:rPr>
          <w:rFonts w:ascii="Palatino Linotype" w:hAnsi="Palatino Linotype"/>
          <w:b/>
        </w:rPr>
        <w:t>alone</w:t>
      </w:r>
      <w:r w:rsidRPr="00320C53">
        <w:rPr>
          <w:rFonts w:ascii="Palatino Linotype" w:hAnsi="Palatino Linotype"/>
        </w:rPr>
        <w:t xml:space="preserve"> is not satisfactory.  However, even they might agree that a varied clinical model employing several </w:t>
      </w:r>
      <w:r w:rsidR="007603AE" w:rsidRPr="00320C53">
        <w:rPr>
          <w:rFonts w:ascii="Palatino Linotype" w:hAnsi="Palatino Linotype"/>
        </w:rPr>
        <w:t xml:space="preserve">clinical </w:t>
      </w:r>
      <w:r w:rsidRPr="00320C53">
        <w:rPr>
          <w:rFonts w:ascii="Palatino Linotype" w:hAnsi="Palatino Linotype"/>
        </w:rPr>
        <w:t xml:space="preserve">instructional strategies might be satisfactory. Also, Bloch rules out unsupervised </w:t>
      </w:r>
      <w:r w:rsidRPr="00320C53">
        <w:rPr>
          <w:rFonts w:ascii="Palatino Linotype" w:hAnsi="Palatino Linotype"/>
        </w:rPr>
        <w:lastRenderedPageBreak/>
        <w:t xml:space="preserve">experience. Clearly without supervision there is no instruction; and while there may be learning there is no “teaching”. </w:t>
      </w:r>
    </w:p>
    <w:p w14:paraId="4E95F1D7" w14:textId="53DAF326" w:rsidR="00DD1E81" w:rsidRPr="00320C53" w:rsidRDefault="00F16C63" w:rsidP="000C2DAB">
      <w:pPr>
        <w:spacing w:line="480" w:lineRule="auto"/>
        <w:jc w:val="both"/>
        <w:rPr>
          <w:rFonts w:ascii="Palatino Linotype" w:hAnsi="Palatino Linotype"/>
        </w:rPr>
      </w:pPr>
      <w:r w:rsidRPr="00320C53">
        <w:rPr>
          <w:rFonts w:ascii="Palatino Linotype" w:hAnsi="Palatino Linotype"/>
        </w:rPr>
        <w:t>In the view I adopt</w:t>
      </w:r>
      <w:r w:rsidR="00DD1E81" w:rsidRPr="00320C53">
        <w:rPr>
          <w:rFonts w:ascii="Palatino Linotype" w:hAnsi="Palatino Linotype"/>
        </w:rPr>
        <w:t xml:space="preserve"> the clinical method requires students to work </w:t>
      </w:r>
      <w:r w:rsidR="00DD1E81" w:rsidRPr="00320C53">
        <w:rPr>
          <w:rFonts w:ascii="Palatino Linotype" w:hAnsi="Palatino Linotype"/>
          <w:b/>
        </w:rPr>
        <w:t>as if</w:t>
      </w:r>
      <w:r w:rsidR="00DD1E81" w:rsidRPr="00320C53">
        <w:rPr>
          <w:rFonts w:ascii="Palatino Linotype" w:hAnsi="Palatino Linotype"/>
        </w:rPr>
        <w:t xml:space="preserve"> representing a client or undertaking some other legal role</w:t>
      </w:r>
      <w:r w:rsidR="009B51A3" w:rsidRPr="00320C53">
        <w:rPr>
          <w:rFonts w:ascii="Palatino Linotype" w:hAnsi="Palatino Linotype"/>
        </w:rPr>
        <w:t xml:space="preserve"> very broadly defined</w:t>
      </w:r>
      <w:r w:rsidR="00DD1E81" w:rsidRPr="00320C53">
        <w:rPr>
          <w:rFonts w:ascii="Palatino Linotype" w:hAnsi="Palatino Linotype"/>
        </w:rPr>
        <w:t>, at minimum</w:t>
      </w:r>
      <w:r w:rsidR="003B07D1" w:rsidRPr="00320C53">
        <w:rPr>
          <w:rFonts w:ascii="Palatino Linotype" w:hAnsi="Palatino Linotype"/>
        </w:rPr>
        <w:t xml:space="preserve">, and not </w:t>
      </w:r>
      <w:r w:rsidR="009F6B08" w:rsidRPr="00320C53">
        <w:rPr>
          <w:rFonts w:ascii="Palatino Linotype" w:hAnsi="Palatino Linotype"/>
        </w:rPr>
        <w:t>necessarily</w:t>
      </w:r>
      <w:r w:rsidR="003B07D1" w:rsidRPr="00320C53">
        <w:rPr>
          <w:rFonts w:ascii="Palatino Linotype" w:hAnsi="Palatino Linotype"/>
        </w:rPr>
        <w:t>, though whenever feasible, in conjunction with or in live-client work</w:t>
      </w:r>
      <w:r w:rsidR="00DD1E81" w:rsidRPr="00320C53">
        <w:rPr>
          <w:rFonts w:ascii="Palatino Linotype" w:hAnsi="Palatino Linotype"/>
        </w:rPr>
        <w:t xml:space="preserve">. </w:t>
      </w:r>
      <w:r w:rsidR="009B51A3" w:rsidRPr="00320C53">
        <w:rPr>
          <w:rFonts w:ascii="Palatino Linotype" w:hAnsi="Palatino Linotype"/>
        </w:rPr>
        <w:t>I also accept Bloch’s statement,</w:t>
      </w:r>
      <w:r w:rsidR="00DD1E81" w:rsidRPr="00320C53">
        <w:rPr>
          <w:rFonts w:ascii="Palatino Linotype" w:hAnsi="Palatino Linotype"/>
        </w:rPr>
        <w:t xml:space="preserve"> and Stuckey’s as </w:t>
      </w:r>
      <w:r w:rsidR="009B51A3" w:rsidRPr="00320C53">
        <w:rPr>
          <w:rFonts w:ascii="Palatino Linotype" w:hAnsi="Palatino Linotype"/>
        </w:rPr>
        <w:t>well</w:t>
      </w:r>
      <w:r w:rsidR="001621B2" w:rsidRPr="00320C53">
        <w:rPr>
          <w:rFonts w:ascii="Palatino Linotype" w:hAnsi="Palatino Linotype"/>
        </w:rPr>
        <w:t>,</w:t>
      </w:r>
      <w:r w:rsidR="009B51A3" w:rsidRPr="00320C53">
        <w:rPr>
          <w:rFonts w:ascii="Palatino Linotype" w:hAnsi="Palatino Linotype"/>
        </w:rPr>
        <w:t xml:space="preserve"> </w:t>
      </w:r>
      <w:r w:rsidR="00DD1E81" w:rsidRPr="00320C53">
        <w:rPr>
          <w:rFonts w:ascii="Palatino Linotype" w:hAnsi="Palatino Linotype"/>
        </w:rPr>
        <w:t xml:space="preserve">that it is not only preferable but also ultimately necessary that students engage actively in live client under supervision activities. Therefore a phased </w:t>
      </w:r>
      <w:r w:rsidR="001621B2" w:rsidRPr="00320C53">
        <w:rPr>
          <w:rFonts w:ascii="Palatino Linotype" w:hAnsi="Palatino Linotype"/>
        </w:rPr>
        <w:t xml:space="preserve">and varied </w:t>
      </w:r>
      <w:r w:rsidR="00DD1E81" w:rsidRPr="00320C53">
        <w:rPr>
          <w:rFonts w:ascii="Palatino Linotype" w:hAnsi="Palatino Linotype"/>
        </w:rPr>
        <w:t>approach</w:t>
      </w:r>
      <w:r w:rsidR="001621B2" w:rsidRPr="00320C53">
        <w:rPr>
          <w:rFonts w:ascii="Palatino Linotype" w:hAnsi="Palatino Linotype"/>
        </w:rPr>
        <w:t xml:space="preserve"> including</w:t>
      </w:r>
      <w:r w:rsidR="00DD1E81" w:rsidRPr="00320C53">
        <w:rPr>
          <w:rFonts w:ascii="Palatino Linotype" w:hAnsi="Palatino Linotype"/>
        </w:rPr>
        <w:t xml:space="preserve"> observation, </w:t>
      </w:r>
      <w:r w:rsidR="001621B2" w:rsidRPr="00320C53">
        <w:rPr>
          <w:rFonts w:ascii="Palatino Linotype" w:hAnsi="Palatino Linotype"/>
        </w:rPr>
        <w:t xml:space="preserve">role-playing, </w:t>
      </w:r>
      <w:r w:rsidR="00DD1E81" w:rsidRPr="00320C53">
        <w:rPr>
          <w:rFonts w:ascii="Palatino Linotype" w:hAnsi="Palatino Linotype"/>
        </w:rPr>
        <w:t>problem-based learning, simulation</w:t>
      </w:r>
      <w:r w:rsidR="001621B2" w:rsidRPr="00320C53">
        <w:rPr>
          <w:rFonts w:ascii="Palatino Linotype" w:hAnsi="Palatino Linotype"/>
        </w:rPr>
        <w:t>,</w:t>
      </w:r>
      <w:r w:rsidR="00DD1E81" w:rsidRPr="00320C53">
        <w:rPr>
          <w:rFonts w:ascii="Palatino Linotype" w:hAnsi="Palatino Linotype"/>
        </w:rPr>
        <w:t xml:space="preserve"> </w:t>
      </w:r>
      <w:r w:rsidR="001621B2" w:rsidRPr="00320C53">
        <w:rPr>
          <w:rFonts w:ascii="Palatino Linotype" w:hAnsi="Palatino Linotype"/>
        </w:rPr>
        <w:t>and practice in numerous contexts and roles</w:t>
      </w:r>
      <w:r w:rsidR="003E6532" w:rsidRPr="00320C53">
        <w:rPr>
          <w:rFonts w:ascii="Palatino Linotype" w:hAnsi="Palatino Linotype"/>
        </w:rPr>
        <w:t xml:space="preserve"> is most useful</w:t>
      </w:r>
      <w:r w:rsidR="001621B2" w:rsidRPr="00320C53">
        <w:rPr>
          <w:rFonts w:ascii="Palatino Linotype" w:hAnsi="Palatino Linotype"/>
        </w:rPr>
        <w:t xml:space="preserve">. Simulation activities would </w:t>
      </w:r>
      <w:r w:rsidR="003E6532" w:rsidRPr="00320C53">
        <w:rPr>
          <w:rFonts w:ascii="Palatino Linotype" w:hAnsi="Palatino Linotype"/>
        </w:rPr>
        <w:t>be modeled</w:t>
      </w:r>
      <w:r w:rsidR="001621B2" w:rsidRPr="00320C53">
        <w:rPr>
          <w:rFonts w:ascii="Palatino Linotype" w:hAnsi="Palatino Linotype"/>
        </w:rPr>
        <w:t xml:space="preserve"> along the lines of common </w:t>
      </w:r>
      <w:r w:rsidR="00DD1E81" w:rsidRPr="00320C53">
        <w:rPr>
          <w:rFonts w:ascii="Palatino Linotype" w:hAnsi="Palatino Linotype"/>
        </w:rPr>
        <w:t xml:space="preserve">medical, nursing and dental education </w:t>
      </w:r>
      <w:r w:rsidR="001621B2" w:rsidRPr="00320C53">
        <w:rPr>
          <w:rFonts w:ascii="Palatino Linotype" w:hAnsi="Palatino Linotype"/>
        </w:rPr>
        <w:t xml:space="preserve">that </w:t>
      </w:r>
      <w:r w:rsidR="00DD1E81" w:rsidRPr="00320C53">
        <w:rPr>
          <w:rFonts w:ascii="Palatino Linotype" w:hAnsi="Palatino Linotype"/>
        </w:rPr>
        <w:t xml:space="preserve">makes good </w:t>
      </w:r>
      <w:r w:rsidR="001621B2" w:rsidRPr="00320C53">
        <w:rPr>
          <w:rFonts w:ascii="Palatino Linotype" w:hAnsi="Palatino Linotype"/>
        </w:rPr>
        <w:t xml:space="preserve">use of </w:t>
      </w:r>
      <w:r w:rsidR="009B51A3" w:rsidRPr="00320C53">
        <w:rPr>
          <w:rFonts w:ascii="Palatino Linotype" w:hAnsi="Palatino Linotype"/>
        </w:rPr>
        <w:t xml:space="preserve">simulated </w:t>
      </w:r>
      <w:r w:rsidR="00306AA9" w:rsidRPr="00320C53">
        <w:rPr>
          <w:rFonts w:ascii="Palatino Linotype" w:hAnsi="Palatino Linotype"/>
        </w:rPr>
        <w:t>or standardized clients</w:t>
      </w:r>
      <w:r w:rsidR="00DD1E81" w:rsidRPr="00320C53">
        <w:rPr>
          <w:rFonts w:ascii="Palatino Linotype" w:hAnsi="Palatino Linotype"/>
        </w:rPr>
        <w:t>.</w:t>
      </w:r>
      <w:r w:rsidR="002A17DE" w:rsidRPr="00320C53">
        <w:rPr>
          <w:rStyle w:val="FootnoteReference"/>
          <w:rFonts w:ascii="Palatino Linotype" w:hAnsi="Palatino Linotype"/>
        </w:rPr>
        <w:footnoteReference w:id="42"/>
      </w:r>
      <w:r w:rsidR="00DD1E81" w:rsidRPr="00320C53">
        <w:rPr>
          <w:rFonts w:ascii="Palatino Linotype" w:hAnsi="Palatino Linotype"/>
        </w:rPr>
        <w:t xml:space="preserve"> In these professions students may: encounter problems, actors and others trained and prepared to be patients; be provided with opportunities for observation; engage in structured and less structured case discussion (various forms of “rounds”); and progress through a progression from simpler to more complex tasks and on to full-time, onsite service and learning under supervision known as clerking</w:t>
      </w:r>
      <w:r w:rsidR="001621B2" w:rsidRPr="00320C53">
        <w:rPr>
          <w:rFonts w:ascii="Palatino Linotype" w:hAnsi="Palatino Linotype"/>
        </w:rPr>
        <w:t xml:space="preserve"> or simply placements in other cases</w:t>
      </w:r>
      <w:r w:rsidR="00DD1E81" w:rsidRPr="00320C53">
        <w:rPr>
          <w:rFonts w:ascii="Palatino Linotype" w:hAnsi="Palatino Linotype"/>
        </w:rPr>
        <w:t>. Later in the learning program graduates serve as paid and supervised residents.</w:t>
      </w:r>
      <w:r w:rsidR="00551ED6" w:rsidRPr="00320C53">
        <w:rPr>
          <w:rStyle w:val="FootnoteReference"/>
          <w:rFonts w:ascii="Palatino Linotype" w:hAnsi="Palatino Linotype"/>
        </w:rPr>
        <w:footnoteReference w:id="43"/>
      </w:r>
      <w:r w:rsidR="00551ED6" w:rsidRPr="00320C53">
        <w:rPr>
          <w:rFonts w:ascii="Palatino Linotype" w:hAnsi="Palatino Linotype"/>
        </w:rPr>
        <w:t xml:space="preserve"> </w:t>
      </w:r>
      <w:r w:rsidR="00DD1E81" w:rsidRPr="00320C53">
        <w:rPr>
          <w:rFonts w:ascii="Palatino Linotype" w:hAnsi="Palatino Linotype"/>
        </w:rPr>
        <w:t xml:space="preserve">These progressive stages structure learning in a more systematic way. Also the model </w:t>
      </w:r>
      <w:r w:rsidR="00DD1E81" w:rsidRPr="00320C53">
        <w:rPr>
          <w:rFonts w:ascii="Palatino Linotype" w:hAnsi="Palatino Linotype"/>
        </w:rPr>
        <w:lastRenderedPageBreak/>
        <w:t>tends to protect clients from overly fresh novices and provides a baseline for supervisor’s assessment of the qualities, characteristics and personalities of students for later, on-the-job supervisory interventions. Importantly, a phased approach builds knowledge, skills and confidence, as well as helping to develop the self-concept of the proficient practitioner. Conventionally “clinical” means the direct observation of patients and so a “clinician” is a provider of services to client or patient. In my usage as well as Grimes’ it means approximating as closely as possible the clinical incident or problem.</w:t>
      </w:r>
    </w:p>
    <w:p w14:paraId="34A556CF" w14:textId="4CEBE822" w:rsidR="00DD1E81" w:rsidRPr="00320C53" w:rsidRDefault="00DD1E81" w:rsidP="000C2DAB">
      <w:pPr>
        <w:spacing w:line="480" w:lineRule="auto"/>
        <w:jc w:val="both"/>
        <w:rPr>
          <w:rFonts w:ascii="Palatino Linotype" w:hAnsi="Palatino Linotype"/>
        </w:rPr>
      </w:pPr>
      <w:r w:rsidRPr="00320C53">
        <w:rPr>
          <w:rFonts w:ascii="Palatino Linotype" w:hAnsi="Palatino Linotype"/>
        </w:rPr>
        <w:t xml:space="preserve">Clinical legal education is learning-centred and sometimes student-centred, depending on the degree of freedom </w:t>
      </w:r>
      <w:r w:rsidR="003C1341" w:rsidRPr="00320C53">
        <w:rPr>
          <w:rFonts w:ascii="Palatino Linotype" w:hAnsi="Palatino Linotype"/>
        </w:rPr>
        <w:t xml:space="preserve">with which </w:t>
      </w:r>
      <w:r w:rsidRPr="00320C53">
        <w:rPr>
          <w:rFonts w:ascii="Palatino Linotype" w:hAnsi="Palatino Linotype"/>
        </w:rPr>
        <w:t>the student is provided in the construction of the learning program and its experiences.</w:t>
      </w:r>
      <w:r w:rsidRPr="00320C53">
        <w:rPr>
          <w:rStyle w:val="FootnoteReference"/>
          <w:rFonts w:ascii="Palatino Linotype" w:hAnsi="Palatino Linotype"/>
        </w:rPr>
        <w:footnoteReference w:id="44"/>
      </w:r>
      <w:r w:rsidRPr="00320C53">
        <w:rPr>
          <w:rFonts w:ascii="Palatino Linotype" w:hAnsi="Palatino Linotype"/>
        </w:rPr>
        <w:t xml:space="preserve"> It focuses on the learning interests and needs of the student and provides the student with significant control over the learning process. It depends on the student’s input developed through investigation, research and problem analysis, among other skills and procedures. Learning centred approaches shift the focus from the teacher to the student and to her needs and interests. Learning centred </w:t>
      </w:r>
      <w:r w:rsidRPr="00320C53">
        <w:rPr>
          <w:rFonts w:ascii="Palatino Linotype" w:hAnsi="Palatino Linotype"/>
        </w:rPr>
        <w:lastRenderedPageBreak/>
        <w:t>approaches tend to produce deeper and more meaningful learning.</w:t>
      </w:r>
      <w:r w:rsidR="003C1341" w:rsidRPr="00320C53">
        <w:rPr>
          <w:rStyle w:val="FootnoteReference"/>
          <w:rFonts w:ascii="Palatino Linotype" w:hAnsi="Palatino Linotype"/>
        </w:rPr>
        <w:footnoteReference w:id="45"/>
      </w:r>
      <w:r w:rsidRPr="00320C53">
        <w:rPr>
          <w:rFonts w:ascii="Palatino Linotype" w:hAnsi="Palatino Linotype"/>
        </w:rPr>
        <w:t xml:space="preserve"> By and large they are constructivist, building on previous learning and scaffolding it upon earlier understandings and capabilities, making new and personally unique understandings of the things they have experienced.</w:t>
      </w:r>
      <w:r w:rsidRPr="00320C53">
        <w:rPr>
          <w:rStyle w:val="FootnoteReference"/>
          <w:rFonts w:ascii="Palatino Linotype" w:hAnsi="Palatino Linotype"/>
        </w:rPr>
        <w:footnoteReference w:id="46"/>
      </w:r>
      <w:r w:rsidRPr="00320C53">
        <w:rPr>
          <w:rFonts w:ascii="Palatino Linotype" w:hAnsi="Palatino Linotype"/>
        </w:rPr>
        <w:t xml:space="preserve">  </w:t>
      </w:r>
    </w:p>
    <w:p w14:paraId="7835D72D" w14:textId="63918547" w:rsidR="00DD1E81" w:rsidRPr="00320C53" w:rsidRDefault="00960294" w:rsidP="000C2DAB">
      <w:pPr>
        <w:spacing w:line="480" w:lineRule="auto"/>
        <w:jc w:val="both"/>
        <w:rPr>
          <w:rFonts w:ascii="Palatino Linotype" w:hAnsi="Palatino Linotype"/>
          <w:strike/>
        </w:rPr>
      </w:pPr>
      <w:r w:rsidRPr="00320C53">
        <w:rPr>
          <w:rFonts w:ascii="Palatino Linotype" w:hAnsi="Palatino Linotype"/>
        </w:rPr>
        <w:t xml:space="preserve">This paper contends then </w:t>
      </w:r>
      <w:r w:rsidR="00DD1E81" w:rsidRPr="00320C53">
        <w:rPr>
          <w:rFonts w:ascii="Palatino Linotype" w:hAnsi="Palatino Linotype"/>
        </w:rPr>
        <w:t xml:space="preserve">that the clinical methodology can and should be both pervasive and the dominant methodology within legal education and that it can, with careful structuring and management, achieve the full range of desired outcomes for the law graduate. </w:t>
      </w:r>
      <w:r w:rsidR="00551ED6" w:rsidRPr="00320C53">
        <w:rPr>
          <w:rFonts w:ascii="Palatino Linotype" w:hAnsi="Palatino Linotype"/>
        </w:rPr>
        <w:t xml:space="preserve">There is no room here to elaborate on the diverse clinical methodologies. </w:t>
      </w:r>
    </w:p>
    <w:p w14:paraId="20E69EBF" w14:textId="77777777" w:rsidR="00DD1E81" w:rsidRDefault="00DD1E81" w:rsidP="000C2DAB">
      <w:pPr>
        <w:spacing w:line="480" w:lineRule="auto"/>
        <w:jc w:val="both"/>
        <w:rPr>
          <w:rFonts w:ascii="Palatino Linotype" w:hAnsi="Palatino Linotype"/>
          <w:b/>
        </w:rPr>
      </w:pPr>
    </w:p>
    <w:p w14:paraId="54C3C67B" w14:textId="77777777" w:rsidR="00E662FA" w:rsidRDefault="00E662FA" w:rsidP="000C2DAB">
      <w:pPr>
        <w:spacing w:line="480" w:lineRule="auto"/>
        <w:jc w:val="both"/>
        <w:rPr>
          <w:rFonts w:ascii="Palatino Linotype" w:hAnsi="Palatino Linotype"/>
          <w:b/>
        </w:rPr>
      </w:pPr>
    </w:p>
    <w:p w14:paraId="75A239BE" w14:textId="77777777" w:rsidR="00E662FA" w:rsidRDefault="00E662FA" w:rsidP="000C2DAB">
      <w:pPr>
        <w:spacing w:line="480" w:lineRule="auto"/>
        <w:jc w:val="both"/>
        <w:rPr>
          <w:rFonts w:ascii="Palatino Linotype" w:hAnsi="Palatino Linotype"/>
          <w:b/>
        </w:rPr>
      </w:pPr>
    </w:p>
    <w:p w14:paraId="6B8E1ECA" w14:textId="77777777" w:rsidR="00E662FA" w:rsidRPr="00320C53" w:rsidRDefault="00E662FA" w:rsidP="000C2DAB">
      <w:pPr>
        <w:spacing w:line="480" w:lineRule="auto"/>
        <w:jc w:val="both"/>
        <w:rPr>
          <w:rFonts w:ascii="Palatino Linotype" w:hAnsi="Palatino Linotype"/>
          <w:b/>
        </w:rPr>
      </w:pPr>
    </w:p>
    <w:p w14:paraId="529C5D0A" w14:textId="31960C23" w:rsidR="00DD1E81" w:rsidRPr="00E662FA" w:rsidRDefault="00E662FA" w:rsidP="00E662FA">
      <w:pPr>
        <w:pStyle w:val="ListParagraph"/>
        <w:numPr>
          <w:ilvl w:val="0"/>
          <w:numId w:val="38"/>
        </w:numPr>
        <w:spacing w:line="480" w:lineRule="auto"/>
        <w:jc w:val="both"/>
        <w:rPr>
          <w:rFonts w:ascii="Palatino Linotype" w:hAnsi="Palatino Linotype"/>
        </w:rPr>
      </w:pPr>
      <w:r w:rsidRPr="00E662FA">
        <w:rPr>
          <w:rFonts w:ascii="Palatino Linotype" w:hAnsi="Palatino Linotype"/>
        </w:rPr>
        <w:lastRenderedPageBreak/>
        <w:t>PROBLEM BASED LEARNING AND CLINICAL LEGAL EDUCATION</w:t>
      </w:r>
    </w:p>
    <w:p w14:paraId="46401375" w14:textId="77777777" w:rsidR="00E662FA" w:rsidRDefault="00E662FA" w:rsidP="000C2DAB">
      <w:pPr>
        <w:spacing w:line="480" w:lineRule="auto"/>
        <w:jc w:val="both"/>
        <w:rPr>
          <w:rFonts w:ascii="Palatino Linotype" w:hAnsi="Palatino Linotype"/>
        </w:rPr>
      </w:pPr>
    </w:p>
    <w:p w14:paraId="687EFBE7" w14:textId="60B2D00E" w:rsidR="00DD1E81" w:rsidRPr="00320C53" w:rsidRDefault="00DD1E81" w:rsidP="000C2DAB">
      <w:pPr>
        <w:spacing w:line="480" w:lineRule="auto"/>
        <w:jc w:val="both"/>
        <w:rPr>
          <w:rFonts w:ascii="Palatino Linotype" w:hAnsi="Palatino Linotype"/>
        </w:rPr>
      </w:pPr>
      <w:r w:rsidRPr="00320C53">
        <w:rPr>
          <w:rFonts w:ascii="Palatino Linotype" w:hAnsi="Palatino Linotype"/>
        </w:rPr>
        <w:t>One vibrant and very successful methodology of professional education used extensively in medicine and now to some extent in law</w:t>
      </w:r>
      <w:r w:rsidRPr="00320C53">
        <w:rPr>
          <w:rStyle w:val="FootnoteReference"/>
          <w:rFonts w:ascii="Palatino Linotype" w:hAnsi="Palatino Linotype"/>
        </w:rPr>
        <w:footnoteReference w:id="47"/>
      </w:r>
      <w:r w:rsidRPr="00320C53">
        <w:rPr>
          <w:rFonts w:ascii="Palatino Linotype" w:hAnsi="Palatino Linotype"/>
        </w:rPr>
        <w:t xml:space="preserve"> and elsewhere is student-centred</w:t>
      </w:r>
      <w:r w:rsidR="00551ED6" w:rsidRPr="00320C53">
        <w:rPr>
          <w:rFonts w:ascii="Palatino Linotype" w:hAnsi="Palatino Linotype"/>
        </w:rPr>
        <w:t>,</w:t>
      </w:r>
      <w:r w:rsidRPr="00320C53">
        <w:rPr>
          <w:rFonts w:ascii="Palatino Linotype" w:hAnsi="Palatino Linotype"/>
        </w:rPr>
        <w:t xml:space="preserve"> problem-based learning (SPBL). In my view it meets the requirements for consideration as a clinical method. Following is a description of SPBL:</w:t>
      </w:r>
      <w:r w:rsidRPr="00320C53">
        <w:rPr>
          <w:rStyle w:val="FootnoteReference"/>
          <w:rFonts w:ascii="Palatino Linotype" w:hAnsi="Palatino Linotype"/>
        </w:rPr>
        <w:t xml:space="preserve"> </w:t>
      </w:r>
      <w:r w:rsidRPr="00320C53">
        <w:rPr>
          <w:rStyle w:val="FootnoteReference"/>
          <w:rFonts w:ascii="Palatino Linotype" w:hAnsi="Palatino Linotype"/>
        </w:rPr>
        <w:footnoteReference w:id="48"/>
      </w:r>
    </w:p>
    <w:p w14:paraId="36DEA21F" w14:textId="2458EA9D" w:rsidR="00DD1E81" w:rsidRPr="00320C53" w:rsidRDefault="00DD1E81" w:rsidP="000C2DAB">
      <w:pPr>
        <w:widowControl w:val="0"/>
        <w:autoSpaceDE w:val="0"/>
        <w:autoSpaceDN w:val="0"/>
        <w:adjustRightInd w:val="0"/>
        <w:spacing w:line="480" w:lineRule="auto"/>
        <w:ind w:left="720"/>
        <w:jc w:val="both"/>
        <w:rPr>
          <w:rFonts w:ascii="Palatino Linotype" w:hAnsi="Palatino Linotype" w:cs="Arial"/>
          <w:color w:val="000000"/>
        </w:rPr>
      </w:pPr>
      <w:r w:rsidRPr="00320C53">
        <w:rPr>
          <w:rFonts w:ascii="Palatino Linotype" w:hAnsi="Palatino Linotype" w:cs="Arial"/>
          <w:color w:val="000000"/>
        </w:rPr>
        <w:t>As Barrows and others</w:t>
      </w:r>
      <w:r w:rsidRPr="00320C53">
        <w:rPr>
          <w:rFonts w:ascii="Palatino Linotype" w:hAnsi="Palatino Linotype" w:cs="Lucida Grande"/>
        </w:rPr>
        <w:t xml:space="preserve"> </w:t>
      </w:r>
      <w:r w:rsidRPr="00320C53">
        <w:rPr>
          <w:rFonts w:ascii="Palatino Linotype" w:hAnsi="Palatino Linotype" w:cs="Arial"/>
          <w:color w:val="000000"/>
        </w:rPr>
        <w:t>suggest, SPBL is the learning that results from working toward</w:t>
      </w:r>
      <w:r w:rsidRPr="00320C53">
        <w:rPr>
          <w:rFonts w:ascii="Palatino Linotype" w:hAnsi="Palatino Linotype" w:cs="Lucida Grande"/>
        </w:rPr>
        <w:t xml:space="preserve"> </w:t>
      </w:r>
      <w:r w:rsidRPr="00320C53">
        <w:rPr>
          <w:rFonts w:ascii="Palatino Linotype" w:hAnsi="Palatino Linotype" w:cs="Arial"/>
          <w:color w:val="000000"/>
        </w:rPr>
        <w:t>understanding or resolving a problem. The problem is encountered first</w:t>
      </w:r>
      <w:r w:rsidRPr="00320C53">
        <w:rPr>
          <w:rFonts w:ascii="Palatino Linotype" w:hAnsi="Palatino Linotype" w:cs="Lucida Grande"/>
        </w:rPr>
        <w:t xml:space="preserve"> </w:t>
      </w:r>
      <w:r w:rsidRPr="00320C53">
        <w:rPr>
          <w:rFonts w:ascii="Palatino Linotype" w:hAnsi="Palatino Linotype" w:cs="Arial"/>
          <w:color w:val="000000"/>
        </w:rPr>
        <w:t>in the learning process - before any reading in the area - and, in the</w:t>
      </w:r>
      <w:r w:rsidRPr="00320C53">
        <w:rPr>
          <w:rFonts w:ascii="Palatino Linotype" w:hAnsi="Palatino Linotype" w:cs="Lucida Grande"/>
        </w:rPr>
        <w:t xml:space="preserve"> </w:t>
      </w:r>
      <w:r w:rsidRPr="00320C53">
        <w:rPr>
          <w:rFonts w:ascii="Palatino Linotype" w:hAnsi="Palatino Linotype" w:cs="Arial"/>
          <w:color w:val="000000"/>
        </w:rPr>
        <w:t>purer applications of the method, before, or often instead of, lectures or</w:t>
      </w:r>
      <w:r w:rsidRPr="00320C53">
        <w:rPr>
          <w:rFonts w:ascii="Palatino Linotype" w:hAnsi="Palatino Linotype" w:cs="Lucida Grande"/>
        </w:rPr>
        <w:t xml:space="preserve"> </w:t>
      </w:r>
      <w:r w:rsidRPr="00320C53">
        <w:rPr>
          <w:rFonts w:ascii="Palatino Linotype" w:hAnsi="Palatino Linotype" w:cs="Arial"/>
          <w:color w:val="000000"/>
        </w:rPr>
        <w:t>other formal course work. The only "preparation" students need is their</w:t>
      </w:r>
      <w:r w:rsidRPr="00320C53">
        <w:rPr>
          <w:rFonts w:ascii="Palatino Linotype" w:hAnsi="Palatino Linotype" w:cs="Lucida Grande"/>
        </w:rPr>
        <w:t xml:space="preserve"> </w:t>
      </w:r>
      <w:r w:rsidRPr="00320C53">
        <w:rPr>
          <w:rFonts w:ascii="Palatino Linotype" w:hAnsi="Palatino Linotype" w:cs="Arial"/>
          <w:color w:val="000000"/>
        </w:rPr>
        <w:t>prior knowledge and experience.</w:t>
      </w:r>
    </w:p>
    <w:p w14:paraId="5AC0FFB3" w14:textId="77777777" w:rsidR="00DD1E81" w:rsidRPr="00320C53" w:rsidRDefault="00DD1E81" w:rsidP="000C2DAB">
      <w:pPr>
        <w:widowControl w:val="0"/>
        <w:autoSpaceDE w:val="0"/>
        <w:autoSpaceDN w:val="0"/>
        <w:adjustRightInd w:val="0"/>
        <w:spacing w:line="480" w:lineRule="auto"/>
        <w:ind w:left="720"/>
        <w:jc w:val="both"/>
        <w:rPr>
          <w:rFonts w:ascii="Palatino Linotype" w:hAnsi="Palatino Linotype" w:cs="Arial"/>
          <w:color w:val="000000"/>
        </w:rPr>
      </w:pPr>
      <w:r w:rsidRPr="00320C53">
        <w:rPr>
          <w:rFonts w:ascii="Palatino Linotype" w:hAnsi="Palatino Linotype" w:cs="Arial"/>
          <w:color w:val="000000"/>
        </w:rPr>
        <w:t xml:space="preserve">The primary objective of SPBL is to accumulate the basic concepts of a discipline in </w:t>
      </w:r>
      <w:r w:rsidRPr="00320C53">
        <w:rPr>
          <w:rFonts w:ascii="Palatino Linotype" w:hAnsi="Palatino Linotype" w:cs="Arial"/>
          <w:color w:val="000000"/>
        </w:rPr>
        <w:lastRenderedPageBreak/>
        <w:t>the context of problems or issues encountered by practising professionals. Instead of learning self-contained and quickly forgotten bodies of knowledge, such as information covered in lectures, information is gradually assembled in a more "helter-skelter" way as students reflect on issues or gaps in knowledge which they identify as they work through problems. An assumption of SPBL is that the way information is acquired assists the student in remembering and applying that information in practice.</w:t>
      </w:r>
    </w:p>
    <w:p w14:paraId="54178C53" w14:textId="0305759B" w:rsidR="00DD1E81" w:rsidRPr="00320C53" w:rsidRDefault="00DD1E81" w:rsidP="000C2DAB">
      <w:pPr>
        <w:spacing w:line="480" w:lineRule="auto"/>
        <w:ind w:left="720"/>
        <w:jc w:val="both"/>
        <w:rPr>
          <w:rFonts w:ascii="Palatino Linotype" w:hAnsi="Palatino Linotype" w:cs="Arial"/>
          <w:color w:val="000000"/>
        </w:rPr>
      </w:pPr>
      <w:r w:rsidRPr="00320C53">
        <w:rPr>
          <w:rFonts w:ascii="Palatino Linotype" w:hAnsi="Palatino Linotype" w:cs="Arial"/>
          <w:color w:val="000000"/>
        </w:rPr>
        <w:t>SPBL offers other important benefits as well. It develops self-directed, life-long learners, better able to cope with changes in the law. It encourages student independence and responsibility in the learning process. Students are more motivated, since the learning seems more relevant. Problem-solving skills can be better examined and developed. Misconceptions and ineffective reasoning can be identified and confronted. Communications skills can be taught using the method. Skills useful in group practice can be developed. Prior knowledge and experience is reactivated and built upon.”</w:t>
      </w:r>
    </w:p>
    <w:p w14:paraId="641C4630" w14:textId="4F3E19FD" w:rsidR="00DD1E81" w:rsidRPr="00320C53" w:rsidRDefault="00DD1E81" w:rsidP="000C2DAB">
      <w:pPr>
        <w:spacing w:line="480" w:lineRule="auto"/>
        <w:jc w:val="both"/>
        <w:rPr>
          <w:rFonts w:ascii="Palatino Linotype" w:hAnsi="Palatino Linotype" w:cs="Times New Roman"/>
        </w:rPr>
      </w:pPr>
      <w:r w:rsidRPr="00320C53">
        <w:rPr>
          <w:rFonts w:ascii="Palatino Linotype" w:hAnsi="Palatino Linotype" w:cs="Arial"/>
          <w:color w:val="000000"/>
        </w:rPr>
        <w:t xml:space="preserve">In an excellent discussion of PBL in the context of clinical legal education </w:t>
      </w:r>
      <w:r w:rsidR="00E44A95" w:rsidRPr="00320C53">
        <w:rPr>
          <w:rFonts w:ascii="Palatino Linotype" w:hAnsi="Palatino Linotype" w:cs="Arial"/>
          <w:color w:val="000000"/>
        </w:rPr>
        <w:t>three</w:t>
      </w:r>
      <w:r w:rsidRPr="00320C53">
        <w:rPr>
          <w:rFonts w:ascii="Palatino Linotype" w:hAnsi="Palatino Linotype" w:cs="Arial"/>
          <w:color w:val="000000"/>
        </w:rPr>
        <w:t xml:space="preserve"> authors raise the question:</w:t>
      </w:r>
      <w:r w:rsidRPr="00320C53">
        <w:rPr>
          <w:rStyle w:val="FootnoteReference"/>
          <w:rFonts w:ascii="Palatino Linotype" w:hAnsi="Palatino Linotype" w:cs="Arial"/>
          <w:color w:val="000000"/>
        </w:rPr>
        <w:footnoteReference w:id="49"/>
      </w:r>
      <w:r w:rsidRPr="00320C53">
        <w:rPr>
          <w:rFonts w:ascii="Palatino Linotype" w:hAnsi="Palatino Linotype" w:cs="Times New Roman"/>
        </w:rPr>
        <w:t xml:space="preserve"> </w:t>
      </w:r>
    </w:p>
    <w:p w14:paraId="5195AD88" w14:textId="2BBD7FF2" w:rsidR="00DD1E81" w:rsidRPr="00320C53" w:rsidRDefault="00DD1E81" w:rsidP="000C2DAB">
      <w:pPr>
        <w:spacing w:line="480" w:lineRule="auto"/>
        <w:ind w:left="720"/>
        <w:jc w:val="both"/>
        <w:rPr>
          <w:rFonts w:ascii="Palatino Linotype" w:hAnsi="Palatino Linotype" w:cs="Arial"/>
          <w:color w:val="000000"/>
        </w:rPr>
      </w:pPr>
      <w:r w:rsidRPr="00320C53">
        <w:rPr>
          <w:rFonts w:ascii="Palatino Linotype" w:hAnsi="Palatino Linotype" w:cs="Arial"/>
          <w:color w:val="000000"/>
        </w:rPr>
        <w:t xml:space="preserve">There is clearly a debate that continues about the efficacy of using the PBL method exclusively to impart knowledge to students. The writers themselves have </w:t>
      </w:r>
      <w:r w:rsidRPr="00320C53">
        <w:rPr>
          <w:rFonts w:ascii="Palatino Linotype" w:hAnsi="Palatino Linotype" w:cs="Arial"/>
          <w:color w:val="000000"/>
        </w:rPr>
        <w:lastRenderedPageBreak/>
        <w:t xml:space="preserve">concerns about whether the use of a PBL approach can adequately provide the students with the fundamental doctrinal knowledge necessary for the foundation subjects of an English Law degree. We wonder whether it is time effective to always require students to begin with the problem and learn the detail of the discipline by forming their own learning objectives and then meeting to </w:t>
      </w:r>
      <w:proofErr w:type="spellStart"/>
      <w:r w:rsidRPr="00320C53">
        <w:rPr>
          <w:rFonts w:ascii="Palatino Linotype" w:hAnsi="Palatino Linotype" w:cs="Arial"/>
          <w:color w:val="000000"/>
        </w:rPr>
        <w:t>synthesise</w:t>
      </w:r>
      <w:proofErr w:type="spellEnd"/>
      <w:r w:rsidRPr="00320C53">
        <w:rPr>
          <w:rFonts w:ascii="Palatino Linotype" w:hAnsi="Palatino Linotype" w:cs="Arial"/>
          <w:color w:val="000000"/>
        </w:rPr>
        <w:t xml:space="preserve"> findings. We have concerns that there can be full coverage of the discipline within the time frame available using this method. On the other hand, if some traditional methods of teaching are inserted at the start of the course will that not defeat the object of the students defining their own learning objectives and taking responsibility for their own learning?</w:t>
      </w:r>
    </w:p>
    <w:p w14:paraId="2B0B08C4" w14:textId="4D480102" w:rsidR="004610AA" w:rsidRPr="00320C53" w:rsidRDefault="00C62827" w:rsidP="000C2DAB">
      <w:pPr>
        <w:spacing w:line="480" w:lineRule="auto"/>
        <w:jc w:val="both"/>
        <w:rPr>
          <w:rFonts w:ascii="Palatino Linotype" w:eastAsia="Times New Roman" w:hAnsi="Palatino Linotype" w:cs="Times New Roman"/>
          <w:color w:val="373737"/>
          <w:shd w:val="clear" w:color="auto" w:fill="FFFFFF"/>
        </w:rPr>
      </w:pPr>
      <w:r w:rsidRPr="00320C53">
        <w:rPr>
          <w:rFonts w:ascii="Palatino Linotype" w:eastAsia="Times New Roman" w:hAnsi="Palatino Linotype" w:cs="Times New Roman"/>
          <w:color w:val="373737"/>
          <w:shd w:val="clear" w:color="auto" w:fill="FFFFFF"/>
        </w:rPr>
        <w:t>The</w:t>
      </w:r>
      <w:r w:rsidR="003E6532" w:rsidRPr="00320C53">
        <w:rPr>
          <w:rFonts w:ascii="Palatino Linotype" w:eastAsia="Times New Roman" w:hAnsi="Palatino Linotype" w:cs="Times New Roman"/>
          <w:strike/>
          <w:color w:val="373737"/>
          <w:shd w:val="clear" w:color="auto" w:fill="FFFFFF"/>
        </w:rPr>
        <w:t xml:space="preserve"> </w:t>
      </w:r>
      <w:r w:rsidR="00DD1E81" w:rsidRPr="00320C53">
        <w:rPr>
          <w:rFonts w:ascii="Palatino Linotype" w:eastAsia="Times New Roman" w:hAnsi="Palatino Linotype" w:cs="Times New Roman"/>
          <w:color w:val="373737"/>
          <w:shd w:val="clear" w:color="auto" w:fill="FFFFFF"/>
        </w:rPr>
        <w:t>authors’ challenges to the efficacy of PBL have nothing to do with its appropriateness to learning “</w:t>
      </w:r>
      <w:r w:rsidR="00DD1E81" w:rsidRPr="00320C53">
        <w:rPr>
          <w:rFonts w:ascii="Palatino Linotype" w:hAnsi="Palatino Linotype" w:cs="Arial"/>
          <w:color w:val="000000"/>
        </w:rPr>
        <w:t>the fundamental doctrinal knowledge necessary for the foundation subjects of an English Law degree”.</w:t>
      </w:r>
      <w:r w:rsidR="00DD1E81" w:rsidRPr="00320C53">
        <w:rPr>
          <w:rFonts w:ascii="Palatino Linotype" w:eastAsia="Times New Roman" w:hAnsi="Palatino Linotype" w:cs="Times New Roman"/>
          <w:color w:val="373737"/>
          <w:shd w:val="clear" w:color="auto" w:fill="FFFFFF"/>
        </w:rPr>
        <w:t xml:space="preserve">  </w:t>
      </w:r>
      <w:r w:rsidR="004610AA" w:rsidRPr="00320C53">
        <w:rPr>
          <w:rFonts w:ascii="Palatino Linotype" w:eastAsia="Times New Roman" w:hAnsi="Palatino Linotype" w:cs="Times New Roman"/>
          <w:color w:val="373737"/>
          <w:shd w:val="clear" w:color="auto" w:fill="FFFFFF"/>
        </w:rPr>
        <w:t>And the authors refer to using it “exclusively” to acquire knowledge</w:t>
      </w:r>
      <w:r w:rsidR="00E44A95" w:rsidRPr="00320C53">
        <w:rPr>
          <w:rFonts w:ascii="Palatino Linotype" w:eastAsia="Times New Roman" w:hAnsi="Palatino Linotype" w:cs="Times New Roman"/>
          <w:color w:val="373737"/>
          <w:shd w:val="clear" w:color="auto" w:fill="FFFFFF"/>
        </w:rPr>
        <w:t>.</w:t>
      </w:r>
      <w:r w:rsidR="004610AA" w:rsidRPr="00320C53">
        <w:rPr>
          <w:rFonts w:ascii="Palatino Linotype" w:eastAsia="Times New Roman" w:hAnsi="Palatino Linotype" w:cs="Times New Roman"/>
          <w:color w:val="373737"/>
          <w:shd w:val="clear" w:color="auto" w:fill="FFFFFF"/>
        </w:rPr>
        <w:t xml:space="preserve"> </w:t>
      </w:r>
      <w:r w:rsidR="00E44A95" w:rsidRPr="00320C53">
        <w:rPr>
          <w:rFonts w:ascii="Palatino Linotype" w:eastAsia="Times New Roman" w:hAnsi="Palatino Linotype" w:cs="Times New Roman"/>
          <w:color w:val="373737"/>
          <w:shd w:val="clear" w:color="auto" w:fill="FFFFFF"/>
        </w:rPr>
        <w:t xml:space="preserve"> While PBL is useful for </w:t>
      </w:r>
      <w:r w:rsidR="00095DE0" w:rsidRPr="00320C53">
        <w:rPr>
          <w:rFonts w:ascii="Palatino Linotype" w:eastAsia="Times New Roman" w:hAnsi="Palatino Linotype" w:cs="Times New Roman"/>
          <w:color w:val="373737"/>
          <w:shd w:val="clear" w:color="auto" w:fill="FFFFFF"/>
        </w:rPr>
        <w:t>learning legal knowledge i</w:t>
      </w:r>
      <w:r w:rsidR="004610AA" w:rsidRPr="00320C53">
        <w:rPr>
          <w:rFonts w:ascii="Palatino Linotype" w:eastAsia="Times New Roman" w:hAnsi="Palatino Linotype" w:cs="Times New Roman"/>
          <w:color w:val="373737"/>
          <w:shd w:val="clear" w:color="auto" w:fill="FFFFFF"/>
        </w:rPr>
        <w:t>t does that</w:t>
      </w:r>
      <w:r w:rsidR="00095DE0" w:rsidRPr="00320C53">
        <w:rPr>
          <w:rFonts w:ascii="Palatino Linotype" w:eastAsia="Times New Roman" w:hAnsi="Palatino Linotype" w:cs="Times New Roman"/>
          <w:color w:val="373737"/>
          <w:shd w:val="clear" w:color="auto" w:fill="FFFFFF"/>
        </w:rPr>
        <w:t xml:space="preserve"> --</w:t>
      </w:r>
      <w:r w:rsidR="004610AA" w:rsidRPr="00320C53">
        <w:rPr>
          <w:rFonts w:ascii="Palatino Linotype" w:eastAsia="Times New Roman" w:hAnsi="Palatino Linotype" w:cs="Times New Roman"/>
          <w:color w:val="373737"/>
          <w:shd w:val="clear" w:color="auto" w:fill="FFFFFF"/>
        </w:rPr>
        <w:t xml:space="preserve"> and much more. They go on to raise doubts about it as an efficient method for acquiring foundational knowledge and question whether it can </w:t>
      </w:r>
      <w:r w:rsidR="0081677A" w:rsidRPr="00320C53">
        <w:rPr>
          <w:rFonts w:ascii="Palatino Linotype" w:eastAsia="Times New Roman" w:hAnsi="Palatino Linotype" w:cs="Times New Roman"/>
          <w:color w:val="373737"/>
          <w:shd w:val="clear" w:color="auto" w:fill="FFFFFF"/>
        </w:rPr>
        <w:t xml:space="preserve">or should </w:t>
      </w:r>
      <w:r w:rsidR="004610AA" w:rsidRPr="00320C53">
        <w:rPr>
          <w:rFonts w:ascii="Palatino Linotype" w:eastAsia="Times New Roman" w:hAnsi="Palatino Linotype" w:cs="Times New Roman"/>
          <w:color w:val="373737"/>
          <w:shd w:val="clear" w:color="auto" w:fill="FFFFFF"/>
        </w:rPr>
        <w:t>be supported by</w:t>
      </w:r>
      <w:r w:rsidR="000D34FC" w:rsidRPr="00320C53">
        <w:rPr>
          <w:rFonts w:ascii="Palatino Linotype" w:eastAsia="Times New Roman" w:hAnsi="Palatino Linotype" w:cs="Times New Roman"/>
          <w:color w:val="373737"/>
          <w:shd w:val="clear" w:color="auto" w:fill="FFFFFF"/>
        </w:rPr>
        <w:t xml:space="preserve"> traditional, information delivery</w:t>
      </w:r>
      <w:r w:rsidR="004610AA" w:rsidRPr="00320C53">
        <w:rPr>
          <w:rFonts w:ascii="Palatino Linotype" w:eastAsia="Times New Roman" w:hAnsi="Palatino Linotype" w:cs="Times New Roman"/>
          <w:color w:val="373737"/>
          <w:shd w:val="clear" w:color="auto" w:fill="FFFFFF"/>
        </w:rPr>
        <w:t xml:space="preserve"> methods.</w:t>
      </w:r>
      <w:r w:rsidR="0098098F" w:rsidRPr="00320C53">
        <w:rPr>
          <w:rFonts w:ascii="Palatino Linotype" w:eastAsia="Times New Roman" w:hAnsi="Palatino Linotype" w:cs="Times New Roman"/>
          <w:color w:val="373737"/>
          <w:shd w:val="clear" w:color="auto" w:fill="FFFFFF"/>
        </w:rPr>
        <w:t xml:space="preserve"> </w:t>
      </w:r>
      <w:r w:rsidR="00095DE0" w:rsidRPr="00320C53">
        <w:rPr>
          <w:rFonts w:ascii="Palatino Linotype" w:eastAsia="Times New Roman" w:hAnsi="Palatino Linotype" w:cs="Times New Roman"/>
          <w:color w:val="373737"/>
          <w:shd w:val="clear" w:color="auto" w:fill="FFFFFF"/>
        </w:rPr>
        <w:t xml:space="preserve">The PBL approach has worked well in medicine where the amount of knowledge required to be learned is very likely well in excess of what legal education requires of its learners. </w:t>
      </w:r>
    </w:p>
    <w:p w14:paraId="1592A45A" w14:textId="00E5CBB0" w:rsidR="00805563" w:rsidRPr="00320C53" w:rsidRDefault="00805563" w:rsidP="000C2DAB">
      <w:pPr>
        <w:spacing w:line="480" w:lineRule="auto"/>
        <w:jc w:val="both"/>
        <w:rPr>
          <w:rFonts w:ascii="Palatino Linotype" w:eastAsia="Times New Roman" w:hAnsi="Palatino Linotype" w:cs="Times New Roman"/>
          <w:color w:val="373737"/>
          <w:shd w:val="clear" w:color="auto" w:fill="FFFFFF"/>
        </w:rPr>
      </w:pPr>
      <w:r w:rsidRPr="00320C53">
        <w:rPr>
          <w:rFonts w:ascii="Palatino Linotype" w:eastAsia="Times New Roman" w:hAnsi="Palatino Linotype" w:cs="Times New Roman"/>
          <w:color w:val="373737"/>
          <w:shd w:val="clear" w:color="auto" w:fill="FFFFFF"/>
        </w:rPr>
        <w:lastRenderedPageBreak/>
        <w:t xml:space="preserve">Most importantly, they question whether timely and sufficient coverage can be accomplished. </w:t>
      </w:r>
      <w:r w:rsidR="00095DE0" w:rsidRPr="00320C53">
        <w:rPr>
          <w:rFonts w:ascii="Palatino Linotype" w:eastAsia="Times New Roman" w:hAnsi="Palatino Linotype" w:cs="Times New Roman"/>
          <w:color w:val="373737"/>
          <w:shd w:val="clear" w:color="auto" w:fill="FFFFFF"/>
        </w:rPr>
        <w:t xml:space="preserve">I believe that legal educators will need to invest the time into learning how to make the method efficient and effective. When that </w:t>
      </w:r>
      <w:r w:rsidR="003E37E2" w:rsidRPr="00320C53">
        <w:rPr>
          <w:rFonts w:ascii="Palatino Linotype" w:eastAsia="Times New Roman" w:hAnsi="Palatino Linotype" w:cs="Times New Roman"/>
          <w:color w:val="373737"/>
          <w:shd w:val="clear" w:color="auto" w:fill="FFFFFF"/>
        </w:rPr>
        <w:t xml:space="preserve">occurs the learning will expand. In addition, </w:t>
      </w:r>
      <w:r w:rsidRPr="00320C53">
        <w:rPr>
          <w:rFonts w:ascii="Palatino Linotype" w:eastAsia="Times New Roman" w:hAnsi="Palatino Linotype" w:cs="Times New Roman"/>
          <w:color w:val="373737"/>
          <w:shd w:val="clear" w:color="auto" w:fill="FFFFFF"/>
        </w:rPr>
        <w:t>PBL teaches student</w:t>
      </w:r>
      <w:r w:rsidR="00B46105" w:rsidRPr="00320C53">
        <w:rPr>
          <w:rFonts w:ascii="Palatino Linotype" w:eastAsia="Times New Roman" w:hAnsi="Palatino Linotype" w:cs="Times New Roman"/>
          <w:color w:val="373737"/>
          <w:shd w:val="clear" w:color="auto" w:fill="FFFFFF"/>
        </w:rPr>
        <w:t>s</w:t>
      </w:r>
      <w:r w:rsidRPr="00320C53">
        <w:rPr>
          <w:rFonts w:ascii="Palatino Linotype" w:eastAsia="Times New Roman" w:hAnsi="Palatino Linotype" w:cs="Times New Roman"/>
          <w:color w:val="373737"/>
          <w:shd w:val="clear" w:color="auto" w:fill="FFFFFF"/>
        </w:rPr>
        <w:t xml:space="preserve"> to know their limits and fill the gaps as needed.</w:t>
      </w:r>
    </w:p>
    <w:p w14:paraId="626A3067" w14:textId="1FD27A9D" w:rsidR="00DD1E81" w:rsidRPr="00320C53" w:rsidRDefault="001B11EA" w:rsidP="000C2DAB">
      <w:pPr>
        <w:spacing w:line="480" w:lineRule="auto"/>
        <w:jc w:val="both"/>
        <w:rPr>
          <w:rFonts w:ascii="Palatino Linotype" w:eastAsia="Times New Roman" w:hAnsi="Palatino Linotype" w:cs="Times New Roman"/>
          <w:color w:val="373737"/>
          <w:shd w:val="clear" w:color="auto" w:fill="FFFFFF"/>
        </w:rPr>
      </w:pPr>
      <w:r w:rsidRPr="00320C53">
        <w:rPr>
          <w:rFonts w:ascii="Palatino Linotype" w:eastAsia="Times New Roman" w:hAnsi="Palatino Linotype" w:cs="Times New Roman"/>
          <w:color w:val="373737"/>
          <w:shd w:val="clear" w:color="auto" w:fill="FFFFFF"/>
        </w:rPr>
        <w:t xml:space="preserve">The bugaboo of coverage has been used to criticize many a reform with reflective, learning </w:t>
      </w:r>
      <w:r w:rsidR="00DD1E81" w:rsidRPr="00320C53">
        <w:rPr>
          <w:rFonts w:ascii="Palatino Linotype" w:eastAsia="Times New Roman" w:hAnsi="Palatino Linotype" w:cs="Times New Roman"/>
          <w:color w:val="373737"/>
          <w:shd w:val="clear" w:color="auto" w:fill="FFFFFF"/>
        </w:rPr>
        <w:t>and teaching intensive, components. In my experience the plaint of “coverage” is a form of fear mongering that focuses not on the students’ learning needs but on the teacher’s reluctance to change and acquire the way to manage learning efficiently and effectively employing different models of instruction.  Those who have complained that not all time spent is valuable may not appreciate the need for students to learn, through experience and supervised discussion, to become clearer about the “issues” to pursue and the means to inquire, investigate and research in order to begin to posit ways forward. The bugaboos of time, coverage and efficiency</w:t>
      </w:r>
      <w:r w:rsidR="00DD1E81" w:rsidRPr="00320C53">
        <w:rPr>
          <w:rStyle w:val="FootnoteReference"/>
          <w:rFonts w:ascii="Palatino Linotype" w:eastAsia="Times New Roman" w:hAnsi="Palatino Linotype" w:cs="Times New Roman"/>
          <w:color w:val="373737"/>
          <w:shd w:val="clear" w:color="auto" w:fill="FFFFFF"/>
        </w:rPr>
        <w:footnoteReference w:id="50"/>
      </w:r>
      <w:r w:rsidR="00DD1E81" w:rsidRPr="00320C53">
        <w:rPr>
          <w:rFonts w:ascii="Palatino Linotype" w:eastAsia="Times New Roman" w:hAnsi="Palatino Linotype" w:cs="Times New Roman"/>
          <w:color w:val="373737"/>
          <w:shd w:val="clear" w:color="auto" w:fill="FFFFFF"/>
        </w:rPr>
        <w:t xml:space="preserve"> are, I suspect, consequences of our failure to deploy resources adequately, innovatively and efficiently; I fear that the real barrier to the success of PBL and indeed of clinical legal education generally is not the failing of the methodology but the systemic discrimination by university legal education against putting students and their learning first.</w:t>
      </w:r>
      <w:r w:rsidR="00DD1E81" w:rsidRPr="00320C53">
        <w:rPr>
          <w:rStyle w:val="FootnoteReference"/>
          <w:rFonts w:ascii="Palatino Linotype" w:eastAsia="Times New Roman" w:hAnsi="Palatino Linotype" w:cs="Times New Roman"/>
          <w:color w:val="373737"/>
          <w:shd w:val="clear" w:color="auto" w:fill="FFFFFF"/>
        </w:rPr>
        <w:footnoteReference w:id="51"/>
      </w:r>
      <w:r w:rsidR="003E37E2" w:rsidRPr="00320C53">
        <w:rPr>
          <w:rFonts w:ascii="Palatino Linotype" w:eastAsia="Times New Roman" w:hAnsi="Palatino Linotype" w:cs="Times New Roman"/>
          <w:color w:val="373737"/>
          <w:shd w:val="clear" w:color="auto" w:fill="FFFFFF"/>
        </w:rPr>
        <w:t xml:space="preserve"> To repeat,</w:t>
      </w:r>
      <w:r w:rsidR="00DD1E81" w:rsidRPr="00320C53">
        <w:rPr>
          <w:rFonts w:ascii="Palatino Linotype" w:eastAsia="Times New Roman" w:hAnsi="Palatino Linotype" w:cs="Times New Roman"/>
          <w:color w:val="373737"/>
          <w:shd w:val="clear" w:color="auto" w:fill="FFFFFF"/>
        </w:rPr>
        <w:t xml:space="preserve"> </w:t>
      </w:r>
      <w:r w:rsidR="003E37E2" w:rsidRPr="00320C53">
        <w:rPr>
          <w:rFonts w:ascii="Palatino Linotype" w:eastAsia="Times New Roman" w:hAnsi="Palatino Linotype" w:cs="Times New Roman"/>
          <w:color w:val="373737"/>
          <w:shd w:val="clear" w:color="auto" w:fill="FFFFFF"/>
        </w:rPr>
        <w:t xml:space="preserve">as </w:t>
      </w:r>
      <w:r w:rsidR="00DD1E81" w:rsidRPr="00320C53">
        <w:rPr>
          <w:rFonts w:ascii="Palatino Linotype" w:eastAsia="Times New Roman" w:hAnsi="Palatino Linotype" w:cs="Times New Roman"/>
          <w:color w:val="373737"/>
          <w:shd w:val="clear" w:color="auto" w:fill="FFFFFF"/>
        </w:rPr>
        <w:t xml:space="preserve">educators </w:t>
      </w:r>
      <w:r w:rsidR="00DD1E81" w:rsidRPr="00320C53">
        <w:rPr>
          <w:rFonts w:ascii="Palatino Linotype" w:eastAsia="Times New Roman" w:hAnsi="Palatino Linotype" w:cs="Times New Roman"/>
          <w:color w:val="373737"/>
          <w:shd w:val="clear" w:color="auto" w:fill="FFFFFF"/>
        </w:rPr>
        <w:lastRenderedPageBreak/>
        <w:t xml:space="preserve">become better at the deployment of a method they will become more efficient and effective. </w:t>
      </w:r>
    </w:p>
    <w:p w14:paraId="59918814" w14:textId="65FD6554" w:rsidR="00DD1E81" w:rsidRPr="00320C53" w:rsidRDefault="001C457F" w:rsidP="000C2DAB">
      <w:pPr>
        <w:spacing w:line="480" w:lineRule="auto"/>
        <w:jc w:val="both"/>
        <w:rPr>
          <w:rFonts w:ascii="Palatino Linotype" w:eastAsia="Times New Roman" w:hAnsi="Palatino Linotype" w:cs="Times New Roman"/>
          <w:color w:val="373737"/>
          <w:shd w:val="clear" w:color="auto" w:fill="FFFFFF"/>
        </w:rPr>
      </w:pPr>
      <w:r w:rsidRPr="00320C53">
        <w:rPr>
          <w:rFonts w:ascii="Palatino Linotype" w:eastAsia="Times New Roman" w:hAnsi="Palatino Linotype" w:cs="Times New Roman"/>
          <w:color w:val="373737"/>
          <w:shd w:val="clear" w:color="auto" w:fill="FFFFFF"/>
        </w:rPr>
        <w:t>T</w:t>
      </w:r>
      <w:r w:rsidR="00DD1E81" w:rsidRPr="00320C53">
        <w:rPr>
          <w:rFonts w:ascii="Palatino Linotype" w:eastAsia="Times New Roman" w:hAnsi="Palatino Linotype" w:cs="Times New Roman"/>
          <w:color w:val="373737"/>
          <w:shd w:val="clear" w:color="auto" w:fill="FFFFFF"/>
        </w:rPr>
        <w:t xml:space="preserve">he scope of this paper limits the extent to which this discussion ought to be pursued </w:t>
      </w:r>
      <w:r w:rsidRPr="00320C53">
        <w:rPr>
          <w:rFonts w:ascii="Palatino Linotype" w:eastAsia="Times New Roman" w:hAnsi="Palatino Linotype" w:cs="Times New Roman"/>
          <w:color w:val="373737"/>
          <w:shd w:val="clear" w:color="auto" w:fill="FFFFFF"/>
        </w:rPr>
        <w:t>at present</w:t>
      </w:r>
      <w:r w:rsidR="00DD1E81" w:rsidRPr="00320C53">
        <w:rPr>
          <w:rFonts w:ascii="Palatino Linotype" w:eastAsia="Times New Roman" w:hAnsi="Palatino Linotype" w:cs="Times New Roman"/>
          <w:color w:val="373737"/>
          <w:shd w:val="clear" w:color="auto" w:fill="FFFFFF"/>
        </w:rPr>
        <w:t xml:space="preserve">.  I am convinced that trained preceptors (instructors) and experienced students </w:t>
      </w:r>
      <w:r w:rsidRPr="00320C53">
        <w:rPr>
          <w:rFonts w:ascii="Palatino Linotype" w:eastAsia="Times New Roman" w:hAnsi="Palatino Linotype" w:cs="Times New Roman"/>
          <w:color w:val="373737"/>
          <w:shd w:val="clear" w:color="auto" w:fill="FFFFFF"/>
        </w:rPr>
        <w:t xml:space="preserve">can </w:t>
      </w:r>
      <w:r w:rsidR="00DD1E81" w:rsidRPr="00320C53">
        <w:rPr>
          <w:rFonts w:ascii="Palatino Linotype" w:eastAsia="Times New Roman" w:hAnsi="Palatino Linotype" w:cs="Times New Roman"/>
          <w:color w:val="373737"/>
          <w:shd w:val="clear" w:color="auto" w:fill="FFFFFF"/>
        </w:rPr>
        <w:t xml:space="preserve">learn the method and make it more and more efficient and effective over time.  This is part of the learning process and is one if its significant outcomes. </w:t>
      </w:r>
    </w:p>
    <w:p w14:paraId="57FDBD0E" w14:textId="77A9816C" w:rsidR="00A239A1" w:rsidRPr="00320C53" w:rsidRDefault="004E017F" w:rsidP="000C2DAB">
      <w:pPr>
        <w:spacing w:line="480" w:lineRule="auto"/>
        <w:jc w:val="both"/>
        <w:rPr>
          <w:rFonts w:ascii="Palatino Linotype" w:eastAsia="Times New Roman" w:hAnsi="Palatino Linotype" w:cs="Times New Roman"/>
          <w:color w:val="373737"/>
          <w:shd w:val="clear" w:color="auto" w:fill="FFFFFF"/>
        </w:rPr>
      </w:pPr>
      <w:r w:rsidRPr="00320C53">
        <w:rPr>
          <w:rFonts w:ascii="Palatino Linotype" w:eastAsia="Times New Roman" w:hAnsi="Palatino Linotype" w:cs="Times New Roman"/>
          <w:color w:val="373737"/>
          <w:shd w:val="clear" w:color="auto" w:fill="FFFFFF"/>
        </w:rPr>
        <w:t>A further question arises on the issue of coverage</w:t>
      </w:r>
      <w:r w:rsidR="00B46105" w:rsidRPr="00320C53">
        <w:rPr>
          <w:rFonts w:ascii="Palatino Linotype" w:eastAsia="Times New Roman" w:hAnsi="Palatino Linotype" w:cs="Times New Roman"/>
          <w:color w:val="373737"/>
          <w:shd w:val="clear" w:color="auto" w:fill="FFFFFF"/>
        </w:rPr>
        <w:t xml:space="preserve">. </w:t>
      </w:r>
      <w:r w:rsidR="00DD1E81" w:rsidRPr="00320C53">
        <w:rPr>
          <w:rFonts w:ascii="Palatino Linotype" w:eastAsia="Times New Roman" w:hAnsi="Palatino Linotype" w:cs="Times New Roman"/>
          <w:color w:val="373737"/>
          <w:shd w:val="clear" w:color="auto" w:fill="FFFFFF"/>
        </w:rPr>
        <w:t xml:space="preserve"> How much substantive and adjectival law must a student “know”? Each jurisdiction answers this question differently. In England and Wales </w:t>
      </w:r>
      <w:r w:rsidR="00ED6D51" w:rsidRPr="00320C53">
        <w:rPr>
          <w:rFonts w:ascii="Palatino Linotype" w:eastAsia="Times New Roman" w:hAnsi="Palatino Linotype" w:cs="Times New Roman"/>
          <w:color w:val="373737"/>
          <w:shd w:val="clear" w:color="auto" w:fill="FFFFFF"/>
        </w:rPr>
        <w:t xml:space="preserve">some </w:t>
      </w:r>
      <w:r w:rsidR="00DD1E81" w:rsidRPr="00320C53">
        <w:rPr>
          <w:rFonts w:ascii="Palatino Linotype" w:eastAsia="Times New Roman" w:hAnsi="Palatino Linotype" w:cs="Times New Roman"/>
          <w:color w:val="373737"/>
          <w:shd w:val="clear" w:color="auto" w:fill="FFFFFF"/>
        </w:rPr>
        <w:t>intending lawyers need only complete a one year Common Professional Examination.</w:t>
      </w:r>
      <w:r w:rsidR="00BF5231" w:rsidRPr="00320C53">
        <w:rPr>
          <w:rStyle w:val="FootnoteReference"/>
          <w:rFonts w:ascii="Palatino Linotype" w:eastAsia="Times New Roman" w:hAnsi="Palatino Linotype" w:cs="Times New Roman"/>
          <w:color w:val="373737"/>
          <w:shd w:val="clear" w:color="auto" w:fill="FFFFFF"/>
        </w:rPr>
        <w:footnoteReference w:id="52"/>
      </w:r>
      <w:r w:rsidR="00DD1E81" w:rsidRPr="00320C53">
        <w:rPr>
          <w:rFonts w:ascii="Palatino Linotype" w:eastAsia="Times New Roman" w:hAnsi="Palatino Linotype" w:cs="Times New Roman"/>
          <w:color w:val="373737"/>
          <w:shd w:val="clear" w:color="auto" w:fill="FFFFFF"/>
        </w:rPr>
        <w:t xml:space="preserve"> </w:t>
      </w:r>
      <w:r w:rsidRPr="00320C53">
        <w:rPr>
          <w:rFonts w:ascii="Palatino Linotype" w:eastAsia="Times New Roman" w:hAnsi="Palatino Linotype" w:cs="Times New Roman"/>
          <w:color w:val="373737"/>
          <w:shd w:val="clear" w:color="auto" w:fill="FFFFFF"/>
        </w:rPr>
        <w:t xml:space="preserve">Casual </w:t>
      </w:r>
      <w:r w:rsidR="00DD1E81" w:rsidRPr="00320C53">
        <w:rPr>
          <w:rFonts w:ascii="Palatino Linotype" w:eastAsia="Times New Roman" w:hAnsi="Palatino Linotype" w:cs="Times New Roman"/>
          <w:color w:val="373737"/>
          <w:shd w:val="clear" w:color="auto" w:fill="FFFFFF"/>
        </w:rPr>
        <w:t xml:space="preserve">conversations </w:t>
      </w:r>
      <w:r w:rsidR="003E37E2" w:rsidRPr="00320C53">
        <w:rPr>
          <w:rFonts w:ascii="Palatino Linotype" w:eastAsia="Times New Roman" w:hAnsi="Palatino Linotype" w:cs="Times New Roman"/>
          <w:color w:val="373737"/>
          <w:shd w:val="clear" w:color="auto" w:fill="FFFFFF"/>
        </w:rPr>
        <w:t xml:space="preserve">I have had </w:t>
      </w:r>
      <w:r w:rsidR="00DD1E81" w:rsidRPr="00320C53">
        <w:rPr>
          <w:rFonts w:ascii="Palatino Linotype" w:eastAsia="Times New Roman" w:hAnsi="Palatino Linotype" w:cs="Times New Roman"/>
          <w:color w:val="373737"/>
          <w:shd w:val="clear" w:color="auto" w:fill="FFFFFF"/>
        </w:rPr>
        <w:t xml:space="preserve">with English lawyers, especially barristers, have often reflected </w:t>
      </w:r>
      <w:r w:rsidR="003E37E2" w:rsidRPr="00320C53">
        <w:rPr>
          <w:rFonts w:ascii="Palatino Linotype" w:eastAsia="Times New Roman" w:hAnsi="Palatino Linotype" w:cs="Times New Roman"/>
          <w:color w:val="373737"/>
          <w:shd w:val="clear" w:color="auto" w:fill="FFFFFF"/>
        </w:rPr>
        <w:t xml:space="preserve">their </w:t>
      </w:r>
      <w:r w:rsidR="00DD1E81" w:rsidRPr="00320C53">
        <w:rPr>
          <w:rFonts w:ascii="Palatino Linotype" w:eastAsia="Times New Roman" w:hAnsi="Palatino Linotype" w:cs="Times New Roman"/>
          <w:color w:val="373737"/>
          <w:shd w:val="clear" w:color="auto" w:fill="FFFFFF"/>
        </w:rPr>
        <w:t>great pride in never having “read” law</w:t>
      </w:r>
      <w:r w:rsidR="003E37E2" w:rsidRPr="00320C53">
        <w:rPr>
          <w:rFonts w:ascii="Palatino Linotype" w:eastAsia="Times New Roman" w:hAnsi="Palatino Linotype" w:cs="Times New Roman"/>
          <w:color w:val="373737"/>
          <w:shd w:val="clear" w:color="auto" w:fill="FFFFFF"/>
        </w:rPr>
        <w:t xml:space="preserve"> at university</w:t>
      </w:r>
      <w:r w:rsidR="00DD1E81" w:rsidRPr="00320C53">
        <w:rPr>
          <w:rFonts w:ascii="Palatino Linotype" w:eastAsia="Times New Roman" w:hAnsi="Palatino Linotype" w:cs="Times New Roman"/>
          <w:color w:val="373737"/>
          <w:shd w:val="clear" w:color="auto" w:fill="FFFFFF"/>
        </w:rPr>
        <w:t>. In most p</w:t>
      </w:r>
      <w:r w:rsidR="003E37E2" w:rsidRPr="00320C53">
        <w:rPr>
          <w:rFonts w:ascii="Palatino Linotype" w:eastAsia="Times New Roman" w:hAnsi="Palatino Linotype" w:cs="Times New Roman"/>
          <w:color w:val="373737"/>
          <w:shd w:val="clear" w:color="auto" w:fill="FFFFFF"/>
        </w:rPr>
        <w:t xml:space="preserve">arts of the common law world </w:t>
      </w:r>
      <w:r w:rsidR="00DD1E81" w:rsidRPr="00320C53">
        <w:rPr>
          <w:rFonts w:ascii="Palatino Linotype" w:eastAsia="Times New Roman" w:hAnsi="Palatino Linotype" w:cs="Times New Roman"/>
          <w:color w:val="373737"/>
          <w:shd w:val="clear" w:color="auto" w:fill="FFFFFF"/>
        </w:rPr>
        <w:t xml:space="preserve">only some subjects are required, though three years of subjects, without a prescription beyond the initial set of courses, are </w:t>
      </w:r>
      <w:r w:rsidR="003E37E2" w:rsidRPr="00320C53">
        <w:rPr>
          <w:rFonts w:ascii="Palatino Linotype" w:eastAsia="Times New Roman" w:hAnsi="Palatino Linotype" w:cs="Times New Roman"/>
          <w:color w:val="373737"/>
          <w:shd w:val="clear" w:color="auto" w:fill="FFFFFF"/>
        </w:rPr>
        <w:t xml:space="preserve">normally </w:t>
      </w:r>
      <w:r w:rsidR="00DD1E81" w:rsidRPr="00320C53">
        <w:rPr>
          <w:rFonts w:ascii="Palatino Linotype" w:eastAsia="Times New Roman" w:hAnsi="Palatino Linotype" w:cs="Times New Roman"/>
          <w:color w:val="373737"/>
          <w:shd w:val="clear" w:color="auto" w:fill="FFFFFF"/>
        </w:rPr>
        <w:t xml:space="preserve">required. </w:t>
      </w:r>
      <w:r w:rsidR="004E1058" w:rsidRPr="00320C53">
        <w:rPr>
          <w:rFonts w:ascii="Palatino Linotype" w:eastAsia="Times New Roman" w:hAnsi="Palatino Linotype" w:cs="Times New Roman"/>
          <w:color w:val="373737"/>
          <w:shd w:val="clear" w:color="auto" w:fill="FFFFFF"/>
        </w:rPr>
        <w:t>There are</w:t>
      </w:r>
      <w:r w:rsidR="00DD1E81" w:rsidRPr="00320C53">
        <w:rPr>
          <w:rFonts w:ascii="Palatino Linotype" w:eastAsia="Times New Roman" w:hAnsi="Palatino Linotype" w:cs="Times New Roman"/>
          <w:color w:val="373737"/>
          <w:shd w:val="clear" w:color="auto" w:fill="FFFFFF"/>
        </w:rPr>
        <w:t xml:space="preserve"> many lawyers who practise law in fields unknown to their law schools and some practically unknown to their professional colleagues. </w:t>
      </w:r>
      <w:r w:rsidR="00244D87">
        <w:rPr>
          <w:rFonts w:ascii="Palatino Linotype" w:eastAsia="Times New Roman" w:hAnsi="Palatino Linotype" w:cs="Times New Roman"/>
          <w:color w:val="373737"/>
          <w:shd w:val="clear" w:color="auto" w:fill="FFFFFF"/>
        </w:rPr>
        <w:t>In the 1960</w:t>
      </w:r>
      <w:r w:rsidR="008C07DA" w:rsidRPr="00320C53">
        <w:rPr>
          <w:rFonts w:ascii="Palatino Linotype" w:eastAsia="Times New Roman" w:hAnsi="Palatino Linotype" w:cs="Times New Roman"/>
          <w:color w:val="373737"/>
          <w:shd w:val="clear" w:color="auto" w:fill="FFFFFF"/>
        </w:rPr>
        <w:t>s</w:t>
      </w:r>
      <w:r w:rsidR="008C07DA" w:rsidRPr="00320C53">
        <w:rPr>
          <w:rFonts w:ascii="Palatino Linotype" w:eastAsia="Times New Roman" w:hAnsi="Palatino Linotype" w:cs="Times New Roman"/>
          <w:b/>
          <w:color w:val="373737"/>
          <w:shd w:val="clear" w:color="auto" w:fill="FFFFFF"/>
        </w:rPr>
        <w:t xml:space="preserve"> </w:t>
      </w:r>
      <w:r w:rsidR="00D47C0B" w:rsidRPr="00320C53">
        <w:rPr>
          <w:rFonts w:ascii="Palatino Linotype" w:eastAsia="Times New Roman" w:hAnsi="Palatino Linotype" w:cs="Times New Roman"/>
          <w:color w:val="373737"/>
          <w:shd w:val="clear" w:color="auto" w:fill="FFFFFF"/>
        </w:rPr>
        <w:t xml:space="preserve">in Canada </w:t>
      </w:r>
      <w:proofErr w:type="spellStart"/>
      <w:r w:rsidR="00DD1E81" w:rsidRPr="00320C53">
        <w:rPr>
          <w:rFonts w:ascii="Palatino Linotype" w:eastAsia="Times New Roman" w:hAnsi="Palatino Linotype" w:cs="Times New Roman"/>
          <w:color w:val="373737"/>
          <w:shd w:val="clear" w:color="auto" w:fill="FFFFFF"/>
        </w:rPr>
        <w:t>labour</w:t>
      </w:r>
      <w:proofErr w:type="spellEnd"/>
      <w:r w:rsidR="00DD1E81" w:rsidRPr="00320C53">
        <w:rPr>
          <w:rFonts w:ascii="Palatino Linotype" w:eastAsia="Times New Roman" w:hAnsi="Palatino Linotype" w:cs="Times New Roman"/>
          <w:color w:val="373737"/>
          <w:shd w:val="clear" w:color="auto" w:fill="FFFFFF"/>
        </w:rPr>
        <w:t xml:space="preserve"> law was a new subject. More recently, computer gaming law has foun</w:t>
      </w:r>
      <w:r w:rsidRPr="00320C53">
        <w:rPr>
          <w:rFonts w:ascii="Palatino Linotype" w:eastAsia="Times New Roman" w:hAnsi="Palatino Linotype" w:cs="Times New Roman"/>
          <w:color w:val="373737"/>
          <w:shd w:val="clear" w:color="auto" w:fill="FFFFFF"/>
        </w:rPr>
        <w:t>d its way into the curriculum</w:t>
      </w:r>
      <w:r w:rsidR="003E6532" w:rsidRPr="00320C53">
        <w:rPr>
          <w:rFonts w:ascii="Palatino Linotype" w:eastAsia="Times New Roman" w:hAnsi="Palatino Linotype" w:cs="Times New Roman"/>
          <w:color w:val="373737"/>
          <w:shd w:val="clear" w:color="auto" w:fill="FFFFFF"/>
        </w:rPr>
        <w:t xml:space="preserve">. </w:t>
      </w:r>
      <w:r w:rsidR="00DD1E81" w:rsidRPr="00320C53">
        <w:rPr>
          <w:rFonts w:ascii="Palatino Linotype" w:eastAsia="Times New Roman" w:hAnsi="Palatino Linotype" w:cs="Times New Roman"/>
          <w:color w:val="373737"/>
          <w:shd w:val="clear" w:color="auto" w:fill="FFFFFF"/>
        </w:rPr>
        <w:t>We have somewhat lazily not tried very hard to clarify and specify the minimum body of knowledge to make a graduate a law graduate</w:t>
      </w:r>
      <w:r w:rsidR="003E6532" w:rsidRPr="00320C53">
        <w:rPr>
          <w:rFonts w:ascii="Palatino Linotype" w:eastAsia="Times New Roman" w:hAnsi="Palatino Linotype" w:cs="Times New Roman"/>
          <w:color w:val="373737"/>
          <w:shd w:val="clear" w:color="auto" w:fill="FFFFFF"/>
        </w:rPr>
        <w:t>, except fo</w:t>
      </w:r>
      <w:r w:rsidR="0009188E" w:rsidRPr="00320C53">
        <w:rPr>
          <w:rFonts w:ascii="Palatino Linotype" w:eastAsia="Times New Roman" w:hAnsi="Palatino Linotype" w:cs="Times New Roman"/>
          <w:color w:val="373737"/>
          <w:shd w:val="clear" w:color="auto" w:fill="FFFFFF"/>
        </w:rPr>
        <w:t xml:space="preserve">r </w:t>
      </w:r>
      <w:r w:rsidR="0009188E" w:rsidRPr="00320C53">
        <w:rPr>
          <w:rFonts w:ascii="Palatino Linotype" w:eastAsia="Times New Roman" w:hAnsi="Palatino Linotype" w:cs="Times New Roman"/>
          <w:color w:val="373737"/>
          <w:shd w:val="clear" w:color="auto" w:fill="FFFFFF"/>
        </w:rPr>
        <w:lastRenderedPageBreak/>
        <w:t>the various prescriptions of minimum specified s</w:t>
      </w:r>
      <w:r w:rsidR="003E6532" w:rsidRPr="00320C53">
        <w:rPr>
          <w:rFonts w:ascii="Palatino Linotype" w:eastAsia="Times New Roman" w:hAnsi="Palatino Linotype" w:cs="Times New Roman"/>
          <w:color w:val="373737"/>
          <w:shd w:val="clear" w:color="auto" w:fill="FFFFFF"/>
        </w:rPr>
        <w:t xml:space="preserve">ubjects </w:t>
      </w:r>
      <w:r w:rsidR="0009188E" w:rsidRPr="00320C53">
        <w:rPr>
          <w:rFonts w:ascii="Palatino Linotype" w:eastAsia="Times New Roman" w:hAnsi="Palatino Linotype" w:cs="Times New Roman"/>
          <w:color w:val="373737"/>
          <w:shd w:val="clear" w:color="auto" w:fill="FFFFFF"/>
        </w:rPr>
        <w:t>students must take around the globe which have not been developed from any systematic process I have ever heard of and while maintaining a nearly common first year core, thereafter differ from place to place</w:t>
      </w:r>
      <w:r w:rsidR="00DD1E81" w:rsidRPr="00320C53">
        <w:rPr>
          <w:rFonts w:ascii="Palatino Linotype" w:eastAsia="Times New Roman" w:hAnsi="Palatino Linotype" w:cs="Times New Roman"/>
          <w:color w:val="373737"/>
          <w:shd w:val="clear" w:color="auto" w:fill="FFFFFF"/>
        </w:rPr>
        <w:t xml:space="preserve">. </w:t>
      </w:r>
      <w:r w:rsidR="00A239A1" w:rsidRPr="00320C53">
        <w:rPr>
          <w:rFonts w:ascii="Palatino Linotype" w:eastAsia="Times New Roman" w:hAnsi="Palatino Linotype" w:cs="Times New Roman"/>
          <w:color w:val="373737"/>
          <w:shd w:val="clear" w:color="auto" w:fill="FFFFFF"/>
        </w:rPr>
        <w:t>Good clinical teaching and learning not only provides clear markers for students on the limitations of their knowledge but it also engenders the ability to learn to learn, the most important macro skill any professional should acquire.</w:t>
      </w:r>
    </w:p>
    <w:p w14:paraId="10BDAF60" w14:textId="7630D147" w:rsidR="00A239A1" w:rsidRPr="00320C53" w:rsidRDefault="00A239A1" w:rsidP="000C2DAB">
      <w:pPr>
        <w:spacing w:line="480" w:lineRule="auto"/>
        <w:jc w:val="both"/>
        <w:rPr>
          <w:rFonts w:ascii="Palatino Linotype" w:eastAsia="Times New Roman" w:hAnsi="Palatino Linotype" w:cs="Times New Roman"/>
          <w:color w:val="373737"/>
          <w:shd w:val="clear" w:color="auto" w:fill="FFFFFF"/>
        </w:rPr>
      </w:pPr>
      <w:r w:rsidRPr="00320C53">
        <w:rPr>
          <w:rFonts w:ascii="Palatino Linotype" w:eastAsia="Times New Roman" w:hAnsi="Palatino Linotype" w:cs="Times New Roman"/>
          <w:color w:val="373737"/>
          <w:shd w:val="clear" w:color="auto" w:fill="FFFFFF"/>
        </w:rPr>
        <w:t>I will now focus on whether clinic, beyond PBL, could meet the learning outcomes specified in the UUDLEs and in both Carnegie and Stuckey.</w:t>
      </w:r>
    </w:p>
    <w:p w14:paraId="1880B6E9" w14:textId="77777777" w:rsidR="00DD1E81" w:rsidRPr="00320C53" w:rsidRDefault="00DD1E81" w:rsidP="000C2DAB">
      <w:pPr>
        <w:spacing w:line="480" w:lineRule="auto"/>
        <w:jc w:val="both"/>
        <w:rPr>
          <w:rFonts w:ascii="Palatino Linotype" w:eastAsia="Times New Roman" w:hAnsi="Palatino Linotype" w:cs="Times New Roman"/>
          <w:color w:val="373737"/>
          <w:shd w:val="clear" w:color="auto" w:fill="FFFFFF"/>
        </w:rPr>
      </w:pPr>
    </w:p>
    <w:p w14:paraId="46BDD0BA" w14:textId="1466CE22" w:rsidR="00DD1E81" w:rsidRPr="00E662FA" w:rsidRDefault="00E662FA" w:rsidP="00E662FA">
      <w:pPr>
        <w:pStyle w:val="ListParagraph"/>
        <w:numPr>
          <w:ilvl w:val="0"/>
          <w:numId w:val="38"/>
        </w:numPr>
        <w:spacing w:line="480" w:lineRule="auto"/>
        <w:jc w:val="both"/>
        <w:rPr>
          <w:rFonts w:ascii="Palatino Linotype" w:eastAsia="Times New Roman" w:hAnsi="Palatino Linotype" w:cs="Times New Roman"/>
          <w:color w:val="373737"/>
          <w:shd w:val="clear" w:color="auto" w:fill="FFFFFF"/>
        </w:rPr>
      </w:pPr>
      <w:r w:rsidRPr="00E662FA">
        <w:rPr>
          <w:rFonts w:ascii="Palatino Linotype" w:eastAsia="Times New Roman" w:hAnsi="Palatino Linotype" w:cs="Times New Roman"/>
          <w:color w:val="373737"/>
          <w:shd w:val="clear" w:color="auto" w:fill="FFFFFF"/>
        </w:rPr>
        <w:t>THE DESIRABLE STRUCTURAL COMPLEXITY OF CLINIC</w:t>
      </w:r>
    </w:p>
    <w:p w14:paraId="233754E2" w14:textId="77777777" w:rsidR="00E662FA" w:rsidRDefault="00E662FA" w:rsidP="000C2DAB">
      <w:pPr>
        <w:spacing w:line="480" w:lineRule="auto"/>
        <w:jc w:val="both"/>
        <w:rPr>
          <w:rFonts w:ascii="Palatino Linotype" w:eastAsia="Times New Roman" w:hAnsi="Palatino Linotype" w:cs="Times New Roman"/>
          <w:color w:val="373737"/>
          <w:shd w:val="clear" w:color="auto" w:fill="FFFFFF"/>
        </w:rPr>
      </w:pPr>
    </w:p>
    <w:p w14:paraId="2F3F46AB" w14:textId="2F42D2D5" w:rsidR="00DD1E81" w:rsidRPr="00320C53" w:rsidRDefault="00DD1E81" w:rsidP="000C2DAB">
      <w:pPr>
        <w:spacing w:line="480" w:lineRule="auto"/>
        <w:jc w:val="both"/>
        <w:rPr>
          <w:rFonts w:ascii="Palatino Linotype" w:eastAsia="Times New Roman" w:hAnsi="Palatino Linotype" w:cs="Times New Roman"/>
          <w:color w:val="373737"/>
          <w:shd w:val="clear" w:color="auto" w:fill="FFFFFF"/>
        </w:rPr>
      </w:pPr>
      <w:r w:rsidRPr="00320C53">
        <w:rPr>
          <w:rFonts w:ascii="Palatino Linotype" w:eastAsia="Times New Roman" w:hAnsi="Palatino Linotype" w:cs="Times New Roman"/>
          <w:color w:val="373737"/>
          <w:shd w:val="clear" w:color="auto" w:fill="FFFFFF"/>
        </w:rPr>
        <w:t>However, PBL is not nearly enough. It is a useful methodology for the introduction of the variety of aspects of substantive and procedural law that we are interested in assuring students know and can work with usefully.  It is an active and sure surrogate for didactic and case method/Socratic approaches that are so notoriously limited.</w:t>
      </w:r>
      <w:r w:rsidRPr="00320C53">
        <w:rPr>
          <w:rStyle w:val="FootnoteReference"/>
          <w:rFonts w:ascii="Palatino Linotype" w:eastAsia="Times New Roman" w:hAnsi="Palatino Linotype" w:cs="Times New Roman"/>
          <w:color w:val="373737"/>
          <w:shd w:val="clear" w:color="auto" w:fill="FFFFFF"/>
        </w:rPr>
        <w:footnoteReference w:id="53"/>
      </w:r>
      <w:r w:rsidRPr="00320C53">
        <w:rPr>
          <w:rFonts w:ascii="Palatino Linotype" w:eastAsia="Times New Roman" w:hAnsi="Palatino Linotype" w:cs="Times New Roman"/>
          <w:color w:val="373737"/>
          <w:shd w:val="clear" w:color="auto" w:fill="FFFFFF"/>
        </w:rPr>
        <w:t xml:space="preserve"> However, even in the early days of a student’s law study PBL should be joined with live-client </w:t>
      </w:r>
      <w:r w:rsidRPr="00320C53">
        <w:rPr>
          <w:rFonts w:ascii="Palatino Linotype" w:eastAsia="Times New Roman" w:hAnsi="Palatino Linotype" w:cs="Times New Roman"/>
          <w:color w:val="373737"/>
          <w:shd w:val="clear" w:color="auto" w:fill="FFFFFF"/>
        </w:rPr>
        <w:lastRenderedPageBreak/>
        <w:t>representation with “real consequences on the line.”</w:t>
      </w:r>
      <w:r w:rsidRPr="00320C53">
        <w:rPr>
          <w:rStyle w:val="FootnoteReference"/>
          <w:rFonts w:ascii="Palatino Linotype" w:eastAsia="Times New Roman" w:hAnsi="Palatino Linotype" w:cs="Times New Roman"/>
          <w:color w:val="373737"/>
          <w:shd w:val="clear" w:color="auto" w:fill="FFFFFF"/>
        </w:rPr>
        <w:footnoteReference w:id="54"/>
      </w:r>
      <w:r w:rsidRPr="00320C53">
        <w:rPr>
          <w:rFonts w:ascii="Palatino Linotype" w:eastAsia="Times New Roman" w:hAnsi="Palatino Linotype" w:cs="Times New Roman"/>
          <w:color w:val="373737"/>
          <w:shd w:val="clear" w:color="auto" w:fill="FFFFFF"/>
        </w:rPr>
        <w:t xml:space="preserve"> The benefits of live client rep</w:t>
      </w:r>
      <w:r w:rsidR="000D29A0" w:rsidRPr="00320C53">
        <w:rPr>
          <w:rFonts w:ascii="Palatino Linotype" w:eastAsia="Times New Roman" w:hAnsi="Palatino Linotype" w:cs="Times New Roman"/>
          <w:color w:val="373737"/>
          <w:shd w:val="clear" w:color="auto" w:fill="FFFFFF"/>
        </w:rPr>
        <w:t>resentation are many and varied. First, t</w:t>
      </w:r>
      <w:r w:rsidRPr="00320C53">
        <w:rPr>
          <w:rFonts w:ascii="Palatino Linotype" w:eastAsia="Times New Roman" w:hAnsi="Palatino Linotype" w:cs="Times New Roman"/>
          <w:color w:val="373737"/>
          <w:shd w:val="clear" w:color="auto" w:fill="FFFFFF"/>
        </w:rPr>
        <w:t>ruth is stranger than fiction</w:t>
      </w:r>
      <w:r w:rsidR="000D29A0" w:rsidRPr="00320C53">
        <w:rPr>
          <w:rFonts w:ascii="Palatino Linotype" w:eastAsia="Times New Roman" w:hAnsi="Palatino Linotype" w:cs="Times New Roman"/>
          <w:color w:val="373737"/>
          <w:shd w:val="clear" w:color="auto" w:fill="FFFFFF"/>
        </w:rPr>
        <w:t xml:space="preserve"> and t</w:t>
      </w:r>
      <w:r w:rsidRPr="00320C53">
        <w:rPr>
          <w:rFonts w:ascii="Palatino Linotype" w:eastAsia="Times New Roman" w:hAnsi="Palatino Linotype" w:cs="Times New Roman"/>
          <w:color w:val="373737"/>
          <w:shd w:val="clear" w:color="auto" w:fill="FFFFFF"/>
        </w:rPr>
        <w:t>he real world is complex and unpredictable. It is unusual for clients to present problems that are resolved with reference to any single legal notion, field or representational approach. This context is rich and its stimuli are engaging and perplexing. It awakens an interest in managing the complex and tackling the ineffable.</w:t>
      </w:r>
      <w:r w:rsidR="000D29A0" w:rsidRPr="00320C53">
        <w:rPr>
          <w:rFonts w:ascii="Palatino Linotype" w:eastAsia="Times New Roman" w:hAnsi="Palatino Linotype" w:cs="Times New Roman"/>
          <w:color w:val="373737"/>
          <w:shd w:val="clear" w:color="auto" w:fill="FFFFFF"/>
        </w:rPr>
        <w:t xml:space="preserve"> Second, s</w:t>
      </w:r>
      <w:r w:rsidRPr="00320C53">
        <w:rPr>
          <w:rFonts w:ascii="Palatino Linotype" w:eastAsia="Times New Roman" w:hAnsi="Palatino Linotype" w:cs="Times New Roman"/>
          <w:color w:val="373737"/>
          <w:shd w:val="clear" w:color="auto" w:fill="FFFFFF"/>
        </w:rPr>
        <w:t>tudent motivation to learn is enhanced through the desire to perform pr</w:t>
      </w:r>
      <w:r w:rsidR="000D29A0" w:rsidRPr="00320C53">
        <w:rPr>
          <w:rFonts w:ascii="Palatino Linotype" w:eastAsia="Times New Roman" w:hAnsi="Palatino Linotype" w:cs="Times New Roman"/>
          <w:color w:val="373737"/>
          <w:shd w:val="clear" w:color="auto" w:fill="FFFFFF"/>
        </w:rPr>
        <w:t xml:space="preserve">oficiently. </w:t>
      </w:r>
      <w:r w:rsidR="006428CF" w:rsidRPr="00320C53">
        <w:rPr>
          <w:rFonts w:ascii="Palatino Linotype" w:eastAsia="Times New Roman" w:hAnsi="Palatino Linotype" w:cs="Times New Roman"/>
          <w:color w:val="373737"/>
          <w:shd w:val="clear" w:color="auto" w:fill="FFFFFF"/>
        </w:rPr>
        <w:t>Third, i</w:t>
      </w:r>
      <w:r w:rsidRPr="00320C53">
        <w:rPr>
          <w:rFonts w:ascii="Palatino Linotype" w:eastAsia="Times New Roman" w:hAnsi="Palatino Linotype" w:cs="Times New Roman"/>
          <w:color w:val="373737"/>
          <w:shd w:val="clear" w:color="auto" w:fill="FFFFFF"/>
        </w:rPr>
        <w:t xml:space="preserve">n poverty law clinics, </w:t>
      </w:r>
      <w:r w:rsidR="000D29A0" w:rsidRPr="00320C53">
        <w:rPr>
          <w:rFonts w:ascii="Palatino Linotype" w:eastAsia="Times New Roman" w:hAnsi="Palatino Linotype" w:cs="Times New Roman"/>
          <w:color w:val="373737"/>
          <w:shd w:val="clear" w:color="auto" w:fill="FFFFFF"/>
        </w:rPr>
        <w:t xml:space="preserve">a </w:t>
      </w:r>
      <w:r w:rsidRPr="00320C53">
        <w:rPr>
          <w:rFonts w:ascii="Palatino Linotype" w:eastAsia="Times New Roman" w:hAnsi="Palatino Linotype" w:cs="Times New Roman"/>
          <w:color w:val="373737"/>
          <w:shd w:val="clear" w:color="auto" w:fill="FFFFFF"/>
        </w:rPr>
        <w:t xml:space="preserve">law reform office, </w:t>
      </w:r>
      <w:r w:rsidRPr="00320C53">
        <w:rPr>
          <w:rFonts w:ascii="Palatino Linotype" w:eastAsia="Times New Roman" w:hAnsi="Palatino Linotype" w:cs="Times New Roman"/>
          <w:i/>
          <w:color w:val="373737"/>
          <w:shd w:val="clear" w:color="auto" w:fill="FFFFFF"/>
        </w:rPr>
        <w:t>pro bono</w:t>
      </w:r>
      <w:r w:rsidRPr="00320C53">
        <w:rPr>
          <w:rFonts w:ascii="Palatino Linotype" w:eastAsia="Times New Roman" w:hAnsi="Palatino Linotype" w:cs="Times New Roman"/>
          <w:color w:val="373737"/>
          <w:shd w:val="clear" w:color="auto" w:fill="FFFFFF"/>
        </w:rPr>
        <w:t xml:space="preserve"> projects and others where those without resources or resourcefulness are found, students are often motivated to do for clients what clients are unable to do for themselves.</w:t>
      </w:r>
      <w:r w:rsidRPr="00320C53">
        <w:rPr>
          <w:rStyle w:val="FootnoteReference"/>
          <w:rFonts w:ascii="Palatino Linotype" w:eastAsia="Times New Roman" w:hAnsi="Palatino Linotype" w:cs="Times New Roman"/>
          <w:color w:val="373737"/>
          <w:shd w:val="clear" w:color="auto" w:fill="FFFFFF"/>
        </w:rPr>
        <w:footnoteReference w:id="55"/>
      </w:r>
      <w:r w:rsidR="000D29A0" w:rsidRPr="00320C53">
        <w:rPr>
          <w:rFonts w:ascii="Palatino Linotype" w:eastAsia="Times New Roman" w:hAnsi="Palatino Linotype" w:cs="Times New Roman"/>
          <w:color w:val="373737"/>
          <w:shd w:val="clear" w:color="auto" w:fill="FFFFFF"/>
        </w:rPr>
        <w:t xml:space="preserve"> </w:t>
      </w:r>
      <w:r w:rsidR="006428CF" w:rsidRPr="00320C53">
        <w:rPr>
          <w:rFonts w:ascii="Palatino Linotype" w:eastAsia="Times New Roman" w:hAnsi="Palatino Linotype" w:cs="Times New Roman"/>
          <w:color w:val="373737"/>
          <w:shd w:val="clear" w:color="auto" w:fill="FFFFFF"/>
        </w:rPr>
        <w:t xml:space="preserve"> Finally, t</w:t>
      </w:r>
      <w:r w:rsidRPr="00320C53">
        <w:rPr>
          <w:rFonts w:ascii="Palatino Linotype" w:eastAsia="Times New Roman" w:hAnsi="Palatino Linotype" w:cs="Times New Roman"/>
          <w:color w:val="373737"/>
          <w:shd w:val="clear" w:color="auto" w:fill="FFFFFF"/>
        </w:rPr>
        <w:t>he presence of peers and a supervisor provides a supportive</w:t>
      </w:r>
      <w:r w:rsidR="006428CF" w:rsidRPr="00320C53">
        <w:rPr>
          <w:rFonts w:ascii="Palatino Linotype" w:eastAsia="Times New Roman" w:hAnsi="Palatino Linotype" w:cs="Times New Roman"/>
          <w:color w:val="373737"/>
          <w:shd w:val="clear" w:color="auto" w:fill="FFFFFF"/>
        </w:rPr>
        <w:t xml:space="preserve"> environment in which to practis</w:t>
      </w:r>
      <w:r w:rsidRPr="00320C53">
        <w:rPr>
          <w:rFonts w:ascii="Palatino Linotype" w:eastAsia="Times New Roman" w:hAnsi="Palatino Linotype" w:cs="Times New Roman"/>
          <w:color w:val="373737"/>
          <w:shd w:val="clear" w:color="auto" w:fill="FFFFFF"/>
        </w:rPr>
        <w:t>e with a failsafe protective net -- most of the time</w:t>
      </w:r>
      <w:r w:rsidR="006428CF" w:rsidRPr="00320C53">
        <w:rPr>
          <w:rFonts w:ascii="Palatino Linotype" w:eastAsia="Times New Roman" w:hAnsi="Palatino Linotype" w:cs="Times New Roman"/>
          <w:color w:val="373737"/>
          <w:shd w:val="clear" w:color="auto" w:fill="FFFFFF"/>
        </w:rPr>
        <w:t>. Besides</w:t>
      </w:r>
      <w:r w:rsidRPr="00320C53">
        <w:rPr>
          <w:rFonts w:ascii="Palatino Linotype" w:eastAsia="Times New Roman" w:hAnsi="Palatino Linotype" w:cs="Times New Roman"/>
          <w:color w:val="373737"/>
          <w:shd w:val="clear" w:color="auto" w:fill="FFFFFF"/>
        </w:rPr>
        <w:t xml:space="preserve"> students usually wish to provide the best possible service to their clients and welcome support in so doing.</w:t>
      </w:r>
    </w:p>
    <w:p w14:paraId="64D21278" w14:textId="59D7A773" w:rsidR="00DD1E81" w:rsidRPr="00320C53" w:rsidRDefault="00DD1E81" w:rsidP="000C2DAB">
      <w:pPr>
        <w:spacing w:line="480" w:lineRule="auto"/>
        <w:jc w:val="both"/>
        <w:rPr>
          <w:rFonts w:ascii="Palatino Linotype" w:eastAsia="Times New Roman" w:hAnsi="Palatino Linotype" w:cs="Times New Roman"/>
          <w:color w:val="373737"/>
          <w:shd w:val="clear" w:color="auto" w:fill="FFFFFF"/>
        </w:rPr>
      </w:pPr>
      <w:r w:rsidRPr="00320C53">
        <w:rPr>
          <w:rFonts w:ascii="Palatino Linotype" w:eastAsia="Times New Roman" w:hAnsi="Palatino Linotype" w:cs="Times New Roman"/>
          <w:color w:val="373737"/>
          <w:shd w:val="clear" w:color="auto" w:fill="FFFFFF"/>
        </w:rPr>
        <w:t xml:space="preserve">First and foremost clinic, including PBL, is not a unitary method of learning and teaching. The central feature of clinic is that it demands that students undertake learning in the context of a lawyer’s </w:t>
      </w:r>
      <w:r w:rsidR="006428CF" w:rsidRPr="00320C53">
        <w:rPr>
          <w:rFonts w:ascii="Palatino Linotype" w:eastAsia="Times New Roman" w:hAnsi="Palatino Linotype" w:cs="Times New Roman"/>
          <w:color w:val="373737"/>
          <w:shd w:val="clear" w:color="auto" w:fill="FFFFFF"/>
        </w:rPr>
        <w:t xml:space="preserve">(or other legal agent’s) </w:t>
      </w:r>
      <w:r w:rsidRPr="00320C53">
        <w:rPr>
          <w:rFonts w:ascii="Palatino Linotype" w:eastAsia="Times New Roman" w:hAnsi="Palatino Linotype" w:cs="Times New Roman"/>
          <w:color w:val="373737"/>
          <w:shd w:val="clear" w:color="auto" w:fill="FFFFFF"/>
        </w:rPr>
        <w:t xml:space="preserve">role </w:t>
      </w:r>
      <w:r w:rsidR="003C1341" w:rsidRPr="00320C53">
        <w:rPr>
          <w:rFonts w:ascii="Palatino Linotype" w:eastAsia="Times New Roman" w:hAnsi="Palatino Linotype" w:cs="Times New Roman"/>
          <w:color w:val="373737"/>
          <w:shd w:val="clear" w:color="auto" w:fill="FFFFFF"/>
        </w:rPr>
        <w:t xml:space="preserve">with oversight, supervision and feedback </w:t>
      </w:r>
      <w:r w:rsidRPr="00320C53">
        <w:rPr>
          <w:rFonts w:ascii="Palatino Linotype" w:eastAsia="Times New Roman" w:hAnsi="Palatino Linotype" w:cs="Times New Roman"/>
          <w:color w:val="373737"/>
          <w:shd w:val="clear" w:color="auto" w:fill="FFFFFF"/>
        </w:rPr>
        <w:t xml:space="preserve">and that there is always a rich context of facts and factors to take into account in </w:t>
      </w:r>
      <w:r w:rsidRPr="00320C53">
        <w:rPr>
          <w:rFonts w:ascii="Palatino Linotype" w:eastAsia="Times New Roman" w:hAnsi="Palatino Linotype" w:cs="Times New Roman"/>
          <w:color w:val="373737"/>
          <w:shd w:val="clear" w:color="auto" w:fill="FFFFFF"/>
        </w:rPr>
        <w:lastRenderedPageBreak/>
        <w:t>working through the problem towards its resolution.  In the enriched and varied clinic model there will be a mixture of observation, PBL, simulation and live-client or equivalent models. In the “equivalent” models I am referring to legislative clinics, law reform, community development, community education and advocacy clinics. It has been feasible in some places to structure judicial internships. Though the student does not take on the role of judge, she does assume the role of judge’s clerk. Certain externships that are carefully supervised may also qualify if there is structured and reliable supervision and there are clear learning outcomes specified and achieved.</w:t>
      </w:r>
      <w:r w:rsidRPr="00320C53">
        <w:rPr>
          <w:rStyle w:val="FootnoteReference"/>
          <w:rFonts w:ascii="Palatino Linotype" w:eastAsia="Times New Roman" w:hAnsi="Palatino Linotype" w:cs="Times New Roman"/>
          <w:color w:val="373737"/>
          <w:shd w:val="clear" w:color="auto" w:fill="FFFFFF"/>
        </w:rPr>
        <w:footnoteReference w:id="56"/>
      </w:r>
      <w:r w:rsidRPr="00320C53">
        <w:rPr>
          <w:rFonts w:ascii="Palatino Linotype" w:eastAsia="Times New Roman" w:hAnsi="Palatino Linotype" w:cs="Times New Roman"/>
          <w:color w:val="373737"/>
          <w:shd w:val="clear" w:color="auto" w:fill="FFFFFF"/>
        </w:rPr>
        <w:t xml:space="preserve"> </w:t>
      </w:r>
    </w:p>
    <w:p w14:paraId="44824705" w14:textId="5952C9A9" w:rsidR="00DD1E81" w:rsidRPr="00320C53" w:rsidRDefault="00DD1E81" w:rsidP="000C2DAB">
      <w:pPr>
        <w:spacing w:line="480" w:lineRule="auto"/>
        <w:jc w:val="both"/>
        <w:rPr>
          <w:rFonts w:ascii="Palatino Linotype" w:eastAsia="Times New Roman" w:hAnsi="Palatino Linotype" w:cs="Times New Roman"/>
          <w:color w:val="373737"/>
          <w:shd w:val="clear" w:color="auto" w:fill="FFFFFF"/>
        </w:rPr>
      </w:pPr>
      <w:r w:rsidRPr="00320C53">
        <w:rPr>
          <w:rFonts w:ascii="Palatino Linotype" w:eastAsia="Times New Roman" w:hAnsi="Palatino Linotype" w:cs="Times New Roman"/>
          <w:color w:val="373737"/>
          <w:shd w:val="clear" w:color="auto" w:fill="FFFFFF"/>
        </w:rPr>
        <w:t>Problem development for PBL and simulation is itself a complex process and requires instructors’ skill in developing and sequencing problems in increasing complexity both legally and in terms of the contextual and professionalism factors that are in play. Fortunately there is significant experience with this in medical education and from some law schools, many international, that have learned how to structure, sequence, manage and support problems.</w:t>
      </w:r>
    </w:p>
    <w:p w14:paraId="4467D6CE" w14:textId="6C598221" w:rsidR="00DD1E81" w:rsidRPr="00320C53" w:rsidRDefault="00DD1E81" w:rsidP="000C2DAB">
      <w:pPr>
        <w:spacing w:line="480" w:lineRule="auto"/>
        <w:jc w:val="both"/>
        <w:rPr>
          <w:rFonts w:ascii="Palatino Linotype" w:eastAsia="Times New Roman" w:hAnsi="Palatino Linotype" w:cs="Times New Roman"/>
          <w:color w:val="373737"/>
          <w:shd w:val="clear" w:color="auto" w:fill="FFFFFF"/>
        </w:rPr>
      </w:pPr>
      <w:r w:rsidRPr="00320C53">
        <w:rPr>
          <w:rFonts w:ascii="Palatino Linotype" w:eastAsia="Times New Roman" w:hAnsi="Palatino Linotype" w:cs="Times New Roman"/>
          <w:color w:val="373737"/>
          <w:shd w:val="clear" w:color="auto" w:fill="FFFFFF"/>
        </w:rPr>
        <w:t xml:space="preserve">Live client problems of course defy being ordered neatly. That is life – it is rarely neat. Life is always complex and presents many conundrums, so the sooner and more often one can engage with it the better. Sequencing of learning according to a prescribed </w:t>
      </w:r>
      <w:r w:rsidRPr="00320C53">
        <w:rPr>
          <w:rFonts w:ascii="Palatino Linotype" w:eastAsia="Times New Roman" w:hAnsi="Palatino Linotype" w:cs="Times New Roman"/>
          <w:color w:val="373737"/>
          <w:shd w:val="clear" w:color="auto" w:fill="FFFFFF"/>
        </w:rPr>
        <w:lastRenderedPageBreak/>
        <w:t>pattern may be marginally manageable with good intake management and case assignment techniques. That cases arrive randomly does not mean that the watchful instructor cannot manage them so as to maximize opportunities for learning.</w:t>
      </w:r>
      <w:r w:rsidRPr="00320C53">
        <w:rPr>
          <w:rStyle w:val="FootnoteReference"/>
          <w:rFonts w:ascii="Palatino Linotype" w:eastAsia="Times New Roman" w:hAnsi="Palatino Linotype" w:cs="Times New Roman"/>
          <w:color w:val="373737"/>
          <w:shd w:val="clear" w:color="auto" w:fill="FFFFFF"/>
        </w:rPr>
        <w:footnoteReference w:id="57"/>
      </w:r>
      <w:r w:rsidR="004E017F" w:rsidRPr="00320C53">
        <w:rPr>
          <w:rFonts w:ascii="Palatino Linotype" w:eastAsia="Times New Roman" w:hAnsi="Palatino Linotype" w:cs="Times New Roman"/>
          <w:color w:val="373737"/>
          <w:shd w:val="clear" w:color="auto" w:fill="FFFFFF"/>
        </w:rPr>
        <w:t xml:space="preserve">  </w:t>
      </w:r>
      <w:r w:rsidR="00716294" w:rsidRPr="00320C53">
        <w:rPr>
          <w:rFonts w:ascii="Palatino Linotype" w:eastAsia="Times New Roman" w:hAnsi="Palatino Linotype" w:cs="Times New Roman"/>
          <w:color w:val="373737"/>
          <w:shd w:val="clear" w:color="auto" w:fill="FFFFFF"/>
        </w:rPr>
        <w:t xml:space="preserve">Following is a suggestion of </w:t>
      </w:r>
      <w:r w:rsidRPr="00320C53">
        <w:rPr>
          <w:rFonts w:ascii="Palatino Linotype" w:eastAsia="Times New Roman" w:hAnsi="Palatino Linotype" w:cs="Times New Roman"/>
          <w:color w:val="373737"/>
          <w:shd w:val="clear" w:color="auto" w:fill="FFFFFF"/>
        </w:rPr>
        <w:t xml:space="preserve">how that might be accomplished: </w:t>
      </w:r>
    </w:p>
    <w:p w14:paraId="28748E37" w14:textId="4B39C60E" w:rsidR="00DD1E81" w:rsidRPr="00320C53" w:rsidRDefault="00DD1E81" w:rsidP="000C2DAB">
      <w:pPr>
        <w:pStyle w:val="ListParagraph"/>
        <w:numPr>
          <w:ilvl w:val="0"/>
          <w:numId w:val="20"/>
        </w:numPr>
        <w:spacing w:line="480" w:lineRule="auto"/>
        <w:jc w:val="both"/>
        <w:rPr>
          <w:rFonts w:ascii="Palatino Linotype" w:eastAsia="Times New Roman" w:hAnsi="Palatino Linotype" w:cs="Times New Roman"/>
          <w:color w:val="373737"/>
          <w:shd w:val="clear" w:color="auto" w:fill="FFFFFF"/>
        </w:rPr>
      </w:pPr>
      <w:r w:rsidRPr="00320C53">
        <w:rPr>
          <w:rFonts w:ascii="Palatino Linotype" w:eastAsia="Times New Roman" w:hAnsi="Palatino Linotype" w:cs="Times New Roman"/>
          <w:color w:val="373737"/>
          <w:shd w:val="clear" w:color="auto" w:fill="FFFFFF"/>
        </w:rPr>
        <w:t>Provide statements of clear learning outcomes for the intended learning using the UUDLEs, Carnegie and Stuckey (or whatever schema is in place);</w:t>
      </w:r>
    </w:p>
    <w:p w14:paraId="49D9BB2B" w14:textId="2839813F" w:rsidR="00DD1E81" w:rsidRPr="00320C53" w:rsidRDefault="00DD1E81" w:rsidP="000C2DAB">
      <w:pPr>
        <w:pStyle w:val="ListParagraph"/>
        <w:numPr>
          <w:ilvl w:val="0"/>
          <w:numId w:val="20"/>
        </w:numPr>
        <w:spacing w:line="480" w:lineRule="auto"/>
        <w:jc w:val="both"/>
        <w:rPr>
          <w:rFonts w:ascii="Palatino Linotype" w:eastAsia="Times New Roman" w:hAnsi="Palatino Linotype" w:cs="Times New Roman"/>
          <w:color w:val="373737"/>
          <w:shd w:val="clear" w:color="auto" w:fill="FFFFFF"/>
        </w:rPr>
      </w:pPr>
      <w:r w:rsidRPr="00320C53">
        <w:rPr>
          <w:rFonts w:ascii="Palatino Linotype" w:eastAsia="Times New Roman" w:hAnsi="Palatino Linotype" w:cs="Times New Roman"/>
          <w:color w:val="373737"/>
          <w:shd w:val="clear" w:color="auto" w:fill="FFFFFF"/>
        </w:rPr>
        <w:t>Create a matrix of the learning outcomes for each student (this might be done by the students);</w:t>
      </w:r>
    </w:p>
    <w:p w14:paraId="4615BA0F" w14:textId="0784748F" w:rsidR="00DD1E81" w:rsidRPr="00320C53" w:rsidRDefault="00DD1E81" w:rsidP="000C2DAB">
      <w:pPr>
        <w:pStyle w:val="ListParagraph"/>
        <w:numPr>
          <w:ilvl w:val="0"/>
          <w:numId w:val="20"/>
        </w:numPr>
        <w:spacing w:line="480" w:lineRule="auto"/>
        <w:jc w:val="both"/>
        <w:rPr>
          <w:rFonts w:ascii="Palatino Linotype" w:eastAsia="Times New Roman" w:hAnsi="Palatino Linotype" w:cs="Times New Roman"/>
          <w:color w:val="373737"/>
          <w:shd w:val="clear" w:color="auto" w:fill="FFFFFF"/>
        </w:rPr>
      </w:pPr>
      <w:r w:rsidRPr="00320C53">
        <w:rPr>
          <w:rFonts w:ascii="Palatino Linotype" w:eastAsia="Times New Roman" w:hAnsi="Palatino Linotype" w:cs="Times New Roman"/>
          <w:color w:val="373737"/>
          <w:shd w:val="clear" w:color="auto" w:fill="FFFFFF"/>
        </w:rPr>
        <w:t>Project from the case intake record the likely outcomes that will be achieved in the handling of the case at hand and note these outcomes in the student outcomes matrix for follow up;</w:t>
      </w:r>
    </w:p>
    <w:p w14:paraId="662781B5" w14:textId="0A6CFEB0" w:rsidR="00DD1E81" w:rsidRPr="00320C53" w:rsidRDefault="00DD1E81" w:rsidP="000C2DAB">
      <w:pPr>
        <w:pStyle w:val="ListParagraph"/>
        <w:numPr>
          <w:ilvl w:val="0"/>
          <w:numId w:val="20"/>
        </w:numPr>
        <w:spacing w:line="480" w:lineRule="auto"/>
        <w:jc w:val="both"/>
        <w:rPr>
          <w:rFonts w:ascii="Palatino Linotype" w:eastAsia="Times New Roman" w:hAnsi="Palatino Linotype" w:cs="Times New Roman"/>
          <w:color w:val="373737"/>
          <w:shd w:val="clear" w:color="auto" w:fill="FFFFFF"/>
        </w:rPr>
      </w:pPr>
      <w:r w:rsidRPr="00320C53">
        <w:rPr>
          <w:rFonts w:ascii="Palatino Linotype" w:eastAsia="Times New Roman" w:hAnsi="Palatino Linotype" w:cs="Times New Roman"/>
          <w:color w:val="373737"/>
          <w:shd w:val="clear" w:color="auto" w:fill="FFFFFF"/>
        </w:rPr>
        <w:t>Adjust the outcomes as the case progresses;</w:t>
      </w:r>
    </w:p>
    <w:p w14:paraId="3D23331F" w14:textId="597F844F" w:rsidR="00DD1E81" w:rsidRPr="00320C53" w:rsidRDefault="00DD1E81" w:rsidP="000C2DAB">
      <w:pPr>
        <w:pStyle w:val="ListParagraph"/>
        <w:numPr>
          <w:ilvl w:val="0"/>
          <w:numId w:val="20"/>
        </w:numPr>
        <w:spacing w:line="480" w:lineRule="auto"/>
        <w:jc w:val="both"/>
        <w:rPr>
          <w:rFonts w:ascii="Palatino Linotype" w:eastAsia="Times New Roman" w:hAnsi="Palatino Linotype" w:cs="Times New Roman"/>
          <w:color w:val="373737"/>
          <w:shd w:val="clear" w:color="auto" w:fill="FFFFFF"/>
        </w:rPr>
      </w:pPr>
      <w:r w:rsidRPr="00320C53">
        <w:rPr>
          <w:rFonts w:ascii="Palatino Linotype" w:eastAsia="Times New Roman" w:hAnsi="Palatino Linotype" w:cs="Times New Roman"/>
          <w:color w:val="373737"/>
          <w:shd w:val="clear" w:color="auto" w:fill="FFFFFF"/>
        </w:rPr>
        <w:t>Recap the learning at a strategic point in the semester/term of study;</w:t>
      </w:r>
    </w:p>
    <w:p w14:paraId="30D77678" w14:textId="4A5C1E07" w:rsidR="00DD1E81" w:rsidRPr="00320C53" w:rsidRDefault="00DD1E81" w:rsidP="000C2DAB">
      <w:pPr>
        <w:pStyle w:val="ListParagraph"/>
        <w:numPr>
          <w:ilvl w:val="0"/>
          <w:numId w:val="20"/>
        </w:numPr>
        <w:spacing w:line="480" w:lineRule="auto"/>
        <w:jc w:val="both"/>
        <w:rPr>
          <w:rFonts w:ascii="Palatino Linotype" w:eastAsia="Times New Roman" w:hAnsi="Palatino Linotype" w:cs="Times New Roman"/>
          <w:color w:val="373737"/>
          <w:shd w:val="clear" w:color="auto" w:fill="FFFFFF"/>
        </w:rPr>
      </w:pPr>
      <w:r w:rsidRPr="00320C53">
        <w:rPr>
          <w:rFonts w:ascii="Palatino Linotype" w:eastAsia="Times New Roman" w:hAnsi="Palatino Linotype" w:cs="Times New Roman"/>
          <w:color w:val="373737"/>
          <w:shd w:val="clear" w:color="auto" w:fill="FFFFFF"/>
        </w:rPr>
        <w:t>Look out for cases that will fill the gaps</w:t>
      </w:r>
      <w:r w:rsidRPr="00320C53">
        <w:rPr>
          <w:rStyle w:val="FootnoteReference"/>
          <w:rFonts w:ascii="Palatino Linotype" w:eastAsia="Times New Roman" w:hAnsi="Palatino Linotype" w:cs="Times New Roman"/>
          <w:color w:val="373737"/>
          <w:shd w:val="clear" w:color="auto" w:fill="FFFFFF"/>
        </w:rPr>
        <w:footnoteReference w:id="58"/>
      </w:r>
    </w:p>
    <w:p w14:paraId="6716A077" w14:textId="77777777" w:rsidR="00DD1E81" w:rsidRPr="00320C53" w:rsidRDefault="00DD1E81" w:rsidP="000C2DAB">
      <w:pPr>
        <w:spacing w:line="480" w:lineRule="auto"/>
        <w:jc w:val="both"/>
        <w:rPr>
          <w:rFonts w:ascii="Palatino Linotype" w:eastAsia="Times New Roman" w:hAnsi="Palatino Linotype" w:cs="Times New Roman"/>
          <w:color w:val="373737"/>
          <w:shd w:val="clear" w:color="auto" w:fill="FFFFFF"/>
        </w:rPr>
      </w:pPr>
    </w:p>
    <w:p w14:paraId="620D8993" w14:textId="277C011F" w:rsidR="00DD1E81" w:rsidRPr="00320C53" w:rsidRDefault="00DD1E81" w:rsidP="000C2DAB">
      <w:pPr>
        <w:spacing w:line="480" w:lineRule="auto"/>
        <w:jc w:val="both"/>
        <w:rPr>
          <w:rFonts w:ascii="Palatino Linotype" w:eastAsia="Times New Roman" w:hAnsi="Palatino Linotype" w:cs="Times New Roman"/>
          <w:color w:val="373737"/>
          <w:shd w:val="clear" w:color="auto" w:fill="FFFFFF"/>
        </w:rPr>
      </w:pPr>
      <w:r w:rsidRPr="00320C53">
        <w:rPr>
          <w:rFonts w:ascii="Palatino Linotype" w:eastAsia="Times New Roman" w:hAnsi="Palatino Linotype" w:cs="Times New Roman"/>
          <w:color w:val="373737"/>
          <w:shd w:val="clear" w:color="auto" w:fill="FFFFFF"/>
        </w:rPr>
        <w:lastRenderedPageBreak/>
        <w:t>There are many forms and formats that would support such student learning. Just as law firms or government departments or panels of judges/tribunal members might meet as a group to discuss cases in progress, so too may clinic students gather with their instructor(s), one-on-one or in small groups. These sessions may take many forms structured for example around formats for PBL learning. PBL may be supported by student requests for information or even brief discussions or lectures from experts arranged by the students where it is difficult to find the relevant material.  The support to PBL may become less formal over time but at the same time more intensive in-group and with members. Or, there may be special skills development sessions focused on preparing for the upcoming activities (</w:t>
      </w:r>
      <w:r w:rsidRPr="00320C53">
        <w:rPr>
          <w:rFonts w:ascii="Palatino Linotype" w:eastAsia="Times New Roman" w:hAnsi="Palatino Linotype" w:cs="Times New Roman"/>
          <w:i/>
          <w:color w:val="373737"/>
          <w:shd w:val="clear" w:color="auto" w:fill="FFFFFF"/>
        </w:rPr>
        <w:t>e.g</w:t>
      </w:r>
      <w:r w:rsidRPr="00320C53">
        <w:rPr>
          <w:rFonts w:ascii="Palatino Linotype" w:eastAsia="Times New Roman" w:hAnsi="Palatino Linotype" w:cs="Times New Roman"/>
          <w:color w:val="373737"/>
          <w:shd w:val="clear" w:color="auto" w:fill="FFFFFF"/>
        </w:rPr>
        <w:t xml:space="preserve">., a hearing, an interview, an advising session, a negotiation or mediation, </w:t>
      </w:r>
      <w:r w:rsidRPr="00320C53">
        <w:rPr>
          <w:rFonts w:ascii="Palatino Linotype" w:eastAsia="Times New Roman" w:hAnsi="Palatino Linotype" w:cs="Times New Roman"/>
          <w:i/>
          <w:color w:val="373737"/>
          <w:shd w:val="clear" w:color="auto" w:fill="FFFFFF"/>
        </w:rPr>
        <w:t>etc</w:t>
      </w:r>
      <w:r w:rsidRPr="00320C53">
        <w:rPr>
          <w:rFonts w:ascii="Palatino Linotype" w:eastAsia="Times New Roman" w:hAnsi="Palatino Linotype" w:cs="Times New Roman"/>
          <w:color w:val="373737"/>
          <w:shd w:val="clear" w:color="auto" w:fill="FFFFFF"/>
        </w:rPr>
        <w:t xml:space="preserve">.) in which the students take on the professional role.  The session may take the form of “rounds” to provide the student in charge with insights from the class and instructors to aid in the management and progression of a specific case.  There may be a group debriefing of a completed or partially completed case to track its progress and the work required to complete it successfully. Expert practitioners, judges, government lawyers and staff, in house counsel, social workers and other health care professionals, financial advisers, policy experts, professional regulators, applied ethicists and so on may join sessions at strategic moments or be trained to lead sessions.  </w:t>
      </w:r>
    </w:p>
    <w:p w14:paraId="27F82E48" w14:textId="01C913EE" w:rsidR="00DD1E81" w:rsidRPr="00320C53" w:rsidRDefault="00DD1E81" w:rsidP="000C2DAB">
      <w:pPr>
        <w:spacing w:line="480" w:lineRule="auto"/>
        <w:jc w:val="both"/>
        <w:rPr>
          <w:rFonts w:ascii="Palatino Linotype" w:eastAsia="Times New Roman" w:hAnsi="Palatino Linotype" w:cs="Times New Roman"/>
          <w:color w:val="373737"/>
          <w:shd w:val="clear" w:color="auto" w:fill="FFFFFF"/>
        </w:rPr>
      </w:pPr>
      <w:r w:rsidRPr="00320C53">
        <w:rPr>
          <w:rFonts w:ascii="Palatino Linotype" w:eastAsia="Times New Roman" w:hAnsi="Palatino Linotype" w:cs="Times New Roman"/>
          <w:color w:val="373737"/>
          <w:shd w:val="clear" w:color="auto" w:fill="FFFFFF"/>
        </w:rPr>
        <w:t xml:space="preserve">In my model I am assuming large numbers of clinical experiences in the context of live clients under supervision.  I am also assuming a phased process leading to high </w:t>
      </w:r>
      <w:r w:rsidRPr="00320C53">
        <w:rPr>
          <w:rFonts w:ascii="Palatino Linotype" w:eastAsia="Times New Roman" w:hAnsi="Palatino Linotype" w:cs="Times New Roman"/>
          <w:color w:val="373737"/>
          <w:shd w:val="clear" w:color="auto" w:fill="FFFFFF"/>
        </w:rPr>
        <w:lastRenderedPageBreak/>
        <w:t xml:space="preserve">frequency live client work through other methods employed in medical education such as observation, simulation and PBL.  </w:t>
      </w:r>
      <w:r w:rsidR="00327A73" w:rsidRPr="00320C53">
        <w:rPr>
          <w:rFonts w:ascii="Palatino Linotype" w:eastAsia="Times New Roman" w:hAnsi="Palatino Linotype" w:cs="Times New Roman"/>
          <w:color w:val="373737"/>
          <w:shd w:val="clear" w:color="auto" w:fill="FFFFFF"/>
        </w:rPr>
        <w:t xml:space="preserve">In addition, </w:t>
      </w:r>
      <w:r w:rsidRPr="00320C53">
        <w:rPr>
          <w:rFonts w:ascii="Palatino Linotype" w:eastAsia="Times New Roman" w:hAnsi="Palatino Linotype" w:cs="Times New Roman"/>
          <w:color w:val="373737"/>
          <w:shd w:val="clear" w:color="auto" w:fill="FFFFFF"/>
        </w:rPr>
        <w:t>I am also assuming that within live client work there will be seminars, workshops, case debriefs, rounds and one-on-one supervision or mentoring. The enriched clinical method will be supported by a range of learning and teaching interventions that are either whole group, subgroup or occasionally one-student focused. The interventions chosen will be a function of what outcomes they are capable of supporting.  And each method is not itself monolithic n</w:t>
      </w:r>
      <w:r w:rsidR="00291B9B" w:rsidRPr="00320C53">
        <w:rPr>
          <w:rFonts w:ascii="Palatino Linotype" w:eastAsia="Times New Roman" w:hAnsi="Palatino Linotype" w:cs="Times New Roman"/>
          <w:color w:val="373737"/>
          <w:shd w:val="clear" w:color="auto" w:fill="FFFFFF"/>
        </w:rPr>
        <w:t>or will it be used completely or</w:t>
      </w:r>
      <w:r w:rsidRPr="00320C53">
        <w:rPr>
          <w:rFonts w:ascii="Palatino Linotype" w:eastAsia="Times New Roman" w:hAnsi="Palatino Linotype" w:cs="Times New Roman"/>
          <w:color w:val="373737"/>
          <w:shd w:val="clear" w:color="auto" w:fill="FFFFFF"/>
        </w:rPr>
        <w:t xml:space="preserve"> exclusively. In different hands with differing elements at different times in varying contexts it may be suited to accomplish different things. There are various models of supervision, of reflection and of debriefing. A lecture is not always purely a lecture and sometimes when a supervisor’s comments on a student’s performance go on for a few minutes she is really delivering a lecturette.  PBL has a number of specified traditional or orthodox methods but no single instructor conducts it the same way as another, not only because of personal approach, personality or mode of reasoning </w:t>
      </w:r>
      <w:r w:rsidRPr="00320C53">
        <w:rPr>
          <w:rFonts w:ascii="Palatino Linotype" w:eastAsia="Times New Roman" w:hAnsi="Palatino Linotype" w:cs="Times New Roman"/>
          <w:i/>
          <w:color w:val="373737"/>
          <w:shd w:val="clear" w:color="auto" w:fill="FFFFFF"/>
        </w:rPr>
        <w:t>etc</w:t>
      </w:r>
      <w:r w:rsidRPr="00320C53">
        <w:rPr>
          <w:rFonts w:ascii="Palatino Linotype" w:eastAsia="Times New Roman" w:hAnsi="Palatino Linotype" w:cs="Times New Roman"/>
          <w:color w:val="373737"/>
          <w:shd w:val="clear" w:color="auto" w:fill="FFFFFF"/>
        </w:rPr>
        <w:t xml:space="preserve">., style but because of choice </w:t>
      </w:r>
      <w:r w:rsidR="00497ECF" w:rsidRPr="00320C53">
        <w:rPr>
          <w:rFonts w:ascii="Palatino Linotype" w:eastAsia="Times New Roman" w:hAnsi="Palatino Linotype" w:cs="Times New Roman"/>
          <w:color w:val="373737"/>
          <w:shd w:val="clear" w:color="auto" w:fill="FFFFFF"/>
        </w:rPr>
        <w:t>related to context, situation or student needs, qualities, or characteristics.</w:t>
      </w:r>
    </w:p>
    <w:p w14:paraId="090B7CE5" w14:textId="62F5C42C" w:rsidR="00DD1E81" w:rsidRPr="00320C53" w:rsidRDefault="00DD1E81" w:rsidP="000C2DAB">
      <w:pPr>
        <w:spacing w:line="480" w:lineRule="auto"/>
        <w:jc w:val="both"/>
        <w:rPr>
          <w:rFonts w:ascii="Palatino Linotype" w:eastAsia="Times New Roman" w:hAnsi="Palatino Linotype" w:cs="Times New Roman"/>
          <w:color w:val="373737"/>
          <w:shd w:val="clear" w:color="auto" w:fill="FFFFFF"/>
        </w:rPr>
      </w:pPr>
      <w:r w:rsidRPr="00320C53">
        <w:rPr>
          <w:rFonts w:ascii="Palatino Linotype" w:eastAsia="Times New Roman" w:hAnsi="Palatino Linotype" w:cs="Times New Roman"/>
          <w:color w:val="373737"/>
          <w:shd w:val="clear" w:color="auto" w:fill="FFFFFF"/>
        </w:rPr>
        <w:t xml:space="preserve">Within PBL, simulation and live-client representation there will be myriad opportunities to focus on key elements of learning. The instructor may be called upon to search within her instructional repertoire to find the best opportunity and teaching tool to facilitate learning at that time. So for example, the clinic instructor may choose to generalize from </w:t>
      </w:r>
      <w:r w:rsidRPr="00320C53">
        <w:rPr>
          <w:rFonts w:ascii="Palatino Linotype" w:eastAsia="Times New Roman" w:hAnsi="Palatino Linotype" w:cs="Times New Roman"/>
          <w:color w:val="373737"/>
          <w:shd w:val="clear" w:color="auto" w:fill="FFFFFF"/>
        </w:rPr>
        <w:lastRenderedPageBreak/>
        <w:t>many similar student experiences to practice tendencies that are ineffective or inappropriate. To deal with this she may choose to debrief the cases and demonstrate the generalized case-handling problems. Perhaps the problem will be in students’ weaknesses in their ability to carry out an effective interview and gather all the necessary facts. This might call for a simulation or demonstration, followed by either or both debrief and student practice. It may also call for a review of the pertinent interviewing literature. Perhaps the problems were procedural and related to poor question sequencing; perhaps students were unable to use skills well, through a failure of active listening. The teaching method selected to deal with the issues would be matched to the learning sought, all within the larger PBL or clinical method.</w:t>
      </w:r>
    </w:p>
    <w:p w14:paraId="1978A6ED" w14:textId="77777777" w:rsidR="00DD1E81" w:rsidRPr="00320C53" w:rsidRDefault="00DD1E81" w:rsidP="000C2DAB">
      <w:pPr>
        <w:spacing w:line="480" w:lineRule="auto"/>
        <w:jc w:val="both"/>
        <w:rPr>
          <w:rFonts w:ascii="Palatino Linotype" w:eastAsia="Times New Roman" w:hAnsi="Palatino Linotype" w:cs="Times New Roman"/>
          <w:color w:val="373737"/>
          <w:shd w:val="clear" w:color="auto" w:fill="FFFFFF"/>
        </w:rPr>
      </w:pPr>
    </w:p>
    <w:p w14:paraId="6DF5F01C" w14:textId="5B282FDC" w:rsidR="00DD1E81" w:rsidRPr="00E77670" w:rsidRDefault="00E77670" w:rsidP="00E77670">
      <w:pPr>
        <w:pStyle w:val="ListParagraph"/>
        <w:numPr>
          <w:ilvl w:val="0"/>
          <w:numId w:val="38"/>
        </w:numPr>
        <w:spacing w:line="480" w:lineRule="auto"/>
        <w:jc w:val="both"/>
        <w:rPr>
          <w:rFonts w:ascii="Palatino Linotype" w:eastAsia="Times New Roman" w:hAnsi="Palatino Linotype" w:cs="Times New Roman"/>
          <w:color w:val="373737"/>
          <w:shd w:val="clear" w:color="auto" w:fill="FFFFFF"/>
        </w:rPr>
      </w:pPr>
      <w:r w:rsidRPr="00E77670">
        <w:rPr>
          <w:rFonts w:ascii="Palatino Linotype" w:eastAsia="Times New Roman" w:hAnsi="Palatino Linotype" w:cs="Times New Roman"/>
          <w:color w:val="373737"/>
          <w:shd w:val="clear" w:color="auto" w:fill="FFFFFF"/>
        </w:rPr>
        <w:t>MATCHING TEACHING METHODS TO LEARNING OUTCOMES</w:t>
      </w:r>
      <w:r w:rsidR="00DD1E81" w:rsidRPr="00E77670">
        <w:rPr>
          <w:rStyle w:val="FootnoteReference"/>
          <w:rFonts w:ascii="Palatino Linotype" w:eastAsia="Times New Roman" w:hAnsi="Palatino Linotype" w:cs="Times New Roman"/>
          <w:color w:val="373737"/>
          <w:shd w:val="clear" w:color="auto" w:fill="FFFFFF"/>
        </w:rPr>
        <w:footnoteReference w:id="59"/>
      </w:r>
    </w:p>
    <w:p w14:paraId="6F35A890" w14:textId="77777777" w:rsidR="00E77670" w:rsidRDefault="00E77670" w:rsidP="000C2DAB">
      <w:pPr>
        <w:spacing w:line="480" w:lineRule="auto"/>
        <w:jc w:val="both"/>
        <w:rPr>
          <w:rFonts w:ascii="Palatino Linotype" w:eastAsia="Times New Roman" w:hAnsi="Palatino Linotype" w:cs="Times New Roman"/>
          <w:color w:val="373737"/>
          <w:shd w:val="clear" w:color="auto" w:fill="FFFFFF"/>
        </w:rPr>
      </w:pPr>
    </w:p>
    <w:p w14:paraId="25E021FC" w14:textId="1E74C3F2" w:rsidR="00DD1E81" w:rsidRPr="00320C53" w:rsidRDefault="00DD1E81" w:rsidP="000C2DAB">
      <w:pPr>
        <w:spacing w:line="480" w:lineRule="auto"/>
        <w:jc w:val="both"/>
        <w:rPr>
          <w:rFonts w:ascii="Palatino Linotype" w:eastAsia="Times New Roman" w:hAnsi="Palatino Linotype" w:cs="Times New Roman"/>
          <w:color w:val="373737"/>
          <w:shd w:val="clear" w:color="auto" w:fill="FFFFFF"/>
        </w:rPr>
      </w:pPr>
      <w:r w:rsidRPr="00320C53">
        <w:rPr>
          <w:rFonts w:ascii="Palatino Linotype" w:eastAsia="Times New Roman" w:hAnsi="Palatino Linotype" w:cs="Times New Roman"/>
          <w:color w:val="373737"/>
          <w:shd w:val="clear" w:color="auto" w:fill="FFFFFF"/>
        </w:rPr>
        <w:t>So, within the broad frameworks of live-client under supervision clinics, PBL, and full-blown simulation</w:t>
      </w:r>
      <w:r w:rsidRPr="00320C53">
        <w:rPr>
          <w:rStyle w:val="FootnoteReference"/>
          <w:rFonts w:ascii="Palatino Linotype" w:eastAsia="Times New Roman" w:hAnsi="Palatino Linotype" w:cs="Times New Roman"/>
          <w:color w:val="373737"/>
          <w:shd w:val="clear" w:color="auto" w:fill="FFFFFF"/>
        </w:rPr>
        <w:footnoteReference w:id="60"/>
      </w:r>
      <w:r w:rsidR="00954178" w:rsidRPr="00320C53">
        <w:rPr>
          <w:rFonts w:ascii="Palatino Linotype" w:eastAsia="Times New Roman" w:hAnsi="Palatino Linotype" w:cs="Times New Roman"/>
          <w:color w:val="373737"/>
          <w:shd w:val="clear" w:color="auto" w:fill="FFFFFF"/>
        </w:rPr>
        <w:t xml:space="preserve"> (neither role play n</w:t>
      </w:r>
      <w:r w:rsidRPr="00320C53">
        <w:rPr>
          <w:rFonts w:ascii="Palatino Linotype" w:eastAsia="Times New Roman" w:hAnsi="Palatino Linotype" w:cs="Times New Roman"/>
          <w:color w:val="373737"/>
          <w:shd w:val="clear" w:color="auto" w:fill="FFFFFF"/>
        </w:rPr>
        <w:t xml:space="preserve">or vignette exercises) the clinical instructor has a full range of teaching strategies at her disposal. Selections can be made from among them </w:t>
      </w:r>
      <w:r w:rsidRPr="00320C53">
        <w:rPr>
          <w:rFonts w:ascii="Palatino Linotype" w:eastAsia="Times New Roman" w:hAnsi="Palatino Linotype" w:cs="Times New Roman"/>
          <w:color w:val="373737"/>
          <w:shd w:val="clear" w:color="auto" w:fill="FFFFFF"/>
        </w:rPr>
        <w:lastRenderedPageBreak/>
        <w:t>of the teaching tools most likely to help produce the learning sought or required.</w:t>
      </w:r>
      <w:r w:rsidRPr="00320C53">
        <w:rPr>
          <w:rStyle w:val="FootnoteReference"/>
          <w:rFonts w:ascii="Palatino Linotype" w:eastAsia="Times New Roman" w:hAnsi="Palatino Linotype" w:cs="Times New Roman"/>
          <w:color w:val="373737"/>
          <w:shd w:val="clear" w:color="auto" w:fill="FFFFFF"/>
        </w:rPr>
        <w:footnoteReference w:id="61"/>
      </w:r>
      <w:r w:rsidRPr="00320C53">
        <w:rPr>
          <w:rFonts w:ascii="Palatino Linotype" w:eastAsia="Times New Roman" w:hAnsi="Palatino Linotype" w:cs="Times New Roman"/>
          <w:color w:val="373737"/>
          <w:shd w:val="clear" w:color="auto" w:fill="FFFFFF"/>
        </w:rPr>
        <w:t xml:space="preserve"> However, as broad frameworks for teaching and learning each of these methodologies, used alone or in combination, whether phased or contemporaneously, have dominant characteristics and ways of being deployed. All three share the following common characteristics:</w:t>
      </w:r>
    </w:p>
    <w:p w14:paraId="56C64BCF" w14:textId="12468A76" w:rsidR="00DD1E81" w:rsidRPr="00320C53" w:rsidRDefault="00DD1E81" w:rsidP="000C2DAB">
      <w:pPr>
        <w:pStyle w:val="ListParagraph"/>
        <w:numPr>
          <w:ilvl w:val="0"/>
          <w:numId w:val="24"/>
        </w:numPr>
        <w:spacing w:line="480" w:lineRule="auto"/>
        <w:jc w:val="both"/>
        <w:rPr>
          <w:rFonts w:ascii="Palatino Linotype" w:eastAsia="Times New Roman" w:hAnsi="Palatino Linotype" w:cs="Times New Roman"/>
          <w:color w:val="373737"/>
          <w:shd w:val="clear" w:color="auto" w:fill="FFFFFF"/>
        </w:rPr>
      </w:pPr>
      <w:r w:rsidRPr="00320C53">
        <w:rPr>
          <w:rFonts w:ascii="Palatino Linotype" w:eastAsia="Times New Roman" w:hAnsi="Palatino Linotype" w:cs="Times New Roman"/>
          <w:color w:val="373737"/>
          <w:shd w:val="clear" w:color="auto" w:fill="FFFFFF"/>
        </w:rPr>
        <w:t>Students must devise their own learning plan within the method.</w:t>
      </w:r>
    </w:p>
    <w:p w14:paraId="4E7ADAD1" w14:textId="177071D1" w:rsidR="00DD1E81" w:rsidRPr="00320C53" w:rsidRDefault="00DD1E81" w:rsidP="000C2DAB">
      <w:pPr>
        <w:pStyle w:val="ListParagraph"/>
        <w:numPr>
          <w:ilvl w:val="0"/>
          <w:numId w:val="24"/>
        </w:numPr>
        <w:spacing w:line="480" w:lineRule="auto"/>
        <w:jc w:val="both"/>
        <w:rPr>
          <w:rFonts w:ascii="Palatino Linotype" w:eastAsia="Times New Roman" w:hAnsi="Palatino Linotype" w:cs="Times New Roman"/>
          <w:color w:val="373737"/>
          <w:shd w:val="clear" w:color="auto" w:fill="FFFFFF"/>
        </w:rPr>
      </w:pPr>
      <w:r w:rsidRPr="00320C53">
        <w:rPr>
          <w:rFonts w:ascii="Palatino Linotype" w:eastAsia="Times New Roman" w:hAnsi="Palatino Linotype" w:cs="Times New Roman"/>
          <w:color w:val="373737"/>
          <w:shd w:val="clear" w:color="auto" w:fill="FFFFFF"/>
        </w:rPr>
        <w:t>Instructors can facilitate the learning of prescribed outcomes by focusing student performance on them and by directing feedback upon them.</w:t>
      </w:r>
    </w:p>
    <w:p w14:paraId="7097B68C" w14:textId="6DEE067B" w:rsidR="00DD1E81" w:rsidRPr="00320C53" w:rsidRDefault="00DD1E81" w:rsidP="000C2DAB">
      <w:pPr>
        <w:pStyle w:val="ListParagraph"/>
        <w:numPr>
          <w:ilvl w:val="0"/>
          <w:numId w:val="24"/>
        </w:numPr>
        <w:spacing w:line="480" w:lineRule="auto"/>
        <w:jc w:val="both"/>
        <w:rPr>
          <w:rFonts w:ascii="Palatino Linotype" w:eastAsia="Times New Roman" w:hAnsi="Palatino Linotype" w:cs="Times New Roman"/>
          <w:color w:val="373737"/>
          <w:shd w:val="clear" w:color="auto" w:fill="FFFFFF"/>
        </w:rPr>
      </w:pPr>
      <w:r w:rsidRPr="00320C53">
        <w:rPr>
          <w:rFonts w:ascii="Palatino Linotype" w:eastAsia="Times New Roman" w:hAnsi="Palatino Linotype" w:cs="Times New Roman"/>
          <w:color w:val="373737"/>
          <w:shd w:val="clear" w:color="auto" w:fill="FFFFFF"/>
        </w:rPr>
        <w:t>They are high engagement activities.</w:t>
      </w:r>
    </w:p>
    <w:p w14:paraId="3E877706" w14:textId="4FD8FF5A" w:rsidR="00DD1E81" w:rsidRPr="00320C53" w:rsidRDefault="00DD1E81" w:rsidP="000C2DAB">
      <w:pPr>
        <w:pStyle w:val="ListParagraph"/>
        <w:numPr>
          <w:ilvl w:val="0"/>
          <w:numId w:val="24"/>
        </w:numPr>
        <w:spacing w:line="480" w:lineRule="auto"/>
        <w:jc w:val="both"/>
        <w:rPr>
          <w:rFonts w:ascii="Palatino Linotype" w:eastAsia="Times New Roman" w:hAnsi="Palatino Linotype" w:cs="Times New Roman"/>
          <w:color w:val="373737"/>
          <w:shd w:val="clear" w:color="auto" w:fill="FFFFFF"/>
        </w:rPr>
      </w:pPr>
      <w:r w:rsidRPr="00320C53">
        <w:rPr>
          <w:rFonts w:ascii="Palatino Linotype" w:eastAsia="Times New Roman" w:hAnsi="Palatino Linotype" w:cs="Times New Roman"/>
          <w:color w:val="373737"/>
          <w:shd w:val="clear" w:color="auto" w:fill="FFFFFF"/>
        </w:rPr>
        <w:t>They develop the analytical and critical faculties of students.</w:t>
      </w:r>
    </w:p>
    <w:p w14:paraId="4FCB298E" w14:textId="6A1BFC9F" w:rsidR="00DD1E81" w:rsidRPr="00320C53" w:rsidRDefault="00DD1E81" w:rsidP="000C2DAB">
      <w:pPr>
        <w:pStyle w:val="ListParagraph"/>
        <w:numPr>
          <w:ilvl w:val="0"/>
          <w:numId w:val="24"/>
        </w:numPr>
        <w:spacing w:line="480" w:lineRule="auto"/>
        <w:jc w:val="both"/>
        <w:rPr>
          <w:rFonts w:ascii="Palatino Linotype" w:eastAsia="Times New Roman" w:hAnsi="Palatino Linotype" w:cs="Times New Roman"/>
          <w:color w:val="373737"/>
          <w:shd w:val="clear" w:color="auto" w:fill="FFFFFF"/>
        </w:rPr>
      </w:pPr>
      <w:r w:rsidRPr="00320C53">
        <w:rPr>
          <w:rFonts w:ascii="Palatino Linotype" w:eastAsia="Times New Roman" w:hAnsi="Palatino Linotype" w:cs="Times New Roman"/>
          <w:color w:val="373737"/>
          <w:shd w:val="clear" w:color="auto" w:fill="FFFFFF"/>
        </w:rPr>
        <w:t>They promote the use of research methods, investigative and planning skills.</w:t>
      </w:r>
    </w:p>
    <w:p w14:paraId="6A506473" w14:textId="443D7208" w:rsidR="00DD1E81" w:rsidRPr="00320C53" w:rsidRDefault="00DD1E81" w:rsidP="000C2DAB">
      <w:pPr>
        <w:pStyle w:val="ListParagraph"/>
        <w:numPr>
          <w:ilvl w:val="0"/>
          <w:numId w:val="24"/>
        </w:numPr>
        <w:spacing w:line="480" w:lineRule="auto"/>
        <w:jc w:val="both"/>
        <w:rPr>
          <w:rFonts w:ascii="Palatino Linotype" w:eastAsia="Times New Roman" w:hAnsi="Palatino Linotype" w:cs="Times New Roman"/>
          <w:color w:val="373737"/>
          <w:shd w:val="clear" w:color="auto" w:fill="FFFFFF"/>
        </w:rPr>
      </w:pPr>
      <w:r w:rsidRPr="00320C53">
        <w:rPr>
          <w:rFonts w:ascii="Palatino Linotype" w:eastAsia="Times New Roman" w:hAnsi="Palatino Linotype" w:cs="Times New Roman"/>
          <w:color w:val="373737"/>
          <w:shd w:val="clear" w:color="auto" w:fill="FFFFFF"/>
        </w:rPr>
        <w:t>The</w:t>
      </w:r>
      <w:r w:rsidR="004D2A55" w:rsidRPr="00320C53">
        <w:rPr>
          <w:rFonts w:ascii="Palatino Linotype" w:eastAsia="Times New Roman" w:hAnsi="Palatino Linotype" w:cs="Times New Roman"/>
          <w:color w:val="373737"/>
          <w:shd w:val="clear" w:color="auto" w:fill="FFFFFF"/>
        </w:rPr>
        <w:t xml:space="preserve">y build </w:t>
      </w:r>
      <w:r w:rsidR="002A7537" w:rsidRPr="00320C53">
        <w:rPr>
          <w:rFonts w:ascii="Palatino Linotype" w:eastAsia="Times New Roman" w:hAnsi="Palatino Linotype" w:cs="Times New Roman"/>
          <w:color w:val="373737"/>
          <w:shd w:val="clear" w:color="auto" w:fill="FFFFFF"/>
        </w:rPr>
        <w:t>teamwork</w:t>
      </w:r>
      <w:r w:rsidRPr="00320C53">
        <w:rPr>
          <w:rFonts w:ascii="Palatino Linotype" w:eastAsia="Times New Roman" w:hAnsi="Palatino Linotype" w:cs="Times New Roman"/>
          <w:color w:val="373737"/>
          <w:shd w:val="clear" w:color="auto" w:fill="FFFFFF"/>
        </w:rPr>
        <w:t xml:space="preserve"> skills.</w:t>
      </w:r>
    </w:p>
    <w:p w14:paraId="4EB74E48" w14:textId="2340FA4F" w:rsidR="00DD1E81" w:rsidRPr="00320C53" w:rsidRDefault="00DD1E81" w:rsidP="000C2DAB">
      <w:pPr>
        <w:pStyle w:val="ListParagraph"/>
        <w:numPr>
          <w:ilvl w:val="0"/>
          <w:numId w:val="24"/>
        </w:numPr>
        <w:spacing w:line="480" w:lineRule="auto"/>
        <w:jc w:val="both"/>
        <w:rPr>
          <w:rFonts w:ascii="Palatino Linotype" w:eastAsia="Times New Roman" w:hAnsi="Palatino Linotype" w:cs="Times New Roman"/>
          <w:color w:val="373737"/>
          <w:shd w:val="clear" w:color="auto" w:fill="FFFFFF"/>
        </w:rPr>
      </w:pPr>
      <w:r w:rsidRPr="00320C53">
        <w:rPr>
          <w:rFonts w:ascii="Palatino Linotype" w:eastAsia="Times New Roman" w:hAnsi="Palatino Linotype" w:cs="Times New Roman"/>
          <w:color w:val="373737"/>
          <w:shd w:val="clear" w:color="auto" w:fill="FFFFFF"/>
        </w:rPr>
        <w:t>They raise professional issues in context and pose dilemmas requiring students to act in concert with their values, beliefs and professional requirements or expectations.</w:t>
      </w:r>
    </w:p>
    <w:p w14:paraId="07DF5817" w14:textId="45981ACB" w:rsidR="00DD1E81" w:rsidRPr="00320C53" w:rsidRDefault="00DD1E81" w:rsidP="000C2DAB">
      <w:pPr>
        <w:pStyle w:val="ListParagraph"/>
        <w:numPr>
          <w:ilvl w:val="0"/>
          <w:numId w:val="24"/>
        </w:numPr>
        <w:spacing w:line="480" w:lineRule="auto"/>
        <w:jc w:val="both"/>
        <w:rPr>
          <w:rFonts w:ascii="Palatino Linotype" w:eastAsia="Times New Roman" w:hAnsi="Palatino Linotype" w:cs="Times New Roman"/>
          <w:color w:val="373737"/>
          <w:shd w:val="clear" w:color="auto" w:fill="FFFFFF"/>
        </w:rPr>
      </w:pPr>
      <w:r w:rsidRPr="00320C53">
        <w:rPr>
          <w:rFonts w:ascii="Palatino Linotype" w:eastAsia="Times New Roman" w:hAnsi="Palatino Linotype" w:cs="Times New Roman"/>
          <w:color w:val="373737"/>
          <w:shd w:val="clear" w:color="auto" w:fill="FFFFFF"/>
        </w:rPr>
        <w:t>They illustrate the complexity of real life and virtual problems.</w:t>
      </w:r>
    </w:p>
    <w:p w14:paraId="5BBB9035" w14:textId="3C10E328" w:rsidR="00DD1E81" w:rsidRPr="00320C53" w:rsidRDefault="00DD1E81" w:rsidP="000C2DAB">
      <w:pPr>
        <w:pStyle w:val="ListParagraph"/>
        <w:numPr>
          <w:ilvl w:val="0"/>
          <w:numId w:val="24"/>
        </w:numPr>
        <w:spacing w:line="480" w:lineRule="auto"/>
        <w:jc w:val="both"/>
        <w:rPr>
          <w:rFonts w:ascii="Palatino Linotype" w:eastAsia="Times New Roman" w:hAnsi="Palatino Linotype" w:cs="Times New Roman"/>
          <w:color w:val="373737"/>
          <w:shd w:val="clear" w:color="auto" w:fill="FFFFFF"/>
        </w:rPr>
      </w:pPr>
      <w:r w:rsidRPr="00320C53">
        <w:rPr>
          <w:rFonts w:ascii="Palatino Linotype" w:eastAsia="Times New Roman" w:hAnsi="Palatino Linotype" w:cs="Times New Roman"/>
          <w:color w:val="373737"/>
          <w:shd w:val="clear" w:color="auto" w:fill="FFFFFF"/>
        </w:rPr>
        <w:t>They require students to use their full range of resources.</w:t>
      </w:r>
    </w:p>
    <w:p w14:paraId="43DABA3C" w14:textId="0B0D740F" w:rsidR="00DD1E81" w:rsidRPr="00320C53" w:rsidRDefault="00DD1E81" w:rsidP="000C2DAB">
      <w:pPr>
        <w:pStyle w:val="ListParagraph"/>
        <w:numPr>
          <w:ilvl w:val="0"/>
          <w:numId w:val="24"/>
        </w:numPr>
        <w:spacing w:line="480" w:lineRule="auto"/>
        <w:jc w:val="both"/>
        <w:rPr>
          <w:rFonts w:ascii="Palatino Linotype" w:eastAsia="Times New Roman" w:hAnsi="Palatino Linotype" w:cs="Times New Roman"/>
          <w:color w:val="373737"/>
          <w:shd w:val="clear" w:color="auto" w:fill="FFFFFF"/>
        </w:rPr>
      </w:pPr>
      <w:r w:rsidRPr="00320C53">
        <w:rPr>
          <w:rFonts w:ascii="Palatino Linotype" w:eastAsia="Times New Roman" w:hAnsi="Palatino Linotype" w:cs="Times New Roman"/>
          <w:color w:val="373737"/>
          <w:shd w:val="clear" w:color="auto" w:fill="FFFFFF"/>
        </w:rPr>
        <w:t>They are constructivist in orientation.</w:t>
      </w:r>
    </w:p>
    <w:p w14:paraId="4DD149B2" w14:textId="17412B02" w:rsidR="00DD1E81" w:rsidRPr="00320C53" w:rsidRDefault="00DD1E81" w:rsidP="000C2DAB">
      <w:pPr>
        <w:spacing w:line="480" w:lineRule="auto"/>
        <w:jc w:val="both"/>
        <w:rPr>
          <w:rFonts w:ascii="Palatino Linotype" w:eastAsia="Times New Roman" w:hAnsi="Palatino Linotype" w:cs="Times New Roman"/>
          <w:color w:val="373737"/>
          <w:shd w:val="clear" w:color="auto" w:fill="FFFFFF"/>
        </w:rPr>
      </w:pPr>
      <w:r w:rsidRPr="00320C53">
        <w:rPr>
          <w:rFonts w:ascii="Palatino Linotype" w:eastAsia="Times New Roman" w:hAnsi="Palatino Linotype" w:cs="Times New Roman"/>
          <w:color w:val="373737"/>
          <w:shd w:val="clear" w:color="auto" w:fill="FFFFFF"/>
        </w:rPr>
        <w:lastRenderedPageBreak/>
        <w:t>Earlier I responded to a critique that neither clinic nor PBL nor the two combined</w:t>
      </w:r>
      <w:r w:rsidR="00277674" w:rsidRPr="00320C53">
        <w:rPr>
          <w:rFonts w:ascii="Palatino Linotype" w:eastAsia="Times New Roman" w:hAnsi="Palatino Linotype" w:cs="Times New Roman"/>
          <w:color w:val="373737"/>
          <w:shd w:val="clear" w:color="auto" w:fill="FFFFFF"/>
        </w:rPr>
        <w:t>,</w:t>
      </w:r>
      <w:r w:rsidRPr="00320C53">
        <w:rPr>
          <w:rFonts w:ascii="Palatino Linotype" w:eastAsia="Times New Roman" w:hAnsi="Palatino Linotype" w:cs="Times New Roman"/>
          <w:color w:val="373737"/>
          <w:shd w:val="clear" w:color="auto" w:fill="FFFFFF"/>
        </w:rPr>
        <w:t xml:space="preserve"> could deal with the acquisition of whole bodies of relevant, foundational knowledge. There I said I thought that PBL could be a successful way forward and that it had succeeded elsewhere in medicine, and in law, albeit to a limited context.  </w:t>
      </w:r>
      <w:r w:rsidR="008C07DA" w:rsidRPr="00320C53">
        <w:rPr>
          <w:rFonts w:ascii="Palatino Linotype" w:eastAsia="Times New Roman" w:hAnsi="Palatino Linotype" w:cs="Times New Roman"/>
          <w:color w:val="373737"/>
          <w:shd w:val="clear" w:color="auto" w:fill="FFFFFF"/>
        </w:rPr>
        <w:t>Given constraints of space and scope</w:t>
      </w:r>
      <w:r w:rsidR="00464760" w:rsidRPr="00320C53">
        <w:rPr>
          <w:rFonts w:ascii="Palatino Linotype" w:eastAsia="Times New Roman" w:hAnsi="Palatino Linotype" w:cs="Times New Roman"/>
          <w:color w:val="373737"/>
          <w:shd w:val="clear" w:color="auto" w:fill="FFFFFF"/>
        </w:rPr>
        <w:t xml:space="preserve"> </w:t>
      </w:r>
      <w:r w:rsidRPr="00320C53">
        <w:rPr>
          <w:rFonts w:ascii="Palatino Linotype" w:eastAsia="Times New Roman" w:hAnsi="Palatino Linotype" w:cs="Times New Roman"/>
          <w:color w:val="373737"/>
          <w:shd w:val="clear" w:color="auto" w:fill="FFFFFF"/>
        </w:rPr>
        <w:t>I cannot progress this argument further here</w:t>
      </w:r>
      <w:r w:rsidR="008C07DA" w:rsidRPr="00320C53">
        <w:rPr>
          <w:rFonts w:ascii="Palatino Linotype" w:eastAsia="Times New Roman" w:hAnsi="Palatino Linotype" w:cs="Times New Roman"/>
          <w:color w:val="373737"/>
          <w:shd w:val="clear" w:color="auto" w:fill="FFFFFF"/>
        </w:rPr>
        <w:t>; however,</w:t>
      </w:r>
      <w:r w:rsidRPr="00320C53">
        <w:rPr>
          <w:rFonts w:ascii="Palatino Linotype" w:eastAsia="Times New Roman" w:hAnsi="Palatino Linotype" w:cs="Times New Roman"/>
          <w:color w:val="373737"/>
          <w:shd w:val="clear" w:color="auto" w:fill="FFFFFF"/>
        </w:rPr>
        <w:t xml:space="preserve"> I recognize it warrants further attention</w:t>
      </w:r>
      <w:r w:rsidR="008C07DA" w:rsidRPr="00320C53">
        <w:rPr>
          <w:rFonts w:ascii="Palatino Linotype" w:eastAsia="Times New Roman" w:hAnsi="Palatino Linotype" w:cs="Times New Roman"/>
          <w:color w:val="373737"/>
          <w:shd w:val="clear" w:color="auto" w:fill="FFFFFF"/>
        </w:rPr>
        <w:t xml:space="preserve">. </w:t>
      </w:r>
      <w:r w:rsidR="006D5767" w:rsidRPr="00320C53">
        <w:rPr>
          <w:rFonts w:ascii="Palatino Linotype" w:eastAsia="Times New Roman" w:hAnsi="Palatino Linotype" w:cs="Times New Roman"/>
          <w:color w:val="373737"/>
          <w:shd w:val="clear" w:color="auto" w:fill="FFFFFF"/>
        </w:rPr>
        <w:t xml:space="preserve">This is a work in progress: a review of the medical </w:t>
      </w:r>
      <w:r w:rsidR="00615E6D" w:rsidRPr="00320C53">
        <w:rPr>
          <w:rFonts w:ascii="Palatino Linotype" w:eastAsia="Times New Roman" w:hAnsi="Palatino Linotype" w:cs="Times New Roman"/>
          <w:color w:val="373737"/>
          <w:shd w:val="clear" w:color="auto" w:fill="FFFFFF"/>
        </w:rPr>
        <w:t xml:space="preserve">and wider PBL research </w:t>
      </w:r>
      <w:r w:rsidR="006D5767" w:rsidRPr="00320C53">
        <w:rPr>
          <w:rFonts w:ascii="Palatino Linotype" w:eastAsia="Times New Roman" w:hAnsi="Palatino Linotype" w:cs="Times New Roman"/>
          <w:color w:val="373737"/>
          <w:shd w:val="clear" w:color="auto" w:fill="FFFFFF"/>
        </w:rPr>
        <w:t>literature is indicated to provide better answers.</w:t>
      </w:r>
    </w:p>
    <w:p w14:paraId="7B63CD97" w14:textId="30F34FEF" w:rsidR="00DD1E81" w:rsidRPr="00320C53" w:rsidRDefault="00DD1E81" w:rsidP="000C2DAB">
      <w:pPr>
        <w:spacing w:line="480" w:lineRule="auto"/>
        <w:jc w:val="both"/>
        <w:rPr>
          <w:rFonts w:ascii="Palatino Linotype" w:eastAsia="Times New Roman" w:hAnsi="Palatino Linotype" w:cs="Times New Roman"/>
          <w:color w:val="373737"/>
          <w:shd w:val="clear" w:color="auto" w:fill="FFFFFF"/>
        </w:rPr>
      </w:pPr>
      <w:r w:rsidRPr="00320C53">
        <w:rPr>
          <w:rFonts w:ascii="Palatino Linotype" w:eastAsia="Times New Roman" w:hAnsi="Palatino Linotype" w:cs="Times New Roman"/>
          <w:color w:val="373737"/>
          <w:shd w:val="clear" w:color="auto" w:fill="FFFFFF"/>
        </w:rPr>
        <w:t>If there is a systematic body of knowledge we believe all students must acquire we must describe and specify it. Once it is known and mapped into learning outcomes we can then select the likeliest approach to successfully acquire the knowledge.</w:t>
      </w:r>
      <w:r w:rsidRPr="00320C53">
        <w:rPr>
          <w:rStyle w:val="FootnoteReference"/>
          <w:rFonts w:ascii="Palatino Linotype" w:eastAsia="Times New Roman" w:hAnsi="Palatino Linotype" w:cs="Times New Roman"/>
          <w:color w:val="373737"/>
          <w:shd w:val="clear" w:color="auto" w:fill="FFFFFF"/>
        </w:rPr>
        <w:footnoteReference w:id="62"/>
      </w:r>
      <w:r w:rsidRPr="00320C53">
        <w:rPr>
          <w:rFonts w:ascii="Palatino Linotype" w:eastAsia="Times New Roman" w:hAnsi="Palatino Linotype" w:cs="Times New Roman"/>
          <w:color w:val="373737"/>
          <w:shd w:val="clear" w:color="auto" w:fill="FFFFFF"/>
        </w:rPr>
        <w:t xml:space="preserve"> The case/Socratic method </w:t>
      </w:r>
      <w:r w:rsidR="004D2A55" w:rsidRPr="00320C53">
        <w:rPr>
          <w:rFonts w:ascii="Palatino Linotype" w:eastAsia="Times New Roman" w:hAnsi="Palatino Linotype" w:cs="Times New Roman"/>
          <w:color w:val="373737"/>
          <w:shd w:val="clear" w:color="auto" w:fill="FFFFFF"/>
        </w:rPr>
        <w:t xml:space="preserve">that </w:t>
      </w:r>
      <w:r w:rsidRPr="00320C53">
        <w:rPr>
          <w:rFonts w:ascii="Palatino Linotype" w:eastAsia="Times New Roman" w:hAnsi="Palatino Linotype" w:cs="Times New Roman"/>
          <w:color w:val="373737"/>
          <w:shd w:val="clear" w:color="auto" w:fill="FFFFFF"/>
        </w:rPr>
        <w:t>structures the learning of the body of knowledge around a series of reported cases, law review articles and other materials, and questions</w:t>
      </w:r>
      <w:r w:rsidR="00277674" w:rsidRPr="00320C53">
        <w:rPr>
          <w:rFonts w:ascii="Palatino Linotype" w:eastAsia="Times New Roman" w:hAnsi="Palatino Linotype" w:cs="Times New Roman"/>
          <w:color w:val="373737"/>
          <w:shd w:val="clear" w:color="auto" w:fill="FFFFFF"/>
        </w:rPr>
        <w:t>,</w:t>
      </w:r>
      <w:r w:rsidRPr="00320C53">
        <w:rPr>
          <w:rFonts w:ascii="Palatino Linotype" w:eastAsia="Times New Roman" w:hAnsi="Palatino Linotype" w:cs="Times New Roman"/>
          <w:color w:val="373737"/>
          <w:shd w:val="clear" w:color="auto" w:fill="FFFFFF"/>
        </w:rPr>
        <w:t xml:space="preserve"> is </w:t>
      </w:r>
      <w:r w:rsidR="00C50E6C" w:rsidRPr="00320C53">
        <w:rPr>
          <w:rFonts w:ascii="Palatino Linotype" w:eastAsia="Times New Roman" w:hAnsi="Palatino Linotype" w:cs="Times New Roman"/>
          <w:color w:val="373737"/>
          <w:shd w:val="clear" w:color="auto" w:fill="FFFFFF"/>
        </w:rPr>
        <w:t xml:space="preserve">both </w:t>
      </w:r>
      <w:r w:rsidRPr="00320C53">
        <w:rPr>
          <w:rFonts w:ascii="Palatino Linotype" w:eastAsia="Times New Roman" w:hAnsi="Palatino Linotype" w:cs="Times New Roman"/>
          <w:color w:val="373737"/>
          <w:shd w:val="clear" w:color="auto" w:fill="FFFFFF"/>
        </w:rPr>
        <w:t>limited and limiting</w:t>
      </w:r>
      <w:r w:rsidR="00C50E6C" w:rsidRPr="00320C53">
        <w:rPr>
          <w:rFonts w:ascii="Palatino Linotype" w:eastAsia="Times New Roman" w:hAnsi="Palatino Linotype" w:cs="Times New Roman"/>
          <w:color w:val="373737"/>
          <w:shd w:val="clear" w:color="auto" w:fill="FFFFFF"/>
        </w:rPr>
        <w:t xml:space="preserve"> educationally</w:t>
      </w:r>
      <w:r w:rsidRPr="00320C53">
        <w:rPr>
          <w:rFonts w:ascii="Palatino Linotype" w:eastAsia="Times New Roman" w:hAnsi="Palatino Linotype" w:cs="Times New Roman"/>
          <w:color w:val="373737"/>
          <w:shd w:val="clear" w:color="auto" w:fill="FFFFFF"/>
        </w:rPr>
        <w:t>. However, if desirable</w:t>
      </w:r>
      <w:r w:rsidR="00756B59" w:rsidRPr="00320C53">
        <w:rPr>
          <w:rFonts w:ascii="Palatino Linotype" w:eastAsia="Times New Roman" w:hAnsi="Palatino Linotype" w:cs="Times New Roman"/>
          <w:color w:val="373737"/>
          <w:shd w:val="clear" w:color="auto" w:fill="FFFFFF"/>
        </w:rPr>
        <w:t xml:space="preserve"> because it promotes the achievement of specified outcomes</w:t>
      </w:r>
      <w:r w:rsidRPr="00320C53">
        <w:rPr>
          <w:rFonts w:ascii="Palatino Linotype" w:eastAsia="Times New Roman" w:hAnsi="Palatino Linotype" w:cs="Times New Roman"/>
          <w:color w:val="373737"/>
          <w:shd w:val="clear" w:color="auto" w:fill="FFFFFF"/>
        </w:rPr>
        <w:t xml:space="preserve">, there might be Socratic moments or experiences within PBL or live client clinic to develop and test analytical skill development and the ability to synthesize knowledge for problem solving.  </w:t>
      </w:r>
    </w:p>
    <w:p w14:paraId="7A91DD93" w14:textId="3056943F" w:rsidR="00DD1E81" w:rsidRPr="00320C53" w:rsidRDefault="00DD1E81" w:rsidP="000C2DAB">
      <w:pPr>
        <w:spacing w:line="480" w:lineRule="auto"/>
        <w:jc w:val="both"/>
        <w:rPr>
          <w:rFonts w:ascii="Palatino Linotype" w:eastAsia="Times New Roman" w:hAnsi="Palatino Linotype" w:cs="Times New Roman"/>
          <w:color w:val="373737"/>
          <w:shd w:val="clear" w:color="auto" w:fill="FFFFFF"/>
        </w:rPr>
      </w:pPr>
      <w:r w:rsidRPr="00320C53">
        <w:rPr>
          <w:rFonts w:ascii="Palatino Linotype" w:eastAsia="Times New Roman" w:hAnsi="Palatino Linotype" w:cs="Times New Roman"/>
          <w:color w:val="373737"/>
          <w:shd w:val="clear" w:color="auto" w:fill="FFFFFF"/>
        </w:rPr>
        <w:t>Within the broader framework of live-client under supervision clinics, PBL, and full-blown simulation a careful instructor proceeds more or less as follows</w:t>
      </w:r>
      <w:r w:rsidR="00AA56F4" w:rsidRPr="00320C53">
        <w:rPr>
          <w:rFonts w:ascii="Palatino Linotype" w:eastAsia="Times New Roman" w:hAnsi="Palatino Linotype" w:cs="Times New Roman"/>
          <w:color w:val="373737"/>
          <w:shd w:val="clear" w:color="auto" w:fill="FFFFFF"/>
        </w:rPr>
        <w:t>. To begin with the instructor focuses</w:t>
      </w:r>
      <w:r w:rsidRPr="00320C53">
        <w:rPr>
          <w:rFonts w:ascii="Palatino Linotype" w:eastAsia="Times New Roman" w:hAnsi="Palatino Linotype" w:cs="Times New Roman"/>
          <w:color w:val="373737"/>
          <w:shd w:val="clear" w:color="auto" w:fill="FFFFFF"/>
        </w:rPr>
        <w:t xml:space="preserve"> on the achievement of clearly stated, pre-mapped learning outcomes </w:t>
      </w:r>
      <w:r w:rsidRPr="00320C53">
        <w:rPr>
          <w:rFonts w:ascii="Palatino Linotype" w:eastAsia="Times New Roman" w:hAnsi="Palatino Linotype" w:cs="Times New Roman"/>
          <w:color w:val="373737"/>
          <w:shd w:val="clear" w:color="auto" w:fill="FFFFFF"/>
        </w:rPr>
        <w:lastRenderedPageBreak/>
        <w:t>for the course</w:t>
      </w:r>
      <w:r w:rsidR="00AA56F4" w:rsidRPr="00320C53">
        <w:rPr>
          <w:rFonts w:ascii="Palatino Linotype" w:eastAsia="Times New Roman" w:hAnsi="Palatino Linotype" w:cs="Times New Roman"/>
          <w:color w:val="373737"/>
          <w:shd w:val="clear" w:color="auto" w:fill="FFFFFF"/>
        </w:rPr>
        <w:t>. Next she identifies</w:t>
      </w:r>
      <w:r w:rsidRPr="00320C53">
        <w:rPr>
          <w:rFonts w:ascii="Palatino Linotype" w:eastAsia="Times New Roman" w:hAnsi="Palatino Linotype" w:cs="Times New Roman"/>
          <w:color w:val="373737"/>
          <w:shd w:val="clear" w:color="auto" w:fill="FFFFFF"/>
        </w:rPr>
        <w:t xml:space="preserve"> the learning components of </w:t>
      </w:r>
      <w:r w:rsidR="00AA56F4" w:rsidRPr="00320C53">
        <w:rPr>
          <w:rFonts w:ascii="Palatino Linotype" w:eastAsia="Times New Roman" w:hAnsi="Palatino Linotype" w:cs="Times New Roman"/>
          <w:color w:val="373737"/>
          <w:shd w:val="clear" w:color="auto" w:fill="FFFFFF"/>
        </w:rPr>
        <w:t>each</w:t>
      </w:r>
      <w:r w:rsidRPr="00320C53">
        <w:rPr>
          <w:rFonts w:ascii="Palatino Linotype" w:eastAsia="Times New Roman" w:hAnsi="Palatino Linotype" w:cs="Times New Roman"/>
          <w:color w:val="373737"/>
          <w:shd w:val="clear" w:color="auto" w:fill="FFFFFF"/>
        </w:rPr>
        <w:t xml:space="preserve"> outcome </w:t>
      </w:r>
      <w:r w:rsidR="00AA56F4" w:rsidRPr="00320C53">
        <w:rPr>
          <w:rFonts w:ascii="Palatino Linotype" w:eastAsia="Times New Roman" w:hAnsi="Palatino Linotype" w:cs="Times New Roman"/>
          <w:color w:val="373737"/>
          <w:shd w:val="clear" w:color="auto" w:fill="FFFFFF"/>
        </w:rPr>
        <w:t>to be learned as it may be a</w:t>
      </w:r>
      <w:r w:rsidRPr="00320C53">
        <w:rPr>
          <w:rFonts w:ascii="Palatino Linotype" w:eastAsia="Times New Roman" w:hAnsi="Palatino Linotype" w:cs="Times New Roman"/>
          <w:color w:val="373737"/>
          <w:shd w:val="clear" w:color="auto" w:fill="FFFFFF"/>
        </w:rPr>
        <w:t xml:space="preserve"> compound or complex</w:t>
      </w:r>
      <w:r w:rsidR="00AA56F4" w:rsidRPr="00320C53">
        <w:rPr>
          <w:rFonts w:ascii="Palatino Linotype" w:eastAsia="Times New Roman" w:hAnsi="Palatino Linotype" w:cs="Times New Roman"/>
          <w:color w:val="373737"/>
          <w:shd w:val="clear" w:color="auto" w:fill="FFFFFF"/>
        </w:rPr>
        <w:t xml:space="preserve"> learning outcome. Third, the instructor will reflect upon the learning preferences and </w:t>
      </w:r>
      <w:r w:rsidRPr="00320C53">
        <w:rPr>
          <w:rFonts w:ascii="Palatino Linotype" w:eastAsia="Times New Roman" w:hAnsi="Palatino Linotype" w:cs="Times New Roman"/>
          <w:color w:val="373737"/>
          <w:shd w:val="clear" w:color="auto" w:fill="FFFFFF"/>
        </w:rPr>
        <w:t>learning styles of the learners</w:t>
      </w:r>
      <w:r w:rsidR="00AA56F4" w:rsidRPr="00320C53">
        <w:rPr>
          <w:rFonts w:ascii="Palatino Linotype" w:eastAsia="Times New Roman" w:hAnsi="Palatino Linotype" w:cs="Times New Roman"/>
          <w:color w:val="373737"/>
          <w:shd w:val="clear" w:color="auto" w:fill="FFFFFF"/>
        </w:rPr>
        <w:t>.</w:t>
      </w:r>
      <w:r w:rsidRPr="00320C53">
        <w:rPr>
          <w:rStyle w:val="FootnoteReference"/>
          <w:rFonts w:ascii="Palatino Linotype" w:eastAsia="Times New Roman" w:hAnsi="Palatino Linotype" w:cs="Times New Roman"/>
          <w:color w:val="373737"/>
          <w:shd w:val="clear" w:color="auto" w:fill="FFFFFF"/>
        </w:rPr>
        <w:footnoteReference w:id="63"/>
      </w:r>
      <w:r w:rsidR="00AA56F4" w:rsidRPr="00320C53">
        <w:rPr>
          <w:rFonts w:ascii="Palatino Linotype" w:eastAsia="Times New Roman" w:hAnsi="Palatino Linotype" w:cs="Times New Roman"/>
          <w:color w:val="373737"/>
          <w:shd w:val="clear" w:color="auto" w:fill="FFFFFF"/>
        </w:rPr>
        <w:t xml:space="preserve"> Then she will s</w:t>
      </w:r>
      <w:r w:rsidRPr="00320C53">
        <w:rPr>
          <w:rFonts w:ascii="Palatino Linotype" w:eastAsia="Times New Roman" w:hAnsi="Palatino Linotype" w:cs="Times New Roman"/>
          <w:color w:val="373737"/>
          <w:shd w:val="clear" w:color="auto" w:fill="FFFFFF"/>
        </w:rPr>
        <w:t>elect interventions, modes of supervision, individual and group activities including, methods, techniques, aids and devices suited to the achievement of the outcome</w:t>
      </w:r>
      <w:r w:rsidR="00AA56F4" w:rsidRPr="00320C53">
        <w:rPr>
          <w:rFonts w:ascii="Palatino Linotype" w:eastAsia="Times New Roman" w:hAnsi="Palatino Linotype" w:cs="Times New Roman"/>
          <w:color w:val="373737"/>
          <w:shd w:val="clear" w:color="auto" w:fill="FFFFFF"/>
        </w:rPr>
        <w:t>(s). Fifth, the instructor will d</w:t>
      </w:r>
      <w:r w:rsidRPr="00320C53">
        <w:rPr>
          <w:rFonts w:ascii="Palatino Linotype" w:eastAsia="Times New Roman" w:hAnsi="Palatino Linotype" w:cs="Times New Roman"/>
          <w:color w:val="373737"/>
          <w:shd w:val="clear" w:color="auto" w:fill="FFFFFF"/>
        </w:rPr>
        <w:t>evise and carry</w:t>
      </w:r>
      <w:r w:rsidR="004A484F">
        <w:rPr>
          <w:rFonts w:ascii="Palatino Linotype" w:eastAsia="Times New Roman" w:hAnsi="Palatino Linotype" w:cs="Times New Roman"/>
          <w:color w:val="373737"/>
          <w:shd w:val="clear" w:color="auto" w:fill="FFFFFF"/>
        </w:rPr>
        <w:t xml:space="preserve"> </w:t>
      </w:r>
      <w:r w:rsidRPr="00320C53">
        <w:rPr>
          <w:rFonts w:ascii="Palatino Linotype" w:eastAsia="Times New Roman" w:hAnsi="Palatino Linotype" w:cs="Times New Roman"/>
          <w:color w:val="373737"/>
          <w:shd w:val="clear" w:color="auto" w:fill="FFFFFF"/>
        </w:rPr>
        <w:t xml:space="preserve">out assessments of student performance for both formative (teaching and learning) and summative (certification; final examination) </w:t>
      </w:r>
      <w:r w:rsidR="00D351C3" w:rsidRPr="00320C53">
        <w:rPr>
          <w:rFonts w:ascii="Palatino Linotype" w:eastAsia="Times New Roman" w:hAnsi="Palatino Linotype" w:cs="Times New Roman"/>
          <w:color w:val="373737"/>
          <w:shd w:val="clear" w:color="auto" w:fill="FFFFFF"/>
        </w:rPr>
        <w:t xml:space="preserve">that are likely to promote the acquisition of the </w:t>
      </w:r>
      <w:r w:rsidRPr="00320C53">
        <w:rPr>
          <w:rFonts w:ascii="Palatino Linotype" w:eastAsia="Times New Roman" w:hAnsi="Palatino Linotype" w:cs="Times New Roman"/>
          <w:color w:val="373737"/>
          <w:shd w:val="clear" w:color="auto" w:fill="FFFFFF"/>
        </w:rPr>
        <w:t>learning outcomes.</w:t>
      </w:r>
    </w:p>
    <w:p w14:paraId="3B97F444" w14:textId="47252BAE" w:rsidR="00E2288D" w:rsidRPr="00320C53" w:rsidRDefault="00DD1E81" w:rsidP="000C2DAB">
      <w:pPr>
        <w:spacing w:line="480" w:lineRule="auto"/>
        <w:jc w:val="both"/>
        <w:rPr>
          <w:rFonts w:ascii="Palatino Linotype" w:eastAsia="Times New Roman" w:hAnsi="Palatino Linotype" w:cs="Times New Roman"/>
          <w:color w:val="373737"/>
          <w:shd w:val="clear" w:color="auto" w:fill="FFFFFF"/>
        </w:rPr>
      </w:pPr>
      <w:r w:rsidRPr="00320C53">
        <w:rPr>
          <w:rFonts w:ascii="Palatino Linotype" w:eastAsia="Times New Roman" w:hAnsi="Palatino Linotype" w:cs="Times New Roman"/>
          <w:color w:val="373737"/>
          <w:shd w:val="clear" w:color="auto" w:fill="FFFFFF"/>
        </w:rPr>
        <w:t>This approach will help instructors assure the achievement of the full range of law school learning outcomes through the development of teaching interventions either in advance of or as required in the context of live client, PBL and simulation clinics. Active learning wit</w:t>
      </w:r>
      <w:r w:rsidR="00327186" w:rsidRPr="00320C53">
        <w:rPr>
          <w:rFonts w:ascii="Palatino Linotype" w:eastAsia="Times New Roman" w:hAnsi="Palatino Linotype" w:cs="Times New Roman"/>
          <w:color w:val="373737"/>
          <w:shd w:val="clear" w:color="auto" w:fill="FFFFFF"/>
        </w:rPr>
        <w:t>h a</w:t>
      </w:r>
      <w:r w:rsidRPr="00320C53">
        <w:rPr>
          <w:rFonts w:ascii="Palatino Linotype" w:eastAsia="Times New Roman" w:hAnsi="Palatino Linotype" w:cs="Times New Roman"/>
          <w:color w:val="373737"/>
          <w:shd w:val="clear" w:color="auto" w:fill="FFFFFF"/>
        </w:rPr>
        <w:t xml:space="preserve"> focus on reality and live client experience in all phases</w:t>
      </w:r>
      <w:r w:rsidR="00E2288D" w:rsidRPr="00320C53">
        <w:rPr>
          <w:rFonts w:ascii="Palatino Linotype" w:eastAsia="Times New Roman" w:hAnsi="Palatino Linotype" w:cs="Times New Roman"/>
          <w:color w:val="373737"/>
          <w:shd w:val="clear" w:color="auto" w:fill="FFFFFF"/>
        </w:rPr>
        <w:t xml:space="preserve"> will remain the watchword. </w:t>
      </w:r>
      <w:r w:rsidRPr="00320C53">
        <w:rPr>
          <w:rFonts w:ascii="Palatino Linotype" w:eastAsia="Times New Roman" w:hAnsi="Palatino Linotype" w:cs="Times New Roman"/>
          <w:color w:val="373737"/>
          <w:shd w:val="clear" w:color="auto" w:fill="FFFFFF"/>
        </w:rPr>
        <w:t xml:space="preserve"> </w:t>
      </w:r>
      <w:r w:rsidR="00E2288D" w:rsidRPr="00320C53">
        <w:rPr>
          <w:rFonts w:ascii="Palatino Linotype" w:eastAsia="Times New Roman" w:hAnsi="Palatino Linotype" w:cs="Times New Roman"/>
          <w:color w:val="373737"/>
          <w:shd w:val="clear" w:color="auto" w:fill="FFFFFF"/>
        </w:rPr>
        <w:t xml:space="preserve">However, </w:t>
      </w:r>
      <w:r w:rsidRPr="00320C53">
        <w:rPr>
          <w:rFonts w:ascii="Palatino Linotype" w:eastAsia="Times New Roman" w:hAnsi="Palatino Linotype" w:cs="Times New Roman"/>
          <w:color w:val="373737"/>
          <w:shd w:val="clear" w:color="auto" w:fill="FFFFFF"/>
        </w:rPr>
        <w:t>to assure the learning of all requisite knowledge, skills and values some of the lea</w:t>
      </w:r>
      <w:r w:rsidR="00E2288D" w:rsidRPr="00320C53">
        <w:rPr>
          <w:rFonts w:ascii="Palatino Linotype" w:eastAsia="Times New Roman" w:hAnsi="Palatino Linotype" w:cs="Times New Roman"/>
          <w:color w:val="373737"/>
          <w:shd w:val="clear" w:color="auto" w:fill="FFFFFF"/>
        </w:rPr>
        <w:t>r</w:t>
      </w:r>
      <w:r w:rsidRPr="00320C53">
        <w:rPr>
          <w:rFonts w:ascii="Palatino Linotype" w:eastAsia="Times New Roman" w:hAnsi="Palatino Linotype" w:cs="Times New Roman"/>
          <w:color w:val="373737"/>
          <w:shd w:val="clear" w:color="auto" w:fill="FFFFFF"/>
        </w:rPr>
        <w:t xml:space="preserve">ning will need to be constructed through PBL, simulation or adjunct activities within live client clinics. </w:t>
      </w:r>
    </w:p>
    <w:p w14:paraId="01459F32" w14:textId="6455FA9E" w:rsidR="00DD1E81" w:rsidRPr="00320C53" w:rsidRDefault="00DD1E81" w:rsidP="000C2DAB">
      <w:pPr>
        <w:spacing w:line="480" w:lineRule="auto"/>
        <w:jc w:val="both"/>
        <w:rPr>
          <w:rFonts w:ascii="Palatino Linotype" w:hAnsi="Palatino Linotype"/>
        </w:rPr>
      </w:pPr>
      <w:r w:rsidRPr="00320C53">
        <w:rPr>
          <w:rFonts w:ascii="Palatino Linotype" w:eastAsia="Times New Roman" w:hAnsi="Palatino Linotype" w:cs="Times New Roman"/>
          <w:color w:val="373737"/>
          <w:shd w:val="clear" w:color="auto" w:fill="FFFFFF"/>
        </w:rPr>
        <w:t>There are many reasons why we have developed a preference for active learning</w:t>
      </w:r>
      <w:r w:rsidR="001D66F2" w:rsidRPr="00320C53">
        <w:rPr>
          <w:rFonts w:ascii="Palatino Linotype" w:eastAsia="Times New Roman" w:hAnsi="Palatino Linotype" w:cs="Times New Roman"/>
          <w:color w:val="373737"/>
          <w:shd w:val="clear" w:color="auto" w:fill="FFFFFF"/>
        </w:rPr>
        <w:t xml:space="preserve">. To begin with, </w:t>
      </w:r>
      <w:r w:rsidR="001D66F2" w:rsidRPr="00320C53">
        <w:rPr>
          <w:rFonts w:ascii="Palatino Linotype" w:hAnsi="Palatino Linotype"/>
        </w:rPr>
        <w:t>i</w:t>
      </w:r>
      <w:r w:rsidRPr="00320C53">
        <w:rPr>
          <w:rFonts w:ascii="Palatino Linotype" w:hAnsi="Palatino Linotype"/>
        </w:rPr>
        <w:t xml:space="preserve">t tends to be engaging: </w:t>
      </w:r>
      <w:r w:rsidR="001D66F2" w:rsidRPr="00320C53">
        <w:rPr>
          <w:rFonts w:ascii="Palatino Linotype" w:hAnsi="Palatino Linotype"/>
        </w:rPr>
        <w:t>the student is</w:t>
      </w:r>
      <w:r w:rsidRPr="00320C53">
        <w:rPr>
          <w:rFonts w:ascii="Palatino Linotype" w:hAnsi="Palatino Linotype"/>
        </w:rPr>
        <w:t xml:space="preserve"> attentive and task focused (on task)</w:t>
      </w:r>
      <w:r w:rsidR="001D66F2" w:rsidRPr="00320C53">
        <w:rPr>
          <w:rFonts w:ascii="Palatino Linotype" w:hAnsi="Palatino Linotype"/>
        </w:rPr>
        <w:t>.</w:t>
      </w:r>
      <w:r w:rsidR="001D66F2" w:rsidRPr="00320C53">
        <w:rPr>
          <w:rFonts w:ascii="Palatino Linotype" w:eastAsia="Times New Roman" w:hAnsi="Palatino Linotype" w:cs="Times New Roman"/>
          <w:color w:val="373737"/>
          <w:shd w:val="clear" w:color="auto" w:fill="FFFFFF"/>
        </w:rPr>
        <w:t xml:space="preserve"> </w:t>
      </w:r>
      <w:r w:rsidR="001D66F2" w:rsidRPr="00320C53">
        <w:rPr>
          <w:rFonts w:ascii="Palatino Linotype" w:eastAsia="Times New Roman" w:hAnsi="Palatino Linotype" w:cs="Times New Roman"/>
          <w:color w:val="373737"/>
          <w:shd w:val="clear" w:color="auto" w:fill="FFFFFF"/>
        </w:rPr>
        <w:lastRenderedPageBreak/>
        <w:t xml:space="preserve">Second, </w:t>
      </w:r>
      <w:r w:rsidR="001D66F2" w:rsidRPr="00320C53">
        <w:rPr>
          <w:rFonts w:ascii="Palatino Linotype" w:hAnsi="Palatino Linotype"/>
        </w:rPr>
        <w:t>i</w:t>
      </w:r>
      <w:r w:rsidRPr="00320C53">
        <w:rPr>
          <w:rFonts w:ascii="Palatino Linotype" w:hAnsi="Palatino Linotype"/>
        </w:rPr>
        <w:t xml:space="preserve">t </w:t>
      </w:r>
      <w:r w:rsidR="001D66F2" w:rsidRPr="00320C53">
        <w:rPr>
          <w:rFonts w:ascii="Palatino Linotype" w:hAnsi="Palatino Linotype"/>
        </w:rPr>
        <w:t>centres</w:t>
      </w:r>
      <w:r w:rsidRPr="00320C53">
        <w:rPr>
          <w:rFonts w:ascii="Palatino Linotype" w:hAnsi="Palatino Linotype"/>
        </w:rPr>
        <w:t xml:space="preserve"> students on activities that will help them do something they want or will need to be able to do</w:t>
      </w:r>
      <w:r w:rsidR="001D66F2" w:rsidRPr="00320C53">
        <w:rPr>
          <w:rFonts w:ascii="Palatino Linotype" w:hAnsi="Palatino Linotype"/>
        </w:rPr>
        <w:t xml:space="preserve"> in their practice.</w:t>
      </w:r>
      <w:r w:rsidR="001D66F2" w:rsidRPr="00320C53">
        <w:rPr>
          <w:rFonts w:ascii="Palatino Linotype" w:eastAsia="Times New Roman" w:hAnsi="Palatino Linotype" w:cs="Times New Roman"/>
          <w:color w:val="373737"/>
          <w:shd w:val="clear" w:color="auto" w:fill="FFFFFF"/>
        </w:rPr>
        <w:t xml:space="preserve"> Then, </w:t>
      </w:r>
      <w:r w:rsidR="001D66F2" w:rsidRPr="00320C53">
        <w:rPr>
          <w:rFonts w:ascii="Palatino Linotype" w:hAnsi="Palatino Linotype"/>
        </w:rPr>
        <w:t>i</w:t>
      </w:r>
      <w:r w:rsidRPr="00320C53">
        <w:rPr>
          <w:rFonts w:ascii="Palatino Linotype" w:hAnsi="Palatino Linotype"/>
        </w:rPr>
        <w:t>t permits them to test their knowledge, skills and abilities</w:t>
      </w:r>
      <w:r w:rsidR="00217D77" w:rsidRPr="00320C53">
        <w:rPr>
          <w:rFonts w:ascii="Palatino Linotype" w:hAnsi="Palatino Linotype"/>
        </w:rPr>
        <w:t xml:space="preserve"> </w:t>
      </w:r>
      <w:r w:rsidR="00B90F12" w:rsidRPr="00320C53">
        <w:rPr>
          <w:rFonts w:ascii="Palatino Linotype" w:hAnsi="Palatino Linotype"/>
        </w:rPr>
        <w:t>and obtain</w:t>
      </w:r>
      <w:r w:rsidR="00217D77" w:rsidRPr="00320C53">
        <w:rPr>
          <w:rFonts w:ascii="Palatino Linotype" w:hAnsi="Palatino Linotype"/>
        </w:rPr>
        <w:t xml:space="preserve"> constructive feedback.</w:t>
      </w:r>
      <w:r w:rsidR="00217D77" w:rsidRPr="00320C53">
        <w:rPr>
          <w:rFonts w:ascii="Palatino Linotype" w:eastAsia="Times New Roman" w:hAnsi="Palatino Linotype" w:cs="Times New Roman"/>
          <w:color w:val="373737"/>
          <w:shd w:val="clear" w:color="auto" w:fill="FFFFFF"/>
        </w:rPr>
        <w:t xml:space="preserve"> All of these opportunities </w:t>
      </w:r>
      <w:r w:rsidR="00B90F12" w:rsidRPr="00320C53">
        <w:rPr>
          <w:rFonts w:ascii="Palatino Linotype" w:eastAsia="Times New Roman" w:hAnsi="Palatino Linotype" w:cs="Times New Roman"/>
          <w:color w:val="373737"/>
          <w:shd w:val="clear" w:color="auto" w:fill="FFFFFF"/>
        </w:rPr>
        <w:t xml:space="preserve">are </w:t>
      </w:r>
      <w:r w:rsidR="00B90F12" w:rsidRPr="00320C53">
        <w:rPr>
          <w:rFonts w:ascii="Palatino Linotype" w:hAnsi="Palatino Linotype"/>
        </w:rPr>
        <w:t>offered in a safe environment in which students</w:t>
      </w:r>
      <w:r w:rsidRPr="00320C53">
        <w:rPr>
          <w:rFonts w:ascii="Palatino Linotype" w:hAnsi="Palatino Linotype"/>
        </w:rPr>
        <w:t xml:space="preserve"> venture their approach</w:t>
      </w:r>
      <w:r w:rsidR="00B90F12" w:rsidRPr="00320C53">
        <w:rPr>
          <w:rFonts w:ascii="Palatino Linotype" w:hAnsi="Palatino Linotype"/>
        </w:rPr>
        <w:t xml:space="preserve">. </w:t>
      </w:r>
      <w:r w:rsidR="004058B2" w:rsidRPr="00320C53">
        <w:rPr>
          <w:rFonts w:ascii="Palatino Linotype" w:hAnsi="Palatino Linotype"/>
        </w:rPr>
        <w:t>This active process tends to  promote deep, long lasting and aligned learning.</w:t>
      </w:r>
      <w:r w:rsidR="004058B2" w:rsidRPr="00320C53">
        <w:rPr>
          <w:rStyle w:val="FootnoteReference"/>
          <w:rFonts w:ascii="Palatino Linotype" w:hAnsi="Palatino Linotype"/>
        </w:rPr>
        <w:footnoteReference w:id="64"/>
      </w:r>
      <w:r w:rsidR="004058B2" w:rsidRPr="00320C53">
        <w:rPr>
          <w:rFonts w:ascii="Palatino Linotype" w:hAnsi="Palatino Linotype"/>
        </w:rPr>
        <w:t xml:space="preserve"> It also</w:t>
      </w:r>
      <w:r w:rsidRPr="00320C53">
        <w:rPr>
          <w:rFonts w:ascii="Palatino Linotype" w:hAnsi="Palatino Linotype"/>
        </w:rPr>
        <w:t xml:space="preserve"> offers </w:t>
      </w:r>
      <w:r w:rsidR="004058B2" w:rsidRPr="00320C53">
        <w:rPr>
          <w:rFonts w:ascii="Palatino Linotype" w:hAnsi="Palatino Linotype"/>
        </w:rPr>
        <w:t xml:space="preserve">observing </w:t>
      </w:r>
      <w:r w:rsidRPr="00320C53">
        <w:rPr>
          <w:rFonts w:ascii="Palatino Linotype" w:hAnsi="Palatino Linotype"/>
        </w:rPr>
        <w:t>instructors an opportunity to</w:t>
      </w:r>
      <w:r w:rsidR="004058B2" w:rsidRPr="00320C53">
        <w:rPr>
          <w:rFonts w:ascii="Palatino Linotype" w:hAnsi="Palatino Linotype"/>
        </w:rPr>
        <w:t xml:space="preserve"> check the progress of learning to enable them to make any adjustments they consider useful.</w:t>
      </w:r>
    </w:p>
    <w:p w14:paraId="78FB345D" w14:textId="18F8D8FC" w:rsidR="00DD1E81" w:rsidRPr="00320C53" w:rsidRDefault="00DD1E81" w:rsidP="000C2DAB">
      <w:pPr>
        <w:spacing w:line="480" w:lineRule="auto"/>
        <w:jc w:val="both"/>
        <w:rPr>
          <w:rFonts w:ascii="Palatino Linotype" w:hAnsi="Palatino Linotype"/>
          <w:lang w:val="en-CA"/>
        </w:rPr>
      </w:pPr>
      <w:r w:rsidRPr="00320C53">
        <w:rPr>
          <w:rFonts w:ascii="Palatino Linotype" w:hAnsi="Palatino Linotype"/>
        </w:rPr>
        <w:t>So, finally can clinic achieve the UUDLEs as supplemented by Carnegie and Stuckey? My answer is yes, provided that there is a mix of clinical approaches including</w:t>
      </w:r>
      <w:r w:rsidR="004058B2" w:rsidRPr="00320C53">
        <w:rPr>
          <w:rFonts w:ascii="Palatino Linotype" w:hAnsi="Palatino Linotype"/>
        </w:rPr>
        <w:t>, among others</w:t>
      </w:r>
      <w:r w:rsidR="002055B3" w:rsidRPr="00320C53">
        <w:rPr>
          <w:rFonts w:ascii="Palatino Linotype" w:hAnsi="Palatino Linotype"/>
        </w:rPr>
        <w:t>, both</w:t>
      </w:r>
      <w:r w:rsidRPr="00320C53">
        <w:rPr>
          <w:rFonts w:ascii="Palatino Linotype" w:hAnsi="Palatino Linotype"/>
        </w:rPr>
        <w:t xml:space="preserve"> PBL and live-client under supervision models. PBL can meet all of the requirements of the UUDLEs 1. to 4. inclusive.  These are “knowledge” and </w:t>
      </w:r>
      <w:r w:rsidR="001E3358" w:rsidRPr="00320C53">
        <w:rPr>
          <w:rFonts w:ascii="Palatino Linotype" w:hAnsi="Palatino Linotype"/>
        </w:rPr>
        <w:t>“</w:t>
      </w:r>
      <w:r w:rsidRPr="00320C53">
        <w:rPr>
          <w:rFonts w:ascii="Palatino Linotype" w:hAnsi="Palatino Linotype"/>
        </w:rPr>
        <w:t>communication</w:t>
      </w:r>
      <w:r w:rsidR="001E3358" w:rsidRPr="00320C53">
        <w:rPr>
          <w:rFonts w:ascii="Palatino Linotype" w:hAnsi="Palatino Linotype"/>
        </w:rPr>
        <w:t>”</w:t>
      </w:r>
      <w:r w:rsidRPr="00320C53">
        <w:rPr>
          <w:rFonts w:ascii="Palatino Linotype" w:hAnsi="Palatino Linotype"/>
        </w:rPr>
        <w:t xml:space="preserve">; each </w:t>
      </w:r>
      <w:r w:rsidR="001E3358" w:rsidRPr="00320C53">
        <w:rPr>
          <w:rFonts w:ascii="Palatino Linotype" w:hAnsi="Palatino Linotype"/>
        </w:rPr>
        <w:t>would</w:t>
      </w:r>
      <w:r w:rsidRPr="00320C53">
        <w:rPr>
          <w:rFonts w:ascii="Palatino Linotype" w:hAnsi="Palatino Linotype"/>
        </w:rPr>
        <w:t xml:space="preserve"> be addressed both directly and indirectly through PBL’s rich variety of activities, readings, research, exercises, discussions, presentations, constructive feedback sessions and supplementary activities either programmed for or requested by students.  As for UUDLEs 5. and 6.</w:t>
      </w:r>
      <w:r w:rsidR="00511BE1" w:rsidRPr="00320C53">
        <w:rPr>
          <w:rStyle w:val="FootnoteReference"/>
          <w:rFonts w:ascii="Palatino Linotype" w:hAnsi="Palatino Linotype"/>
        </w:rPr>
        <w:footnoteReference w:id="65"/>
      </w:r>
      <w:r w:rsidRPr="00320C53">
        <w:rPr>
          <w:rFonts w:ascii="Palatino Linotype" w:hAnsi="Palatino Linotype"/>
        </w:rPr>
        <w:t>, students should, as 5. requires, achieve “</w:t>
      </w:r>
      <w:r w:rsidRPr="00320C53">
        <w:rPr>
          <w:rFonts w:ascii="Palatino Linotype" w:hAnsi="Palatino Linotype"/>
          <w:lang w:val="en-CA"/>
        </w:rPr>
        <w:t xml:space="preserve">an understanding of the limits to their own knowledge and ability, and an appreciation of the uncertainty, ambiguity and limits to knowledge and how this might </w:t>
      </w:r>
      <w:r w:rsidRPr="00320C53">
        <w:rPr>
          <w:rFonts w:ascii="Palatino Linotype" w:hAnsi="Palatino Linotype"/>
          <w:lang w:val="en-CA"/>
        </w:rPr>
        <w:lastRenderedPageBreak/>
        <w:t xml:space="preserve">influence analyses and interpretations” having been through many problems and attempts at their “resolution”.  UUDLE 6. is less clear. It is very likely that the variety of activities once again will achieve: </w:t>
      </w:r>
      <w:r w:rsidR="007425D1" w:rsidRPr="00320C53">
        <w:rPr>
          <w:rFonts w:ascii="Palatino Linotype" w:hAnsi="Palatino Linotype"/>
          <w:lang w:val="en-CA"/>
        </w:rPr>
        <w:t>“</w:t>
      </w:r>
      <w:r w:rsidRPr="00320C53">
        <w:rPr>
          <w:rFonts w:ascii="Palatino Linotype" w:hAnsi="Palatino Linotype"/>
          <w:lang w:val="en-CA"/>
        </w:rPr>
        <w:t>a) qualities and transferable skills necessary for further study, employment, community involvement and other activities requiring:</w:t>
      </w:r>
    </w:p>
    <w:p w14:paraId="49C595A0" w14:textId="77777777" w:rsidR="00464760" w:rsidRPr="00320C53" w:rsidRDefault="00DD1E81" w:rsidP="000C2DAB">
      <w:pPr>
        <w:pStyle w:val="ListParagraph"/>
        <w:numPr>
          <w:ilvl w:val="0"/>
          <w:numId w:val="31"/>
        </w:numPr>
        <w:spacing w:line="480" w:lineRule="auto"/>
        <w:jc w:val="both"/>
        <w:rPr>
          <w:rFonts w:ascii="Palatino Linotype" w:hAnsi="Palatino Linotype"/>
          <w:lang w:val="en-CA"/>
        </w:rPr>
      </w:pPr>
      <w:r w:rsidRPr="00320C53">
        <w:rPr>
          <w:rFonts w:ascii="Palatino Linotype" w:hAnsi="Palatino Linotype"/>
          <w:lang w:val="en-CA"/>
        </w:rPr>
        <w:t>the exercise of initiative, personal responsibility and accountability in both personal and group contexts;</w:t>
      </w:r>
    </w:p>
    <w:p w14:paraId="2D5EDDEC" w14:textId="77777777" w:rsidR="00464760" w:rsidRPr="00320C53" w:rsidRDefault="00DD1E81" w:rsidP="000C2DAB">
      <w:pPr>
        <w:pStyle w:val="ListParagraph"/>
        <w:numPr>
          <w:ilvl w:val="0"/>
          <w:numId w:val="31"/>
        </w:numPr>
        <w:spacing w:line="480" w:lineRule="auto"/>
        <w:jc w:val="both"/>
        <w:rPr>
          <w:rFonts w:ascii="Palatino Linotype" w:hAnsi="Palatino Linotype"/>
          <w:lang w:val="en-CA"/>
        </w:rPr>
      </w:pPr>
      <w:r w:rsidRPr="00320C53">
        <w:rPr>
          <w:rFonts w:ascii="Palatino Linotype" w:hAnsi="Palatino Linotype"/>
          <w:lang w:val="en-CA"/>
        </w:rPr>
        <w:t xml:space="preserve">working effectively with others; </w:t>
      </w:r>
    </w:p>
    <w:p w14:paraId="707B578B" w14:textId="28A3BC0F" w:rsidR="00DD1E81" w:rsidRPr="00320C53" w:rsidRDefault="00DD1E81" w:rsidP="000C2DAB">
      <w:pPr>
        <w:pStyle w:val="ListParagraph"/>
        <w:numPr>
          <w:ilvl w:val="0"/>
          <w:numId w:val="31"/>
        </w:numPr>
        <w:spacing w:line="480" w:lineRule="auto"/>
        <w:jc w:val="both"/>
        <w:rPr>
          <w:rFonts w:ascii="Palatino Linotype" w:hAnsi="Palatino Linotype"/>
          <w:lang w:val="en-CA"/>
        </w:rPr>
      </w:pPr>
      <w:r w:rsidRPr="00320C53">
        <w:rPr>
          <w:rFonts w:ascii="Palatino Linotype" w:hAnsi="Palatino Linotype"/>
          <w:lang w:val="en-CA"/>
        </w:rPr>
        <w:t>deci</w:t>
      </w:r>
      <w:r w:rsidR="007425D1" w:rsidRPr="00320C53">
        <w:rPr>
          <w:rFonts w:ascii="Palatino Linotype" w:hAnsi="Palatino Linotype"/>
          <w:lang w:val="en-CA"/>
        </w:rPr>
        <w:t>sion-making in complex contexts.</w:t>
      </w:r>
      <w:r w:rsidRPr="00320C53">
        <w:rPr>
          <w:rFonts w:ascii="Palatino Linotype" w:hAnsi="Palatino Linotype"/>
          <w:lang w:val="en-CA"/>
        </w:rPr>
        <w:t>”</w:t>
      </w:r>
    </w:p>
    <w:p w14:paraId="614E547B" w14:textId="6FB2278F" w:rsidR="00DD1E81" w:rsidRPr="00320C53" w:rsidRDefault="00DD1E81" w:rsidP="000C2DAB">
      <w:pPr>
        <w:spacing w:line="480" w:lineRule="auto"/>
        <w:jc w:val="both"/>
        <w:rPr>
          <w:rFonts w:ascii="Palatino Linotype" w:hAnsi="Palatino Linotype"/>
          <w:lang w:val="en-CA"/>
        </w:rPr>
      </w:pPr>
      <w:r w:rsidRPr="00320C53">
        <w:rPr>
          <w:rFonts w:ascii="Palatino Linotype" w:hAnsi="Palatino Linotype"/>
          <w:lang w:val="en-CA"/>
        </w:rPr>
        <w:t xml:space="preserve">However, “b) the ability to manage their own learning in changing circumstances, both within and outside the discipline and to select an appropriate program of further study” will </w:t>
      </w:r>
      <w:r w:rsidR="00371A34" w:rsidRPr="00320C53">
        <w:rPr>
          <w:rFonts w:ascii="Palatino Linotype" w:hAnsi="Palatino Linotype"/>
          <w:lang w:val="en-CA"/>
        </w:rPr>
        <w:t xml:space="preserve">likely </w:t>
      </w:r>
      <w:r w:rsidRPr="00320C53">
        <w:rPr>
          <w:rFonts w:ascii="Palatino Linotype" w:hAnsi="Palatino Linotype"/>
          <w:lang w:val="en-CA"/>
        </w:rPr>
        <w:t>require live client under supervision experience. Finally, “c) behaviour consistent with academic integrity and social responsibility”</w:t>
      </w:r>
      <w:r w:rsidR="000824F4" w:rsidRPr="00320C53">
        <w:rPr>
          <w:rStyle w:val="FootnoteReference"/>
          <w:rFonts w:ascii="Palatino Linotype" w:hAnsi="Palatino Linotype"/>
          <w:lang w:val="en-CA"/>
        </w:rPr>
        <w:footnoteReference w:id="66"/>
      </w:r>
      <w:r w:rsidRPr="00320C53">
        <w:rPr>
          <w:rFonts w:ascii="Palatino Linotype" w:hAnsi="Palatino Linotype"/>
          <w:lang w:val="en-CA"/>
        </w:rPr>
        <w:t xml:space="preserve"> should proceed from PBL. However </w:t>
      </w:r>
      <w:r w:rsidR="005B4FAE" w:rsidRPr="00320C53">
        <w:rPr>
          <w:rFonts w:ascii="Palatino Linotype" w:hAnsi="Palatino Linotype"/>
          <w:lang w:val="en-CA"/>
        </w:rPr>
        <w:t>higher-level</w:t>
      </w:r>
      <w:r w:rsidRPr="00320C53">
        <w:rPr>
          <w:rFonts w:ascii="Palatino Linotype" w:hAnsi="Palatino Linotype"/>
          <w:lang w:val="en-CA"/>
        </w:rPr>
        <w:t xml:space="preserve"> professionalism is not fully achievable without live client work.</w:t>
      </w:r>
    </w:p>
    <w:p w14:paraId="7D6C3EFA" w14:textId="09D75324" w:rsidR="005B4FAE" w:rsidRPr="00320C53" w:rsidRDefault="005B4FAE" w:rsidP="000C2DAB">
      <w:pPr>
        <w:spacing w:line="480" w:lineRule="auto"/>
        <w:jc w:val="both"/>
        <w:rPr>
          <w:rFonts w:ascii="Palatino Linotype" w:hAnsi="Palatino Linotype"/>
          <w:lang w:val="en-CA"/>
        </w:rPr>
      </w:pPr>
      <w:r w:rsidRPr="00320C53">
        <w:rPr>
          <w:rFonts w:ascii="Palatino Linotype" w:hAnsi="Palatino Linotype"/>
          <w:lang w:val="en-CA"/>
        </w:rPr>
        <w:t xml:space="preserve">Higher education generally has been </w:t>
      </w:r>
      <w:r w:rsidR="000946FF" w:rsidRPr="00320C53">
        <w:rPr>
          <w:rFonts w:ascii="Palatino Linotype" w:hAnsi="Palatino Linotype"/>
          <w:lang w:val="en-CA"/>
        </w:rPr>
        <w:t>loath</w:t>
      </w:r>
      <w:r w:rsidR="000D0366" w:rsidRPr="00320C53">
        <w:rPr>
          <w:rFonts w:ascii="Palatino Linotype" w:hAnsi="Palatino Linotype"/>
          <w:lang w:val="en-CA"/>
        </w:rPr>
        <w:t xml:space="preserve"> to enter in</w:t>
      </w:r>
      <w:r w:rsidRPr="00320C53">
        <w:rPr>
          <w:rFonts w:ascii="Palatino Linotype" w:hAnsi="Palatino Linotype"/>
          <w:lang w:val="en-CA"/>
        </w:rPr>
        <w:t>to values education fearing that it would be tantamount to indoctrination.</w:t>
      </w:r>
      <w:r w:rsidRPr="00320C53">
        <w:rPr>
          <w:rStyle w:val="FootnoteReference"/>
          <w:rFonts w:ascii="Palatino Linotype" w:hAnsi="Palatino Linotype"/>
          <w:lang w:val="en-CA"/>
        </w:rPr>
        <w:footnoteReference w:id="67"/>
      </w:r>
      <w:r w:rsidR="000946FF" w:rsidRPr="00320C53">
        <w:rPr>
          <w:rFonts w:ascii="Palatino Linotype" w:hAnsi="Palatino Linotype"/>
          <w:lang w:val="en-CA"/>
        </w:rPr>
        <w:t xml:space="preserve"> Just as we</w:t>
      </w:r>
      <w:r w:rsidRPr="00320C53">
        <w:rPr>
          <w:rFonts w:ascii="Palatino Linotype" w:hAnsi="Palatino Linotype"/>
          <w:lang w:val="en-CA"/>
        </w:rPr>
        <w:t xml:space="preserve"> do not tell people what to think we may shy away from telling them what to believe.</w:t>
      </w:r>
      <w:r w:rsidRPr="00320C53">
        <w:rPr>
          <w:rStyle w:val="FootnoteReference"/>
          <w:rFonts w:ascii="Palatino Linotype" w:hAnsi="Palatino Linotype"/>
          <w:lang w:val="en-CA"/>
        </w:rPr>
        <w:footnoteReference w:id="68"/>
      </w:r>
      <w:r w:rsidRPr="00320C53">
        <w:rPr>
          <w:rFonts w:ascii="Palatino Linotype" w:hAnsi="Palatino Linotype"/>
          <w:lang w:val="en-CA"/>
        </w:rPr>
        <w:t xml:space="preserve"> We have no difficulty in suggesting rational arguments for doing good deeds. Yet we still often take the view that another is </w:t>
      </w:r>
      <w:r w:rsidRPr="00320C53">
        <w:rPr>
          <w:rFonts w:ascii="Palatino Linotype" w:hAnsi="Palatino Linotype"/>
          <w:lang w:val="en-CA"/>
        </w:rPr>
        <w:lastRenderedPageBreak/>
        <w:t>entitled to her own beliefs, values, attitudes and feelings.</w:t>
      </w:r>
      <w:r w:rsidR="00D8404B" w:rsidRPr="00320C53">
        <w:rPr>
          <w:rStyle w:val="FootnoteReference"/>
          <w:rFonts w:ascii="Palatino Linotype" w:hAnsi="Palatino Linotype"/>
          <w:lang w:val="en-CA"/>
        </w:rPr>
        <w:footnoteReference w:id="69"/>
      </w:r>
      <w:r w:rsidRPr="00320C53">
        <w:rPr>
          <w:rFonts w:ascii="Palatino Linotype" w:hAnsi="Palatino Linotype"/>
          <w:lang w:val="en-CA"/>
        </w:rPr>
        <w:t xml:space="preserve"> </w:t>
      </w:r>
      <w:r w:rsidR="000946FF" w:rsidRPr="00320C53">
        <w:rPr>
          <w:rFonts w:ascii="Palatino Linotype" w:hAnsi="Palatino Linotype"/>
          <w:lang w:val="en-CA"/>
        </w:rPr>
        <w:t xml:space="preserve">We are willing to teach them how to think and maybe we can do the same for learning how to value, feel and believe. Similarly we are uneasy about trying to shape others’ feelings. </w:t>
      </w:r>
      <w:r w:rsidRPr="00320C53">
        <w:rPr>
          <w:rFonts w:ascii="Palatino Linotype" w:hAnsi="Palatino Linotype"/>
          <w:lang w:val="en-CA"/>
        </w:rPr>
        <w:t xml:space="preserve">In many professions the concern for commitment to professional norms has resulted in attempts to “teach” in the affective domain.  In many law schools we are told professional conduct is taught just like any other law subject that includes a body of rules and underlying principles and required behaviours. In </w:t>
      </w:r>
      <w:r w:rsidR="000946FF" w:rsidRPr="00320C53">
        <w:rPr>
          <w:rFonts w:ascii="Palatino Linotype" w:hAnsi="Palatino Linotype"/>
          <w:lang w:val="en-CA"/>
        </w:rPr>
        <w:t xml:space="preserve">the legal profession, but perhaps less so for law schools, </w:t>
      </w:r>
      <w:r w:rsidRPr="00320C53">
        <w:rPr>
          <w:rFonts w:ascii="Palatino Linotype" w:hAnsi="Palatino Linotype"/>
          <w:lang w:val="en-CA"/>
        </w:rPr>
        <w:t>there is little doubt that we require lawyers to abide by ethical prescriptions and rules of conduct.</w:t>
      </w:r>
      <w:r w:rsidR="00D8404B" w:rsidRPr="00320C53">
        <w:rPr>
          <w:rStyle w:val="FootnoteReference"/>
          <w:rFonts w:ascii="Palatino Linotype" w:hAnsi="Palatino Linotype"/>
          <w:lang w:val="en-CA"/>
        </w:rPr>
        <w:footnoteReference w:id="70"/>
      </w:r>
      <w:r w:rsidRPr="00320C53">
        <w:rPr>
          <w:rFonts w:ascii="Palatino Linotype" w:hAnsi="Palatino Linotype"/>
          <w:lang w:val="en-CA"/>
        </w:rPr>
        <w:t xml:space="preserve"> </w:t>
      </w:r>
      <w:r w:rsidR="000946FF" w:rsidRPr="00320C53">
        <w:rPr>
          <w:rFonts w:ascii="Palatino Linotype" w:hAnsi="Palatino Linotype"/>
          <w:lang w:val="en-CA"/>
        </w:rPr>
        <w:t>However</w:t>
      </w:r>
      <w:r w:rsidRPr="00320C53">
        <w:rPr>
          <w:rFonts w:ascii="Palatino Linotype" w:hAnsi="Palatino Linotype"/>
          <w:lang w:val="en-CA"/>
        </w:rPr>
        <w:t xml:space="preserve">, do </w:t>
      </w:r>
      <w:r w:rsidRPr="00320C53">
        <w:rPr>
          <w:rFonts w:ascii="Palatino Linotype" w:hAnsi="Palatino Linotype"/>
          <w:i/>
          <w:lang w:val="en-CA"/>
        </w:rPr>
        <w:t>we</w:t>
      </w:r>
      <w:r w:rsidRPr="00320C53">
        <w:rPr>
          <w:rFonts w:ascii="Palatino Linotype" w:hAnsi="Palatino Linotype"/>
          <w:lang w:val="en-CA"/>
        </w:rPr>
        <w:t xml:space="preserve"> </w:t>
      </w:r>
      <w:r w:rsidR="000946FF" w:rsidRPr="00320C53">
        <w:rPr>
          <w:rFonts w:ascii="Palatino Linotype" w:hAnsi="Palatino Linotype"/>
          <w:lang w:val="en-CA"/>
        </w:rPr>
        <w:t>want</w:t>
      </w:r>
      <w:r w:rsidRPr="00320C53">
        <w:rPr>
          <w:rFonts w:ascii="Palatino Linotype" w:hAnsi="Palatino Linotype"/>
          <w:lang w:val="en-CA"/>
        </w:rPr>
        <w:t xml:space="preserve"> to inculcate the qualities of</w:t>
      </w:r>
      <w:r w:rsidR="000946FF" w:rsidRPr="00320C53">
        <w:rPr>
          <w:rFonts w:ascii="Palatino Linotype" w:hAnsi="Palatino Linotype"/>
          <w:lang w:val="en-CA"/>
        </w:rPr>
        <w:t>:</w:t>
      </w:r>
      <w:r w:rsidRPr="00320C53">
        <w:rPr>
          <w:rFonts w:ascii="Palatino Linotype" w:hAnsi="Palatino Linotype"/>
          <w:lang w:val="en-CA"/>
        </w:rPr>
        <w:t xml:space="preserve"> </w:t>
      </w:r>
      <w:r w:rsidR="000946FF" w:rsidRPr="00320C53">
        <w:rPr>
          <w:rFonts w:ascii="Palatino Linotype" w:hAnsi="Palatino Linotype"/>
          <w:lang w:val="en-CA"/>
        </w:rPr>
        <w:t xml:space="preserve">caring for others; </w:t>
      </w:r>
      <w:r w:rsidRPr="00320C53">
        <w:rPr>
          <w:rFonts w:ascii="Palatino Linotype" w:hAnsi="Palatino Linotype"/>
          <w:lang w:val="en-CA"/>
        </w:rPr>
        <w:t xml:space="preserve">compassion, </w:t>
      </w:r>
      <w:r w:rsidR="000946FF" w:rsidRPr="00320C53">
        <w:rPr>
          <w:rFonts w:ascii="Palatino Linotype" w:hAnsi="Palatino Linotype"/>
          <w:lang w:val="en-CA"/>
        </w:rPr>
        <w:t>a commitment to justice, equity and fairness; civility and respectfulness of others and the justice system; honesty and integrity and so on?</w:t>
      </w:r>
      <w:r w:rsidR="00BD1A6B" w:rsidRPr="00320C53">
        <w:rPr>
          <w:rStyle w:val="FootnoteReference"/>
          <w:rFonts w:ascii="Palatino Linotype" w:hAnsi="Palatino Linotype"/>
          <w:lang w:val="en-CA"/>
        </w:rPr>
        <w:footnoteReference w:id="71"/>
      </w:r>
      <w:r w:rsidR="000946FF" w:rsidRPr="00320C53">
        <w:rPr>
          <w:rFonts w:ascii="Palatino Linotype" w:hAnsi="Palatino Linotype"/>
          <w:lang w:val="en-CA"/>
        </w:rPr>
        <w:t xml:space="preserve"> The answer in Carnegie and Stuckey </w:t>
      </w:r>
      <w:r w:rsidR="00475749" w:rsidRPr="00320C53">
        <w:rPr>
          <w:rFonts w:ascii="Palatino Linotype" w:hAnsi="Palatino Linotype"/>
          <w:lang w:val="en-CA"/>
        </w:rPr>
        <w:t>is</w:t>
      </w:r>
      <w:r w:rsidR="000946FF" w:rsidRPr="00320C53">
        <w:rPr>
          <w:rFonts w:ascii="Palatino Linotype" w:hAnsi="Palatino Linotype"/>
          <w:lang w:val="en-CA"/>
        </w:rPr>
        <w:t xml:space="preserve"> yes. Clearly experiential learning models including role-plays, simulation, PBL, and </w:t>
      </w:r>
      <w:r w:rsidR="000D0366" w:rsidRPr="00320C53">
        <w:rPr>
          <w:rFonts w:ascii="Palatino Linotype" w:hAnsi="Palatino Linotype"/>
          <w:lang w:val="en-CA"/>
        </w:rPr>
        <w:t xml:space="preserve">live client under supervision </w:t>
      </w:r>
      <w:r w:rsidR="000946FF" w:rsidRPr="00320C53">
        <w:rPr>
          <w:rFonts w:ascii="Palatino Linotype" w:hAnsi="Palatino Linotype"/>
          <w:lang w:val="en-CA"/>
        </w:rPr>
        <w:t>clinic are among the methods to succeed in order of increasing likelihood.</w:t>
      </w:r>
      <w:r w:rsidR="00D8404B" w:rsidRPr="00320C53">
        <w:rPr>
          <w:rStyle w:val="FootnoteReference"/>
          <w:rFonts w:ascii="Palatino Linotype" w:hAnsi="Palatino Linotype"/>
          <w:lang w:val="en-CA"/>
        </w:rPr>
        <w:footnoteReference w:id="72"/>
      </w:r>
      <w:r w:rsidR="000946FF" w:rsidRPr="00320C53">
        <w:rPr>
          <w:rFonts w:ascii="Palatino Linotype" w:hAnsi="Palatino Linotype"/>
          <w:lang w:val="en-CA"/>
        </w:rPr>
        <w:t xml:space="preserve"> </w:t>
      </w:r>
    </w:p>
    <w:p w14:paraId="3A9527FC" w14:textId="77777777" w:rsidR="00DD1E81" w:rsidRPr="00320C53" w:rsidRDefault="00DD1E81" w:rsidP="000C2DAB">
      <w:pPr>
        <w:spacing w:line="480" w:lineRule="auto"/>
        <w:jc w:val="both"/>
        <w:rPr>
          <w:rFonts w:ascii="Palatino Linotype" w:hAnsi="Palatino Linotype"/>
          <w:lang w:val="en-CA"/>
        </w:rPr>
      </w:pPr>
      <w:r w:rsidRPr="00320C53">
        <w:rPr>
          <w:rFonts w:ascii="Palatino Linotype" w:hAnsi="Palatino Linotype"/>
          <w:lang w:val="en-CA"/>
        </w:rPr>
        <w:lastRenderedPageBreak/>
        <w:t xml:space="preserve">As noted earlier, learning outcomes relating to: </w:t>
      </w:r>
    </w:p>
    <w:p w14:paraId="457342C3" w14:textId="77777777" w:rsidR="00464760" w:rsidRPr="00320C53" w:rsidRDefault="00DD1E81" w:rsidP="000C2DAB">
      <w:pPr>
        <w:pStyle w:val="ListParagraph"/>
        <w:numPr>
          <w:ilvl w:val="0"/>
          <w:numId w:val="32"/>
        </w:numPr>
        <w:spacing w:line="480" w:lineRule="auto"/>
        <w:jc w:val="both"/>
        <w:rPr>
          <w:rFonts w:ascii="Palatino Linotype" w:hAnsi="Palatino Linotype"/>
          <w:lang w:val="en-CA"/>
        </w:rPr>
      </w:pPr>
      <w:r w:rsidRPr="00320C53">
        <w:rPr>
          <w:rFonts w:ascii="Palatino Linotype" w:hAnsi="Palatino Linotype"/>
          <w:lang w:val="en-CA"/>
        </w:rPr>
        <w:t>lawyering skills education</w:t>
      </w:r>
      <w:r w:rsidR="00E2288D" w:rsidRPr="00320C53">
        <w:rPr>
          <w:rFonts w:ascii="Palatino Linotype" w:hAnsi="Palatino Linotype"/>
          <w:lang w:val="en-CA"/>
        </w:rPr>
        <w:t>,</w:t>
      </w:r>
      <w:r w:rsidRPr="00320C53">
        <w:rPr>
          <w:rFonts w:ascii="Palatino Linotype" w:hAnsi="Palatino Linotype"/>
          <w:lang w:val="en-CA"/>
        </w:rPr>
        <w:t xml:space="preserve"> </w:t>
      </w:r>
    </w:p>
    <w:p w14:paraId="726F3E38" w14:textId="5BB464FB" w:rsidR="00464760" w:rsidRPr="00320C53" w:rsidRDefault="00E2288D" w:rsidP="000C2DAB">
      <w:pPr>
        <w:pStyle w:val="ListParagraph"/>
        <w:numPr>
          <w:ilvl w:val="0"/>
          <w:numId w:val="32"/>
        </w:numPr>
        <w:spacing w:line="480" w:lineRule="auto"/>
        <w:jc w:val="both"/>
        <w:rPr>
          <w:rFonts w:ascii="Palatino Linotype" w:hAnsi="Palatino Linotype"/>
          <w:lang w:val="en-CA"/>
        </w:rPr>
      </w:pPr>
      <w:r w:rsidRPr="00320C53">
        <w:rPr>
          <w:rFonts w:ascii="Palatino Linotype" w:hAnsi="Palatino Linotype"/>
          <w:lang w:val="en-CA"/>
        </w:rPr>
        <w:t>professionalism learning,</w:t>
      </w:r>
    </w:p>
    <w:p w14:paraId="1F75644A" w14:textId="77777777" w:rsidR="00464760" w:rsidRPr="00320C53" w:rsidRDefault="00464760" w:rsidP="000C2DAB">
      <w:pPr>
        <w:pStyle w:val="ListParagraph"/>
        <w:numPr>
          <w:ilvl w:val="0"/>
          <w:numId w:val="32"/>
        </w:numPr>
        <w:spacing w:line="480" w:lineRule="auto"/>
        <w:jc w:val="both"/>
        <w:rPr>
          <w:rFonts w:ascii="Palatino Linotype" w:hAnsi="Palatino Linotype"/>
          <w:lang w:val="en-CA"/>
        </w:rPr>
      </w:pPr>
      <w:r w:rsidRPr="00320C53">
        <w:rPr>
          <w:rFonts w:ascii="Palatino Linotype" w:hAnsi="Palatino Linotype"/>
          <w:lang w:val="en-CA"/>
        </w:rPr>
        <w:t>t</w:t>
      </w:r>
      <w:r w:rsidR="00DD1E81" w:rsidRPr="00320C53">
        <w:rPr>
          <w:rFonts w:ascii="Palatino Linotype" w:hAnsi="Palatino Linotype"/>
          <w:lang w:val="en-CA"/>
        </w:rPr>
        <w:t>he ability to integrate t</w:t>
      </w:r>
      <w:r w:rsidR="00E2288D" w:rsidRPr="00320C53">
        <w:rPr>
          <w:rFonts w:ascii="Palatino Linotype" w:hAnsi="Palatino Linotype"/>
          <w:lang w:val="en-CA"/>
        </w:rPr>
        <w:t>he multiple spheres of learning,</w:t>
      </w:r>
      <w:r w:rsidR="00DD1E81" w:rsidRPr="00320C53">
        <w:rPr>
          <w:rFonts w:ascii="Palatino Linotype" w:hAnsi="Palatino Linotype"/>
          <w:lang w:val="en-CA"/>
        </w:rPr>
        <w:t xml:space="preserve"> and </w:t>
      </w:r>
    </w:p>
    <w:p w14:paraId="48403403" w14:textId="75953D9A" w:rsidR="00DD1E81" w:rsidRPr="00320C53" w:rsidRDefault="00DD1E81" w:rsidP="000C2DAB">
      <w:pPr>
        <w:pStyle w:val="ListParagraph"/>
        <w:numPr>
          <w:ilvl w:val="0"/>
          <w:numId w:val="32"/>
        </w:numPr>
        <w:spacing w:line="480" w:lineRule="auto"/>
        <w:jc w:val="both"/>
        <w:rPr>
          <w:rFonts w:ascii="Palatino Linotype" w:hAnsi="Palatino Linotype"/>
          <w:lang w:val="en-CA"/>
        </w:rPr>
      </w:pPr>
      <w:r w:rsidRPr="00320C53">
        <w:rPr>
          <w:rFonts w:ascii="Palatino Linotype" w:hAnsi="Palatino Linotype"/>
          <w:lang w:val="en-CA"/>
        </w:rPr>
        <w:t xml:space="preserve">appreciation of the centrality of the influence and indeterminacy of context on </w:t>
      </w:r>
      <w:r w:rsidR="00E2288D" w:rsidRPr="00320C53">
        <w:rPr>
          <w:rFonts w:ascii="Palatino Linotype" w:hAnsi="Palatino Linotype"/>
          <w:lang w:val="en-CA"/>
        </w:rPr>
        <w:t xml:space="preserve">the provision of legal services </w:t>
      </w:r>
    </w:p>
    <w:p w14:paraId="0016C864" w14:textId="20A49196" w:rsidR="00DD1E81" w:rsidRPr="00320C53" w:rsidRDefault="00DD1E81" w:rsidP="000C2DAB">
      <w:pPr>
        <w:spacing w:line="480" w:lineRule="auto"/>
        <w:jc w:val="both"/>
        <w:rPr>
          <w:rFonts w:ascii="Palatino Linotype" w:hAnsi="Palatino Linotype"/>
          <w:lang w:val="en-CA"/>
        </w:rPr>
      </w:pPr>
      <w:r w:rsidRPr="00320C53">
        <w:rPr>
          <w:rFonts w:ascii="Palatino Linotype" w:hAnsi="Palatino Linotype"/>
          <w:lang w:val="en-CA"/>
        </w:rPr>
        <w:t>will only progress completely through the live client under supervision model. However, these goals can to some significant extent be achieved through the enhanced PBL model, especially if it is supplemented by simulation. I do not propose this for reasons expressed earlier.</w:t>
      </w:r>
      <w:r w:rsidRPr="00320C53">
        <w:rPr>
          <w:rStyle w:val="FootnoteReference"/>
          <w:rFonts w:ascii="Palatino Linotype" w:hAnsi="Palatino Linotype"/>
          <w:lang w:val="en-CA"/>
        </w:rPr>
        <w:footnoteReference w:id="73"/>
      </w:r>
      <w:r w:rsidR="00371A34" w:rsidRPr="00320C53">
        <w:rPr>
          <w:rFonts w:ascii="Palatino Linotype" w:hAnsi="Palatino Linotype"/>
          <w:lang w:val="en-CA"/>
        </w:rPr>
        <w:t xml:space="preserve"> </w:t>
      </w:r>
      <w:r w:rsidRPr="00320C53">
        <w:rPr>
          <w:rFonts w:ascii="Palatino Linotype" w:hAnsi="Palatino Linotype"/>
          <w:lang w:val="en-CA"/>
        </w:rPr>
        <w:t xml:space="preserve">Rather the live client model coupled with PBL, both supplemented by strategically chosen and aligned learning and teaching methods, has the greatest chance to achieve these outcomes.   </w:t>
      </w:r>
    </w:p>
    <w:p w14:paraId="2B1E4D42" w14:textId="58E75C1F" w:rsidR="00DD1E81" w:rsidRPr="00320C53" w:rsidRDefault="00DD1E81" w:rsidP="000C2DAB">
      <w:pPr>
        <w:spacing w:line="480" w:lineRule="auto"/>
        <w:jc w:val="both"/>
        <w:rPr>
          <w:rFonts w:ascii="Palatino Linotype" w:hAnsi="Palatino Linotype"/>
          <w:lang w:val="en-CA"/>
        </w:rPr>
      </w:pPr>
      <w:r w:rsidRPr="00320C53">
        <w:rPr>
          <w:rFonts w:ascii="Palatino Linotype" w:hAnsi="Palatino Linotype"/>
          <w:lang w:val="en-CA"/>
        </w:rPr>
        <w:t xml:space="preserve">The greatest challenge for live-client learning is organizing student learning so that it is sufficiently comprehensive when the time for programme completion has arrived. In the absence of supplementation by PBL, live client is very unlikely ever to cover the basic subject matter grounding even a minimalist is likely to describe as basic to a legal education.  </w:t>
      </w:r>
    </w:p>
    <w:p w14:paraId="5B5A8C54" w14:textId="77777777" w:rsidR="00E2288D" w:rsidRDefault="00E2288D" w:rsidP="000C2DAB">
      <w:pPr>
        <w:spacing w:line="480" w:lineRule="auto"/>
        <w:jc w:val="both"/>
        <w:rPr>
          <w:rFonts w:ascii="Palatino Linotype" w:hAnsi="Palatino Linotype"/>
          <w:lang w:val="en-CA"/>
        </w:rPr>
      </w:pPr>
    </w:p>
    <w:p w14:paraId="014E4E02" w14:textId="77777777" w:rsidR="00E77670" w:rsidRPr="00320C53" w:rsidRDefault="00E77670" w:rsidP="000C2DAB">
      <w:pPr>
        <w:spacing w:line="480" w:lineRule="auto"/>
        <w:jc w:val="both"/>
        <w:rPr>
          <w:rFonts w:ascii="Palatino Linotype" w:hAnsi="Palatino Linotype"/>
          <w:lang w:val="en-CA"/>
        </w:rPr>
      </w:pPr>
    </w:p>
    <w:p w14:paraId="7CEEE7FC" w14:textId="4BA7948D" w:rsidR="00DD1E81" w:rsidRPr="00E77670" w:rsidRDefault="00E77670" w:rsidP="000C2DAB">
      <w:pPr>
        <w:spacing w:line="480" w:lineRule="auto"/>
        <w:jc w:val="both"/>
        <w:rPr>
          <w:rFonts w:ascii="Palatino Linotype" w:hAnsi="Palatino Linotype"/>
          <w:lang w:val="en-CA"/>
        </w:rPr>
      </w:pPr>
      <w:r w:rsidRPr="00E77670">
        <w:rPr>
          <w:rFonts w:ascii="Palatino Linotype" w:hAnsi="Palatino Linotype"/>
          <w:lang w:val="en-CA"/>
        </w:rPr>
        <w:lastRenderedPageBreak/>
        <w:t xml:space="preserve">CONCLUSION </w:t>
      </w:r>
    </w:p>
    <w:p w14:paraId="4D750F9D" w14:textId="65A75D61" w:rsidR="0034373C" w:rsidRPr="00320C53" w:rsidRDefault="00DD1E81" w:rsidP="000C2DAB">
      <w:pPr>
        <w:spacing w:line="480" w:lineRule="auto"/>
        <w:jc w:val="both"/>
        <w:rPr>
          <w:rFonts w:ascii="Palatino Linotype" w:hAnsi="Palatino Linotype"/>
        </w:rPr>
      </w:pPr>
      <w:r w:rsidRPr="00320C53">
        <w:rPr>
          <w:rFonts w:ascii="Palatino Linotype" w:hAnsi="Palatino Linotype"/>
        </w:rPr>
        <w:t>A modern legal education seeks to be a very sophisticated multi-dimensional, interdisciplinary venture that prepares graduates for a wide variety of career opportunities. Curiously, many examples of it do not prepare graduates to be lawyers, just to be learner-lawyers.</w:t>
      </w:r>
      <w:r w:rsidRPr="00320C53">
        <w:rPr>
          <w:rStyle w:val="FootnoteReference"/>
          <w:rFonts w:ascii="Palatino Linotype" w:hAnsi="Palatino Linotype"/>
        </w:rPr>
        <w:footnoteReference w:id="74"/>
      </w:r>
      <w:r w:rsidRPr="00320C53">
        <w:rPr>
          <w:rFonts w:ascii="Palatino Linotype" w:hAnsi="Palatino Linotype"/>
        </w:rPr>
        <w:t xml:space="preserve"> </w:t>
      </w:r>
      <w:r w:rsidR="00D86441" w:rsidRPr="00320C53">
        <w:rPr>
          <w:rFonts w:ascii="Palatino Linotype" w:hAnsi="Palatino Linotype"/>
        </w:rPr>
        <w:t xml:space="preserve"> </w:t>
      </w:r>
    </w:p>
    <w:p w14:paraId="6E392D26" w14:textId="1DA8E8F5" w:rsidR="000E1C56" w:rsidRPr="00320C53" w:rsidRDefault="0034373C" w:rsidP="000C2DAB">
      <w:pPr>
        <w:spacing w:line="480" w:lineRule="auto"/>
        <w:jc w:val="both"/>
        <w:rPr>
          <w:rFonts w:ascii="Palatino Linotype" w:hAnsi="Palatino Linotype"/>
          <w:b/>
        </w:rPr>
      </w:pPr>
      <w:r w:rsidRPr="00320C53">
        <w:rPr>
          <w:rFonts w:ascii="Palatino Linotype" w:hAnsi="Palatino Linotype"/>
        </w:rPr>
        <w:t xml:space="preserve">The ironies of the historical developments in </w:t>
      </w:r>
      <w:r w:rsidR="00D86441" w:rsidRPr="00320C53">
        <w:rPr>
          <w:rFonts w:ascii="Palatino Linotype" w:hAnsi="Palatino Linotype"/>
        </w:rPr>
        <w:t xml:space="preserve">clinical </w:t>
      </w:r>
      <w:r w:rsidRPr="00320C53">
        <w:rPr>
          <w:rFonts w:ascii="Palatino Linotype" w:hAnsi="Palatino Linotype"/>
        </w:rPr>
        <w:t>legal education ought not be allo</w:t>
      </w:r>
      <w:r w:rsidR="000A50A3" w:rsidRPr="00320C53">
        <w:rPr>
          <w:rFonts w:ascii="Palatino Linotype" w:hAnsi="Palatino Linotype"/>
        </w:rPr>
        <w:t>wed to slip by unmentioned.</w:t>
      </w:r>
      <w:r w:rsidR="00B475A5" w:rsidRPr="00320C53">
        <w:rPr>
          <w:rStyle w:val="FootnoteReference"/>
          <w:rFonts w:ascii="Palatino Linotype" w:hAnsi="Palatino Linotype"/>
        </w:rPr>
        <w:footnoteReference w:id="75"/>
      </w:r>
      <w:r w:rsidR="000A50A3" w:rsidRPr="00320C53">
        <w:rPr>
          <w:rFonts w:ascii="Palatino Linotype" w:hAnsi="Palatino Linotype"/>
        </w:rPr>
        <w:t xml:space="preserve"> The “clinical” method was of course the original method for legal education and training. Lawyers learned from seniors. In the United States apprenticeship was abandoned in favour of law school</w:t>
      </w:r>
      <w:r w:rsidR="00EA3BDA" w:rsidRPr="00320C53">
        <w:rPr>
          <w:rFonts w:ascii="Palatino Linotype" w:hAnsi="Palatino Linotype"/>
        </w:rPr>
        <w:t>.</w:t>
      </w:r>
      <w:r w:rsidR="009524E2" w:rsidRPr="00320C53">
        <w:rPr>
          <w:rStyle w:val="FootnoteReference"/>
          <w:rFonts w:ascii="Palatino Linotype" w:hAnsi="Palatino Linotype"/>
        </w:rPr>
        <w:footnoteReference w:id="76"/>
      </w:r>
      <w:r w:rsidR="00EA3BDA" w:rsidRPr="00320C53">
        <w:rPr>
          <w:rFonts w:ascii="Palatino Linotype" w:hAnsi="Palatino Linotype"/>
        </w:rPr>
        <w:t xml:space="preserve"> Apprenticeship of course had to go</w:t>
      </w:r>
      <w:r w:rsidR="000E1C56" w:rsidRPr="00320C53">
        <w:rPr>
          <w:rFonts w:ascii="Palatino Linotype" w:hAnsi="Palatino Linotype"/>
        </w:rPr>
        <w:t>: i</w:t>
      </w:r>
      <w:r w:rsidR="00EA3BDA" w:rsidRPr="00320C53">
        <w:rPr>
          <w:rFonts w:ascii="Palatino Linotype" w:hAnsi="Palatino Linotype"/>
        </w:rPr>
        <w:t>t created barriers to equal access to the profession</w:t>
      </w:r>
      <w:r w:rsidR="00EA3BDA" w:rsidRPr="00320C53">
        <w:rPr>
          <w:rStyle w:val="FootnoteReference"/>
          <w:rFonts w:ascii="Palatino Linotype" w:hAnsi="Palatino Linotype"/>
        </w:rPr>
        <w:footnoteReference w:id="77"/>
      </w:r>
      <w:r w:rsidR="009524E2" w:rsidRPr="00320C53">
        <w:rPr>
          <w:rFonts w:ascii="Palatino Linotype" w:hAnsi="Palatino Linotype"/>
        </w:rPr>
        <w:t xml:space="preserve"> and </w:t>
      </w:r>
      <w:r w:rsidR="00EA3BDA" w:rsidRPr="00320C53">
        <w:rPr>
          <w:rFonts w:ascii="Palatino Linotype" w:hAnsi="Palatino Linotype"/>
        </w:rPr>
        <w:t>was vastly uneven in quality</w:t>
      </w:r>
      <w:r w:rsidR="009524E2" w:rsidRPr="00320C53">
        <w:rPr>
          <w:rFonts w:ascii="Palatino Linotype" w:hAnsi="Palatino Linotype"/>
        </w:rPr>
        <w:t xml:space="preserve">. </w:t>
      </w:r>
      <w:r w:rsidR="002F3AF5" w:rsidRPr="00320C53">
        <w:rPr>
          <w:rFonts w:ascii="Palatino Linotype" w:hAnsi="Palatino Linotype"/>
        </w:rPr>
        <w:t>It was also about to be supplanted by technology: the copyist work of articled clerks would no longer be required.</w:t>
      </w:r>
      <w:r w:rsidR="002F3AF5" w:rsidRPr="00320C53">
        <w:rPr>
          <w:rStyle w:val="FootnoteReference"/>
          <w:rFonts w:ascii="Palatino Linotype" w:hAnsi="Palatino Linotype"/>
        </w:rPr>
        <w:footnoteReference w:id="78"/>
      </w:r>
      <w:r w:rsidR="002F3AF5" w:rsidRPr="00320C53">
        <w:rPr>
          <w:rFonts w:ascii="Palatino Linotype" w:hAnsi="Palatino Linotype"/>
        </w:rPr>
        <w:t xml:space="preserve"> </w:t>
      </w:r>
      <w:r w:rsidR="0093252E" w:rsidRPr="00320C53">
        <w:rPr>
          <w:rFonts w:ascii="Palatino Linotype" w:hAnsi="Palatino Linotype"/>
        </w:rPr>
        <w:t xml:space="preserve"> Oddly, there was little effort to save </w:t>
      </w:r>
      <w:r w:rsidR="009F7F81" w:rsidRPr="00320C53">
        <w:rPr>
          <w:rFonts w:ascii="Palatino Linotype" w:hAnsi="Palatino Linotype"/>
        </w:rPr>
        <w:t>apprenticeship</w:t>
      </w:r>
      <w:r w:rsidR="0093252E" w:rsidRPr="00320C53">
        <w:rPr>
          <w:rFonts w:ascii="Palatino Linotype" w:hAnsi="Palatino Linotype"/>
        </w:rPr>
        <w:t xml:space="preserve"> by </w:t>
      </w:r>
      <w:r w:rsidR="009F7F81" w:rsidRPr="00320C53">
        <w:rPr>
          <w:rFonts w:ascii="Palatino Linotype" w:hAnsi="Palatino Linotype"/>
        </w:rPr>
        <w:t>improving</w:t>
      </w:r>
      <w:r w:rsidR="0093252E" w:rsidRPr="00320C53">
        <w:rPr>
          <w:rFonts w:ascii="Palatino Linotype" w:hAnsi="Palatino Linotype"/>
        </w:rPr>
        <w:t xml:space="preserve"> it</w:t>
      </w:r>
      <w:r w:rsidR="009F7F81" w:rsidRPr="00320C53">
        <w:rPr>
          <w:rFonts w:ascii="Palatino Linotype" w:hAnsi="Palatino Linotype"/>
        </w:rPr>
        <w:t>.</w:t>
      </w:r>
      <w:r w:rsidR="00A6236E" w:rsidRPr="00320C53">
        <w:rPr>
          <w:rStyle w:val="FootnoteReference"/>
          <w:rFonts w:ascii="Palatino Linotype" w:hAnsi="Palatino Linotype"/>
        </w:rPr>
        <w:footnoteReference w:id="79"/>
      </w:r>
      <w:r w:rsidR="009F7F81" w:rsidRPr="00320C53">
        <w:rPr>
          <w:rFonts w:ascii="Palatino Linotype" w:hAnsi="Palatino Linotype"/>
        </w:rPr>
        <w:t xml:space="preserve"> </w:t>
      </w:r>
      <w:proofErr w:type="spellStart"/>
      <w:r w:rsidR="009F7F81" w:rsidRPr="00320C53">
        <w:rPr>
          <w:rFonts w:ascii="Palatino Linotype" w:hAnsi="Palatino Linotype"/>
        </w:rPr>
        <w:t>Langdell</w:t>
      </w:r>
      <w:proofErr w:type="spellEnd"/>
      <w:r w:rsidR="009F7F81" w:rsidRPr="00320C53">
        <w:rPr>
          <w:rFonts w:ascii="Palatino Linotype" w:hAnsi="Palatino Linotype"/>
        </w:rPr>
        <w:t xml:space="preserve"> had already kindled the academic revolution and the access </w:t>
      </w:r>
      <w:r w:rsidR="009F7F81" w:rsidRPr="00320C53">
        <w:rPr>
          <w:rFonts w:ascii="Palatino Linotype" w:hAnsi="Palatino Linotype"/>
        </w:rPr>
        <w:lastRenderedPageBreak/>
        <w:t xml:space="preserve">seekers in the US </w:t>
      </w:r>
      <w:r w:rsidR="00A6236E" w:rsidRPr="00320C53">
        <w:rPr>
          <w:rFonts w:ascii="Palatino Linotype" w:hAnsi="Palatino Linotype"/>
        </w:rPr>
        <w:t>founded</w:t>
      </w:r>
      <w:r w:rsidR="009F7F81" w:rsidRPr="00320C53">
        <w:rPr>
          <w:rFonts w:ascii="Palatino Linotype" w:hAnsi="Palatino Linotype"/>
        </w:rPr>
        <w:t xml:space="preserve"> evening </w:t>
      </w:r>
      <w:r w:rsidR="00EE3E72" w:rsidRPr="00320C53">
        <w:rPr>
          <w:rFonts w:ascii="Palatino Linotype" w:hAnsi="Palatino Linotype"/>
        </w:rPr>
        <w:t xml:space="preserve">and open entry </w:t>
      </w:r>
      <w:r w:rsidR="009F7F81" w:rsidRPr="00320C53">
        <w:rPr>
          <w:rFonts w:ascii="Palatino Linotype" w:hAnsi="Palatino Linotype"/>
        </w:rPr>
        <w:t>law school</w:t>
      </w:r>
      <w:r w:rsidR="00EE3E72" w:rsidRPr="00320C53">
        <w:rPr>
          <w:rFonts w:ascii="Palatino Linotype" w:hAnsi="Palatino Linotype"/>
        </w:rPr>
        <w:t>s at</w:t>
      </w:r>
      <w:r w:rsidR="009F7F81" w:rsidRPr="00320C53">
        <w:rPr>
          <w:rFonts w:ascii="Palatino Linotype" w:hAnsi="Palatino Linotype"/>
        </w:rPr>
        <w:t xml:space="preserve"> egalitarian sites such as YMCAs and private </w:t>
      </w:r>
      <w:r w:rsidR="00EE3E72" w:rsidRPr="00320C53">
        <w:rPr>
          <w:rFonts w:ascii="Palatino Linotype" w:hAnsi="Palatino Linotype"/>
        </w:rPr>
        <w:t>law offices</w:t>
      </w:r>
      <w:r w:rsidR="009F7F81" w:rsidRPr="00320C53">
        <w:rPr>
          <w:rFonts w:ascii="Palatino Linotype" w:hAnsi="Palatino Linotype"/>
        </w:rPr>
        <w:t>.</w:t>
      </w:r>
      <w:r w:rsidR="009F7F81" w:rsidRPr="00320C53">
        <w:rPr>
          <w:rStyle w:val="FootnoteReference"/>
          <w:rFonts w:ascii="Palatino Linotype" w:hAnsi="Palatino Linotype"/>
        </w:rPr>
        <w:footnoteReference w:id="80"/>
      </w:r>
      <w:r w:rsidR="009F7F81" w:rsidRPr="00320C53">
        <w:rPr>
          <w:rFonts w:ascii="Palatino Linotype" w:hAnsi="Palatino Linotype"/>
        </w:rPr>
        <w:t xml:space="preserve">  </w:t>
      </w:r>
      <w:r w:rsidR="000E1C56" w:rsidRPr="00320C53">
        <w:rPr>
          <w:rFonts w:ascii="Palatino Linotype" w:hAnsi="Palatino Linotype"/>
        </w:rPr>
        <w:t xml:space="preserve">Apprenticeship has survived in Canada, some of Australia, in the United Kingdom, and in many Commonwealth countries. </w:t>
      </w:r>
      <w:r w:rsidR="00673880" w:rsidRPr="00320C53">
        <w:rPr>
          <w:rFonts w:ascii="Palatino Linotype" w:hAnsi="Palatino Linotype"/>
        </w:rPr>
        <w:t>For all the reasons art</w:t>
      </w:r>
      <w:r w:rsidR="00152F8B" w:rsidRPr="00320C53">
        <w:rPr>
          <w:rFonts w:ascii="Palatino Linotype" w:hAnsi="Palatino Linotype"/>
        </w:rPr>
        <w:t>icles were originally abandoned, they remain</w:t>
      </w:r>
      <w:r w:rsidR="000E1C56" w:rsidRPr="00320C53">
        <w:rPr>
          <w:rFonts w:ascii="Palatino Linotype" w:hAnsi="Palatino Linotype"/>
        </w:rPr>
        <w:t xml:space="preserve"> under fire in Australia and Ontario </w:t>
      </w:r>
      <w:r w:rsidR="00A218D8" w:rsidRPr="00320C53">
        <w:rPr>
          <w:rFonts w:ascii="Palatino Linotype" w:hAnsi="Palatino Linotype"/>
        </w:rPr>
        <w:t>has approved a pilot scheme that introduces an alternative to articles:</w:t>
      </w:r>
      <w:r w:rsidR="000E1C56" w:rsidRPr="00320C53">
        <w:rPr>
          <w:rFonts w:ascii="Palatino Linotype" w:hAnsi="Palatino Linotype"/>
        </w:rPr>
        <w:t xml:space="preserve"> a professional preparation programme</w:t>
      </w:r>
      <w:r w:rsidR="00A218D8" w:rsidRPr="00320C53">
        <w:rPr>
          <w:rFonts w:ascii="Palatino Linotype" w:hAnsi="Palatino Linotype"/>
        </w:rPr>
        <w:t xml:space="preserve"> </w:t>
      </w:r>
      <w:r w:rsidR="00152F8B" w:rsidRPr="00320C53">
        <w:rPr>
          <w:rFonts w:ascii="Palatino Linotype" w:hAnsi="Palatino Linotype"/>
        </w:rPr>
        <w:t xml:space="preserve">of 16 weeks </w:t>
      </w:r>
      <w:r w:rsidR="00A218D8" w:rsidRPr="00320C53">
        <w:rPr>
          <w:rFonts w:ascii="Palatino Linotype" w:hAnsi="Palatino Linotype"/>
        </w:rPr>
        <w:t xml:space="preserve">accompanied by a </w:t>
      </w:r>
      <w:r w:rsidR="00152F8B" w:rsidRPr="00320C53">
        <w:rPr>
          <w:rFonts w:ascii="Palatino Linotype" w:hAnsi="Palatino Linotype"/>
        </w:rPr>
        <w:t>placement of equal duration</w:t>
      </w:r>
      <w:r w:rsidR="00710179" w:rsidRPr="00320C53">
        <w:rPr>
          <w:rFonts w:ascii="Palatino Linotype" w:hAnsi="Palatino Linotype"/>
        </w:rPr>
        <w:t>.</w:t>
      </w:r>
      <w:r w:rsidR="00A55D3C" w:rsidRPr="00320C53">
        <w:rPr>
          <w:rStyle w:val="FootnoteReference"/>
          <w:rFonts w:ascii="Palatino Linotype" w:hAnsi="Palatino Linotype"/>
        </w:rPr>
        <w:footnoteReference w:id="81"/>
      </w:r>
      <w:r w:rsidR="000E1C56" w:rsidRPr="00320C53">
        <w:rPr>
          <w:rFonts w:ascii="Palatino Linotype" w:hAnsi="Palatino Linotype"/>
          <w:b/>
        </w:rPr>
        <w:t xml:space="preserve"> </w:t>
      </w:r>
    </w:p>
    <w:p w14:paraId="78A0C49F" w14:textId="2094DB68" w:rsidR="009F7F81" w:rsidRPr="00320C53" w:rsidRDefault="009F7F81" w:rsidP="000C2DAB">
      <w:pPr>
        <w:spacing w:line="480" w:lineRule="auto"/>
        <w:jc w:val="both"/>
        <w:rPr>
          <w:rFonts w:ascii="Palatino Linotype" w:hAnsi="Palatino Linotype"/>
        </w:rPr>
      </w:pPr>
      <w:r w:rsidRPr="00320C53">
        <w:rPr>
          <w:rFonts w:ascii="Palatino Linotype" w:hAnsi="Palatino Linotype"/>
        </w:rPr>
        <w:t xml:space="preserve">The rise of the clinical movement in the late 1960s and 1970s owed its momentum to many things including the famous clarion call of </w:t>
      </w:r>
      <w:r w:rsidR="0097488C" w:rsidRPr="00320C53">
        <w:rPr>
          <w:rFonts w:ascii="Palatino Linotype" w:hAnsi="Palatino Linotype"/>
        </w:rPr>
        <w:t xml:space="preserve">legal realist </w:t>
      </w:r>
      <w:r w:rsidRPr="00320C53">
        <w:rPr>
          <w:rFonts w:ascii="Palatino Linotype" w:hAnsi="Palatino Linotype"/>
        </w:rPr>
        <w:t>Jerome Frank, “</w:t>
      </w:r>
      <w:r w:rsidR="0097488C" w:rsidRPr="00320C53">
        <w:rPr>
          <w:rFonts w:ascii="Palatino Linotype" w:hAnsi="Palatino Linotype"/>
        </w:rPr>
        <w:t>Why N</w:t>
      </w:r>
      <w:r w:rsidRPr="00320C53">
        <w:rPr>
          <w:rFonts w:ascii="Palatino Linotype" w:hAnsi="Palatino Linotype"/>
        </w:rPr>
        <w:t xml:space="preserve">ot a </w:t>
      </w:r>
      <w:r w:rsidR="0097488C" w:rsidRPr="00320C53">
        <w:rPr>
          <w:rFonts w:ascii="Palatino Linotype" w:hAnsi="Palatino Linotype"/>
        </w:rPr>
        <w:t>C</w:t>
      </w:r>
      <w:r w:rsidRPr="00320C53">
        <w:rPr>
          <w:rFonts w:ascii="Palatino Linotype" w:hAnsi="Palatino Linotype"/>
        </w:rPr>
        <w:t>linical</w:t>
      </w:r>
      <w:r w:rsidR="0097488C" w:rsidRPr="00320C53">
        <w:rPr>
          <w:rFonts w:ascii="Palatino Linotype" w:hAnsi="Palatino Linotype"/>
        </w:rPr>
        <w:t xml:space="preserve"> L</w:t>
      </w:r>
      <w:r w:rsidRPr="00320C53">
        <w:rPr>
          <w:rFonts w:ascii="Palatino Linotype" w:hAnsi="Palatino Linotype"/>
        </w:rPr>
        <w:t>aw</w:t>
      </w:r>
      <w:r w:rsidR="0097488C" w:rsidRPr="00320C53">
        <w:rPr>
          <w:rFonts w:ascii="Palatino Linotype" w:hAnsi="Palatino Linotype"/>
        </w:rPr>
        <w:t>yer S</w:t>
      </w:r>
      <w:r w:rsidRPr="00320C53">
        <w:rPr>
          <w:rFonts w:ascii="Palatino Linotype" w:hAnsi="Palatino Linotype"/>
        </w:rPr>
        <w:t>chool</w:t>
      </w:r>
      <w:r w:rsidR="0066410E" w:rsidRPr="00320C53">
        <w:rPr>
          <w:rFonts w:ascii="Palatino Linotype" w:hAnsi="Palatino Linotype"/>
        </w:rPr>
        <w:t>?” and</w:t>
      </w:r>
      <w:r w:rsidR="0097488C" w:rsidRPr="00320C53">
        <w:rPr>
          <w:rFonts w:ascii="Palatino Linotype" w:hAnsi="Palatino Linotype"/>
        </w:rPr>
        <w:t xml:space="preserve"> all of the arguments about the failings of university legal education in developing professional capability.</w:t>
      </w:r>
      <w:r w:rsidRPr="00320C53">
        <w:rPr>
          <w:rStyle w:val="FootnoteReference"/>
          <w:rFonts w:ascii="Palatino Linotype" w:hAnsi="Palatino Linotype"/>
        </w:rPr>
        <w:footnoteReference w:id="82"/>
      </w:r>
      <w:r w:rsidR="0097488C" w:rsidRPr="00320C53">
        <w:rPr>
          <w:rFonts w:ascii="Palatino Linotype" w:hAnsi="Palatino Linotype"/>
        </w:rPr>
        <w:t xml:space="preserve"> More so, the movement owed its progress to the social movements in the United States as the struggle</w:t>
      </w:r>
      <w:r w:rsidR="00354B6A" w:rsidRPr="00320C53">
        <w:rPr>
          <w:rFonts w:ascii="Palatino Linotype" w:hAnsi="Palatino Linotype"/>
        </w:rPr>
        <w:t>s</w:t>
      </w:r>
      <w:r w:rsidR="0097488C" w:rsidRPr="00320C53">
        <w:rPr>
          <w:rFonts w:ascii="Palatino Linotype" w:hAnsi="Palatino Linotype"/>
        </w:rPr>
        <w:t xml:space="preserve"> against racism </w:t>
      </w:r>
      <w:r w:rsidR="00354B6A" w:rsidRPr="00320C53">
        <w:rPr>
          <w:rFonts w:ascii="Palatino Linotype" w:hAnsi="Palatino Linotype"/>
        </w:rPr>
        <w:t xml:space="preserve">and poverty </w:t>
      </w:r>
      <w:r w:rsidR="0097488C" w:rsidRPr="00320C53">
        <w:rPr>
          <w:rFonts w:ascii="Palatino Linotype" w:hAnsi="Palatino Linotype"/>
        </w:rPr>
        <w:t>took deep hold in the south and around the country in the form of the civil rights movement</w:t>
      </w:r>
      <w:r w:rsidR="00354B6A" w:rsidRPr="00320C53">
        <w:rPr>
          <w:rFonts w:ascii="Palatino Linotype" w:hAnsi="Palatino Linotype"/>
        </w:rPr>
        <w:t xml:space="preserve"> and </w:t>
      </w:r>
      <w:r w:rsidR="00A6236E" w:rsidRPr="00320C53">
        <w:rPr>
          <w:rFonts w:ascii="Palatino Linotype" w:hAnsi="Palatino Linotype"/>
        </w:rPr>
        <w:t>President Johnson’s</w:t>
      </w:r>
      <w:r w:rsidR="00354B6A" w:rsidRPr="00320C53">
        <w:rPr>
          <w:rFonts w:ascii="Palatino Linotype" w:hAnsi="Palatino Linotype"/>
        </w:rPr>
        <w:t xml:space="preserve"> </w:t>
      </w:r>
      <w:r w:rsidR="0097488C" w:rsidRPr="00320C53">
        <w:rPr>
          <w:rFonts w:ascii="Palatino Linotype" w:hAnsi="Palatino Linotype"/>
        </w:rPr>
        <w:t>“War on Poverty”</w:t>
      </w:r>
      <w:r w:rsidR="00354B6A" w:rsidRPr="00320C53">
        <w:rPr>
          <w:rFonts w:ascii="Palatino Linotype" w:hAnsi="Palatino Linotype"/>
        </w:rPr>
        <w:t xml:space="preserve">. Richard Nixon was indirectly to have his impact on the reform of legal education as the recognition that it was lawyers who facilitated the Watergate debacle sunk in. The Council on Legal Education for </w:t>
      </w:r>
      <w:r w:rsidR="00354B6A" w:rsidRPr="00320C53">
        <w:rPr>
          <w:rFonts w:ascii="Palatino Linotype" w:hAnsi="Palatino Linotype"/>
        </w:rPr>
        <w:lastRenderedPageBreak/>
        <w:t>Professional Responsibility (CLEPR) funded legal clinics with human rights, civil liberties, poverty law and professionalism agendas. Law school</w:t>
      </w:r>
      <w:r w:rsidR="005977B3" w:rsidRPr="00320C53">
        <w:rPr>
          <w:rFonts w:ascii="Palatino Linotype" w:hAnsi="Palatino Linotype"/>
        </w:rPr>
        <w:t>s</w:t>
      </w:r>
      <w:r w:rsidR="00354B6A" w:rsidRPr="00320C53">
        <w:rPr>
          <w:rFonts w:ascii="Palatino Linotype" w:hAnsi="Palatino Linotype"/>
        </w:rPr>
        <w:t xml:space="preserve"> became part of the social </w:t>
      </w:r>
      <w:r w:rsidR="005977B3" w:rsidRPr="00320C53">
        <w:rPr>
          <w:rFonts w:ascii="Palatino Linotype" w:hAnsi="Palatino Linotype"/>
        </w:rPr>
        <w:t>action</w:t>
      </w:r>
      <w:r w:rsidR="00354B6A" w:rsidRPr="00320C53">
        <w:rPr>
          <w:rFonts w:ascii="Palatino Linotype" w:hAnsi="Palatino Linotype"/>
        </w:rPr>
        <w:t xml:space="preserve"> of the day and clinics were the way to engage actively in them. </w:t>
      </w:r>
      <w:r w:rsidR="00EE3E72" w:rsidRPr="00320C53">
        <w:rPr>
          <w:rFonts w:ascii="Palatino Linotype" w:hAnsi="Palatino Linotype"/>
        </w:rPr>
        <w:t xml:space="preserve">Over the ensuing fifty years we have seen a shift to a wide variety of clinics, concerns for corporate as well as governmental and citizen social responsibility. </w:t>
      </w:r>
      <w:r w:rsidR="00857F78" w:rsidRPr="00320C53">
        <w:rPr>
          <w:rFonts w:ascii="Palatino Linotype" w:hAnsi="Palatino Linotype"/>
        </w:rPr>
        <w:t xml:space="preserve">It was important to show that this public-spirited and important </w:t>
      </w:r>
      <w:r w:rsidR="000444A9" w:rsidRPr="00320C53">
        <w:rPr>
          <w:rFonts w:ascii="Palatino Linotype" w:hAnsi="Palatino Linotype"/>
        </w:rPr>
        <w:t>community</w:t>
      </w:r>
      <w:r w:rsidR="00857F78" w:rsidRPr="00320C53">
        <w:rPr>
          <w:rFonts w:ascii="Palatino Linotype" w:hAnsi="Palatino Linotype"/>
        </w:rPr>
        <w:t xml:space="preserve"> </w:t>
      </w:r>
      <w:r w:rsidR="000444A9" w:rsidRPr="00320C53">
        <w:rPr>
          <w:rFonts w:ascii="Palatino Linotype" w:hAnsi="Palatino Linotype"/>
        </w:rPr>
        <w:t>activism had educational merits; and it had plenty!</w:t>
      </w:r>
      <w:r w:rsidR="00857F78" w:rsidRPr="00320C53">
        <w:rPr>
          <w:rFonts w:ascii="Palatino Linotype" w:hAnsi="Palatino Linotype"/>
        </w:rPr>
        <w:t xml:space="preserve"> </w:t>
      </w:r>
    </w:p>
    <w:p w14:paraId="7B373F2D" w14:textId="2A4E8E12" w:rsidR="006B2409" w:rsidRPr="00320C53" w:rsidRDefault="006B2409" w:rsidP="000C2DAB">
      <w:pPr>
        <w:spacing w:line="480" w:lineRule="auto"/>
        <w:jc w:val="both"/>
        <w:rPr>
          <w:rFonts w:ascii="Palatino Linotype" w:hAnsi="Palatino Linotype"/>
        </w:rPr>
      </w:pPr>
      <w:r w:rsidRPr="00320C53">
        <w:rPr>
          <w:rFonts w:ascii="Palatino Linotype" w:hAnsi="Palatino Linotype"/>
        </w:rPr>
        <w:t>The legacy of CLEPR is rich and varied and</w:t>
      </w:r>
      <w:r w:rsidR="007103D1" w:rsidRPr="00320C53">
        <w:rPr>
          <w:rFonts w:ascii="Palatino Linotype" w:hAnsi="Palatino Linotype"/>
        </w:rPr>
        <w:t>,</w:t>
      </w:r>
      <w:r w:rsidRPr="00320C53">
        <w:rPr>
          <w:rFonts w:ascii="Palatino Linotype" w:hAnsi="Palatino Linotype"/>
        </w:rPr>
        <w:t xml:space="preserve"> beyond clinical legal education</w:t>
      </w:r>
      <w:r w:rsidR="007103D1" w:rsidRPr="00320C53">
        <w:rPr>
          <w:rFonts w:ascii="Palatino Linotype" w:hAnsi="Palatino Linotype"/>
        </w:rPr>
        <w:t>,</w:t>
      </w:r>
      <w:r w:rsidRPr="00320C53">
        <w:rPr>
          <w:rFonts w:ascii="Palatino Linotype" w:hAnsi="Palatino Linotype"/>
        </w:rPr>
        <w:t xml:space="preserve"> likely includes the vast work in professionalism, the legal profession and legal ethics.</w:t>
      </w:r>
      <w:r w:rsidRPr="00320C53">
        <w:rPr>
          <w:rStyle w:val="FootnoteReference"/>
          <w:rFonts w:ascii="Palatino Linotype" w:hAnsi="Palatino Linotype"/>
        </w:rPr>
        <w:footnoteReference w:id="83"/>
      </w:r>
    </w:p>
    <w:p w14:paraId="1F8BF21E" w14:textId="50B3214B" w:rsidR="003B300C" w:rsidRPr="00320C53" w:rsidRDefault="00EE3E72" w:rsidP="000C2DAB">
      <w:pPr>
        <w:spacing w:line="480" w:lineRule="auto"/>
        <w:jc w:val="both"/>
        <w:rPr>
          <w:rFonts w:ascii="Palatino Linotype" w:hAnsi="Palatino Linotype"/>
        </w:rPr>
      </w:pPr>
      <w:r w:rsidRPr="00320C53">
        <w:rPr>
          <w:rFonts w:ascii="Palatino Linotype" w:hAnsi="Palatino Linotype"/>
        </w:rPr>
        <w:t xml:space="preserve">Finally, somewhere along the way the work of clinics </w:t>
      </w:r>
      <w:r w:rsidR="003B300C" w:rsidRPr="00320C53">
        <w:rPr>
          <w:rFonts w:ascii="Palatino Linotype" w:hAnsi="Palatino Linotype"/>
        </w:rPr>
        <w:t xml:space="preserve">and clinicians </w:t>
      </w:r>
      <w:r w:rsidRPr="00320C53">
        <w:rPr>
          <w:rFonts w:ascii="Palatino Linotype" w:hAnsi="Palatino Linotype"/>
        </w:rPr>
        <w:t xml:space="preserve">became more theoretical and conceptual. </w:t>
      </w:r>
      <w:r w:rsidR="003B300C" w:rsidRPr="00320C53">
        <w:rPr>
          <w:rFonts w:ascii="Palatino Linotype" w:hAnsi="Palatino Linotype"/>
        </w:rPr>
        <w:t xml:space="preserve">Unsurprisingly clinicians were seeking a place of respect and importance within the academy and undertook </w:t>
      </w:r>
      <w:r w:rsidR="00AC6659" w:rsidRPr="00320C53">
        <w:rPr>
          <w:rFonts w:ascii="Palatino Linotype" w:hAnsi="Palatino Linotype"/>
        </w:rPr>
        <w:t xml:space="preserve">to do </w:t>
      </w:r>
      <w:r w:rsidR="003B300C" w:rsidRPr="00320C53">
        <w:rPr>
          <w:rFonts w:ascii="Palatino Linotype" w:hAnsi="Palatino Linotype"/>
        </w:rPr>
        <w:t xml:space="preserve">important research in the wide range of realms that clinic touches. </w:t>
      </w:r>
      <w:r w:rsidRPr="00320C53">
        <w:rPr>
          <w:rFonts w:ascii="Palatino Linotype" w:hAnsi="Palatino Linotype"/>
        </w:rPr>
        <w:t xml:space="preserve">Legal </w:t>
      </w:r>
      <w:r w:rsidR="003B300C" w:rsidRPr="00320C53">
        <w:rPr>
          <w:rFonts w:ascii="Palatino Linotype" w:hAnsi="Palatino Linotype"/>
        </w:rPr>
        <w:t>practice became</w:t>
      </w:r>
      <w:r w:rsidRPr="00320C53">
        <w:rPr>
          <w:rFonts w:ascii="Palatino Linotype" w:hAnsi="Palatino Linotype"/>
        </w:rPr>
        <w:t xml:space="preserve"> the subject of study and it too was </w:t>
      </w:r>
      <w:proofErr w:type="spellStart"/>
      <w:r w:rsidRPr="00320C53">
        <w:rPr>
          <w:rFonts w:ascii="Palatino Linotype" w:hAnsi="Palatino Linotype"/>
        </w:rPr>
        <w:t>academicized</w:t>
      </w:r>
      <w:proofErr w:type="spellEnd"/>
      <w:r w:rsidRPr="00320C53">
        <w:rPr>
          <w:rFonts w:ascii="Palatino Linotype" w:hAnsi="Palatino Linotype"/>
        </w:rPr>
        <w:t xml:space="preserve">. </w:t>
      </w:r>
      <w:r w:rsidR="003B300C" w:rsidRPr="00320C53">
        <w:rPr>
          <w:rFonts w:ascii="Palatino Linotype" w:hAnsi="Palatino Linotype"/>
        </w:rPr>
        <w:t>Through</w:t>
      </w:r>
      <w:r w:rsidRPr="00320C53">
        <w:rPr>
          <w:rFonts w:ascii="Palatino Linotype" w:hAnsi="Palatino Linotype"/>
        </w:rPr>
        <w:t xml:space="preserve"> this </w:t>
      </w:r>
      <w:proofErr w:type="spellStart"/>
      <w:r w:rsidRPr="00320C53">
        <w:rPr>
          <w:rFonts w:ascii="Palatino Linotype" w:hAnsi="Palatino Linotype"/>
        </w:rPr>
        <w:t>academicization</w:t>
      </w:r>
      <w:proofErr w:type="spellEnd"/>
      <w:r w:rsidRPr="00320C53">
        <w:rPr>
          <w:rFonts w:ascii="Palatino Linotype" w:hAnsi="Palatino Linotype"/>
        </w:rPr>
        <w:t xml:space="preserve"> </w:t>
      </w:r>
      <w:r w:rsidR="003B300C" w:rsidRPr="00320C53">
        <w:rPr>
          <w:rFonts w:ascii="Palatino Linotype" w:hAnsi="Palatino Linotype"/>
        </w:rPr>
        <w:t>scholars have emerged.</w:t>
      </w:r>
      <w:r w:rsidR="003B300C" w:rsidRPr="00320C53">
        <w:rPr>
          <w:rStyle w:val="FootnoteReference"/>
          <w:rFonts w:ascii="Palatino Linotype" w:hAnsi="Palatino Linotype"/>
        </w:rPr>
        <w:footnoteReference w:id="84"/>
      </w:r>
      <w:r w:rsidR="00857F78" w:rsidRPr="00320C53">
        <w:rPr>
          <w:rFonts w:ascii="Palatino Linotype" w:hAnsi="Palatino Linotype"/>
        </w:rPr>
        <w:t xml:space="preserve"> A part</w:t>
      </w:r>
      <w:r w:rsidR="003B300C" w:rsidRPr="00320C53">
        <w:rPr>
          <w:rFonts w:ascii="Palatino Linotype" w:hAnsi="Palatino Linotype"/>
        </w:rPr>
        <w:t xml:space="preserve"> of that scholarship includes the educationists’ contribution</w:t>
      </w:r>
      <w:r w:rsidR="00857F78" w:rsidRPr="00320C53">
        <w:rPr>
          <w:rFonts w:ascii="Palatino Linotype" w:hAnsi="Palatino Linotype"/>
        </w:rPr>
        <w:t>, with Carnegie and Stuckey serving as the primary synthesizers of clinical education</w:t>
      </w:r>
      <w:r w:rsidR="003B300C" w:rsidRPr="00320C53">
        <w:rPr>
          <w:rFonts w:ascii="Palatino Linotype" w:hAnsi="Palatino Linotype"/>
        </w:rPr>
        <w:t>.</w:t>
      </w:r>
    </w:p>
    <w:p w14:paraId="610655C2" w14:textId="1CFF8353" w:rsidR="0034373C" w:rsidRPr="00320C53" w:rsidRDefault="00857F78" w:rsidP="000C2DAB">
      <w:pPr>
        <w:spacing w:line="480" w:lineRule="auto"/>
        <w:jc w:val="both"/>
        <w:rPr>
          <w:rFonts w:ascii="Palatino Linotype" w:hAnsi="Palatino Linotype"/>
        </w:rPr>
      </w:pPr>
      <w:r w:rsidRPr="00320C53">
        <w:rPr>
          <w:rFonts w:ascii="Palatino Linotype" w:hAnsi="Palatino Linotype"/>
        </w:rPr>
        <w:t>That short tour complete</w:t>
      </w:r>
      <w:r w:rsidR="00AD4F5E" w:rsidRPr="00320C53">
        <w:rPr>
          <w:rFonts w:ascii="Palatino Linotype" w:hAnsi="Palatino Linotype"/>
        </w:rPr>
        <w:t>,</w:t>
      </w:r>
      <w:r w:rsidRPr="00320C53">
        <w:rPr>
          <w:rFonts w:ascii="Palatino Linotype" w:hAnsi="Palatino Linotype"/>
        </w:rPr>
        <w:t xml:space="preserve"> we can summarize as follows: legal education reform has begun to focus</w:t>
      </w:r>
      <w:r w:rsidR="00ED6D51" w:rsidRPr="00320C53">
        <w:rPr>
          <w:rFonts w:ascii="Palatino Linotype" w:hAnsi="Palatino Linotype"/>
        </w:rPr>
        <w:t xml:space="preserve"> firmly on the centrality of </w:t>
      </w:r>
      <w:r w:rsidRPr="00320C53">
        <w:rPr>
          <w:rFonts w:ascii="Palatino Linotype" w:hAnsi="Palatino Linotype"/>
        </w:rPr>
        <w:t xml:space="preserve">lawyering education founded on both academic </w:t>
      </w:r>
      <w:r w:rsidRPr="00320C53">
        <w:rPr>
          <w:rFonts w:ascii="Palatino Linotype" w:hAnsi="Palatino Linotype"/>
        </w:rPr>
        <w:lastRenderedPageBreak/>
        <w:t>and professional</w:t>
      </w:r>
      <w:r w:rsidR="00D86441" w:rsidRPr="00320C53">
        <w:rPr>
          <w:rFonts w:ascii="Palatino Linotype" w:hAnsi="Palatino Linotype"/>
        </w:rPr>
        <w:t>, practical</w:t>
      </w:r>
      <w:r w:rsidRPr="00320C53">
        <w:rPr>
          <w:rFonts w:ascii="Palatino Linotype" w:hAnsi="Palatino Linotype"/>
        </w:rPr>
        <w:t xml:space="preserve"> bedrock. </w:t>
      </w:r>
      <w:r w:rsidR="00746205" w:rsidRPr="00320C53">
        <w:rPr>
          <w:rFonts w:ascii="Palatino Linotype" w:hAnsi="Palatino Linotype"/>
        </w:rPr>
        <w:t xml:space="preserve"> In part because we know more clearly what the desirable outcomes of a legal education are, c</w:t>
      </w:r>
      <w:r w:rsidR="00370816" w:rsidRPr="00320C53">
        <w:rPr>
          <w:rFonts w:ascii="Palatino Linotype" w:hAnsi="Palatino Linotype"/>
        </w:rPr>
        <w:t xml:space="preserve">linic’s formerly marginal role in </w:t>
      </w:r>
      <w:r w:rsidR="00746205" w:rsidRPr="00320C53">
        <w:rPr>
          <w:rFonts w:ascii="Palatino Linotype" w:hAnsi="Palatino Linotype"/>
        </w:rPr>
        <w:t>legal education</w:t>
      </w:r>
      <w:r w:rsidR="00370816" w:rsidRPr="00320C53">
        <w:rPr>
          <w:rFonts w:ascii="Palatino Linotype" w:hAnsi="Palatino Linotype"/>
        </w:rPr>
        <w:t xml:space="preserve"> is moving </w:t>
      </w:r>
      <w:r w:rsidR="00746205" w:rsidRPr="00320C53">
        <w:rPr>
          <w:rFonts w:ascii="Palatino Linotype" w:hAnsi="Palatino Linotype"/>
        </w:rPr>
        <w:t xml:space="preserve">ineluctably </w:t>
      </w:r>
      <w:r w:rsidR="00370816" w:rsidRPr="00320C53">
        <w:rPr>
          <w:rFonts w:ascii="Palatino Linotype" w:hAnsi="Palatino Linotype"/>
        </w:rPr>
        <w:t xml:space="preserve">to the central and guiding role. </w:t>
      </w:r>
      <w:r w:rsidR="00F1271C" w:rsidRPr="00320C53">
        <w:rPr>
          <w:rFonts w:ascii="Palatino Linotype" w:hAnsi="Palatino Linotype"/>
        </w:rPr>
        <w:t xml:space="preserve">We are seeing a joining of the </w:t>
      </w:r>
      <w:proofErr w:type="spellStart"/>
      <w:r w:rsidR="00F1271C" w:rsidRPr="00320C53">
        <w:rPr>
          <w:rFonts w:ascii="Palatino Linotype" w:hAnsi="Palatino Linotype"/>
        </w:rPr>
        <w:t>clinicalization</w:t>
      </w:r>
      <w:proofErr w:type="spellEnd"/>
      <w:r w:rsidR="00F1271C" w:rsidRPr="00320C53">
        <w:rPr>
          <w:rFonts w:ascii="Palatino Linotype" w:hAnsi="Palatino Linotype"/>
        </w:rPr>
        <w:t xml:space="preserve"> and </w:t>
      </w:r>
      <w:proofErr w:type="spellStart"/>
      <w:r w:rsidR="0057112D" w:rsidRPr="00320C53">
        <w:rPr>
          <w:rFonts w:ascii="Palatino Linotype" w:hAnsi="Palatino Linotype"/>
        </w:rPr>
        <w:t>academicization</w:t>
      </w:r>
      <w:proofErr w:type="spellEnd"/>
      <w:r w:rsidR="00F1271C" w:rsidRPr="00320C53">
        <w:rPr>
          <w:rFonts w:ascii="Palatino Linotype" w:hAnsi="Palatino Linotype"/>
        </w:rPr>
        <w:t xml:space="preserve"> </w:t>
      </w:r>
      <w:r w:rsidR="00A44A2D" w:rsidRPr="00320C53">
        <w:rPr>
          <w:rFonts w:ascii="Palatino Linotype" w:hAnsi="Palatino Linotype"/>
        </w:rPr>
        <w:t xml:space="preserve">of </w:t>
      </w:r>
      <w:r w:rsidR="00F1271C" w:rsidRPr="00320C53">
        <w:rPr>
          <w:rFonts w:ascii="Palatino Linotype" w:hAnsi="Palatino Linotype"/>
        </w:rPr>
        <w:t xml:space="preserve">legal education! </w:t>
      </w:r>
      <w:r w:rsidR="00D86441" w:rsidRPr="00320C53">
        <w:rPr>
          <w:rFonts w:ascii="Palatino Linotype" w:hAnsi="Palatino Linotype"/>
        </w:rPr>
        <w:t>Our</w:t>
      </w:r>
      <w:r w:rsidR="00D8028B" w:rsidRPr="00320C53">
        <w:rPr>
          <w:rFonts w:ascii="Palatino Linotype" w:hAnsi="Palatino Linotype"/>
        </w:rPr>
        <w:t xml:space="preserve"> </w:t>
      </w:r>
      <w:r w:rsidR="00D86441" w:rsidRPr="00320C53">
        <w:rPr>
          <w:rFonts w:ascii="Palatino Linotype" w:hAnsi="Palatino Linotype"/>
        </w:rPr>
        <w:t>current</w:t>
      </w:r>
      <w:r w:rsidR="00B33F7F" w:rsidRPr="00320C53">
        <w:rPr>
          <w:rFonts w:ascii="Palatino Linotype" w:hAnsi="Palatino Linotype"/>
        </w:rPr>
        <w:t xml:space="preserve"> analyses of desired university and professional preparation outcomes</w:t>
      </w:r>
      <w:r w:rsidR="00F1271C" w:rsidRPr="00320C53">
        <w:rPr>
          <w:rFonts w:ascii="Palatino Linotype" w:hAnsi="Palatino Linotype"/>
        </w:rPr>
        <w:t>, our</w:t>
      </w:r>
      <w:r w:rsidR="00D86441" w:rsidRPr="00320C53">
        <w:rPr>
          <w:rFonts w:ascii="Palatino Linotype" w:hAnsi="Palatino Linotype"/>
        </w:rPr>
        <w:t xml:space="preserve"> </w:t>
      </w:r>
      <w:r w:rsidR="00B33F7F" w:rsidRPr="00320C53">
        <w:rPr>
          <w:rFonts w:ascii="Palatino Linotype" w:hAnsi="Palatino Linotype"/>
        </w:rPr>
        <w:t>greater clarity of purpose</w:t>
      </w:r>
      <w:r w:rsidR="006B70F4" w:rsidRPr="00320C53">
        <w:rPr>
          <w:rFonts w:ascii="Palatino Linotype" w:hAnsi="Palatino Linotype"/>
        </w:rPr>
        <w:t>, is</w:t>
      </w:r>
      <w:r w:rsidR="00D86441" w:rsidRPr="00320C53">
        <w:rPr>
          <w:rFonts w:ascii="Palatino Linotype" w:hAnsi="Palatino Linotype"/>
        </w:rPr>
        <w:t xml:space="preserve"> founded on</w:t>
      </w:r>
      <w:r w:rsidR="00B33F7F" w:rsidRPr="00320C53">
        <w:rPr>
          <w:rFonts w:ascii="Palatino Linotype" w:hAnsi="Palatino Linotype"/>
        </w:rPr>
        <w:t xml:space="preserve"> </w:t>
      </w:r>
      <w:r w:rsidR="00D86441" w:rsidRPr="00320C53">
        <w:rPr>
          <w:rFonts w:ascii="Palatino Linotype" w:hAnsi="Palatino Linotype"/>
        </w:rPr>
        <w:t>a</w:t>
      </w:r>
      <w:r w:rsidR="00B33F7F" w:rsidRPr="00320C53">
        <w:rPr>
          <w:rFonts w:ascii="Palatino Linotype" w:hAnsi="Palatino Linotype"/>
        </w:rPr>
        <w:t xml:space="preserve"> determined commitment to producing desirable professional results </w:t>
      </w:r>
      <w:r w:rsidR="006B70F4" w:rsidRPr="00320C53">
        <w:rPr>
          <w:rFonts w:ascii="Palatino Linotype" w:hAnsi="Palatino Linotype"/>
        </w:rPr>
        <w:t xml:space="preserve">with the wherewithal of </w:t>
      </w:r>
      <w:r w:rsidRPr="00320C53">
        <w:rPr>
          <w:rFonts w:ascii="Palatino Linotype" w:hAnsi="Palatino Linotype"/>
        </w:rPr>
        <w:t xml:space="preserve">conceptual, theoretical, professional and </w:t>
      </w:r>
      <w:r w:rsidR="00B33F7F" w:rsidRPr="00320C53">
        <w:rPr>
          <w:rFonts w:ascii="Palatino Linotype" w:hAnsi="Palatino Linotype"/>
        </w:rPr>
        <w:t xml:space="preserve">methodological </w:t>
      </w:r>
      <w:r w:rsidR="00AC6659" w:rsidRPr="00320C53">
        <w:rPr>
          <w:rFonts w:ascii="Palatino Linotype" w:hAnsi="Palatino Linotype"/>
        </w:rPr>
        <w:t xml:space="preserve">learning </w:t>
      </w:r>
      <w:r w:rsidR="006B70F4" w:rsidRPr="00320C53">
        <w:rPr>
          <w:rFonts w:ascii="Palatino Linotype" w:hAnsi="Palatino Linotype"/>
        </w:rPr>
        <w:t xml:space="preserve">becoming much more firmly </w:t>
      </w:r>
      <w:r w:rsidR="00B33F7F" w:rsidRPr="00320C53">
        <w:rPr>
          <w:rFonts w:ascii="Palatino Linotype" w:hAnsi="Palatino Linotype"/>
        </w:rPr>
        <w:t>within our grasp.</w:t>
      </w:r>
      <w:r w:rsidR="0034373C" w:rsidRPr="00320C53">
        <w:rPr>
          <w:rFonts w:ascii="Palatino Linotype" w:eastAsia="Times New Roman" w:hAnsi="Palatino Linotype" w:cs="Times New Roman"/>
          <w:color w:val="373737"/>
          <w:shd w:val="clear" w:color="auto" w:fill="FFFFFF"/>
        </w:rPr>
        <w:t xml:space="preserve"> </w:t>
      </w:r>
    </w:p>
    <w:p w14:paraId="73D9811D" w14:textId="61534E5F" w:rsidR="002D2F4C" w:rsidRPr="00320C53" w:rsidRDefault="007C2F93" w:rsidP="000C2DAB">
      <w:pPr>
        <w:spacing w:line="480" w:lineRule="auto"/>
        <w:jc w:val="both"/>
        <w:rPr>
          <w:rFonts w:ascii="Palatino Linotype" w:eastAsia="Times New Roman" w:hAnsi="Palatino Linotype" w:cs="Times New Roman"/>
          <w:color w:val="373737"/>
          <w:shd w:val="clear" w:color="auto" w:fill="FFFFFF"/>
        </w:rPr>
      </w:pPr>
      <w:r w:rsidRPr="00320C53">
        <w:rPr>
          <w:rFonts w:ascii="Palatino Linotype" w:eastAsia="Times New Roman" w:hAnsi="Palatino Linotype" w:cs="Times New Roman"/>
          <w:color w:val="373737"/>
          <w:shd w:val="clear" w:color="auto" w:fill="FFFFFF"/>
        </w:rPr>
        <w:t xml:space="preserve">The discussion in this paper provides some insights into frameworks for understanding </w:t>
      </w:r>
      <w:r w:rsidR="00975D11" w:rsidRPr="00320C53">
        <w:rPr>
          <w:rFonts w:ascii="Palatino Linotype" w:eastAsia="Times New Roman" w:hAnsi="Palatino Linotype" w:cs="Times New Roman"/>
          <w:color w:val="373737"/>
          <w:shd w:val="clear" w:color="auto" w:fill="FFFFFF"/>
        </w:rPr>
        <w:t xml:space="preserve">law school learning </w:t>
      </w:r>
      <w:r w:rsidRPr="00320C53">
        <w:rPr>
          <w:rFonts w:ascii="Palatino Linotype" w:eastAsia="Times New Roman" w:hAnsi="Palatino Linotype" w:cs="Times New Roman"/>
          <w:color w:val="373737"/>
          <w:shd w:val="clear" w:color="auto" w:fill="FFFFFF"/>
        </w:rPr>
        <w:t xml:space="preserve">outcomes and </w:t>
      </w:r>
      <w:r w:rsidR="00975D11" w:rsidRPr="00320C53">
        <w:rPr>
          <w:rFonts w:ascii="Palatino Linotype" w:eastAsia="Times New Roman" w:hAnsi="Palatino Linotype" w:cs="Times New Roman"/>
          <w:color w:val="373737"/>
          <w:shd w:val="clear" w:color="auto" w:fill="FFFFFF"/>
        </w:rPr>
        <w:t xml:space="preserve">devising </w:t>
      </w:r>
      <w:r w:rsidRPr="00320C53">
        <w:rPr>
          <w:rFonts w:ascii="Palatino Linotype" w:eastAsia="Times New Roman" w:hAnsi="Palatino Linotype" w:cs="Times New Roman"/>
          <w:color w:val="373737"/>
          <w:shd w:val="clear" w:color="auto" w:fill="FFFFFF"/>
        </w:rPr>
        <w:t xml:space="preserve">ways towards their achievement. The academy, especially in the United States, but also elsewhere, has not been </w:t>
      </w:r>
      <w:r w:rsidR="00975D11" w:rsidRPr="00320C53">
        <w:rPr>
          <w:rFonts w:ascii="Palatino Linotype" w:eastAsia="Times New Roman" w:hAnsi="Palatino Linotype" w:cs="Times New Roman"/>
          <w:color w:val="373737"/>
          <w:shd w:val="clear" w:color="auto" w:fill="FFFFFF"/>
        </w:rPr>
        <w:t>idle;</w:t>
      </w:r>
      <w:r w:rsidR="008F0C38" w:rsidRPr="00320C53">
        <w:rPr>
          <w:rFonts w:ascii="Palatino Linotype" w:eastAsia="Times New Roman" w:hAnsi="Palatino Linotype" w:cs="Times New Roman"/>
          <w:color w:val="373737"/>
          <w:shd w:val="clear" w:color="auto" w:fill="FFFFFF"/>
        </w:rPr>
        <w:t xml:space="preserve"> indeed</w:t>
      </w:r>
      <w:r w:rsidR="00975D11" w:rsidRPr="00320C53">
        <w:rPr>
          <w:rFonts w:ascii="Palatino Linotype" w:eastAsia="Times New Roman" w:hAnsi="Palatino Linotype" w:cs="Times New Roman"/>
          <w:color w:val="373737"/>
          <w:shd w:val="clear" w:color="auto" w:fill="FFFFFF"/>
        </w:rPr>
        <w:t>,</w:t>
      </w:r>
      <w:r w:rsidR="008F0C38" w:rsidRPr="00320C53">
        <w:rPr>
          <w:rFonts w:ascii="Palatino Linotype" w:eastAsia="Times New Roman" w:hAnsi="Palatino Linotype" w:cs="Times New Roman"/>
          <w:color w:val="373737"/>
          <w:shd w:val="clear" w:color="auto" w:fill="FFFFFF"/>
        </w:rPr>
        <w:t xml:space="preserve"> there are signs</w:t>
      </w:r>
      <w:r w:rsidRPr="00320C53">
        <w:rPr>
          <w:rFonts w:ascii="Palatino Linotype" w:eastAsia="Times New Roman" w:hAnsi="Palatino Linotype" w:cs="Times New Roman"/>
          <w:color w:val="373737"/>
          <w:shd w:val="clear" w:color="auto" w:fill="FFFFFF"/>
        </w:rPr>
        <w:t xml:space="preserve"> that it is restive.</w:t>
      </w:r>
      <w:r w:rsidR="00FB0F23" w:rsidRPr="00320C53">
        <w:rPr>
          <w:rStyle w:val="FootnoteReference"/>
          <w:rFonts w:ascii="Palatino Linotype" w:eastAsia="Times New Roman" w:hAnsi="Palatino Linotype" w:cs="Times New Roman"/>
          <w:color w:val="373737"/>
          <w:shd w:val="clear" w:color="auto" w:fill="FFFFFF"/>
        </w:rPr>
        <w:footnoteReference w:id="85"/>
      </w:r>
      <w:r w:rsidR="00F1271C" w:rsidRPr="00320C53">
        <w:rPr>
          <w:rFonts w:ascii="Palatino Linotype" w:hAnsi="Palatino Linotype"/>
        </w:rPr>
        <w:t xml:space="preserve"> The work of the Global Alliance for Justice Education, </w:t>
      </w:r>
      <w:r w:rsidR="00F1271C" w:rsidRPr="00320C53">
        <w:rPr>
          <w:rFonts w:ascii="Palatino Linotype" w:hAnsi="Palatino Linotype"/>
        </w:rPr>
        <w:lastRenderedPageBreak/>
        <w:t>the International Journal of Clinical Education, the Commonwealth Association for Legal Education</w:t>
      </w:r>
      <w:r w:rsidR="002055B3" w:rsidRPr="00320C53">
        <w:rPr>
          <w:rFonts w:ascii="Palatino Linotype" w:hAnsi="Palatino Linotype"/>
        </w:rPr>
        <w:t xml:space="preserve">, the European Network </w:t>
      </w:r>
      <w:r w:rsidR="00892696" w:rsidRPr="00320C53">
        <w:rPr>
          <w:rFonts w:ascii="Palatino Linotype" w:hAnsi="Palatino Linotype"/>
        </w:rPr>
        <w:t>for Clinical Legal Education</w:t>
      </w:r>
      <w:r w:rsidR="00F1271C" w:rsidRPr="00320C53">
        <w:rPr>
          <w:rFonts w:ascii="Palatino Linotype" w:hAnsi="Palatino Linotype"/>
        </w:rPr>
        <w:t xml:space="preserve"> and </w:t>
      </w:r>
      <w:r w:rsidR="00892696" w:rsidRPr="00320C53">
        <w:rPr>
          <w:rFonts w:ascii="Palatino Linotype" w:hAnsi="Palatino Linotype"/>
        </w:rPr>
        <w:t xml:space="preserve">many </w:t>
      </w:r>
      <w:r w:rsidR="00F1271C" w:rsidRPr="00320C53">
        <w:rPr>
          <w:rFonts w:ascii="Palatino Linotype" w:hAnsi="Palatino Linotype"/>
        </w:rPr>
        <w:t>regional bodies</w:t>
      </w:r>
      <w:r w:rsidR="005C73CB" w:rsidRPr="00320C53">
        <w:rPr>
          <w:rStyle w:val="FootnoteReference"/>
          <w:rFonts w:ascii="Palatino Linotype" w:hAnsi="Palatino Linotype"/>
        </w:rPr>
        <w:footnoteReference w:id="86"/>
      </w:r>
      <w:r w:rsidR="00B83A00" w:rsidRPr="00320C53">
        <w:rPr>
          <w:rFonts w:ascii="Palatino Linotype" w:hAnsi="Palatino Linotype"/>
        </w:rPr>
        <w:t xml:space="preserve"> </w:t>
      </w:r>
      <w:r w:rsidR="00710179" w:rsidRPr="00320C53">
        <w:rPr>
          <w:rFonts w:ascii="Palatino Linotype" w:hAnsi="Palatino Linotype"/>
        </w:rPr>
        <w:t>have</w:t>
      </w:r>
      <w:r w:rsidR="00B83A00" w:rsidRPr="00320C53">
        <w:rPr>
          <w:rFonts w:ascii="Palatino Linotype" w:hAnsi="Palatino Linotype"/>
        </w:rPr>
        <w:t xml:space="preserve"> spread the learning and influenced the movement.</w:t>
      </w:r>
      <w:r w:rsidRPr="00320C53">
        <w:rPr>
          <w:rFonts w:ascii="Palatino Linotype" w:eastAsia="Times New Roman" w:hAnsi="Palatino Linotype" w:cs="Times New Roman"/>
          <w:color w:val="373737"/>
          <w:shd w:val="clear" w:color="auto" w:fill="FFFFFF"/>
        </w:rPr>
        <w:t xml:space="preserve"> </w:t>
      </w:r>
      <w:r w:rsidR="0034373C" w:rsidRPr="00320C53">
        <w:rPr>
          <w:rFonts w:ascii="Palatino Linotype" w:eastAsia="Times New Roman" w:hAnsi="Palatino Linotype" w:cs="Times New Roman"/>
          <w:color w:val="373737"/>
          <w:shd w:val="clear" w:color="auto" w:fill="FFFFFF"/>
        </w:rPr>
        <w:t xml:space="preserve">Recently there has been a flurry of curricular innovation that seeks to build on Carnegie and Stuckey. Innovations include phasing learning and practice opportunities </w:t>
      </w:r>
      <w:r w:rsidR="00C057FA" w:rsidRPr="00320C53">
        <w:rPr>
          <w:rFonts w:ascii="Palatino Linotype" w:eastAsia="Times New Roman" w:hAnsi="Palatino Linotype" w:cs="Times New Roman"/>
          <w:color w:val="373737"/>
          <w:shd w:val="clear" w:color="auto" w:fill="FFFFFF"/>
        </w:rPr>
        <w:t xml:space="preserve">into the law student learning experience </w:t>
      </w:r>
      <w:r w:rsidR="0034373C" w:rsidRPr="00320C53">
        <w:rPr>
          <w:rFonts w:ascii="Palatino Linotype" w:eastAsia="Times New Roman" w:hAnsi="Palatino Linotype" w:cs="Times New Roman"/>
          <w:color w:val="373737"/>
          <w:shd w:val="clear" w:color="auto" w:fill="FFFFFF"/>
        </w:rPr>
        <w:t>and include the use of multiple experiential (an</w:t>
      </w:r>
      <w:r w:rsidR="00B83A00" w:rsidRPr="00320C53">
        <w:rPr>
          <w:rFonts w:ascii="Palatino Linotype" w:eastAsia="Times New Roman" w:hAnsi="Palatino Linotype" w:cs="Times New Roman"/>
          <w:color w:val="373737"/>
          <w:shd w:val="clear" w:color="auto" w:fill="FFFFFF"/>
        </w:rPr>
        <w:t>d</w:t>
      </w:r>
      <w:r w:rsidR="0034373C" w:rsidRPr="00320C53">
        <w:rPr>
          <w:rFonts w:ascii="Palatino Linotype" w:eastAsia="Times New Roman" w:hAnsi="Palatino Linotype" w:cs="Times New Roman"/>
          <w:color w:val="373737"/>
          <w:shd w:val="clear" w:color="auto" w:fill="FFFFFF"/>
        </w:rPr>
        <w:t xml:space="preserve"> other) methods.</w:t>
      </w:r>
      <w:r w:rsidR="0034373C" w:rsidRPr="00320C53">
        <w:rPr>
          <w:rStyle w:val="FootnoteReference"/>
          <w:rFonts w:ascii="Palatino Linotype" w:eastAsia="Times New Roman" w:hAnsi="Palatino Linotype" w:cs="Times New Roman"/>
          <w:color w:val="373737"/>
          <w:shd w:val="clear" w:color="auto" w:fill="FFFFFF"/>
        </w:rPr>
        <w:footnoteReference w:id="87"/>
      </w:r>
      <w:r w:rsidR="0034373C" w:rsidRPr="00320C53">
        <w:rPr>
          <w:rFonts w:ascii="Palatino Linotype" w:eastAsia="Times New Roman" w:hAnsi="Palatino Linotype" w:cs="Times New Roman"/>
          <w:color w:val="373737"/>
          <w:shd w:val="clear" w:color="auto" w:fill="FFFFFF"/>
        </w:rPr>
        <w:t xml:space="preserve"> </w:t>
      </w:r>
    </w:p>
    <w:p w14:paraId="5EC8A8E7" w14:textId="06D2E23D" w:rsidR="00271F6C" w:rsidRPr="00320C53" w:rsidRDefault="001C2226" w:rsidP="000C2DAB">
      <w:pPr>
        <w:spacing w:line="480" w:lineRule="auto"/>
        <w:jc w:val="both"/>
        <w:rPr>
          <w:rFonts w:ascii="Palatino Linotype" w:hAnsi="Palatino Linotype"/>
        </w:rPr>
      </w:pPr>
      <w:r w:rsidRPr="00320C53">
        <w:rPr>
          <w:rFonts w:ascii="Palatino Linotype" w:hAnsi="Palatino Linotype"/>
        </w:rPr>
        <w:t xml:space="preserve">Higher </w:t>
      </w:r>
      <w:r w:rsidR="00316640" w:rsidRPr="00320C53">
        <w:rPr>
          <w:rFonts w:ascii="Palatino Linotype" w:hAnsi="Palatino Linotype"/>
        </w:rPr>
        <w:t>e</w:t>
      </w:r>
      <w:r w:rsidRPr="00320C53">
        <w:rPr>
          <w:rFonts w:ascii="Palatino Linotype" w:hAnsi="Palatino Linotype"/>
        </w:rPr>
        <w:t xml:space="preserve">ducation accountability and quality assurance </w:t>
      </w:r>
      <w:r w:rsidR="007C25D9" w:rsidRPr="00320C53">
        <w:rPr>
          <w:rFonts w:ascii="Palatino Linotype" w:hAnsi="Palatino Linotype"/>
        </w:rPr>
        <w:t xml:space="preserve">(QA) </w:t>
      </w:r>
      <w:r w:rsidRPr="00320C53">
        <w:rPr>
          <w:rFonts w:ascii="Palatino Linotype" w:hAnsi="Palatino Linotype"/>
        </w:rPr>
        <w:t>schemes</w:t>
      </w:r>
      <w:r w:rsidR="007C25D9" w:rsidRPr="00320C53">
        <w:rPr>
          <w:rFonts w:ascii="Palatino Linotype" w:hAnsi="Palatino Linotype"/>
        </w:rPr>
        <w:t xml:space="preserve"> such as Ontario’s UUDLEs, when</w:t>
      </w:r>
      <w:r w:rsidRPr="00320C53">
        <w:rPr>
          <w:rFonts w:ascii="Palatino Linotype" w:hAnsi="Palatino Linotype"/>
        </w:rPr>
        <w:t xml:space="preserve"> mated with </w:t>
      </w:r>
      <w:r w:rsidR="002879E9" w:rsidRPr="00320C53">
        <w:rPr>
          <w:rFonts w:ascii="Palatino Linotype" w:hAnsi="Palatino Linotype"/>
        </w:rPr>
        <w:t>the</w:t>
      </w:r>
      <w:r w:rsidR="007C25D9" w:rsidRPr="00320C53">
        <w:rPr>
          <w:rFonts w:ascii="Palatino Linotype" w:hAnsi="Palatino Linotype"/>
        </w:rPr>
        <w:t xml:space="preserve"> results of studies such as Carnegie and Stuckey</w:t>
      </w:r>
      <w:r w:rsidR="00C54AAD" w:rsidRPr="00320C53">
        <w:rPr>
          <w:rFonts w:ascii="Palatino Linotype" w:hAnsi="Palatino Linotype"/>
        </w:rPr>
        <w:t>,</w:t>
      </w:r>
      <w:r w:rsidR="007C25D9" w:rsidRPr="00320C53">
        <w:rPr>
          <w:rFonts w:ascii="Palatino Linotype" w:hAnsi="Palatino Linotype"/>
        </w:rPr>
        <w:t xml:space="preserve"> </w:t>
      </w:r>
      <w:r w:rsidR="002879E9" w:rsidRPr="00320C53">
        <w:rPr>
          <w:rFonts w:ascii="Palatino Linotype" w:hAnsi="Palatino Linotype"/>
        </w:rPr>
        <w:t xml:space="preserve">among many other valuable sources, </w:t>
      </w:r>
      <w:r w:rsidR="007C25D9" w:rsidRPr="00320C53">
        <w:rPr>
          <w:rFonts w:ascii="Palatino Linotype" w:hAnsi="Palatino Linotype"/>
        </w:rPr>
        <w:t xml:space="preserve">provide a series of learning targets that can be aimed </w:t>
      </w:r>
      <w:r w:rsidR="00824B4F" w:rsidRPr="00320C53">
        <w:rPr>
          <w:rFonts w:ascii="Palatino Linotype" w:hAnsi="Palatino Linotype"/>
        </w:rPr>
        <w:t>at.</w:t>
      </w:r>
      <w:r w:rsidR="007C25D9" w:rsidRPr="00320C53">
        <w:rPr>
          <w:rFonts w:ascii="Palatino Linotype" w:hAnsi="Palatino Linotype"/>
        </w:rPr>
        <w:t xml:space="preserve">  </w:t>
      </w:r>
      <w:r w:rsidR="002879E9" w:rsidRPr="00320C53">
        <w:rPr>
          <w:rFonts w:ascii="Palatino Linotype" w:hAnsi="Palatino Linotype"/>
        </w:rPr>
        <w:lastRenderedPageBreak/>
        <w:t>Similarly</w:t>
      </w:r>
      <w:r w:rsidR="00824B4F" w:rsidRPr="00320C53">
        <w:rPr>
          <w:rFonts w:ascii="Palatino Linotype" w:hAnsi="Palatino Linotype"/>
        </w:rPr>
        <w:t>,</w:t>
      </w:r>
      <w:r w:rsidR="002879E9" w:rsidRPr="00320C53">
        <w:rPr>
          <w:rFonts w:ascii="Palatino Linotype" w:hAnsi="Palatino Linotype"/>
        </w:rPr>
        <w:t xml:space="preserve"> b</w:t>
      </w:r>
      <w:r w:rsidR="007C25D9" w:rsidRPr="00320C53">
        <w:rPr>
          <w:rFonts w:ascii="Palatino Linotype" w:hAnsi="Palatino Linotype"/>
        </w:rPr>
        <w:t>oth Carnegie and Stuckey</w:t>
      </w:r>
      <w:r w:rsidR="002879E9" w:rsidRPr="00320C53">
        <w:rPr>
          <w:rFonts w:ascii="Palatino Linotype" w:hAnsi="Palatino Linotype"/>
        </w:rPr>
        <w:t xml:space="preserve">, and other </w:t>
      </w:r>
      <w:r w:rsidR="00824B4F" w:rsidRPr="00320C53">
        <w:rPr>
          <w:rFonts w:ascii="Palatino Linotype" w:hAnsi="Palatino Linotype"/>
        </w:rPr>
        <w:t xml:space="preserve">contributors that I have </w:t>
      </w:r>
      <w:r w:rsidR="002879E9" w:rsidRPr="00320C53">
        <w:rPr>
          <w:rFonts w:ascii="Palatino Linotype" w:hAnsi="Palatino Linotype"/>
        </w:rPr>
        <w:t>mentioned along the way</w:t>
      </w:r>
      <w:r w:rsidR="00AF5FB0" w:rsidRPr="00320C53">
        <w:rPr>
          <w:rFonts w:ascii="Palatino Linotype" w:hAnsi="Palatino Linotype"/>
        </w:rPr>
        <w:t>, suggest</w:t>
      </w:r>
      <w:r w:rsidR="007C25D9" w:rsidRPr="00320C53">
        <w:rPr>
          <w:rFonts w:ascii="Palatino Linotype" w:hAnsi="Palatino Linotype"/>
        </w:rPr>
        <w:t xml:space="preserve"> some</w:t>
      </w:r>
      <w:r w:rsidR="00C54AAD" w:rsidRPr="00320C53">
        <w:rPr>
          <w:rFonts w:ascii="Palatino Linotype" w:hAnsi="Palatino Linotype"/>
        </w:rPr>
        <w:t xml:space="preserve"> </w:t>
      </w:r>
      <w:r w:rsidR="007C25D9" w:rsidRPr="00320C53">
        <w:rPr>
          <w:rFonts w:ascii="Palatino Linotype" w:hAnsi="Palatino Linotype"/>
        </w:rPr>
        <w:t>way</w:t>
      </w:r>
      <w:r w:rsidR="00C54AAD" w:rsidRPr="00320C53">
        <w:rPr>
          <w:rFonts w:ascii="Palatino Linotype" w:hAnsi="Palatino Linotype"/>
        </w:rPr>
        <w:t xml:space="preserve">s </w:t>
      </w:r>
      <w:r w:rsidR="00F95E35" w:rsidRPr="00320C53">
        <w:rPr>
          <w:rFonts w:ascii="Palatino Linotype" w:hAnsi="Palatino Linotype"/>
        </w:rPr>
        <w:t>of accomplishing</w:t>
      </w:r>
      <w:r w:rsidR="002879E9" w:rsidRPr="00320C53">
        <w:rPr>
          <w:rFonts w:ascii="Palatino Linotype" w:hAnsi="Palatino Linotype"/>
        </w:rPr>
        <w:t xml:space="preserve"> the desired results. </w:t>
      </w:r>
      <w:r w:rsidR="007C25D9" w:rsidRPr="00320C53">
        <w:rPr>
          <w:rFonts w:ascii="Palatino Linotype" w:hAnsi="Palatino Linotype"/>
        </w:rPr>
        <w:t>The strategic selection of clinic as the overarching method is</w:t>
      </w:r>
      <w:r w:rsidR="00E3704C" w:rsidRPr="00320C53">
        <w:rPr>
          <w:rFonts w:ascii="Palatino Linotype" w:hAnsi="Palatino Linotype"/>
        </w:rPr>
        <w:t xml:space="preserve"> the</w:t>
      </w:r>
      <w:r w:rsidR="007C25D9" w:rsidRPr="00320C53">
        <w:rPr>
          <w:rFonts w:ascii="Palatino Linotype" w:hAnsi="Palatino Linotype"/>
        </w:rPr>
        <w:t xml:space="preserve"> </w:t>
      </w:r>
      <w:r w:rsidR="00315C30" w:rsidRPr="00320C53">
        <w:rPr>
          <w:rFonts w:ascii="Palatino Linotype" w:hAnsi="Palatino Linotype"/>
        </w:rPr>
        <w:t xml:space="preserve">likeliest </w:t>
      </w:r>
      <w:r w:rsidR="00AF5FB0" w:rsidRPr="00320C53">
        <w:rPr>
          <w:rFonts w:ascii="Palatino Linotype" w:hAnsi="Palatino Linotype"/>
        </w:rPr>
        <w:t xml:space="preserve">choice </w:t>
      </w:r>
      <w:r w:rsidR="00315C30" w:rsidRPr="00320C53">
        <w:rPr>
          <w:rFonts w:ascii="Palatino Linotype" w:hAnsi="Palatino Linotype"/>
        </w:rPr>
        <w:t xml:space="preserve">to assure that the various rings of the target </w:t>
      </w:r>
      <w:r w:rsidR="002879E9" w:rsidRPr="00320C53">
        <w:rPr>
          <w:rFonts w:ascii="Palatino Linotype" w:hAnsi="Palatino Linotype"/>
        </w:rPr>
        <w:t xml:space="preserve">that encompass </w:t>
      </w:r>
      <w:r w:rsidR="006B77F3" w:rsidRPr="00320C53">
        <w:rPr>
          <w:rFonts w:ascii="Palatino Linotype" w:hAnsi="Palatino Linotype"/>
        </w:rPr>
        <w:t>competent</w:t>
      </w:r>
      <w:r w:rsidR="002879E9" w:rsidRPr="00320C53">
        <w:rPr>
          <w:rFonts w:ascii="Palatino Linotype" w:hAnsi="Palatino Linotype"/>
        </w:rPr>
        <w:t xml:space="preserve"> and professional practice </w:t>
      </w:r>
      <w:r w:rsidR="00824B4F" w:rsidRPr="00320C53">
        <w:rPr>
          <w:rFonts w:ascii="Palatino Linotype" w:hAnsi="Palatino Linotype"/>
        </w:rPr>
        <w:t xml:space="preserve">as well as sound and sophisticated learning </w:t>
      </w:r>
      <w:r w:rsidR="00315C30" w:rsidRPr="00320C53">
        <w:rPr>
          <w:rFonts w:ascii="Palatino Linotype" w:hAnsi="Palatino Linotype"/>
        </w:rPr>
        <w:t xml:space="preserve">are all hit. </w:t>
      </w:r>
    </w:p>
    <w:p w14:paraId="17423D6B" w14:textId="77777777" w:rsidR="00A63B9A" w:rsidRPr="00320C53" w:rsidRDefault="00A63B9A" w:rsidP="000C2DAB">
      <w:pPr>
        <w:spacing w:line="480" w:lineRule="auto"/>
        <w:jc w:val="both"/>
        <w:rPr>
          <w:rFonts w:ascii="Palatino Linotype" w:hAnsi="Palatino Linotype"/>
        </w:rPr>
      </w:pPr>
    </w:p>
    <w:p w14:paraId="633AF202" w14:textId="77777777" w:rsidR="00A63B9A" w:rsidRPr="00320C53" w:rsidRDefault="00A63B9A" w:rsidP="000C2DAB">
      <w:pPr>
        <w:spacing w:line="480" w:lineRule="auto"/>
        <w:jc w:val="both"/>
        <w:rPr>
          <w:rFonts w:ascii="Palatino Linotype" w:hAnsi="Palatino Linotype"/>
        </w:rPr>
      </w:pPr>
    </w:p>
    <w:p w14:paraId="67632325" w14:textId="77777777" w:rsidR="00A63B9A" w:rsidRPr="00320C53" w:rsidRDefault="00A63B9A" w:rsidP="000C2DAB">
      <w:pPr>
        <w:spacing w:line="480" w:lineRule="auto"/>
        <w:jc w:val="both"/>
        <w:rPr>
          <w:rFonts w:ascii="Palatino Linotype" w:hAnsi="Palatino Linotype"/>
        </w:rPr>
      </w:pPr>
    </w:p>
    <w:p w14:paraId="61483C46" w14:textId="77777777" w:rsidR="00A63B9A" w:rsidRPr="00320C53" w:rsidRDefault="00A63B9A" w:rsidP="000C2DAB">
      <w:pPr>
        <w:spacing w:line="480" w:lineRule="auto"/>
        <w:jc w:val="both"/>
        <w:rPr>
          <w:rFonts w:ascii="Palatino Linotype" w:hAnsi="Palatino Linotype"/>
        </w:rPr>
      </w:pPr>
    </w:p>
    <w:p w14:paraId="2B3D309C" w14:textId="77777777" w:rsidR="00A63B9A" w:rsidRPr="00320C53" w:rsidRDefault="00A63B9A" w:rsidP="000C2DAB">
      <w:pPr>
        <w:spacing w:line="480" w:lineRule="auto"/>
        <w:jc w:val="both"/>
        <w:rPr>
          <w:rFonts w:ascii="Palatino Linotype" w:hAnsi="Palatino Linotype"/>
        </w:rPr>
      </w:pPr>
    </w:p>
    <w:p w14:paraId="657E88B7" w14:textId="77777777" w:rsidR="00A63B9A" w:rsidRPr="00320C53" w:rsidRDefault="00A63B9A" w:rsidP="000C2DAB">
      <w:pPr>
        <w:spacing w:line="480" w:lineRule="auto"/>
        <w:jc w:val="both"/>
        <w:rPr>
          <w:rFonts w:ascii="Palatino Linotype" w:hAnsi="Palatino Linotype"/>
        </w:rPr>
      </w:pPr>
    </w:p>
    <w:p w14:paraId="424FCF96" w14:textId="77777777" w:rsidR="00A63B9A" w:rsidRPr="00320C53" w:rsidRDefault="00A63B9A" w:rsidP="000C2DAB">
      <w:pPr>
        <w:spacing w:line="480" w:lineRule="auto"/>
        <w:jc w:val="both"/>
        <w:rPr>
          <w:rFonts w:ascii="Palatino Linotype" w:hAnsi="Palatino Linotype"/>
        </w:rPr>
      </w:pPr>
    </w:p>
    <w:p w14:paraId="0ADB980B" w14:textId="77777777" w:rsidR="00A63B9A" w:rsidRPr="00320C53" w:rsidRDefault="00A63B9A" w:rsidP="000C2DAB">
      <w:pPr>
        <w:spacing w:line="480" w:lineRule="auto"/>
        <w:jc w:val="both"/>
        <w:rPr>
          <w:rFonts w:ascii="Palatino Linotype" w:hAnsi="Palatino Linotype"/>
        </w:rPr>
      </w:pPr>
    </w:p>
    <w:p w14:paraId="25649CB7" w14:textId="77777777" w:rsidR="00A63B9A" w:rsidRPr="00320C53" w:rsidRDefault="00A63B9A" w:rsidP="000C2DAB">
      <w:pPr>
        <w:spacing w:line="480" w:lineRule="auto"/>
        <w:jc w:val="both"/>
        <w:rPr>
          <w:rFonts w:ascii="Palatino Linotype" w:hAnsi="Palatino Linotype"/>
        </w:rPr>
      </w:pPr>
    </w:p>
    <w:p w14:paraId="1FDCCD3B" w14:textId="77777777" w:rsidR="00A63B9A" w:rsidRPr="00320C53" w:rsidRDefault="00A63B9A" w:rsidP="000C2DAB">
      <w:pPr>
        <w:spacing w:line="480" w:lineRule="auto"/>
        <w:jc w:val="both"/>
        <w:rPr>
          <w:rFonts w:ascii="Palatino Linotype" w:hAnsi="Palatino Linotype"/>
        </w:rPr>
      </w:pPr>
    </w:p>
    <w:p w14:paraId="74BA2579" w14:textId="77777777" w:rsidR="00A63B9A" w:rsidRPr="00320C53" w:rsidRDefault="00A63B9A" w:rsidP="000C2DAB">
      <w:pPr>
        <w:spacing w:line="480" w:lineRule="auto"/>
        <w:jc w:val="both"/>
        <w:rPr>
          <w:rFonts w:ascii="Palatino Linotype" w:hAnsi="Palatino Linotype"/>
        </w:rPr>
      </w:pPr>
    </w:p>
    <w:p w14:paraId="243C9961" w14:textId="77777777" w:rsidR="00A63B9A" w:rsidRPr="00320C53" w:rsidRDefault="00A63B9A" w:rsidP="000C2DAB">
      <w:pPr>
        <w:spacing w:line="480" w:lineRule="auto"/>
        <w:jc w:val="both"/>
        <w:rPr>
          <w:rFonts w:ascii="Palatino Linotype" w:hAnsi="Palatino Linotype"/>
        </w:rPr>
      </w:pPr>
    </w:p>
    <w:p w14:paraId="0369F804" w14:textId="77777777" w:rsidR="00A63B9A" w:rsidRPr="00320C53" w:rsidRDefault="00A63B9A" w:rsidP="000C2DAB">
      <w:pPr>
        <w:spacing w:line="480" w:lineRule="auto"/>
        <w:jc w:val="both"/>
        <w:rPr>
          <w:rFonts w:ascii="Palatino Linotype" w:hAnsi="Palatino Linotype"/>
        </w:rPr>
      </w:pPr>
    </w:p>
    <w:p w14:paraId="237F6A7D" w14:textId="77777777" w:rsidR="00E77670" w:rsidRDefault="00E77670">
      <w:pPr>
        <w:rPr>
          <w:rFonts w:ascii="Palatino Linotype" w:hAnsi="Palatino Linotype"/>
          <w:b/>
        </w:rPr>
        <w:sectPr w:rsidR="00E77670" w:rsidSect="00BD327F">
          <w:footerReference w:type="even" r:id="rId9"/>
          <w:footerReference w:type="default" r:id="rId10"/>
          <w:endnotePr>
            <w:numFmt w:val="decimal"/>
          </w:endnotePr>
          <w:pgSz w:w="12240" w:h="15840"/>
          <w:pgMar w:top="1474" w:right="1361" w:bottom="1474" w:left="1361" w:header="708" w:footer="708" w:gutter="0"/>
          <w:cols w:space="708"/>
          <w:titlePg/>
        </w:sectPr>
      </w:pPr>
    </w:p>
    <w:p w14:paraId="040017C3" w14:textId="5EF65337" w:rsidR="00271F6C" w:rsidRPr="00320C53" w:rsidRDefault="00271F6C" w:rsidP="000C2DAB">
      <w:pPr>
        <w:spacing w:line="480" w:lineRule="auto"/>
        <w:jc w:val="both"/>
        <w:rPr>
          <w:rFonts w:ascii="Palatino Linotype" w:hAnsi="Palatino Linotype"/>
          <w:b/>
        </w:rPr>
      </w:pPr>
      <w:r w:rsidRPr="00320C53">
        <w:rPr>
          <w:rFonts w:ascii="Palatino Linotype" w:hAnsi="Palatino Linotype"/>
          <w:b/>
        </w:rPr>
        <w:lastRenderedPageBreak/>
        <w:t xml:space="preserve">Schedule </w:t>
      </w:r>
      <w:r w:rsidR="00E77670">
        <w:rPr>
          <w:rFonts w:ascii="Palatino Linotype" w:hAnsi="Palatino Linotype"/>
          <w:b/>
        </w:rPr>
        <w:t xml:space="preserve">1: </w:t>
      </w:r>
      <w:r w:rsidRPr="00320C53">
        <w:rPr>
          <w:rFonts w:ascii="Palatino Linotype" w:hAnsi="Palatino Linotype"/>
          <w:b/>
        </w:rPr>
        <w:t>A concordance of the UUDLEs</w:t>
      </w:r>
      <w:r w:rsidR="00205C2D" w:rsidRPr="00320C53">
        <w:rPr>
          <w:rFonts w:ascii="Palatino Linotype" w:hAnsi="Palatino Linotype"/>
          <w:b/>
        </w:rPr>
        <w:t>, Carnegie and Stuckey</w:t>
      </w:r>
    </w:p>
    <w:tbl>
      <w:tblPr>
        <w:tblStyle w:val="TableGrid"/>
        <w:tblpPr w:leftFromText="180" w:rightFromText="180" w:vertAnchor="text" w:tblpY="1"/>
        <w:tblOverlap w:val="never"/>
        <w:tblW w:w="0" w:type="auto"/>
        <w:tblLook w:val="04A0" w:firstRow="1" w:lastRow="0" w:firstColumn="1" w:lastColumn="0" w:noHBand="0" w:noVBand="1"/>
      </w:tblPr>
      <w:tblGrid>
        <w:gridCol w:w="4928"/>
        <w:gridCol w:w="3898"/>
        <w:gridCol w:w="3898"/>
      </w:tblGrid>
      <w:tr w:rsidR="00E84B7C" w:rsidRPr="00320C53" w14:paraId="50CE0A7E" w14:textId="77777777" w:rsidTr="00694F79">
        <w:tc>
          <w:tcPr>
            <w:tcW w:w="4928" w:type="dxa"/>
          </w:tcPr>
          <w:p w14:paraId="36890CA4" w14:textId="77777777" w:rsidR="00E84B7C" w:rsidRPr="00E77670" w:rsidRDefault="00E84B7C" w:rsidP="00E77670">
            <w:pPr>
              <w:spacing w:line="360" w:lineRule="auto"/>
              <w:jc w:val="center"/>
              <w:rPr>
                <w:rFonts w:ascii="Palatino Linotype" w:hAnsi="Palatino Linotype" w:cs="Arial"/>
                <w:b/>
                <w:sz w:val="22"/>
                <w:szCs w:val="22"/>
              </w:rPr>
            </w:pPr>
            <w:r w:rsidRPr="00E77670">
              <w:rPr>
                <w:rFonts w:ascii="Palatino Linotype" w:hAnsi="Palatino Linotype" w:cs="Arial"/>
                <w:b/>
                <w:sz w:val="22"/>
                <w:szCs w:val="22"/>
              </w:rPr>
              <w:t>UUDLES</w:t>
            </w:r>
          </w:p>
        </w:tc>
        <w:tc>
          <w:tcPr>
            <w:tcW w:w="3898" w:type="dxa"/>
          </w:tcPr>
          <w:p w14:paraId="42B6C6F2" w14:textId="77777777" w:rsidR="00E84B7C" w:rsidRPr="00E77670" w:rsidRDefault="00E84B7C" w:rsidP="00E77670">
            <w:pPr>
              <w:spacing w:line="360" w:lineRule="auto"/>
              <w:jc w:val="center"/>
              <w:rPr>
                <w:rFonts w:ascii="Palatino Linotype" w:hAnsi="Palatino Linotype" w:cs="Arial"/>
                <w:b/>
                <w:sz w:val="22"/>
                <w:szCs w:val="22"/>
              </w:rPr>
            </w:pPr>
            <w:r w:rsidRPr="00E77670">
              <w:rPr>
                <w:rFonts w:ascii="Palatino Linotype" w:hAnsi="Palatino Linotype" w:cs="Arial"/>
                <w:b/>
                <w:sz w:val="22"/>
                <w:szCs w:val="22"/>
              </w:rPr>
              <w:t>Carnegie Apprenticeships/Tasks</w:t>
            </w:r>
          </w:p>
        </w:tc>
        <w:tc>
          <w:tcPr>
            <w:tcW w:w="3898" w:type="dxa"/>
          </w:tcPr>
          <w:p w14:paraId="78FB03CF" w14:textId="77777777" w:rsidR="00E84B7C" w:rsidRPr="00E77670" w:rsidRDefault="00E84B7C" w:rsidP="00E77670">
            <w:pPr>
              <w:spacing w:line="360" w:lineRule="auto"/>
              <w:jc w:val="center"/>
              <w:rPr>
                <w:rFonts w:ascii="Palatino Linotype" w:hAnsi="Palatino Linotype" w:cs="Arial"/>
                <w:b/>
                <w:sz w:val="22"/>
                <w:szCs w:val="22"/>
              </w:rPr>
            </w:pPr>
            <w:r w:rsidRPr="00E77670">
              <w:rPr>
                <w:rFonts w:ascii="Palatino Linotype" w:hAnsi="Palatino Linotype" w:cs="Arial"/>
                <w:b/>
                <w:sz w:val="22"/>
                <w:szCs w:val="22"/>
              </w:rPr>
              <w:t>Stuckey Principles</w:t>
            </w:r>
          </w:p>
        </w:tc>
      </w:tr>
      <w:tr w:rsidR="00E77670" w:rsidRPr="00320C53" w14:paraId="17EFBF89" w14:textId="77777777" w:rsidTr="00694F79">
        <w:tc>
          <w:tcPr>
            <w:tcW w:w="4928" w:type="dxa"/>
          </w:tcPr>
          <w:p w14:paraId="103A38A9" w14:textId="4B601BC3" w:rsidR="00E77670" w:rsidRPr="00BE32CF" w:rsidRDefault="00E77670" w:rsidP="00BE32CF">
            <w:pPr>
              <w:spacing w:line="276" w:lineRule="auto"/>
              <w:jc w:val="both"/>
              <w:rPr>
                <w:rFonts w:ascii="Palatino Linotype" w:hAnsi="Palatino Linotype" w:cs="Arial"/>
                <w:b/>
                <w:sz w:val="21"/>
                <w:szCs w:val="21"/>
              </w:rPr>
            </w:pPr>
            <w:r w:rsidRPr="00BE32CF">
              <w:rPr>
                <w:rFonts w:ascii="Palatino Linotype" w:hAnsi="Palatino Linotype" w:cs="Arial"/>
                <w:b/>
                <w:sz w:val="21"/>
                <w:szCs w:val="21"/>
              </w:rPr>
              <w:t>1. Depth and Breadth of Knowledge</w:t>
            </w:r>
          </w:p>
        </w:tc>
        <w:tc>
          <w:tcPr>
            <w:tcW w:w="3898" w:type="dxa"/>
          </w:tcPr>
          <w:p w14:paraId="249C6D8F" w14:textId="4A09B965" w:rsidR="00E77670" w:rsidRPr="00BE32CF" w:rsidRDefault="00E77670" w:rsidP="00BE32CF">
            <w:pPr>
              <w:spacing w:line="276" w:lineRule="auto"/>
              <w:jc w:val="both"/>
              <w:rPr>
                <w:rFonts w:ascii="Palatino Linotype" w:hAnsi="Palatino Linotype" w:cs="Arial"/>
                <w:b/>
                <w:sz w:val="21"/>
                <w:szCs w:val="21"/>
              </w:rPr>
            </w:pPr>
            <w:r w:rsidRPr="00BE32CF">
              <w:rPr>
                <w:rFonts w:ascii="Palatino Linotype" w:hAnsi="Palatino Linotype" w:cs="Arial"/>
                <w:b/>
                <w:sz w:val="21"/>
                <w:szCs w:val="21"/>
              </w:rPr>
              <w:t>1. Cognitive Apprenticeship</w:t>
            </w:r>
          </w:p>
        </w:tc>
        <w:tc>
          <w:tcPr>
            <w:tcW w:w="3898" w:type="dxa"/>
          </w:tcPr>
          <w:p w14:paraId="2023C957" w14:textId="50A59F61" w:rsidR="00E77670" w:rsidRPr="00BE32CF" w:rsidRDefault="00E77670" w:rsidP="00BE32CF">
            <w:pPr>
              <w:spacing w:line="276" w:lineRule="auto"/>
              <w:jc w:val="both"/>
              <w:rPr>
                <w:rFonts w:ascii="Palatino Linotype" w:hAnsi="Palatino Linotype" w:cs="Arial"/>
                <w:b/>
                <w:sz w:val="21"/>
                <w:szCs w:val="21"/>
              </w:rPr>
            </w:pPr>
            <w:r w:rsidRPr="00BE32CF">
              <w:rPr>
                <w:rFonts w:ascii="Palatino Linotype" w:hAnsi="Palatino Linotype" w:cs="Arial"/>
                <w:b/>
                <w:sz w:val="21"/>
                <w:szCs w:val="21"/>
              </w:rPr>
              <w:t>Adequate core knowledge/ understanding of the law.</w:t>
            </w:r>
          </w:p>
        </w:tc>
      </w:tr>
      <w:tr w:rsidR="00E84B7C" w:rsidRPr="00320C53" w14:paraId="1307D3B7" w14:textId="77777777" w:rsidTr="00694F79">
        <w:tc>
          <w:tcPr>
            <w:tcW w:w="4928" w:type="dxa"/>
          </w:tcPr>
          <w:p w14:paraId="190A6127" w14:textId="582844CF" w:rsidR="00E84B7C" w:rsidRPr="00BE32CF" w:rsidRDefault="00E84B7C" w:rsidP="00E77670">
            <w:pPr>
              <w:spacing w:line="360" w:lineRule="auto"/>
              <w:jc w:val="both"/>
              <w:rPr>
                <w:rFonts w:ascii="Palatino Linotype" w:hAnsi="Palatino Linotype" w:cs="Arial"/>
                <w:sz w:val="20"/>
                <w:szCs w:val="20"/>
              </w:rPr>
            </w:pPr>
            <w:r w:rsidRPr="00BE32CF">
              <w:rPr>
                <w:rFonts w:ascii="Palatino Linotype" w:hAnsi="Palatino Linotype" w:cs="Arial"/>
                <w:sz w:val="20"/>
                <w:szCs w:val="20"/>
              </w:rPr>
              <w:t>a) a developed knowledge and critical understanding of the key concepts, methodologies, current advances, theoretical approaches and assumptions in a discipline overall, as well as in a specialized area of a discipline</w:t>
            </w:r>
          </w:p>
          <w:p w14:paraId="66916DB8" w14:textId="77777777" w:rsidR="00E84B7C" w:rsidRPr="00BE32CF" w:rsidRDefault="00E84B7C" w:rsidP="00E77670">
            <w:pPr>
              <w:spacing w:line="360" w:lineRule="auto"/>
              <w:jc w:val="both"/>
              <w:rPr>
                <w:rFonts w:ascii="Palatino Linotype" w:hAnsi="Palatino Linotype" w:cs="Arial"/>
                <w:sz w:val="20"/>
                <w:szCs w:val="20"/>
              </w:rPr>
            </w:pPr>
            <w:r w:rsidRPr="00BE32CF">
              <w:rPr>
                <w:rFonts w:ascii="Palatino Linotype" w:hAnsi="Palatino Linotype" w:cs="Arial"/>
                <w:sz w:val="20"/>
                <w:szCs w:val="20"/>
              </w:rPr>
              <w:t>b) a developed understanding of many of the major fields in a discipline, including, where appropriate, from an interdisciplinary perspective, and how the fields may intersect with fields in related disciplines</w:t>
            </w:r>
          </w:p>
          <w:p w14:paraId="3479DA3C" w14:textId="77777777" w:rsidR="00E84B7C" w:rsidRPr="00BE32CF" w:rsidRDefault="00E84B7C" w:rsidP="00E77670">
            <w:pPr>
              <w:spacing w:line="360" w:lineRule="auto"/>
              <w:jc w:val="both"/>
              <w:rPr>
                <w:rFonts w:ascii="Palatino Linotype" w:hAnsi="Palatino Linotype" w:cs="Arial"/>
                <w:sz w:val="20"/>
                <w:szCs w:val="20"/>
              </w:rPr>
            </w:pPr>
            <w:r w:rsidRPr="00BE32CF">
              <w:rPr>
                <w:rFonts w:ascii="Palatino Linotype" w:hAnsi="Palatino Linotype" w:cs="Arial"/>
                <w:sz w:val="20"/>
                <w:szCs w:val="20"/>
              </w:rPr>
              <w:t>c) a developed ability to: 1) gather, review, evaluate and interpret information; and 2) compare the merits of alternate hypotheses or creative options, relevant to one or more of the major fields in a discipline</w:t>
            </w:r>
          </w:p>
          <w:p w14:paraId="7E1B5536" w14:textId="77777777" w:rsidR="00E84B7C" w:rsidRPr="00BE32CF" w:rsidRDefault="00E84B7C" w:rsidP="00E77670">
            <w:pPr>
              <w:spacing w:line="360" w:lineRule="auto"/>
              <w:jc w:val="both"/>
              <w:rPr>
                <w:rFonts w:ascii="Palatino Linotype" w:hAnsi="Palatino Linotype" w:cs="Arial"/>
                <w:sz w:val="20"/>
                <w:szCs w:val="20"/>
              </w:rPr>
            </w:pPr>
            <w:r w:rsidRPr="00BE32CF">
              <w:rPr>
                <w:rFonts w:ascii="Palatino Linotype" w:hAnsi="Palatino Linotype" w:cs="Arial"/>
                <w:sz w:val="20"/>
                <w:szCs w:val="20"/>
              </w:rPr>
              <w:t>d) a developed, detailed knowledge of and experience in research in an area of the discipline</w:t>
            </w:r>
          </w:p>
          <w:p w14:paraId="31A9C8B0" w14:textId="77777777" w:rsidR="00E84B7C" w:rsidRPr="00BE32CF" w:rsidRDefault="00E84B7C" w:rsidP="00E77670">
            <w:pPr>
              <w:spacing w:line="360" w:lineRule="auto"/>
              <w:jc w:val="both"/>
              <w:rPr>
                <w:rFonts w:ascii="Palatino Linotype" w:hAnsi="Palatino Linotype" w:cs="Arial"/>
                <w:sz w:val="20"/>
                <w:szCs w:val="20"/>
              </w:rPr>
            </w:pPr>
            <w:r w:rsidRPr="00BE32CF">
              <w:rPr>
                <w:rFonts w:ascii="Palatino Linotype" w:hAnsi="Palatino Linotype" w:cs="Arial"/>
                <w:sz w:val="20"/>
                <w:szCs w:val="20"/>
              </w:rPr>
              <w:t>e) developed critical thinking and analytical skills inside and outside the discipline</w:t>
            </w:r>
          </w:p>
          <w:p w14:paraId="53778E8D" w14:textId="7865DF51" w:rsidR="00E84B7C" w:rsidRPr="00BE32CF" w:rsidRDefault="00E84B7C" w:rsidP="002008CD">
            <w:pPr>
              <w:spacing w:line="360" w:lineRule="auto"/>
              <w:jc w:val="both"/>
              <w:rPr>
                <w:rFonts w:ascii="Palatino Linotype" w:hAnsi="Palatino Linotype"/>
                <w:sz w:val="20"/>
                <w:szCs w:val="20"/>
              </w:rPr>
            </w:pPr>
            <w:r w:rsidRPr="00BE32CF">
              <w:rPr>
                <w:rFonts w:ascii="Palatino Linotype" w:hAnsi="Palatino Linotype" w:cs="Arial"/>
                <w:sz w:val="20"/>
                <w:szCs w:val="20"/>
              </w:rPr>
              <w:t>f) the ability to apply learning from one or more areas outside the discipline</w:t>
            </w:r>
          </w:p>
        </w:tc>
        <w:tc>
          <w:tcPr>
            <w:tcW w:w="3898" w:type="dxa"/>
          </w:tcPr>
          <w:p w14:paraId="3F13535B" w14:textId="220242A8" w:rsidR="00E84B7C" w:rsidRPr="00BE32CF" w:rsidRDefault="00E77670" w:rsidP="00E77670">
            <w:pPr>
              <w:spacing w:line="360" w:lineRule="auto"/>
              <w:ind w:left="11"/>
              <w:jc w:val="both"/>
              <w:rPr>
                <w:rFonts w:ascii="Palatino Linotype" w:hAnsi="Palatino Linotype" w:cs="Arial"/>
                <w:sz w:val="20"/>
                <w:szCs w:val="20"/>
              </w:rPr>
            </w:pPr>
            <w:r w:rsidRPr="00BE32CF">
              <w:rPr>
                <w:rFonts w:ascii="Palatino Linotype" w:hAnsi="Palatino Linotype" w:cs="Arial"/>
                <w:sz w:val="20"/>
                <w:szCs w:val="20"/>
              </w:rPr>
              <w:t xml:space="preserve">a) </w:t>
            </w:r>
            <w:r w:rsidR="00E84B7C" w:rsidRPr="00BE32CF">
              <w:rPr>
                <w:rFonts w:ascii="Palatino Linotype" w:hAnsi="Palatino Linotype" w:cs="Arial"/>
                <w:sz w:val="20"/>
                <w:szCs w:val="20"/>
              </w:rPr>
              <w:t xml:space="preserve">learn the academic knowledge base </w:t>
            </w:r>
          </w:p>
          <w:p w14:paraId="6371B102" w14:textId="16FA816E" w:rsidR="00E84B7C" w:rsidRPr="00BE32CF" w:rsidRDefault="00E77670" w:rsidP="00E77670">
            <w:pPr>
              <w:spacing w:line="360" w:lineRule="auto"/>
              <w:ind w:left="12"/>
              <w:jc w:val="both"/>
              <w:rPr>
                <w:rFonts w:ascii="Palatino Linotype" w:hAnsi="Palatino Linotype" w:cs="Arial"/>
                <w:sz w:val="20"/>
                <w:szCs w:val="20"/>
              </w:rPr>
            </w:pPr>
            <w:r w:rsidRPr="00BE32CF">
              <w:rPr>
                <w:rFonts w:ascii="Palatino Linotype" w:hAnsi="Palatino Linotype" w:cs="Arial"/>
                <w:sz w:val="20"/>
                <w:szCs w:val="20"/>
              </w:rPr>
              <w:t xml:space="preserve">b) </w:t>
            </w:r>
            <w:r w:rsidR="00E84B7C" w:rsidRPr="00BE32CF">
              <w:rPr>
                <w:rFonts w:ascii="Palatino Linotype" w:hAnsi="Palatino Linotype" w:cs="Arial"/>
                <w:sz w:val="20"/>
                <w:szCs w:val="20"/>
              </w:rPr>
              <w:t>habits of mind that are considered most important to the profession</w:t>
            </w:r>
          </w:p>
          <w:p w14:paraId="1BA08999" w14:textId="234420BF" w:rsidR="00E84B7C" w:rsidRPr="00BE32CF" w:rsidRDefault="00E77670" w:rsidP="00E77670">
            <w:pPr>
              <w:spacing w:line="360" w:lineRule="auto"/>
              <w:ind w:left="12"/>
              <w:jc w:val="both"/>
              <w:rPr>
                <w:rFonts w:ascii="Palatino Linotype" w:hAnsi="Palatino Linotype" w:cs="Arial"/>
                <w:sz w:val="20"/>
                <w:szCs w:val="20"/>
              </w:rPr>
            </w:pPr>
            <w:r w:rsidRPr="00BE32CF">
              <w:rPr>
                <w:rFonts w:ascii="Palatino Linotype" w:hAnsi="Palatino Linotype" w:cs="Arial"/>
                <w:sz w:val="20"/>
                <w:szCs w:val="20"/>
              </w:rPr>
              <w:t xml:space="preserve">c) </w:t>
            </w:r>
            <w:r w:rsidR="00E84B7C" w:rsidRPr="00BE32CF">
              <w:rPr>
                <w:rFonts w:ascii="Palatino Linotype" w:hAnsi="Palatino Linotype" w:cs="Arial"/>
                <w:sz w:val="20"/>
                <w:szCs w:val="20"/>
              </w:rPr>
              <w:t>mastery of legal rules taught in Year 1</w:t>
            </w:r>
          </w:p>
          <w:p w14:paraId="78CB6D53" w14:textId="07A8F351" w:rsidR="00E84B7C" w:rsidRPr="00BE32CF" w:rsidRDefault="00E77670" w:rsidP="00E77670">
            <w:pPr>
              <w:spacing w:line="360" w:lineRule="auto"/>
              <w:ind w:left="12"/>
              <w:jc w:val="both"/>
              <w:rPr>
                <w:rFonts w:ascii="Palatino Linotype" w:hAnsi="Palatino Linotype" w:cs="Arial"/>
                <w:sz w:val="20"/>
                <w:szCs w:val="20"/>
              </w:rPr>
            </w:pPr>
            <w:r w:rsidRPr="00BE32CF">
              <w:rPr>
                <w:rFonts w:ascii="Palatino Linotype" w:hAnsi="Palatino Linotype" w:cs="Arial"/>
                <w:sz w:val="20"/>
                <w:szCs w:val="20"/>
              </w:rPr>
              <w:t xml:space="preserve">d) </w:t>
            </w:r>
            <w:r w:rsidR="00E84B7C" w:rsidRPr="00BE32CF">
              <w:rPr>
                <w:rFonts w:ascii="Palatino Linotype" w:hAnsi="Palatino Linotype" w:cs="Arial"/>
                <w:sz w:val="20"/>
                <w:szCs w:val="20"/>
              </w:rPr>
              <w:t>research</w:t>
            </w:r>
          </w:p>
          <w:p w14:paraId="2F2DF294" w14:textId="5F4020F5" w:rsidR="00E84B7C" w:rsidRPr="00BE32CF" w:rsidRDefault="00E77670" w:rsidP="00E77670">
            <w:pPr>
              <w:spacing w:line="360" w:lineRule="auto"/>
              <w:ind w:left="12"/>
              <w:jc w:val="both"/>
              <w:rPr>
                <w:rFonts w:ascii="Palatino Linotype" w:hAnsi="Palatino Linotype" w:cs="Arial"/>
                <w:sz w:val="20"/>
                <w:szCs w:val="20"/>
              </w:rPr>
            </w:pPr>
            <w:r w:rsidRPr="00BE32CF">
              <w:rPr>
                <w:rFonts w:ascii="Palatino Linotype" w:hAnsi="Palatino Linotype" w:cs="Arial"/>
                <w:sz w:val="20"/>
                <w:szCs w:val="20"/>
              </w:rPr>
              <w:t xml:space="preserve">e) </w:t>
            </w:r>
            <w:r w:rsidR="00E84B7C" w:rsidRPr="00BE32CF">
              <w:rPr>
                <w:rFonts w:ascii="Palatino Linotype" w:hAnsi="Palatino Linotype" w:cs="Arial"/>
                <w:sz w:val="20"/>
                <w:szCs w:val="20"/>
              </w:rPr>
              <w:t>how to gather knowledge and bolster comprehension – skills – reading case like lawyer would – meta-lesson – peculiar nature of legal language at once ambiguous and precise (p. 64)</w:t>
            </w:r>
          </w:p>
          <w:p w14:paraId="10BFE120" w14:textId="6F8F40A7" w:rsidR="00E84B7C" w:rsidRPr="00BE32CF" w:rsidRDefault="00E77670" w:rsidP="00E77670">
            <w:pPr>
              <w:spacing w:line="360" w:lineRule="auto"/>
              <w:ind w:left="12"/>
              <w:jc w:val="both"/>
              <w:rPr>
                <w:rFonts w:ascii="Palatino Linotype" w:hAnsi="Palatino Linotype" w:cs="Arial"/>
                <w:sz w:val="20"/>
                <w:szCs w:val="20"/>
              </w:rPr>
            </w:pPr>
            <w:r w:rsidRPr="00BE32CF">
              <w:rPr>
                <w:rFonts w:ascii="Palatino Linotype" w:hAnsi="Palatino Linotype" w:cs="Arial"/>
                <w:sz w:val="20"/>
                <w:szCs w:val="20"/>
              </w:rPr>
              <w:t xml:space="preserve">f) </w:t>
            </w:r>
            <w:r w:rsidR="00E84B7C" w:rsidRPr="00BE32CF">
              <w:rPr>
                <w:rFonts w:ascii="Palatino Linotype" w:hAnsi="Palatino Linotype" w:cs="Arial"/>
                <w:sz w:val="20"/>
                <w:szCs w:val="20"/>
              </w:rPr>
              <w:t xml:space="preserve">moving back and forth between detached analysis and empathetic engagement </w:t>
            </w:r>
          </w:p>
          <w:p w14:paraId="2C2C356F" w14:textId="77777777" w:rsidR="00E84B7C" w:rsidRPr="00BE32CF" w:rsidRDefault="00E84B7C" w:rsidP="00E77670">
            <w:pPr>
              <w:spacing w:line="360" w:lineRule="auto"/>
              <w:jc w:val="both"/>
              <w:rPr>
                <w:rFonts w:ascii="Palatino Linotype" w:hAnsi="Palatino Linotype" w:cs="Arial"/>
                <w:sz w:val="20"/>
                <w:szCs w:val="20"/>
              </w:rPr>
            </w:pPr>
          </w:p>
          <w:p w14:paraId="370AAEA1" w14:textId="77777777" w:rsidR="00E84B7C" w:rsidRPr="00BE32CF" w:rsidRDefault="00E84B7C" w:rsidP="00E77670">
            <w:pPr>
              <w:spacing w:line="360" w:lineRule="auto"/>
              <w:jc w:val="both"/>
              <w:rPr>
                <w:rFonts w:ascii="Palatino Linotype" w:hAnsi="Palatino Linotype" w:cs="Arial"/>
                <w:sz w:val="20"/>
                <w:szCs w:val="20"/>
              </w:rPr>
            </w:pPr>
          </w:p>
          <w:p w14:paraId="2FDA1F05" w14:textId="77777777" w:rsidR="00E84B7C" w:rsidRPr="00BE32CF" w:rsidRDefault="00E84B7C" w:rsidP="00E77670">
            <w:pPr>
              <w:spacing w:line="360" w:lineRule="auto"/>
              <w:jc w:val="both"/>
              <w:rPr>
                <w:rFonts w:ascii="Palatino Linotype" w:hAnsi="Palatino Linotype"/>
                <w:sz w:val="20"/>
                <w:szCs w:val="20"/>
              </w:rPr>
            </w:pPr>
          </w:p>
          <w:p w14:paraId="5DE4D60F" w14:textId="77777777" w:rsidR="00E84B7C" w:rsidRPr="00BE32CF" w:rsidRDefault="00E84B7C" w:rsidP="00E77670">
            <w:pPr>
              <w:spacing w:line="360" w:lineRule="auto"/>
              <w:jc w:val="both"/>
              <w:rPr>
                <w:rFonts w:ascii="Palatino Linotype" w:hAnsi="Palatino Linotype"/>
                <w:sz w:val="20"/>
                <w:szCs w:val="20"/>
              </w:rPr>
            </w:pPr>
          </w:p>
          <w:p w14:paraId="7B2A859A" w14:textId="77777777" w:rsidR="00E84B7C" w:rsidRPr="00BE32CF" w:rsidRDefault="00E84B7C" w:rsidP="002008CD">
            <w:pPr>
              <w:spacing w:line="360" w:lineRule="auto"/>
              <w:jc w:val="both"/>
              <w:rPr>
                <w:rFonts w:ascii="Palatino Linotype" w:hAnsi="Palatino Linotype"/>
                <w:sz w:val="20"/>
                <w:szCs w:val="20"/>
              </w:rPr>
            </w:pPr>
          </w:p>
        </w:tc>
        <w:tc>
          <w:tcPr>
            <w:tcW w:w="3898" w:type="dxa"/>
          </w:tcPr>
          <w:p w14:paraId="26D5C7AD" w14:textId="77777777" w:rsidR="00E84B7C" w:rsidRPr="00BE32CF" w:rsidRDefault="00E84B7C" w:rsidP="00E77670">
            <w:pPr>
              <w:spacing w:line="360" w:lineRule="auto"/>
              <w:jc w:val="both"/>
              <w:rPr>
                <w:rFonts w:ascii="Palatino Linotype" w:hAnsi="Palatino Linotype" w:cs="Arial"/>
                <w:sz w:val="20"/>
                <w:szCs w:val="20"/>
              </w:rPr>
            </w:pPr>
            <w:r w:rsidRPr="00BE32CF">
              <w:rPr>
                <w:rFonts w:ascii="Palatino Linotype" w:hAnsi="Palatino Linotype" w:cs="Arial"/>
                <w:sz w:val="20"/>
                <w:szCs w:val="20"/>
              </w:rPr>
              <w:t>a) Jurisdiction, authority, procedures that initiate, develop, interpret, and apply the law, constitutional law and judicial review;</w:t>
            </w:r>
          </w:p>
          <w:p w14:paraId="7259F8E2" w14:textId="77777777" w:rsidR="00E84B7C" w:rsidRPr="00BE32CF" w:rsidRDefault="00E84B7C" w:rsidP="00E77670">
            <w:pPr>
              <w:spacing w:line="360" w:lineRule="auto"/>
              <w:jc w:val="both"/>
              <w:rPr>
                <w:rFonts w:ascii="Palatino Linotype" w:hAnsi="Palatino Linotype" w:cs="Arial"/>
                <w:sz w:val="20"/>
                <w:szCs w:val="20"/>
              </w:rPr>
            </w:pPr>
            <w:r w:rsidRPr="00BE32CF">
              <w:rPr>
                <w:rFonts w:ascii="Palatino Linotype" w:hAnsi="Palatino Linotype" w:cs="Arial"/>
                <w:sz w:val="20"/>
                <w:szCs w:val="20"/>
              </w:rPr>
              <w:t>b) Regulatory and fiscal framework for  business transactions and financial services:</w:t>
            </w:r>
          </w:p>
          <w:p w14:paraId="00ADE96C" w14:textId="77777777" w:rsidR="00E84B7C" w:rsidRPr="00BE32CF" w:rsidRDefault="00E84B7C" w:rsidP="00E77670">
            <w:pPr>
              <w:spacing w:line="360" w:lineRule="auto"/>
              <w:jc w:val="both"/>
              <w:rPr>
                <w:rFonts w:ascii="Palatino Linotype" w:hAnsi="Palatino Linotype" w:cs="Arial"/>
                <w:sz w:val="20"/>
                <w:szCs w:val="20"/>
              </w:rPr>
            </w:pPr>
            <w:r w:rsidRPr="00BE32CF">
              <w:rPr>
                <w:rFonts w:ascii="Palatino Linotype" w:hAnsi="Palatino Linotype" w:cs="Arial"/>
                <w:sz w:val="20"/>
                <w:szCs w:val="20"/>
              </w:rPr>
              <w:t>c) Contract, tort, obligations, rights, and remedies,</w:t>
            </w:r>
          </w:p>
          <w:p w14:paraId="2AE07654" w14:textId="77777777" w:rsidR="00E84B7C" w:rsidRPr="00BE32CF" w:rsidRDefault="00E84B7C" w:rsidP="00E77670">
            <w:pPr>
              <w:spacing w:line="360" w:lineRule="auto"/>
              <w:jc w:val="both"/>
              <w:rPr>
                <w:rFonts w:ascii="Palatino Linotype" w:hAnsi="Palatino Linotype" w:cs="Arial"/>
                <w:sz w:val="20"/>
                <w:szCs w:val="20"/>
              </w:rPr>
            </w:pPr>
            <w:r w:rsidRPr="00BE32CF">
              <w:rPr>
                <w:rFonts w:ascii="Palatino Linotype" w:hAnsi="Palatino Linotype" w:cs="Arial"/>
                <w:sz w:val="20"/>
                <w:szCs w:val="20"/>
              </w:rPr>
              <w:t>d) Criminal law;</w:t>
            </w:r>
          </w:p>
          <w:p w14:paraId="002840CC" w14:textId="77777777" w:rsidR="00E84B7C" w:rsidRPr="00BE32CF" w:rsidRDefault="00E84B7C" w:rsidP="00E77670">
            <w:pPr>
              <w:spacing w:line="360" w:lineRule="auto"/>
              <w:jc w:val="both"/>
              <w:rPr>
                <w:rFonts w:ascii="Palatino Linotype" w:hAnsi="Palatino Linotype" w:cs="Arial"/>
                <w:sz w:val="20"/>
                <w:szCs w:val="20"/>
              </w:rPr>
            </w:pPr>
            <w:r w:rsidRPr="00BE32CF">
              <w:rPr>
                <w:rFonts w:ascii="Palatino Linotype" w:hAnsi="Palatino Linotype" w:cs="Arial"/>
                <w:sz w:val="20"/>
                <w:szCs w:val="20"/>
              </w:rPr>
              <w:t>e) Legal concept of property; the protection, disposal, transmission of proprietary interests,</w:t>
            </w:r>
          </w:p>
          <w:p w14:paraId="234A8DA4" w14:textId="77777777" w:rsidR="00E84B7C" w:rsidRPr="00BE32CF" w:rsidRDefault="00E84B7C" w:rsidP="00E77670">
            <w:pPr>
              <w:spacing w:line="360" w:lineRule="auto"/>
              <w:jc w:val="both"/>
              <w:rPr>
                <w:rFonts w:ascii="Palatino Linotype" w:hAnsi="Palatino Linotype" w:cs="Arial"/>
                <w:sz w:val="20"/>
                <w:szCs w:val="20"/>
              </w:rPr>
            </w:pPr>
            <w:r w:rsidRPr="00BE32CF">
              <w:rPr>
                <w:rFonts w:ascii="Palatino Linotype" w:hAnsi="Palatino Linotype" w:cs="Arial"/>
                <w:sz w:val="20"/>
                <w:szCs w:val="20"/>
              </w:rPr>
              <w:t>f) Equitable rights, titles and interests</w:t>
            </w:r>
          </w:p>
          <w:p w14:paraId="7E289F42" w14:textId="77777777" w:rsidR="00E84B7C" w:rsidRPr="00BE32CF" w:rsidRDefault="00E84B7C" w:rsidP="00E77670">
            <w:pPr>
              <w:spacing w:line="360" w:lineRule="auto"/>
              <w:jc w:val="both"/>
              <w:rPr>
                <w:rFonts w:ascii="Palatino Linotype" w:hAnsi="Palatino Linotype" w:cs="Arial"/>
                <w:b/>
                <w:sz w:val="20"/>
                <w:szCs w:val="20"/>
              </w:rPr>
            </w:pPr>
          </w:p>
          <w:p w14:paraId="7772B347" w14:textId="77777777" w:rsidR="00E84B7C" w:rsidRPr="00BE32CF" w:rsidRDefault="00E84B7C" w:rsidP="00E77670">
            <w:pPr>
              <w:spacing w:line="360" w:lineRule="auto"/>
              <w:jc w:val="both"/>
              <w:rPr>
                <w:rFonts w:ascii="Palatino Linotype" w:hAnsi="Palatino Linotype" w:cs="Arial"/>
                <w:b/>
                <w:sz w:val="20"/>
                <w:szCs w:val="20"/>
              </w:rPr>
            </w:pPr>
          </w:p>
          <w:p w14:paraId="55FE2CC1" w14:textId="4DAE9E5E" w:rsidR="00E84B7C" w:rsidRPr="00BE32CF" w:rsidRDefault="00E84B7C" w:rsidP="00E77670">
            <w:pPr>
              <w:spacing w:line="360" w:lineRule="auto"/>
              <w:jc w:val="both"/>
              <w:rPr>
                <w:rFonts w:ascii="Palatino Linotype" w:hAnsi="Palatino Linotype"/>
                <w:sz w:val="20"/>
                <w:szCs w:val="20"/>
              </w:rPr>
            </w:pPr>
            <w:r w:rsidRPr="00BE32CF">
              <w:rPr>
                <w:rFonts w:ascii="Palatino Linotype" w:hAnsi="Palatino Linotype" w:cs="Arial"/>
                <w:sz w:val="20"/>
                <w:szCs w:val="20"/>
              </w:rPr>
              <w:t xml:space="preserve"> </w:t>
            </w:r>
          </w:p>
        </w:tc>
      </w:tr>
      <w:tr w:rsidR="00E77670" w:rsidRPr="00320C53" w14:paraId="6C5A4E93" w14:textId="77777777" w:rsidTr="00694F79">
        <w:tc>
          <w:tcPr>
            <w:tcW w:w="4928" w:type="dxa"/>
          </w:tcPr>
          <w:p w14:paraId="43F27171" w14:textId="337EA4A0" w:rsidR="00E77670" w:rsidRPr="00BE32CF" w:rsidRDefault="00E77670" w:rsidP="00BE32CF">
            <w:pPr>
              <w:spacing w:line="276" w:lineRule="auto"/>
              <w:jc w:val="both"/>
              <w:rPr>
                <w:rFonts w:ascii="Palatino Linotype" w:hAnsi="Palatino Linotype" w:cs="Arial"/>
                <w:sz w:val="21"/>
                <w:szCs w:val="21"/>
              </w:rPr>
            </w:pPr>
            <w:r w:rsidRPr="00BE32CF">
              <w:rPr>
                <w:rFonts w:ascii="Palatino Linotype" w:hAnsi="Palatino Linotype" w:cs="Arial"/>
                <w:b/>
                <w:sz w:val="21"/>
                <w:szCs w:val="21"/>
              </w:rPr>
              <w:lastRenderedPageBreak/>
              <w:t>2. Knowledge of Methodologies</w:t>
            </w:r>
          </w:p>
        </w:tc>
        <w:tc>
          <w:tcPr>
            <w:tcW w:w="3898" w:type="dxa"/>
          </w:tcPr>
          <w:p w14:paraId="46F6D1FE" w14:textId="11A97BA1" w:rsidR="00E77670" w:rsidRPr="00BE32CF" w:rsidRDefault="00E77670" w:rsidP="00BE32CF">
            <w:pPr>
              <w:spacing w:line="276" w:lineRule="auto"/>
              <w:jc w:val="both"/>
              <w:rPr>
                <w:rFonts w:ascii="Palatino Linotype" w:hAnsi="Palatino Linotype" w:cs="Arial"/>
                <w:b/>
                <w:sz w:val="21"/>
                <w:szCs w:val="21"/>
              </w:rPr>
            </w:pPr>
            <w:r w:rsidRPr="00BE32CF">
              <w:rPr>
                <w:rFonts w:ascii="Palatino Linotype" w:hAnsi="Palatino Linotype" w:cs="Arial"/>
                <w:b/>
                <w:sz w:val="21"/>
                <w:szCs w:val="21"/>
              </w:rPr>
              <w:t>2. and 3. Cognitive/Practice Apprenticeships</w:t>
            </w:r>
          </w:p>
        </w:tc>
        <w:tc>
          <w:tcPr>
            <w:tcW w:w="3898" w:type="dxa"/>
          </w:tcPr>
          <w:p w14:paraId="05E2E43B" w14:textId="0BBA8027" w:rsidR="00E77670" w:rsidRPr="00BE32CF" w:rsidRDefault="002008CD" w:rsidP="00BE32CF">
            <w:pPr>
              <w:spacing w:line="276" w:lineRule="auto"/>
              <w:jc w:val="both"/>
              <w:rPr>
                <w:rFonts w:ascii="Palatino Linotype" w:hAnsi="Palatino Linotype" w:cs="Arial"/>
                <w:sz w:val="21"/>
                <w:szCs w:val="21"/>
              </w:rPr>
            </w:pPr>
            <w:r w:rsidRPr="00BE32CF">
              <w:rPr>
                <w:rFonts w:ascii="Palatino Linotype" w:hAnsi="Palatino Linotype" w:cs="Arial"/>
                <w:b/>
                <w:sz w:val="21"/>
                <w:szCs w:val="21"/>
              </w:rPr>
              <w:t>The intellectual and analytical skills required to</w:t>
            </w:r>
            <w:r w:rsidR="00BE32CF">
              <w:rPr>
                <w:rFonts w:ascii="Palatino Linotype" w:hAnsi="Palatino Linotype" w:cs="Arial"/>
                <w:sz w:val="21"/>
                <w:szCs w:val="21"/>
              </w:rPr>
              <w:t>:</w:t>
            </w:r>
          </w:p>
        </w:tc>
      </w:tr>
      <w:tr w:rsidR="00E77670" w:rsidRPr="00320C53" w14:paraId="7ACA9C48" w14:textId="77777777" w:rsidTr="00694F79">
        <w:tc>
          <w:tcPr>
            <w:tcW w:w="4928" w:type="dxa"/>
          </w:tcPr>
          <w:p w14:paraId="0B01B375" w14:textId="77777777" w:rsidR="00E77670" w:rsidRPr="00BE32CF" w:rsidRDefault="00E77670" w:rsidP="00E77670">
            <w:pPr>
              <w:spacing w:line="360" w:lineRule="auto"/>
              <w:jc w:val="both"/>
              <w:rPr>
                <w:rFonts w:ascii="Palatino Linotype" w:hAnsi="Palatino Linotype" w:cs="Arial"/>
                <w:b/>
                <w:sz w:val="20"/>
                <w:szCs w:val="20"/>
              </w:rPr>
            </w:pPr>
            <w:r w:rsidRPr="00BE32CF">
              <w:rPr>
                <w:rFonts w:ascii="Palatino Linotype" w:hAnsi="Palatino Linotype" w:cs="Arial"/>
                <w:sz w:val="20"/>
                <w:szCs w:val="20"/>
              </w:rPr>
              <w:t>an understanding of methods of enquiry or creative activity, or both, in their primary area of study that enable students to:</w:t>
            </w:r>
          </w:p>
          <w:p w14:paraId="62897E95" w14:textId="77777777" w:rsidR="00E77670" w:rsidRPr="00BE32CF" w:rsidRDefault="00E77670" w:rsidP="00E77670">
            <w:pPr>
              <w:pStyle w:val="ListParagraph"/>
              <w:numPr>
                <w:ilvl w:val="0"/>
                <w:numId w:val="11"/>
              </w:numPr>
              <w:spacing w:line="360" w:lineRule="auto"/>
              <w:ind w:left="284" w:hanging="284"/>
              <w:jc w:val="both"/>
              <w:rPr>
                <w:rFonts w:ascii="Palatino Linotype" w:hAnsi="Palatino Linotype" w:cs="Arial"/>
                <w:b/>
                <w:sz w:val="20"/>
                <w:szCs w:val="20"/>
              </w:rPr>
            </w:pPr>
            <w:r w:rsidRPr="00BE32CF">
              <w:rPr>
                <w:rFonts w:ascii="Palatino Linotype" w:hAnsi="Palatino Linotype" w:cs="Arial"/>
                <w:sz w:val="20"/>
                <w:szCs w:val="20"/>
              </w:rPr>
              <w:t xml:space="preserve">Evaluate the appropriateness of different approaches to solving problems using well-established ideas and techniques; </w:t>
            </w:r>
          </w:p>
          <w:p w14:paraId="4FC9F551" w14:textId="77777777" w:rsidR="00E77670" w:rsidRPr="00BE32CF" w:rsidRDefault="00E77670" w:rsidP="00E77670">
            <w:pPr>
              <w:pStyle w:val="ListParagraph"/>
              <w:numPr>
                <w:ilvl w:val="0"/>
                <w:numId w:val="11"/>
              </w:numPr>
              <w:spacing w:line="360" w:lineRule="auto"/>
              <w:ind w:left="284" w:hanging="284"/>
              <w:jc w:val="both"/>
              <w:rPr>
                <w:rFonts w:ascii="Palatino Linotype" w:hAnsi="Palatino Linotype" w:cs="Arial"/>
                <w:b/>
                <w:sz w:val="20"/>
                <w:szCs w:val="20"/>
              </w:rPr>
            </w:pPr>
            <w:r w:rsidRPr="00BE32CF">
              <w:rPr>
                <w:rFonts w:ascii="Palatino Linotype" w:hAnsi="Palatino Linotype" w:cs="Arial"/>
                <w:sz w:val="20"/>
                <w:szCs w:val="20"/>
              </w:rPr>
              <w:t>Devise and sustain arguments or solve problems using these methods; and</w:t>
            </w:r>
          </w:p>
          <w:p w14:paraId="76F4237A" w14:textId="1C7E6319" w:rsidR="00E77670" w:rsidRPr="00BE32CF" w:rsidRDefault="00E77670" w:rsidP="00E77670">
            <w:pPr>
              <w:pStyle w:val="ListParagraph"/>
              <w:numPr>
                <w:ilvl w:val="0"/>
                <w:numId w:val="11"/>
              </w:numPr>
              <w:spacing w:line="360" w:lineRule="auto"/>
              <w:ind w:left="284" w:hanging="284"/>
              <w:jc w:val="both"/>
              <w:rPr>
                <w:rFonts w:ascii="Palatino Linotype" w:hAnsi="Palatino Linotype" w:cs="Arial"/>
                <w:sz w:val="20"/>
                <w:szCs w:val="20"/>
              </w:rPr>
            </w:pPr>
            <w:r w:rsidRPr="00BE32CF">
              <w:rPr>
                <w:rFonts w:ascii="Palatino Linotype" w:hAnsi="Palatino Linotype" w:cs="Arial"/>
                <w:sz w:val="20"/>
                <w:szCs w:val="20"/>
              </w:rPr>
              <w:t>Describe and comment upon particular aspects of current research or equivalent advanced scholarship.</w:t>
            </w:r>
          </w:p>
        </w:tc>
        <w:tc>
          <w:tcPr>
            <w:tcW w:w="3898" w:type="dxa"/>
          </w:tcPr>
          <w:p w14:paraId="12AD1AE8" w14:textId="77777777" w:rsidR="002008CD" w:rsidRPr="00BE32CF" w:rsidRDefault="002008CD" w:rsidP="002008CD">
            <w:pPr>
              <w:pStyle w:val="ListParagraph"/>
              <w:numPr>
                <w:ilvl w:val="0"/>
                <w:numId w:val="39"/>
              </w:numPr>
              <w:spacing w:line="360" w:lineRule="auto"/>
              <w:ind w:left="12" w:firstLine="0"/>
              <w:jc w:val="both"/>
              <w:rPr>
                <w:rFonts w:ascii="Palatino Linotype" w:hAnsi="Palatino Linotype" w:cs="Arial"/>
                <w:sz w:val="20"/>
                <w:szCs w:val="20"/>
              </w:rPr>
            </w:pPr>
            <w:r w:rsidRPr="00BE32CF">
              <w:rPr>
                <w:rFonts w:ascii="Palatino Linotype" w:hAnsi="Palatino Linotype" w:cs="Arial"/>
                <w:sz w:val="20"/>
                <w:szCs w:val="20"/>
              </w:rPr>
              <w:t xml:space="preserve">Methodologies relate to the use of cognitive theory to develop theory of practice </w:t>
            </w:r>
          </w:p>
          <w:p w14:paraId="15EDF227" w14:textId="77777777" w:rsidR="002008CD" w:rsidRPr="00BE32CF" w:rsidRDefault="002008CD" w:rsidP="002008CD">
            <w:pPr>
              <w:pStyle w:val="ListParagraph"/>
              <w:numPr>
                <w:ilvl w:val="0"/>
                <w:numId w:val="39"/>
              </w:numPr>
              <w:spacing w:line="360" w:lineRule="auto"/>
              <w:ind w:left="12" w:firstLine="0"/>
              <w:jc w:val="both"/>
              <w:rPr>
                <w:rFonts w:ascii="Palatino Linotype" w:hAnsi="Palatino Linotype" w:cs="Arial"/>
                <w:sz w:val="20"/>
                <w:szCs w:val="20"/>
              </w:rPr>
            </w:pPr>
            <w:r w:rsidRPr="00BE32CF">
              <w:rPr>
                <w:rFonts w:ascii="Palatino Linotype" w:hAnsi="Palatino Linotype" w:cs="Arial"/>
                <w:sz w:val="20"/>
                <w:szCs w:val="20"/>
              </w:rPr>
              <w:t>nature of expertise and how it is required</w:t>
            </w:r>
          </w:p>
          <w:p w14:paraId="0F01F51C" w14:textId="419CD7A4" w:rsidR="00E77670" w:rsidRPr="00BE32CF" w:rsidRDefault="002008CD" w:rsidP="00694F79">
            <w:pPr>
              <w:pStyle w:val="ListParagraph"/>
              <w:numPr>
                <w:ilvl w:val="0"/>
                <w:numId w:val="39"/>
              </w:numPr>
              <w:spacing w:line="360" w:lineRule="auto"/>
              <w:ind w:left="12" w:firstLine="0"/>
              <w:jc w:val="both"/>
              <w:rPr>
                <w:rFonts w:ascii="Palatino Linotype" w:hAnsi="Palatino Linotype" w:cs="Arial"/>
                <w:sz w:val="20"/>
                <w:szCs w:val="20"/>
              </w:rPr>
            </w:pPr>
            <w:r w:rsidRPr="00BE32CF">
              <w:rPr>
                <w:rFonts w:ascii="Palatino Linotype" w:hAnsi="Palatino Linotype" w:cs="Arial"/>
                <w:sz w:val="20"/>
                <w:szCs w:val="20"/>
              </w:rPr>
              <w:t>able to articulate the conceptual models involved in important lawyering skills (interviewing, counseling, conducting research etc.) (p. 100/2, 116/18)</w:t>
            </w:r>
          </w:p>
        </w:tc>
        <w:tc>
          <w:tcPr>
            <w:tcW w:w="3898" w:type="dxa"/>
          </w:tcPr>
          <w:p w14:paraId="6514291C" w14:textId="77777777" w:rsidR="002008CD" w:rsidRPr="00BE32CF" w:rsidRDefault="002008CD" w:rsidP="002008CD">
            <w:pPr>
              <w:spacing w:line="360" w:lineRule="auto"/>
              <w:jc w:val="both"/>
              <w:rPr>
                <w:rFonts w:ascii="Palatino Linotype" w:hAnsi="Palatino Linotype" w:cs="Arial"/>
                <w:sz w:val="20"/>
                <w:szCs w:val="20"/>
              </w:rPr>
            </w:pPr>
            <w:r w:rsidRPr="00BE32CF">
              <w:rPr>
                <w:rFonts w:ascii="Palatino Linotype" w:hAnsi="Palatino Linotype" w:cs="Arial"/>
                <w:sz w:val="20"/>
                <w:szCs w:val="20"/>
              </w:rPr>
              <w:t>a) Apply methods and techniques to review, consolidate, extend and apply knowledge and understanding and to initiate and carry out projects; and</w:t>
            </w:r>
          </w:p>
          <w:p w14:paraId="5924FB54" w14:textId="39097D07" w:rsidR="00E77670" w:rsidRPr="00BE32CF" w:rsidRDefault="002008CD" w:rsidP="00694F79">
            <w:pPr>
              <w:spacing w:line="360" w:lineRule="auto"/>
              <w:jc w:val="both"/>
              <w:rPr>
                <w:rFonts w:ascii="Palatino Linotype" w:hAnsi="Palatino Linotype" w:cs="Arial"/>
                <w:sz w:val="20"/>
                <w:szCs w:val="20"/>
              </w:rPr>
            </w:pPr>
            <w:r w:rsidRPr="00BE32CF">
              <w:rPr>
                <w:rFonts w:ascii="Palatino Linotype" w:hAnsi="Palatino Linotype" w:cs="Arial"/>
                <w:sz w:val="20"/>
                <w:szCs w:val="20"/>
              </w:rPr>
              <w:t>b) Critically evaluate arguments, assumptions, abstract concepts and data to make judgments and to frame appropriate questions to achieve a solution or identify a range of solutions to a problem.</w:t>
            </w:r>
          </w:p>
        </w:tc>
      </w:tr>
    </w:tbl>
    <w:p w14:paraId="14941282" w14:textId="77777777" w:rsidR="00BE39DA" w:rsidRDefault="00BE39DA"/>
    <w:p w14:paraId="0F96BF26" w14:textId="77777777" w:rsidR="00BE39DA" w:rsidRDefault="00BE39DA"/>
    <w:p w14:paraId="252FD7F1" w14:textId="77777777" w:rsidR="00BE39DA" w:rsidRDefault="00BE39DA"/>
    <w:p w14:paraId="377C08CD" w14:textId="77777777" w:rsidR="00BE39DA" w:rsidRDefault="00BE39DA"/>
    <w:p w14:paraId="2C6A688E" w14:textId="77777777" w:rsidR="00BE39DA" w:rsidRDefault="00BE39DA"/>
    <w:p w14:paraId="0939DF63" w14:textId="77777777" w:rsidR="00BE39DA" w:rsidRDefault="00BE39DA"/>
    <w:p w14:paraId="0C3B9D9A" w14:textId="77777777" w:rsidR="00BE39DA" w:rsidRDefault="00BE39DA"/>
    <w:p w14:paraId="6619DF1B" w14:textId="77777777" w:rsidR="00BE39DA" w:rsidRDefault="00BE39DA"/>
    <w:p w14:paraId="0990F790" w14:textId="77777777" w:rsidR="00BE39DA" w:rsidRDefault="00BE39DA"/>
    <w:p w14:paraId="1976003E" w14:textId="77777777" w:rsidR="00BE39DA" w:rsidRDefault="00BE39DA"/>
    <w:p w14:paraId="5EF41573" w14:textId="77777777" w:rsidR="00BE39DA" w:rsidRDefault="00BE39DA"/>
    <w:p w14:paraId="54E7CF31" w14:textId="77777777" w:rsidR="00BE39DA" w:rsidRDefault="00BE39DA"/>
    <w:p w14:paraId="5C0472A6" w14:textId="77777777" w:rsidR="00BE39DA" w:rsidRDefault="00BE39DA"/>
    <w:p w14:paraId="31AF4111" w14:textId="77777777" w:rsidR="00BE39DA" w:rsidRDefault="00BE39DA"/>
    <w:p w14:paraId="2B5FFF32" w14:textId="77777777" w:rsidR="00BE39DA" w:rsidRDefault="00BE39DA"/>
    <w:tbl>
      <w:tblPr>
        <w:tblStyle w:val="TableGrid"/>
        <w:tblpPr w:leftFromText="180" w:rightFromText="180" w:vertAnchor="text" w:tblpY="1"/>
        <w:tblOverlap w:val="never"/>
        <w:tblW w:w="0" w:type="auto"/>
        <w:tblLook w:val="04A0" w:firstRow="1" w:lastRow="0" w:firstColumn="1" w:lastColumn="0" w:noHBand="0" w:noVBand="1"/>
      </w:tblPr>
      <w:tblGrid>
        <w:gridCol w:w="5495"/>
        <w:gridCol w:w="3969"/>
        <w:gridCol w:w="3260"/>
      </w:tblGrid>
      <w:tr w:rsidR="002008CD" w:rsidRPr="00320C53" w14:paraId="48678B24" w14:textId="77777777" w:rsidTr="00BE39DA">
        <w:tc>
          <w:tcPr>
            <w:tcW w:w="5495" w:type="dxa"/>
          </w:tcPr>
          <w:p w14:paraId="3E55934C" w14:textId="169D42B9" w:rsidR="002008CD" w:rsidRPr="00BE32CF" w:rsidRDefault="002008CD" w:rsidP="00BE32CF">
            <w:pPr>
              <w:spacing w:line="276" w:lineRule="auto"/>
              <w:jc w:val="both"/>
              <w:rPr>
                <w:rFonts w:ascii="Palatino Linotype" w:hAnsi="Palatino Linotype" w:cs="Arial"/>
                <w:b/>
                <w:sz w:val="21"/>
                <w:szCs w:val="21"/>
              </w:rPr>
            </w:pPr>
            <w:r w:rsidRPr="00BE32CF">
              <w:rPr>
                <w:rFonts w:ascii="Palatino Linotype" w:hAnsi="Palatino Linotype" w:cs="Arial"/>
                <w:b/>
                <w:sz w:val="21"/>
                <w:szCs w:val="21"/>
              </w:rPr>
              <w:lastRenderedPageBreak/>
              <w:t>3. Application of Knowledge</w:t>
            </w:r>
          </w:p>
        </w:tc>
        <w:tc>
          <w:tcPr>
            <w:tcW w:w="3969" w:type="dxa"/>
          </w:tcPr>
          <w:p w14:paraId="3FD7AE07" w14:textId="77777777" w:rsidR="002008CD" w:rsidRPr="00BE32CF" w:rsidRDefault="002008CD" w:rsidP="00BE32CF">
            <w:pPr>
              <w:spacing w:line="276" w:lineRule="auto"/>
              <w:jc w:val="both"/>
              <w:rPr>
                <w:rFonts w:ascii="Palatino Linotype" w:hAnsi="Palatino Linotype" w:cs="Arial"/>
                <w:b/>
                <w:sz w:val="21"/>
                <w:szCs w:val="21"/>
              </w:rPr>
            </w:pPr>
            <w:r w:rsidRPr="00BE32CF">
              <w:rPr>
                <w:rFonts w:ascii="Palatino Linotype" w:hAnsi="Palatino Linotype" w:cs="Arial"/>
                <w:b/>
                <w:sz w:val="21"/>
                <w:szCs w:val="21"/>
              </w:rPr>
              <w:t>3.  Practice Apprenticeship</w:t>
            </w:r>
          </w:p>
          <w:p w14:paraId="7400B17C" w14:textId="77777777" w:rsidR="002008CD" w:rsidRPr="00BE32CF" w:rsidRDefault="002008CD" w:rsidP="00BE32CF">
            <w:pPr>
              <w:spacing w:line="276" w:lineRule="auto"/>
              <w:jc w:val="both"/>
              <w:rPr>
                <w:rFonts w:ascii="Palatino Linotype" w:hAnsi="Palatino Linotype" w:cs="Arial"/>
                <w:sz w:val="21"/>
                <w:szCs w:val="21"/>
              </w:rPr>
            </w:pPr>
          </w:p>
        </w:tc>
        <w:tc>
          <w:tcPr>
            <w:tcW w:w="3260" w:type="dxa"/>
          </w:tcPr>
          <w:p w14:paraId="59A5CAF2" w14:textId="02CE9E0D" w:rsidR="002008CD" w:rsidRPr="00BE32CF" w:rsidRDefault="002008CD" w:rsidP="00BE32CF">
            <w:pPr>
              <w:spacing w:line="276" w:lineRule="auto"/>
              <w:jc w:val="both"/>
              <w:rPr>
                <w:rFonts w:ascii="Palatino Linotype" w:hAnsi="Palatino Linotype" w:cs="Arial"/>
                <w:b/>
                <w:sz w:val="21"/>
                <w:szCs w:val="21"/>
              </w:rPr>
            </w:pPr>
            <w:r w:rsidRPr="00BE32CF">
              <w:rPr>
                <w:rFonts w:ascii="Palatino Linotype" w:hAnsi="Palatino Linotype" w:cs="Arial"/>
                <w:b/>
                <w:sz w:val="21"/>
                <w:szCs w:val="21"/>
              </w:rPr>
              <w:t>Practical judgment and adequate professional skills</w:t>
            </w:r>
          </w:p>
        </w:tc>
      </w:tr>
      <w:tr w:rsidR="00E84B7C" w:rsidRPr="00320C53" w14:paraId="36BF100D" w14:textId="77777777" w:rsidTr="00BE39DA">
        <w:tc>
          <w:tcPr>
            <w:tcW w:w="5495" w:type="dxa"/>
          </w:tcPr>
          <w:p w14:paraId="14CB79D7" w14:textId="77777777" w:rsidR="00E84B7C" w:rsidRPr="00BE32CF" w:rsidRDefault="00E84B7C" w:rsidP="00E77670">
            <w:pPr>
              <w:spacing w:line="360" w:lineRule="auto"/>
              <w:jc w:val="both"/>
              <w:rPr>
                <w:rFonts w:ascii="Palatino Linotype" w:hAnsi="Palatino Linotype" w:cs="Arial"/>
                <w:sz w:val="20"/>
                <w:szCs w:val="20"/>
              </w:rPr>
            </w:pPr>
            <w:r w:rsidRPr="00BE32CF">
              <w:rPr>
                <w:rFonts w:ascii="Palatino Linotype" w:hAnsi="Palatino Linotype" w:cs="Arial"/>
                <w:sz w:val="20"/>
                <w:szCs w:val="20"/>
              </w:rPr>
              <w:t>a) the ability to review, present, and interpret quantitative and qualitative information to:</w:t>
            </w:r>
          </w:p>
          <w:p w14:paraId="789E6399" w14:textId="77777777" w:rsidR="00E84B7C" w:rsidRPr="00BE32CF" w:rsidRDefault="00E84B7C" w:rsidP="00BE39DA">
            <w:pPr>
              <w:pStyle w:val="ListParagraph"/>
              <w:numPr>
                <w:ilvl w:val="0"/>
                <w:numId w:val="13"/>
              </w:numPr>
              <w:spacing w:line="360" w:lineRule="auto"/>
              <w:ind w:left="426" w:hanging="66"/>
              <w:jc w:val="both"/>
              <w:rPr>
                <w:rFonts w:ascii="Palatino Linotype" w:hAnsi="Palatino Linotype" w:cs="Arial"/>
                <w:sz w:val="20"/>
                <w:szCs w:val="20"/>
              </w:rPr>
            </w:pPr>
            <w:r w:rsidRPr="00BE32CF">
              <w:rPr>
                <w:rFonts w:ascii="Palatino Linotype" w:hAnsi="Palatino Linotype" w:cs="Arial"/>
                <w:sz w:val="20"/>
                <w:szCs w:val="20"/>
              </w:rPr>
              <w:t>Develop lines of argument;</w:t>
            </w:r>
          </w:p>
          <w:p w14:paraId="6F5FEB00" w14:textId="77777777" w:rsidR="00E84B7C" w:rsidRPr="00BE32CF" w:rsidRDefault="00E84B7C" w:rsidP="00BE39DA">
            <w:pPr>
              <w:pStyle w:val="ListParagraph"/>
              <w:numPr>
                <w:ilvl w:val="0"/>
                <w:numId w:val="13"/>
              </w:numPr>
              <w:spacing w:line="360" w:lineRule="auto"/>
              <w:ind w:left="426" w:hanging="66"/>
              <w:jc w:val="both"/>
              <w:rPr>
                <w:rFonts w:ascii="Palatino Linotype" w:hAnsi="Palatino Linotype" w:cs="Arial"/>
                <w:sz w:val="20"/>
                <w:szCs w:val="20"/>
              </w:rPr>
            </w:pPr>
            <w:r w:rsidRPr="00BE32CF">
              <w:rPr>
                <w:rFonts w:ascii="Palatino Linotype" w:hAnsi="Palatino Linotype" w:cs="Arial"/>
                <w:sz w:val="20"/>
                <w:szCs w:val="20"/>
              </w:rPr>
              <w:t xml:space="preserve">Make sound judgments in accordance with major theories, concepts and methods of the subject(s) of study; </w:t>
            </w:r>
          </w:p>
          <w:p w14:paraId="4DC759F5" w14:textId="77777777" w:rsidR="00E84B7C" w:rsidRPr="00BE32CF" w:rsidRDefault="00E84B7C" w:rsidP="00BE39DA">
            <w:pPr>
              <w:pStyle w:val="ListParagraph"/>
              <w:numPr>
                <w:ilvl w:val="0"/>
                <w:numId w:val="13"/>
              </w:numPr>
              <w:spacing w:line="360" w:lineRule="auto"/>
              <w:ind w:left="426" w:hanging="66"/>
              <w:jc w:val="both"/>
              <w:rPr>
                <w:rFonts w:ascii="Palatino Linotype" w:hAnsi="Palatino Linotype" w:cs="Arial"/>
                <w:sz w:val="20"/>
                <w:szCs w:val="20"/>
              </w:rPr>
            </w:pPr>
            <w:r w:rsidRPr="00BE32CF">
              <w:rPr>
                <w:rFonts w:ascii="Palatino Linotype" w:hAnsi="Palatino Linotype" w:cs="Arial"/>
                <w:sz w:val="20"/>
                <w:szCs w:val="20"/>
              </w:rPr>
              <w:t>Apply underlying concepts, principles, and techniques of analysis, both within and outside the discipline;</w:t>
            </w:r>
          </w:p>
          <w:p w14:paraId="73D2E8B0" w14:textId="77777777" w:rsidR="00E84B7C" w:rsidRPr="00BE32CF" w:rsidRDefault="00E84B7C" w:rsidP="00BE39DA">
            <w:pPr>
              <w:pStyle w:val="ListParagraph"/>
              <w:numPr>
                <w:ilvl w:val="0"/>
                <w:numId w:val="13"/>
              </w:numPr>
              <w:spacing w:line="360" w:lineRule="auto"/>
              <w:ind w:left="426" w:hanging="66"/>
              <w:jc w:val="both"/>
              <w:rPr>
                <w:rFonts w:ascii="Palatino Linotype" w:hAnsi="Palatino Linotype" w:cs="Arial"/>
                <w:sz w:val="20"/>
                <w:szCs w:val="20"/>
              </w:rPr>
            </w:pPr>
            <w:r w:rsidRPr="00BE32CF">
              <w:rPr>
                <w:rFonts w:ascii="Palatino Linotype" w:hAnsi="Palatino Linotype" w:cs="Arial"/>
                <w:sz w:val="20"/>
                <w:szCs w:val="20"/>
              </w:rPr>
              <w:t>Where appropriate use this knowledge in the creative process; and</w:t>
            </w:r>
          </w:p>
          <w:p w14:paraId="0CB73351" w14:textId="77777777" w:rsidR="00E84B7C" w:rsidRPr="00BE32CF" w:rsidRDefault="00E84B7C" w:rsidP="00E77670">
            <w:pPr>
              <w:spacing w:line="360" w:lineRule="auto"/>
              <w:jc w:val="both"/>
              <w:rPr>
                <w:rFonts w:ascii="Palatino Linotype" w:hAnsi="Palatino Linotype" w:cs="Arial"/>
                <w:sz w:val="20"/>
                <w:szCs w:val="20"/>
              </w:rPr>
            </w:pPr>
            <w:r w:rsidRPr="00BE32CF">
              <w:rPr>
                <w:rFonts w:ascii="Palatino Linotype" w:hAnsi="Palatino Linotype" w:cs="Arial"/>
                <w:sz w:val="20"/>
                <w:szCs w:val="20"/>
              </w:rPr>
              <w:t>b) the ability to use a basic range of established techniques to:</w:t>
            </w:r>
          </w:p>
          <w:p w14:paraId="6B386099" w14:textId="77777777" w:rsidR="00E84B7C" w:rsidRPr="00BE32CF" w:rsidRDefault="00E84B7C" w:rsidP="00BE39DA">
            <w:pPr>
              <w:pStyle w:val="ListParagraph"/>
              <w:numPr>
                <w:ilvl w:val="0"/>
                <w:numId w:val="14"/>
              </w:numPr>
              <w:spacing w:line="360" w:lineRule="auto"/>
              <w:ind w:left="426" w:hanging="66"/>
              <w:jc w:val="both"/>
              <w:rPr>
                <w:rFonts w:ascii="Palatino Linotype" w:hAnsi="Palatino Linotype" w:cs="Arial"/>
                <w:sz w:val="20"/>
                <w:szCs w:val="20"/>
              </w:rPr>
            </w:pPr>
            <w:r w:rsidRPr="00BE32CF">
              <w:rPr>
                <w:rFonts w:ascii="Palatino Linotype" w:hAnsi="Palatino Linotype" w:cs="Arial"/>
                <w:sz w:val="20"/>
                <w:szCs w:val="20"/>
              </w:rPr>
              <w:t>Initiate and undertake critical evaluation of arguments, assumptions, abstract concepts and information;</w:t>
            </w:r>
          </w:p>
          <w:p w14:paraId="6CDEB3EF" w14:textId="77777777" w:rsidR="00E84B7C" w:rsidRPr="00BE32CF" w:rsidRDefault="00E84B7C" w:rsidP="00BE39DA">
            <w:pPr>
              <w:pStyle w:val="ListParagraph"/>
              <w:numPr>
                <w:ilvl w:val="0"/>
                <w:numId w:val="14"/>
              </w:numPr>
              <w:spacing w:line="360" w:lineRule="auto"/>
              <w:ind w:left="426" w:hanging="66"/>
              <w:jc w:val="both"/>
              <w:rPr>
                <w:rFonts w:ascii="Palatino Linotype" w:hAnsi="Palatino Linotype" w:cs="Arial"/>
                <w:sz w:val="20"/>
                <w:szCs w:val="20"/>
              </w:rPr>
            </w:pPr>
            <w:r w:rsidRPr="00BE32CF">
              <w:rPr>
                <w:rFonts w:ascii="Palatino Linotype" w:hAnsi="Palatino Linotype" w:cs="Arial"/>
                <w:sz w:val="20"/>
                <w:szCs w:val="20"/>
              </w:rPr>
              <w:t xml:space="preserve">Propose solutions; </w:t>
            </w:r>
          </w:p>
          <w:p w14:paraId="36A9B64F" w14:textId="77777777" w:rsidR="00E84B7C" w:rsidRPr="00BE32CF" w:rsidRDefault="00E84B7C" w:rsidP="00BE39DA">
            <w:pPr>
              <w:pStyle w:val="ListParagraph"/>
              <w:numPr>
                <w:ilvl w:val="0"/>
                <w:numId w:val="14"/>
              </w:numPr>
              <w:spacing w:line="360" w:lineRule="auto"/>
              <w:ind w:left="426" w:hanging="66"/>
              <w:jc w:val="both"/>
              <w:rPr>
                <w:rFonts w:ascii="Palatino Linotype" w:hAnsi="Palatino Linotype" w:cs="Arial"/>
                <w:sz w:val="20"/>
                <w:szCs w:val="20"/>
              </w:rPr>
            </w:pPr>
            <w:r w:rsidRPr="00BE32CF">
              <w:rPr>
                <w:rFonts w:ascii="Palatino Linotype" w:hAnsi="Palatino Linotype" w:cs="Arial"/>
                <w:sz w:val="20"/>
                <w:szCs w:val="20"/>
              </w:rPr>
              <w:t>Frame appropriate questions for the purpose of solving a problem;</w:t>
            </w:r>
          </w:p>
          <w:p w14:paraId="4422D6BD" w14:textId="77777777" w:rsidR="00BE32CF" w:rsidRPr="00BE32CF" w:rsidRDefault="00E84B7C" w:rsidP="00BE39DA">
            <w:pPr>
              <w:pStyle w:val="ListParagraph"/>
              <w:numPr>
                <w:ilvl w:val="0"/>
                <w:numId w:val="14"/>
              </w:numPr>
              <w:spacing w:line="360" w:lineRule="auto"/>
              <w:ind w:left="426" w:hanging="66"/>
              <w:jc w:val="both"/>
              <w:rPr>
                <w:rFonts w:ascii="Palatino Linotype" w:hAnsi="Palatino Linotype"/>
                <w:sz w:val="20"/>
                <w:szCs w:val="20"/>
              </w:rPr>
            </w:pPr>
            <w:r w:rsidRPr="00BE32CF">
              <w:rPr>
                <w:rFonts w:ascii="Palatino Linotype" w:hAnsi="Palatino Linotype" w:cs="Arial"/>
                <w:sz w:val="20"/>
                <w:szCs w:val="20"/>
              </w:rPr>
              <w:t xml:space="preserve">Solve a problem or create a new work; </w:t>
            </w:r>
          </w:p>
          <w:p w14:paraId="085444BB" w14:textId="0794E149" w:rsidR="00E84B7C" w:rsidRPr="00BE32CF" w:rsidRDefault="00E84B7C" w:rsidP="00BE32CF">
            <w:pPr>
              <w:spacing w:line="360" w:lineRule="auto"/>
              <w:jc w:val="both"/>
              <w:rPr>
                <w:rFonts w:ascii="Palatino Linotype" w:hAnsi="Palatino Linotype"/>
                <w:sz w:val="20"/>
                <w:szCs w:val="20"/>
              </w:rPr>
            </w:pPr>
            <w:r w:rsidRPr="00BE32CF">
              <w:rPr>
                <w:rFonts w:ascii="Palatino Linotype" w:hAnsi="Palatino Linotype" w:cs="Arial"/>
                <w:sz w:val="20"/>
                <w:szCs w:val="20"/>
              </w:rPr>
              <w:t>c) the ability to make critical use of scholarly reviews and primary sources</w:t>
            </w:r>
          </w:p>
        </w:tc>
        <w:tc>
          <w:tcPr>
            <w:tcW w:w="3969" w:type="dxa"/>
          </w:tcPr>
          <w:p w14:paraId="4C270999" w14:textId="43FBFFD7" w:rsidR="00E84B7C" w:rsidRPr="00BE32CF" w:rsidRDefault="00BE32CF" w:rsidP="00BE32CF">
            <w:pPr>
              <w:spacing w:line="360" w:lineRule="auto"/>
              <w:ind w:left="12"/>
              <w:jc w:val="both"/>
              <w:rPr>
                <w:rFonts w:ascii="Palatino Linotype" w:hAnsi="Palatino Linotype" w:cs="Arial"/>
                <w:sz w:val="20"/>
                <w:szCs w:val="20"/>
              </w:rPr>
            </w:pPr>
            <w:r w:rsidRPr="00BE32CF">
              <w:rPr>
                <w:rFonts w:ascii="Palatino Linotype" w:hAnsi="Palatino Linotype" w:cs="Arial"/>
                <w:sz w:val="20"/>
                <w:szCs w:val="20"/>
              </w:rPr>
              <w:t xml:space="preserve">a) </w:t>
            </w:r>
            <w:r w:rsidR="00E84B7C" w:rsidRPr="00BE32CF">
              <w:rPr>
                <w:rFonts w:ascii="Palatino Linotype" w:hAnsi="Palatino Linotype" w:cs="Arial"/>
                <w:sz w:val="20"/>
                <w:szCs w:val="20"/>
              </w:rPr>
              <w:t>analyze cases in role by looking at cases from perspectives of their clients/lawyers (p.56/7)</w:t>
            </w:r>
          </w:p>
          <w:p w14:paraId="10A80D8D" w14:textId="0DBFF5BE" w:rsidR="00E84B7C" w:rsidRPr="00BE32CF" w:rsidRDefault="00BE32CF" w:rsidP="00BE32CF">
            <w:pPr>
              <w:spacing w:line="360" w:lineRule="auto"/>
              <w:ind w:left="12"/>
              <w:jc w:val="both"/>
              <w:rPr>
                <w:rFonts w:ascii="Palatino Linotype" w:hAnsi="Palatino Linotype" w:cs="Arial"/>
                <w:sz w:val="20"/>
                <w:szCs w:val="20"/>
              </w:rPr>
            </w:pPr>
            <w:r w:rsidRPr="00BE32CF">
              <w:rPr>
                <w:rFonts w:ascii="Palatino Linotype" w:hAnsi="Palatino Linotype" w:cs="Arial"/>
                <w:sz w:val="20"/>
                <w:szCs w:val="20"/>
              </w:rPr>
              <w:t xml:space="preserve">b) </w:t>
            </w:r>
            <w:r w:rsidR="00E84B7C" w:rsidRPr="00BE32CF">
              <w:rPr>
                <w:rFonts w:ascii="Palatino Linotype" w:hAnsi="Palatino Linotype" w:cs="Arial"/>
                <w:sz w:val="20"/>
                <w:szCs w:val="20"/>
              </w:rPr>
              <w:t>capacity to engage in complex practice.</w:t>
            </w:r>
          </w:p>
          <w:p w14:paraId="1A1C866F" w14:textId="64FE901E" w:rsidR="00E84B7C" w:rsidRPr="00BE32CF" w:rsidRDefault="00BE32CF" w:rsidP="00BE32CF">
            <w:pPr>
              <w:spacing w:line="360" w:lineRule="auto"/>
              <w:ind w:left="12"/>
              <w:jc w:val="both"/>
              <w:rPr>
                <w:rFonts w:ascii="Palatino Linotype" w:hAnsi="Palatino Linotype" w:cs="Arial"/>
                <w:sz w:val="20"/>
                <w:szCs w:val="20"/>
              </w:rPr>
            </w:pPr>
            <w:r w:rsidRPr="00BE32CF">
              <w:rPr>
                <w:rFonts w:ascii="Palatino Linotype" w:hAnsi="Palatino Linotype" w:cs="Arial"/>
                <w:sz w:val="20"/>
                <w:szCs w:val="20"/>
              </w:rPr>
              <w:t>c) e</w:t>
            </w:r>
            <w:r w:rsidR="00E84B7C" w:rsidRPr="00BE32CF">
              <w:rPr>
                <w:rFonts w:ascii="Palatino Linotype" w:hAnsi="Palatino Linotype" w:cs="Arial"/>
                <w:sz w:val="20"/>
                <w:szCs w:val="20"/>
              </w:rPr>
              <w:t>nabling students to learn to learn.</w:t>
            </w:r>
          </w:p>
          <w:p w14:paraId="535E0A3E" w14:textId="3675D807" w:rsidR="00E84B7C" w:rsidRPr="00BE32CF" w:rsidRDefault="00BE32CF" w:rsidP="00BE32CF">
            <w:pPr>
              <w:spacing w:line="360" w:lineRule="auto"/>
              <w:ind w:left="12"/>
              <w:jc w:val="both"/>
              <w:rPr>
                <w:rFonts w:ascii="Palatino Linotype" w:hAnsi="Palatino Linotype" w:cs="Arial"/>
                <w:sz w:val="20"/>
                <w:szCs w:val="20"/>
              </w:rPr>
            </w:pPr>
            <w:r w:rsidRPr="00BE32CF">
              <w:rPr>
                <w:rFonts w:ascii="Palatino Linotype" w:hAnsi="Palatino Linotype" w:cs="Arial"/>
                <w:sz w:val="20"/>
                <w:szCs w:val="20"/>
              </w:rPr>
              <w:t>d) l</w:t>
            </w:r>
            <w:r w:rsidR="00E84B7C" w:rsidRPr="00BE32CF">
              <w:rPr>
                <w:rFonts w:ascii="Palatino Linotype" w:hAnsi="Palatino Linotype" w:cs="Arial"/>
                <w:sz w:val="20"/>
                <w:szCs w:val="20"/>
              </w:rPr>
              <w:t>earn from experience.</w:t>
            </w:r>
          </w:p>
          <w:p w14:paraId="59BBD605" w14:textId="61ED5FF4" w:rsidR="00E84B7C" w:rsidRPr="00BE32CF" w:rsidRDefault="00BE32CF" w:rsidP="00BE32CF">
            <w:pPr>
              <w:spacing w:line="360" w:lineRule="auto"/>
              <w:ind w:left="12"/>
              <w:jc w:val="both"/>
              <w:rPr>
                <w:rFonts w:ascii="Palatino Linotype" w:hAnsi="Palatino Linotype" w:cs="Arial"/>
                <w:sz w:val="20"/>
                <w:szCs w:val="20"/>
              </w:rPr>
            </w:pPr>
            <w:r w:rsidRPr="00BE32CF">
              <w:rPr>
                <w:rFonts w:ascii="Palatino Linotype" w:hAnsi="Palatino Linotype" w:cs="Arial"/>
                <w:sz w:val="20"/>
                <w:szCs w:val="20"/>
              </w:rPr>
              <w:t xml:space="preserve">e) </w:t>
            </w:r>
            <w:r w:rsidR="00E84B7C" w:rsidRPr="00BE32CF">
              <w:rPr>
                <w:rFonts w:ascii="Palatino Linotype" w:hAnsi="Palatino Linotype" w:cs="Arial"/>
                <w:sz w:val="20"/>
                <w:szCs w:val="20"/>
              </w:rPr>
              <w:t>integrate analytical knowledge within ongoing practical contexts which are organized by narrative modes of thinking and often convey meaning through exemplary acts and cases. (p. 96/7)</w:t>
            </w:r>
          </w:p>
          <w:p w14:paraId="160E746E" w14:textId="6A87048E" w:rsidR="00E84B7C" w:rsidRPr="00BE32CF" w:rsidRDefault="00BE32CF" w:rsidP="00BE32CF">
            <w:pPr>
              <w:spacing w:line="360" w:lineRule="auto"/>
              <w:ind w:left="34"/>
              <w:jc w:val="both"/>
              <w:rPr>
                <w:rFonts w:ascii="Palatino Linotype" w:hAnsi="Palatino Linotype" w:cs="Arial"/>
                <w:sz w:val="20"/>
                <w:szCs w:val="20"/>
              </w:rPr>
            </w:pPr>
            <w:r w:rsidRPr="00BE32CF">
              <w:rPr>
                <w:rFonts w:ascii="Palatino Linotype" w:hAnsi="Palatino Linotype" w:cs="Arial"/>
                <w:sz w:val="20"/>
                <w:szCs w:val="20"/>
              </w:rPr>
              <w:t xml:space="preserve">f) </w:t>
            </w:r>
            <w:r w:rsidR="00E84B7C" w:rsidRPr="00BE32CF">
              <w:rPr>
                <w:rFonts w:ascii="Palatino Linotype" w:hAnsi="Palatino Linotype" w:cs="Arial"/>
                <w:sz w:val="20"/>
                <w:szCs w:val="20"/>
              </w:rPr>
              <w:t xml:space="preserve">iterative mode of improving skills can be applied to wide variety of capacities, blending intellectual and practical – making feature of expert performance explicit for learners … (p. 99).  </w:t>
            </w:r>
          </w:p>
          <w:p w14:paraId="4395680B" w14:textId="77777777" w:rsidR="00E84B7C" w:rsidRPr="00BE32CF" w:rsidRDefault="00E84B7C" w:rsidP="00E77670">
            <w:pPr>
              <w:spacing w:line="360" w:lineRule="auto"/>
              <w:jc w:val="both"/>
              <w:rPr>
                <w:rFonts w:ascii="Palatino Linotype" w:hAnsi="Palatino Linotype" w:cs="Arial"/>
                <w:sz w:val="20"/>
                <w:szCs w:val="20"/>
              </w:rPr>
            </w:pPr>
          </w:p>
          <w:p w14:paraId="55C53DCB" w14:textId="77777777" w:rsidR="00E84B7C" w:rsidRPr="00BE32CF" w:rsidRDefault="00E84B7C" w:rsidP="00E77670">
            <w:pPr>
              <w:spacing w:line="360" w:lineRule="auto"/>
              <w:jc w:val="both"/>
              <w:rPr>
                <w:rFonts w:ascii="Palatino Linotype" w:hAnsi="Palatino Linotype" w:cs="Arial"/>
                <w:sz w:val="20"/>
                <w:szCs w:val="20"/>
              </w:rPr>
            </w:pPr>
          </w:p>
          <w:p w14:paraId="574497F2" w14:textId="77777777" w:rsidR="00E84B7C" w:rsidRPr="00BE32CF" w:rsidRDefault="00E84B7C" w:rsidP="00E77670">
            <w:pPr>
              <w:spacing w:line="360" w:lineRule="auto"/>
              <w:jc w:val="both"/>
              <w:rPr>
                <w:rFonts w:ascii="Palatino Linotype" w:hAnsi="Palatino Linotype"/>
                <w:sz w:val="20"/>
                <w:szCs w:val="20"/>
              </w:rPr>
            </w:pPr>
          </w:p>
        </w:tc>
        <w:tc>
          <w:tcPr>
            <w:tcW w:w="3260" w:type="dxa"/>
          </w:tcPr>
          <w:p w14:paraId="1DAAD8E2" w14:textId="77777777" w:rsidR="00E84B7C" w:rsidRPr="00BE32CF" w:rsidRDefault="00E84B7C" w:rsidP="00E77670">
            <w:pPr>
              <w:spacing w:line="360" w:lineRule="auto"/>
              <w:jc w:val="both"/>
              <w:rPr>
                <w:rFonts w:ascii="Palatino Linotype" w:hAnsi="Palatino Linotype" w:cs="Arial"/>
                <w:b/>
                <w:sz w:val="20"/>
                <w:szCs w:val="20"/>
              </w:rPr>
            </w:pPr>
            <w:r w:rsidRPr="00BE32CF">
              <w:rPr>
                <w:rFonts w:ascii="Palatino Linotype" w:hAnsi="Palatino Linotype" w:cs="Arial"/>
                <w:sz w:val="20"/>
                <w:szCs w:val="20"/>
              </w:rPr>
              <w:t>a) The ability to advocate a case on behalf of others, and to participate in trials to the extent allowed upon admission to practice,</w:t>
            </w:r>
          </w:p>
          <w:p w14:paraId="3E4F1F75" w14:textId="77777777" w:rsidR="00E84B7C" w:rsidRPr="00BE32CF" w:rsidRDefault="00E84B7C" w:rsidP="00E77670">
            <w:pPr>
              <w:spacing w:line="360" w:lineRule="auto"/>
              <w:jc w:val="both"/>
              <w:rPr>
                <w:rFonts w:ascii="Palatino Linotype" w:hAnsi="Palatino Linotype" w:cs="Arial"/>
                <w:sz w:val="20"/>
                <w:szCs w:val="20"/>
              </w:rPr>
            </w:pPr>
            <w:r w:rsidRPr="00BE32CF">
              <w:rPr>
                <w:rFonts w:ascii="Palatino Linotype" w:hAnsi="Palatino Linotype" w:cs="Arial"/>
                <w:sz w:val="20"/>
                <w:szCs w:val="20"/>
              </w:rPr>
              <w:t>b) Effective use of current technologies and strategies to store, retrieve, and analyze information and to undertake factual and legal research,</w:t>
            </w:r>
          </w:p>
          <w:p w14:paraId="7C769EAC" w14:textId="77777777" w:rsidR="00E84B7C" w:rsidRPr="00BE32CF" w:rsidRDefault="00E84B7C" w:rsidP="00E77670">
            <w:pPr>
              <w:spacing w:line="360" w:lineRule="auto"/>
              <w:jc w:val="both"/>
              <w:rPr>
                <w:rFonts w:ascii="Palatino Linotype" w:hAnsi="Palatino Linotype" w:cs="Arial"/>
                <w:b/>
                <w:sz w:val="20"/>
                <w:szCs w:val="20"/>
              </w:rPr>
            </w:pPr>
            <w:r w:rsidRPr="00BE32CF">
              <w:rPr>
                <w:rFonts w:ascii="Palatino Linotype" w:hAnsi="Palatino Linotype" w:cs="Arial"/>
                <w:sz w:val="20"/>
                <w:szCs w:val="20"/>
              </w:rPr>
              <w:t>c) Effective skills for client relationship management and knowledge of how to act if a client is dissatisfied with the advice or service provided.</w:t>
            </w:r>
          </w:p>
          <w:p w14:paraId="6DB21E26" w14:textId="77777777" w:rsidR="00E84B7C" w:rsidRPr="00BE32CF" w:rsidRDefault="00E84B7C" w:rsidP="00E77670">
            <w:pPr>
              <w:spacing w:line="360" w:lineRule="auto"/>
              <w:jc w:val="both"/>
              <w:rPr>
                <w:rFonts w:ascii="Palatino Linotype" w:hAnsi="Palatino Linotype" w:cs="Arial"/>
                <w:b/>
                <w:sz w:val="20"/>
                <w:szCs w:val="20"/>
              </w:rPr>
            </w:pPr>
          </w:p>
          <w:p w14:paraId="653B86C6" w14:textId="77777777" w:rsidR="00E84B7C" w:rsidRPr="00BE32CF" w:rsidRDefault="00E84B7C" w:rsidP="00E77670">
            <w:pPr>
              <w:spacing w:line="360" w:lineRule="auto"/>
              <w:jc w:val="both"/>
              <w:rPr>
                <w:rFonts w:ascii="Palatino Linotype" w:hAnsi="Palatino Linotype"/>
                <w:sz w:val="20"/>
                <w:szCs w:val="20"/>
              </w:rPr>
            </w:pPr>
          </w:p>
          <w:p w14:paraId="38751EE5" w14:textId="77777777" w:rsidR="00E84B7C" w:rsidRPr="00BE32CF" w:rsidRDefault="00E84B7C" w:rsidP="00E77670">
            <w:pPr>
              <w:spacing w:line="360" w:lineRule="auto"/>
              <w:jc w:val="both"/>
              <w:rPr>
                <w:rFonts w:ascii="Palatino Linotype" w:hAnsi="Palatino Linotype"/>
                <w:sz w:val="20"/>
                <w:szCs w:val="20"/>
              </w:rPr>
            </w:pPr>
          </w:p>
          <w:p w14:paraId="002F07AB" w14:textId="77777777" w:rsidR="00E84B7C" w:rsidRPr="00BE32CF" w:rsidRDefault="00E84B7C" w:rsidP="00E77670">
            <w:pPr>
              <w:spacing w:line="360" w:lineRule="auto"/>
              <w:jc w:val="both"/>
              <w:rPr>
                <w:rFonts w:ascii="Palatino Linotype" w:hAnsi="Palatino Linotype"/>
                <w:sz w:val="20"/>
                <w:szCs w:val="20"/>
              </w:rPr>
            </w:pPr>
          </w:p>
          <w:p w14:paraId="7413D226" w14:textId="77777777" w:rsidR="00E84B7C" w:rsidRPr="00BE32CF" w:rsidRDefault="00E84B7C" w:rsidP="00E77670">
            <w:pPr>
              <w:spacing w:line="360" w:lineRule="auto"/>
              <w:jc w:val="both"/>
              <w:rPr>
                <w:rFonts w:ascii="Palatino Linotype" w:hAnsi="Palatino Linotype" w:cs="Arial"/>
                <w:sz w:val="20"/>
                <w:szCs w:val="20"/>
              </w:rPr>
            </w:pPr>
          </w:p>
          <w:p w14:paraId="485317A6" w14:textId="77777777" w:rsidR="00E84B7C" w:rsidRPr="00BE32CF" w:rsidRDefault="00E84B7C" w:rsidP="00BE32CF">
            <w:pPr>
              <w:spacing w:line="360" w:lineRule="auto"/>
              <w:jc w:val="both"/>
              <w:rPr>
                <w:rFonts w:ascii="Palatino Linotype" w:hAnsi="Palatino Linotype"/>
                <w:sz w:val="20"/>
                <w:szCs w:val="20"/>
              </w:rPr>
            </w:pPr>
          </w:p>
        </w:tc>
      </w:tr>
    </w:tbl>
    <w:p w14:paraId="3EB082BB" w14:textId="77777777" w:rsidR="00BE39DA" w:rsidRDefault="00BE39DA"/>
    <w:tbl>
      <w:tblPr>
        <w:tblStyle w:val="TableGrid"/>
        <w:tblpPr w:leftFromText="180" w:rightFromText="180" w:vertAnchor="text" w:tblpY="1"/>
        <w:tblOverlap w:val="never"/>
        <w:tblW w:w="0" w:type="auto"/>
        <w:tblLook w:val="04A0" w:firstRow="1" w:lastRow="0" w:firstColumn="1" w:lastColumn="0" w:noHBand="0" w:noVBand="1"/>
      </w:tblPr>
      <w:tblGrid>
        <w:gridCol w:w="3794"/>
        <w:gridCol w:w="3969"/>
        <w:gridCol w:w="4961"/>
      </w:tblGrid>
      <w:tr w:rsidR="00694F79" w:rsidRPr="00320C53" w14:paraId="12D1D6F4" w14:textId="77777777" w:rsidTr="00BE39DA">
        <w:tc>
          <w:tcPr>
            <w:tcW w:w="3794" w:type="dxa"/>
          </w:tcPr>
          <w:p w14:paraId="334C8398" w14:textId="506BCAC4" w:rsidR="00694F79" w:rsidRPr="00BE32CF" w:rsidRDefault="00BE32CF" w:rsidP="00BE32CF">
            <w:pPr>
              <w:keepNext/>
              <w:keepLines/>
              <w:spacing w:line="360" w:lineRule="auto"/>
              <w:jc w:val="both"/>
              <w:rPr>
                <w:rFonts w:ascii="Palatino Linotype" w:hAnsi="Palatino Linotype" w:cs="Arial"/>
                <w:b/>
                <w:sz w:val="21"/>
                <w:szCs w:val="21"/>
              </w:rPr>
            </w:pPr>
            <w:r w:rsidRPr="00BE32CF">
              <w:rPr>
                <w:rFonts w:ascii="Palatino Linotype" w:hAnsi="Palatino Linotype" w:cs="Arial"/>
                <w:b/>
                <w:sz w:val="21"/>
                <w:szCs w:val="21"/>
              </w:rPr>
              <w:lastRenderedPageBreak/>
              <w:t>4. Communication Skills</w:t>
            </w:r>
          </w:p>
        </w:tc>
        <w:tc>
          <w:tcPr>
            <w:tcW w:w="3969" w:type="dxa"/>
          </w:tcPr>
          <w:p w14:paraId="19611A64" w14:textId="1EC44FBD" w:rsidR="00694F79" w:rsidRPr="00BE32CF" w:rsidRDefault="00694F79" w:rsidP="00694F79">
            <w:pPr>
              <w:spacing w:line="360" w:lineRule="auto"/>
              <w:jc w:val="both"/>
              <w:rPr>
                <w:rFonts w:ascii="Palatino Linotype" w:hAnsi="Palatino Linotype" w:cs="Arial"/>
                <w:b/>
                <w:sz w:val="21"/>
                <w:szCs w:val="21"/>
              </w:rPr>
            </w:pPr>
            <w:r w:rsidRPr="00BE32CF">
              <w:rPr>
                <w:rFonts w:ascii="Palatino Linotype" w:hAnsi="Palatino Linotype" w:cs="Arial"/>
                <w:b/>
                <w:sz w:val="21"/>
                <w:szCs w:val="21"/>
              </w:rPr>
              <w:t>3. Practice Apprenticeship</w:t>
            </w:r>
          </w:p>
        </w:tc>
        <w:tc>
          <w:tcPr>
            <w:tcW w:w="4961" w:type="dxa"/>
          </w:tcPr>
          <w:p w14:paraId="3D3E1C56" w14:textId="6DFE432D" w:rsidR="00694F79" w:rsidRPr="00BE32CF" w:rsidRDefault="00BE32CF" w:rsidP="00BE32CF">
            <w:pPr>
              <w:spacing w:line="360" w:lineRule="auto"/>
              <w:jc w:val="both"/>
              <w:rPr>
                <w:rFonts w:ascii="Palatino Linotype" w:hAnsi="Palatino Linotype" w:cs="Arial"/>
                <w:sz w:val="21"/>
                <w:szCs w:val="21"/>
              </w:rPr>
            </w:pPr>
            <w:r w:rsidRPr="00BE32CF">
              <w:rPr>
                <w:rFonts w:ascii="Palatino Linotype" w:hAnsi="Palatino Linotype" w:cs="Arial"/>
                <w:b/>
                <w:sz w:val="21"/>
                <w:szCs w:val="21"/>
              </w:rPr>
              <w:t>Adequate professional skills</w:t>
            </w:r>
          </w:p>
        </w:tc>
      </w:tr>
      <w:tr w:rsidR="00694F79" w:rsidRPr="00320C53" w14:paraId="4002B6DF" w14:textId="77777777" w:rsidTr="00BE39DA">
        <w:tc>
          <w:tcPr>
            <w:tcW w:w="3794" w:type="dxa"/>
          </w:tcPr>
          <w:p w14:paraId="2DD258D5" w14:textId="77777777" w:rsidR="00BE32CF" w:rsidRPr="00BE32CF" w:rsidRDefault="00BE32CF" w:rsidP="00BE32CF">
            <w:pPr>
              <w:keepNext/>
              <w:keepLines/>
              <w:spacing w:line="360" w:lineRule="auto"/>
              <w:jc w:val="both"/>
              <w:rPr>
                <w:rFonts w:ascii="Palatino Linotype" w:hAnsi="Palatino Linotype" w:cs="Arial"/>
                <w:sz w:val="20"/>
                <w:szCs w:val="20"/>
              </w:rPr>
            </w:pPr>
            <w:r w:rsidRPr="00BE32CF">
              <w:rPr>
                <w:rFonts w:ascii="Palatino Linotype" w:hAnsi="Palatino Linotype" w:cs="Arial"/>
                <w:sz w:val="20"/>
                <w:szCs w:val="20"/>
              </w:rPr>
              <w:t>… the ability to communicate information, arguments, and analyses accurately and reliably, orally and in writing, to a range of audiences</w:t>
            </w:r>
          </w:p>
          <w:p w14:paraId="625FDAF7" w14:textId="77777777" w:rsidR="00694F79" w:rsidRPr="00BE32CF" w:rsidRDefault="00694F79" w:rsidP="00E77670">
            <w:pPr>
              <w:spacing w:line="360" w:lineRule="auto"/>
              <w:jc w:val="both"/>
              <w:rPr>
                <w:rFonts w:ascii="Palatino Linotype" w:hAnsi="Palatino Linotype" w:cs="Arial"/>
                <w:b/>
                <w:sz w:val="20"/>
                <w:szCs w:val="20"/>
              </w:rPr>
            </w:pPr>
          </w:p>
        </w:tc>
        <w:tc>
          <w:tcPr>
            <w:tcW w:w="3969" w:type="dxa"/>
          </w:tcPr>
          <w:p w14:paraId="2C8A5FF1" w14:textId="77777777" w:rsidR="00694F79" w:rsidRPr="00BE32CF" w:rsidRDefault="00694F79" w:rsidP="00694F79">
            <w:pPr>
              <w:pStyle w:val="ListParagraph"/>
              <w:numPr>
                <w:ilvl w:val="0"/>
                <w:numId w:val="40"/>
              </w:numPr>
              <w:spacing w:line="360" w:lineRule="auto"/>
              <w:ind w:left="34" w:firstLine="0"/>
              <w:jc w:val="both"/>
              <w:rPr>
                <w:rFonts w:ascii="Palatino Linotype" w:hAnsi="Palatino Linotype" w:cs="Arial"/>
                <w:sz w:val="20"/>
                <w:szCs w:val="20"/>
              </w:rPr>
            </w:pPr>
            <w:r w:rsidRPr="00BE32CF">
              <w:rPr>
                <w:rFonts w:ascii="Palatino Linotype" w:hAnsi="Palatino Linotype" w:cs="Arial"/>
                <w:sz w:val="20"/>
                <w:szCs w:val="20"/>
              </w:rPr>
              <w:t>lawyering skills: legal research and writing, interviewing, counseling, and negotiation.</w:t>
            </w:r>
          </w:p>
          <w:p w14:paraId="538F748B" w14:textId="77777777" w:rsidR="00694F79" w:rsidRPr="00BE32CF" w:rsidRDefault="00694F79" w:rsidP="00694F79">
            <w:pPr>
              <w:pStyle w:val="ListParagraph"/>
              <w:numPr>
                <w:ilvl w:val="0"/>
                <w:numId w:val="40"/>
              </w:numPr>
              <w:spacing w:line="360" w:lineRule="auto"/>
              <w:ind w:left="34" w:firstLine="0"/>
              <w:jc w:val="both"/>
              <w:rPr>
                <w:rFonts w:ascii="Palatino Linotype" w:hAnsi="Palatino Linotype" w:cs="Arial"/>
                <w:sz w:val="20"/>
                <w:szCs w:val="20"/>
              </w:rPr>
            </w:pPr>
            <w:r w:rsidRPr="00BE32CF">
              <w:rPr>
                <w:rFonts w:ascii="Palatino Linotype" w:hAnsi="Palatino Linotype" w:cs="Arial"/>
                <w:sz w:val="20"/>
                <w:szCs w:val="20"/>
              </w:rPr>
              <w:t xml:space="preserve">expert performance </w:t>
            </w:r>
          </w:p>
          <w:p w14:paraId="12601A4A" w14:textId="77777777" w:rsidR="00694F79" w:rsidRPr="00BE32CF" w:rsidRDefault="00694F79" w:rsidP="00E77670">
            <w:pPr>
              <w:spacing w:line="360" w:lineRule="auto"/>
              <w:jc w:val="both"/>
              <w:rPr>
                <w:rFonts w:ascii="Palatino Linotype" w:hAnsi="Palatino Linotype" w:cs="Arial"/>
                <w:b/>
                <w:sz w:val="20"/>
                <w:szCs w:val="20"/>
              </w:rPr>
            </w:pPr>
          </w:p>
        </w:tc>
        <w:tc>
          <w:tcPr>
            <w:tcW w:w="4961" w:type="dxa"/>
          </w:tcPr>
          <w:p w14:paraId="616C16D6" w14:textId="77777777" w:rsidR="00BE32CF" w:rsidRPr="00BE32CF" w:rsidRDefault="00BE32CF" w:rsidP="00BE32CF">
            <w:pPr>
              <w:spacing w:line="360" w:lineRule="auto"/>
              <w:ind w:right="-250"/>
              <w:jc w:val="both"/>
              <w:rPr>
                <w:rFonts w:ascii="Palatino Linotype" w:hAnsi="Palatino Linotype" w:cs="Arial"/>
                <w:sz w:val="20"/>
                <w:szCs w:val="20"/>
              </w:rPr>
            </w:pPr>
            <w:r w:rsidRPr="00BE32CF">
              <w:rPr>
                <w:rFonts w:ascii="Palatino Linotype" w:hAnsi="Palatino Linotype" w:cs="Arial"/>
                <w:sz w:val="20"/>
                <w:szCs w:val="20"/>
              </w:rPr>
              <w:t>a) The application of techniques to communicate effectively with clients, colleagues, and members of other professions.</w:t>
            </w:r>
          </w:p>
          <w:p w14:paraId="0BDD3339" w14:textId="196D9BC0" w:rsidR="00694F79" w:rsidRPr="00BE32CF" w:rsidRDefault="00BE32CF" w:rsidP="00BE32CF">
            <w:pPr>
              <w:spacing w:line="360" w:lineRule="auto"/>
              <w:jc w:val="both"/>
              <w:rPr>
                <w:rFonts w:ascii="Palatino Linotype" w:hAnsi="Palatino Linotype" w:cs="Arial"/>
                <w:b/>
                <w:sz w:val="20"/>
                <w:szCs w:val="20"/>
              </w:rPr>
            </w:pPr>
            <w:r w:rsidRPr="00BE32CF">
              <w:rPr>
                <w:rFonts w:ascii="Palatino Linotype" w:hAnsi="Palatino Linotype" w:cs="Arial"/>
                <w:sz w:val="20"/>
                <w:szCs w:val="20"/>
              </w:rPr>
              <w:t>b) The capacity to deal sensitively and effectively with clients, colleagues, and others from a range of social, economic, and ethnic backgrounds, identifying and responding positively and appropriately to issues of culture and disability that might affect communication techniques and influence a client’s objectives.</w:t>
            </w:r>
          </w:p>
        </w:tc>
      </w:tr>
      <w:tr w:rsidR="00BE32CF" w:rsidRPr="00320C53" w14:paraId="04754EF0" w14:textId="77777777" w:rsidTr="00BE39DA">
        <w:tc>
          <w:tcPr>
            <w:tcW w:w="3794" w:type="dxa"/>
          </w:tcPr>
          <w:p w14:paraId="743167D4" w14:textId="77777777" w:rsidR="00BE32CF" w:rsidRPr="00BE32CF" w:rsidRDefault="00BE32CF" w:rsidP="00BE32CF">
            <w:pPr>
              <w:spacing w:line="276" w:lineRule="auto"/>
              <w:jc w:val="both"/>
              <w:rPr>
                <w:rFonts w:ascii="Palatino Linotype" w:hAnsi="Palatino Linotype" w:cs="Arial"/>
                <w:b/>
                <w:sz w:val="21"/>
                <w:szCs w:val="21"/>
              </w:rPr>
            </w:pPr>
            <w:r w:rsidRPr="00BE32CF">
              <w:rPr>
                <w:rFonts w:ascii="Palatino Linotype" w:hAnsi="Palatino Linotype" w:cs="Arial"/>
                <w:b/>
                <w:sz w:val="21"/>
                <w:szCs w:val="21"/>
              </w:rPr>
              <w:t>5. Awareness of Limits of Knowledge</w:t>
            </w:r>
          </w:p>
          <w:p w14:paraId="39A33595" w14:textId="77777777" w:rsidR="00BE32CF" w:rsidRPr="00BE32CF" w:rsidRDefault="00BE32CF" w:rsidP="00BE32CF">
            <w:pPr>
              <w:spacing w:line="276" w:lineRule="auto"/>
              <w:jc w:val="both"/>
              <w:rPr>
                <w:rFonts w:ascii="Palatino Linotype" w:hAnsi="Palatino Linotype" w:cs="Arial"/>
                <w:b/>
                <w:sz w:val="21"/>
                <w:szCs w:val="21"/>
              </w:rPr>
            </w:pPr>
          </w:p>
        </w:tc>
        <w:tc>
          <w:tcPr>
            <w:tcW w:w="3969" w:type="dxa"/>
          </w:tcPr>
          <w:p w14:paraId="6BD00C3E" w14:textId="77777777" w:rsidR="00BE32CF" w:rsidRPr="00BE32CF" w:rsidRDefault="00BE32CF" w:rsidP="00BE32CF">
            <w:pPr>
              <w:spacing w:line="276" w:lineRule="auto"/>
              <w:jc w:val="both"/>
              <w:rPr>
                <w:rFonts w:ascii="Palatino Linotype" w:hAnsi="Palatino Linotype" w:cs="Arial"/>
                <w:sz w:val="21"/>
                <w:szCs w:val="21"/>
              </w:rPr>
            </w:pPr>
            <w:r w:rsidRPr="00BE32CF">
              <w:rPr>
                <w:rFonts w:ascii="Palatino Linotype" w:hAnsi="Palatino Linotype" w:cs="Arial"/>
                <w:b/>
                <w:sz w:val="21"/>
                <w:szCs w:val="21"/>
              </w:rPr>
              <w:t>3. Practice Apprenticeship</w:t>
            </w:r>
          </w:p>
          <w:p w14:paraId="454B65D4" w14:textId="77777777" w:rsidR="00BE32CF" w:rsidRPr="00BE32CF" w:rsidRDefault="00BE32CF" w:rsidP="00BE32CF">
            <w:pPr>
              <w:spacing w:line="276" w:lineRule="auto"/>
              <w:jc w:val="both"/>
              <w:rPr>
                <w:rFonts w:ascii="Palatino Linotype" w:hAnsi="Palatino Linotype" w:cs="Arial"/>
                <w:b/>
                <w:sz w:val="21"/>
                <w:szCs w:val="21"/>
              </w:rPr>
            </w:pPr>
          </w:p>
        </w:tc>
        <w:tc>
          <w:tcPr>
            <w:tcW w:w="4961" w:type="dxa"/>
          </w:tcPr>
          <w:p w14:paraId="788E418A" w14:textId="04198968" w:rsidR="00BE32CF" w:rsidRPr="00BE32CF" w:rsidRDefault="00BE32CF" w:rsidP="00BE32CF">
            <w:pPr>
              <w:spacing w:line="276" w:lineRule="auto"/>
              <w:jc w:val="both"/>
              <w:rPr>
                <w:rFonts w:ascii="Palatino Linotype" w:hAnsi="Palatino Linotype" w:cs="Arial"/>
                <w:b/>
                <w:sz w:val="21"/>
                <w:szCs w:val="21"/>
              </w:rPr>
            </w:pPr>
            <w:r w:rsidRPr="00BE32CF">
              <w:rPr>
                <w:rFonts w:ascii="Palatino Linotype" w:hAnsi="Palatino Linotype" w:cs="Arial"/>
                <w:b/>
                <w:sz w:val="21"/>
                <w:szCs w:val="21"/>
              </w:rPr>
              <w:t>Self-efficacy and adequate professional skills</w:t>
            </w:r>
          </w:p>
        </w:tc>
      </w:tr>
      <w:tr w:rsidR="00E84B7C" w:rsidRPr="00320C53" w14:paraId="4362E6F0" w14:textId="77777777" w:rsidTr="00BE39DA">
        <w:tc>
          <w:tcPr>
            <w:tcW w:w="3794" w:type="dxa"/>
          </w:tcPr>
          <w:p w14:paraId="195F575D" w14:textId="77777777" w:rsidR="00E84B7C" w:rsidRPr="00BE32CF" w:rsidRDefault="00E84B7C" w:rsidP="00E77670">
            <w:pPr>
              <w:spacing w:line="360" w:lineRule="auto"/>
              <w:jc w:val="both"/>
              <w:rPr>
                <w:rFonts w:ascii="Palatino Linotype" w:hAnsi="Palatino Linotype" w:cs="Arial"/>
                <w:sz w:val="20"/>
                <w:szCs w:val="20"/>
              </w:rPr>
            </w:pPr>
            <w:r w:rsidRPr="00BE32CF">
              <w:rPr>
                <w:rFonts w:ascii="Palatino Linotype" w:hAnsi="Palatino Linotype" w:cs="Arial"/>
                <w:sz w:val="20"/>
                <w:szCs w:val="20"/>
              </w:rPr>
              <w:t>… an understanding of the limits to their own knowledge  and ability and an appreciation of the uncertainty, ambiguity and limits to knowledge and how this might influence their analyses and interpretations.</w:t>
            </w:r>
          </w:p>
          <w:p w14:paraId="79A73F88" w14:textId="77777777" w:rsidR="00E84B7C" w:rsidRPr="00BE32CF" w:rsidRDefault="00E84B7C" w:rsidP="00E77670">
            <w:pPr>
              <w:spacing w:line="360" w:lineRule="auto"/>
              <w:jc w:val="both"/>
              <w:rPr>
                <w:rFonts w:ascii="Palatino Linotype" w:hAnsi="Palatino Linotype" w:cs="Arial"/>
                <w:sz w:val="20"/>
                <w:szCs w:val="20"/>
              </w:rPr>
            </w:pPr>
          </w:p>
          <w:p w14:paraId="35807057" w14:textId="77777777" w:rsidR="00BE39DA" w:rsidRPr="00BE32CF" w:rsidRDefault="00BE39DA" w:rsidP="00E77670">
            <w:pPr>
              <w:spacing w:line="360" w:lineRule="auto"/>
              <w:jc w:val="both"/>
              <w:rPr>
                <w:rFonts w:ascii="Palatino Linotype" w:hAnsi="Palatino Linotype" w:cs="Arial"/>
                <w:sz w:val="20"/>
                <w:szCs w:val="20"/>
              </w:rPr>
            </w:pPr>
          </w:p>
          <w:p w14:paraId="46CF2E49" w14:textId="77777777" w:rsidR="00E84B7C" w:rsidRPr="00BE32CF" w:rsidRDefault="00E84B7C" w:rsidP="00E77670">
            <w:pPr>
              <w:spacing w:line="360" w:lineRule="auto"/>
              <w:jc w:val="both"/>
              <w:rPr>
                <w:rFonts w:ascii="Palatino Linotype" w:hAnsi="Palatino Linotype"/>
                <w:sz w:val="20"/>
                <w:szCs w:val="20"/>
              </w:rPr>
            </w:pPr>
          </w:p>
        </w:tc>
        <w:tc>
          <w:tcPr>
            <w:tcW w:w="3969" w:type="dxa"/>
          </w:tcPr>
          <w:p w14:paraId="5C2AE645" w14:textId="77777777" w:rsidR="00E84B7C" w:rsidRPr="00BE32CF" w:rsidRDefault="00E84B7C" w:rsidP="00E77670">
            <w:pPr>
              <w:pStyle w:val="ListParagraph"/>
              <w:numPr>
                <w:ilvl w:val="0"/>
                <w:numId w:val="17"/>
              </w:numPr>
              <w:spacing w:line="360" w:lineRule="auto"/>
              <w:jc w:val="both"/>
              <w:rPr>
                <w:rFonts w:ascii="Palatino Linotype" w:hAnsi="Palatino Linotype" w:cs="Arial"/>
                <w:sz w:val="20"/>
                <w:szCs w:val="20"/>
              </w:rPr>
            </w:pPr>
            <w:r w:rsidRPr="00BE32CF">
              <w:rPr>
                <w:rFonts w:ascii="Palatino Linotype" w:hAnsi="Palatino Linotype" w:cs="Arial"/>
                <w:sz w:val="20"/>
                <w:szCs w:val="20"/>
              </w:rPr>
              <w:t>conceptual models involved in the important skills that define effective lawyering.</w:t>
            </w:r>
          </w:p>
          <w:p w14:paraId="74D0D981" w14:textId="77777777" w:rsidR="00E84B7C" w:rsidRPr="00BE32CF" w:rsidRDefault="00E84B7C" w:rsidP="00E77670">
            <w:pPr>
              <w:spacing w:line="360" w:lineRule="auto"/>
              <w:jc w:val="both"/>
              <w:rPr>
                <w:rFonts w:ascii="Palatino Linotype" w:hAnsi="Palatino Linotype"/>
                <w:sz w:val="20"/>
                <w:szCs w:val="20"/>
              </w:rPr>
            </w:pPr>
          </w:p>
        </w:tc>
        <w:tc>
          <w:tcPr>
            <w:tcW w:w="4961" w:type="dxa"/>
          </w:tcPr>
          <w:p w14:paraId="2BE093FD" w14:textId="77777777" w:rsidR="00E84B7C" w:rsidRPr="00BE32CF" w:rsidRDefault="00E84B7C" w:rsidP="00E77670">
            <w:pPr>
              <w:spacing w:line="360" w:lineRule="auto"/>
              <w:jc w:val="both"/>
              <w:rPr>
                <w:rFonts w:ascii="Palatino Linotype" w:hAnsi="Palatino Linotype" w:cs="Arial"/>
                <w:b/>
                <w:sz w:val="20"/>
                <w:szCs w:val="20"/>
              </w:rPr>
            </w:pPr>
            <w:r w:rsidRPr="00BE32CF">
              <w:rPr>
                <w:rFonts w:ascii="Palatino Linotype" w:hAnsi="Palatino Linotype" w:cs="Arial"/>
                <w:sz w:val="20"/>
                <w:szCs w:val="20"/>
              </w:rPr>
              <w:t xml:space="preserve">a) The ability to manage personal workload and to manage efficiently, effectively, and concurrently a number of client matters, </w:t>
            </w:r>
          </w:p>
          <w:p w14:paraId="619A29D9" w14:textId="77777777" w:rsidR="00E84B7C" w:rsidRPr="00BE32CF" w:rsidRDefault="00E84B7C" w:rsidP="00E77670">
            <w:pPr>
              <w:spacing w:line="360" w:lineRule="auto"/>
              <w:jc w:val="both"/>
              <w:rPr>
                <w:rFonts w:ascii="Palatino Linotype" w:hAnsi="Palatino Linotype" w:cs="Arial"/>
                <w:sz w:val="20"/>
                <w:szCs w:val="20"/>
              </w:rPr>
            </w:pPr>
            <w:r w:rsidRPr="00BE32CF">
              <w:rPr>
                <w:rFonts w:ascii="Palatino Linotype" w:hAnsi="Palatino Linotype" w:cs="Arial"/>
                <w:sz w:val="20"/>
                <w:szCs w:val="20"/>
              </w:rPr>
              <w:t>b) The ability to work effectively as a member of a team.</w:t>
            </w:r>
          </w:p>
          <w:p w14:paraId="72445AF9" w14:textId="48675F81" w:rsidR="00E84B7C" w:rsidRPr="00BE32CF" w:rsidRDefault="00364E64" w:rsidP="00BE32CF">
            <w:pPr>
              <w:spacing w:line="360" w:lineRule="auto"/>
              <w:jc w:val="both"/>
              <w:rPr>
                <w:rFonts w:ascii="Palatino Linotype" w:hAnsi="Palatino Linotype"/>
                <w:sz w:val="20"/>
                <w:szCs w:val="20"/>
              </w:rPr>
            </w:pPr>
            <w:r w:rsidRPr="00BE32CF">
              <w:rPr>
                <w:rFonts w:ascii="Palatino Linotype" w:hAnsi="Palatino Linotype" w:cs="Arial"/>
                <w:sz w:val="20"/>
                <w:szCs w:val="20"/>
              </w:rPr>
              <w:t>c) Capacity to recognize personal and professional strengths and weaknesses etc.  (p. 77)</w:t>
            </w:r>
          </w:p>
        </w:tc>
      </w:tr>
    </w:tbl>
    <w:p w14:paraId="1B627926" w14:textId="77777777" w:rsidR="00BE39DA" w:rsidRDefault="00BE39DA"/>
    <w:tbl>
      <w:tblPr>
        <w:tblStyle w:val="TableGrid"/>
        <w:tblpPr w:leftFromText="180" w:rightFromText="180" w:vertAnchor="text" w:tblpY="1"/>
        <w:tblOverlap w:val="never"/>
        <w:tblW w:w="0" w:type="auto"/>
        <w:tblLook w:val="04A0" w:firstRow="1" w:lastRow="0" w:firstColumn="1" w:lastColumn="0" w:noHBand="0" w:noVBand="1"/>
      </w:tblPr>
      <w:tblGrid>
        <w:gridCol w:w="3510"/>
        <w:gridCol w:w="5103"/>
        <w:gridCol w:w="4111"/>
      </w:tblGrid>
      <w:tr w:rsidR="00BE32CF" w:rsidRPr="00BE32CF" w14:paraId="60EC56A9" w14:textId="77777777" w:rsidTr="00BE39DA">
        <w:tc>
          <w:tcPr>
            <w:tcW w:w="3510" w:type="dxa"/>
          </w:tcPr>
          <w:p w14:paraId="5A7425B6" w14:textId="4DA87E7A" w:rsidR="00BE32CF" w:rsidRPr="00BE32CF" w:rsidRDefault="00BE32CF" w:rsidP="00BE32CF">
            <w:pPr>
              <w:spacing w:line="276" w:lineRule="auto"/>
              <w:jc w:val="both"/>
              <w:rPr>
                <w:rFonts w:ascii="Palatino Linotype" w:hAnsi="Palatino Linotype" w:cs="Arial"/>
                <w:b/>
                <w:sz w:val="21"/>
                <w:szCs w:val="21"/>
              </w:rPr>
            </w:pPr>
            <w:r w:rsidRPr="00BE32CF">
              <w:rPr>
                <w:rFonts w:ascii="Palatino Linotype" w:hAnsi="Palatino Linotype" w:cs="Arial"/>
                <w:b/>
                <w:sz w:val="21"/>
                <w:szCs w:val="21"/>
              </w:rPr>
              <w:lastRenderedPageBreak/>
              <w:t>6. Autonomy and Professional Capacity</w:t>
            </w:r>
          </w:p>
        </w:tc>
        <w:tc>
          <w:tcPr>
            <w:tcW w:w="5103" w:type="dxa"/>
          </w:tcPr>
          <w:p w14:paraId="34D794C7" w14:textId="24DC5E00" w:rsidR="00BE32CF" w:rsidRPr="00BE32CF" w:rsidRDefault="00BE32CF" w:rsidP="00BE32CF">
            <w:pPr>
              <w:spacing w:line="276" w:lineRule="auto"/>
              <w:jc w:val="both"/>
              <w:rPr>
                <w:rFonts w:ascii="Palatino Linotype" w:hAnsi="Palatino Linotype" w:cs="Arial"/>
                <w:b/>
                <w:sz w:val="21"/>
                <w:szCs w:val="21"/>
              </w:rPr>
            </w:pPr>
            <w:r w:rsidRPr="00BE32CF">
              <w:rPr>
                <w:rFonts w:ascii="Palatino Linotype" w:hAnsi="Palatino Linotype" w:cs="Arial"/>
                <w:b/>
                <w:sz w:val="21"/>
                <w:szCs w:val="21"/>
              </w:rPr>
              <w:t>3. Professional Identity/Purpose Apprenticeship and Ethical/social apprenticeship</w:t>
            </w:r>
          </w:p>
        </w:tc>
        <w:tc>
          <w:tcPr>
            <w:tcW w:w="4111" w:type="dxa"/>
          </w:tcPr>
          <w:p w14:paraId="4D737214" w14:textId="565DB8AA" w:rsidR="00BE32CF" w:rsidRPr="00BE32CF" w:rsidRDefault="00BE32CF" w:rsidP="00BE32CF">
            <w:pPr>
              <w:spacing w:line="276" w:lineRule="auto"/>
              <w:jc w:val="both"/>
              <w:rPr>
                <w:rFonts w:ascii="Palatino Linotype" w:hAnsi="Palatino Linotype" w:cs="Arial"/>
                <w:b/>
                <w:sz w:val="21"/>
                <w:szCs w:val="21"/>
              </w:rPr>
            </w:pPr>
            <w:r>
              <w:rPr>
                <w:rFonts w:ascii="Palatino Linotype" w:hAnsi="Palatino Linotype" w:cs="Arial"/>
                <w:b/>
                <w:sz w:val="21"/>
                <w:szCs w:val="21"/>
              </w:rPr>
              <w:t>P</w:t>
            </w:r>
            <w:r w:rsidRPr="00BE32CF">
              <w:rPr>
                <w:rFonts w:ascii="Palatino Linotype" w:hAnsi="Palatino Linotype" w:cs="Arial"/>
                <w:b/>
                <w:sz w:val="21"/>
                <w:szCs w:val="21"/>
              </w:rPr>
              <w:t>rofessionalism</w:t>
            </w:r>
          </w:p>
        </w:tc>
      </w:tr>
      <w:tr w:rsidR="00BE32CF" w:rsidRPr="00320C53" w14:paraId="023DFD36" w14:textId="77777777" w:rsidTr="00BE39DA">
        <w:tc>
          <w:tcPr>
            <w:tcW w:w="3510" w:type="dxa"/>
          </w:tcPr>
          <w:p w14:paraId="3456F595" w14:textId="77777777" w:rsidR="00BE32CF" w:rsidRPr="00BE32CF" w:rsidRDefault="00BE32CF" w:rsidP="00BE32CF">
            <w:pPr>
              <w:spacing w:line="360" w:lineRule="auto"/>
              <w:jc w:val="both"/>
              <w:rPr>
                <w:rFonts w:ascii="Palatino Linotype" w:hAnsi="Palatino Linotype" w:cs="Arial"/>
                <w:sz w:val="20"/>
                <w:szCs w:val="20"/>
              </w:rPr>
            </w:pPr>
            <w:r w:rsidRPr="00BE32CF">
              <w:rPr>
                <w:rFonts w:ascii="Palatino Linotype" w:hAnsi="Palatino Linotype" w:cs="Arial"/>
                <w:sz w:val="20"/>
                <w:szCs w:val="20"/>
              </w:rPr>
              <w:t>a) qualities and transferable skills necessary for further study, employment, community involvement and other activities requiring:</w:t>
            </w:r>
          </w:p>
          <w:p w14:paraId="0718356A" w14:textId="1CA729F3" w:rsidR="00BE32CF" w:rsidRPr="00BE32CF" w:rsidRDefault="00BE39DA" w:rsidP="00BE32CF">
            <w:pPr>
              <w:spacing w:line="360" w:lineRule="auto"/>
              <w:jc w:val="both"/>
              <w:rPr>
                <w:rFonts w:ascii="Palatino Linotype" w:hAnsi="Palatino Linotype" w:cs="Arial"/>
                <w:sz w:val="20"/>
                <w:szCs w:val="20"/>
              </w:rPr>
            </w:pPr>
            <w:proofErr w:type="spellStart"/>
            <w:r>
              <w:rPr>
                <w:rFonts w:ascii="Palatino Linotype" w:hAnsi="Palatino Linotype" w:cs="Arial"/>
                <w:sz w:val="20"/>
                <w:szCs w:val="20"/>
              </w:rPr>
              <w:t>i</w:t>
            </w:r>
            <w:proofErr w:type="spellEnd"/>
            <w:r>
              <w:rPr>
                <w:rFonts w:ascii="Palatino Linotype" w:hAnsi="Palatino Linotype" w:cs="Arial"/>
                <w:sz w:val="20"/>
                <w:szCs w:val="20"/>
              </w:rPr>
              <w:t xml:space="preserve">. </w:t>
            </w:r>
            <w:r w:rsidR="00BE32CF" w:rsidRPr="00BE32CF">
              <w:rPr>
                <w:rFonts w:ascii="Palatino Linotype" w:hAnsi="Palatino Linotype" w:cs="Arial"/>
                <w:sz w:val="20"/>
                <w:szCs w:val="20"/>
              </w:rPr>
              <w:t>The exercise of initiative, personal responsibility and accountability in both personal and group contexts;</w:t>
            </w:r>
          </w:p>
          <w:p w14:paraId="46C5E6A5" w14:textId="2E963B71" w:rsidR="00BE32CF" w:rsidRPr="00BE32CF" w:rsidRDefault="00BE39DA" w:rsidP="00BE32CF">
            <w:pPr>
              <w:spacing w:line="360" w:lineRule="auto"/>
              <w:jc w:val="both"/>
              <w:rPr>
                <w:rFonts w:ascii="Palatino Linotype" w:hAnsi="Palatino Linotype" w:cs="Arial"/>
                <w:sz w:val="20"/>
                <w:szCs w:val="20"/>
              </w:rPr>
            </w:pPr>
            <w:r>
              <w:rPr>
                <w:rFonts w:ascii="Palatino Linotype" w:hAnsi="Palatino Linotype" w:cs="Arial"/>
                <w:sz w:val="20"/>
                <w:szCs w:val="20"/>
              </w:rPr>
              <w:t xml:space="preserve">ii. </w:t>
            </w:r>
            <w:r w:rsidR="00BE32CF" w:rsidRPr="00BE32CF">
              <w:rPr>
                <w:rFonts w:ascii="Palatino Linotype" w:hAnsi="Palatino Linotype" w:cs="Arial"/>
                <w:sz w:val="20"/>
                <w:szCs w:val="20"/>
              </w:rPr>
              <w:t>Working effectively with others;</w:t>
            </w:r>
          </w:p>
          <w:p w14:paraId="312E1831" w14:textId="234BC9F8" w:rsidR="00BE32CF" w:rsidRPr="00BE32CF" w:rsidRDefault="00BE39DA" w:rsidP="00BE32CF">
            <w:pPr>
              <w:spacing w:line="360" w:lineRule="auto"/>
              <w:jc w:val="both"/>
              <w:rPr>
                <w:rFonts w:ascii="Palatino Linotype" w:hAnsi="Palatino Linotype" w:cs="Arial"/>
                <w:sz w:val="20"/>
                <w:szCs w:val="20"/>
              </w:rPr>
            </w:pPr>
            <w:r>
              <w:rPr>
                <w:rFonts w:ascii="Palatino Linotype" w:hAnsi="Palatino Linotype" w:cs="Arial"/>
                <w:sz w:val="20"/>
                <w:szCs w:val="20"/>
              </w:rPr>
              <w:t xml:space="preserve">iii. </w:t>
            </w:r>
            <w:r w:rsidR="00BE32CF" w:rsidRPr="00BE32CF">
              <w:rPr>
                <w:rFonts w:ascii="Palatino Linotype" w:hAnsi="Palatino Linotype" w:cs="Arial"/>
                <w:sz w:val="20"/>
                <w:szCs w:val="20"/>
              </w:rPr>
              <w:t>Decision-making in complex contexts;</w:t>
            </w:r>
          </w:p>
          <w:p w14:paraId="5062D7E2" w14:textId="77777777" w:rsidR="00BE32CF" w:rsidRPr="00BE32CF" w:rsidRDefault="00BE32CF" w:rsidP="00BE32CF">
            <w:pPr>
              <w:spacing w:line="360" w:lineRule="auto"/>
              <w:jc w:val="both"/>
              <w:rPr>
                <w:rFonts w:ascii="Palatino Linotype" w:hAnsi="Palatino Linotype" w:cs="Arial"/>
                <w:sz w:val="20"/>
                <w:szCs w:val="20"/>
              </w:rPr>
            </w:pPr>
            <w:r w:rsidRPr="00BE32CF">
              <w:rPr>
                <w:rFonts w:ascii="Palatino Linotype" w:hAnsi="Palatino Linotype" w:cs="Arial"/>
                <w:sz w:val="20"/>
                <w:szCs w:val="20"/>
              </w:rPr>
              <w:t>b) the ability to manage their own learning in changing circumstances, both within and outside the discipline and to select an appropriate program of further study; and</w:t>
            </w:r>
          </w:p>
          <w:p w14:paraId="1CFB5BAD" w14:textId="68280A8D" w:rsidR="00BE32CF" w:rsidRPr="00BE32CF" w:rsidRDefault="00BE32CF" w:rsidP="00BE32CF">
            <w:pPr>
              <w:spacing w:line="360" w:lineRule="auto"/>
              <w:jc w:val="both"/>
              <w:rPr>
                <w:rFonts w:ascii="Palatino Linotype" w:hAnsi="Palatino Linotype" w:cs="Arial"/>
                <w:b/>
                <w:sz w:val="20"/>
                <w:szCs w:val="20"/>
              </w:rPr>
            </w:pPr>
            <w:r w:rsidRPr="00BE32CF">
              <w:rPr>
                <w:rFonts w:ascii="Palatino Linotype" w:hAnsi="Palatino Linotype" w:cs="Arial"/>
                <w:sz w:val="20"/>
                <w:szCs w:val="20"/>
              </w:rPr>
              <w:t xml:space="preserve">c) </w:t>
            </w:r>
            <w:proofErr w:type="spellStart"/>
            <w:r w:rsidRPr="00BE32CF">
              <w:rPr>
                <w:rFonts w:ascii="Palatino Linotype" w:hAnsi="Palatino Linotype" w:cs="Arial"/>
                <w:sz w:val="20"/>
                <w:szCs w:val="20"/>
              </w:rPr>
              <w:t>behaviour</w:t>
            </w:r>
            <w:proofErr w:type="spellEnd"/>
            <w:r w:rsidRPr="00BE32CF">
              <w:rPr>
                <w:rFonts w:ascii="Palatino Linotype" w:hAnsi="Palatino Linotype" w:cs="Arial"/>
                <w:sz w:val="20"/>
                <w:szCs w:val="20"/>
              </w:rPr>
              <w:t xml:space="preserve"> consistent with academic integrity and social responsibility</w:t>
            </w:r>
          </w:p>
        </w:tc>
        <w:tc>
          <w:tcPr>
            <w:tcW w:w="5103" w:type="dxa"/>
          </w:tcPr>
          <w:p w14:paraId="35534467" w14:textId="65DA4240" w:rsidR="00BE32CF" w:rsidRPr="00BE32CF" w:rsidRDefault="00BE32CF" w:rsidP="00BE32CF">
            <w:pPr>
              <w:spacing w:line="360" w:lineRule="auto"/>
              <w:jc w:val="both"/>
              <w:rPr>
                <w:rFonts w:ascii="Palatino Linotype" w:hAnsi="Palatino Linotype" w:cs="Arial"/>
                <w:sz w:val="20"/>
                <w:szCs w:val="20"/>
              </w:rPr>
            </w:pPr>
            <w:r w:rsidRPr="00BE32CF">
              <w:rPr>
                <w:rFonts w:ascii="Palatino Linotype" w:hAnsi="Palatino Linotype" w:cs="Arial"/>
                <w:sz w:val="20"/>
                <w:szCs w:val="20"/>
              </w:rPr>
              <w:t>a)</w:t>
            </w:r>
            <w:r w:rsidR="00BE39DA">
              <w:rPr>
                <w:rFonts w:ascii="Palatino Linotype" w:hAnsi="Palatino Linotype" w:cs="Arial"/>
                <w:sz w:val="20"/>
                <w:szCs w:val="20"/>
              </w:rPr>
              <w:t xml:space="preserve"> </w:t>
            </w:r>
            <w:r w:rsidRPr="00BE32CF">
              <w:rPr>
                <w:rFonts w:ascii="Palatino Linotype" w:hAnsi="Palatino Linotype" w:cs="Arial"/>
                <w:sz w:val="20"/>
                <w:szCs w:val="20"/>
              </w:rPr>
              <w:t xml:space="preserve">purposes/attitudes guided by  values for which the professional community is responsible </w:t>
            </w:r>
          </w:p>
          <w:p w14:paraId="5673FFA7" w14:textId="2106982B" w:rsidR="00BE32CF" w:rsidRPr="00BE32CF" w:rsidRDefault="00BE32CF" w:rsidP="00BE32CF">
            <w:pPr>
              <w:spacing w:line="360" w:lineRule="auto"/>
              <w:jc w:val="both"/>
              <w:rPr>
                <w:rFonts w:ascii="Palatino Linotype" w:hAnsi="Palatino Linotype" w:cs="Arial"/>
                <w:sz w:val="20"/>
                <w:szCs w:val="20"/>
              </w:rPr>
            </w:pPr>
            <w:r w:rsidRPr="00BE32CF">
              <w:rPr>
                <w:rFonts w:ascii="Palatino Linotype" w:hAnsi="Palatino Linotype" w:cs="Arial"/>
                <w:sz w:val="20"/>
                <w:szCs w:val="20"/>
              </w:rPr>
              <w:t>b)</w:t>
            </w:r>
            <w:r w:rsidR="00BE39DA">
              <w:rPr>
                <w:rFonts w:ascii="Palatino Linotype" w:hAnsi="Palatino Linotype" w:cs="Arial"/>
                <w:sz w:val="20"/>
                <w:szCs w:val="20"/>
              </w:rPr>
              <w:t xml:space="preserve"> </w:t>
            </w:r>
            <w:r w:rsidRPr="00BE32CF">
              <w:rPr>
                <w:rFonts w:ascii="Palatino Linotype" w:hAnsi="Palatino Linotype" w:cs="Arial"/>
                <w:sz w:val="20"/>
                <w:szCs w:val="20"/>
              </w:rPr>
              <w:t>public dimension professional life</w:t>
            </w:r>
          </w:p>
          <w:p w14:paraId="3B239A83" w14:textId="7CB4A794" w:rsidR="00BE32CF" w:rsidRPr="00BE32CF" w:rsidRDefault="00BE32CF" w:rsidP="00BE32CF">
            <w:pPr>
              <w:spacing w:line="360" w:lineRule="auto"/>
              <w:jc w:val="both"/>
              <w:rPr>
                <w:rFonts w:ascii="Palatino Linotype" w:hAnsi="Palatino Linotype" w:cs="Arial"/>
                <w:sz w:val="20"/>
                <w:szCs w:val="20"/>
              </w:rPr>
            </w:pPr>
            <w:r w:rsidRPr="00BE32CF">
              <w:rPr>
                <w:rFonts w:ascii="Palatino Linotype" w:hAnsi="Palatino Linotype" w:cs="Arial"/>
                <w:sz w:val="20"/>
                <w:szCs w:val="20"/>
              </w:rPr>
              <w:t>c)</w:t>
            </w:r>
            <w:r w:rsidR="00BE39DA">
              <w:rPr>
                <w:rFonts w:ascii="Palatino Linotype" w:hAnsi="Palatino Linotype" w:cs="Arial"/>
                <w:sz w:val="20"/>
                <w:szCs w:val="20"/>
              </w:rPr>
              <w:t xml:space="preserve"> </w:t>
            </w:r>
            <w:r w:rsidRPr="00BE32CF">
              <w:rPr>
                <w:rFonts w:ascii="Palatino Linotype" w:hAnsi="Palatino Linotype" w:cs="Arial"/>
                <w:sz w:val="20"/>
                <w:szCs w:val="20"/>
              </w:rPr>
              <w:t>wide, ethically sensitive perspective on the technical knowledge and skill that law practice requires.</w:t>
            </w:r>
          </w:p>
          <w:p w14:paraId="5FEB5C32" w14:textId="13886F9F" w:rsidR="00BE32CF" w:rsidRPr="00BE32CF" w:rsidRDefault="00BE32CF" w:rsidP="00BE32CF">
            <w:pPr>
              <w:spacing w:line="360" w:lineRule="auto"/>
              <w:jc w:val="both"/>
              <w:rPr>
                <w:rFonts w:ascii="Palatino Linotype" w:hAnsi="Palatino Linotype" w:cs="Arial"/>
                <w:sz w:val="20"/>
                <w:szCs w:val="20"/>
              </w:rPr>
            </w:pPr>
            <w:r w:rsidRPr="00BE32CF">
              <w:rPr>
                <w:rFonts w:ascii="Palatino Linotype" w:hAnsi="Palatino Linotype" w:cs="Arial"/>
                <w:sz w:val="20"/>
                <w:szCs w:val="20"/>
              </w:rPr>
              <w:t>d)</w:t>
            </w:r>
            <w:r w:rsidR="00BE39DA">
              <w:rPr>
                <w:rFonts w:ascii="Palatino Linotype" w:hAnsi="Palatino Linotype" w:cs="Arial"/>
                <w:sz w:val="20"/>
                <w:szCs w:val="20"/>
              </w:rPr>
              <w:t xml:space="preserve"> </w:t>
            </w:r>
            <w:r w:rsidRPr="00BE32CF">
              <w:rPr>
                <w:rFonts w:ascii="Palatino Linotype" w:hAnsi="Palatino Linotype" w:cs="Arial"/>
                <w:sz w:val="20"/>
                <w:szCs w:val="20"/>
              </w:rPr>
              <w:t xml:space="preserve">skills, inclination, ethical standards, social roles, and responsibilities that mark the professional </w:t>
            </w:r>
          </w:p>
          <w:p w14:paraId="633CC460" w14:textId="4593BB07" w:rsidR="00BE32CF" w:rsidRPr="00BE32CF" w:rsidRDefault="00BE32CF" w:rsidP="00BE32CF">
            <w:pPr>
              <w:spacing w:line="360" w:lineRule="auto"/>
              <w:jc w:val="both"/>
              <w:rPr>
                <w:rFonts w:ascii="Palatino Linotype" w:hAnsi="Palatino Linotype" w:cs="Arial"/>
                <w:sz w:val="20"/>
                <w:szCs w:val="20"/>
              </w:rPr>
            </w:pPr>
            <w:r w:rsidRPr="00BE32CF">
              <w:rPr>
                <w:rFonts w:ascii="Palatino Linotype" w:hAnsi="Palatino Linotype" w:cs="Arial"/>
                <w:sz w:val="20"/>
                <w:szCs w:val="20"/>
              </w:rPr>
              <w:t>e)</w:t>
            </w:r>
            <w:r w:rsidR="00BE39DA">
              <w:rPr>
                <w:rFonts w:ascii="Palatino Linotype" w:hAnsi="Palatino Linotype" w:cs="Arial"/>
                <w:sz w:val="20"/>
                <w:szCs w:val="20"/>
              </w:rPr>
              <w:t xml:space="preserve"> </w:t>
            </w:r>
            <w:r w:rsidRPr="00BE32CF">
              <w:rPr>
                <w:rFonts w:ascii="Palatino Linotype" w:hAnsi="Palatino Linotype" w:cs="Arial"/>
                <w:sz w:val="20"/>
                <w:szCs w:val="20"/>
              </w:rPr>
              <w:t>creating and participating in a responsible and effective professional community.</w:t>
            </w:r>
          </w:p>
          <w:p w14:paraId="2D468B64" w14:textId="38640ABD" w:rsidR="00BE32CF" w:rsidRPr="00BE32CF" w:rsidRDefault="00BE32CF" w:rsidP="00BE32CF">
            <w:pPr>
              <w:spacing w:line="360" w:lineRule="auto"/>
              <w:jc w:val="both"/>
              <w:rPr>
                <w:rFonts w:ascii="Palatino Linotype" w:hAnsi="Palatino Linotype" w:cs="Arial"/>
                <w:sz w:val="20"/>
                <w:szCs w:val="20"/>
              </w:rPr>
            </w:pPr>
            <w:r w:rsidRPr="00BE32CF">
              <w:rPr>
                <w:rFonts w:ascii="Palatino Linotype" w:hAnsi="Palatino Linotype" w:cs="Arial"/>
                <w:sz w:val="20"/>
                <w:szCs w:val="20"/>
              </w:rPr>
              <w:t>f)</w:t>
            </w:r>
            <w:r w:rsidR="00BE39DA">
              <w:rPr>
                <w:rFonts w:ascii="Palatino Linotype" w:hAnsi="Palatino Linotype" w:cs="Arial"/>
                <w:sz w:val="20"/>
                <w:szCs w:val="20"/>
              </w:rPr>
              <w:t xml:space="preserve"> </w:t>
            </w:r>
            <w:r w:rsidRPr="00BE32CF">
              <w:rPr>
                <w:rFonts w:ascii="Palatino Linotype" w:hAnsi="Palatino Linotype" w:cs="Arial"/>
                <w:sz w:val="20"/>
                <w:szCs w:val="20"/>
              </w:rPr>
              <w:t>able and willing to join an enterprise of public service.</w:t>
            </w:r>
          </w:p>
          <w:p w14:paraId="065E401E" w14:textId="2A4EFB6B" w:rsidR="00BE32CF" w:rsidRPr="00BE32CF" w:rsidRDefault="00BE32CF" w:rsidP="00BE32CF">
            <w:pPr>
              <w:spacing w:line="360" w:lineRule="auto"/>
              <w:jc w:val="both"/>
              <w:rPr>
                <w:rFonts w:ascii="Palatino Linotype" w:hAnsi="Palatino Linotype" w:cs="Arial"/>
                <w:sz w:val="20"/>
                <w:szCs w:val="20"/>
              </w:rPr>
            </w:pPr>
            <w:r w:rsidRPr="00BE32CF">
              <w:rPr>
                <w:rFonts w:ascii="Palatino Linotype" w:hAnsi="Palatino Linotype" w:cs="Arial"/>
                <w:sz w:val="20"/>
                <w:szCs w:val="20"/>
              </w:rPr>
              <w:t>g)</w:t>
            </w:r>
            <w:r w:rsidR="00BE39DA">
              <w:rPr>
                <w:rFonts w:ascii="Palatino Linotype" w:hAnsi="Palatino Linotype" w:cs="Arial"/>
                <w:sz w:val="20"/>
                <w:szCs w:val="20"/>
              </w:rPr>
              <w:t xml:space="preserve"> </w:t>
            </w:r>
            <w:r w:rsidRPr="00BE32CF">
              <w:rPr>
                <w:rFonts w:ascii="Palatino Linotype" w:hAnsi="Palatino Linotype" w:cs="Arial"/>
                <w:sz w:val="20"/>
                <w:szCs w:val="20"/>
              </w:rPr>
              <w:t xml:space="preserve">rules of conduct, “law of lawyering”  and wider matters of morality and character </w:t>
            </w:r>
          </w:p>
          <w:p w14:paraId="68CE68A2" w14:textId="0A1709B5" w:rsidR="00BE32CF" w:rsidRPr="00BE32CF" w:rsidRDefault="00BE32CF" w:rsidP="00BE32CF">
            <w:pPr>
              <w:spacing w:line="360" w:lineRule="auto"/>
              <w:jc w:val="both"/>
              <w:rPr>
                <w:rFonts w:ascii="Palatino Linotype" w:hAnsi="Palatino Linotype" w:cs="Arial"/>
                <w:sz w:val="20"/>
                <w:szCs w:val="20"/>
              </w:rPr>
            </w:pPr>
            <w:r w:rsidRPr="00BE32CF">
              <w:rPr>
                <w:rFonts w:ascii="Palatino Linotype" w:hAnsi="Palatino Linotype" w:cs="Arial"/>
                <w:sz w:val="20"/>
                <w:szCs w:val="20"/>
              </w:rPr>
              <w:t>h)</w:t>
            </w:r>
            <w:r w:rsidR="00BE39DA">
              <w:rPr>
                <w:rFonts w:ascii="Palatino Linotype" w:hAnsi="Palatino Linotype" w:cs="Arial"/>
                <w:sz w:val="20"/>
                <w:szCs w:val="20"/>
              </w:rPr>
              <w:t xml:space="preserve"> </w:t>
            </w:r>
            <w:r w:rsidRPr="00BE32CF">
              <w:rPr>
                <w:rFonts w:ascii="Palatino Linotype" w:hAnsi="Palatino Linotype" w:cs="Arial"/>
                <w:sz w:val="20"/>
                <w:szCs w:val="20"/>
              </w:rPr>
              <w:t>individual and social justice</w:t>
            </w:r>
          </w:p>
          <w:p w14:paraId="5190EF5C" w14:textId="0701DC74" w:rsidR="00BE32CF" w:rsidRPr="00BE32CF" w:rsidRDefault="00BE32CF" w:rsidP="00BE32CF">
            <w:pPr>
              <w:spacing w:line="360" w:lineRule="auto"/>
              <w:jc w:val="both"/>
              <w:rPr>
                <w:rFonts w:ascii="Palatino Linotype" w:hAnsi="Palatino Linotype" w:cs="Arial"/>
                <w:sz w:val="20"/>
                <w:szCs w:val="20"/>
              </w:rPr>
            </w:pPr>
            <w:proofErr w:type="spellStart"/>
            <w:r w:rsidRPr="00BE32CF">
              <w:rPr>
                <w:rFonts w:ascii="Palatino Linotype" w:hAnsi="Palatino Linotype" w:cs="Arial"/>
                <w:sz w:val="20"/>
                <w:szCs w:val="20"/>
              </w:rPr>
              <w:t>i</w:t>
            </w:r>
            <w:proofErr w:type="spellEnd"/>
            <w:r w:rsidRPr="00BE32CF">
              <w:rPr>
                <w:rFonts w:ascii="Palatino Linotype" w:hAnsi="Palatino Linotype" w:cs="Arial"/>
                <w:sz w:val="20"/>
                <w:szCs w:val="20"/>
              </w:rPr>
              <w:t>)</w:t>
            </w:r>
            <w:r w:rsidR="00BE39DA">
              <w:rPr>
                <w:rFonts w:ascii="Palatino Linotype" w:hAnsi="Palatino Linotype" w:cs="Arial"/>
                <w:sz w:val="20"/>
                <w:szCs w:val="20"/>
              </w:rPr>
              <w:t xml:space="preserve"> </w:t>
            </w:r>
            <w:r w:rsidRPr="00BE32CF">
              <w:rPr>
                <w:rFonts w:ascii="Palatino Linotype" w:hAnsi="Palatino Linotype" w:cs="Arial"/>
                <w:sz w:val="20"/>
                <w:szCs w:val="20"/>
              </w:rPr>
              <w:t xml:space="preserve">integrity, consideration, civility and other aspects of professionalism. </w:t>
            </w:r>
          </w:p>
          <w:p w14:paraId="403B7477" w14:textId="6D730642" w:rsidR="00BE32CF" w:rsidRPr="00BE32CF" w:rsidRDefault="00BE32CF" w:rsidP="00BE32CF">
            <w:pPr>
              <w:spacing w:line="360" w:lineRule="auto"/>
              <w:jc w:val="both"/>
              <w:rPr>
                <w:rFonts w:ascii="Palatino Linotype" w:hAnsi="Palatino Linotype" w:cs="Arial"/>
                <w:sz w:val="20"/>
                <w:szCs w:val="20"/>
              </w:rPr>
            </w:pPr>
            <w:r w:rsidRPr="00BE32CF">
              <w:rPr>
                <w:rFonts w:ascii="Palatino Linotype" w:hAnsi="Palatino Linotype" w:cs="Arial"/>
                <w:sz w:val="20"/>
                <w:szCs w:val="20"/>
              </w:rPr>
              <w:t>j)keep the analytical and the moral, the procedural and substantive in dialogue throughout learning process</w:t>
            </w:r>
          </w:p>
          <w:p w14:paraId="71F8C5E0" w14:textId="70C4140D" w:rsidR="00BE32CF" w:rsidRPr="00BE32CF" w:rsidRDefault="00BE39DA" w:rsidP="00BE39DA">
            <w:pPr>
              <w:spacing w:line="360" w:lineRule="auto"/>
              <w:jc w:val="both"/>
              <w:rPr>
                <w:rFonts w:ascii="Palatino Linotype" w:hAnsi="Palatino Linotype" w:cs="Arial"/>
                <w:b/>
                <w:sz w:val="20"/>
                <w:szCs w:val="20"/>
              </w:rPr>
            </w:pPr>
            <w:r>
              <w:rPr>
                <w:rFonts w:ascii="Palatino Linotype" w:hAnsi="Palatino Linotype" w:cs="Arial"/>
                <w:sz w:val="20"/>
                <w:szCs w:val="20"/>
              </w:rPr>
              <w:t xml:space="preserve">k) </w:t>
            </w:r>
            <w:r w:rsidR="00BE32CF" w:rsidRPr="00BE32CF">
              <w:rPr>
                <w:rFonts w:ascii="Palatino Linotype" w:hAnsi="Palatino Linotype" w:cs="Arial"/>
                <w:sz w:val="20"/>
                <w:szCs w:val="20"/>
              </w:rPr>
              <w:t>integrate not only knowledge and skill but the cognitive, practical and ethical-social facets of</w:t>
            </w:r>
            <w:r>
              <w:t xml:space="preserve"> </w:t>
            </w:r>
            <w:r w:rsidRPr="00BE39DA">
              <w:rPr>
                <w:rFonts w:ascii="Palatino Linotype" w:hAnsi="Palatino Linotype" w:cs="Arial"/>
                <w:sz w:val="20"/>
                <w:szCs w:val="20"/>
              </w:rPr>
              <w:t>lawyering</w:t>
            </w:r>
          </w:p>
        </w:tc>
        <w:tc>
          <w:tcPr>
            <w:tcW w:w="4111" w:type="dxa"/>
          </w:tcPr>
          <w:p w14:paraId="1F4EEA55" w14:textId="77777777" w:rsidR="00BE39DA" w:rsidRPr="00BE39DA" w:rsidRDefault="00BE39DA" w:rsidP="00BE39DA">
            <w:pPr>
              <w:spacing w:line="360" w:lineRule="auto"/>
              <w:jc w:val="both"/>
              <w:rPr>
                <w:rFonts w:ascii="Palatino Linotype" w:hAnsi="Palatino Linotype" w:cs="Arial"/>
                <w:sz w:val="20"/>
                <w:szCs w:val="20"/>
              </w:rPr>
            </w:pPr>
            <w:r w:rsidRPr="00BE39DA">
              <w:rPr>
                <w:rFonts w:ascii="Palatino Linotype" w:hAnsi="Palatino Linotype" w:cs="Arial"/>
                <w:sz w:val="20"/>
                <w:szCs w:val="20"/>
              </w:rPr>
              <w:t>Appropriate behaviors and integrity in a range of situations.</w:t>
            </w:r>
          </w:p>
          <w:p w14:paraId="31807979" w14:textId="77777777" w:rsidR="00BE39DA" w:rsidRPr="00BE39DA" w:rsidRDefault="00BE39DA" w:rsidP="00BE39DA">
            <w:pPr>
              <w:spacing w:line="360" w:lineRule="auto"/>
              <w:jc w:val="both"/>
              <w:rPr>
                <w:rFonts w:ascii="Palatino Linotype" w:hAnsi="Palatino Linotype" w:cs="Arial"/>
                <w:sz w:val="20"/>
                <w:szCs w:val="20"/>
              </w:rPr>
            </w:pPr>
            <w:r w:rsidRPr="00BE39DA">
              <w:rPr>
                <w:rFonts w:ascii="Palatino Linotype" w:hAnsi="Palatino Linotype" w:cs="Arial"/>
                <w:sz w:val="20"/>
                <w:szCs w:val="20"/>
              </w:rPr>
              <w:t>a) The ability to recognize clients’ financial, professionals constraints and priorities</w:t>
            </w:r>
          </w:p>
          <w:p w14:paraId="28C0F272" w14:textId="77777777" w:rsidR="00BE39DA" w:rsidRPr="00BE39DA" w:rsidRDefault="00BE39DA" w:rsidP="00BE39DA">
            <w:pPr>
              <w:spacing w:line="360" w:lineRule="auto"/>
              <w:jc w:val="both"/>
              <w:rPr>
                <w:rFonts w:ascii="Palatino Linotype" w:hAnsi="Palatino Linotype" w:cs="Arial"/>
                <w:sz w:val="20"/>
                <w:szCs w:val="20"/>
              </w:rPr>
            </w:pPr>
            <w:r w:rsidRPr="00BE39DA">
              <w:rPr>
                <w:rFonts w:ascii="Palatino Linotype" w:hAnsi="Palatino Linotype" w:cs="Arial"/>
                <w:sz w:val="20"/>
                <w:szCs w:val="20"/>
              </w:rPr>
              <w:t>b) An appreciations of the commercial environment of legal practice, including the market for legal service</w:t>
            </w:r>
          </w:p>
          <w:p w14:paraId="0D21D0F1" w14:textId="77777777" w:rsidR="00BE39DA" w:rsidRPr="00BE39DA" w:rsidRDefault="00BE39DA" w:rsidP="00BE39DA">
            <w:pPr>
              <w:spacing w:line="360" w:lineRule="auto"/>
              <w:jc w:val="both"/>
              <w:rPr>
                <w:rFonts w:ascii="Palatino Linotype" w:hAnsi="Palatino Linotype" w:cs="Arial"/>
                <w:sz w:val="20"/>
                <w:szCs w:val="20"/>
              </w:rPr>
            </w:pPr>
            <w:r w:rsidRPr="00BE39DA">
              <w:rPr>
                <w:rFonts w:ascii="Palatino Linotype" w:hAnsi="Palatino Linotype" w:cs="Arial"/>
                <w:sz w:val="20"/>
                <w:szCs w:val="20"/>
              </w:rPr>
              <w:t>c) Employment of risk management skills</w:t>
            </w:r>
          </w:p>
          <w:p w14:paraId="1269254D" w14:textId="77777777" w:rsidR="00BE39DA" w:rsidRDefault="00BE39DA" w:rsidP="00BE39DA">
            <w:pPr>
              <w:spacing w:line="360" w:lineRule="auto"/>
              <w:jc w:val="both"/>
              <w:rPr>
                <w:rFonts w:ascii="Palatino Linotype" w:hAnsi="Palatino Linotype" w:cs="Arial"/>
                <w:sz w:val="20"/>
                <w:szCs w:val="20"/>
              </w:rPr>
            </w:pPr>
            <w:r w:rsidRPr="00BE39DA">
              <w:rPr>
                <w:rFonts w:ascii="Palatino Linotype" w:hAnsi="Palatino Linotype" w:cs="Arial"/>
                <w:sz w:val="20"/>
                <w:szCs w:val="20"/>
              </w:rPr>
              <w:t>The ability to work effectively as a member of a team.</w:t>
            </w:r>
          </w:p>
          <w:p w14:paraId="156BD88D" w14:textId="66C8C167" w:rsidR="00BE39DA" w:rsidRPr="00BE39DA" w:rsidRDefault="00BE39DA" w:rsidP="00BE39DA">
            <w:pPr>
              <w:spacing w:line="360" w:lineRule="auto"/>
              <w:jc w:val="both"/>
              <w:rPr>
                <w:rFonts w:ascii="Palatino Linotype" w:hAnsi="Palatino Linotype" w:cs="Arial"/>
                <w:b/>
                <w:sz w:val="20"/>
                <w:szCs w:val="22"/>
              </w:rPr>
            </w:pPr>
            <w:r w:rsidRPr="00BE39DA">
              <w:rPr>
                <w:rFonts w:ascii="Palatino Linotype" w:hAnsi="Palatino Linotype" w:cs="Arial"/>
                <w:b/>
                <w:sz w:val="20"/>
                <w:szCs w:val="22"/>
              </w:rPr>
              <w:t>Graduates strive to seek justice.</w:t>
            </w:r>
          </w:p>
          <w:p w14:paraId="655F63C6" w14:textId="77777777" w:rsidR="00BE39DA" w:rsidRPr="00BE39DA" w:rsidRDefault="00BE39DA" w:rsidP="00BE39DA">
            <w:pPr>
              <w:spacing w:line="360" w:lineRule="auto"/>
              <w:jc w:val="both"/>
              <w:rPr>
                <w:rFonts w:ascii="Palatino Linotype" w:hAnsi="Palatino Linotype" w:cs="Arial"/>
                <w:b/>
                <w:sz w:val="20"/>
                <w:szCs w:val="22"/>
              </w:rPr>
            </w:pPr>
            <w:r w:rsidRPr="00BE39DA">
              <w:rPr>
                <w:rFonts w:ascii="Palatino Linotype" w:hAnsi="Palatino Linotype" w:cs="Arial"/>
                <w:b/>
                <w:sz w:val="20"/>
                <w:szCs w:val="22"/>
              </w:rPr>
              <w:t>Graduates foster respect for the rule of law.</w:t>
            </w:r>
          </w:p>
          <w:p w14:paraId="178398DF" w14:textId="77777777" w:rsidR="00BE39DA" w:rsidRPr="00BE39DA" w:rsidRDefault="00BE39DA" w:rsidP="00BE39DA">
            <w:pPr>
              <w:spacing w:line="360" w:lineRule="auto"/>
              <w:jc w:val="both"/>
              <w:rPr>
                <w:rFonts w:ascii="Palatino Linotype" w:hAnsi="Palatino Linotype" w:cs="Arial"/>
                <w:b/>
                <w:sz w:val="20"/>
                <w:szCs w:val="22"/>
              </w:rPr>
            </w:pPr>
            <w:r w:rsidRPr="00BE39DA">
              <w:rPr>
                <w:rFonts w:ascii="Palatino Linotype" w:hAnsi="Palatino Linotype" w:cs="Arial"/>
                <w:b/>
                <w:sz w:val="20"/>
                <w:szCs w:val="22"/>
              </w:rPr>
              <w:t>Graduates embody honor, integrity, and fair play and are truthful and candid.</w:t>
            </w:r>
          </w:p>
          <w:p w14:paraId="2E8C52BE" w14:textId="77777777" w:rsidR="00BE39DA" w:rsidRPr="00BE39DA" w:rsidRDefault="00BE39DA" w:rsidP="00BE39DA">
            <w:pPr>
              <w:spacing w:line="360" w:lineRule="auto"/>
              <w:jc w:val="both"/>
              <w:rPr>
                <w:rFonts w:ascii="Palatino Linotype" w:hAnsi="Palatino Linotype" w:cs="Arial"/>
                <w:b/>
                <w:sz w:val="20"/>
                <w:szCs w:val="22"/>
              </w:rPr>
            </w:pPr>
            <w:r w:rsidRPr="00BE39DA">
              <w:rPr>
                <w:rFonts w:ascii="Palatino Linotype" w:hAnsi="Palatino Linotype" w:cs="Arial"/>
                <w:b/>
                <w:sz w:val="20"/>
                <w:szCs w:val="22"/>
              </w:rPr>
              <w:t>Graduates deal sensitively and effectively with diverse clients and colleagues.</w:t>
            </w:r>
          </w:p>
          <w:p w14:paraId="584F118C" w14:textId="77777777" w:rsidR="00BE39DA" w:rsidRPr="00BE39DA" w:rsidRDefault="00BE39DA" w:rsidP="00BE39DA">
            <w:pPr>
              <w:spacing w:line="360" w:lineRule="auto"/>
              <w:jc w:val="both"/>
              <w:rPr>
                <w:rFonts w:ascii="Palatino Linotype" w:hAnsi="Palatino Linotype" w:cs="Arial"/>
                <w:b/>
                <w:sz w:val="20"/>
                <w:szCs w:val="22"/>
              </w:rPr>
            </w:pPr>
            <w:r w:rsidRPr="00BE39DA">
              <w:rPr>
                <w:rFonts w:ascii="Palatino Linotype" w:hAnsi="Palatino Linotype" w:cs="Arial"/>
                <w:b/>
                <w:sz w:val="20"/>
                <w:szCs w:val="22"/>
              </w:rPr>
              <w:t>Graduates nurture quality of life.</w:t>
            </w:r>
          </w:p>
          <w:p w14:paraId="6C610F7C" w14:textId="77777777" w:rsidR="00BE39DA" w:rsidRPr="00BE39DA" w:rsidRDefault="00BE39DA" w:rsidP="00BE39DA">
            <w:pPr>
              <w:spacing w:line="360" w:lineRule="auto"/>
              <w:jc w:val="both"/>
              <w:rPr>
                <w:rFonts w:ascii="Palatino Linotype" w:hAnsi="Palatino Linotype" w:cs="Arial"/>
                <w:b/>
                <w:sz w:val="20"/>
                <w:szCs w:val="22"/>
              </w:rPr>
            </w:pPr>
            <w:r w:rsidRPr="00BE39DA">
              <w:rPr>
                <w:rFonts w:ascii="Palatino Linotype" w:hAnsi="Palatino Linotype" w:cs="Arial"/>
                <w:b/>
                <w:sz w:val="20"/>
                <w:szCs w:val="22"/>
              </w:rPr>
              <w:t>Graduates demonstrate self-reflection and lifelong learning skills.</w:t>
            </w:r>
          </w:p>
          <w:p w14:paraId="6FCC0DE5" w14:textId="629BE9E7" w:rsidR="00BE32CF" w:rsidRPr="00BE32CF" w:rsidRDefault="00BE39DA" w:rsidP="00BE39DA">
            <w:pPr>
              <w:spacing w:line="360" w:lineRule="auto"/>
              <w:jc w:val="both"/>
              <w:rPr>
                <w:rFonts w:ascii="Palatino Linotype" w:hAnsi="Palatino Linotype" w:cs="Arial"/>
                <w:b/>
                <w:sz w:val="20"/>
                <w:szCs w:val="20"/>
              </w:rPr>
            </w:pPr>
            <w:r w:rsidRPr="00BE39DA">
              <w:rPr>
                <w:rFonts w:ascii="Palatino Linotype" w:hAnsi="Palatino Linotype" w:cs="Arial"/>
                <w:b/>
                <w:sz w:val="20"/>
                <w:szCs w:val="22"/>
              </w:rPr>
              <w:t>Graduates demonstrate self-efficacy</w:t>
            </w:r>
          </w:p>
        </w:tc>
      </w:tr>
    </w:tbl>
    <w:p w14:paraId="4B087E3E" w14:textId="77777777" w:rsidR="00E84B7C" w:rsidRPr="00320C53" w:rsidRDefault="00E84B7C" w:rsidP="000C2DAB">
      <w:pPr>
        <w:spacing w:line="480" w:lineRule="auto"/>
        <w:jc w:val="both"/>
        <w:rPr>
          <w:rFonts w:ascii="Palatino Linotype" w:hAnsi="Palatino Linotype"/>
        </w:rPr>
      </w:pPr>
    </w:p>
    <w:p w14:paraId="5C7861EE" w14:textId="2DD6D62A" w:rsidR="00271F6C" w:rsidRPr="00320C53" w:rsidRDefault="00271F6C" w:rsidP="000C2DAB">
      <w:pPr>
        <w:spacing w:line="480" w:lineRule="auto"/>
        <w:jc w:val="both"/>
        <w:rPr>
          <w:rFonts w:ascii="Palatino Linotype" w:hAnsi="Palatino Linotype"/>
        </w:rPr>
      </w:pPr>
    </w:p>
    <w:sectPr w:rsidR="00271F6C" w:rsidRPr="00320C53" w:rsidSect="00E77670">
      <w:endnotePr>
        <w:numFmt w:val="decimal"/>
      </w:endnotePr>
      <w:pgSz w:w="15840" w:h="12240" w:orient="landscape"/>
      <w:pgMar w:top="1361" w:right="1474" w:bottom="1361" w:left="1474" w:header="708" w:footer="708"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1490F9" w14:textId="77777777" w:rsidR="009068D4" w:rsidRDefault="009068D4" w:rsidP="00BD327F">
      <w:r>
        <w:separator/>
      </w:r>
    </w:p>
  </w:endnote>
  <w:endnote w:type="continuationSeparator" w:id="0">
    <w:p w14:paraId="6CBB2D0B" w14:textId="77777777" w:rsidR="009068D4" w:rsidRDefault="009068D4" w:rsidP="00BD3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Geneva">
    <w:altName w:val="Arial"/>
    <w:charset w:val="00"/>
    <w:family w:val="auto"/>
    <w:pitch w:val="variable"/>
    <w:sig w:usb0="E00002FF" w:usb1="5200205F" w:usb2="00A0C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8691D" w14:textId="77777777" w:rsidR="00B74BAA" w:rsidRDefault="00B74BAA" w:rsidP="00E279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F57C25" w14:textId="77777777" w:rsidR="00B74BAA" w:rsidRDefault="00B74BAA" w:rsidP="00BD327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D18BE8" w14:textId="77777777" w:rsidR="00B74BAA" w:rsidRDefault="00B74BAA" w:rsidP="00E279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44D87">
      <w:rPr>
        <w:rStyle w:val="PageNumber"/>
        <w:noProof/>
      </w:rPr>
      <w:t>47</w:t>
    </w:r>
    <w:r>
      <w:rPr>
        <w:rStyle w:val="PageNumber"/>
      </w:rPr>
      <w:fldChar w:fldCharType="end"/>
    </w:r>
  </w:p>
  <w:p w14:paraId="0E749053" w14:textId="77777777" w:rsidR="00B74BAA" w:rsidRDefault="00B74BAA" w:rsidP="00BD327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532588" w14:textId="77777777" w:rsidR="009068D4" w:rsidRDefault="009068D4" w:rsidP="00BD327F">
      <w:r>
        <w:separator/>
      </w:r>
    </w:p>
  </w:footnote>
  <w:footnote w:type="continuationSeparator" w:id="0">
    <w:p w14:paraId="2B4C478B" w14:textId="77777777" w:rsidR="009068D4" w:rsidRDefault="009068D4" w:rsidP="00BD327F">
      <w:r>
        <w:continuationSeparator/>
      </w:r>
    </w:p>
  </w:footnote>
  <w:footnote w:id="1">
    <w:p w14:paraId="03DFCBA4" w14:textId="2B0FF916" w:rsidR="00B74BAA" w:rsidRPr="000C2DAB" w:rsidRDefault="00B74BAA" w:rsidP="000C2DAB">
      <w:pPr>
        <w:pStyle w:val="FootnoteText"/>
        <w:rPr>
          <w:rFonts w:ascii="Palatino Linotype" w:hAnsi="Palatino Linotype"/>
          <w:sz w:val="20"/>
          <w:szCs w:val="20"/>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Neil Gold is Professor Emeritus in the Faculty of Law at the University of Windsor, Canada.</w:t>
      </w:r>
    </w:p>
  </w:footnote>
  <w:footnote w:id="2">
    <w:p w14:paraId="2D3AD5C3" w14:textId="737AF561" w:rsidR="00B74BAA" w:rsidRPr="000C2DAB" w:rsidRDefault="00B74BAA">
      <w:pPr>
        <w:pStyle w:val="FootnoteText"/>
        <w:rPr>
          <w:rFonts w:ascii="Palatino Linotype" w:hAnsi="Palatino Linotype"/>
          <w:sz w:val="20"/>
          <w:szCs w:val="20"/>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There is a discussion of the meaning of the term Clinical Legal Education, as I use it, </w:t>
      </w:r>
      <w:r>
        <w:rPr>
          <w:rFonts w:ascii="Palatino Linotype" w:hAnsi="Palatino Linotype"/>
          <w:sz w:val="20"/>
          <w:szCs w:val="20"/>
        </w:rPr>
        <w:t>in Section 6</w:t>
      </w:r>
      <w:r w:rsidRPr="000C2DAB">
        <w:rPr>
          <w:rFonts w:ascii="Palatino Linotype" w:hAnsi="Palatino Linotype"/>
          <w:sz w:val="20"/>
          <w:szCs w:val="20"/>
        </w:rPr>
        <w:t>. Some readers may wish to come back to the beginning after reading the section entitled “What is clinical legal education</w:t>
      </w:r>
      <w:r>
        <w:rPr>
          <w:rFonts w:ascii="Palatino Linotype" w:hAnsi="Palatino Linotype"/>
          <w:sz w:val="20"/>
          <w:szCs w:val="20"/>
        </w:rPr>
        <w:t>?</w:t>
      </w:r>
      <w:r w:rsidRPr="000C2DAB">
        <w:rPr>
          <w:rFonts w:ascii="Palatino Linotype" w:hAnsi="Palatino Linotype"/>
          <w:sz w:val="20"/>
          <w:szCs w:val="20"/>
        </w:rPr>
        <w:t>”.</w:t>
      </w:r>
    </w:p>
  </w:footnote>
  <w:footnote w:id="3">
    <w:p w14:paraId="5097E2E5" w14:textId="12300165" w:rsidR="00B74BAA" w:rsidRPr="000C2DAB" w:rsidRDefault="00B74BAA">
      <w:pPr>
        <w:pStyle w:val="FootnoteText"/>
        <w:rPr>
          <w:rFonts w:ascii="Palatino Linotype" w:hAnsi="Palatino Linotype"/>
          <w:sz w:val="20"/>
          <w:szCs w:val="20"/>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In some places, “post-secondary” education.</w:t>
      </w:r>
    </w:p>
  </w:footnote>
  <w:footnote w:id="4">
    <w:p w14:paraId="401CA1C7" w14:textId="3488C1FA" w:rsidR="00B74BAA" w:rsidRPr="000C2DAB" w:rsidRDefault="00B74BAA" w:rsidP="00BB4C25">
      <w:pPr>
        <w:shd w:val="clear" w:color="auto" w:fill="FFFFFF"/>
        <w:rPr>
          <w:rFonts w:ascii="Palatino Linotype" w:hAnsi="Palatino Linotype" w:cs="Arial"/>
          <w:i/>
          <w:sz w:val="20"/>
          <w:szCs w:val="20"/>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w:t>
      </w:r>
      <w:r w:rsidRPr="000C2DAB">
        <w:rPr>
          <w:rFonts w:ascii="Palatino Linotype" w:hAnsi="Palatino Linotype" w:cs="Arial"/>
          <w:sz w:val="20"/>
          <w:szCs w:val="20"/>
        </w:rPr>
        <w:t xml:space="preserve">1. Quality Assurance Authority for Higher Education, </w:t>
      </w:r>
      <w:r w:rsidRPr="000C2DAB">
        <w:rPr>
          <w:rFonts w:ascii="Palatino Linotype" w:hAnsi="Palatino Linotype" w:cs="Arial"/>
          <w:i/>
          <w:sz w:val="20"/>
          <w:szCs w:val="20"/>
        </w:rPr>
        <w:t>UK Quality Code for Higher Education, Part A: Setting and maintaining threshold academic standards; Chapter A1: The national level</w:t>
      </w:r>
      <w:r w:rsidRPr="000C2DAB">
        <w:rPr>
          <w:rFonts w:ascii="Palatino Linotype" w:hAnsi="Palatino Linotype" w:cs="Arial"/>
          <w:sz w:val="20"/>
          <w:szCs w:val="20"/>
        </w:rPr>
        <w:t>. (December 2011)</w:t>
      </w:r>
      <w:r w:rsidRPr="000C2DAB">
        <w:rPr>
          <w:rFonts w:ascii="Palatino Linotype" w:eastAsia="Times New Roman" w:hAnsi="Palatino Linotype" w:cs="Arial"/>
          <w:bCs/>
          <w:color w:val="2C363F"/>
          <w:sz w:val="20"/>
          <w:szCs w:val="20"/>
        </w:rPr>
        <w:t>(See p. 9 ff. for outcomes)</w:t>
      </w:r>
    </w:p>
    <w:p w14:paraId="25772DC8" w14:textId="77777777" w:rsidR="00B74BAA" w:rsidRPr="000C2DAB" w:rsidRDefault="00B74BAA" w:rsidP="00BB4C25">
      <w:pPr>
        <w:rPr>
          <w:rFonts w:ascii="Palatino Linotype" w:hAnsi="Palatino Linotype" w:cs="Arial"/>
          <w:sz w:val="20"/>
          <w:szCs w:val="20"/>
        </w:rPr>
      </w:pPr>
      <w:hyperlink r:id="rId1" w:history="1">
        <w:r w:rsidRPr="000C2DAB">
          <w:rPr>
            <w:rStyle w:val="Hyperlink"/>
            <w:rFonts w:ascii="Palatino Linotype" w:hAnsi="Palatino Linotype" w:cs="Arial"/>
            <w:sz w:val="20"/>
            <w:szCs w:val="20"/>
          </w:rPr>
          <w:t>http://www.qaa.ac.uk/Publications/InformationAndGuidance/Pages/quality-code-A1.aspx</w:t>
        </w:r>
      </w:hyperlink>
    </w:p>
    <w:p w14:paraId="68240701" w14:textId="7E69D879" w:rsidR="00B74BAA" w:rsidRPr="000C2DAB" w:rsidRDefault="00B74BAA" w:rsidP="00BB4C25">
      <w:pPr>
        <w:rPr>
          <w:rFonts w:ascii="Palatino Linotype" w:hAnsi="Palatino Linotype" w:cs="Arial"/>
          <w:sz w:val="20"/>
          <w:szCs w:val="20"/>
        </w:rPr>
      </w:pPr>
      <w:r w:rsidRPr="000C2DAB">
        <w:rPr>
          <w:rFonts w:ascii="Palatino Linotype" w:hAnsi="Palatino Linotype" w:cs="Arial"/>
          <w:sz w:val="20"/>
          <w:szCs w:val="20"/>
        </w:rPr>
        <w:t xml:space="preserve">2. Australian Qualification Framework Council, </w:t>
      </w:r>
      <w:r w:rsidRPr="000C2DAB">
        <w:rPr>
          <w:rFonts w:ascii="Palatino Linotype" w:hAnsi="Palatino Linotype" w:cs="Arial"/>
          <w:i/>
          <w:sz w:val="20"/>
          <w:szCs w:val="20"/>
        </w:rPr>
        <w:t xml:space="preserve">Australian Qualifications Framework, </w:t>
      </w:r>
      <w:r w:rsidRPr="000C2DAB">
        <w:rPr>
          <w:rFonts w:ascii="Palatino Linotype" w:hAnsi="Palatino Linotype" w:cs="Arial"/>
          <w:sz w:val="20"/>
          <w:szCs w:val="20"/>
        </w:rPr>
        <w:t>First Edition. (July 2011) (See pp. 11-18 for learning outcomes)</w:t>
      </w:r>
    </w:p>
    <w:p w14:paraId="492D97CA" w14:textId="77777777" w:rsidR="00B74BAA" w:rsidRPr="000C2DAB" w:rsidRDefault="00B74BAA" w:rsidP="00BB4C25">
      <w:pPr>
        <w:rPr>
          <w:rFonts w:ascii="Palatino Linotype" w:hAnsi="Palatino Linotype" w:cs="Arial"/>
          <w:sz w:val="20"/>
          <w:szCs w:val="20"/>
        </w:rPr>
      </w:pPr>
      <w:hyperlink r:id="rId2" w:history="1">
        <w:r w:rsidRPr="000C2DAB">
          <w:rPr>
            <w:rStyle w:val="Hyperlink"/>
            <w:rFonts w:ascii="Palatino Linotype" w:hAnsi="Palatino Linotype" w:cs="Arial"/>
            <w:sz w:val="20"/>
            <w:szCs w:val="20"/>
          </w:rPr>
          <w:t>http://www.aqf.edu.au/Portals/0/Documents/Handbook/Greyscale%20-%20AQF_HndBkjul2011_LOCKED_PrintableVersion.pdf</w:t>
        </w:r>
      </w:hyperlink>
    </w:p>
    <w:p w14:paraId="752505D5" w14:textId="0B6A4E34" w:rsidR="00B74BAA" w:rsidRPr="000C2DAB" w:rsidRDefault="00B74BAA" w:rsidP="00BB4C25">
      <w:pPr>
        <w:widowControl w:val="0"/>
        <w:autoSpaceDE w:val="0"/>
        <w:autoSpaceDN w:val="0"/>
        <w:adjustRightInd w:val="0"/>
        <w:rPr>
          <w:rFonts w:ascii="Palatino Linotype" w:hAnsi="Palatino Linotype" w:cs="Arial"/>
          <w:sz w:val="20"/>
          <w:szCs w:val="20"/>
        </w:rPr>
      </w:pPr>
      <w:r w:rsidRPr="000C2DAB">
        <w:rPr>
          <w:rFonts w:ascii="Palatino Linotype" w:hAnsi="Palatino Linotype" w:cs="Arial"/>
          <w:sz w:val="20"/>
          <w:szCs w:val="20"/>
        </w:rPr>
        <w:t>3.</w:t>
      </w:r>
      <w:r>
        <w:rPr>
          <w:rFonts w:ascii="Palatino Linotype" w:hAnsi="Palatino Linotype" w:cs="Arial"/>
          <w:sz w:val="20"/>
          <w:szCs w:val="20"/>
        </w:rPr>
        <w:t xml:space="preserve"> </w:t>
      </w:r>
      <w:r w:rsidRPr="000C2DAB">
        <w:rPr>
          <w:rFonts w:ascii="Palatino Linotype" w:hAnsi="Palatino Linotype" w:cs="Arial"/>
          <w:sz w:val="20"/>
          <w:szCs w:val="20"/>
        </w:rPr>
        <w:t xml:space="preserve">Council of Ministers of Education, Canada, </w:t>
      </w:r>
      <w:r w:rsidRPr="000C2DAB">
        <w:rPr>
          <w:rFonts w:ascii="Palatino Linotype" w:hAnsi="Palatino Linotype" w:cs="Arial"/>
          <w:i/>
          <w:sz w:val="20"/>
          <w:szCs w:val="20"/>
        </w:rPr>
        <w:t>Ministerial Statement on Quality Assurance of Degree Education in Canada</w:t>
      </w:r>
      <w:r w:rsidRPr="000C2DAB">
        <w:rPr>
          <w:rFonts w:ascii="Palatino Linotype" w:hAnsi="Palatino Linotype" w:cs="Arial"/>
          <w:sz w:val="20"/>
          <w:szCs w:val="20"/>
        </w:rPr>
        <w:t>. (2007)</w:t>
      </w:r>
    </w:p>
    <w:p w14:paraId="285DBA56" w14:textId="77777777" w:rsidR="00B74BAA" w:rsidRPr="000C2DAB" w:rsidRDefault="00B74BAA" w:rsidP="00BB4C25">
      <w:pPr>
        <w:widowControl w:val="0"/>
        <w:autoSpaceDE w:val="0"/>
        <w:autoSpaceDN w:val="0"/>
        <w:adjustRightInd w:val="0"/>
        <w:rPr>
          <w:rFonts w:ascii="Palatino Linotype" w:hAnsi="Palatino Linotype" w:cs="Arial"/>
          <w:sz w:val="20"/>
          <w:szCs w:val="20"/>
        </w:rPr>
      </w:pPr>
      <w:hyperlink r:id="rId3" w:history="1">
        <w:r w:rsidRPr="000C2DAB">
          <w:rPr>
            <w:rStyle w:val="Hyperlink"/>
            <w:rFonts w:ascii="Palatino Linotype" w:hAnsi="Palatino Linotype" w:cs="Arial"/>
            <w:sz w:val="20"/>
            <w:szCs w:val="20"/>
          </w:rPr>
          <w:t>http://www.cmec.ca/Publications/Lists/Publications/Attachments/95/QA-Statement-2007.en.pdf</w:t>
        </w:r>
      </w:hyperlink>
    </w:p>
    <w:p w14:paraId="2EC235C2" w14:textId="0846E3E1" w:rsidR="00B74BAA" w:rsidRPr="000C2DAB" w:rsidRDefault="00B74BAA" w:rsidP="00BB4C25">
      <w:pPr>
        <w:pStyle w:val="Default"/>
        <w:rPr>
          <w:rFonts w:ascii="Palatino Linotype" w:hAnsi="Palatino Linotype"/>
          <w:sz w:val="20"/>
          <w:szCs w:val="20"/>
        </w:rPr>
      </w:pPr>
      <w:r w:rsidRPr="000C2DAB">
        <w:rPr>
          <w:rFonts w:ascii="Palatino Linotype" w:hAnsi="Palatino Linotype"/>
          <w:sz w:val="20"/>
          <w:szCs w:val="20"/>
        </w:rPr>
        <w:t>4.</w:t>
      </w:r>
      <w:r>
        <w:rPr>
          <w:rFonts w:ascii="Palatino Linotype" w:hAnsi="Palatino Linotype"/>
          <w:sz w:val="20"/>
          <w:szCs w:val="20"/>
        </w:rPr>
        <w:t xml:space="preserve"> </w:t>
      </w:r>
      <w:r w:rsidRPr="000C2DAB">
        <w:rPr>
          <w:rFonts w:ascii="Palatino Linotype" w:hAnsi="Palatino Linotype"/>
          <w:sz w:val="20"/>
          <w:szCs w:val="20"/>
        </w:rPr>
        <w:t xml:space="preserve">Campus Alberta Quality Council, </w:t>
      </w:r>
      <w:r w:rsidRPr="000C2DAB">
        <w:rPr>
          <w:rFonts w:ascii="Palatino Linotype" w:hAnsi="Palatino Linotype"/>
          <w:bCs/>
          <w:i/>
          <w:sz w:val="20"/>
          <w:szCs w:val="20"/>
        </w:rPr>
        <w:t>HANDBOOK: Quality Assessment and Quality Assurance</w:t>
      </w:r>
      <w:r w:rsidRPr="000C2DAB">
        <w:rPr>
          <w:rFonts w:ascii="Palatino Linotype" w:hAnsi="Palatino Linotype"/>
          <w:bCs/>
          <w:sz w:val="20"/>
          <w:szCs w:val="20"/>
        </w:rPr>
        <w:t xml:space="preserve">, </w:t>
      </w:r>
      <w:r w:rsidRPr="000C2DAB">
        <w:rPr>
          <w:rFonts w:ascii="Palatino Linotype" w:hAnsi="Palatino Linotype"/>
          <w:sz w:val="20"/>
          <w:szCs w:val="20"/>
        </w:rPr>
        <w:t>First Edition. (February 2009,  with revisions to December 2011)</w:t>
      </w:r>
    </w:p>
    <w:p w14:paraId="6B951603" w14:textId="77777777" w:rsidR="00B74BAA" w:rsidRPr="000C2DAB" w:rsidRDefault="00B74BAA" w:rsidP="00BB4C25">
      <w:pPr>
        <w:pStyle w:val="Default"/>
        <w:rPr>
          <w:rFonts w:ascii="Palatino Linotype" w:hAnsi="Palatino Linotype"/>
          <w:sz w:val="20"/>
          <w:szCs w:val="20"/>
        </w:rPr>
      </w:pPr>
      <w:r w:rsidRPr="000C2DAB">
        <w:rPr>
          <w:rFonts w:ascii="Palatino Linotype" w:hAnsi="Palatino Linotype"/>
          <w:sz w:val="20"/>
          <w:szCs w:val="20"/>
        </w:rPr>
        <w:t>(Council adopts Ministerial Statement on QA –above)</w:t>
      </w:r>
    </w:p>
    <w:p w14:paraId="517A5651" w14:textId="77777777" w:rsidR="00B74BAA" w:rsidRPr="000C2DAB" w:rsidRDefault="00B74BAA" w:rsidP="00BB4C25">
      <w:pPr>
        <w:pStyle w:val="Default"/>
        <w:ind w:right="-149"/>
        <w:rPr>
          <w:rFonts w:ascii="Palatino Linotype" w:hAnsi="Palatino Linotype"/>
          <w:sz w:val="20"/>
          <w:szCs w:val="20"/>
        </w:rPr>
      </w:pPr>
      <w:hyperlink r:id="rId4" w:history="1">
        <w:r w:rsidRPr="000C2DAB">
          <w:rPr>
            <w:rStyle w:val="Hyperlink"/>
            <w:rFonts w:ascii="Palatino Linotype" w:hAnsi="Palatino Linotype"/>
            <w:sz w:val="20"/>
            <w:szCs w:val="20"/>
          </w:rPr>
          <w:t>http://www.caqc.gov.ab.ca/media/1102/handbook_december_2011_revised_2012_04.pdf</w:t>
        </w:r>
      </w:hyperlink>
    </w:p>
    <w:p w14:paraId="1F8ED6FF" w14:textId="22A0F10D" w:rsidR="00B74BAA" w:rsidRPr="000C2DAB" w:rsidRDefault="00B74BAA" w:rsidP="00BB4C25">
      <w:pPr>
        <w:pStyle w:val="Default"/>
        <w:rPr>
          <w:rFonts w:ascii="Palatino Linotype" w:hAnsi="Palatino Linotype"/>
          <w:sz w:val="20"/>
          <w:szCs w:val="20"/>
        </w:rPr>
      </w:pPr>
      <w:r w:rsidRPr="000C2DAB">
        <w:rPr>
          <w:rFonts w:ascii="Palatino Linotype" w:hAnsi="Palatino Linotype"/>
          <w:sz w:val="20"/>
          <w:szCs w:val="20"/>
        </w:rPr>
        <w:t>5.</w:t>
      </w:r>
      <w:r>
        <w:rPr>
          <w:rFonts w:ascii="Palatino Linotype" w:hAnsi="Palatino Linotype"/>
          <w:sz w:val="20"/>
          <w:szCs w:val="20"/>
        </w:rPr>
        <w:t xml:space="preserve"> </w:t>
      </w:r>
      <w:r w:rsidRPr="000C2DAB">
        <w:rPr>
          <w:rFonts w:ascii="Palatino Linotype" w:hAnsi="Palatino Linotype"/>
          <w:sz w:val="20"/>
          <w:szCs w:val="20"/>
        </w:rPr>
        <w:t xml:space="preserve">New Zealand Qualification Authority, </w:t>
      </w:r>
      <w:r w:rsidRPr="000C2DAB">
        <w:rPr>
          <w:rFonts w:ascii="Palatino Linotype" w:hAnsi="Palatino Linotype"/>
          <w:i/>
          <w:sz w:val="20"/>
          <w:szCs w:val="20"/>
        </w:rPr>
        <w:t>The New Zealand Register of Quality Assured Qualifications</w:t>
      </w:r>
      <w:r w:rsidRPr="000C2DAB">
        <w:rPr>
          <w:rFonts w:ascii="Palatino Linotype" w:hAnsi="Palatino Linotype"/>
          <w:sz w:val="20"/>
          <w:szCs w:val="20"/>
        </w:rPr>
        <w:t>. (October 2007)</w:t>
      </w:r>
      <w:r>
        <w:rPr>
          <w:rFonts w:ascii="Palatino Linotype" w:hAnsi="Palatino Linotype"/>
          <w:sz w:val="20"/>
          <w:szCs w:val="20"/>
        </w:rPr>
        <w:t xml:space="preserve"> </w:t>
      </w:r>
      <w:r w:rsidRPr="000C2DAB">
        <w:rPr>
          <w:rFonts w:ascii="Palatino Linotype" w:hAnsi="Palatino Linotype"/>
          <w:sz w:val="20"/>
          <w:szCs w:val="20"/>
        </w:rPr>
        <w:t>(See pp. 8/11 re need to establish outcomes for programs)</w:t>
      </w:r>
    </w:p>
    <w:p w14:paraId="45DAAAF6" w14:textId="77777777" w:rsidR="00B74BAA" w:rsidRPr="000C2DAB" w:rsidRDefault="00B74BAA" w:rsidP="00BB4C25">
      <w:pPr>
        <w:pStyle w:val="Default"/>
        <w:rPr>
          <w:rFonts w:ascii="Palatino Linotype" w:hAnsi="Palatino Linotype"/>
          <w:sz w:val="20"/>
          <w:szCs w:val="20"/>
        </w:rPr>
      </w:pPr>
      <w:hyperlink r:id="rId5" w:history="1">
        <w:r w:rsidRPr="000C2DAB">
          <w:rPr>
            <w:rStyle w:val="Hyperlink"/>
            <w:rFonts w:ascii="Palatino Linotype" w:hAnsi="Palatino Linotype"/>
            <w:sz w:val="20"/>
            <w:szCs w:val="20"/>
          </w:rPr>
          <w:t>http://www.nzqa.govt.nz/assets/Studying-in-NZ/New-Zealand-Qualification-Framework/theregister-booklet.pdf</w:t>
        </w:r>
      </w:hyperlink>
    </w:p>
    <w:p w14:paraId="70DD6D4A" w14:textId="77777777" w:rsidR="00B74BAA" w:rsidRPr="000C2DAB" w:rsidRDefault="00B74BAA" w:rsidP="00BB4C25">
      <w:pPr>
        <w:pStyle w:val="Default"/>
        <w:rPr>
          <w:rFonts w:ascii="Palatino Linotype" w:hAnsi="Palatino Linotype"/>
          <w:sz w:val="20"/>
          <w:szCs w:val="20"/>
        </w:rPr>
      </w:pPr>
      <w:r w:rsidRPr="000C2DAB">
        <w:rPr>
          <w:rFonts w:ascii="Palatino Linotype" w:hAnsi="Palatino Linotype"/>
          <w:sz w:val="20"/>
          <w:szCs w:val="20"/>
        </w:rPr>
        <w:t xml:space="preserve">6. Middle States Commission on Higher Education, </w:t>
      </w:r>
      <w:r w:rsidRPr="000C2DAB">
        <w:rPr>
          <w:rFonts w:ascii="Palatino Linotype" w:hAnsi="Palatino Linotype"/>
          <w:i/>
          <w:sz w:val="20"/>
          <w:szCs w:val="20"/>
        </w:rPr>
        <w:t>Characteristics of Excellence in Higher Education: Requirements of Affiliation and Standards for Accreditation</w:t>
      </w:r>
      <w:r w:rsidRPr="000C2DAB">
        <w:rPr>
          <w:rFonts w:ascii="Palatino Linotype" w:hAnsi="Palatino Linotype"/>
          <w:sz w:val="20"/>
          <w:szCs w:val="20"/>
        </w:rPr>
        <w:t>. 2006</w:t>
      </w:r>
    </w:p>
    <w:p w14:paraId="79B6AC7C" w14:textId="77777777" w:rsidR="00B74BAA" w:rsidRPr="000C2DAB" w:rsidRDefault="00B74BAA" w:rsidP="00BB4C25">
      <w:pPr>
        <w:pStyle w:val="Default"/>
        <w:rPr>
          <w:rFonts w:ascii="Palatino Linotype" w:hAnsi="Palatino Linotype"/>
          <w:sz w:val="20"/>
          <w:szCs w:val="20"/>
        </w:rPr>
      </w:pPr>
      <w:r w:rsidRPr="000C2DAB">
        <w:rPr>
          <w:rFonts w:ascii="Palatino Linotype" w:hAnsi="Palatino Linotype"/>
          <w:sz w:val="20"/>
          <w:szCs w:val="20"/>
        </w:rPr>
        <w:t>(See pp. 40-44 - Standard 11: Educational Offerings re need to establish learning outcomes)</w:t>
      </w:r>
    </w:p>
    <w:p w14:paraId="700413F2" w14:textId="77777777" w:rsidR="00B74BAA" w:rsidRPr="000C2DAB" w:rsidRDefault="00B74BAA" w:rsidP="00BB4C25">
      <w:pPr>
        <w:pStyle w:val="Default"/>
        <w:rPr>
          <w:rFonts w:ascii="Palatino Linotype" w:hAnsi="Palatino Linotype"/>
          <w:sz w:val="20"/>
          <w:szCs w:val="20"/>
        </w:rPr>
      </w:pPr>
      <w:r w:rsidRPr="000C2DAB">
        <w:rPr>
          <w:rFonts w:ascii="Palatino Linotype" w:hAnsi="Palatino Linotype"/>
          <w:sz w:val="20"/>
          <w:szCs w:val="20"/>
        </w:rPr>
        <w:t>http://www.msche.org/publications/CHX-2011-WEB.pdf</w:t>
      </w:r>
    </w:p>
    <w:p w14:paraId="677E1157" w14:textId="3E25329C" w:rsidR="00B74BAA" w:rsidRPr="000C2DAB" w:rsidRDefault="00B74BAA" w:rsidP="00BB4C25">
      <w:pPr>
        <w:pStyle w:val="Default"/>
        <w:rPr>
          <w:rFonts w:ascii="Palatino Linotype" w:hAnsi="Palatino Linotype"/>
          <w:sz w:val="20"/>
          <w:szCs w:val="20"/>
        </w:rPr>
      </w:pPr>
      <w:r w:rsidRPr="000C2DAB">
        <w:rPr>
          <w:rFonts w:ascii="Palatino Linotype" w:hAnsi="Palatino Linotype"/>
          <w:sz w:val="20"/>
          <w:szCs w:val="20"/>
        </w:rPr>
        <w:t>7. WASC (Western Association of Schools and Colleges) Accrediting Commission for Senior Colleges and Universities, Handbook of Accreditation (2008 , with Revision to Commission’s Decisions, 2012)</w:t>
      </w:r>
    </w:p>
    <w:p w14:paraId="6A6C1C22" w14:textId="77777777" w:rsidR="00B74BAA" w:rsidRPr="000C2DAB" w:rsidRDefault="00B74BAA" w:rsidP="00BB4C25">
      <w:pPr>
        <w:pStyle w:val="Default"/>
        <w:rPr>
          <w:rFonts w:ascii="Palatino Linotype" w:hAnsi="Palatino Linotype"/>
          <w:sz w:val="20"/>
          <w:szCs w:val="20"/>
        </w:rPr>
      </w:pPr>
      <w:r w:rsidRPr="000C2DAB">
        <w:rPr>
          <w:rFonts w:ascii="Palatino Linotype" w:hAnsi="Palatino Linotype"/>
          <w:sz w:val="20"/>
          <w:szCs w:val="20"/>
        </w:rPr>
        <w:t>(See pp. 14-15 – Achieving Educational Objectives Through Core Functions: Teaching and Learning- discusses use of learning objectives)</w:t>
      </w:r>
    </w:p>
    <w:p w14:paraId="508022E9" w14:textId="77777777" w:rsidR="00B74BAA" w:rsidRPr="000C2DAB" w:rsidRDefault="00B74BAA" w:rsidP="00BB4C25">
      <w:pPr>
        <w:pStyle w:val="Default"/>
        <w:rPr>
          <w:rFonts w:ascii="Palatino Linotype" w:hAnsi="Palatino Linotype"/>
          <w:sz w:val="20"/>
          <w:szCs w:val="20"/>
        </w:rPr>
      </w:pPr>
      <w:r w:rsidRPr="000C2DAB">
        <w:rPr>
          <w:rFonts w:ascii="Palatino Linotype" w:hAnsi="Palatino Linotype"/>
          <w:sz w:val="20"/>
          <w:szCs w:val="20"/>
        </w:rPr>
        <w:t xml:space="preserve"> </w:t>
      </w:r>
      <w:hyperlink r:id="rId6" w:history="1">
        <w:r w:rsidRPr="000C2DAB">
          <w:rPr>
            <w:rStyle w:val="Hyperlink"/>
            <w:rFonts w:ascii="Palatino Linotype" w:hAnsi="Palatino Linotype"/>
            <w:sz w:val="20"/>
            <w:szCs w:val="20"/>
          </w:rPr>
          <w:t>http://www.wascsenior.org/findit/files/forms/Handbook_of_Accreditation.pdf</w:t>
        </w:r>
      </w:hyperlink>
    </w:p>
    <w:p w14:paraId="5EC82753" w14:textId="05F8B0BC" w:rsidR="00B74BAA" w:rsidRPr="000C2DAB" w:rsidRDefault="00B74BAA" w:rsidP="00BB4C25">
      <w:pPr>
        <w:pStyle w:val="Default"/>
        <w:rPr>
          <w:rFonts w:ascii="Palatino Linotype" w:hAnsi="Palatino Linotype"/>
          <w:sz w:val="20"/>
          <w:szCs w:val="20"/>
        </w:rPr>
      </w:pPr>
      <w:r w:rsidRPr="000C2DAB">
        <w:rPr>
          <w:rFonts w:ascii="Palatino Linotype" w:hAnsi="Palatino Linotype"/>
          <w:sz w:val="20"/>
          <w:szCs w:val="20"/>
        </w:rPr>
        <w:t>8. Lumina Foundation, The Degree Qualifications Profile (2011)</w:t>
      </w:r>
    </w:p>
    <w:p w14:paraId="36E86321" w14:textId="2325F3A5" w:rsidR="00B74BAA" w:rsidRPr="000C2DAB" w:rsidRDefault="00B74BAA" w:rsidP="00F210A0">
      <w:pPr>
        <w:pStyle w:val="Default"/>
        <w:rPr>
          <w:rFonts w:ascii="Palatino Linotype" w:hAnsi="Palatino Linotype"/>
          <w:sz w:val="20"/>
          <w:szCs w:val="20"/>
        </w:rPr>
      </w:pPr>
      <w:r w:rsidRPr="000C2DAB">
        <w:rPr>
          <w:rFonts w:ascii="Palatino Linotype" w:hAnsi="Palatino Linotype"/>
          <w:sz w:val="20"/>
          <w:szCs w:val="20"/>
        </w:rPr>
        <w:t xml:space="preserve">(See pp. 11-20) </w:t>
      </w:r>
      <w:hyperlink r:id="rId7" w:history="1">
        <w:r w:rsidRPr="000F7999">
          <w:rPr>
            <w:rStyle w:val="Hyperlink"/>
            <w:rFonts w:ascii="Palatino Linotype" w:hAnsi="Palatino Linotype"/>
            <w:sz w:val="20"/>
            <w:szCs w:val="20"/>
          </w:rPr>
          <w:t>http://www.luminafoundation.org/wp-content/uploads/2011/02/The_Degree_Qualifications_Profile.pdf</w:t>
        </w:r>
      </w:hyperlink>
      <w:r>
        <w:rPr>
          <w:rFonts w:ascii="Palatino Linotype" w:hAnsi="Palatino Linotype"/>
          <w:sz w:val="20"/>
          <w:szCs w:val="20"/>
        </w:rPr>
        <w:t xml:space="preserve"> </w:t>
      </w:r>
    </w:p>
  </w:footnote>
  <w:footnote w:id="5">
    <w:p w14:paraId="765F049D" w14:textId="1E462C05" w:rsidR="00B74BAA" w:rsidRPr="000C2DAB" w:rsidRDefault="00B74BAA">
      <w:pPr>
        <w:pStyle w:val="FootnoteText"/>
        <w:rPr>
          <w:rFonts w:ascii="Palatino Linotype" w:hAnsi="Palatino Linotype"/>
          <w:sz w:val="20"/>
          <w:szCs w:val="20"/>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Stuckey, R. and others, </w:t>
      </w:r>
      <w:r w:rsidRPr="000C2DAB">
        <w:rPr>
          <w:rFonts w:ascii="Palatino Linotype" w:hAnsi="Palatino Linotype"/>
          <w:i/>
          <w:sz w:val="20"/>
          <w:szCs w:val="20"/>
        </w:rPr>
        <w:t>Best Practices for Legal Education</w:t>
      </w:r>
      <w:r w:rsidRPr="000C2DAB">
        <w:rPr>
          <w:rFonts w:ascii="Palatino Linotype" w:hAnsi="Palatino Linotype"/>
          <w:sz w:val="20"/>
          <w:szCs w:val="20"/>
        </w:rPr>
        <w:t>, CLEA (2007)  (Stuckey) The full volum</w:t>
      </w:r>
      <w:r>
        <w:rPr>
          <w:rFonts w:ascii="Palatino Linotype" w:hAnsi="Palatino Linotype"/>
          <w:sz w:val="20"/>
          <w:szCs w:val="20"/>
        </w:rPr>
        <w:t>e is available on line as a pdf</w:t>
      </w:r>
      <w:r w:rsidRPr="000C2DAB">
        <w:rPr>
          <w:rFonts w:ascii="Palatino Linotype" w:hAnsi="Palatino Linotype"/>
          <w:sz w:val="20"/>
          <w:szCs w:val="20"/>
        </w:rPr>
        <w:t xml:space="preserve"> at</w:t>
      </w:r>
      <w:r>
        <w:rPr>
          <w:rFonts w:ascii="Palatino Linotype" w:hAnsi="Palatino Linotype"/>
          <w:sz w:val="20"/>
          <w:szCs w:val="20"/>
        </w:rPr>
        <w:t xml:space="preserve"> </w:t>
      </w:r>
      <w:hyperlink r:id="rId8" w:history="1">
        <w:r w:rsidRPr="000F7999">
          <w:rPr>
            <w:rStyle w:val="Hyperlink"/>
            <w:rFonts w:ascii="Palatino Linotype" w:hAnsi="Palatino Linotype"/>
            <w:sz w:val="20"/>
            <w:szCs w:val="20"/>
          </w:rPr>
          <w:t>http://law.sc.edu/faculty/stuckey/best_practices/best_practices-cover.pdf</w:t>
        </w:r>
      </w:hyperlink>
      <w:r>
        <w:rPr>
          <w:rFonts w:ascii="Palatino Linotype" w:hAnsi="Palatino Linotype"/>
          <w:sz w:val="20"/>
          <w:szCs w:val="20"/>
        </w:rPr>
        <w:t xml:space="preserve"> </w:t>
      </w:r>
    </w:p>
  </w:footnote>
  <w:footnote w:id="6">
    <w:p w14:paraId="5593BE4E" w14:textId="4E72A99E" w:rsidR="00B74BAA" w:rsidRPr="000C2DAB" w:rsidRDefault="00B74BAA">
      <w:pPr>
        <w:pStyle w:val="FootnoteText"/>
        <w:rPr>
          <w:rFonts w:ascii="Palatino Linotype" w:hAnsi="Palatino Linotype"/>
          <w:sz w:val="20"/>
          <w:szCs w:val="20"/>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Distinctions are often made between “competency-based” and “outcomes-based” on the theory that a competency is a narrow ability that is a part of an outcome. By using the term “competency-based” I mean to focus on professional abilities, and of course these are outcomes. </w:t>
      </w:r>
    </w:p>
  </w:footnote>
  <w:footnote w:id="7">
    <w:p w14:paraId="2DB4D868" w14:textId="43FC700A" w:rsidR="00B74BAA" w:rsidRPr="000C2DAB" w:rsidRDefault="00B74BAA">
      <w:pPr>
        <w:pStyle w:val="FootnoteText"/>
        <w:rPr>
          <w:rFonts w:ascii="Palatino Linotype" w:hAnsi="Palatino Linotype"/>
          <w:sz w:val="20"/>
          <w:szCs w:val="20"/>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See Stuckey </w:t>
      </w:r>
      <w:r w:rsidRPr="000C2DAB">
        <w:rPr>
          <w:rFonts w:ascii="Palatino Linotype" w:hAnsi="Palatino Linotype"/>
          <w:i/>
          <w:sz w:val="20"/>
          <w:szCs w:val="20"/>
        </w:rPr>
        <w:t>op. cit.</w:t>
      </w:r>
      <w:r w:rsidRPr="000C2DAB">
        <w:rPr>
          <w:rFonts w:ascii="Palatino Linotype" w:hAnsi="Palatino Linotype"/>
          <w:sz w:val="20"/>
          <w:szCs w:val="20"/>
        </w:rPr>
        <w:t xml:space="preserve">  There is an interesting discussion on competence-based approaches to professional preparation in the current Legal Education and Training Review in England and Wales </w:t>
      </w:r>
      <w:hyperlink r:id="rId9" w:history="1">
        <w:r w:rsidRPr="000F7999">
          <w:rPr>
            <w:rStyle w:val="Hyperlink"/>
            <w:rFonts w:ascii="Palatino Linotype" w:hAnsi="Palatino Linotype"/>
            <w:sz w:val="20"/>
            <w:szCs w:val="20"/>
          </w:rPr>
          <w:t>http://letr.org.uk/publications/briefing-and-discussion-papers/</w:t>
        </w:r>
      </w:hyperlink>
      <w:r>
        <w:rPr>
          <w:rFonts w:ascii="Palatino Linotype" w:hAnsi="Palatino Linotype"/>
          <w:sz w:val="20"/>
          <w:szCs w:val="20"/>
        </w:rPr>
        <w:t xml:space="preserve"> </w:t>
      </w:r>
    </w:p>
  </w:footnote>
  <w:footnote w:id="8">
    <w:p w14:paraId="18162F53" w14:textId="016FC036" w:rsidR="00B74BAA" w:rsidRPr="000C2DAB" w:rsidRDefault="00B74BAA" w:rsidP="00633A14">
      <w:pPr>
        <w:rPr>
          <w:rFonts w:ascii="Palatino Linotype" w:eastAsia="Times New Roman" w:hAnsi="Palatino Linotype" w:cs="Times New Roman"/>
          <w:sz w:val="20"/>
          <w:szCs w:val="20"/>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There may be arguments about the feasibility of using clinic as a central, overarching, teaching approach or strategy. Some would doubt CLE’s financial viability; others would question whether there are sufficient clinicians to carry the curriculum; still others would argue that for many subjects conventional teaching approaches work just fine; and others may claim in cannot meet the demand of learning outcomes and subject matter coverage. No doubt there will be other issues and answers. IF CLE is given the wide definition I suggest in this paper I believe all of the negative arguments can be met, except perhaps finances, depending on the model employed.  Innovative approaches may overcome financial challenges:  How might senior and post-graduate students contribute to the learning and teaching agenda?  To what extent can able and interested practitioners be drawn into effective clinical teaching roles? Can online learning, as it has at the University of Windsor, supplement experiential learning?  See for example the use of online learning to support CLE at the University of Windsor’s city centre live-client clinic: </w:t>
      </w:r>
      <w:hyperlink r:id="rId10" w:history="1">
        <w:r w:rsidRPr="000C2DAB">
          <w:rPr>
            <w:rStyle w:val="Hyperlink"/>
            <w:rFonts w:ascii="Palatino Linotype" w:hAnsi="Palatino Linotype"/>
            <w:sz w:val="20"/>
            <w:szCs w:val="20"/>
          </w:rPr>
          <w:t>http://www.uwindsor.ca/law/2014-08-24/online-learning-launched</w:t>
        </w:r>
      </w:hyperlink>
      <w:r w:rsidRPr="000C2DAB">
        <w:rPr>
          <w:rFonts w:ascii="Palatino Linotype" w:hAnsi="Palatino Linotype"/>
          <w:sz w:val="20"/>
          <w:szCs w:val="20"/>
        </w:rPr>
        <w:t xml:space="preserve"> and </w:t>
      </w:r>
      <w:hyperlink r:id="rId11" w:tgtFrame="_blank" w:history="1">
        <w:r w:rsidRPr="000C2DAB">
          <w:rPr>
            <w:rStyle w:val="Hyperlink"/>
            <w:rFonts w:ascii="Palatino Linotype" w:eastAsia="Times New Roman" w:hAnsi="Palatino Linotype" w:cs="Times New Roman"/>
            <w:sz w:val="20"/>
            <w:szCs w:val="20"/>
          </w:rPr>
          <w:t>www.clinicallaw.ca</w:t>
        </w:r>
      </w:hyperlink>
      <w:r w:rsidRPr="000C2DAB">
        <w:rPr>
          <w:rFonts w:ascii="Palatino Linotype" w:eastAsia="Times New Roman" w:hAnsi="Palatino Linotype" w:cs="Times New Roman"/>
          <w:sz w:val="20"/>
          <w:szCs w:val="20"/>
        </w:rPr>
        <w:t xml:space="preserve"> </w:t>
      </w:r>
      <w:r w:rsidRPr="000C2DAB">
        <w:rPr>
          <w:rFonts w:ascii="Palatino Linotype" w:hAnsi="Palatino Linotype"/>
          <w:sz w:val="20"/>
          <w:szCs w:val="20"/>
        </w:rPr>
        <w:t xml:space="preserve">Not every learning opportunity will be a live client instance, but it will meet the definition others and I offer for CLE at page 13 and elsewhere in this paper. As an example, England’s University of York employs a mix of clinic methodologies. </w:t>
      </w:r>
      <w:hyperlink r:id="rId12" w:history="1">
        <w:r w:rsidRPr="000C2DAB">
          <w:rPr>
            <w:rStyle w:val="Hyperlink"/>
            <w:rFonts w:ascii="Palatino Linotype" w:hAnsi="Palatino Linotype"/>
            <w:sz w:val="20"/>
            <w:szCs w:val="20"/>
          </w:rPr>
          <w:t>http://www.york.ac.uk/law/current-students/learning-teaching/</w:t>
        </w:r>
      </w:hyperlink>
      <w:r w:rsidRPr="000C2DAB">
        <w:rPr>
          <w:rFonts w:ascii="Palatino Linotype" w:hAnsi="Palatino Linotype"/>
          <w:sz w:val="20"/>
          <w:szCs w:val="20"/>
        </w:rPr>
        <w:t xml:space="preserve"> January 15, 2015.</w:t>
      </w:r>
    </w:p>
  </w:footnote>
  <w:footnote w:id="9">
    <w:p w14:paraId="16799F02" w14:textId="39946F01" w:rsidR="00B74BAA" w:rsidRPr="000C2DAB" w:rsidRDefault="00B74BAA">
      <w:pPr>
        <w:pStyle w:val="FootnoteText"/>
        <w:rPr>
          <w:rFonts w:ascii="Palatino Linotype" w:hAnsi="Palatino Linotype"/>
          <w:sz w:val="20"/>
          <w:szCs w:val="20"/>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The Council of Ministers of Education of Canada, </w:t>
      </w:r>
      <w:r w:rsidRPr="000C2DAB">
        <w:rPr>
          <w:rFonts w:ascii="Palatino Linotype" w:hAnsi="Palatino Linotype"/>
          <w:i/>
          <w:sz w:val="20"/>
          <w:szCs w:val="20"/>
        </w:rPr>
        <w:t xml:space="preserve">op. cit. </w:t>
      </w:r>
      <w:r w:rsidRPr="000C2DAB">
        <w:rPr>
          <w:rFonts w:ascii="Palatino Linotype" w:hAnsi="Palatino Linotype"/>
          <w:sz w:val="20"/>
          <w:szCs w:val="20"/>
        </w:rPr>
        <w:t xml:space="preserve">draws heavily on the Ontario scheme and has been formally adopted by Alberta, see </w:t>
      </w:r>
      <w:r w:rsidRPr="000C2DAB">
        <w:rPr>
          <w:rFonts w:ascii="Palatino Linotype" w:hAnsi="Palatino Linotype"/>
          <w:i/>
          <w:sz w:val="20"/>
          <w:szCs w:val="20"/>
        </w:rPr>
        <w:t>op. cit.</w:t>
      </w:r>
    </w:p>
  </w:footnote>
  <w:footnote w:id="10">
    <w:p w14:paraId="62B304A0" w14:textId="48654A56" w:rsidR="00B74BAA" w:rsidRPr="000C2DAB" w:rsidRDefault="00B74BAA">
      <w:pPr>
        <w:pStyle w:val="FootnoteText"/>
        <w:rPr>
          <w:rFonts w:ascii="Palatino Linotype" w:hAnsi="Palatino Linotype"/>
          <w:sz w:val="20"/>
          <w:szCs w:val="20"/>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The irony will not go unmissed. Most higher education leaders and instructors are not trained or educated as educators.  Until relatively recently there was little interest in the work of post-secondary education researchers among university practitioners, such as presidents, provosts/deputy vice-chancellors, deans, etc.  The accountability movement has thrust higher education in Canada into the midst of the research outputs of educationists, chiefly for the better. Quality assurance schemes are at various stages of development around the developed world, with Canada among the last to subscribe. American regional accreditation schemes were largely input oriented until recently; now outputs, particularly student learning outputs, both intended and realized, have come under scrutiny.</w:t>
      </w:r>
    </w:p>
  </w:footnote>
  <w:footnote w:id="11">
    <w:p w14:paraId="374762E9" w14:textId="77777777" w:rsidR="00B74BAA" w:rsidRPr="000C2DAB" w:rsidRDefault="00B74BAA" w:rsidP="003506EA">
      <w:pPr>
        <w:rPr>
          <w:rFonts w:ascii="Palatino Linotype" w:hAnsi="Palatino Linotype"/>
          <w:sz w:val="20"/>
          <w:szCs w:val="20"/>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The following list of purposes provides examples from both the literature and my own experience of the use of learning outcomes in higher education:</w:t>
      </w:r>
    </w:p>
    <w:p w14:paraId="15474C0E" w14:textId="48AA4D53" w:rsidR="00B74BAA" w:rsidRPr="000C2DAB" w:rsidRDefault="00B74BAA" w:rsidP="003506EA">
      <w:pPr>
        <w:pStyle w:val="FootnoteText"/>
        <w:rPr>
          <w:rFonts w:ascii="Palatino Linotype" w:hAnsi="Palatino Linotype"/>
          <w:sz w:val="20"/>
          <w:szCs w:val="20"/>
        </w:rPr>
      </w:pPr>
      <w:r w:rsidRPr="000C2DAB">
        <w:rPr>
          <w:rFonts w:ascii="Palatino Linotype" w:hAnsi="Palatino Linotype"/>
          <w:sz w:val="20"/>
          <w:szCs w:val="20"/>
        </w:rPr>
        <w:t>to provide students with clear statements of what is expected of them and  therefore what they will be tested on. This enhances clarity for those who are uncertain about</w:t>
      </w:r>
    </w:p>
  </w:footnote>
  <w:footnote w:id="12">
    <w:p w14:paraId="48B6117C" w14:textId="5F82C834" w:rsidR="00B74BAA" w:rsidRPr="000C2DAB" w:rsidRDefault="00B74BAA" w:rsidP="00185267">
      <w:pPr>
        <w:pStyle w:val="ListParagraph"/>
        <w:numPr>
          <w:ilvl w:val="0"/>
          <w:numId w:val="35"/>
        </w:numPr>
        <w:rPr>
          <w:rFonts w:ascii="Palatino Linotype" w:hAnsi="Palatino Linotype"/>
          <w:sz w:val="20"/>
          <w:szCs w:val="20"/>
        </w:rPr>
      </w:pPr>
      <w:r w:rsidRPr="000C2DAB">
        <w:rPr>
          <w:rFonts w:ascii="Palatino Linotype" w:hAnsi="Palatino Linotype"/>
          <w:sz w:val="20"/>
          <w:szCs w:val="20"/>
        </w:rPr>
        <w:t xml:space="preserve">their abilities and knowledge and provides a more comprehensible set of expectations from arrival at university to graduation; </w:t>
      </w:r>
    </w:p>
    <w:p w14:paraId="3684085D" w14:textId="426BA1E9" w:rsidR="00B74BAA" w:rsidRPr="000C2DAB" w:rsidRDefault="00B74BAA" w:rsidP="00185267">
      <w:pPr>
        <w:pStyle w:val="ListParagraph"/>
        <w:numPr>
          <w:ilvl w:val="0"/>
          <w:numId w:val="35"/>
        </w:numPr>
        <w:rPr>
          <w:rFonts w:ascii="Palatino Linotype" w:hAnsi="Palatino Linotype"/>
          <w:sz w:val="20"/>
          <w:szCs w:val="20"/>
        </w:rPr>
      </w:pPr>
      <w:r w:rsidRPr="000C2DAB">
        <w:rPr>
          <w:rFonts w:ascii="Palatino Linotype" w:hAnsi="Palatino Linotype"/>
          <w:sz w:val="20"/>
          <w:szCs w:val="20"/>
        </w:rPr>
        <w:t>to provide quality assessors with clear, coherent and complete statements of the capabilities of graduates, in terms of the minimum criteria and standards of knowledge, skills and attitudes required for the level of the award (degree, diploma or certificate) offered;</w:t>
      </w:r>
    </w:p>
    <w:p w14:paraId="1D743982" w14:textId="77777777" w:rsidR="00B74BAA" w:rsidRPr="000C2DAB" w:rsidRDefault="00B74BAA" w:rsidP="00185267">
      <w:pPr>
        <w:pStyle w:val="ListParagraph"/>
        <w:numPr>
          <w:ilvl w:val="0"/>
          <w:numId w:val="35"/>
        </w:numPr>
        <w:rPr>
          <w:rFonts w:ascii="Palatino Linotype" w:hAnsi="Palatino Linotype"/>
          <w:sz w:val="20"/>
          <w:szCs w:val="20"/>
        </w:rPr>
      </w:pPr>
      <w:r w:rsidRPr="000C2DAB">
        <w:rPr>
          <w:rFonts w:ascii="Palatino Linotype" w:hAnsi="Palatino Linotype"/>
          <w:sz w:val="20"/>
          <w:szCs w:val="20"/>
        </w:rPr>
        <w:t>to provide those evaluating and reviewing institutional performance with clear statements by which to assure institutional accountability for learning and teaching both internally and externally;</w:t>
      </w:r>
    </w:p>
    <w:p w14:paraId="7A5D7073" w14:textId="11AC3DF5" w:rsidR="00B74BAA" w:rsidRPr="000C2DAB" w:rsidRDefault="00B74BAA" w:rsidP="00185267">
      <w:pPr>
        <w:pStyle w:val="ListParagraph"/>
        <w:numPr>
          <w:ilvl w:val="0"/>
          <w:numId w:val="35"/>
        </w:numPr>
        <w:rPr>
          <w:rFonts w:ascii="Palatino Linotype" w:hAnsi="Palatino Linotype"/>
          <w:sz w:val="20"/>
          <w:szCs w:val="20"/>
        </w:rPr>
      </w:pPr>
      <w:r w:rsidRPr="000C2DAB">
        <w:rPr>
          <w:rFonts w:ascii="Palatino Linotype" w:hAnsi="Palatino Linotype"/>
          <w:sz w:val="20"/>
          <w:szCs w:val="20"/>
        </w:rPr>
        <w:t>to assure stakeholders that programs and institutions meet pertinent standards and  that student performance according to the standards will be assessed by suitable means;</w:t>
      </w:r>
    </w:p>
    <w:p w14:paraId="715FBAE5" w14:textId="77777777" w:rsidR="00B74BAA" w:rsidRPr="000C2DAB" w:rsidRDefault="00B74BAA" w:rsidP="00185267">
      <w:pPr>
        <w:pStyle w:val="ListParagraph"/>
        <w:numPr>
          <w:ilvl w:val="0"/>
          <w:numId w:val="35"/>
        </w:numPr>
        <w:rPr>
          <w:rFonts w:ascii="Palatino Linotype" w:hAnsi="Palatino Linotype"/>
          <w:sz w:val="20"/>
          <w:szCs w:val="20"/>
        </w:rPr>
      </w:pPr>
      <w:r w:rsidRPr="000C2DAB">
        <w:rPr>
          <w:rFonts w:ascii="Palatino Linotype" w:hAnsi="Palatino Linotype"/>
          <w:sz w:val="20"/>
          <w:szCs w:val="20"/>
        </w:rPr>
        <w:t>to provide public information that demonstrates how credentials compare by level and standard to those in other jurisdictions;</w:t>
      </w:r>
    </w:p>
    <w:p w14:paraId="6A160C33" w14:textId="77777777" w:rsidR="00B74BAA" w:rsidRPr="000C2DAB" w:rsidRDefault="00B74BAA" w:rsidP="00185267">
      <w:pPr>
        <w:pStyle w:val="ListParagraph"/>
        <w:numPr>
          <w:ilvl w:val="0"/>
          <w:numId w:val="35"/>
        </w:numPr>
        <w:rPr>
          <w:rFonts w:ascii="Palatino Linotype" w:hAnsi="Palatino Linotype"/>
          <w:sz w:val="20"/>
          <w:szCs w:val="20"/>
        </w:rPr>
      </w:pPr>
      <w:r w:rsidRPr="000C2DAB">
        <w:rPr>
          <w:rFonts w:ascii="Palatino Linotype" w:hAnsi="Palatino Linotype"/>
          <w:sz w:val="20"/>
          <w:szCs w:val="20"/>
        </w:rPr>
        <w:t>to support the continuous improvement of practices in higher education both intra- and inter-institutionally;</w:t>
      </w:r>
    </w:p>
    <w:p w14:paraId="3402363B" w14:textId="77777777" w:rsidR="00B74BAA" w:rsidRPr="000C2DAB" w:rsidRDefault="00B74BAA" w:rsidP="00185267">
      <w:pPr>
        <w:pStyle w:val="ListParagraph"/>
        <w:numPr>
          <w:ilvl w:val="0"/>
          <w:numId w:val="35"/>
        </w:numPr>
        <w:rPr>
          <w:rFonts w:ascii="Palatino Linotype" w:hAnsi="Palatino Linotype"/>
          <w:sz w:val="20"/>
          <w:szCs w:val="20"/>
        </w:rPr>
      </w:pPr>
      <w:r w:rsidRPr="000C2DAB">
        <w:rPr>
          <w:rFonts w:ascii="Palatino Linotype" w:hAnsi="Palatino Linotype"/>
          <w:sz w:val="20"/>
          <w:szCs w:val="20"/>
        </w:rPr>
        <w:t xml:space="preserve">to demonstrate the comparability of one jurisdiction’s (and institution’s) credentials to those of other jurisdictions (and institutions); </w:t>
      </w:r>
    </w:p>
    <w:p w14:paraId="2483B822" w14:textId="77777777" w:rsidR="00B74BAA" w:rsidRPr="000C2DAB" w:rsidRDefault="00B74BAA" w:rsidP="00185267">
      <w:pPr>
        <w:pStyle w:val="ListParagraph"/>
        <w:numPr>
          <w:ilvl w:val="0"/>
          <w:numId w:val="35"/>
        </w:numPr>
        <w:rPr>
          <w:rFonts w:ascii="Palatino Linotype" w:hAnsi="Palatino Linotype"/>
          <w:sz w:val="20"/>
          <w:szCs w:val="20"/>
        </w:rPr>
      </w:pPr>
      <w:r w:rsidRPr="000C2DAB">
        <w:rPr>
          <w:rFonts w:ascii="Palatino Linotype" w:hAnsi="Palatino Linotype"/>
          <w:sz w:val="20"/>
          <w:szCs w:val="20"/>
        </w:rPr>
        <w:t xml:space="preserve">to improve student access to further study (post-graduate and professional) by providing post-graduate and professional institutions with a transparent, discernible and comparable set of degree level outcomes; </w:t>
      </w:r>
    </w:p>
    <w:p w14:paraId="1B501F24" w14:textId="1123B126" w:rsidR="00B74BAA" w:rsidRPr="000C2DAB" w:rsidRDefault="00B74BAA" w:rsidP="00185267">
      <w:pPr>
        <w:pStyle w:val="ListParagraph"/>
        <w:numPr>
          <w:ilvl w:val="0"/>
          <w:numId w:val="35"/>
        </w:numPr>
        <w:rPr>
          <w:rFonts w:ascii="Palatino Linotype" w:hAnsi="Palatino Linotype"/>
          <w:sz w:val="20"/>
          <w:szCs w:val="20"/>
        </w:rPr>
      </w:pPr>
      <w:r w:rsidRPr="000C2DAB">
        <w:rPr>
          <w:rFonts w:ascii="Palatino Linotype" w:hAnsi="Palatino Linotype"/>
          <w:sz w:val="20"/>
          <w:szCs w:val="20"/>
        </w:rPr>
        <w:t>to clarify to post-graduate and professional education providers the entry-level expectations they may apply to graduates;</w:t>
      </w:r>
    </w:p>
    <w:p w14:paraId="187DA35A" w14:textId="77777777" w:rsidR="00B74BAA" w:rsidRPr="000C2DAB" w:rsidRDefault="00B74BAA" w:rsidP="00185267">
      <w:pPr>
        <w:pStyle w:val="ListParagraph"/>
        <w:numPr>
          <w:ilvl w:val="0"/>
          <w:numId w:val="35"/>
        </w:numPr>
        <w:rPr>
          <w:rFonts w:ascii="Palatino Linotype" w:hAnsi="Palatino Linotype"/>
          <w:sz w:val="20"/>
          <w:szCs w:val="20"/>
        </w:rPr>
      </w:pPr>
      <w:r w:rsidRPr="000C2DAB">
        <w:rPr>
          <w:rFonts w:ascii="Palatino Linotype" w:hAnsi="Palatino Linotype"/>
          <w:sz w:val="20"/>
          <w:szCs w:val="20"/>
        </w:rPr>
        <w:t>to state for the benefit of professional regulators the capabilities of graduates in terms of the minimum standards of knowledge, skills and attitudes to assure them that the institution/jurisdiction has prescribed and graduates have achieved a clear, coherent and complete set of requirements for the level of the award (degree) and/or professional qualification offered;</w:t>
      </w:r>
    </w:p>
    <w:p w14:paraId="68F236C0" w14:textId="77777777" w:rsidR="00B74BAA" w:rsidRPr="000C2DAB" w:rsidRDefault="00B74BAA" w:rsidP="00185267">
      <w:pPr>
        <w:pStyle w:val="ListParagraph"/>
        <w:numPr>
          <w:ilvl w:val="0"/>
          <w:numId w:val="35"/>
        </w:numPr>
        <w:rPr>
          <w:rFonts w:ascii="Palatino Linotype" w:hAnsi="Palatino Linotype"/>
          <w:sz w:val="20"/>
          <w:szCs w:val="20"/>
        </w:rPr>
      </w:pPr>
      <w:r w:rsidRPr="000C2DAB">
        <w:rPr>
          <w:rFonts w:ascii="Palatino Linotype" w:hAnsi="Palatino Linotype"/>
          <w:sz w:val="20"/>
          <w:szCs w:val="20"/>
        </w:rPr>
        <w:t>to provide a means for developing a program evaluation model based in part on student success in achieving specified outcomes;</w:t>
      </w:r>
    </w:p>
    <w:p w14:paraId="0A0E181D" w14:textId="77777777" w:rsidR="00B74BAA" w:rsidRPr="000C2DAB" w:rsidRDefault="00B74BAA" w:rsidP="00185267">
      <w:pPr>
        <w:pStyle w:val="ListParagraph"/>
        <w:numPr>
          <w:ilvl w:val="0"/>
          <w:numId w:val="35"/>
        </w:numPr>
        <w:rPr>
          <w:rFonts w:ascii="Palatino Linotype" w:hAnsi="Palatino Linotype"/>
          <w:sz w:val="20"/>
          <w:szCs w:val="20"/>
        </w:rPr>
      </w:pPr>
      <w:r w:rsidRPr="000C2DAB">
        <w:rPr>
          <w:rFonts w:ascii="Palatino Linotype" w:hAnsi="Palatino Linotype"/>
          <w:sz w:val="20"/>
          <w:szCs w:val="20"/>
        </w:rPr>
        <w:t>to identify the learning experiences that are most likely to assist in the achievement of the learning outcomes specified;</w:t>
      </w:r>
    </w:p>
    <w:p w14:paraId="0F22D28C" w14:textId="2CCB1428" w:rsidR="00B74BAA" w:rsidRPr="000C2DAB" w:rsidRDefault="00B74BAA" w:rsidP="000F4A87">
      <w:pPr>
        <w:pStyle w:val="ListParagraph"/>
        <w:numPr>
          <w:ilvl w:val="0"/>
          <w:numId w:val="35"/>
        </w:numPr>
        <w:rPr>
          <w:rFonts w:ascii="Palatino Linotype" w:hAnsi="Palatino Linotype"/>
          <w:sz w:val="20"/>
          <w:szCs w:val="20"/>
        </w:rPr>
      </w:pPr>
      <w:r w:rsidRPr="000C2DAB">
        <w:rPr>
          <w:rFonts w:ascii="Palatino Linotype" w:hAnsi="Palatino Linotype"/>
          <w:sz w:val="20"/>
          <w:szCs w:val="20"/>
        </w:rPr>
        <w:t xml:space="preserve">to identify the means of assessment most likely to determine whether these outcomes have been achieved. </w:t>
      </w:r>
    </w:p>
  </w:footnote>
  <w:footnote w:id="13">
    <w:p w14:paraId="5D12C757" w14:textId="277AB9F5" w:rsidR="00B74BAA" w:rsidRPr="000C2DAB" w:rsidRDefault="00B74BAA">
      <w:pPr>
        <w:pStyle w:val="FootnoteText"/>
        <w:rPr>
          <w:rFonts w:ascii="Palatino Linotype" w:hAnsi="Palatino Linotype"/>
          <w:sz w:val="20"/>
          <w:szCs w:val="20"/>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w:t>
      </w:r>
      <w:r w:rsidRPr="000C2DAB">
        <w:rPr>
          <w:rFonts w:ascii="Palatino Linotype" w:hAnsi="Palatino Linotype"/>
          <w:i/>
          <w:sz w:val="20"/>
          <w:szCs w:val="20"/>
        </w:rPr>
        <w:t>Ibid.</w:t>
      </w:r>
    </w:p>
  </w:footnote>
  <w:footnote w:id="14">
    <w:p w14:paraId="616F0A1A" w14:textId="7423F590" w:rsidR="00B74BAA" w:rsidRPr="000C2DAB" w:rsidRDefault="00B74BAA">
      <w:pPr>
        <w:pStyle w:val="FootnoteText"/>
        <w:rPr>
          <w:rFonts w:ascii="Palatino Linotype" w:hAnsi="Palatino Linotype"/>
          <w:sz w:val="20"/>
          <w:szCs w:val="20"/>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Other designations are</w:t>
      </w:r>
      <w:r>
        <w:rPr>
          <w:rFonts w:ascii="Palatino Linotype" w:hAnsi="Palatino Linotype"/>
          <w:sz w:val="20"/>
          <w:szCs w:val="20"/>
        </w:rPr>
        <w:t xml:space="preserve"> also possible including ‘major’</w:t>
      </w:r>
      <w:r w:rsidRPr="000C2DAB">
        <w:rPr>
          <w:rFonts w:ascii="Palatino Linotype" w:hAnsi="Palatino Linotype"/>
          <w:sz w:val="20"/>
          <w:szCs w:val="20"/>
        </w:rPr>
        <w:t xml:space="preserve"> four year degrees and specializations within the honours four year framework</w:t>
      </w:r>
    </w:p>
  </w:footnote>
  <w:footnote w:id="15">
    <w:p w14:paraId="78A159C1" w14:textId="04B7A680" w:rsidR="00B74BAA" w:rsidRPr="000C2DAB" w:rsidRDefault="00B74BAA">
      <w:pPr>
        <w:pStyle w:val="FootnoteText"/>
        <w:rPr>
          <w:rFonts w:ascii="Palatino Linotype" w:hAnsi="Palatino Linotype"/>
          <w:sz w:val="20"/>
          <w:szCs w:val="20"/>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See Schedule 1. for the undergraduate honours degree UUDLEs in full. The complete set of the UUDLES for both undergraduate and post graduate  programs can be found at: Ontario Universities Council on Quality Assurance </w:t>
      </w:r>
      <w:hyperlink r:id="rId13" w:history="1">
        <w:r w:rsidRPr="000C2DAB">
          <w:rPr>
            <w:rStyle w:val="Hyperlink"/>
            <w:rFonts w:ascii="Palatino Linotype" w:hAnsi="Palatino Linotype"/>
            <w:sz w:val="20"/>
            <w:szCs w:val="20"/>
          </w:rPr>
          <w:t>http://www.cou.on.ca/quality</w:t>
        </w:r>
      </w:hyperlink>
      <w:r w:rsidRPr="000C2DAB">
        <w:rPr>
          <w:rStyle w:val="Hyperlink"/>
          <w:rFonts w:ascii="Palatino Linotype" w:hAnsi="Palatino Linotype"/>
          <w:sz w:val="20"/>
          <w:szCs w:val="20"/>
        </w:rPr>
        <w:t xml:space="preserve"> </w:t>
      </w:r>
    </w:p>
  </w:footnote>
  <w:footnote w:id="16">
    <w:p w14:paraId="0B8CD15E" w14:textId="49623F57" w:rsidR="00B74BAA" w:rsidRPr="000C2DAB" w:rsidRDefault="00B74BAA" w:rsidP="003656A4">
      <w:pPr>
        <w:rPr>
          <w:rFonts w:ascii="Palatino Linotype" w:eastAsia="Times New Roman" w:hAnsi="Palatino Linotype" w:cs="Times New Roman"/>
          <w:color w:val="000000"/>
          <w:sz w:val="20"/>
          <w:szCs w:val="20"/>
          <w:shd w:val="clear" w:color="auto" w:fill="FFFFFF"/>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w:t>
      </w:r>
      <w:r w:rsidRPr="000C2DAB">
        <w:rPr>
          <w:rFonts w:ascii="Palatino Linotype" w:eastAsia="Times New Roman" w:hAnsi="Palatino Linotype" w:cs="Times New Roman"/>
          <w:sz w:val="20"/>
          <w:szCs w:val="20"/>
          <w:shd w:val="clear" w:color="auto" w:fill="FFFFFF"/>
        </w:rPr>
        <w:t>Bloom, B.S.</w:t>
      </w:r>
      <w:r w:rsidRPr="000C2DAB">
        <w:rPr>
          <w:rStyle w:val="reference-text"/>
          <w:rFonts w:ascii="Palatino Linotype" w:eastAsia="Times New Roman" w:hAnsi="Palatino Linotype" w:cs="Times New Roman"/>
          <w:color w:val="000000"/>
          <w:sz w:val="20"/>
          <w:szCs w:val="20"/>
          <w:shd w:val="clear" w:color="auto" w:fill="FFFFFF"/>
        </w:rPr>
        <w:t xml:space="preserve">, </w:t>
      </w:r>
      <w:proofErr w:type="spellStart"/>
      <w:r w:rsidRPr="000C2DAB">
        <w:rPr>
          <w:rStyle w:val="reference-text"/>
          <w:rFonts w:ascii="Palatino Linotype" w:eastAsia="Times New Roman" w:hAnsi="Palatino Linotype" w:cs="Times New Roman"/>
          <w:color w:val="000000"/>
          <w:sz w:val="20"/>
          <w:szCs w:val="20"/>
          <w:shd w:val="clear" w:color="auto" w:fill="FFFFFF"/>
        </w:rPr>
        <w:t>Engelhart</w:t>
      </w:r>
      <w:proofErr w:type="spellEnd"/>
      <w:r w:rsidRPr="000C2DAB">
        <w:rPr>
          <w:rStyle w:val="reference-text"/>
          <w:rFonts w:ascii="Palatino Linotype" w:eastAsia="Times New Roman" w:hAnsi="Palatino Linotype" w:cs="Times New Roman"/>
          <w:color w:val="000000"/>
          <w:sz w:val="20"/>
          <w:szCs w:val="20"/>
          <w:shd w:val="clear" w:color="auto" w:fill="FFFFFF"/>
        </w:rPr>
        <w:t>, M. D., Furst, E. J., Hill, W. H., &amp;</w:t>
      </w:r>
      <w:r w:rsidRPr="000C2DAB">
        <w:rPr>
          <w:rStyle w:val="apple-converted-space"/>
          <w:rFonts w:ascii="Palatino Linotype" w:eastAsia="Times New Roman" w:hAnsi="Palatino Linotype" w:cs="Times New Roman"/>
          <w:color w:val="000000"/>
          <w:sz w:val="20"/>
          <w:szCs w:val="20"/>
          <w:shd w:val="clear" w:color="auto" w:fill="FFFFFF"/>
        </w:rPr>
        <w:t> </w:t>
      </w:r>
      <w:proofErr w:type="spellStart"/>
      <w:r w:rsidRPr="000C2DAB">
        <w:rPr>
          <w:rFonts w:ascii="Palatino Linotype" w:eastAsia="Times New Roman" w:hAnsi="Palatino Linotype" w:cs="Times New Roman"/>
          <w:sz w:val="20"/>
          <w:szCs w:val="20"/>
          <w:shd w:val="clear" w:color="auto" w:fill="FFFFFF"/>
        </w:rPr>
        <w:t>Krathwohl</w:t>
      </w:r>
      <w:proofErr w:type="spellEnd"/>
      <w:r w:rsidRPr="000C2DAB">
        <w:rPr>
          <w:rFonts w:ascii="Palatino Linotype" w:eastAsia="Times New Roman" w:hAnsi="Palatino Linotype" w:cs="Times New Roman"/>
          <w:sz w:val="20"/>
          <w:szCs w:val="20"/>
          <w:shd w:val="clear" w:color="auto" w:fill="FFFFFF"/>
        </w:rPr>
        <w:t>, D.R.,</w:t>
      </w:r>
      <w:r w:rsidRPr="000C2DAB">
        <w:rPr>
          <w:rStyle w:val="reference-text"/>
          <w:rFonts w:ascii="Palatino Linotype" w:eastAsia="Times New Roman" w:hAnsi="Palatino Linotype" w:cs="Times New Roman"/>
          <w:i/>
          <w:iCs/>
          <w:color w:val="000000"/>
          <w:sz w:val="20"/>
          <w:szCs w:val="20"/>
          <w:shd w:val="clear" w:color="auto" w:fill="FFFFFF"/>
        </w:rPr>
        <w:t xml:space="preserve"> Taxonomy of educational objectives: the classification of educational goals; Handbook I: Cognitive Domain</w:t>
      </w:r>
      <w:r w:rsidRPr="000C2DAB">
        <w:rPr>
          <w:rStyle w:val="apple-converted-space"/>
          <w:rFonts w:ascii="Palatino Linotype" w:eastAsia="Times New Roman" w:hAnsi="Palatino Linotype" w:cs="Times New Roman"/>
          <w:color w:val="000000"/>
          <w:sz w:val="20"/>
          <w:szCs w:val="20"/>
          <w:shd w:val="clear" w:color="auto" w:fill="FFFFFF"/>
        </w:rPr>
        <w:t> </w:t>
      </w:r>
      <w:r w:rsidRPr="000C2DAB">
        <w:rPr>
          <w:rStyle w:val="reference-text"/>
          <w:rFonts w:ascii="Palatino Linotype" w:eastAsia="Times New Roman" w:hAnsi="Palatino Linotype" w:cs="Times New Roman"/>
          <w:color w:val="000000"/>
          <w:sz w:val="20"/>
          <w:szCs w:val="20"/>
          <w:shd w:val="clear" w:color="auto" w:fill="FFFFFF"/>
        </w:rPr>
        <w:t xml:space="preserve">New York, Longmans, Green, (1956) and revised and updated </w:t>
      </w:r>
      <w:r w:rsidRPr="000C2DAB">
        <w:rPr>
          <w:rFonts w:ascii="Palatino Linotype" w:eastAsia="Times New Roman" w:hAnsi="Palatino Linotype" w:cs="Times New Roman"/>
          <w:color w:val="000000"/>
          <w:sz w:val="20"/>
          <w:szCs w:val="20"/>
          <w:shd w:val="clear" w:color="auto" w:fill="FFFFFF"/>
        </w:rPr>
        <w:t xml:space="preserve">L. W. Anderson, D. R. </w:t>
      </w:r>
      <w:proofErr w:type="spellStart"/>
      <w:r w:rsidRPr="000C2DAB">
        <w:rPr>
          <w:rFonts w:ascii="Palatino Linotype" w:eastAsia="Times New Roman" w:hAnsi="Palatino Linotype" w:cs="Times New Roman"/>
          <w:color w:val="000000"/>
          <w:sz w:val="20"/>
          <w:szCs w:val="20"/>
          <w:shd w:val="clear" w:color="auto" w:fill="FFFFFF"/>
        </w:rPr>
        <w:t>Krathwohl</w:t>
      </w:r>
      <w:proofErr w:type="spellEnd"/>
      <w:r w:rsidRPr="000C2DAB">
        <w:rPr>
          <w:rFonts w:ascii="Palatino Linotype" w:eastAsia="Times New Roman" w:hAnsi="Palatino Linotype" w:cs="Times New Roman"/>
          <w:color w:val="000000"/>
          <w:sz w:val="20"/>
          <w:szCs w:val="20"/>
          <w:shd w:val="clear" w:color="auto" w:fill="FFFFFF"/>
        </w:rPr>
        <w:t xml:space="preserve">, Peter W. </w:t>
      </w:r>
      <w:proofErr w:type="spellStart"/>
      <w:r w:rsidRPr="000C2DAB">
        <w:rPr>
          <w:rFonts w:ascii="Palatino Linotype" w:eastAsia="Times New Roman" w:hAnsi="Palatino Linotype" w:cs="Times New Roman"/>
          <w:color w:val="000000"/>
          <w:sz w:val="20"/>
          <w:szCs w:val="20"/>
          <w:shd w:val="clear" w:color="auto" w:fill="FFFFFF"/>
        </w:rPr>
        <w:t>Airasian</w:t>
      </w:r>
      <w:proofErr w:type="spellEnd"/>
      <w:r w:rsidRPr="000C2DAB">
        <w:rPr>
          <w:rFonts w:ascii="Palatino Linotype" w:eastAsia="Times New Roman" w:hAnsi="Palatino Linotype" w:cs="Times New Roman"/>
          <w:color w:val="000000"/>
          <w:sz w:val="20"/>
          <w:szCs w:val="20"/>
          <w:shd w:val="clear" w:color="auto" w:fill="FFFFFF"/>
        </w:rPr>
        <w:t>, Kathleen A. Cruikshank, Richard E. Mayer, </w:t>
      </w:r>
      <w:r w:rsidRPr="000C2DAB">
        <w:rPr>
          <w:rFonts w:ascii="Palatino Linotype" w:eastAsia="Times New Roman" w:hAnsi="Palatino Linotype" w:cs="Times New Roman"/>
          <w:sz w:val="20"/>
          <w:szCs w:val="20"/>
          <w:shd w:val="clear" w:color="auto" w:fill="FFFFFF"/>
        </w:rPr>
        <w:t xml:space="preserve">Paul R. </w:t>
      </w:r>
      <w:proofErr w:type="spellStart"/>
      <w:r w:rsidRPr="000C2DAB">
        <w:rPr>
          <w:rFonts w:ascii="Palatino Linotype" w:eastAsia="Times New Roman" w:hAnsi="Palatino Linotype" w:cs="Times New Roman"/>
          <w:sz w:val="20"/>
          <w:szCs w:val="20"/>
          <w:shd w:val="clear" w:color="auto" w:fill="FFFFFF"/>
        </w:rPr>
        <w:t>Pintrich</w:t>
      </w:r>
      <w:proofErr w:type="spellEnd"/>
      <w:r w:rsidRPr="000C2DAB">
        <w:rPr>
          <w:rFonts w:ascii="Palatino Linotype" w:eastAsia="Times New Roman" w:hAnsi="Palatino Linotype" w:cs="Times New Roman"/>
          <w:sz w:val="20"/>
          <w:szCs w:val="20"/>
          <w:shd w:val="clear" w:color="auto" w:fill="FFFFFF"/>
        </w:rPr>
        <w:t xml:space="preserve">, </w:t>
      </w:r>
      <w:r w:rsidRPr="000C2DAB">
        <w:rPr>
          <w:rFonts w:ascii="Palatino Linotype" w:eastAsia="Times New Roman" w:hAnsi="Palatino Linotype" w:cs="Times New Roman"/>
          <w:color w:val="000000"/>
          <w:sz w:val="20"/>
          <w:szCs w:val="20"/>
          <w:shd w:val="clear" w:color="auto" w:fill="FFFFFF"/>
        </w:rPr>
        <w:t xml:space="preserve">James </w:t>
      </w:r>
      <w:proofErr w:type="spellStart"/>
      <w:r w:rsidRPr="000C2DAB">
        <w:rPr>
          <w:rFonts w:ascii="Palatino Linotype" w:eastAsia="Times New Roman" w:hAnsi="Palatino Linotype" w:cs="Times New Roman"/>
          <w:color w:val="000000"/>
          <w:sz w:val="20"/>
          <w:szCs w:val="20"/>
          <w:shd w:val="clear" w:color="auto" w:fill="FFFFFF"/>
        </w:rPr>
        <w:t>Raths</w:t>
      </w:r>
      <w:proofErr w:type="spellEnd"/>
      <w:r w:rsidRPr="000C2DAB">
        <w:rPr>
          <w:rFonts w:ascii="Palatino Linotype" w:eastAsia="Times New Roman" w:hAnsi="Palatino Linotype" w:cs="Times New Roman"/>
          <w:color w:val="000000"/>
          <w:sz w:val="20"/>
          <w:szCs w:val="20"/>
          <w:shd w:val="clear" w:color="auto" w:fill="FFFFFF"/>
        </w:rPr>
        <w:t xml:space="preserve">, and Merlin C. </w:t>
      </w:r>
      <w:proofErr w:type="spellStart"/>
      <w:r w:rsidRPr="000C2DAB">
        <w:rPr>
          <w:rFonts w:ascii="Palatino Linotype" w:eastAsia="Times New Roman" w:hAnsi="Palatino Linotype" w:cs="Times New Roman"/>
          <w:color w:val="000000"/>
          <w:sz w:val="20"/>
          <w:szCs w:val="20"/>
          <w:shd w:val="clear" w:color="auto" w:fill="FFFFFF"/>
        </w:rPr>
        <w:t>Wittrock</w:t>
      </w:r>
      <w:proofErr w:type="spellEnd"/>
      <w:r w:rsidRPr="000C2DAB">
        <w:rPr>
          <w:rFonts w:ascii="Palatino Linotype" w:eastAsia="Times New Roman" w:hAnsi="Palatino Linotype" w:cs="Times New Roman"/>
          <w:color w:val="000000"/>
          <w:sz w:val="20"/>
          <w:szCs w:val="20"/>
          <w:shd w:val="clear" w:color="auto" w:fill="FFFFFF"/>
        </w:rPr>
        <w:t xml:space="preserve"> (</w:t>
      </w:r>
      <w:proofErr w:type="spellStart"/>
      <w:r w:rsidRPr="000C2DAB">
        <w:rPr>
          <w:rFonts w:ascii="Palatino Linotype" w:eastAsia="Times New Roman" w:hAnsi="Palatino Linotype" w:cs="Times New Roman"/>
          <w:color w:val="000000"/>
          <w:sz w:val="20"/>
          <w:szCs w:val="20"/>
          <w:shd w:val="clear" w:color="auto" w:fill="FFFFFF"/>
        </w:rPr>
        <w:t>eds</w:t>
      </w:r>
      <w:proofErr w:type="spellEnd"/>
      <w:r w:rsidRPr="000C2DAB">
        <w:rPr>
          <w:rFonts w:ascii="Palatino Linotype" w:eastAsia="Times New Roman" w:hAnsi="Palatino Linotype" w:cs="Times New Roman"/>
          <w:color w:val="000000"/>
          <w:sz w:val="20"/>
          <w:szCs w:val="20"/>
          <w:shd w:val="clear" w:color="auto" w:fill="FFFFFF"/>
        </w:rPr>
        <w:t xml:space="preserve">) </w:t>
      </w:r>
      <w:r w:rsidRPr="000C2DAB">
        <w:rPr>
          <w:rFonts w:ascii="Palatino Linotype" w:eastAsia="Times New Roman" w:hAnsi="Palatino Linotype" w:cs="Times New Roman"/>
          <w:i/>
          <w:iCs/>
          <w:color w:val="000000"/>
          <w:sz w:val="20"/>
          <w:szCs w:val="20"/>
          <w:shd w:val="clear" w:color="auto" w:fill="FFFFFF"/>
        </w:rPr>
        <w:t>A Taxonomy for Learning, Teaching, and Assessing: A Revision of Bloom's Taxonomy of Educational Objectives</w:t>
      </w:r>
      <w:r w:rsidRPr="000C2DAB">
        <w:rPr>
          <w:rFonts w:ascii="Palatino Linotype" w:eastAsia="Times New Roman" w:hAnsi="Palatino Linotype" w:cs="Times New Roman"/>
          <w:color w:val="000000"/>
          <w:sz w:val="20"/>
          <w:szCs w:val="20"/>
          <w:shd w:val="clear" w:color="auto" w:fill="FFFFFF"/>
        </w:rPr>
        <w:t> Allyn and Bacon (2000) </w:t>
      </w:r>
    </w:p>
  </w:footnote>
  <w:footnote w:id="17">
    <w:p w14:paraId="55D37687" w14:textId="1051D840" w:rsidR="00B74BAA" w:rsidRPr="000C2DAB" w:rsidRDefault="00B74BAA">
      <w:pPr>
        <w:pStyle w:val="FootnoteText"/>
        <w:rPr>
          <w:rFonts w:ascii="Palatino Linotype" w:hAnsi="Palatino Linotype"/>
          <w:sz w:val="20"/>
          <w:szCs w:val="20"/>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w:t>
      </w:r>
      <w:proofErr w:type="spellStart"/>
      <w:r w:rsidRPr="000C2DAB">
        <w:rPr>
          <w:rFonts w:ascii="Palatino Linotype" w:hAnsi="Palatino Linotype"/>
          <w:sz w:val="20"/>
          <w:szCs w:val="20"/>
        </w:rPr>
        <w:t>Krathwohl</w:t>
      </w:r>
      <w:proofErr w:type="spellEnd"/>
      <w:r w:rsidRPr="000C2DAB">
        <w:rPr>
          <w:rFonts w:ascii="Palatino Linotype" w:hAnsi="Palatino Linotype"/>
          <w:sz w:val="20"/>
          <w:szCs w:val="20"/>
        </w:rPr>
        <w:t xml:space="preserve">, D. R., Bloom, B. S., &amp; </w:t>
      </w:r>
      <w:proofErr w:type="spellStart"/>
      <w:r w:rsidRPr="000C2DAB">
        <w:rPr>
          <w:rFonts w:ascii="Palatino Linotype" w:hAnsi="Palatino Linotype"/>
          <w:sz w:val="20"/>
          <w:szCs w:val="20"/>
        </w:rPr>
        <w:t>Masia</w:t>
      </w:r>
      <w:proofErr w:type="spellEnd"/>
      <w:r w:rsidRPr="000C2DAB">
        <w:rPr>
          <w:rFonts w:ascii="Palatino Linotype" w:hAnsi="Palatino Linotype"/>
          <w:sz w:val="20"/>
          <w:szCs w:val="20"/>
        </w:rPr>
        <w:t xml:space="preserve">, B. B. </w:t>
      </w:r>
      <w:r w:rsidRPr="000C2DAB">
        <w:rPr>
          <w:rFonts w:ascii="Palatino Linotype" w:hAnsi="Palatino Linotype"/>
          <w:i/>
          <w:sz w:val="20"/>
          <w:szCs w:val="20"/>
        </w:rPr>
        <w:t>Taxonomy of Educational Objectives; the Classification of Educational Goals. Handbook II: The Affective Domain</w:t>
      </w:r>
      <w:r w:rsidRPr="000C2DAB">
        <w:rPr>
          <w:rFonts w:ascii="Palatino Linotype" w:hAnsi="Palatino Linotype"/>
          <w:sz w:val="20"/>
          <w:szCs w:val="20"/>
        </w:rPr>
        <w:t>. New York: Longman, Green (1964).</w:t>
      </w:r>
    </w:p>
  </w:footnote>
  <w:footnote w:id="18">
    <w:p w14:paraId="204C0352" w14:textId="486C641F" w:rsidR="00B74BAA" w:rsidRPr="000C2DAB" w:rsidRDefault="00B74BAA">
      <w:pPr>
        <w:pStyle w:val="FootnoteText"/>
        <w:rPr>
          <w:rFonts w:ascii="Palatino Linotype" w:hAnsi="Palatino Linotype"/>
          <w:sz w:val="20"/>
          <w:szCs w:val="20"/>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For an application of both Bloom and </w:t>
      </w:r>
      <w:proofErr w:type="spellStart"/>
      <w:r w:rsidRPr="000C2DAB">
        <w:rPr>
          <w:rFonts w:ascii="Palatino Linotype" w:hAnsi="Palatino Linotype"/>
          <w:sz w:val="20"/>
          <w:szCs w:val="20"/>
        </w:rPr>
        <w:t>Krathwohl’s</w:t>
      </w:r>
      <w:proofErr w:type="spellEnd"/>
      <w:r w:rsidRPr="000C2DAB">
        <w:rPr>
          <w:rFonts w:ascii="Palatino Linotype" w:hAnsi="Palatino Linotype"/>
          <w:sz w:val="20"/>
          <w:szCs w:val="20"/>
        </w:rPr>
        <w:t xml:space="preserve"> taxonomies in the cognitive and affective domain respectively to legal education, see Petter, A. “A Closet Within the House: Learning Objectives and the Law School Curriculum” in Gold, N., ed., Ch. 5 </w:t>
      </w:r>
      <w:r w:rsidRPr="000C2DAB">
        <w:rPr>
          <w:rFonts w:ascii="Palatino Linotype" w:hAnsi="Palatino Linotype"/>
          <w:i/>
          <w:sz w:val="20"/>
          <w:szCs w:val="20"/>
        </w:rPr>
        <w:t>Essays on Legal Education.</w:t>
      </w:r>
      <w:r w:rsidRPr="000C2DAB">
        <w:rPr>
          <w:rFonts w:ascii="Palatino Linotype" w:hAnsi="Palatino Linotype"/>
          <w:sz w:val="20"/>
          <w:szCs w:val="20"/>
        </w:rPr>
        <w:t xml:space="preserve">  </w:t>
      </w:r>
      <w:proofErr w:type="spellStart"/>
      <w:r w:rsidRPr="000C2DAB">
        <w:rPr>
          <w:rFonts w:ascii="Palatino Linotype" w:hAnsi="Palatino Linotype"/>
          <w:sz w:val="20"/>
          <w:szCs w:val="20"/>
        </w:rPr>
        <w:t>Toronto:Butterworths</w:t>
      </w:r>
      <w:proofErr w:type="spellEnd"/>
      <w:r w:rsidRPr="000C2DAB">
        <w:rPr>
          <w:rFonts w:ascii="Palatino Linotype" w:hAnsi="Palatino Linotype"/>
          <w:sz w:val="20"/>
          <w:szCs w:val="20"/>
        </w:rPr>
        <w:t xml:space="preserve"> (1981)</w:t>
      </w:r>
    </w:p>
  </w:footnote>
  <w:footnote w:id="19">
    <w:p w14:paraId="453A9C2E" w14:textId="7CBFEAB2" w:rsidR="00B74BAA" w:rsidRPr="000C2DAB" w:rsidRDefault="00B74BAA">
      <w:pPr>
        <w:pStyle w:val="FootnoteText"/>
        <w:rPr>
          <w:rFonts w:ascii="Palatino Linotype" w:hAnsi="Palatino Linotype"/>
          <w:sz w:val="20"/>
          <w:szCs w:val="20"/>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See for example New Zealand </w:t>
      </w:r>
      <w:r w:rsidRPr="000C2DAB">
        <w:rPr>
          <w:rFonts w:ascii="Palatino Linotype" w:hAnsi="Palatino Linotype"/>
          <w:i/>
          <w:sz w:val="20"/>
          <w:szCs w:val="20"/>
        </w:rPr>
        <w:t>op. cit.</w:t>
      </w:r>
      <w:r w:rsidRPr="000C2DAB">
        <w:rPr>
          <w:rFonts w:ascii="Palatino Linotype" w:hAnsi="Palatino Linotype"/>
          <w:sz w:val="20"/>
          <w:szCs w:val="20"/>
        </w:rPr>
        <w:t xml:space="preserve">; Western [USA] Association of Schools and Colleges </w:t>
      </w:r>
      <w:r w:rsidRPr="000C2DAB">
        <w:rPr>
          <w:rFonts w:ascii="Palatino Linotype" w:hAnsi="Palatino Linotype"/>
          <w:i/>
          <w:sz w:val="20"/>
          <w:szCs w:val="20"/>
        </w:rPr>
        <w:t xml:space="preserve">op cit. </w:t>
      </w:r>
      <w:r w:rsidRPr="000C2DAB">
        <w:rPr>
          <w:rFonts w:ascii="Palatino Linotype" w:hAnsi="Palatino Linotype"/>
          <w:sz w:val="20"/>
          <w:szCs w:val="20"/>
        </w:rPr>
        <w:t>where only general categories are provided.</w:t>
      </w:r>
    </w:p>
  </w:footnote>
  <w:footnote w:id="20">
    <w:p w14:paraId="4BD18B93" w14:textId="6801A37E" w:rsidR="00B74BAA" w:rsidRPr="000C2DAB" w:rsidRDefault="00B74BAA">
      <w:pPr>
        <w:pStyle w:val="FootnoteText"/>
        <w:rPr>
          <w:rFonts w:ascii="Palatino Linotype" w:hAnsi="Palatino Linotype"/>
          <w:sz w:val="20"/>
          <w:szCs w:val="20"/>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Lumina, </w:t>
      </w:r>
      <w:r w:rsidRPr="000C2DAB">
        <w:rPr>
          <w:rFonts w:ascii="Palatino Linotype" w:hAnsi="Palatino Linotype"/>
          <w:i/>
          <w:sz w:val="20"/>
          <w:szCs w:val="20"/>
        </w:rPr>
        <w:t>op. cit.</w:t>
      </w:r>
    </w:p>
  </w:footnote>
  <w:footnote w:id="21">
    <w:p w14:paraId="172512E9" w14:textId="450B01E2" w:rsidR="00B74BAA" w:rsidRPr="000C2DAB" w:rsidRDefault="00B74BAA">
      <w:pPr>
        <w:pStyle w:val="FootnoteText"/>
        <w:rPr>
          <w:rFonts w:ascii="Palatino Linotype" w:hAnsi="Palatino Linotype"/>
          <w:sz w:val="20"/>
          <w:szCs w:val="20"/>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http://www.flsc.ca/en/national-requirement-for-approving-canadian-common-law-degree-programs/</w:t>
      </w:r>
    </w:p>
  </w:footnote>
  <w:footnote w:id="22">
    <w:p w14:paraId="1AF8A226" w14:textId="2578F60E" w:rsidR="00B74BAA" w:rsidRPr="000C2DAB" w:rsidRDefault="00B74BAA">
      <w:pPr>
        <w:pStyle w:val="FootnoteText"/>
        <w:rPr>
          <w:rStyle w:val="Hyperlink"/>
          <w:rFonts w:ascii="Palatino Linotype" w:hAnsi="Palatino Linotype"/>
          <w:sz w:val="20"/>
          <w:szCs w:val="20"/>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Solicitors Regulation Authority, Legal Practice Course: Outcomes 2011, Version 2. (September, 2011) </w:t>
      </w:r>
      <w:hyperlink r:id="rId14" w:history="1">
        <w:r w:rsidRPr="000C2DAB">
          <w:rPr>
            <w:rStyle w:val="Hyperlink"/>
            <w:rFonts w:ascii="Palatino Linotype" w:hAnsi="Palatino Linotype"/>
            <w:sz w:val="20"/>
            <w:szCs w:val="20"/>
          </w:rPr>
          <w:t>www.sra.org.uk/documents/students/lpc/Outcomes-Sept2011.pdf</w:t>
        </w:r>
      </w:hyperlink>
    </w:p>
    <w:p w14:paraId="19880828" w14:textId="1F0FA2C6" w:rsidR="00B74BAA" w:rsidRPr="000C2DAB" w:rsidRDefault="00B74BAA">
      <w:pPr>
        <w:pStyle w:val="FootnoteText"/>
        <w:rPr>
          <w:rFonts w:ascii="Palatino Linotype" w:hAnsi="Palatino Linotype"/>
          <w:sz w:val="20"/>
          <w:szCs w:val="20"/>
        </w:rPr>
      </w:pPr>
      <w:r w:rsidRPr="00B74BAA">
        <w:rPr>
          <w:rStyle w:val="Hyperlink"/>
          <w:rFonts w:ascii="Palatino Linotype" w:hAnsi="Palatino Linotype"/>
          <w:color w:val="auto"/>
          <w:sz w:val="20"/>
          <w:szCs w:val="20"/>
          <w:u w:val="none"/>
        </w:rPr>
        <w:t>We can expect much more work on learning outcomes in England and Wales as a result of the LETR . Please see</w:t>
      </w:r>
      <w:r w:rsidRPr="00B74BAA">
        <w:t xml:space="preserve"> </w:t>
      </w:r>
      <w:hyperlink r:id="rId15" w:history="1">
        <w:r w:rsidRPr="000C2DAB">
          <w:rPr>
            <w:rStyle w:val="Hyperlink"/>
            <w:rFonts w:ascii="Palatino Linotype" w:hAnsi="Palatino Linotype"/>
            <w:sz w:val="20"/>
            <w:szCs w:val="20"/>
          </w:rPr>
          <w:t>http://letr.org.uk/</w:t>
        </w:r>
      </w:hyperlink>
      <w:r w:rsidRPr="000C2DAB">
        <w:rPr>
          <w:rFonts w:ascii="Palatino Linotype" w:hAnsi="Palatino Linotype"/>
          <w:sz w:val="20"/>
          <w:szCs w:val="20"/>
        </w:rPr>
        <w:t xml:space="preserve"> </w:t>
      </w:r>
    </w:p>
  </w:footnote>
  <w:footnote w:id="23">
    <w:p w14:paraId="5A154C1F" w14:textId="77777777" w:rsidR="00B74BAA" w:rsidRPr="000C2DAB" w:rsidRDefault="00B74BAA" w:rsidP="00676C23">
      <w:pPr>
        <w:pStyle w:val="FootnoteText"/>
        <w:rPr>
          <w:rFonts w:ascii="Palatino Linotype" w:hAnsi="Palatino Linotype"/>
          <w:i/>
          <w:sz w:val="20"/>
          <w:szCs w:val="20"/>
          <w:lang w:val="en-AU"/>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w:t>
      </w:r>
      <w:r w:rsidRPr="000C2DAB">
        <w:rPr>
          <w:rFonts w:ascii="Palatino Linotype" w:hAnsi="Palatino Linotype"/>
          <w:sz w:val="20"/>
          <w:szCs w:val="20"/>
          <w:lang w:val="en-AU"/>
        </w:rPr>
        <w:t xml:space="preserve">Legal Profession Admission Board – New South Wales, </w:t>
      </w:r>
      <w:r w:rsidRPr="000C2DAB">
        <w:rPr>
          <w:rFonts w:ascii="Palatino Linotype" w:hAnsi="Palatino Linotype"/>
          <w:i/>
          <w:sz w:val="20"/>
          <w:szCs w:val="20"/>
          <w:lang w:val="en-AU"/>
        </w:rPr>
        <w:t>Practical Legal Training,</w:t>
      </w:r>
    </w:p>
    <w:p w14:paraId="34CEAF7C" w14:textId="643B176B" w:rsidR="00B74BAA" w:rsidRPr="000C2DAB" w:rsidRDefault="00B74BAA">
      <w:pPr>
        <w:pStyle w:val="FootnoteText"/>
        <w:rPr>
          <w:rFonts w:ascii="Palatino Linotype" w:hAnsi="Palatino Linotype"/>
          <w:i/>
          <w:sz w:val="20"/>
          <w:szCs w:val="20"/>
        </w:rPr>
      </w:pPr>
      <w:r w:rsidRPr="000C2DAB">
        <w:rPr>
          <w:rFonts w:ascii="Palatino Linotype" w:hAnsi="Palatino Linotype"/>
          <w:i/>
          <w:sz w:val="20"/>
          <w:szCs w:val="20"/>
        </w:rPr>
        <w:t>Statement of Reconciliation against Competency Standards for Entry-Level Lawyers.</w:t>
      </w:r>
    </w:p>
  </w:footnote>
  <w:footnote w:id="24">
    <w:p w14:paraId="6419FFCA" w14:textId="007E9109" w:rsidR="00B74BAA" w:rsidRPr="000C2DAB" w:rsidRDefault="00B74BAA">
      <w:pPr>
        <w:pStyle w:val="FootnoteText"/>
        <w:rPr>
          <w:rFonts w:ascii="Palatino Linotype" w:hAnsi="Palatino Linotype"/>
          <w:sz w:val="20"/>
          <w:szCs w:val="20"/>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Federation of Law Societies of Canada, </w:t>
      </w:r>
      <w:r w:rsidRPr="000C2DAB">
        <w:rPr>
          <w:rFonts w:ascii="Palatino Linotype" w:hAnsi="Palatino Linotype"/>
          <w:i/>
          <w:sz w:val="20"/>
          <w:szCs w:val="20"/>
        </w:rPr>
        <w:t>Task Force on the Canadian Common Law Degree, Final Repo</w:t>
      </w:r>
      <w:r w:rsidRPr="000C2DAB">
        <w:rPr>
          <w:rFonts w:ascii="Palatino Linotype" w:hAnsi="Palatino Linotype"/>
          <w:sz w:val="20"/>
          <w:szCs w:val="20"/>
        </w:rPr>
        <w:t xml:space="preserve">rt (October, 2009) </w:t>
      </w:r>
      <w:hyperlink r:id="rId16" w:history="1">
        <w:r w:rsidRPr="000C2DAB">
          <w:rPr>
            <w:rStyle w:val="Hyperlink"/>
            <w:rFonts w:ascii="Palatino Linotype" w:hAnsi="Palatino Linotype"/>
            <w:sz w:val="20"/>
            <w:szCs w:val="20"/>
          </w:rPr>
          <w:t>http://www.flsc.ca/_documents/Common-Law-Degree-Report-C.pdf</w:t>
        </w:r>
      </w:hyperlink>
      <w:r w:rsidRPr="000C2DAB">
        <w:rPr>
          <w:rStyle w:val="Hyperlink"/>
          <w:rFonts w:ascii="Palatino Linotype" w:hAnsi="Palatino Linotype"/>
          <w:sz w:val="20"/>
          <w:szCs w:val="20"/>
        </w:rPr>
        <w:t xml:space="preserve"> .   </w:t>
      </w:r>
      <w:r w:rsidRPr="000C2DAB">
        <w:rPr>
          <w:rFonts w:ascii="Palatino Linotype" w:hAnsi="Palatino Linotype"/>
          <w:sz w:val="20"/>
          <w:szCs w:val="20"/>
        </w:rPr>
        <w:t>and http://www.flsc.ca/en/national-admission-standards/</w:t>
      </w:r>
    </w:p>
  </w:footnote>
  <w:footnote w:id="25">
    <w:p w14:paraId="0F4BBF99" w14:textId="77777777" w:rsidR="00B74BAA" w:rsidRPr="000C2DAB" w:rsidRDefault="00B74BAA" w:rsidP="00844D05">
      <w:pPr>
        <w:pStyle w:val="FootnoteText"/>
        <w:rPr>
          <w:rFonts w:ascii="Palatino Linotype" w:hAnsi="Palatino Linotype"/>
          <w:sz w:val="20"/>
          <w:szCs w:val="20"/>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Institute of Professional Legal Studies, New Zealand, Graduate Competencies, </w:t>
      </w:r>
    </w:p>
    <w:p w14:paraId="4F00B1A8" w14:textId="0C31B886" w:rsidR="00B74BAA" w:rsidRPr="000C2DAB" w:rsidRDefault="00B74BAA">
      <w:pPr>
        <w:pStyle w:val="FootnoteText"/>
        <w:rPr>
          <w:rFonts w:ascii="Palatino Linotype" w:hAnsi="Palatino Linotype"/>
          <w:sz w:val="20"/>
          <w:szCs w:val="20"/>
        </w:rPr>
      </w:pPr>
      <w:hyperlink r:id="rId17" w:history="1">
        <w:r w:rsidRPr="000C2DAB">
          <w:rPr>
            <w:rStyle w:val="Hyperlink"/>
            <w:rFonts w:ascii="Palatino Linotype" w:hAnsi="Palatino Linotype"/>
            <w:sz w:val="20"/>
            <w:szCs w:val="20"/>
          </w:rPr>
          <w:t>http://www.ipls.org.nz/for-employers</w:t>
        </w:r>
      </w:hyperlink>
    </w:p>
  </w:footnote>
  <w:footnote w:id="26">
    <w:p w14:paraId="4B864496" w14:textId="360BB4C9" w:rsidR="00B74BAA" w:rsidRPr="000C2DAB" w:rsidRDefault="00B74BAA">
      <w:pPr>
        <w:pStyle w:val="FootnoteText"/>
        <w:rPr>
          <w:rFonts w:ascii="Palatino Linotype" w:hAnsi="Palatino Linotype"/>
          <w:i/>
          <w:sz w:val="20"/>
          <w:szCs w:val="20"/>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(American Bar Association, </w:t>
      </w:r>
      <w:r w:rsidRPr="000C2DAB">
        <w:rPr>
          <w:rFonts w:ascii="Palatino Linotype" w:hAnsi="Palatino Linotype"/>
          <w:i/>
          <w:sz w:val="20"/>
          <w:szCs w:val="20"/>
        </w:rPr>
        <w:t>Task Force on Lawyer Competency: The Role of the Law Schools</w:t>
      </w:r>
      <w:r w:rsidRPr="000C2DAB">
        <w:rPr>
          <w:rFonts w:ascii="Palatino Linotype" w:hAnsi="Palatino Linotype"/>
          <w:sz w:val="20"/>
          <w:szCs w:val="20"/>
        </w:rPr>
        <w:t>.  (“</w:t>
      </w:r>
      <w:proofErr w:type="spellStart"/>
      <w:r w:rsidRPr="000C2DAB">
        <w:rPr>
          <w:rFonts w:ascii="Palatino Linotype" w:hAnsi="Palatino Linotype"/>
          <w:sz w:val="20"/>
          <w:szCs w:val="20"/>
        </w:rPr>
        <w:t>Cramton</w:t>
      </w:r>
      <w:proofErr w:type="spellEnd"/>
      <w:r w:rsidRPr="000C2DAB">
        <w:rPr>
          <w:rFonts w:ascii="Palatino Linotype" w:hAnsi="Palatino Linotype"/>
          <w:sz w:val="20"/>
          <w:szCs w:val="20"/>
        </w:rPr>
        <w:t xml:space="preserve"> Report”) Chicago: American Bar Association (1979) (The chair of the Task Force was Dean Roger </w:t>
      </w:r>
      <w:proofErr w:type="spellStart"/>
      <w:r w:rsidRPr="000C2DAB">
        <w:rPr>
          <w:rFonts w:ascii="Palatino Linotype" w:hAnsi="Palatino Linotype"/>
          <w:sz w:val="20"/>
          <w:szCs w:val="20"/>
        </w:rPr>
        <w:t>Cramton</w:t>
      </w:r>
      <w:proofErr w:type="spellEnd"/>
      <w:r w:rsidRPr="000C2DAB">
        <w:rPr>
          <w:rFonts w:ascii="Palatino Linotype" w:hAnsi="Palatino Linotype"/>
          <w:sz w:val="20"/>
          <w:szCs w:val="20"/>
        </w:rPr>
        <w:t>).</w:t>
      </w:r>
    </w:p>
  </w:footnote>
  <w:footnote w:id="27">
    <w:p w14:paraId="28BA5308" w14:textId="39454A5A" w:rsidR="00B74BAA" w:rsidRPr="000C2DAB" w:rsidRDefault="00B74BAA">
      <w:pPr>
        <w:pStyle w:val="FootnoteText"/>
        <w:rPr>
          <w:rFonts w:ascii="Palatino Linotype" w:hAnsi="Palatino Linotype"/>
          <w:sz w:val="20"/>
          <w:szCs w:val="20"/>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McCrate, Robert. </w:t>
      </w:r>
      <w:r w:rsidRPr="000C2DAB">
        <w:rPr>
          <w:rFonts w:ascii="Palatino Linotype" w:hAnsi="Palatino Linotype"/>
          <w:i/>
          <w:sz w:val="20"/>
          <w:szCs w:val="20"/>
        </w:rPr>
        <w:t xml:space="preserve">Report of the Task Force on Law Schools and the Professions: Narrowing the Gap </w:t>
      </w:r>
      <w:r w:rsidRPr="000C2DAB">
        <w:rPr>
          <w:rFonts w:ascii="Palatino Linotype" w:hAnsi="Palatino Linotype"/>
          <w:sz w:val="20"/>
          <w:szCs w:val="20"/>
        </w:rPr>
        <w:t>(“The McCrate Report”).</w:t>
      </w:r>
      <w:r w:rsidRPr="000C2DAB">
        <w:rPr>
          <w:rFonts w:ascii="Palatino Linotype" w:hAnsi="Palatino Linotype"/>
          <w:i/>
          <w:sz w:val="20"/>
          <w:szCs w:val="20"/>
        </w:rPr>
        <w:t xml:space="preserve"> </w:t>
      </w:r>
      <w:r w:rsidRPr="000C2DAB">
        <w:rPr>
          <w:rFonts w:ascii="Palatino Linotype" w:hAnsi="Palatino Linotype"/>
          <w:sz w:val="20"/>
          <w:szCs w:val="20"/>
        </w:rPr>
        <w:t>Chicago: American Bar Association, Section of Legal Education and Admissions to the Bar (1992)</w:t>
      </w:r>
    </w:p>
  </w:footnote>
  <w:footnote w:id="28">
    <w:p w14:paraId="35A862A2" w14:textId="4360768C" w:rsidR="00B74BAA" w:rsidRPr="000C2DAB" w:rsidRDefault="00B74BAA">
      <w:pPr>
        <w:pStyle w:val="FootnoteText"/>
        <w:rPr>
          <w:rFonts w:ascii="Palatino Linotype" w:hAnsi="Palatino Linotype"/>
          <w:sz w:val="20"/>
          <w:szCs w:val="20"/>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Carnegie, </w:t>
      </w:r>
      <w:r w:rsidRPr="000C2DAB">
        <w:rPr>
          <w:rFonts w:ascii="Palatino Linotype" w:hAnsi="Palatino Linotype"/>
          <w:i/>
          <w:sz w:val="20"/>
          <w:szCs w:val="20"/>
        </w:rPr>
        <w:t xml:space="preserve">op. </w:t>
      </w:r>
      <w:proofErr w:type="spellStart"/>
      <w:r w:rsidRPr="000C2DAB">
        <w:rPr>
          <w:rFonts w:ascii="Palatino Linotype" w:hAnsi="Palatino Linotype"/>
          <w:i/>
          <w:sz w:val="20"/>
          <w:szCs w:val="20"/>
        </w:rPr>
        <w:t>cit</w:t>
      </w:r>
      <w:proofErr w:type="spellEnd"/>
    </w:p>
  </w:footnote>
  <w:footnote w:id="29">
    <w:p w14:paraId="352A59DD" w14:textId="66B0A8BB" w:rsidR="00B74BAA" w:rsidRPr="000C2DAB" w:rsidRDefault="00B74BAA">
      <w:pPr>
        <w:pStyle w:val="FootnoteText"/>
        <w:rPr>
          <w:rFonts w:ascii="Palatino Linotype" w:hAnsi="Palatino Linotype"/>
          <w:sz w:val="20"/>
          <w:szCs w:val="20"/>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Stuckey, </w:t>
      </w:r>
      <w:r w:rsidRPr="000C2DAB">
        <w:rPr>
          <w:rFonts w:ascii="Palatino Linotype" w:hAnsi="Palatino Linotype"/>
          <w:i/>
          <w:sz w:val="20"/>
          <w:szCs w:val="20"/>
        </w:rPr>
        <w:t>op. cit.</w:t>
      </w:r>
    </w:p>
  </w:footnote>
  <w:footnote w:id="30">
    <w:p w14:paraId="538BC5ED" w14:textId="0F135763" w:rsidR="00B74BAA" w:rsidRPr="000C2DAB" w:rsidRDefault="00B74BAA">
      <w:pPr>
        <w:pStyle w:val="FootnoteText"/>
        <w:rPr>
          <w:rFonts w:ascii="Palatino Linotype" w:hAnsi="Palatino Linotype"/>
          <w:sz w:val="20"/>
          <w:szCs w:val="20"/>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w:t>
      </w:r>
      <w:r w:rsidRPr="000C2DAB">
        <w:rPr>
          <w:rFonts w:ascii="Palatino Linotype" w:hAnsi="Palatino Linotype"/>
          <w:i/>
          <w:sz w:val="20"/>
          <w:szCs w:val="20"/>
        </w:rPr>
        <w:t xml:space="preserve">Gold, N. </w:t>
      </w:r>
      <w:r w:rsidRPr="000C2DAB">
        <w:rPr>
          <w:rFonts w:ascii="Palatino Linotype" w:hAnsi="Palatino Linotype"/>
          <w:sz w:val="20"/>
          <w:szCs w:val="20"/>
        </w:rPr>
        <w:t>“The British Columbia Professional Training Program: Towards Training for Competence”, 1 Journal of Professional Legal Education 1 (1983)</w:t>
      </w:r>
    </w:p>
  </w:footnote>
  <w:footnote w:id="31">
    <w:p w14:paraId="5D3EEE5D" w14:textId="7B1FDA80" w:rsidR="00B74BAA" w:rsidRPr="000C2DAB" w:rsidRDefault="00B74BAA">
      <w:pPr>
        <w:pStyle w:val="FootnoteText"/>
        <w:rPr>
          <w:rFonts w:ascii="Palatino Linotype" w:hAnsi="Palatino Linotype"/>
          <w:sz w:val="20"/>
          <w:szCs w:val="20"/>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Stuckey, </w:t>
      </w:r>
      <w:r w:rsidRPr="000C2DAB">
        <w:rPr>
          <w:rFonts w:ascii="Palatino Linotype" w:hAnsi="Palatino Linotype"/>
          <w:i/>
          <w:sz w:val="20"/>
          <w:szCs w:val="20"/>
        </w:rPr>
        <w:t>op. cit.,</w:t>
      </w:r>
      <w:r w:rsidRPr="000C2DAB">
        <w:rPr>
          <w:rFonts w:ascii="Palatino Linotype" w:hAnsi="Palatino Linotype"/>
          <w:sz w:val="20"/>
          <w:szCs w:val="20"/>
        </w:rPr>
        <w:t xml:space="preserve"> chapter 2</w:t>
      </w:r>
    </w:p>
  </w:footnote>
  <w:footnote w:id="32">
    <w:p w14:paraId="5DAAB71C" w14:textId="3B149F14" w:rsidR="00B74BAA" w:rsidRPr="000C2DAB" w:rsidRDefault="00B74BAA">
      <w:pPr>
        <w:pStyle w:val="FootnoteText"/>
        <w:rPr>
          <w:rFonts w:ascii="Palatino Linotype" w:hAnsi="Palatino Linotype"/>
          <w:sz w:val="20"/>
          <w:szCs w:val="20"/>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See </w:t>
      </w:r>
      <w:proofErr w:type="spellStart"/>
      <w:r w:rsidRPr="000C2DAB">
        <w:rPr>
          <w:rFonts w:ascii="Palatino Linotype" w:hAnsi="Palatino Linotype"/>
          <w:sz w:val="20"/>
          <w:szCs w:val="20"/>
        </w:rPr>
        <w:t>Petter</w:t>
      </w:r>
      <w:proofErr w:type="spellEnd"/>
      <w:r w:rsidRPr="000C2DAB">
        <w:rPr>
          <w:rFonts w:ascii="Palatino Linotype" w:hAnsi="Palatino Linotype"/>
          <w:sz w:val="20"/>
          <w:szCs w:val="20"/>
        </w:rPr>
        <w:t>, A</w:t>
      </w:r>
      <w:r w:rsidR="00D33571">
        <w:rPr>
          <w:rFonts w:ascii="Palatino Linotype" w:hAnsi="Palatino Linotype"/>
          <w:sz w:val="20"/>
          <w:szCs w:val="20"/>
        </w:rPr>
        <w:t>.</w:t>
      </w:r>
      <w:r w:rsidRPr="000C2DAB">
        <w:rPr>
          <w:rFonts w:ascii="Palatino Linotype" w:hAnsi="Palatino Linotype"/>
          <w:sz w:val="20"/>
          <w:szCs w:val="20"/>
        </w:rPr>
        <w:t xml:space="preserve"> </w:t>
      </w:r>
      <w:proofErr w:type="spellStart"/>
      <w:r w:rsidRPr="000C2DAB">
        <w:rPr>
          <w:rFonts w:ascii="Palatino Linotype" w:hAnsi="Palatino Linotype"/>
          <w:i/>
          <w:sz w:val="20"/>
          <w:szCs w:val="20"/>
        </w:rPr>
        <w:t>op.cit</w:t>
      </w:r>
      <w:proofErr w:type="spellEnd"/>
      <w:r w:rsidRPr="000C2DAB">
        <w:rPr>
          <w:rFonts w:ascii="Palatino Linotype" w:hAnsi="Palatino Linotype"/>
          <w:i/>
          <w:sz w:val="20"/>
          <w:szCs w:val="20"/>
        </w:rPr>
        <w:t>.</w:t>
      </w:r>
      <w:r w:rsidRPr="000C2DAB">
        <w:rPr>
          <w:rFonts w:ascii="Palatino Linotype" w:hAnsi="Palatino Linotype"/>
          <w:sz w:val="20"/>
          <w:szCs w:val="20"/>
        </w:rPr>
        <w:t xml:space="preserve"> Andrew Petter examined both the cognitive and affective domain taxonomies and wrote learning objectives for each level and sub-level of both taxonomies. </w:t>
      </w:r>
      <w:proofErr w:type="spellStart"/>
      <w:r w:rsidRPr="000C2DAB">
        <w:rPr>
          <w:rFonts w:ascii="Palatino Linotype" w:hAnsi="Palatino Linotype"/>
          <w:sz w:val="20"/>
          <w:szCs w:val="20"/>
        </w:rPr>
        <w:t>Petter’s</w:t>
      </w:r>
      <w:proofErr w:type="spellEnd"/>
      <w:r w:rsidRPr="000C2DAB">
        <w:rPr>
          <w:rFonts w:ascii="Palatino Linotype" w:hAnsi="Palatino Linotype"/>
          <w:sz w:val="20"/>
          <w:szCs w:val="20"/>
        </w:rPr>
        <w:t xml:space="preserve"> painstaking, careful and insightful work has to my knowledge never been advanced. Contrarily, this paper’s current review of these learning hierarchies is cursory and meant to be illustrative.</w:t>
      </w:r>
    </w:p>
  </w:footnote>
  <w:footnote w:id="33">
    <w:p w14:paraId="1064D18F" w14:textId="0812642F" w:rsidR="00B74BAA" w:rsidRPr="000C2DAB" w:rsidRDefault="00B74BAA">
      <w:pPr>
        <w:pStyle w:val="FootnoteText"/>
        <w:rPr>
          <w:rFonts w:ascii="Palatino Linotype" w:hAnsi="Palatino Linotype"/>
          <w:sz w:val="20"/>
          <w:szCs w:val="20"/>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E.g., </w:t>
      </w:r>
      <w:r w:rsidR="00D33571">
        <w:rPr>
          <w:rFonts w:ascii="Palatino Linotype" w:hAnsi="Palatino Linotype"/>
          <w:sz w:val="20"/>
          <w:szCs w:val="20"/>
        </w:rPr>
        <w:t>i</w:t>
      </w:r>
      <w:r w:rsidRPr="000C2DAB">
        <w:rPr>
          <w:rFonts w:ascii="Palatino Linotype" w:hAnsi="Palatino Linotype"/>
          <w:sz w:val="20"/>
          <w:szCs w:val="20"/>
        </w:rPr>
        <w:t>nterviewing, counseling, negotiation, mediation, writing, drafting, advocacy, and so on.</w:t>
      </w:r>
    </w:p>
  </w:footnote>
  <w:footnote w:id="34">
    <w:p w14:paraId="68799744" w14:textId="3CEA3414" w:rsidR="00B74BAA" w:rsidRPr="000C2DAB" w:rsidRDefault="00B74BAA">
      <w:pPr>
        <w:pStyle w:val="FootnoteText"/>
        <w:rPr>
          <w:rFonts w:ascii="Palatino Linotype" w:hAnsi="Palatino Linotype"/>
          <w:i/>
          <w:sz w:val="20"/>
          <w:szCs w:val="20"/>
          <w:lang w:val="en-AU"/>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There is an ample and deep literature on legal skills and lawyering generally. I have taken the core of this literature as read, or at least understood in outline, for the purposes of this paper. The richness of the literature was abetted by the seminal and signal work of Gary Bellow and Bea Moulton in </w:t>
      </w:r>
      <w:r w:rsidRPr="000C2DAB">
        <w:rPr>
          <w:rFonts w:ascii="Palatino Linotype" w:hAnsi="Palatino Linotype"/>
          <w:i/>
          <w:sz w:val="20"/>
          <w:szCs w:val="20"/>
          <w:lang w:val="en-AU"/>
        </w:rPr>
        <w:t xml:space="preserve">The Lawyering Process: Materials for Clinical Instruction in Advocacy. </w:t>
      </w:r>
      <w:r w:rsidRPr="000C2DAB">
        <w:rPr>
          <w:rFonts w:ascii="Palatino Linotype" w:hAnsi="Palatino Linotype"/>
          <w:sz w:val="20"/>
          <w:szCs w:val="20"/>
          <w:lang w:val="en-AU"/>
        </w:rPr>
        <w:t>Mineola, N.Y.: Foundation Press (1978)</w:t>
      </w:r>
      <w:r w:rsidRPr="000C2DAB">
        <w:rPr>
          <w:rFonts w:ascii="Palatino Linotype" w:hAnsi="Palatino Linotype"/>
          <w:i/>
          <w:sz w:val="20"/>
          <w:szCs w:val="20"/>
          <w:lang w:val="en-AU"/>
        </w:rPr>
        <w:t xml:space="preserve">. </w:t>
      </w:r>
      <w:r w:rsidRPr="000C2DAB">
        <w:rPr>
          <w:rFonts w:ascii="Palatino Linotype" w:hAnsi="Palatino Linotype"/>
          <w:sz w:val="20"/>
          <w:szCs w:val="20"/>
        </w:rPr>
        <w:t>This is a book on the role of the lawyer in the context of advocating a client’s interests. It is not narrowly a book on “advocacy”, as courtroom representation.</w:t>
      </w:r>
    </w:p>
  </w:footnote>
  <w:footnote w:id="35">
    <w:p w14:paraId="65700E51" w14:textId="23C681A5" w:rsidR="00B74BAA" w:rsidRPr="000C2DAB" w:rsidRDefault="00B74BAA">
      <w:pPr>
        <w:pStyle w:val="FootnoteText"/>
        <w:rPr>
          <w:rFonts w:ascii="Palatino Linotype" w:hAnsi="Palatino Linotype"/>
          <w:sz w:val="20"/>
          <w:szCs w:val="20"/>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Bellow, G. “On Teaching the Teachers: Some Preliminary Reflections on Clinical Legal Education as Methodology, in </w:t>
      </w:r>
      <w:r w:rsidRPr="000C2DAB">
        <w:rPr>
          <w:rFonts w:ascii="Palatino Linotype" w:hAnsi="Palatino Linotype"/>
          <w:i/>
          <w:sz w:val="20"/>
          <w:szCs w:val="20"/>
        </w:rPr>
        <w:t xml:space="preserve">Clinical Legal Education for the Law Student, </w:t>
      </w:r>
      <w:r w:rsidRPr="000C2DAB">
        <w:rPr>
          <w:rFonts w:ascii="Palatino Linotype" w:hAnsi="Palatino Linotype"/>
          <w:sz w:val="20"/>
          <w:szCs w:val="20"/>
        </w:rPr>
        <w:t xml:space="preserve">working papers prepared for CLEPR National Conference, June 6-9, 1973, New York: </w:t>
      </w:r>
      <w:proofErr w:type="spellStart"/>
      <w:r w:rsidRPr="000C2DAB">
        <w:rPr>
          <w:rFonts w:ascii="Palatino Linotype" w:hAnsi="Palatino Linotype"/>
          <w:sz w:val="20"/>
          <w:szCs w:val="20"/>
        </w:rPr>
        <w:t>Meilen</w:t>
      </w:r>
      <w:proofErr w:type="spellEnd"/>
      <w:r w:rsidRPr="000C2DAB">
        <w:rPr>
          <w:rFonts w:ascii="Palatino Linotype" w:hAnsi="Palatino Linotype"/>
          <w:sz w:val="20"/>
          <w:szCs w:val="20"/>
        </w:rPr>
        <w:t xml:space="preserve"> Press Inc. (1973)</w:t>
      </w:r>
    </w:p>
  </w:footnote>
  <w:footnote w:id="36">
    <w:p w14:paraId="1DDBEC9D" w14:textId="63623870" w:rsidR="00B74BAA" w:rsidRPr="000C2DAB" w:rsidRDefault="00B74BAA" w:rsidP="002C38C7">
      <w:pPr>
        <w:pStyle w:val="FootnoteText"/>
        <w:rPr>
          <w:rFonts w:ascii="Palatino Linotype" w:hAnsi="Palatino Linotype"/>
          <w:sz w:val="20"/>
          <w:szCs w:val="20"/>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“For the purposes of this Article, the term clinical legal education-including variations such as “clinical programs" and "the clinical method" refers to any law school course or program in which law students participate in the representation of actual clients under the supervision of a lawyer-teacher. Courses limited to simulation and unsupervised placements,</w:t>
      </w:r>
      <w:r w:rsidR="00D33571">
        <w:rPr>
          <w:rFonts w:ascii="Palatino Linotype" w:hAnsi="Palatino Linotype"/>
          <w:sz w:val="20"/>
          <w:szCs w:val="20"/>
        </w:rPr>
        <w:t xml:space="preserve"> </w:t>
      </w:r>
      <w:r w:rsidRPr="000C2DAB">
        <w:rPr>
          <w:rFonts w:ascii="Palatino Linotype" w:hAnsi="Palatino Linotype"/>
          <w:sz w:val="20"/>
          <w:szCs w:val="20"/>
        </w:rPr>
        <w:t xml:space="preserve">therefore, are not included in the definition.” Frank S. Bloch, “The Andragogical Basis of Clinical Legal Education”, 35 </w:t>
      </w:r>
      <w:proofErr w:type="spellStart"/>
      <w:r w:rsidRPr="000C2DAB">
        <w:rPr>
          <w:rFonts w:ascii="Palatino Linotype" w:hAnsi="Palatino Linotype"/>
          <w:i/>
          <w:sz w:val="20"/>
          <w:szCs w:val="20"/>
        </w:rPr>
        <w:t>Vand</w:t>
      </w:r>
      <w:proofErr w:type="spellEnd"/>
      <w:r w:rsidRPr="000C2DAB">
        <w:rPr>
          <w:rFonts w:ascii="Palatino Linotype" w:hAnsi="Palatino Linotype"/>
          <w:i/>
          <w:sz w:val="20"/>
          <w:szCs w:val="20"/>
        </w:rPr>
        <w:t>. L. Rev.</w:t>
      </w:r>
      <w:r w:rsidRPr="000C2DAB">
        <w:rPr>
          <w:rFonts w:ascii="Palatino Linotype" w:hAnsi="Palatino Linotype"/>
          <w:sz w:val="20"/>
          <w:szCs w:val="20"/>
        </w:rPr>
        <w:t xml:space="preserve"> 321 at p. 326. (1982)</w:t>
      </w:r>
    </w:p>
  </w:footnote>
  <w:footnote w:id="37">
    <w:p w14:paraId="2444CBE5" w14:textId="6ECE7771" w:rsidR="00B74BAA" w:rsidRPr="000C2DAB" w:rsidRDefault="00B74BAA" w:rsidP="00306AA9">
      <w:pPr>
        <w:widowControl w:val="0"/>
        <w:autoSpaceDE w:val="0"/>
        <w:autoSpaceDN w:val="0"/>
        <w:adjustRightInd w:val="0"/>
        <w:rPr>
          <w:rFonts w:ascii="Palatino Linotype" w:hAnsi="Palatino Linotype" w:cs="Lucida Grande"/>
          <w:sz w:val="20"/>
          <w:szCs w:val="20"/>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For an extensive treatment of student supervision in externships (a clinical model employing a placement into a setting not directly controlled by the law school, though the supervisor and student have agreed learning related responsibilities)  </w:t>
      </w:r>
      <w:r w:rsidRPr="000C2DAB">
        <w:rPr>
          <w:rFonts w:ascii="Palatino Linotype" w:hAnsi="Palatino Linotype" w:cs="Geneva"/>
          <w:color w:val="000000"/>
          <w:sz w:val="20"/>
          <w:szCs w:val="20"/>
        </w:rPr>
        <w:t xml:space="preserve">Ogilvy, </w:t>
      </w:r>
      <w:proofErr w:type="spellStart"/>
      <w:r w:rsidRPr="000C2DAB">
        <w:rPr>
          <w:rFonts w:ascii="Palatino Linotype" w:hAnsi="Palatino Linotype" w:cs="Geneva"/>
          <w:color w:val="000000"/>
          <w:sz w:val="20"/>
          <w:szCs w:val="20"/>
        </w:rPr>
        <w:t>Wortham</w:t>
      </w:r>
      <w:proofErr w:type="spellEnd"/>
      <w:r w:rsidRPr="000C2DAB">
        <w:rPr>
          <w:rFonts w:ascii="Palatino Linotype" w:hAnsi="Palatino Linotype" w:cs="Geneva"/>
          <w:color w:val="000000"/>
          <w:sz w:val="20"/>
          <w:szCs w:val="20"/>
        </w:rPr>
        <w:t xml:space="preserve"> and </w:t>
      </w:r>
      <w:proofErr w:type="spellStart"/>
      <w:r w:rsidRPr="000C2DAB">
        <w:rPr>
          <w:rFonts w:ascii="Palatino Linotype" w:hAnsi="Palatino Linotype" w:cs="Geneva"/>
          <w:color w:val="000000"/>
          <w:sz w:val="20"/>
          <w:szCs w:val="20"/>
        </w:rPr>
        <w:t>Lerman</w:t>
      </w:r>
      <w:proofErr w:type="spellEnd"/>
      <w:r w:rsidRPr="000C2DAB">
        <w:rPr>
          <w:rFonts w:ascii="Palatino Linotype" w:hAnsi="Palatino Linotype" w:cs="Geneva"/>
          <w:color w:val="000000"/>
          <w:sz w:val="20"/>
          <w:szCs w:val="20"/>
        </w:rPr>
        <w:t>,</w:t>
      </w:r>
      <w:r w:rsidRPr="000C2DAB">
        <w:rPr>
          <w:rFonts w:ascii="Palatino Linotype" w:hAnsi="Palatino Linotype" w:cs="Geneva"/>
          <w:i/>
          <w:iCs/>
          <w:color w:val="000000"/>
          <w:sz w:val="20"/>
          <w:szCs w:val="20"/>
        </w:rPr>
        <w:t xml:space="preserve"> Learning From Practice: A Professional Development Text for Legal Interns</w:t>
      </w:r>
      <w:r w:rsidRPr="000C2DAB">
        <w:rPr>
          <w:rFonts w:ascii="Palatino Linotype" w:hAnsi="Palatino Linotype" w:cs="Geneva"/>
          <w:color w:val="000000"/>
          <w:sz w:val="20"/>
          <w:szCs w:val="20"/>
        </w:rPr>
        <w:t>. 2nd. edition. West Law School, 2007</w:t>
      </w:r>
    </w:p>
  </w:footnote>
  <w:footnote w:id="38">
    <w:p w14:paraId="4D60FAEF" w14:textId="426097B9" w:rsidR="00B74BAA" w:rsidRPr="000C2DAB" w:rsidRDefault="00B74BAA" w:rsidP="00CF5EF6">
      <w:pPr>
        <w:rPr>
          <w:rFonts w:ascii="Palatino Linotype" w:hAnsi="Palatino Linotype"/>
          <w:sz w:val="20"/>
          <w:szCs w:val="20"/>
          <w:lang w:val="en-CA"/>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The work of Donald </w:t>
      </w:r>
      <w:proofErr w:type="spellStart"/>
      <w:r w:rsidRPr="000C2DAB">
        <w:rPr>
          <w:rFonts w:ascii="Palatino Linotype" w:hAnsi="Palatino Linotype"/>
          <w:sz w:val="20"/>
          <w:szCs w:val="20"/>
        </w:rPr>
        <w:t>Schon</w:t>
      </w:r>
      <w:proofErr w:type="spellEnd"/>
      <w:r w:rsidRPr="000C2DAB">
        <w:rPr>
          <w:rFonts w:ascii="Palatino Linotype" w:hAnsi="Palatino Linotype"/>
          <w:sz w:val="20"/>
          <w:szCs w:val="20"/>
        </w:rPr>
        <w:t xml:space="preserve"> is best known for its contribution to learning about the process of reflection with and without </w:t>
      </w:r>
      <w:proofErr w:type="spellStart"/>
      <w:r w:rsidRPr="000C2DAB">
        <w:rPr>
          <w:rFonts w:ascii="Palatino Linotype" w:hAnsi="Palatino Linotype"/>
          <w:sz w:val="20"/>
          <w:szCs w:val="20"/>
        </w:rPr>
        <w:t>supervison</w:t>
      </w:r>
      <w:proofErr w:type="spellEnd"/>
      <w:r w:rsidRPr="000C2DAB">
        <w:rPr>
          <w:rFonts w:ascii="Palatino Linotype" w:hAnsi="Palatino Linotype"/>
          <w:sz w:val="20"/>
          <w:szCs w:val="20"/>
        </w:rPr>
        <w:t xml:space="preserve"> and before, after and during the provision of professional service. See </w:t>
      </w:r>
      <w:proofErr w:type="spellStart"/>
      <w:r w:rsidRPr="000C2DAB">
        <w:rPr>
          <w:rFonts w:ascii="Palatino Linotype" w:hAnsi="Palatino Linotype"/>
          <w:sz w:val="20"/>
          <w:szCs w:val="20"/>
          <w:lang w:val="en-AU"/>
        </w:rPr>
        <w:t>Schon</w:t>
      </w:r>
      <w:proofErr w:type="spellEnd"/>
      <w:r w:rsidRPr="000C2DAB">
        <w:rPr>
          <w:rFonts w:ascii="Palatino Linotype" w:hAnsi="Palatino Linotype"/>
          <w:sz w:val="20"/>
          <w:szCs w:val="20"/>
          <w:lang w:val="en-AU"/>
        </w:rPr>
        <w:t xml:space="preserve">, Donald A., </w:t>
      </w:r>
      <w:r w:rsidRPr="000C2DAB">
        <w:rPr>
          <w:rFonts w:ascii="Palatino Linotype" w:hAnsi="Palatino Linotype"/>
          <w:bCs/>
          <w:i/>
          <w:sz w:val="20"/>
          <w:szCs w:val="20"/>
          <w:lang w:val="en-AU"/>
        </w:rPr>
        <w:t>T</w:t>
      </w:r>
      <w:r w:rsidRPr="000C2DAB">
        <w:rPr>
          <w:rFonts w:ascii="Palatino Linotype" w:hAnsi="Palatino Linotype"/>
          <w:i/>
          <w:iCs/>
          <w:sz w:val="20"/>
          <w:szCs w:val="20"/>
          <w:lang w:val="en-AU"/>
        </w:rPr>
        <w:t>he Reflective Practitioner: How Professionals Think in Action</w:t>
      </w:r>
      <w:r w:rsidRPr="000C2DAB">
        <w:rPr>
          <w:rFonts w:ascii="Palatino Linotype" w:hAnsi="Palatino Linotype"/>
          <w:sz w:val="20"/>
          <w:szCs w:val="20"/>
          <w:lang w:val="en-AU"/>
        </w:rPr>
        <w:t xml:space="preserve">. London: Temple Smith (1983) and </w:t>
      </w:r>
      <w:proofErr w:type="spellStart"/>
      <w:r w:rsidRPr="000C2DAB">
        <w:rPr>
          <w:rFonts w:ascii="Palatino Linotype" w:hAnsi="Palatino Linotype"/>
          <w:sz w:val="20"/>
          <w:szCs w:val="20"/>
          <w:lang w:val="en-AU"/>
        </w:rPr>
        <w:t>Schon</w:t>
      </w:r>
      <w:proofErr w:type="spellEnd"/>
      <w:r w:rsidRPr="000C2DAB">
        <w:rPr>
          <w:rFonts w:ascii="Palatino Linotype" w:hAnsi="Palatino Linotype"/>
          <w:sz w:val="20"/>
          <w:szCs w:val="20"/>
          <w:lang w:val="en-AU"/>
        </w:rPr>
        <w:t xml:space="preserve">, Donald A., </w:t>
      </w:r>
      <w:r w:rsidRPr="000C2DAB">
        <w:rPr>
          <w:rFonts w:ascii="Palatino Linotype" w:hAnsi="Palatino Linotype"/>
          <w:i/>
          <w:iCs/>
          <w:sz w:val="20"/>
          <w:szCs w:val="20"/>
          <w:lang w:val="en-AU"/>
        </w:rPr>
        <w:t>Educating the</w:t>
      </w:r>
      <w:r w:rsidRPr="000C2DAB">
        <w:rPr>
          <w:rFonts w:ascii="Palatino Linotype" w:hAnsi="Palatino Linotype"/>
          <w:b/>
          <w:i/>
          <w:iCs/>
          <w:sz w:val="20"/>
          <w:szCs w:val="20"/>
          <w:lang w:val="en-AU"/>
        </w:rPr>
        <w:t xml:space="preserve"> </w:t>
      </w:r>
      <w:r w:rsidRPr="000C2DAB">
        <w:rPr>
          <w:rFonts w:ascii="Palatino Linotype" w:hAnsi="Palatino Linotype"/>
          <w:i/>
          <w:iCs/>
          <w:sz w:val="20"/>
          <w:szCs w:val="20"/>
          <w:lang w:val="en-AU"/>
        </w:rPr>
        <w:t>Reflective Practitioner</w:t>
      </w:r>
      <w:r w:rsidRPr="000C2DAB">
        <w:rPr>
          <w:rFonts w:ascii="Palatino Linotype" w:hAnsi="Palatino Linotype"/>
          <w:sz w:val="20"/>
          <w:szCs w:val="20"/>
          <w:lang w:val="en-AU"/>
        </w:rPr>
        <w:t xml:space="preserve">. San Francisco: Jossey-Bass (1987). More recently see </w:t>
      </w:r>
      <w:r w:rsidRPr="000C2DAB">
        <w:rPr>
          <w:rFonts w:ascii="Palatino Linotype" w:hAnsi="Palatino Linotype"/>
          <w:sz w:val="20"/>
          <w:szCs w:val="20"/>
        </w:rPr>
        <w:t xml:space="preserve">Leering, Michele. </w:t>
      </w:r>
      <w:r w:rsidRPr="000C2DAB">
        <w:rPr>
          <w:rFonts w:ascii="Palatino Linotype" w:hAnsi="Palatino Linotype"/>
          <w:i/>
          <w:sz w:val="20"/>
          <w:szCs w:val="20"/>
        </w:rPr>
        <w:t>Conceptualizing Reflective Practice for Legal Professionals</w:t>
      </w:r>
      <w:r w:rsidRPr="000C2DAB">
        <w:rPr>
          <w:rFonts w:ascii="Palatino Linotype" w:hAnsi="Palatino Linotype"/>
          <w:sz w:val="20"/>
          <w:szCs w:val="20"/>
        </w:rPr>
        <w:t xml:space="preserve">, 23 J. Law and Social Policy 83 (2014) and Casey, Timothy. </w:t>
      </w:r>
      <w:r w:rsidRPr="000C2DAB">
        <w:rPr>
          <w:rFonts w:ascii="Palatino Linotype" w:hAnsi="Palatino Linotype"/>
          <w:i/>
          <w:iCs/>
          <w:sz w:val="20"/>
          <w:szCs w:val="20"/>
        </w:rPr>
        <w:t>Reflective Practice in Legal Education: The Stages of Reflection</w:t>
      </w:r>
      <w:r w:rsidRPr="000C2DAB">
        <w:rPr>
          <w:rFonts w:ascii="Palatino Linotype" w:hAnsi="Palatino Linotype"/>
          <w:sz w:val="20"/>
          <w:szCs w:val="20"/>
        </w:rPr>
        <w:t>, 20 (2) Clinical Law Rev. 317 (2014).</w:t>
      </w:r>
    </w:p>
  </w:footnote>
  <w:footnote w:id="39">
    <w:p w14:paraId="7EB1F369" w14:textId="79E83DF7" w:rsidR="00B74BAA" w:rsidRPr="000C2DAB" w:rsidRDefault="00B74BAA">
      <w:pPr>
        <w:pStyle w:val="FootnoteText"/>
        <w:rPr>
          <w:rFonts w:ascii="Palatino Linotype" w:hAnsi="Palatino Linotype"/>
          <w:sz w:val="20"/>
          <w:szCs w:val="20"/>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Gold, N. “Legal Education, Law and Justice, the Clinical Experience”, 44 </w:t>
      </w:r>
      <w:r w:rsidRPr="000C2DAB">
        <w:rPr>
          <w:rFonts w:ascii="Palatino Linotype" w:hAnsi="Palatino Linotype"/>
          <w:i/>
          <w:sz w:val="20"/>
          <w:szCs w:val="20"/>
        </w:rPr>
        <w:t>Sask. Law Review</w:t>
      </w:r>
      <w:r w:rsidRPr="000C2DAB">
        <w:rPr>
          <w:rFonts w:ascii="Palatino Linotype" w:hAnsi="Palatino Linotype"/>
          <w:sz w:val="20"/>
          <w:szCs w:val="20"/>
        </w:rPr>
        <w:t xml:space="preserve"> (1978-1979), 98 at p. 99</w:t>
      </w:r>
    </w:p>
  </w:footnote>
  <w:footnote w:id="40">
    <w:p w14:paraId="21C24B38" w14:textId="29883886" w:rsidR="00B74BAA" w:rsidRPr="000C2DAB" w:rsidRDefault="00B74BAA" w:rsidP="00CA0695">
      <w:pPr>
        <w:pStyle w:val="FootnoteText"/>
        <w:rPr>
          <w:rFonts w:ascii="Palatino Linotype" w:hAnsi="Palatino Linotype"/>
          <w:sz w:val="20"/>
          <w:szCs w:val="20"/>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Grimes, R. “The Theory And Practice Of Clinical Legal Education” in J. Webb and C. </w:t>
      </w:r>
    </w:p>
    <w:p w14:paraId="29EC5639" w14:textId="541FBBDB" w:rsidR="00B74BAA" w:rsidRPr="000C2DAB" w:rsidRDefault="00B74BAA" w:rsidP="00CA0695">
      <w:pPr>
        <w:pStyle w:val="FootnoteText"/>
        <w:rPr>
          <w:rFonts w:ascii="Palatino Linotype" w:hAnsi="Palatino Linotype"/>
          <w:sz w:val="20"/>
          <w:szCs w:val="20"/>
        </w:rPr>
      </w:pPr>
      <w:r w:rsidRPr="000C2DAB">
        <w:rPr>
          <w:rFonts w:ascii="Palatino Linotype" w:hAnsi="Palatino Linotype"/>
          <w:sz w:val="20"/>
          <w:szCs w:val="20"/>
        </w:rPr>
        <w:t xml:space="preserve">Maugham (eds.) </w:t>
      </w:r>
      <w:r w:rsidRPr="000C2DAB">
        <w:rPr>
          <w:rFonts w:ascii="Palatino Linotype" w:hAnsi="Palatino Linotype"/>
          <w:i/>
          <w:sz w:val="20"/>
          <w:szCs w:val="20"/>
        </w:rPr>
        <w:t>Teaching Lawyers’ Skills</w:t>
      </w:r>
      <w:r w:rsidRPr="000C2DAB">
        <w:rPr>
          <w:rFonts w:ascii="Palatino Linotype" w:hAnsi="Palatino Linotype"/>
          <w:sz w:val="20"/>
          <w:szCs w:val="20"/>
        </w:rPr>
        <w:t xml:space="preserve"> (London:1996) at p. 138</w:t>
      </w:r>
    </w:p>
  </w:footnote>
  <w:footnote w:id="41">
    <w:p w14:paraId="1FE73EA7" w14:textId="3E53ECF3" w:rsidR="00B74BAA" w:rsidRPr="000C2DAB" w:rsidRDefault="00B74BAA" w:rsidP="00FA0B23">
      <w:pPr>
        <w:widowControl w:val="0"/>
        <w:autoSpaceDE w:val="0"/>
        <w:autoSpaceDN w:val="0"/>
        <w:adjustRightInd w:val="0"/>
        <w:rPr>
          <w:rFonts w:ascii="Palatino Linotype" w:hAnsi="Palatino Linotype" w:cs="Arial"/>
          <w:color w:val="000000"/>
          <w:sz w:val="20"/>
          <w:szCs w:val="20"/>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w:t>
      </w:r>
      <w:r w:rsidRPr="000C2DAB">
        <w:rPr>
          <w:rFonts w:ascii="Palatino Linotype" w:hAnsi="Palatino Linotype" w:cs="Arial"/>
          <w:color w:val="000000"/>
          <w:sz w:val="20"/>
          <w:szCs w:val="20"/>
        </w:rPr>
        <w:t xml:space="preserve">Bloch </w:t>
      </w:r>
      <w:r w:rsidRPr="000C2DAB">
        <w:rPr>
          <w:rFonts w:ascii="Palatino Linotype" w:hAnsi="Palatino Linotype" w:cs="Arial"/>
          <w:i/>
          <w:color w:val="000000"/>
          <w:sz w:val="20"/>
          <w:szCs w:val="20"/>
        </w:rPr>
        <w:t>op. cit.</w:t>
      </w:r>
      <w:r w:rsidRPr="000C2DAB">
        <w:rPr>
          <w:rFonts w:ascii="Palatino Linotype" w:hAnsi="Palatino Linotype" w:cs="Arial"/>
          <w:color w:val="000000"/>
          <w:sz w:val="20"/>
          <w:szCs w:val="20"/>
        </w:rPr>
        <w:t xml:space="preserve"> at p. 326 footnote 15 “Most clinicians use simulations to some extent as a part of their method of instruction. Indeed, clinical teachers who write on simulation as a teaching technique often include actual client representation as an element in their program. Thus, the authors of a widely circulated text on simulation concluded after experimentation that simulation alone was not a satisfactory clinical experience. See </w:t>
      </w:r>
      <w:proofErr w:type="spellStart"/>
      <w:r w:rsidRPr="000C2DAB">
        <w:rPr>
          <w:rFonts w:ascii="Palatino Linotype" w:hAnsi="Palatino Linotype" w:cs="Arial"/>
          <w:color w:val="000000"/>
          <w:sz w:val="20"/>
          <w:szCs w:val="20"/>
        </w:rPr>
        <w:t>Melstner</w:t>
      </w:r>
      <w:proofErr w:type="spellEnd"/>
      <w:r w:rsidRPr="000C2DAB">
        <w:rPr>
          <w:rFonts w:ascii="Palatino Linotype" w:hAnsi="Palatino Linotype" w:cs="Arial"/>
          <w:color w:val="000000"/>
          <w:sz w:val="20"/>
          <w:szCs w:val="20"/>
        </w:rPr>
        <w:t xml:space="preserve">, M and </w:t>
      </w:r>
      <w:proofErr w:type="spellStart"/>
      <w:r w:rsidRPr="000C2DAB">
        <w:rPr>
          <w:rFonts w:ascii="Palatino Linotype" w:hAnsi="Palatino Linotype" w:cs="Arial"/>
          <w:color w:val="000000"/>
          <w:sz w:val="20"/>
          <w:szCs w:val="20"/>
        </w:rPr>
        <w:t>Schrag</w:t>
      </w:r>
      <w:proofErr w:type="spellEnd"/>
      <w:r w:rsidRPr="000C2DAB">
        <w:rPr>
          <w:rFonts w:ascii="Palatino Linotype" w:hAnsi="Palatino Linotype" w:cs="Arial"/>
          <w:color w:val="000000"/>
          <w:sz w:val="20"/>
          <w:szCs w:val="20"/>
        </w:rPr>
        <w:t xml:space="preserve">, P. </w:t>
      </w:r>
      <w:r w:rsidRPr="000C2DAB">
        <w:rPr>
          <w:rFonts w:ascii="Palatino Linotype" w:hAnsi="Palatino Linotype" w:cs="Arial"/>
          <w:i/>
          <w:color w:val="000000"/>
          <w:sz w:val="20"/>
          <w:szCs w:val="20"/>
        </w:rPr>
        <w:t>Toward Simulation</w:t>
      </w:r>
      <w:r w:rsidRPr="000C2DAB">
        <w:rPr>
          <w:rFonts w:ascii="Palatino Linotype" w:hAnsi="Palatino Linotype" w:cs="Arial"/>
          <w:color w:val="000000"/>
          <w:sz w:val="20"/>
          <w:szCs w:val="20"/>
        </w:rPr>
        <w:t xml:space="preserve"> </w:t>
      </w:r>
      <w:r w:rsidRPr="000C2DAB">
        <w:rPr>
          <w:rFonts w:ascii="Palatino Linotype" w:hAnsi="Palatino Linotype" w:cs="Arial"/>
          <w:i/>
          <w:color w:val="000000"/>
          <w:sz w:val="20"/>
          <w:szCs w:val="20"/>
        </w:rPr>
        <w:t>In Legal Education:</w:t>
      </w:r>
      <w:r w:rsidRPr="000C2DAB">
        <w:rPr>
          <w:rFonts w:ascii="Palatino Linotype" w:hAnsi="Palatino Linotype" w:cs="Arial"/>
          <w:color w:val="000000"/>
          <w:sz w:val="20"/>
          <w:szCs w:val="20"/>
        </w:rPr>
        <w:t xml:space="preserve"> </w:t>
      </w:r>
      <w:r w:rsidRPr="000C2DAB">
        <w:rPr>
          <w:rFonts w:ascii="Palatino Linotype" w:hAnsi="Palatino Linotype" w:cs="Arial"/>
          <w:i/>
          <w:iCs/>
          <w:color w:val="000000"/>
          <w:sz w:val="20"/>
          <w:szCs w:val="20"/>
        </w:rPr>
        <w:t>an experimental course in pretrial litigation</w:t>
      </w:r>
      <w:r w:rsidRPr="000C2DAB">
        <w:rPr>
          <w:rFonts w:ascii="Palatino Linotype" w:hAnsi="Palatino Linotype" w:cs="Arial"/>
          <w:color w:val="000000"/>
          <w:sz w:val="20"/>
          <w:szCs w:val="20"/>
        </w:rPr>
        <w:t> (2nd ed.). Foundation Press. (1979) In its recent report the Committee on Guidelines for Clinical Legal Education of the Association of American Law Schools and the American Bar Association concluded  "the clinical legal studies curriculum should, if at all possible, include some experience working on live cases or problems." Id. at 65. Cf. id. at 20 (The actual guideline for the use of clinical teaching methods states: "Where resources, cases, and law permit, law student work on live cases or problems is a valuable but not an exclusive [clinical] method.</w:t>
      </w:r>
      <w:r w:rsidR="00D33571">
        <w:rPr>
          <w:rFonts w:ascii="Palatino Linotype" w:hAnsi="Palatino Linotype" w:cs="Arial"/>
          <w:color w:val="000000"/>
          <w:sz w:val="20"/>
          <w:szCs w:val="20"/>
        </w:rPr>
        <w:t xml:space="preserve"> </w:t>
      </w:r>
      <w:r w:rsidRPr="000C2DAB">
        <w:rPr>
          <w:rFonts w:ascii="Palatino Linotype" w:hAnsi="Palatino Linotype" w:cs="Arial"/>
          <w:color w:val="000000"/>
          <w:sz w:val="20"/>
          <w:szCs w:val="20"/>
        </w:rPr>
        <w:t>…’</w:t>
      </w:r>
    </w:p>
    <w:p w14:paraId="2BB67F40" w14:textId="77777777" w:rsidR="00B74BAA" w:rsidRPr="000C2DAB" w:rsidRDefault="00B74BAA" w:rsidP="00FA0B23">
      <w:pPr>
        <w:widowControl w:val="0"/>
        <w:autoSpaceDE w:val="0"/>
        <w:autoSpaceDN w:val="0"/>
        <w:adjustRightInd w:val="0"/>
        <w:rPr>
          <w:rFonts w:ascii="Palatino Linotype" w:hAnsi="Palatino Linotype" w:cs="Arial"/>
          <w:color w:val="000000"/>
          <w:sz w:val="20"/>
          <w:szCs w:val="20"/>
        </w:rPr>
      </w:pPr>
    </w:p>
  </w:footnote>
  <w:footnote w:id="42">
    <w:p w14:paraId="5FB0F798" w14:textId="45A63EF4" w:rsidR="00B74BAA" w:rsidRPr="000C2DAB" w:rsidRDefault="00B74BAA">
      <w:pPr>
        <w:pStyle w:val="FootnoteText"/>
        <w:rPr>
          <w:rFonts w:ascii="Palatino Linotype" w:hAnsi="Palatino Linotype"/>
          <w:sz w:val="20"/>
          <w:szCs w:val="20"/>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See </w:t>
      </w:r>
      <w:hyperlink r:id="rId18" w:history="1">
        <w:r w:rsidRPr="000C2DAB">
          <w:rPr>
            <w:rStyle w:val="Hyperlink"/>
            <w:rFonts w:ascii="Palatino Linotype" w:hAnsi="Palatino Linotype"/>
            <w:sz w:val="20"/>
            <w:szCs w:val="20"/>
          </w:rPr>
          <w:t>http://paulmaharg.com</w:t>
        </w:r>
      </w:hyperlink>
      <w:r w:rsidRPr="000C2DAB">
        <w:rPr>
          <w:rFonts w:ascii="Palatino Linotype" w:hAnsi="Palatino Linotype"/>
          <w:sz w:val="20"/>
          <w:szCs w:val="20"/>
        </w:rPr>
        <w:t xml:space="preserve">, an interesting blog by Paul Maharg covering a range of legal education topics. The following  </w:t>
      </w:r>
      <w:hyperlink r:id="rId19" w:history="1">
        <w:r w:rsidRPr="000C2DAB">
          <w:rPr>
            <w:rStyle w:val="Hyperlink"/>
            <w:rFonts w:ascii="Palatino Linotype" w:hAnsi="Palatino Linotype"/>
            <w:sz w:val="20"/>
            <w:szCs w:val="20"/>
          </w:rPr>
          <w:t>http://paulmaharg.com/2011/09/16/standardized-clients-northumbria-university-law-school/</w:t>
        </w:r>
      </w:hyperlink>
      <w:r w:rsidRPr="000C2DAB">
        <w:rPr>
          <w:rFonts w:ascii="Palatino Linotype" w:hAnsi="Palatino Linotype"/>
          <w:sz w:val="20"/>
          <w:szCs w:val="20"/>
        </w:rPr>
        <w:t xml:space="preserve"> provides insight into his work with standardized patients. A book is expected in a year or two.</w:t>
      </w:r>
    </w:p>
  </w:footnote>
  <w:footnote w:id="43">
    <w:p w14:paraId="5276CA51" w14:textId="77777777" w:rsidR="00B74BAA" w:rsidRPr="000C2DAB" w:rsidRDefault="00B74BAA" w:rsidP="00551ED6">
      <w:pPr>
        <w:pStyle w:val="FootnoteText"/>
        <w:rPr>
          <w:rFonts w:ascii="Palatino Linotype" w:hAnsi="Palatino Linotype"/>
          <w:sz w:val="20"/>
          <w:szCs w:val="20"/>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In Great Britain and Australia the term or a version of the term “registrar” may be employed.</w:t>
      </w:r>
    </w:p>
  </w:footnote>
  <w:footnote w:id="44">
    <w:p w14:paraId="05B1E8D4" w14:textId="2875C5AC" w:rsidR="00B74BAA" w:rsidRPr="000C2DAB" w:rsidRDefault="00B74BAA" w:rsidP="009F1AC2">
      <w:pPr>
        <w:pStyle w:val="FootnoteText"/>
        <w:rPr>
          <w:rFonts w:ascii="Palatino Linotype" w:hAnsi="Palatino Linotype"/>
          <w:sz w:val="20"/>
          <w:szCs w:val="20"/>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“First, it is important to draw a distinction between student/learner-centred and learning-centred education. (LCE) Unlike student/learner-centred education, a learning-centred approach does not necessarily imply individual learner control over issues such as content coverage, learning strategies and assessment methods. Rather, LCE requires a community of students/learners to make choices within a responsive, carefully structured, and guided learning environment. LCE does focus, however, on what students are expected to know and are able to do (</w:t>
      </w:r>
      <w:r w:rsidRPr="000C2DAB">
        <w:rPr>
          <w:rFonts w:ascii="Palatino Linotype" w:hAnsi="Palatino Linotype"/>
          <w:i/>
          <w:sz w:val="20"/>
          <w:szCs w:val="20"/>
        </w:rPr>
        <w:t>e.g</w:t>
      </w:r>
      <w:r w:rsidRPr="000C2DAB">
        <w:rPr>
          <w:rFonts w:ascii="Palatino Linotype" w:hAnsi="Palatino Linotype"/>
          <w:sz w:val="20"/>
          <w:szCs w:val="20"/>
        </w:rPr>
        <w:t>., demonstrate critical thinking, apply ethical principles and problem-solving skills) in the context of a field of study. LCE includes both individual and collaborative learning experiences and places emphasis on the investigation and resolution of authentic problems through interactive and experiential engagement. Thus, by calling the</w:t>
      </w:r>
      <w:r w:rsidR="00793F1C">
        <w:rPr>
          <w:rFonts w:ascii="Palatino Linotype" w:hAnsi="Palatino Linotype"/>
          <w:sz w:val="20"/>
          <w:szCs w:val="20"/>
        </w:rPr>
        <w:t xml:space="preserve"> </w:t>
      </w:r>
      <w:proofErr w:type="spellStart"/>
      <w:r w:rsidRPr="000C2DAB">
        <w:rPr>
          <w:rFonts w:ascii="Palatino Linotype" w:hAnsi="Palatino Linotype"/>
          <w:sz w:val="20"/>
          <w:szCs w:val="20"/>
        </w:rPr>
        <w:t>programme</w:t>
      </w:r>
      <w:proofErr w:type="spellEnd"/>
      <w:r w:rsidRPr="000C2DAB">
        <w:rPr>
          <w:rFonts w:ascii="Palatino Linotype" w:hAnsi="Palatino Linotype"/>
          <w:sz w:val="20"/>
          <w:szCs w:val="20"/>
        </w:rPr>
        <w:t xml:space="preserve"> “responsive,” we mean that it responds to the diverse needs of the learners (in this case, the faculty cohort), critical teaching and learning issues in university settings, and available resources.” Harry </w:t>
      </w:r>
      <w:proofErr w:type="spellStart"/>
      <w:r w:rsidRPr="000C2DAB">
        <w:rPr>
          <w:rFonts w:ascii="Palatino Linotype" w:hAnsi="Palatino Linotype"/>
          <w:sz w:val="20"/>
          <w:szCs w:val="20"/>
        </w:rPr>
        <w:t>Hubball</w:t>
      </w:r>
      <w:proofErr w:type="spellEnd"/>
      <w:r w:rsidRPr="000C2DAB">
        <w:rPr>
          <w:rFonts w:ascii="Palatino Linotype" w:hAnsi="Palatino Linotype"/>
          <w:sz w:val="20"/>
          <w:szCs w:val="20"/>
        </w:rPr>
        <w:t xml:space="preserve"> and Gary Poole, “Learning-centred Education to Meet the Diverse Needs and Circumstances of University Faculty Through an Eight-month Programme on Teaching and Learning in Higher Education”, </w:t>
      </w:r>
      <w:r w:rsidRPr="000C2DAB">
        <w:rPr>
          <w:rFonts w:ascii="Palatino Linotype" w:hAnsi="Palatino Linotype"/>
          <w:i/>
          <w:sz w:val="20"/>
          <w:szCs w:val="20"/>
        </w:rPr>
        <w:t>International Journal for Academic Development</w:t>
      </w:r>
      <w:r w:rsidRPr="000C2DAB">
        <w:rPr>
          <w:rFonts w:ascii="Palatino Linotype" w:hAnsi="Palatino Linotype"/>
          <w:sz w:val="20"/>
          <w:szCs w:val="20"/>
        </w:rPr>
        <w:t xml:space="preserve">, </w:t>
      </w:r>
      <w:proofErr w:type="spellStart"/>
      <w:r w:rsidRPr="000C2DAB">
        <w:rPr>
          <w:rFonts w:ascii="Palatino Linotype" w:hAnsi="Palatino Linotype"/>
          <w:sz w:val="20"/>
          <w:szCs w:val="20"/>
        </w:rPr>
        <w:t>Vol</w:t>
      </w:r>
      <w:proofErr w:type="spellEnd"/>
      <w:r w:rsidRPr="000C2DAB">
        <w:rPr>
          <w:rFonts w:ascii="Palatino Linotype" w:hAnsi="Palatino Linotype"/>
          <w:sz w:val="20"/>
          <w:szCs w:val="20"/>
        </w:rPr>
        <w:t xml:space="preserve"> 8, No. 1-2, p. 12. (May/November 2003)</w:t>
      </w:r>
    </w:p>
  </w:footnote>
  <w:footnote w:id="45">
    <w:p w14:paraId="11353121" w14:textId="214FC9BC" w:rsidR="00B74BAA" w:rsidRPr="000C2DAB" w:rsidRDefault="00B74BAA">
      <w:pPr>
        <w:pStyle w:val="FootnoteText"/>
        <w:rPr>
          <w:rFonts w:ascii="Palatino Linotype" w:hAnsi="Palatino Linotype"/>
          <w:sz w:val="20"/>
          <w:szCs w:val="20"/>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Biggs, J. "What do inventories of students' learning process really measure? A theoretical review and clarification" 83 </w:t>
      </w:r>
      <w:r w:rsidRPr="000C2DAB">
        <w:rPr>
          <w:rFonts w:ascii="Palatino Linotype" w:hAnsi="Palatino Linotype"/>
          <w:i/>
          <w:iCs/>
          <w:sz w:val="20"/>
          <w:szCs w:val="20"/>
        </w:rPr>
        <w:t>Brit. J. Ed. Psych.</w:t>
      </w:r>
      <w:r w:rsidRPr="000C2DAB">
        <w:rPr>
          <w:rFonts w:ascii="Palatino Linotype" w:hAnsi="Palatino Linotype"/>
          <w:sz w:val="20"/>
          <w:szCs w:val="20"/>
        </w:rPr>
        <w:t xml:space="preserve">  pp 3-19  (1993) and Biggs J. and Tang C., </w:t>
      </w:r>
      <w:r w:rsidRPr="000C2DAB">
        <w:rPr>
          <w:rFonts w:ascii="Palatino Linotype" w:hAnsi="Palatino Linotype"/>
          <w:i/>
          <w:iCs/>
          <w:sz w:val="20"/>
          <w:szCs w:val="20"/>
        </w:rPr>
        <w:t>Teaching for Quality Learning at University</w:t>
      </w:r>
      <w:r w:rsidRPr="000C2DAB">
        <w:rPr>
          <w:rFonts w:ascii="Palatino Linotype" w:hAnsi="Palatino Linotype"/>
          <w:sz w:val="20"/>
          <w:szCs w:val="20"/>
        </w:rPr>
        <w:t xml:space="preserve"> (3rd </w:t>
      </w:r>
      <w:proofErr w:type="spellStart"/>
      <w:r w:rsidRPr="000C2DAB">
        <w:rPr>
          <w:rFonts w:ascii="Palatino Linotype" w:hAnsi="Palatino Linotype"/>
          <w:sz w:val="20"/>
          <w:szCs w:val="20"/>
        </w:rPr>
        <w:t>edn</w:t>
      </w:r>
      <w:proofErr w:type="spellEnd"/>
      <w:r w:rsidRPr="000C2DAB">
        <w:rPr>
          <w:rFonts w:ascii="Palatino Linotype" w:hAnsi="Palatino Linotype"/>
          <w:sz w:val="20"/>
          <w:szCs w:val="20"/>
        </w:rPr>
        <w:t>) Buckingham: SRHE and Open University Press (2007) </w:t>
      </w:r>
    </w:p>
  </w:footnote>
  <w:footnote w:id="46">
    <w:p w14:paraId="03D5D80B" w14:textId="54D70CA7" w:rsidR="00B74BAA" w:rsidRPr="000C2DAB" w:rsidRDefault="00B74BAA" w:rsidP="000C6E27">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Palatino Linotype" w:hAnsi="Palatino Linotype"/>
          <w:sz w:val="20"/>
          <w:szCs w:val="20"/>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“The theory of constructivism rests on the notion that there is an innate human drive to make sense of the world. Instead of absorbing or passively receiving objective knowledge that is "out there"</w:t>
      </w:r>
      <w:r w:rsidR="00793F1C">
        <w:rPr>
          <w:rFonts w:ascii="Palatino Linotype" w:hAnsi="Palatino Linotype"/>
          <w:sz w:val="20"/>
          <w:szCs w:val="20"/>
        </w:rPr>
        <w:t>,</w:t>
      </w:r>
      <w:r w:rsidRPr="000C2DAB">
        <w:rPr>
          <w:rFonts w:ascii="Palatino Linotype" w:hAnsi="Palatino Linotype"/>
          <w:sz w:val="20"/>
          <w:szCs w:val="20"/>
        </w:rPr>
        <w:t xml:space="preserve"> learners actively construct knowledge by integrating new information and experiences into what they have previously come to understand, revising and reinterpreting old knowledge in order to reconcile it with the new (</w:t>
      </w:r>
      <w:proofErr w:type="spellStart"/>
      <w:r w:rsidRPr="000C2DAB">
        <w:rPr>
          <w:rFonts w:ascii="Palatino Linotype" w:hAnsi="Palatino Linotype"/>
          <w:sz w:val="20"/>
          <w:szCs w:val="20"/>
        </w:rPr>
        <w:t>Billett</w:t>
      </w:r>
      <w:proofErr w:type="spellEnd"/>
      <w:r w:rsidRPr="000C2DAB">
        <w:rPr>
          <w:rFonts w:ascii="Palatino Linotype" w:hAnsi="Palatino Linotype"/>
          <w:sz w:val="20"/>
          <w:szCs w:val="20"/>
        </w:rPr>
        <w:t xml:space="preserve"> 1996). The cognitive structures that learners build include "procedural" knowledge ("how"--techniques, skills, and abilities) and "propositional" knowledge ("that"--facts, concepts, propositions). Often neglected are dispositions--attitudes, values, and interests that help learners decide: Is it worth doing? Knowing "how" and "that" is not sufficient without the disposition to ‘do’.</w:t>
      </w:r>
      <w:r w:rsidR="00793F1C">
        <w:rPr>
          <w:rFonts w:ascii="Palatino Linotype" w:hAnsi="Palatino Linotype"/>
          <w:sz w:val="20"/>
          <w:szCs w:val="20"/>
        </w:rPr>
        <w:t xml:space="preserve"> </w:t>
      </w:r>
      <w:r w:rsidRPr="000C2DAB">
        <w:rPr>
          <w:rFonts w:ascii="Palatino Linotype" w:hAnsi="Palatino Linotype"/>
          <w:sz w:val="20"/>
          <w:szCs w:val="20"/>
        </w:rPr>
        <w:t>…</w:t>
      </w:r>
      <w:r w:rsidRPr="000C2DAB">
        <w:rPr>
          <w:rFonts w:ascii="Palatino Linotype" w:hAnsi="Palatino Linotype" w:cs="Arial"/>
          <w:color w:val="000000"/>
          <w:sz w:val="20"/>
          <w:szCs w:val="20"/>
        </w:rPr>
        <w:t xml:space="preserve"> </w:t>
      </w:r>
      <w:r w:rsidRPr="000C2DAB">
        <w:rPr>
          <w:rFonts w:ascii="Palatino Linotype" w:hAnsi="Palatino Linotype"/>
          <w:sz w:val="20"/>
          <w:szCs w:val="20"/>
        </w:rPr>
        <w:t>Using a constructivist approach, teachers facilitate learning by encouraging active inquiry, guiding</w:t>
      </w:r>
      <w:r w:rsidR="00793F1C">
        <w:rPr>
          <w:rFonts w:ascii="Palatino Linotype" w:hAnsi="Palatino Linotype"/>
          <w:sz w:val="20"/>
          <w:szCs w:val="20"/>
        </w:rPr>
        <w:t xml:space="preserve"> </w:t>
      </w:r>
      <w:r w:rsidRPr="000C2DAB">
        <w:rPr>
          <w:rFonts w:ascii="Palatino Linotype" w:hAnsi="Palatino Linotype"/>
          <w:sz w:val="20"/>
          <w:szCs w:val="20"/>
        </w:rPr>
        <w:t xml:space="preserve">learners to question their tacit assumptions, and coaching them in the construction process. This contrasts with the </w:t>
      </w:r>
      <w:proofErr w:type="spellStart"/>
      <w:r w:rsidRPr="000C2DAB">
        <w:rPr>
          <w:rFonts w:ascii="Palatino Linotype" w:hAnsi="Palatino Linotype"/>
          <w:sz w:val="20"/>
          <w:szCs w:val="20"/>
        </w:rPr>
        <w:t>behavioralist</w:t>
      </w:r>
      <w:proofErr w:type="spellEnd"/>
      <w:r w:rsidRPr="000C2DAB">
        <w:rPr>
          <w:rFonts w:ascii="Palatino Linotype" w:hAnsi="Palatino Linotype"/>
          <w:sz w:val="20"/>
          <w:szCs w:val="20"/>
        </w:rPr>
        <w:t xml:space="preserve"> approach that has dominated education, in which the teacher disseminates selected knowledge, measures learners' passive reception of facts, and focuses on behavior control and task completion. A constructivist teacher is more interested in uncovering meanings than in covering prescribed material.”  </w:t>
      </w:r>
      <w:proofErr w:type="spellStart"/>
      <w:r w:rsidRPr="000C2DAB">
        <w:rPr>
          <w:rFonts w:ascii="Palatino Linotype" w:hAnsi="Palatino Linotype"/>
          <w:sz w:val="20"/>
          <w:szCs w:val="20"/>
        </w:rPr>
        <w:t>Kerka</w:t>
      </w:r>
      <w:proofErr w:type="spellEnd"/>
      <w:r w:rsidRPr="000C2DAB">
        <w:rPr>
          <w:rFonts w:ascii="Palatino Linotype" w:hAnsi="Palatino Linotype"/>
          <w:sz w:val="20"/>
          <w:szCs w:val="20"/>
        </w:rPr>
        <w:t xml:space="preserve">, Sandra, Constructivism, Workplace Learning, and Vocational Education, ERIC Digest, No. 181, 1997 ERIC Identifier: ED407573; ERIC Clearinghouse on Adult Career and Vocational Education Columbus OH (footnotes omitted) </w:t>
      </w:r>
    </w:p>
  </w:footnote>
  <w:footnote w:id="47">
    <w:p w14:paraId="3A8C495A" w14:textId="4A99E90E" w:rsidR="00B74BAA" w:rsidRPr="000C2DAB" w:rsidRDefault="00B74BAA" w:rsidP="00E95926">
      <w:pPr>
        <w:widowControl w:val="0"/>
        <w:autoSpaceDE w:val="0"/>
        <w:autoSpaceDN w:val="0"/>
        <w:adjustRightInd w:val="0"/>
        <w:rPr>
          <w:rFonts w:ascii="Palatino Linotype" w:hAnsi="Palatino Linotype" w:cs="Arial"/>
          <w:color w:val="000000"/>
          <w:sz w:val="20"/>
          <w:szCs w:val="20"/>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see </w:t>
      </w:r>
      <w:r w:rsidRPr="000C2DAB">
        <w:rPr>
          <w:rFonts w:ascii="Palatino Linotype" w:hAnsi="Palatino Linotype" w:cs="Arial"/>
          <w:color w:val="000000"/>
          <w:sz w:val="20"/>
          <w:szCs w:val="20"/>
        </w:rPr>
        <w:t xml:space="preserve">Carrie </w:t>
      </w:r>
      <w:proofErr w:type="spellStart"/>
      <w:r w:rsidRPr="000C2DAB">
        <w:rPr>
          <w:rFonts w:ascii="Palatino Linotype" w:hAnsi="Palatino Linotype" w:cs="Arial"/>
          <w:color w:val="000000"/>
          <w:sz w:val="20"/>
          <w:szCs w:val="20"/>
        </w:rPr>
        <w:t>Menkel</w:t>
      </w:r>
      <w:proofErr w:type="spellEnd"/>
      <w:r w:rsidRPr="000C2DAB">
        <w:rPr>
          <w:rFonts w:ascii="Palatino Linotype" w:hAnsi="Palatino Linotype" w:cs="Arial"/>
          <w:color w:val="000000"/>
          <w:sz w:val="20"/>
          <w:szCs w:val="20"/>
        </w:rPr>
        <w:t>-Meadow</w:t>
      </w:r>
      <w:r w:rsidRPr="000C2DAB">
        <w:rPr>
          <w:rFonts w:ascii="Palatino Linotype" w:hAnsi="Palatino Linotype" w:cs="Arial"/>
          <w:b/>
          <w:bCs/>
          <w:color w:val="000000"/>
          <w:sz w:val="20"/>
          <w:szCs w:val="20"/>
        </w:rPr>
        <w:t xml:space="preserve">, </w:t>
      </w:r>
      <w:r w:rsidRPr="000C2DAB">
        <w:rPr>
          <w:rFonts w:ascii="Palatino Linotype" w:hAnsi="Palatino Linotype" w:cs="Arial"/>
          <w:color w:val="000000"/>
          <w:sz w:val="20"/>
          <w:szCs w:val="20"/>
        </w:rPr>
        <w:t>Taking Law and _______ Really Seriously: Before, During and after “The Law” 60</w:t>
      </w:r>
      <w:r w:rsidRPr="000C2DAB">
        <w:rPr>
          <w:rFonts w:ascii="Palatino Linotype" w:hAnsi="Palatino Linotype" w:cs="Arial"/>
          <w:i/>
          <w:color w:val="000000"/>
          <w:sz w:val="20"/>
          <w:szCs w:val="20"/>
        </w:rPr>
        <w:t xml:space="preserve"> Vanderbilt Law Review </w:t>
      </w:r>
      <w:r w:rsidRPr="000C2DAB">
        <w:rPr>
          <w:rFonts w:ascii="Palatino Linotype" w:hAnsi="Palatino Linotype" w:cs="Arial"/>
          <w:color w:val="000000"/>
          <w:sz w:val="20"/>
          <w:szCs w:val="20"/>
        </w:rPr>
        <w:t xml:space="preserve">555, (2007) </w:t>
      </w:r>
      <w:r w:rsidRPr="000C2DAB">
        <w:rPr>
          <w:rFonts w:ascii="Palatino Linotype" w:hAnsi="Palatino Linotype" w:cs="Geneva"/>
          <w:color w:val="000000"/>
          <w:sz w:val="20"/>
          <w:szCs w:val="20"/>
        </w:rPr>
        <w:t xml:space="preserve">section on CIDE and PBL pp. 591-595 where </w:t>
      </w:r>
      <w:proofErr w:type="spellStart"/>
      <w:r w:rsidRPr="000C2DAB">
        <w:rPr>
          <w:rFonts w:ascii="Palatino Linotype" w:hAnsi="Palatino Linotype" w:cs="Geneva"/>
          <w:color w:val="000000"/>
          <w:sz w:val="20"/>
          <w:szCs w:val="20"/>
        </w:rPr>
        <w:t>Menkel</w:t>
      </w:r>
      <w:proofErr w:type="spellEnd"/>
      <w:r w:rsidRPr="000C2DAB">
        <w:rPr>
          <w:rFonts w:ascii="Palatino Linotype" w:hAnsi="Palatino Linotype" w:cs="Geneva"/>
          <w:color w:val="000000"/>
          <w:sz w:val="20"/>
          <w:szCs w:val="20"/>
        </w:rPr>
        <w:t>-Meadow discusses a Mexican revolution in the use of interdisciplinary PBL. This is for the most part an article about the merits of a truly interdisciplinary legal education in which traditional legal subjects keep company with sociology, anthropology, psychology, philosophy and so on.</w:t>
      </w:r>
    </w:p>
  </w:footnote>
  <w:footnote w:id="48">
    <w:p w14:paraId="3D8F7A7C" w14:textId="7BDEDEFF" w:rsidR="00B74BAA" w:rsidRPr="000C2DAB" w:rsidRDefault="00B74BAA" w:rsidP="00655347">
      <w:pPr>
        <w:widowControl w:val="0"/>
        <w:autoSpaceDE w:val="0"/>
        <w:autoSpaceDN w:val="0"/>
        <w:adjustRightInd w:val="0"/>
        <w:rPr>
          <w:rFonts w:ascii="Palatino Linotype" w:hAnsi="Palatino Linotype" w:cs="Arial"/>
          <w:color w:val="000000"/>
          <w:sz w:val="20"/>
          <w:szCs w:val="20"/>
        </w:rPr>
      </w:pPr>
      <w:r w:rsidRPr="000C2DAB">
        <w:rPr>
          <w:rStyle w:val="FootnoteReference"/>
          <w:rFonts w:ascii="Palatino Linotype" w:hAnsi="Palatino Linotype"/>
          <w:sz w:val="20"/>
          <w:szCs w:val="20"/>
        </w:rPr>
        <w:footnoteRef/>
      </w:r>
      <w:r w:rsidRPr="000C2DAB">
        <w:rPr>
          <w:rFonts w:ascii="Palatino Linotype" w:hAnsi="Palatino Linotype" w:cs="Lucida Grande"/>
          <w:sz w:val="20"/>
          <w:szCs w:val="20"/>
        </w:rPr>
        <w:t xml:space="preserve"> </w:t>
      </w:r>
      <w:r w:rsidRPr="000C2DAB">
        <w:rPr>
          <w:rFonts w:ascii="Palatino Linotype" w:hAnsi="Palatino Linotype" w:cs="Arial"/>
          <w:color w:val="000000"/>
          <w:sz w:val="20"/>
          <w:szCs w:val="20"/>
        </w:rPr>
        <w:t xml:space="preserve">Suzanne Kurtz, Michael Wylie, Neil Gold,  “Problem-Based Learning: An Alternative Approach to Legal Education” 13 </w:t>
      </w:r>
      <w:r w:rsidRPr="000C2DAB">
        <w:rPr>
          <w:rFonts w:ascii="Palatino Linotype" w:hAnsi="Palatino Linotype" w:cs="Arial"/>
          <w:i/>
          <w:color w:val="000000"/>
          <w:sz w:val="20"/>
          <w:szCs w:val="20"/>
        </w:rPr>
        <w:t>Dalhousie L.J.</w:t>
      </w:r>
      <w:r w:rsidRPr="000C2DAB">
        <w:rPr>
          <w:rFonts w:ascii="Palatino Linotype" w:hAnsi="Palatino Linotype" w:cs="Arial"/>
          <w:color w:val="000000"/>
          <w:sz w:val="20"/>
          <w:szCs w:val="20"/>
        </w:rPr>
        <w:t xml:space="preserve"> 800 p. 800-801 (footnotes omitted). (</w:t>
      </w:r>
      <w:r w:rsidRPr="000C2DAB">
        <w:rPr>
          <w:rFonts w:ascii="Palatino Linotype" w:hAnsi="Palatino Linotype" w:cs="Lucida Grande"/>
          <w:sz w:val="20"/>
          <w:szCs w:val="20"/>
        </w:rPr>
        <w:t>1990)</w:t>
      </w:r>
    </w:p>
    <w:p w14:paraId="445ACC6D" w14:textId="2DD6909D" w:rsidR="00B74BAA" w:rsidRPr="000C2DAB" w:rsidRDefault="00B74BAA" w:rsidP="00655347">
      <w:pPr>
        <w:widowControl w:val="0"/>
        <w:autoSpaceDE w:val="0"/>
        <w:autoSpaceDN w:val="0"/>
        <w:adjustRightInd w:val="0"/>
        <w:rPr>
          <w:rFonts w:ascii="Palatino Linotype" w:hAnsi="Palatino Linotype" w:cs="Arial"/>
          <w:color w:val="000000"/>
          <w:sz w:val="20"/>
          <w:szCs w:val="20"/>
        </w:rPr>
      </w:pPr>
      <w:r w:rsidRPr="000C2DAB">
        <w:rPr>
          <w:rFonts w:ascii="Palatino Linotype" w:hAnsi="Palatino Linotype" w:cs="Arial"/>
          <w:color w:val="000000"/>
          <w:sz w:val="20"/>
          <w:szCs w:val="20"/>
        </w:rPr>
        <w:t xml:space="preserve">Also see Jos C. </w:t>
      </w:r>
      <w:proofErr w:type="spellStart"/>
      <w:r w:rsidRPr="000C2DAB">
        <w:rPr>
          <w:rFonts w:ascii="Palatino Linotype" w:hAnsi="Palatino Linotype" w:cs="Arial"/>
          <w:color w:val="000000"/>
          <w:sz w:val="20"/>
          <w:szCs w:val="20"/>
        </w:rPr>
        <w:t>Moust</w:t>
      </w:r>
      <w:proofErr w:type="spellEnd"/>
      <w:r w:rsidRPr="000C2DAB">
        <w:rPr>
          <w:rFonts w:ascii="Palatino Linotype" w:hAnsi="Palatino Linotype" w:cs="Arial"/>
          <w:color w:val="000000"/>
          <w:sz w:val="20"/>
          <w:szCs w:val="20"/>
        </w:rPr>
        <w:t xml:space="preserve"> &amp; Herman J. </w:t>
      </w:r>
      <w:proofErr w:type="spellStart"/>
      <w:r w:rsidRPr="000C2DAB">
        <w:rPr>
          <w:rFonts w:ascii="Palatino Linotype" w:hAnsi="Palatino Linotype" w:cs="Arial"/>
          <w:color w:val="000000"/>
          <w:sz w:val="20"/>
          <w:szCs w:val="20"/>
        </w:rPr>
        <w:t>Nuy</w:t>
      </w:r>
      <w:proofErr w:type="spellEnd"/>
      <w:r w:rsidRPr="000C2DAB">
        <w:rPr>
          <w:rFonts w:ascii="Palatino Linotype" w:hAnsi="Palatino Linotype" w:cs="Arial"/>
          <w:color w:val="000000"/>
          <w:sz w:val="20"/>
          <w:szCs w:val="20"/>
        </w:rPr>
        <w:t xml:space="preserve"> “Preparing Teachers For A Problem-Based,</w:t>
      </w:r>
      <w:r w:rsidR="00793F1C">
        <w:rPr>
          <w:rFonts w:ascii="Palatino Linotype" w:hAnsi="Palatino Linotype" w:cs="Arial"/>
          <w:color w:val="000000"/>
          <w:sz w:val="20"/>
          <w:szCs w:val="20"/>
        </w:rPr>
        <w:t xml:space="preserve"> </w:t>
      </w:r>
      <w:r w:rsidRPr="000C2DAB">
        <w:rPr>
          <w:rFonts w:ascii="Palatino Linotype" w:hAnsi="Palatino Linotype" w:cs="Arial"/>
          <w:color w:val="000000"/>
          <w:sz w:val="20"/>
          <w:szCs w:val="20"/>
        </w:rPr>
        <w:t xml:space="preserve">Student-Centered Law Course”, 5 </w:t>
      </w:r>
      <w:r w:rsidRPr="000C2DAB">
        <w:rPr>
          <w:rFonts w:ascii="Palatino Linotype" w:hAnsi="Palatino Linotype" w:cs="Arial"/>
          <w:i/>
          <w:iCs/>
          <w:color w:val="000000"/>
          <w:sz w:val="20"/>
          <w:szCs w:val="20"/>
        </w:rPr>
        <w:t xml:space="preserve">J. Prof. Legal Educ. </w:t>
      </w:r>
      <w:r w:rsidRPr="000C2DAB">
        <w:rPr>
          <w:rFonts w:ascii="Palatino Linotype" w:hAnsi="Palatino Linotype" w:cs="Arial"/>
          <w:color w:val="000000"/>
          <w:sz w:val="20"/>
          <w:szCs w:val="20"/>
        </w:rPr>
        <w:t>17, pp. 19-23“ (1987) …[S]</w:t>
      </w:r>
      <w:proofErr w:type="spellStart"/>
      <w:r w:rsidRPr="000C2DAB">
        <w:rPr>
          <w:rFonts w:ascii="Palatino Linotype" w:hAnsi="Palatino Linotype" w:cs="Arial"/>
          <w:color w:val="000000"/>
          <w:sz w:val="20"/>
          <w:szCs w:val="20"/>
        </w:rPr>
        <w:t>tudents</w:t>
      </w:r>
      <w:proofErr w:type="spellEnd"/>
      <w:r w:rsidRPr="000C2DAB">
        <w:rPr>
          <w:rFonts w:ascii="Palatino Linotype" w:hAnsi="Palatino Linotype" w:cs="Arial"/>
          <w:color w:val="000000"/>
          <w:sz w:val="20"/>
          <w:szCs w:val="20"/>
        </w:rPr>
        <w:t xml:space="preserve"> are given problems … as the starting point for self-directed learning activities. The students' learning process is, as far as possible, initiated by these carefully described concrete practical or theoretical problems … By learning this way students discover from the outset that working on problems requires an integration of different subject areas, and extensive co-operation with peers .</w:t>
      </w:r>
      <w:r w:rsidR="00793F1C">
        <w:rPr>
          <w:rFonts w:ascii="Palatino Linotype" w:hAnsi="Palatino Linotype" w:cs="Arial"/>
          <w:color w:val="000000"/>
          <w:sz w:val="20"/>
          <w:szCs w:val="20"/>
        </w:rPr>
        <w:t xml:space="preserve"> </w:t>
      </w:r>
      <w:r w:rsidRPr="000C2DAB">
        <w:rPr>
          <w:rFonts w:ascii="Palatino Linotype" w:hAnsi="Palatino Linotype" w:cs="Arial"/>
          <w:color w:val="000000"/>
          <w:sz w:val="20"/>
          <w:szCs w:val="20"/>
        </w:rPr>
        <w:t>…While discussing a problem, students become aware of uncertainties, questions, and activate ideas they have about mechanisms, processes or procedures which could be responsible for the solution or explanation of this problem. Students are asked to formulate their own learning goals, based on the questions unre</w:t>
      </w:r>
      <w:r w:rsidR="00793F1C">
        <w:rPr>
          <w:rFonts w:ascii="Palatino Linotype" w:hAnsi="Palatino Linotype" w:cs="Arial"/>
          <w:color w:val="000000"/>
          <w:sz w:val="20"/>
          <w:szCs w:val="20"/>
        </w:rPr>
        <w:t>solved during their discussion…“</w:t>
      </w:r>
    </w:p>
  </w:footnote>
  <w:footnote w:id="49">
    <w:p w14:paraId="66782752" w14:textId="001396F5" w:rsidR="00B74BAA" w:rsidRPr="000C2DAB" w:rsidRDefault="00B74BAA" w:rsidP="00F94D2F">
      <w:pPr>
        <w:widowControl w:val="0"/>
        <w:autoSpaceDE w:val="0"/>
        <w:autoSpaceDN w:val="0"/>
        <w:adjustRightInd w:val="0"/>
        <w:rPr>
          <w:rFonts w:ascii="Palatino Linotype" w:hAnsi="Palatino Linotype" w:cs="Arial"/>
          <w:color w:val="000000"/>
          <w:sz w:val="20"/>
          <w:szCs w:val="20"/>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w:t>
      </w:r>
      <w:r w:rsidRPr="000C2DAB">
        <w:rPr>
          <w:rFonts w:ascii="Palatino Linotype" w:hAnsi="Palatino Linotype" w:cs="Arial"/>
          <w:color w:val="000000"/>
          <w:sz w:val="20"/>
          <w:szCs w:val="20"/>
        </w:rPr>
        <w:t xml:space="preserve">Cath Sylvester, Jonny Hall, Elaine Hall, “Problem based learning and clinical legal education: What can clinical educators learn from PBL?”, 6 </w:t>
      </w:r>
      <w:r w:rsidRPr="000C2DAB">
        <w:rPr>
          <w:rFonts w:ascii="Palatino Linotype" w:hAnsi="Palatino Linotype" w:cs="Arial"/>
          <w:i/>
          <w:color w:val="000000"/>
          <w:sz w:val="20"/>
          <w:szCs w:val="20"/>
        </w:rPr>
        <w:t>Int'l J. Clinical Legal Educ.</w:t>
      </w:r>
      <w:r w:rsidRPr="000C2DAB">
        <w:rPr>
          <w:rFonts w:ascii="Palatino Linotype" w:hAnsi="Palatino Linotype" w:cs="Arial"/>
          <w:color w:val="000000"/>
          <w:sz w:val="20"/>
          <w:szCs w:val="20"/>
        </w:rPr>
        <w:t xml:space="preserve"> 38, p. 44. (2004)</w:t>
      </w:r>
    </w:p>
  </w:footnote>
  <w:footnote w:id="50">
    <w:p w14:paraId="7FE24491" w14:textId="432C4751" w:rsidR="00B74BAA" w:rsidRPr="000C2DAB" w:rsidRDefault="00B74BAA">
      <w:pPr>
        <w:pStyle w:val="FootnoteText"/>
        <w:rPr>
          <w:rFonts w:ascii="Palatino Linotype" w:hAnsi="Palatino Linotype"/>
          <w:sz w:val="20"/>
          <w:szCs w:val="20"/>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see Hall, J and Kerrigan, K in </w:t>
      </w:r>
      <w:r w:rsidR="00574646">
        <w:rPr>
          <w:rFonts w:ascii="Palatino Linotype" w:hAnsi="Palatino Linotype"/>
          <w:sz w:val="20"/>
          <w:szCs w:val="20"/>
        </w:rPr>
        <w:t>“</w:t>
      </w:r>
      <w:r w:rsidRPr="000C2DAB">
        <w:rPr>
          <w:rFonts w:ascii="Palatino Linotype" w:hAnsi="Palatino Linotype"/>
          <w:sz w:val="20"/>
          <w:szCs w:val="20"/>
        </w:rPr>
        <w:t>Clin</w:t>
      </w:r>
      <w:r w:rsidR="00574646">
        <w:rPr>
          <w:rFonts w:ascii="Palatino Linotype" w:hAnsi="Palatino Linotype"/>
          <w:sz w:val="20"/>
          <w:szCs w:val="20"/>
        </w:rPr>
        <w:t>ic and the wider law curriculum”</w:t>
      </w:r>
      <w:r w:rsidRPr="000C2DAB">
        <w:rPr>
          <w:rFonts w:ascii="Palatino Linotype" w:hAnsi="Palatino Linotype"/>
          <w:sz w:val="20"/>
          <w:szCs w:val="20"/>
        </w:rPr>
        <w:t xml:space="preserve">, 16 </w:t>
      </w:r>
      <w:r w:rsidRPr="000C2DAB">
        <w:rPr>
          <w:rFonts w:ascii="Palatino Linotype" w:hAnsi="Palatino Linotype"/>
          <w:i/>
          <w:sz w:val="20"/>
          <w:szCs w:val="20"/>
        </w:rPr>
        <w:t xml:space="preserve">Int’l J. Clinical Legal Education </w:t>
      </w:r>
      <w:r w:rsidRPr="000C2DAB">
        <w:rPr>
          <w:rFonts w:ascii="Palatino Linotype" w:hAnsi="Palatino Linotype"/>
          <w:sz w:val="20"/>
          <w:szCs w:val="20"/>
        </w:rPr>
        <w:t>25 (2011)</w:t>
      </w:r>
    </w:p>
  </w:footnote>
  <w:footnote w:id="51">
    <w:p w14:paraId="6D30FE0F" w14:textId="6563E148" w:rsidR="00B74BAA" w:rsidRPr="000C2DAB" w:rsidRDefault="00B74BAA">
      <w:pPr>
        <w:pStyle w:val="FootnoteText"/>
        <w:rPr>
          <w:rFonts w:ascii="Palatino Linotype" w:hAnsi="Palatino Linotype"/>
          <w:sz w:val="20"/>
          <w:szCs w:val="20"/>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It is very difficult to make deep structural change to curriculum and its delivery.  The delivery paradigm  -- one course, one professor; all courses x hours per week, with no variation; sat written examinations etc. -- runs deep, with commensurate expectations of professional freedom to choose how time is spent. </w:t>
      </w:r>
    </w:p>
  </w:footnote>
  <w:footnote w:id="52">
    <w:p w14:paraId="18C6AE67" w14:textId="39223997" w:rsidR="00B74BAA" w:rsidRPr="000C2DAB" w:rsidRDefault="00B74BAA">
      <w:pPr>
        <w:pStyle w:val="FootnoteText"/>
        <w:rPr>
          <w:rFonts w:ascii="Palatino Linotype" w:hAnsi="Palatino Linotype"/>
          <w:b/>
          <w:sz w:val="20"/>
          <w:szCs w:val="20"/>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In order to qualify for the CPE course of study, an applicant must either have “a suitable academic or vocational qualification or be a mature student. “ See: </w:t>
      </w:r>
      <w:hyperlink r:id="rId20" w:history="1">
        <w:r w:rsidR="00574646" w:rsidRPr="000F7999">
          <w:rPr>
            <w:rStyle w:val="Hyperlink"/>
            <w:rFonts w:ascii="Palatino Linotype" w:hAnsi="Palatino Linotype"/>
            <w:sz w:val="20"/>
            <w:szCs w:val="20"/>
          </w:rPr>
          <w:t>http://www.lawsociety.org.uk/careers/becoming-a-solicitor/routes-to-qualifying/</w:t>
        </w:r>
      </w:hyperlink>
      <w:r w:rsidR="00574646">
        <w:rPr>
          <w:rFonts w:ascii="Palatino Linotype" w:hAnsi="Palatino Linotype"/>
          <w:sz w:val="20"/>
          <w:szCs w:val="20"/>
        </w:rPr>
        <w:t xml:space="preserve"> </w:t>
      </w:r>
    </w:p>
  </w:footnote>
  <w:footnote w:id="53">
    <w:p w14:paraId="0423F89D" w14:textId="5F52CEC2" w:rsidR="00B74BAA" w:rsidRPr="000C2DAB" w:rsidRDefault="00B74BAA">
      <w:pPr>
        <w:pStyle w:val="FootnoteText"/>
        <w:rPr>
          <w:rFonts w:ascii="Palatino Linotype" w:hAnsi="Palatino Linotype"/>
          <w:sz w:val="20"/>
          <w:szCs w:val="20"/>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I need not rehearse the classical challenge against C.C. </w:t>
      </w:r>
      <w:proofErr w:type="spellStart"/>
      <w:r w:rsidRPr="000C2DAB">
        <w:rPr>
          <w:rFonts w:ascii="Palatino Linotype" w:hAnsi="Palatino Linotype"/>
          <w:sz w:val="20"/>
          <w:szCs w:val="20"/>
        </w:rPr>
        <w:t>Langdell’s</w:t>
      </w:r>
      <w:proofErr w:type="spellEnd"/>
      <w:r w:rsidRPr="000C2DAB">
        <w:rPr>
          <w:rFonts w:ascii="Palatino Linotype" w:hAnsi="Palatino Linotype"/>
          <w:sz w:val="20"/>
          <w:szCs w:val="20"/>
        </w:rPr>
        <w:t xml:space="preserve"> legacy: the heartless, dispassionate, objectifying, reifying lawyer. Were we to accept that the </w:t>
      </w:r>
      <w:proofErr w:type="spellStart"/>
      <w:r w:rsidRPr="000C2DAB">
        <w:rPr>
          <w:rFonts w:ascii="Palatino Linotype" w:hAnsi="Palatino Linotype"/>
          <w:sz w:val="20"/>
          <w:szCs w:val="20"/>
        </w:rPr>
        <w:t>Langdellian</w:t>
      </w:r>
      <w:proofErr w:type="spellEnd"/>
      <w:r w:rsidRPr="000C2DAB">
        <w:rPr>
          <w:rFonts w:ascii="Palatino Linotype" w:hAnsi="Palatino Linotype"/>
          <w:sz w:val="20"/>
          <w:szCs w:val="20"/>
        </w:rPr>
        <w:t xml:space="preserve"> library case titration model should be jettisoned in favour of active, experiential, clinical learning we would forever assure ourselves that students learn about clients’ needs and wants, their struggles and mistakes, their pursuits of the unjustified and the merited, and their hopeless entanglement in the nasty realities of life and the wonders of hopefulness. </w:t>
      </w:r>
    </w:p>
  </w:footnote>
  <w:footnote w:id="54">
    <w:p w14:paraId="6C48B4AA" w14:textId="424192D5" w:rsidR="00B74BAA" w:rsidRPr="000C2DAB" w:rsidRDefault="00B74BAA">
      <w:pPr>
        <w:pStyle w:val="FootnoteText"/>
        <w:rPr>
          <w:rFonts w:ascii="Palatino Linotype" w:hAnsi="Palatino Linotype"/>
          <w:sz w:val="20"/>
          <w:szCs w:val="20"/>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Stuckey, R. “Teaching with Purpose: Defining and Achieving Desired Outcomes in Clinical Law Courses” 13 </w:t>
      </w:r>
      <w:r w:rsidRPr="000C2DAB">
        <w:rPr>
          <w:rFonts w:ascii="Palatino Linotype" w:hAnsi="Palatino Linotype"/>
          <w:i/>
          <w:sz w:val="20"/>
          <w:szCs w:val="20"/>
        </w:rPr>
        <w:t>Clinical Law Review</w:t>
      </w:r>
      <w:r w:rsidRPr="000C2DAB">
        <w:rPr>
          <w:rFonts w:ascii="Palatino Linotype" w:hAnsi="Palatino Linotype"/>
          <w:sz w:val="20"/>
          <w:szCs w:val="20"/>
        </w:rPr>
        <w:t xml:space="preserve"> 807 (2006-2007) “Students need to observe and experience the demands, constraints, and methods of analyzing and dealing with unstructured situations in which the issues have not been identified in advance. Otherwise their problem-solving skills and judgment cannot mature.”</w:t>
      </w:r>
    </w:p>
  </w:footnote>
  <w:footnote w:id="55">
    <w:p w14:paraId="750E1704" w14:textId="2649F73E" w:rsidR="00B74BAA" w:rsidRPr="000C2DAB" w:rsidRDefault="00B74BAA">
      <w:pPr>
        <w:pStyle w:val="FootnoteText"/>
        <w:rPr>
          <w:rFonts w:ascii="Palatino Linotype" w:hAnsi="Palatino Linotype"/>
          <w:sz w:val="20"/>
          <w:szCs w:val="20"/>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Hall and Kerrigan </w:t>
      </w:r>
      <w:r w:rsidRPr="000C2DAB">
        <w:rPr>
          <w:rFonts w:ascii="Palatino Linotype" w:hAnsi="Palatino Linotype"/>
          <w:i/>
          <w:sz w:val="20"/>
          <w:szCs w:val="20"/>
        </w:rPr>
        <w:t>op. cit.</w:t>
      </w:r>
      <w:r w:rsidRPr="000C2DAB">
        <w:rPr>
          <w:rFonts w:ascii="Palatino Linotype" w:hAnsi="Palatino Linotype"/>
          <w:sz w:val="20"/>
          <w:szCs w:val="20"/>
        </w:rPr>
        <w:t xml:space="preserve"> p.34</w:t>
      </w:r>
    </w:p>
  </w:footnote>
  <w:footnote w:id="56">
    <w:p w14:paraId="18C9E4DF" w14:textId="575EEC1C" w:rsidR="00B74BAA" w:rsidRPr="000C2DAB" w:rsidRDefault="00B74BAA">
      <w:pPr>
        <w:pStyle w:val="FootnoteText"/>
        <w:rPr>
          <w:rFonts w:ascii="Palatino Linotype" w:hAnsi="Palatino Linotype"/>
          <w:sz w:val="20"/>
          <w:szCs w:val="20"/>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Blanco, Barbara A. and </w:t>
      </w:r>
      <w:proofErr w:type="spellStart"/>
      <w:r w:rsidRPr="000C2DAB">
        <w:rPr>
          <w:rFonts w:ascii="Palatino Linotype" w:hAnsi="Palatino Linotype"/>
          <w:sz w:val="20"/>
          <w:szCs w:val="20"/>
        </w:rPr>
        <w:t>Buhai</w:t>
      </w:r>
      <w:proofErr w:type="spellEnd"/>
      <w:r w:rsidRPr="000C2DAB">
        <w:rPr>
          <w:rFonts w:ascii="Palatino Linotype" w:hAnsi="Palatino Linotype"/>
          <w:sz w:val="20"/>
          <w:szCs w:val="20"/>
        </w:rPr>
        <w:t xml:space="preserve">, Sande L.  Externship Field Supervision: Effective Techniques For Training Supervisors and Students, </w:t>
      </w:r>
      <w:r w:rsidRPr="000C2DAB">
        <w:rPr>
          <w:rFonts w:ascii="Palatino Linotype" w:hAnsi="Palatino Linotype"/>
          <w:i/>
          <w:sz w:val="20"/>
          <w:szCs w:val="20"/>
        </w:rPr>
        <w:t xml:space="preserve">10 Clinical Law Review </w:t>
      </w:r>
      <w:r w:rsidRPr="000C2DAB">
        <w:rPr>
          <w:rFonts w:ascii="Palatino Linotype" w:hAnsi="Palatino Linotype"/>
          <w:sz w:val="20"/>
          <w:szCs w:val="20"/>
        </w:rPr>
        <w:t xml:space="preserve">611. (2003-2004) See especially: B. Proposed Externship “Teaching Curriculum”: Developing the Skills of Communication, Reflection and Self Assessment, pp. 635 ff. The article features the models of Peter Hoffman, Liz Ryan Cole and Mary Jo </w:t>
      </w:r>
      <w:proofErr w:type="spellStart"/>
      <w:r w:rsidRPr="000C2DAB">
        <w:rPr>
          <w:rFonts w:ascii="Palatino Linotype" w:hAnsi="Palatino Linotype"/>
          <w:sz w:val="20"/>
          <w:szCs w:val="20"/>
        </w:rPr>
        <w:t>Eyster</w:t>
      </w:r>
      <w:proofErr w:type="spellEnd"/>
      <w:r w:rsidRPr="000C2DAB">
        <w:rPr>
          <w:rFonts w:ascii="Palatino Linotype" w:hAnsi="Palatino Linotype"/>
          <w:sz w:val="20"/>
          <w:szCs w:val="20"/>
        </w:rPr>
        <w:t xml:space="preserve">. In this article Blanco and </w:t>
      </w:r>
      <w:proofErr w:type="spellStart"/>
      <w:r w:rsidRPr="000C2DAB">
        <w:rPr>
          <w:rFonts w:ascii="Palatino Linotype" w:hAnsi="Palatino Linotype"/>
          <w:sz w:val="20"/>
          <w:szCs w:val="20"/>
        </w:rPr>
        <w:t>Buhai</w:t>
      </w:r>
      <w:proofErr w:type="spellEnd"/>
      <w:r w:rsidRPr="000C2DAB">
        <w:rPr>
          <w:rFonts w:ascii="Palatino Linotype" w:hAnsi="Palatino Linotype"/>
          <w:sz w:val="20"/>
          <w:szCs w:val="20"/>
        </w:rPr>
        <w:t xml:space="preserve"> devise their own approach. See also footnote 31 above.</w:t>
      </w:r>
    </w:p>
  </w:footnote>
  <w:footnote w:id="57">
    <w:p w14:paraId="133164F1" w14:textId="51A42C06" w:rsidR="00B74BAA" w:rsidRPr="000C2DAB" w:rsidRDefault="00B74BAA">
      <w:pPr>
        <w:pStyle w:val="FootnoteText"/>
        <w:rPr>
          <w:rFonts w:ascii="Palatino Linotype" w:hAnsi="Palatino Linotype"/>
          <w:sz w:val="20"/>
          <w:szCs w:val="20"/>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I recall a student who aimed to be a criminal defence lawyer. He came to clinic to learn how to handle such cases. He traded his civil cases with students who were less interested in criminal defence work. At that time I required students to have a mix of matter types including a variety of forms of representation and subject areas. My vigilance was no match for the student’s resourcefulness and drive to take on criminal cases. However, I did insist and he succumbed. He is his city’s preeminent criminal defence lawyer today.</w:t>
      </w:r>
    </w:p>
  </w:footnote>
  <w:footnote w:id="58">
    <w:p w14:paraId="4AF8CE7B" w14:textId="1D61ACCF" w:rsidR="00B74BAA" w:rsidRPr="000C2DAB" w:rsidRDefault="00B74BAA">
      <w:pPr>
        <w:pStyle w:val="FootnoteText"/>
        <w:rPr>
          <w:rFonts w:ascii="Palatino Linotype" w:hAnsi="Palatino Linotype"/>
          <w:sz w:val="20"/>
          <w:szCs w:val="20"/>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This may be somewhat challenging at first as one learns to identify and record outcomes. Students may be charged with responsibility to seek opportunities to meet the requirements of the course outcomes so as not to burden administration and more importantly to improve student focus on learning needs and requirements as well as their achievement. This will also enhance the student’s personal catalogue of learnings and learning gaps.</w:t>
      </w:r>
    </w:p>
  </w:footnote>
  <w:footnote w:id="59">
    <w:p w14:paraId="348CB0CA" w14:textId="39D1454A" w:rsidR="00B74BAA" w:rsidRPr="000C2DAB" w:rsidRDefault="00B74BAA">
      <w:pPr>
        <w:pStyle w:val="FootnoteText"/>
        <w:rPr>
          <w:rFonts w:ascii="Palatino Linotype" w:hAnsi="Palatino Linotype"/>
          <w:sz w:val="20"/>
          <w:szCs w:val="20"/>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See </w:t>
      </w:r>
      <w:r w:rsidRPr="000C2DAB">
        <w:rPr>
          <w:rFonts w:ascii="Palatino Linotype" w:hAnsi="Palatino Linotype"/>
          <w:i/>
          <w:sz w:val="20"/>
          <w:szCs w:val="20"/>
        </w:rPr>
        <w:t>e.g.</w:t>
      </w:r>
      <w:r w:rsidRPr="000C2DAB">
        <w:rPr>
          <w:rFonts w:ascii="Palatino Linotype" w:hAnsi="Palatino Linotype"/>
          <w:sz w:val="20"/>
          <w:szCs w:val="20"/>
        </w:rPr>
        <w:t>, Bok, Derek, C.,</w:t>
      </w:r>
      <w:r w:rsidRPr="000C2DAB">
        <w:rPr>
          <w:rFonts w:ascii="Palatino Linotype" w:hAnsi="Palatino Linotype"/>
          <w:b/>
          <w:sz w:val="20"/>
          <w:szCs w:val="20"/>
        </w:rPr>
        <w:t xml:space="preserve"> </w:t>
      </w:r>
      <w:r w:rsidRPr="000C2DAB">
        <w:rPr>
          <w:rFonts w:ascii="Palatino Linotype" w:hAnsi="Palatino Linotype"/>
          <w:i/>
          <w:sz w:val="20"/>
          <w:szCs w:val="20"/>
        </w:rPr>
        <w:t>Our Underachieving Colleges:</w:t>
      </w:r>
      <w:r w:rsidRPr="000C2DAB">
        <w:rPr>
          <w:rFonts w:ascii="Palatino Linotype" w:hAnsi="Palatino Linotype"/>
          <w:b/>
          <w:i/>
          <w:sz w:val="20"/>
          <w:szCs w:val="20"/>
        </w:rPr>
        <w:t xml:space="preserve"> </w:t>
      </w:r>
      <w:r w:rsidRPr="000C2DAB">
        <w:rPr>
          <w:rFonts w:ascii="Palatino Linotype" w:hAnsi="Palatino Linotype"/>
          <w:i/>
          <w:sz w:val="20"/>
          <w:szCs w:val="20"/>
        </w:rPr>
        <w:t>A Candid Look at How Much Students Learn and Why They Should Be Learning More: The Neglect of Pedagogy</w:t>
      </w:r>
      <w:r w:rsidRPr="000C2DAB">
        <w:rPr>
          <w:rFonts w:ascii="Palatino Linotype" w:hAnsi="Palatino Linotype"/>
          <w:b/>
          <w:i/>
          <w:sz w:val="20"/>
          <w:szCs w:val="20"/>
        </w:rPr>
        <w:t xml:space="preserve">. </w:t>
      </w:r>
      <w:r w:rsidRPr="000C2DAB">
        <w:rPr>
          <w:rFonts w:ascii="Palatino Linotype" w:hAnsi="Palatino Linotype"/>
          <w:sz w:val="20"/>
          <w:szCs w:val="20"/>
        </w:rPr>
        <w:t>New Jersey: Princeton University Press p. 49. (2006)</w:t>
      </w:r>
    </w:p>
  </w:footnote>
  <w:footnote w:id="60">
    <w:p w14:paraId="0C921BC2" w14:textId="7BAA639E" w:rsidR="00B74BAA" w:rsidRPr="000C2DAB" w:rsidRDefault="00B74BAA">
      <w:pPr>
        <w:pStyle w:val="FootnoteText"/>
        <w:rPr>
          <w:rFonts w:ascii="Palatino Linotype" w:hAnsi="Palatino Linotype"/>
          <w:sz w:val="20"/>
          <w:szCs w:val="20"/>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“A simulation is a form of experiential learning. Simulations are instructional scenarios where the learner is placed in a "world" defined by the teacher. They represent a reality within which students interact. The teacher controls the parameters of this "world" and uses it to achieve the desired instructional results. Simulations are in way, a lab experiment where the students themselves are the test subjects. They experience the reality of the scenario and gather meaning from it. It is a strategy that fits well with the principles of constructivism.”  </w:t>
      </w:r>
      <w:hyperlink r:id="rId21" w:history="1">
        <w:r w:rsidR="00574646" w:rsidRPr="000F7999">
          <w:rPr>
            <w:rStyle w:val="Hyperlink"/>
            <w:rFonts w:ascii="Palatino Linotype" w:hAnsi="Palatino Linotype"/>
            <w:sz w:val="20"/>
            <w:szCs w:val="20"/>
          </w:rPr>
          <w:t>http://olc.spsd.sk.ca/de/pd/instr/strats/simul/index.html</w:t>
        </w:r>
      </w:hyperlink>
      <w:r w:rsidR="00574646">
        <w:rPr>
          <w:rFonts w:ascii="Palatino Linotype" w:hAnsi="Palatino Linotype"/>
          <w:sz w:val="20"/>
          <w:szCs w:val="20"/>
        </w:rPr>
        <w:t xml:space="preserve"> </w:t>
      </w:r>
    </w:p>
  </w:footnote>
  <w:footnote w:id="61">
    <w:p w14:paraId="3859D954" w14:textId="591F53BB" w:rsidR="00B74BAA" w:rsidRPr="000C2DAB" w:rsidRDefault="00B74BAA">
      <w:pPr>
        <w:pStyle w:val="FootnoteText"/>
        <w:rPr>
          <w:rFonts w:ascii="Palatino Linotype" w:hAnsi="Palatino Linotype"/>
          <w:sz w:val="20"/>
          <w:szCs w:val="20"/>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w:t>
      </w:r>
      <w:proofErr w:type="spellStart"/>
      <w:r w:rsidRPr="000C2DAB">
        <w:rPr>
          <w:rFonts w:ascii="Palatino Linotype" w:hAnsi="Palatino Linotype"/>
          <w:sz w:val="20"/>
          <w:szCs w:val="20"/>
        </w:rPr>
        <w:t>Nilson</w:t>
      </w:r>
      <w:proofErr w:type="spellEnd"/>
      <w:r w:rsidRPr="000C2DAB">
        <w:rPr>
          <w:rFonts w:ascii="Palatino Linotype" w:hAnsi="Palatino Linotype"/>
          <w:sz w:val="20"/>
          <w:szCs w:val="20"/>
        </w:rPr>
        <w:t xml:space="preserve">, Linda B., </w:t>
      </w:r>
      <w:r w:rsidRPr="000C2DAB">
        <w:rPr>
          <w:rFonts w:ascii="Palatino Linotype" w:hAnsi="Palatino Linotype"/>
          <w:i/>
          <w:sz w:val="20"/>
          <w:szCs w:val="20"/>
        </w:rPr>
        <w:t>Teaching at its Best: A Research Based Resource for College Instructors</w:t>
      </w:r>
      <w:r w:rsidRPr="000C2DAB">
        <w:rPr>
          <w:rFonts w:ascii="Palatino Linotype" w:hAnsi="Palatino Linotype"/>
          <w:sz w:val="20"/>
          <w:szCs w:val="20"/>
        </w:rPr>
        <w:t>. 3</w:t>
      </w:r>
      <w:r w:rsidRPr="000C2DAB">
        <w:rPr>
          <w:rFonts w:ascii="Palatino Linotype" w:hAnsi="Palatino Linotype"/>
          <w:sz w:val="20"/>
          <w:szCs w:val="20"/>
          <w:vertAlign w:val="superscript"/>
        </w:rPr>
        <w:t>rd</w:t>
      </w:r>
      <w:r w:rsidRPr="000C2DAB">
        <w:rPr>
          <w:rFonts w:ascii="Palatino Linotype" w:hAnsi="Palatino Linotype"/>
          <w:sz w:val="20"/>
          <w:szCs w:val="20"/>
        </w:rPr>
        <w:t xml:space="preserve"> edition. San Francisco: John Wiley &amp; Sons. (2010) See in particular: “Matching Teaching Methods with Learning Outcomes” at p. 103.</w:t>
      </w:r>
    </w:p>
  </w:footnote>
  <w:footnote w:id="62">
    <w:p w14:paraId="7921E859" w14:textId="45E84DB7" w:rsidR="00B74BAA" w:rsidRPr="000C2DAB" w:rsidRDefault="00B74BAA">
      <w:pPr>
        <w:pStyle w:val="FootnoteText"/>
        <w:rPr>
          <w:rFonts w:ascii="Palatino Linotype" w:hAnsi="Palatino Linotype"/>
          <w:sz w:val="20"/>
          <w:szCs w:val="20"/>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Biggs, J., “Aligning Teaching and Assessing to Course Objectives”, Conference Paper, </w:t>
      </w:r>
      <w:r w:rsidRPr="000C2DAB">
        <w:rPr>
          <w:rFonts w:ascii="Palatino Linotype" w:hAnsi="Palatino Linotype"/>
          <w:i/>
          <w:sz w:val="20"/>
          <w:szCs w:val="20"/>
        </w:rPr>
        <w:t>Teaching and Learning in Higher Education: New Trends and Innovations</w:t>
      </w:r>
      <w:r w:rsidRPr="000C2DAB">
        <w:rPr>
          <w:rFonts w:ascii="Palatino Linotype" w:hAnsi="Palatino Linotype"/>
          <w:sz w:val="20"/>
          <w:szCs w:val="20"/>
        </w:rPr>
        <w:t xml:space="preserve">, University of </w:t>
      </w:r>
      <w:proofErr w:type="spellStart"/>
      <w:r w:rsidRPr="000C2DAB">
        <w:rPr>
          <w:rFonts w:ascii="Palatino Linotype" w:hAnsi="Palatino Linotype"/>
          <w:sz w:val="20"/>
          <w:szCs w:val="20"/>
        </w:rPr>
        <w:t>Aveiro</w:t>
      </w:r>
      <w:proofErr w:type="spellEnd"/>
      <w:r w:rsidRPr="000C2DAB">
        <w:rPr>
          <w:rFonts w:ascii="Palatino Linotype" w:hAnsi="Palatino Linotype"/>
          <w:sz w:val="20"/>
          <w:szCs w:val="20"/>
        </w:rPr>
        <w:t>, 13-17 April, 2003</w:t>
      </w:r>
    </w:p>
  </w:footnote>
  <w:footnote w:id="63">
    <w:p w14:paraId="196BBE84" w14:textId="1AC8C018" w:rsidR="00B74BAA" w:rsidRPr="000C2DAB" w:rsidRDefault="00B74BAA">
      <w:pPr>
        <w:pStyle w:val="FootnoteText"/>
        <w:rPr>
          <w:rFonts w:ascii="Palatino Linotype" w:hAnsi="Palatino Linotype"/>
          <w:sz w:val="20"/>
          <w:szCs w:val="20"/>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Kolb, D. A., </w:t>
      </w:r>
      <w:r w:rsidRPr="000C2DAB">
        <w:rPr>
          <w:rFonts w:ascii="Palatino Linotype" w:hAnsi="Palatino Linotype"/>
          <w:i/>
          <w:iCs/>
          <w:sz w:val="20"/>
          <w:szCs w:val="20"/>
        </w:rPr>
        <w:t>Experiential Learning</w:t>
      </w:r>
      <w:r w:rsidRPr="000C2DAB">
        <w:rPr>
          <w:rFonts w:ascii="Palatino Linotype" w:hAnsi="Palatino Linotype"/>
          <w:sz w:val="20"/>
          <w:szCs w:val="20"/>
        </w:rPr>
        <w:t>, Englewood Cliffs, NJ: Prentice Hall (1984) Kolb’s “cycle of learning” focuses attention on learner’s preferences for different kinds of learning experiences. He suggests that no matter the beginning point of a learner the learning cycle inevitably goes through the four quadrants of the cycle: active experimentations (doing); concrete experience (feeling); reflective observation, (watching); abstract conceptualization, (thinking).</w:t>
      </w:r>
    </w:p>
  </w:footnote>
  <w:footnote w:id="64">
    <w:p w14:paraId="5E524D8B" w14:textId="0B9011DA" w:rsidR="00B74BAA" w:rsidRPr="000C2DAB" w:rsidRDefault="00B74BAA" w:rsidP="004058B2">
      <w:pPr>
        <w:pStyle w:val="FootnoteText"/>
        <w:rPr>
          <w:rFonts w:ascii="Palatino Linotype" w:hAnsi="Palatino Linotype"/>
          <w:sz w:val="20"/>
          <w:szCs w:val="20"/>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w:t>
      </w:r>
      <w:bookmarkStart w:id="0" w:name="BIGGS_J_(1993)"/>
      <w:bookmarkEnd w:id="0"/>
      <w:r w:rsidRPr="000C2DAB">
        <w:rPr>
          <w:rFonts w:ascii="Palatino Linotype" w:hAnsi="Palatino Linotype"/>
          <w:sz w:val="20"/>
          <w:szCs w:val="20"/>
        </w:rPr>
        <w:t xml:space="preserve">Biggs, J. "What do inventories of students' learning process really measure? A theoretical review and clarification" 83 </w:t>
      </w:r>
      <w:r w:rsidRPr="000C2DAB">
        <w:rPr>
          <w:rFonts w:ascii="Palatino Linotype" w:hAnsi="Palatino Linotype"/>
          <w:i/>
          <w:iCs/>
          <w:sz w:val="20"/>
          <w:szCs w:val="20"/>
        </w:rPr>
        <w:t>Brit. J. Ed. Psych.</w:t>
      </w:r>
      <w:r w:rsidRPr="000C2DAB">
        <w:rPr>
          <w:rFonts w:ascii="Palatino Linotype" w:hAnsi="Palatino Linotype"/>
          <w:sz w:val="20"/>
          <w:szCs w:val="20"/>
        </w:rPr>
        <w:t>  pp 3-19 </w:t>
      </w:r>
      <w:bookmarkStart w:id="1" w:name="BIGGS_J_(1999)"/>
      <w:r w:rsidRPr="000C2DAB">
        <w:rPr>
          <w:rFonts w:ascii="Palatino Linotype" w:hAnsi="Palatino Linotype"/>
          <w:sz w:val="20"/>
          <w:szCs w:val="20"/>
        </w:rPr>
        <w:t xml:space="preserve"> (1993) and Biggs J. and Tang C., </w:t>
      </w:r>
      <w:bookmarkEnd w:id="1"/>
      <w:r w:rsidRPr="000C2DAB">
        <w:rPr>
          <w:rFonts w:ascii="Palatino Linotype" w:hAnsi="Palatino Linotype"/>
          <w:i/>
          <w:iCs/>
          <w:sz w:val="20"/>
          <w:szCs w:val="20"/>
        </w:rPr>
        <w:t>Teaching for Quality Learning at University</w:t>
      </w:r>
      <w:r w:rsidRPr="000C2DAB">
        <w:rPr>
          <w:rFonts w:ascii="Palatino Linotype" w:hAnsi="Palatino Linotype"/>
          <w:sz w:val="20"/>
          <w:szCs w:val="20"/>
        </w:rPr>
        <w:t> (3rd ed</w:t>
      </w:r>
      <w:r w:rsidR="004A484F">
        <w:rPr>
          <w:rFonts w:ascii="Palatino Linotype" w:hAnsi="Palatino Linotype"/>
          <w:sz w:val="20"/>
          <w:szCs w:val="20"/>
        </w:rPr>
        <w:t>.</w:t>
      </w:r>
      <w:r w:rsidRPr="000C2DAB">
        <w:rPr>
          <w:rFonts w:ascii="Palatino Linotype" w:hAnsi="Palatino Linotype"/>
          <w:sz w:val="20"/>
          <w:szCs w:val="20"/>
        </w:rPr>
        <w:t>) Buckingham: SRHE and Open University Press (2007) </w:t>
      </w:r>
    </w:p>
  </w:footnote>
  <w:footnote w:id="65">
    <w:p w14:paraId="2556C487" w14:textId="162ABB11" w:rsidR="00B74BAA" w:rsidRPr="000C2DAB" w:rsidRDefault="00B74BAA">
      <w:pPr>
        <w:pStyle w:val="FootnoteText"/>
        <w:rPr>
          <w:rFonts w:ascii="Palatino Linotype" w:hAnsi="Palatino Linotype"/>
          <w:sz w:val="20"/>
          <w:szCs w:val="20"/>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See footnote 8. above. Readers particularly interested in a careful reading of the UUDLEs or who are keen to have them at hand while reading this text will be able to extract them from their source at footnote 8.</w:t>
      </w:r>
    </w:p>
  </w:footnote>
  <w:footnote w:id="66">
    <w:p w14:paraId="4DCDD92D" w14:textId="256FF85A" w:rsidR="00B74BAA" w:rsidRPr="000C2DAB" w:rsidRDefault="00B74BAA">
      <w:pPr>
        <w:pStyle w:val="FootnoteText"/>
        <w:rPr>
          <w:rFonts w:ascii="Palatino Linotype" w:hAnsi="Palatino Linotype"/>
          <w:sz w:val="20"/>
          <w:szCs w:val="20"/>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w:t>
      </w:r>
      <w:r w:rsidRPr="000C2DAB">
        <w:rPr>
          <w:rFonts w:ascii="Palatino Linotype" w:hAnsi="Palatino Linotype"/>
          <w:i/>
          <w:sz w:val="20"/>
          <w:szCs w:val="20"/>
        </w:rPr>
        <w:t>Ibid</w:t>
      </w:r>
    </w:p>
  </w:footnote>
  <w:footnote w:id="67">
    <w:p w14:paraId="1B5C76CE" w14:textId="04C5FB5E" w:rsidR="00B74BAA" w:rsidRPr="000C2DAB" w:rsidRDefault="00B74BAA">
      <w:pPr>
        <w:pStyle w:val="FootnoteText"/>
        <w:rPr>
          <w:rFonts w:ascii="Palatino Linotype" w:hAnsi="Palatino Linotype"/>
          <w:sz w:val="20"/>
          <w:szCs w:val="20"/>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See Petter </w:t>
      </w:r>
      <w:r w:rsidRPr="000C2DAB">
        <w:rPr>
          <w:rFonts w:ascii="Palatino Linotype" w:hAnsi="Palatino Linotype"/>
          <w:i/>
          <w:sz w:val="20"/>
          <w:szCs w:val="20"/>
        </w:rPr>
        <w:t>op. cit.</w:t>
      </w:r>
    </w:p>
  </w:footnote>
  <w:footnote w:id="68">
    <w:p w14:paraId="4023544B" w14:textId="19F3EA11" w:rsidR="00B74BAA" w:rsidRPr="000C2DAB" w:rsidRDefault="00B74BAA" w:rsidP="00495D2A">
      <w:pPr>
        <w:pStyle w:val="FootnoteText"/>
        <w:rPr>
          <w:rFonts w:ascii="Palatino Linotype" w:hAnsi="Palatino Linotype"/>
          <w:sz w:val="20"/>
          <w:szCs w:val="20"/>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Carnegie </w:t>
      </w:r>
      <w:r w:rsidRPr="000C2DAB">
        <w:rPr>
          <w:rFonts w:ascii="Palatino Linotype" w:hAnsi="Palatino Linotype"/>
          <w:i/>
          <w:sz w:val="20"/>
          <w:szCs w:val="20"/>
        </w:rPr>
        <w:t>op. cit.</w:t>
      </w:r>
      <w:r w:rsidRPr="000C2DAB">
        <w:rPr>
          <w:rFonts w:ascii="Palatino Linotype" w:hAnsi="Palatino Linotype"/>
          <w:sz w:val="20"/>
          <w:szCs w:val="20"/>
        </w:rPr>
        <w:t xml:space="preserve"> p. 132 ff. and see also Shepard, K. “Higher education for sustainability: seeking affective learning outcomes” 9 </w:t>
      </w:r>
      <w:r w:rsidRPr="000C2DAB">
        <w:rPr>
          <w:rFonts w:ascii="Palatino Linotype" w:hAnsi="Palatino Linotype"/>
          <w:i/>
          <w:sz w:val="20"/>
          <w:szCs w:val="20"/>
        </w:rPr>
        <w:t>International Journal of Sustainability in Higher Education</w:t>
      </w:r>
      <w:r w:rsidRPr="000C2DAB">
        <w:rPr>
          <w:rFonts w:ascii="Palatino Linotype" w:hAnsi="Palatino Linotype"/>
          <w:sz w:val="20"/>
          <w:szCs w:val="20"/>
        </w:rPr>
        <w:t xml:space="preserve"> 87. (2008)</w:t>
      </w:r>
    </w:p>
  </w:footnote>
  <w:footnote w:id="69">
    <w:p w14:paraId="2AB7CC89" w14:textId="396650FE" w:rsidR="00B74BAA" w:rsidRPr="000C2DAB" w:rsidRDefault="00B74BAA">
      <w:pPr>
        <w:pStyle w:val="FootnoteText"/>
        <w:rPr>
          <w:rFonts w:ascii="Palatino Linotype" w:hAnsi="Palatino Linotype"/>
          <w:sz w:val="20"/>
          <w:szCs w:val="20"/>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See </w:t>
      </w:r>
      <w:proofErr w:type="spellStart"/>
      <w:r w:rsidRPr="000C2DAB">
        <w:rPr>
          <w:rFonts w:ascii="Palatino Linotype" w:hAnsi="Palatino Linotype"/>
          <w:sz w:val="20"/>
          <w:szCs w:val="20"/>
        </w:rPr>
        <w:t>Krathwohl</w:t>
      </w:r>
      <w:proofErr w:type="spellEnd"/>
      <w:r w:rsidRPr="000C2DAB">
        <w:rPr>
          <w:rFonts w:ascii="Palatino Linotype" w:hAnsi="Palatino Linotype"/>
          <w:sz w:val="20"/>
          <w:szCs w:val="20"/>
        </w:rPr>
        <w:t xml:space="preserve">, </w:t>
      </w:r>
      <w:r w:rsidRPr="000C2DAB">
        <w:rPr>
          <w:rFonts w:ascii="Palatino Linotype" w:hAnsi="Palatino Linotype"/>
          <w:i/>
          <w:sz w:val="20"/>
          <w:szCs w:val="20"/>
        </w:rPr>
        <w:t>Learning Objectives in the Affective Domain op. cit.</w:t>
      </w:r>
      <w:r w:rsidRPr="000C2DAB">
        <w:rPr>
          <w:rFonts w:ascii="Palatino Linotype" w:hAnsi="Palatino Linotype"/>
          <w:sz w:val="20"/>
          <w:szCs w:val="20"/>
        </w:rPr>
        <w:t>; also includes motivation, willingness to participate, openness to new ideas.</w:t>
      </w:r>
    </w:p>
  </w:footnote>
  <w:footnote w:id="70">
    <w:p w14:paraId="195B915B" w14:textId="68987174" w:rsidR="00B74BAA" w:rsidRPr="000C2DAB" w:rsidRDefault="00B74BAA">
      <w:pPr>
        <w:pStyle w:val="FootnoteText"/>
        <w:rPr>
          <w:rFonts w:ascii="Palatino Linotype" w:hAnsi="Palatino Linotype"/>
          <w:sz w:val="20"/>
          <w:szCs w:val="20"/>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See: </w:t>
      </w:r>
      <w:r w:rsidRPr="000C2DAB">
        <w:rPr>
          <w:rFonts w:ascii="Palatino Linotype" w:hAnsi="Palatino Linotype"/>
          <w:i/>
          <w:sz w:val="20"/>
          <w:szCs w:val="20"/>
        </w:rPr>
        <w:t>e.g.,</w:t>
      </w:r>
      <w:r w:rsidRPr="000C2DAB">
        <w:rPr>
          <w:rFonts w:ascii="Palatino Linotype" w:hAnsi="Palatino Linotype"/>
          <w:sz w:val="20"/>
          <w:szCs w:val="20"/>
        </w:rPr>
        <w:t xml:space="preserve"> The Law Society of England and Wales’ Legal Education and Training Review </w:t>
      </w:r>
      <w:hyperlink r:id="rId22" w:history="1">
        <w:r w:rsidRPr="000C2DAB">
          <w:rPr>
            <w:rStyle w:val="Hyperlink"/>
            <w:rFonts w:ascii="Palatino Linotype" w:hAnsi="Palatino Linotype"/>
            <w:sz w:val="20"/>
            <w:szCs w:val="20"/>
          </w:rPr>
          <w:t>http://letr.org.uk/</w:t>
        </w:r>
      </w:hyperlink>
      <w:r w:rsidRPr="000C2DAB">
        <w:rPr>
          <w:rFonts w:ascii="Palatino Linotype" w:hAnsi="Palatino Linotype"/>
          <w:sz w:val="20"/>
          <w:szCs w:val="20"/>
        </w:rPr>
        <w:t xml:space="preserve"> and the work of the Chief Justice of Ontario’s Advisory Committee on Professionalism </w:t>
      </w:r>
      <w:hyperlink r:id="rId23" w:history="1">
        <w:r w:rsidRPr="000C2DAB">
          <w:rPr>
            <w:rStyle w:val="Hyperlink"/>
            <w:rFonts w:ascii="Palatino Linotype" w:hAnsi="Palatino Linotype"/>
            <w:sz w:val="20"/>
            <w:szCs w:val="20"/>
          </w:rPr>
          <w:t>http://www.lsuc.on.ca/with.aspx?id=610</w:t>
        </w:r>
      </w:hyperlink>
      <w:r w:rsidRPr="000C2DAB">
        <w:rPr>
          <w:rFonts w:ascii="Palatino Linotype" w:hAnsi="Palatino Linotype"/>
          <w:sz w:val="20"/>
          <w:szCs w:val="20"/>
        </w:rPr>
        <w:t xml:space="preserve">;  Carnegie and Stuckey </w:t>
      </w:r>
      <w:proofErr w:type="spellStart"/>
      <w:r w:rsidRPr="000C2DAB">
        <w:rPr>
          <w:rFonts w:ascii="Palatino Linotype" w:hAnsi="Palatino Linotype"/>
          <w:i/>
          <w:sz w:val="20"/>
          <w:szCs w:val="20"/>
        </w:rPr>
        <w:t>op.cit</w:t>
      </w:r>
      <w:proofErr w:type="spellEnd"/>
      <w:r w:rsidRPr="000C2DAB">
        <w:rPr>
          <w:rFonts w:ascii="Palatino Linotype" w:hAnsi="Palatino Linotype"/>
          <w:i/>
          <w:sz w:val="20"/>
          <w:szCs w:val="20"/>
        </w:rPr>
        <w:t>.</w:t>
      </w:r>
    </w:p>
  </w:footnote>
  <w:footnote w:id="71">
    <w:p w14:paraId="351A9D5E" w14:textId="257533F5" w:rsidR="00B74BAA" w:rsidRPr="000C2DAB" w:rsidRDefault="00B74BAA" w:rsidP="00BD1A6B">
      <w:pPr>
        <w:pStyle w:val="FootnoteText"/>
        <w:rPr>
          <w:rFonts w:ascii="Palatino Linotype" w:hAnsi="Palatino Linotype"/>
          <w:sz w:val="20"/>
          <w:szCs w:val="20"/>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“The University of Sydney (2006), for example, suggests that:</w:t>
      </w:r>
      <w:r w:rsidR="00AF532D">
        <w:rPr>
          <w:rFonts w:ascii="Palatino Linotype" w:hAnsi="Palatino Linotype"/>
          <w:sz w:val="20"/>
          <w:szCs w:val="20"/>
        </w:rPr>
        <w:t xml:space="preserve"> </w:t>
      </w:r>
      <w:r w:rsidRPr="000C2DAB">
        <w:rPr>
          <w:rFonts w:ascii="Palatino Linotype" w:hAnsi="Palatino Linotype"/>
          <w:sz w:val="20"/>
          <w:szCs w:val="20"/>
        </w:rPr>
        <w:t>Graduates of the Faculty of Veterinary Science will hold personal values and beliefs</w:t>
      </w:r>
      <w:r w:rsidR="00AF532D">
        <w:rPr>
          <w:rFonts w:ascii="Palatino Linotype" w:hAnsi="Palatino Linotype"/>
          <w:sz w:val="20"/>
          <w:szCs w:val="20"/>
        </w:rPr>
        <w:t xml:space="preserve"> </w:t>
      </w:r>
      <w:r w:rsidRPr="000C2DAB">
        <w:rPr>
          <w:rFonts w:ascii="Palatino Linotype" w:hAnsi="Palatino Linotype"/>
          <w:sz w:val="20"/>
          <w:szCs w:val="20"/>
        </w:rPr>
        <w:t>consistent with their role as responsible members of local, national, international and</w:t>
      </w:r>
      <w:r w:rsidR="00AF532D">
        <w:rPr>
          <w:rFonts w:ascii="Palatino Linotype" w:hAnsi="Palatino Linotype"/>
          <w:sz w:val="20"/>
          <w:szCs w:val="20"/>
        </w:rPr>
        <w:t xml:space="preserve"> </w:t>
      </w:r>
      <w:r w:rsidRPr="000C2DAB">
        <w:rPr>
          <w:rFonts w:ascii="Palatino Linotype" w:hAnsi="Palatino Linotype"/>
          <w:sz w:val="20"/>
          <w:szCs w:val="20"/>
        </w:rPr>
        <w:t>professional communities. (E.g. protect the natural environment, maintain biodiversity and</w:t>
      </w:r>
      <w:r w:rsidR="00AF532D">
        <w:rPr>
          <w:rFonts w:ascii="Palatino Linotype" w:hAnsi="Palatino Linotype"/>
          <w:sz w:val="20"/>
          <w:szCs w:val="20"/>
        </w:rPr>
        <w:t xml:space="preserve"> </w:t>
      </w:r>
      <w:r w:rsidRPr="000C2DAB">
        <w:rPr>
          <w:rFonts w:ascii="Palatino Linotype" w:hAnsi="Palatino Linotype"/>
          <w:sz w:val="20"/>
          <w:szCs w:val="20"/>
        </w:rPr>
        <w:t xml:space="preserve">conserve endangered species).” </w:t>
      </w:r>
      <w:r w:rsidRPr="000C2DAB">
        <w:rPr>
          <w:rFonts w:ascii="Palatino Linotype" w:hAnsi="Palatino Linotype"/>
          <w:i/>
          <w:sz w:val="20"/>
          <w:szCs w:val="20"/>
        </w:rPr>
        <w:t xml:space="preserve">Shepard op. cit. </w:t>
      </w:r>
      <w:r w:rsidRPr="000C2DAB">
        <w:rPr>
          <w:rFonts w:ascii="Palatino Linotype" w:hAnsi="Palatino Linotype"/>
          <w:sz w:val="20"/>
          <w:szCs w:val="20"/>
        </w:rPr>
        <w:t>at p. 92</w:t>
      </w:r>
    </w:p>
  </w:footnote>
  <w:footnote w:id="72">
    <w:p w14:paraId="77E39654" w14:textId="79D68261" w:rsidR="00B74BAA" w:rsidRPr="000C2DAB" w:rsidRDefault="00B74BAA">
      <w:pPr>
        <w:pStyle w:val="FootnoteText"/>
        <w:rPr>
          <w:rFonts w:ascii="Palatino Linotype" w:hAnsi="Palatino Linotype"/>
          <w:sz w:val="20"/>
          <w:szCs w:val="20"/>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The field of legal ethics is developing quickly and has evolved as a highly intellectual and demanding discipline. We do need to be able to think systematically and deeply about such matters. In the end, if we do not internalize the beliefs we are unlikely to commit to the behaviours with enthusiasm.</w:t>
      </w:r>
    </w:p>
  </w:footnote>
  <w:footnote w:id="73">
    <w:p w14:paraId="6F16D6D7" w14:textId="118E1A4D" w:rsidR="00B74BAA" w:rsidRPr="000C2DAB" w:rsidRDefault="00B74BAA">
      <w:pPr>
        <w:pStyle w:val="FootnoteText"/>
        <w:rPr>
          <w:rFonts w:ascii="Palatino Linotype" w:hAnsi="Palatino Linotype"/>
          <w:sz w:val="20"/>
          <w:szCs w:val="20"/>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see discussion </w:t>
      </w:r>
      <w:r w:rsidRPr="000C2DAB">
        <w:rPr>
          <w:rFonts w:ascii="Palatino Linotype" w:hAnsi="Palatino Linotype"/>
          <w:i/>
          <w:sz w:val="20"/>
          <w:szCs w:val="20"/>
        </w:rPr>
        <w:t>infra</w:t>
      </w:r>
      <w:r w:rsidRPr="000C2DAB">
        <w:rPr>
          <w:rFonts w:ascii="Palatino Linotype" w:hAnsi="Palatino Linotype"/>
          <w:sz w:val="20"/>
          <w:szCs w:val="20"/>
        </w:rPr>
        <w:t xml:space="preserve"> </w:t>
      </w:r>
    </w:p>
  </w:footnote>
  <w:footnote w:id="74">
    <w:p w14:paraId="6E2E0A55" w14:textId="1C56F5FA" w:rsidR="00B74BAA" w:rsidRPr="000C2DAB" w:rsidRDefault="00B74BAA">
      <w:pPr>
        <w:pStyle w:val="FootnoteText"/>
        <w:rPr>
          <w:rFonts w:ascii="Palatino Linotype" w:hAnsi="Palatino Linotype"/>
          <w:sz w:val="20"/>
          <w:szCs w:val="20"/>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see Hall and Kerrigan, </w:t>
      </w:r>
      <w:r w:rsidRPr="000C2DAB">
        <w:rPr>
          <w:rFonts w:ascii="Palatino Linotype" w:hAnsi="Palatino Linotype"/>
          <w:i/>
          <w:sz w:val="20"/>
          <w:szCs w:val="20"/>
        </w:rPr>
        <w:t>op cit.</w:t>
      </w:r>
      <w:r w:rsidRPr="000C2DAB">
        <w:rPr>
          <w:rFonts w:ascii="Palatino Linotype" w:hAnsi="Palatino Linotype"/>
          <w:sz w:val="20"/>
          <w:szCs w:val="20"/>
        </w:rPr>
        <w:t xml:space="preserve"> at p. 28 quoting Aaronson, M</w:t>
      </w:r>
      <w:r w:rsidR="00AF532D">
        <w:rPr>
          <w:rFonts w:ascii="Palatino Linotype" w:hAnsi="Palatino Linotype"/>
          <w:sz w:val="20"/>
          <w:szCs w:val="20"/>
        </w:rPr>
        <w:t>.</w:t>
      </w:r>
      <w:r w:rsidRPr="000C2DAB">
        <w:rPr>
          <w:rFonts w:ascii="Palatino Linotype" w:hAnsi="Palatino Linotype"/>
          <w:sz w:val="20"/>
          <w:szCs w:val="20"/>
        </w:rPr>
        <w:t xml:space="preserve"> “Teaching Problem Solving Lawyering: An Exchange of Ideas”, 11 </w:t>
      </w:r>
      <w:r w:rsidRPr="000C2DAB">
        <w:rPr>
          <w:rFonts w:ascii="Palatino Linotype" w:hAnsi="Palatino Linotype"/>
          <w:i/>
          <w:sz w:val="20"/>
          <w:szCs w:val="20"/>
        </w:rPr>
        <w:t>Clinical Law Review</w:t>
      </w:r>
      <w:r w:rsidRPr="000C2DAB">
        <w:rPr>
          <w:rFonts w:ascii="Palatino Linotype" w:hAnsi="Palatino Linotype"/>
          <w:sz w:val="20"/>
          <w:szCs w:val="20"/>
        </w:rPr>
        <w:t xml:space="preserve"> (2004-2005) at p. 485</w:t>
      </w:r>
    </w:p>
  </w:footnote>
  <w:footnote w:id="75">
    <w:p w14:paraId="636C9352" w14:textId="71ADB60F" w:rsidR="00B74BAA" w:rsidRPr="000C2DAB" w:rsidRDefault="00B74BAA">
      <w:pPr>
        <w:pStyle w:val="FootnoteText"/>
        <w:rPr>
          <w:rFonts w:ascii="Palatino Linotype" w:hAnsi="Palatino Linotype"/>
          <w:i/>
          <w:sz w:val="20"/>
          <w:szCs w:val="20"/>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See Gold N., and Plowden P.,  “Clinical Scholarship and the Development of the Global Clinical Movement”, in Bloch, F. S., </w:t>
      </w:r>
      <w:r w:rsidRPr="000C2DAB">
        <w:rPr>
          <w:rFonts w:ascii="Palatino Linotype" w:hAnsi="Palatino Linotype"/>
          <w:i/>
          <w:sz w:val="20"/>
          <w:szCs w:val="20"/>
        </w:rPr>
        <w:t>The Global Clinical Movement</w:t>
      </w:r>
      <w:r w:rsidRPr="000C2DAB">
        <w:rPr>
          <w:rFonts w:ascii="Palatino Linotype" w:hAnsi="Palatino Linotype"/>
          <w:sz w:val="20"/>
          <w:szCs w:val="20"/>
        </w:rPr>
        <w:t>, New York: Oxford University Press. (2011)</w:t>
      </w:r>
      <w:r w:rsidRPr="000C2DAB">
        <w:rPr>
          <w:rFonts w:ascii="Palatino Linotype" w:hAnsi="Palatino Linotype"/>
          <w:i/>
          <w:sz w:val="20"/>
          <w:szCs w:val="20"/>
        </w:rPr>
        <w:t xml:space="preserve"> </w:t>
      </w:r>
    </w:p>
  </w:footnote>
  <w:footnote w:id="76">
    <w:p w14:paraId="75363E7E" w14:textId="09B1DF14" w:rsidR="00B74BAA" w:rsidRPr="000C2DAB" w:rsidRDefault="00B74BAA">
      <w:pPr>
        <w:pStyle w:val="FootnoteText"/>
        <w:rPr>
          <w:rFonts w:ascii="Palatino Linotype" w:hAnsi="Palatino Linotype"/>
          <w:sz w:val="20"/>
          <w:szCs w:val="20"/>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Stevens R., </w:t>
      </w:r>
      <w:r w:rsidRPr="000C2DAB">
        <w:rPr>
          <w:rFonts w:ascii="Palatino Linotype" w:hAnsi="Palatino Linotype"/>
          <w:i/>
          <w:sz w:val="20"/>
          <w:szCs w:val="20"/>
        </w:rPr>
        <w:t>Law School: Legal Education in American from the 1850s to the 1980s</w:t>
      </w:r>
      <w:r w:rsidRPr="000C2DAB">
        <w:rPr>
          <w:rFonts w:ascii="Palatino Linotype" w:hAnsi="Palatino Linotype"/>
          <w:sz w:val="20"/>
          <w:szCs w:val="20"/>
        </w:rPr>
        <w:t>, Chapel Hill: University of North Carolina Press. (1983)</w:t>
      </w:r>
    </w:p>
  </w:footnote>
  <w:footnote w:id="77">
    <w:p w14:paraId="0F39532F" w14:textId="00BFE2B3" w:rsidR="00B74BAA" w:rsidRPr="000C2DAB" w:rsidRDefault="00B74BAA">
      <w:pPr>
        <w:pStyle w:val="FootnoteText"/>
        <w:rPr>
          <w:rFonts w:ascii="Palatino Linotype" w:hAnsi="Palatino Linotype"/>
          <w:sz w:val="20"/>
          <w:szCs w:val="20"/>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Delos </w:t>
      </w:r>
      <w:proofErr w:type="spellStart"/>
      <w:r w:rsidRPr="000C2DAB">
        <w:rPr>
          <w:rFonts w:ascii="Palatino Linotype" w:hAnsi="Palatino Linotype"/>
          <w:sz w:val="20"/>
          <w:szCs w:val="20"/>
        </w:rPr>
        <w:t>Rogest</w:t>
      </w:r>
      <w:proofErr w:type="spellEnd"/>
      <w:r w:rsidRPr="000C2DAB">
        <w:rPr>
          <w:rFonts w:ascii="Palatino Linotype" w:hAnsi="Palatino Linotype"/>
          <w:sz w:val="20"/>
          <w:szCs w:val="20"/>
        </w:rPr>
        <w:t xml:space="preserve"> Davis, only the second black lawyer in Ontario, was unable to enter the profession for want of being able to find a principal to supervise his articles of clerkship. It took two acts of the legislature of the Province of Ontario to permit his entry to the profession, first as a solicitor in 1884 and later as a barrister in 1886. He was later appointed the British Empire’s first black QC in 1910.</w:t>
      </w:r>
    </w:p>
  </w:footnote>
  <w:footnote w:id="78">
    <w:p w14:paraId="11398E9B" w14:textId="4EB318B2" w:rsidR="00B74BAA" w:rsidRPr="000C2DAB" w:rsidRDefault="00B74BAA">
      <w:pPr>
        <w:pStyle w:val="FootnoteText"/>
        <w:rPr>
          <w:rFonts w:ascii="Palatino Linotype" w:hAnsi="Palatino Linotype"/>
          <w:sz w:val="20"/>
          <w:szCs w:val="20"/>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Rowe W. V., “Legal Clinics and Better Trained Lawyers – a Necessity”, 11 </w:t>
      </w:r>
      <w:r w:rsidRPr="000C2DAB">
        <w:rPr>
          <w:rFonts w:ascii="Palatino Linotype" w:hAnsi="Palatino Linotype"/>
          <w:i/>
          <w:sz w:val="20"/>
          <w:szCs w:val="20"/>
        </w:rPr>
        <w:t>Ill. L. Rev.</w:t>
      </w:r>
      <w:r w:rsidRPr="000C2DAB">
        <w:rPr>
          <w:rFonts w:ascii="Palatino Linotype" w:hAnsi="Palatino Linotype"/>
          <w:sz w:val="20"/>
          <w:szCs w:val="20"/>
        </w:rPr>
        <w:t xml:space="preserve"> 515 (1917)</w:t>
      </w:r>
    </w:p>
  </w:footnote>
  <w:footnote w:id="79">
    <w:p w14:paraId="00066004" w14:textId="07C7C1E2" w:rsidR="00B74BAA" w:rsidRPr="000C2DAB" w:rsidRDefault="00B74BAA">
      <w:pPr>
        <w:pStyle w:val="FootnoteText"/>
        <w:rPr>
          <w:rFonts w:ascii="Palatino Linotype" w:hAnsi="Palatino Linotype"/>
          <w:sz w:val="20"/>
          <w:szCs w:val="20"/>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In the early 1980</w:t>
      </w:r>
      <w:bookmarkStart w:id="2" w:name="_GoBack"/>
      <w:bookmarkEnd w:id="2"/>
      <w:r w:rsidRPr="000C2DAB">
        <w:rPr>
          <w:rFonts w:ascii="Palatino Linotype" w:hAnsi="Palatino Linotype"/>
          <w:sz w:val="20"/>
          <w:szCs w:val="20"/>
        </w:rPr>
        <w:t>s I served as Director of British Columbia’s Bar Admission Program. One of its components was articling, or apprenticeship. I was able to persuade the members of the Legal Education Committee to require the structured and detailed supervision of four skills activities followed by feedback.  There was to be a written record of the student-lawyer interactions. I was summoned to visit one of the city’s largest law firms. The training partner and three others met me. I was seated at the doorway to the office with the lawyers arrayed in a semi-circle beside and in front of me. I was told that the firm was considering abandoning its training role if the governing body were to insist on structured practice activities with feedback. No doubt this was a blustery bluff; after all the articling students were the major source of new lawyer recruitment. The point of their disinterest in working to help students achieve specified learning goals did not escape the governing body’s leadership or me.</w:t>
      </w:r>
    </w:p>
  </w:footnote>
  <w:footnote w:id="80">
    <w:p w14:paraId="6DB8881B" w14:textId="1F16245A" w:rsidR="00B74BAA" w:rsidRPr="000C2DAB" w:rsidRDefault="00B74BAA">
      <w:pPr>
        <w:pStyle w:val="FootnoteText"/>
        <w:rPr>
          <w:rFonts w:ascii="Palatino Linotype" w:hAnsi="Palatino Linotype"/>
          <w:sz w:val="20"/>
          <w:szCs w:val="20"/>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See Stevens, </w:t>
      </w:r>
      <w:r w:rsidRPr="000C2DAB">
        <w:rPr>
          <w:rFonts w:ascii="Palatino Linotype" w:hAnsi="Palatino Linotype"/>
          <w:i/>
          <w:sz w:val="20"/>
          <w:szCs w:val="20"/>
        </w:rPr>
        <w:t>op. cit.</w:t>
      </w:r>
    </w:p>
  </w:footnote>
  <w:footnote w:id="81">
    <w:p w14:paraId="5166CE39" w14:textId="028A4FF2" w:rsidR="00B74BAA" w:rsidRPr="000C2DAB" w:rsidRDefault="00B74BAA">
      <w:pPr>
        <w:pStyle w:val="FootnoteText"/>
        <w:rPr>
          <w:rFonts w:ascii="Palatino Linotype" w:hAnsi="Palatino Linotype"/>
          <w:sz w:val="20"/>
          <w:szCs w:val="20"/>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w:t>
      </w:r>
      <w:hyperlink r:id="rId24" w:history="1">
        <w:r w:rsidRPr="000C2DAB">
          <w:rPr>
            <w:rStyle w:val="Hyperlink"/>
            <w:rFonts w:ascii="Palatino Linotype" w:hAnsi="Palatino Linotype"/>
            <w:sz w:val="20"/>
            <w:szCs w:val="20"/>
          </w:rPr>
          <w:t>http://www.lsuc.on.ca/Pathways/</w:t>
        </w:r>
      </w:hyperlink>
      <w:r w:rsidRPr="000C2DAB">
        <w:rPr>
          <w:rFonts w:ascii="Palatino Linotype" w:hAnsi="Palatino Linotype"/>
          <w:sz w:val="20"/>
          <w:szCs w:val="20"/>
        </w:rPr>
        <w:t xml:space="preserve">, </w:t>
      </w:r>
      <w:hyperlink r:id="rId25" w:history="1">
        <w:r w:rsidRPr="000C2DAB">
          <w:rPr>
            <w:rStyle w:val="Hyperlink"/>
            <w:rFonts w:ascii="Palatino Linotype" w:hAnsi="Palatino Linotype"/>
            <w:sz w:val="20"/>
            <w:szCs w:val="20"/>
          </w:rPr>
          <w:t>http://www.ryerson.ca/lawcentre/lawpracticeprogram.html</w:t>
        </w:r>
      </w:hyperlink>
      <w:r w:rsidRPr="000C2DAB">
        <w:rPr>
          <w:rFonts w:ascii="Palatino Linotype" w:hAnsi="Palatino Linotype"/>
          <w:sz w:val="20"/>
          <w:szCs w:val="20"/>
        </w:rPr>
        <w:t xml:space="preserve"> </w:t>
      </w:r>
    </w:p>
  </w:footnote>
  <w:footnote w:id="82">
    <w:p w14:paraId="26D37991" w14:textId="02089B6A" w:rsidR="00B74BAA" w:rsidRPr="000C2DAB" w:rsidRDefault="00B74BAA">
      <w:pPr>
        <w:pStyle w:val="FootnoteText"/>
        <w:rPr>
          <w:rFonts w:ascii="Palatino Linotype" w:hAnsi="Palatino Linotype"/>
          <w:sz w:val="20"/>
          <w:szCs w:val="20"/>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Frank J., “Why Not a Clinical Lawyer School”?, 81 </w:t>
      </w:r>
      <w:r w:rsidRPr="000C2DAB">
        <w:rPr>
          <w:rFonts w:ascii="Palatino Linotype" w:hAnsi="Palatino Linotype"/>
          <w:i/>
          <w:sz w:val="20"/>
          <w:szCs w:val="20"/>
        </w:rPr>
        <w:t>U. Pa. L. Rev. 385</w:t>
      </w:r>
      <w:r w:rsidRPr="000C2DAB">
        <w:rPr>
          <w:rFonts w:ascii="Palatino Linotype" w:hAnsi="Palatino Linotype"/>
          <w:sz w:val="20"/>
          <w:szCs w:val="20"/>
        </w:rPr>
        <w:t xml:space="preserve"> (1933)</w:t>
      </w:r>
    </w:p>
  </w:footnote>
  <w:footnote w:id="83">
    <w:p w14:paraId="7A429F60" w14:textId="75828F07" w:rsidR="00B74BAA" w:rsidRPr="000C2DAB" w:rsidRDefault="00B74BAA">
      <w:pPr>
        <w:pStyle w:val="FootnoteText"/>
        <w:rPr>
          <w:rFonts w:ascii="Palatino Linotype" w:hAnsi="Palatino Linotype"/>
          <w:sz w:val="20"/>
          <w:szCs w:val="20"/>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see </w:t>
      </w:r>
      <w:r w:rsidRPr="000C2DAB">
        <w:rPr>
          <w:rFonts w:ascii="Palatino Linotype" w:hAnsi="Palatino Linotype"/>
          <w:i/>
          <w:sz w:val="20"/>
          <w:szCs w:val="20"/>
        </w:rPr>
        <w:t>e.g.</w:t>
      </w:r>
      <w:r w:rsidRPr="000C2DAB">
        <w:rPr>
          <w:rFonts w:ascii="Palatino Linotype" w:hAnsi="Palatino Linotype"/>
          <w:sz w:val="20"/>
          <w:szCs w:val="20"/>
        </w:rPr>
        <w:t xml:space="preserve">, </w:t>
      </w:r>
      <w:r w:rsidRPr="000C2DAB">
        <w:rPr>
          <w:rFonts w:ascii="Palatino Linotype" w:hAnsi="Palatino Linotype"/>
          <w:i/>
          <w:sz w:val="20"/>
          <w:szCs w:val="20"/>
        </w:rPr>
        <w:t>Legal Ethics</w:t>
      </w:r>
      <w:r w:rsidRPr="000C2DAB">
        <w:rPr>
          <w:rFonts w:ascii="Palatino Linotype" w:hAnsi="Palatino Linotype"/>
          <w:sz w:val="20"/>
          <w:szCs w:val="20"/>
        </w:rPr>
        <w:t xml:space="preserve">, Hart Publishing, Oxford; </w:t>
      </w:r>
      <w:r w:rsidRPr="000C2DAB">
        <w:rPr>
          <w:rFonts w:ascii="Palatino Linotype" w:hAnsi="Palatino Linotype"/>
          <w:i/>
          <w:sz w:val="20"/>
          <w:szCs w:val="20"/>
        </w:rPr>
        <w:t>The Journal of the Legal Profession,</w:t>
      </w:r>
      <w:r w:rsidRPr="000C2DAB">
        <w:rPr>
          <w:rFonts w:ascii="Palatino Linotype" w:hAnsi="Palatino Linotype"/>
          <w:sz w:val="20"/>
          <w:szCs w:val="20"/>
        </w:rPr>
        <w:t xml:space="preserve"> University of Alabama School of Law, Tuscaloosa; </w:t>
      </w:r>
      <w:r w:rsidRPr="000C2DAB">
        <w:rPr>
          <w:rFonts w:ascii="Palatino Linotype" w:hAnsi="Palatino Linotype"/>
          <w:i/>
          <w:sz w:val="20"/>
          <w:szCs w:val="20"/>
        </w:rPr>
        <w:t xml:space="preserve">International Journal of the Legal Profession, </w:t>
      </w:r>
      <w:r w:rsidRPr="000C2DAB">
        <w:rPr>
          <w:rFonts w:ascii="Palatino Linotype" w:hAnsi="Palatino Linotype"/>
          <w:sz w:val="20"/>
          <w:szCs w:val="20"/>
        </w:rPr>
        <w:t>Routledge, Taylor and Francis Online, England and many books and scores of articles.</w:t>
      </w:r>
    </w:p>
  </w:footnote>
  <w:footnote w:id="84">
    <w:p w14:paraId="76A84F53" w14:textId="440932A8" w:rsidR="00B74BAA" w:rsidRPr="000C2DAB" w:rsidRDefault="00B74BAA">
      <w:pPr>
        <w:pStyle w:val="FootnoteText"/>
        <w:rPr>
          <w:rFonts w:ascii="Palatino Linotype" w:hAnsi="Palatino Linotype"/>
          <w:sz w:val="20"/>
          <w:szCs w:val="20"/>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see Gold and Plowden </w:t>
      </w:r>
      <w:r w:rsidRPr="000C2DAB">
        <w:rPr>
          <w:rFonts w:ascii="Palatino Linotype" w:hAnsi="Palatino Linotype"/>
          <w:i/>
          <w:sz w:val="20"/>
          <w:szCs w:val="20"/>
        </w:rPr>
        <w:t>op. cit.</w:t>
      </w:r>
    </w:p>
  </w:footnote>
  <w:footnote w:id="85">
    <w:p w14:paraId="4605C370" w14:textId="3C36DB9A" w:rsidR="00B74BAA" w:rsidRPr="000C2DAB" w:rsidRDefault="00B74BAA" w:rsidP="00FB0F23">
      <w:pPr>
        <w:pStyle w:val="FootnoteText"/>
        <w:rPr>
          <w:rFonts w:ascii="Palatino Linotype" w:hAnsi="Palatino Linotype"/>
          <w:sz w:val="20"/>
          <w:szCs w:val="20"/>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Following is a summary of recent developments in selected American JD programs. Interested readers are encouraged to get the full information at the URLs below:</w:t>
      </w:r>
    </w:p>
    <w:p w14:paraId="32FF6898" w14:textId="33EACC5B" w:rsidR="00B74BAA" w:rsidRPr="000C2DAB" w:rsidRDefault="00B74BAA" w:rsidP="00FB0F23">
      <w:pPr>
        <w:pStyle w:val="FootnoteText"/>
        <w:rPr>
          <w:rFonts w:ascii="Palatino Linotype" w:hAnsi="Palatino Linotype"/>
          <w:sz w:val="20"/>
          <w:szCs w:val="20"/>
        </w:rPr>
      </w:pPr>
      <w:r w:rsidRPr="000C2DAB">
        <w:rPr>
          <w:rFonts w:ascii="Palatino Linotype" w:hAnsi="Palatino Linotype"/>
          <w:b/>
          <w:sz w:val="20"/>
          <w:szCs w:val="20"/>
        </w:rPr>
        <w:t>Case Western Reserve University School of Law</w:t>
      </w:r>
      <w:r w:rsidRPr="000C2DAB">
        <w:rPr>
          <w:rFonts w:ascii="Palatino Linotype" w:hAnsi="Palatino Linotype"/>
          <w:sz w:val="20"/>
          <w:szCs w:val="20"/>
        </w:rPr>
        <w:t xml:space="preserve">, </w:t>
      </w:r>
      <w:hyperlink r:id="rId26" w:history="1">
        <w:r w:rsidRPr="000C2DAB">
          <w:rPr>
            <w:rStyle w:val="Hyperlink"/>
            <w:rFonts w:ascii="Palatino Linotype" w:hAnsi="Palatino Linotype"/>
            <w:sz w:val="20"/>
            <w:szCs w:val="20"/>
          </w:rPr>
          <w:t>http://law.case.edu/Academics/ExperientialLearning.aspx</w:t>
        </w:r>
      </w:hyperlink>
    </w:p>
    <w:p w14:paraId="0344B372" w14:textId="0815ECD2" w:rsidR="00B74BAA" w:rsidRPr="000C2DAB" w:rsidRDefault="00B74BAA" w:rsidP="00FB0F23">
      <w:pPr>
        <w:pStyle w:val="FootnoteText"/>
        <w:rPr>
          <w:rFonts w:ascii="Palatino Linotype" w:hAnsi="Palatino Linotype"/>
          <w:sz w:val="20"/>
          <w:szCs w:val="20"/>
        </w:rPr>
      </w:pPr>
      <w:r w:rsidRPr="000C2DAB">
        <w:rPr>
          <w:rFonts w:ascii="Palatino Linotype" w:hAnsi="Palatino Linotype"/>
          <w:sz w:val="20"/>
          <w:szCs w:val="20"/>
        </w:rPr>
        <w:t xml:space="preserve">The </w:t>
      </w:r>
      <w:proofErr w:type="spellStart"/>
      <w:r w:rsidRPr="000C2DAB">
        <w:rPr>
          <w:rFonts w:ascii="Palatino Linotype" w:hAnsi="Palatino Linotype"/>
          <w:sz w:val="20"/>
          <w:szCs w:val="20"/>
        </w:rPr>
        <w:t>CaseArc</w:t>
      </w:r>
      <w:proofErr w:type="spellEnd"/>
      <w:r w:rsidRPr="000C2DAB">
        <w:rPr>
          <w:rFonts w:ascii="Palatino Linotype" w:hAnsi="Palatino Linotype"/>
          <w:sz w:val="20"/>
          <w:szCs w:val="20"/>
        </w:rPr>
        <w:t xml:space="preserve"> four-semester series of courses in Year 1 and 2 introduce students to lawyering skills – legal  research and writing, client counseling, transactional drafting and negotiation, settlement negotiation, court presentations.  In the 4</w:t>
      </w:r>
      <w:r w:rsidRPr="000C2DAB">
        <w:rPr>
          <w:rFonts w:ascii="Palatino Linotype" w:hAnsi="Palatino Linotype"/>
          <w:sz w:val="20"/>
          <w:szCs w:val="20"/>
          <w:vertAlign w:val="superscript"/>
        </w:rPr>
        <w:t>th</w:t>
      </w:r>
      <w:r w:rsidRPr="000C2DAB">
        <w:rPr>
          <w:rFonts w:ascii="Palatino Linotype" w:hAnsi="Palatino Linotype"/>
          <w:sz w:val="20"/>
          <w:szCs w:val="20"/>
        </w:rPr>
        <w:t xml:space="preserve"> semester, simulated legal problem are used to approximate the lawyer’s role and explore issues of professionalism and judgment.  Clinics, externships and research labs (providing research for real clients) are also available but not required.</w:t>
      </w:r>
    </w:p>
    <w:p w14:paraId="4A1A7051" w14:textId="37FFA050" w:rsidR="00B74BAA" w:rsidRPr="000C2DAB" w:rsidRDefault="00B74BAA" w:rsidP="00FB0F23">
      <w:pPr>
        <w:pStyle w:val="FootnoteText"/>
        <w:rPr>
          <w:rFonts w:ascii="Palatino Linotype" w:hAnsi="Palatino Linotype"/>
          <w:sz w:val="20"/>
          <w:szCs w:val="20"/>
        </w:rPr>
      </w:pPr>
      <w:r w:rsidRPr="000C2DAB">
        <w:rPr>
          <w:rFonts w:ascii="Palatino Linotype" w:hAnsi="Palatino Linotype"/>
          <w:b/>
          <w:sz w:val="20"/>
          <w:szCs w:val="20"/>
        </w:rPr>
        <w:t>CUNY Law School</w:t>
      </w:r>
      <w:r w:rsidRPr="000C2DAB">
        <w:rPr>
          <w:rFonts w:ascii="Palatino Linotype" w:hAnsi="Palatino Linotype"/>
          <w:sz w:val="20"/>
          <w:szCs w:val="20"/>
        </w:rPr>
        <w:t xml:space="preserve">, </w:t>
      </w:r>
      <w:hyperlink r:id="rId27" w:history="1">
        <w:r w:rsidRPr="000C2DAB">
          <w:rPr>
            <w:rStyle w:val="Hyperlink"/>
            <w:rFonts w:ascii="Palatino Linotype" w:hAnsi="Palatino Linotype"/>
            <w:sz w:val="20"/>
            <w:szCs w:val="20"/>
          </w:rPr>
          <w:t>http://www.law.cuny.edu/academics/curriculum.html</w:t>
        </w:r>
      </w:hyperlink>
    </w:p>
    <w:p w14:paraId="7353B401" w14:textId="5C908F4E" w:rsidR="00B74BAA" w:rsidRPr="000C2DAB" w:rsidRDefault="00B74BAA" w:rsidP="00FB0F23">
      <w:pPr>
        <w:pStyle w:val="FootnoteText"/>
        <w:rPr>
          <w:rFonts w:ascii="Palatino Linotype" w:hAnsi="Palatino Linotype"/>
          <w:sz w:val="20"/>
          <w:szCs w:val="20"/>
        </w:rPr>
      </w:pPr>
      <w:r w:rsidRPr="000C2DAB">
        <w:rPr>
          <w:rFonts w:ascii="Palatino Linotype" w:hAnsi="Palatino Linotype"/>
          <w:sz w:val="20"/>
          <w:szCs w:val="20"/>
        </w:rPr>
        <w:t xml:space="preserve">The law school requires (each semester of Year 1 and in second semester of Year 2) experiential lawyering seminars, integrating areas of legal doctrine with lawyering skills through use of simulations, role-plays, mock jury trials, mediations, arbitrations, </w:t>
      </w:r>
      <w:r w:rsidRPr="000C2DAB">
        <w:rPr>
          <w:rFonts w:ascii="Palatino Linotype" w:hAnsi="Palatino Linotype"/>
          <w:i/>
          <w:sz w:val="20"/>
          <w:szCs w:val="20"/>
        </w:rPr>
        <w:t>etc.</w:t>
      </w:r>
      <w:r w:rsidRPr="000C2DAB">
        <w:rPr>
          <w:rFonts w:ascii="Palatino Linotype" w:hAnsi="Palatino Linotype"/>
          <w:sz w:val="20"/>
          <w:szCs w:val="20"/>
        </w:rPr>
        <w:t xml:space="preserve"> Six competencies are assessed: professional responsibility, theoretic perspective, clinical judgment, communication (oral and written), legal reasoning, and management of effort. Year 3 includes a required one or two semester (12-16 credits) faculty supervised, live client lawyering course (at an in-house clinic or in a field placement).</w:t>
      </w:r>
    </w:p>
    <w:p w14:paraId="7F833C6D" w14:textId="77777777" w:rsidR="00B74BAA" w:rsidRPr="000C2DAB" w:rsidRDefault="00B74BAA" w:rsidP="00FB0F23">
      <w:pPr>
        <w:pStyle w:val="FootnoteText"/>
        <w:rPr>
          <w:rFonts w:ascii="Palatino Linotype" w:hAnsi="Palatino Linotype"/>
          <w:sz w:val="20"/>
          <w:szCs w:val="20"/>
        </w:rPr>
      </w:pPr>
      <w:r w:rsidRPr="000C2DAB">
        <w:rPr>
          <w:rFonts w:ascii="Palatino Linotype" w:hAnsi="Palatino Linotype"/>
          <w:b/>
          <w:sz w:val="20"/>
          <w:szCs w:val="20"/>
        </w:rPr>
        <w:t>New York University Law School</w:t>
      </w:r>
      <w:r w:rsidRPr="000C2DAB">
        <w:rPr>
          <w:rFonts w:ascii="Palatino Linotype" w:hAnsi="Palatino Linotype"/>
          <w:sz w:val="20"/>
          <w:szCs w:val="20"/>
        </w:rPr>
        <w:t xml:space="preserve">, </w:t>
      </w:r>
      <w:hyperlink r:id="rId28" w:history="1">
        <w:r w:rsidRPr="000C2DAB">
          <w:rPr>
            <w:rStyle w:val="Hyperlink"/>
            <w:rFonts w:ascii="Palatino Linotype" w:hAnsi="Palatino Linotype"/>
            <w:sz w:val="20"/>
            <w:szCs w:val="20"/>
          </w:rPr>
          <w:t>http://www.law.nyu.edu/academics/lawyeringprogram/curriculum/index.htm</w:t>
        </w:r>
      </w:hyperlink>
    </w:p>
    <w:p w14:paraId="3DB3ABEA" w14:textId="15E6FC3C" w:rsidR="00B74BAA" w:rsidRPr="000C2DAB" w:rsidRDefault="00B74BAA" w:rsidP="00FB0F23">
      <w:pPr>
        <w:pStyle w:val="FootnoteText"/>
        <w:rPr>
          <w:rFonts w:ascii="Palatino Linotype" w:hAnsi="Palatino Linotype"/>
          <w:sz w:val="20"/>
          <w:szCs w:val="20"/>
        </w:rPr>
      </w:pPr>
      <w:r w:rsidRPr="000C2DAB">
        <w:rPr>
          <w:rFonts w:ascii="Palatino Linotype" w:hAnsi="Palatino Linotype"/>
          <w:sz w:val="20"/>
          <w:szCs w:val="20"/>
        </w:rPr>
        <w:t xml:space="preserve">Year 1 includes a two-semester lawyering program that uses “a series of increasingly complex simulated exercises” aimed at developing lawyering skills and professionalism. Students are introduced to legal interpretation, written advocacy and analysis, fact development, client counseling, a transactional negotiation for a client,  an oral argument of a motion before a “judge”.  </w:t>
      </w:r>
    </w:p>
    <w:p w14:paraId="30D706C7" w14:textId="77777777" w:rsidR="00B74BAA" w:rsidRPr="000C2DAB" w:rsidRDefault="00B74BAA" w:rsidP="00FB0F23">
      <w:pPr>
        <w:pStyle w:val="FootnoteText"/>
        <w:rPr>
          <w:rFonts w:ascii="Palatino Linotype" w:hAnsi="Palatino Linotype"/>
          <w:sz w:val="20"/>
          <w:szCs w:val="20"/>
        </w:rPr>
      </w:pPr>
      <w:r w:rsidRPr="000C2DAB">
        <w:rPr>
          <w:rFonts w:ascii="Palatino Linotype" w:hAnsi="Palatino Linotype"/>
          <w:b/>
          <w:sz w:val="20"/>
          <w:szCs w:val="20"/>
        </w:rPr>
        <w:t>Northeastern University School of Law</w:t>
      </w:r>
      <w:r w:rsidRPr="000C2DAB">
        <w:rPr>
          <w:rFonts w:ascii="Palatino Linotype" w:hAnsi="Palatino Linotype"/>
          <w:sz w:val="20"/>
          <w:szCs w:val="20"/>
        </w:rPr>
        <w:t xml:space="preserve">, </w:t>
      </w:r>
      <w:hyperlink r:id="rId29" w:history="1">
        <w:r w:rsidRPr="000C2DAB">
          <w:rPr>
            <w:rStyle w:val="Hyperlink"/>
            <w:rFonts w:ascii="Palatino Linotype" w:hAnsi="Palatino Linotype"/>
            <w:sz w:val="20"/>
            <w:szCs w:val="20"/>
          </w:rPr>
          <w:t>http://www.northeastern.edu/law/academics/curriculum/lssc/index.html</w:t>
        </w:r>
      </w:hyperlink>
    </w:p>
    <w:p w14:paraId="0CB41C87" w14:textId="66D017BD" w:rsidR="00B74BAA" w:rsidRPr="000C2DAB" w:rsidRDefault="00B74BAA" w:rsidP="00FB0F23">
      <w:pPr>
        <w:pStyle w:val="FootnoteText"/>
        <w:rPr>
          <w:rFonts w:ascii="Palatino Linotype" w:hAnsi="Palatino Linotype"/>
          <w:sz w:val="20"/>
          <w:szCs w:val="20"/>
        </w:rPr>
      </w:pPr>
      <w:r w:rsidRPr="000C2DAB">
        <w:rPr>
          <w:rFonts w:ascii="Palatino Linotype" w:hAnsi="Palatino Linotype"/>
          <w:sz w:val="20"/>
          <w:szCs w:val="20"/>
        </w:rPr>
        <w:t xml:space="preserve">The Year 1 program, Legal Skills in Social Context,, introduces students to “legal research, objective and persuasive legal writing, client representation, crucial analysis and oral skills.”  Course is organized around small “law offices” in which students work through simulated problems to acquire skills. The “law office” also plans and executes a legal research project for a real “community-based or public service organization.” The law school also has a co-op JD program. </w:t>
      </w:r>
    </w:p>
    <w:p w14:paraId="054CDE5D" w14:textId="1DB66C7B" w:rsidR="00B74BAA" w:rsidRPr="000C2DAB" w:rsidRDefault="00B74BAA" w:rsidP="00FB0F23">
      <w:pPr>
        <w:pStyle w:val="FootnoteText"/>
        <w:rPr>
          <w:rFonts w:ascii="Palatino Linotype" w:hAnsi="Palatino Linotype"/>
          <w:sz w:val="20"/>
          <w:szCs w:val="20"/>
        </w:rPr>
      </w:pPr>
      <w:r w:rsidRPr="000C2DAB">
        <w:rPr>
          <w:rFonts w:ascii="Palatino Linotype" w:hAnsi="Palatino Linotype"/>
          <w:b/>
          <w:sz w:val="20"/>
          <w:szCs w:val="20"/>
        </w:rPr>
        <w:t xml:space="preserve"> Washington and Lee University School of Law</w:t>
      </w:r>
      <w:r w:rsidRPr="000C2DAB">
        <w:rPr>
          <w:rFonts w:ascii="Palatino Linotype" w:hAnsi="Palatino Linotype"/>
          <w:sz w:val="20"/>
          <w:szCs w:val="20"/>
        </w:rPr>
        <w:t xml:space="preserve">, </w:t>
      </w:r>
      <w:hyperlink r:id="rId30" w:history="1">
        <w:r w:rsidRPr="000C2DAB">
          <w:rPr>
            <w:rStyle w:val="Hyperlink"/>
            <w:rFonts w:ascii="Palatino Linotype" w:hAnsi="Palatino Linotype"/>
            <w:sz w:val="20"/>
            <w:szCs w:val="20"/>
          </w:rPr>
          <w:t>http://law.wlu.edu/admissions/page.asp?pageid=311</w:t>
        </w:r>
      </w:hyperlink>
    </w:p>
    <w:p w14:paraId="1928CE42" w14:textId="05608CBB" w:rsidR="00B74BAA" w:rsidRPr="000C2DAB" w:rsidRDefault="00B74BAA">
      <w:pPr>
        <w:pStyle w:val="FootnoteText"/>
        <w:rPr>
          <w:rFonts w:ascii="Palatino Linotype" w:hAnsi="Palatino Linotype"/>
          <w:sz w:val="20"/>
          <w:szCs w:val="20"/>
        </w:rPr>
      </w:pPr>
      <w:r w:rsidRPr="000C2DAB">
        <w:rPr>
          <w:rFonts w:ascii="Palatino Linotype" w:hAnsi="Palatino Linotype"/>
          <w:sz w:val="20"/>
          <w:szCs w:val="20"/>
        </w:rPr>
        <w:t>Year 3 is “entirely based on learning through engagement – combining practicum courses, practice simulations, client interactions, the formation of professional identity and the cultivation of practical skills.” It is designed to transition students to the practice of law and integrates “legal theory, legal doctrine, and the development of professional judgment ethical sensibilities…” It is based on the Carnegie apprenticeships.</w:t>
      </w:r>
    </w:p>
  </w:footnote>
  <w:footnote w:id="86">
    <w:p w14:paraId="53F27CFC" w14:textId="66CDE107" w:rsidR="00B74BAA" w:rsidRPr="000C2DAB" w:rsidRDefault="00B74BAA">
      <w:pPr>
        <w:pStyle w:val="FootnoteText"/>
        <w:rPr>
          <w:rFonts w:ascii="Palatino Linotype" w:hAnsi="Palatino Linotype"/>
          <w:sz w:val="20"/>
          <w:szCs w:val="20"/>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The United States based Clinical Legal Education Association, the Association for Canadian Clinical Legal Education, and the Irish Clinical Legal Education Association are three examples. </w:t>
      </w:r>
    </w:p>
  </w:footnote>
  <w:footnote w:id="87">
    <w:p w14:paraId="4072B3D2" w14:textId="52255955" w:rsidR="00B74BAA" w:rsidRPr="000C2DAB" w:rsidRDefault="00B74BAA" w:rsidP="0034373C">
      <w:pPr>
        <w:pStyle w:val="FootnoteText"/>
        <w:rPr>
          <w:rFonts w:ascii="Palatino Linotype" w:hAnsi="Palatino Linotype"/>
          <w:sz w:val="20"/>
          <w:szCs w:val="20"/>
        </w:rPr>
      </w:pPr>
      <w:r w:rsidRPr="000C2DAB">
        <w:rPr>
          <w:rStyle w:val="FootnoteReference"/>
          <w:rFonts w:ascii="Palatino Linotype" w:hAnsi="Palatino Linotype"/>
          <w:sz w:val="20"/>
          <w:szCs w:val="20"/>
        </w:rPr>
        <w:footnoteRef/>
      </w:r>
      <w:r w:rsidRPr="000C2DAB">
        <w:rPr>
          <w:rFonts w:ascii="Palatino Linotype" w:hAnsi="Palatino Linotype"/>
          <w:sz w:val="20"/>
          <w:szCs w:val="20"/>
        </w:rPr>
        <w:t xml:space="preserve"> PBL, for example is cited by the Legal Education and Training Review (LETR) in England Wales as having a potentially large role to play. For the LETR more generally and the array of very informative papers see </w:t>
      </w:r>
      <w:hyperlink r:id="rId31" w:history="1">
        <w:r w:rsidR="00121078" w:rsidRPr="000F7999">
          <w:rPr>
            <w:rStyle w:val="Hyperlink"/>
            <w:rFonts w:ascii="Palatino Linotype" w:hAnsi="Palatino Linotype"/>
            <w:sz w:val="20"/>
            <w:szCs w:val="20"/>
          </w:rPr>
          <w:t>http://letr.org.uk/</w:t>
        </w:r>
      </w:hyperlink>
      <w:r w:rsidR="00121078">
        <w:rPr>
          <w:rFonts w:ascii="Palatino Linotype" w:hAnsi="Palatino Linotype"/>
          <w:sz w:val="20"/>
          <w:szCs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D3F81"/>
    <w:multiLevelType w:val="hybridMultilevel"/>
    <w:tmpl w:val="F03A9A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B532B6"/>
    <w:multiLevelType w:val="hybridMultilevel"/>
    <w:tmpl w:val="65804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BA7DD9"/>
    <w:multiLevelType w:val="hybridMultilevel"/>
    <w:tmpl w:val="3BA0FC98"/>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137A46"/>
    <w:multiLevelType w:val="hybridMultilevel"/>
    <w:tmpl w:val="46825FDE"/>
    <w:lvl w:ilvl="0" w:tplc="F9780788">
      <w:start w:val="3"/>
      <w:numFmt w:val="decimal"/>
      <w:lvlText w:val="%1."/>
      <w:lvlJc w:val="left"/>
      <w:pPr>
        <w:ind w:left="1100" w:hanging="36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4">
    <w:nsid w:val="1FC62575"/>
    <w:multiLevelType w:val="hybridMultilevel"/>
    <w:tmpl w:val="0D7A4A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936B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3C156BA"/>
    <w:multiLevelType w:val="hybridMultilevel"/>
    <w:tmpl w:val="F03A9A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3F61C7"/>
    <w:multiLevelType w:val="hybridMultilevel"/>
    <w:tmpl w:val="A0D6B9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642830"/>
    <w:multiLevelType w:val="hybridMultilevel"/>
    <w:tmpl w:val="B92EADD2"/>
    <w:lvl w:ilvl="0" w:tplc="C562D2B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5565E3E"/>
    <w:multiLevelType w:val="hybridMultilevel"/>
    <w:tmpl w:val="64DE1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036FC9"/>
    <w:multiLevelType w:val="hybridMultilevel"/>
    <w:tmpl w:val="109CA858"/>
    <w:lvl w:ilvl="0" w:tplc="0F407D2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91058AB"/>
    <w:multiLevelType w:val="hybridMultilevel"/>
    <w:tmpl w:val="AB6CFFDE"/>
    <w:lvl w:ilvl="0" w:tplc="A82E7620">
      <w:start w:val="5"/>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EAA30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695085A"/>
    <w:multiLevelType w:val="hybridMultilevel"/>
    <w:tmpl w:val="0C64C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AD5EF5"/>
    <w:multiLevelType w:val="hybridMultilevel"/>
    <w:tmpl w:val="32766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436D16"/>
    <w:multiLevelType w:val="hybridMultilevel"/>
    <w:tmpl w:val="6AEE9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033B9F"/>
    <w:multiLevelType w:val="hybridMultilevel"/>
    <w:tmpl w:val="499C353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FF781A"/>
    <w:multiLevelType w:val="hybridMultilevel"/>
    <w:tmpl w:val="9A1E05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BF2C0E"/>
    <w:multiLevelType w:val="hybridMultilevel"/>
    <w:tmpl w:val="9CAE4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3A2FB5"/>
    <w:multiLevelType w:val="hybridMultilevel"/>
    <w:tmpl w:val="C17412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061A76"/>
    <w:multiLevelType w:val="hybridMultilevel"/>
    <w:tmpl w:val="2848AA52"/>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CD02C5"/>
    <w:multiLevelType w:val="hybridMultilevel"/>
    <w:tmpl w:val="8208F6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331643"/>
    <w:multiLevelType w:val="hybridMultilevel"/>
    <w:tmpl w:val="698A5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DC2142"/>
    <w:multiLevelType w:val="hybridMultilevel"/>
    <w:tmpl w:val="D4A8C7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EB6B70"/>
    <w:multiLevelType w:val="hybridMultilevel"/>
    <w:tmpl w:val="08F2A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EC36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6AFD4B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6B206C1A"/>
    <w:multiLevelType w:val="hybridMultilevel"/>
    <w:tmpl w:val="BD3A1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9004F0"/>
    <w:multiLevelType w:val="hybridMultilevel"/>
    <w:tmpl w:val="562894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EA5304"/>
    <w:multiLevelType w:val="hybridMultilevel"/>
    <w:tmpl w:val="27369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966194"/>
    <w:multiLevelType w:val="multilevel"/>
    <w:tmpl w:val="D4A8C7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29A55E6"/>
    <w:multiLevelType w:val="hybridMultilevel"/>
    <w:tmpl w:val="C0BC7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B82D5C"/>
    <w:multiLevelType w:val="hybridMultilevel"/>
    <w:tmpl w:val="BA9ECB6E"/>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9382C84"/>
    <w:multiLevelType w:val="hybridMultilevel"/>
    <w:tmpl w:val="0AC0C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87559C"/>
    <w:multiLevelType w:val="hybridMultilevel"/>
    <w:tmpl w:val="5F802E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C3966B6"/>
    <w:multiLevelType w:val="hybridMultilevel"/>
    <w:tmpl w:val="30A0C8CC"/>
    <w:lvl w:ilvl="0" w:tplc="A82E7620">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CBD3EE8"/>
    <w:multiLevelType w:val="hybridMultilevel"/>
    <w:tmpl w:val="F44A6F3A"/>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FF26EB"/>
    <w:multiLevelType w:val="hybridMultilevel"/>
    <w:tmpl w:val="63705A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0848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7EB1249F"/>
    <w:multiLevelType w:val="hybridMultilevel"/>
    <w:tmpl w:val="63A08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25"/>
  </w:num>
  <w:num w:numId="3">
    <w:abstractNumId w:val="5"/>
  </w:num>
  <w:num w:numId="4">
    <w:abstractNumId w:val="26"/>
  </w:num>
  <w:num w:numId="5">
    <w:abstractNumId w:val="12"/>
  </w:num>
  <w:num w:numId="6">
    <w:abstractNumId w:val="38"/>
  </w:num>
  <w:num w:numId="7">
    <w:abstractNumId w:val="1"/>
  </w:num>
  <w:num w:numId="8">
    <w:abstractNumId w:val="16"/>
  </w:num>
  <w:num w:numId="9">
    <w:abstractNumId w:val="23"/>
  </w:num>
  <w:num w:numId="10">
    <w:abstractNumId w:val="4"/>
  </w:num>
  <w:num w:numId="11">
    <w:abstractNumId w:val="0"/>
  </w:num>
  <w:num w:numId="12">
    <w:abstractNumId w:val="7"/>
  </w:num>
  <w:num w:numId="13">
    <w:abstractNumId w:val="21"/>
  </w:num>
  <w:num w:numId="14">
    <w:abstractNumId w:val="17"/>
  </w:num>
  <w:num w:numId="15">
    <w:abstractNumId w:val="2"/>
  </w:num>
  <w:num w:numId="16">
    <w:abstractNumId w:val="19"/>
  </w:num>
  <w:num w:numId="17">
    <w:abstractNumId w:val="20"/>
  </w:num>
  <w:num w:numId="18">
    <w:abstractNumId w:val="37"/>
  </w:num>
  <w:num w:numId="19">
    <w:abstractNumId w:val="32"/>
  </w:num>
  <w:num w:numId="20">
    <w:abstractNumId w:val="9"/>
  </w:num>
  <w:num w:numId="21">
    <w:abstractNumId w:val="15"/>
  </w:num>
  <w:num w:numId="22">
    <w:abstractNumId w:val="29"/>
  </w:num>
  <w:num w:numId="23">
    <w:abstractNumId w:val="18"/>
  </w:num>
  <w:num w:numId="24">
    <w:abstractNumId w:val="33"/>
  </w:num>
  <w:num w:numId="25">
    <w:abstractNumId w:val="28"/>
  </w:num>
  <w:num w:numId="26">
    <w:abstractNumId w:val="8"/>
  </w:num>
  <w:num w:numId="27">
    <w:abstractNumId w:val="10"/>
  </w:num>
  <w:num w:numId="28">
    <w:abstractNumId w:val="3"/>
  </w:num>
  <w:num w:numId="29">
    <w:abstractNumId w:val="35"/>
  </w:num>
  <w:num w:numId="30">
    <w:abstractNumId w:val="11"/>
  </w:num>
  <w:num w:numId="31">
    <w:abstractNumId w:val="31"/>
  </w:num>
  <w:num w:numId="32">
    <w:abstractNumId w:val="22"/>
  </w:num>
  <w:num w:numId="33">
    <w:abstractNumId w:val="27"/>
  </w:num>
  <w:num w:numId="34">
    <w:abstractNumId w:val="24"/>
  </w:num>
  <w:num w:numId="35">
    <w:abstractNumId w:val="14"/>
  </w:num>
  <w:num w:numId="36">
    <w:abstractNumId w:val="30"/>
  </w:num>
  <w:num w:numId="37">
    <w:abstractNumId w:val="13"/>
  </w:num>
  <w:num w:numId="38">
    <w:abstractNumId w:val="34"/>
  </w:num>
  <w:num w:numId="39">
    <w:abstractNumId w:val="6"/>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66E"/>
    <w:rsid w:val="000010B4"/>
    <w:rsid w:val="000050BB"/>
    <w:rsid w:val="0000547F"/>
    <w:rsid w:val="00007FF8"/>
    <w:rsid w:val="0001077C"/>
    <w:rsid w:val="0001268F"/>
    <w:rsid w:val="00015899"/>
    <w:rsid w:val="0002062D"/>
    <w:rsid w:val="000233E8"/>
    <w:rsid w:val="000249D0"/>
    <w:rsid w:val="00024ED8"/>
    <w:rsid w:val="00026475"/>
    <w:rsid w:val="00031641"/>
    <w:rsid w:val="00032717"/>
    <w:rsid w:val="000359C9"/>
    <w:rsid w:val="00036072"/>
    <w:rsid w:val="00036FFC"/>
    <w:rsid w:val="00040779"/>
    <w:rsid w:val="00041818"/>
    <w:rsid w:val="000444A9"/>
    <w:rsid w:val="00044D42"/>
    <w:rsid w:val="000468BD"/>
    <w:rsid w:val="000469A0"/>
    <w:rsid w:val="0005286A"/>
    <w:rsid w:val="00054032"/>
    <w:rsid w:val="00054606"/>
    <w:rsid w:val="000553F3"/>
    <w:rsid w:val="00057144"/>
    <w:rsid w:val="000579FA"/>
    <w:rsid w:val="000601A8"/>
    <w:rsid w:val="00062F9B"/>
    <w:rsid w:val="00071B9A"/>
    <w:rsid w:val="000734B1"/>
    <w:rsid w:val="000824F4"/>
    <w:rsid w:val="00082BAD"/>
    <w:rsid w:val="0009188E"/>
    <w:rsid w:val="0009350B"/>
    <w:rsid w:val="00093BDE"/>
    <w:rsid w:val="000941D2"/>
    <w:rsid w:val="00094497"/>
    <w:rsid w:val="000946BD"/>
    <w:rsid w:val="000946FF"/>
    <w:rsid w:val="000949AA"/>
    <w:rsid w:val="00095DE0"/>
    <w:rsid w:val="00096C70"/>
    <w:rsid w:val="000A0EF9"/>
    <w:rsid w:val="000A1152"/>
    <w:rsid w:val="000A3DB6"/>
    <w:rsid w:val="000A50A3"/>
    <w:rsid w:val="000B244E"/>
    <w:rsid w:val="000B5E8A"/>
    <w:rsid w:val="000B6E88"/>
    <w:rsid w:val="000B77E7"/>
    <w:rsid w:val="000C1970"/>
    <w:rsid w:val="000C2023"/>
    <w:rsid w:val="000C2DAB"/>
    <w:rsid w:val="000C6E27"/>
    <w:rsid w:val="000D0366"/>
    <w:rsid w:val="000D1213"/>
    <w:rsid w:val="000D1BFE"/>
    <w:rsid w:val="000D29A0"/>
    <w:rsid w:val="000D34FC"/>
    <w:rsid w:val="000D3830"/>
    <w:rsid w:val="000D3999"/>
    <w:rsid w:val="000D5024"/>
    <w:rsid w:val="000D56C3"/>
    <w:rsid w:val="000E1C56"/>
    <w:rsid w:val="000E3BAA"/>
    <w:rsid w:val="000E7C3C"/>
    <w:rsid w:val="000E7D06"/>
    <w:rsid w:val="000F118C"/>
    <w:rsid w:val="000F3EFA"/>
    <w:rsid w:val="000F4A87"/>
    <w:rsid w:val="000F5047"/>
    <w:rsid w:val="000F58D4"/>
    <w:rsid w:val="000F639F"/>
    <w:rsid w:val="000F655D"/>
    <w:rsid w:val="000F78C7"/>
    <w:rsid w:val="00101962"/>
    <w:rsid w:val="00102CC4"/>
    <w:rsid w:val="00105B9B"/>
    <w:rsid w:val="00107A12"/>
    <w:rsid w:val="001135EA"/>
    <w:rsid w:val="00114AE3"/>
    <w:rsid w:val="0011743E"/>
    <w:rsid w:val="001207D8"/>
    <w:rsid w:val="00121078"/>
    <w:rsid w:val="00121A6E"/>
    <w:rsid w:val="00121AA4"/>
    <w:rsid w:val="00123CCE"/>
    <w:rsid w:val="00124366"/>
    <w:rsid w:val="001258FA"/>
    <w:rsid w:val="001271D1"/>
    <w:rsid w:val="00136708"/>
    <w:rsid w:val="00137693"/>
    <w:rsid w:val="00140428"/>
    <w:rsid w:val="001416A5"/>
    <w:rsid w:val="00142DFF"/>
    <w:rsid w:val="00143EDC"/>
    <w:rsid w:val="00146951"/>
    <w:rsid w:val="00152F8B"/>
    <w:rsid w:val="00153E22"/>
    <w:rsid w:val="00156324"/>
    <w:rsid w:val="0015707A"/>
    <w:rsid w:val="001575CF"/>
    <w:rsid w:val="00160CE9"/>
    <w:rsid w:val="001621B2"/>
    <w:rsid w:val="00163E50"/>
    <w:rsid w:val="00166901"/>
    <w:rsid w:val="00174528"/>
    <w:rsid w:val="001749F9"/>
    <w:rsid w:val="00175052"/>
    <w:rsid w:val="00175441"/>
    <w:rsid w:val="0017728C"/>
    <w:rsid w:val="00180DFD"/>
    <w:rsid w:val="00182FC2"/>
    <w:rsid w:val="00185267"/>
    <w:rsid w:val="00186D4E"/>
    <w:rsid w:val="00187489"/>
    <w:rsid w:val="001877E8"/>
    <w:rsid w:val="001908DD"/>
    <w:rsid w:val="00191C61"/>
    <w:rsid w:val="001928B0"/>
    <w:rsid w:val="00192FFD"/>
    <w:rsid w:val="001A253C"/>
    <w:rsid w:val="001A45B8"/>
    <w:rsid w:val="001B11EA"/>
    <w:rsid w:val="001C103F"/>
    <w:rsid w:val="001C1359"/>
    <w:rsid w:val="001C2226"/>
    <w:rsid w:val="001C359D"/>
    <w:rsid w:val="001C4251"/>
    <w:rsid w:val="001C457F"/>
    <w:rsid w:val="001C580C"/>
    <w:rsid w:val="001C5D77"/>
    <w:rsid w:val="001D0C77"/>
    <w:rsid w:val="001D0F52"/>
    <w:rsid w:val="001D3115"/>
    <w:rsid w:val="001D40CC"/>
    <w:rsid w:val="001D4A6F"/>
    <w:rsid w:val="001D6565"/>
    <w:rsid w:val="001D66F2"/>
    <w:rsid w:val="001E0936"/>
    <w:rsid w:val="001E14F6"/>
    <w:rsid w:val="001E3358"/>
    <w:rsid w:val="001E3371"/>
    <w:rsid w:val="002008CD"/>
    <w:rsid w:val="00200BD4"/>
    <w:rsid w:val="00202F15"/>
    <w:rsid w:val="002055B3"/>
    <w:rsid w:val="00205C2D"/>
    <w:rsid w:val="00211A8C"/>
    <w:rsid w:val="00212B3B"/>
    <w:rsid w:val="00213E28"/>
    <w:rsid w:val="00214028"/>
    <w:rsid w:val="002142B3"/>
    <w:rsid w:val="00217748"/>
    <w:rsid w:val="00217D77"/>
    <w:rsid w:val="002266D2"/>
    <w:rsid w:val="0022760F"/>
    <w:rsid w:val="00231C1B"/>
    <w:rsid w:val="00232052"/>
    <w:rsid w:val="0023301F"/>
    <w:rsid w:val="002346D8"/>
    <w:rsid w:val="00234EBA"/>
    <w:rsid w:val="00237D90"/>
    <w:rsid w:val="00244D87"/>
    <w:rsid w:val="0024503D"/>
    <w:rsid w:val="002456C7"/>
    <w:rsid w:val="00246A1F"/>
    <w:rsid w:val="00246BEB"/>
    <w:rsid w:val="00250A11"/>
    <w:rsid w:val="0025150A"/>
    <w:rsid w:val="002517C5"/>
    <w:rsid w:val="00251D3B"/>
    <w:rsid w:val="002611D2"/>
    <w:rsid w:val="00266426"/>
    <w:rsid w:val="0026681A"/>
    <w:rsid w:val="00266E6D"/>
    <w:rsid w:val="00271F6C"/>
    <w:rsid w:val="00273463"/>
    <w:rsid w:val="00275E46"/>
    <w:rsid w:val="00277674"/>
    <w:rsid w:val="002854DE"/>
    <w:rsid w:val="00286DC3"/>
    <w:rsid w:val="002879E9"/>
    <w:rsid w:val="00291B9B"/>
    <w:rsid w:val="0029258E"/>
    <w:rsid w:val="00292D7A"/>
    <w:rsid w:val="00294CFB"/>
    <w:rsid w:val="0029514A"/>
    <w:rsid w:val="00296691"/>
    <w:rsid w:val="002A0288"/>
    <w:rsid w:val="002A17DE"/>
    <w:rsid w:val="002A2349"/>
    <w:rsid w:val="002A70EB"/>
    <w:rsid w:val="002A746B"/>
    <w:rsid w:val="002A7537"/>
    <w:rsid w:val="002B0EEB"/>
    <w:rsid w:val="002B11A0"/>
    <w:rsid w:val="002B7C74"/>
    <w:rsid w:val="002C04E3"/>
    <w:rsid w:val="002C0AAA"/>
    <w:rsid w:val="002C2773"/>
    <w:rsid w:val="002C38C7"/>
    <w:rsid w:val="002C3EDA"/>
    <w:rsid w:val="002C548E"/>
    <w:rsid w:val="002C656C"/>
    <w:rsid w:val="002C79AC"/>
    <w:rsid w:val="002D0F17"/>
    <w:rsid w:val="002D2F4C"/>
    <w:rsid w:val="002D5E62"/>
    <w:rsid w:val="002D6B5B"/>
    <w:rsid w:val="002D7554"/>
    <w:rsid w:val="002E01A9"/>
    <w:rsid w:val="002E05A1"/>
    <w:rsid w:val="002E09EF"/>
    <w:rsid w:val="002E62FF"/>
    <w:rsid w:val="002F0804"/>
    <w:rsid w:val="002F1F71"/>
    <w:rsid w:val="002F3AF5"/>
    <w:rsid w:val="002F4AAA"/>
    <w:rsid w:val="002F74CB"/>
    <w:rsid w:val="0030142B"/>
    <w:rsid w:val="0030256C"/>
    <w:rsid w:val="003029BA"/>
    <w:rsid w:val="00303685"/>
    <w:rsid w:val="00306AA9"/>
    <w:rsid w:val="00312F27"/>
    <w:rsid w:val="00312FBA"/>
    <w:rsid w:val="003138D3"/>
    <w:rsid w:val="00315C30"/>
    <w:rsid w:val="00316640"/>
    <w:rsid w:val="003177D1"/>
    <w:rsid w:val="00320C53"/>
    <w:rsid w:val="003227BE"/>
    <w:rsid w:val="00326647"/>
    <w:rsid w:val="0032683B"/>
    <w:rsid w:val="00327186"/>
    <w:rsid w:val="00327A73"/>
    <w:rsid w:val="00327ECF"/>
    <w:rsid w:val="003334A0"/>
    <w:rsid w:val="00340CF5"/>
    <w:rsid w:val="00341509"/>
    <w:rsid w:val="0034156A"/>
    <w:rsid w:val="0034373C"/>
    <w:rsid w:val="003452D5"/>
    <w:rsid w:val="00346985"/>
    <w:rsid w:val="003474CA"/>
    <w:rsid w:val="0035000B"/>
    <w:rsid w:val="003506EA"/>
    <w:rsid w:val="00354B6A"/>
    <w:rsid w:val="00354F67"/>
    <w:rsid w:val="00357309"/>
    <w:rsid w:val="003603AB"/>
    <w:rsid w:val="00360628"/>
    <w:rsid w:val="00362A31"/>
    <w:rsid w:val="0036450E"/>
    <w:rsid w:val="00364E64"/>
    <w:rsid w:val="003656A4"/>
    <w:rsid w:val="00365F87"/>
    <w:rsid w:val="0036642D"/>
    <w:rsid w:val="00370816"/>
    <w:rsid w:val="00371A34"/>
    <w:rsid w:val="00373678"/>
    <w:rsid w:val="00373C52"/>
    <w:rsid w:val="003807CC"/>
    <w:rsid w:val="0038181A"/>
    <w:rsid w:val="00382C30"/>
    <w:rsid w:val="00384865"/>
    <w:rsid w:val="00390D74"/>
    <w:rsid w:val="00391906"/>
    <w:rsid w:val="00391C86"/>
    <w:rsid w:val="00396BEA"/>
    <w:rsid w:val="003A2284"/>
    <w:rsid w:val="003A2577"/>
    <w:rsid w:val="003A2C86"/>
    <w:rsid w:val="003A458C"/>
    <w:rsid w:val="003A705A"/>
    <w:rsid w:val="003B006B"/>
    <w:rsid w:val="003B07D1"/>
    <w:rsid w:val="003B0D1A"/>
    <w:rsid w:val="003B14E2"/>
    <w:rsid w:val="003B14F0"/>
    <w:rsid w:val="003B1EB6"/>
    <w:rsid w:val="003B2532"/>
    <w:rsid w:val="003B300C"/>
    <w:rsid w:val="003B3B2D"/>
    <w:rsid w:val="003B4624"/>
    <w:rsid w:val="003B71D5"/>
    <w:rsid w:val="003B75D3"/>
    <w:rsid w:val="003B78E2"/>
    <w:rsid w:val="003B7AAC"/>
    <w:rsid w:val="003C1341"/>
    <w:rsid w:val="003C2F1A"/>
    <w:rsid w:val="003C7086"/>
    <w:rsid w:val="003C7419"/>
    <w:rsid w:val="003D0041"/>
    <w:rsid w:val="003D672F"/>
    <w:rsid w:val="003E198E"/>
    <w:rsid w:val="003E2C09"/>
    <w:rsid w:val="003E2FAE"/>
    <w:rsid w:val="003E37E2"/>
    <w:rsid w:val="003E6532"/>
    <w:rsid w:val="003E7888"/>
    <w:rsid w:val="003F0E48"/>
    <w:rsid w:val="003F1958"/>
    <w:rsid w:val="003F1DDE"/>
    <w:rsid w:val="003F2E53"/>
    <w:rsid w:val="003F720B"/>
    <w:rsid w:val="003F734E"/>
    <w:rsid w:val="004053C5"/>
    <w:rsid w:val="004058B2"/>
    <w:rsid w:val="00407815"/>
    <w:rsid w:val="0041058B"/>
    <w:rsid w:val="00411B35"/>
    <w:rsid w:val="0041251A"/>
    <w:rsid w:val="0041654E"/>
    <w:rsid w:val="00416651"/>
    <w:rsid w:val="0042096C"/>
    <w:rsid w:val="00422CCC"/>
    <w:rsid w:val="0042437D"/>
    <w:rsid w:val="00425B26"/>
    <w:rsid w:val="0043183B"/>
    <w:rsid w:val="004326D5"/>
    <w:rsid w:val="00434926"/>
    <w:rsid w:val="00441AD5"/>
    <w:rsid w:val="00442EF7"/>
    <w:rsid w:val="00443F99"/>
    <w:rsid w:val="00453174"/>
    <w:rsid w:val="00457276"/>
    <w:rsid w:val="004610AA"/>
    <w:rsid w:val="00463954"/>
    <w:rsid w:val="00464760"/>
    <w:rsid w:val="004666C3"/>
    <w:rsid w:val="00470B79"/>
    <w:rsid w:val="00471A84"/>
    <w:rsid w:val="0047225D"/>
    <w:rsid w:val="00475520"/>
    <w:rsid w:val="00475749"/>
    <w:rsid w:val="00476043"/>
    <w:rsid w:val="0048108F"/>
    <w:rsid w:val="00487D74"/>
    <w:rsid w:val="00490EEC"/>
    <w:rsid w:val="004958FE"/>
    <w:rsid w:val="00495D2A"/>
    <w:rsid w:val="00497ECF"/>
    <w:rsid w:val="004A470B"/>
    <w:rsid w:val="004A484F"/>
    <w:rsid w:val="004B37EF"/>
    <w:rsid w:val="004B4B07"/>
    <w:rsid w:val="004B5278"/>
    <w:rsid w:val="004B554F"/>
    <w:rsid w:val="004C2FC2"/>
    <w:rsid w:val="004C343C"/>
    <w:rsid w:val="004C4232"/>
    <w:rsid w:val="004C5967"/>
    <w:rsid w:val="004C7ECA"/>
    <w:rsid w:val="004D0C4C"/>
    <w:rsid w:val="004D2A55"/>
    <w:rsid w:val="004D6203"/>
    <w:rsid w:val="004D69F8"/>
    <w:rsid w:val="004D7BCB"/>
    <w:rsid w:val="004E017F"/>
    <w:rsid w:val="004E1058"/>
    <w:rsid w:val="004E5C32"/>
    <w:rsid w:val="004E7301"/>
    <w:rsid w:val="004F000E"/>
    <w:rsid w:val="004F047B"/>
    <w:rsid w:val="004F2BA4"/>
    <w:rsid w:val="004F4DCC"/>
    <w:rsid w:val="004F5B8C"/>
    <w:rsid w:val="005015A9"/>
    <w:rsid w:val="00511BE1"/>
    <w:rsid w:val="00512D44"/>
    <w:rsid w:val="00515034"/>
    <w:rsid w:val="00516246"/>
    <w:rsid w:val="00522499"/>
    <w:rsid w:val="00522B6A"/>
    <w:rsid w:val="00524230"/>
    <w:rsid w:val="00524557"/>
    <w:rsid w:val="00526674"/>
    <w:rsid w:val="00527148"/>
    <w:rsid w:val="00531653"/>
    <w:rsid w:val="00535494"/>
    <w:rsid w:val="00535966"/>
    <w:rsid w:val="00551ED6"/>
    <w:rsid w:val="00552573"/>
    <w:rsid w:val="00552E63"/>
    <w:rsid w:val="005530D3"/>
    <w:rsid w:val="005532C4"/>
    <w:rsid w:val="00554063"/>
    <w:rsid w:val="00557ADF"/>
    <w:rsid w:val="00563E8C"/>
    <w:rsid w:val="005643D8"/>
    <w:rsid w:val="005647B0"/>
    <w:rsid w:val="00564CAA"/>
    <w:rsid w:val="0056529D"/>
    <w:rsid w:val="00567DC6"/>
    <w:rsid w:val="0057112D"/>
    <w:rsid w:val="00574646"/>
    <w:rsid w:val="00574832"/>
    <w:rsid w:val="005801A6"/>
    <w:rsid w:val="005838D9"/>
    <w:rsid w:val="0058652B"/>
    <w:rsid w:val="005977B3"/>
    <w:rsid w:val="005A356B"/>
    <w:rsid w:val="005A6226"/>
    <w:rsid w:val="005A62F4"/>
    <w:rsid w:val="005A7311"/>
    <w:rsid w:val="005B061E"/>
    <w:rsid w:val="005B3F3A"/>
    <w:rsid w:val="005B4298"/>
    <w:rsid w:val="005B465E"/>
    <w:rsid w:val="005B4FAE"/>
    <w:rsid w:val="005C1643"/>
    <w:rsid w:val="005C5517"/>
    <w:rsid w:val="005C73CB"/>
    <w:rsid w:val="005D0B35"/>
    <w:rsid w:val="005D1453"/>
    <w:rsid w:val="005D216C"/>
    <w:rsid w:val="005D2D8C"/>
    <w:rsid w:val="005D39D5"/>
    <w:rsid w:val="005D4A6E"/>
    <w:rsid w:val="005D735C"/>
    <w:rsid w:val="005E5A8A"/>
    <w:rsid w:val="005F1983"/>
    <w:rsid w:val="005F3211"/>
    <w:rsid w:val="005F4E6F"/>
    <w:rsid w:val="005F6039"/>
    <w:rsid w:val="00600429"/>
    <w:rsid w:val="00602070"/>
    <w:rsid w:val="00615E6D"/>
    <w:rsid w:val="00615F16"/>
    <w:rsid w:val="00616BFF"/>
    <w:rsid w:val="006174B4"/>
    <w:rsid w:val="006270E7"/>
    <w:rsid w:val="00627F87"/>
    <w:rsid w:val="00630D2A"/>
    <w:rsid w:val="00631BBF"/>
    <w:rsid w:val="00633A14"/>
    <w:rsid w:val="00633C4B"/>
    <w:rsid w:val="00637AF4"/>
    <w:rsid w:val="006428CF"/>
    <w:rsid w:val="00643835"/>
    <w:rsid w:val="00650B1F"/>
    <w:rsid w:val="00650DB6"/>
    <w:rsid w:val="00653E20"/>
    <w:rsid w:val="00655347"/>
    <w:rsid w:val="00656621"/>
    <w:rsid w:val="00661CD5"/>
    <w:rsid w:val="00662197"/>
    <w:rsid w:val="0066410E"/>
    <w:rsid w:val="00664A6F"/>
    <w:rsid w:val="00665341"/>
    <w:rsid w:val="006664E5"/>
    <w:rsid w:val="00670CAC"/>
    <w:rsid w:val="00673880"/>
    <w:rsid w:val="00673AFA"/>
    <w:rsid w:val="00676C23"/>
    <w:rsid w:val="00680122"/>
    <w:rsid w:val="00680667"/>
    <w:rsid w:val="00683159"/>
    <w:rsid w:val="00684130"/>
    <w:rsid w:val="00686869"/>
    <w:rsid w:val="006877EC"/>
    <w:rsid w:val="0069371E"/>
    <w:rsid w:val="00694F79"/>
    <w:rsid w:val="006A1FB1"/>
    <w:rsid w:val="006A5C93"/>
    <w:rsid w:val="006A5CA3"/>
    <w:rsid w:val="006B017E"/>
    <w:rsid w:val="006B2409"/>
    <w:rsid w:val="006B38F7"/>
    <w:rsid w:val="006B70F4"/>
    <w:rsid w:val="006B77F3"/>
    <w:rsid w:val="006B7FB8"/>
    <w:rsid w:val="006C0797"/>
    <w:rsid w:val="006C1798"/>
    <w:rsid w:val="006C2F63"/>
    <w:rsid w:val="006C4586"/>
    <w:rsid w:val="006C5162"/>
    <w:rsid w:val="006D29E7"/>
    <w:rsid w:val="006D5767"/>
    <w:rsid w:val="006D64C5"/>
    <w:rsid w:val="006D6B27"/>
    <w:rsid w:val="006E4D7E"/>
    <w:rsid w:val="006E61C8"/>
    <w:rsid w:val="006E651C"/>
    <w:rsid w:val="006E761B"/>
    <w:rsid w:val="006F0635"/>
    <w:rsid w:val="00710179"/>
    <w:rsid w:val="007103D1"/>
    <w:rsid w:val="00714ABF"/>
    <w:rsid w:val="0071526F"/>
    <w:rsid w:val="00716294"/>
    <w:rsid w:val="00717961"/>
    <w:rsid w:val="00724B30"/>
    <w:rsid w:val="00730029"/>
    <w:rsid w:val="00732EFE"/>
    <w:rsid w:val="007378D3"/>
    <w:rsid w:val="00741C92"/>
    <w:rsid w:val="007425D1"/>
    <w:rsid w:val="00746205"/>
    <w:rsid w:val="00750156"/>
    <w:rsid w:val="007519A4"/>
    <w:rsid w:val="00753A0F"/>
    <w:rsid w:val="00756B59"/>
    <w:rsid w:val="00756F8C"/>
    <w:rsid w:val="00760363"/>
    <w:rsid w:val="007603AE"/>
    <w:rsid w:val="00763C29"/>
    <w:rsid w:val="007668F5"/>
    <w:rsid w:val="00767BF2"/>
    <w:rsid w:val="00777883"/>
    <w:rsid w:val="00787017"/>
    <w:rsid w:val="007873D3"/>
    <w:rsid w:val="007908C2"/>
    <w:rsid w:val="0079132A"/>
    <w:rsid w:val="00793B02"/>
    <w:rsid w:val="00793F1C"/>
    <w:rsid w:val="00794072"/>
    <w:rsid w:val="00796DF5"/>
    <w:rsid w:val="007A0928"/>
    <w:rsid w:val="007A2A43"/>
    <w:rsid w:val="007A4C0E"/>
    <w:rsid w:val="007A6200"/>
    <w:rsid w:val="007A7FEF"/>
    <w:rsid w:val="007B71EF"/>
    <w:rsid w:val="007C07EB"/>
    <w:rsid w:val="007C103C"/>
    <w:rsid w:val="007C17DE"/>
    <w:rsid w:val="007C213A"/>
    <w:rsid w:val="007C25D9"/>
    <w:rsid w:val="007C2C0F"/>
    <w:rsid w:val="007C2D65"/>
    <w:rsid w:val="007C2F93"/>
    <w:rsid w:val="007D059F"/>
    <w:rsid w:val="007D183F"/>
    <w:rsid w:val="007D4BD3"/>
    <w:rsid w:val="007D5C02"/>
    <w:rsid w:val="007D6865"/>
    <w:rsid w:val="007D7EE0"/>
    <w:rsid w:val="007E29F5"/>
    <w:rsid w:val="007E40E2"/>
    <w:rsid w:val="007E426C"/>
    <w:rsid w:val="007F0FDC"/>
    <w:rsid w:val="007F4151"/>
    <w:rsid w:val="007F6821"/>
    <w:rsid w:val="00801803"/>
    <w:rsid w:val="00801BA4"/>
    <w:rsid w:val="00803A84"/>
    <w:rsid w:val="00805563"/>
    <w:rsid w:val="00810005"/>
    <w:rsid w:val="00811AF6"/>
    <w:rsid w:val="00814014"/>
    <w:rsid w:val="00815698"/>
    <w:rsid w:val="0081677A"/>
    <w:rsid w:val="0081722D"/>
    <w:rsid w:val="00820E74"/>
    <w:rsid w:val="00821F6D"/>
    <w:rsid w:val="00824B4F"/>
    <w:rsid w:val="00833B49"/>
    <w:rsid w:val="008369B8"/>
    <w:rsid w:val="00837F86"/>
    <w:rsid w:val="0084041F"/>
    <w:rsid w:val="00840899"/>
    <w:rsid w:val="008414E3"/>
    <w:rsid w:val="00844013"/>
    <w:rsid w:val="00844D05"/>
    <w:rsid w:val="00846CEB"/>
    <w:rsid w:val="008476F7"/>
    <w:rsid w:val="00851A7A"/>
    <w:rsid w:val="008579D5"/>
    <w:rsid w:val="00857F78"/>
    <w:rsid w:val="00865830"/>
    <w:rsid w:val="0086705E"/>
    <w:rsid w:val="008738FD"/>
    <w:rsid w:val="00876845"/>
    <w:rsid w:val="00880124"/>
    <w:rsid w:val="00880D12"/>
    <w:rsid w:val="008837F2"/>
    <w:rsid w:val="008842E9"/>
    <w:rsid w:val="00884E7A"/>
    <w:rsid w:val="0088554B"/>
    <w:rsid w:val="008857B3"/>
    <w:rsid w:val="008857ED"/>
    <w:rsid w:val="00886A1B"/>
    <w:rsid w:val="008908FF"/>
    <w:rsid w:val="00892696"/>
    <w:rsid w:val="008937A4"/>
    <w:rsid w:val="008948CC"/>
    <w:rsid w:val="008B5A3D"/>
    <w:rsid w:val="008C07DA"/>
    <w:rsid w:val="008C25F6"/>
    <w:rsid w:val="008C422B"/>
    <w:rsid w:val="008C5EF9"/>
    <w:rsid w:val="008C6636"/>
    <w:rsid w:val="008D4E34"/>
    <w:rsid w:val="008D5354"/>
    <w:rsid w:val="008D6453"/>
    <w:rsid w:val="008E094A"/>
    <w:rsid w:val="008E0FC9"/>
    <w:rsid w:val="008E180C"/>
    <w:rsid w:val="008E2898"/>
    <w:rsid w:val="008E41BB"/>
    <w:rsid w:val="008E46ED"/>
    <w:rsid w:val="008F0C38"/>
    <w:rsid w:val="008F1A83"/>
    <w:rsid w:val="008F5912"/>
    <w:rsid w:val="0090079D"/>
    <w:rsid w:val="00902042"/>
    <w:rsid w:val="0090370F"/>
    <w:rsid w:val="009068D4"/>
    <w:rsid w:val="00917551"/>
    <w:rsid w:val="00927480"/>
    <w:rsid w:val="00927843"/>
    <w:rsid w:val="00927D4E"/>
    <w:rsid w:val="0093086A"/>
    <w:rsid w:val="0093252E"/>
    <w:rsid w:val="00933D4B"/>
    <w:rsid w:val="00940148"/>
    <w:rsid w:val="0094335D"/>
    <w:rsid w:val="00943902"/>
    <w:rsid w:val="00945C10"/>
    <w:rsid w:val="00951A78"/>
    <w:rsid w:val="009524E2"/>
    <w:rsid w:val="009525F2"/>
    <w:rsid w:val="00954178"/>
    <w:rsid w:val="00954787"/>
    <w:rsid w:val="00960294"/>
    <w:rsid w:val="00960984"/>
    <w:rsid w:val="0096193D"/>
    <w:rsid w:val="00970754"/>
    <w:rsid w:val="00970FE7"/>
    <w:rsid w:val="009741F9"/>
    <w:rsid w:val="0097488C"/>
    <w:rsid w:val="00975559"/>
    <w:rsid w:val="00975D11"/>
    <w:rsid w:val="0097731A"/>
    <w:rsid w:val="0098098F"/>
    <w:rsid w:val="00980FDE"/>
    <w:rsid w:val="00983230"/>
    <w:rsid w:val="009864C8"/>
    <w:rsid w:val="009866E8"/>
    <w:rsid w:val="00990DCD"/>
    <w:rsid w:val="00996BF9"/>
    <w:rsid w:val="00997F2E"/>
    <w:rsid w:val="009A0866"/>
    <w:rsid w:val="009A1381"/>
    <w:rsid w:val="009A1DC4"/>
    <w:rsid w:val="009A3182"/>
    <w:rsid w:val="009A356F"/>
    <w:rsid w:val="009A3655"/>
    <w:rsid w:val="009A3C22"/>
    <w:rsid w:val="009A781F"/>
    <w:rsid w:val="009B1B5D"/>
    <w:rsid w:val="009B2D22"/>
    <w:rsid w:val="009B3174"/>
    <w:rsid w:val="009B51A3"/>
    <w:rsid w:val="009B7F80"/>
    <w:rsid w:val="009C1126"/>
    <w:rsid w:val="009C1212"/>
    <w:rsid w:val="009C4C8F"/>
    <w:rsid w:val="009C5374"/>
    <w:rsid w:val="009C7119"/>
    <w:rsid w:val="009D0E75"/>
    <w:rsid w:val="009D18C9"/>
    <w:rsid w:val="009D2056"/>
    <w:rsid w:val="009D4C51"/>
    <w:rsid w:val="009D7FB9"/>
    <w:rsid w:val="009E16EA"/>
    <w:rsid w:val="009E330B"/>
    <w:rsid w:val="009E464C"/>
    <w:rsid w:val="009E4E08"/>
    <w:rsid w:val="009F1AC2"/>
    <w:rsid w:val="009F530D"/>
    <w:rsid w:val="009F6B08"/>
    <w:rsid w:val="009F7F81"/>
    <w:rsid w:val="00A0191F"/>
    <w:rsid w:val="00A01CBC"/>
    <w:rsid w:val="00A0372B"/>
    <w:rsid w:val="00A07F82"/>
    <w:rsid w:val="00A114E1"/>
    <w:rsid w:val="00A13F5C"/>
    <w:rsid w:val="00A218D8"/>
    <w:rsid w:val="00A22F29"/>
    <w:rsid w:val="00A239A1"/>
    <w:rsid w:val="00A2494D"/>
    <w:rsid w:val="00A26D9F"/>
    <w:rsid w:val="00A322FF"/>
    <w:rsid w:val="00A32EA1"/>
    <w:rsid w:val="00A35B82"/>
    <w:rsid w:val="00A35DC3"/>
    <w:rsid w:val="00A408C5"/>
    <w:rsid w:val="00A40AAD"/>
    <w:rsid w:val="00A44A2D"/>
    <w:rsid w:val="00A44FB5"/>
    <w:rsid w:val="00A474F0"/>
    <w:rsid w:val="00A4792B"/>
    <w:rsid w:val="00A50EEF"/>
    <w:rsid w:val="00A512B8"/>
    <w:rsid w:val="00A51A89"/>
    <w:rsid w:val="00A51AAF"/>
    <w:rsid w:val="00A556C9"/>
    <w:rsid w:val="00A55D3C"/>
    <w:rsid w:val="00A57F56"/>
    <w:rsid w:val="00A60469"/>
    <w:rsid w:val="00A61621"/>
    <w:rsid w:val="00A618DC"/>
    <w:rsid w:val="00A61F4B"/>
    <w:rsid w:val="00A6236E"/>
    <w:rsid w:val="00A63B9A"/>
    <w:rsid w:val="00A64665"/>
    <w:rsid w:val="00A67075"/>
    <w:rsid w:val="00A7037D"/>
    <w:rsid w:val="00A724D3"/>
    <w:rsid w:val="00A73C09"/>
    <w:rsid w:val="00A815C8"/>
    <w:rsid w:val="00A81D0E"/>
    <w:rsid w:val="00A952F4"/>
    <w:rsid w:val="00AA164F"/>
    <w:rsid w:val="00AA314B"/>
    <w:rsid w:val="00AA56F4"/>
    <w:rsid w:val="00AA6893"/>
    <w:rsid w:val="00AB065A"/>
    <w:rsid w:val="00AB1F6C"/>
    <w:rsid w:val="00AB63B6"/>
    <w:rsid w:val="00AB65D7"/>
    <w:rsid w:val="00AC10D4"/>
    <w:rsid w:val="00AC500A"/>
    <w:rsid w:val="00AC578C"/>
    <w:rsid w:val="00AC629E"/>
    <w:rsid w:val="00AC63E3"/>
    <w:rsid w:val="00AC6659"/>
    <w:rsid w:val="00AD2E7C"/>
    <w:rsid w:val="00AD3964"/>
    <w:rsid w:val="00AD4F5E"/>
    <w:rsid w:val="00AD7961"/>
    <w:rsid w:val="00AE0961"/>
    <w:rsid w:val="00AE3FF9"/>
    <w:rsid w:val="00AE481F"/>
    <w:rsid w:val="00AE5C6F"/>
    <w:rsid w:val="00AE6D19"/>
    <w:rsid w:val="00AF01E1"/>
    <w:rsid w:val="00AF532D"/>
    <w:rsid w:val="00AF5E31"/>
    <w:rsid w:val="00AF5FB0"/>
    <w:rsid w:val="00B00D1D"/>
    <w:rsid w:val="00B01D3E"/>
    <w:rsid w:val="00B01E12"/>
    <w:rsid w:val="00B02030"/>
    <w:rsid w:val="00B043E8"/>
    <w:rsid w:val="00B110AE"/>
    <w:rsid w:val="00B13B38"/>
    <w:rsid w:val="00B16901"/>
    <w:rsid w:val="00B20D8E"/>
    <w:rsid w:val="00B2549F"/>
    <w:rsid w:val="00B26FC4"/>
    <w:rsid w:val="00B2772C"/>
    <w:rsid w:val="00B30EA5"/>
    <w:rsid w:val="00B33434"/>
    <w:rsid w:val="00B338D1"/>
    <w:rsid w:val="00B33F7F"/>
    <w:rsid w:val="00B3505B"/>
    <w:rsid w:val="00B350AD"/>
    <w:rsid w:val="00B400F9"/>
    <w:rsid w:val="00B40814"/>
    <w:rsid w:val="00B40EE4"/>
    <w:rsid w:val="00B41F6E"/>
    <w:rsid w:val="00B434D5"/>
    <w:rsid w:val="00B46105"/>
    <w:rsid w:val="00B47293"/>
    <w:rsid w:val="00B475A5"/>
    <w:rsid w:val="00B4782A"/>
    <w:rsid w:val="00B47C3A"/>
    <w:rsid w:val="00B51414"/>
    <w:rsid w:val="00B5522C"/>
    <w:rsid w:val="00B552AC"/>
    <w:rsid w:val="00B56693"/>
    <w:rsid w:val="00B627E3"/>
    <w:rsid w:val="00B73BC3"/>
    <w:rsid w:val="00B74BAA"/>
    <w:rsid w:val="00B83A00"/>
    <w:rsid w:val="00B847D9"/>
    <w:rsid w:val="00B86981"/>
    <w:rsid w:val="00B873EE"/>
    <w:rsid w:val="00B90114"/>
    <w:rsid w:val="00B904AA"/>
    <w:rsid w:val="00B90F12"/>
    <w:rsid w:val="00B91F4F"/>
    <w:rsid w:val="00B932D0"/>
    <w:rsid w:val="00B96175"/>
    <w:rsid w:val="00BA0E0E"/>
    <w:rsid w:val="00BA1203"/>
    <w:rsid w:val="00BA1C4E"/>
    <w:rsid w:val="00BA1C7C"/>
    <w:rsid w:val="00BA4A4F"/>
    <w:rsid w:val="00BA566E"/>
    <w:rsid w:val="00BA6D17"/>
    <w:rsid w:val="00BB4C25"/>
    <w:rsid w:val="00BB6114"/>
    <w:rsid w:val="00BB6F28"/>
    <w:rsid w:val="00BC1F5B"/>
    <w:rsid w:val="00BC4A9B"/>
    <w:rsid w:val="00BC6812"/>
    <w:rsid w:val="00BD19FD"/>
    <w:rsid w:val="00BD1A6B"/>
    <w:rsid w:val="00BD327F"/>
    <w:rsid w:val="00BD4FFA"/>
    <w:rsid w:val="00BD5E85"/>
    <w:rsid w:val="00BD6FD9"/>
    <w:rsid w:val="00BE220F"/>
    <w:rsid w:val="00BE32CF"/>
    <w:rsid w:val="00BE39DA"/>
    <w:rsid w:val="00BE4397"/>
    <w:rsid w:val="00BE4B62"/>
    <w:rsid w:val="00BF39DC"/>
    <w:rsid w:val="00BF41A6"/>
    <w:rsid w:val="00BF46D5"/>
    <w:rsid w:val="00BF4C43"/>
    <w:rsid w:val="00BF5231"/>
    <w:rsid w:val="00BF5E79"/>
    <w:rsid w:val="00BF650C"/>
    <w:rsid w:val="00BF6870"/>
    <w:rsid w:val="00C02763"/>
    <w:rsid w:val="00C03053"/>
    <w:rsid w:val="00C057FA"/>
    <w:rsid w:val="00C07071"/>
    <w:rsid w:val="00C100A2"/>
    <w:rsid w:val="00C1013B"/>
    <w:rsid w:val="00C1026E"/>
    <w:rsid w:val="00C15C94"/>
    <w:rsid w:val="00C169D3"/>
    <w:rsid w:val="00C17ADF"/>
    <w:rsid w:val="00C202EC"/>
    <w:rsid w:val="00C22838"/>
    <w:rsid w:val="00C24A91"/>
    <w:rsid w:val="00C30843"/>
    <w:rsid w:val="00C3566C"/>
    <w:rsid w:val="00C373EC"/>
    <w:rsid w:val="00C376D6"/>
    <w:rsid w:val="00C41AFC"/>
    <w:rsid w:val="00C44DF0"/>
    <w:rsid w:val="00C4585D"/>
    <w:rsid w:val="00C47A8F"/>
    <w:rsid w:val="00C50E6C"/>
    <w:rsid w:val="00C524D6"/>
    <w:rsid w:val="00C52F82"/>
    <w:rsid w:val="00C54AAD"/>
    <w:rsid w:val="00C54D55"/>
    <w:rsid w:val="00C55CBB"/>
    <w:rsid w:val="00C56D01"/>
    <w:rsid w:val="00C61AD7"/>
    <w:rsid w:val="00C62367"/>
    <w:rsid w:val="00C62827"/>
    <w:rsid w:val="00C675C6"/>
    <w:rsid w:val="00C67F76"/>
    <w:rsid w:val="00C71904"/>
    <w:rsid w:val="00C74650"/>
    <w:rsid w:val="00C83EF5"/>
    <w:rsid w:val="00C84225"/>
    <w:rsid w:val="00C84775"/>
    <w:rsid w:val="00C84D54"/>
    <w:rsid w:val="00C9590C"/>
    <w:rsid w:val="00C95FBC"/>
    <w:rsid w:val="00CA0695"/>
    <w:rsid w:val="00CA2B60"/>
    <w:rsid w:val="00CA4237"/>
    <w:rsid w:val="00CA52D0"/>
    <w:rsid w:val="00CB20E7"/>
    <w:rsid w:val="00CB241D"/>
    <w:rsid w:val="00CB5E23"/>
    <w:rsid w:val="00CB60BE"/>
    <w:rsid w:val="00CB7A91"/>
    <w:rsid w:val="00CC38BB"/>
    <w:rsid w:val="00CC5AB2"/>
    <w:rsid w:val="00CC6625"/>
    <w:rsid w:val="00CC7EA4"/>
    <w:rsid w:val="00CD112B"/>
    <w:rsid w:val="00CE6D0C"/>
    <w:rsid w:val="00CE7434"/>
    <w:rsid w:val="00CF1B10"/>
    <w:rsid w:val="00CF28B7"/>
    <w:rsid w:val="00CF406A"/>
    <w:rsid w:val="00CF57B4"/>
    <w:rsid w:val="00CF5DF1"/>
    <w:rsid w:val="00CF5EF6"/>
    <w:rsid w:val="00CF732C"/>
    <w:rsid w:val="00D03000"/>
    <w:rsid w:val="00D04806"/>
    <w:rsid w:val="00D07D33"/>
    <w:rsid w:val="00D11023"/>
    <w:rsid w:val="00D1144A"/>
    <w:rsid w:val="00D32EA3"/>
    <w:rsid w:val="00D33571"/>
    <w:rsid w:val="00D33BB7"/>
    <w:rsid w:val="00D349FB"/>
    <w:rsid w:val="00D351C3"/>
    <w:rsid w:val="00D40C2D"/>
    <w:rsid w:val="00D418B4"/>
    <w:rsid w:val="00D41F9E"/>
    <w:rsid w:val="00D46486"/>
    <w:rsid w:val="00D47C0B"/>
    <w:rsid w:val="00D5658A"/>
    <w:rsid w:val="00D624C0"/>
    <w:rsid w:val="00D641BA"/>
    <w:rsid w:val="00D64B40"/>
    <w:rsid w:val="00D71ACA"/>
    <w:rsid w:val="00D74DEA"/>
    <w:rsid w:val="00D7552C"/>
    <w:rsid w:val="00D77885"/>
    <w:rsid w:val="00D80207"/>
    <w:rsid w:val="00D8028B"/>
    <w:rsid w:val="00D8404B"/>
    <w:rsid w:val="00D86441"/>
    <w:rsid w:val="00D91C94"/>
    <w:rsid w:val="00D91F1C"/>
    <w:rsid w:val="00D951F9"/>
    <w:rsid w:val="00DA02C2"/>
    <w:rsid w:val="00DA10D9"/>
    <w:rsid w:val="00DA1EC4"/>
    <w:rsid w:val="00DA2B58"/>
    <w:rsid w:val="00DA39F4"/>
    <w:rsid w:val="00DB0982"/>
    <w:rsid w:val="00DB1591"/>
    <w:rsid w:val="00DB1B9E"/>
    <w:rsid w:val="00DB2266"/>
    <w:rsid w:val="00DB3234"/>
    <w:rsid w:val="00DB3D4B"/>
    <w:rsid w:val="00DB49F3"/>
    <w:rsid w:val="00DB5DD6"/>
    <w:rsid w:val="00DB7A94"/>
    <w:rsid w:val="00DC3154"/>
    <w:rsid w:val="00DC511A"/>
    <w:rsid w:val="00DC7E21"/>
    <w:rsid w:val="00DD1E81"/>
    <w:rsid w:val="00DD687A"/>
    <w:rsid w:val="00DE389D"/>
    <w:rsid w:val="00DE636B"/>
    <w:rsid w:val="00DF0381"/>
    <w:rsid w:val="00DF1379"/>
    <w:rsid w:val="00DF21F6"/>
    <w:rsid w:val="00DF3602"/>
    <w:rsid w:val="00DF7BC9"/>
    <w:rsid w:val="00E05F3D"/>
    <w:rsid w:val="00E13448"/>
    <w:rsid w:val="00E14C91"/>
    <w:rsid w:val="00E21C29"/>
    <w:rsid w:val="00E2288D"/>
    <w:rsid w:val="00E24952"/>
    <w:rsid w:val="00E24B02"/>
    <w:rsid w:val="00E257A6"/>
    <w:rsid w:val="00E25C7E"/>
    <w:rsid w:val="00E263E4"/>
    <w:rsid w:val="00E26663"/>
    <w:rsid w:val="00E27156"/>
    <w:rsid w:val="00E27589"/>
    <w:rsid w:val="00E27909"/>
    <w:rsid w:val="00E30BB7"/>
    <w:rsid w:val="00E320B2"/>
    <w:rsid w:val="00E367AA"/>
    <w:rsid w:val="00E3704C"/>
    <w:rsid w:val="00E37543"/>
    <w:rsid w:val="00E44A95"/>
    <w:rsid w:val="00E45102"/>
    <w:rsid w:val="00E4616B"/>
    <w:rsid w:val="00E465E6"/>
    <w:rsid w:val="00E47E18"/>
    <w:rsid w:val="00E57314"/>
    <w:rsid w:val="00E6178D"/>
    <w:rsid w:val="00E61DDD"/>
    <w:rsid w:val="00E61E68"/>
    <w:rsid w:val="00E647AF"/>
    <w:rsid w:val="00E66080"/>
    <w:rsid w:val="00E662FA"/>
    <w:rsid w:val="00E674FE"/>
    <w:rsid w:val="00E73EDD"/>
    <w:rsid w:val="00E744D0"/>
    <w:rsid w:val="00E75043"/>
    <w:rsid w:val="00E7759B"/>
    <w:rsid w:val="00E77670"/>
    <w:rsid w:val="00E81C09"/>
    <w:rsid w:val="00E8239C"/>
    <w:rsid w:val="00E84B7C"/>
    <w:rsid w:val="00E84E28"/>
    <w:rsid w:val="00E874CA"/>
    <w:rsid w:val="00E90CDE"/>
    <w:rsid w:val="00E92CB5"/>
    <w:rsid w:val="00E94F8F"/>
    <w:rsid w:val="00E955D1"/>
    <w:rsid w:val="00E95926"/>
    <w:rsid w:val="00E95B12"/>
    <w:rsid w:val="00E9671C"/>
    <w:rsid w:val="00E96FB9"/>
    <w:rsid w:val="00E96FFB"/>
    <w:rsid w:val="00EA1781"/>
    <w:rsid w:val="00EA3512"/>
    <w:rsid w:val="00EA3BDA"/>
    <w:rsid w:val="00EA489C"/>
    <w:rsid w:val="00EA6425"/>
    <w:rsid w:val="00EB1B67"/>
    <w:rsid w:val="00EC290C"/>
    <w:rsid w:val="00EC5CCD"/>
    <w:rsid w:val="00EC6382"/>
    <w:rsid w:val="00EC713A"/>
    <w:rsid w:val="00EC7EC2"/>
    <w:rsid w:val="00ED0967"/>
    <w:rsid w:val="00ED12FC"/>
    <w:rsid w:val="00ED1C84"/>
    <w:rsid w:val="00ED6D51"/>
    <w:rsid w:val="00EE1A67"/>
    <w:rsid w:val="00EE3E72"/>
    <w:rsid w:val="00EE5D34"/>
    <w:rsid w:val="00EF3E0F"/>
    <w:rsid w:val="00EF42B9"/>
    <w:rsid w:val="00EF5EB5"/>
    <w:rsid w:val="00F03C09"/>
    <w:rsid w:val="00F1271C"/>
    <w:rsid w:val="00F12D8F"/>
    <w:rsid w:val="00F14050"/>
    <w:rsid w:val="00F15A2D"/>
    <w:rsid w:val="00F165D0"/>
    <w:rsid w:val="00F16C63"/>
    <w:rsid w:val="00F2101F"/>
    <w:rsid w:val="00F210A0"/>
    <w:rsid w:val="00F2558C"/>
    <w:rsid w:val="00F30404"/>
    <w:rsid w:val="00F3264D"/>
    <w:rsid w:val="00F358BA"/>
    <w:rsid w:val="00F41CDE"/>
    <w:rsid w:val="00F442AD"/>
    <w:rsid w:val="00F452CC"/>
    <w:rsid w:val="00F467AF"/>
    <w:rsid w:val="00F50FFE"/>
    <w:rsid w:val="00F54471"/>
    <w:rsid w:val="00F55E27"/>
    <w:rsid w:val="00F619C5"/>
    <w:rsid w:val="00F659D3"/>
    <w:rsid w:val="00F666F1"/>
    <w:rsid w:val="00F72DC1"/>
    <w:rsid w:val="00F72DF0"/>
    <w:rsid w:val="00F73434"/>
    <w:rsid w:val="00F75023"/>
    <w:rsid w:val="00F76244"/>
    <w:rsid w:val="00F8280B"/>
    <w:rsid w:val="00F84B8B"/>
    <w:rsid w:val="00F9388A"/>
    <w:rsid w:val="00F9487E"/>
    <w:rsid w:val="00F94D2F"/>
    <w:rsid w:val="00F95E35"/>
    <w:rsid w:val="00FA0B23"/>
    <w:rsid w:val="00FA0FF1"/>
    <w:rsid w:val="00FA2F88"/>
    <w:rsid w:val="00FA4919"/>
    <w:rsid w:val="00FA6215"/>
    <w:rsid w:val="00FB0F23"/>
    <w:rsid w:val="00FB67FF"/>
    <w:rsid w:val="00FB6D27"/>
    <w:rsid w:val="00FB7E55"/>
    <w:rsid w:val="00FC173F"/>
    <w:rsid w:val="00FC5B74"/>
    <w:rsid w:val="00FD0E46"/>
    <w:rsid w:val="00FD1771"/>
    <w:rsid w:val="00FD2361"/>
    <w:rsid w:val="00FD286A"/>
    <w:rsid w:val="00FD2D8A"/>
    <w:rsid w:val="00FD4814"/>
    <w:rsid w:val="00FD6026"/>
    <w:rsid w:val="00FD6071"/>
    <w:rsid w:val="00FD6C2E"/>
    <w:rsid w:val="00FE0E01"/>
    <w:rsid w:val="00FE12B1"/>
    <w:rsid w:val="00FE27F5"/>
    <w:rsid w:val="00FE3261"/>
    <w:rsid w:val="00FE4A4F"/>
    <w:rsid w:val="00FF065E"/>
    <w:rsid w:val="00FF4AF1"/>
    <w:rsid w:val="00FF5CD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E3F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6C2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0B2"/>
    <w:pPr>
      <w:ind w:left="720"/>
      <w:contextualSpacing/>
    </w:pPr>
  </w:style>
  <w:style w:type="paragraph" w:styleId="Footer">
    <w:name w:val="footer"/>
    <w:basedOn w:val="Normal"/>
    <w:link w:val="FooterChar"/>
    <w:uiPriority w:val="99"/>
    <w:unhideWhenUsed/>
    <w:rsid w:val="00BD327F"/>
    <w:pPr>
      <w:tabs>
        <w:tab w:val="center" w:pos="4320"/>
        <w:tab w:val="right" w:pos="8640"/>
      </w:tabs>
    </w:pPr>
  </w:style>
  <w:style w:type="character" w:customStyle="1" w:styleId="FooterChar">
    <w:name w:val="Footer Char"/>
    <w:basedOn w:val="DefaultParagraphFont"/>
    <w:link w:val="Footer"/>
    <w:uiPriority w:val="99"/>
    <w:rsid w:val="00BD327F"/>
  </w:style>
  <w:style w:type="character" w:styleId="PageNumber">
    <w:name w:val="page number"/>
    <w:basedOn w:val="DefaultParagraphFont"/>
    <w:uiPriority w:val="99"/>
    <w:semiHidden/>
    <w:unhideWhenUsed/>
    <w:rsid w:val="00BD327F"/>
  </w:style>
  <w:style w:type="paragraph" w:styleId="EndnoteText">
    <w:name w:val="endnote text"/>
    <w:basedOn w:val="Normal"/>
    <w:link w:val="EndnoteTextChar"/>
    <w:uiPriority w:val="99"/>
    <w:unhideWhenUsed/>
    <w:rsid w:val="00F9388A"/>
  </w:style>
  <w:style w:type="character" w:customStyle="1" w:styleId="EndnoteTextChar">
    <w:name w:val="Endnote Text Char"/>
    <w:basedOn w:val="DefaultParagraphFont"/>
    <w:link w:val="EndnoteText"/>
    <w:uiPriority w:val="99"/>
    <w:rsid w:val="00F9388A"/>
  </w:style>
  <w:style w:type="character" w:styleId="EndnoteReference">
    <w:name w:val="endnote reference"/>
    <w:basedOn w:val="DefaultParagraphFont"/>
    <w:uiPriority w:val="99"/>
    <w:unhideWhenUsed/>
    <w:rsid w:val="00F9388A"/>
    <w:rPr>
      <w:vertAlign w:val="superscript"/>
    </w:rPr>
  </w:style>
  <w:style w:type="character" w:styleId="Hyperlink">
    <w:name w:val="Hyperlink"/>
    <w:basedOn w:val="DefaultParagraphFont"/>
    <w:uiPriority w:val="99"/>
    <w:unhideWhenUsed/>
    <w:rsid w:val="00F9388A"/>
    <w:rPr>
      <w:color w:val="0000FF" w:themeColor="hyperlink"/>
      <w:u w:val="single"/>
    </w:rPr>
  </w:style>
  <w:style w:type="paragraph" w:customStyle="1" w:styleId="Default">
    <w:name w:val="Default"/>
    <w:rsid w:val="00F9388A"/>
    <w:pPr>
      <w:widowControl w:val="0"/>
      <w:autoSpaceDE w:val="0"/>
      <w:autoSpaceDN w:val="0"/>
      <w:adjustRightInd w:val="0"/>
    </w:pPr>
    <w:rPr>
      <w:rFonts w:ascii="Arial" w:hAnsi="Arial" w:cs="Arial"/>
      <w:color w:val="000000"/>
    </w:rPr>
  </w:style>
  <w:style w:type="character" w:customStyle="1" w:styleId="apple-converted-space">
    <w:name w:val="apple-converted-space"/>
    <w:basedOn w:val="DefaultParagraphFont"/>
    <w:rsid w:val="008857ED"/>
  </w:style>
  <w:style w:type="character" w:customStyle="1" w:styleId="reference-text">
    <w:name w:val="reference-text"/>
    <w:basedOn w:val="DefaultParagraphFont"/>
    <w:rsid w:val="008857ED"/>
  </w:style>
  <w:style w:type="character" w:styleId="Strong">
    <w:name w:val="Strong"/>
    <w:basedOn w:val="DefaultParagraphFont"/>
    <w:uiPriority w:val="22"/>
    <w:qFormat/>
    <w:rsid w:val="008857B3"/>
    <w:rPr>
      <w:b/>
      <w:bCs/>
    </w:rPr>
  </w:style>
  <w:style w:type="paragraph" w:styleId="FootnoteText">
    <w:name w:val="footnote text"/>
    <w:basedOn w:val="Normal"/>
    <w:link w:val="FootnoteTextChar"/>
    <w:uiPriority w:val="99"/>
    <w:unhideWhenUsed/>
    <w:rsid w:val="00AE6D19"/>
  </w:style>
  <w:style w:type="character" w:customStyle="1" w:styleId="FootnoteTextChar">
    <w:name w:val="Footnote Text Char"/>
    <w:basedOn w:val="DefaultParagraphFont"/>
    <w:link w:val="FootnoteText"/>
    <w:uiPriority w:val="99"/>
    <w:rsid w:val="00AE6D19"/>
  </w:style>
  <w:style w:type="character" w:styleId="FootnoteReference">
    <w:name w:val="footnote reference"/>
    <w:basedOn w:val="DefaultParagraphFont"/>
    <w:uiPriority w:val="99"/>
    <w:unhideWhenUsed/>
    <w:rsid w:val="00AE6D19"/>
    <w:rPr>
      <w:vertAlign w:val="superscript"/>
    </w:rPr>
  </w:style>
  <w:style w:type="table" w:styleId="TableGrid">
    <w:name w:val="Table Grid"/>
    <w:basedOn w:val="TableNormal"/>
    <w:uiPriority w:val="59"/>
    <w:rsid w:val="000F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632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56324"/>
    <w:rPr>
      <w:rFonts w:ascii="Lucida Grande" w:hAnsi="Lucida Grande" w:cs="Lucida Grande"/>
      <w:sz w:val="18"/>
      <w:szCs w:val="18"/>
    </w:rPr>
  </w:style>
  <w:style w:type="character" w:customStyle="1" w:styleId="Heading1Char">
    <w:name w:val="Heading 1 Char"/>
    <w:basedOn w:val="DefaultParagraphFont"/>
    <w:link w:val="Heading1"/>
    <w:uiPriority w:val="9"/>
    <w:rsid w:val="00676C23"/>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uiPriority w:val="99"/>
    <w:unhideWhenUsed/>
    <w:rsid w:val="001908DD"/>
    <w:pPr>
      <w:tabs>
        <w:tab w:val="center" w:pos="4320"/>
        <w:tab w:val="right" w:pos="8640"/>
      </w:tabs>
    </w:pPr>
  </w:style>
  <w:style w:type="character" w:customStyle="1" w:styleId="HeaderChar">
    <w:name w:val="Header Char"/>
    <w:basedOn w:val="DefaultParagraphFont"/>
    <w:link w:val="Header"/>
    <w:uiPriority w:val="99"/>
    <w:rsid w:val="001908DD"/>
  </w:style>
  <w:style w:type="paragraph" w:styleId="NormalWeb">
    <w:name w:val="Normal (Web)"/>
    <w:basedOn w:val="Normal"/>
    <w:uiPriority w:val="99"/>
    <w:semiHidden/>
    <w:unhideWhenUsed/>
    <w:rsid w:val="00AB63B6"/>
    <w:rPr>
      <w:rFonts w:ascii="Times New Roman" w:hAnsi="Times New Roman" w:cs="Times New Roman"/>
    </w:rPr>
  </w:style>
  <w:style w:type="character" w:styleId="FollowedHyperlink">
    <w:name w:val="FollowedHyperlink"/>
    <w:basedOn w:val="DefaultParagraphFont"/>
    <w:uiPriority w:val="99"/>
    <w:semiHidden/>
    <w:unhideWhenUsed/>
    <w:rsid w:val="00093BD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6C2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0B2"/>
    <w:pPr>
      <w:ind w:left="720"/>
      <w:contextualSpacing/>
    </w:pPr>
  </w:style>
  <w:style w:type="paragraph" w:styleId="Footer">
    <w:name w:val="footer"/>
    <w:basedOn w:val="Normal"/>
    <w:link w:val="FooterChar"/>
    <w:uiPriority w:val="99"/>
    <w:unhideWhenUsed/>
    <w:rsid w:val="00BD327F"/>
    <w:pPr>
      <w:tabs>
        <w:tab w:val="center" w:pos="4320"/>
        <w:tab w:val="right" w:pos="8640"/>
      </w:tabs>
    </w:pPr>
  </w:style>
  <w:style w:type="character" w:customStyle="1" w:styleId="FooterChar">
    <w:name w:val="Footer Char"/>
    <w:basedOn w:val="DefaultParagraphFont"/>
    <w:link w:val="Footer"/>
    <w:uiPriority w:val="99"/>
    <w:rsid w:val="00BD327F"/>
  </w:style>
  <w:style w:type="character" w:styleId="PageNumber">
    <w:name w:val="page number"/>
    <w:basedOn w:val="DefaultParagraphFont"/>
    <w:uiPriority w:val="99"/>
    <w:semiHidden/>
    <w:unhideWhenUsed/>
    <w:rsid w:val="00BD327F"/>
  </w:style>
  <w:style w:type="paragraph" w:styleId="EndnoteText">
    <w:name w:val="endnote text"/>
    <w:basedOn w:val="Normal"/>
    <w:link w:val="EndnoteTextChar"/>
    <w:uiPriority w:val="99"/>
    <w:unhideWhenUsed/>
    <w:rsid w:val="00F9388A"/>
  </w:style>
  <w:style w:type="character" w:customStyle="1" w:styleId="EndnoteTextChar">
    <w:name w:val="Endnote Text Char"/>
    <w:basedOn w:val="DefaultParagraphFont"/>
    <w:link w:val="EndnoteText"/>
    <w:uiPriority w:val="99"/>
    <w:rsid w:val="00F9388A"/>
  </w:style>
  <w:style w:type="character" w:styleId="EndnoteReference">
    <w:name w:val="endnote reference"/>
    <w:basedOn w:val="DefaultParagraphFont"/>
    <w:uiPriority w:val="99"/>
    <w:unhideWhenUsed/>
    <w:rsid w:val="00F9388A"/>
    <w:rPr>
      <w:vertAlign w:val="superscript"/>
    </w:rPr>
  </w:style>
  <w:style w:type="character" w:styleId="Hyperlink">
    <w:name w:val="Hyperlink"/>
    <w:basedOn w:val="DefaultParagraphFont"/>
    <w:uiPriority w:val="99"/>
    <w:unhideWhenUsed/>
    <w:rsid w:val="00F9388A"/>
    <w:rPr>
      <w:color w:val="0000FF" w:themeColor="hyperlink"/>
      <w:u w:val="single"/>
    </w:rPr>
  </w:style>
  <w:style w:type="paragraph" w:customStyle="1" w:styleId="Default">
    <w:name w:val="Default"/>
    <w:rsid w:val="00F9388A"/>
    <w:pPr>
      <w:widowControl w:val="0"/>
      <w:autoSpaceDE w:val="0"/>
      <w:autoSpaceDN w:val="0"/>
      <w:adjustRightInd w:val="0"/>
    </w:pPr>
    <w:rPr>
      <w:rFonts w:ascii="Arial" w:hAnsi="Arial" w:cs="Arial"/>
      <w:color w:val="000000"/>
    </w:rPr>
  </w:style>
  <w:style w:type="character" w:customStyle="1" w:styleId="apple-converted-space">
    <w:name w:val="apple-converted-space"/>
    <w:basedOn w:val="DefaultParagraphFont"/>
    <w:rsid w:val="008857ED"/>
  </w:style>
  <w:style w:type="character" w:customStyle="1" w:styleId="reference-text">
    <w:name w:val="reference-text"/>
    <w:basedOn w:val="DefaultParagraphFont"/>
    <w:rsid w:val="008857ED"/>
  </w:style>
  <w:style w:type="character" w:styleId="Strong">
    <w:name w:val="Strong"/>
    <w:basedOn w:val="DefaultParagraphFont"/>
    <w:uiPriority w:val="22"/>
    <w:qFormat/>
    <w:rsid w:val="008857B3"/>
    <w:rPr>
      <w:b/>
      <w:bCs/>
    </w:rPr>
  </w:style>
  <w:style w:type="paragraph" w:styleId="FootnoteText">
    <w:name w:val="footnote text"/>
    <w:basedOn w:val="Normal"/>
    <w:link w:val="FootnoteTextChar"/>
    <w:uiPriority w:val="99"/>
    <w:unhideWhenUsed/>
    <w:rsid w:val="00AE6D19"/>
  </w:style>
  <w:style w:type="character" w:customStyle="1" w:styleId="FootnoteTextChar">
    <w:name w:val="Footnote Text Char"/>
    <w:basedOn w:val="DefaultParagraphFont"/>
    <w:link w:val="FootnoteText"/>
    <w:uiPriority w:val="99"/>
    <w:rsid w:val="00AE6D19"/>
  </w:style>
  <w:style w:type="character" w:styleId="FootnoteReference">
    <w:name w:val="footnote reference"/>
    <w:basedOn w:val="DefaultParagraphFont"/>
    <w:uiPriority w:val="99"/>
    <w:unhideWhenUsed/>
    <w:rsid w:val="00AE6D19"/>
    <w:rPr>
      <w:vertAlign w:val="superscript"/>
    </w:rPr>
  </w:style>
  <w:style w:type="table" w:styleId="TableGrid">
    <w:name w:val="Table Grid"/>
    <w:basedOn w:val="TableNormal"/>
    <w:uiPriority w:val="59"/>
    <w:rsid w:val="000F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632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56324"/>
    <w:rPr>
      <w:rFonts w:ascii="Lucida Grande" w:hAnsi="Lucida Grande" w:cs="Lucida Grande"/>
      <w:sz w:val="18"/>
      <w:szCs w:val="18"/>
    </w:rPr>
  </w:style>
  <w:style w:type="character" w:customStyle="1" w:styleId="Heading1Char">
    <w:name w:val="Heading 1 Char"/>
    <w:basedOn w:val="DefaultParagraphFont"/>
    <w:link w:val="Heading1"/>
    <w:uiPriority w:val="9"/>
    <w:rsid w:val="00676C23"/>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uiPriority w:val="99"/>
    <w:unhideWhenUsed/>
    <w:rsid w:val="001908DD"/>
    <w:pPr>
      <w:tabs>
        <w:tab w:val="center" w:pos="4320"/>
        <w:tab w:val="right" w:pos="8640"/>
      </w:tabs>
    </w:pPr>
  </w:style>
  <w:style w:type="character" w:customStyle="1" w:styleId="HeaderChar">
    <w:name w:val="Header Char"/>
    <w:basedOn w:val="DefaultParagraphFont"/>
    <w:link w:val="Header"/>
    <w:uiPriority w:val="99"/>
    <w:rsid w:val="001908DD"/>
  </w:style>
  <w:style w:type="paragraph" w:styleId="NormalWeb">
    <w:name w:val="Normal (Web)"/>
    <w:basedOn w:val="Normal"/>
    <w:uiPriority w:val="99"/>
    <w:semiHidden/>
    <w:unhideWhenUsed/>
    <w:rsid w:val="00AB63B6"/>
    <w:rPr>
      <w:rFonts w:ascii="Times New Roman" w:hAnsi="Times New Roman" w:cs="Times New Roman"/>
    </w:rPr>
  </w:style>
  <w:style w:type="character" w:styleId="FollowedHyperlink">
    <w:name w:val="FollowedHyperlink"/>
    <w:basedOn w:val="DefaultParagraphFont"/>
    <w:uiPriority w:val="99"/>
    <w:semiHidden/>
    <w:unhideWhenUsed/>
    <w:rsid w:val="00093B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72142">
      <w:bodyDiv w:val="1"/>
      <w:marLeft w:val="0"/>
      <w:marRight w:val="0"/>
      <w:marTop w:val="0"/>
      <w:marBottom w:val="0"/>
      <w:divBdr>
        <w:top w:val="none" w:sz="0" w:space="0" w:color="auto"/>
        <w:left w:val="none" w:sz="0" w:space="0" w:color="auto"/>
        <w:bottom w:val="none" w:sz="0" w:space="0" w:color="auto"/>
        <w:right w:val="none" w:sz="0" w:space="0" w:color="auto"/>
      </w:divBdr>
    </w:div>
    <w:div w:id="85734720">
      <w:bodyDiv w:val="1"/>
      <w:marLeft w:val="0"/>
      <w:marRight w:val="0"/>
      <w:marTop w:val="0"/>
      <w:marBottom w:val="0"/>
      <w:divBdr>
        <w:top w:val="none" w:sz="0" w:space="0" w:color="auto"/>
        <w:left w:val="none" w:sz="0" w:space="0" w:color="auto"/>
        <w:bottom w:val="none" w:sz="0" w:space="0" w:color="auto"/>
        <w:right w:val="none" w:sz="0" w:space="0" w:color="auto"/>
      </w:divBdr>
    </w:div>
    <w:div w:id="156073730">
      <w:bodyDiv w:val="1"/>
      <w:marLeft w:val="0"/>
      <w:marRight w:val="0"/>
      <w:marTop w:val="0"/>
      <w:marBottom w:val="0"/>
      <w:divBdr>
        <w:top w:val="none" w:sz="0" w:space="0" w:color="auto"/>
        <w:left w:val="none" w:sz="0" w:space="0" w:color="auto"/>
        <w:bottom w:val="none" w:sz="0" w:space="0" w:color="auto"/>
        <w:right w:val="none" w:sz="0" w:space="0" w:color="auto"/>
      </w:divBdr>
    </w:div>
    <w:div w:id="325061062">
      <w:bodyDiv w:val="1"/>
      <w:marLeft w:val="0"/>
      <w:marRight w:val="0"/>
      <w:marTop w:val="0"/>
      <w:marBottom w:val="0"/>
      <w:divBdr>
        <w:top w:val="none" w:sz="0" w:space="0" w:color="auto"/>
        <w:left w:val="none" w:sz="0" w:space="0" w:color="auto"/>
        <w:bottom w:val="none" w:sz="0" w:space="0" w:color="auto"/>
        <w:right w:val="none" w:sz="0" w:space="0" w:color="auto"/>
      </w:divBdr>
    </w:div>
    <w:div w:id="654456117">
      <w:bodyDiv w:val="1"/>
      <w:marLeft w:val="0"/>
      <w:marRight w:val="0"/>
      <w:marTop w:val="0"/>
      <w:marBottom w:val="0"/>
      <w:divBdr>
        <w:top w:val="none" w:sz="0" w:space="0" w:color="auto"/>
        <w:left w:val="none" w:sz="0" w:space="0" w:color="auto"/>
        <w:bottom w:val="none" w:sz="0" w:space="0" w:color="auto"/>
        <w:right w:val="none" w:sz="0" w:space="0" w:color="auto"/>
      </w:divBdr>
    </w:div>
    <w:div w:id="719400447">
      <w:bodyDiv w:val="1"/>
      <w:marLeft w:val="0"/>
      <w:marRight w:val="0"/>
      <w:marTop w:val="0"/>
      <w:marBottom w:val="0"/>
      <w:divBdr>
        <w:top w:val="none" w:sz="0" w:space="0" w:color="auto"/>
        <w:left w:val="none" w:sz="0" w:space="0" w:color="auto"/>
        <w:bottom w:val="none" w:sz="0" w:space="0" w:color="auto"/>
        <w:right w:val="none" w:sz="0" w:space="0" w:color="auto"/>
      </w:divBdr>
    </w:div>
    <w:div w:id="882209710">
      <w:bodyDiv w:val="1"/>
      <w:marLeft w:val="0"/>
      <w:marRight w:val="0"/>
      <w:marTop w:val="0"/>
      <w:marBottom w:val="0"/>
      <w:divBdr>
        <w:top w:val="none" w:sz="0" w:space="0" w:color="auto"/>
        <w:left w:val="none" w:sz="0" w:space="0" w:color="auto"/>
        <w:bottom w:val="none" w:sz="0" w:space="0" w:color="auto"/>
        <w:right w:val="none" w:sz="0" w:space="0" w:color="auto"/>
      </w:divBdr>
    </w:div>
    <w:div w:id="997733819">
      <w:bodyDiv w:val="1"/>
      <w:marLeft w:val="0"/>
      <w:marRight w:val="0"/>
      <w:marTop w:val="0"/>
      <w:marBottom w:val="0"/>
      <w:divBdr>
        <w:top w:val="none" w:sz="0" w:space="0" w:color="auto"/>
        <w:left w:val="none" w:sz="0" w:space="0" w:color="auto"/>
        <w:bottom w:val="none" w:sz="0" w:space="0" w:color="auto"/>
        <w:right w:val="none" w:sz="0" w:space="0" w:color="auto"/>
      </w:divBdr>
    </w:div>
    <w:div w:id="1416435234">
      <w:bodyDiv w:val="1"/>
      <w:marLeft w:val="0"/>
      <w:marRight w:val="0"/>
      <w:marTop w:val="0"/>
      <w:marBottom w:val="0"/>
      <w:divBdr>
        <w:top w:val="none" w:sz="0" w:space="0" w:color="auto"/>
        <w:left w:val="none" w:sz="0" w:space="0" w:color="auto"/>
        <w:bottom w:val="none" w:sz="0" w:space="0" w:color="auto"/>
        <w:right w:val="none" w:sz="0" w:space="0" w:color="auto"/>
      </w:divBdr>
    </w:div>
    <w:div w:id="1567764427">
      <w:bodyDiv w:val="1"/>
      <w:marLeft w:val="0"/>
      <w:marRight w:val="0"/>
      <w:marTop w:val="0"/>
      <w:marBottom w:val="0"/>
      <w:divBdr>
        <w:top w:val="none" w:sz="0" w:space="0" w:color="auto"/>
        <w:left w:val="none" w:sz="0" w:space="0" w:color="auto"/>
        <w:bottom w:val="none" w:sz="0" w:space="0" w:color="auto"/>
        <w:right w:val="none" w:sz="0" w:space="0" w:color="auto"/>
      </w:divBdr>
    </w:div>
    <w:div w:id="21144715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law.sc.edu/faculty/stuckey/best_practices/best_practices-cover.pdf" TargetMode="External"/><Relationship Id="rId13" Type="http://schemas.openxmlformats.org/officeDocument/2006/relationships/hyperlink" Target="http://www.cou.on.ca/quality" TargetMode="External"/><Relationship Id="rId18" Type="http://schemas.openxmlformats.org/officeDocument/2006/relationships/hyperlink" Target="http://paulmaharg.com" TargetMode="External"/><Relationship Id="rId26" Type="http://schemas.openxmlformats.org/officeDocument/2006/relationships/hyperlink" Target="http://law.case.edu/Academics/ExperientialLearning.aspx" TargetMode="External"/><Relationship Id="rId3" Type="http://schemas.openxmlformats.org/officeDocument/2006/relationships/hyperlink" Target="http://www.cmec.ca/Publications/Lists/Publications/Attachments/95/QA-Statement-2007.en.pdf" TargetMode="External"/><Relationship Id="rId21" Type="http://schemas.openxmlformats.org/officeDocument/2006/relationships/hyperlink" Target="http://olc.spsd.sk.ca/de/pd/instr/strats/simul/index.html" TargetMode="External"/><Relationship Id="rId7" Type="http://schemas.openxmlformats.org/officeDocument/2006/relationships/hyperlink" Target="http://www.luminafoundation.org/wp-content/uploads/2011/02/The_Degree_Qualifications_Profile.pdf" TargetMode="External"/><Relationship Id="rId12" Type="http://schemas.openxmlformats.org/officeDocument/2006/relationships/hyperlink" Target="http://www.york.ac.uk/law/current-students/learning-teaching/" TargetMode="External"/><Relationship Id="rId17" Type="http://schemas.openxmlformats.org/officeDocument/2006/relationships/hyperlink" Target="http://www.ipls.org.nz/for-employers" TargetMode="External"/><Relationship Id="rId25" Type="http://schemas.openxmlformats.org/officeDocument/2006/relationships/hyperlink" Target="http://www.ryerson.ca/lawcentre/lawpracticeprogram.html" TargetMode="External"/><Relationship Id="rId2" Type="http://schemas.openxmlformats.org/officeDocument/2006/relationships/hyperlink" Target="http://www.aqf.edu.au/Portals/0/Documents/Handbook/Greyscale%20-%20AQF_HndBkjul2011_LOCKED_PrintableVersion.pdf" TargetMode="External"/><Relationship Id="rId16" Type="http://schemas.openxmlformats.org/officeDocument/2006/relationships/hyperlink" Target="http://www.flsc.ca/_documents/Common-Law-Degree-Report-C.pdf" TargetMode="External"/><Relationship Id="rId20" Type="http://schemas.openxmlformats.org/officeDocument/2006/relationships/hyperlink" Target="http://www.lawsociety.org.uk/careers/becoming-a-solicitor/routes-to-qualifying/" TargetMode="External"/><Relationship Id="rId29" Type="http://schemas.openxmlformats.org/officeDocument/2006/relationships/hyperlink" Target="http://www.northeastern.edu/law/academics/curriculum/lssc/index.html" TargetMode="External"/><Relationship Id="rId1" Type="http://schemas.openxmlformats.org/officeDocument/2006/relationships/hyperlink" Target="http://www.qaa.ac.uk/Publications/InformationAndGuidance/Pages/quality-code-A1.aspx" TargetMode="External"/><Relationship Id="rId6" Type="http://schemas.openxmlformats.org/officeDocument/2006/relationships/hyperlink" Target="http://www.wascsenior.org/findit/files/forms/Handbook_of_Accreditation.pdf" TargetMode="External"/><Relationship Id="rId11" Type="http://schemas.openxmlformats.org/officeDocument/2006/relationships/hyperlink" Target="http://www.clinicallaw.ca/" TargetMode="External"/><Relationship Id="rId24" Type="http://schemas.openxmlformats.org/officeDocument/2006/relationships/hyperlink" Target="http://www.lsuc.on.ca/Pathways/" TargetMode="External"/><Relationship Id="rId5" Type="http://schemas.openxmlformats.org/officeDocument/2006/relationships/hyperlink" Target="http://www.nzqa.govt.nz/assets/Studying-in-NZ/New-Zealand-Qualification-Framework/theregister-booklet.pdf" TargetMode="External"/><Relationship Id="rId15" Type="http://schemas.openxmlformats.org/officeDocument/2006/relationships/hyperlink" Target="http://letr.org.uk/" TargetMode="External"/><Relationship Id="rId23" Type="http://schemas.openxmlformats.org/officeDocument/2006/relationships/hyperlink" Target="http://www.lsuc.on.ca/with.aspx?id=610" TargetMode="External"/><Relationship Id="rId28" Type="http://schemas.openxmlformats.org/officeDocument/2006/relationships/hyperlink" Target="http://www.law.nyu.edu/academics/lawyeringprogram/curriculum/index.htm" TargetMode="External"/><Relationship Id="rId10" Type="http://schemas.openxmlformats.org/officeDocument/2006/relationships/hyperlink" Target="http://www.uwindsor.ca/law/2014-08-24/online-learning-launched" TargetMode="External"/><Relationship Id="rId19" Type="http://schemas.openxmlformats.org/officeDocument/2006/relationships/hyperlink" Target="http://paulmaharg.com/2011/09/16/standardized-clients-northumbria-university-law-school/" TargetMode="External"/><Relationship Id="rId31" Type="http://schemas.openxmlformats.org/officeDocument/2006/relationships/hyperlink" Target="http://letr.org.uk/" TargetMode="External"/><Relationship Id="rId4" Type="http://schemas.openxmlformats.org/officeDocument/2006/relationships/hyperlink" Target="http://www.caqc.gov.ab.ca/media/1102/handbook_december_2011_revised_2012_04.pdf" TargetMode="External"/><Relationship Id="rId9" Type="http://schemas.openxmlformats.org/officeDocument/2006/relationships/hyperlink" Target="http://letr.org.uk/publications/briefing-and-discussion-papers/" TargetMode="External"/><Relationship Id="rId14" Type="http://schemas.openxmlformats.org/officeDocument/2006/relationships/hyperlink" Target="http://www.sra.org.uk/documents/students/lpc/Outcomes-Sept2011.pdf" TargetMode="External"/><Relationship Id="rId22" Type="http://schemas.openxmlformats.org/officeDocument/2006/relationships/hyperlink" Target="http://letr.org.uk/" TargetMode="External"/><Relationship Id="rId27" Type="http://schemas.openxmlformats.org/officeDocument/2006/relationships/hyperlink" Target="http://www.law.cuny.edu/academics/curriculum.html" TargetMode="External"/><Relationship Id="rId30" Type="http://schemas.openxmlformats.org/officeDocument/2006/relationships/hyperlink" Target="http://law.wlu.edu/admissions/page.asp?pageid=3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24D11-8BBE-4FAE-A0FF-0BA787402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57</Pages>
  <Words>10418</Words>
  <Characters>59383</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69662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dc:creator>
  <cp:lastModifiedBy>Paul Burns</cp:lastModifiedBy>
  <cp:revision>5</cp:revision>
  <cp:lastPrinted>2013-12-13T19:24:00Z</cp:lastPrinted>
  <dcterms:created xsi:type="dcterms:W3CDTF">2015-01-19T14:31:00Z</dcterms:created>
  <dcterms:modified xsi:type="dcterms:W3CDTF">2015-02-06T10:32:00Z</dcterms:modified>
</cp:coreProperties>
</file>