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75A4" w:rsidRPr="00386C30" w:rsidRDefault="00603362" w:rsidP="00386C30">
      <w:pPr>
        <w:pStyle w:val="NoSpacing"/>
        <w:spacing w:before="240" w:after="240" w:line="480" w:lineRule="auto"/>
        <w:rPr>
          <w:rFonts w:ascii="Palatino Linotype" w:hAnsi="Palatino Linotype"/>
          <w:i/>
          <w:sz w:val="24"/>
          <w:szCs w:val="24"/>
        </w:rPr>
      </w:pPr>
      <w:r>
        <w:rPr>
          <w:rFonts w:ascii="Palatino Linotype" w:hAnsi="Palatino Linotype"/>
          <w:i/>
          <w:sz w:val="24"/>
          <w:szCs w:val="24"/>
        </w:rPr>
        <w:t xml:space="preserve">Reviewed Article: Clinic, the University and Society </w:t>
      </w:r>
      <w:bookmarkStart w:id="0" w:name="_GoBack"/>
      <w:bookmarkEnd w:id="0"/>
    </w:p>
    <w:p w:rsidR="001B75A4" w:rsidRPr="00386C30" w:rsidRDefault="00F04D7F" w:rsidP="00386C30">
      <w:pPr>
        <w:pStyle w:val="NoSpacing"/>
        <w:spacing w:before="240" w:after="240" w:line="480" w:lineRule="auto"/>
        <w:jc w:val="both"/>
        <w:rPr>
          <w:rFonts w:ascii="Palatino Linotype" w:hAnsi="Palatino Linotype"/>
          <w:sz w:val="28"/>
          <w:szCs w:val="24"/>
        </w:rPr>
      </w:pPr>
      <w:r w:rsidRPr="00386C30">
        <w:rPr>
          <w:rFonts w:ascii="Palatino Linotype" w:hAnsi="Palatino Linotype"/>
          <w:sz w:val="28"/>
          <w:szCs w:val="24"/>
        </w:rPr>
        <w:t>Law student attitudes towards pro bono and voluntary work: The experience at Northumbria University</w:t>
      </w:r>
    </w:p>
    <w:p w:rsidR="00603362" w:rsidRDefault="00603362" w:rsidP="00386C30">
      <w:pPr>
        <w:pStyle w:val="NoSpacing"/>
        <w:spacing w:before="240" w:after="240" w:line="480" w:lineRule="auto"/>
        <w:jc w:val="both"/>
        <w:rPr>
          <w:rFonts w:ascii="Palatino Linotype" w:hAnsi="Palatino Linotype"/>
          <w:sz w:val="24"/>
          <w:szCs w:val="24"/>
        </w:rPr>
      </w:pPr>
      <w:r>
        <w:rPr>
          <w:rFonts w:ascii="Palatino Linotype" w:hAnsi="Palatino Linotype"/>
          <w:sz w:val="24"/>
          <w:szCs w:val="24"/>
        </w:rPr>
        <w:t>Paul McKeown, Northumbria University, UK</w:t>
      </w:r>
    </w:p>
    <w:p w:rsidR="00603362" w:rsidRPr="00386C30" w:rsidRDefault="0003183D" w:rsidP="00386C30">
      <w:pPr>
        <w:pStyle w:val="NoSpacing"/>
        <w:spacing w:before="240" w:after="240" w:line="480" w:lineRule="auto"/>
        <w:jc w:val="both"/>
        <w:rPr>
          <w:rFonts w:ascii="Palatino Linotype" w:hAnsi="Palatino Linotype"/>
          <w:sz w:val="24"/>
          <w:szCs w:val="24"/>
        </w:rPr>
      </w:pPr>
      <w:hyperlink r:id="rId10" w:history="1">
        <w:r w:rsidR="001B2F5E" w:rsidRPr="00D76470">
          <w:rPr>
            <w:rStyle w:val="Hyperlink"/>
            <w:rFonts w:ascii="Palatino Linotype" w:hAnsi="Palatino Linotype"/>
            <w:sz w:val="24"/>
            <w:szCs w:val="24"/>
          </w:rPr>
          <w:t>paul.mckeown@northumbria.ac.uk</w:t>
        </w:r>
      </w:hyperlink>
      <w:r w:rsidR="001B2F5E">
        <w:rPr>
          <w:rFonts w:ascii="Palatino Linotype" w:hAnsi="Palatino Linotype"/>
          <w:sz w:val="24"/>
          <w:szCs w:val="24"/>
        </w:rPr>
        <w:t xml:space="preserve"> </w:t>
      </w:r>
    </w:p>
    <w:p w:rsidR="00C6002F" w:rsidRPr="00386C30" w:rsidRDefault="00C6002F" w:rsidP="00386C30">
      <w:pPr>
        <w:pStyle w:val="NoSpacing"/>
        <w:spacing w:before="240" w:line="360" w:lineRule="auto"/>
        <w:jc w:val="both"/>
        <w:rPr>
          <w:rFonts w:ascii="Palatino Linotype" w:hAnsi="Palatino Linotype"/>
          <w:i/>
          <w:sz w:val="24"/>
          <w:szCs w:val="24"/>
        </w:rPr>
      </w:pPr>
      <w:r w:rsidRPr="00386C30">
        <w:rPr>
          <w:rFonts w:ascii="Palatino Linotype" w:hAnsi="Palatino Linotype"/>
          <w:i/>
          <w:sz w:val="24"/>
          <w:szCs w:val="24"/>
        </w:rPr>
        <w:t>Abstract</w:t>
      </w:r>
    </w:p>
    <w:p w:rsidR="00C6002F" w:rsidRPr="00386C30" w:rsidRDefault="00C6002F" w:rsidP="00386C30">
      <w:pPr>
        <w:pStyle w:val="NoSpacing"/>
        <w:spacing w:before="240" w:after="240" w:line="360" w:lineRule="auto"/>
        <w:jc w:val="both"/>
        <w:rPr>
          <w:rFonts w:ascii="Palatino Linotype" w:hAnsi="Palatino Linotype"/>
          <w:sz w:val="24"/>
          <w:szCs w:val="24"/>
        </w:rPr>
      </w:pPr>
      <w:r w:rsidRPr="00386C30">
        <w:rPr>
          <w:rFonts w:ascii="Palatino Linotype" w:hAnsi="Palatino Linotype"/>
          <w:sz w:val="24"/>
          <w:szCs w:val="24"/>
        </w:rPr>
        <w:t>This study considers whether participation in pro bono</w:t>
      </w:r>
      <w:r w:rsidR="00E22A0B" w:rsidRPr="00386C30">
        <w:rPr>
          <w:rFonts w:ascii="Palatino Linotype" w:hAnsi="Palatino Linotype"/>
          <w:sz w:val="24"/>
          <w:szCs w:val="24"/>
        </w:rPr>
        <w:t xml:space="preserve"> legal work during a </w:t>
      </w:r>
      <w:r w:rsidRPr="00386C30">
        <w:rPr>
          <w:rFonts w:ascii="Palatino Linotype" w:hAnsi="Palatino Linotype"/>
          <w:sz w:val="24"/>
          <w:szCs w:val="24"/>
        </w:rPr>
        <w:t xml:space="preserve">programme </w:t>
      </w:r>
      <w:r w:rsidR="00D56145" w:rsidRPr="00386C30">
        <w:rPr>
          <w:rFonts w:ascii="Palatino Linotype" w:hAnsi="Palatino Linotype"/>
          <w:sz w:val="24"/>
          <w:szCs w:val="24"/>
        </w:rPr>
        <w:t xml:space="preserve">of </w:t>
      </w:r>
      <w:r w:rsidRPr="00386C30">
        <w:rPr>
          <w:rFonts w:ascii="Palatino Linotype" w:hAnsi="Palatino Linotype"/>
          <w:sz w:val="24"/>
          <w:szCs w:val="24"/>
        </w:rPr>
        <w:t xml:space="preserve">academic study at </w:t>
      </w:r>
      <w:r w:rsidR="00707140" w:rsidRPr="00386C30">
        <w:rPr>
          <w:rFonts w:ascii="Palatino Linotype" w:hAnsi="Palatino Linotype"/>
          <w:sz w:val="24"/>
          <w:szCs w:val="24"/>
        </w:rPr>
        <w:t>Northumbria</w:t>
      </w:r>
      <w:r w:rsidRPr="00386C30">
        <w:rPr>
          <w:rFonts w:ascii="Palatino Linotype" w:hAnsi="Palatino Linotype"/>
          <w:sz w:val="24"/>
          <w:szCs w:val="24"/>
        </w:rPr>
        <w:t xml:space="preserve"> University increases the likelihood of future participation in pro bono activity amongst law students.</w:t>
      </w:r>
    </w:p>
    <w:p w:rsidR="00C6002F" w:rsidRPr="00386C30" w:rsidRDefault="00C6002F" w:rsidP="00386C30">
      <w:pPr>
        <w:pStyle w:val="NoSpacing"/>
        <w:spacing w:before="240" w:after="240" w:line="360" w:lineRule="auto"/>
        <w:jc w:val="both"/>
        <w:rPr>
          <w:rFonts w:ascii="Palatino Linotype" w:hAnsi="Palatino Linotype"/>
          <w:sz w:val="24"/>
          <w:szCs w:val="24"/>
        </w:rPr>
      </w:pPr>
      <w:r w:rsidRPr="00386C30">
        <w:rPr>
          <w:rFonts w:ascii="Palatino Linotype" w:hAnsi="Palatino Linotype"/>
          <w:sz w:val="24"/>
          <w:szCs w:val="24"/>
        </w:rPr>
        <w:t>This was a quantitative study in which a</w:t>
      </w:r>
      <w:r w:rsidR="00E22A0B" w:rsidRPr="00386C30">
        <w:rPr>
          <w:rFonts w:ascii="Palatino Linotype" w:hAnsi="Palatino Linotype"/>
          <w:sz w:val="24"/>
          <w:szCs w:val="24"/>
        </w:rPr>
        <w:t>n online</w:t>
      </w:r>
      <w:r w:rsidRPr="00386C30">
        <w:rPr>
          <w:rFonts w:ascii="Palatino Linotype" w:hAnsi="Palatino Linotype"/>
          <w:sz w:val="24"/>
          <w:szCs w:val="24"/>
        </w:rPr>
        <w:t xml:space="preserve"> survey</w:t>
      </w:r>
      <w:r w:rsidR="00B50A5D" w:rsidRPr="00386C30">
        <w:rPr>
          <w:rFonts w:ascii="Palatino Linotype" w:hAnsi="Palatino Linotype"/>
          <w:sz w:val="24"/>
          <w:szCs w:val="24"/>
        </w:rPr>
        <w:t>, measuring altruistic attitudes,</w:t>
      </w:r>
      <w:r w:rsidRPr="00386C30">
        <w:rPr>
          <w:rFonts w:ascii="Palatino Linotype" w:hAnsi="Palatino Linotype"/>
          <w:sz w:val="24"/>
          <w:szCs w:val="24"/>
        </w:rPr>
        <w:t xml:space="preserve"> was sent to students enrolled on the M Law Exempting degree programme at </w:t>
      </w:r>
      <w:r w:rsidR="00707140" w:rsidRPr="00386C30">
        <w:rPr>
          <w:rFonts w:ascii="Palatino Linotype" w:hAnsi="Palatino Linotype"/>
          <w:sz w:val="24"/>
          <w:szCs w:val="24"/>
        </w:rPr>
        <w:t>Northumbria</w:t>
      </w:r>
      <w:r w:rsidRPr="00386C30">
        <w:rPr>
          <w:rFonts w:ascii="Palatino Linotype" w:hAnsi="Palatino Linotype"/>
          <w:sz w:val="24"/>
          <w:szCs w:val="24"/>
        </w:rPr>
        <w:t xml:space="preserve"> University.  </w:t>
      </w:r>
      <w:r w:rsidR="00E22A0B" w:rsidRPr="00386C30">
        <w:rPr>
          <w:rFonts w:ascii="Palatino Linotype" w:hAnsi="Palatino Linotype"/>
          <w:sz w:val="24"/>
          <w:szCs w:val="24"/>
        </w:rPr>
        <w:t xml:space="preserve">  </w:t>
      </w:r>
      <w:r w:rsidRPr="00386C30">
        <w:rPr>
          <w:rFonts w:ascii="Palatino Linotype" w:hAnsi="Palatino Linotype"/>
          <w:sz w:val="24"/>
          <w:szCs w:val="24"/>
        </w:rPr>
        <w:t>The author analysed the data by comparing the attitudes of those students who had engaged in pro bono activity</w:t>
      </w:r>
      <w:r w:rsidR="00E22A0B" w:rsidRPr="00386C30">
        <w:rPr>
          <w:rFonts w:ascii="Palatino Linotype" w:hAnsi="Palatino Linotype"/>
          <w:sz w:val="24"/>
          <w:szCs w:val="24"/>
        </w:rPr>
        <w:t xml:space="preserve"> during the fourth year of the programme</w:t>
      </w:r>
      <w:r w:rsidRPr="00386C30">
        <w:rPr>
          <w:rFonts w:ascii="Palatino Linotype" w:hAnsi="Palatino Linotype"/>
          <w:sz w:val="24"/>
          <w:szCs w:val="24"/>
        </w:rPr>
        <w:t xml:space="preserve"> against those students who ha</w:t>
      </w:r>
      <w:r w:rsidR="00ED4697" w:rsidRPr="00386C30">
        <w:rPr>
          <w:rFonts w:ascii="Palatino Linotype" w:hAnsi="Palatino Linotype"/>
          <w:sz w:val="24"/>
          <w:szCs w:val="24"/>
        </w:rPr>
        <w:t xml:space="preserve">d </w:t>
      </w:r>
      <w:r w:rsidRPr="00386C30">
        <w:rPr>
          <w:rFonts w:ascii="Palatino Linotype" w:hAnsi="Palatino Linotype"/>
          <w:sz w:val="24"/>
          <w:szCs w:val="24"/>
        </w:rPr>
        <w:t>yet to engage in pro bono activity</w:t>
      </w:r>
      <w:r w:rsidR="00E22A0B" w:rsidRPr="00386C30">
        <w:rPr>
          <w:rFonts w:ascii="Palatino Linotype" w:hAnsi="Palatino Linotype"/>
          <w:sz w:val="24"/>
          <w:szCs w:val="24"/>
        </w:rPr>
        <w:t>, being those students in Years 1, 2 and 3 of the programme</w:t>
      </w:r>
      <w:r w:rsidRPr="00386C30">
        <w:rPr>
          <w:rFonts w:ascii="Palatino Linotype" w:hAnsi="Palatino Linotype"/>
          <w:sz w:val="24"/>
          <w:szCs w:val="24"/>
        </w:rPr>
        <w:t>.</w:t>
      </w:r>
    </w:p>
    <w:p w:rsidR="00C6002F" w:rsidRPr="00386C30" w:rsidRDefault="00C6002F" w:rsidP="00386C30">
      <w:pPr>
        <w:pStyle w:val="NoSpacing"/>
        <w:spacing w:before="240" w:after="240" w:line="360" w:lineRule="auto"/>
        <w:jc w:val="both"/>
        <w:rPr>
          <w:rFonts w:ascii="Palatino Linotype" w:hAnsi="Palatino Linotype"/>
          <w:sz w:val="24"/>
          <w:szCs w:val="24"/>
        </w:rPr>
      </w:pPr>
      <w:r w:rsidRPr="00386C30">
        <w:rPr>
          <w:rFonts w:ascii="Palatino Linotype" w:hAnsi="Palatino Linotype"/>
          <w:sz w:val="24"/>
          <w:szCs w:val="24"/>
        </w:rPr>
        <w:t xml:space="preserve">The data suggests that whilst the students value engagement in pro bono activity, this is principally due to the personal benefits which they </w:t>
      </w:r>
      <w:r w:rsidR="00ED4697" w:rsidRPr="00386C30">
        <w:rPr>
          <w:rFonts w:ascii="Palatino Linotype" w:hAnsi="Palatino Linotype"/>
          <w:sz w:val="24"/>
          <w:szCs w:val="24"/>
        </w:rPr>
        <w:t>gain</w:t>
      </w:r>
      <w:r w:rsidRPr="00386C30">
        <w:rPr>
          <w:rFonts w:ascii="Palatino Linotype" w:hAnsi="Palatino Linotype"/>
          <w:sz w:val="24"/>
          <w:szCs w:val="24"/>
        </w:rPr>
        <w:t>.  In particular, respondents reported improvement in legal skills and enhanced employability as a consequence of participation in pro bono work.  The data indicates that there is an increased awareness of social and economic issues whilst engaged in pro bono work but this does not translate into a desire to continue pro bono work after graduation.</w:t>
      </w:r>
    </w:p>
    <w:p w:rsidR="00C6002F" w:rsidRPr="00386C30" w:rsidRDefault="00B50A5D" w:rsidP="00386C30">
      <w:pPr>
        <w:pStyle w:val="NoSpacing"/>
        <w:spacing w:before="240" w:after="240" w:line="360" w:lineRule="auto"/>
        <w:jc w:val="both"/>
        <w:rPr>
          <w:rFonts w:ascii="Palatino Linotype" w:hAnsi="Palatino Linotype"/>
          <w:sz w:val="24"/>
          <w:szCs w:val="24"/>
        </w:rPr>
      </w:pPr>
      <w:r w:rsidRPr="00386C30">
        <w:rPr>
          <w:rFonts w:ascii="Palatino Linotype" w:hAnsi="Palatino Linotype"/>
          <w:sz w:val="24"/>
          <w:szCs w:val="24"/>
        </w:rPr>
        <w:lastRenderedPageBreak/>
        <w:t xml:space="preserve">It was therefore concluded </w:t>
      </w:r>
      <w:r w:rsidR="00C6002F" w:rsidRPr="00386C30">
        <w:rPr>
          <w:rFonts w:ascii="Palatino Linotype" w:hAnsi="Palatino Linotype"/>
          <w:sz w:val="24"/>
          <w:szCs w:val="24"/>
        </w:rPr>
        <w:t>that participation in pro bono work during the course of academic study does not increase the likelihood of future participation in pro bono activity following graduation.</w:t>
      </w:r>
    </w:p>
    <w:p w:rsidR="00603362" w:rsidRDefault="00603362" w:rsidP="00386C30">
      <w:pPr>
        <w:pStyle w:val="NoSpacing"/>
        <w:spacing w:before="240" w:after="240" w:line="480" w:lineRule="auto"/>
        <w:jc w:val="both"/>
        <w:rPr>
          <w:rFonts w:ascii="Palatino Linotype" w:hAnsi="Palatino Linotype"/>
          <w:sz w:val="24"/>
          <w:szCs w:val="24"/>
        </w:rPr>
      </w:pPr>
    </w:p>
    <w:p w:rsidR="00C6002F" w:rsidRPr="00386C30" w:rsidRDefault="00603362" w:rsidP="00386C30">
      <w:pPr>
        <w:pStyle w:val="NoSpacing"/>
        <w:spacing w:before="240" w:after="240" w:line="480" w:lineRule="auto"/>
        <w:jc w:val="both"/>
        <w:rPr>
          <w:rFonts w:ascii="Palatino Linotype" w:hAnsi="Palatino Linotype"/>
          <w:sz w:val="24"/>
          <w:szCs w:val="24"/>
        </w:rPr>
      </w:pPr>
      <w:r w:rsidRPr="00386C30">
        <w:rPr>
          <w:rFonts w:ascii="Palatino Linotype" w:hAnsi="Palatino Linotype"/>
          <w:sz w:val="24"/>
          <w:szCs w:val="24"/>
        </w:rPr>
        <w:t>INTRODUCTION</w:t>
      </w:r>
    </w:p>
    <w:p w:rsidR="00C6002F" w:rsidRPr="00603362" w:rsidRDefault="00C6002F" w:rsidP="00386C30">
      <w:pPr>
        <w:pStyle w:val="BodyText"/>
        <w:spacing w:before="240" w:after="240" w:line="480" w:lineRule="auto"/>
        <w:jc w:val="both"/>
        <w:rPr>
          <w:rFonts w:ascii="Palatino Linotype" w:hAnsi="Palatino Linotype"/>
        </w:rPr>
      </w:pPr>
      <w:r w:rsidRPr="00386C30">
        <w:rPr>
          <w:rFonts w:ascii="Palatino Linotype" w:hAnsi="Palatino Linotype"/>
        </w:rPr>
        <w:t xml:space="preserve">The availability of public funding </w:t>
      </w:r>
      <w:r w:rsidR="00BD408A" w:rsidRPr="00386C30">
        <w:rPr>
          <w:rFonts w:ascii="Palatino Linotype" w:hAnsi="Palatino Linotype"/>
        </w:rPr>
        <w:t xml:space="preserve">in the UK </w:t>
      </w:r>
      <w:r w:rsidRPr="00386C30">
        <w:rPr>
          <w:rFonts w:ascii="Palatino Linotype" w:hAnsi="Palatino Linotype"/>
        </w:rPr>
        <w:t xml:space="preserve">in relation to legal disputes has significantly reduced following </w:t>
      </w:r>
      <w:r w:rsidR="00F7295F" w:rsidRPr="00386C30">
        <w:rPr>
          <w:rFonts w:ascii="Palatino Linotype" w:hAnsi="Palatino Linotype"/>
        </w:rPr>
        <w:t xml:space="preserve">the changes to the scope of legal aid under the </w:t>
      </w:r>
      <w:r w:rsidRPr="00386C30">
        <w:rPr>
          <w:rFonts w:ascii="Palatino Linotype" w:hAnsi="Palatino Linotype"/>
        </w:rPr>
        <w:t>Legal Aid, Sentencing and Punishment of Offenders Act 2012 coming into force on 1 April 2013.</w:t>
      </w:r>
      <w:r w:rsidR="00034238" w:rsidRPr="00386C30">
        <w:rPr>
          <w:rStyle w:val="FootnoteReference"/>
          <w:rFonts w:ascii="Palatino Linotype" w:hAnsi="Palatino Linotype"/>
        </w:rPr>
        <w:footnoteReference w:id="1"/>
      </w:r>
      <w:r w:rsidRPr="00603362">
        <w:rPr>
          <w:rFonts w:ascii="Palatino Linotype" w:hAnsi="Palatino Linotype"/>
        </w:rPr>
        <w:t xml:space="preserve">  As many areas of law have been taken out of </w:t>
      </w:r>
      <w:r w:rsidR="00BF493A" w:rsidRPr="00603362">
        <w:rPr>
          <w:rFonts w:ascii="Palatino Linotype" w:hAnsi="Palatino Linotype"/>
        </w:rPr>
        <w:t xml:space="preserve">the </w:t>
      </w:r>
      <w:r w:rsidRPr="00603362">
        <w:rPr>
          <w:rFonts w:ascii="Palatino Linotype" w:hAnsi="Palatino Linotype"/>
        </w:rPr>
        <w:t xml:space="preserve">scope </w:t>
      </w:r>
      <w:r w:rsidR="00BF493A" w:rsidRPr="00603362">
        <w:rPr>
          <w:rFonts w:ascii="Palatino Linotype" w:hAnsi="Palatino Linotype"/>
        </w:rPr>
        <w:t xml:space="preserve">of </w:t>
      </w:r>
      <w:r w:rsidRPr="00603362">
        <w:rPr>
          <w:rFonts w:ascii="Palatino Linotype" w:hAnsi="Palatino Linotype"/>
        </w:rPr>
        <w:t>legal aid, individuals who previously qualified for legal aid will either be required to represent themselves or seek an alternative source of funding in relation to their case.</w:t>
      </w:r>
    </w:p>
    <w:p w:rsidR="00C6002F" w:rsidRPr="00386C30" w:rsidRDefault="00C6002F" w:rsidP="00386C30">
      <w:pPr>
        <w:pStyle w:val="BodyText"/>
        <w:spacing w:before="240" w:after="240" w:line="480" w:lineRule="auto"/>
        <w:jc w:val="both"/>
        <w:rPr>
          <w:rFonts w:ascii="Palatino Linotype" w:hAnsi="Palatino Linotype"/>
        </w:rPr>
      </w:pPr>
      <w:r w:rsidRPr="00603362">
        <w:rPr>
          <w:rFonts w:ascii="Palatino Linotype" w:hAnsi="Palatino Linotype"/>
        </w:rPr>
        <w:t xml:space="preserve">It has been reported that the number of </w:t>
      </w:r>
      <w:r w:rsidR="00BD408A" w:rsidRPr="00603362">
        <w:rPr>
          <w:rFonts w:ascii="Palatino Linotype" w:hAnsi="Palatino Linotype"/>
        </w:rPr>
        <w:t xml:space="preserve">UK-based </w:t>
      </w:r>
      <w:r w:rsidRPr="00603362">
        <w:rPr>
          <w:rFonts w:ascii="Palatino Linotype" w:hAnsi="Palatino Linotype"/>
        </w:rPr>
        <w:t>universities engaging in pro bono work has increased</w:t>
      </w:r>
      <w:r w:rsidR="00ED4697" w:rsidRPr="00603362">
        <w:rPr>
          <w:rFonts w:ascii="Palatino Linotype" w:hAnsi="Palatino Linotype"/>
        </w:rPr>
        <w:t>.</w:t>
      </w:r>
      <w:r w:rsidRPr="00603362">
        <w:rPr>
          <w:rFonts w:ascii="Palatino Linotype" w:hAnsi="Palatino Linotype"/>
        </w:rPr>
        <w:t xml:space="preserve"> 53% </w:t>
      </w:r>
      <w:r w:rsidR="00ED4697" w:rsidRPr="00603362">
        <w:rPr>
          <w:rFonts w:ascii="Palatino Linotype" w:hAnsi="Palatino Linotype"/>
        </w:rPr>
        <w:t xml:space="preserve">of respondent law schools stated they ran a pro bono programme </w:t>
      </w:r>
      <w:r w:rsidRPr="00603362">
        <w:rPr>
          <w:rFonts w:ascii="Palatino Linotype" w:hAnsi="Palatino Linotype"/>
        </w:rPr>
        <w:t>in 2006</w:t>
      </w:r>
      <w:r w:rsidR="007D37DE" w:rsidRPr="00603362">
        <w:rPr>
          <w:rStyle w:val="FootnoteReference"/>
          <w:rFonts w:ascii="Palatino Linotype" w:hAnsi="Palatino Linotype"/>
        </w:rPr>
        <w:footnoteReference w:id="2"/>
      </w:r>
      <w:r w:rsidRPr="00603362">
        <w:rPr>
          <w:rFonts w:ascii="Palatino Linotype" w:hAnsi="Palatino Linotype"/>
        </w:rPr>
        <w:t xml:space="preserve"> </w:t>
      </w:r>
      <w:r w:rsidR="00C57E41" w:rsidRPr="00603362">
        <w:rPr>
          <w:rFonts w:ascii="Palatino Linotype" w:hAnsi="Palatino Linotype"/>
        </w:rPr>
        <w:t xml:space="preserve">increasing </w:t>
      </w:r>
      <w:r w:rsidRPr="00603362">
        <w:rPr>
          <w:rFonts w:ascii="Palatino Linotype" w:hAnsi="Palatino Linotype"/>
        </w:rPr>
        <w:t xml:space="preserve">to 91% </w:t>
      </w:r>
      <w:r w:rsidR="00470FC6" w:rsidRPr="00603362">
        <w:rPr>
          <w:rFonts w:ascii="Palatino Linotype" w:hAnsi="Palatino Linotype"/>
        </w:rPr>
        <w:t xml:space="preserve">of respondent law schools </w:t>
      </w:r>
      <w:r w:rsidRPr="00603362">
        <w:rPr>
          <w:rFonts w:ascii="Palatino Linotype" w:hAnsi="Palatino Linotype"/>
        </w:rPr>
        <w:lastRenderedPageBreak/>
        <w:t>i</w:t>
      </w:r>
      <w:r w:rsidR="007D37DE" w:rsidRPr="00603362">
        <w:rPr>
          <w:rFonts w:ascii="Palatino Linotype" w:hAnsi="Palatino Linotype"/>
        </w:rPr>
        <w:t>n 201</w:t>
      </w:r>
      <w:r w:rsidR="00470FC6" w:rsidRPr="00603362">
        <w:rPr>
          <w:rFonts w:ascii="Palatino Linotype" w:hAnsi="Palatino Linotype"/>
        </w:rPr>
        <w:t>0</w:t>
      </w:r>
      <w:r w:rsidR="007D37DE" w:rsidRPr="00603362">
        <w:rPr>
          <w:rStyle w:val="FootnoteReference"/>
          <w:rFonts w:ascii="Palatino Linotype" w:hAnsi="Palatino Linotype"/>
        </w:rPr>
        <w:footnoteReference w:id="3"/>
      </w:r>
      <w:r w:rsidR="00C57E41" w:rsidRPr="00386C30">
        <w:rPr>
          <w:rFonts w:ascii="Palatino Linotype" w:hAnsi="Palatino Linotype"/>
        </w:rPr>
        <w:t>, and 96% of respondent law schools in 2014.</w:t>
      </w:r>
      <w:r w:rsidR="00C57E41" w:rsidRPr="00386C30">
        <w:rPr>
          <w:rStyle w:val="FootnoteReference"/>
          <w:rFonts w:ascii="Palatino Linotype" w:hAnsi="Palatino Linotype"/>
        </w:rPr>
        <w:footnoteReference w:id="4"/>
      </w:r>
      <w:r w:rsidR="004E10BC" w:rsidRPr="00386C30">
        <w:rPr>
          <w:rFonts w:ascii="Palatino Linotype" w:hAnsi="Palatino Linotype"/>
        </w:rPr>
        <w:t xml:space="preserve">  The 2014 report suggests that 70% of law schools of pro bono opportunities, assuming those that did not respond do not offer any opportunities.</w:t>
      </w:r>
      <w:r w:rsidR="004E10BC" w:rsidRPr="00386C30">
        <w:rPr>
          <w:rStyle w:val="FootnoteReference"/>
          <w:rFonts w:ascii="Palatino Linotype" w:hAnsi="Palatino Linotype"/>
        </w:rPr>
        <w:footnoteReference w:id="5"/>
      </w:r>
      <w:r w:rsidR="00470FC6" w:rsidRPr="00386C30">
        <w:rPr>
          <w:rFonts w:ascii="Palatino Linotype" w:hAnsi="Palatino Linotype"/>
        </w:rPr>
        <w:t xml:space="preserve">  </w:t>
      </w:r>
      <w:r w:rsidRPr="00386C30">
        <w:rPr>
          <w:rFonts w:ascii="Palatino Linotype" w:hAnsi="Palatino Linotype"/>
        </w:rPr>
        <w:t xml:space="preserve">  </w:t>
      </w:r>
    </w:p>
    <w:p w:rsidR="00C6002F" w:rsidRPr="00386C30" w:rsidRDefault="00C6002F" w:rsidP="00386C30">
      <w:pPr>
        <w:pStyle w:val="BodyText"/>
        <w:spacing w:before="240" w:after="240" w:line="480" w:lineRule="auto"/>
        <w:jc w:val="both"/>
        <w:rPr>
          <w:rFonts w:ascii="Palatino Linotype" w:hAnsi="Palatino Linotype"/>
        </w:rPr>
      </w:pPr>
      <w:r w:rsidRPr="00386C30">
        <w:rPr>
          <w:rFonts w:ascii="Palatino Linotype" w:hAnsi="Palatino Linotype"/>
        </w:rPr>
        <w:t xml:space="preserve">As more universities develop pro bono work programmes, </w:t>
      </w:r>
      <w:r w:rsidR="007D37DE" w:rsidRPr="00386C30">
        <w:rPr>
          <w:rFonts w:ascii="Palatino Linotype" w:hAnsi="Palatino Linotype"/>
        </w:rPr>
        <w:t>and</w:t>
      </w:r>
      <w:r w:rsidRPr="00386C30">
        <w:rPr>
          <w:rFonts w:ascii="Palatino Linotype" w:hAnsi="Palatino Linotype"/>
        </w:rPr>
        <w:t xml:space="preserve"> more law students have the opportunity to engage in pro bono work, it is plausible to </w:t>
      </w:r>
      <w:r w:rsidR="00BF493A" w:rsidRPr="00386C30">
        <w:rPr>
          <w:rFonts w:ascii="Palatino Linotype" w:hAnsi="Palatino Linotype"/>
        </w:rPr>
        <w:t xml:space="preserve">suggest </w:t>
      </w:r>
      <w:r w:rsidRPr="00386C30">
        <w:rPr>
          <w:rFonts w:ascii="Palatino Linotype" w:hAnsi="Palatino Linotype"/>
        </w:rPr>
        <w:t xml:space="preserve">that future participation in pro bono activity </w:t>
      </w:r>
      <w:r w:rsidR="004E10BC" w:rsidRPr="00386C30">
        <w:rPr>
          <w:rFonts w:ascii="Palatino Linotype" w:hAnsi="Palatino Linotype"/>
        </w:rPr>
        <w:t>might</w:t>
      </w:r>
      <w:r w:rsidRPr="00386C30">
        <w:rPr>
          <w:rFonts w:ascii="Palatino Linotype" w:hAnsi="Palatino Linotype"/>
        </w:rPr>
        <w:t xml:space="preserve"> increase in the profession.   </w:t>
      </w:r>
    </w:p>
    <w:p w:rsidR="00C6002F" w:rsidRPr="00386C30" w:rsidRDefault="00C6002F" w:rsidP="00386C30">
      <w:pPr>
        <w:pStyle w:val="BodyText"/>
        <w:spacing w:before="240" w:after="240" w:line="480" w:lineRule="auto"/>
        <w:jc w:val="both"/>
        <w:rPr>
          <w:rFonts w:ascii="Palatino Linotype" w:hAnsi="Palatino Linotype"/>
        </w:rPr>
      </w:pPr>
      <w:r w:rsidRPr="00386C30">
        <w:rPr>
          <w:rFonts w:ascii="Palatino Linotype" w:hAnsi="Palatino Linotype"/>
        </w:rPr>
        <w:t xml:space="preserve">This study will consider whether participation in pro bono activity whilst at law school influences future participation in pro bono activity following graduation and in their future careers.  The study will be in the context of the M Law Exempting degree programme at </w:t>
      </w:r>
      <w:r w:rsidR="00707140" w:rsidRPr="00386C30">
        <w:rPr>
          <w:rFonts w:ascii="Palatino Linotype" w:hAnsi="Palatino Linotype"/>
        </w:rPr>
        <w:t xml:space="preserve">Northumbria </w:t>
      </w:r>
      <w:r w:rsidRPr="00386C30">
        <w:rPr>
          <w:rFonts w:ascii="Palatino Linotype" w:hAnsi="Palatino Linotype"/>
        </w:rPr>
        <w:t>University.</w:t>
      </w:r>
    </w:p>
    <w:p w:rsidR="00603362" w:rsidRDefault="00603362" w:rsidP="00386C30">
      <w:pPr>
        <w:pStyle w:val="NoSpacing"/>
        <w:spacing w:before="240" w:after="240" w:line="480" w:lineRule="auto"/>
        <w:jc w:val="both"/>
        <w:rPr>
          <w:rFonts w:ascii="Palatino Linotype" w:hAnsi="Palatino Linotype"/>
          <w:sz w:val="24"/>
          <w:szCs w:val="24"/>
        </w:rPr>
      </w:pPr>
    </w:p>
    <w:p w:rsidR="00C6002F" w:rsidRPr="00386C30" w:rsidRDefault="00603362" w:rsidP="00386C30">
      <w:pPr>
        <w:pStyle w:val="NoSpacing"/>
        <w:spacing w:before="240" w:after="240" w:line="480" w:lineRule="auto"/>
        <w:jc w:val="both"/>
        <w:rPr>
          <w:rFonts w:ascii="Palatino Linotype" w:hAnsi="Palatino Linotype"/>
          <w:sz w:val="24"/>
          <w:szCs w:val="24"/>
        </w:rPr>
      </w:pPr>
      <w:r w:rsidRPr="00603362">
        <w:rPr>
          <w:rFonts w:ascii="Palatino Linotype" w:hAnsi="Palatino Linotype"/>
          <w:sz w:val="24"/>
          <w:szCs w:val="24"/>
        </w:rPr>
        <w:t>ALTRUISM AND PRO BONO</w:t>
      </w:r>
    </w:p>
    <w:p w:rsidR="00C6002F" w:rsidRPr="00386C30" w:rsidRDefault="00C6002F" w:rsidP="00386C30">
      <w:pPr>
        <w:spacing w:before="240" w:after="240" w:line="480" w:lineRule="auto"/>
        <w:jc w:val="both"/>
        <w:rPr>
          <w:rFonts w:ascii="Palatino Linotype" w:hAnsi="Palatino Linotype"/>
          <w:sz w:val="24"/>
          <w:szCs w:val="24"/>
        </w:rPr>
      </w:pPr>
      <w:r w:rsidRPr="00386C30">
        <w:rPr>
          <w:rFonts w:ascii="Palatino Linotype" w:hAnsi="Palatino Linotype"/>
          <w:sz w:val="24"/>
          <w:szCs w:val="24"/>
        </w:rPr>
        <w:t>To understand the concept of pro bono and the motivations for individuals to undertake pro bono activities, it is necessary to und</w:t>
      </w:r>
      <w:r w:rsidR="007833CF" w:rsidRPr="00386C30">
        <w:rPr>
          <w:rFonts w:ascii="Palatino Linotype" w:hAnsi="Palatino Linotype"/>
          <w:sz w:val="24"/>
          <w:szCs w:val="24"/>
        </w:rPr>
        <w:t xml:space="preserve">erstand the concept of altruism as pro bono work is a manifestation of altruism in the legal </w:t>
      </w:r>
      <w:r w:rsidR="007833CF" w:rsidRPr="00386C30">
        <w:rPr>
          <w:rFonts w:ascii="Palatino Linotype" w:hAnsi="Palatino Linotype"/>
          <w:sz w:val="24"/>
          <w:szCs w:val="24"/>
        </w:rPr>
        <w:lastRenderedPageBreak/>
        <w:t>profession.</w:t>
      </w:r>
      <w:r w:rsidRPr="00386C30">
        <w:rPr>
          <w:rFonts w:ascii="Palatino Linotype" w:hAnsi="Palatino Linotype"/>
          <w:sz w:val="24"/>
          <w:szCs w:val="24"/>
        </w:rPr>
        <w:t xml:space="preserve">  </w:t>
      </w:r>
      <w:r w:rsidR="007833CF" w:rsidRPr="00386C30">
        <w:rPr>
          <w:rFonts w:ascii="Palatino Linotype" w:hAnsi="Palatino Linotype"/>
          <w:sz w:val="24"/>
          <w:szCs w:val="24"/>
        </w:rPr>
        <w:t xml:space="preserve">Pro bono, or ‘pro bono </w:t>
      </w:r>
      <w:proofErr w:type="spellStart"/>
      <w:r w:rsidR="007833CF" w:rsidRPr="00386C30">
        <w:rPr>
          <w:rFonts w:ascii="Palatino Linotype" w:hAnsi="Palatino Linotype"/>
          <w:sz w:val="24"/>
          <w:szCs w:val="24"/>
        </w:rPr>
        <w:t>publico</w:t>
      </w:r>
      <w:proofErr w:type="spellEnd"/>
      <w:r w:rsidR="007833CF" w:rsidRPr="00386C30">
        <w:rPr>
          <w:rFonts w:ascii="Palatino Linotype" w:hAnsi="Palatino Linotype"/>
          <w:sz w:val="24"/>
          <w:szCs w:val="24"/>
        </w:rPr>
        <w:t>’</w:t>
      </w:r>
      <w:r w:rsidR="005758C8" w:rsidRPr="00386C30">
        <w:rPr>
          <w:rFonts w:ascii="Palatino Linotype" w:hAnsi="Palatino Linotype"/>
          <w:sz w:val="24"/>
          <w:szCs w:val="24"/>
        </w:rPr>
        <w:t>,</w:t>
      </w:r>
      <w:r w:rsidR="007833CF" w:rsidRPr="00386C30">
        <w:rPr>
          <w:rFonts w:ascii="Palatino Linotype" w:hAnsi="Palatino Linotype"/>
          <w:sz w:val="24"/>
          <w:szCs w:val="24"/>
        </w:rPr>
        <w:t xml:space="preserve"> literally means </w:t>
      </w:r>
      <w:r w:rsidR="009C41FA" w:rsidRPr="00386C30">
        <w:rPr>
          <w:rFonts w:ascii="Palatino Linotype" w:hAnsi="Palatino Linotype"/>
          <w:sz w:val="24"/>
          <w:szCs w:val="24"/>
        </w:rPr>
        <w:t xml:space="preserve">‘for the public good’.  However, beyond the literal translation there are many definitions.  </w:t>
      </w:r>
      <w:r w:rsidR="00BF493A" w:rsidRPr="00386C30">
        <w:rPr>
          <w:rFonts w:ascii="Palatino Linotype" w:hAnsi="Palatino Linotype"/>
          <w:sz w:val="24"/>
          <w:szCs w:val="24"/>
        </w:rPr>
        <w:t>One definition</w:t>
      </w:r>
      <w:r w:rsidR="007833CF" w:rsidRPr="00386C30">
        <w:rPr>
          <w:rFonts w:ascii="Palatino Linotype" w:hAnsi="Palatino Linotype"/>
          <w:sz w:val="24"/>
          <w:szCs w:val="24"/>
        </w:rPr>
        <w:t xml:space="preserve"> of pro bono</w:t>
      </w:r>
      <w:r w:rsidR="00BF493A" w:rsidRPr="00386C30">
        <w:rPr>
          <w:rFonts w:ascii="Palatino Linotype" w:hAnsi="Palatino Linotype"/>
          <w:sz w:val="24"/>
          <w:szCs w:val="24"/>
        </w:rPr>
        <w:t xml:space="preserve"> comes from the</w:t>
      </w:r>
      <w:r w:rsidR="007066E9" w:rsidRPr="00386C30">
        <w:rPr>
          <w:rFonts w:ascii="Palatino Linotype" w:hAnsi="Palatino Linotype"/>
          <w:sz w:val="24"/>
          <w:szCs w:val="24"/>
        </w:rPr>
        <w:t xml:space="preserve"> </w:t>
      </w:r>
      <w:r w:rsidRPr="00386C30">
        <w:rPr>
          <w:rFonts w:ascii="Palatino Linotype" w:hAnsi="Palatino Linotype"/>
          <w:sz w:val="24"/>
          <w:szCs w:val="24"/>
        </w:rPr>
        <w:t>Pro Bono Protocol:</w:t>
      </w:r>
    </w:p>
    <w:p w:rsidR="00C6002F" w:rsidRPr="00386C30" w:rsidRDefault="00C6002F" w:rsidP="00386C30">
      <w:pPr>
        <w:pStyle w:val="Default"/>
        <w:spacing w:before="240" w:after="240" w:line="360" w:lineRule="auto"/>
        <w:ind w:left="720"/>
        <w:jc w:val="both"/>
        <w:rPr>
          <w:rFonts w:ascii="Palatino Linotype" w:hAnsi="Palatino Linotype" w:cs="Times New Roman"/>
        </w:rPr>
      </w:pPr>
      <w:r w:rsidRPr="00386C30">
        <w:rPr>
          <w:rFonts w:ascii="Palatino Linotype" w:hAnsi="Palatino Linotype" w:cs="Times New Roman"/>
        </w:rPr>
        <w:t>‘Legal advice or representation provided by lawyers in the public interest including to individuals, charities and community groups who cannot afford to pay for that advice or representation and where public funding and alternative means of funding is not available.</w:t>
      </w:r>
    </w:p>
    <w:p w:rsidR="00C6002F" w:rsidRPr="00386C30" w:rsidRDefault="00C6002F" w:rsidP="00386C30">
      <w:pPr>
        <w:spacing w:before="240" w:after="240" w:line="360" w:lineRule="auto"/>
        <w:ind w:left="720"/>
        <w:jc w:val="both"/>
        <w:rPr>
          <w:rFonts w:ascii="Palatino Linotype" w:hAnsi="Palatino Linotype"/>
          <w:sz w:val="24"/>
          <w:szCs w:val="24"/>
        </w:rPr>
      </w:pPr>
      <w:r w:rsidRPr="00386C30">
        <w:rPr>
          <w:rFonts w:ascii="Palatino Linotype" w:hAnsi="Palatino Linotype"/>
          <w:sz w:val="24"/>
          <w:szCs w:val="24"/>
        </w:rPr>
        <w:t>Legal work is Pro Bono Legal Work only if it is free to the client, without payment to the lawyer or law firm (regardless of the outcome) and provided voluntarily either by the lawyer or his or her firm.’</w:t>
      </w:r>
      <w:r w:rsidR="007D37DE" w:rsidRPr="00386C30">
        <w:rPr>
          <w:rStyle w:val="FootnoteReference"/>
          <w:rFonts w:ascii="Palatino Linotype" w:hAnsi="Palatino Linotype"/>
          <w:sz w:val="24"/>
          <w:szCs w:val="24"/>
        </w:rPr>
        <w:footnoteReference w:id="6"/>
      </w:r>
    </w:p>
    <w:p w:rsidR="00C6002F" w:rsidRPr="00386C30" w:rsidRDefault="00C6002F" w:rsidP="00386C30">
      <w:pPr>
        <w:spacing w:before="240" w:after="240" w:line="480" w:lineRule="auto"/>
        <w:jc w:val="both"/>
        <w:rPr>
          <w:rFonts w:ascii="Palatino Linotype" w:hAnsi="Palatino Linotype"/>
          <w:sz w:val="24"/>
          <w:szCs w:val="24"/>
        </w:rPr>
      </w:pPr>
      <w:r w:rsidRPr="00386C30">
        <w:rPr>
          <w:rFonts w:ascii="Palatino Linotype" w:hAnsi="Palatino Linotype"/>
          <w:sz w:val="24"/>
          <w:szCs w:val="24"/>
        </w:rPr>
        <w:t xml:space="preserve">If we consider this definition, pro bono work requires lawyers to act without charge or expectation of charging their clients.  As such, it </w:t>
      </w:r>
      <w:r w:rsidR="007066E9" w:rsidRPr="00386C30">
        <w:rPr>
          <w:rFonts w:ascii="Palatino Linotype" w:hAnsi="Palatino Linotype"/>
          <w:sz w:val="24"/>
          <w:szCs w:val="24"/>
        </w:rPr>
        <w:t>is</w:t>
      </w:r>
      <w:r w:rsidRPr="00386C30">
        <w:rPr>
          <w:rFonts w:ascii="Palatino Linotype" w:hAnsi="Palatino Linotype"/>
          <w:sz w:val="24"/>
          <w:szCs w:val="24"/>
        </w:rPr>
        <w:t xml:space="preserve"> argu</w:t>
      </w:r>
      <w:r w:rsidR="007066E9" w:rsidRPr="00386C30">
        <w:rPr>
          <w:rFonts w:ascii="Palatino Linotype" w:hAnsi="Palatino Linotype"/>
          <w:sz w:val="24"/>
          <w:szCs w:val="24"/>
        </w:rPr>
        <w:t>able</w:t>
      </w:r>
      <w:r w:rsidRPr="00386C30">
        <w:rPr>
          <w:rFonts w:ascii="Palatino Linotype" w:hAnsi="Palatino Linotype"/>
          <w:sz w:val="24"/>
          <w:szCs w:val="24"/>
        </w:rPr>
        <w:t xml:space="preserve"> that in the provision of pro bono work, lawyers are displaying altruistic behaviour that is ‘generally understood to be behaviour that benefits others at a personal cost to the behaving individual</w:t>
      </w:r>
      <w:r w:rsidR="007D37DE" w:rsidRPr="00386C30">
        <w:rPr>
          <w:rFonts w:ascii="Palatino Linotype" w:hAnsi="Palatino Linotype"/>
          <w:sz w:val="24"/>
          <w:szCs w:val="24"/>
        </w:rPr>
        <w:t>.</w:t>
      </w:r>
      <w:r w:rsidRPr="00386C30">
        <w:rPr>
          <w:rFonts w:ascii="Palatino Linotype" w:hAnsi="Palatino Linotype"/>
          <w:sz w:val="24"/>
          <w:szCs w:val="24"/>
        </w:rPr>
        <w:t>’</w:t>
      </w:r>
      <w:r w:rsidR="007D37DE" w:rsidRPr="00386C30">
        <w:rPr>
          <w:rStyle w:val="FootnoteReference"/>
          <w:rFonts w:ascii="Palatino Linotype" w:hAnsi="Palatino Linotype"/>
          <w:sz w:val="24"/>
          <w:szCs w:val="24"/>
        </w:rPr>
        <w:footnoteReference w:id="7"/>
      </w:r>
      <w:r w:rsidRPr="00386C30">
        <w:rPr>
          <w:rFonts w:ascii="Palatino Linotype" w:hAnsi="Palatino Linotype"/>
          <w:sz w:val="24"/>
          <w:szCs w:val="24"/>
        </w:rPr>
        <w:t xml:space="preserve">  </w:t>
      </w:r>
      <w:proofErr w:type="spellStart"/>
      <w:r w:rsidRPr="00386C30">
        <w:rPr>
          <w:rFonts w:ascii="Palatino Linotype" w:hAnsi="Palatino Linotype"/>
          <w:sz w:val="24"/>
          <w:szCs w:val="24"/>
        </w:rPr>
        <w:t>Gleitman</w:t>
      </w:r>
      <w:proofErr w:type="spellEnd"/>
      <w:r w:rsidRPr="00386C30">
        <w:rPr>
          <w:rFonts w:ascii="Palatino Linotype" w:hAnsi="Palatino Linotype"/>
          <w:sz w:val="24"/>
          <w:szCs w:val="24"/>
        </w:rPr>
        <w:t xml:space="preserve"> et al state that ‘[o]ne of our great sources of pride as a species is our ability to exhibit </w:t>
      </w:r>
      <w:r w:rsidRPr="00386C30">
        <w:rPr>
          <w:rFonts w:ascii="Palatino Linotype" w:hAnsi="Palatino Linotype"/>
          <w:i/>
          <w:iCs/>
          <w:sz w:val="24"/>
          <w:szCs w:val="24"/>
        </w:rPr>
        <w:t>prosocial</w:t>
      </w:r>
      <w:r w:rsidRPr="00386C30">
        <w:rPr>
          <w:rFonts w:ascii="Palatino Linotype" w:hAnsi="Palatino Linotype"/>
          <w:sz w:val="24"/>
          <w:szCs w:val="24"/>
        </w:rPr>
        <w:t xml:space="preserve"> </w:t>
      </w:r>
      <w:proofErr w:type="spellStart"/>
      <w:r w:rsidRPr="00386C30">
        <w:rPr>
          <w:rFonts w:ascii="Palatino Linotype" w:hAnsi="Palatino Linotype"/>
          <w:sz w:val="24"/>
          <w:szCs w:val="24"/>
        </w:rPr>
        <w:t>behav-iors</w:t>
      </w:r>
      <w:proofErr w:type="spellEnd"/>
      <w:r w:rsidRPr="00386C30">
        <w:rPr>
          <w:rFonts w:ascii="Palatino Linotype" w:hAnsi="Palatino Linotype"/>
          <w:sz w:val="24"/>
          <w:szCs w:val="24"/>
        </w:rPr>
        <w:t xml:space="preserve"> [sic], </w:t>
      </w:r>
      <w:proofErr w:type="spellStart"/>
      <w:r w:rsidRPr="00386C30">
        <w:rPr>
          <w:rFonts w:ascii="Palatino Linotype" w:hAnsi="Palatino Linotype"/>
          <w:sz w:val="24"/>
          <w:szCs w:val="24"/>
        </w:rPr>
        <w:t>behaviors</w:t>
      </w:r>
      <w:proofErr w:type="spellEnd"/>
      <w:r w:rsidRPr="00386C30">
        <w:rPr>
          <w:rFonts w:ascii="Palatino Linotype" w:hAnsi="Palatino Linotype"/>
          <w:sz w:val="24"/>
          <w:szCs w:val="24"/>
        </w:rPr>
        <w:t xml:space="preserve"> </w:t>
      </w:r>
      <w:r w:rsidR="003D467A" w:rsidRPr="00386C30">
        <w:rPr>
          <w:rFonts w:ascii="Palatino Linotype" w:hAnsi="Palatino Linotype"/>
          <w:sz w:val="24"/>
          <w:szCs w:val="24"/>
        </w:rPr>
        <w:t xml:space="preserve">[sic] </w:t>
      </w:r>
      <w:r w:rsidRPr="00386C30">
        <w:rPr>
          <w:rFonts w:ascii="Palatino Linotype" w:hAnsi="Palatino Linotype"/>
          <w:sz w:val="24"/>
          <w:szCs w:val="24"/>
        </w:rPr>
        <w:t xml:space="preserve">that help others – assisting them in their various activities, supporting and aiding them in their time of need.  But, of course, </w:t>
      </w:r>
      <w:r w:rsidRPr="00386C30">
        <w:rPr>
          <w:rFonts w:ascii="Palatino Linotype" w:hAnsi="Palatino Linotype"/>
          <w:sz w:val="24"/>
          <w:szCs w:val="24"/>
        </w:rPr>
        <w:lastRenderedPageBreak/>
        <w:t>we don’t always help.’</w:t>
      </w:r>
      <w:r w:rsidR="007D37DE" w:rsidRPr="00386C30">
        <w:rPr>
          <w:rStyle w:val="FootnoteReference"/>
          <w:rFonts w:ascii="Palatino Linotype" w:hAnsi="Palatino Linotype"/>
          <w:sz w:val="24"/>
          <w:szCs w:val="24"/>
        </w:rPr>
        <w:footnoteReference w:id="8"/>
      </w:r>
      <w:r w:rsidRPr="00386C30">
        <w:rPr>
          <w:rFonts w:ascii="Palatino Linotype" w:hAnsi="Palatino Linotype"/>
          <w:sz w:val="24"/>
          <w:szCs w:val="24"/>
        </w:rPr>
        <w:t xml:space="preserve">  When we do help, it is often based on some ‘expectation of later reciprocation.’</w:t>
      </w:r>
      <w:r w:rsidR="007D37DE" w:rsidRPr="00386C30">
        <w:rPr>
          <w:rStyle w:val="FootnoteReference"/>
          <w:rFonts w:ascii="Palatino Linotype" w:hAnsi="Palatino Linotype"/>
          <w:sz w:val="24"/>
          <w:szCs w:val="24"/>
        </w:rPr>
        <w:footnoteReference w:id="9"/>
      </w:r>
    </w:p>
    <w:p w:rsidR="00C6002F" w:rsidRPr="00386C30" w:rsidRDefault="00C6002F" w:rsidP="00386C30">
      <w:pPr>
        <w:spacing w:before="240" w:after="240" w:line="480" w:lineRule="auto"/>
        <w:jc w:val="both"/>
        <w:rPr>
          <w:rFonts w:ascii="Palatino Linotype" w:hAnsi="Palatino Linotype"/>
          <w:sz w:val="24"/>
          <w:szCs w:val="24"/>
        </w:rPr>
      </w:pPr>
      <w:proofErr w:type="spellStart"/>
      <w:r w:rsidRPr="00386C30">
        <w:rPr>
          <w:rFonts w:ascii="Palatino Linotype" w:hAnsi="Palatino Linotype"/>
          <w:sz w:val="24"/>
          <w:szCs w:val="24"/>
        </w:rPr>
        <w:t>Gleitman</w:t>
      </w:r>
      <w:proofErr w:type="spellEnd"/>
      <w:r w:rsidRPr="00386C30">
        <w:rPr>
          <w:rFonts w:ascii="Palatino Linotype" w:hAnsi="Palatino Linotype"/>
          <w:sz w:val="24"/>
          <w:szCs w:val="24"/>
        </w:rPr>
        <w:t xml:space="preserve"> et al </w:t>
      </w:r>
      <w:r w:rsidR="00BF493A" w:rsidRPr="00386C30">
        <w:rPr>
          <w:rFonts w:ascii="Palatino Linotype" w:hAnsi="Palatino Linotype"/>
          <w:sz w:val="24"/>
          <w:szCs w:val="24"/>
        </w:rPr>
        <w:t xml:space="preserve">are of the </w:t>
      </w:r>
      <w:r w:rsidRPr="00386C30">
        <w:rPr>
          <w:rFonts w:ascii="Palatino Linotype" w:hAnsi="Palatino Linotype"/>
          <w:sz w:val="24"/>
          <w:szCs w:val="24"/>
        </w:rPr>
        <w:t>opinion that true acts of altruism, those acts where there is no personal benefit at all, are fairly rare.</w:t>
      </w:r>
      <w:r w:rsidR="00871D6B" w:rsidRPr="00386C30">
        <w:rPr>
          <w:rStyle w:val="FootnoteReference"/>
          <w:rFonts w:ascii="Palatino Linotype" w:hAnsi="Palatino Linotype"/>
          <w:sz w:val="24"/>
          <w:szCs w:val="24"/>
        </w:rPr>
        <w:footnoteReference w:id="10"/>
      </w:r>
      <w:r w:rsidRPr="00386C30">
        <w:rPr>
          <w:rFonts w:ascii="Palatino Linotype" w:hAnsi="Palatino Linotype"/>
          <w:sz w:val="24"/>
          <w:szCs w:val="24"/>
        </w:rPr>
        <w:t xml:space="preserve">  When people are asked why they engage in such activities, most state that ‘altruistic actions make them be</w:t>
      </w:r>
      <w:r w:rsidR="00871D6B" w:rsidRPr="00386C30">
        <w:rPr>
          <w:rFonts w:ascii="Palatino Linotype" w:hAnsi="Palatino Linotype"/>
          <w:sz w:val="24"/>
          <w:szCs w:val="24"/>
        </w:rPr>
        <w:t>tter people’.</w:t>
      </w:r>
      <w:r w:rsidR="00871D6B" w:rsidRPr="00386C30">
        <w:rPr>
          <w:rStyle w:val="FootnoteReference"/>
          <w:rFonts w:ascii="Palatino Linotype" w:hAnsi="Palatino Linotype"/>
          <w:sz w:val="24"/>
          <w:szCs w:val="24"/>
        </w:rPr>
        <w:footnoteReference w:id="11"/>
      </w:r>
      <w:r w:rsidRPr="00386C30">
        <w:rPr>
          <w:rFonts w:ascii="Palatino Linotype" w:hAnsi="Palatino Linotype"/>
          <w:sz w:val="24"/>
          <w:szCs w:val="24"/>
        </w:rPr>
        <w:t xml:space="preserve">  It could be argued that this, in itself, could be seen as a benefit to the individual concerned. </w:t>
      </w:r>
    </w:p>
    <w:p w:rsidR="00C6002F" w:rsidRPr="00386C30" w:rsidRDefault="00C6002F" w:rsidP="00386C30">
      <w:pPr>
        <w:spacing w:before="240" w:after="240" w:line="480" w:lineRule="auto"/>
        <w:jc w:val="both"/>
        <w:rPr>
          <w:rFonts w:ascii="Palatino Linotype" w:hAnsi="Palatino Linotype"/>
          <w:sz w:val="24"/>
          <w:szCs w:val="24"/>
        </w:rPr>
      </w:pPr>
      <w:r w:rsidRPr="00386C30">
        <w:rPr>
          <w:rFonts w:ascii="Palatino Linotype" w:hAnsi="Palatino Linotype"/>
          <w:sz w:val="24"/>
          <w:szCs w:val="24"/>
        </w:rPr>
        <w:t>Bateson and Shaw have written that understanding altruism from a psychological point of view has been dominated by the ‘</w:t>
      </w:r>
      <w:r w:rsidR="00871D6B" w:rsidRPr="00386C30">
        <w:rPr>
          <w:rFonts w:ascii="Palatino Linotype" w:hAnsi="Palatino Linotype"/>
          <w:sz w:val="24"/>
          <w:szCs w:val="24"/>
        </w:rPr>
        <w:t>universal</w:t>
      </w:r>
      <w:r w:rsidRPr="00386C30">
        <w:rPr>
          <w:rFonts w:ascii="Palatino Linotype" w:hAnsi="Palatino Linotype"/>
          <w:sz w:val="24"/>
          <w:szCs w:val="24"/>
        </w:rPr>
        <w:t xml:space="preserve"> egoism hypothesis’, that is, persons act altruistically primarily for egotistical reasons</w:t>
      </w:r>
      <w:r w:rsidR="00BD408A" w:rsidRPr="00386C30">
        <w:rPr>
          <w:rFonts w:ascii="Palatino Linotype" w:hAnsi="Palatino Linotype"/>
          <w:sz w:val="24"/>
          <w:szCs w:val="24"/>
        </w:rPr>
        <w:t xml:space="preserve">.  </w:t>
      </w:r>
      <w:r w:rsidRPr="00386C30">
        <w:rPr>
          <w:rFonts w:ascii="Palatino Linotype" w:hAnsi="Palatino Linotype"/>
          <w:sz w:val="24"/>
          <w:szCs w:val="24"/>
        </w:rPr>
        <w:t xml:space="preserve">Their work suggests a complementary hypothesis, the </w:t>
      </w:r>
      <w:r w:rsidR="00BD408A" w:rsidRPr="00386C30">
        <w:rPr>
          <w:rFonts w:ascii="Palatino Linotype" w:hAnsi="Palatino Linotype"/>
          <w:sz w:val="24"/>
          <w:szCs w:val="24"/>
        </w:rPr>
        <w:t>‘</w:t>
      </w:r>
      <w:r w:rsidRPr="00386C30">
        <w:rPr>
          <w:rFonts w:ascii="Palatino Linotype" w:hAnsi="Palatino Linotype"/>
          <w:sz w:val="24"/>
          <w:szCs w:val="24"/>
        </w:rPr>
        <w:t>empathy-altruism hyp</w:t>
      </w:r>
      <w:r w:rsidR="00BD408A" w:rsidRPr="00386C30">
        <w:rPr>
          <w:rFonts w:ascii="Palatino Linotype" w:hAnsi="Palatino Linotype"/>
          <w:sz w:val="24"/>
          <w:szCs w:val="24"/>
        </w:rPr>
        <w:t>o</w:t>
      </w:r>
      <w:r w:rsidRPr="00386C30">
        <w:rPr>
          <w:rFonts w:ascii="Palatino Linotype" w:hAnsi="Palatino Linotype"/>
          <w:sz w:val="24"/>
          <w:szCs w:val="24"/>
        </w:rPr>
        <w:t>thesis</w:t>
      </w:r>
      <w:r w:rsidR="00BD408A" w:rsidRPr="00386C30">
        <w:rPr>
          <w:rFonts w:ascii="Palatino Linotype" w:hAnsi="Palatino Linotype"/>
          <w:sz w:val="24"/>
          <w:szCs w:val="24"/>
        </w:rPr>
        <w:t xml:space="preserve">’ </w:t>
      </w:r>
      <w:r w:rsidRPr="00386C30">
        <w:rPr>
          <w:rFonts w:ascii="Palatino Linotype" w:hAnsi="Palatino Linotype"/>
          <w:sz w:val="24"/>
          <w:szCs w:val="24"/>
        </w:rPr>
        <w:t>that suggest</w:t>
      </w:r>
      <w:r w:rsidR="00BD408A" w:rsidRPr="00386C30">
        <w:rPr>
          <w:rFonts w:ascii="Palatino Linotype" w:hAnsi="Palatino Linotype"/>
          <w:sz w:val="24"/>
          <w:szCs w:val="24"/>
        </w:rPr>
        <w:t>s</w:t>
      </w:r>
      <w:r w:rsidRPr="00386C30">
        <w:rPr>
          <w:rFonts w:ascii="Palatino Linotype" w:hAnsi="Palatino Linotype"/>
          <w:sz w:val="24"/>
          <w:szCs w:val="24"/>
        </w:rPr>
        <w:t xml:space="preserve"> the notion that both egoism and altruism operate </w:t>
      </w:r>
      <w:r w:rsidR="00BD408A" w:rsidRPr="00386C30">
        <w:rPr>
          <w:rFonts w:ascii="Palatino Linotype" w:hAnsi="Palatino Linotype"/>
          <w:sz w:val="24"/>
          <w:szCs w:val="24"/>
        </w:rPr>
        <w:t>simultaneously</w:t>
      </w:r>
      <w:r w:rsidRPr="00386C30">
        <w:rPr>
          <w:rFonts w:ascii="Palatino Linotype" w:hAnsi="Palatino Linotype"/>
          <w:sz w:val="24"/>
          <w:szCs w:val="24"/>
        </w:rPr>
        <w:t>.</w:t>
      </w:r>
      <w:r w:rsidR="00BD408A" w:rsidRPr="00386C30">
        <w:rPr>
          <w:rFonts w:ascii="Palatino Linotype" w:hAnsi="Palatino Linotype"/>
          <w:sz w:val="24"/>
          <w:szCs w:val="24"/>
        </w:rPr>
        <w:t xml:space="preserve"> It is also suggested that people can act for personal benefit, the benefit of others or, indeed, a combination of both.</w:t>
      </w:r>
      <w:r w:rsidR="00871D6B" w:rsidRPr="00386C30">
        <w:rPr>
          <w:rStyle w:val="FootnoteReference"/>
          <w:rFonts w:ascii="Palatino Linotype" w:hAnsi="Palatino Linotype"/>
          <w:sz w:val="24"/>
          <w:szCs w:val="24"/>
        </w:rPr>
        <w:footnoteReference w:id="12"/>
      </w:r>
      <w:r w:rsidRPr="00386C30">
        <w:rPr>
          <w:rFonts w:ascii="Palatino Linotype" w:hAnsi="Palatino Linotype"/>
          <w:sz w:val="24"/>
          <w:szCs w:val="24"/>
        </w:rPr>
        <w:t xml:space="preserve"> </w:t>
      </w:r>
    </w:p>
    <w:p w:rsidR="00C6002F" w:rsidRPr="00386C30" w:rsidRDefault="00C6002F" w:rsidP="00386C30">
      <w:pPr>
        <w:spacing w:before="240" w:after="240" w:line="480" w:lineRule="auto"/>
        <w:jc w:val="both"/>
        <w:rPr>
          <w:rFonts w:ascii="Palatino Linotype" w:hAnsi="Palatino Linotype"/>
          <w:sz w:val="24"/>
          <w:szCs w:val="24"/>
        </w:rPr>
      </w:pPr>
      <w:r w:rsidRPr="00386C30">
        <w:rPr>
          <w:rFonts w:ascii="Palatino Linotype" w:hAnsi="Palatino Linotype"/>
          <w:sz w:val="24"/>
          <w:szCs w:val="24"/>
        </w:rPr>
        <w:t xml:space="preserve">It </w:t>
      </w:r>
      <w:r w:rsidR="00871D6B" w:rsidRPr="00386C30">
        <w:rPr>
          <w:rFonts w:ascii="Palatino Linotype" w:hAnsi="Palatino Linotype"/>
          <w:sz w:val="24"/>
          <w:szCs w:val="24"/>
        </w:rPr>
        <w:t>must</w:t>
      </w:r>
      <w:r w:rsidRPr="00386C30">
        <w:rPr>
          <w:rFonts w:ascii="Palatino Linotype" w:hAnsi="Palatino Linotype"/>
          <w:sz w:val="24"/>
          <w:szCs w:val="24"/>
        </w:rPr>
        <w:t xml:space="preserve"> therefore </w:t>
      </w:r>
      <w:r w:rsidR="00871D6B" w:rsidRPr="00386C30">
        <w:rPr>
          <w:rFonts w:ascii="Palatino Linotype" w:hAnsi="Palatino Linotype"/>
          <w:sz w:val="24"/>
          <w:szCs w:val="24"/>
        </w:rPr>
        <w:t xml:space="preserve">be </w:t>
      </w:r>
      <w:r w:rsidRPr="00386C30">
        <w:rPr>
          <w:rFonts w:ascii="Palatino Linotype" w:hAnsi="Palatino Linotype"/>
          <w:sz w:val="24"/>
          <w:szCs w:val="24"/>
        </w:rPr>
        <w:t xml:space="preserve">considered whether it is possible to teach or instil a sense of altruism through education. </w:t>
      </w:r>
    </w:p>
    <w:p w:rsidR="00C6002F" w:rsidRPr="00386C30" w:rsidRDefault="00C6002F" w:rsidP="00386C30">
      <w:pPr>
        <w:spacing w:before="240" w:after="240" w:line="360" w:lineRule="auto"/>
        <w:ind w:left="720"/>
        <w:jc w:val="both"/>
        <w:rPr>
          <w:rFonts w:ascii="Palatino Linotype" w:hAnsi="Palatino Linotype"/>
          <w:sz w:val="24"/>
          <w:szCs w:val="24"/>
        </w:rPr>
      </w:pPr>
      <w:r w:rsidRPr="00386C30">
        <w:rPr>
          <w:rFonts w:ascii="Palatino Linotype" w:hAnsi="Palatino Linotype"/>
          <w:sz w:val="24"/>
          <w:szCs w:val="24"/>
        </w:rPr>
        <w:lastRenderedPageBreak/>
        <w:t xml:space="preserve">‘Where Socrates appeared to argue that </w:t>
      </w:r>
      <w:r w:rsidRPr="00386C30">
        <w:rPr>
          <w:rFonts w:ascii="Palatino Linotype" w:hAnsi="Palatino Linotype"/>
          <w:i/>
          <w:sz w:val="24"/>
          <w:szCs w:val="24"/>
        </w:rPr>
        <w:t>no one</w:t>
      </w:r>
      <w:r w:rsidRPr="00386C30">
        <w:rPr>
          <w:rFonts w:ascii="Palatino Linotype" w:hAnsi="Palatino Linotype"/>
          <w:sz w:val="24"/>
          <w:szCs w:val="24"/>
        </w:rPr>
        <w:t xml:space="preserve"> teaches virtues, Protagoras argues that </w:t>
      </w:r>
      <w:r w:rsidRPr="00386C30">
        <w:rPr>
          <w:rFonts w:ascii="Palatino Linotype" w:hAnsi="Palatino Linotype"/>
          <w:i/>
          <w:sz w:val="24"/>
          <w:szCs w:val="24"/>
        </w:rPr>
        <w:t>everyone</w:t>
      </w:r>
      <w:r w:rsidRPr="00386C30">
        <w:rPr>
          <w:rFonts w:ascii="Palatino Linotype" w:hAnsi="Palatino Linotype"/>
          <w:sz w:val="24"/>
          <w:szCs w:val="24"/>
        </w:rPr>
        <w:t xml:space="preserve"> teaches them’</w:t>
      </w:r>
      <w:r w:rsidR="00871D6B" w:rsidRPr="00386C30">
        <w:rPr>
          <w:rStyle w:val="FootnoteReference"/>
          <w:rFonts w:ascii="Palatino Linotype" w:hAnsi="Palatino Linotype"/>
          <w:sz w:val="24"/>
          <w:szCs w:val="24"/>
        </w:rPr>
        <w:footnoteReference w:id="13"/>
      </w:r>
      <w:r w:rsidRPr="00386C30">
        <w:rPr>
          <w:rFonts w:ascii="Palatino Linotype" w:hAnsi="Palatino Linotype"/>
          <w:sz w:val="24"/>
          <w:szCs w:val="24"/>
        </w:rPr>
        <w:t xml:space="preserve"> </w:t>
      </w:r>
    </w:p>
    <w:p w:rsidR="00A64256" w:rsidRPr="00386C30" w:rsidRDefault="00D00D62" w:rsidP="00386C30">
      <w:pPr>
        <w:spacing w:before="240" w:after="240" w:line="480" w:lineRule="auto"/>
        <w:jc w:val="both"/>
        <w:rPr>
          <w:rFonts w:ascii="Palatino Linotype" w:hAnsi="Palatino Linotype"/>
          <w:sz w:val="24"/>
          <w:szCs w:val="24"/>
        </w:rPr>
      </w:pPr>
      <w:r w:rsidRPr="00386C30">
        <w:rPr>
          <w:rFonts w:ascii="Palatino Linotype" w:hAnsi="Palatino Linotype"/>
          <w:sz w:val="24"/>
          <w:szCs w:val="24"/>
        </w:rPr>
        <w:t>Aristotle drew a</w:t>
      </w:r>
      <w:r w:rsidR="00A64256" w:rsidRPr="00386C30">
        <w:rPr>
          <w:rFonts w:ascii="Palatino Linotype" w:hAnsi="Palatino Linotype"/>
          <w:sz w:val="24"/>
          <w:szCs w:val="24"/>
        </w:rPr>
        <w:t xml:space="preserve"> distinction </w:t>
      </w:r>
      <w:r w:rsidRPr="00386C30">
        <w:rPr>
          <w:rFonts w:ascii="Palatino Linotype" w:hAnsi="Palatino Linotype"/>
          <w:sz w:val="24"/>
          <w:szCs w:val="24"/>
        </w:rPr>
        <w:t>‘</w:t>
      </w:r>
      <w:r w:rsidR="00A64256" w:rsidRPr="00386C30">
        <w:rPr>
          <w:rFonts w:ascii="Palatino Linotype" w:hAnsi="Palatino Linotype"/>
          <w:sz w:val="24"/>
          <w:szCs w:val="24"/>
        </w:rPr>
        <w:t>between self-control and virtue applied primarily to moral dispositions as honest</w:t>
      </w:r>
      <w:r w:rsidRPr="00386C30">
        <w:rPr>
          <w:rFonts w:ascii="Palatino Linotype" w:hAnsi="Palatino Linotype"/>
          <w:sz w:val="24"/>
          <w:szCs w:val="24"/>
        </w:rPr>
        <w:t>y, temperance, courage, justice, liberality and so on.’</w:t>
      </w:r>
      <w:r w:rsidRPr="00386C30">
        <w:rPr>
          <w:rStyle w:val="FootnoteReference"/>
          <w:rFonts w:ascii="Palatino Linotype" w:hAnsi="Palatino Linotype"/>
          <w:sz w:val="24"/>
          <w:szCs w:val="24"/>
        </w:rPr>
        <w:footnoteReference w:id="14"/>
      </w:r>
      <w:r w:rsidR="00E0429F" w:rsidRPr="00386C30">
        <w:rPr>
          <w:rFonts w:ascii="Palatino Linotype" w:hAnsi="Palatino Linotype"/>
          <w:sz w:val="24"/>
          <w:szCs w:val="24"/>
        </w:rPr>
        <w:t xml:space="preserve"> </w:t>
      </w:r>
      <w:r w:rsidR="004407B0" w:rsidRPr="00386C30">
        <w:rPr>
          <w:rFonts w:ascii="Palatino Linotype" w:hAnsi="Palatino Linotype"/>
          <w:sz w:val="24"/>
          <w:szCs w:val="24"/>
        </w:rPr>
        <w:t>Values as principled commitments are rules which are followed although not wholeheartedly committed.  Values as virtues are exhibited and embodied as at least a matter of second nature.</w:t>
      </w:r>
      <w:r w:rsidR="004407B0" w:rsidRPr="00386C30">
        <w:rPr>
          <w:rStyle w:val="FootnoteReference"/>
          <w:rFonts w:ascii="Palatino Linotype" w:hAnsi="Palatino Linotype"/>
          <w:sz w:val="24"/>
          <w:szCs w:val="24"/>
        </w:rPr>
        <w:footnoteReference w:id="15"/>
      </w:r>
      <w:r w:rsidR="004407B0" w:rsidRPr="00386C30">
        <w:rPr>
          <w:rFonts w:ascii="Palatino Linotype" w:hAnsi="Palatino Linotype"/>
          <w:sz w:val="24"/>
          <w:szCs w:val="24"/>
        </w:rPr>
        <w:t xml:space="preserve">  This is an important distinction within the context of this study.  We can teach students the rules, such as the professional code of conduct, but can we teach or instil a moral commitment to pro bono work, meaning that it becomes second nature to our students.</w:t>
      </w:r>
    </w:p>
    <w:p w:rsidR="00C6002F" w:rsidRPr="00386C30" w:rsidRDefault="00C6002F" w:rsidP="00386C30">
      <w:pPr>
        <w:spacing w:before="240" w:after="240" w:line="480" w:lineRule="auto"/>
        <w:jc w:val="both"/>
        <w:rPr>
          <w:rFonts w:ascii="Palatino Linotype" w:hAnsi="Palatino Linotype"/>
          <w:sz w:val="24"/>
          <w:szCs w:val="24"/>
        </w:rPr>
      </w:pPr>
      <w:r w:rsidRPr="00386C30">
        <w:rPr>
          <w:rFonts w:ascii="Palatino Linotype" w:hAnsi="Palatino Linotype"/>
          <w:sz w:val="24"/>
          <w:szCs w:val="24"/>
        </w:rPr>
        <w:t xml:space="preserve">It has been a matter of some debate as to the role of higher education in teaching students not just knowledge but also social virtues.  </w:t>
      </w:r>
      <w:proofErr w:type="spellStart"/>
      <w:r w:rsidRPr="00386C30">
        <w:rPr>
          <w:rFonts w:ascii="Palatino Linotype" w:hAnsi="Palatino Linotype"/>
          <w:sz w:val="24"/>
          <w:szCs w:val="24"/>
        </w:rPr>
        <w:t>Heuser</w:t>
      </w:r>
      <w:proofErr w:type="spellEnd"/>
      <w:r w:rsidRPr="00386C30">
        <w:rPr>
          <w:rFonts w:ascii="Palatino Linotype" w:hAnsi="Palatino Linotype"/>
          <w:sz w:val="24"/>
          <w:szCs w:val="24"/>
        </w:rPr>
        <w:t xml:space="preserve"> argues that ‘when moral and ethical considerations are built into every aspect of the primary activities of higher education-research, teaching and public service-the ability of colleges and universities to create academic social cohesion is greatly amplified, as is their propensity to generate social cohesion in </w:t>
      </w:r>
      <w:r w:rsidRPr="00386C30">
        <w:rPr>
          <w:rFonts w:ascii="Palatino Linotype" w:hAnsi="Palatino Linotype"/>
          <w:sz w:val="24"/>
          <w:szCs w:val="24"/>
        </w:rPr>
        <w:lastRenderedPageBreak/>
        <w:t>society.’</w:t>
      </w:r>
      <w:r w:rsidR="00871D6B" w:rsidRPr="00386C30">
        <w:rPr>
          <w:rStyle w:val="FootnoteReference"/>
          <w:rFonts w:ascii="Palatino Linotype" w:hAnsi="Palatino Linotype"/>
          <w:sz w:val="24"/>
          <w:szCs w:val="24"/>
        </w:rPr>
        <w:footnoteReference w:id="16"/>
      </w:r>
      <w:r w:rsidRPr="00386C30">
        <w:rPr>
          <w:rFonts w:ascii="Palatino Linotype" w:hAnsi="Palatino Linotype"/>
          <w:sz w:val="24"/>
          <w:szCs w:val="24"/>
        </w:rPr>
        <w:t xml:space="preserve">  Lewis observes that ‘universities have forgotten their larger educational role…</w:t>
      </w:r>
      <w:r w:rsidR="004A37C2">
        <w:rPr>
          <w:rFonts w:ascii="Palatino Linotype" w:hAnsi="Palatino Linotype"/>
          <w:sz w:val="24"/>
          <w:szCs w:val="24"/>
        </w:rPr>
        <w:t xml:space="preserve"> </w:t>
      </w:r>
      <w:r w:rsidRPr="00386C30">
        <w:rPr>
          <w:rFonts w:ascii="Palatino Linotype" w:hAnsi="Palatino Linotype"/>
          <w:sz w:val="24"/>
          <w:szCs w:val="24"/>
        </w:rPr>
        <w:t>that the fundamental job of undergraduate education is to turn eighteen- and nineteen-year-olds into twenty-one- and twenty two-year-olds, to help them grow up, to learn who they are, to search for a larger purpose for their lives, and to leave college as better human beings.’</w:t>
      </w:r>
      <w:r w:rsidR="001974C1" w:rsidRPr="00386C30">
        <w:rPr>
          <w:rStyle w:val="FootnoteReference"/>
          <w:rFonts w:ascii="Palatino Linotype" w:hAnsi="Palatino Linotype"/>
          <w:sz w:val="24"/>
          <w:szCs w:val="24"/>
        </w:rPr>
        <w:footnoteReference w:id="17"/>
      </w:r>
      <w:r w:rsidRPr="00386C30">
        <w:rPr>
          <w:rFonts w:ascii="Palatino Linotype" w:hAnsi="Palatino Linotype"/>
          <w:sz w:val="24"/>
          <w:szCs w:val="24"/>
        </w:rPr>
        <w:t xml:space="preserve"> </w:t>
      </w:r>
    </w:p>
    <w:p w:rsidR="00D53553" w:rsidRDefault="00D53553" w:rsidP="00386C30">
      <w:pPr>
        <w:spacing w:before="240" w:after="240" w:line="480" w:lineRule="auto"/>
        <w:jc w:val="both"/>
        <w:rPr>
          <w:rFonts w:ascii="Palatino Linotype" w:hAnsi="Palatino Linotype"/>
          <w:sz w:val="24"/>
          <w:szCs w:val="24"/>
        </w:rPr>
      </w:pPr>
    </w:p>
    <w:p w:rsidR="0067288C" w:rsidRPr="00386C30" w:rsidRDefault="00D53553" w:rsidP="00386C30">
      <w:pPr>
        <w:spacing w:before="240" w:after="240" w:line="480" w:lineRule="auto"/>
        <w:jc w:val="both"/>
        <w:rPr>
          <w:rFonts w:ascii="Palatino Linotype" w:hAnsi="Palatino Linotype"/>
          <w:sz w:val="24"/>
          <w:szCs w:val="24"/>
        </w:rPr>
      </w:pPr>
      <w:r w:rsidRPr="00D53553">
        <w:rPr>
          <w:rFonts w:ascii="Palatino Linotype" w:hAnsi="Palatino Linotype"/>
          <w:sz w:val="24"/>
          <w:szCs w:val="24"/>
        </w:rPr>
        <w:t>CLINICAL LEGAL EDUCATION AND PRO BONO</w:t>
      </w:r>
    </w:p>
    <w:p w:rsidR="00846B9A" w:rsidRPr="00386C30" w:rsidRDefault="001F39E8" w:rsidP="00386C30">
      <w:pPr>
        <w:spacing w:before="240" w:after="240" w:line="480" w:lineRule="auto"/>
        <w:jc w:val="both"/>
        <w:rPr>
          <w:rFonts w:ascii="Palatino Linotype" w:hAnsi="Palatino Linotype"/>
          <w:sz w:val="24"/>
          <w:szCs w:val="24"/>
        </w:rPr>
      </w:pPr>
      <w:r w:rsidRPr="00386C30">
        <w:rPr>
          <w:rFonts w:ascii="Palatino Linotype" w:hAnsi="Palatino Linotype"/>
          <w:sz w:val="24"/>
          <w:szCs w:val="24"/>
        </w:rPr>
        <w:t xml:space="preserve">There are many academic articles considering Clinical Legal Education and Pro Bono.  </w:t>
      </w:r>
      <w:proofErr w:type="spellStart"/>
      <w:r w:rsidRPr="00386C30">
        <w:rPr>
          <w:rFonts w:ascii="Palatino Linotype" w:hAnsi="Palatino Linotype"/>
          <w:sz w:val="24"/>
          <w:szCs w:val="24"/>
        </w:rPr>
        <w:t>McCrimmon</w:t>
      </w:r>
      <w:proofErr w:type="spellEnd"/>
      <w:r w:rsidRPr="00386C30">
        <w:rPr>
          <w:rFonts w:ascii="Palatino Linotype" w:hAnsi="Palatino Linotype"/>
          <w:sz w:val="24"/>
          <w:szCs w:val="24"/>
        </w:rPr>
        <w:t xml:space="preserve"> states that ‘while clinical courses and pro bono projects share common attributes, they are separate and distinct entities.’</w:t>
      </w:r>
      <w:r w:rsidRPr="00386C30">
        <w:rPr>
          <w:rStyle w:val="FootnoteReference"/>
          <w:rFonts w:ascii="Palatino Linotype" w:hAnsi="Palatino Linotype"/>
          <w:sz w:val="24"/>
          <w:szCs w:val="24"/>
        </w:rPr>
        <w:footnoteReference w:id="18"/>
      </w:r>
      <w:r w:rsidR="007833CF" w:rsidRPr="00386C30">
        <w:rPr>
          <w:rFonts w:ascii="Palatino Linotype" w:hAnsi="Palatino Linotype"/>
          <w:sz w:val="24"/>
          <w:szCs w:val="24"/>
        </w:rPr>
        <w:t xml:space="preserve"> </w:t>
      </w:r>
      <w:proofErr w:type="spellStart"/>
      <w:r w:rsidR="00456104" w:rsidRPr="00386C30">
        <w:rPr>
          <w:rFonts w:ascii="Palatino Linotype" w:hAnsi="Palatino Linotype"/>
          <w:sz w:val="24"/>
          <w:szCs w:val="24"/>
        </w:rPr>
        <w:t>McCrimmon</w:t>
      </w:r>
      <w:proofErr w:type="spellEnd"/>
      <w:r w:rsidR="00456104" w:rsidRPr="00386C30">
        <w:rPr>
          <w:rFonts w:ascii="Palatino Linotype" w:hAnsi="Palatino Linotype"/>
          <w:sz w:val="24"/>
          <w:szCs w:val="24"/>
        </w:rPr>
        <w:t xml:space="preserve"> </w:t>
      </w:r>
      <w:r w:rsidR="00846B9A" w:rsidRPr="00386C30">
        <w:rPr>
          <w:rFonts w:ascii="Palatino Linotype" w:hAnsi="Palatino Linotype"/>
          <w:sz w:val="24"/>
          <w:szCs w:val="24"/>
        </w:rPr>
        <w:t>draws upon</w:t>
      </w:r>
      <w:r w:rsidR="00456104" w:rsidRPr="00386C30">
        <w:rPr>
          <w:rFonts w:ascii="Palatino Linotype" w:hAnsi="Palatino Linotype"/>
          <w:sz w:val="24"/>
          <w:szCs w:val="24"/>
        </w:rPr>
        <w:t xml:space="preserve"> the Association of American Law Schools Pro Bono Project Report, </w:t>
      </w:r>
      <w:r w:rsidR="00456104" w:rsidRPr="00386C30">
        <w:rPr>
          <w:rFonts w:ascii="Palatino Linotype" w:hAnsi="Palatino Linotype"/>
          <w:i/>
          <w:sz w:val="24"/>
          <w:szCs w:val="24"/>
        </w:rPr>
        <w:t>Learning to Serve</w:t>
      </w:r>
      <w:r w:rsidR="00456104" w:rsidRPr="00386C30">
        <w:rPr>
          <w:rFonts w:ascii="Palatino Linotype" w:hAnsi="Palatino Linotype"/>
          <w:sz w:val="24"/>
          <w:szCs w:val="24"/>
        </w:rPr>
        <w:t xml:space="preserve">, </w:t>
      </w:r>
      <w:r w:rsidR="00846B9A" w:rsidRPr="00386C30">
        <w:rPr>
          <w:rFonts w:ascii="Palatino Linotype" w:hAnsi="Palatino Linotype"/>
          <w:sz w:val="24"/>
          <w:szCs w:val="24"/>
        </w:rPr>
        <w:t>to illustrate his point.  In particular, the Report states:</w:t>
      </w:r>
    </w:p>
    <w:p w:rsidR="00846B9A" w:rsidRPr="00386C30" w:rsidRDefault="00846B9A" w:rsidP="00386C30">
      <w:pPr>
        <w:spacing w:before="240" w:after="240" w:line="360" w:lineRule="auto"/>
        <w:ind w:left="720"/>
        <w:jc w:val="both"/>
        <w:rPr>
          <w:rFonts w:ascii="Palatino Linotype" w:hAnsi="Palatino Linotype"/>
          <w:sz w:val="24"/>
          <w:szCs w:val="24"/>
        </w:rPr>
      </w:pPr>
      <w:r w:rsidRPr="00386C30">
        <w:rPr>
          <w:rFonts w:ascii="Palatino Linotype" w:hAnsi="Palatino Linotype"/>
          <w:sz w:val="24"/>
          <w:szCs w:val="24"/>
        </w:rPr>
        <w:t xml:space="preserve">‘Both clinics and pro bono programs serve important educational values. They each provide students an opportunity to learn about the legal needs of people who are poor. They each provide an opportunity to learn about the satisfactions of serving a client. But the principal goal of most clinics is to teach students lawyering skills and sensitivity </w:t>
      </w:r>
      <w:r w:rsidRPr="00386C30">
        <w:rPr>
          <w:rFonts w:ascii="Palatino Linotype" w:hAnsi="Palatino Linotype"/>
          <w:sz w:val="24"/>
          <w:szCs w:val="24"/>
        </w:rPr>
        <w:lastRenderedPageBreak/>
        <w:t xml:space="preserve">to ethical issues through structured practice experiences and opportunities to think about and </w:t>
      </w:r>
      <w:proofErr w:type="spellStart"/>
      <w:r w:rsidRPr="00386C30">
        <w:rPr>
          <w:rFonts w:ascii="Palatino Linotype" w:hAnsi="Palatino Linotype"/>
          <w:sz w:val="24"/>
          <w:szCs w:val="24"/>
        </w:rPr>
        <w:t>analyze</w:t>
      </w:r>
      <w:proofErr w:type="spellEnd"/>
      <w:r w:rsidRPr="00386C30">
        <w:rPr>
          <w:rFonts w:ascii="Palatino Linotype" w:hAnsi="Palatino Linotype"/>
          <w:sz w:val="24"/>
          <w:szCs w:val="24"/>
        </w:rPr>
        <w:t xml:space="preserve"> those experiences. By contrast, the most important single function of pro bono projects is to open students' eyes to the ethical responsibility of lawyers to contribute their services.’</w:t>
      </w:r>
      <w:r w:rsidRPr="00386C30">
        <w:rPr>
          <w:rStyle w:val="FootnoteReference"/>
          <w:rFonts w:ascii="Palatino Linotype" w:hAnsi="Palatino Linotype"/>
          <w:sz w:val="24"/>
          <w:szCs w:val="24"/>
        </w:rPr>
        <w:footnoteReference w:id="19"/>
      </w:r>
    </w:p>
    <w:p w:rsidR="004C37CE" w:rsidRPr="00386C30" w:rsidRDefault="00D96117" w:rsidP="00386C30">
      <w:pPr>
        <w:spacing w:before="240" w:after="240" w:line="480" w:lineRule="auto"/>
        <w:jc w:val="both"/>
        <w:rPr>
          <w:rFonts w:ascii="Palatino Linotype" w:hAnsi="Palatino Linotype"/>
          <w:sz w:val="24"/>
          <w:szCs w:val="24"/>
        </w:rPr>
      </w:pPr>
      <w:r w:rsidRPr="00386C30">
        <w:rPr>
          <w:rFonts w:ascii="Palatino Linotype" w:hAnsi="Palatino Linotype"/>
          <w:sz w:val="24"/>
          <w:szCs w:val="24"/>
        </w:rPr>
        <w:t xml:space="preserve">Whilst the Report states there are similarities between clinical </w:t>
      </w:r>
      <w:r w:rsidR="000E1262" w:rsidRPr="00386C30">
        <w:rPr>
          <w:rFonts w:ascii="Palatino Linotype" w:hAnsi="Palatino Linotype"/>
          <w:sz w:val="24"/>
          <w:szCs w:val="24"/>
        </w:rPr>
        <w:t xml:space="preserve">legal </w:t>
      </w:r>
      <w:r w:rsidRPr="00386C30">
        <w:rPr>
          <w:rFonts w:ascii="Palatino Linotype" w:hAnsi="Palatino Linotype"/>
          <w:sz w:val="24"/>
          <w:szCs w:val="24"/>
        </w:rPr>
        <w:t xml:space="preserve">education and pro bono, it states that they are different in their objectives.  However, </w:t>
      </w:r>
      <w:r w:rsidR="000423D4" w:rsidRPr="00386C30">
        <w:rPr>
          <w:rFonts w:ascii="Palatino Linotype" w:hAnsi="Palatino Linotype"/>
          <w:sz w:val="24"/>
          <w:szCs w:val="24"/>
        </w:rPr>
        <w:t>Bloch identifies that the ‘original “subject matter” of clinical legal education was essentially legal aid and public interest practice’</w:t>
      </w:r>
      <w:r w:rsidR="000423D4" w:rsidRPr="00386C30">
        <w:rPr>
          <w:rStyle w:val="FootnoteReference"/>
          <w:rFonts w:ascii="Palatino Linotype" w:hAnsi="Palatino Linotype"/>
          <w:sz w:val="24"/>
          <w:szCs w:val="24"/>
        </w:rPr>
        <w:footnoteReference w:id="20"/>
      </w:r>
      <w:r w:rsidR="00090B1D" w:rsidRPr="00386C30">
        <w:rPr>
          <w:rFonts w:ascii="Palatino Linotype" w:hAnsi="Palatino Linotype"/>
          <w:sz w:val="24"/>
          <w:szCs w:val="24"/>
        </w:rPr>
        <w:t xml:space="preserve"> </w:t>
      </w:r>
      <w:r w:rsidR="0017222B" w:rsidRPr="00386C30">
        <w:rPr>
          <w:rFonts w:ascii="Palatino Linotype" w:hAnsi="Palatino Linotype"/>
          <w:sz w:val="24"/>
          <w:szCs w:val="24"/>
        </w:rPr>
        <w:t>whilst</w:t>
      </w:r>
      <w:r w:rsidR="00090B1D" w:rsidRPr="00386C30">
        <w:rPr>
          <w:rFonts w:ascii="Palatino Linotype" w:hAnsi="Palatino Linotype"/>
          <w:sz w:val="24"/>
          <w:szCs w:val="24"/>
        </w:rPr>
        <w:t xml:space="preserve"> </w:t>
      </w:r>
      <w:proofErr w:type="spellStart"/>
      <w:r w:rsidR="00090B1D" w:rsidRPr="00386C30">
        <w:rPr>
          <w:rFonts w:ascii="Palatino Linotype" w:hAnsi="Palatino Linotype"/>
          <w:sz w:val="24"/>
          <w:szCs w:val="24"/>
        </w:rPr>
        <w:t>Ellman</w:t>
      </w:r>
      <w:proofErr w:type="spellEnd"/>
      <w:r w:rsidR="00090B1D" w:rsidRPr="00386C30">
        <w:rPr>
          <w:rFonts w:ascii="Palatino Linotype" w:hAnsi="Palatino Linotype"/>
          <w:sz w:val="24"/>
          <w:szCs w:val="24"/>
        </w:rPr>
        <w:t xml:space="preserve"> et al state that ‘one goal of clinical teaching is to foster, and to carry on, legal practice in the public interest.  But our understanding of this goal is changing, and so is our understanding of the means by which it might be achieved.’</w:t>
      </w:r>
      <w:r w:rsidR="00090B1D" w:rsidRPr="00386C30">
        <w:rPr>
          <w:rStyle w:val="FootnoteReference"/>
          <w:rFonts w:ascii="Palatino Linotype" w:hAnsi="Palatino Linotype"/>
          <w:sz w:val="24"/>
          <w:szCs w:val="24"/>
        </w:rPr>
        <w:footnoteReference w:id="21"/>
      </w:r>
      <w:r w:rsidR="0017222B" w:rsidRPr="00386C30">
        <w:rPr>
          <w:rFonts w:ascii="Palatino Linotype" w:hAnsi="Palatino Linotype"/>
          <w:sz w:val="24"/>
          <w:szCs w:val="24"/>
        </w:rPr>
        <w:t xml:space="preserve">  It appears the objective of clinical legal education has historically been public interest practice and therefore clinical legal education is a form of pro bono practice.  However, Bloch goes on to identify that ‘[s]</w:t>
      </w:r>
      <w:proofErr w:type="spellStart"/>
      <w:r w:rsidR="0017222B" w:rsidRPr="00386C30">
        <w:rPr>
          <w:rFonts w:ascii="Palatino Linotype" w:hAnsi="Palatino Linotype"/>
          <w:sz w:val="24"/>
          <w:szCs w:val="24"/>
        </w:rPr>
        <w:t>ome</w:t>
      </w:r>
      <w:proofErr w:type="spellEnd"/>
      <w:r w:rsidR="0017222B" w:rsidRPr="00386C30">
        <w:rPr>
          <w:rFonts w:ascii="Palatino Linotype" w:hAnsi="Palatino Linotype"/>
          <w:sz w:val="24"/>
          <w:szCs w:val="24"/>
        </w:rPr>
        <w:t xml:space="preserve"> have felt</w:t>
      </w:r>
      <w:r w:rsidR="00D870D3" w:rsidRPr="00386C30">
        <w:rPr>
          <w:rFonts w:ascii="Palatino Linotype" w:hAnsi="Palatino Linotype"/>
          <w:sz w:val="24"/>
          <w:szCs w:val="24"/>
        </w:rPr>
        <w:t xml:space="preserve"> recently that</w:t>
      </w:r>
      <w:r w:rsidR="0017222B" w:rsidRPr="00386C30">
        <w:rPr>
          <w:rFonts w:ascii="Palatino Linotype" w:hAnsi="Palatino Linotype"/>
          <w:sz w:val="24"/>
          <w:szCs w:val="24"/>
        </w:rPr>
        <w:t xml:space="preserve"> a more deliberate skills orientation is needed in clinical scholarship.’</w:t>
      </w:r>
      <w:r w:rsidR="00D870D3" w:rsidRPr="00386C30">
        <w:rPr>
          <w:rStyle w:val="FootnoteReference"/>
          <w:rFonts w:ascii="Palatino Linotype" w:hAnsi="Palatino Linotype"/>
          <w:sz w:val="24"/>
          <w:szCs w:val="24"/>
        </w:rPr>
        <w:footnoteReference w:id="22"/>
      </w:r>
      <w:r w:rsidR="00D870D3" w:rsidRPr="00386C30">
        <w:rPr>
          <w:rFonts w:ascii="Palatino Linotype" w:hAnsi="Palatino Linotype"/>
          <w:sz w:val="24"/>
          <w:szCs w:val="24"/>
        </w:rPr>
        <w:t xml:space="preserve">  It appears that it is this focus on skills development that differentiates clinic from pro bono.</w:t>
      </w:r>
      <w:r w:rsidR="000E1262" w:rsidRPr="00386C30">
        <w:rPr>
          <w:rFonts w:ascii="Palatino Linotype" w:hAnsi="Palatino Linotype"/>
          <w:sz w:val="24"/>
          <w:szCs w:val="24"/>
        </w:rPr>
        <w:t xml:space="preserve">  However, it is also arguable that </w:t>
      </w:r>
      <w:r w:rsidR="000E1262" w:rsidRPr="00386C30">
        <w:rPr>
          <w:rFonts w:ascii="Palatino Linotype" w:hAnsi="Palatino Linotype"/>
          <w:sz w:val="24"/>
          <w:szCs w:val="24"/>
        </w:rPr>
        <w:lastRenderedPageBreak/>
        <w:t>individuals conduct pro bono work for reasons other than altruistic reasons of benefiting society.</w:t>
      </w:r>
    </w:p>
    <w:p w:rsidR="00C6002F" w:rsidRPr="00386C30" w:rsidRDefault="00D870D3" w:rsidP="00386C30">
      <w:pPr>
        <w:spacing w:before="240" w:after="240" w:line="480" w:lineRule="auto"/>
        <w:jc w:val="both"/>
        <w:rPr>
          <w:rFonts w:ascii="Palatino Linotype" w:hAnsi="Palatino Linotype"/>
          <w:sz w:val="24"/>
          <w:szCs w:val="24"/>
        </w:rPr>
      </w:pPr>
      <w:r w:rsidRPr="00386C30">
        <w:rPr>
          <w:rFonts w:ascii="Palatino Linotype" w:hAnsi="Palatino Linotype"/>
          <w:sz w:val="24"/>
          <w:szCs w:val="24"/>
        </w:rPr>
        <w:t>Setting aside the definition of clinical legal education and pro bono</w:t>
      </w:r>
      <w:r w:rsidR="00C6002F" w:rsidRPr="00386C30">
        <w:rPr>
          <w:rFonts w:ascii="Palatino Linotype" w:hAnsi="Palatino Linotype"/>
          <w:sz w:val="24"/>
          <w:szCs w:val="24"/>
        </w:rPr>
        <w:t xml:space="preserve">, clinical legal education has the potential to be used as a tool to increase a student’s sense of social awareness.  </w:t>
      </w:r>
      <w:proofErr w:type="spellStart"/>
      <w:r w:rsidR="00C6002F" w:rsidRPr="00386C30">
        <w:rPr>
          <w:rFonts w:ascii="Palatino Linotype" w:hAnsi="Palatino Linotype"/>
          <w:sz w:val="24"/>
          <w:szCs w:val="24"/>
        </w:rPr>
        <w:t>Grose</w:t>
      </w:r>
      <w:proofErr w:type="spellEnd"/>
      <w:r w:rsidR="00C6002F" w:rsidRPr="00386C30">
        <w:rPr>
          <w:rFonts w:ascii="Palatino Linotype" w:hAnsi="Palatino Linotype"/>
          <w:sz w:val="24"/>
          <w:szCs w:val="24"/>
        </w:rPr>
        <w:t xml:space="preserve"> identifies clinical education as having ‘three broad goals: providing learning for transfer; exposing students to issues of social jus-tice; [sic] and offering opportunities to practice lawyering skills.’</w:t>
      </w:r>
      <w:r w:rsidR="001974C1" w:rsidRPr="00386C30">
        <w:rPr>
          <w:rStyle w:val="FootnoteReference"/>
          <w:rFonts w:ascii="Palatino Linotype" w:hAnsi="Palatino Linotype"/>
          <w:sz w:val="24"/>
          <w:szCs w:val="24"/>
        </w:rPr>
        <w:footnoteReference w:id="23"/>
      </w:r>
      <w:r w:rsidR="00C6002F" w:rsidRPr="00386C30">
        <w:rPr>
          <w:rFonts w:ascii="Palatino Linotype" w:hAnsi="Palatino Linotype"/>
          <w:sz w:val="24"/>
          <w:szCs w:val="24"/>
        </w:rPr>
        <w:t xml:space="preserve">  For the purposes of this </w:t>
      </w:r>
      <w:r w:rsidR="003D467A" w:rsidRPr="00386C30">
        <w:rPr>
          <w:rFonts w:ascii="Palatino Linotype" w:hAnsi="Palatino Linotype"/>
          <w:sz w:val="24"/>
          <w:szCs w:val="24"/>
        </w:rPr>
        <w:t>study</w:t>
      </w:r>
      <w:r w:rsidR="00C6002F" w:rsidRPr="00386C30">
        <w:rPr>
          <w:rFonts w:ascii="Palatino Linotype" w:hAnsi="Palatino Linotype"/>
          <w:sz w:val="24"/>
          <w:szCs w:val="24"/>
        </w:rPr>
        <w:t xml:space="preserve">, it is the second goal, namely the exposure to social justice, which </w:t>
      </w:r>
      <w:r w:rsidR="00481BE0" w:rsidRPr="00386C30">
        <w:rPr>
          <w:rFonts w:ascii="Palatino Linotype" w:hAnsi="Palatino Linotype"/>
          <w:sz w:val="24"/>
          <w:szCs w:val="24"/>
        </w:rPr>
        <w:t>the author was</w:t>
      </w:r>
      <w:r w:rsidR="00C6002F" w:rsidRPr="00386C30">
        <w:rPr>
          <w:rFonts w:ascii="Palatino Linotype" w:hAnsi="Palatino Linotype"/>
          <w:sz w:val="24"/>
          <w:szCs w:val="24"/>
        </w:rPr>
        <w:t xml:space="preserve"> interested in exploring and the extent to which this goal is being achieved.  However, it will be necessary to include the other goals in order to consider whether there is more than one motivating factor.</w:t>
      </w:r>
    </w:p>
    <w:p w:rsidR="00C6002F" w:rsidRPr="00386C30" w:rsidRDefault="00C6002F" w:rsidP="00386C30">
      <w:pPr>
        <w:spacing w:before="240" w:after="240" w:line="480" w:lineRule="auto"/>
        <w:jc w:val="both"/>
        <w:rPr>
          <w:rFonts w:ascii="Palatino Linotype" w:hAnsi="Palatino Linotype"/>
          <w:sz w:val="24"/>
          <w:szCs w:val="24"/>
        </w:rPr>
      </w:pPr>
      <w:r w:rsidRPr="00386C30">
        <w:rPr>
          <w:rFonts w:ascii="Palatino Linotype" w:hAnsi="Palatino Linotype"/>
          <w:sz w:val="24"/>
          <w:szCs w:val="24"/>
        </w:rPr>
        <w:t>It is suggested that ‘encouraging law students to become involved in pro bono work is likely to develop their commitment to, and understanding of, professional values, which should in turn lead to their active involvement in pro bono work later in their professional lives.’</w:t>
      </w:r>
      <w:r w:rsidR="00481BE0" w:rsidRPr="00386C30">
        <w:rPr>
          <w:rStyle w:val="FootnoteReference"/>
          <w:rFonts w:ascii="Palatino Linotype" w:hAnsi="Palatino Linotype"/>
          <w:sz w:val="24"/>
          <w:szCs w:val="24"/>
        </w:rPr>
        <w:footnoteReference w:id="24"/>
      </w:r>
    </w:p>
    <w:p w:rsidR="00C6002F" w:rsidRPr="00386C30" w:rsidRDefault="00C6002F" w:rsidP="00386C30">
      <w:pPr>
        <w:spacing w:before="240" w:after="240" w:line="480" w:lineRule="auto"/>
        <w:jc w:val="both"/>
        <w:rPr>
          <w:rFonts w:ascii="Palatino Linotype" w:hAnsi="Palatino Linotype"/>
          <w:sz w:val="24"/>
          <w:szCs w:val="24"/>
        </w:rPr>
      </w:pPr>
      <w:r w:rsidRPr="00386C30">
        <w:rPr>
          <w:rFonts w:ascii="Palatino Linotype" w:hAnsi="Palatino Linotype"/>
          <w:sz w:val="24"/>
          <w:szCs w:val="24"/>
        </w:rPr>
        <w:t xml:space="preserve">Giddings comments that clinics ‘are often identified as important in enhancing the commitment of students to professional ideals and values, </w:t>
      </w:r>
      <w:r w:rsidRPr="00386C30">
        <w:rPr>
          <w:rFonts w:ascii="Palatino Linotype" w:hAnsi="Palatino Linotype"/>
          <w:sz w:val="24"/>
          <w:szCs w:val="24"/>
        </w:rPr>
        <w:lastRenderedPageBreak/>
        <w:t>fostering the values that promote pro bono contributions.’</w:t>
      </w:r>
      <w:r w:rsidR="00481BE0" w:rsidRPr="00386C30">
        <w:rPr>
          <w:rStyle w:val="FootnoteReference"/>
          <w:rFonts w:ascii="Palatino Linotype" w:hAnsi="Palatino Linotype"/>
          <w:sz w:val="24"/>
          <w:szCs w:val="24"/>
        </w:rPr>
        <w:footnoteReference w:id="25"/>
      </w:r>
      <w:r w:rsidRPr="00386C30">
        <w:rPr>
          <w:rFonts w:ascii="Palatino Linotype" w:hAnsi="Palatino Linotype"/>
          <w:sz w:val="24"/>
          <w:szCs w:val="24"/>
        </w:rPr>
        <w:t xml:space="preserve"> However, Giddings goes on to recognise that these claims are difficult to support with empirical data.</w:t>
      </w:r>
      <w:r w:rsidR="00481BE0" w:rsidRPr="00386C30">
        <w:rPr>
          <w:rStyle w:val="FootnoteReference"/>
          <w:rFonts w:ascii="Palatino Linotype" w:hAnsi="Palatino Linotype"/>
          <w:sz w:val="24"/>
          <w:szCs w:val="24"/>
        </w:rPr>
        <w:footnoteReference w:id="26"/>
      </w:r>
    </w:p>
    <w:p w:rsidR="00BE5566" w:rsidRPr="00386C30" w:rsidRDefault="00C6002F" w:rsidP="00386C30">
      <w:pPr>
        <w:spacing w:before="240" w:after="240" w:line="480" w:lineRule="auto"/>
        <w:jc w:val="both"/>
        <w:rPr>
          <w:rFonts w:ascii="Palatino Linotype" w:hAnsi="Palatino Linotype"/>
          <w:sz w:val="24"/>
          <w:szCs w:val="24"/>
        </w:rPr>
      </w:pPr>
      <w:r w:rsidRPr="00386C30">
        <w:rPr>
          <w:rFonts w:ascii="Palatino Linotype" w:hAnsi="Palatino Linotype"/>
          <w:sz w:val="24"/>
          <w:szCs w:val="24"/>
        </w:rPr>
        <w:t>In considering whether clinical programmes influence students</w:t>
      </w:r>
      <w:r w:rsidR="003C0A6F" w:rsidRPr="00386C30">
        <w:rPr>
          <w:rFonts w:ascii="Palatino Linotype" w:hAnsi="Palatino Linotype"/>
          <w:sz w:val="24"/>
          <w:szCs w:val="24"/>
        </w:rPr>
        <w:t>’</w:t>
      </w:r>
      <w:r w:rsidRPr="00386C30">
        <w:rPr>
          <w:rFonts w:ascii="Palatino Linotype" w:hAnsi="Palatino Linotype"/>
          <w:sz w:val="24"/>
          <w:szCs w:val="24"/>
        </w:rPr>
        <w:t xml:space="preserve"> sense of ethical and social awareness, </w:t>
      </w:r>
      <w:proofErr w:type="spellStart"/>
      <w:r w:rsidRPr="00386C30">
        <w:rPr>
          <w:rFonts w:ascii="Palatino Linotype" w:hAnsi="Palatino Linotype"/>
          <w:sz w:val="24"/>
          <w:szCs w:val="24"/>
        </w:rPr>
        <w:t>Schrag</w:t>
      </w:r>
      <w:proofErr w:type="spellEnd"/>
      <w:r w:rsidRPr="00386C30">
        <w:rPr>
          <w:rFonts w:ascii="Palatino Linotype" w:hAnsi="Palatino Linotype"/>
          <w:sz w:val="24"/>
          <w:szCs w:val="24"/>
        </w:rPr>
        <w:t xml:space="preserve"> and </w:t>
      </w:r>
      <w:proofErr w:type="spellStart"/>
      <w:r w:rsidRPr="00386C30">
        <w:rPr>
          <w:rFonts w:ascii="Palatino Linotype" w:hAnsi="Palatino Linotype"/>
          <w:sz w:val="24"/>
          <w:szCs w:val="24"/>
        </w:rPr>
        <w:t>Meltsner</w:t>
      </w:r>
      <w:proofErr w:type="spellEnd"/>
      <w:r w:rsidRPr="00386C30">
        <w:rPr>
          <w:rFonts w:ascii="Palatino Linotype" w:hAnsi="Palatino Linotype"/>
          <w:sz w:val="24"/>
          <w:szCs w:val="24"/>
        </w:rPr>
        <w:t xml:space="preserve"> recognise that there are no empirical studies that compare law graduates who took clinic with those who did not.</w:t>
      </w:r>
      <w:r w:rsidR="00481BE0" w:rsidRPr="00386C30">
        <w:rPr>
          <w:rStyle w:val="FootnoteReference"/>
          <w:rFonts w:ascii="Palatino Linotype" w:hAnsi="Palatino Linotype"/>
          <w:sz w:val="24"/>
          <w:szCs w:val="24"/>
        </w:rPr>
        <w:footnoteReference w:id="27"/>
      </w:r>
      <w:r w:rsidRPr="00386C30">
        <w:rPr>
          <w:rFonts w:ascii="Palatino Linotype" w:hAnsi="Palatino Linotype"/>
          <w:sz w:val="24"/>
          <w:szCs w:val="24"/>
        </w:rPr>
        <w:t xml:space="preserve">  However, they go on to state that ‘many thousands of lawyers have begun their careers much better able to take responsibility for helping clients, with much greater understanding of how social institutions really work, and with greatly heightened awareness of ethical issues and how to address them.’</w:t>
      </w:r>
      <w:r w:rsidR="00481BE0" w:rsidRPr="00386C30">
        <w:rPr>
          <w:rStyle w:val="FootnoteReference"/>
          <w:rFonts w:ascii="Palatino Linotype" w:hAnsi="Palatino Linotype"/>
          <w:sz w:val="24"/>
          <w:szCs w:val="24"/>
        </w:rPr>
        <w:footnoteReference w:id="28"/>
      </w:r>
      <w:r w:rsidR="00FD63D7" w:rsidRPr="00386C30">
        <w:rPr>
          <w:rFonts w:ascii="Palatino Linotype" w:hAnsi="Palatino Linotype"/>
          <w:sz w:val="24"/>
          <w:szCs w:val="24"/>
        </w:rPr>
        <w:t xml:space="preserve"> </w:t>
      </w:r>
      <w:r w:rsidR="00266595" w:rsidRPr="00386C30">
        <w:rPr>
          <w:rFonts w:ascii="Palatino Linotype" w:hAnsi="Palatino Linotype"/>
          <w:sz w:val="24"/>
          <w:szCs w:val="24"/>
        </w:rPr>
        <w:t>Palermo and Evans recognised this issue and stated ‘a central motive</w:t>
      </w:r>
      <w:r w:rsidR="00FE5442" w:rsidRPr="00386C30">
        <w:rPr>
          <w:rFonts w:ascii="Palatino Linotype" w:hAnsi="Palatino Linotype"/>
          <w:sz w:val="24"/>
          <w:szCs w:val="24"/>
        </w:rPr>
        <w:t xml:space="preserve"> for undertaking [their] study was the need for empirical information about lawyers’ responses to ethical challenge over time’</w:t>
      </w:r>
      <w:r w:rsidR="00BE5566" w:rsidRPr="00386C30">
        <w:rPr>
          <w:rFonts w:ascii="Palatino Linotype" w:hAnsi="Palatino Linotype"/>
          <w:sz w:val="24"/>
          <w:szCs w:val="24"/>
        </w:rPr>
        <w:t>.</w:t>
      </w:r>
      <w:r w:rsidR="00FE5442" w:rsidRPr="00386C30">
        <w:rPr>
          <w:rStyle w:val="FootnoteReference"/>
          <w:rFonts w:ascii="Palatino Linotype" w:hAnsi="Palatino Linotype"/>
          <w:sz w:val="24"/>
          <w:szCs w:val="24"/>
        </w:rPr>
        <w:footnoteReference w:id="29"/>
      </w:r>
      <w:r w:rsidR="00BE5566" w:rsidRPr="00386C30">
        <w:rPr>
          <w:rFonts w:ascii="Palatino Linotype" w:hAnsi="Palatino Linotype"/>
          <w:sz w:val="24"/>
          <w:szCs w:val="24"/>
        </w:rPr>
        <w:t xml:space="preserve">  Interestingly, and contrary to the stated aims of clinical legal education, Palermo and Evans study suggests that students who had a clinical experience were less interested in pro bono work over time.</w:t>
      </w:r>
      <w:r w:rsidR="00136DA7" w:rsidRPr="00386C30">
        <w:rPr>
          <w:rStyle w:val="FootnoteReference"/>
          <w:rFonts w:ascii="Palatino Linotype" w:hAnsi="Palatino Linotype"/>
          <w:sz w:val="24"/>
          <w:szCs w:val="24"/>
        </w:rPr>
        <w:footnoteReference w:id="30"/>
      </w:r>
    </w:p>
    <w:p w:rsidR="00C6002F" w:rsidRPr="00386C30" w:rsidRDefault="00BE5566" w:rsidP="00386C30">
      <w:pPr>
        <w:spacing w:before="240" w:after="240" w:line="480" w:lineRule="auto"/>
        <w:jc w:val="both"/>
        <w:rPr>
          <w:rFonts w:ascii="Palatino Linotype" w:hAnsi="Palatino Linotype"/>
          <w:sz w:val="24"/>
          <w:szCs w:val="24"/>
        </w:rPr>
      </w:pPr>
      <w:r w:rsidRPr="00386C30">
        <w:rPr>
          <w:rFonts w:ascii="Palatino Linotype" w:hAnsi="Palatino Linotype"/>
          <w:sz w:val="24"/>
          <w:szCs w:val="24"/>
        </w:rPr>
        <w:lastRenderedPageBreak/>
        <w:t xml:space="preserve">There </w:t>
      </w:r>
      <w:r w:rsidR="003F3D73" w:rsidRPr="00386C30">
        <w:rPr>
          <w:rFonts w:ascii="Palatino Linotype" w:hAnsi="Palatino Linotype"/>
          <w:sz w:val="24"/>
          <w:szCs w:val="24"/>
        </w:rPr>
        <w:t>have also been</w:t>
      </w:r>
      <w:r w:rsidRPr="00386C30">
        <w:rPr>
          <w:rFonts w:ascii="Palatino Linotype" w:hAnsi="Palatino Linotype"/>
          <w:sz w:val="24"/>
          <w:szCs w:val="24"/>
        </w:rPr>
        <w:t xml:space="preserve"> a number of studies</w:t>
      </w:r>
      <w:r w:rsidR="003F3D73" w:rsidRPr="00386C30">
        <w:rPr>
          <w:rFonts w:ascii="Palatino Linotype" w:hAnsi="Palatino Linotype"/>
          <w:sz w:val="24"/>
          <w:szCs w:val="24"/>
        </w:rPr>
        <w:t>,</w:t>
      </w:r>
      <w:r w:rsidRPr="00386C30">
        <w:rPr>
          <w:rFonts w:ascii="Palatino Linotype" w:hAnsi="Palatino Linotype"/>
          <w:sz w:val="24"/>
          <w:szCs w:val="24"/>
        </w:rPr>
        <w:t xml:space="preserve"> conducted in the United States</w:t>
      </w:r>
      <w:r w:rsidR="003F3D73" w:rsidRPr="00386C30">
        <w:rPr>
          <w:rFonts w:ascii="Palatino Linotype" w:hAnsi="Palatino Linotype"/>
          <w:sz w:val="24"/>
          <w:szCs w:val="24"/>
        </w:rPr>
        <w:t>,</w:t>
      </w:r>
      <w:r w:rsidR="001D68D9" w:rsidRPr="00386C30">
        <w:rPr>
          <w:rFonts w:ascii="Palatino Linotype" w:hAnsi="Palatino Linotype"/>
          <w:sz w:val="24"/>
          <w:szCs w:val="24"/>
        </w:rPr>
        <w:t xml:space="preserve"> regarding the impact of pro bono programmes</w:t>
      </w:r>
      <w:r w:rsidR="0072384C" w:rsidRPr="00386C30">
        <w:rPr>
          <w:rFonts w:ascii="Palatino Linotype" w:hAnsi="Palatino Linotype"/>
          <w:sz w:val="24"/>
          <w:szCs w:val="24"/>
        </w:rPr>
        <w:t xml:space="preserve"> at law schools</w:t>
      </w:r>
      <w:r w:rsidR="003F3D73" w:rsidRPr="00386C30">
        <w:rPr>
          <w:rFonts w:ascii="Palatino Linotype" w:hAnsi="Palatino Linotype"/>
          <w:sz w:val="24"/>
          <w:szCs w:val="24"/>
        </w:rPr>
        <w:t>.</w:t>
      </w:r>
    </w:p>
    <w:p w:rsidR="00C6002F" w:rsidRPr="00386C30" w:rsidRDefault="00C6002F" w:rsidP="00386C30">
      <w:pPr>
        <w:spacing w:before="240" w:after="240" w:line="480" w:lineRule="auto"/>
        <w:jc w:val="both"/>
        <w:rPr>
          <w:rFonts w:ascii="Palatino Linotype" w:hAnsi="Palatino Linotype"/>
          <w:sz w:val="24"/>
          <w:szCs w:val="24"/>
        </w:rPr>
      </w:pPr>
      <w:proofErr w:type="spellStart"/>
      <w:r w:rsidRPr="00386C30">
        <w:rPr>
          <w:rFonts w:ascii="Palatino Linotype" w:hAnsi="Palatino Linotype"/>
          <w:sz w:val="24"/>
          <w:szCs w:val="24"/>
        </w:rPr>
        <w:t>Granfield</w:t>
      </w:r>
      <w:proofErr w:type="spellEnd"/>
      <w:r w:rsidRPr="00386C30">
        <w:rPr>
          <w:rFonts w:ascii="Palatino Linotype" w:hAnsi="Palatino Linotype"/>
          <w:sz w:val="24"/>
          <w:szCs w:val="24"/>
        </w:rPr>
        <w:t xml:space="preserve"> </w:t>
      </w:r>
      <w:r w:rsidR="0072384C" w:rsidRPr="00386C30">
        <w:rPr>
          <w:rFonts w:ascii="Palatino Linotype" w:hAnsi="Palatino Linotype"/>
          <w:sz w:val="24"/>
          <w:szCs w:val="24"/>
        </w:rPr>
        <w:t>states</w:t>
      </w:r>
      <w:r w:rsidR="00481BE0" w:rsidRPr="00386C30">
        <w:rPr>
          <w:rFonts w:ascii="Palatino Linotype" w:hAnsi="Palatino Linotype"/>
          <w:sz w:val="24"/>
          <w:szCs w:val="24"/>
        </w:rPr>
        <w:t xml:space="preserve"> </w:t>
      </w:r>
      <w:r w:rsidRPr="00386C30">
        <w:rPr>
          <w:rFonts w:ascii="Palatino Linotype" w:hAnsi="Palatino Linotype"/>
          <w:sz w:val="24"/>
          <w:szCs w:val="24"/>
        </w:rPr>
        <w:t xml:space="preserve">that: </w:t>
      </w:r>
    </w:p>
    <w:p w:rsidR="00C6002F" w:rsidRPr="00386C30" w:rsidRDefault="00C6002F" w:rsidP="00386C30">
      <w:pPr>
        <w:pStyle w:val="BodyTextIndent"/>
        <w:spacing w:before="240" w:after="240" w:line="360" w:lineRule="auto"/>
        <w:rPr>
          <w:rFonts w:ascii="Palatino Linotype" w:hAnsi="Palatino Linotype"/>
          <w:i w:val="0"/>
        </w:rPr>
      </w:pPr>
      <w:r w:rsidRPr="00386C30">
        <w:rPr>
          <w:rFonts w:ascii="Palatino Linotype" w:hAnsi="Palatino Linotype"/>
          <w:i w:val="0"/>
        </w:rPr>
        <w:t>‘While there has been anecdotal evidence supporting the value of law school pro bono, no institution has taken an empirical examination of the impact of pro bono participation on law school graduates.  This seems to suggest that many proponents of law school pro bono view such policies as an unqualified public good that is consistent with the service ideals of the legal profession.’</w:t>
      </w:r>
      <w:r w:rsidR="00481BE0" w:rsidRPr="00386C30">
        <w:rPr>
          <w:rStyle w:val="FootnoteReference"/>
          <w:rFonts w:ascii="Palatino Linotype" w:hAnsi="Palatino Linotype"/>
          <w:i w:val="0"/>
        </w:rPr>
        <w:footnoteReference w:id="31"/>
      </w:r>
    </w:p>
    <w:p w:rsidR="00C6002F" w:rsidRPr="00386C30" w:rsidRDefault="00C6002F" w:rsidP="00386C30">
      <w:pPr>
        <w:spacing w:before="240" w:after="240" w:line="480" w:lineRule="auto"/>
        <w:jc w:val="both"/>
        <w:rPr>
          <w:rFonts w:ascii="Palatino Linotype" w:hAnsi="Palatino Linotype"/>
          <w:sz w:val="24"/>
          <w:szCs w:val="24"/>
        </w:rPr>
      </w:pPr>
      <w:r w:rsidRPr="00386C30">
        <w:rPr>
          <w:rFonts w:ascii="Palatino Linotype" w:hAnsi="Palatino Linotype"/>
          <w:sz w:val="24"/>
          <w:szCs w:val="24"/>
        </w:rPr>
        <w:t xml:space="preserve">Rhode undertook </w:t>
      </w:r>
      <w:r w:rsidR="004F781F" w:rsidRPr="00386C30">
        <w:rPr>
          <w:rFonts w:ascii="Palatino Linotype" w:hAnsi="Palatino Linotype"/>
          <w:sz w:val="24"/>
          <w:szCs w:val="24"/>
        </w:rPr>
        <w:t xml:space="preserve">what may be considered the first </w:t>
      </w:r>
      <w:r w:rsidRPr="00386C30">
        <w:rPr>
          <w:rFonts w:ascii="Palatino Linotype" w:hAnsi="Palatino Linotype"/>
          <w:sz w:val="24"/>
          <w:szCs w:val="24"/>
        </w:rPr>
        <w:t>empirical analysis of lawyers</w:t>
      </w:r>
      <w:r w:rsidR="004F781F" w:rsidRPr="00386C30">
        <w:rPr>
          <w:rFonts w:ascii="Palatino Linotype" w:hAnsi="Palatino Linotype"/>
          <w:sz w:val="24"/>
          <w:szCs w:val="24"/>
        </w:rPr>
        <w:t xml:space="preserve"> and their attitudes towards pro bono work</w:t>
      </w:r>
      <w:r w:rsidRPr="00386C30">
        <w:rPr>
          <w:rFonts w:ascii="Palatino Linotype" w:hAnsi="Palatino Linotype"/>
          <w:sz w:val="24"/>
          <w:szCs w:val="24"/>
        </w:rPr>
        <w:t>.</w:t>
      </w:r>
      <w:r w:rsidR="00880F15" w:rsidRPr="00386C30">
        <w:rPr>
          <w:rStyle w:val="FootnoteReference"/>
          <w:rFonts w:ascii="Palatino Linotype" w:hAnsi="Palatino Linotype"/>
          <w:sz w:val="24"/>
          <w:szCs w:val="24"/>
        </w:rPr>
        <w:footnoteReference w:id="32"/>
      </w:r>
      <w:r w:rsidRPr="00386C30">
        <w:rPr>
          <w:rFonts w:ascii="Palatino Linotype" w:hAnsi="Palatino Linotype"/>
          <w:sz w:val="24"/>
          <w:szCs w:val="24"/>
        </w:rPr>
        <w:t xml:space="preserve">  Rhode reports that 59% of the lawyers surveyed cited a desire for a financially rewarding and secure career as the reason </w:t>
      </w:r>
      <w:r w:rsidR="0019796E" w:rsidRPr="00386C30">
        <w:rPr>
          <w:rFonts w:ascii="Palatino Linotype" w:hAnsi="Palatino Linotype"/>
          <w:sz w:val="24"/>
          <w:szCs w:val="24"/>
        </w:rPr>
        <w:t xml:space="preserve">for </w:t>
      </w:r>
      <w:r w:rsidRPr="00386C30">
        <w:rPr>
          <w:rFonts w:ascii="Palatino Linotype" w:hAnsi="Palatino Linotype"/>
          <w:sz w:val="24"/>
          <w:szCs w:val="24"/>
        </w:rPr>
        <w:t>choosing a legal career.  The next most common motivations were finding intellectual challenges (52%) and keeping options open (41%).  Only 31% of the respondents indicated a desire to promote social justice whilst 29% stated that they wanted to prepare for public service.</w:t>
      </w:r>
      <w:r w:rsidR="00880F15" w:rsidRPr="00386C30">
        <w:rPr>
          <w:rStyle w:val="FootnoteReference"/>
          <w:rFonts w:ascii="Palatino Linotype" w:hAnsi="Palatino Linotype"/>
          <w:sz w:val="24"/>
          <w:szCs w:val="24"/>
        </w:rPr>
        <w:footnoteReference w:id="33"/>
      </w:r>
    </w:p>
    <w:p w:rsidR="00C6002F" w:rsidRPr="00386C30" w:rsidRDefault="00C6002F" w:rsidP="00386C30">
      <w:pPr>
        <w:spacing w:before="240" w:after="240" w:line="480" w:lineRule="auto"/>
        <w:jc w:val="both"/>
        <w:rPr>
          <w:rFonts w:ascii="Palatino Linotype" w:hAnsi="Palatino Linotype"/>
          <w:sz w:val="24"/>
          <w:szCs w:val="24"/>
        </w:rPr>
      </w:pPr>
      <w:r w:rsidRPr="00386C30">
        <w:rPr>
          <w:rFonts w:ascii="Palatino Linotype" w:hAnsi="Palatino Linotype"/>
          <w:sz w:val="24"/>
          <w:szCs w:val="24"/>
        </w:rPr>
        <w:t xml:space="preserve">Rhode goes on to state that fewer than a third of the respondents had changed their objective during law school.  Of the respondents who did </w:t>
      </w:r>
      <w:r w:rsidRPr="00386C30">
        <w:rPr>
          <w:rFonts w:ascii="Palatino Linotype" w:hAnsi="Palatino Linotype"/>
          <w:sz w:val="24"/>
          <w:szCs w:val="24"/>
        </w:rPr>
        <w:lastRenderedPageBreak/>
        <w:t>report a shift in attitude, a ‘significant number’ reported a change in attitude concerning pro bono and public interest work.  A fifth (22%) of these respondents reported that a positive law school experience had encouraged involvement in pro bono activity, whilst about a fifth (19%) reported a negative law school experience had ‘dampened’ their desire to do pro bono work.  Other factors steering lawyers away from public interest work included student loans and differential salary levels.</w:t>
      </w:r>
      <w:r w:rsidR="001E5C68" w:rsidRPr="00386C30">
        <w:rPr>
          <w:rStyle w:val="FootnoteReference"/>
          <w:rFonts w:ascii="Palatino Linotype" w:hAnsi="Palatino Linotype"/>
          <w:sz w:val="24"/>
          <w:szCs w:val="24"/>
        </w:rPr>
        <w:footnoteReference w:id="34"/>
      </w:r>
      <w:r w:rsidRPr="00386C30">
        <w:rPr>
          <w:rFonts w:ascii="Palatino Linotype" w:hAnsi="Palatino Linotype"/>
          <w:sz w:val="24"/>
          <w:szCs w:val="24"/>
        </w:rPr>
        <w:t xml:space="preserve">  Rhode states that her study fails to confirm the belief that a law school pro bono experience increases the likelihood of continued pro bono contributions.  A positive experience with ‘public interest work’ can have a significant impact, but such an experience need not come from a ‘pro bono placement’ nor does a pro bono placement ensure a positive experience.</w:t>
      </w:r>
      <w:r w:rsidR="00880F15" w:rsidRPr="00386C30">
        <w:rPr>
          <w:rStyle w:val="FootnoteReference"/>
          <w:rFonts w:ascii="Palatino Linotype" w:hAnsi="Palatino Linotype"/>
          <w:sz w:val="24"/>
          <w:szCs w:val="24"/>
        </w:rPr>
        <w:footnoteReference w:id="35"/>
      </w:r>
    </w:p>
    <w:p w:rsidR="00C6002F" w:rsidRPr="00386C30" w:rsidRDefault="00C6002F" w:rsidP="00386C30">
      <w:pPr>
        <w:spacing w:before="240" w:after="240" w:line="480" w:lineRule="auto"/>
        <w:jc w:val="both"/>
        <w:rPr>
          <w:rFonts w:ascii="Palatino Linotype" w:hAnsi="Palatino Linotype"/>
          <w:sz w:val="24"/>
          <w:szCs w:val="24"/>
        </w:rPr>
      </w:pPr>
      <w:proofErr w:type="spellStart"/>
      <w:r w:rsidRPr="00386C30">
        <w:rPr>
          <w:rFonts w:ascii="Palatino Linotype" w:hAnsi="Palatino Linotype"/>
          <w:sz w:val="24"/>
          <w:szCs w:val="24"/>
        </w:rPr>
        <w:t>Granfield</w:t>
      </w:r>
      <w:proofErr w:type="spellEnd"/>
      <w:r w:rsidRPr="00386C30">
        <w:rPr>
          <w:rFonts w:ascii="Palatino Linotype" w:hAnsi="Palatino Linotype"/>
          <w:sz w:val="24"/>
          <w:szCs w:val="24"/>
        </w:rPr>
        <w:t xml:space="preserve"> reports that 58% of respondents to his survey believed they had acquired valuable legal skills from their participation in pro bono activity at law school whilst 28% report that their pro bono experience helped them acquire their initial job after graduation.</w:t>
      </w:r>
      <w:r w:rsidR="007E637A" w:rsidRPr="00386C30">
        <w:rPr>
          <w:rStyle w:val="FootnoteReference"/>
          <w:rFonts w:ascii="Palatino Linotype" w:hAnsi="Palatino Linotype"/>
          <w:sz w:val="24"/>
          <w:szCs w:val="24"/>
        </w:rPr>
        <w:footnoteReference w:id="36"/>
      </w:r>
      <w:r w:rsidRPr="00386C30">
        <w:rPr>
          <w:rFonts w:ascii="Palatino Linotype" w:hAnsi="Palatino Linotype"/>
          <w:sz w:val="24"/>
          <w:szCs w:val="24"/>
        </w:rPr>
        <w:t xml:space="preserve">  Further, </w:t>
      </w:r>
      <w:proofErr w:type="spellStart"/>
      <w:r w:rsidRPr="00386C30">
        <w:rPr>
          <w:rFonts w:ascii="Palatino Linotype" w:hAnsi="Palatino Linotype"/>
          <w:sz w:val="24"/>
          <w:szCs w:val="24"/>
        </w:rPr>
        <w:t>Granfield</w:t>
      </w:r>
      <w:proofErr w:type="spellEnd"/>
      <w:r w:rsidRPr="00386C30">
        <w:rPr>
          <w:rFonts w:ascii="Palatino Linotype" w:hAnsi="Palatino Linotype"/>
          <w:sz w:val="24"/>
          <w:szCs w:val="24"/>
        </w:rPr>
        <w:t xml:space="preserve"> also comments that, ‘contrary to anecdotal evidence, half the respondents did not believe </w:t>
      </w:r>
      <w:r w:rsidRPr="00386C30">
        <w:rPr>
          <w:rFonts w:ascii="Palatino Linotype" w:hAnsi="Palatino Linotype"/>
          <w:sz w:val="24"/>
          <w:szCs w:val="24"/>
        </w:rPr>
        <w:lastRenderedPageBreak/>
        <w:t>their law school pro bono experiences made them more committed to doing pro bono work as a practicing attorney.’</w:t>
      </w:r>
      <w:r w:rsidR="007E637A" w:rsidRPr="00386C30">
        <w:rPr>
          <w:rStyle w:val="FootnoteReference"/>
          <w:rFonts w:ascii="Palatino Linotype" w:hAnsi="Palatino Linotype"/>
          <w:sz w:val="24"/>
          <w:szCs w:val="24"/>
        </w:rPr>
        <w:footnoteReference w:id="37"/>
      </w:r>
      <w:r w:rsidRPr="00386C30">
        <w:rPr>
          <w:rFonts w:ascii="Palatino Linotype" w:hAnsi="Palatino Linotype"/>
          <w:sz w:val="24"/>
          <w:szCs w:val="24"/>
        </w:rPr>
        <w:t xml:space="preserve"> </w:t>
      </w:r>
    </w:p>
    <w:p w:rsidR="00C6002F" w:rsidRPr="00386C30" w:rsidRDefault="00C6002F" w:rsidP="00386C30">
      <w:pPr>
        <w:spacing w:before="240" w:after="240" w:line="480" w:lineRule="auto"/>
        <w:jc w:val="both"/>
        <w:rPr>
          <w:rFonts w:ascii="Palatino Linotype" w:hAnsi="Palatino Linotype"/>
          <w:sz w:val="24"/>
          <w:szCs w:val="24"/>
        </w:rPr>
      </w:pPr>
      <w:r w:rsidRPr="00386C30">
        <w:rPr>
          <w:rFonts w:ascii="Palatino Linotype" w:hAnsi="Palatino Linotype"/>
          <w:sz w:val="24"/>
          <w:szCs w:val="24"/>
        </w:rPr>
        <w:t xml:space="preserve">Both </w:t>
      </w:r>
      <w:proofErr w:type="spellStart"/>
      <w:r w:rsidRPr="00386C30">
        <w:rPr>
          <w:rFonts w:ascii="Palatino Linotype" w:hAnsi="Palatino Linotype"/>
          <w:sz w:val="24"/>
          <w:szCs w:val="24"/>
        </w:rPr>
        <w:t>Granfield</w:t>
      </w:r>
      <w:proofErr w:type="spellEnd"/>
      <w:r w:rsidR="007E637A" w:rsidRPr="00386C30">
        <w:rPr>
          <w:rStyle w:val="FootnoteReference"/>
          <w:rFonts w:ascii="Palatino Linotype" w:hAnsi="Palatino Linotype"/>
          <w:sz w:val="24"/>
          <w:szCs w:val="24"/>
        </w:rPr>
        <w:footnoteReference w:id="38"/>
      </w:r>
      <w:r w:rsidRPr="00386C30">
        <w:rPr>
          <w:rFonts w:ascii="Palatino Linotype" w:hAnsi="Palatino Linotype"/>
          <w:sz w:val="24"/>
          <w:szCs w:val="24"/>
        </w:rPr>
        <w:t xml:space="preserve"> and Rhode</w:t>
      </w:r>
      <w:r w:rsidR="007E637A" w:rsidRPr="00386C30">
        <w:rPr>
          <w:rStyle w:val="FootnoteReference"/>
          <w:rFonts w:ascii="Palatino Linotype" w:hAnsi="Palatino Linotype"/>
          <w:sz w:val="24"/>
          <w:szCs w:val="24"/>
        </w:rPr>
        <w:footnoteReference w:id="39"/>
      </w:r>
      <w:r w:rsidRPr="00386C30">
        <w:rPr>
          <w:rFonts w:ascii="Palatino Linotype" w:hAnsi="Palatino Linotype"/>
          <w:sz w:val="24"/>
          <w:szCs w:val="24"/>
        </w:rPr>
        <w:t xml:space="preserve"> cite commitment to public service and a sense of personal satisfaction as the principle motivations for conducting pro bono work whilst factors such as enhancement of legal skills were of secondary importance.</w:t>
      </w:r>
    </w:p>
    <w:p w:rsidR="00C6002F" w:rsidRPr="00386C30" w:rsidRDefault="00C6002F" w:rsidP="00386C30">
      <w:pPr>
        <w:spacing w:before="240" w:after="240" w:line="480" w:lineRule="auto"/>
        <w:jc w:val="both"/>
        <w:rPr>
          <w:rFonts w:ascii="Palatino Linotype" w:hAnsi="Palatino Linotype"/>
          <w:sz w:val="24"/>
          <w:szCs w:val="24"/>
        </w:rPr>
      </w:pPr>
      <w:r w:rsidRPr="00386C30">
        <w:rPr>
          <w:rFonts w:ascii="Palatino Linotype" w:hAnsi="Palatino Linotype"/>
          <w:sz w:val="24"/>
          <w:szCs w:val="24"/>
        </w:rPr>
        <w:t xml:space="preserve">The </w:t>
      </w:r>
      <w:r w:rsidR="00932625" w:rsidRPr="00386C30">
        <w:rPr>
          <w:rFonts w:ascii="Palatino Linotype" w:hAnsi="Palatino Linotype"/>
          <w:sz w:val="24"/>
          <w:szCs w:val="24"/>
        </w:rPr>
        <w:t>data</w:t>
      </w:r>
      <w:r w:rsidRPr="00386C30">
        <w:rPr>
          <w:rFonts w:ascii="Palatino Linotype" w:hAnsi="Palatino Linotype"/>
          <w:sz w:val="24"/>
          <w:szCs w:val="24"/>
        </w:rPr>
        <w:t xml:space="preserve"> </w:t>
      </w:r>
      <w:r w:rsidR="00932625" w:rsidRPr="00386C30">
        <w:rPr>
          <w:rFonts w:ascii="Palatino Linotype" w:hAnsi="Palatino Linotype"/>
          <w:sz w:val="24"/>
          <w:szCs w:val="24"/>
        </w:rPr>
        <w:t>from</w:t>
      </w:r>
      <w:r w:rsidRPr="00386C30">
        <w:rPr>
          <w:rFonts w:ascii="Palatino Linotype" w:hAnsi="Palatino Linotype"/>
          <w:sz w:val="24"/>
          <w:szCs w:val="24"/>
        </w:rPr>
        <w:t xml:space="preserve"> the studies carried out by both </w:t>
      </w:r>
      <w:proofErr w:type="spellStart"/>
      <w:r w:rsidRPr="00386C30">
        <w:rPr>
          <w:rFonts w:ascii="Palatino Linotype" w:hAnsi="Palatino Linotype"/>
          <w:sz w:val="24"/>
          <w:szCs w:val="24"/>
        </w:rPr>
        <w:t>Granfield</w:t>
      </w:r>
      <w:proofErr w:type="spellEnd"/>
      <w:r w:rsidRPr="00386C30">
        <w:rPr>
          <w:rFonts w:ascii="Palatino Linotype" w:hAnsi="Palatino Linotype"/>
          <w:sz w:val="24"/>
          <w:szCs w:val="24"/>
        </w:rPr>
        <w:t xml:space="preserve"> and Rhode produce very similar </w:t>
      </w:r>
      <w:r w:rsidR="00932625" w:rsidRPr="00386C30">
        <w:rPr>
          <w:rFonts w:ascii="Palatino Linotype" w:hAnsi="Palatino Linotype"/>
          <w:sz w:val="24"/>
          <w:szCs w:val="24"/>
        </w:rPr>
        <w:t>conclusions</w:t>
      </w:r>
      <w:r w:rsidRPr="00386C30">
        <w:rPr>
          <w:rFonts w:ascii="Palatino Linotype" w:hAnsi="Palatino Linotype"/>
          <w:sz w:val="24"/>
          <w:szCs w:val="24"/>
        </w:rPr>
        <w:t xml:space="preserve">, both casting doubt on the notion that you can promote pro bono </w:t>
      </w:r>
      <w:r w:rsidR="004F781F" w:rsidRPr="00386C30">
        <w:rPr>
          <w:rFonts w:ascii="Palatino Linotype" w:hAnsi="Palatino Linotype"/>
          <w:sz w:val="24"/>
          <w:szCs w:val="24"/>
        </w:rPr>
        <w:t xml:space="preserve">work </w:t>
      </w:r>
      <w:r w:rsidRPr="00386C30">
        <w:rPr>
          <w:rFonts w:ascii="Palatino Linotype" w:hAnsi="Palatino Linotype"/>
          <w:sz w:val="24"/>
          <w:szCs w:val="24"/>
        </w:rPr>
        <w:t xml:space="preserve">in the legal profession by exposing law students to pro bono during law school.  However, </w:t>
      </w:r>
      <w:r w:rsidR="006F63C8" w:rsidRPr="00386C30">
        <w:rPr>
          <w:rFonts w:ascii="Palatino Linotype" w:hAnsi="Palatino Linotype"/>
          <w:sz w:val="24"/>
          <w:szCs w:val="24"/>
        </w:rPr>
        <w:t xml:space="preserve">in </w:t>
      </w:r>
      <w:proofErr w:type="spellStart"/>
      <w:r w:rsidRPr="00386C30">
        <w:rPr>
          <w:rFonts w:ascii="Palatino Linotype" w:hAnsi="Palatino Linotype"/>
          <w:sz w:val="24"/>
          <w:szCs w:val="24"/>
        </w:rPr>
        <w:t>Granfield</w:t>
      </w:r>
      <w:r w:rsidR="006F63C8" w:rsidRPr="00386C30">
        <w:rPr>
          <w:rFonts w:ascii="Palatino Linotype" w:hAnsi="Palatino Linotype"/>
          <w:sz w:val="24"/>
          <w:szCs w:val="24"/>
        </w:rPr>
        <w:t>’s</w:t>
      </w:r>
      <w:proofErr w:type="spellEnd"/>
      <w:r w:rsidRPr="00386C30">
        <w:rPr>
          <w:rFonts w:ascii="Palatino Linotype" w:hAnsi="Palatino Linotype"/>
          <w:sz w:val="24"/>
          <w:szCs w:val="24"/>
        </w:rPr>
        <w:t xml:space="preserve"> opinion it is ‘still too early to perform a </w:t>
      </w:r>
      <w:r w:rsidR="00406BE3" w:rsidRPr="00406BE3">
        <w:rPr>
          <w:rFonts w:ascii="Palatino Linotype" w:hAnsi="Palatino Linotype"/>
          <w:sz w:val="24"/>
          <w:szCs w:val="24"/>
        </w:rPr>
        <w:t>post-mortem</w:t>
      </w:r>
      <w:r w:rsidRPr="00386C30">
        <w:rPr>
          <w:rFonts w:ascii="Palatino Linotype" w:hAnsi="Palatino Linotype"/>
          <w:sz w:val="24"/>
          <w:szCs w:val="24"/>
        </w:rPr>
        <w:t xml:space="preserve"> on the law school pro bono movement.’</w:t>
      </w:r>
      <w:r w:rsidR="00932625" w:rsidRPr="00386C30">
        <w:rPr>
          <w:rStyle w:val="FootnoteReference"/>
          <w:rFonts w:ascii="Palatino Linotype" w:hAnsi="Palatino Linotype"/>
          <w:sz w:val="24"/>
          <w:szCs w:val="24"/>
        </w:rPr>
        <w:footnoteReference w:id="40"/>
      </w:r>
      <w:r w:rsidRPr="00386C30">
        <w:rPr>
          <w:rFonts w:ascii="Palatino Linotype" w:hAnsi="Palatino Linotype"/>
          <w:sz w:val="24"/>
          <w:szCs w:val="24"/>
        </w:rPr>
        <w:t xml:space="preserve">  He goes on to state that ‘[m]any respondents…</w:t>
      </w:r>
      <w:r w:rsidR="004A37C2">
        <w:rPr>
          <w:rFonts w:ascii="Palatino Linotype" w:hAnsi="Palatino Linotype"/>
          <w:sz w:val="24"/>
          <w:szCs w:val="24"/>
        </w:rPr>
        <w:t xml:space="preserve"> </w:t>
      </w:r>
      <w:r w:rsidRPr="00386C30">
        <w:rPr>
          <w:rFonts w:ascii="Palatino Linotype" w:hAnsi="Palatino Linotype"/>
          <w:sz w:val="24"/>
          <w:szCs w:val="24"/>
        </w:rPr>
        <w:t>reported that their law school pro bono experiences were not well integrated into their overall education…</w:t>
      </w:r>
      <w:r w:rsidR="004A37C2">
        <w:rPr>
          <w:rFonts w:ascii="Palatino Linotype" w:hAnsi="Palatino Linotype"/>
          <w:sz w:val="24"/>
          <w:szCs w:val="24"/>
        </w:rPr>
        <w:t xml:space="preserve"> </w:t>
      </w:r>
      <w:r w:rsidRPr="00386C30">
        <w:rPr>
          <w:rFonts w:ascii="Palatino Linotype" w:hAnsi="Palatino Linotype"/>
          <w:sz w:val="24"/>
          <w:szCs w:val="24"/>
        </w:rPr>
        <w:t>For the law school pro bono movement to have an impact, the pro bono experiences of law students must be better integrated into the general law school curriculum.’</w:t>
      </w:r>
      <w:r w:rsidR="00932625" w:rsidRPr="00386C30">
        <w:rPr>
          <w:rStyle w:val="FootnoteReference"/>
          <w:rFonts w:ascii="Palatino Linotype" w:hAnsi="Palatino Linotype"/>
          <w:sz w:val="24"/>
          <w:szCs w:val="24"/>
        </w:rPr>
        <w:footnoteReference w:id="41"/>
      </w:r>
    </w:p>
    <w:p w:rsidR="00C6002F" w:rsidRPr="00386C30" w:rsidRDefault="00C6002F" w:rsidP="00386C30">
      <w:pPr>
        <w:spacing w:before="240" w:after="240" w:line="480" w:lineRule="auto"/>
        <w:jc w:val="both"/>
        <w:rPr>
          <w:rFonts w:ascii="Palatino Linotype" w:hAnsi="Palatino Linotype"/>
          <w:sz w:val="24"/>
          <w:szCs w:val="24"/>
        </w:rPr>
      </w:pPr>
      <w:r w:rsidRPr="00386C30">
        <w:rPr>
          <w:rFonts w:ascii="Palatino Linotype" w:hAnsi="Palatino Linotype"/>
          <w:sz w:val="24"/>
          <w:szCs w:val="24"/>
        </w:rPr>
        <w:t xml:space="preserve">Whilst the studies of </w:t>
      </w:r>
      <w:proofErr w:type="spellStart"/>
      <w:r w:rsidRPr="00386C30">
        <w:rPr>
          <w:rFonts w:ascii="Palatino Linotype" w:hAnsi="Palatino Linotype"/>
          <w:sz w:val="24"/>
          <w:szCs w:val="24"/>
        </w:rPr>
        <w:t>Granfield</w:t>
      </w:r>
      <w:proofErr w:type="spellEnd"/>
      <w:r w:rsidRPr="00386C30">
        <w:rPr>
          <w:rFonts w:ascii="Palatino Linotype" w:hAnsi="Palatino Linotype"/>
          <w:sz w:val="24"/>
          <w:szCs w:val="24"/>
        </w:rPr>
        <w:t xml:space="preserve"> and Rhode provide substantial evidence for the proposition that law school pro bono programmes do not influence the </w:t>
      </w:r>
      <w:r w:rsidRPr="00386C30">
        <w:rPr>
          <w:rFonts w:ascii="Palatino Linotype" w:hAnsi="Palatino Linotype"/>
          <w:sz w:val="24"/>
          <w:szCs w:val="24"/>
        </w:rPr>
        <w:lastRenderedPageBreak/>
        <w:t>attitudes of students in relation to their future career, it is noted that both studies consider data drawn from practising lawyers rather than current students.    It is arguable that in both studies, respondents</w:t>
      </w:r>
      <w:r w:rsidR="000F5BE3" w:rsidRPr="00386C30">
        <w:rPr>
          <w:rFonts w:ascii="Palatino Linotype" w:hAnsi="Palatino Linotype"/>
          <w:sz w:val="24"/>
          <w:szCs w:val="24"/>
        </w:rPr>
        <w:t>’</w:t>
      </w:r>
      <w:r w:rsidRPr="00386C30">
        <w:rPr>
          <w:rFonts w:ascii="Palatino Linotype" w:hAnsi="Palatino Linotype"/>
          <w:sz w:val="24"/>
          <w:szCs w:val="24"/>
        </w:rPr>
        <w:t xml:space="preserve"> answers may have varied had they taken the survey whilst at law school or shortly after leaving law school.  It is plausible to consider that their attitudes have been shaped by their experiences since leaving law school.</w:t>
      </w:r>
    </w:p>
    <w:p w:rsidR="00780282" w:rsidRPr="00386C30" w:rsidRDefault="00C6002F" w:rsidP="00386C30">
      <w:pPr>
        <w:spacing w:before="240" w:after="240" w:line="480" w:lineRule="auto"/>
        <w:jc w:val="both"/>
        <w:rPr>
          <w:rFonts w:ascii="Palatino Linotype" w:hAnsi="Palatino Linotype"/>
          <w:sz w:val="24"/>
          <w:szCs w:val="24"/>
        </w:rPr>
      </w:pPr>
      <w:r w:rsidRPr="00386C30">
        <w:rPr>
          <w:rFonts w:ascii="Palatino Linotype" w:hAnsi="Palatino Linotype"/>
          <w:sz w:val="24"/>
          <w:szCs w:val="24"/>
        </w:rPr>
        <w:t xml:space="preserve">Additionally, as </w:t>
      </w:r>
      <w:proofErr w:type="spellStart"/>
      <w:r w:rsidRPr="00386C30">
        <w:rPr>
          <w:rFonts w:ascii="Palatino Linotype" w:hAnsi="Palatino Linotype"/>
          <w:sz w:val="24"/>
          <w:szCs w:val="24"/>
        </w:rPr>
        <w:t>Granfield</w:t>
      </w:r>
      <w:proofErr w:type="spellEnd"/>
      <w:r w:rsidRPr="00386C30">
        <w:rPr>
          <w:rFonts w:ascii="Palatino Linotype" w:hAnsi="Palatino Linotype"/>
          <w:sz w:val="24"/>
          <w:szCs w:val="24"/>
        </w:rPr>
        <w:t xml:space="preserve"> recognises himself, the respondents’ attitude</w:t>
      </w:r>
      <w:r w:rsidR="004F781F" w:rsidRPr="00386C30">
        <w:rPr>
          <w:rFonts w:ascii="Palatino Linotype" w:hAnsi="Palatino Linotype"/>
          <w:sz w:val="24"/>
          <w:szCs w:val="24"/>
        </w:rPr>
        <w:t>s</w:t>
      </w:r>
      <w:r w:rsidRPr="00386C30">
        <w:rPr>
          <w:rFonts w:ascii="Palatino Linotype" w:hAnsi="Palatino Linotype"/>
          <w:sz w:val="24"/>
          <w:szCs w:val="24"/>
        </w:rPr>
        <w:t xml:space="preserve"> could be shaped by their experience at law school.</w:t>
      </w:r>
      <w:r w:rsidR="00932625" w:rsidRPr="00386C30">
        <w:rPr>
          <w:rStyle w:val="FootnoteReference"/>
          <w:rFonts w:ascii="Palatino Linotype" w:hAnsi="Palatino Linotype"/>
          <w:sz w:val="24"/>
          <w:szCs w:val="24"/>
        </w:rPr>
        <w:footnoteReference w:id="42"/>
      </w:r>
      <w:r w:rsidRPr="00386C30">
        <w:rPr>
          <w:rFonts w:ascii="Palatino Linotype" w:hAnsi="Palatino Linotype"/>
          <w:sz w:val="24"/>
          <w:szCs w:val="24"/>
        </w:rPr>
        <w:t xml:space="preserve">  In particular, </w:t>
      </w:r>
      <w:proofErr w:type="spellStart"/>
      <w:r w:rsidRPr="00386C30">
        <w:rPr>
          <w:rFonts w:ascii="Palatino Linotype" w:hAnsi="Palatino Linotype"/>
          <w:sz w:val="24"/>
          <w:szCs w:val="24"/>
        </w:rPr>
        <w:t>Granfield</w:t>
      </w:r>
      <w:proofErr w:type="spellEnd"/>
      <w:r w:rsidRPr="00386C30">
        <w:rPr>
          <w:rFonts w:ascii="Palatino Linotype" w:hAnsi="Palatino Linotype"/>
          <w:sz w:val="24"/>
          <w:szCs w:val="24"/>
        </w:rPr>
        <w:t xml:space="preserve"> refers to better integrating the pro bono experience into legal education.</w:t>
      </w:r>
      <w:r w:rsidR="00932625" w:rsidRPr="00386C30">
        <w:rPr>
          <w:rStyle w:val="FootnoteReference"/>
          <w:rFonts w:ascii="Palatino Linotype" w:hAnsi="Palatino Linotype"/>
          <w:sz w:val="24"/>
          <w:szCs w:val="24"/>
        </w:rPr>
        <w:footnoteReference w:id="43"/>
      </w:r>
      <w:r w:rsidR="00932625" w:rsidRPr="00386C30">
        <w:rPr>
          <w:rFonts w:ascii="Palatino Linotype" w:hAnsi="Palatino Linotype"/>
          <w:sz w:val="24"/>
          <w:szCs w:val="24"/>
        </w:rPr>
        <w:t xml:space="preserve">  </w:t>
      </w:r>
      <w:proofErr w:type="spellStart"/>
      <w:r w:rsidR="00E0751C" w:rsidRPr="00386C30">
        <w:rPr>
          <w:rFonts w:ascii="Palatino Linotype" w:hAnsi="Palatino Linotype"/>
          <w:sz w:val="24"/>
          <w:szCs w:val="24"/>
        </w:rPr>
        <w:t>Schmedemann</w:t>
      </w:r>
      <w:proofErr w:type="spellEnd"/>
      <w:r w:rsidR="00E0751C" w:rsidRPr="00386C30">
        <w:rPr>
          <w:rFonts w:ascii="Palatino Linotype" w:hAnsi="Palatino Linotype"/>
          <w:sz w:val="24"/>
          <w:szCs w:val="24"/>
        </w:rPr>
        <w:t xml:space="preserve"> has also considered whether a pro bono participation in law schools encourage</w:t>
      </w:r>
      <w:r w:rsidR="0019796E" w:rsidRPr="00386C30">
        <w:rPr>
          <w:rFonts w:ascii="Palatino Linotype" w:hAnsi="Palatino Linotype"/>
          <w:sz w:val="24"/>
          <w:szCs w:val="24"/>
        </w:rPr>
        <w:t>s</w:t>
      </w:r>
      <w:r w:rsidR="00E0751C" w:rsidRPr="00386C30">
        <w:rPr>
          <w:rFonts w:ascii="Palatino Linotype" w:hAnsi="Palatino Linotype"/>
          <w:sz w:val="24"/>
          <w:szCs w:val="24"/>
        </w:rPr>
        <w:t xml:space="preserve"> future participation whilst in practice.  This study</w:t>
      </w:r>
      <w:r w:rsidR="002A1425" w:rsidRPr="00386C30">
        <w:rPr>
          <w:rFonts w:ascii="Palatino Linotype" w:hAnsi="Palatino Linotype"/>
          <w:sz w:val="24"/>
          <w:szCs w:val="24"/>
        </w:rPr>
        <w:t>, which considered a voluntary pro bono programme,</w:t>
      </w:r>
      <w:r w:rsidR="00E0751C" w:rsidRPr="00386C30">
        <w:rPr>
          <w:rFonts w:ascii="Palatino Linotype" w:hAnsi="Palatino Linotype"/>
          <w:sz w:val="24"/>
          <w:szCs w:val="24"/>
        </w:rPr>
        <w:t xml:space="preserve"> found a significant correlation between participation in a law school pro bono programme and participation in practice.  A further correlation was shown between attitudinal dispositions related to pro social values and pro bono involvement in practice.</w:t>
      </w:r>
      <w:r w:rsidR="00E0751C" w:rsidRPr="00386C30">
        <w:rPr>
          <w:rStyle w:val="FootnoteReference"/>
          <w:rFonts w:ascii="Palatino Linotype" w:hAnsi="Palatino Linotype"/>
          <w:sz w:val="24"/>
          <w:szCs w:val="24"/>
        </w:rPr>
        <w:footnoteReference w:id="44"/>
      </w:r>
    </w:p>
    <w:p w:rsidR="00C6002F" w:rsidRPr="00386C30" w:rsidRDefault="00780282" w:rsidP="00386C30">
      <w:pPr>
        <w:spacing w:before="240" w:after="240" w:line="480" w:lineRule="auto"/>
        <w:jc w:val="both"/>
        <w:rPr>
          <w:rFonts w:ascii="Palatino Linotype" w:hAnsi="Palatino Linotype"/>
          <w:sz w:val="24"/>
          <w:szCs w:val="24"/>
        </w:rPr>
      </w:pPr>
      <w:r w:rsidRPr="00386C30">
        <w:rPr>
          <w:rFonts w:ascii="Palatino Linotype" w:hAnsi="Palatino Linotype"/>
          <w:sz w:val="24"/>
          <w:szCs w:val="24"/>
        </w:rPr>
        <w:t>The research indicates that there is no definitive answer to which clinical and pro bono programmes enhance students</w:t>
      </w:r>
      <w:r w:rsidR="0019796E" w:rsidRPr="00386C30">
        <w:rPr>
          <w:rFonts w:ascii="Palatino Linotype" w:hAnsi="Palatino Linotype"/>
          <w:sz w:val="24"/>
          <w:szCs w:val="24"/>
        </w:rPr>
        <w:t>.</w:t>
      </w:r>
      <w:r w:rsidR="00C6002F" w:rsidRPr="00386C30">
        <w:rPr>
          <w:rFonts w:ascii="Palatino Linotype" w:hAnsi="Palatino Linotype"/>
          <w:sz w:val="24"/>
          <w:szCs w:val="24"/>
        </w:rPr>
        <w:t xml:space="preserve"> </w:t>
      </w:r>
    </w:p>
    <w:p w:rsidR="000B42E5" w:rsidRPr="00386C30" w:rsidRDefault="00406BE3" w:rsidP="00386C30">
      <w:pPr>
        <w:spacing w:before="240" w:after="240" w:line="480" w:lineRule="auto"/>
        <w:jc w:val="both"/>
        <w:rPr>
          <w:rFonts w:ascii="Palatino Linotype" w:hAnsi="Palatino Linotype"/>
          <w:sz w:val="24"/>
          <w:szCs w:val="24"/>
        </w:rPr>
      </w:pPr>
      <w:r w:rsidRPr="00406BE3">
        <w:rPr>
          <w:rFonts w:ascii="Palatino Linotype" w:hAnsi="Palatino Linotype"/>
          <w:sz w:val="24"/>
          <w:szCs w:val="24"/>
        </w:rPr>
        <w:lastRenderedPageBreak/>
        <w:t>ALTRUISM AND OTHER PROFESSIONS</w:t>
      </w:r>
    </w:p>
    <w:p w:rsidR="00C6002F" w:rsidRPr="00386C30" w:rsidRDefault="00C6002F" w:rsidP="00386C30">
      <w:pPr>
        <w:spacing w:before="240" w:after="240" w:line="480" w:lineRule="auto"/>
        <w:jc w:val="both"/>
        <w:rPr>
          <w:rFonts w:ascii="Palatino Linotype" w:hAnsi="Palatino Linotype"/>
          <w:sz w:val="24"/>
          <w:szCs w:val="24"/>
        </w:rPr>
      </w:pPr>
      <w:r w:rsidRPr="00386C30">
        <w:rPr>
          <w:rFonts w:ascii="Palatino Linotype" w:hAnsi="Palatino Linotype"/>
          <w:sz w:val="24"/>
          <w:szCs w:val="24"/>
        </w:rPr>
        <w:t>It may also be useful to consider attitudes to</w:t>
      </w:r>
      <w:r w:rsidR="0097642E" w:rsidRPr="00386C30">
        <w:rPr>
          <w:rFonts w:ascii="Palatino Linotype" w:hAnsi="Palatino Linotype"/>
          <w:sz w:val="24"/>
          <w:szCs w:val="24"/>
        </w:rPr>
        <w:t>wards</w:t>
      </w:r>
      <w:r w:rsidRPr="00386C30">
        <w:rPr>
          <w:rFonts w:ascii="Palatino Linotype" w:hAnsi="Palatino Linotype"/>
          <w:sz w:val="24"/>
          <w:szCs w:val="24"/>
        </w:rPr>
        <w:t xml:space="preserve"> altruism in other professions as altruistic attitudes are often seen </w:t>
      </w:r>
      <w:r w:rsidR="00E1146C" w:rsidRPr="00386C30">
        <w:rPr>
          <w:rFonts w:ascii="Palatino Linotype" w:hAnsi="Palatino Linotype"/>
          <w:sz w:val="24"/>
          <w:szCs w:val="24"/>
        </w:rPr>
        <w:t xml:space="preserve">as </w:t>
      </w:r>
      <w:r w:rsidRPr="00386C30">
        <w:rPr>
          <w:rFonts w:ascii="Palatino Linotype" w:hAnsi="Palatino Linotype"/>
          <w:sz w:val="24"/>
          <w:szCs w:val="24"/>
        </w:rPr>
        <w:t>‘a defining characteristic of professionalism.’</w:t>
      </w:r>
      <w:r w:rsidR="002E6B98" w:rsidRPr="00386C30">
        <w:rPr>
          <w:rStyle w:val="FootnoteReference"/>
          <w:rFonts w:ascii="Palatino Linotype" w:hAnsi="Palatino Linotype"/>
          <w:sz w:val="24"/>
          <w:szCs w:val="24"/>
        </w:rPr>
        <w:footnoteReference w:id="45"/>
      </w:r>
      <w:r w:rsidRPr="00386C30">
        <w:rPr>
          <w:rFonts w:ascii="Palatino Linotype" w:hAnsi="Palatino Linotype"/>
          <w:sz w:val="24"/>
          <w:szCs w:val="24"/>
        </w:rPr>
        <w:t xml:space="preserve"> Of note is a study by Coulter et al that compared the altruistic attitudes of business, law and medical students.</w:t>
      </w:r>
      <w:r w:rsidR="002E6B98" w:rsidRPr="00386C30">
        <w:rPr>
          <w:rStyle w:val="FootnoteReference"/>
          <w:rFonts w:ascii="Palatino Linotype" w:hAnsi="Palatino Linotype"/>
          <w:sz w:val="24"/>
          <w:szCs w:val="24"/>
        </w:rPr>
        <w:footnoteReference w:id="46"/>
      </w:r>
      <w:r w:rsidRPr="00386C30">
        <w:rPr>
          <w:rFonts w:ascii="Palatino Linotype" w:hAnsi="Palatino Linotype"/>
          <w:sz w:val="24"/>
          <w:szCs w:val="24"/>
        </w:rPr>
        <w:t xml:space="preserve">  Coulter et al </w:t>
      </w:r>
      <w:r w:rsidR="002E6B98" w:rsidRPr="00386C30">
        <w:rPr>
          <w:rFonts w:ascii="Palatino Linotype" w:hAnsi="Palatino Linotype"/>
          <w:sz w:val="24"/>
          <w:szCs w:val="24"/>
        </w:rPr>
        <w:t>report</w:t>
      </w:r>
      <w:r w:rsidRPr="00386C30">
        <w:rPr>
          <w:rFonts w:ascii="Palatino Linotype" w:hAnsi="Palatino Linotype"/>
          <w:sz w:val="24"/>
          <w:szCs w:val="24"/>
        </w:rPr>
        <w:t xml:space="preserve"> that 3% of business students and 17% of law students felt that working with the poor was important to their careers.  However a significantly higher percentage (33% of business students and 40% of law students) ‘felt that doctors should be required to provide medical care to the poor.’</w:t>
      </w:r>
      <w:r w:rsidR="002E6B98" w:rsidRPr="00386C30">
        <w:rPr>
          <w:rStyle w:val="FootnoteReference"/>
          <w:rFonts w:ascii="Palatino Linotype" w:hAnsi="Palatino Linotype"/>
          <w:sz w:val="24"/>
          <w:szCs w:val="24"/>
        </w:rPr>
        <w:footnoteReference w:id="47"/>
      </w:r>
    </w:p>
    <w:p w:rsidR="00C6002F" w:rsidRPr="00386C30" w:rsidRDefault="00C6002F" w:rsidP="00386C30">
      <w:pPr>
        <w:spacing w:before="240" w:after="240" w:line="480" w:lineRule="auto"/>
        <w:jc w:val="both"/>
        <w:rPr>
          <w:rFonts w:ascii="Palatino Linotype" w:hAnsi="Palatino Linotype"/>
          <w:sz w:val="24"/>
          <w:szCs w:val="24"/>
        </w:rPr>
      </w:pPr>
      <w:proofErr w:type="spellStart"/>
      <w:r w:rsidRPr="00386C30">
        <w:rPr>
          <w:rFonts w:ascii="Palatino Linotype" w:hAnsi="Palatino Linotype"/>
          <w:sz w:val="24"/>
          <w:szCs w:val="24"/>
        </w:rPr>
        <w:t>Cruess</w:t>
      </w:r>
      <w:proofErr w:type="spellEnd"/>
      <w:r w:rsidRPr="00386C30">
        <w:rPr>
          <w:rFonts w:ascii="Palatino Linotype" w:hAnsi="Palatino Linotype"/>
          <w:sz w:val="24"/>
          <w:szCs w:val="24"/>
        </w:rPr>
        <w:t>, states that altruism is thought to be a defining characteristic of professionalism and a key feature of medical practice.</w:t>
      </w:r>
      <w:r w:rsidR="002E6B98" w:rsidRPr="00386C30">
        <w:rPr>
          <w:rStyle w:val="FootnoteReference"/>
          <w:rFonts w:ascii="Palatino Linotype" w:hAnsi="Palatino Linotype"/>
          <w:sz w:val="24"/>
          <w:szCs w:val="24"/>
        </w:rPr>
        <w:footnoteReference w:id="48"/>
      </w:r>
      <w:r w:rsidR="002E6B98" w:rsidRPr="00386C30">
        <w:rPr>
          <w:rFonts w:ascii="Palatino Linotype" w:hAnsi="Palatino Linotype"/>
          <w:sz w:val="24"/>
          <w:szCs w:val="24"/>
        </w:rPr>
        <w:t xml:space="preserve">  However, Roche et al</w:t>
      </w:r>
      <w:r w:rsidRPr="00386C30">
        <w:rPr>
          <w:rFonts w:ascii="Palatino Linotype" w:hAnsi="Palatino Linotype"/>
          <w:sz w:val="24"/>
          <w:szCs w:val="24"/>
        </w:rPr>
        <w:t xml:space="preserve">, drawing upon </w:t>
      </w:r>
      <w:proofErr w:type="spellStart"/>
      <w:r w:rsidRPr="00386C30">
        <w:rPr>
          <w:rFonts w:ascii="Palatino Linotype" w:hAnsi="Palatino Linotype"/>
          <w:sz w:val="24"/>
          <w:szCs w:val="24"/>
        </w:rPr>
        <w:t>Coulehan</w:t>
      </w:r>
      <w:proofErr w:type="spellEnd"/>
      <w:r w:rsidRPr="00386C30">
        <w:rPr>
          <w:rFonts w:ascii="Palatino Linotype" w:hAnsi="Palatino Linotype"/>
          <w:sz w:val="24"/>
          <w:szCs w:val="24"/>
        </w:rPr>
        <w:t xml:space="preserve"> and Williams, state that ‘in medical education, students go through a maturational process that some claim undermines any idealism they may have had upon entering.’</w:t>
      </w:r>
      <w:r w:rsidR="002E6B98" w:rsidRPr="00386C30">
        <w:rPr>
          <w:rStyle w:val="FootnoteReference"/>
          <w:rFonts w:ascii="Palatino Linotype" w:hAnsi="Palatino Linotype"/>
          <w:sz w:val="24"/>
          <w:szCs w:val="24"/>
        </w:rPr>
        <w:footnoteReference w:id="49"/>
      </w:r>
      <w:r w:rsidRPr="00386C30">
        <w:rPr>
          <w:rFonts w:ascii="Palatino Linotype" w:hAnsi="Palatino Linotype"/>
          <w:sz w:val="24"/>
          <w:szCs w:val="24"/>
        </w:rPr>
        <w:t xml:space="preserve">  They go on to state that ‘some </w:t>
      </w:r>
      <w:r w:rsidRPr="00386C30">
        <w:rPr>
          <w:rFonts w:ascii="Palatino Linotype" w:hAnsi="Palatino Linotype"/>
          <w:sz w:val="24"/>
          <w:szCs w:val="24"/>
        </w:rPr>
        <w:lastRenderedPageBreak/>
        <w:t>educators note that some students who enter medical school with compassion and altruism become more cynical.’</w:t>
      </w:r>
      <w:r w:rsidR="002E6B98" w:rsidRPr="00386C30">
        <w:rPr>
          <w:rStyle w:val="FootnoteReference"/>
          <w:rFonts w:ascii="Palatino Linotype" w:hAnsi="Palatino Linotype"/>
          <w:sz w:val="24"/>
          <w:szCs w:val="24"/>
        </w:rPr>
        <w:footnoteReference w:id="50"/>
      </w:r>
      <w:r w:rsidRPr="00386C30">
        <w:rPr>
          <w:rFonts w:ascii="Palatino Linotype" w:hAnsi="Palatino Linotype"/>
          <w:sz w:val="24"/>
          <w:szCs w:val="24"/>
        </w:rPr>
        <w:t xml:space="preserve"> </w:t>
      </w:r>
    </w:p>
    <w:p w:rsidR="00C6002F" w:rsidRPr="00386C30" w:rsidRDefault="00C6002F" w:rsidP="00386C30">
      <w:pPr>
        <w:spacing w:before="240" w:after="240" w:line="480" w:lineRule="auto"/>
        <w:jc w:val="both"/>
        <w:rPr>
          <w:rFonts w:ascii="Palatino Linotype" w:hAnsi="Palatino Linotype"/>
          <w:sz w:val="24"/>
          <w:szCs w:val="24"/>
        </w:rPr>
      </w:pPr>
      <w:r w:rsidRPr="00386C30">
        <w:rPr>
          <w:rFonts w:ascii="Palatino Linotype" w:hAnsi="Palatino Linotype"/>
          <w:sz w:val="24"/>
          <w:szCs w:val="24"/>
        </w:rPr>
        <w:t>Problem based learning and an early introduction to clinical medicine were considered two possible changes that could address the cynici</w:t>
      </w:r>
      <w:r w:rsidR="002E6B98" w:rsidRPr="00386C30">
        <w:rPr>
          <w:rFonts w:ascii="Palatino Linotype" w:hAnsi="Palatino Linotype"/>
          <w:sz w:val="24"/>
          <w:szCs w:val="24"/>
        </w:rPr>
        <w:t>sm observed in medical students</w:t>
      </w:r>
      <w:r w:rsidRPr="00386C30">
        <w:rPr>
          <w:rFonts w:ascii="Palatino Linotype" w:hAnsi="Palatino Linotype"/>
          <w:sz w:val="24"/>
          <w:szCs w:val="24"/>
        </w:rPr>
        <w:t>.</w:t>
      </w:r>
      <w:r w:rsidR="002E6B98" w:rsidRPr="00386C30">
        <w:rPr>
          <w:rStyle w:val="FootnoteReference"/>
          <w:rFonts w:ascii="Palatino Linotype" w:hAnsi="Palatino Linotype"/>
          <w:sz w:val="24"/>
          <w:szCs w:val="24"/>
        </w:rPr>
        <w:footnoteReference w:id="51"/>
      </w:r>
      <w:r w:rsidRPr="00386C30">
        <w:rPr>
          <w:rFonts w:ascii="Palatino Linotype" w:hAnsi="Palatino Linotype"/>
          <w:sz w:val="24"/>
          <w:szCs w:val="24"/>
        </w:rPr>
        <w:t xml:space="preserve">  It is reported that the effect of problem-based learning curriculum has been seen to prevent a more cynical or less altruistic </w:t>
      </w:r>
      <w:r w:rsidR="004A3C64" w:rsidRPr="00386C30">
        <w:rPr>
          <w:rFonts w:ascii="Palatino Linotype" w:hAnsi="Palatino Linotype"/>
          <w:sz w:val="24"/>
          <w:szCs w:val="24"/>
        </w:rPr>
        <w:t xml:space="preserve">attitude </w:t>
      </w:r>
      <w:r w:rsidRPr="00386C30">
        <w:rPr>
          <w:rFonts w:ascii="Palatino Linotype" w:hAnsi="Palatino Linotype"/>
          <w:sz w:val="24"/>
          <w:szCs w:val="24"/>
        </w:rPr>
        <w:t>from developing in medical students and has in fact had a positive effect on their attitudes towards altruism.</w:t>
      </w:r>
      <w:r w:rsidR="004A3C64" w:rsidRPr="00386C30">
        <w:rPr>
          <w:rStyle w:val="FootnoteReference"/>
          <w:rFonts w:ascii="Palatino Linotype" w:hAnsi="Palatino Linotype"/>
          <w:sz w:val="24"/>
          <w:szCs w:val="24"/>
        </w:rPr>
        <w:footnoteReference w:id="52"/>
      </w:r>
      <w:r w:rsidRPr="00386C30">
        <w:rPr>
          <w:rFonts w:ascii="Palatino Linotype" w:hAnsi="Palatino Linotype"/>
          <w:sz w:val="24"/>
          <w:szCs w:val="24"/>
        </w:rPr>
        <w:t xml:space="preserve"> </w:t>
      </w:r>
    </w:p>
    <w:p w:rsidR="00C6002F" w:rsidRPr="00386C30" w:rsidRDefault="00C6002F" w:rsidP="00386C30">
      <w:pPr>
        <w:spacing w:before="240" w:after="240" w:line="480" w:lineRule="auto"/>
        <w:jc w:val="both"/>
        <w:rPr>
          <w:rFonts w:ascii="Palatino Linotype" w:hAnsi="Palatino Linotype"/>
          <w:sz w:val="24"/>
          <w:szCs w:val="24"/>
        </w:rPr>
      </w:pPr>
      <w:r w:rsidRPr="00386C30">
        <w:rPr>
          <w:rFonts w:ascii="Palatino Linotype" w:hAnsi="Palatino Linotype"/>
          <w:sz w:val="24"/>
          <w:szCs w:val="24"/>
        </w:rPr>
        <w:t xml:space="preserve">Wear and </w:t>
      </w:r>
      <w:proofErr w:type="spellStart"/>
      <w:r w:rsidRPr="00386C30">
        <w:rPr>
          <w:rFonts w:ascii="Palatino Linotype" w:hAnsi="Palatino Linotype"/>
          <w:sz w:val="24"/>
          <w:szCs w:val="24"/>
        </w:rPr>
        <w:t>Zarconi</w:t>
      </w:r>
      <w:proofErr w:type="spellEnd"/>
      <w:r w:rsidRPr="00386C30">
        <w:rPr>
          <w:rFonts w:ascii="Palatino Linotype" w:hAnsi="Palatino Linotype"/>
          <w:sz w:val="24"/>
          <w:szCs w:val="24"/>
        </w:rPr>
        <w:t xml:space="preserve"> highlight the effect of role modelling on the attitudes of students.</w:t>
      </w:r>
      <w:r w:rsidR="004A3C64" w:rsidRPr="00386C30">
        <w:rPr>
          <w:rStyle w:val="FootnoteReference"/>
          <w:rFonts w:ascii="Palatino Linotype" w:hAnsi="Palatino Linotype"/>
          <w:sz w:val="24"/>
          <w:szCs w:val="24"/>
        </w:rPr>
        <w:footnoteReference w:id="53"/>
      </w:r>
      <w:r w:rsidRPr="00386C30">
        <w:rPr>
          <w:rFonts w:ascii="Palatino Linotype" w:hAnsi="Palatino Linotype"/>
          <w:sz w:val="24"/>
          <w:szCs w:val="24"/>
        </w:rPr>
        <w:t xml:space="preserve">  They draw upon the work of </w:t>
      </w:r>
      <w:proofErr w:type="spellStart"/>
      <w:r w:rsidRPr="00386C30">
        <w:rPr>
          <w:rFonts w:ascii="Palatino Linotype" w:hAnsi="Palatino Linotype"/>
          <w:sz w:val="24"/>
          <w:szCs w:val="24"/>
        </w:rPr>
        <w:t>Coulehan</w:t>
      </w:r>
      <w:proofErr w:type="spellEnd"/>
      <w:r w:rsidRPr="00386C30">
        <w:rPr>
          <w:rFonts w:ascii="Palatino Linotype" w:hAnsi="Palatino Linotype"/>
          <w:sz w:val="24"/>
          <w:szCs w:val="24"/>
        </w:rPr>
        <w:t xml:space="preserve"> that urges an environmental change via role modelling:</w:t>
      </w:r>
    </w:p>
    <w:p w:rsidR="00C6002F" w:rsidRPr="00386C30" w:rsidRDefault="00C6002F" w:rsidP="00386C30">
      <w:pPr>
        <w:spacing w:before="240" w:after="240" w:line="360" w:lineRule="auto"/>
        <w:ind w:left="720"/>
        <w:jc w:val="both"/>
        <w:rPr>
          <w:rFonts w:ascii="Palatino Linotype" w:hAnsi="Palatino Linotype"/>
          <w:sz w:val="24"/>
          <w:szCs w:val="24"/>
        </w:rPr>
      </w:pPr>
      <w:r w:rsidRPr="00386C30">
        <w:rPr>
          <w:rFonts w:ascii="Palatino Linotype" w:hAnsi="Palatino Linotype"/>
          <w:sz w:val="24"/>
          <w:szCs w:val="24"/>
        </w:rPr>
        <w:t xml:space="preserve">‘The first requirement for a sea change in professionalism is to </w:t>
      </w:r>
      <w:r w:rsidRPr="00386C30">
        <w:rPr>
          <w:rFonts w:ascii="Palatino Linotype" w:hAnsi="Palatino Linotype"/>
          <w:i/>
          <w:iCs/>
          <w:sz w:val="24"/>
          <w:szCs w:val="24"/>
        </w:rPr>
        <w:t>increase dramatically</w:t>
      </w:r>
      <w:r w:rsidRPr="00386C30">
        <w:rPr>
          <w:rFonts w:ascii="Palatino Linotype" w:hAnsi="Palatino Linotype"/>
          <w:sz w:val="24"/>
          <w:szCs w:val="24"/>
        </w:rPr>
        <w:t xml:space="preserve"> the number of role model physicians at every stage of medical education.  By role model physicians I mean full-time faculty members who exemplify personal virtue in their interactions with patients, staff and trainees; who have a broad, humanistic perspective; and who are devoted to teaching and willing to forego high income in order to teach….[sic] Their presence would dilute and diminish the conflict between tacit and explicit values, especially in the hospital and the clinic.  The teaching environment would contain fewer hidden </w:t>
      </w:r>
      <w:r w:rsidRPr="00386C30">
        <w:rPr>
          <w:rFonts w:ascii="Palatino Linotype" w:hAnsi="Palatino Linotype"/>
          <w:sz w:val="24"/>
          <w:szCs w:val="24"/>
        </w:rPr>
        <w:lastRenderedPageBreak/>
        <w:t>messages that say “Detach” while at the same time overt messages are saying “Engage.”  What trainees need is time and humanism’</w:t>
      </w:r>
      <w:r w:rsidR="004A3C64" w:rsidRPr="00386C30">
        <w:rPr>
          <w:rStyle w:val="FootnoteReference"/>
          <w:rFonts w:ascii="Palatino Linotype" w:hAnsi="Palatino Linotype"/>
          <w:sz w:val="24"/>
          <w:szCs w:val="24"/>
        </w:rPr>
        <w:footnoteReference w:id="54"/>
      </w:r>
      <w:r w:rsidRPr="00386C30">
        <w:rPr>
          <w:rFonts w:ascii="Palatino Linotype" w:hAnsi="Palatino Linotype"/>
          <w:sz w:val="24"/>
          <w:szCs w:val="24"/>
        </w:rPr>
        <w:t xml:space="preserve"> </w:t>
      </w:r>
    </w:p>
    <w:p w:rsidR="00C6002F" w:rsidRPr="00386C30" w:rsidRDefault="00C6002F" w:rsidP="00386C30">
      <w:pPr>
        <w:spacing w:before="240" w:after="240" w:line="480" w:lineRule="auto"/>
        <w:jc w:val="both"/>
        <w:rPr>
          <w:rFonts w:ascii="Palatino Linotype" w:hAnsi="Palatino Linotype"/>
          <w:sz w:val="24"/>
          <w:szCs w:val="24"/>
        </w:rPr>
      </w:pPr>
      <w:r w:rsidRPr="00386C30">
        <w:rPr>
          <w:rFonts w:ascii="Palatino Linotype" w:hAnsi="Palatino Linotype"/>
          <w:sz w:val="24"/>
          <w:szCs w:val="24"/>
        </w:rPr>
        <w:t xml:space="preserve">This argument puts forward the idea that students can learn virtue through role modelling and therefore if they are taught by individuals who themselves exhibit virtues, and as such are positive role models, then this will in turn have a positive effect on the students.  However, Wear and </w:t>
      </w:r>
      <w:proofErr w:type="spellStart"/>
      <w:r w:rsidRPr="00386C30">
        <w:rPr>
          <w:rFonts w:ascii="Palatino Linotype" w:hAnsi="Palatino Linotype"/>
          <w:sz w:val="24"/>
          <w:szCs w:val="24"/>
        </w:rPr>
        <w:t>Zarconi</w:t>
      </w:r>
      <w:proofErr w:type="spellEnd"/>
      <w:r w:rsidRPr="00386C30">
        <w:rPr>
          <w:rFonts w:ascii="Palatino Linotype" w:hAnsi="Palatino Linotype"/>
          <w:sz w:val="24"/>
          <w:szCs w:val="24"/>
        </w:rPr>
        <w:t xml:space="preserve"> also recognise that having ‘a few positive role models in a clinical setting will not do the trick.’</w:t>
      </w:r>
      <w:r w:rsidR="004A3C64" w:rsidRPr="00386C30">
        <w:rPr>
          <w:rStyle w:val="FootnoteReference"/>
          <w:rFonts w:ascii="Palatino Linotype" w:hAnsi="Palatino Linotype"/>
          <w:sz w:val="24"/>
          <w:szCs w:val="24"/>
        </w:rPr>
        <w:footnoteReference w:id="55"/>
      </w:r>
      <w:r w:rsidRPr="00386C30">
        <w:rPr>
          <w:rFonts w:ascii="Palatino Linotype" w:hAnsi="Palatino Linotype"/>
          <w:sz w:val="24"/>
          <w:szCs w:val="24"/>
        </w:rPr>
        <w:t xml:space="preserve">  Pence states:</w:t>
      </w:r>
    </w:p>
    <w:p w:rsidR="00C6002F" w:rsidRPr="00386C30" w:rsidRDefault="00C6002F" w:rsidP="00386C30">
      <w:pPr>
        <w:spacing w:before="240" w:after="240" w:line="360" w:lineRule="auto"/>
        <w:ind w:left="720"/>
        <w:jc w:val="both"/>
        <w:rPr>
          <w:rFonts w:ascii="Palatino Linotype" w:hAnsi="Palatino Linotype"/>
          <w:sz w:val="24"/>
          <w:szCs w:val="24"/>
        </w:rPr>
      </w:pPr>
      <w:r w:rsidRPr="00386C30">
        <w:rPr>
          <w:rFonts w:ascii="Palatino Linotype" w:hAnsi="Palatino Linotype"/>
          <w:sz w:val="24"/>
          <w:szCs w:val="24"/>
        </w:rPr>
        <w:t>‘Morality is not learned the way one learns to play a flute or to do a tracheotomy by observing a ‘master’ proficient in a certain craft or technique.  Compassion similarly is not learned from a Master of Compassion (or the chief role-model thereof).  Instead it is developed or not by the ‘shape’ of the medical environment in which students learn medicine.  The overall medical context in which students thrive or stagnate is more important than the efforts (however noble) of any one individual.’</w:t>
      </w:r>
      <w:r w:rsidR="004A3C64" w:rsidRPr="00386C30">
        <w:rPr>
          <w:rStyle w:val="FootnoteReference"/>
          <w:rFonts w:ascii="Palatino Linotype" w:hAnsi="Palatino Linotype"/>
          <w:sz w:val="24"/>
          <w:szCs w:val="24"/>
        </w:rPr>
        <w:footnoteReference w:id="56"/>
      </w:r>
    </w:p>
    <w:p w:rsidR="00C6002F" w:rsidRPr="00386C30" w:rsidRDefault="00C6002F" w:rsidP="00386C30">
      <w:pPr>
        <w:spacing w:before="240" w:after="240" w:line="480" w:lineRule="auto"/>
        <w:jc w:val="both"/>
        <w:rPr>
          <w:rFonts w:ascii="Palatino Linotype" w:hAnsi="Palatino Linotype"/>
          <w:sz w:val="24"/>
          <w:szCs w:val="24"/>
        </w:rPr>
      </w:pPr>
      <w:r w:rsidRPr="00386C30">
        <w:rPr>
          <w:rFonts w:ascii="Palatino Linotype" w:hAnsi="Palatino Linotype"/>
          <w:sz w:val="24"/>
          <w:szCs w:val="24"/>
        </w:rPr>
        <w:t xml:space="preserve">The literature above suggests that one must look at the whole educational institution.  Whilst the empirical evidence to date suggests that </w:t>
      </w:r>
      <w:r w:rsidR="00D73FF3" w:rsidRPr="00386C30">
        <w:rPr>
          <w:rFonts w:ascii="Palatino Linotype" w:hAnsi="Palatino Linotype"/>
          <w:sz w:val="24"/>
          <w:szCs w:val="24"/>
        </w:rPr>
        <w:t xml:space="preserve">pro bono and </w:t>
      </w:r>
      <w:r w:rsidRPr="00386C30">
        <w:rPr>
          <w:rFonts w:ascii="Palatino Linotype" w:hAnsi="Palatino Linotype"/>
          <w:sz w:val="24"/>
          <w:szCs w:val="24"/>
        </w:rPr>
        <w:t xml:space="preserve">clinical legal education does not instil a sense of public service, or altruism </w:t>
      </w:r>
      <w:r w:rsidRPr="00386C30">
        <w:rPr>
          <w:rFonts w:ascii="Palatino Linotype" w:hAnsi="Palatino Linotype"/>
          <w:sz w:val="24"/>
          <w:szCs w:val="24"/>
        </w:rPr>
        <w:lastRenderedPageBreak/>
        <w:t>within law students, there is explicit criticism of the programmes that students perceive as ‘not well integrated into their overall legal education.’</w:t>
      </w:r>
      <w:r w:rsidR="004A3C64" w:rsidRPr="00386C30">
        <w:rPr>
          <w:rStyle w:val="FootnoteReference"/>
          <w:rFonts w:ascii="Palatino Linotype" w:hAnsi="Palatino Linotype"/>
          <w:sz w:val="24"/>
          <w:szCs w:val="24"/>
        </w:rPr>
        <w:footnoteReference w:id="57"/>
      </w:r>
      <w:r w:rsidRPr="00386C30">
        <w:rPr>
          <w:rFonts w:ascii="Palatino Linotype" w:hAnsi="Palatino Linotype"/>
          <w:sz w:val="24"/>
          <w:szCs w:val="24"/>
        </w:rPr>
        <w:t xml:space="preserve">  </w:t>
      </w:r>
    </w:p>
    <w:p w:rsidR="00C6002F" w:rsidRPr="00386C30" w:rsidRDefault="00C6002F" w:rsidP="00386C30">
      <w:pPr>
        <w:spacing w:before="240" w:after="240" w:line="480" w:lineRule="auto"/>
        <w:jc w:val="both"/>
        <w:rPr>
          <w:rFonts w:ascii="Palatino Linotype" w:hAnsi="Palatino Linotype"/>
          <w:sz w:val="24"/>
          <w:szCs w:val="24"/>
        </w:rPr>
      </w:pPr>
      <w:r w:rsidRPr="00386C30">
        <w:rPr>
          <w:rFonts w:ascii="Palatino Linotype" w:hAnsi="Palatino Linotype"/>
          <w:sz w:val="24"/>
          <w:szCs w:val="24"/>
        </w:rPr>
        <w:t>It is clear from the literature that there is little empirical evidence regarding the participation in pro bono</w:t>
      </w:r>
      <w:r w:rsidR="00D73FF3" w:rsidRPr="00386C30">
        <w:rPr>
          <w:rFonts w:ascii="Palatino Linotype" w:hAnsi="Palatino Linotype"/>
          <w:sz w:val="24"/>
          <w:szCs w:val="24"/>
        </w:rPr>
        <w:t xml:space="preserve"> and clinical legal education</w:t>
      </w:r>
      <w:r w:rsidRPr="00386C30">
        <w:rPr>
          <w:rFonts w:ascii="Palatino Linotype" w:hAnsi="Palatino Linotype"/>
          <w:sz w:val="24"/>
          <w:szCs w:val="24"/>
        </w:rPr>
        <w:t xml:space="preserve"> programmes, or indeed other altruistic activities, and the influence this has on students</w:t>
      </w:r>
      <w:r w:rsidR="00AC5A49" w:rsidRPr="00386C30">
        <w:rPr>
          <w:rFonts w:ascii="Palatino Linotype" w:hAnsi="Palatino Linotype"/>
          <w:sz w:val="24"/>
          <w:szCs w:val="24"/>
        </w:rPr>
        <w:t>’</w:t>
      </w:r>
      <w:r w:rsidRPr="00386C30">
        <w:rPr>
          <w:rFonts w:ascii="Palatino Linotype" w:hAnsi="Palatino Linotype"/>
          <w:sz w:val="24"/>
          <w:szCs w:val="24"/>
        </w:rPr>
        <w:t xml:space="preserve"> altruistic attitudes and their participation in altruistic activity during their career.  The literature in relation to legal education, particularly with reference to clinical legal education</w:t>
      </w:r>
      <w:r w:rsidR="0016488D" w:rsidRPr="00386C30">
        <w:rPr>
          <w:rFonts w:ascii="Palatino Linotype" w:hAnsi="Palatino Linotype"/>
          <w:sz w:val="24"/>
          <w:szCs w:val="24"/>
        </w:rPr>
        <w:t xml:space="preserve"> and pro bono</w:t>
      </w:r>
      <w:r w:rsidRPr="00386C30">
        <w:rPr>
          <w:rFonts w:ascii="Palatino Linotype" w:hAnsi="Palatino Linotype"/>
          <w:sz w:val="24"/>
          <w:szCs w:val="24"/>
        </w:rPr>
        <w:t>, suggests th</w:t>
      </w:r>
      <w:r w:rsidR="00AC5A49" w:rsidRPr="00386C30">
        <w:rPr>
          <w:rFonts w:ascii="Palatino Linotype" w:hAnsi="Palatino Linotype"/>
          <w:sz w:val="24"/>
          <w:szCs w:val="24"/>
        </w:rPr>
        <w:t>at</w:t>
      </w:r>
      <w:r w:rsidRPr="00386C30">
        <w:rPr>
          <w:rFonts w:ascii="Palatino Linotype" w:hAnsi="Palatino Linotype"/>
          <w:sz w:val="24"/>
          <w:szCs w:val="24"/>
        </w:rPr>
        <w:t xml:space="preserve"> altruism is considered a key aim.  However, the empirical research by Rhode and </w:t>
      </w:r>
      <w:proofErr w:type="spellStart"/>
      <w:r w:rsidRPr="00386C30">
        <w:rPr>
          <w:rFonts w:ascii="Palatino Linotype" w:hAnsi="Palatino Linotype"/>
          <w:sz w:val="24"/>
          <w:szCs w:val="24"/>
        </w:rPr>
        <w:t>Granfield</w:t>
      </w:r>
      <w:proofErr w:type="spellEnd"/>
      <w:r w:rsidRPr="00386C30">
        <w:rPr>
          <w:rFonts w:ascii="Palatino Linotype" w:hAnsi="Palatino Linotype"/>
          <w:sz w:val="24"/>
          <w:szCs w:val="24"/>
        </w:rPr>
        <w:t xml:space="preserve"> does not support this assertion.</w:t>
      </w:r>
    </w:p>
    <w:p w:rsidR="00C6002F" w:rsidRPr="00386C30" w:rsidRDefault="00C6002F" w:rsidP="00386C30">
      <w:pPr>
        <w:spacing w:before="240" w:after="240" w:line="480" w:lineRule="auto"/>
        <w:jc w:val="both"/>
        <w:rPr>
          <w:rFonts w:ascii="Palatino Linotype" w:hAnsi="Palatino Linotype"/>
          <w:sz w:val="24"/>
          <w:szCs w:val="24"/>
        </w:rPr>
      </w:pPr>
      <w:r w:rsidRPr="00386C30">
        <w:rPr>
          <w:rFonts w:ascii="Palatino Linotype" w:hAnsi="Palatino Linotype"/>
          <w:sz w:val="24"/>
          <w:szCs w:val="24"/>
        </w:rPr>
        <w:t>There have been small-scale studies within medicine suggesting that altruism can be instilled through role modelling and the environment in which students learn.  The study carried out by Roche et al concludes that students were not any less altruistic than their junior counterparts as a consequence of problem-based learning.</w:t>
      </w:r>
      <w:r w:rsidR="004A3C64" w:rsidRPr="00386C30">
        <w:rPr>
          <w:rStyle w:val="FootnoteReference"/>
          <w:rFonts w:ascii="Palatino Linotype" w:hAnsi="Palatino Linotype"/>
          <w:sz w:val="24"/>
          <w:szCs w:val="24"/>
        </w:rPr>
        <w:footnoteReference w:id="58"/>
      </w:r>
      <w:r w:rsidRPr="00386C30">
        <w:rPr>
          <w:rFonts w:ascii="Palatino Linotype" w:hAnsi="Palatino Linotype"/>
          <w:sz w:val="24"/>
          <w:szCs w:val="24"/>
        </w:rPr>
        <w:t xml:space="preserve">  This study relates to retaining altruistic attitudes rather than instilling them. This can therefore arguably be distinguished from the present study on the basis that it is about instilling altruism rather than retaining it. Further, despite the conclusions, the authors could not establish whether the results were as a consequence of more women </w:t>
      </w:r>
      <w:r w:rsidRPr="00386C30">
        <w:rPr>
          <w:rFonts w:ascii="Palatino Linotype" w:hAnsi="Palatino Linotype"/>
          <w:sz w:val="24"/>
          <w:szCs w:val="24"/>
        </w:rPr>
        <w:lastRenderedPageBreak/>
        <w:t xml:space="preserve">attending medical school rather than the introduction of problem-based learning into the curriculum.  </w:t>
      </w:r>
    </w:p>
    <w:p w:rsidR="00C6002F" w:rsidRPr="00386C30" w:rsidRDefault="00C6002F" w:rsidP="00386C30">
      <w:pPr>
        <w:spacing w:before="240" w:after="240" w:line="480" w:lineRule="auto"/>
        <w:jc w:val="both"/>
        <w:rPr>
          <w:rFonts w:ascii="Palatino Linotype" w:hAnsi="Palatino Linotype"/>
          <w:sz w:val="24"/>
          <w:szCs w:val="24"/>
        </w:rPr>
      </w:pPr>
      <w:r w:rsidRPr="00386C30">
        <w:rPr>
          <w:rFonts w:ascii="Palatino Linotype" w:hAnsi="Palatino Linotype"/>
          <w:sz w:val="24"/>
          <w:szCs w:val="24"/>
        </w:rPr>
        <w:t xml:space="preserve">The study by Wear and </w:t>
      </w:r>
      <w:proofErr w:type="spellStart"/>
      <w:r w:rsidRPr="00386C30">
        <w:rPr>
          <w:rFonts w:ascii="Palatino Linotype" w:hAnsi="Palatino Linotype"/>
          <w:sz w:val="24"/>
          <w:szCs w:val="24"/>
        </w:rPr>
        <w:t>Zarconi</w:t>
      </w:r>
      <w:proofErr w:type="spellEnd"/>
      <w:r w:rsidRPr="00386C30">
        <w:rPr>
          <w:rFonts w:ascii="Palatino Linotype" w:hAnsi="Palatino Linotype"/>
          <w:sz w:val="24"/>
          <w:szCs w:val="24"/>
        </w:rPr>
        <w:t xml:space="preserve"> utilised a qualitative approach and as such it is difficult to generalise the findings.  The authors identify a limitation in their own research that only 46% of potential respondents gave permission to participate in the study.  Again, this limits the generalisation of the results. </w:t>
      </w:r>
    </w:p>
    <w:p w:rsidR="00406BE3" w:rsidRDefault="00406BE3" w:rsidP="00386C30">
      <w:pPr>
        <w:spacing w:before="240" w:after="240" w:line="480" w:lineRule="auto"/>
        <w:jc w:val="both"/>
        <w:rPr>
          <w:rFonts w:ascii="Palatino Linotype" w:hAnsi="Palatino Linotype"/>
          <w:bCs/>
          <w:sz w:val="24"/>
          <w:szCs w:val="24"/>
        </w:rPr>
      </w:pPr>
    </w:p>
    <w:p w:rsidR="00C6002F" w:rsidRPr="00386C30" w:rsidRDefault="00406BE3" w:rsidP="00386C30">
      <w:pPr>
        <w:spacing w:before="240" w:after="240" w:line="480" w:lineRule="auto"/>
        <w:jc w:val="both"/>
        <w:rPr>
          <w:rFonts w:ascii="Palatino Linotype" w:hAnsi="Palatino Linotype"/>
          <w:bCs/>
          <w:sz w:val="24"/>
          <w:szCs w:val="24"/>
        </w:rPr>
      </w:pPr>
      <w:r w:rsidRPr="00386C30">
        <w:rPr>
          <w:rFonts w:ascii="Palatino Linotype" w:hAnsi="Palatino Linotype"/>
          <w:bCs/>
          <w:sz w:val="24"/>
          <w:szCs w:val="24"/>
        </w:rPr>
        <w:t>METHODOLOGY</w:t>
      </w:r>
    </w:p>
    <w:p w:rsidR="000830B0" w:rsidRPr="00386C30" w:rsidRDefault="000830B0" w:rsidP="00386C30">
      <w:pPr>
        <w:spacing w:before="240" w:after="240" w:line="480" w:lineRule="auto"/>
        <w:jc w:val="both"/>
        <w:rPr>
          <w:rFonts w:ascii="Palatino Linotype" w:hAnsi="Palatino Linotype"/>
          <w:sz w:val="24"/>
          <w:szCs w:val="24"/>
        </w:rPr>
      </w:pPr>
      <w:r w:rsidRPr="00386C30">
        <w:rPr>
          <w:rFonts w:ascii="Palatino Linotype" w:hAnsi="Palatino Linotype"/>
          <w:sz w:val="24"/>
          <w:szCs w:val="24"/>
        </w:rPr>
        <w:t>Whilst the above-mentioned studies each have their limitations, the data drawn from each is useful in designing the research for this study.  The model of legal education at Northumbria University, and in particular the M Law Exempting degree is an integrated model with clinical legal education at its core.  The programme is described as one where ‘[s]</w:t>
      </w:r>
      <w:proofErr w:type="spellStart"/>
      <w:r w:rsidRPr="00386C30">
        <w:rPr>
          <w:rFonts w:ascii="Palatino Linotype" w:hAnsi="Palatino Linotype"/>
          <w:sz w:val="24"/>
          <w:szCs w:val="24"/>
        </w:rPr>
        <w:t>tudents</w:t>
      </w:r>
      <w:proofErr w:type="spellEnd"/>
      <w:r w:rsidRPr="00386C30">
        <w:rPr>
          <w:rFonts w:ascii="Palatino Linotype" w:hAnsi="Palatino Linotype"/>
          <w:sz w:val="24"/>
          <w:szCs w:val="24"/>
        </w:rPr>
        <w:t xml:space="preserve"> are introduced to legal rules and concepts on both their theoretical and practical contexts from day one.  They engage in clinical and experiential learning throughout the course culminating in full case work on behalf of real clients in the final year.’</w:t>
      </w:r>
      <w:r w:rsidRPr="00386C30">
        <w:rPr>
          <w:rStyle w:val="FootnoteReference"/>
          <w:rFonts w:ascii="Palatino Linotype" w:hAnsi="Palatino Linotype"/>
          <w:sz w:val="24"/>
          <w:szCs w:val="24"/>
        </w:rPr>
        <w:footnoteReference w:id="59"/>
      </w:r>
      <w:r w:rsidRPr="00386C30">
        <w:rPr>
          <w:rFonts w:ascii="Palatino Linotype" w:hAnsi="Palatino Linotype"/>
          <w:sz w:val="24"/>
          <w:szCs w:val="24"/>
        </w:rPr>
        <w:t xml:space="preserve"> As such, it is arguable that the M Law Exempting degree is the integrated model described by </w:t>
      </w:r>
      <w:proofErr w:type="spellStart"/>
      <w:r w:rsidRPr="00386C30">
        <w:rPr>
          <w:rFonts w:ascii="Palatino Linotype" w:hAnsi="Palatino Linotype"/>
          <w:sz w:val="24"/>
          <w:szCs w:val="24"/>
        </w:rPr>
        <w:t>Granfield</w:t>
      </w:r>
      <w:proofErr w:type="spellEnd"/>
      <w:r w:rsidRPr="00386C30">
        <w:rPr>
          <w:rFonts w:ascii="Palatino Linotype" w:hAnsi="Palatino Linotype"/>
          <w:sz w:val="24"/>
          <w:szCs w:val="24"/>
        </w:rPr>
        <w:t>.</w:t>
      </w:r>
    </w:p>
    <w:p w:rsidR="000830B0" w:rsidRPr="00386C30" w:rsidRDefault="000830B0" w:rsidP="00386C30">
      <w:pPr>
        <w:spacing w:before="240" w:after="240" w:line="480" w:lineRule="auto"/>
        <w:jc w:val="both"/>
        <w:rPr>
          <w:rFonts w:ascii="Palatino Linotype" w:hAnsi="Palatino Linotype"/>
          <w:sz w:val="24"/>
          <w:szCs w:val="24"/>
        </w:rPr>
      </w:pPr>
      <w:r w:rsidRPr="00386C30">
        <w:rPr>
          <w:rFonts w:ascii="Palatino Linotype" w:hAnsi="Palatino Linotype"/>
          <w:sz w:val="24"/>
          <w:szCs w:val="24"/>
        </w:rPr>
        <w:lastRenderedPageBreak/>
        <w:t xml:space="preserve">In the fourth year of the programme, students participate in the Student Law Office module.  This is a credit-bearing module where student advise and represent real clients.  Students can also participate in extra curricula activities such as </w:t>
      </w:r>
      <w:proofErr w:type="spellStart"/>
      <w:r w:rsidRPr="00386C30">
        <w:rPr>
          <w:rFonts w:ascii="Palatino Linotype" w:hAnsi="Palatino Linotype"/>
          <w:sz w:val="24"/>
          <w:szCs w:val="24"/>
        </w:rPr>
        <w:t>StreetLaw</w:t>
      </w:r>
      <w:proofErr w:type="spellEnd"/>
      <w:r w:rsidRPr="00386C30">
        <w:rPr>
          <w:rFonts w:ascii="Palatino Linotype" w:hAnsi="Palatino Linotype"/>
          <w:sz w:val="24"/>
          <w:szCs w:val="24"/>
        </w:rPr>
        <w:t xml:space="preserve"> throughout any year of the programme.  </w:t>
      </w:r>
      <w:r w:rsidR="00000C73" w:rsidRPr="00386C30">
        <w:rPr>
          <w:rFonts w:ascii="Palatino Linotype" w:hAnsi="Palatino Linotype"/>
          <w:sz w:val="24"/>
          <w:szCs w:val="24"/>
        </w:rPr>
        <w:t xml:space="preserve">The programme integrates problem-based learning and clinical elements in earlier years which, as identified above, have the potential to mean students are less cynical and have a positive effect on their altruistic attitudes. </w:t>
      </w:r>
    </w:p>
    <w:p w:rsidR="000830B0" w:rsidRPr="00386C30" w:rsidRDefault="000830B0" w:rsidP="00386C30">
      <w:pPr>
        <w:spacing w:before="240" w:after="240" w:line="480" w:lineRule="auto"/>
        <w:jc w:val="both"/>
        <w:rPr>
          <w:rFonts w:ascii="Palatino Linotype" w:hAnsi="Palatino Linotype"/>
          <w:sz w:val="24"/>
          <w:szCs w:val="24"/>
        </w:rPr>
      </w:pPr>
      <w:r w:rsidRPr="00386C30">
        <w:rPr>
          <w:rFonts w:ascii="Palatino Linotype" w:hAnsi="Palatino Linotype"/>
          <w:sz w:val="24"/>
          <w:szCs w:val="24"/>
        </w:rPr>
        <w:t>The model of legal education adopted by Northumbria University also appears to align with the models discussed above in medical education.  Northumbria University has arguably created an environment where students are taught by lawyers, from who they can model themselves.  It is therefore to be seen whether the Northumbria University model, integrating legal education and pro bono work can instil a sense of altruism in students and encourage participation in future pro bono activity.</w:t>
      </w:r>
    </w:p>
    <w:p w:rsidR="008C109C" w:rsidRPr="00386C30" w:rsidRDefault="00662B34" w:rsidP="00386C30">
      <w:pPr>
        <w:pStyle w:val="NoSpacing"/>
        <w:spacing w:before="240" w:after="240" w:line="480" w:lineRule="auto"/>
        <w:jc w:val="both"/>
        <w:rPr>
          <w:rFonts w:ascii="Palatino Linotype" w:hAnsi="Palatino Linotype"/>
          <w:bCs/>
          <w:iCs/>
          <w:sz w:val="24"/>
          <w:szCs w:val="24"/>
        </w:rPr>
      </w:pPr>
      <w:r w:rsidRPr="00386C30">
        <w:rPr>
          <w:rFonts w:ascii="Palatino Linotype" w:hAnsi="Palatino Linotype"/>
          <w:bCs/>
          <w:iCs/>
          <w:sz w:val="24"/>
          <w:szCs w:val="24"/>
        </w:rPr>
        <w:t xml:space="preserve">This study received ethical </w:t>
      </w:r>
      <w:r w:rsidR="008C109C" w:rsidRPr="00386C30">
        <w:rPr>
          <w:rFonts w:ascii="Palatino Linotype" w:hAnsi="Palatino Linotype"/>
          <w:bCs/>
          <w:iCs/>
          <w:sz w:val="24"/>
          <w:szCs w:val="24"/>
        </w:rPr>
        <w:t xml:space="preserve">approval from </w:t>
      </w:r>
      <w:r w:rsidRPr="00386C30">
        <w:rPr>
          <w:rFonts w:ascii="Palatino Linotype" w:hAnsi="Palatino Linotype"/>
          <w:bCs/>
          <w:iCs/>
          <w:sz w:val="24"/>
          <w:szCs w:val="24"/>
        </w:rPr>
        <w:t>Northumbria University</w:t>
      </w:r>
      <w:r w:rsidR="00825654" w:rsidRPr="00386C30">
        <w:rPr>
          <w:rFonts w:ascii="Palatino Linotype" w:hAnsi="Palatino Linotype"/>
          <w:bCs/>
          <w:iCs/>
          <w:sz w:val="24"/>
          <w:szCs w:val="24"/>
        </w:rPr>
        <w:t>.</w:t>
      </w:r>
    </w:p>
    <w:p w:rsidR="00EA70FE" w:rsidRPr="00386C30" w:rsidRDefault="004A23ED" w:rsidP="00386C30">
      <w:pPr>
        <w:pStyle w:val="NoSpacing"/>
        <w:spacing w:before="240" w:after="240" w:line="480" w:lineRule="auto"/>
        <w:jc w:val="both"/>
        <w:rPr>
          <w:rFonts w:ascii="Palatino Linotype" w:hAnsi="Palatino Linotype"/>
          <w:bCs/>
          <w:iCs/>
          <w:sz w:val="24"/>
          <w:szCs w:val="24"/>
        </w:rPr>
      </w:pPr>
      <w:r w:rsidRPr="00386C30">
        <w:rPr>
          <w:rFonts w:ascii="Palatino Linotype" w:hAnsi="Palatino Linotype"/>
          <w:bCs/>
          <w:iCs/>
          <w:sz w:val="24"/>
          <w:szCs w:val="24"/>
        </w:rPr>
        <w:t xml:space="preserve">A questionnaire </w:t>
      </w:r>
      <w:r w:rsidR="00F64A1F" w:rsidRPr="00386C30">
        <w:rPr>
          <w:rFonts w:ascii="Palatino Linotype" w:hAnsi="Palatino Linotype"/>
          <w:bCs/>
          <w:iCs/>
          <w:sz w:val="24"/>
          <w:szCs w:val="24"/>
        </w:rPr>
        <w:t xml:space="preserve">(see Annex </w:t>
      </w:r>
      <w:r w:rsidR="008E0158" w:rsidRPr="00386C30">
        <w:rPr>
          <w:rFonts w:ascii="Palatino Linotype" w:hAnsi="Palatino Linotype"/>
          <w:bCs/>
          <w:iCs/>
          <w:sz w:val="24"/>
          <w:szCs w:val="24"/>
        </w:rPr>
        <w:t>A</w:t>
      </w:r>
      <w:r w:rsidR="00F64A1F" w:rsidRPr="00386C30">
        <w:rPr>
          <w:rFonts w:ascii="Palatino Linotype" w:hAnsi="Palatino Linotype"/>
          <w:bCs/>
          <w:iCs/>
          <w:sz w:val="24"/>
          <w:szCs w:val="24"/>
        </w:rPr>
        <w:t xml:space="preserve">) </w:t>
      </w:r>
      <w:r w:rsidRPr="00386C30">
        <w:rPr>
          <w:rFonts w:ascii="Palatino Linotype" w:hAnsi="Palatino Linotype"/>
          <w:bCs/>
          <w:iCs/>
          <w:sz w:val="24"/>
          <w:szCs w:val="24"/>
        </w:rPr>
        <w:t xml:space="preserve">was sent electronically </w:t>
      </w:r>
      <w:r w:rsidR="00EA70FE" w:rsidRPr="00386C30">
        <w:rPr>
          <w:rFonts w:ascii="Palatino Linotype" w:hAnsi="Palatino Linotype"/>
          <w:bCs/>
          <w:iCs/>
          <w:sz w:val="24"/>
          <w:szCs w:val="24"/>
        </w:rPr>
        <w:t xml:space="preserve">to all students studying on the M Law Exempting Degree programme at </w:t>
      </w:r>
      <w:r w:rsidR="008C109C" w:rsidRPr="00386C30">
        <w:rPr>
          <w:rFonts w:ascii="Palatino Linotype" w:hAnsi="Palatino Linotype"/>
          <w:bCs/>
          <w:iCs/>
          <w:sz w:val="24"/>
          <w:szCs w:val="24"/>
        </w:rPr>
        <w:t>Northumbria</w:t>
      </w:r>
      <w:r w:rsidR="00EA70FE" w:rsidRPr="00386C30">
        <w:rPr>
          <w:rFonts w:ascii="Palatino Linotype" w:hAnsi="Palatino Linotype"/>
          <w:bCs/>
          <w:iCs/>
          <w:sz w:val="24"/>
          <w:szCs w:val="24"/>
        </w:rPr>
        <w:t xml:space="preserve"> University in the academic year 2012/13.</w:t>
      </w:r>
      <w:r w:rsidR="00BD038A" w:rsidRPr="00386C30">
        <w:rPr>
          <w:rFonts w:ascii="Palatino Linotype" w:hAnsi="Palatino Linotype"/>
          <w:bCs/>
          <w:iCs/>
          <w:sz w:val="24"/>
          <w:szCs w:val="24"/>
        </w:rPr>
        <w:t xml:space="preserve">  Respondents to the survey were anonymous.</w:t>
      </w:r>
      <w:r w:rsidR="00EA70FE" w:rsidRPr="00386C30">
        <w:rPr>
          <w:rFonts w:ascii="Palatino Linotype" w:hAnsi="Palatino Linotype"/>
          <w:bCs/>
          <w:iCs/>
          <w:sz w:val="24"/>
          <w:szCs w:val="24"/>
        </w:rPr>
        <w:t xml:space="preserve">  </w:t>
      </w:r>
    </w:p>
    <w:p w:rsidR="008B0639" w:rsidRPr="00386C30" w:rsidRDefault="00E30FF9" w:rsidP="00386C30">
      <w:pPr>
        <w:pStyle w:val="NoSpacing"/>
        <w:spacing w:before="240" w:after="240" w:line="480" w:lineRule="auto"/>
        <w:jc w:val="both"/>
        <w:rPr>
          <w:rFonts w:ascii="Palatino Linotype" w:hAnsi="Palatino Linotype"/>
          <w:bCs/>
          <w:iCs/>
          <w:sz w:val="24"/>
          <w:szCs w:val="24"/>
        </w:rPr>
      </w:pPr>
      <w:r w:rsidRPr="00386C30">
        <w:rPr>
          <w:rFonts w:ascii="Palatino Linotype" w:hAnsi="Palatino Linotype"/>
          <w:bCs/>
          <w:iCs/>
          <w:sz w:val="24"/>
          <w:szCs w:val="24"/>
        </w:rPr>
        <w:lastRenderedPageBreak/>
        <w:t xml:space="preserve">The survey was designed to elicit information regarding students attitudes to pro bono work at university, whether mandatory or voluntary.  </w:t>
      </w:r>
      <w:r w:rsidR="008B0639" w:rsidRPr="00386C30">
        <w:rPr>
          <w:rFonts w:ascii="Palatino Linotype" w:hAnsi="Palatino Linotype"/>
          <w:bCs/>
          <w:iCs/>
          <w:sz w:val="24"/>
          <w:szCs w:val="24"/>
        </w:rPr>
        <w:t>‘Pro bono’ was defined in the survey as ‘the provision of legal services without charge to the client’.</w:t>
      </w:r>
      <w:r w:rsidRPr="00386C30">
        <w:rPr>
          <w:rFonts w:ascii="Palatino Linotype" w:hAnsi="Palatino Linotype"/>
          <w:bCs/>
          <w:iCs/>
          <w:sz w:val="24"/>
          <w:szCs w:val="24"/>
        </w:rPr>
        <w:t xml:space="preserve">  This is a wide definition and encompasses the clinical legal education module carried out in the Student Law Office as no charge is made to the client.  However, students were also asked about their volunteering outside of university</w:t>
      </w:r>
      <w:r w:rsidR="00AE6836" w:rsidRPr="00386C30">
        <w:rPr>
          <w:rFonts w:ascii="Palatino Linotype" w:hAnsi="Palatino Linotype"/>
          <w:bCs/>
          <w:iCs/>
          <w:sz w:val="24"/>
          <w:szCs w:val="24"/>
        </w:rPr>
        <w:t>.  ‘Voluntary work’ was defined as ‘work without reward other than expenses’.</w:t>
      </w:r>
      <w:r w:rsidR="007A45DF" w:rsidRPr="00386C30">
        <w:rPr>
          <w:rFonts w:ascii="Palatino Linotype" w:hAnsi="Palatino Linotype"/>
          <w:bCs/>
          <w:iCs/>
          <w:sz w:val="24"/>
          <w:szCs w:val="24"/>
        </w:rPr>
        <w:t xml:space="preserve">  Voluntary work could be either legal or non-legal.  This study considers the altruistic ethos of the students and therefore, it does not matter whether this is manifested by legal or non-legal work.  Voluntary work is unlikely to fall within any definition of clinical legal education as it is not conducted through the university.  However, it may fall within the definition of pro bono if the provision of legal service is not mandated.</w:t>
      </w:r>
      <w:r w:rsidR="004B669A" w:rsidRPr="00386C30">
        <w:rPr>
          <w:rFonts w:ascii="Palatino Linotype" w:hAnsi="Palatino Linotype"/>
          <w:bCs/>
          <w:iCs/>
          <w:sz w:val="24"/>
          <w:szCs w:val="24"/>
        </w:rPr>
        <w:t xml:space="preserve">  The survey utilised </w:t>
      </w:r>
      <w:r w:rsidR="006E0E25">
        <w:rPr>
          <w:rFonts w:ascii="Palatino Linotype" w:hAnsi="Palatino Linotype"/>
          <w:bCs/>
          <w:iCs/>
          <w:sz w:val="24"/>
          <w:szCs w:val="24"/>
        </w:rPr>
        <w:t>L</w:t>
      </w:r>
      <w:r w:rsidR="004B669A" w:rsidRPr="00386C30">
        <w:rPr>
          <w:rFonts w:ascii="Palatino Linotype" w:hAnsi="Palatino Linotype"/>
          <w:bCs/>
          <w:iCs/>
          <w:sz w:val="24"/>
          <w:szCs w:val="24"/>
        </w:rPr>
        <w:t>ikert scales, rankings and free text boxes to elicit to attitudinal responses.</w:t>
      </w:r>
    </w:p>
    <w:p w:rsidR="00EA70FE" w:rsidRPr="00386C30" w:rsidRDefault="00EA70FE" w:rsidP="00386C30">
      <w:pPr>
        <w:pStyle w:val="NoSpacing"/>
        <w:spacing w:before="240" w:after="240" w:line="480" w:lineRule="auto"/>
        <w:jc w:val="both"/>
        <w:rPr>
          <w:rFonts w:ascii="Palatino Linotype" w:hAnsi="Palatino Linotype"/>
          <w:bCs/>
          <w:iCs/>
          <w:sz w:val="24"/>
          <w:szCs w:val="24"/>
        </w:rPr>
      </w:pPr>
      <w:r w:rsidRPr="00386C30">
        <w:rPr>
          <w:rFonts w:ascii="Palatino Linotype" w:hAnsi="Palatino Linotype"/>
          <w:bCs/>
          <w:iCs/>
          <w:sz w:val="24"/>
          <w:szCs w:val="24"/>
        </w:rPr>
        <w:t xml:space="preserve">The questionnaire was sent to a total of 1010 students. The breakdown </w:t>
      </w:r>
      <w:r w:rsidR="00B40E71" w:rsidRPr="00386C30">
        <w:rPr>
          <w:rFonts w:ascii="Palatino Linotype" w:hAnsi="Palatino Linotype"/>
          <w:bCs/>
          <w:iCs/>
          <w:sz w:val="24"/>
          <w:szCs w:val="24"/>
        </w:rPr>
        <w:t>of student numbers by year group</w:t>
      </w:r>
      <w:r w:rsidRPr="00386C30">
        <w:rPr>
          <w:rFonts w:ascii="Palatino Linotype" w:hAnsi="Palatino Linotype"/>
          <w:bCs/>
          <w:iCs/>
          <w:sz w:val="24"/>
          <w:szCs w:val="24"/>
        </w:rPr>
        <w:t>:</w:t>
      </w:r>
    </w:p>
    <w:p w:rsidR="00EA70FE" w:rsidRPr="00386C30" w:rsidRDefault="00EA70FE" w:rsidP="00386C30">
      <w:pPr>
        <w:pStyle w:val="NoSpacing"/>
        <w:spacing w:before="240" w:after="240" w:line="360" w:lineRule="auto"/>
        <w:jc w:val="both"/>
        <w:rPr>
          <w:rFonts w:ascii="Palatino Linotype" w:hAnsi="Palatino Linotype"/>
          <w:bCs/>
          <w:iCs/>
          <w:sz w:val="24"/>
          <w:szCs w:val="24"/>
        </w:rPr>
      </w:pPr>
      <w:r w:rsidRPr="00386C30">
        <w:rPr>
          <w:rFonts w:ascii="Palatino Linotype" w:hAnsi="Palatino Linotype"/>
          <w:bCs/>
          <w:iCs/>
          <w:sz w:val="24"/>
          <w:szCs w:val="24"/>
        </w:rPr>
        <w:t>Year 1 – 348 students</w:t>
      </w:r>
    </w:p>
    <w:p w:rsidR="00EA70FE" w:rsidRPr="00386C30" w:rsidRDefault="00EA70FE" w:rsidP="00386C30">
      <w:pPr>
        <w:pStyle w:val="NoSpacing"/>
        <w:spacing w:before="240" w:after="240" w:line="360" w:lineRule="auto"/>
        <w:jc w:val="both"/>
        <w:rPr>
          <w:rFonts w:ascii="Palatino Linotype" w:hAnsi="Palatino Linotype"/>
          <w:bCs/>
          <w:iCs/>
          <w:sz w:val="24"/>
          <w:szCs w:val="24"/>
        </w:rPr>
      </w:pPr>
      <w:r w:rsidRPr="00386C30">
        <w:rPr>
          <w:rFonts w:ascii="Palatino Linotype" w:hAnsi="Palatino Linotype"/>
          <w:bCs/>
          <w:iCs/>
          <w:sz w:val="24"/>
          <w:szCs w:val="24"/>
        </w:rPr>
        <w:t>Year 2 – 288 students</w:t>
      </w:r>
    </w:p>
    <w:p w:rsidR="00EA70FE" w:rsidRPr="00386C30" w:rsidRDefault="00EA70FE" w:rsidP="00386C30">
      <w:pPr>
        <w:pStyle w:val="NoSpacing"/>
        <w:spacing w:before="240" w:after="240" w:line="360" w:lineRule="auto"/>
        <w:jc w:val="both"/>
        <w:rPr>
          <w:rFonts w:ascii="Palatino Linotype" w:hAnsi="Palatino Linotype"/>
          <w:bCs/>
          <w:iCs/>
          <w:sz w:val="24"/>
          <w:szCs w:val="24"/>
        </w:rPr>
      </w:pPr>
      <w:r w:rsidRPr="00386C30">
        <w:rPr>
          <w:rFonts w:ascii="Palatino Linotype" w:hAnsi="Palatino Linotype"/>
          <w:bCs/>
          <w:iCs/>
          <w:sz w:val="24"/>
          <w:szCs w:val="24"/>
        </w:rPr>
        <w:t>Year 3 – 198 students</w:t>
      </w:r>
    </w:p>
    <w:p w:rsidR="006875F5" w:rsidRPr="00386C30" w:rsidRDefault="00EA70FE" w:rsidP="00386C30">
      <w:pPr>
        <w:pStyle w:val="NoSpacing"/>
        <w:spacing w:before="240" w:after="240" w:line="360" w:lineRule="auto"/>
        <w:jc w:val="both"/>
        <w:rPr>
          <w:rFonts w:ascii="Palatino Linotype" w:hAnsi="Palatino Linotype"/>
          <w:bCs/>
          <w:iCs/>
          <w:sz w:val="24"/>
          <w:szCs w:val="24"/>
        </w:rPr>
      </w:pPr>
      <w:r w:rsidRPr="00386C30">
        <w:rPr>
          <w:rFonts w:ascii="Palatino Linotype" w:hAnsi="Palatino Linotype"/>
          <w:bCs/>
          <w:iCs/>
          <w:sz w:val="24"/>
          <w:szCs w:val="24"/>
        </w:rPr>
        <w:t>Year 4 – 176 students</w:t>
      </w:r>
    </w:p>
    <w:p w:rsidR="006875F5" w:rsidRPr="00386C30" w:rsidRDefault="006875F5" w:rsidP="00386C30">
      <w:pPr>
        <w:pStyle w:val="NoSpacing"/>
        <w:spacing w:before="240" w:after="240" w:line="480" w:lineRule="auto"/>
        <w:jc w:val="both"/>
        <w:rPr>
          <w:rFonts w:ascii="Palatino Linotype" w:hAnsi="Palatino Linotype"/>
          <w:bCs/>
          <w:iCs/>
          <w:sz w:val="24"/>
          <w:szCs w:val="24"/>
        </w:rPr>
      </w:pPr>
      <w:r w:rsidRPr="00386C30">
        <w:rPr>
          <w:rFonts w:ascii="Palatino Linotype" w:hAnsi="Palatino Linotype"/>
          <w:bCs/>
          <w:iCs/>
          <w:sz w:val="24"/>
          <w:szCs w:val="24"/>
        </w:rPr>
        <w:lastRenderedPageBreak/>
        <w:t>A descriptive statistical analysis was used to provide a profile of the respondents</w:t>
      </w:r>
      <w:r w:rsidR="00F64A1F" w:rsidRPr="00386C30">
        <w:rPr>
          <w:rFonts w:ascii="Palatino Linotype" w:hAnsi="Palatino Linotype"/>
          <w:bCs/>
          <w:iCs/>
          <w:sz w:val="24"/>
          <w:szCs w:val="24"/>
        </w:rPr>
        <w:t>,</w:t>
      </w:r>
      <w:r w:rsidRPr="00386C30">
        <w:rPr>
          <w:rFonts w:ascii="Palatino Linotype" w:hAnsi="Palatino Linotype"/>
          <w:bCs/>
          <w:iCs/>
          <w:sz w:val="24"/>
          <w:szCs w:val="24"/>
        </w:rPr>
        <w:t xml:space="preserve"> outlining their experiences and their attitudes towards pro bono and voluntary work.  A Mann-Whitney U-Test</w:t>
      </w:r>
      <w:r w:rsidR="00061CAC" w:rsidRPr="00386C30">
        <w:rPr>
          <w:rStyle w:val="FootnoteReference"/>
          <w:rFonts w:ascii="Palatino Linotype" w:hAnsi="Palatino Linotype"/>
          <w:bCs/>
          <w:iCs/>
          <w:sz w:val="24"/>
          <w:szCs w:val="24"/>
        </w:rPr>
        <w:footnoteReference w:id="60"/>
      </w:r>
      <w:r w:rsidRPr="00386C30">
        <w:rPr>
          <w:rFonts w:ascii="Palatino Linotype" w:hAnsi="Palatino Linotype"/>
          <w:bCs/>
          <w:iCs/>
          <w:sz w:val="24"/>
          <w:szCs w:val="24"/>
        </w:rPr>
        <w:t xml:space="preserve"> was conducted to determine </w:t>
      </w:r>
      <w:r w:rsidR="00B40E71" w:rsidRPr="00386C30">
        <w:rPr>
          <w:rFonts w:ascii="Palatino Linotype" w:hAnsi="Palatino Linotype"/>
          <w:bCs/>
          <w:iCs/>
          <w:sz w:val="24"/>
          <w:szCs w:val="24"/>
        </w:rPr>
        <w:t>statistical significance of</w:t>
      </w:r>
      <w:r w:rsidRPr="00386C30">
        <w:rPr>
          <w:rFonts w:ascii="Palatino Linotype" w:hAnsi="Palatino Linotype"/>
          <w:bCs/>
          <w:iCs/>
          <w:sz w:val="24"/>
          <w:szCs w:val="24"/>
        </w:rPr>
        <w:t xml:space="preserve"> the </w:t>
      </w:r>
      <w:r w:rsidR="00F64A1F" w:rsidRPr="00386C30">
        <w:rPr>
          <w:rFonts w:ascii="Palatino Linotype" w:hAnsi="Palatino Linotype"/>
          <w:bCs/>
          <w:iCs/>
          <w:sz w:val="24"/>
          <w:szCs w:val="24"/>
        </w:rPr>
        <w:t>relationship between students</w:t>
      </w:r>
      <w:r w:rsidR="003A0D24" w:rsidRPr="00386C30">
        <w:rPr>
          <w:rFonts w:ascii="Palatino Linotype" w:hAnsi="Palatino Linotype"/>
          <w:bCs/>
          <w:iCs/>
          <w:sz w:val="24"/>
          <w:szCs w:val="24"/>
        </w:rPr>
        <w:t>’</w:t>
      </w:r>
      <w:r w:rsidR="00F64A1F" w:rsidRPr="00386C30">
        <w:rPr>
          <w:rFonts w:ascii="Palatino Linotype" w:hAnsi="Palatino Linotype"/>
          <w:bCs/>
          <w:iCs/>
          <w:sz w:val="24"/>
          <w:szCs w:val="24"/>
        </w:rPr>
        <w:t xml:space="preserve"> </w:t>
      </w:r>
      <w:r w:rsidRPr="00386C30">
        <w:rPr>
          <w:rFonts w:ascii="Palatino Linotype" w:hAnsi="Palatino Linotype"/>
          <w:bCs/>
          <w:iCs/>
          <w:sz w:val="24"/>
          <w:szCs w:val="24"/>
        </w:rPr>
        <w:t>pro bono experience and their altruistic attitudes as well as their attitudes towards future participation in pro bono activity.</w:t>
      </w:r>
    </w:p>
    <w:p w:rsidR="004A23ED" w:rsidRPr="00386C30" w:rsidRDefault="004A23ED" w:rsidP="00386C30">
      <w:pPr>
        <w:pStyle w:val="NoSpacing"/>
        <w:spacing w:before="240" w:after="240" w:line="480" w:lineRule="auto"/>
        <w:jc w:val="both"/>
        <w:rPr>
          <w:rFonts w:ascii="Palatino Linotype" w:hAnsi="Palatino Linotype"/>
          <w:bCs/>
          <w:iCs/>
          <w:sz w:val="24"/>
          <w:szCs w:val="24"/>
        </w:rPr>
      </w:pPr>
      <w:r w:rsidRPr="00386C30">
        <w:rPr>
          <w:rFonts w:ascii="Palatino Linotype" w:hAnsi="Palatino Linotype"/>
          <w:bCs/>
          <w:iCs/>
          <w:sz w:val="24"/>
          <w:szCs w:val="24"/>
        </w:rPr>
        <w:t xml:space="preserve">The survey </w:t>
      </w:r>
      <w:r w:rsidR="00F64A1F" w:rsidRPr="00386C30">
        <w:rPr>
          <w:rFonts w:ascii="Palatino Linotype" w:hAnsi="Palatino Linotype"/>
          <w:bCs/>
          <w:iCs/>
          <w:sz w:val="24"/>
          <w:szCs w:val="24"/>
        </w:rPr>
        <w:t xml:space="preserve">had </w:t>
      </w:r>
      <w:r w:rsidRPr="00386C30">
        <w:rPr>
          <w:rFonts w:ascii="Palatino Linotype" w:hAnsi="Palatino Linotype"/>
          <w:bCs/>
          <w:iCs/>
          <w:sz w:val="24"/>
          <w:szCs w:val="24"/>
        </w:rPr>
        <w:t xml:space="preserve">a low response rate </w:t>
      </w:r>
      <w:r w:rsidR="00F64A1F" w:rsidRPr="00386C30">
        <w:rPr>
          <w:rFonts w:ascii="Palatino Linotype" w:hAnsi="Palatino Linotype"/>
          <w:bCs/>
          <w:iCs/>
          <w:sz w:val="24"/>
          <w:szCs w:val="24"/>
        </w:rPr>
        <w:t xml:space="preserve">with </w:t>
      </w:r>
      <w:r w:rsidRPr="00386C30">
        <w:rPr>
          <w:rFonts w:ascii="Palatino Linotype" w:hAnsi="Palatino Linotype"/>
          <w:bCs/>
          <w:iCs/>
          <w:sz w:val="24"/>
          <w:szCs w:val="24"/>
        </w:rPr>
        <w:t>a total of 44 questionnaires returned.  7 questionnaires were returned from each of the Year 1, 2 and 3 groups whilst 23 questionnaires were returned from Year 4.</w:t>
      </w:r>
      <w:r w:rsidR="007C56F5" w:rsidRPr="00386C30">
        <w:rPr>
          <w:rFonts w:ascii="Palatino Linotype" w:hAnsi="Palatino Linotype"/>
          <w:bCs/>
          <w:iCs/>
          <w:sz w:val="24"/>
          <w:szCs w:val="24"/>
        </w:rPr>
        <w:t xml:space="preserve">  </w:t>
      </w:r>
    </w:p>
    <w:p w:rsidR="00406BE3" w:rsidRDefault="00406BE3" w:rsidP="00386C30">
      <w:pPr>
        <w:pStyle w:val="NoSpacing"/>
        <w:spacing w:before="240" w:after="240" w:line="480" w:lineRule="auto"/>
        <w:rPr>
          <w:rFonts w:ascii="Palatino Linotype" w:hAnsi="Palatino Linotype"/>
          <w:sz w:val="24"/>
          <w:szCs w:val="24"/>
        </w:rPr>
      </w:pPr>
    </w:p>
    <w:p w:rsidR="001202D2" w:rsidRPr="00386C30" w:rsidRDefault="00406BE3" w:rsidP="00386C30">
      <w:pPr>
        <w:pStyle w:val="NoSpacing"/>
        <w:spacing w:before="240" w:after="240" w:line="480" w:lineRule="auto"/>
        <w:rPr>
          <w:rFonts w:ascii="Palatino Linotype" w:hAnsi="Palatino Linotype"/>
          <w:sz w:val="24"/>
          <w:szCs w:val="24"/>
        </w:rPr>
      </w:pPr>
      <w:r w:rsidRPr="00406BE3">
        <w:rPr>
          <w:rFonts w:ascii="Palatino Linotype" w:hAnsi="Palatino Linotype"/>
          <w:sz w:val="24"/>
          <w:szCs w:val="24"/>
        </w:rPr>
        <w:t xml:space="preserve">DISCUSSION  </w:t>
      </w:r>
    </w:p>
    <w:p w:rsidR="004A23ED" w:rsidRPr="00386C30" w:rsidRDefault="00F64A1F" w:rsidP="00386C30">
      <w:pPr>
        <w:spacing w:before="240" w:after="240" w:line="480" w:lineRule="auto"/>
        <w:jc w:val="both"/>
        <w:rPr>
          <w:rFonts w:ascii="Palatino Linotype" w:hAnsi="Palatino Linotype"/>
          <w:sz w:val="24"/>
          <w:szCs w:val="24"/>
        </w:rPr>
      </w:pPr>
      <w:r w:rsidRPr="00386C30">
        <w:rPr>
          <w:rFonts w:ascii="Palatino Linotype" w:hAnsi="Palatino Linotype"/>
          <w:sz w:val="24"/>
          <w:szCs w:val="24"/>
        </w:rPr>
        <w:t>Data analysis</w:t>
      </w:r>
      <w:r w:rsidR="00C6002F" w:rsidRPr="00386C30">
        <w:rPr>
          <w:rFonts w:ascii="Palatino Linotype" w:hAnsi="Palatino Linotype"/>
          <w:sz w:val="24"/>
          <w:szCs w:val="24"/>
        </w:rPr>
        <w:t xml:space="preserve"> suggests that the primary motivation behind both pro bono work and voluntary work is for personal benefit</w:t>
      </w:r>
      <w:r w:rsidR="00193690" w:rsidRPr="00386C30">
        <w:rPr>
          <w:rFonts w:ascii="Palatino Linotype" w:hAnsi="Palatino Linotype"/>
          <w:sz w:val="24"/>
          <w:szCs w:val="24"/>
        </w:rPr>
        <w:t xml:space="preserve">. </w:t>
      </w:r>
      <w:r w:rsidR="00C6002F" w:rsidRPr="00386C30">
        <w:rPr>
          <w:rFonts w:ascii="Palatino Linotype" w:hAnsi="Palatino Linotype"/>
          <w:sz w:val="24"/>
          <w:szCs w:val="24"/>
        </w:rPr>
        <w:t xml:space="preserve"> </w:t>
      </w:r>
      <w:r w:rsidR="004A23ED" w:rsidRPr="00386C30">
        <w:rPr>
          <w:rFonts w:ascii="Palatino Linotype" w:hAnsi="Palatino Linotype"/>
          <w:sz w:val="24"/>
          <w:szCs w:val="24"/>
        </w:rPr>
        <w:t>Respondents</w:t>
      </w:r>
      <w:r w:rsidR="00C6002F" w:rsidRPr="00386C30">
        <w:rPr>
          <w:rFonts w:ascii="Palatino Linotype" w:hAnsi="Palatino Linotype"/>
          <w:sz w:val="24"/>
          <w:szCs w:val="24"/>
        </w:rPr>
        <w:t xml:space="preserve"> </w:t>
      </w:r>
      <w:r w:rsidR="00193690" w:rsidRPr="00386C30">
        <w:rPr>
          <w:rFonts w:ascii="Palatino Linotype" w:hAnsi="Palatino Linotype"/>
          <w:sz w:val="24"/>
          <w:szCs w:val="24"/>
        </w:rPr>
        <w:t xml:space="preserve">also </w:t>
      </w:r>
      <w:r w:rsidR="00C6002F" w:rsidRPr="00386C30">
        <w:rPr>
          <w:rFonts w:ascii="Palatino Linotype" w:hAnsi="Palatino Linotype"/>
          <w:sz w:val="24"/>
          <w:szCs w:val="24"/>
        </w:rPr>
        <w:t>value</w:t>
      </w:r>
      <w:r w:rsidR="004A23ED" w:rsidRPr="00386C30">
        <w:rPr>
          <w:rFonts w:ascii="Palatino Linotype" w:hAnsi="Palatino Linotype"/>
          <w:sz w:val="24"/>
          <w:szCs w:val="24"/>
        </w:rPr>
        <w:t>d</w:t>
      </w:r>
      <w:r w:rsidR="00C6002F" w:rsidRPr="00386C30">
        <w:rPr>
          <w:rFonts w:ascii="Palatino Linotype" w:hAnsi="Palatino Linotype"/>
          <w:sz w:val="24"/>
          <w:szCs w:val="24"/>
        </w:rPr>
        <w:t xml:space="preserve"> the skills development and enhanced employment prospects rather than the altruistic benefits of carrying out such work.</w:t>
      </w:r>
    </w:p>
    <w:p w:rsidR="004A23ED" w:rsidRPr="00386C30" w:rsidRDefault="0032326C" w:rsidP="00386C30">
      <w:pPr>
        <w:spacing w:before="240" w:after="240" w:line="480" w:lineRule="auto"/>
        <w:jc w:val="both"/>
        <w:rPr>
          <w:rFonts w:ascii="Palatino Linotype" w:hAnsi="Palatino Linotype"/>
          <w:sz w:val="24"/>
          <w:szCs w:val="24"/>
        </w:rPr>
      </w:pPr>
      <w:r w:rsidRPr="00386C30">
        <w:rPr>
          <w:rFonts w:ascii="Palatino Linotype" w:hAnsi="Palatino Linotype"/>
          <w:sz w:val="24"/>
          <w:szCs w:val="24"/>
        </w:rPr>
        <w:lastRenderedPageBreak/>
        <w:t xml:space="preserve">Generally, students in Year 1 (n=6), Year 2 (n=7) and Year 3 (n=5) stated that they did not currently undertake any pro bono work as part of their programme of study.  One Year 1 (n=1) student stated that they did not know whether they undertook pro bono work as part of their programme of study whilst one Year 3 (n=1) student stated they did not know and one Year 3 (n=1) student stated they did undertake pro bono work as part of their programme of study.  Nineteen Year 4 (n=19) students responded to the question, all of whom undertook pro bono work as part of their programme of study. Four Year 4 (n=4) students did not respond to this question. </w:t>
      </w:r>
    </w:p>
    <w:p w:rsidR="0032326C" w:rsidRPr="00386C30" w:rsidRDefault="0032326C" w:rsidP="00386C30">
      <w:pPr>
        <w:spacing w:before="240" w:after="240" w:line="480" w:lineRule="auto"/>
        <w:jc w:val="both"/>
        <w:rPr>
          <w:rFonts w:ascii="Palatino Linotype" w:hAnsi="Palatino Linotype"/>
          <w:sz w:val="24"/>
          <w:szCs w:val="24"/>
        </w:rPr>
      </w:pPr>
      <w:r w:rsidRPr="00406BE3">
        <w:rPr>
          <w:rFonts w:ascii="Palatino Linotype" w:hAnsi="Palatino Linotype"/>
          <w:sz w:val="24"/>
          <w:szCs w:val="24"/>
        </w:rPr>
        <w:t>Fig</w:t>
      </w:r>
      <w:r w:rsidR="00406BE3" w:rsidRPr="00386C30">
        <w:rPr>
          <w:rFonts w:ascii="Palatino Linotype" w:hAnsi="Palatino Linotype"/>
          <w:sz w:val="24"/>
          <w:szCs w:val="24"/>
        </w:rPr>
        <w:t xml:space="preserve">ure </w:t>
      </w:r>
      <w:r w:rsidRPr="00386C30">
        <w:rPr>
          <w:rFonts w:ascii="Palatino Linotype" w:hAnsi="Palatino Linotype"/>
          <w:sz w:val="24"/>
          <w:szCs w:val="24"/>
        </w:rPr>
        <w:t>1</w:t>
      </w:r>
      <w:r w:rsidRPr="00386C30">
        <w:rPr>
          <w:rFonts w:ascii="Palatino Linotype" w:hAnsi="Palatino Linotype"/>
          <w:i/>
          <w:sz w:val="24"/>
          <w:szCs w:val="24"/>
        </w:rPr>
        <w:t xml:space="preserve"> </w:t>
      </w:r>
      <w:r w:rsidRPr="00386C30">
        <w:rPr>
          <w:rFonts w:ascii="Palatino Linotype" w:hAnsi="Palatino Linotype"/>
          <w:sz w:val="24"/>
          <w:szCs w:val="24"/>
        </w:rPr>
        <w:t>below illustrates the perceptions of students who had undertaken pro bono work as part of their programme of study compared with those who had not.  Students were asked whether they agreed or not with the following statements in relation to pro bono work</w:t>
      </w:r>
      <w:r w:rsidR="00B40888" w:rsidRPr="00386C30">
        <w:rPr>
          <w:rFonts w:ascii="Palatino Linotype" w:hAnsi="Palatino Linotype"/>
          <w:sz w:val="24"/>
          <w:szCs w:val="24"/>
        </w:rPr>
        <w:t xml:space="preserve"> as part of their programme of study</w:t>
      </w:r>
      <w:r w:rsidRPr="00386C30">
        <w:rPr>
          <w:rFonts w:ascii="Palatino Linotype" w:hAnsi="Palatino Linotype"/>
          <w:sz w:val="24"/>
          <w:szCs w:val="24"/>
        </w:rPr>
        <w:t>:</w:t>
      </w:r>
    </w:p>
    <w:p w:rsidR="0032326C" w:rsidRPr="00386C30" w:rsidRDefault="0032326C" w:rsidP="00386C30">
      <w:pPr>
        <w:numPr>
          <w:ilvl w:val="0"/>
          <w:numId w:val="12"/>
        </w:numPr>
        <w:spacing w:before="240" w:after="240" w:line="360" w:lineRule="auto"/>
        <w:jc w:val="both"/>
        <w:rPr>
          <w:rFonts w:ascii="Palatino Linotype" w:hAnsi="Palatino Linotype"/>
          <w:sz w:val="24"/>
          <w:szCs w:val="24"/>
        </w:rPr>
      </w:pPr>
      <w:r w:rsidRPr="00386C30">
        <w:rPr>
          <w:rFonts w:ascii="Palatino Linotype" w:hAnsi="Palatino Linotype"/>
          <w:sz w:val="24"/>
          <w:szCs w:val="24"/>
        </w:rPr>
        <w:t>Pro bono improves legal skills;</w:t>
      </w:r>
    </w:p>
    <w:p w:rsidR="0032326C" w:rsidRPr="00386C30" w:rsidRDefault="0032326C" w:rsidP="00386C30">
      <w:pPr>
        <w:numPr>
          <w:ilvl w:val="0"/>
          <w:numId w:val="12"/>
        </w:numPr>
        <w:spacing w:before="240" w:after="240" w:line="360" w:lineRule="auto"/>
        <w:jc w:val="both"/>
        <w:rPr>
          <w:rFonts w:ascii="Palatino Linotype" w:hAnsi="Palatino Linotype"/>
          <w:sz w:val="24"/>
          <w:szCs w:val="24"/>
        </w:rPr>
      </w:pPr>
      <w:r w:rsidRPr="00386C30">
        <w:rPr>
          <w:rFonts w:ascii="Palatino Linotype" w:hAnsi="Palatino Linotype"/>
          <w:sz w:val="24"/>
          <w:szCs w:val="24"/>
        </w:rPr>
        <w:t>Pro bono assists in obtaining employment;</w:t>
      </w:r>
    </w:p>
    <w:p w:rsidR="0032326C" w:rsidRPr="00386C30" w:rsidRDefault="0032326C" w:rsidP="00386C30">
      <w:pPr>
        <w:numPr>
          <w:ilvl w:val="0"/>
          <w:numId w:val="12"/>
        </w:numPr>
        <w:spacing w:before="240" w:after="240" w:line="360" w:lineRule="auto"/>
        <w:jc w:val="both"/>
        <w:rPr>
          <w:rFonts w:ascii="Palatino Linotype" w:hAnsi="Palatino Linotype"/>
          <w:sz w:val="24"/>
          <w:szCs w:val="24"/>
        </w:rPr>
      </w:pPr>
      <w:r w:rsidRPr="00386C30">
        <w:rPr>
          <w:rFonts w:ascii="Palatino Linotype" w:hAnsi="Palatino Linotype"/>
          <w:sz w:val="24"/>
          <w:szCs w:val="24"/>
        </w:rPr>
        <w:t>Pro bono work improves academic performance;</w:t>
      </w:r>
    </w:p>
    <w:p w:rsidR="0032326C" w:rsidRPr="00386C30" w:rsidRDefault="0032326C" w:rsidP="00386C30">
      <w:pPr>
        <w:numPr>
          <w:ilvl w:val="0"/>
          <w:numId w:val="12"/>
        </w:numPr>
        <w:spacing w:before="240" w:after="240" w:line="360" w:lineRule="auto"/>
        <w:jc w:val="both"/>
        <w:rPr>
          <w:rFonts w:ascii="Palatino Linotype" w:hAnsi="Palatino Linotype"/>
          <w:sz w:val="24"/>
          <w:szCs w:val="24"/>
        </w:rPr>
      </w:pPr>
      <w:r w:rsidRPr="00386C30">
        <w:rPr>
          <w:rFonts w:ascii="Palatino Linotype" w:hAnsi="Palatino Linotype"/>
          <w:sz w:val="24"/>
          <w:szCs w:val="24"/>
        </w:rPr>
        <w:t>Pro bono work increases awareness of social and economic issues;</w:t>
      </w:r>
    </w:p>
    <w:p w:rsidR="0032326C" w:rsidRPr="00386C30" w:rsidRDefault="0032326C" w:rsidP="00386C30">
      <w:pPr>
        <w:numPr>
          <w:ilvl w:val="0"/>
          <w:numId w:val="12"/>
        </w:numPr>
        <w:spacing w:before="240" w:after="240" w:line="360" w:lineRule="auto"/>
        <w:jc w:val="both"/>
        <w:rPr>
          <w:rFonts w:ascii="Palatino Linotype" w:hAnsi="Palatino Linotype"/>
          <w:sz w:val="24"/>
          <w:szCs w:val="24"/>
        </w:rPr>
      </w:pPr>
      <w:r w:rsidRPr="00386C30">
        <w:rPr>
          <w:rFonts w:ascii="Palatino Linotype" w:hAnsi="Palatino Linotype"/>
          <w:sz w:val="24"/>
          <w:szCs w:val="24"/>
        </w:rPr>
        <w:t>Pro bono work changes perception of social and economic issues; and</w:t>
      </w:r>
    </w:p>
    <w:p w:rsidR="0032326C" w:rsidRPr="00386C30" w:rsidRDefault="0032326C" w:rsidP="00386C30">
      <w:pPr>
        <w:numPr>
          <w:ilvl w:val="0"/>
          <w:numId w:val="12"/>
        </w:numPr>
        <w:spacing w:before="240" w:after="240" w:line="360" w:lineRule="auto"/>
        <w:jc w:val="both"/>
        <w:rPr>
          <w:rFonts w:ascii="Palatino Linotype" w:hAnsi="Palatino Linotype"/>
          <w:sz w:val="24"/>
          <w:szCs w:val="24"/>
        </w:rPr>
      </w:pPr>
      <w:r w:rsidRPr="00386C30">
        <w:rPr>
          <w:rFonts w:ascii="Palatino Linotype" w:hAnsi="Palatino Linotype"/>
          <w:sz w:val="24"/>
          <w:szCs w:val="24"/>
        </w:rPr>
        <w:t>Pro bono work increases likelihood of continuing pro bono work after graduation.</w:t>
      </w:r>
    </w:p>
    <w:p w:rsidR="004A23ED" w:rsidRPr="00406BE3" w:rsidRDefault="004A23ED" w:rsidP="00406BE3">
      <w:pPr>
        <w:spacing w:before="240" w:after="240" w:line="480" w:lineRule="auto"/>
        <w:jc w:val="both"/>
        <w:rPr>
          <w:rFonts w:ascii="Palatino Linotype" w:hAnsi="Palatino Linotype"/>
          <w:i/>
          <w:sz w:val="24"/>
          <w:szCs w:val="24"/>
        </w:rPr>
      </w:pPr>
      <w:r w:rsidRPr="00406BE3">
        <w:rPr>
          <w:rFonts w:ascii="Palatino Linotype" w:hAnsi="Palatino Linotype"/>
          <w:i/>
          <w:sz w:val="24"/>
          <w:szCs w:val="24"/>
        </w:rPr>
        <w:lastRenderedPageBreak/>
        <w:t>Fig</w:t>
      </w:r>
      <w:r w:rsidR="00406BE3">
        <w:rPr>
          <w:rFonts w:ascii="Palatino Linotype" w:hAnsi="Palatino Linotype"/>
          <w:i/>
          <w:sz w:val="24"/>
          <w:szCs w:val="24"/>
        </w:rPr>
        <w:t>ure</w:t>
      </w:r>
      <w:r w:rsidRPr="00406BE3">
        <w:rPr>
          <w:rFonts w:ascii="Palatino Linotype" w:hAnsi="Palatino Linotype"/>
          <w:i/>
          <w:sz w:val="24"/>
          <w:szCs w:val="24"/>
        </w:rPr>
        <w:t xml:space="preserve"> 1</w:t>
      </w:r>
      <w:r w:rsidR="00C6002F" w:rsidRPr="00406BE3">
        <w:rPr>
          <w:rFonts w:ascii="Palatino Linotype" w:hAnsi="Palatino Linotype"/>
          <w:i/>
          <w:sz w:val="24"/>
          <w:szCs w:val="24"/>
        </w:rPr>
        <w:t xml:space="preserve">  </w:t>
      </w:r>
    </w:p>
    <w:p w:rsidR="004A23ED" w:rsidRPr="00386C30" w:rsidRDefault="00603362" w:rsidP="00386C30">
      <w:pPr>
        <w:spacing w:before="240" w:after="240" w:line="480" w:lineRule="auto"/>
        <w:jc w:val="both"/>
        <w:rPr>
          <w:rFonts w:ascii="Palatino Linotype" w:hAnsi="Palatino Linotype"/>
          <w:sz w:val="24"/>
          <w:szCs w:val="24"/>
        </w:rPr>
      </w:pPr>
      <w:r>
        <w:rPr>
          <w:rFonts w:ascii="Palatino Linotype" w:hAnsi="Palatino Linotype"/>
          <w:noProof/>
          <w:sz w:val="24"/>
          <w:szCs w:val="24"/>
          <w:lang w:eastAsia="en-GB"/>
        </w:rPr>
        <w:drawing>
          <wp:inline distT="0" distB="0" distL="0" distR="0" wp14:anchorId="47E17887" wp14:editId="2FD99D39">
            <wp:extent cx="4352290" cy="376174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52290" cy="3761740"/>
                    </a:xfrm>
                    <a:prstGeom prst="rect">
                      <a:avLst/>
                    </a:prstGeom>
                    <a:noFill/>
                  </pic:spPr>
                </pic:pic>
              </a:graphicData>
            </a:graphic>
          </wp:inline>
        </w:drawing>
      </w:r>
    </w:p>
    <w:p w:rsidR="00C6002F" w:rsidRPr="00386C30" w:rsidRDefault="00C6002F" w:rsidP="00386C30">
      <w:pPr>
        <w:spacing w:before="240" w:after="240" w:line="480" w:lineRule="auto"/>
        <w:jc w:val="both"/>
        <w:rPr>
          <w:rFonts w:ascii="Palatino Linotype" w:hAnsi="Palatino Linotype"/>
          <w:sz w:val="24"/>
          <w:szCs w:val="24"/>
        </w:rPr>
      </w:pPr>
      <w:r w:rsidRPr="00386C30">
        <w:rPr>
          <w:rFonts w:ascii="Palatino Linotype" w:hAnsi="Palatino Linotype"/>
          <w:sz w:val="24"/>
          <w:szCs w:val="24"/>
        </w:rPr>
        <w:t>It can been seen that the respondents expected pro bono work to provide a personal benefit to them</w:t>
      </w:r>
      <w:r w:rsidR="00193690" w:rsidRPr="00386C30">
        <w:rPr>
          <w:rFonts w:ascii="Palatino Linotype" w:hAnsi="Palatino Linotype"/>
          <w:sz w:val="24"/>
          <w:szCs w:val="24"/>
        </w:rPr>
        <w:t>;</w:t>
      </w:r>
      <w:r w:rsidRPr="00386C30">
        <w:rPr>
          <w:rFonts w:ascii="Palatino Linotype" w:hAnsi="Palatino Linotype"/>
          <w:sz w:val="24"/>
          <w:szCs w:val="24"/>
        </w:rPr>
        <w:t xml:space="preserve"> such as improved legal skills and enhanced employability, and further, the respondents who have engaged in pro bono work perceive that they have been rewarded with these benefits.  This perhaps supports the educational imperative of pro bono work as part of a programme of study but does not assist in determining whether students are instilled with a sense of altruism.</w:t>
      </w:r>
    </w:p>
    <w:p w:rsidR="00C6002F" w:rsidRPr="00386C30" w:rsidRDefault="004A23ED" w:rsidP="00386C30">
      <w:pPr>
        <w:spacing w:before="240" w:after="240" w:line="480" w:lineRule="auto"/>
        <w:jc w:val="both"/>
        <w:rPr>
          <w:rFonts w:ascii="Palatino Linotype" w:hAnsi="Palatino Linotype"/>
          <w:sz w:val="24"/>
          <w:szCs w:val="24"/>
        </w:rPr>
      </w:pPr>
      <w:r w:rsidRPr="001B2F5E">
        <w:rPr>
          <w:rFonts w:ascii="Palatino Linotype" w:hAnsi="Palatino Linotype"/>
          <w:i/>
          <w:iCs/>
          <w:sz w:val="24"/>
          <w:szCs w:val="24"/>
        </w:rPr>
        <w:t>Fig</w:t>
      </w:r>
      <w:r w:rsidR="00406BE3" w:rsidRPr="001B2F5E">
        <w:rPr>
          <w:rFonts w:ascii="Palatino Linotype" w:hAnsi="Palatino Linotype"/>
          <w:i/>
          <w:iCs/>
          <w:sz w:val="24"/>
          <w:szCs w:val="24"/>
        </w:rPr>
        <w:t xml:space="preserve">ure </w:t>
      </w:r>
      <w:r w:rsidRPr="001B2F5E">
        <w:rPr>
          <w:rFonts w:ascii="Palatino Linotype" w:hAnsi="Palatino Linotype"/>
          <w:i/>
          <w:iCs/>
          <w:sz w:val="24"/>
          <w:szCs w:val="24"/>
        </w:rPr>
        <w:t>1</w:t>
      </w:r>
      <w:r w:rsidR="00C6002F" w:rsidRPr="00386C30">
        <w:rPr>
          <w:rFonts w:ascii="Palatino Linotype" w:hAnsi="Palatino Linotype"/>
          <w:sz w:val="24"/>
          <w:szCs w:val="24"/>
        </w:rPr>
        <w:t xml:space="preserve"> also suggests that there </w:t>
      </w:r>
      <w:r w:rsidR="0032326C" w:rsidRPr="00386C30">
        <w:rPr>
          <w:rFonts w:ascii="Palatino Linotype" w:hAnsi="Palatino Linotype"/>
          <w:sz w:val="24"/>
          <w:szCs w:val="24"/>
        </w:rPr>
        <w:t>was</w:t>
      </w:r>
      <w:r w:rsidR="00C6002F" w:rsidRPr="00386C30">
        <w:rPr>
          <w:rFonts w:ascii="Palatino Linotype" w:hAnsi="Palatino Linotype"/>
          <w:sz w:val="24"/>
          <w:szCs w:val="24"/>
        </w:rPr>
        <w:t xml:space="preserve"> marginally more appreciation of social and economic issues.  It is plausible that this is due to the fact that students are faced with real legal issues and therefore have a greater appreciation of </w:t>
      </w:r>
      <w:r w:rsidR="00C6002F" w:rsidRPr="00386C30">
        <w:rPr>
          <w:rFonts w:ascii="Palatino Linotype" w:hAnsi="Palatino Linotype"/>
          <w:sz w:val="24"/>
          <w:szCs w:val="24"/>
        </w:rPr>
        <w:lastRenderedPageBreak/>
        <w:t>the problems society faces.  However, further research of a qualitative nature would be required to investigate this.</w:t>
      </w:r>
    </w:p>
    <w:p w:rsidR="00C6002F" w:rsidRPr="00386C30" w:rsidRDefault="00C6002F" w:rsidP="00386C30">
      <w:pPr>
        <w:spacing w:before="240" w:after="240" w:line="480" w:lineRule="auto"/>
        <w:jc w:val="both"/>
        <w:rPr>
          <w:rFonts w:ascii="Palatino Linotype" w:hAnsi="Palatino Linotype"/>
          <w:sz w:val="24"/>
          <w:szCs w:val="24"/>
        </w:rPr>
      </w:pPr>
      <w:r w:rsidRPr="00386C30">
        <w:rPr>
          <w:rFonts w:ascii="Palatino Linotype" w:hAnsi="Palatino Linotype"/>
          <w:sz w:val="24"/>
          <w:szCs w:val="24"/>
        </w:rPr>
        <w:t xml:space="preserve">Despite an apparent greater appreciation for social and economic issues, it is highlighted that respondents were neutral to the statement as to whether they would participate in future pro bono activity following graduation.  This </w:t>
      </w:r>
      <w:r w:rsidR="00BE614F" w:rsidRPr="00386C30">
        <w:rPr>
          <w:rFonts w:ascii="Palatino Linotype" w:hAnsi="Palatino Linotype"/>
          <w:sz w:val="24"/>
          <w:szCs w:val="24"/>
        </w:rPr>
        <w:t xml:space="preserve">may </w:t>
      </w:r>
      <w:r w:rsidRPr="00386C30">
        <w:rPr>
          <w:rFonts w:ascii="Palatino Linotype" w:hAnsi="Palatino Linotype"/>
          <w:sz w:val="24"/>
          <w:szCs w:val="24"/>
        </w:rPr>
        <w:t xml:space="preserve">indicate that participation in pro bono activity at law school </w:t>
      </w:r>
      <w:r w:rsidR="00BE614F" w:rsidRPr="00386C30">
        <w:rPr>
          <w:rFonts w:ascii="Palatino Linotype" w:hAnsi="Palatino Linotype"/>
          <w:sz w:val="24"/>
          <w:szCs w:val="24"/>
        </w:rPr>
        <w:t xml:space="preserve">may </w:t>
      </w:r>
      <w:r w:rsidRPr="00386C30">
        <w:rPr>
          <w:rFonts w:ascii="Palatino Linotype" w:hAnsi="Palatino Linotype"/>
          <w:sz w:val="24"/>
          <w:szCs w:val="24"/>
        </w:rPr>
        <w:t xml:space="preserve">not encourage future participation in pro bono activity.  Further research is required to establish why respondents are of this view. </w:t>
      </w:r>
    </w:p>
    <w:p w:rsidR="007604C2" w:rsidRPr="00386C30" w:rsidRDefault="00C6002F" w:rsidP="00386C30">
      <w:pPr>
        <w:spacing w:before="240" w:after="240" w:line="480" w:lineRule="auto"/>
        <w:jc w:val="both"/>
        <w:rPr>
          <w:rFonts w:ascii="Palatino Linotype" w:hAnsi="Palatino Linotype"/>
          <w:sz w:val="24"/>
          <w:szCs w:val="24"/>
        </w:rPr>
      </w:pPr>
      <w:r w:rsidRPr="00386C30">
        <w:rPr>
          <w:rFonts w:ascii="Palatino Linotype" w:hAnsi="Palatino Linotype"/>
          <w:sz w:val="24"/>
          <w:szCs w:val="24"/>
        </w:rPr>
        <w:t xml:space="preserve">89% (n=34) of respondents reported that they undertook, or had undertaken, voluntary work.  </w:t>
      </w:r>
      <w:r w:rsidR="00B40888" w:rsidRPr="00386C30">
        <w:rPr>
          <w:rFonts w:ascii="Palatino Linotype" w:hAnsi="Palatino Linotype"/>
          <w:sz w:val="24"/>
          <w:szCs w:val="24"/>
        </w:rPr>
        <w:t xml:space="preserve">Further, there appears to be no correlation </w:t>
      </w:r>
      <w:r w:rsidR="00193690" w:rsidRPr="00386C30">
        <w:rPr>
          <w:rFonts w:ascii="Palatino Linotype" w:hAnsi="Palatino Linotype"/>
          <w:sz w:val="24"/>
          <w:szCs w:val="24"/>
        </w:rPr>
        <w:t xml:space="preserve">between </w:t>
      </w:r>
      <w:r w:rsidR="00B40888" w:rsidRPr="00386C30">
        <w:rPr>
          <w:rFonts w:ascii="Palatino Linotype" w:hAnsi="Palatino Linotype"/>
          <w:sz w:val="24"/>
          <w:szCs w:val="24"/>
        </w:rPr>
        <w:t>student</w:t>
      </w:r>
      <w:r w:rsidR="00193690" w:rsidRPr="00386C30">
        <w:rPr>
          <w:rFonts w:ascii="Palatino Linotype" w:hAnsi="Palatino Linotype"/>
          <w:sz w:val="24"/>
          <w:szCs w:val="24"/>
        </w:rPr>
        <w:t>s</w:t>
      </w:r>
      <w:r w:rsidR="00B40888" w:rsidRPr="00386C30">
        <w:rPr>
          <w:rFonts w:ascii="Palatino Linotype" w:hAnsi="Palatino Linotype"/>
          <w:sz w:val="24"/>
          <w:szCs w:val="24"/>
        </w:rPr>
        <w:t xml:space="preserve"> participat</w:t>
      </w:r>
      <w:r w:rsidR="00193690" w:rsidRPr="00386C30">
        <w:rPr>
          <w:rFonts w:ascii="Palatino Linotype" w:hAnsi="Palatino Linotype"/>
          <w:sz w:val="24"/>
          <w:szCs w:val="24"/>
        </w:rPr>
        <w:t>ing</w:t>
      </w:r>
      <w:r w:rsidR="00B40888" w:rsidRPr="00386C30">
        <w:rPr>
          <w:rFonts w:ascii="Palatino Linotype" w:hAnsi="Palatino Linotype"/>
          <w:sz w:val="24"/>
          <w:szCs w:val="24"/>
        </w:rPr>
        <w:t xml:space="preserve"> in pro bono work at university </w:t>
      </w:r>
      <w:r w:rsidR="00193690" w:rsidRPr="00386C30">
        <w:rPr>
          <w:rFonts w:ascii="Palatino Linotype" w:hAnsi="Palatino Linotype"/>
          <w:sz w:val="24"/>
          <w:szCs w:val="24"/>
        </w:rPr>
        <w:t>and an undertaking of</w:t>
      </w:r>
      <w:r w:rsidR="00B40888" w:rsidRPr="00386C30">
        <w:rPr>
          <w:rFonts w:ascii="Palatino Linotype" w:hAnsi="Palatino Linotype"/>
          <w:sz w:val="24"/>
          <w:szCs w:val="24"/>
        </w:rPr>
        <w:t xml:space="preserve"> </w:t>
      </w:r>
      <w:r w:rsidR="00193690" w:rsidRPr="00386C30">
        <w:rPr>
          <w:rFonts w:ascii="Palatino Linotype" w:hAnsi="Palatino Linotype"/>
          <w:sz w:val="24"/>
          <w:szCs w:val="24"/>
        </w:rPr>
        <w:t xml:space="preserve">voluntary </w:t>
      </w:r>
      <w:r w:rsidR="00B40888" w:rsidRPr="00386C30">
        <w:rPr>
          <w:rFonts w:ascii="Palatino Linotype" w:hAnsi="Palatino Linotype"/>
          <w:sz w:val="24"/>
          <w:szCs w:val="24"/>
        </w:rPr>
        <w:t xml:space="preserve">work outside </w:t>
      </w:r>
      <w:r w:rsidR="00193690" w:rsidRPr="00386C30">
        <w:rPr>
          <w:rFonts w:ascii="Palatino Linotype" w:hAnsi="Palatino Linotype"/>
          <w:sz w:val="24"/>
          <w:szCs w:val="24"/>
        </w:rPr>
        <w:t xml:space="preserve">their </w:t>
      </w:r>
      <w:r w:rsidR="00B40888" w:rsidRPr="00386C30">
        <w:rPr>
          <w:rFonts w:ascii="Palatino Linotype" w:hAnsi="Palatino Linotype"/>
          <w:sz w:val="24"/>
          <w:szCs w:val="24"/>
        </w:rPr>
        <w:t>programme of study as 76% (n=16) of respondents from Years 1, 2 and 3 stated th</w:t>
      </w:r>
      <w:r w:rsidR="00193690" w:rsidRPr="00386C30">
        <w:rPr>
          <w:rFonts w:ascii="Palatino Linotype" w:hAnsi="Palatino Linotype"/>
          <w:sz w:val="24"/>
          <w:szCs w:val="24"/>
        </w:rPr>
        <w:t>ey</w:t>
      </w:r>
      <w:r w:rsidR="00B40888" w:rsidRPr="00386C30">
        <w:rPr>
          <w:rFonts w:ascii="Palatino Linotype" w:hAnsi="Palatino Linotype"/>
          <w:sz w:val="24"/>
          <w:szCs w:val="24"/>
        </w:rPr>
        <w:t xml:space="preserve"> undertook, or had undertaken, voluntary work whilst </w:t>
      </w:r>
      <w:r w:rsidR="007604C2" w:rsidRPr="00386C30">
        <w:rPr>
          <w:rFonts w:ascii="Palatino Linotype" w:hAnsi="Palatino Linotype"/>
          <w:sz w:val="24"/>
          <w:szCs w:val="24"/>
        </w:rPr>
        <w:t>78% (n=</w:t>
      </w:r>
      <w:r w:rsidR="00B40888" w:rsidRPr="00386C30">
        <w:rPr>
          <w:rFonts w:ascii="Palatino Linotype" w:hAnsi="Palatino Linotype"/>
          <w:sz w:val="24"/>
          <w:szCs w:val="24"/>
        </w:rPr>
        <w:t>18</w:t>
      </w:r>
      <w:r w:rsidR="007604C2" w:rsidRPr="00386C30">
        <w:rPr>
          <w:rFonts w:ascii="Palatino Linotype" w:hAnsi="Palatino Linotype"/>
          <w:sz w:val="24"/>
          <w:szCs w:val="24"/>
        </w:rPr>
        <w:t>) of</w:t>
      </w:r>
      <w:r w:rsidR="00B40888" w:rsidRPr="00386C30">
        <w:rPr>
          <w:rFonts w:ascii="Palatino Linotype" w:hAnsi="Palatino Linotype"/>
          <w:sz w:val="24"/>
          <w:szCs w:val="24"/>
        </w:rPr>
        <w:t xml:space="preserve"> respondents from Year 4 undertook voluntary work.  </w:t>
      </w:r>
      <w:r w:rsidRPr="00386C30">
        <w:rPr>
          <w:rFonts w:ascii="Palatino Linotype" w:hAnsi="Palatino Linotype"/>
          <w:sz w:val="24"/>
          <w:szCs w:val="24"/>
        </w:rPr>
        <w:t xml:space="preserve">This </w:t>
      </w:r>
      <w:r w:rsidR="007604C2" w:rsidRPr="00386C30">
        <w:rPr>
          <w:rFonts w:ascii="Palatino Linotype" w:hAnsi="Palatino Linotype"/>
          <w:sz w:val="24"/>
          <w:szCs w:val="24"/>
        </w:rPr>
        <w:t>may</w:t>
      </w:r>
      <w:r w:rsidRPr="00386C30">
        <w:rPr>
          <w:rFonts w:ascii="Palatino Linotype" w:hAnsi="Palatino Linotype"/>
          <w:sz w:val="24"/>
          <w:szCs w:val="24"/>
        </w:rPr>
        <w:t xml:space="preserve"> suggest that the respondents had an altruistic ethos and supports the view that individuals with an interest in the subject matter of the survey are inclined to respond.  </w:t>
      </w:r>
      <w:r w:rsidR="00193690" w:rsidRPr="00386C30">
        <w:rPr>
          <w:rFonts w:ascii="Palatino Linotype" w:hAnsi="Palatino Linotype"/>
          <w:sz w:val="24"/>
          <w:szCs w:val="24"/>
        </w:rPr>
        <w:t xml:space="preserve">This may highlight </w:t>
      </w:r>
      <w:r w:rsidRPr="00386C30">
        <w:rPr>
          <w:rFonts w:ascii="Palatino Linotype" w:hAnsi="Palatino Linotype"/>
          <w:sz w:val="24"/>
          <w:szCs w:val="24"/>
        </w:rPr>
        <w:t xml:space="preserve">the problem of non-response bias, and in particular that because those responding are self-selecting, their views are unlikely to represent the views of the population as a whole.  This is particularly so given the low response rate to the survey. </w:t>
      </w:r>
      <w:r w:rsidR="007604C2" w:rsidRPr="00386C30">
        <w:rPr>
          <w:rFonts w:ascii="Palatino Linotype" w:hAnsi="Palatino Linotype"/>
          <w:sz w:val="24"/>
          <w:szCs w:val="24"/>
        </w:rPr>
        <w:t>As the</w:t>
      </w:r>
      <w:r w:rsidRPr="00386C30">
        <w:rPr>
          <w:rFonts w:ascii="Palatino Linotype" w:hAnsi="Palatino Linotype"/>
          <w:sz w:val="24"/>
          <w:szCs w:val="24"/>
        </w:rPr>
        <w:t xml:space="preserve"> independent variable in this study is whether or not </w:t>
      </w:r>
      <w:r w:rsidRPr="00386C30">
        <w:rPr>
          <w:rFonts w:ascii="Palatino Linotype" w:hAnsi="Palatino Linotype"/>
          <w:sz w:val="24"/>
          <w:szCs w:val="24"/>
        </w:rPr>
        <w:lastRenderedPageBreak/>
        <w:t>students have participated in pro bono work</w:t>
      </w:r>
      <w:r w:rsidR="007604C2" w:rsidRPr="00386C30">
        <w:rPr>
          <w:rFonts w:ascii="Palatino Linotype" w:hAnsi="Palatino Linotype"/>
          <w:sz w:val="24"/>
          <w:szCs w:val="24"/>
        </w:rPr>
        <w:t xml:space="preserve"> at law school,</w:t>
      </w:r>
      <w:r w:rsidRPr="00386C30">
        <w:rPr>
          <w:rFonts w:ascii="Palatino Linotype" w:hAnsi="Palatino Linotype"/>
          <w:sz w:val="24"/>
          <w:szCs w:val="24"/>
        </w:rPr>
        <w:t xml:space="preserve"> it </w:t>
      </w:r>
      <w:r w:rsidR="003A0D24" w:rsidRPr="00386C30">
        <w:rPr>
          <w:rFonts w:ascii="Palatino Linotype" w:hAnsi="Palatino Linotype"/>
          <w:sz w:val="24"/>
          <w:szCs w:val="24"/>
        </w:rPr>
        <w:t>is</w:t>
      </w:r>
      <w:r w:rsidR="00193690" w:rsidRPr="00386C30">
        <w:rPr>
          <w:rFonts w:ascii="Palatino Linotype" w:hAnsi="Palatino Linotype"/>
          <w:sz w:val="24"/>
          <w:szCs w:val="24"/>
        </w:rPr>
        <w:t xml:space="preserve"> irrelevant</w:t>
      </w:r>
      <w:r w:rsidRPr="00386C30">
        <w:rPr>
          <w:rFonts w:ascii="Palatino Linotype" w:hAnsi="Palatino Linotype"/>
          <w:sz w:val="24"/>
          <w:szCs w:val="24"/>
        </w:rPr>
        <w:t xml:space="preserve"> that the survey is unlikely to represent the views of the whole student cohort on the M Law Exempting degree.  </w:t>
      </w:r>
    </w:p>
    <w:p w:rsidR="00C6002F" w:rsidRPr="00386C30" w:rsidRDefault="00C6002F" w:rsidP="00386C30">
      <w:pPr>
        <w:spacing w:before="240" w:after="240" w:line="480" w:lineRule="auto"/>
        <w:jc w:val="both"/>
        <w:rPr>
          <w:rFonts w:ascii="Palatino Linotype" w:hAnsi="Palatino Linotype"/>
          <w:sz w:val="24"/>
          <w:szCs w:val="24"/>
        </w:rPr>
      </w:pPr>
      <w:r w:rsidRPr="00386C30">
        <w:rPr>
          <w:rFonts w:ascii="Palatino Linotype" w:hAnsi="Palatino Linotype"/>
          <w:sz w:val="24"/>
          <w:szCs w:val="24"/>
        </w:rPr>
        <w:t>In any event, when the rationale behind the voluntary work is analysed, this suggests that respondents may not be so altruistic.  Only 26% (n=8) of the respondents who provided a reason for undertaking voluntary work reported a reason without personal benefit to themselves such as helping people or ‘giving something back’.</w:t>
      </w:r>
    </w:p>
    <w:p w:rsidR="00C6002F" w:rsidRPr="00386C30" w:rsidRDefault="00C6002F" w:rsidP="00386C30">
      <w:pPr>
        <w:spacing w:before="240" w:after="240" w:line="480" w:lineRule="auto"/>
        <w:jc w:val="both"/>
        <w:rPr>
          <w:rFonts w:ascii="Palatino Linotype" w:hAnsi="Palatino Linotype"/>
          <w:sz w:val="24"/>
          <w:szCs w:val="24"/>
        </w:rPr>
      </w:pPr>
      <w:r w:rsidRPr="00386C30">
        <w:rPr>
          <w:rFonts w:ascii="Palatino Linotype" w:hAnsi="Palatino Linotype"/>
          <w:sz w:val="24"/>
          <w:szCs w:val="24"/>
        </w:rPr>
        <w:t>Whilst it is acknowledged that a higher percentage did provide some altruistic motive, many of these respondents also provided a reason encompassing some personal benefit such as enhanced employability.  36% (n=12) of respondents did not cite any altruistic motive for undertaking voluntary work.</w:t>
      </w:r>
    </w:p>
    <w:p w:rsidR="00C6002F" w:rsidRPr="00386C30" w:rsidRDefault="00C6002F" w:rsidP="00386C30">
      <w:pPr>
        <w:spacing w:before="240" w:after="240" w:line="480" w:lineRule="auto"/>
        <w:jc w:val="both"/>
        <w:rPr>
          <w:rFonts w:ascii="Palatino Linotype" w:hAnsi="Palatino Linotype"/>
          <w:sz w:val="24"/>
          <w:szCs w:val="24"/>
        </w:rPr>
      </w:pPr>
      <w:r w:rsidRPr="00386C30">
        <w:rPr>
          <w:rFonts w:ascii="Palatino Linotype" w:hAnsi="Palatino Linotype"/>
          <w:sz w:val="24"/>
          <w:szCs w:val="24"/>
        </w:rPr>
        <w:t xml:space="preserve">The reasons for engaging in both pro bono and voluntary work appear </w:t>
      </w:r>
      <w:r w:rsidR="00193690" w:rsidRPr="00386C30">
        <w:rPr>
          <w:rFonts w:ascii="Palatino Linotype" w:hAnsi="Palatino Linotype"/>
          <w:sz w:val="24"/>
          <w:szCs w:val="24"/>
        </w:rPr>
        <w:t xml:space="preserve">to show </w:t>
      </w:r>
      <w:r w:rsidRPr="00386C30">
        <w:rPr>
          <w:rFonts w:ascii="Palatino Linotype" w:hAnsi="Palatino Linotype"/>
          <w:sz w:val="24"/>
          <w:szCs w:val="24"/>
        </w:rPr>
        <w:t>that respondents generally have a desire to attain some personal gain from their altruistic actions</w:t>
      </w:r>
      <w:r w:rsidR="000F4F80" w:rsidRPr="00386C30">
        <w:rPr>
          <w:rFonts w:ascii="Palatino Linotype" w:hAnsi="Palatino Linotype"/>
          <w:sz w:val="24"/>
          <w:szCs w:val="24"/>
        </w:rPr>
        <w:t>, and results</w:t>
      </w:r>
      <w:r w:rsidRPr="00386C30">
        <w:rPr>
          <w:rFonts w:ascii="Palatino Linotype" w:hAnsi="Palatino Linotype"/>
          <w:sz w:val="24"/>
          <w:szCs w:val="24"/>
        </w:rPr>
        <w:t xml:space="preserve"> are therefore consistent with the empathy-altruism hypothesis</w:t>
      </w:r>
      <w:r w:rsidR="007604C2" w:rsidRPr="00386C30">
        <w:rPr>
          <w:rFonts w:ascii="Palatino Linotype" w:hAnsi="Palatino Linotype"/>
          <w:sz w:val="24"/>
          <w:szCs w:val="24"/>
        </w:rPr>
        <w:t xml:space="preserve"> espoused by</w:t>
      </w:r>
      <w:r w:rsidRPr="00386C30">
        <w:rPr>
          <w:rFonts w:ascii="Palatino Linotype" w:hAnsi="Palatino Linotype"/>
          <w:sz w:val="24"/>
          <w:szCs w:val="24"/>
        </w:rPr>
        <w:t xml:space="preserve"> Bateson and Shaw</w:t>
      </w:r>
      <w:r w:rsidR="007604C2" w:rsidRPr="00386C30">
        <w:rPr>
          <w:rFonts w:ascii="Palatino Linotype" w:hAnsi="Palatino Linotype"/>
          <w:sz w:val="24"/>
          <w:szCs w:val="24"/>
        </w:rPr>
        <w:t>,</w:t>
      </w:r>
      <w:r w:rsidRPr="00386C30">
        <w:rPr>
          <w:rFonts w:ascii="Palatino Linotype" w:hAnsi="Palatino Linotype"/>
          <w:sz w:val="24"/>
          <w:szCs w:val="24"/>
        </w:rPr>
        <w:t xml:space="preserve"> as cited in Coulter et al</w:t>
      </w:r>
      <w:r w:rsidR="007604C2" w:rsidRPr="00386C30">
        <w:rPr>
          <w:rFonts w:ascii="Palatino Linotype" w:hAnsi="Palatino Linotype"/>
          <w:sz w:val="24"/>
          <w:szCs w:val="24"/>
        </w:rPr>
        <w:t>.</w:t>
      </w:r>
      <w:r w:rsidR="007604C2" w:rsidRPr="00386C30">
        <w:rPr>
          <w:rStyle w:val="FootnoteReference"/>
          <w:rFonts w:ascii="Palatino Linotype" w:hAnsi="Palatino Linotype"/>
          <w:sz w:val="24"/>
          <w:szCs w:val="24"/>
        </w:rPr>
        <w:footnoteReference w:id="61"/>
      </w:r>
    </w:p>
    <w:p w:rsidR="00C6002F" w:rsidRPr="00386C30" w:rsidRDefault="00C6002F" w:rsidP="00386C30">
      <w:pPr>
        <w:spacing w:before="240" w:after="240" w:line="480" w:lineRule="auto"/>
        <w:jc w:val="both"/>
        <w:rPr>
          <w:rFonts w:ascii="Palatino Linotype" w:hAnsi="Palatino Linotype"/>
          <w:sz w:val="24"/>
          <w:szCs w:val="24"/>
        </w:rPr>
      </w:pPr>
      <w:r w:rsidRPr="00386C30">
        <w:rPr>
          <w:rFonts w:ascii="Palatino Linotype" w:hAnsi="Palatino Linotype"/>
          <w:sz w:val="24"/>
          <w:szCs w:val="24"/>
        </w:rPr>
        <w:lastRenderedPageBreak/>
        <w:t xml:space="preserve">This concept must therefore be borne in mind when considering whether conducting pro bono work at law school can instil an altruistic ethos in students.  </w:t>
      </w:r>
    </w:p>
    <w:p w:rsidR="00C6002F" w:rsidRPr="00386C30" w:rsidRDefault="00C6002F" w:rsidP="00386C30">
      <w:pPr>
        <w:spacing w:before="240" w:after="240" w:line="480" w:lineRule="auto"/>
        <w:jc w:val="both"/>
        <w:rPr>
          <w:rFonts w:ascii="Palatino Linotype" w:hAnsi="Palatino Linotype"/>
          <w:sz w:val="24"/>
          <w:szCs w:val="24"/>
        </w:rPr>
      </w:pPr>
      <w:r w:rsidRPr="00386C30">
        <w:rPr>
          <w:rFonts w:ascii="Palatino Linotype" w:hAnsi="Palatino Linotype"/>
          <w:sz w:val="24"/>
          <w:szCs w:val="24"/>
        </w:rPr>
        <w:t xml:space="preserve">If we first consider the perceived benefits of undertaking pro bono by those students yet to undertake pro bono work against the those students who had undertaken pro bono work, it is apparent that the common expected benefit is </w:t>
      </w:r>
      <w:r w:rsidR="007604C2" w:rsidRPr="00386C30">
        <w:rPr>
          <w:rFonts w:ascii="Palatino Linotype" w:hAnsi="Palatino Linotype"/>
          <w:sz w:val="24"/>
          <w:szCs w:val="24"/>
        </w:rPr>
        <w:t xml:space="preserve">some form of </w:t>
      </w:r>
      <w:r w:rsidRPr="00386C30">
        <w:rPr>
          <w:rFonts w:ascii="Palatino Linotype" w:hAnsi="Palatino Linotype"/>
          <w:sz w:val="24"/>
          <w:szCs w:val="24"/>
        </w:rPr>
        <w:t xml:space="preserve">personal gain.  This includes improved legal skills, enhanced employability and improved academic performance.  </w:t>
      </w:r>
      <w:r w:rsidR="007604C2" w:rsidRPr="00386C30">
        <w:rPr>
          <w:rFonts w:ascii="Palatino Linotype" w:hAnsi="Palatino Linotype"/>
          <w:sz w:val="24"/>
          <w:szCs w:val="24"/>
        </w:rPr>
        <w:t>The respondents were in general</w:t>
      </w:r>
      <w:r w:rsidRPr="00386C30">
        <w:rPr>
          <w:rFonts w:ascii="Palatino Linotype" w:hAnsi="Palatino Linotype"/>
          <w:sz w:val="24"/>
          <w:szCs w:val="24"/>
        </w:rPr>
        <w:t xml:space="preserve"> agree</w:t>
      </w:r>
      <w:r w:rsidR="007604C2" w:rsidRPr="00386C30">
        <w:rPr>
          <w:rFonts w:ascii="Palatino Linotype" w:hAnsi="Palatino Linotype"/>
          <w:sz w:val="24"/>
          <w:szCs w:val="24"/>
        </w:rPr>
        <w:t>ment</w:t>
      </w:r>
      <w:r w:rsidRPr="00386C30">
        <w:rPr>
          <w:rFonts w:ascii="Palatino Linotype" w:hAnsi="Palatino Linotype"/>
          <w:sz w:val="24"/>
          <w:szCs w:val="24"/>
        </w:rPr>
        <w:t xml:space="preserve"> that they do or will benefit from the pro bono experience.</w:t>
      </w:r>
    </w:p>
    <w:p w:rsidR="00C6002F" w:rsidRPr="00386C30" w:rsidRDefault="00C6002F" w:rsidP="00386C30">
      <w:pPr>
        <w:spacing w:before="240" w:after="240" w:line="480" w:lineRule="auto"/>
        <w:jc w:val="both"/>
        <w:rPr>
          <w:rFonts w:ascii="Palatino Linotype" w:hAnsi="Palatino Linotype"/>
          <w:sz w:val="24"/>
          <w:szCs w:val="24"/>
        </w:rPr>
      </w:pPr>
      <w:r w:rsidRPr="00386C30">
        <w:rPr>
          <w:rFonts w:ascii="Palatino Linotype" w:hAnsi="Palatino Linotype"/>
          <w:sz w:val="24"/>
          <w:szCs w:val="24"/>
        </w:rPr>
        <w:t xml:space="preserve">When considering the altruistic benefits, respondents who had not undertaken any pro bono work did not really consider these benefits to be an issue, providing neutral responses to the statements.  However, respondents who had undertaken pro bono work at law school did report a change in attitude.  They strongly agreed that pro bono work had increased their awareness of social and economic issues.  They also agreed that pro bono work had changed their perception of social and economic issues.  This is indicative that whilst students may not undertake pro bono work for altruistic reasons, the work they carry out can </w:t>
      </w:r>
      <w:r w:rsidR="007604C2" w:rsidRPr="00386C30">
        <w:rPr>
          <w:rFonts w:ascii="Palatino Linotype" w:hAnsi="Palatino Linotype"/>
          <w:sz w:val="24"/>
          <w:szCs w:val="24"/>
        </w:rPr>
        <w:t xml:space="preserve">potentially </w:t>
      </w:r>
      <w:r w:rsidRPr="00386C30">
        <w:rPr>
          <w:rFonts w:ascii="Palatino Linotype" w:hAnsi="Palatino Linotype"/>
          <w:sz w:val="24"/>
          <w:szCs w:val="24"/>
        </w:rPr>
        <w:t xml:space="preserve">influence their attitudes going forwards.  Whilst the primary motivation for engaging in pro </w:t>
      </w:r>
      <w:r w:rsidRPr="00386C30">
        <w:rPr>
          <w:rFonts w:ascii="Palatino Linotype" w:hAnsi="Palatino Linotype"/>
          <w:sz w:val="24"/>
          <w:szCs w:val="24"/>
        </w:rPr>
        <w:lastRenderedPageBreak/>
        <w:t>bono activity is personal, it is plausible to conclude that students</w:t>
      </w:r>
      <w:r w:rsidR="007604C2" w:rsidRPr="00386C30">
        <w:rPr>
          <w:rFonts w:ascii="Palatino Linotype" w:hAnsi="Palatino Linotype"/>
          <w:sz w:val="24"/>
          <w:szCs w:val="24"/>
        </w:rPr>
        <w:t>,</w:t>
      </w:r>
      <w:r w:rsidRPr="00386C30">
        <w:rPr>
          <w:rFonts w:ascii="Palatino Linotype" w:hAnsi="Palatino Linotype"/>
          <w:sz w:val="24"/>
          <w:szCs w:val="24"/>
        </w:rPr>
        <w:t xml:space="preserve"> through exposure to social issues</w:t>
      </w:r>
      <w:r w:rsidR="007604C2" w:rsidRPr="00386C30">
        <w:rPr>
          <w:rFonts w:ascii="Palatino Linotype" w:hAnsi="Palatino Linotype"/>
          <w:sz w:val="24"/>
          <w:szCs w:val="24"/>
        </w:rPr>
        <w:t>,</w:t>
      </w:r>
      <w:r w:rsidRPr="00386C30">
        <w:rPr>
          <w:rFonts w:ascii="Palatino Linotype" w:hAnsi="Palatino Linotype"/>
          <w:sz w:val="24"/>
          <w:szCs w:val="24"/>
        </w:rPr>
        <w:t xml:space="preserve"> do gain a degree of altruistic appreciation.</w:t>
      </w:r>
    </w:p>
    <w:p w:rsidR="00C6002F" w:rsidRPr="00386C30" w:rsidRDefault="003D243B" w:rsidP="00386C30">
      <w:pPr>
        <w:spacing w:before="240" w:after="240" w:line="480" w:lineRule="auto"/>
        <w:jc w:val="both"/>
        <w:rPr>
          <w:rFonts w:ascii="Palatino Linotype" w:hAnsi="Palatino Linotype"/>
          <w:sz w:val="24"/>
          <w:szCs w:val="24"/>
        </w:rPr>
      </w:pPr>
      <w:r w:rsidRPr="00386C30">
        <w:rPr>
          <w:rFonts w:ascii="Palatino Linotype" w:hAnsi="Palatino Linotype"/>
          <w:sz w:val="24"/>
          <w:szCs w:val="24"/>
        </w:rPr>
        <w:t>W</w:t>
      </w:r>
      <w:r w:rsidR="00C6002F" w:rsidRPr="00386C30">
        <w:rPr>
          <w:rFonts w:ascii="Palatino Linotype" w:hAnsi="Palatino Linotype"/>
          <w:sz w:val="24"/>
          <w:szCs w:val="24"/>
        </w:rPr>
        <w:t>hil</w:t>
      </w:r>
      <w:r w:rsidRPr="00386C30">
        <w:rPr>
          <w:rFonts w:ascii="Palatino Linotype" w:hAnsi="Palatino Linotype"/>
          <w:sz w:val="24"/>
          <w:szCs w:val="24"/>
        </w:rPr>
        <w:t>st many</w:t>
      </w:r>
      <w:r w:rsidR="00C6002F" w:rsidRPr="00386C30">
        <w:rPr>
          <w:rFonts w:ascii="Palatino Linotype" w:hAnsi="Palatino Linotype"/>
          <w:sz w:val="24"/>
          <w:szCs w:val="24"/>
        </w:rPr>
        <w:t xml:space="preserve"> </w:t>
      </w:r>
      <w:r w:rsidRPr="00386C30">
        <w:rPr>
          <w:rFonts w:ascii="Palatino Linotype" w:hAnsi="Palatino Linotype"/>
          <w:sz w:val="24"/>
          <w:szCs w:val="24"/>
        </w:rPr>
        <w:t>law s</w:t>
      </w:r>
      <w:r w:rsidR="00C6002F" w:rsidRPr="00386C30">
        <w:rPr>
          <w:rFonts w:ascii="Palatino Linotype" w:hAnsi="Palatino Linotype"/>
          <w:sz w:val="24"/>
          <w:szCs w:val="24"/>
        </w:rPr>
        <w:t xml:space="preserve">chools engage primarily in </w:t>
      </w:r>
      <w:r w:rsidR="004B669A" w:rsidRPr="00386C30">
        <w:rPr>
          <w:rFonts w:ascii="Palatino Linotype" w:hAnsi="Palatino Linotype"/>
          <w:sz w:val="24"/>
          <w:szCs w:val="24"/>
        </w:rPr>
        <w:t xml:space="preserve">clinical legal education and </w:t>
      </w:r>
      <w:r w:rsidR="00C6002F" w:rsidRPr="00386C30">
        <w:rPr>
          <w:rFonts w:ascii="Palatino Linotype" w:hAnsi="Palatino Linotype"/>
          <w:sz w:val="24"/>
          <w:szCs w:val="24"/>
        </w:rPr>
        <w:t>pro bono work due to the educational value, there are other benefits associated with the provision of pro bono work for society as a whole.</w:t>
      </w:r>
    </w:p>
    <w:p w:rsidR="00C6002F" w:rsidRPr="00386C30" w:rsidRDefault="00C6002F" w:rsidP="00386C30">
      <w:pPr>
        <w:spacing w:before="240" w:after="240" w:line="480" w:lineRule="auto"/>
        <w:jc w:val="both"/>
        <w:rPr>
          <w:rFonts w:ascii="Palatino Linotype" w:hAnsi="Palatino Linotype"/>
          <w:sz w:val="24"/>
          <w:szCs w:val="24"/>
        </w:rPr>
      </w:pPr>
      <w:r w:rsidRPr="00386C30">
        <w:rPr>
          <w:rFonts w:ascii="Palatino Linotype" w:hAnsi="Palatino Linotype"/>
          <w:sz w:val="24"/>
          <w:szCs w:val="24"/>
        </w:rPr>
        <w:t xml:space="preserve">The data suggests that it is the personal benefits of </w:t>
      </w:r>
      <w:r w:rsidR="004B669A" w:rsidRPr="00386C30">
        <w:rPr>
          <w:rFonts w:ascii="Palatino Linotype" w:hAnsi="Palatino Linotype"/>
          <w:sz w:val="24"/>
          <w:szCs w:val="24"/>
        </w:rPr>
        <w:t xml:space="preserve">clinical legal education and </w:t>
      </w:r>
      <w:r w:rsidRPr="00386C30">
        <w:rPr>
          <w:rFonts w:ascii="Palatino Linotype" w:hAnsi="Palatino Linotype"/>
          <w:sz w:val="24"/>
          <w:szCs w:val="24"/>
        </w:rPr>
        <w:t>pro bono work that students value more than any social benefit.  When asked to rank statements, respondents ranked enhanced employment</w:t>
      </w:r>
      <w:r w:rsidR="003D243B" w:rsidRPr="00386C30">
        <w:rPr>
          <w:rStyle w:val="FootnoteReference"/>
          <w:rFonts w:ascii="Palatino Linotype" w:hAnsi="Palatino Linotype"/>
          <w:sz w:val="24"/>
          <w:szCs w:val="24"/>
        </w:rPr>
        <w:footnoteReference w:id="62"/>
      </w:r>
      <w:r w:rsidRPr="00386C30">
        <w:rPr>
          <w:rFonts w:ascii="Palatino Linotype" w:hAnsi="Palatino Linotype"/>
          <w:sz w:val="24"/>
          <w:szCs w:val="24"/>
        </w:rPr>
        <w:t xml:space="preserve"> and enhanced </w:t>
      </w:r>
      <w:r w:rsidR="003D243B" w:rsidRPr="00386C30">
        <w:rPr>
          <w:rFonts w:ascii="Palatino Linotype" w:hAnsi="Palatino Linotype"/>
          <w:sz w:val="24"/>
          <w:szCs w:val="24"/>
        </w:rPr>
        <w:t xml:space="preserve">legal </w:t>
      </w:r>
      <w:r w:rsidRPr="00386C30">
        <w:rPr>
          <w:rFonts w:ascii="Palatino Linotype" w:hAnsi="Palatino Linotype"/>
          <w:sz w:val="24"/>
          <w:szCs w:val="24"/>
        </w:rPr>
        <w:t>skills</w:t>
      </w:r>
      <w:r w:rsidR="00D24812" w:rsidRPr="00386C30">
        <w:rPr>
          <w:rStyle w:val="FootnoteReference"/>
          <w:rFonts w:ascii="Palatino Linotype" w:hAnsi="Palatino Linotype"/>
          <w:sz w:val="24"/>
          <w:szCs w:val="24"/>
        </w:rPr>
        <w:footnoteReference w:id="63"/>
      </w:r>
      <w:r w:rsidRPr="00386C30">
        <w:rPr>
          <w:rFonts w:ascii="Palatino Linotype" w:hAnsi="Palatino Linotype"/>
          <w:sz w:val="24"/>
          <w:szCs w:val="24"/>
        </w:rPr>
        <w:t xml:space="preserve"> as the most important reasons to undertake pro bono work at law school.  </w:t>
      </w:r>
      <w:r w:rsidR="00D24812" w:rsidRPr="00386C30">
        <w:rPr>
          <w:rFonts w:ascii="Palatino Linotype" w:hAnsi="Palatino Linotype"/>
          <w:sz w:val="24"/>
          <w:szCs w:val="24"/>
        </w:rPr>
        <w:t>Statements reflecting altruistic motives, such as improving awareness of social issues</w:t>
      </w:r>
      <w:r w:rsidR="00D24812" w:rsidRPr="00386C30">
        <w:rPr>
          <w:rStyle w:val="FootnoteReference"/>
          <w:rFonts w:ascii="Palatino Linotype" w:hAnsi="Palatino Linotype"/>
          <w:sz w:val="24"/>
          <w:szCs w:val="24"/>
        </w:rPr>
        <w:footnoteReference w:id="64"/>
      </w:r>
      <w:r w:rsidR="00D24812" w:rsidRPr="00386C30">
        <w:rPr>
          <w:rFonts w:ascii="Palatino Linotype" w:hAnsi="Palatino Linotype"/>
          <w:sz w:val="24"/>
          <w:szCs w:val="24"/>
        </w:rPr>
        <w:t xml:space="preserve"> and encourage future involvement in pro bono activity</w:t>
      </w:r>
      <w:r w:rsidR="00D24812" w:rsidRPr="00386C30">
        <w:rPr>
          <w:rStyle w:val="FootnoteReference"/>
          <w:rFonts w:ascii="Palatino Linotype" w:hAnsi="Palatino Linotype"/>
          <w:sz w:val="24"/>
          <w:szCs w:val="24"/>
        </w:rPr>
        <w:footnoteReference w:id="65"/>
      </w:r>
      <w:r w:rsidR="00D24812" w:rsidRPr="00386C30">
        <w:rPr>
          <w:rFonts w:ascii="Palatino Linotype" w:hAnsi="Palatino Linotype"/>
          <w:sz w:val="24"/>
          <w:szCs w:val="24"/>
        </w:rPr>
        <w:t xml:space="preserve"> were ranked lower by both groups.  </w:t>
      </w:r>
    </w:p>
    <w:p w:rsidR="00C6002F" w:rsidRPr="00386C30" w:rsidRDefault="00C6002F" w:rsidP="00386C30">
      <w:pPr>
        <w:spacing w:before="240" w:after="240" w:line="480" w:lineRule="auto"/>
        <w:jc w:val="both"/>
        <w:rPr>
          <w:rFonts w:ascii="Palatino Linotype" w:hAnsi="Palatino Linotype"/>
          <w:sz w:val="24"/>
          <w:szCs w:val="24"/>
        </w:rPr>
      </w:pPr>
      <w:r w:rsidRPr="00386C30">
        <w:rPr>
          <w:rFonts w:ascii="Palatino Linotype" w:hAnsi="Palatino Linotype"/>
          <w:sz w:val="24"/>
          <w:szCs w:val="24"/>
        </w:rPr>
        <w:t xml:space="preserve">Whilst the work may increase a student’s social awareness, it may not influence their future behaviour.  </w:t>
      </w:r>
      <w:r w:rsidR="007C56F5" w:rsidRPr="00386C30">
        <w:rPr>
          <w:rFonts w:ascii="Palatino Linotype" w:hAnsi="Palatino Linotype"/>
          <w:sz w:val="24"/>
          <w:szCs w:val="24"/>
        </w:rPr>
        <w:t>Respondents</w:t>
      </w:r>
      <w:r w:rsidR="000F4F80" w:rsidRPr="00386C30">
        <w:rPr>
          <w:rFonts w:ascii="Palatino Linotype" w:hAnsi="Palatino Linotype"/>
          <w:sz w:val="24"/>
          <w:szCs w:val="24"/>
        </w:rPr>
        <w:t>,</w:t>
      </w:r>
      <w:r w:rsidR="00D24812" w:rsidRPr="00386C30">
        <w:rPr>
          <w:rFonts w:ascii="Palatino Linotype" w:hAnsi="Palatino Linotype"/>
          <w:sz w:val="24"/>
          <w:szCs w:val="24"/>
        </w:rPr>
        <w:t xml:space="preserve"> whether having </w:t>
      </w:r>
      <w:r w:rsidR="007C56F5" w:rsidRPr="00386C30">
        <w:rPr>
          <w:rFonts w:ascii="Palatino Linotype" w:hAnsi="Palatino Linotype"/>
          <w:sz w:val="24"/>
          <w:szCs w:val="24"/>
        </w:rPr>
        <w:t>carried out</w:t>
      </w:r>
      <w:r w:rsidR="00D24812" w:rsidRPr="00386C30">
        <w:rPr>
          <w:rFonts w:ascii="Palatino Linotype" w:hAnsi="Palatino Linotype"/>
          <w:sz w:val="24"/>
          <w:szCs w:val="24"/>
        </w:rPr>
        <w:t xml:space="preserve"> pro bono work or not at law school,</w:t>
      </w:r>
      <w:r w:rsidRPr="00386C30">
        <w:rPr>
          <w:rFonts w:ascii="Palatino Linotype" w:hAnsi="Palatino Linotype"/>
          <w:sz w:val="24"/>
          <w:szCs w:val="24"/>
        </w:rPr>
        <w:t xml:space="preserve"> were neutral when it came to the statement as to whether they would carry out pro bono work following graduation</w:t>
      </w:r>
      <w:r w:rsidR="007C56F5" w:rsidRPr="00386C30">
        <w:rPr>
          <w:rFonts w:ascii="Palatino Linotype" w:hAnsi="Palatino Linotype"/>
          <w:sz w:val="24"/>
          <w:szCs w:val="24"/>
        </w:rPr>
        <w:t xml:space="preserve"> as shown in </w:t>
      </w:r>
      <w:r w:rsidR="007C56F5" w:rsidRPr="00386C30">
        <w:rPr>
          <w:rFonts w:ascii="Palatino Linotype" w:hAnsi="Palatino Linotype"/>
          <w:i/>
          <w:sz w:val="24"/>
          <w:szCs w:val="24"/>
        </w:rPr>
        <w:t>fig</w:t>
      </w:r>
      <w:r w:rsidR="00E356D4">
        <w:rPr>
          <w:rFonts w:ascii="Palatino Linotype" w:hAnsi="Palatino Linotype"/>
          <w:i/>
          <w:sz w:val="24"/>
          <w:szCs w:val="24"/>
        </w:rPr>
        <w:t>ure</w:t>
      </w:r>
      <w:r w:rsidR="007C56F5" w:rsidRPr="00386C30">
        <w:rPr>
          <w:rFonts w:ascii="Palatino Linotype" w:hAnsi="Palatino Linotype"/>
          <w:i/>
          <w:sz w:val="24"/>
          <w:szCs w:val="24"/>
        </w:rPr>
        <w:t xml:space="preserve"> </w:t>
      </w:r>
      <w:r w:rsidR="000F4F80" w:rsidRPr="00386C30">
        <w:rPr>
          <w:rFonts w:ascii="Palatino Linotype" w:hAnsi="Palatino Linotype"/>
          <w:i/>
          <w:sz w:val="24"/>
          <w:szCs w:val="24"/>
        </w:rPr>
        <w:t>1</w:t>
      </w:r>
      <w:r w:rsidR="007C56F5" w:rsidRPr="00386C30">
        <w:rPr>
          <w:rFonts w:ascii="Palatino Linotype" w:hAnsi="Palatino Linotype"/>
          <w:sz w:val="24"/>
          <w:szCs w:val="24"/>
        </w:rPr>
        <w:t xml:space="preserve"> above</w:t>
      </w:r>
      <w:r w:rsidRPr="00386C30">
        <w:rPr>
          <w:rFonts w:ascii="Palatino Linotype" w:hAnsi="Palatino Linotype"/>
          <w:sz w:val="24"/>
          <w:szCs w:val="24"/>
        </w:rPr>
        <w:t xml:space="preserve">.  As such, this suggests that the benefit to society as a whole may be of limited value.  The provision of pro bono </w:t>
      </w:r>
      <w:r w:rsidR="007F36DB" w:rsidRPr="00386C30">
        <w:rPr>
          <w:rFonts w:ascii="Palatino Linotype" w:hAnsi="Palatino Linotype"/>
          <w:sz w:val="24"/>
          <w:szCs w:val="24"/>
        </w:rPr>
        <w:t xml:space="preserve">and clinical programmes </w:t>
      </w:r>
      <w:r w:rsidRPr="00386C30">
        <w:rPr>
          <w:rFonts w:ascii="Palatino Linotype" w:hAnsi="Palatino Linotype"/>
          <w:sz w:val="24"/>
          <w:szCs w:val="24"/>
        </w:rPr>
        <w:t xml:space="preserve">at law school is unlikely to result in a generation of </w:t>
      </w:r>
      <w:r w:rsidRPr="00386C30">
        <w:rPr>
          <w:rFonts w:ascii="Palatino Linotype" w:hAnsi="Palatino Linotype"/>
          <w:sz w:val="24"/>
          <w:szCs w:val="24"/>
        </w:rPr>
        <w:lastRenderedPageBreak/>
        <w:t>altruistic lawyers providing free legal advice in the future.  However, by utilising the educational value of this activity, law schools can go some way towards meeting the needs of society themselves.  In essence, if more law schools adopt a mandatory pro bono</w:t>
      </w:r>
      <w:r w:rsidR="007F36DB" w:rsidRPr="00386C30">
        <w:rPr>
          <w:rFonts w:ascii="Palatino Linotype" w:hAnsi="Palatino Linotype"/>
          <w:sz w:val="24"/>
          <w:szCs w:val="24"/>
        </w:rPr>
        <w:t>/clinical</w:t>
      </w:r>
      <w:r w:rsidRPr="00386C30">
        <w:rPr>
          <w:rFonts w:ascii="Palatino Linotype" w:hAnsi="Palatino Linotype"/>
          <w:sz w:val="24"/>
          <w:szCs w:val="24"/>
        </w:rPr>
        <w:t xml:space="preserve"> programme, this will create capacity for the public to obtain free legal advice from the law school itself and as such go some way towards filling the legal advice g</w:t>
      </w:r>
      <w:r w:rsidR="007C56F5" w:rsidRPr="00386C30">
        <w:rPr>
          <w:rFonts w:ascii="Palatino Linotype" w:hAnsi="Palatino Linotype"/>
          <w:sz w:val="24"/>
          <w:szCs w:val="24"/>
        </w:rPr>
        <w:t>ap</w:t>
      </w:r>
      <w:r w:rsidRPr="00386C30">
        <w:rPr>
          <w:rFonts w:ascii="Palatino Linotype" w:hAnsi="Palatino Linotype"/>
          <w:sz w:val="24"/>
          <w:szCs w:val="24"/>
        </w:rPr>
        <w:t xml:space="preserve">. </w:t>
      </w:r>
    </w:p>
    <w:p w:rsidR="00C6002F" w:rsidRPr="00386C30" w:rsidRDefault="00C6002F" w:rsidP="00386C30">
      <w:pPr>
        <w:spacing w:before="240" w:after="240" w:line="480" w:lineRule="auto"/>
        <w:jc w:val="both"/>
        <w:rPr>
          <w:rFonts w:ascii="Palatino Linotype" w:hAnsi="Palatino Linotype"/>
          <w:sz w:val="24"/>
          <w:szCs w:val="24"/>
        </w:rPr>
      </w:pPr>
      <w:r w:rsidRPr="00386C30">
        <w:rPr>
          <w:rFonts w:ascii="Palatino Linotype" w:hAnsi="Palatino Linotype"/>
          <w:sz w:val="24"/>
          <w:szCs w:val="24"/>
        </w:rPr>
        <w:t xml:space="preserve">However, attitudes did differ in relation to whether law schools should offer mandatory or voluntary pro bono opportunities.  Respondents who had not undertaken mandatory pro bono work as part of their programme were neutral as to whether law schools should offer mandatory pro bono programmes.  Respondents who had undertaken pro bono work </w:t>
      </w:r>
      <w:r w:rsidR="006F63C8" w:rsidRPr="00386C30">
        <w:rPr>
          <w:rFonts w:ascii="Palatino Linotype" w:hAnsi="Palatino Linotype"/>
          <w:sz w:val="24"/>
          <w:szCs w:val="24"/>
        </w:rPr>
        <w:t>expressed</w:t>
      </w:r>
      <w:r w:rsidR="00083ABE" w:rsidRPr="00386C30">
        <w:rPr>
          <w:rFonts w:ascii="Palatino Linotype" w:hAnsi="Palatino Linotype"/>
          <w:sz w:val="24"/>
          <w:szCs w:val="24"/>
        </w:rPr>
        <w:t xml:space="preserve"> a </w:t>
      </w:r>
      <w:r w:rsidRPr="00386C30">
        <w:rPr>
          <w:rFonts w:ascii="Palatino Linotype" w:hAnsi="Palatino Linotype"/>
          <w:sz w:val="24"/>
          <w:szCs w:val="24"/>
        </w:rPr>
        <w:t xml:space="preserve">stronger opinion that students should undertake pro bono work as </w:t>
      </w:r>
      <w:r w:rsidR="000F4F80" w:rsidRPr="00386C30">
        <w:rPr>
          <w:rFonts w:ascii="Palatino Linotype" w:hAnsi="Palatino Linotype"/>
          <w:sz w:val="24"/>
          <w:szCs w:val="24"/>
        </w:rPr>
        <w:t xml:space="preserve">a mandatory </w:t>
      </w:r>
      <w:r w:rsidRPr="00386C30">
        <w:rPr>
          <w:rFonts w:ascii="Palatino Linotype" w:hAnsi="Palatino Linotype"/>
          <w:sz w:val="24"/>
          <w:szCs w:val="24"/>
        </w:rPr>
        <w:t xml:space="preserve">part of their programme of study; </w:t>
      </w:r>
      <w:r w:rsidR="000F4F80" w:rsidRPr="00386C30">
        <w:rPr>
          <w:rFonts w:ascii="Palatino Linotype" w:hAnsi="Palatino Linotype"/>
          <w:sz w:val="24"/>
          <w:szCs w:val="24"/>
        </w:rPr>
        <w:t>the difference between</w:t>
      </w:r>
      <w:r w:rsidR="001202D2" w:rsidRPr="00386C30">
        <w:rPr>
          <w:rFonts w:ascii="Palatino Linotype" w:hAnsi="Palatino Linotype"/>
          <w:sz w:val="24"/>
          <w:szCs w:val="24"/>
        </w:rPr>
        <w:t xml:space="preserve"> </w:t>
      </w:r>
      <w:r w:rsidR="000F4F80" w:rsidRPr="00386C30">
        <w:rPr>
          <w:rFonts w:ascii="Palatino Linotype" w:hAnsi="Palatino Linotype"/>
          <w:sz w:val="24"/>
          <w:szCs w:val="24"/>
        </w:rPr>
        <w:t xml:space="preserve">the two groups </w:t>
      </w:r>
      <w:r w:rsidR="002E54E4" w:rsidRPr="00386C30">
        <w:rPr>
          <w:rFonts w:ascii="Palatino Linotype" w:hAnsi="Palatino Linotype"/>
          <w:sz w:val="24"/>
          <w:szCs w:val="24"/>
        </w:rPr>
        <w:t xml:space="preserve">of respondents </w:t>
      </w:r>
      <w:r w:rsidR="000F4F80" w:rsidRPr="00386C30">
        <w:rPr>
          <w:rFonts w:ascii="Palatino Linotype" w:hAnsi="Palatino Linotype"/>
          <w:sz w:val="24"/>
          <w:szCs w:val="24"/>
        </w:rPr>
        <w:t>was</w:t>
      </w:r>
      <w:r w:rsidRPr="00386C30">
        <w:rPr>
          <w:rFonts w:ascii="Palatino Linotype" w:hAnsi="Palatino Linotype"/>
          <w:sz w:val="24"/>
          <w:szCs w:val="24"/>
        </w:rPr>
        <w:t xml:space="preserve"> statistically significant.</w:t>
      </w:r>
      <w:r w:rsidR="007C56F5" w:rsidRPr="00386C30">
        <w:rPr>
          <w:rStyle w:val="FootnoteReference"/>
          <w:rFonts w:ascii="Palatino Linotype" w:hAnsi="Palatino Linotype"/>
          <w:sz w:val="24"/>
          <w:szCs w:val="24"/>
        </w:rPr>
        <w:footnoteReference w:id="66"/>
      </w:r>
      <w:r w:rsidRPr="00386C30">
        <w:rPr>
          <w:rFonts w:ascii="Palatino Linotype" w:hAnsi="Palatino Linotype"/>
          <w:sz w:val="24"/>
          <w:szCs w:val="24"/>
        </w:rPr>
        <w:t xml:space="preserve">  </w:t>
      </w:r>
      <w:r w:rsidR="00C26DDE" w:rsidRPr="00386C30">
        <w:rPr>
          <w:rFonts w:ascii="Palatino Linotype" w:hAnsi="Palatino Linotype"/>
          <w:sz w:val="24"/>
          <w:szCs w:val="24"/>
        </w:rPr>
        <w:t xml:space="preserve">Whilst the median suggested both groups agreed that there should be voluntary pro bono opportunities at law school, those respondents who had not undertaken a mandatory programme </w:t>
      </w:r>
      <w:r w:rsidR="006F63C8" w:rsidRPr="00386C30">
        <w:rPr>
          <w:rFonts w:ascii="Palatino Linotype" w:hAnsi="Palatino Linotype"/>
          <w:sz w:val="24"/>
          <w:szCs w:val="24"/>
        </w:rPr>
        <w:t xml:space="preserve">held a </w:t>
      </w:r>
      <w:r w:rsidR="000F4F80" w:rsidRPr="00386C30">
        <w:rPr>
          <w:rFonts w:ascii="Palatino Linotype" w:hAnsi="Palatino Linotype"/>
          <w:sz w:val="24"/>
          <w:szCs w:val="24"/>
        </w:rPr>
        <w:t xml:space="preserve">stronger </w:t>
      </w:r>
      <w:r w:rsidR="00C26DDE" w:rsidRPr="00386C30">
        <w:rPr>
          <w:rFonts w:ascii="Palatino Linotype" w:hAnsi="Palatino Linotype"/>
          <w:sz w:val="24"/>
          <w:szCs w:val="24"/>
        </w:rPr>
        <w:t>opinion</w:t>
      </w:r>
      <w:r w:rsidR="000F4F80" w:rsidRPr="00386C30">
        <w:rPr>
          <w:rFonts w:ascii="Palatino Linotype" w:hAnsi="Palatino Linotype"/>
          <w:sz w:val="24"/>
          <w:szCs w:val="24"/>
        </w:rPr>
        <w:t xml:space="preserve">.  </w:t>
      </w:r>
      <w:r w:rsidR="00C26DDE" w:rsidRPr="00386C30">
        <w:rPr>
          <w:rFonts w:ascii="Palatino Linotype" w:hAnsi="Palatino Linotype"/>
          <w:sz w:val="24"/>
          <w:szCs w:val="24"/>
        </w:rPr>
        <w:t>However, this difference was not statistically significant</w:t>
      </w:r>
      <w:r w:rsidR="00C26DDE" w:rsidRPr="00386C30">
        <w:rPr>
          <w:rStyle w:val="FootnoteReference"/>
          <w:rFonts w:ascii="Palatino Linotype" w:hAnsi="Palatino Linotype"/>
          <w:sz w:val="24"/>
          <w:szCs w:val="24"/>
        </w:rPr>
        <w:footnoteReference w:id="67"/>
      </w:r>
      <w:r w:rsidR="00C26DDE" w:rsidRPr="00386C30">
        <w:rPr>
          <w:rFonts w:ascii="Palatino Linotype" w:hAnsi="Palatino Linotype"/>
          <w:sz w:val="24"/>
          <w:szCs w:val="24"/>
        </w:rPr>
        <w:t>.</w:t>
      </w:r>
      <w:r w:rsidR="00147A69">
        <w:rPr>
          <w:rFonts w:ascii="Palatino Linotype" w:hAnsi="Palatino Linotype"/>
          <w:sz w:val="24"/>
          <w:szCs w:val="24"/>
        </w:rPr>
        <w:t xml:space="preserve"> </w:t>
      </w:r>
      <w:r w:rsidRPr="00386C30">
        <w:rPr>
          <w:rFonts w:ascii="Palatino Linotype" w:hAnsi="Palatino Linotype"/>
          <w:sz w:val="24"/>
          <w:szCs w:val="24"/>
        </w:rPr>
        <w:t xml:space="preserve">The data suggests that </w:t>
      </w:r>
      <w:r w:rsidR="007C56F5" w:rsidRPr="00386C30">
        <w:rPr>
          <w:rFonts w:ascii="Palatino Linotype" w:hAnsi="Palatino Linotype"/>
          <w:sz w:val="24"/>
          <w:szCs w:val="24"/>
        </w:rPr>
        <w:t xml:space="preserve">whilst </w:t>
      </w:r>
      <w:r w:rsidRPr="00386C30">
        <w:rPr>
          <w:rFonts w:ascii="Palatino Linotype" w:hAnsi="Palatino Linotype"/>
          <w:sz w:val="24"/>
          <w:szCs w:val="24"/>
        </w:rPr>
        <w:t xml:space="preserve">students do value pro bono work within their programme of study.  Students who have not </w:t>
      </w:r>
      <w:r w:rsidR="00C26DDE" w:rsidRPr="00386C30">
        <w:rPr>
          <w:rFonts w:ascii="Palatino Linotype" w:hAnsi="Palatino Linotype"/>
          <w:sz w:val="24"/>
          <w:szCs w:val="24"/>
        </w:rPr>
        <w:t xml:space="preserve">had </w:t>
      </w:r>
      <w:r w:rsidRPr="00386C30">
        <w:rPr>
          <w:rFonts w:ascii="Palatino Linotype" w:hAnsi="Palatino Linotype"/>
          <w:sz w:val="24"/>
          <w:szCs w:val="24"/>
        </w:rPr>
        <w:t xml:space="preserve">the opportunity to undertake pro bono work want voluntary </w:t>
      </w:r>
      <w:r w:rsidRPr="00386C30">
        <w:rPr>
          <w:rFonts w:ascii="Palatino Linotype" w:hAnsi="Palatino Linotype"/>
          <w:sz w:val="24"/>
          <w:szCs w:val="24"/>
        </w:rPr>
        <w:lastRenderedPageBreak/>
        <w:t xml:space="preserve">opportunities to do so, whilst students who have done pro bono work state that students should do so.  It is likely that this is due to the personal benefits that the students gain as a consequence of pro bono work rather than </w:t>
      </w:r>
      <w:r w:rsidR="007C56F5" w:rsidRPr="00386C30">
        <w:rPr>
          <w:rFonts w:ascii="Palatino Linotype" w:hAnsi="Palatino Linotype"/>
          <w:sz w:val="24"/>
          <w:szCs w:val="24"/>
        </w:rPr>
        <w:t>the</w:t>
      </w:r>
      <w:r w:rsidRPr="00386C30">
        <w:rPr>
          <w:rFonts w:ascii="Palatino Linotype" w:hAnsi="Palatino Linotype"/>
          <w:sz w:val="24"/>
          <w:szCs w:val="24"/>
        </w:rPr>
        <w:t xml:space="preserve"> social benefit </w:t>
      </w:r>
      <w:r w:rsidR="007C56F5" w:rsidRPr="00386C30">
        <w:rPr>
          <w:rFonts w:ascii="Palatino Linotype" w:hAnsi="Palatino Linotype"/>
          <w:sz w:val="24"/>
          <w:szCs w:val="24"/>
        </w:rPr>
        <w:t>of</w:t>
      </w:r>
      <w:r w:rsidRPr="00386C30">
        <w:rPr>
          <w:rFonts w:ascii="Palatino Linotype" w:hAnsi="Palatino Linotype"/>
          <w:sz w:val="24"/>
          <w:szCs w:val="24"/>
        </w:rPr>
        <w:t xml:space="preserve"> such work.</w:t>
      </w:r>
    </w:p>
    <w:p w:rsidR="00C6002F" w:rsidRDefault="00C6002F" w:rsidP="00386C30">
      <w:pPr>
        <w:spacing w:before="240" w:after="240" w:line="480" w:lineRule="auto"/>
        <w:jc w:val="both"/>
        <w:rPr>
          <w:rFonts w:ascii="Palatino Linotype" w:hAnsi="Palatino Linotype"/>
          <w:sz w:val="24"/>
          <w:szCs w:val="24"/>
        </w:rPr>
      </w:pPr>
      <w:r w:rsidRPr="00386C30">
        <w:rPr>
          <w:rFonts w:ascii="Palatino Linotype" w:hAnsi="Palatino Linotype"/>
          <w:sz w:val="24"/>
          <w:szCs w:val="24"/>
        </w:rPr>
        <w:t xml:space="preserve">The data appears to be consistent with the earlier studies </w:t>
      </w:r>
      <w:r w:rsidR="00B40E71" w:rsidRPr="00386C30">
        <w:rPr>
          <w:rFonts w:ascii="Palatino Linotype" w:hAnsi="Palatino Linotype"/>
          <w:sz w:val="24"/>
          <w:szCs w:val="24"/>
        </w:rPr>
        <w:t xml:space="preserve">carried out by </w:t>
      </w:r>
      <w:proofErr w:type="spellStart"/>
      <w:r w:rsidR="00B40E71" w:rsidRPr="00386C30">
        <w:rPr>
          <w:rFonts w:ascii="Palatino Linotype" w:hAnsi="Palatino Linotype"/>
          <w:sz w:val="24"/>
          <w:szCs w:val="24"/>
        </w:rPr>
        <w:t>Granfield</w:t>
      </w:r>
      <w:proofErr w:type="spellEnd"/>
      <w:r w:rsidR="00B40E71" w:rsidRPr="00386C30">
        <w:rPr>
          <w:rFonts w:ascii="Palatino Linotype" w:hAnsi="Palatino Linotype"/>
          <w:sz w:val="24"/>
          <w:szCs w:val="24"/>
        </w:rPr>
        <w:t xml:space="preserve"> and Rhode</w:t>
      </w:r>
      <w:r w:rsidRPr="00386C30">
        <w:rPr>
          <w:rFonts w:ascii="Palatino Linotype" w:hAnsi="Palatino Linotype"/>
          <w:sz w:val="24"/>
          <w:szCs w:val="24"/>
        </w:rPr>
        <w:t xml:space="preserve">.  In particular, it is noted that the data suggests students are not more inclined to engage in future pro bono work if they have participated in pro bono activity whilst at law school. </w:t>
      </w:r>
    </w:p>
    <w:p w:rsidR="00406BE3" w:rsidRPr="00386C30" w:rsidRDefault="00406BE3" w:rsidP="00386C30">
      <w:pPr>
        <w:spacing w:before="240" w:after="240" w:line="480" w:lineRule="auto"/>
        <w:jc w:val="both"/>
        <w:rPr>
          <w:rFonts w:ascii="Palatino Linotype" w:hAnsi="Palatino Linotype"/>
          <w:sz w:val="24"/>
          <w:szCs w:val="24"/>
        </w:rPr>
      </w:pPr>
    </w:p>
    <w:p w:rsidR="001202D2" w:rsidRPr="00386C30" w:rsidRDefault="00406BE3" w:rsidP="00386C30">
      <w:pPr>
        <w:spacing w:before="240" w:after="240" w:line="480" w:lineRule="auto"/>
        <w:jc w:val="both"/>
        <w:rPr>
          <w:rFonts w:ascii="Palatino Linotype" w:hAnsi="Palatino Linotype"/>
          <w:sz w:val="24"/>
          <w:szCs w:val="24"/>
        </w:rPr>
      </w:pPr>
      <w:r w:rsidRPr="00406BE3">
        <w:rPr>
          <w:rFonts w:ascii="Palatino Linotype" w:hAnsi="Palatino Linotype"/>
          <w:sz w:val="24"/>
          <w:szCs w:val="24"/>
        </w:rPr>
        <w:t>LIMITATIONS</w:t>
      </w:r>
    </w:p>
    <w:p w:rsidR="003B498E" w:rsidRPr="00406BE3" w:rsidRDefault="003B498E" w:rsidP="00386C30">
      <w:pPr>
        <w:spacing w:before="240" w:after="240" w:line="480" w:lineRule="auto"/>
        <w:jc w:val="both"/>
        <w:rPr>
          <w:rFonts w:ascii="Palatino Linotype" w:hAnsi="Palatino Linotype"/>
          <w:sz w:val="24"/>
          <w:szCs w:val="24"/>
        </w:rPr>
      </w:pPr>
      <w:r w:rsidRPr="00386C30">
        <w:rPr>
          <w:rFonts w:ascii="Palatino Linotype" w:hAnsi="Palatino Linotype"/>
          <w:sz w:val="24"/>
          <w:szCs w:val="24"/>
        </w:rPr>
        <w:t>The low response rate is a clear limitation in relation to this study.  The principle issue relates to external validity of the results as clearly it is difficult to generalise to results across all students enrolled on the M Law exempting degree.  As Norman points out, ‘[</w:t>
      </w:r>
      <w:proofErr w:type="spellStart"/>
      <w:r w:rsidRPr="00386C30">
        <w:rPr>
          <w:rFonts w:ascii="Palatino Linotype" w:hAnsi="Palatino Linotype"/>
          <w:sz w:val="24"/>
          <w:szCs w:val="24"/>
        </w:rPr>
        <w:t>i</w:t>
      </w:r>
      <w:proofErr w:type="spellEnd"/>
      <w:r w:rsidRPr="00386C30">
        <w:rPr>
          <w:rFonts w:ascii="Palatino Linotype" w:hAnsi="Palatino Linotype"/>
          <w:sz w:val="24"/>
          <w:szCs w:val="24"/>
        </w:rPr>
        <w:t xml:space="preserve">]t is difficult to argue that 2 </w:t>
      </w:r>
      <w:r w:rsidR="00406BE3" w:rsidRPr="00406BE3">
        <w:rPr>
          <w:rFonts w:ascii="Palatino Linotype" w:hAnsi="Palatino Linotype"/>
          <w:sz w:val="24"/>
          <w:szCs w:val="24"/>
        </w:rPr>
        <w:t>physicians</w:t>
      </w:r>
      <w:r w:rsidRPr="00386C30">
        <w:rPr>
          <w:rFonts w:ascii="Palatino Linotype" w:hAnsi="Palatino Linotype"/>
          <w:sz w:val="24"/>
          <w:szCs w:val="24"/>
        </w:rPr>
        <w:t xml:space="preserve"> or 3 nursing students are representative of anything…’</w:t>
      </w:r>
      <w:r w:rsidRPr="00386C30">
        <w:rPr>
          <w:rStyle w:val="FootnoteReference"/>
          <w:rFonts w:ascii="Palatino Linotype" w:hAnsi="Palatino Linotype"/>
          <w:sz w:val="24"/>
          <w:szCs w:val="24"/>
        </w:rPr>
        <w:footnoteReference w:id="68"/>
      </w:r>
      <w:r w:rsidRPr="00386C30">
        <w:rPr>
          <w:rFonts w:ascii="Palatino Linotype" w:hAnsi="Palatino Linotype"/>
          <w:sz w:val="24"/>
          <w:szCs w:val="24"/>
        </w:rPr>
        <w:t xml:space="preserve">  However, this study does not purport to generalise the views of all students on the M Law Exempting degree.  This study is principally concerned with establishing whether there is a link between pro bono engagement in law school and the likelihood of future pro bono activity.  As this research has elicited a similar </w:t>
      </w:r>
      <w:r w:rsidRPr="00386C30">
        <w:rPr>
          <w:rFonts w:ascii="Palatino Linotype" w:hAnsi="Palatino Linotype"/>
          <w:sz w:val="24"/>
          <w:szCs w:val="24"/>
        </w:rPr>
        <w:lastRenderedPageBreak/>
        <w:t>number of responses from those students engaged in pro bono activity, and those students who are yet to engage in pro bono activity, a comparative descriptive analysis can still be made.</w:t>
      </w:r>
      <w:r w:rsidR="00406BE3">
        <w:rPr>
          <w:rFonts w:ascii="Palatino Linotype" w:hAnsi="Palatino Linotype"/>
          <w:sz w:val="24"/>
          <w:szCs w:val="24"/>
        </w:rPr>
        <w:t xml:space="preserve">  Moreover, whilst it has been suggested that </w:t>
      </w:r>
      <w:r w:rsidR="00406BE3" w:rsidRPr="00406BE3">
        <w:rPr>
          <w:rFonts w:ascii="Palatino Linotype" w:hAnsi="Palatino Linotype"/>
          <w:sz w:val="24"/>
          <w:szCs w:val="24"/>
        </w:rPr>
        <w:t>the response rate was linked to the attitudes of the student towards pro bono</w:t>
      </w:r>
      <w:r w:rsidR="00406BE3">
        <w:rPr>
          <w:rFonts w:ascii="Palatino Linotype" w:hAnsi="Palatino Linotype"/>
          <w:sz w:val="24"/>
          <w:szCs w:val="24"/>
        </w:rPr>
        <w:t xml:space="preserve"> there are a number of alternate and non-exclusive explanations</w:t>
      </w:r>
      <w:r w:rsidR="00406BE3" w:rsidRPr="00406BE3">
        <w:rPr>
          <w:rFonts w:ascii="Palatino Linotype" w:hAnsi="Palatino Linotype"/>
          <w:sz w:val="24"/>
          <w:szCs w:val="24"/>
        </w:rPr>
        <w:t>.  For example, the students may have had other commitments such as exams or coursework.  Alternatively there may have been survey fatigue as they are faced with numerous surveys at the end of the academic year.</w:t>
      </w:r>
    </w:p>
    <w:p w:rsidR="003B498E" w:rsidRPr="00406BE3" w:rsidRDefault="003B498E" w:rsidP="00386C30">
      <w:pPr>
        <w:spacing w:before="240" w:after="240" w:line="480" w:lineRule="auto"/>
        <w:jc w:val="both"/>
        <w:rPr>
          <w:rFonts w:ascii="Palatino Linotype" w:hAnsi="Palatino Linotype"/>
          <w:sz w:val="24"/>
          <w:szCs w:val="24"/>
        </w:rPr>
      </w:pPr>
      <w:r w:rsidRPr="00406BE3">
        <w:rPr>
          <w:rFonts w:ascii="Palatino Linotype" w:hAnsi="Palatino Linotype"/>
          <w:sz w:val="24"/>
          <w:szCs w:val="24"/>
        </w:rPr>
        <w:t>A further limitation of this study is that it relates to students studying on the M Law Exempting degree at Northumbria University.  The author makes no claims regarding the application of the data to other students or institutions and it is recognised that further research is required</w:t>
      </w:r>
      <w:r w:rsidR="00D358B0" w:rsidRPr="00406BE3">
        <w:rPr>
          <w:rFonts w:ascii="Palatino Linotype" w:hAnsi="Palatino Linotype"/>
          <w:sz w:val="24"/>
          <w:szCs w:val="24"/>
        </w:rPr>
        <w:t xml:space="preserve"> although the findings cannot be generalised</w:t>
      </w:r>
      <w:r w:rsidRPr="00406BE3">
        <w:rPr>
          <w:rFonts w:ascii="Palatino Linotype" w:hAnsi="Palatino Linotype"/>
          <w:sz w:val="24"/>
          <w:szCs w:val="24"/>
        </w:rPr>
        <w:t>.</w:t>
      </w:r>
    </w:p>
    <w:p w:rsidR="003B498E" w:rsidRPr="00406BE3" w:rsidRDefault="003B498E" w:rsidP="00386C30">
      <w:pPr>
        <w:spacing w:before="240" w:after="240" w:line="480" w:lineRule="auto"/>
        <w:jc w:val="both"/>
        <w:rPr>
          <w:rFonts w:ascii="Palatino Linotype" w:hAnsi="Palatino Linotype"/>
          <w:sz w:val="24"/>
          <w:szCs w:val="24"/>
        </w:rPr>
      </w:pPr>
      <w:r w:rsidRPr="00406BE3">
        <w:rPr>
          <w:rFonts w:ascii="Palatino Linotype" w:hAnsi="Palatino Linotype"/>
          <w:sz w:val="24"/>
          <w:szCs w:val="24"/>
        </w:rPr>
        <w:t>Norman also highlights a further issue with small sample sizes, namely that there may be concern about normal distributions.</w:t>
      </w:r>
      <w:r w:rsidRPr="00406BE3">
        <w:rPr>
          <w:rStyle w:val="FootnoteReference"/>
          <w:rFonts w:ascii="Palatino Linotype" w:hAnsi="Palatino Linotype"/>
          <w:sz w:val="24"/>
          <w:szCs w:val="24"/>
        </w:rPr>
        <w:footnoteReference w:id="69"/>
      </w:r>
      <w:r w:rsidRPr="00406BE3">
        <w:rPr>
          <w:rFonts w:ascii="Palatino Linotype" w:hAnsi="Palatino Linotype"/>
          <w:sz w:val="24"/>
          <w:szCs w:val="24"/>
        </w:rPr>
        <w:t xml:space="preserve">  By utilising the Mann-Whitney U-test, there were no presumptions that the data was normally distributed in the performance of the statistical analysis.  Likert scales often have skewed or polarised distribution</w:t>
      </w:r>
      <w:r w:rsidRPr="00406BE3">
        <w:rPr>
          <w:rStyle w:val="FootnoteReference"/>
          <w:rFonts w:ascii="Palatino Linotype" w:hAnsi="Palatino Linotype"/>
          <w:sz w:val="24"/>
          <w:szCs w:val="24"/>
        </w:rPr>
        <w:footnoteReference w:id="70"/>
      </w:r>
      <w:r w:rsidRPr="00406BE3">
        <w:rPr>
          <w:rFonts w:ascii="Palatino Linotype" w:hAnsi="Palatino Linotype"/>
          <w:sz w:val="24"/>
          <w:szCs w:val="24"/>
        </w:rPr>
        <w:t xml:space="preserve"> and this was considered at the </w:t>
      </w:r>
      <w:r w:rsidRPr="00406BE3">
        <w:rPr>
          <w:rFonts w:ascii="Palatino Linotype" w:hAnsi="Palatino Linotype"/>
          <w:sz w:val="24"/>
          <w:szCs w:val="24"/>
        </w:rPr>
        <w:lastRenderedPageBreak/>
        <w:t>design stage as outline</w:t>
      </w:r>
      <w:r w:rsidR="005E04C8" w:rsidRPr="00406BE3">
        <w:rPr>
          <w:rFonts w:ascii="Palatino Linotype" w:hAnsi="Palatino Linotype"/>
          <w:sz w:val="24"/>
          <w:szCs w:val="24"/>
        </w:rPr>
        <w:t>d</w:t>
      </w:r>
      <w:r w:rsidRPr="00406BE3">
        <w:rPr>
          <w:rFonts w:ascii="Palatino Linotype" w:hAnsi="Palatino Linotype"/>
          <w:sz w:val="24"/>
          <w:szCs w:val="24"/>
        </w:rPr>
        <w:t xml:space="preserve"> above.  However, by utilising the Mann-Whitney U-test, it is acknowledge</w:t>
      </w:r>
      <w:r w:rsidR="005E04C8" w:rsidRPr="00406BE3">
        <w:rPr>
          <w:rFonts w:ascii="Palatino Linotype" w:hAnsi="Palatino Linotype"/>
          <w:sz w:val="24"/>
          <w:szCs w:val="24"/>
        </w:rPr>
        <w:t>d</w:t>
      </w:r>
      <w:r w:rsidRPr="00406BE3">
        <w:rPr>
          <w:rFonts w:ascii="Palatino Linotype" w:hAnsi="Palatino Linotype"/>
          <w:sz w:val="24"/>
          <w:szCs w:val="24"/>
        </w:rPr>
        <w:t xml:space="preserve"> that it is not as sensitive to statistical significance and therefore it may be that the data has not been tested as robustly as it might otherwise have been.  However, for the reasons outlined above, it was deemed inappropriate to use alternative tests such as the t-test.</w:t>
      </w:r>
    </w:p>
    <w:p w:rsidR="003B498E" w:rsidRPr="00406BE3" w:rsidRDefault="003B498E" w:rsidP="00386C30">
      <w:pPr>
        <w:spacing w:before="240" w:after="240" w:line="480" w:lineRule="auto"/>
        <w:jc w:val="both"/>
        <w:rPr>
          <w:rFonts w:ascii="Palatino Linotype" w:hAnsi="Palatino Linotype"/>
          <w:sz w:val="24"/>
          <w:szCs w:val="24"/>
        </w:rPr>
      </w:pPr>
      <w:r w:rsidRPr="00406BE3">
        <w:rPr>
          <w:rFonts w:ascii="Palatino Linotype" w:hAnsi="Palatino Linotype"/>
          <w:sz w:val="24"/>
          <w:szCs w:val="24"/>
        </w:rPr>
        <w:t xml:space="preserve">There is a further issue relating to the internal validity of the research.  In so far as any causal relationship between the independent and dependent variables are suggested, it is noted that correlation does not necessarily mean causation.  This study merely aims to establish a potential relationship between pro bono activity at law school and the likelihood of future pro bono activity. </w:t>
      </w:r>
    </w:p>
    <w:p w:rsidR="003B498E" w:rsidRDefault="003B498E" w:rsidP="00386C30">
      <w:pPr>
        <w:spacing w:before="240" w:after="240" w:line="480" w:lineRule="auto"/>
        <w:jc w:val="both"/>
        <w:rPr>
          <w:rFonts w:ascii="Palatino Linotype" w:hAnsi="Palatino Linotype"/>
          <w:sz w:val="24"/>
          <w:szCs w:val="24"/>
        </w:rPr>
      </w:pPr>
      <w:r w:rsidRPr="00406BE3">
        <w:rPr>
          <w:rFonts w:ascii="Palatino Linotype" w:hAnsi="Palatino Linotype"/>
          <w:sz w:val="24"/>
          <w:szCs w:val="24"/>
        </w:rPr>
        <w:t xml:space="preserve">A further limitation of this study relates to the reliability of the data, and in particular, reference should be made to the stability.  The author highlights above that identifies respondents answers can change over the course of time.  This is seen as an inherent issue within social research concerning attitudes as individual attitudes can alter over the course of time.  However, with this in mind, the data is consistent with the studies of </w:t>
      </w:r>
      <w:proofErr w:type="spellStart"/>
      <w:r w:rsidRPr="00406BE3">
        <w:rPr>
          <w:rFonts w:ascii="Palatino Linotype" w:hAnsi="Palatino Linotype"/>
          <w:sz w:val="24"/>
          <w:szCs w:val="24"/>
        </w:rPr>
        <w:t>Granfield</w:t>
      </w:r>
      <w:proofErr w:type="spellEnd"/>
      <w:r w:rsidRPr="00406BE3">
        <w:rPr>
          <w:rFonts w:ascii="Palatino Linotype" w:hAnsi="Palatino Linotype"/>
          <w:sz w:val="24"/>
          <w:szCs w:val="24"/>
        </w:rPr>
        <w:t xml:space="preserve"> (2007) and Rhode (2003) suggesting that it should be considered reliable.</w:t>
      </w:r>
    </w:p>
    <w:p w:rsidR="00406BE3" w:rsidRDefault="00406BE3" w:rsidP="00386C30">
      <w:pPr>
        <w:spacing w:before="240" w:after="240" w:line="480" w:lineRule="auto"/>
        <w:jc w:val="both"/>
        <w:rPr>
          <w:rFonts w:ascii="Palatino Linotype" w:hAnsi="Palatino Linotype"/>
          <w:sz w:val="24"/>
          <w:szCs w:val="24"/>
        </w:rPr>
      </w:pPr>
    </w:p>
    <w:p w:rsidR="00406BE3" w:rsidRPr="00406BE3" w:rsidRDefault="00406BE3" w:rsidP="00386C30">
      <w:pPr>
        <w:spacing w:before="240" w:after="240" w:line="480" w:lineRule="auto"/>
        <w:jc w:val="both"/>
        <w:rPr>
          <w:rFonts w:ascii="Palatino Linotype" w:hAnsi="Palatino Linotype"/>
          <w:sz w:val="24"/>
          <w:szCs w:val="24"/>
        </w:rPr>
      </w:pPr>
    </w:p>
    <w:p w:rsidR="00C6002F" w:rsidRPr="00406BE3" w:rsidRDefault="00406BE3" w:rsidP="00386C30">
      <w:pPr>
        <w:pStyle w:val="NoSpacing"/>
        <w:spacing w:before="240" w:after="240" w:line="480" w:lineRule="auto"/>
        <w:jc w:val="both"/>
        <w:rPr>
          <w:rFonts w:ascii="Palatino Linotype" w:hAnsi="Palatino Linotype"/>
          <w:sz w:val="24"/>
          <w:szCs w:val="24"/>
        </w:rPr>
      </w:pPr>
      <w:r w:rsidRPr="00406BE3">
        <w:rPr>
          <w:rFonts w:ascii="Palatino Linotype" w:hAnsi="Palatino Linotype"/>
          <w:sz w:val="24"/>
          <w:szCs w:val="24"/>
        </w:rPr>
        <w:lastRenderedPageBreak/>
        <w:t>CONCLUSION</w:t>
      </w:r>
    </w:p>
    <w:p w:rsidR="00C6002F" w:rsidRPr="00406BE3" w:rsidRDefault="00C6002F" w:rsidP="00386C30">
      <w:pPr>
        <w:spacing w:before="240" w:after="240" w:line="480" w:lineRule="auto"/>
        <w:jc w:val="both"/>
        <w:rPr>
          <w:rFonts w:ascii="Palatino Linotype" w:hAnsi="Palatino Linotype"/>
          <w:sz w:val="24"/>
          <w:szCs w:val="24"/>
        </w:rPr>
      </w:pPr>
      <w:r w:rsidRPr="00406BE3">
        <w:rPr>
          <w:rFonts w:ascii="Palatino Linotype" w:hAnsi="Palatino Linotype"/>
          <w:sz w:val="24"/>
          <w:szCs w:val="24"/>
        </w:rPr>
        <w:t>Whilst acknowledging the limitations of this study</w:t>
      </w:r>
      <w:r w:rsidR="006F63C8" w:rsidRPr="00406BE3">
        <w:rPr>
          <w:rFonts w:ascii="Palatino Linotype" w:hAnsi="Palatino Linotype"/>
          <w:sz w:val="24"/>
          <w:szCs w:val="24"/>
        </w:rPr>
        <w:t xml:space="preserve"> and that there is scope for further research</w:t>
      </w:r>
      <w:r w:rsidRPr="00406BE3">
        <w:rPr>
          <w:rFonts w:ascii="Palatino Linotype" w:hAnsi="Palatino Linotype"/>
          <w:sz w:val="24"/>
          <w:szCs w:val="24"/>
        </w:rPr>
        <w:t xml:space="preserve">, it does suggest that participation in pro bono work whilst at </w:t>
      </w:r>
      <w:r w:rsidR="002E54E4" w:rsidRPr="00406BE3">
        <w:rPr>
          <w:rFonts w:ascii="Palatino Linotype" w:hAnsi="Palatino Linotype"/>
          <w:sz w:val="24"/>
          <w:szCs w:val="24"/>
        </w:rPr>
        <w:t>Northumbria</w:t>
      </w:r>
      <w:r w:rsidRPr="00406BE3">
        <w:rPr>
          <w:rFonts w:ascii="Palatino Linotype" w:hAnsi="Palatino Linotype"/>
          <w:sz w:val="24"/>
          <w:szCs w:val="24"/>
        </w:rPr>
        <w:t xml:space="preserve"> University </w:t>
      </w:r>
      <w:r w:rsidR="00B655AC" w:rsidRPr="00406BE3">
        <w:rPr>
          <w:rFonts w:ascii="Palatino Linotype" w:hAnsi="Palatino Linotype"/>
          <w:sz w:val="24"/>
          <w:szCs w:val="24"/>
        </w:rPr>
        <w:t xml:space="preserve">is not likely to </w:t>
      </w:r>
      <w:r w:rsidRPr="00406BE3">
        <w:rPr>
          <w:rFonts w:ascii="Palatino Linotype" w:hAnsi="Palatino Linotype"/>
          <w:sz w:val="24"/>
          <w:szCs w:val="24"/>
        </w:rPr>
        <w:t>increase the likelihood of future participation in pro bono activity following graduation.</w:t>
      </w:r>
    </w:p>
    <w:p w:rsidR="0015194F" w:rsidRPr="00406BE3" w:rsidRDefault="00C6002F" w:rsidP="00386C30">
      <w:pPr>
        <w:spacing w:before="240" w:after="240" w:line="480" w:lineRule="auto"/>
        <w:jc w:val="both"/>
        <w:rPr>
          <w:rFonts w:ascii="Palatino Linotype" w:hAnsi="Palatino Linotype"/>
          <w:sz w:val="24"/>
          <w:szCs w:val="24"/>
        </w:rPr>
      </w:pPr>
      <w:r w:rsidRPr="00406BE3">
        <w:rPr>
          <w:rFonts w:ascii="Palatino Linotype" w:hAnsi="Palatino Linotype"/>
          <w:sz w:val="24"/>
          <w:szCs w:val="24"/>
        </w:rPr>
        <w:t xml:space="preserve">The study supports the limited literature </w:t>
      </w:r>
      <w:r w:rsidR="00C26DDE" w:rsidRPr="00406BE3">
        <w:rPr>
          <w:rFonts w:ascii="Palatino Linotype" w:hAnsi="Palatino Linotype"/>
          <w:sz w:val="24"/>
          <w:szCs w:val="24"/>
        </w:rPr>
        <w:t>currently</w:t>
      </w:r>
      <w:r w:rsidRPr="00406BE3">
        <w:rPr>
          <w:rFonts w:ascii="Palatino Linotype" w:hAnsi="Palatino Linotype"/>
          <w:sz w:val="24"/>
          <w:szCs w:val="24"/>
        </w:rPr>
        <w:t xml:space="preserve"> available indicating that law school pro bono programmes do little, if anything, to instil a sense of altruism in law students.  However, the data further suggests that students value pro bono programmes and it is perceived that they carry substantial personal benefits.  In particular, students report improved legal skills and enhanced employability.  It is suggested that for these reasons, pro bono programmes are worthwhile and it is plausible to conclude there is value to society in adopting such programmes through the </w:t>
      </w:r>
      <w:r w:rsidR="007F36DB" w:rsidRPr="00406BE3">
        <w:rPr>
          <w:rFonts w:ascii="Palatino Linotype" w:hAnsi="Palatino Linotype"/>
          <w:sz w:val="24"/>
          <w:szCs w:val="24"/>
        </w:rPr>
        <w:t>provision of free legal advice.</w:t>
      </w:r>
    </w:p>
    <w:p w:rsidR="00065D02" w:rsidRPr="00406BE3" w:rsidRDefault="0015194F" w:rsidP="00386C30">
      <w:pPr>
        <w:spacing w:line="480" w:lineRule="auto"/>
        <w:rPr>
          <w:rFonts w:ascii="Palatino Linotype" w:hAnsi="Palatino Linotype"/>
          <w:noProof/>
          <w:sz w:val="24"/>
          <w:szCs w:val="24"/>
          <w:lang w:eastAsia="en-GB"/>
        </w:rPr>
      </w:pPr>
      <w:r w:rsidRPr="00406BE3">
        <w:rPr>
          <w:rFonts w:ascii="Palatino Linotype" w:hAnsi="Palatino Linotype"/>
          <w:sz w:val="24"/>
          <w:szCs w:val="24"/>
        </w:rPr>
        <w:br w:type="page"/>
      </w:r>
      <w:r w:rsidRPr="00406BE3">
        <w:rPr>
          <w:rFonts w:ascii="Palatino Linotype" w:hAnsi="Palatino Linotype"/>
          <w:noProof/>
          <w:sz w:val="24"/>
          <w:szCs w:val="24"/>
          <w:lang w:eastAsia="en-GB"/>
        </w:rPr>
        <w:lastRenderedPageBreak/>
        <w:t xml:space="preserve">Annex </w:t>
      </w:r>
      <w:r w:rsidR="00111D02" w:rsidRPr="00406BE3">
        <w:rPr>
          <w:rFonts w:ascii="Palatino Linotype" w:hAnsi="Palatino Linotype"/>
          <w:noProof/>
          <w:sz w:val="24"/>
          <w:szCs w:val="24"/>
          <w:lang w:eastAsia="en-GB"/>
        </w:rPr>
        <w:t>A</w:t>
      </w:r>
    </w:p>
    <w:p w:rsidR="00111D02" w:rsidRPr="00406BE3" w:rsidRDefault="00603362" w:rsidP="00386C30">
      <w:pPr>
        <w:spacing w:before="240" w:after="240" w:line="480" w:lineRule="auto"/>
        <w:jc w:val="both"/>
        <w:rPr>
          <w:rFonts w:ascii="Palatino Linotype" w:hAnsi="Palatino Linotype"/>
          <w:sz w:val="24"/>
          <w:szCs w:val="24"/>
        </w:rPr>
      </w:pPr>
      <w:r>
        <w:rPr>
          <w:rFonts w:ascii="Palatino Linotype" w:hAnsi="Palatino Linotype"/>
          <w:noProof/>
          <w:sz w:val="24"/>
          <w:szCs w:val="24"/>
          <w:lang w:eastAsia="en-GB"/>
        </w:rPr>
        <w:drawing>
          <wp:inline distT="0" distB="0" distL="0" distR="0" wp14:anchorId="51171F0D" wp14:editId="7F0F1421">
            <wp:extent cx="5219700" cy="7458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19700" cy="7458075"/>
                    </a:xfrm>
                    <a:prstGeom prst="rect">
                      <a:avLst/>
                    </a:prstGeom>
                    <a:noFill/>
                    <a:ln>
                      <a:noFill/>
                    </a:ln>
                  </pic:spPr>
                </pic:pic>
              </a:graphicData>
            </a:graphic>
          </wp:inline>
        </w:drawing>
      </w:r>
      <w:r w:rsidR="00111D02" w:rsidRPr="00406BE3">
        <w:rPr>
          <w:rFonts w:ascii="Palatino Linotype" w:hAnsi="Palatino Linotype"/>
          <w:sz w:val="24"/>
          <w:szCs w:val="24"/>
        </w:rPr>
        <w:br w:type="page"/>
      </w:r>
      <w:r>
        <w:rPr>
          <w:rFonts w:ascii="Palatino Linotype" w:hAnsi="Palatino Linotype"/>
          <w:noProof/>
          <w:sz w:val="24"/>
          <w:szCs w:val="24"/>
          <w:lang w:eastAsia="en-GB"/>
        </w:rPr>
        <w:lastRenderedPageBreak/>
        <w:drawing>
          <wp:inline distT="0" distB="0" distL="0" distR="0" wp14:anchorId="0084311A" wp14:editId="6A5C5057">
            <wp:extent cx="5219700" cy="75342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19700" cy="7534275"/>
                    </a:xfrm>
                    <a:prstGeom prst="rect">
                      <a:avLst/>
                    </a:prstGeom>
                    <a:noFill/>
                    <a:ln>
                      <a:noFill/>
                    </a:ln>
                  </pic:spPr>
                </pic:pic>
              </a:graphicData>
            </a:graphic>
          </wp:inline>
        </w:drawing>
      </w:r>
    </w:p>
    <w:p w:rsidR="00111D02" w:rsidRPr="00406BE3" w:rsidRDefault="00111D02" w:rsidP="00386C30">
      <w:pPr>
        <w:spacing w:before="240" w:after="240" w:line="480" w:lineRule="auto"/>
        <w:jc w:val="both"/>
        <w:rPr>
          <w:rFonts w:ascii="Palatino Linotype" w:hAnsi="Palatino Linotype"/>
          <w:sz w:val="24"/>
          <w:szCs w:val="24"/>
        </w:rPr>
      </w:pPr>
      <w:r w:rsidRPr="00406BE3">
        <w:rPr>
          <w:rFonts w:ascii="Palatino Linotype" w:hAnsi="Palatino Linotype"/>
          <w:sz w:val="24"/>
          <w:szCs w:val="24"/>
        </w:rPr>
        <w:br w:type="page"/>
      </w:r>
      <w:r w:rsidR="00603362">
        <w:rPr>
          <w:rFonts w:ascii="Palatino Linotype" w:hAnsi="Palatino Linotype"/>
          <w:noProof/>
          <w:sz w:val="24"/>
          <w:szCs w:val="24"/>
          <w:lang w:eastAsia="en-GB"/>
        </w:rPr>
        <w:lastRenderedPageBreak/>
        <w:drawing>
          <wp:inline distT="0" distB="0" distL="0" distR="0" wp14:anchorId="728305A7" wp14:editId="277CBA20">
            <wp:extent cx="5219700" cy="74295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19700" cy="7429500"/>
                    </a:xfrm>
                    <a:prstGeom prst="rect">
                      <a:avLst/>
                    </a:prstGeom>
                    <a:noFill/>
                    <a:ln>
                      <a:noFill/>
                    </a:ln>
                  </pic:spPr>
                </pic:pic>
              </a:graphicData>
            </a:graphic>
          </wp:inline>
        </w:drawing>
      </w:r>
    </w:p>
    <w:p w:rsidR="00111D02" w:rsidRPr="00406BE3" w:rsidRDefault="00111D02" w:rsidP="00386C30">
      <w:pPr>
        <w:spacing w:before="240" w:after="240" w:line="480" w:lineRule="auto"/>
        <w:jc w:val="both"/>
        <w:rPr>
          <w:rFonts w:ascii="Palatino Linotype" w:hAnsi="Palatino Linotype"/>
          <w:sz w:val="24"/>
          <w:szCs w:val="24"/>
        </w:rPr>
      </w:pPr>
      <w:r w:rsidRPr="00406BE3">
        <w:rPr>
          <w:rFonts w:ascii="Palatino Linotype" w:hAnsi="Palatino Linotype"/>
          <w:sz w:val="24"/>
          <w:szCs w:val="24"/>
        </w:rPr>
        <w:br w:type="page"/>
      </w:r>
      <w:r w:rsidR="00603362">
        <w:rPr>
          <w:rFonts w:ascii="Palatino Linotype" w:hAnsi="Palatino Linotype"/>
          <w:noProof/>
          <w:sz w:val="24"/>
          <w:szCs w:val="24"/>
          <w:lang w:eastAsia="en-GB"/>
        </w:rPr>
        <w:lastRenderedPageBreak/>
        <w:drawing>
          <wp:inline distT="0" distB="0" distL="0" distR="0" wp14:anchorId="76FD2B06" wp14:editId="6968775E">
            <wp:extent cx="5219700" cy="73818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19700" cy="7381875"/>
                    </a:xfrm>
                    <a:prstGeom prst="rect">
                      <a:avLst/>
                    </a:prstGeom>
                    <a:noFill/>
                    <a:ln>
                      <a:noFill/>
                    </a:ln>
                  </pic:spPr>
                </pic:pic>
              </a:graphicData>
            </a:graphic>
          </wp:inline>
        </w:drawing>
      </w:r>
    </w:p>
    <w:p w:rsidR="00111D02" w:rsidRPr="00406BE3" w:rsidRDefault="00111D02" w:rsidP="00386C30">
      <w:pPr>
        <w:spacing w:before="240" w:after="240" w:line="480" w:lineRule="auto"/>
        <w:jc w:val="both"/>
        <w:rPr>
          <w:rFonts w:ascii="Palatino Linotype" w:hAnsi="Palatino Linotype"/>
          <w:sz w:val="24"/>
          <w:szCs w:val="24"/>
        </w:rPr>
      </w:pPr>
      <w:r w:rsidRPr="00406BE3">
        <w:rPr>
          <w:rFonts w:ascii="Palatino Linotype" w:hAnsi="Palatino Linotype"/>
          <w:sz w:val="24"/>
          <w:szCs w:val="24"/>
        </w:rPr>
        <w:br w:type="page"/>
      </w:r>
      <w:r w:rsidR="00603362">
        <w:rPr>
          <w:rFonts w:ascii="Palatino Linotype" w:hAnsi="Palatino Linotype"/>
          <w:noProof/>
          <w:sz w:val="24"/>
          <w:szCs w:val="24"/>
          <w:lang w:eastAsia="en-GB"/>
        </w:rPr>
        <w:lastRenderedPageBreak/>
        <w:drawing>
          <wp:inline distT="0" distB="0" distL="0" distR="0" wp14:anchorId="67B84A75" wp14:editId="240D4744">
            <wp:extent cx="5219700" cy="74390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19700" cy="7439025"/>
                    </a:xfrm>
                    <a:prstGeom prst="rect">
                      <a:avLst/>
                    </a:prstGeom>
                    <a:noFill/>
                    <a:ln>
                      <a:noFill/>
                    </a:ln>
                  </pic:spPr>
                </pic:pic>
              </a:graphicData>
            </a:graphic>
          </wp:inline>
        </w:drawing>
      </w:r>
    </w:p>
    <w:p w:rsidR="00111D02" w:rsidRPr="00406BE3" w:rsidRDefault="00111D02" w:rsidP="00386C30">
      <w:pPr>
        <w:spacing w:before="240" w:after="240" w:line="480" w:lineRule="auto"/>
        <w:jc w:val="both"/>
        <w:rPr>
          <w:rFonts w:ascii="Palatino Linotype" w:hAnsi="Palatino Linotype"/>
          <w:sz w:val="24"/>
          <w:szCs w:val="24"/>
        </w:rPr>
      </w:pPr>
      <w:r w:rsidRPr="00406BE3">
        <w:rPr>
          <w:rFonts w:ascii="Palatino Linotype" w:hAnsi="Palatino Linotype"/>
          <w:sz w:val="24"/>
          <w:szCs w:val="24"/>
        </w:rPr>
        <w:br w:type="page"/>
      </w:r>
      <w:r w:rsidR="00603362">
        <w:rPr>
          <w:rFonts w:ascii="Palatino Linotype" w:hAnsi="Palatino Linotype"/>
          <w:noProof/>
          <w:sz w:val="24"/>
          <w:szCs w:val="24"/>
          <w:lang w:eastAsia="en-GB"/>
        </w:rPr>
        <w:lastRenderedPageBreak/>
        <w:drawing>
          <wp:inline distT="0" distB="0" distL="0" distR="0" wp14:anchorId="2C73D099" wp14:editId="72164FB3">
            <wp:extent cx="5219700" cy="74199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219700" cy="7419975"/>
                    </a:xfrm>
                    <a:prstGeom prst="rect">
                      <a:avLst/>
                    </a:prstGeom>
                    <a:noFill/>
                    <a:ln>
                      <a:noFill/>
                    </a:ln>
                  </pic:spPr>
                </pic:pic>
              </a:graphicData>
            </a:graphic>
          </wp:inline>
        </w:drawing>
      </w:r>
    </w:p>
    <w:p w:rsidR="00AC5A49" w:rsidRPr="001B2F5E" w:rsidRDefault="00111D02" w:rsidP="00386C30">
      <w:pPr>
        <w:spacing w:before="240" w:after="240" w:line="480" w:lineRule="auto"/>
        <w:jc w:val="both"/>
        <w:rPr>
          <w:rFonts w:ascii="Palatino Linotype" w:hAnsi="Palatino Linotype"/>
          <w:sz w:val="24"/>
          <w:szCs w:val="24"/>
        </w:rPr>
      </w:pPr>
      <w:r w:rsidRPr="00406BE3">
        <w:rPr>
          <w:rFonts w:ascii="Palatino Linotype" w:hAnsi="Palatino Linotype"/>
          <w:sz w:val="24"/>
          <w:szCs w:val="24"/>
        </w:rPr>
        <w:br w:type="page"/>
      </w:r>
      <w:r w:rsidR="00603362">
        <w:rPr>
          <w:rFonts w:ascii="Palatino Linotype" w:hAnsi="Palatino Linotype"/>
          <w:noProof/>
          <w:sz w:val="24"/>
          <w:szCs w:val="24"/>
          <w:lang w:eastAsia="en-GB"/>
        </w:rPr>
        <w:lastRenderedPageBreak/>
        <w:drawing>
          <wp:inline distT="0" distB="0" distL="0" distR="0" wp14:anchorId="5CFC893A" wp14:editId="5F295201">
            <wp:extent cx="5219700" cy="73628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219700" cy="7362825"/>
                    </a:xfrm>
                    <a:prstGeom prst="rect">
                      <a:avLst/>
                    </a:prstGeom>
                    <a:noFill/>
                    <a:ln>
                      <a:noFill/>
                    </a:ln>
                  </pic:spPr>
                </pic:pic>
              </a:graphicData>
            </a:graphic>
          </wp:inline>
        </w:drawing>
      </w:r>
    </w:p>
    <w:sectPr w:rsidR="00AC5A49" w:rsidRPr="001B2F5E" w:rsidSect="00707140">
      <w:headerReference w:type="even" r:id="rId19"/>
      <w:headerReference w:type="default" r:id="rId20"/>
      <w:footerReference w:type="even" r:id="rId21"/>
      <w:footerReference w:type="default" r:id="rId22"/>
      <w:headerReference w:type="first" r:id="rId23"/>
      <w:footerReference w:type="first" r:id="rId24"/>
      <w:pgSz w:w="11906" w:h="16838"/>
      <w:pgMar w:top="1418" w:right="1418" w:bottom="1418" w:left="226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83D" w:rsidRDefault="0003183D">
      <w:pPr>
        <w:spacing w:after="0" w:line="240" w:lineRule="auto"/>
      </w:pPr>
      <w:r>
        <w:separator/>
      </w:r>
    </w:p>
  </w:endnote>
  <w:endnote w:type="continuationSeparator" w:id="0">
    <w:p w:rsidR="0003183D" w:rsidRDefault="00031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B5C" w:rsidRDefault="004E1B5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B5C" w:rsidRDefault="004E1B5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E5A" w:rsidRDefault="00434E5A">
    <w:pPr>
      <w:pStyle w:val="Footer"/>
      <w:jc w:val="right"/>
    </w:pPr>
    <w:r>
      <w:fldChar w:fldCharType="begin"/>
    </w:r>
    <w:r>
      <w:instrText xml:space="preserve"> PAGE   \* MERGEFORMAT </w:instrText>
    </w:r>
    <w:r>
      <w:fldChar w:fldCharType="separate"/>
    </w:r>
    <w:r w:rsidR="004E1B5C">
      <w:rPr>
        <w:noProof/>
      </w:rPr>
      <w:t>1</w:t>
    </w:r>
    <w:r>
      <w:rPr>
        <w:noProof/>
      </w:rPr>
      <w:fldChar w:fldCharType="end"/>
    </w:r>
  </w:p>
  <w:p w:rsidR="00434E5A" w:rsidRDefault="00434E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83D" w:rsidRDefault="0003183D">
      <w:pPr>
        <w:spacing w:after="0" w:line="240" w:lineRule="auto"/>
      </w:pPr>
      <w:r>
        <w:separator/>
      </w:r>
    </w:p>
  </w:footnote>
  <w:footnote w:type="continuationSeparator" w:id="0">
    <w:p w:rsidR="0003183D" w:rsidRDefault="0003183D">
      <w:pPr>
        <w:spacing w:after="0" w:line="240" w:lineRule="auto"/>
      </w:pPr>
      <w:r>
        <w:continuationSeparator/>
      </w:r>
    </w:p>
  </w:footnote>
  <w:footnote w:id="1">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rPr>
        <w:t xml:space="preserve"> The scope of legal aid was limited by the Access to Justice Act 1999.  Areas such as personal injury (other than clinical negligence), business cases, boundary disputes</w:t>
      </w:r>
      <w:r>
        <w:rPr>
          <w:rFonts w:cs="Calibri"/>
          <w:sz w:val="20"/>
          <w:szCs w:val="20"/>
        </w:rPr>
        <w:t>,</w:t>
      </w:r>
      <w:r w:rsidRPr="005C2132">
        <w:rPr>
          <w:rFonts w:cs="Calibri"/>
          <w:sz w:val="20"/>
          <w:szCs w:val="20"/>
        </w:rPr>
        <w:t xml:space="preserve"> company and trust law were removed from the scope of legal aid.  </w:t>
      </w:r>
      <w:r>
        <w:rPr>
          <w:rFonts w:cs="Calibri"/>
          <w:sz w:val="20"/>
          <w:szCs w:val="20"/>
        </w:rPr>
        <w:t>Despite this m</w:t>
      </w:r>
      <w:r w:rsidRPr="005C2132">
        <w:rPr>
          <w:rFonts w:cs="Calibri"/>
          <w:sz w:val="20"/>
          <w:szCs w:val="20"/>
        </w:rPr>
        <w:t xml:space="preserve">ost areas of law remained within scope although funding for representation at most tribunals was not available.  The Legal Aid, Sentencing and Punishment of Offenders Act 2012 reduced the scope of legal aid further with the default position that all areas were excluded from scope with only a limited number remaining within scope. </w:t>
      </w:r>
    </w:p>
  </w:footnote>
  <w:footnote w:id="2">
    <w:p w:rsidR="00434E5A" w:rsidRPr="005C2132" w:rsidRDefault="00434E5A" w:rsidP="00434E5A">
      <w:pPr>
        <w:pStyle w:val="NoSpacing"/>
        <w:rPr>
          <w:rFonts w:cs="Calibri"/>
          <w:sz w:val="20"/>
          <w:szCs w:val="20"/>
        </w:rPr>
      </w:pPr>
      <w:r w:rsidRPr="005C2132">
        <w:rPr>
          <w:rStyle w:val="FootnoteReference"/>
          <w:rFonts w:cs="Calibri"/>
          <w:sz w:val="20"/>
          <w:szCs w:val="20"/>
        </w:rPr>
        <w:footnoteRef/>
      </w:r>
      <w:r w:rsidRPr="005C2132">
        <w:rPr>
          <w:rFonts w:cs="Calibri"/>
          <w:sz w:val="20"/>
          <w:szCs w:val="20"/>
        </w:rPr>
        <w:t xml:space="preserve"> Grimes, R</w:t>
      </w:r>
      <w:r w:rsidR="002B2FA0">
        <w:rPr>
          <w:rFonts w:cs="Calibri"/>
          <w:sz w:val="20"/>
          <w:szCs w:val="20"/>
        </w:rPr>
        <w:t>.</w:t>
      </w:r>
      <w:r w:rsidRPr="005C2132">
        <w:rPr>
          <w:rFonts w:cs="Calibri"/>
          <w:sz w:val="20"/>
          <w:szCs w:val="20"/>
        </w:rPr>
        <w:t xml:space="preserve"> and Musgrove, J. (2006) </w:t>
      </w:r>
      <w:proofErr w:type="spellStart"/>
      <w:r w:rsidRPr="005C2132">
        <w:rPr>
          <w:rFonts w:cs="Calibri"/>
          <w:sz w:val="20"/>
          <w:szCs w:val="20"/>
        </w:rPr>
        <w:t>LawWorks</w:t>
      </w:r>
      <w:proofErr w:type="spellEnd"/>
      <w:r w:rsidRPr="005C2132">
        <w:rPr>
          <w:rFonts w:cs="Calibri"/>
          <w:sz w:val="20"/>
          <w:szCs w:val="20"/>
        </w:rPr>
        <w:t xml:space="preserve"> Students Project Pro Bono – The Next Generation. [Online] Available at: </w:t>
      </w:r>
      <w:hyperlink r:id="rId1" w:history="1">
        <w:r w:rsidR="002B2FA0" w:rsidRPr="00C4273F">
          <w:rPr>
            <w:rStyle w:val="Hyperlink"/>
            <w:rFonts w:cs="Calibri"/>
            <w:sz w:val="20"/>
            <w:szCs w:val="20"/>
          </w:rPr>
          <w:t>http://www.probonogroup.org.uk/lawworks/docs/Student%20report%20Final.pdf</w:t>
        </w:r>
      </w:hyperlink>
      <w:r w:rsidR="002B2FA0">
        <w:rPr>
          <w:rFonts w:cs="Calibri"/>
          <w:sz w:val="20"/>
          <w:szCs w:val="20"/>
        </w:rPr>
        <w:t xml:space="preserve"> </w:t>
      </w:r>
      <w:r w:rsidRPr="005C2132">
        <w:rPr>
          <w:rFonts w:cs="Calibri"/>
          <w:sz w:val="20"/>
          <w:szCs w:val="20"/>
        </w:rPr>
        <w:t xml:space="preserve"> (last accessed: </w:t>
      </w:r>
      <w:r w:rsidR="00470FC6">
        <w:rPr>
          <w:rFonts w:cs="Calibri"/>
          <w:sz w:val="20"/>
          <w:szCs w:val="20"/>
        </w:rPr>
        <w:t>2</w:t>
      </w:r>
      <w:r w:rsidRPr="005C2132">
        <w:rPr>
          <w:rFonts w:cs="Calibri"/>
          <w:sz w:val="20"/>
          <w:szCs w:val="20"/>
        </w:rPr>
        <w:t>8 January 2015)</w:t>
      </w:r>
      <w:r w:rsidR="00ED4697">
        <w:rPr>
          <w:rFonts w:cs="Calibri"/>
          <w:sz w:val="20"/>
          <w:szCs w:val="20"/>
        </w:rPr>
        <w:t xml:space="preserve"> p.6</w:t>
      </w:r>
    </w:p>
  </w:footnote>
  <w:footnote w:id="3">
    <w:p w:rsidR="00434E5A" w:rsidRPr="00386C30" w:rsidRDefault="00434E5A" w:rsidP="004E10BC">
      <w:pPr>
        <w:pStyle w:val="NoSpacing"/>
        <w:rPr>
          <w:sz w:val="20"/>
          <w:szCs w:val="20"/>
        </w:rPr>
      </w:pPr>
      <w:r w:rsidRPr="004E10BC">
        <w:rPr>
          <w:rStyle w:val="FootnoteReference"/>
          <w:rFonts w:cs="Calibri"/>
          <w:sz w:val="20"/>
          <w:szCs w:val="20"/>
        </w:rPr>
        <w:footnoteRef/>
      </w:r>
      <w:r w:rsidRPr="00386C30">
        <w:rPr>
          <w:sz w:val="20"/>
          <w:szCs w:val="20"/>
        </w:rPr>
        <w:t xml:space="preserve"> Grimes, Richard and Curtis, Martin, </w:t>
      </w:r>
      <w:r w:rsidRPr="004E1B5C">
        <w:rPr>
          <w:i/>
          <w:sz w:val="20"/>
          <w:szCs w:val="20"/>
        </w:rPr>
        <w:t>LawWorks Student Pro Bono Report 2011</w:t>
      </w:r>
      <w:r w:rsidRPr="00386C30">
        <w:rPr>
          <w:sz w:val="20"/>
          <w:szCs w:val="20"/>
        </w:rPr>
        <w:t xml:space="preserve">, LawWorks [online] Available at: </w:t>
      </w:r>
      <w:r w:rsidR="00470FC6" w:rsidRPr="00386C30">
        <w:rPr>
          <w:sz w:val="20"/>
          <w:szCs w:val="20"/>
        </w:rPr>
        <w:t>http://lawworks.org.uk/tmp_downloads/x63c118c111s132z58f116a76p34d16m64y22v10i24l80g83/lawworks-student-pro-bono-report-2011.pdf</w:t>
      </w:r>
      <w:r w:rsidRPr="00386C30">
        <w:rPr>
          <w:sz w:val="20"/>
          <w:szCs w:val="20"/>
        </w:rPr>
        <w:t xml:space="preserve"> (last accessed: </w:t>
      </w:r>
      <w:r w:rsidR="00470FC6" w:rsidRPr="00386C30">
        <w:rPr>
          <w:sz w:val="20"/>
          <w:szCs w:val="20"/>
        </w:rPr>
        <w:t>2</w:t>
      </w:r>
      <w:r w:rsidRPr="00386C30">
        <w:rPr>
          <w:sz w:val="20"/>
          <w:szCs w:val="20"/>
        </w:rPr>
        <w:t>8 January 2015)</w:t>
      </w:r>
      <w:r w:rsidR="00470FC6" w:rsidRPr="00386C30">
        <w:rPr>
          <w:sz w:val="20"/>
          <w:szCs w:val="20"/>
        </w:rPr>
        <w:t xml:space="preserve"> p.10</w:t>
      </w:r>
    </w:p>
  </w:footnote>
  <w:footnote w:id="4">
    <w:p w:rsidR="00C57E41" w:rsidRPr="00386C30" w:rsidRDefault="00C57E41" w:rsidP="00D53553">
      <w:pPr>
        <w:pStyle w:val="NoSpacing"/>
        <w:rPr>
          <w:sz w:val="20"/>
          <w:szCs w:val="20"/>
        </w:rPr>
      </w:pPr>
      <w:r w:rsidRPr="00386C30">
        <w:rPr>
          <w:rStyle w:val="FootnoteReference"/>
          <w:sz w:val="20"/>
          <w:szCs w:val="20"/>
        </w:rPr>
        <w:footnoteRef/>
      </w:r>
      <w:r w:rsidRPr="00386C30">
        <w:rPr>
          <w:sz w:val="20"/>
          <w:szCs w:val="20"/>
        </w:rPr>
        <w:t xml:space="preserve"> Carney, D. Dignan, F, Grimes, R. Kelly, G and Parker, R (2014) The LawWorks Law School Pro Bono and Clinic Report 2014 [online] Available at: </w:t>
      </w:r>
      <w:hyperlink r:id="rId2" w:history="1">
        <w:r w:rsidRPr="00386C30">
          <w:rPr>
            <w:rStyle w:val="Hyperlink"/>
            <w:sz w:val="20"/>
            <w:szCs w:val="20"/>
          </w:rPr>
          <w:t>http://lawworks.org.uk/tmp_downloads/k150c69y95y80r23d40x93s30c57g25v44t110q78i113t5/1014-033-lawworks-student-pro-bono-report-web.pdf</w:t>
        </w:r>
      </w:hyperlink>
      <w:r w:rsidRPr="00386C30">
        <w:rPr>
          <w:sz w:val="20"/>
          <w:szCs w:val="20"/>
        </w:rPr>
        <w:t xml:space="preserve"> (last accessed: 28 January 2015) p.</w:t>
      </w:r>
      <w:r w:rsidR="004E10BC" w:rsidRPr="00386C30">
        <w:rPr>
          <w:sz w:val="20"/>
          <w:szCs w:val="20"/>
        </w:rPr>
        <w:t>10</w:t>
      </w:r>
    </w:p>
  </w:footnote>
  <w:footnote w:id="5">
    <w:p w:rsidR="004E10BC" w:rsidRPr="00386C30" w:rsidRDefault="004E10BC" w:rsidP="00D53553">
      <w:pPr>
        <w:pStyle w:val="NoSpacing"/>
        <w:rPr>
          <w:sz w:val="20"/>
          <w:szCs w:val="20"/>
        </w:rPr>
      </w:pPr>
      <w:r w:rsidRPr="00386C30">
        <w:rPr>
          <w:rStyle w:val="FootnoteReference"/>
          <w:sz w:val="20"/>
          <w:szCs w:val="20"/>
        </w:rPr>
        <w:footnoteRef/>
      </w:r>
      <w:r w:rsidRPr="00386C30">
        <w:rPr>
          <w:sz w:val="20"/>
          <w:szCs w:val="20"/>
        </w:rPr>
        <w:t xml:space="preserve"> Ibid.</w:t>
      </w:r>
    </w:p>
  </w:footnote>
  <w:footnote w:id="6">
    <w:p w:rsidR="00434E5A" w:rsidRPr="00386C30" w:rsidRDefault="00434E5A" w:rsidP="00386C30">
      <w:pPr>
        <w:pStyle w:val="NoSpacing"/>
        <w:rPr>
          <w:sz w:val="20"/>
          <w:szCs w:val="20"/>
        </w:rPr>
      </w:pPr>
      <w:r w:rsidRPr="004E10BC">
        <w:rPr>
          <w:rStyle w:val="FootnoteReference"/>
          <w:rFonts w:cs="Calibri"/>
          <w:sz w:val="20"/>
          <w:szCs w:val="20"/>
        </w:rPr>
        <w:footnoteRef/>
      </w:r>
      <w:r w:rsidRPr="00386C30">
        <w:rPr>
          <w:sz w:val="20"/>
          <w:szCs w:val="20"/>
        </w:rPr>
        <w:t xml:space="preserve"> LawWorks. (2013). Protocol text. [Online] Available at: </w:t>
      </w:r>
      <w:hyperlink r:id="rId3" w:history="1">
        <w:r w:rsidR="002B2FA0" w:rsidRPr="00C4273F">
          <w:rPr>
            <w:rStyle w:val="Hyperlink"/>
            <w:sz w:val="20"/>
            <w:szCs w:val="20"/>
          </w:rPr>
          <w:t>http://www.lawworks.org.uk/protocol_text</w:t>
        </w:r>
      </w:hyperlink>
      <w:r w:rsidR="002B2FA0">
        <w:rPr>
          <w:sz w:val="20"/>
          <w:szCs w:val="20"/>
        </w:rPr>
        <w:t xml:space="preserve"> </w:t>
      </w:r>
      <w:r w:rsidRPr="00386C30">
        <w:rPr>
          <w:sz w:val="20"/>
          <w:szCs w:val="20"/>
        </w:rPr>
        <w:t xml:space="preserve"> (Last accessed: 18 January 2015)</w:t>
      </w:r>
    </w:p>
  </w:footnote>
  <w:footnote w:id="7">
    <w:p w:rsidR="00434E5A" w:rsidRPr="005C2132" w:rsidRDefault="00434E5A" w:rsidP="00434E5A">
      <w:pPr>
        <w:pStyle w:val="NoSpacing"/>
        <w:rPr>
          <w:rFonts w:cs="Calibri"/>
          <w:sz w:val="20"/>
          <w:szCs w:val="20"/>
        </w:rPr>
      </w:pPr>
      <w:r w:rsidRPr="005C2132">
        <w:rPr>
          <w:rStyle w:val="FootnoteReference"/>
          <w:rFonts w:cs="Calibri"/>
          <w:sz w:val="20"/>
          <w:szCs w:val="20"/>
        </w:rPr>
        <w:footnoteRef/>
      </w:r>
      <w:r w:rsidRPr="005C2132">
        <w:rPr>
          <w:rFonts w:cs="Calibri"/>
          <w:sz w:val="20"/>
          <w:szCs w:val="20"/>
        </w:rPr>
        <w:t xml:space="preserve"> Kerr, B. Godfrey-Smith, P. Feldman, M.W. (2004). ‘What is altruism’. TRENDS in Ecology and Evolution. 19(3): 135-140 [Online] </w:t>
      </w:r>
      <w:r>
        <w:rPr>
          <w:rFonts w:cs="Calibri"/>
          <w:sz w:val="20"/>
          <w:szCs w:val="20"/>
        </w:rPr>
        <w:t>DOI:</w:t>
      </w:r>
      <w:r w:rsidRPr="00434E5A">
        <w:rPr>
          <w:rFonts w:cs="Calibri"/>
          <w:sz w:val="20"/>
          <w:szCs w:val="20"/>
        </w:rPr>
        <w:t>10.1016/j.tree.2003.10.004</w:t>
      </w:r>
      <w:r>
        <w:rPr>
          <w:rFonts w:cs="Calibri"/>
          <w:sz w:val="20"/>
          <w:szCs w:val="20"/>
        </w:rPr>
        <w:t xml:space="preserve"> </w:t>
      </w:r>
      <w:r w:rsidRPr="005C2132">
        <w:rPr>
          <w:rFonts w:cs="Calibri"/>
          <w:sz w:val="20"/>
          <w:szCs w:val="20"/>
        </w:rPr>
        <w:t xml:space="preserve"> (Last accessed: </w:t>
      </w:r>
      <w:r>
        <w:rPr>
          <w:rFonts w:cs="Calibri"/>
          <w:sz w:val="20"/>
          <w:szCs w:val="20"/>
        </w:rPr>
        <w:t>18 January 2015</w:t>
      </w:r>
      <w:r w:rsidRPr="005C2132">
        <w:rPr>
          <w:rFonts w:cs="Calibri"/>
          <w:sz w:val="20"/>
          <w:szCs w:val="20"/>
        </w:rPr>
        <w:t>)</w:t>
      </w:r>
    </w:p>
  </w:footnote>
  <w:footnote w:id="8">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lang w:val="de-DE"/>
        </w:rPr>
        <w:t xml:space="preserve"> Gleitman, H. Gross, J</w:t>
      </w:r>
      <w:r w:rsidR="002B2FA0">
        <w:rPr>
          <w:rFonts w:cs="Calibri"/>
          <w:sz w:val="20"/>
          <w:szCs w:val="20"/>
          <w:lang w:val="de-DE"/>
        </w:rPr>
        <w:t>.</w:t>
      </w:r>
      <w:r w:rsidRPr="005C2132">
        <w:rPr>
          <w:rFonts w:cs="Calibri"/>
          <w:sz w:val="20"/>
          <w:szCs w:val="20"/>
          <w:lang w:val="de-DE"/>
        </w:rPr>
        <w:t xml:space="preserve"> and Reisberg, D. (2011). </w:t>
      </w:r>
      <w:r w:rsidRPr="002B2FA0">
        <w:rPr>
          <w:rFonts w:cs="Calibri"/>
          <w:i/>
          <w:sz w:val="20"/>
          <w:szCs w:val="20"/>
        </w:rPr>
        <w:t>Psychology</w:t>
      </w:r>
      <w:r w:rsidRPr="005C2132">
        <w:rPr>
          <w:rFonts w:cs="Calibri"/>
          <w:sz w:val="20"/>
          <w:szCs w:val="20"/>
        </w:rPr>
        <w:t>. 8th edn. London: W.W.Norton &amp; Company Ltd p.532</w:t>
      </w:r>
    </w:p>
  </w:footnote>
  <w:footnote w:id="9">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rPr>
        <w:t xml:space="preserve"> Ibid. p.534</w:t>
      </w:r>
    </w:p>
  </w:footnote>
  <w:footnote w:id="10">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rPr>
        <w:t xml:space="preserve"> Ibid.</w:t>
      </w:r>
    </w:p>
  </w:footnote>
  <w:footnote w:id="11">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rPr>
        <w:t xml:space="preserve"> </w:t>
      </w:r>
      <w:proofErr w:type="spellStart"/>
      <w:r w:rsidRPr="005C2132">
        <w:rPr>
          <w:rFonts w:cs="Calibri"/>
          <w:sz w:val="20"/>
          <w:szCs w:val="20"/>
        </w:rPr>
        <w:t>Piliavin</w:t>
      </w:r>
      <w:proofErr w:type="spellEnd"/>
      <w:r w:rsidRPr="005C2132">
        <w:rPr>
          <w:rFonts w:cs="Calibri"/>
          <w:sz w:val="20"/>
          <w:szCs w:val="20"/>
        </w:rPr>
        <w:t xml:space="preserve"> &amp; </w:t>
      </w:r>
      <w:proofErr w:type="spellStart"/>
      <w:r w:rsidRPr="005C2132">
        <w:rPr>
          <w:rFonts w:cs="Calibri"/>
          <w:sz w:val="20"/>
          <w:szCs w:val="20"/>
        </w:rPr>
        <w:t>Callero</w:t>
      </w:r>
      <w:proofErr w:type="spellEnd"/>
      <w:r w:rsidRPr="005C2132">
        <w:rPr>
          <w:rFonts w:cs="Calibri"/>
          <w:sz w:val="20"/>
          <w:szCs w:val="20"/>
        </w:rPr>
        <w:t>, 1991; M.</w:t>
      </w:r>
      <w:r w:rsidR="002B2FA0">
        <w:rPr>
          <w:rFonts w:cs="Calibri"/>
          <w:sz w:val="20"/>
          <w:szCs w:val="20"/>
        </w:rPr>
        <w:t xml:space="preserve"> </w:t>
      </w:r>
      <w:r w:rsidRPr="005C2132">
        <w:rPr>
          <w:rFonts w:cs="Calibri"/>
          <w:sz w:val="20"/>
          <w:szCs w:val="20"/>
        </w:rPr>
        <w:t>Snyder &amp; Om</w:t>
      </w:r>
      <w:r w:rsidR="002B2FA0">
        <w:rPr>
          <w:rFonts w:cs="Calibri"/>
          <w:sz w:val="20"/>
          <w:szCs w:val="20"/>
        </w:rPr>
        <w:t xml:space="preserve">oto, 1992 as cited in </w:t>
      </w:r>
      <w:proofErr w:type="spellStart"/>
      <w:r w:rsidR="002B2FA0">
        <w:rPr>
          <w:rFonts w:cs="Calibri"/>
          <w:sz w:val="20"/>
          <w:szCs w:val="20"/>
        </w:rPr>
        <w:t>Gleitman</w:t>
      </w:r>
      <w:proofErr w:type="spellEnd"/>
      <w:r w:rsidR="002B2FA0">
        <w:rPr>
          <w:rFonts w:cs="Calibri"/>
          <w:sz w:val="20"/>
          <w:szCs w:val="20"/>
        </w:rPr>
        <w:t xml:space="preserve"> e</w:t>
      </w:r>
      <w:r w:rsidRPr="005C2132">
        <w:rPr>
          <w:rFonts w:cs="Calibri"/>
          <w:sz w:val="20"/>
          <w:szCs w:val="20"/>
        </w:rPr>
        <w:t xml:space="preserve">t al, 2011 (See note </w:t>
      </w:r>
      <w:r>
        <w:rPr>
          <w:rFonts w:cs="Calibri"/>
          <w:sz w:val="20"/>
          <w:szCs w:val="20"/>
        </w:rPr>
        <w:t>6</w:t>
      </w:r>
      <w:r w:rsidRPr="005C2132">
        <w:rPr>
          <w:rFonts w:cs="Calibri"/>
          <w:sz w:val="20"/>
          <w:szCs w:val="20"/>
        </w:rPr>
        <w:t>)</w:t>
      </w:r>
    </w:p>
  </w:footnote>
  <w:footnote w:id="12">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rPr>
        <w:t xml:space="preserve"> Ibid, pp</w:t>
      </w:r>
      <w:r w:rsidR="002B2FA0">
        <w:rPr>
          <w:rFonts w:cs="Calibri"/>
          <w:sz w:val="20"/>
          <w:szCs w:val="20"/>
        </w:rPr>
        <w:t>.</w:t>
      </w:r>
      <w:r w:rsidRPr="005C2132">
        <w:rPr>
          <w:rFonts w:cs="Calibri"/>
          <w:sz w:val="20"/>
          <w:szCs w:val="20"/>
        </w:rPr>
        <w:t>341-342</w:t>
      </w:r>
    </w:p>
  </w:footnote>
  <w:footnote w:id="13">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rPr>
        <w:t xml:space="preserve"> Pence, G.E. (1983) ‘Can compassion be taught’. J Med Ethics. 9(4):189-91 [Online] Available at: </w:t>
      </w:r>
      <w:hyperlink r:id="rId4" w:history="1">
        <w:r w:rsidR="004A37C2" w:rsidRPr="00C4273F">
          <w:rPr>
            <w:rStyle w:val="Hyperlink"/>
            <w:rFonts w:cs="Calibri"/>
            <w:sz w:val="20"/>
            <w:szCs w:val="20"/>
          </w:rPr>
          <w:t>http://www.ncbi.nlm.nih.gov/pmc/articles/PMC1059297/pdf/jmedeth00011-0005.pdf</w:t>
        </w:r>
      </w:hyperlink>
      <w:r w:rsidR="004A37C2">
        <w:rPr>
          <w:rFonts w:cs="Calibri"/>
          <w:sz w:val="20"/>
          <w:szCs w:val="20"/>
        </w:rPr>
        <w:t xml:space="preserve"> </w:t>
      </w:r>
    </w:p>
    <w:p w:rsidR="00434E5A" w:rsidRPr="005C2132" w:rsidRDefault="00434E5A" w:rsidP="00460DA6">
      <w:pPr>
        <w:pStyle w:val="NoSpacing"/>
        <w:jc w:val="both"/>
        <w:rPr>
          <w:rFonts w:cs="Calibri"/>
          <w:sz w:val="20"/>
          <w:szCs w:val="20"/>
        </w:rPr>
      </w:pPr>
      <w:r w:rsidRPr="005C2132">
        <w:rPr>
          <w:rFonts w:cs="Calibri"/>
          <w:sz w:val="20"/>
          <w:szCs w:val="20"/>
        </w:rPr>
        <w:t xml:space="preserve">(Last accessed: </w:t>
      </w:r>
      <w:r w:rsidR="009E20D1">
        <w:rPr>
          <w:rFonts w:cs="Calibri"/>
          <w:sz w:val="20"/>
          <w:szCs w:val="20"/>
        </w:rPr>
        <w:t>18 January 2015</w:t>
      </w:r>
      <w:r w:rsidRPr="005C2132">
        <w:rPr>
          <w:rFonts w:cs="Calibri"/>
          <w:sz w:val="20"/>
          <w:szCs w:val="20"/>
        </w:rPr>
        <w:t>) p.189</w:t>
      </w:r>
    </w:p>
  </w:footnote>
  <w:footnote w:id="14">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rPr>
        <w:t xml:space="preserve"> Carr, D. (2011), ‘Values, virtues and professional development in education and teaching’, International Journal of Educational Research, 50(3), pp.171-176, [Online] DOI:10.1016/j.ijer.2011.07.004 (Last accessed: </w:t>
      </w:r>
      <w:r>
        <w:rPr>
          <w:rFonts w:cs="Calibri"/>
          <w:sz w:val="20"/>
          <w:szCs w:val="20"/>
        </w:rPr>
        <w:t>18 January 2</w:t>
      </w:r>
      <w:r w:rsidRPr="005C2132">
        <w:rPr>
          <w:rFonts w:cs="Calibri"/>
          <w:sz w:val="20"/>
          <w:szCs w:val="20"/>
        </w:rPr>
        <w:t>015), p.172</w:t>
      </w:r>
    </w:p>
  </w:footnote>
  <w:footnote w:id="15">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rPr>
        <w:t xml:space="preserve"> Ibid. p.173</w:t>
      </w:r>
    </w:p>
  </w:footnote>
  <w:footnote w:id="16">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rPr>
        <w:t xml:space="preserve"> </w:t>
      </w:r>
      <w:proofErr w:type="spellStart"/>
      <w:r w:rsidRPr="005C2132">
        <w:rPr>
          <w:rFonts w:cs="Calibri"/>
          <w:sz w:val="20"/>
          <w:szCs w:val="20"/>
        </w:rPr>
        <w:t>Heuser</w:t>
      </w:r>
      <w:proofErr w:type="spellEnd"/>
      <w:r w:rsidRPr="005C2132">
        <w:rPr>
          <w:rFonts w:cs="Calibri"/>
          <w:sz w:val="20"/>
          <w:szCs w:val="20"/>
        </w:rPr>
        <w:t>, B</w:t>
      </w:r>
      <w:r w:rsidR="004A37C2">
        <w:rPr>
          <w:rFonts w:cs="Calibri"/>
          <w:sz w:val="20"/>
          <w:szCs w:val="20"/>
        </w:rPr>
        <w:t>.</w:t>
      </w:r>
      <w:r w:rsidRPr="005C2132">
        <w:rPr>
          <w:rFonts w:cs="Calibri"/>
          <w:sz w:val="20"/>
          <w:szCs w:val="20"/>
        </w:rPr>
        <w:t xml:space="preserve"> L. (2007) ‘Academic social cohesion within higher education’, Prospects 37, pp.293-303. [Online] DOI 10.1007/s11125-008-9036-3 (Last accessed: </w:t>
      </w:r>
      <w:r w:rsidR="009E20D1">
        <w:rPr>
          <w:rFonts w:cs="Calibri"/>
          <w:sz w:val="20"/>
          <w:szCs w:val="20"/>
        </w:rPr>
        <w:t>18 January 2015</w:t>
      </w:r>
      <w:r w:rsidRPr="005C2132">
        <w:rPr>
          <w:rFonts w:cs="Calibri"/>
          <w:sz w:val="20"/>
          <w:szCs w:val="20"/>
        </w:rPr>
        <w:t>)</w:t>
      </w:r>
    </w:p>
  </w:footnote>
  <w:footnote w:id="17">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rPr>
        <w:t xml:space="preserve"> Lewis, H</w:t>
      </w:r>
      <w:r w:rsidR="004A37C2">
        <w:rPr>
          <w:rFonts w:cs="Calibri"/>
          <w:sz w:val="20"/>
          <w:szCs w:val="20"/>
        </w:rPr>
        <w:t>.</w:t>
      </w:r>
      <w:r w:rsidRPr="005C2132">
        <w:rPr>
          <w:rFonts w:cs="Calibri"/>
          <w:sz w:val="20"/>
          <w:szCs w:val="20"/>
        </w:rPr>
        <w:t xml:space="preserve"> R. (2007) </w:t>
      </w:r>
      <w:r w:rsidRPr="004A37C2">
        <w:rPr>
          <w:rFonts w:cs="Calibri"/>
          <w:i/>
          <w:sz w:val="20"/>
          <w:szCs w:val="20"/>
        </w:rPr>
        <w:t>Excellence without a Soul: Does Liberal Education Have a Future?</w:t>
      </w:r>
      <w:r w:rsidRPr="005C2132">
        <w:rPr>
          <w:rFonts w:cs="Calibri"/>
          <w:sz w:val="20"/>
          <w:szCs w:val="20"/>
        </w:rPr>
        <w:t xml:space="preserve"> United States: PublicAffairs p. xiv</w:t>
      </w:r>
    </w:p>
  </w:footnote>
  <w:footnote w:id="18">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rPr>
        <w:t xml:space="preserve"> McCrimmon, L. A. (2003) ‘Mandating a Culture of Service: Pro Bono in the Law School Curriculum’, LegEdRev 4 [Online] Available at: </w:t>
      </w:r>
      <w:hyperlink r:id="rId5" w:history="1">
        <w:r w:rsidRPr="005C2132">
          <w:rPr>
            <w:rStyle w:val="Hyperlink"/>
            <w:rFonts w:cs="Calibri"/>
            <w:color w:val="auto"/>
            <w:sz w:val="20"/>
            <w:szCs w:val="20"/>
            <w:u w:val="none"/>
          </w:rPr>
          <w:t>http://www.austlii.edu.au/au/journals/LegEdRev/2003/4.html</w:t>
        </w:r>
      </w:hyperlink>
      <w:r w:rsidR="004A37C2">
        <w:rPr>
          <w:rStyle w:val="Hyperlink"/>
          <w:rFonts w:cs="Calibri"/>
          <w:color w:val="auto"/>
          <w:sz w:val="20"/>
          <w:szCs w:val="20"/>
          <w:u w:val="none"/>
        </w:rPr>
        <w:t xml:space="preserve"> </w:t>
      </w:r>
      <w:r w:rsidRPr="005C2132">
        <w:rPr>
          <w:rFonts w:cs="Calibri"/>
          <w:sz w:val="20"/>
          <w:szCs w:val="20"/>
        </w:rPr>
        <w:t>(Last accessed: 18 January 2015)</w:t>
      </w:r>
    </w:p>
  </w:footnote>
  <w:footnote w:id="19">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rPr>
        <w:t xml:space="preserve"> Association of American Law Schools Commission on Pro Bono and Public Service Opportunities, (undated), ‘Learning to Serve: The Commission’s Findings and Proposed Actions’, [Online] Available at </w:t>
      </w:r>
      <w:hyperlink r:id="rId6" w:anchor="findings" w:history="1">
        <w:r w:rsidRPr="005C2132">
          <w:rPr>
            <w:rStyle w:val="Hyperlink"/>
            <w:rFonts w:cs="Calibri"/>
            <w:color w:val="auto"/>
            <w:sz w:val="20"/>
            <w:szCs w:val="20"/>
            <w:u w:val="none"/>
          </w:rPr>
          <w:t>http://aalsfar.com/probono/report2.html#findings</w:t>
        </w:r>
      </w:hyperlink>
      <w:r w:rsidR="004A37C2">
        <w:rPr>
          <w:rStyle w:val="Hyperlink"/>
          <w:rFonts w:cs="Calibri"/>
          <w:color w:val="auto"/>
          <w:sz w:val="20"/>
          <w:szCs w:val="20"/>
          <w:u w:val="none"/>
        </w:rPr>
        <w:t xml:space="preserve"> </w:t>
      </w:r>
      <w:r w:rsidRPr="005C2132">
        <w:rPr>
          <w:rFonts w:cs="Calibri"/>
          <w:sz w:val="20"/>
          <w:szCs w:val="20"/>
        </w:rPr>
        <w:t>(Last accessed 18 January 2015)</w:t>
      </w:r>
    </w:p>
  </w:footnote>
  <w:footnote w:id="20">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rPr>
        <w:t xml:space="preserve"> Bloch, F.S. (2004) ‘The case for clinical scholarship’ 4 Int’l J. Clinical Legal Educ. pp.7-21. HeinOnline [Online] Available at </w:t>
      </w:r>
      <w:hyperlink r:id="rId7" w:history="1">
        <w:r w:rsidRPr="005C2132">
          <w:rPr>
            <w:rStyle w:val="Hyperlink"/>
            <w:rFonts w:cs="Calibri"/>
            <w:color w:val="auto"/>
            <w:sz w:val="20"/>
            <w:szCs w:val="20"/>
            <w:u w:val="none"/>
          </w:rPr>
          <w:t>http://heinonline.org</w:t>
        </w:r>
      </w:hyperlink>
      <w:r w:rsidR="004A37C2">
        <w:rPr>
          <w:rStyle w:val="Hyperlink"/>
          <w:rFonts w:cs="Calibri"/>
          <w:color w:val="auto"/>
          <w:sz w:val="20"/>
          <w:szCs w:val="20"/>
          <w:u w:val="none"/>
        </w:rPr>
        <w:t xml:space="preserve"> </w:t>
      </w:r>
      <w:r w:rsidRPr="005C2132">
        <w:rPr>
          <w:rFonts w:cs="Calibri"/>
          <w:sz w:val="20"/>
          <w:szCs w:val="20"/>
        </w:rPr>
        <w:t>(Last accessed: 18 January 2015) p.12</w:t>
      </w:r>
    </w:p>
  </w:footnote>
  <w:footnote w:id="21">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rPr>
        <w:t xml:space="preserve"> Ellmann, S. Gunning, I.R. and Hertz, R (1994), ‘Why not a clinical lawyer-journal?’, 1 Clinical L. Rev. pp.1-7, HeinOnline [Online] Available at: </w:t>
      </w:r>
      <w:hyperlink r:id="rId8" w:history="1">
        <w:r w:rsidRPr="005C2132">
          <w:rPr>
            <w:rStyle w:val="Hyperlink"/>
            <w:rFonts w:cs="Calibri"/>
            <w:color w:val="auto"/>
            <w:sz w:val="20"/>
            <w:szCs w:val="20"/>
            <w:u w:val="none"/>
          </w:rPr>
          <w:t>http://heinonline.org</w:t>
        </w:r>
      </w:hyperlink>
      <w:r w:rsidRPr="005C2132">
        <w:rPr>
          <w:rFonts w:cs="Calibri"/>
          <w:sz w:val="20"/>
          <w:szCs w:val="20"/>
        </w:rPr>
        <w:t xml:space="preserve"> (Last accessed: 18 January 2015)</w:t>
      </w:r>
    </w:p>
  </w:footnote>
  <w:footnote w:id="22">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rPr>
        <w:t xml:space="preserve"> Op.cit</w:t>
      </w:r>
      <w:r w:rsidR="009E20D1">
        <w:rPr>
          <w:rFonts w:cs="Calibri"/>
          <w:sz w:val="20"/>
          <w:szCs w:val="20"/>
        </w:rPr>
        <w:t>. note 18</w:t>
      </w:r>
      <w:r w:rsidRPr="005C2132">
        <w:rPr>
          <w:rFonts w:cs="Calibri"/>
          <w:sz w:val="20"/>
          <w:szCs w:val="20"/>
        </w:rPr>
        <w:t>, p.13</w:t>
      </w:r>
    </w:p>
  </w:footnote>
  <w:footnote w:id="23">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rPr>
        <w:t xml:space="preserve"> Grose, C. (2013) ‘Beyond Skills Training, Revisited: The Clinical Education Spiral’ Clinical L. Rev. 19, pp. 489-515 HeinOnline [Online]. Available at: http://heinonline.org (Last accessed: </w:t>
      </w:r>
      <w:r w:rsidR="009E20D1">
        <w:rPr>
          <w:rFonts w:cs="Calibri"/>
          <w:sz w:val="20"/>
          <w:szCs w:val="20"/>
        </w:rPr>
        <w:t>18 January 2015</w:t>
      </w:r>
      <w:r w:rsidRPr="005C2132">
        <w:rPr>
          <w:rFonts w:cs="Calibri"/>
          <w:sz w:val="20"/>
          <w:szCs w:val="20"/>
        </w:rPr>
        <w:t>) p. 493</w:t>
      </w:r>
    </w:p>
  </w:footnote>
  <w:footnote w:id="24">
    <w:p w:rsidR="00434E5A" w:rsidRPr="005C2132" w:rsidRDefault="00434E5A" w:rsidP="009E20D1">
      <w:pPr>
        <w:pStyle w:val="NoSpacing"/>
        <w:rPr>
          <w:rFonts w:cs="Calibri"/>
          <w:sz w:val="20"/>
          <w:szCs w:val="20"/>
        </w:rPr>
      </w:pPr>
      <w:r w:rsidRPr="005C2132">
        <w:rPr>
          <w:rStyle w:val="FootnoteReference"/>
          <w:rFonts w:cs="Calibri"/>
          <w:sz w:val="20"/>
          <w:szCs w:val="20"/>
        </w:rPr>
        <w:footnoteRef/>
      </w:r>
      <w:r w:rsidRPr="005C2132">
        <w:rPr>
          <w:rFonts w:cs="Calibri"/>
          <w:sz w:val="20"/>
          <w:szCs w:val="20"/>
        </w:rPr>
        <w:t xml:space="preserve"> </w:t>
      </w:r>
      <w:r w:rsidR="009E20D1">
        <w:rPr>
          <w:rFonts w:cs="Calibri"/>
          <w:sz w:val="20"/>
          <w:szCs w:val="20"/>
        </w:rPr>
        <w:t>Op.cit. note 2</w:t>
      </w:r>
    </w:p>
  </w:footnote>
  <w:footnote w:id="25">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rPr>
        <w:t xml:space="preserve"> Giddings, J. (2013) </w:t>
      </w:r>
      <w:r w:rsidRPr="004A37C2">
        <w:rPr>
          <w:rFonts w:cs="Calibri"/>
          <w:i/>
          <w:sz w:val="20"/>
          <w:szCs w:val="20"/>
        </w:rPr>
        <w:t>Promoting Justice Through Clinical Legal Education</w:t>
      </w:r>
      <w:r w:rsidRPr="005C2132">
        <w:rPr>
          <w:rFonts w:cs="Calibri"/>
          <w:sz w:val="20"/>
          <w:szCs w:val="20"/>
        </w:rPr>
        <w:t xml:space="preserve"> Melbourne: Justice Press, p. 64</w:t>
      </w:r>
    </w:p>
  </w:footnote>
  <w:footnote w:id="26">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rPr>
        <w:t xml:space="preserve"> ibid</w:t>
      </w:r>
    </w:p>
  </w:footnote>
  <w:footnote w:id="27">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rPr>
        <w:t xml:space="preserve"> Schrag, P.G and Meltsner, M. (1998) </w:t>
      </w:r>
      <w:r w:rsidRPr="004A37C2">
        <w:rPr>
          <w:rFonts w:cs="Calibri"/>
          <w:i/>
          <w:sz w:val="20"/>
          <w:szCs w:val="20"/>
        </w:rPr>
        <w:t>Reflecti</w:t>
      </w:r>
      <w:r w:rsidR="004A37C2" w:rsidRPr="004A37C2">
        <w:rPr>
          <w:rFonts w:cs="Calibri"/>
          <w:i/>
          <w:sz w:val="20"/>
          <w:szCs w:val="20"/>
        </w:rPr>
        <w:t>ons on Clinical Legal Education</w:t>
      </w:r>
      <w:r w:rsidRPr="005C2132">
        <w:rPr>
          <w:rFonts w:cs="Calibri"/>
          <w:sz w:val="20"/>
          <w:szCs w:val="20"/>
        </w:rPr>
        <w:t xml:space="preserve"> Boston: </w:t>
      </w:r>
      <w:proofErr w:type="spellStart"/>
      <w:r w:rsidRPr="005C2132">
        <w:rPr>
          <w:rFonts w:cs="Calibri"/>
          <w:sz w:val="20"/>
          <w:szCs w:val="20"/>
        </w:rPr>
        <w:t>Northeastern</w:t>
      </w:r>
      <w:proofErr w:type="spellEnd"/>
      <w:r w:rsidRPr="005C2132">
        <w:rPr>
          <w:rFonts w:cs="Calibri"/>
          <w:sz w:val="20"/>
          <w:szCs w:val="20"/>
        </w:rPr>
        <w:t xml:space="preserve"> University Press, p.9</w:t>
      </w:r>
    </w:p>
  </w:footnote>
  <w:footnote w:id="28">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rPr>
        <w:t xml:space="preserve"> ibid</w:t>
      </w:r>
    </w:p>
  </w:footnote>
  <w:footnote w:id="29">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rPr>
        <w:t xml:space="preserve"> Palermo, J. and Evans, A. (2008), ‘Almost There: Empirical Insights into Clinical Method and Ethics Courses in Climbing the Hill towards Lawyers’ Professionalism’, 17 Griffith L. Rev., pp.252-284, HeinOnline [Online] Available at </w:t>
      </w:r>
      <w:hyperlink r:id="rId9" w:history="1">
        <w:r w:rsidRPr="005C2132">
          <w:rPr>
            <w:rStyle w:val="Hyperlink"/>
            <w:rFonts w:cs="Calibri"/>
            <w:sz w:val="20"/>
            <w:szCs w:val="20"/>
          </w:rPr>
          <w:t>http://heinonline.org</w:t>
        </w:r>
      </w:hyperlink>
      <w:r w:rsidRPr="005C2132">
        <w:rPr>
          <w:rFonts w:cs="Calibri"/>
          <w:sz w:val="20"/>
          <w:szCs w:val="20"/>
        </w:rPr>
        <w:t xml:space="preserve"> (Last accessed 18 January 2015) p.253</w:t>
      </w:r>
    </w:p>
  </w:footnote>
  <w:footnote w:id="30">
    <w:p w:rsidR="00434E5A" w:rsidRDefault="00434E5A">
      <w:pPr>
        <w:pStyle w:val="FootnoteText"/>
      </w:pPr>
      <w:r>
        <w:rPr>
          <w:rStyle w:val="FootnoteReference"/>
        </w:rPr>
        <w:footnoteRef/>
      </w:r>
      <w:r>
        <w:t xml:space="preserve"> Ibid. p272</w:t>
      </w:r>
    </w:p>
  </w:footnote>
  <w:footnote w:id="31">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rPr>
        <w:t xml:space="preserve"> Granfield, R. (2007). ‘Institutionalizing Public Service in Law School: Results on Impact of Mandatory Pro Bono Programs’ Buff. L. Rev. 54: 1355-1412 Heinonline [Online] Available at: </w:t>
      </w:r>
      <w:hyperlink r:id="rId10" w:history="1">
        <w:r w:rsidR="004A37C2" w:rsidRPr="00C4273F">
          <w:rPr>
            <w:rStyle w:val="Hyperlink"/>
            <w:rFonts w:cs="Calibri"/>
            <w:sz w:val="20"/>
            <w:szCs w:val="20"/>
          </w:rPr>
          <w:t>http://heinonline.org</w:t>
        </w:r>
      </w:hyperlink>
      <w:r w:rsidR="004A37C2">
        <w:rPr>
          <w:rFonts w:cs="Calibri"/>
          <w:sz w:val="20"/>
          <w:szCs w:val="20"/>
        </w:rPr>
        <w:t xml:space="preserve"> </w:t>
      </w:r>
      <w:r w:rsidRPr="005C2132">
        <w:rPr>
          <w:rFonts w:cs="Calibri"/>
          <w:sz w:val="20"/>
          <w:szCs w:val="20"/>
        </w:rPr>
        <w:t xml:space="preserve">(Last accessed: </w:t>
      </w:r>
      <w:r w:rsidR="009E20D1">
        <w:rPr>
          <w:rFonts w:cs="Calibri"/>
          <w:sz w:val="20"/>
          <w:szCs w:val="20"/>
        </w:rPr>
        <w:t>18 January 2015</w:t>
      </w:r>
      <w:r w:rsidRPr="005C2132">
        <w:rPr>
          <w:rFonts w:cs="Calibri"/>
          <w:sz w:val="20"/>
          <w:szCs w:val="20"/>
        </w:rPr>
        <w:t>), p.1372</w:t>
      </w:r>
    </w:p>
  </w:footnote>
  <w:footnote w:id="32">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rPr>
        <w:t xml:space="preserve"> Rhode, D L. (2003) ‘Pro Bono in Principle and in Practice’. J. Legal Educ. 53:413-464 HeinOnline [Online]. Available at: </w:t>
      </w:r>
      <w:hyperlink r:id="rId11" w:history="1">
        <w:r w:rsidR="004A37C2" w:rsidRPr="00C4273F">
          <w:rPr>
            <w:rStyle w:val="Hyperlink"/>
            <w:rFonts w:cs="Calibri"/>
            <w:sz w:val="20"/>
            <w:szCs w:val="20"/>
          </w:rPr>
          <w:t>http://heinonline.org</w:t>
        </w:r>
      </w:hyperlink>
      <w:r w:rsidR="004A37C2">
        <w:rPr>
          <w:rFonts w:cs="Calibri"/>
          <w:sz w:val="20"/>
          <w:szCs w:val="20"/>
        </w:rPr>
        <w:t xml:space="preserve"> </w:t>
      </w:r>
      <w:r w:rsidRPr="005C2132">
        <w:rPr>
          <w:rFonts w:cs="Calibri"/>
          <w:sz w:val="20"/>
          <w:szCs w:val="20"/>
        </w:rPr>
        <w:t xml:space="preserve">(Last accessed: </w:t>
      </w:r>
      <w:r w:rsidR="009E20D1">
        <w:rPr>
          <w:rFonts w:cs="Calibri"/>
          <w:sz w:val="20"/>
          <w:szCs w:val="20"/>
        </w:rPr>
        <w:t>18 January 2015</w:t>
      </w:r>
      <w:r w:rsidRPr="005C2132">
        <w:rPr>
          <w:rFonts w:cs="Calibri"/>
          <w:sz w:val="20"/>
          <w:szCs w:val="20"/>
        </w:rPr>
        <w:t>)</w:t>
      </w:r>
    </w:p>
  </w:footnote>
  <w:footnote w:id="33">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rPr>
        <w:t xml:space="preserve"> Ibid p. 454</w:t>
      </w:r>
    </w:p>
  </w:footnote>
  <w:footnote w:id="34">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rPr>
        <w:t xml:space="preserve"> Ibid p. 455</w:t>
      </w:r>
    </w:p>
  </w:footnote>
  <w:footnote w:id="35">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rPr>
        <w:t xml:space="preserve"> Ibid p. 457</w:t>
      </w:r>
    </w:p>
  </w:footnote>
  <w:footnote w:id="36">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rPr>
        <w:t xml:space="preserve"> Op.cit. note </w:t>
      </w:r>
      <w:r w:rsidR="009E20D1">
        <w:rPr>
          <w:rFonts w:cs="Calibri"/>
          <w:sz w:val="20"/>
          <w:szCs w:val="20"/>
        </w:rPr>
        <w:t>2</w:t>
      </w:r>
      <w:r w:rsidRPr="005C2132">
        <w:rPr>
          <w:rFonts w:cs="Calibri"/>
          <w:sz w:val="20"/>
          <w:szCs w:val="20"/>
        </w:rPr>
        <w:t>9 p.1379</w:t>
      </w:r>
    </w:p>
  </w:footnote>
  <w:footnote w:id="37">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rPr>
        <w:t xml:space="preserve"> ibid</w:t>
      </w:r>
    </w:p>
  </w:footnote>
  <w:footnote w:id="38">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rPr>
        <w:t xml:space="preserve"> Ibid p. 1399</w:t>
      </w:r>
    </w:p>
  </w:footnote>
  <w:footnote w:id="39">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rPr>
        <w:t xml:space="preserve"> Op.cit. note </w:t>
      </w:r>
      <w:r w:rsidR="009E20D1">
        <w:rPr>
          <w:rFonts w:cs="Calibri"/>
          <w:sz w:val="20"/>
          <w:szCs w:val="20"/>
        </w:rPr>
        <w:t>30</w:t>
      </w:r>
      <w:r w:rsidRPr="005C2132">
        <w:rPr>
          <w:rFonts w:cs="Calibri"/>
          <w:sz w:val="20"/>
          <w:szCs w:val="20"/>
        </w:rPr>
        <w:t xml:space="preserve"> pp. 446-447</w:t>
      </w:r>
    </w:p>
  </w:footnote>
  <w:footnote w:id="40">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rPr>
        <w:t xml:space="preserve"> Op.cit note </w:t>
      </w:r>
      <w:r w:rsidR="009E20D1">
        <w:rPr>
          <w:rFonts w:cs="Calibri"/>
          <w:sz w:val="20"/>
          <w:szCs w:val="20"/>
        </w:rPr>
        <w:t>2</w:t>
      </w:r>
      <w:r w:rsidRPr="005C2132">
        <w:rPr>
          <w:rFonts w:cs="Calibri"/>
          <w:sz w:val="20"/>
          <w:szCs w:val="20"/>
        </w:rPr>
        <w:t>9 p. 1412</w:t>
      </w:r>
    </w:p>
  </w:footnote>
  <w:footnote w:id="41">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rPr>
        <w:t xml:space="preserve"> ibid</w:t>
      </w:r>
    </w:p>
  </w:footnote>
  <w:footnote w:id="42">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rPr>
        <w:t xml:space="preserve"> </w:t>
      </w:r>
      <w:r w:rsidR="009E20D1">
        <w:rPr>
          <w:rFonts w:cs="Calibri"/>
          <w:sz w:val="20"/>
          <w:szCs w:val="20"/>
        </w:rPr>
        <w:t>ibid</w:t>
      </w:r>
    </w:p>
  </w:footnote>
  <w:footnote w:id="43">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rPr>
        <w:t xml:space="preserve"> ibid</w:t>
      </w:r>
    </w:p>
  </w:footnote>
  <w:footnote w:id="44">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rPr>
        <w:t xml:space="preserve"> Schmedemann, D. (2009), ‘Priming for pro bono: The impact of Law School on Pro Bono Participation in Practice’ in Granfield, R. and Mather, L. (eds) </w:t>
      </w:r>
      <w:r w:rsidRPr="005C2132">
        <w:rPr>
          <w:rFonts w:cs="Calibri"/>
          <w:i/>
          <w:sz w:val="20"/>
          <w:szCs w:val="20"/>
        </w:rPr>
        <w:t xml:space="preserve">Private Lawyers in the Public Interest, </w:t>
      </w:r>
      <w:r w:rsidRPr="005C2132">
        <w:rPr>
          <w:rFonts w:cs="Calibri"/>
          <w:sz w:val="20"/>
          <w:szCs w:val="20"/>
        </w:rPr>
        <w:t>New York: Oxford University Press, pp.73-94, p.79</w:t>
      </w:r>
    </w:p>
  </w:footnote>
  <w:footnote w:id="45">
    <w:p w:rsidR="00434E5A" w:rsidRPr="005C2132" w:rsidRDefault="00434E5A" w:rsidP="00460DA6">
      <w:pPr>
        <w:pStyle w:val="NoSpacing"/>
        <w:jc w:val="both"/>
        <w:rPr>
          <w:rFonts w:cs="Calibri"/>
          <w:sz w:val="20"/>
          <w:szCs w:val="20"/>
          <w:lang w:val="de-DE"/>
        </w:rPr>
      </w:pPr>
      <w:r w:rsidRPr="005C2132">
        <w:rPr>
          <w:rStyle w:val="FootnoteReference"/>
          <w:rFonts w:cs="Calibri"/>
          <w:sz w:val="20"/>
          <w:szCs w:val="20"/>
        </w:rPr>
        <w:footnoteRef/>
      </w:r>
      <w:r w:rsidRPr="005C2132">
        <w:rPr>
          <w:rFonts w:cs="Calibri"/>
          <w:sz w:val="20"/>
          <w:szCs w:val="20"/>
        </w:rPr>
        <w:t xml:space="preserve"> Cruess and Cruess, 1997 as cited in Coulter, I.</w:t>
      </w:r>
      <w:r w:rsidR="006E0E25">
        <w:rPr>
          <w:rFonts w:cs="Calibri"/>
          <w:sz w:val="20"/>
          <w:szCs w:val="20"/>
        </w:rPr>
        <w:t xml:space="preserve"> </w:t>
      </w:r>
      <w:r w:rsidRPr="005C2132">
        <w:rPr>
          <w:rFonts w:cs="Calibri"/>
          <w:sz w:val="20"/>
          <w:szCs w:val="20"/>
        </w:rPr>
        <w:t xml:space="preserve">D. Wilkes, M. Der-Martirosian, C. (2007). ‘Altruism revisitied: a comparison of medical, law and business student’ altruistic attitudes’ Medical Education. </w:t>
      </w:r>
      <w:r w:rsidRPr="005C2132">
        <w:rPr>
          <w:rFonts w:cs="Calibri"/>
          <w:sz w:val="20"/>
          <w:szCs w:val="20"/>
          <w:lang w:val="de-DE"/>
        </w:rPr>
        <w:t xml:space="preserve">41: 341-345 [Online] DOI: 10.1111/j.1365-2929.2007.02716.x, </w:t>
      </w:r>
      <w:r w:rsidR="009E20D1">
        <w:rPr>
          <w:rFonts w:cs="Calibri"/>
          <w:sz w:val="20"/>
          <w:szCs w:val="20"/>
          <w:lang w:val="de-DE"/>
        </w:rPr>
        <w:t xml:space="preserve">(Last accessed: 18 January 2015) </w:t>
      </w:r>
      <w:r w:rsidRPr="005C2132">
        <w:rPr>
          <w:rFonts w:cs="Calibri"/>
          <w:sz w:val="20"/>
          <w:szCs w:val="20"/>
          <w:lang w:val="de-DE"/>
        </w:rPr>
        <w:t>p.342</w:t>
      </w:r>
      <w:r w:rsidR="009E20D1">
        <w:rPr>
          <w:rFonts w:cs="Calibri"/>
          <w:sz w:val="20"/>
          <w:szCs w:val="20"/>
          <w:lang w:val="de-DE"/>
        </w:rPr>
        <w:t xml:space="preserve"> </w:t>
      </w:r>
    </w:p>
  </w:footnote>
  <w:footnote w:id="46">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1B2F5E">
        <w:rPr>
          <w:rFonts w:cs="Calibri"/>
          <w:sz w:val="20"/>
          <w:szCs w:val="20"/>
        </w:rPr>
        <w:t xml:space="preserve"> Coulter, I.</w:t>
      </w:r>
      <w:r w:rsidR="006E0E25">
        <w:rPr>
          <w:rFonts w:cs="Calibri"/>
          <w:sz w:val="20"/>
          <w:szCs w:val="20"/>
        </w:rPr>
        <w:t xml:space="preserve"> </w:t>
      </w:r>
      <w:r w:rsidRPr="001B2F5E">
        <w:rPr>
          <w:rFonts w:cs="Calibri"/>
          <w:sz w:val="20"/>
          <w:szCs w:val="20"/>
        </w:rPr>
        <w:t xml:space="preserve">D. Wilkes, M. Der-Martirosian, C. (2007). </w:t>
      </w:r>
      <w:r w:rsidRPr="005C2132">
        <w:rPr>
          <w:rFonts w:cs="Calibri"/>
          <w:sz w:val="20"/>
          <w:szCs w:val="20"/>
        </w:rPr>
        <w:t>‘Altruism revisitied: a comparison of medical, law and business student’ altruistic attitudes’ Medical Education. 41: 341-345 [Online] DOI: 10.1111/j.1365-2929.2007.02716.x</w:t>
      </w:r>
      <w:r w:rsidR="009E20D1">
        <w:rPr>
          <w:rFonts w:cs="Calibri"/>
          <w:sz w:val="20"/>
          <w:szCs w:val="20"/>
        </w:rPr>
        <w:t xml:space="preserve"> (Last accessed: 18 January 2015)</w:t>
      </w:r>
    </w:p>
  </w:footnote>
  <w:footnote w:id="47">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rPr>
        <w:t xml:space="preserve"> Ibid p. 345</w:t>
      </w:r>
    </w:p>
  </w:footnote>
  <w:footnote w:id="48">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rPr>
        <w:t xml:space="preserve"> Ibid p. 342</w:t>
      </w:r>
    </w:p>
  </w:footnote>
  <w:footnote w:id="49">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rPr>
        <w:t xml:space="preserve"> Roche III, W</w:t>
      </w:r>
      <w:r w:rsidR="006E0E25">
        <w:rPr>
          <w:rFonts w:cs="Calibri"/>
          <w:sz w:val="20"/>
          <w:szCs w:val="20"/>
        </w:rPr>
        <w:t>.</w:t>
      </w:r>
      <w:r w:rsidRPr="005C2132">
        <w:rPr>
          <w:rFonts w:cs="Calibri"/>
          <w:sz w:val="20"/>
          <w:szCs w:val="20"/>
        </w:rPr>
        <w:t xml:space="preserve"> P.</w:t>
      </w:r>
      <w:r w:rsidR="006E0E25">
        <w:rPr>
          <w:rFonts w:cs="Calibri"/>
          <w:sz w:val="20"/>
          <w:szCs w:val="20"/>
        </w:rPr>
        <w:t>,</w:t>
      </w:r>
      <w:r w:rsidRPr="005C2132">
        <w:rPr>
          <w:rFonts w:cs="Calibri"/>
          <w:sz w:val="20"/>
          <w:szCs w:val="20"/>
        </w:rPr>
        <w:t xml:space="preserve"> </w:t>
      </w:r>
      <w:proofErr w:type="spellStart"/>
      <w:r w:rsidRPr="005C2132">
        <w:rPr>
          <w:rFonts w:cs="Calibri"/>
          <w:sz w:val="20"/>
          <w:szCs w:val="20"/>
        </w:rPr>
        <w:t>Scheetz</w:t>
      </w:r>
      <w:proofErr w:type="spellEnd"/>
      <w:r w:rsidRPr="005C2132">
        <w:rPr>
          <w:rFonts w:cs="Calibri"/>
          <w:sz w:val="20"/>
          <w:szCs w:val="20"/>
        </w:rPr>
        <w:t>, A</w:t>
      </w:r>
      <w:r w:rsidR="006E0E25">
        <w:rPr>
          <w:rFonts w:cs="Calibri"/>
          <w:sz w:val="20"/>
          <w:szCs w:val="20"/>
        </w:rPr>
        <w:t>.</w:t>
      </w:r>
      <w:r w:rsidRPr="005C2132">
        <w:rPr>
          <w:rFonts w:cs="Calibri"/>
          <w:sz w:val="20"/>
          <w:szCs w:val="20"/>
        </w:rPr>
        <w:t xml:space="preserve"> P.</w:t>
      </w:r>
      <w:r w:rsidR="006E0E25">
        <w:rPr>
          <w:rFonts w:cs="Calibri"/>
          <w:sz w:val="20"/>
          <w:szCs w:val="20"/>
        </w:rPr>
        <w:t>,</w:t>
      </w:r>
      <w:r w:rsidRPr="005C2132">
        <w:rPr>
          <w:rFonts w:cs="Calibri"/>
          <w:sz w:val="20"/>
          <w:szCs w:val="20"/>
        </w:rPr>
        <w:t xml:space="preserve"> Dane, F</w:t>
      </w:r>
      <w:r w:rsidR="006E0E25">
        <w:rPr>
          <w:rFonts w:cs="Calibri"/>
          <w:sz w:val="20"/>
          <w:szCs w:val="20"/>
        </w:rPr>
        <w:t>.</w:t>
      </w:r>
      <w:r w:rsidRPr="005C2132">
        <w:rPr>
          <w:rFonts w:cs="Calibri"/>
          <w:sz w:val="20"/>
          <w:szCs w:val="20"/>
        </w:rPr>
        <w:t xml:space="preserve"> C.</w:t>
      </w:r>
      <w:r w:rsidR="006E0E25">
        <w:rPr>
          <w:rFonts w:cs="Calibri"/>
          <w:sz w:val="20"/>
          <w:szCs w:val="20"/>
        </w:rPr>
        <w:t>,</w:t>
      </w:r>
      <w:r w:rsidRPr="005C2132">
        <w:rPr>
          <w:rFonts w:cs="Calibri"/>
          <w:sz w:val="20"/>
          <w:szCs w:val="20"/>
        </w:rPr>
        <w:t xml:space="preserve"> Parish, D</w:t>
      </w:r>
      <w:r w:rsidR="006E0E25">
        <w:rPr>
          <w:rFonts w:cs="Calibri"/>
          <w:sz w:val="20"/>
          <w:szCs w:val="20"/>
        </w:rPr>
        <w:t>.</w:t>
      </w:r>
      <w:r w:rsidRPr="005C2132">
        <w:rPr>
          <w:rFonts w:cs="Calibri"/>
          <w:sz w:val="20"/>
          <w:szCs w:val="20"/>
        </w:rPr>
        <w:t xml:space="preserve"> C</w:t>
      </w:r>
      <w:r w:rsidR="006E0E25">
        <w:rPr>
          <w:rFonts w:cs="Calibri"/>
          <w:sz w:val="20"/>
          <w:szCs w:val="20"/>
        </w:rPr>
        <w:t>.</w:t>
      </w:r>
      <w:r w:rsidRPr="005C2132">
        <w:rPr>
          <w:rFonts w:cs="Calibri"/>
          <w:sz w:val="20"/>
          <w:szCs w:val="20"/>
        </w:rPr>
        <w:t xml:space="preserve"> and O’Shea, J</w:t>
      </w:r>
      <w:r w:rsidR="006E0E25">
        <w:rPr>
          <w:rFonts w:cs="Calibri"/>
          <w:sz w:val="20"/>
          <w:szCs w:val="20"/>
        </w:rPr>
        <w:t>.</w:t>
      </w:r>
      <w:r w:rsidRPr="005C2132">
        <w:rPr>
          <w:rFonts w:cs="Calibri"/>
          <w:sz w:val="20"/>
          <w:szCs w:val="20"/>
        </w:rPr>
        <w:t xml:space="preserve"> T. (2003). ‘Medical Students’ Attitudes in a PBL Curriculum: Trust, Altruism, and Cynicism’ Academic Medicine 78(4):398-402. p. 398</w:t>
      </w:r>
    </w:p>
  </w:footnote>
  <w:footnote w:id="50">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rPr>
        <w:t xml:space="preserve"> ibid</w:t>
      </w:r>
    </w:p>
  </w:footnote>
  <w:footnote w:id="51">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rPr>
        <w:t xml:space="preserve"> Ibid p. 399</w:t>
      </w:r>
    </w:p>
  </w:footnote>
  <w:footnote w:id="52">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rPr>
        <w:t xml:space="preserve"> Ibid p. 402</w:t>
      </w:r>
    </w:p>
  </w:footnote>
  <w:footnote w:id="53">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rPr>
        <w:t xml:space="preserve"> Wear, D and Zarconi, J. (2008) ‘Can Compassion be Taught? Let’s Ask Our Students’ J Gen Intern Med 23(7):948-953. [Online] DOI: 10.1007/s11606-007-0501-0 (Last accessed: 21 August 2013)</w:t>
      </w:r>
    </w:p>
  </w:footnote>
  <w:footnote w:id="54">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rPr>
        <w:t xml:space="preserve"> ibid</w:t>
      </w:r>
    </w:p>
  </w:footnote>
  <w:footnote w:id="55">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rPr>
        <w:t xml:space="preserve"> ibid</w:t>
      </w:r>
    </w:p>
  </w:footnote>
  <w:footnote w:id="56">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00DB6F46">
        <w:rPr>
          <w:rFonts w:cs="Calibri"/>
          <w:sz w:val="20"/>
          <w:szCs w:val="20"/>
        </w:rPr>
        <w:t xml:space="preserve"> Op.cit note 11</w:t>
      </w:r>
      <w:r w:rsidRPr="005C2132">
        <w:rPr>
          <w:rFonts w:cs="Calibri"/>
          <w:sz w:val="20"/>
          <w:szCs w:val="20"/>
        </w:rPr>
        <w:t xml:space="preserve"> p. 190</w:t>
      </w:r>
    </w:p>
  </w:footnote>
  <w:footnote w:id="57">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rPr>
        <w:t xml:space="preserve"> Op.cit note </w:t>
      </w:r>
      <w:r w:rsidR="00DB6F46">
        <w:rPr>
          <w:rFonts w:cs="Calibri"/>
          <w:sz w:val="20"/>
          <w:szCs w:val="20"/>
        </w:rPr>
        <w:t>2</w:t>
      </w:r>
      <w:r w:rsidRPr="005C2132">
        <w:rPr>
          <w:rFonts w:cs="Calibri"/>
          <w:sz w:val="20"/>
          <w:szCs w:val="20"/>
        </w:rPr>
        <w:t>9 p. 1412</w:t>
      </w:r>
    </w:p>
  </w:footnote>
  <w:footnote w:id="58">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00DB6F46">
        <w:rPr>
          <w:rFonts w:cs="Calibri"/>
          <w:sz w:val="20"/>
          <w:szCs w:val="20"/>
        </w:rPr>
        <w:t xml:space="preserve"> Op.cit note 47</w:t>
      </w:r>
      <w:r w:rsidRPr="005C2132">
        <w:rPr>
          <w:rFonts w:cs="Calibri"/>
          <w:sz w:val="20"/>
          <w:szCs w:val="20"/>
        </w:rPr>
        <w:t xml:space="preserve"> p. 402</w:t>
      </w:r>
    </w:p>
  </w:footnote>
  <w:footnote w:id="59">
    <w:p w:rsidR="00434E5A" w:rsidRPr="005C2132" w:rsidRDefault="00434E5A" w:rsidP="00460DA6">
      <w:pPr>
        <w:pStyle w:val="NoSpacing"/>
        <w:jc w:val="both"/>
        <w:rPr>
          <w:rFonts w:cs="Calibri"/>
          <w:sz w:val="20"/>
          <w:szCs w:val="20"/>
          <w:lang w:val="fr-FR"/>
        </w:rPr>
      </w:pPr>
      <w:r w:rsidRPr="005C2132">
        <w:rPr>
          <w:rStyle w:val="FootnoteReference"/>
          <w:rFonts w:cs="Calibri"/>
          <w:sz w:val="20"/>
          <w:szCs w:val="20"/>
        </w:rPr>
        <w:footnoteRef/>
      </w:r>
      <w:r w:rsidRPr="005C2132">
        <w:rPr>
          <w:rFonts w:cs="Calibri"/>
          <w:sz w:val="20"/>
          <w:szCs w:val="20"/>
        </w:rPr>
        <w:t xml:space="preserve"> Northumbria University. (2012) LLB (Hons)/M Law Exempting Full-time. </w:t>
      </w:r>
      <w:r w:rsidRPr="005C2132">
        <w:rPr>
          <w:rFonts w:cs="Calibri"/>
          <w:sz w:val="20"/>
          <w:szCs w:val="20"/>
          <w:lang w:val="fr-FR"/>
        </w:rPr>
        <w:t>Available at:</w:t>
      </w:r>
    </w:p>
    <w:p w:rsidR="00434E5A" w:rsidRPr="005C2132" w:rsidRDefault="0003183D" w:rsidP="00460DA6">
      <w:pPr>
        <w:pStyle w:val="NoSpacing"/>
        <w:jc w:val="both"/>
        <w:rPr>
          <w:rFonts w:cs="Calibri"/>
          <w:sz w:val="20"/>
          <w:szCs w:val="20"/>
          <w:lang w:val="fr-FR"/>
        </w:rPr>
      </w:pPr>
      <w:hyperlink r:id="rId12" w:history="1">
        <w:r w:rsidR="006E0E25" w:rsidRPr="00C4273F">
          <w:rPr>
            <w:rStyle w:val="Hyperlink"/>
            <w:rFonts w:cs="Calibri"/>
            <w:sz w:val="20"/>
            <w:szCs w:val="20"/>
            <w:lang w:val="fr-FR"/>
          </w:rPr>
          <w:t>http://www.northumbria.ac.uk/sd/academic/law/courses/ug/innovative/mlawexempting/</w:t>
        </w:r>
      </w:hyperlink>
      <w:r w:rsidR="006E0E25">
        <w:rPr>
          <w:rFonts w:cs="Calibri"/>
          <w:sz w:val="20"/>
          <w:szCs w:val="20"/>
          <w:lang w:val="fr-FR"/>
        </w:rPr>
        <w:t xml:space="preserve"> </w:t>
      </w:r>
    </w:p>
    <w:p w:rsidR="00434E5A" w:rsidRPr="005C2132" w:rsidRDefault="00434E5A" w:rsidP="00460DA6">
      <w:pPr>
        <w:pStyle w:val="NoSpacing"/>
        <w:jc w:val="both"/>
        <w:rPr>
          <w:rFonts w:cs="Calibri"/>
          <w:sz w:val="20"/>
          <w:szCs w:val="20"/>
        </w:rPr>
      </w:pPr>
      <w:r w:rsidRPr="005C2132">
        <w:rPr>
          <w:rFonts w:cs="Calibri"/>
          <w:sz w:val="20"/>
          <w:szCs w:val="20"/>
        </w:rPr>
        <w:t>(Last accessed: 18 January 2015)</w:t>
      </w:r>
    </w:p>
  </w:footnote>
  <w:footnote w:id="60">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rPr>
        <w:t xml:space="preserve"> There is debate as to whether parametric tests, such as t-tests, are appropriate for ordinal data.  See Jamieson, S. (2004) ‘Likert scale: how to (ab)use them’ </w:t>
      </w:r>
      <w:r w:rsidRPr="005C2132">
        <w:rPr>
          <w:rFonts w:cs="Calibri"/>
          <w:i/>
          <w:sz w:val="20"/>
          <w:szCs w:val="20"/>
        </w:rPr>
        <w:t>Medical Education</w:t>
      </w:r>
      <w:r w:rsidRPr="005C2132">
        <w:rPr>
          <w:rFonts w:cs="Calibri"/>
          <w:sz w:val="20"/>
          <w:szCs w:val="20"/>
        </w:rPr>
        <w:t xml:space="preserve">. 38:1212-1218 [Online] DOI: 10.1111/j.1365-2929.2004.02012.x (Last accessed: 18 January 2015) and Norman, G. (2010) ‘Likert scales, levels of measurement and the “laws” of statistics’ Adv in Health Sci Educ 15:625-632 [Online] DOI: 10.1007//s10459-010-9222-y (Last accessed: 18 January 2015).  As the data collected was ordinal, it was deemed a non-parametric test was deemed the appropriate statistical test for this study. </w:t>
      </w:r>
    </w:p>
    <w:p w:rsidR="00434E5A" w:rsidRPr="005C2132" w:rsidRDefault="00434E5A" w:rsidP="00460DA6">
      <w:pPr>
        <w:pStyle w:val="NoSpacing"/>
        <w:jc w:val="both"/>
        <w:rPr>
          <w:rFonts w:cs="Calibri"/>
          <w:sz w:val="20"/>
          <w:szCs w:val="20"/>
        </w:rPr>
      </w:pPr>
    </w:p>
  </w:footnote>
  <w:footnote w:id="61">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rPr>
        <w:t xml:space="preserve"> Op</w:t>
      </w:r>
      <w:r w:rsidR="00DB6F46">
        <w:rPr>
          <w:rFonts w:cs="Calibri"/>
          <w:sz w:val="20"/>
          <w:szCs w:val="20"/>
        </w:rPr>
        <w:t>.cit. note 44</w:t>
      </w:r>
    </w:p>
  </w:footnote>
  <w:footnote w:id="62">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rPr>
        <w:t xml:space="preserve"> Both groups, Years 1, 2 and 3 and Year 4 students, gave a median rank of 2</w:t>
      </w:r>
    </w:p>
  </w:footnote>
  <w:footnote w:id="63">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rPr>
        <w:t xml:space="preserve"> Years 1,2 and 3 gave a median rank of 2 whilst Year 4 gave a median rank of 2.5</w:t>
      </w:r>
    </w:p>
  </w:footnote>
  <w:footnote w:id="64">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rPr>
        <w:t xml:space="preserve"> Both groups gave a median rank of 4</w:t>
      </w:r>
    </w:p>
  </w:footnote>
  <w:footnote w:id="65">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rPr>
        <w:t xml:space="preserve"> Both groups gave a media rank of 5</w:t>
      </w:r>
    </w:p>
  </w:footnote>
  <w:footnote w:id="66">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002066EC">
        <w:rPr>
          <w:rFonts w:cs="Calibri"/>
          <w:sz w:val="20"/>
          <w:szCs w:val="20"/>
        </w:rPr>
        <w:t>U</w:t>
      </w:r>
      <w:r w:rsidRPr="005C2132">
        <w:rPr>
          <w:rFonts w:cs="Calibri"/>
          <w:sz w:val="20"/>
          <w:szCs w:val="20"/>
        </w:rPr>
        <w:t xml:space="preserve">=102.000, p=.022 </w:t>
      </w:r>
    </w:p>
  </w:footnote>
  <w:footnote w:id="67">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rPr>
        <w:t xml:space="preserve"> </w:t>
      </w:r>
      <w:r w:rsidR="002066EC">
        <w:rPr>
          <w:rFonts w:cs="Calibri"/>
          <w:sz w:val="20"/>
          <w:szCs w:val="20"/>
        </w:rPr>
        <w:t>U</w:t>
      </w:r>
      <w:r w:rsidRPr="005C2132">
        <w:rPr>
          <w:rFonts w:cs="Calibri"/>
          <w:sz w:val="20"/>
          <w:szCs w:val="20"/>
        </w:rPr>
        <w:t>=158.500 p=.534</w:t>
      </w:r>
    </w:p>
  </w:footnote>
  <w:footnote w:id="68">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rPr>
        <w:t xml:space="preserve"> Norman, G. (2010) ‘Likert scales, levels of measurement and the “laws” of statistics’ Adv in Health Sci Educ 15:625-632 [Online] DOI: 10.1007//s10459-010-9222-y (Last accessed: 18 January 2015), p.628</w:t>
      </w:r>
    </w:p>
  </w:footnote>
  <w:footnote w:id="69">
    <w:p w:rsidR="00434E5A" w:rsidRPr="005C2132" w:rsidRDefault="00434E5A" w:rsidP="00460DA6">
      <w:pPr>
        <w:pStyle w:val="NoSpacing"/>
        <w:jc w:val="both"/>
        <w:rPr>
          <w:rFonts w:cs="Calibri"/>
          <w:sz w:val="20"/>
          <w:szCs w:val="20"/>
        </w:rPr>
      </w:pPr>
      <w:r w:rsidRPr="005C2132">
        <w:rPr>
          <w:rStyle w:val="FootnoteReference"/>
          <w:rFonts w:cs="Calibri"/>
          <w:sz w:val="20"/>
          <w:szCs w:val="20"/>
        </w:rPr>
        <w:footnoteRef/>
      </w:r>
      <w:r w:rsidRPr="005C2132">
        <w:rPr>
          <w:rFonts w:cs="Calibri"/>
          <w:sz w:val="20"/>
          <w:szCs w:val="20"/>
        </w:rPr>
        <w:t xml:space="preserve"> Ibid.</w:t>
      </w:r>
    </w:p>
  </w:footnote>
  <w:footnote w:id="70">
    <w:p w:rsidR="00434E5A" w:rsidRPr="003B498E" w:rsidRDefault="00434E5A" w:rsidP="00460DA6">
      <w:pPr>
        <w:pStyle w:val="NoSpacing"/>
        <w:jc w:val="both"/>
        <w:rPr>
          <w:sz w:val="20"/>
          <w:szCs w:val="20"/>
        </w:rPr>
      </w:pPr>
      <w:r w:rsidRPr="005C2132">
        <w:rPr>
          <w:rStyle w:val="FootnoteReference"/>
          <w:rFonts w:cs="Calibri"/>
          <w:sz w:val="20"/>
          <w:szCs w:val="20"/>
        </w:rPr>
        <w:footnoteRef/>
      </w:r>
      <w:r w:rsidRPr="005C2132">
        <w:rPr>
          <w:rFonts w:cs="Calibri"/>
          <w:sz w:val="20"/>
          <w:szCs w:val="20"/>
        </w:rPr>
        <w:t xml:space="preserve"> Jamieson, S. (2004) ‘Likert scale: how to (ab)use them’ Medical Education. 38:1212-1218 [Online] DOI: 10.1111/j.1365-2929.2004.02012.x (Last access</w:t>
      </w:r>
      <w:r w:rsidRPr="003B498E">
        <w:rPr>
          <w:sz w:val="20"/>
          <w:szCs w:val="20"/>
        </w:rPr>
        <w:t>ed: 18 January 2015) p.1218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B5C" w:rsidRDefault="004E1B5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B5C" w:rsidRDefault="004E1B5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1B5C" w:rsidRDefault="004E1B5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12FC"/>
    <w:multiLevelType w:val="hybridMultilevel"/>
    <w:tmpl w:val="7BBC4DF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E6B68DE"/>
    <w:multiLevelType w:val="hybridMultilevel"/>
    <w:tmpl w:val="D626F6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FAC0810"/>
    <w:multiLevelType w:val="hybridMultilevel"/>
    <w:tmpl w:val="E14A7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387A51A7"/>
    <w:multiLevelType w:val="hybridMultilevel"/>
    <w:tmpl w:val="9328DFB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39453E3E"/>
    <w:multiLevelType w:val="hybridMultilevel"/>
    <w:tmpl w:val="4880A3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DA2405A"/>
    <w:multiLevelType w:val="hybridMultilevel"/>
    <w:tmpl w:val="1C5691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DBB4B4A"/>
    <w:multiLevelType w:val="hybridMultilevel"/>
    <w:tmpl w:val="12268FB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nsid w:val="53D72B78"/>
    <w:multiLevelType w:val="hybridMultilevel"/>
    <w:tmpl w:val="C9F440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559802AB"/>
    <w:multiLevelType w:val="hybridMultilevel"/>
    <w:tmpl w:val="1BBEC8BC"/>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65566880"/>
    <w:multiLevelType w:val="hybridMultilevel"/>
    <w:tmpl w:val="9BCA26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790B7497"/>
    <w:multiLevelType w:val="hybridMultilevel"/>
    <w:tmpl w:val="BD0E476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7D88163D"/>
    <w:multiLevelType w:val="hybridMultilevel"/>
    <w:tmpl w:val="8EE8E0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0"/>
  </w:num>
  <w:num w:numId="3">
    <w:abstractNumId w:val="3"/>
  </w:num>
  <w:num w:numId="4">
    <w:abstractNumId w:val="1"/>
  </w:num>
  <w:num w:numId="5">
    <w:abstractNumId w:val="9"/>
  </w:num>
  <w:num w:numId="6">
    <w:abstractNumId w:val="7"/>
  </w:num>
  <w:num w:numId="7">
    <w:abstractNumId w:val="2"/>
  </w:num>
  <w:num w:numId="8">
    <w:abstractNumId w:val="8"/>
  </w:num>
  <w:num w:numId="9">
    <w:abstractNumId w:val="4"/>
  </w:num>
  <w:num w:numId="10">
    <w:abstractNumId w:val="5"/>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8"/>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A0B"/>
    <w:rsid w:val="00000C73"/>
    <w:rsid w:val="000127D1"/>
    <w:rsid w:val="00021AB4"/>
    <w:rsid w:val="0003183D"/>
    <w:rsid w:val="00034238"/>
    <w:rsid w:val="000423D4"/>
    <w:rsid w:val="00046A92"/>
    <w:rsid w:val="00056B3D"/>
    <w:rsid w:val="00061CAC"/>
    <w:rsid w:val="000659CF"/>
    <w:rsid w:val="00065D02"/>
    <w:rsid w:val="000830B0"/>
    <w:rsid w:val="00083ABE"/>
    <w:rsid w:val="00090B1D"/>
    <w:rsid w:val="000A5F3E"/>
    <w:rsid w:val="000A5F4A"/>
    <w:rsid w:val="000B42E5"/>
    <w:rsid w:val="000E1262"/>
    <w:rsid w:val="000E5729"/>
    <w:rsid w:val="000F4F80"/>
    <w:rsid w:val="000F5BE3"/>
    <w:rsid w:val="00111D02"/>
    <w:rsid w:val="0011417B"/>
    <w:rsid w:val="001202D2"/>
    <w:rsid w:val="00136DA7"/>
    <w:rsid w:val="0014445C"/>
    <w:rsid w:val="00147A69"/>
    <w:rsid w:val="0015194F"/>
    <w:rsid w:val="0016488D"/>
    <w:rsid w:val="0017222B"/>
    <w:rsid w:val="001912B1"/>
    <w:rsid w:val="00193690"/>
    <w:rsid w:val="001974C1"/>
    <w:rsid w:val="0019796E"/>
    <w:rsid w:val="001A01BE"/>
    <w:rsid w:val="001B2F5E"/>
    <w:rsid w:val="001B75A4"/>
    <w:rsid w:val="001D68D9"/>
    <w:rsid w:val="001E5C68"/>
    <w:rsid w:val="001F39E8"/>
    <w:rsid w:val="002066EC"/>
    <w:rsid w:val="00232437"/>
    <w:rsid w:val="002348E6"/>
    <w:rsid w:val="00242498"/>
    <w:rsid w:val="00266595"/>
    <w:rsid w:val="002767F3"/>
    <w:rsid w:val="002A1425"/>
    <w:rsid w:val="002B2FA0"/>
    <w:rsid w:val="002E54E4"/>
    <w:rsid w:val="002E6B98"/>
    <w:rsid w:val="002F6ED3"/>
    <w:rsid w:val="00316559"/>
    <w:rsid w:val="0032326C"/>
    <w:rsid w:val="00357DDF"/>
    <w:rsid w:val="00363B41"/>
    <w:rsid w:val="00372138"/>
    <w:rsid w:val="00386C30"/>
    <w:rsid w:val="003A0D24"/>
    <w:rsid w:val="003B016B"/>
    <w:rsid w:val="003B498E"/>
    <w:rsid w:val="003C0A6F"/>
    <w:rsid w:val="003D243B"/>
    <w:rsid w:val="003D467A"/>
    <w:rsid w:val="003E1C8A"/>
    <w:rsid w:val="003F3D73"/>
    <w:rsid w:val="00406BE3"/>
    <w:rsid w:val="00414C44"/>
    <w:rsid w:val="00434E5A"/>
    <w:rsid w:val="004407B0"/>
    <w:rsid w:val="00456104"/>
    <w:rsid w:val="00460DA6"/>
    <w:rsid w:val="00465D30"/>
    <w:rsid w:val="00470FC6"/>
    <w:rsid w:val="00481BE0"/>
    <w:rsid w:val="004847B1"/>
    <w:rsid w:val="004A23ED"/>
    <w:rsid w:val="004A37C2"/>
    <w:rsid w:val="004A3C64"/>
    <w:rsid w:val="004B669A"/>
    <w:rsid w:val="004B7372"/>
    <w:rsid w:val="004C37CE"/>
    <w:rsid w:val="004E10BC"/>
    <w:rsid w:val="004E1B5C"/>
    <w:rsid w:val="004F781F"/>
    <w:rsid w:val="00501F29"/>
    <w:rsid w:val="005348BB"/>
    <w:rsid w:val="00570E87"/>
    <w:rsid w:val="005758C8"/>
    <w:rsid w:val="00593C08"/>
    <w:rsid w:val="005B336A"/>
    <w:rsid w:val="005C2132"/>
    <w:rsid w:val="005E04C8"/>
    <w:rsid w:val="00603362"/>
    <w:rsid w:val="0063011D"/>
    <w:rsid w:val="006400CA"/>
    <w:rsid w:val="00640358"/>
    <w:rsid w:val="00643C98"/>
    <w:rsid w:val="00662B34"/>
    <w:rsid w:val="0067288C"/>
    <w:rsid w:val="006875F5"/>
    <w:rsid w:val="006E0E25"/>
    <w:rsid w:val="006F258B"/>
    <w:rsid w:val="006F63C8"/>
    <w:rsid w:val="007066E9"/>
    <w:rsid w:val="00707140"/>
    <w:rsid w:val="0072384C"/>
    <w:rsid w:val="007501B5"/>
    <w:rsid w:val="007604C2"/>
    <w:rsid w:val="00780282"/>
    <w:rsid w:val="007833CF"/>
    <w:rsid w:val="007849ED"/>
    <w:rsid w:val="00787B04"/>
    <w:rsid w:val="007A45DF"/>
    <w:rsid w:val="007C56F5"/>
    <w:rsid w:val="007C70E0"/>
    <w:rsid w:val="007D37DE"/>
    <w:rsid w:val="007E637A"/>
    <w:rsid w:val="007E7082"/>
    <w:rsid w:val="007F36DB"/>
    <w:rsid w:val="008206A5"/>
    <w:rsid w:val="00825654"/>
    <w:rsid w:val="00846B9A"/>
    <w:rsid w:val="00857B5D"/>
    <w:rsid w:val="008616E2"/>
    <w:rsid w:val="00871D6B"/>
    <w:rsid w:val="00880F15"/>
    <w:rsid w:val="008B0639"/>
    <w:rsid w:val="008B5E72"/>
    <w:rsid w:val="008C109C"/>
    <w:rsid w:val="008E0158"/>
    <w:rsid w:val="009052FB"/>
    <w:rsid w:val="00932625"/>
    <w:rsid w:val="00960921"/>
    <w:rsid w:val="0097642E"/>
    <w:rsid w:val="00995ABE"/>
    <w:rsid w:val="009B5BD0"/>
    <w:rsid w:val="009C1A6F"/>
    <w:rsid w:val="009C41FA"/>
    <w:rsid w:val="009E20D1"/>
    <w:rsid w:val="00A06E5C"/>
    <w:rsid w:val="00A17B5A"/>
    <w:rsid w:val="00A64256"/>
    <w:rsid w:val="00A97FF1"/>
    <w:rsid w:val="00AA3D21"/>
    <w:rsid w:val="00AB28AF"/>
    <w:rsid w:val="00AB4286"/>
    <w:rsid w:val="00AB61E4"/>
    <w:rsid w:val="00AC5A49"/>
    <w:rsid w:val="00AD0EC4"/>
    <w:rsid w:val="00AE6836"/>
    <w:rsid w:val="00B21696"/>
    <w:rsid w:val="00B24854"/>
    <w:rsid w:val="00B40888"/>
    <w:rsid w:val="00B40E71"/>
    <w:rsid w:val="00B50A5D"/>
    <w:rsid w:val="00B61A7D"/>
    <w:rsid w:val="00B655AC"/>
    <w:rsid w:val="00B83801"/>
    <w:rsid w:val="00BB3A70"/>
    <w:rsid w:val="00BC4733"/>
    <w:rsid w:val="00BD038A"/>
    <w:rsid w:val="00BD408A"/>
    <w:rsid w:val="00BE5566"/>
    <w:rsid w:val="00BE614F"/>
    <w:rsid w:val="00BF493A"/>
    <w:rsid w:val="00C26DDE"/>
    <w:rsid w:val="00C57E41"/>
    <w:rsid w:val="00C6002F"/>
    <w:rsid w:val="00CC781E"/>
    <w:rsid w:val="00CD4B64"/>
    <w:rsid w:val="00D00D62"/>
    <w:rsid w:val="00D07D1C"/>
    <w:rsid w:val="00D162BC"/>
    <w:rsid w:val="00D24812"/>
    <w:rsid w:val="00D31ED1"/>
    <w:rsid w:val="00D358B0"/>
    <w:rsid w:val="00D53553"/>
    <w:rsid w:val="00D56145"/>
    <w:rsid w:val="00D62E1A"/>
    <w:rsid w:val="00D73FF3"/>
    <w:rsid w:val="00D833B0"/>
    <w:rsid w:val="00D8432C"/>
    <w:rsid w:val="00D870D3"/>
    <w:rsid w:val="00D96117"/>
    <w:rsid w:val="00DB2495"/>
    <w:rsid w:val="00DB6F46"/>
    <w:rsid w:val="00DE4806"/>
    <w:rsid w:val="00E0429F"/>
    <w:rsid w:val="00E0751C"/>
    <w:rsid w:val="00E1146C"/>
    <w:rsid w:val="00E22A0B"/>
    <w:rsid w:val="00E30FF9"/>
    <w:rsid w:val="00E356D4"/>
    <w:rsid w:val="00E431E2"/>
    <w:rsid w:val="00E5285A"/>
    <w:rsid w:val="00E537C6"/>
    <w:rsid w:val="00E72B03"/>
    <w:rsid w:val="00EA70FE"/>
    <w:rsid w:val="00EC07A4"/>
    <w:rsid w:val="00ED4697"/>
    <w:rsid w:val="00EF23D3"/>
    <w:rsid w:val="00F04D7F"/>
    <w:rsid w:val="00F10D4D"/>
    <w:rsid w:val="00F1171E"/>
    <w:rsid w:val="00F266BE"/>
    <w:rsid w:val="00F35EE3"/>
    <w:rsid w:val="00F5704E"/>
    <w:rsid w:val="00F64A1F"/>
    <w:rsid w:val="00F7125C"/>
    <w:rsid w:val="00F7295F"/>
    <w:rsid w:val="00FD174A"/>
    <w:rsid w:val="00FD63D7"/>
    <w:rsid w:val="00FE54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pPr>
      <w:keepNext/>
      <w:jc w:val="both"/>
      <w:outlineLvl w:val="0"/>
    </w:pPr>
    <w:rPr>
      <w:rFonts w:ascii="Times New Roman" w:hAnsi="Times New Roman"/>
      <w:i/>
      <w:iCs/>
      <w:sz w:val="24"/>
      <w:szCs w:val="24"/>
    </w:rPr>
  </w:style>
  <w:style w:type="paragraph" w:styleId="Heading2">
    <w:name w:val="heading 2"/>
    <w:basedOn w:val="Normal"/>
    <w:next w:val="Normal"/>
    <w:qFormat/>
    <w:pPr>
      <w:keepNext/>
      <w:outlineLvl w:val="1"/>
    </w:pPr>
    <w:rPr>
      <w:rFonts w:ascii="Times New Roman" w:hAnsi="Times New Roman"/>
      <w:i/>
      <w:iCs/>
      <w:sz w:val="24"/>
      <w:szCs w:val="24"/>
    </w:rPr>
  </w:style>
  <w:style w:type="paragraph" w:styleId="Heading3">
    <w:name w:val="heading 3"/>
    <w:basedOn w:val="Normal"/>
    <w:next w:val="Normal"/>
    <w:qFormat/>
    <w:pPr>
      <w:keepNext/>
      <w:outlineLvl w:val="2"/>
    </w:pPr>
    <w:rPr>
      <w:rFonts w:ascii="Times New Roman" w:hAnsi="Times New Roman"/>
      <w:b/>
      <w:bCs/>
      <w:i/>
      <w:iCs/>
      <w:sz w:val="24"/>
    </w:rPr>
  </w:style>
  <w:style w:type="paragraph" w:styleId="Heading4">
    <w:name w:val="heading 4"/>
    <w:basedOn w:val="Normal"/>
    <w:next w:val="Normal"/>
    <w:qFormat/>
    <w:pPr>
      <w:keepNext/>
      <w:outlineLvl w:val="3"/>
    </w:pPr>
    <w:rPr>
      <w:rFonts w:ascii="Times New Roman" w:hAnsi="Times New Roman"/>
      <w:i/>
      <w:iCs/>
      <w:szCs w:val="24"/>
    </w:rPr>
  </w:style>
  <w:style w:type="paragraph" w:styleId="Heading5">
    <w:name w:val="heading 5"/>
    <w:basedOn w:val="Normal"/>
    <w:next w:val="Normal"/>
    <w:qFormat/>
    <w:pPr>
      <w:keepNext/>
      <w:autoSpaceDE w:val="0"/>
      <w:autoSpaceDN w:val="0"/>
      <w:adjustRightInd w:val="0"/>
      <w:spacing w:after="0" w:line="400" w:lineRule="atLeast"/>
      <w:outlineLvl w:val="4"/>
    </w:pPr>
    <w:rPr>
      <w:rFonts w:ascii="Times New Roman" w:eastAsia="Times New Roman" w:hAnsi="Times New Roman"/>
      <w:i/>
      <w:iCs/>
      <w:sz w:val="20"/>
      <w:szCs w:val="24"/>
      <w:lang w:val="en-US"/>
    </w:rPr>
  </w:style>
  <w:style w:type="paragraph" w:styleId="Heading6">
    <w:name w:val="heading 6"/>
    <w:basedOn w:val="Normal"/>
    <w:next w:val="Normal"/>
    <w:qFormat/>
    <w:pPr>
      <w:keepNext/>
      <w:spacing w:line="480" w:lineRule="auto"/>
      <w:jc w:val="both"/>
      <w:outlineLvl w:val="5"/>
    </w:pPr>
    <w:rPr>
      <w:rFonts w:ascii="Times New Roman" w:hAnsi="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Pr>
      <w:sz w:val="22"/>
      <w:szCs w:val="22"/>
      <w:lang w:eastAsia="en-US"/>
    </w:rPr>
  </w:style>
  <w:style w:type="paragraph" w:styleId="Header">
    <w:name w:val="header"/>
    <w:basedOn w:val="Normal"/>
    <w:unhideWhenUsed/>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unhideWhenUsed/>
    <w:pPr>
      <w:tabs>
        <w:tab w:val="center" w:pos="4513"/>
        <w:tab w:val="right" w:pos="9026"/>
      </w:tabs>
      <w:spacing w:after="0" w:line="240" w:lineRule="auto"/>
    </w:pPr>
  </w:style>
  <w:style w:type="character" w:customStyle="1" w:styleId="FooterChar">
    <w:name w:val="Footer Char"/>
    <w:basedOn w:val="DefaultParagraphFont"/>
    <w:uiPriority w:val="99"/>
  </w:style>
  <w:style w:type="character" w:styleId="Hyperlink">
    <w:name w:val="Hyperlink"/>
    <w:unhideWhenUsed/>
    <w:rPr>
      <w:color w:val="0000FF"/>
      <w:u w:val="single"/>
    </w:rPr>
  </w:style>
  <w:style w:type="paragraph" w:styleId="BodyTextIndent">
    <w:name w:val="Body Text Indent"/>
    <w:basedOn w:val="Normal"/>
    <w:link w:val="BodyTextIndentChar"/>
    <w:semiHidden/>
    <w:pPr>
      <w:spacing w:line="480" w:lineRule="auto"/>
      <w:ind w:left="720"/>
      <w:jc w:val="both"/>
    </w:pPr>
    <w:rPr>
      <w:rFonts w:ascii="Times New Roman" w:hAnsi="Times New Roman"/>
      <w:i/>
      <w:iCs/>
      <w:sz w:val="24"/>
      <w:szCs w:val="24"/>
    </w:rPr>
  </w:style>
  <w:style w:type="paragraph" w:styleId="BodyText">
    <w:name w:val="Body Text"/>
    <w:basedOn w:val="Normal"/>
    <w:semiHidden/>
    <w:rPr>
      <w:rFonts w:ascii="Times New Roman" w:hAnsi="Times New Roman"/>
      <w:sz w:val="24"/>
      <w:szCs w:val="24"/>
    </w:rPr>
  </w:style>
  <w:style w:type="character" w:styleId="FollowedHyperlink">
    <w:name w:val="FollowedHyperlink"/>
    <w:semiHidden/>
    <w:rPr>
      <w:color w:val="800080"/>
      <w:u w:val="single"/>
    </w:rPr>
  </w:style>
  <w:style w:type="paragraph" w:styleId="BodyText2">
    <w:name w:val="Body Text 2"/>
    <w:basedOn w:val="Normal"/>
    <w:semiHidden/>
    <w:pPr>
      <w:spacing w:line="480" w:lineRule="auto"/>
      <w:jc w:val="both"/>
    </w:pPr>
    <w:rPr>
      <w:rFonts w:ascii="Times New Roman" w:hAnsi="Times New Roman"/>
      <w:sz w:val="24"/>
      <w:szCs w:val="24"/>
    </w:rPr>
  </w:style>
  <w:style w:type="paragraph" w:customStyle="1" w:styleId="Default">
    <w:name w:val="Default"/>
    <w:pPr>
      <w:autoSpaceDE w:val="0"/>
      <w:autoSpaceDN w:val="0"/>
      <w:adjustRightInd w:val="0"/>
    </w:pPr>
    <w:rPr>
      <w:rFonts w:ascii="Arial" w:eastAsia="Times New Roman" w:hAnsi="Arial" w:cs="Arial"/>
      <w:color w:val="000000"/>
      <w:sz w:val="24"/>
      <w:szCs w:val="24"/>
      <w:lang w:val="en-US" w:eastAsia="en-U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aption">
    <w:name w:val="caption"/>
    <w:basedOn w:val="Normal"/>
    <w:next w:val="Normal"/>
    <w:qFormat/>
    <w:pPr>
      <w:autoSpaceDE w:val="0"/>
      <w:autoSpaceDN w:val="0"/>
      <w:adjustRightInd w:val="0"/>
      <w:spacing w:after="0" w:line="480" w:lineRule="auto"/>
      <w:jc w:val="both"/>
    </w:pPr>
    <w:rPr>
      <w:rFonts w:ascii="Times New Roman" w:eastAsia="Times New Roman" w:hAnsi="Times New Roman"/>
      <w:i/>
      <w:iCs/>
      <w:sz w:val="24"/>
      <w:szCs w:val="24"/>
      <w:lang w:val="en-US"/>
    </w:rPr>
  </w:style>
  <w:style w:type="paragraph" w:styleId="BalloonText">
    <w:name w:val="Balloon Text"/>
    <w:basedOn w:val="Normal"/>
    <w:link w:val="BalloonTextChar"/>
    <w:uiPriority w:val="99"/>
    <w:semiHidden/>
    <w:unhideWhenUsed/>
    <w:rsid w:val="00E22A0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22A0B"/>
    <w:rPr>
      <w:rFonts w:ascii="Tahoma" w:hAnsi="Tahoma" w:cs="Tahoma"/>
      <w:sz w:val="16"/>
      <w:szCs w:val="16"/>
      <w:lang w:eastAsia="en-US"/>
    </w:rPr>
  </w:style>
  <w:style w:type="paragraph" w:styleId="FootnoteText">
    <w:name w:val="footnote text"/>
    <w:basedOn w:val="Normal"/>
    <w:link w:val="FootnoteTextChar"/>
    <w:uiPriority w:val="99"/>
    <w:unhideWhenUsed/>
    <w:rsid w:val="00F7295F"/>
    <w:rPr>
      <w:sz w:val="20"/>
      <w:szCs w:val="20"/>
    </w:rPr>
  </w:style>
  <w:style w:type="character" w:customStyle="1" w:styleId="FootnoteTextChar">
    <w:name w:val="Footnote Text Char"/>
    <w:link w:val="FootnoteText"/>
    <w:uiPriority w:val="99"/>
    <w:rsid w:val="00F7295F"/>
    <w:rPr>
      <w:lang w:eastAsia="en-US"/>
    </w:rPr>
  </w:style>
  <w:style w:type="character" w:styleId="FootnoteReference">
    <w:name w:val="footnote reference"/>
    <w:uiPriority w:val="99"/>
    <w:semiHidden/>
    <w:unhideWhenUsed/>
    <w:rsid w:val="00F7295F"/>
    <w:rPr>
      <w:vertAlign w:val="superscript"/>
    </w:rPr>
  </w:style>
  <w:style w:type="character" w:customStyle="1" w:styleId="NoSpacingChar">
    <w:name w:val="No Spacing Char"/>
    <w:link w:val="NoSpacing"/>
    <w:uiPriority w:val="1"/>
    <w:rsid w:val="00CD4B64"/>
    <w:rPr>
      <w:sz w:val="22"/>
      <w:szCs w:val="22"/>
      <w:lang w:eastAsia="en-US"/>
    </w:rPr>
  </w:style>
  <w:style w:type="paragraph" w:styleId="CommentSubject">
    <w:name w:val="annotation subject"/>
    <w:basedOn w:val="CommentText"/>
    <w:next w:val="CommentText"/>
    <w:link w:val="CommentSubjectChar"/>
    <w:uiPriority w:val="99"/>
    <w:semiHidden/>
    <w:unhideWhenUsed/>
    <w:rsid w:val="00BF493A"/>
    <w:rPr>
      <w:b/>
      <w:bCs/>
    </w:rPr>
  </w:style>
  <w:style w:type="character" w:customStyle="1" w:styleId="CommentTextChar">
    <w:name w:val="Comment Text Char"/>
    <w:link w:val="CommentText"/>
    <w:semiHidden/>
    <w:rsid w:val="00BF493A"/>
    <w:rPr>
      <w:lang w:val="en-GB" w:eastAsia="en-US"/>
    </w:rPr>
  </w:style>
  <w:style w:type="character" w:customStyle="1" w:styleId="CommentSubjectChar">
    <w:name w:val="Comment Subject Char"/>
    <w:link w:val="CommentSubject"/>
    <w:uiPriority w:val="99"/>
    <w:semiHidden/>
    <w:rsid w:val="00BF493A"/>
    <w:rPr>
      <w:b/>
      <w:bCs/>
      <w:lang w:val="en-GB" w:eastAsia="en-US"/>
    </w:rPr>
  </w:style>
  <w:style w:type="character" w:customStyle="1" w:styleId="BodyTextIndentChar">
    <w:name w:val="Body Text Indent Char"/>
    <w:link w:val="BodyTextIndent"/>
    <w:semiHidden/>
    <w:rsid w:val="00593C08"/>
    <w:rPr>
      <w:rFonts w:ascii="Times New Roman" w:hAnsi="Times New Roman"/>
      <w:i/>
      <w:iCs/>
      <w:sz w:val="24"/>
      <w:szCs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pPr>
      <w:keepNext/>
      <w:jc w:val="both"/>
      <w:outlineLvl w:val="0"/>
    </w:pPr>
    <w:rPr>
      <w:rFonts w:ascii="Times New Roman" w:hAnsi="Times New Roman"/>
      <w:i/>
      <w:iCs/>
      <w:sz w:val="24"/>
      <w:szCs w:val="24"/>
    </w:rPr>
  </w:style>
  <w:style w:type="paragraph" w:styleId="Heading2">
    <w:name w:val="heading 2"/>
    <w:basedOn w:val="Normal"/>
    <w:next w:val="Normal"/>
    <w:qFormat/>
    <w:pPr>
      <w:keepNext/>
      <w:outlineLvl w:val="1"/>
    </w:pPr>
    <w:rPr>
      <w:rFonts w:ascii="Times New Roman" w:hAnsi="Times New Roman"/>
      <w:i/>
      <w:iCs/>
      <w:sz w:val="24"/>
      <w:szCs w:val="24"/>
    </w:rPr>
  </w:style>
  <w:style w:type="paragraph" w:styleId="Heading3">
    <w:name w:val="heading 3"/>
    <w:basedOn w:val="Normal"/>
    <w:next w:val="Normal"/>
    <w:qFormat/>
    <w:pPr>
      <w:keepNext/>
      <w:outlineLvl w:val="2"/>
    </w:pPr>
    <w:rPr>
      <w:rFonts w:ascii="Times New Roman" w:hAnsi="Times New Roman"/>
      <w:b/>
      <w:bCs/>
      <w:i/>
      <w:iCs/>
      <w:sz w:val="24"/>
    </w:rPr>
  </w:style>
  <w:style w:type="paragraph" w:styleId="Heading4">
    <w:name w:val="heading 4"/>
    <w:basedOn w:val="Normal"/>
    <w:next w:val="Normal"/>
    <w:qFormat/>
    <w:pPr>
      <w:keepNext/>
      <w:outlineLvl w:val="3"/>
    </w:pPr>
    <w:rPr>
      <w:rFonts w:ascii="Times New Roman" w:hAnsi="Times New Roman"/>
      <w:i/>
      <w:iCs/>
      <w:szCs w:val="24"/>
    </w:rPr>
  </w:style>
  <w:style w:type="paragraph" w:styleId="Heading5">
    <w:name w:val="heading 5"/>
    <w:basedOn w:val="Normal"/>
    <w:next w:val="Normal"/>
    <w:qFormat/>
    <w:pPr>
      <w:keepNext/>
      <w:autoSpaceDE w:val="0"/>
      <w:autoSpaceDN w:val="0"/>
      <w:adjustRightInd w:val="0"/>
      <w:spacing w:after="0" w:line="400" w:lineRule="atLeast"/>
      <w:outlineLvl w:val="4"/>
    </w:pPr>
    <w:rPr>
      <w:rFonts w:ascii="Times New Roman" w:eastAsia="Times New Roman" w:hAnsi="Times New Roman"/>
      <w:i/>
      <w:iCs/>
      <w:sz w:val="20"/>
      <w:szCs w:val="24"/>
      <w:lang w:val="en-US"/>
    </w:rPr>
  </w:style>
  <w:style w:type="paragraph" w:styleId="Heading6">
    <w:name w:val="heading 6"/>
    <w:basedOn w:val="Normal"/>
    <w:next w:val="Normal"/>
    <w:qFormat/>
    <w:pPr>
      <w:keepNext/>
      <w:spacing w:line="480" w:lineRule="auto"/>
      <w:jc w:val="both"/>
      <w:outlineLvl w:val="5"/>
    </w:pPr>
    <w:rPr>
      <w:rFonts w:ascii="Times New Roman" w:hAnsi="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Pr>
      <w:sz w:val="22"/>
      <w:szCs w:val="22"/>
      <w:lang w:eastAsia="en-US"/>
    </w:rPr>
  </w:style>
  <w:style w:type="paragraph" w:styleId="Header">
    <w:name w:val="header"/>
    <w:basedOn w:val="Normal"/>
    <w:unhideWhenUsed/>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uiPriority w:val="99"/>
    <w:unhideWhenUsed/>
    <w:pPr>
      <w:tabs>
        <w:tab w:val="center" w:pos="4513"/>
        <w:tab w:val="right" w:pos="9026"/>
      </w:tabs>
      <w:spacing w:after="0" w:line="240" w:lineRule="auto"/>
    </w:pPr>
  </w:style>
  <w:style w:type="character" w:customStyle="1" w:styleId="FooterChar">
    <w:name w:val="Footer Char"/>
    <w:basedOn w:val="DefaultParagraphFont"/>
    <w:uiPriority w:val="99"/>
  </w:style>
  <w:style w:type="character" w:styleId="Hyperlink">
    <w:name w:val="Hyperlink"/>
    <w:unhideWhenUsed/>
    <w:rPr>
      <w:color w:val="0000FF"/>
      <w:u w:val="single"/>
    </w:rPr>
  </w:style>
  <w:style w:type="paragraph" w:styleId="BodyTextIndent">
    <w:name w:val="Body Text Indent"/>
    <w:basedOn w:val="Normal"/>
    <w:link w:val="BodyTextIndentChar"/>
    <w:semiHidden/>
    <w:pPr>
      <w:spacing w:line="480" w:lineRule="auto"/>
      <w:ind w:left="720"/>
      <w:jc w:val="both"/>
    </w:pPr>
    <w:rPr>
      <w:rFonts w:ascii="Times New Roman" w:hAnsi="Times New Roman"/>
      <w:i/>
      <w:iCs/>
      <w:sz w:val="24"/>
      <w:szCs w:val="24"/>
    </w:rPr>
  </w:style>
  <w:style w:type="paragraph" w:styleId="BodyText">
    <w:name w:val="Body Text"/>
    <w:basedOn w:val="Normal"/>
    <w:semiHidden/>
    <w:rPr>
      <w:rFonts w:ascii="Times New Roman" w:hAnsi="Times New Roman"/>
      <w:sz w:val="24"/>
      <w:szCs w:val="24"/>
    </w:rPr>
  </w:style>
  <w:style w:type="character" w:styleId="FollowedHyperlink">
    <w:name w:val="FollowedHyperlink"/>
    <w:semiHidden/>
    <w:rPr>
      <w:color w:val="800080"/>
      <w:u w:val="single"/>
    </w:rPr>
  </w:style>
  <w:style w:type="paragraph" w:styleId="BodyText2">
    <w:name w:val="Body Text 2"/>
    <w:basedOn w:val="Normal"/>
    <w:semiHidden/>
    <w:pPr>
      <w:spacing w:line="480" w:lineRule="auto"/>
      <w:jc w:val="both"/>
    </w:pPr>
    <w:rPr>
      <w:rFonts w:ascii="Times New Roman" w:hAnsi="Times New Roman"/>
      <w:sz w:val="24"/>
      <w:szCs w:val="24"/>
    </w:rPr>
  </w:style>
  <w:style w:type="paragraph" w:customStyle="1" w:styleId="Default">
    <w:name w:val="Default"/>
    <w:pPr>
      <w:autoSpaceDE w:val="0"/>
      <w:autoSpaceDN w:val="0"/>
      <w:adjustRightInd w:val="0"/>
    </w:pPr>
    <w:rPr>
      <w:rFonts w:ascii="Arial" w:eastAsia="Times New Roman" w:hAnsi="Arial" w:cs="Arial"/>
      <w:color w:val="000000"/>
      <w:sz w:val="24"/>
      <w:szCs w:val="24"/>
      <w:lang w:val="en-US" w:eastAsia="en-US"/>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szCs w:val="20"/>
    </w:rPr>
  </w:style>
  <w:style w:type="paragraph" w:styleId="Caption">
    <w:name w:val="caption"/>
    <w:basedOn w:val="Normal"/>
    <w:next w:val="Normal"/>
    <w:qFormat/>
    <w:pPr>
      <w:autoSpaceDE w:val="0"/>
      <w:autoSpaceDN w:val="0"/>
      <w:adjustRightInd w:val="0"/>
      <w:spacing w:after="0" w:line="480" w:lineRule="auto"/>
      <w:jc w:val="both"/>
    </w:pPr>
    <w:rPr>
      <w:rFonts w:ascii="Times New Roman" w:eastAsia="Times New Roman" w:hAnsi="Times New Roman"/>
      <w:i/>
      <w:iCs/>
      <w:sz w:val="24"/>
      <w:szCs w:val="24"/>
      <w:lang w:val="en-US"/>
    </w:rPr>
  </w:style>
  <w:style w:type="paragraph" w:styleId="BalloonText">
    <w:name w:val="Balloon Text"/>
    <w:basedOn w:val="Normal"/>
    <w:link w:val="BalloonTextChar"/>
    <w:uiPriority w:val="99"/>
    <w:semiHidden/>
    <w:unhideWhenUsed/>
    <w:rsid w:val="00E22A0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22A0B"/>
    <w:rPr>
      <w:rFonts w:ascii="Tahoma" w:hAnsi="Tahoma" w:cs="Tahoma"/>
      <w:sz w:val="16"/>
      <w:szCs w:val="16"/>
      <w:lang w:eastAsia="en-US"/>
    </w:rPr>
  </w:style>
  <w:style w:type="paragraph" w:styleId="FootnoteText">
    <w:name w:val="footnote text"/>
    <w:basedOn w:val="Normal"/>
    <w:link w:val="FootnoteTextChar"/>
    <w:uiPriority w:val="99"/>
    <w:unhideWhenUsed/>
    <w:rsid w:val="00F7295F"/>
    <w:rPr>
      <w:sz w:val="20"/>
      <w:szCs w:val="20"/>
    </w:rPr>
  </w:style>
  <w:style w:type="character" w:customStyle="1" w:styleId="FootnoteTextChar">
    <w:name w:val="Footnote Text Char"/>
    <w:link w:val="FootnoteText"/>
    <w:uiPriority w:val="99"/>
    <w:rsid w:val="00F7295F"/>
    <w:rPr>
      <w:lang w:eastAsia="en-US"/>
    </w:rPr>
  </w:style>
  <w:style w:type="character" w:styleId="FootnoteReference">
    <w:name w:val="footnote reference"/>
    <w:uiPriority w:val="99"/>
    <w:semiHidden/>
    <w:unhideWhenUsed/>
    <w:rsid w:val="00F7295F"/>
    <w:rPr>
      <w:vertAlign w:val="superscript"/>
    </w:rPr>
  </w:style>
  <w:style w:type="character" w:customStyle="1" w:styleId="NoSpacingChar">
    <w:name w:val="No Spacing Char"/>
    <w:link w:val="NoSpacing"/>
    <w:uiPriority w:val="1"/>
    <w:rsid w:val="00CD4B64"/>
    <w:rPr>
      <w:sz w:val="22"/>
      <w:szCs w:val="22"/>
      <w:lang w:eastAsia="en-US"/>
    </w:rPr>
  </w:style>
  <w:style w:type="paragraph" w:styleId="CommentSubject">
    <w:name w:val="annotation subject"/>
    <w:basedOn w:val="CommentText"/>
    <w:next w:val="CommentText"/>
    <w:link w:val="CommentSubjectChar"/>
    <w:uiPriority w:val="99"/>
    <w:semiHidden/>
    <w:unhideWhenUsed/>
    <w:rsid w:val="00BF493A"/>
    <w:rPr>
      <w:b/>
      <w:bCs/>
    </w:rPr>
  </w:style>
  <w:style w:type="character" w:customStyle="1" w:styleId="CommentTextChar">
    <w:name w:val="Comment Text Char"/>
    <w:link w:val="CommentText"/>
    <w:semiHidden/>
    <w:rsid w:val="00BF493A"/>
    <w:rPr>
      <w:lang w:val="en-GB" w:eastAsia="en-US"/>
    </w:rPr>
  </w:style>
  <w:style w:type="character" w:customStyle="1" w:styleId="CommentSubjectChar">
    <w:name w:val="Comment Subject Char"/>
    <w:link w:val="CommentSubject"/>
    <w:uiPriority w:val="99"/>
    <w:semiHidden/>
    <w:rsid w:val="00BF493A"/>
    <w:rPr>
      <w:b/>
      <w:bCs/>
      <w:lang w:val="en-GB" w:eastAsia="en-US"/>
    </w:rPr>
  </w:style>
  <w:style w:type="character" w:customStyle="1" w:styleId="BodyTextIndentChar">
    <w:name w:val="Body Text Indent Char"/>
    <w:link w:val="BodyTextIndent"/>
    <w:semiHidden/>
    <w:rsid w:val="00593C08"/>
    <w:rPr>
      <w:rFonts w:ascii="Times New Roman" w:hAnsi="Times New Roman"/>
      <w:i/>
      <w:iCs/>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8.emf"/><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7.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24" Type="http://schemas.openxmlformats.org/officeDocument/2006/relationships/footer" Target="footer3.xml"/><Relationship Id="rId5" Type="http://schemas.microsoft.com/office/2007/relationships/stylesWithEffects" Target="stylesWithEffects.xml"/><Relationship Id="rId15" Type="http://schemas.openxmlformats.org/officeDocument/2006/relationships/image" Target="media/image5.emf"/><Relationship Id="rId23" Type="http://schemas.openxmlformats.org/officeDocument/2006/relationships/header" Target="header3.xml"/><Relationship Id="rId10" Type="http://schemas.openxmlformats.org/officeDocument/2006/relationships/hyperlink" Target="mailto:paul.mckeown@northumbria.ac.uk"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emf"/><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heinonline.org" TargetMode="External"/><Relationship Id="rId3" Type="http://schemas.openxmlformats.org/officeDocument/2006/relationships/hyperlink" Target="http://www.lawworks.org.uk/protocol_text" TargetMode="External"/><Relationship Id="rId7" Type="http://schemas.openxmlformats.org/officeDocument/2006/relationships/hyperlink" Target="http://heinonline.org" TargetMode="External"/><Relationship Id="rId12" Type="http://schemas.openxmlformats.org/officeDocument/2006/relationships/hyperlink" Target="http://www.northumbria.ac.uk/sd/academic/law/courses/ug/innovative/mlawexempting/" TargetMode="External"/><Relationship Id="rId2" Type="http://schemas.openxmlformats.org/officeDocument/2006/relationships/hyperlink" Target="http://lawworks.org.uk/tmp_downloads/k150c69y95y80r23d40x93s30c57g25v44t110q78i113t5/1014-033-lawworks-student-pro-bono-report-web.pdf" TargetMode="External"/><Relationship Id="rId1" Type="http://schemas.openxmlformats.org/officeDocument/2006/relationships/hyperlink" Target="http://www.probonogroup.org.uk/lawworks/docs/Student%20report%20Final.pdf" TargetMode="External"/><Relationship Id="rId6" Type="http://schemas.openxmlformats.org/officeDocument/2006/relationships/hyperlink" Target="http://aalsfar.com/probono/report2.html" TargetMode="External"/><Relationship Id="rId11" Type="http://schemas.openxmlformats.org/officeDocument/2006/relationships/hyperlink" Target="http://heinonline.org" TargetMode="External"/><Relationship Id="rId5" Type="http://schemas.openxmlformats.org/officeDocument/2006/relationships/hyperlink" Target="http://www.austlii.edu.au/au/journals/LegEdRev/2003/4.html" TargetMode="External"/><Relationship Id="rId10" Type="http://schemas.openxmlformats.org/officeDocument/2006/relationships/hyperlink" Target="http://heinonline.org" TargetMode="External"/><Relationship Id="rId4" Type="http://schemas.openxmlformats.org/officeDocument/2006/relationships/hyperlink" Target="http://www.ncbi.nlm.nih.gov/pmc/articles/PMC1059297/pdf/jmedeth00011-0005.pdf" TargetMode="External"/><Relationship Id="rId9" Type="http://schemas.openxmlformats.org/officeDocument/2006/relationships/hyperlink" Target="http://heinonlin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2C58AA1-C3FC-48BB-9698-A02D66A76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40</Pages>
  <Words>5946</Words>
  <Characters>33897</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Northumbria University</Company>
  <LinksUpToDate>false</LinksUpToDate>
  <CharactersWithSpaces>39764</CharactersWithSpaces>
  <SharedDoc>false</SharedDoc>
  <HLinks>
    <vt:vector size="36" baseType="variant">
      <vt:variant>
        <vt:i4>3407976</vt:i4>
      </vt:variant>
      <vt:variant>
        <vt:i4>15</vt:i4>
      </vt:variant>
      <vt:variant>
        <vt:i4>0</vt:i4>
      </vt:variant>
      <vt:variant>
        <vt:i4>5</vt:i4>
      </vt:variant>
      <vt:variant>
        <vt:lpwstr>http://heinonline.org/</vt:lpwstr>
      </vt:variant>
      <vt:variant>
        <vt:lpwstr/>
      </vt:variant>
      <vt:variant>
        <vt:i4>3407976</vt:i4>
      </vt:variant>
      <vt:variant>
        <vt:i4>12</vt:i4>
      </vt:variant>
      <vt:variant>
        <vt:i4>0</vt:i4>
      </vt:variant>
      <vt:variant>
        <vt:i4>5</vt:i4>
      </vt:variant>
      <vt:variant>
        <vt:lpwstr>http://heinonline.org/</vt:lpwstr>
      </vt:variant>
      <vt:variant>
        <vt:lpwstr/>
      </vt:variant>
      <vt:variant>
        <vt:i4>3407976</vt:i4>
      </vt:variant>
      <vt:variant>
        <vt:i4>9</vt:i4>
      </vt:variant>
      <vt:variant>
        <vt:i4>0</vt:i4>
      </vt:variant>
      <vt:variant>
        <vt:i4>5</vt:i4>
      </vt:variant>
      <vt:variant>
        <vt:lpwstr>http://heinonline.org/</vt:lpwstr>
      </vt:variant>
      <vt:variant>
        <vt:lpwstr/>
      </vt:variant>
      <vt:variant>
        <vt:i4>7602279</vt:i4>
      </vt:variant>
      <vt:variant>
        <vt:i4>6</vt:i4>
      </vt:variant>
      <vt:variant>
        <vt:i4>0</vt:i4>
      </vt:variant>
      <vt:variant>
        <vt:i4>5</vt:i4>
      </vt:variant>
      <vt:variant>
        <vt:lpwstr>http://aalsfar.com/probono/report2.html</vt:lpwstr>
      </vt:variant>
      <vt:variant>
        <vt:lpwstr>findings</vt:lpwstr>
      </vt:variant>
      <vt:variant>
        <vt:i4>3801215</vt:i4>
      </vt:variant>
      <vt:variant>
        <vt:i4>3</vt:i4>
      </vt:variant>
      <vt:variant>
        <vt:i4>0</vt:i4>
      </vt:variant>
      <vt:variant>
        <vt:i4>5</vt:i4>
      </vt:variant>
      <vt:variant>
        <vt:lpwstr>http://www.austlii.edu.au/au/journals/LegEdRev/2003/4.html</vt:lpwstr>
      </vt:variant>
      <vt:variant>
        <vt:lpwstr/>
      </vt:variant>
      <vt:variant>
        <vt:i4>3407951</vt:i4>
      </vt:variant>
      <vt:variant>
        <vt:i4>0</vt:i4>
      </vt:variant>
      <vt:variant>
        <vt:i4>0</vt:i4>
      </vt:variant>
      <vt:variant>
        <vt:i4>5</vt:i4>
      </vt:variant>
      <vt:variant>
        <vt:lpwstr>http://lawworks.org.uk/tmp_downloads/k150c69y95y80r23d40x93s30c57g25v44t110q78i113t5/1014-033-lawworks-student-pro-bono-report-web.pdf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Paul Burns</cp:lastModifiedBy>
  <cp:revision>3</cp:revision>
  <dcterms:created xsi:type="dcterms:W3CDTF">2015-02-02T10:01:00Z</dcterms:created>
  <dcterms:modified xsi:type="dcterms:W3CDTF">2015-02-06T11:43:00Z</dcterms:modified>
</cp:coreProperties>
</file>