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A4" w:rsidRPr="00613946" w:rsidRDefault="006528A4" w:rsidP="006528A4">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6528A4" w:rsidRPr="00613946" w:rsidRDefault="006528A4" w:rsidP="006528A4">
      <w:pPr>
        <w:rPr>
          <w:rFonts w:ascii="Palatino Linotype" w:hAnsi="Palatino Linotype"/>
          <w:b/>
          <w:sz w:val="28"/>
          <w:szCs w:val="28"/>
        </w:rPr>
      </w:pPr>
      <w:r>
        <w:rPr>
          <w:rFonts w:ascii="Palatino Linotype" w:hAnsi="Palatino Linotype"/>
          <w:b/>
          <w:sz w:val="28"/>
          <w:szCs w:val="28"/>
        </w:rPr>
        <w:t>Walking the talk: clinic and our values</w:t>
      </w:r>
    </w:p>
    <w:p w:rsidR="006528A4" w:rsidRDefault="006528A4" w:rsidP="006528A4">
      <w:pPr>
        <w:rPr>
          <w:rFonts w:ascii="Palatino Linotype" w:hAnsi="Palatino Linotype"/>
          <w:sz w:val="24"/>
          <w:szCs w:val="24"/>
        </w:rPr>
      </w:pPr>
      <w:r>
        <w:rPr>
          <w:rFonts w:ascii="Palatino Linotype" w:hAnsi="Palatino Linotype"/>
          <w:sz w:val="24"/>
          <w:szCs w:val="24"/>
        </w:rPr>
        <w:t>Elaine Hall</w:t>
      </w:r>
    </w:p>
    <w:p w:rsidR="006528A4" w:rsidRDefault="006528A4" w:rsidP="006528A4">
      <w:pPr>
        <w:rPr>
          <w:rFonts w:ascii="Palatino Linotype" w:hAnsi="Palatino Linotype"/>
          <w:sz w:val="24"/>
          <w:szCs w:val="24"/>
        </w:rPr>
      </w:pPr>
      <w:r>
        <w:rPr>
          <w:rFonts w:ascii="Palatino Linotype" w:hAnsi="Palatino Linotype"/>
          <w:sz w:val="24"/>
          <w:szCs w:val="24"/>
        </w:rPr>
        <w:t>Northumbria University, UK</w:t>
      </w:r>
    </w:p>
    <w:p w:rsidR="006528A4" w:rsidRDefault="007B55F7" w:rsidP="006528A4">
      <w:pPr>
        <w:rPr>
          <w:rFonts w:ascii="Palatino Linotype" w:hAnsi="Palatino Linotype"/>
          <w:sz w:val="24"/>
          <w:szCs w:val="24"/>
        </w:rPr>
      </w:pPr>
      <w:hyperlink r:id="rId9" w:history="1">
        <w:r w:rsidR="006528A4" w:rsidRPr="00935DD6">
          <w:rPr>
            <w:rStyle w:val="Hyperlink"/>
            <w:rFonts w:ascii="Palatino Linotype" w:hAnsi="Palatino Linotype"/>
            <w:sz w:val="24"/>
            <w:szCs w:val="24"/>
          </w:rPr>
          <w:t>Elaine.Hall@northumbria.ac.uk</w:t>
        </w:r>
      </w:hyperlink>
      <w:r w:rsidR="006528A4">
        <w:rPr>
          <w:rFonts w:ascii="Palatino Linotype" w:hAnsi="Palatino Linotype"/>
          <w:sz w:val="24"/>
          <w:szCs w:val="24"/>
        </w:rPr>
        <w:t xml:space="preserve"> </w:t>
      </w:r>
    </w:p>
    <w:p w:rsidR="006528A4" w:rsidRDefault="006528A4" w:rsidP="006528A4">
      <w:pPr>
        <w:spacing w:line="480" w:lineRule="auto"/>
        <w:jc w:val="both"/>
        <w:rPr>
          <w:rFonts w:ascii="Palatino Linotype" w:hAnsi="Palatino Linotype"/>
          <w:sz w:val="24"/>
          <w:szCs w:val="24"/>
        </w:rPr>
      </w:pPr>
    </w:p>
    <w:p w:rsidR="00001953" w:rsidRDefault="00001953" w:rsidP="006528A4">
      <w:pPr>
        <w:spacing w:line="480" w:lineRule="auto"/>
        <w:jc w:val="both"/>
        <w:rPr>
          <w:rFonts w:ascii="Palatino Linotype" w:hAnsi="Palatino Linotype"/>
          <w:sz w:val="24"/>
          <w:szCs w:val="24"/>
        </w:rPr>
      </w:pPr>
      <w:r>
        <w:rPr>
          <w:rFonts w:ascii="Palatino Linotype" w:hAnsi="Palatino Linotype"/>
          <w:sz w:val="24"/>
          <w:szCs w:val="24"/>
        </w:rPr>
        <w:t>Is clinical legal education an inherently moral undertaking?</w:t>
      </w:r>
      <w:r w:rsidRPr="00613946">
        <w:rPr>
          <w:rFonts w:ascii="Palatino Linotype" w:hAnsi="Palatino Linotype"/>
          <w:sz w:val="24"/>
          <w:szCs w:val="24"/>
        </w:rPr>
        <w:t xml:space="preserve"> </w:t>
      </w:r>
      <w:r w:rsidR="006528A4" w:rsidRPr="00613946">
        <w:rPr>
          <w:rFonts w:ascii="Palatino Linotype" w:hAnsi="Palatino Linotype"/>
          <w:sz w:val="24"/>
          <w:szCs w:val="24"/>
        </w:rPr>
        <w:t xml:space="preserve">In this issue of the IJCLE, we have </w:t>
      </w:r>
      <w:r>
        <w:rPr>
          <w:rFonts w:ascii="Palatino Linotype" w:hAnsi="Palatino Linotype"/>
          <w:sz w:val="24"/>
          <w:szCs w:val="24"/>
        </w:rPr>
        <w:t>three</w:t>
      </w:r>
      <w:r w:rsidR="006528A4" w:rsidRPr="00613946">
        <w:rPr>
          <w:rFonts w:ascii="Palatino Linotype" w:hAnsi="Palatino Linotype"/>
          <w:sz w:val="24"/>
          <w:szCs w:val="24"/>
        </w:rPr>
        <w:t xml:space="preserve"> papers </w:t>
      </w:r>
      <w:r>
        <w:rPr>
          <w:rFonts w:ascii="Palatino Linotype" w:hAnsi="Palatino Linotype"/>
          <w:sz w:val="24"/>
          <w:szCs w:val="24"/>
        </w:rPr>
        <w:t>linked by their focus on the underpinning values of CLE</w:t>
      </w:r>
      <w:r w:rsidR="00E55130">
        <w:rPr>
          <w:rFonts w:ascii="Palatino Linotype" w:hAnsi="Palatino Linotype"/>
          <w:sz w:val="24"/>
          <w:szCs w:val="24"/>
        </w:rPr>
        <w:t>: whether we can transmit our values through the clinic experience; whether we can most effectively teach ethics through clinic and whether our commitment to and belief in clinic should be expressed by bringing it from the margins to the centre of legal education</w:t>
      </w:r>
      <w:r w:rsidR="006528A4">
        <w:rPr>
          <w:rFonts w:ascii="Palatino Linotype" w:hAnsi="Palatino Linotype"/>
          <w:sz w:val="24"/>
          <w:szCs w:val="24"/>
        </w:rPr>
        <w:t xml:space="preserve">.  </w:t>
      </w:r>
    </w:p>
    <w:p w:rsidR="006073F0" w:rsidRDefault="006073F0" w:rsidP="006528A4">
      <w:pPr>
        <w:spacing w:line="480" w:lineRule="auto"/>
        <w:jc w:val="both"/>
        <w:rPr>
          <w:rFonts w:ascii="Palatino Linotype" w:hAnsi="Palatino Linotype"/>
          <w:sz w:val="24"/>
          <w:szCs w:val="24"/>
        </w:rPr>
      </w:pPr>
      <w:r>
        <w:rPr>
          <w:rFonts w:ascii="Palatino Linotype" w:hAnsi="Palatino Linotype"/>
          <w:sz w:val="24"/>
          <w:szCs w:val="24"/>
        </w:rPr>
        <w:t>There is a common perception amongst educators that we transmit our values tacitly through the curriculum and that, by providing students with a particular kind of learning experience, we create in them specific dispositions.  The logical formula appears to run:</w:t>
      </w:r>
    </w:p>
    <w:p w:rsidR="006073F0" w:rsidRDefault="006073F0" w:rsidP="006073F0">
      <w:pPr>
        <w:pStyle w:val="ListParagraph"/>
        <w:numPr>
          <w:ilvl w:val="0"/>
          <w:numId w:val="1"/>
        </w:numPr>
        <w:spacing w:line="480" w:lineRule="auto"/>
        <w:jc w:val="both"/>
        <w:rPr>
          <w:rFonts w:ascii="Palatino Linotype" w:hAnsi="Palatino Linotype"/>
          <w:sz w:val="24"/>
          <w:szCs w:val="24"/>
        </w:rPr>
      </w:pPr>
      <w:r>
        <w:rPr>
          <w:rFonts w:ascii="Palatino Linotype" w:hAnsi="Palatino Linotype"/>
          <w:sz w:val="24"/>
          <w:szCs w:val="24"/>
        </w:rPr>
        <w:t>We embed the values in the structure of the curriculum (e.g. by running a pro bono clinic)</w:t>
      </w:r>
    </w:p>
    <w:p w:rsidR="006073F0" w:rsidRDefault="006073F0" w:rsidP="006073F0">
      <w:pPr>
        <w:pStyle w:val="ListParagraph"/>
        <w:numPr>
          <w:ilvl w:val="0"/>
          <w:numId w:val="1"/>
        </w:numPr>
        <w:spacing w:line="480" w:lineRule="auto"/>
        <w:jc w:val="both"/>
        <w:rPr>
          <w:rFonts w:ascii="Palatino Linotype" w:hAnsi="Palatino Linotype"/>
          <w:sz w:val="24"/>
          <w:szCs w:val="24"/>
        </w:rPr>
      </w:pPr>
      <w:r>
        <w:rPr>
          <w:rFonts w:ascii="Palatino Linotype" w:hAnsi="Palatino Linotype"/>
          <w:sz w:val="24"/>
          <w:szCs w:val="24"/>
        </w:rPr>
        <w:t>We engage</w:t>
      </w:r>
      <w:r w:rsidR="0077399E">
        <w:rPr>
          <w:rFonts w:ascii="Palatino Linotype" w:hAnsi="Palatino Linotype"/>
          <w:sz w:val="24"/>
          <w:szCs w:val="24"/>
        </w:rPr>
        <w:t xml:space="preserve"> students in the activity</w:t>
      </w:r>
    </w:p>
    <w:p w:rsidR="0077399E" w:rsidRPr="006073F0" w:rsidRDefault="0077399E" w:rsidP="006073F0">
      <w:pPr>
        <w:pStyle w:val="ListParagraph"/>
        <w:numPr>
          <w:ilvl w:val="0"/>
          <w:numId w:val="1"/>
        </w:numPr>
        <w:spacing w:line="480" w:lineRule="auto"/>
        <w:jc w:val="both"/>
        <w:rPr>
          <w:rFonts w:ascii="Palatino Linotype" w:hAnsi="Palatino Linotype"/>
          <w:sz w:val="24"/>
          <w:szCs w:val="24"/>
        </w:rPr>
      </w:pPr>
      <w:r>
        <w:rPr>
          <w:rFonts w:ascii="Palatino Linotype" w:hAnsi="Palatino Linotype"/>
          <w:sz w:val="24"/>
          <w:szCs w:val="24"/>
        </w:rPr>
        <w:t>They absorb the values and become active agents pursuing those values in future activities.</w:t>
      </w:r>
    </w:p>
    <w:p w:rsidR="0077399E" w:rsidRDefault="0077399E" w:rsidP="006528A4">
      <w:pPr>
        <w:spacing w:line="480" w:lineRule="auto"/>
        <w:jc w:val="both"/>
        <w:rPr>
          <w:rFonts w:ascii="Palatino Linotype" w:hAnsi="Palatino Linotype"/>
          <w:sz w:val="24"/>
          <w:szCs w:val="24"/>
        </w:rPr>
      </w:pPr>
      <w:r>
        <w:rPr>
          <w:rFonts w:ascii="Palatino Linotype" w:hAnsi="Palatino Linotype"/>
          <w:sz w:val="24"/>
          <w:szCs w:val="24"/>
        </w:rPr>
        <w:lastRenderedPageBreak/>
        <w:t xml:space="preserve">Once written down in this way, the potential for diversion from this programme becomes more apparent, not least the likelihood that </w:t>
      </w:r>
    </w:p>
    <w:p w:rsidR="0077399E" w:rsidRPr="0077399E" w:rsidRDefault="0077399E" w:rsidP="0077399E">
      <w:pPr>
        <w:spacing w:line="480" w:lineRule="auto"/>
        <w:ind w:left="720"/>
        <w:jc w:val="both"/>
        <w:rPr>
          <w:rFonts w:ascii="Palatino Linotype" w:hAnsi="Palatino Linotype"/>
          <w:i/>
          <w:sz w:val="24"/>
          <w:szCs w:val="24"/>
        </w:rPr>
      </w:pPr>
      <w:r w:rsidRPr="0077399E">
        <w:rPr>
          <w:rFonts w:ascii="Palatino Linotype" w:hAnsi="Palatino Linotype"/>
          <w:i/>
          <w:sz w:val="24"/>
          <w:szCs w:val="24"/>
        </w:rPr>
        <w:t>We had the experience but missed the meaning,</w:t>
      </w:r>
    </w:p>
    <w:p w:rsidR="0077399E" w:rsidRPr="0077399E" w:rsidRDefault="0077399E" w:rsidP="0077399E">
      <w:pPr>
        <w:spacing w:line="480" w:lineRule="auto"/>
        <w:ind w:left="720"/>
        <w:jc w:val="both"/>
        <w:rPr>
          <w:rFonts w:ascii="Palatino Linotype" w:hAnsi="Palatino Linotype"/>
          <w:i/>
          <w:sz w:val="24"/>
          <w:szCs w:val="24"/>
        </w:rPr>
      </w:pPr>
      <w:r w:rsidRPr="0077399E">
        <w:rPr>
          <w:rFonts w:ascii="Palatino Linotype" w:hAnsi="Palatino Linotype"/>
          <w:i/>
          <w:sz w:val="24"/>
          <w:szCs w:val="24"/>
        </w:rPr>
        <w:t xml:space="preserve"> And approach to the meaning restores the experience</w:t>
      </w:r>
    </w:p>
    <w:p w:rsidR="0077399E" w:rsidRPr="0077399E" w:rsidRDefault="0077399E" w:rsidP="0077399E">
      <w:pPr>
        <w:spacing w:line="480" w:lineRule="auto"/>
        <w:ind w:left="720"/>
        <w:jc w:val="both"/>
        <w:rPr>
          <w:rFonts w:ascii="Palatino Linotype" w:hAnsi="Palatino Linotype"/>
          <w:i/>
          <w:sz w:val="24"/>
          <w:szCs w:val="24"/>
        </w:rPr>
      </w:pPr>
      <w:r w:rsidRPr="0077399E">
        <w:rPr>
          <w:rFonts w:ascii="Palatino Linotype" w:hAnsi="Palatino Linotype"/>
          <w:i/>
          <w:sz w:val="24"/>
          <w:szCs w:val="24"/>
        </w:rPr>
        <w:t xml:space="preserve"> In a different form, </w:t>
      </w:r>
      <w:r w:rsidRPr="0077399E">
        <w:rPr>
          <w:rFonts w:ascii="Palatino Linotype" w:hAnsi="Palatino Linotype"/>
          <w:sz w:val="24"/>
          <w:szCs w:val="24"/>
        </w:rPr>
        <w:t>(T.S Eliot)</w:t>
      </w:r>
      <w:r w:rsidRPr="0077399E">
        <w:rPr>
          <w:rFonts w:ascii="Palatino Linotype" w:hAnsi="Palatino Linotype"/>
          <w:i/>
          <w:sz w:val="24"/>
          <w:szCs w:val="24"/>
        </w:rPr>
        <w:t xml:space="preserve">. </w:t>
      </w:r>
    </w:p>
    <w:p w:rsidR="00001953" w:rsidRDefault="006073F0" w:rsidP="006528A4">
      <w:pPr>
        <w:spacing w:line="480" w:lineRule="auto"/>
        <w:jc w:val="both"/>
        <w:rPr>
          <w:rFonts w:ascii="Palatino Linotype" w:hAnsi="Palatino Linotype"/>
          <w:sz w:val="24"/>
          <w:szCs w:val="24"/>
        </w:rPr>
      </w:pPr>
      <w:r>
        <w:rPr>
          <w:rFonts w:ascii="Palatino Linotype" w:hAnsi="Palatino Linotype"/>
          <w:sz w:val="24"/>
          <w:szCs w:val="24"/>
        </w:rPr>
        <w:t xml:space="preserve">In his paper, drawing on empirical research conducted at Northumbria University, Paul McKeown reflects on the evidence for </w:t>
      </w:r>
      <w:r w:rsidR="009F7BD3">
        <w:rPr>
          <w:rFonts w:ascii="Palatino Linotype" w:hAnsi="Palatino Linotype"/>
          <w:sz w:val="24"/>
          <w:szCs w:val="24"/>
        </w:rPr>
        <w:t>‘</w:t>
      </w:r>
      <w:r w:rsidR="0077399E">
        <w:rPr>
          <w:rFonts w:ascii="Palatino Linotype" w:hAnsi="Palatino Linotype"/>
          <w:sz w:val="24"/>
          <w:szCs w:val="24"/>
        </w:rPr>
        <w:t>values transfer</w:t>
      </w:r>
      <w:r w:rsidR="009F7BD3">
        <w:rPr>
          <w:rFonts w:ascii="Palatino Linotype" w:hAnsi="Palatino Linotype"/>
          <w:sz w:val="24"/>
          <w:szCs w:val="24"/>
        </w:rPr>
        <w:t>’</w:t>
      </w:r>
      <w:r w:rsidR="0077399E">
        <w:rPr>
          <w:rFonts w:ascii="Palatino Linotype" w:hAnsi="Palatino Linotype"/>
          <w:sz w:val="24"/>
          <w:szCs w:val="24"/>
        </w:rPr>
        <w:t xml:space="preserve"> and looks critically </w:t>
      </w:r>
      <w:r w:rsidR="009F7BD3">
        <w:rPr>
          <w:rFonts w:ascii="Palatino Linotype" w:hAnsi="Palatino Linotype"/>
          <w:sz w:val="24"/>
          <w:szCs w:val="24"/>
        </w:rPr>
        <w:t xml:space="preserve">both </w:t>
      </w:r>
      <w:r w:rsidR="0077399E">
        <w:rPr>
          <w:rFonts w:ascii="Palatino Linotype" w:hAnsi="Palatino Linotype"/>
          <w:sz w:val="24"/>
          <w:szCs w:val="24"/>
        </w:rPr>
        <w:t>at the complex ecology of what students might take from experiential learning</w:t>
      </w:r>
      <w:r w:rsidR="009F7BD3">
        <w:rPr>
          <w:rFonts w:ascii="Palatino Linotype" w:hAnsi="Palatino Linotype"/>
          <w:sz w:val="24"/>
          <w:szCs w:val="24"/>
        </w:rPr>
        <w:t xml:space="preserve"> </w:t>
      </w:r>
      <w:r w:rsidR="001738C8">
        <w:rPr>
          <w:rFonts w:ascii="Palatino Linotype" w:hAnsi="Palatino Linotype"/>
          <w:sz w:val="24"/>
          <w:szCs w:val="24"/>
        </w:rPr>
        <w:t>in a capstone</w:t>
      </w:r>
      <w:r w:rsidR="001738C8">
        <w:rPr>
          <w:rStyle w:val="FootnoteReference"/>
          <w:rFonts w:ascii="Palatino Linotype" w:hAnsi="Palatino Linotype"/>
          <w:sz w:val="24"/>
          <w:szCs w:val="24"/>
        </w:rPr>
        <w:footnoteReference w:id="1"/>
      </w:r>
      <w:r w:rsidR="001738C8">
        <w:rPr>
          <w:rFonts w:ascii="Palatino Linotype" w:hAnsi="Palatino Linotype"/>
          <w:sz w:val="24"/>
          <w:szCs w:val="24"/>
        </w:rPr>
        <w:t xml:space="preserve"> clinic </w:t>
      </w:r>
      <w:r w:rsidR="009F7BD3">
        <w:rPr>
          <w:rFonts w:ascii="Palatino Linotype" w:hAnsi="Palatino Linotype"/>
          <w:sz w:val="24"/>
          <w:szCs w:val="24"/>
        </w:rPr>
        <w:t>and how that data can be captured</w:t>
      </w:r>
      <w:r>
        <w:rPr>
          <w:rFonts w:ascii="Palatino Linotype" w:hAnsi="Palatino Linotype"/>
          <w:sz w:val="24"/>
          <w:szCs w:val="24"/>
        </w:rPr>
        <w:t xml:space="preserve">.  </w:t>
      </w:r>
    </w:p>
    <w:p w:rsidR="00001953" w:rsidRDefault="009F7BD3" w:rsidP="006528A4">
      <w:pPr>
        <w:spacing w:line="480" w:lineRule="auto"/>
        <w:jc w:val="both"/>
        <w:rPr>
          <w:rFonts w:ascii="Palatino Linotype" w:hAnsi="Palatino Linotype"/>
          <w:sz w:val="24"/>
          <w:szCs w:val="24"/>
        </w:rPr>
      </w:pPr>
      <w:r>
        <w:rPr>
          <w:rFonts w:ascii="Palatino Linotype" w:hAnsi="Palatino Linotype"/>
          <w:sz w:val="24"/>
          <w:szCs w:val="24"/>
        </w:rPr>
        <w:t>Anna Cody takes up the baton in her discussion of the teaching of ethics.  Her paper provides a detailed engagement with what constitutes ethical and professional identity, developing a social constructivist frame for understanding how ethical cultures are formed and sustained.</w:t>
      </w:r>
      <w:r w:rsidR="001738C8">
        <w:rPr>
          <w:rFonts w:ascii="Palatino Linotype" w:hAnsi="Palatino Linotype"/>
          <w:sz w:val="24"/>
          <w:szCs w:val="24"/>
        </w:rPr>
        <w:t xml:space="preserve">  She develops this into an argument for ‘applied ethics’ teaching through a clinical element within the curriculum and provides a detailed analysis of how this operates in practice for students, supervisors and curriculum designers.</w:t>
      </w:r>
    </w:p>
    <w:p w:rsidR="001738C8" w:rsidRPr="00E55130" w:rsidRDefault="001738C8" w:rsidP="006528A4">
      <w:pPr>
        <w:spacing w:line="480" w:lineRule="auto"/>
        <w:jc w:val="both"/>
        <w:rPr>
          <w:rFonts w:ascii="Palatino Linotype" w:hAnsi="Palatino Linotype"/>
          <w:sz w:val="24"/>
          <w:szCs w:val="24"/>
        </w:rPr>
      </w:pPr>
      <w:r>
        <w:rPr>
          <w:rFonts w:ascii="Palatino Linotype" w:hAnsi="Palatino Linotype"/>
          <w:sz w:val="24"/>
          <w:szCs w:val="24"/>
        </w:rPr>
        <w:t>Finally, Neil Gold gathers together many years of clinical education experience to give an extended reflection on the untapped potential of clinic.  Using a detailed analysis of educational standards, assessment and learning outcomes</w:t>
      </w:r>
      <w:r w:rsidR="00E55130">
        <w:rPr>
          <w:rFonts w:ascii="Palatino Linotype" w:hAnsi="Palatino Linotype"/>
          <w:sz w:val="24"/>
          <w:szCs w:val="24"/>
        </w:rPr>
        <w:t xml:space="preserve">, he challenges </w:t>
      </w:r>
      <w:r w:rsidR="00E55130">
        <w:rPr>
          <w:rFonts w:ascii="Palatino Linotype" w:hAnsi="Palatino Linotype"/>
          <w:sz w:val="24"/>
          <w:szCs w:val="24"/>
        </w:rPr>
        <w:lastRenderedPageBreak/>
        <w:t>the marginal status of clinic within the legal curriculum</w:t>
      </w:r>
      <w:r>
        <w:rPr>
          <w:rFonts w:ascii="Palatino Linotype" w:hAnsi="Palatino Linotype"/>
          <w:sz w:val="24"/>
          <w:szCs w:val="24"/>
        </w:rPr>
        <w:t xml:space="preserve">, </w:t>
      </w:r>
      <w:r w:rsidR="00E55130">
        <w:rPr>
          <w:rFonts w:ascii="Palatino Linotype" w:hAnsi="Palatino Linotype"/>
          <w:sz w:val="24"/>
          <w:szCs w:val="24"/>
        </w:rPr>
        <w:t>advanc</w:t>
      </w:r>
      <w:r>
        <w:rPr>
          <w:rFonts w:ascii="Palatino Linotype" w:hAnsi="Palatino Linotype"/>
          <w:sz w:val="24"/>
          <w:szCs w:val="24"/>
        </w:rPr>
        <w:t xml:space="preserve">ing the argument </w:t>
      </w:r>
      <w:r w:rsidR="00E55130">
        <w:rPr>
          <w:rFonts w:ascii="Palatino Linotype" w:hAnsi="Palatino Linotype"/>
          <w:sz w:val="24"/>
          <w:szCs w:val="24"/>
        </w:rPr>
        <w:t xml:space="preserve">not just </w:t>
      </w:r>
      <w:r>
        <w:rPr>
          <w:rFonts w:ascii="Palatino Linotype" w:hAnsi="Palatino Linotype"/>
          <w:sz w:val="24"/>
          <w:szCs w:val="24"/>
        </w:rPr>
        <w:t xml:space="preserve">that CLE </w:t>
      </w:r>
      <w:r w:rsidRPr="00E55130">
        <w:rPr>
          <w:rFonts w:ascii="Palatino Linotype" w:hAnsi="Palatino Linotype"/>
          <w:b/>
          <w:i/>
          <w:sz w:val="24"/>
          <w:szCs w:val="24"/>
        </w:rPr>
        <w:t>can</w:t>
      </w:r>
      <w:r>
        <w:rPr>
          <w:rFonts w:ascii="Palatino Linotype" w:hAnsi="Palatino Linotype"/>
          <w:sz w:val="24"/>
          <w:szCs w:val="24"/>
        </w:rPr>
        <w:t xml:space="preserve"> deliver all the learning outcomes</w:t>
      </w:r>
      <w:r w:rsidR="00E55130">
        <w:rPr>
          <w:rFonts w:ascii="Palatino Linotype" w:hAnsi="Palatino Linotype"/>
          <w:sz w:val="24"/>
          <w:szCs w:val="24"/>
        </w:rPr>
        <w:t xml:space="preserve"> but that it is </w:t>
      </w:r>
      <w:r w:rsidR="00E55130">
        <w:rPr>
          <w:rFonts w:ascii="Palatino Linotype" w:hAnsi="Palatino Linotype"/>
          <w:b/>
          <w:i/>
          <w:sz w:val="24"/>
          <w:szCs w:val="24"/>
        </w:rPr>
        <w:t>best</w:t>
      </w:r>
      <w:r w:rsidR="00E55130">
        <w:rPr>
          <w:rFonts w:ascii="Palatino Linotype" w:hAnsi="Palatino Linotype"/>
          <w:sz w:val="24"/>
          <w:szCs w:val="24"/>
        </w:rPr>
        <w:t xml:space="preserve"> suited to do so.</w:t>
      </w:r>
    </w:p>
    <w:p w:rsidR="00E55130" w:rsidRDefault="00E55130" w:rsidP="00E55130">
      <w:pPr>
        <w:spacing w:line="480" w:lineRule="auto"/>
        <w:jc w:val="both"/>
        <w:rPr>
          <w:rFonts w:ascii="Palatino Linotype" w:hAnsi="Palatino Linotype"/>
          <w:sz w:val="24"/>
          <w:szCs w:val="24"/>
        </w:rPr>
      </w:pPr>
      <w:r>
        <w:rPr>
          <w:rFonts w:ascii="Palatino Linotype" w:hAnsi="Palatino Linotype"/>
          <w:sz w:val="24"/>
          <w:szCs w:val="24"/>
        </w:rPr>
        <w:t>These debates continue</w:t>
      </w:r>
      <w:r w:rsidR="00AA4B92">
        <w:rPr>
          <w:rFonts w:ascii="Palatino Linotype" w:hAnsi="Palatino Linotype"/>
          <w:sz w:val="24"/>
          <w:szCs w:val="24"/>
        </w:rPr>
        <w:t>, are enriched by more participants</w:t>
      </w:r>
      <w:r w:rsidR="00466DD5">
        <w:rPr>
          <w:rFonts w:ascii="Palatino Linotype" w:hAnsi="Palatino Linotype"/>
          <w:sz w:val="24"/>
          <w:szCs w:val="24"/>
        </w:rPr>
        <w:t xml:space="preserve"> and</w:t>
      </w:r>
      <w:r w:rsidR="00AA4B92">
        <w:rPr>
          <w:rFonts w:ascii="Palatino Linotype" w:hAnsi="Palatino Linotype"/>
          <w:sz w:val="24"/>
          <w:szCs w:val="24"/>
        </w:rPr>
        <w:t xml:space="preserve"> on that note</w:t>
      </w:r>
      <w:r w:rsidR="00466DD5">
        <w:rPr>
          <w:rFonts w:ascii="Palatino Linotype" w:hAnsi="Palatino Linotype"/>
          <w:sz w:val="24"/>
          <w:szCs w:val="24"/>
        </w:rPr>
        <w:t xml:space="preserve"> I would like to draw your attention to</w:t>
      </w:r>
      <w:r>
        <w:rPr>
          <w:rFonts w:ascii="Palatino Linotype" w:hAnsi="Palatino Linotype"/>
          <w:sz w:val="24"/>
          <w:szCs w:val="24"/>
        </w:rPr>
        <w:t xml:space="preserve"> a series of </w:t>
      </w:r>
      <w:r w:rsidR="00466DD5">
        <w:rPr>
          <w:rFonts w:ascii="Palatino Linotype" w:hAnsi="Palatino Linotype"/>
          <w:sz w:val="24"/>
          <w:szCs w:val="24"/>
        </w:rPr>
        <w:t xml:space="preserve">upcoming </w:t>
      </w:r>
      <w:r>
        <w:rPr>
          <w:rFonts w:ascii="Palatino Linotype" w:hAnsi="Palatino Linotype"/>
          <w:sz w:val="24"/>
          <w:szCs w:val="24"/>
        </w:rPr>
        <w:t xml:space="preserve">events.  Firstly, the </w:t>
      </w:r>
      <w:r w:rsidRPr="00E55130">
        <w:rPr>
          <w:rFonts w:ascii="Palatino Linotype" w:hAnsi="Palatino Linotype"/>
          <w:sz w:val="24"/>
          <w:szCs w:val="24"/>
        </w:rPr>
        <w:t>forthcoming European Network for Clinical Legal Education (ENCLE) workshop which is being held at Northumbria University on 15</w:t>
      </w:r>
      <w:r w:rsidR="00855414" w:rsidRPr="00855414">
        <w:rPr>
          <w:rFonts w:ascii="Palatino Linotype" w:hAnsi="Palatino Linotype"/>
          <w:sz w:val="24"/>
          <w:szCs w:val="24"/>
          <w:vertAlign w:val="superscript"/>
        </w:rPr>
        <w:t>th</w:t>
      </w:r>
      <w:r w:rsidR="00855414">
        <w:rPr>
          <w:rFonts w:ascii="Palatino Linotype" w:hAnsi="Palatino Linotype"/>
          <w:sz w:val="24"/>
          <w:szCs w:val="24"/>
        </w:rPr>
        <w:t xml:space="preserve"> </w:t>
      </w:r>
      <w:r w:rsidRPr="00E55130">
        <w:rPr>
          <w:rFonts w:ascii="Palatino Linotype" w:hAnsi="Palatino Linotype"/>
          <w:sz w:val="24"/>
          <w:szCs w:val="24"/>
        </w:rPr>
        <w:t>and 16</w:t>
      </w:r>
      <w:r w:rsidR="00855414" w:rsidRPr="00855414">
        <w:rPr>
          <w:rFonts w:ascii="Palatino Linotype" w:hAnsi="Palatino Linotype"/>
          <w:sz w:val="24"/>
          <w:szCs w:val="24"/>
          <w:vertAlign w:val="superscript"/>
        </w:rPr>
        <w:t>th</w:t>
      </w:r>
      <w:r w:rsidR="00855414">
        <w:rPr>
          <w:rFonts w:ascii="Palatino Linotype" w:hAnsi="Palatino Linotype"/>
          <w:sz w:val="24"/>
          <w:szCs w:val="24"/>
        </w:rPr>
        <w:t xml:space="preserve"> </w:t>
      </w:r>
      <w:r w:rsidRPr="00E55130">
        <w:rPr>
          <w:rFonts w:ascii="Palatino Linotype" w:hAnsi="Palatino Linotype"/>
          <w:sz w:val="24"/>
          <w:szCs w:val="24"/>
        </w:rPr>
        <w:t>April 2015 and which is supported by the Open Society Initiative for Europe (OSIFE).</w:t>
      </w:r>
      <w:r>
        <w:rPr>
          <w:rFonts w:ascii="Palatino Linotype" w:hAnsi="Palatino Linotype"/>
          <w:sz w:val="24"/>
          <w:szCs w:val="24"/>
        </w:rPr>
        <w:t xml:space="preserve">  </w:t>
      </w:r>
      <w:r w:rsidRPr="00E55130">
        <w:rPr>
          <w:rFonts w:ascii="Palatino Linotype" w:hAnsi="Palatino Linotype"/>
          <w:sz w:val="24"/>
          <w:szCs w:val="24"/>
        </w:rPr>
        <w:t>The workshop will aim to generate discussion, through themed sessions, as to how clinicians can prepare their students for a clinical experience.  Delegates will be able to share their own ideas and experiences and learn from others. Session facilitators will be drawn from a range of jurisdictions to enhance the discussion and draw out ideas for best practice</w:t>
      </w:r>
      <w:r w:rsidR="0024000F">
        <w:rPr>
          <w:rStyle w:val="FootnoteReference"/>
          <w:rFonts w:ascii="Palatino Linotype" w:hAnsi="Palatino Linotype"/>
          <w:sz w:val="24"/>
          <w:szCs w:val="24"/>
        </w:rPr>
        <w:footnoteReference w:id="2"/>
      </w:r>
      <w:r w:rsidRPr="00E55130">
        <w:rPr>
          <w:rFonts w:ascii="Palatino Linotype" w:hAnsi="Palatino Linotype"/>
          <w:sz w:val="24"/>
          <w:szCs w:val="24"/>
        </w:rPr>
        <w:t>.</w:t>
      </w:r>
    </w:p>
    <w:p w:rsidR="0024000F" w:rsidRPr="00E55130" w:rsidRDefault="00466DD5" w:rsidP="00466DD5">
      <w:pPr>
        <w:spacing w:line="480" w:lineRule="auto"/>
        <w:jc w:val="both"/>
        <w:rPr>
          <w:rFonts w:ascii="Palatino Linotype" w:hAnsi="Palatino Linotype"/>
          <w:sz w:val="24"/>
          <w:szCs w:val="24"/>
        </w:rPr>
      </w:pPr>
      <w:r>
        <w:rPr>
          <w:rFonts w:ascii="Palatino Linotype" w:hAnsi="Palatino Linotype"/>
          <w:sz w:val="24"/>
          <w:szCs w:val="24"/>
        </w:rPr>
        <w:t xml:space="preserve">On </w:t>
      </w:r>
      <w:r w:rsidRPr="00466DD5">
        <w:rPr>
          <w:rFonts w:ascii="Palatino Linotype" w:hAnsi="Palatino Linotype"/>
          <w:sz w:val="24"/>
          <w:szCs w:val="24"/>
        </w:rPr>
        <w:t>4</w:t>
      </w:r>
      <w:r w:rsidRPr="00855414">
        <w:rPr>
          <w:rFonts w:ascii="Palatino Linotype" w:hAnsi="Palatino Linotype"/>
          <w:sz w:val="24"/>
          <w:szCs w:val="24"/>
          <w:vertAlign w:val="superscript"/>
        </w:rPr>
        <w:t>th</w:t>
      </w:r>
      <w:r w:rsidR="00855414">
        <w:rPr>
          <w:rFonts w:ascii="Palatino Linotype" w:hAnsi="Palatino Linotype"/>
          <w:sz w:val="24"/>
          <w:szCs w:val="24"/>
        </w:rPr>
        <w:t xml:space="preserve"> </w:t>
      </w:r>
      <w:r w:rsidRPr="00466DD5">
        <w:rPr>
          <w:rFonts w:ascii="Palatino Linotype" w:hAnsi="Palatino Linotype"/>
          <w:sz w:val="24"/>
          <w:szCs w:val="24"/>
        </w:rPr>
        <w:t xml:space="preserve">June 2015 </w:t>
      </w:r>
      <w:r>
        <w:rPr>
          <w:rFonts w:ascii="Palatino Linotype" w:hAnsi="Palatino Linotype"/>
          <w:sz w:val="24"/>
          <w:szCs w:val="24"/>
        </w:rPr>
        <w:t xml:space="preserve">Northumbria will host an </w:t>
      </w:r>
      <w:r w:rsidRPr="00466DD5">
        <w:rPr>
          <w:rFonts w:ascii="Palatino Linotype" w:hAnsi="Palatino Linotype"/>
          <w:sz w:val="24"/>
          <w:szCs w:val="24"/>
        </w:rPr>
        <w:t>interactive seminar and discussion forum</w:t>
      </w:r>
      <w:r>
        <w:rPr>
          <w:rFonts w:ascii="Palatino Linotype" w:hAnsi="Palatino Linotype"/>
          <w:sz w:val="24"/>
          <w:szCs w:val="24"/>
        </w:rPr>
        <w:t xml:space="preserve">, </w:t>
      </w:r>
      <w:r w:rsidRPr="00466DD5">
        <w:rPr>
          <w:rFonts w:ascii="Palatino Linotype" w:hAnsi="Palatino Linotype"/>
          <w:i/>
          <w:sz w:val="24"/>
          <w:szCs w:val="24"/>
        </w:rPr>
        <w:t>Problematising Assessment in Clinical Legal Education</w:t>
      </w:r>
      <w:r>
        <w:rPr>
          <w:rStyle w:val="FootnoteReference"/>
          <w:rFonts w:ascii="Palatino Linotype" w:hAnsi="Palatino Linotype"/>
          <w:i/>
          <w:sz w:val="24"/>
          <w:szCs w:val="24"/>
        </w:rPr>
        <w:footnoteReference w:id="3"/>
      </w:r>
      <w:r>
        <w:rPr>
          <w:rFonts w:ascii="Palatino Linotype" w:hAnsi="Palatino Linotype"/>
          <w:i/>
          <w:sz w:val="24"/>
          <w:szCs w:val="24"/>
        </w:rPr>
        <w:t xml:space="preserve">, </w:t>
      </w:r>
      <w:r>
        <w:rPr>
          <w:rFonts w:ascii="Palatino Linotype" w:hAnsi="Palatino Linotype"/>
          <w:sz w:val="24"/>
          <w:szCs w:val="24"/>
        </w:rPr>
        <w:t xml:space="preserve">featuring </w:t>
      </w:r>
      <w:r w:rsidRPr="00466DD5">
        <w:rPr>
          <w:rFonts w:ascii="Palatino Linotype" w:hAnsi="Palatino Linotype"/>
          <w:sz w:val="24"/>
          <w:szCs w:val="24"/>
        </w:rPr>
        <w:t xml:space="preserve">Professor Beryl </w:t>
      </w:r>
      <w:proofErr w:type="spellStart"/>
      <w:r w:rsidRPr="00466DD5">
        <w:rPr>
          <w:rFonts w:ascii="Palatino Linotype" w:hAnsi="Palatino Linotype"/>
          <w:sz w:val="24"/>
          <w:szCs w:val="24"/>
        </w:rPr>
        <w:t>Blaustone</w:t>
      </w:r>
      <w:proofErr w:type="spellEnd"/>
      <w:r w:rsidRPr="00466DD5">
        <w:rPr>
          <w:rFonts w:ascii="Palatino Linotype" w:hAnsi="Palatino Linotype"/>
          <w:sz w:val="24"/>
          <w:szCs w:val="24"/>
        </w:rPr>
        <w:t xml:space="preserve"> (City University of New York); Professor Jose Garcia Anon (Valencia University); Richard Grimes (University of York); Professor Judith McNamara (Queensland University of Technology) and Cath Sylvester (Northumbria University)</w:t>
      </w:r>
      <w:r>
        <w:rPr>
          <w:rFonts w:ascii="Palatino Linotype" w:hAnsi="Palatino Linotype"/>
          <w:sz w:val="24"/>
          <w:szCs w:val="24"/>
        </w:rPr>
        <w:t xml:space="preserve">.  </w:t>
      </w:r>
    </w:p>
    <w:p w:rsidR="006528A4" w:rsidRDefault="00E55130" w:rsidP="006528A4">
      <w:pPr>
        <w:spacing w:line="480" w:lineRule="auto"/>
        <w:jc w:val="both"/>
        <w:rPr>
          <w:rFonts w:ascii="Palatino Linotype" w:hAnsi="Palatino Linotype"/>
          <w:sz w:val="24"/>
          <w:szCs w:val="24"/>
        </w:rPr>
      </w:pPr>
      <w:r>
        <w:rPr>
          <w:rFonts w:ascii="Palatino Linotype" w:hAnsi="Palatino Linotype"/>
          <w:sz w:val="24"/>
          <w:szCs w:val="24"/>
        </w:rPr>
        <w:lastRenderedPageBreak/>
        <w:t xml:space="preserve">After that, </w:t>
      </w:r>
      <w:r w:rsidR="0024000F">
        <w:rPr>
          <w:rFonts w:ascii="Palatino Linotype" w:hAnsi="Palatino Linotype"/>
          <w:sz w:val="24"/>
          <w:szCs w:val="24"/>
        </w:rPr>
        <w:t xml:space="preserve">we look forward to </w:t>
      </w:r>
      <w:r>
        <w:rPr>
          <w:rFonts w:ascii="Palatino Linotype" w:hAnsi="Palatino Linotype"/>
          <w:sz w:val="24"/>
          <w:szCs w:val="24"/>
        </w:rPr>
        <w:t>the</w:t>
      </w:r>
      <w:r w:rsidR="006528A4">
        <w:rPr>
          <w:rFonts w:ascii="Palatino Linotype" w:hAnsi="Palatino Linotype"/>
          <w:sz w:val="24"/>
          <w:szCs w:val="24"/>
        </w:rPr>
        <w:t xml:space="preserve"> next </w:t>
      </w:r>
      <w:r w:rsidR="00001953">
        <w:rPr>
          <w:rFonts w:ascii="Palatino Linotype" w:hAnsi="Palatino Linotype"/>
          <w:sz w:val="24"/>
          <w:szCs w:val="24"/>
        </w:rPr>
        <w:t xml:space="preserve">IJCLE </w:t>
      </w:r>
      <w:r w:rsidR="006528A4">
        <w:rPr>
          <w:rFonts w:ascii="Palatino Linotype" w:hAnsi="Palatino Linotype"/>
          <w:sz w:val="24"/>
          <w:szCs w:val="24"/>
        </w:rPr>
        <w:t>conference</w:t>
      </w:r>
      <w:r>
        <w:rPr>
          <w:rFonts w:ascii="Palatino Linotype" w:hAnsi="Palatino Linotype"/>
          <w:sz w:val="24"/>
          <w:szCs w:val="24"/>
        </w:rPr>
        <w:t>,</w:t>
      </w:r>
      <w:r w:rsidR="006528A4">
        <w:rPr>
          <w:rFonts w:ascii="Palatino Linotype" w:hAnsi="Palatino Linotype"/>
          <w:sz w:val="24"/>
          <w:szCs w:val="24"/>
        </w:rPr>
        <w:t xml:space="preserve"> held jointly with the Global Alliance for Justice Education </w:t>
      </w:r>
      <w:r w:rsidR="006528A4" w:rsidRPr="00C506BC">
        <w:rPr>
          <w:rFonts w:ascii="Palatino Linotype" w:hAnsi="Palatino Linotype"/>
          <w:sz w:val="24"/>
          <w:szCs w:val="24"/>
        </w:rPr>
        <w:t xml:space="preserve">at </w:t>
      </w:r>
      <w:proofErr w:type="spellStart"/>
      <w:r w:rsidR="006528A4" w:rsidRPr="00C506BC">
        <w:rPr>
          <w:rFonts w:ascii="Palatino Linotype" w:hAnsi="Palatino Linotype"/>
          <w:sz w:val="24"/>
          <w:szCs w:val="24"/>
        </w:rPr>
        <w:t>Anadolu</w:t>
      </w:r>
      <w:proofErr w:type="spellEnd"/>
      <w:r w:rsidR="006528A4" w:rsidRPr="00C506BC">
        <w:rPr>
          <w:rFonts w:ascii="Palatino Linotype" w:hAnsi="Palatino Linotype"/>
          <w:sz w:val="24"/>
          <w:szCs w:val="24"/>
        </w:rPr>
        <w:t xml:space="preserve"> University in </w:t>
      </w:r>
      <w:proofErr w:type="spellStart"/>
      <w:r w:rsidR="006528A4" w:rsidRPr="00C506BC">
        <w:rPr>
          <w:rFonts w:ascii="Palatino Linotype" w:hAnsi="Palatino Linotype"/>
          <w:sz w:val="24"/>
          <w:szCs w:val="24"/>
        </w:rPr>
        <w:t>Eskişehir</w:t>
      </w:r>
      <w:proofErr w:type="spellEnd"/>
      <w:r w:rsidR="006528A4" w:rsidRPr="00C506BC">
        <w:rPr>
          <w:rFonts w:ascii="Palatino Linotype" w:hAnsi="Palatino Linotype"/>
          <w:sz w:val="24"/>
          <w:szCs w:val="24"/>
        </w:rPr>
        <w:t xml:space="preserve">, Turkey </w:t>
      </w:r>
      <w:r w:rsidR="006528A4">
        <w:rPr>
          <w:rFonts w:ascii="Palatino Linotype" w:hAnsi="Palatino Linotype"/>
          <w:sz w:val="24"/>
          <w:szCs w:val="24"/>
        </w:rPr>
        <w:t>between</w:t>
      </w:r>
      <w:r w:rsidR="006528A4" w:rsidRPr="00C506BC">
        <w:rPr>
          <w:rFonts w:ascii="Palatino Linotype" w:hAnsi="Palatino Linotype"/>
          <w:sz w:val="24"/>
          <w:szCs w:val="24"/>
        </w:rPr>
        <w:t xml:space="preserve"> 22</w:t>
      </w:r>
      <w:r w:rsidR="006528A4" w:rsidRPr="00C506BC">
        <w:rPr>
          <w:rFonts w:ascii="Palatino Linotype" w:hAnsi="Palatino Linotype"/>
          <w:sz w:val="24"/>
          <w:szCs w:val="24"/>
          <w:vertAlign w:val="superscript"/>
        </w:rPr>
        <w:t>nd</w:t>
      </w:r>
      <w:r w:rsidR="006528A4">
        <w:rPr>
          <w:rFonts w:ascii="Palatino Linotype" w:hAnsi="Palatino Linotype"/>
          <w:sz w:val="24"/>
          <w:szCs w:val="24"/>
        </w:rPr>
        <w:t xml:space="preserve"> and </w:t>
      </w:r>
      <w:r w:rsidR="006528A4" w:rsidRPr="00C506BC">
        <w:rPr>
          <w:rFonts w:ascii="Palatino Linotype" w:hAnsi="Palatino Linotype"/>
          <w:sz w:val="24"/>
          <w:szCs w:val="24"/>
        </w:rPr>
        <w:t>28</w:t>
      </w:r>
      <w:r w:rsidR="006528A4" w:rsidRPr="00C506BC">
        <w:rPr>
          <w:rFonts w:ascii="Palatino Linotype" w:hAnsi="Palatino Linotype"/>
          <w:sz w:val="24"/>
          <w:szCs w:val="24"/>
          <w:vertAlign w:val="superscript"/>
        </w:rPr>
        <w:t>th</w:t>
      </w:r>
      <w:r w:rsidR="006528A4">
        <w:rPr>
          <w:rFonts w:ascii="Palatino Linotype" w:hAnsi="Palatino Linotype"/>
          <w:sz w:val="24"/>
          <w:szCs w:val="24"/>
        </w:rPr>
        <w:t xml:space="preserve"> of</w:t>
      </w:r>
      <w:r w:rsidR="006528A4" w:rsidRPr="00C506BC">
        <w:rPr>
          <w:rFonts w:ascii="Palatino Linotype" w:hAnsi="Palatino Linotype"/>
          <w:sz w:val="24"/>
          <w:szCs w:val="24"/>
        </w:rPr>
        <w:t xml:space="preserve"> July, 2015</w:t>
      </w:r>
      <w:r w:rsidR="008E77B1">
        <w:rPr>
          <w:rFonts w:ascii="Palatino Linotype" w:hAnsi="Palatino Linotype"/>
          <w:sz w:val="24"/>
          <w:szCs w:val="24"/>
        </w:rPr>
        <w:t xml:space="preserve"> (</w:t>
      </w:r>
      <w:hyperlink r:id="rId10" w:history="1">
        <w:r w:rsidR="008E77B1" w:rsidRPr="00187795">
          <w:rPr>
            <w:rStyle w:val="Hyperlink"/>
            <w:rFonts w:ascii="Palatino Linotype" w:hAnsi="Palatino Linotype"/>
            <w:sz w:val="24"/>
            <w:szCs w:val="24"/>
          </w:rPr>
          <w:t>http://www.gaje.org/8th-world</w:t>
        </w:r>
        <w:r w:rsidR="008E77B1" w:rsidRPr="00187795">
          <w:rPr>
            <w:rStyle w:val="Hyperlink"/>
            <w:rFonts w:ascii="Palatino Linotype" w:hAnsi="Palatino Linotype"/>
            <w:sz w:val="24"/>
            <w:szCs w:val="24"/>
          </w:rPr>
          <w:t>w</w:t>
        </w:r>
        <w:r w:rsidR="008E77B1" w:rsidRPr="00187795">
          <w:rPr>
            <w:rStyle w:val="Hyperlink"/>
            <w:rFonts w:ascii="Palatino Linotype" w:hAnsi="Palatino Linotype"/>
            <w:sz w:val="24"/>
            <w:szCs w:val="24"/>
          </w:rPr>
          <w:t>ide-conference/</w:t>
        </w:r>
      </w:hyperlink>
      <w:r w:rsidR="008E77B1">
        <w:rPr>
          <w:rFonts w:ascii="Palatino Linotype" w:hAnsi="Palatino Linotype"/>
          <w:sz w:val="24"/>
          <w:szCs w:val="24"/>
        </w:rPr>
        <w:t>)</w:t>
      </w:r>
      <w:r w:rsidR="006528A4" w:rsidRPr="00C506BC">
        <w:rPr>
          <w:rFonts w:ascii="Palatino Linotype" w:hAnsi="Palatino Linotype"/>
          <w:sz w:val="24"/>
          <w:szCs w:val="24"/>
        </w:rPr>
        <w:t>.</w:t>
      </w:r>
      <w:r w:rsidR="006528A4">
        <w:rPr>
          <w:rFonts w:ascii="Palatino Linotype" w:hAnsi="Palatino Linotype"/>
          <w:sz w:val="24"/>
          <w:szCs w:val="24"/>
        </w:rPr>
        <w:t xml:space="preserve">  </w:t>
      </w:r>
      <w:r w:rsidR="00001953">
        <w:rPr>
          <w:rFonts w:ascii="Palatino Linotype" w:hAnsi="Palatino Linotype"/>
          <w:sz w:val="24"/>
          <w:szCs w:val="24"/>
        </w:rPr>
        <w:t>We are delighted to have contributions in the IJCLE stream addressing</w:t>
      </w:r>
      <w:r w:rsidR="00855414">
        <w:rPr>
          <w:rFonts w:ascii="Palatino Linotype" w:hAnsi="Palatino Linotype"/>
          <w:sz w:val="24"/>
          <w:szCs w:val="24"/>
        </w:rPr>
        <w:t>:</w:t>
      </w:r>
    </w:p>
    <w:p w:rsidR="00001953" w:rsidRPr="00466DD5" w:rsidRDefault="00001953" w:rsidP="008E77B1">
      <w:pPr>
        <w:spacing w:after="0" w:line="480" w:lineRule="auto"/>
        <w:jc w:val="both"/>
        <w:rPr>
          <w:rFonts w:ascii="Palatino Linotype" w:hAnsi="Palatino Linotype"/>
          <w:i/>
          <w:sz w:val="24"/>
          <w:szCs w:val="24"/>
        </w:rPr>
      </w:pPr>
      <w:r w:rsidRPr="00466DD5">
        <w:rPr>
          <w:rFonts w:ascii="Palatino Linotype" w:hAnsi="Palatino Linotype"/>
          <w:i/>
          <w:sz w:val="24"/>
          <w:szCs w:val="24"/>
        </w:rPr>
        <w:t>1.</w:t>
      </w:r>
      <w:r w:rsidRPr="00466DD5">
        <w:rPr>
          <w:rFonts w:ascii="Palatino Linotype" w:hAnsi="Palatino Linotype"/>
          <w:i/>
          <w:sz w:val="24"/>
          <w:szCs w:val="24"/>
        </w:rPr>
        <w:tab/>
        <w:t>The Map for Learning Law: clinic and curriculum design</w:t>
      </w:r>
    </w:p>
    <w:p w:rsidR="00001953" w:rsidRPr="00001953" w:rsidRDefault="00001953" w:rsidP="00001953">
      <w:pPr>
        <w:spacing w:line="480" w:lineRule="auto"/>
        <w:ind w:left="720"/>
        <w:jc w:val="both"/>
        <w:rPr>
          <w:rFonts w:ascii="Palatino Linotype" w:hAnsi="Palatino Linotype"/>
          <w:sz w:val="24"/>
          <w:szCs w:val="24"/>
        </w:rPr>
      </w:pPr>
      <w:r>
        <w:rPr>
          <w:rFonts w:ascii="Palatino Linotype" w:hAnsi="Palatino Linotype"/>
          <w:sz w:val="24"/>
          <w:szCs w:val="24"/>
        </w:rPr>
        <w:t>p</w:t>
      </w:r>
      <w:r w:rsidRPr="00001953">
        <w:rPr>
          <w:rFonts w:ascii="Palatino Linotype" w:hAnsi="Palatino Linotype"/>
          <w:sz w:val="24"/>
          <w:szCs w:val="24"/>
        </w:rPr>
        <w:t>apers consider</w:t>
      </w:r>
      <w:r>
        <w:rPr>
          <w:rFonts w:ascii="Palatino Linotype" w:hAnsi="Palatino Linotype"/>
          <w:sz w:val="24"/>
          <w:szCs w:val="24"/>
        </w:rPr>
        <w:t>ing</w:t>
      </w:r>
      <w:r w:rsidRPr="00001953">
        <w:rPr>
          <w:rFonts w:ascii="Palatino Linotype" w:hAnsi="Palatino Linotype"/>
          <w:sz w:val="24"/>
          <w:szCs w:val="24"/>
        </w:rPr>
        <w:t xml:space="preserve"> the place of clinics in the wider law curriculum, the connections between legal knowledge and skills taught before, during and after the clinical experience and the specific goals of the clinic</w:t>
      </w:r>
      <w:r w:rsidR="00855414">
        <w:rPr>
          <w:rFonts w:ascii="Palatino Linotype" w:hAnsi="Palatino Linotype"/>
          <w:sz w:val="24"/>
          <w:szCs w:val="24"/>
        </w:rPr>
        <w:t>.</w:t>
      </w:r>
      <w:bookmarkStart w:id="0" w:name="_GoBack"/>
      <w:bookmarkEnd w:id="0"/>
    </w:p>
    <w:p w:rsidR="00001953" w:rsidRPr="00466DD5" w:rsidRDefault="00001953" w:rsidP="008E77B1">
      <w:pPr>
        <w:spacing w:after="0" w:line="480" w:lineRule="auto"/>
        <w:jc w:val="both"/>
        <w:rPr>
          <w:rFonts w:ascii="Palatino Linotype" w:hAnsi="Palatino Linotype"/>
          <w:i/>
          <w:sz w:val="24"/>
          <w:szCs w:val="24"/>
        </w:rPr>
      </w:pPr>
      <w:r w:rsidRPr="00466DD5">
        <w:rPr>
          <w:rFonts w:ascii="Palatino Linotype" w:hAnsi="Palatino Linotype"/>
          <w:i/>
          <w:sz w:val="24"/>
          <w:szCs w:val="24"/>
        </w:rPr>
        <w:t>2.</w:t>
      </w:r>
      <w:r w:rsidRPr="00466DD5">
        <w:rPr>
          <w:rFonts w:ascii="Palatino Linotype" w:hAnsi="Palatino Linotype"/>
          <w:i/>
          <w:sz w:val="24"/>
          <w:szCs w:val="24"/>
        </w:rPr>
        <w:tab/>
        <w:t>Collaborative Learning: comparative perspectives on clinic</w:t>
      </w:r>
    </w:p>
    <w:p w:rsidR="00001953" w:rsidRPr="00001953" w:rsidRDefault="008E77B1" w:rsidP="008E77B1">
      <w:pPr>
        <w:spacing w:line="480" w:lineRule="auto"/>
        <w:ind w:left="720"/>
        <w:jc w:val="both"/>
        <w:rPr>
          <w:rFonts w:ascii="Palatino Linotype" w:hAnsi="Palatino Linotype"/>
          <w:sz w:val="24"/>
          <w:szCs w:val="24"/>
        </w:rPr>
      </w:pPr>
      <w:r>
        <w:rPr>
          <w:rFonts w:ascii="Palatino Linotype" w:hAnsi="Palatino Linotype"/>
          <w:sz w:val="24"/>
          <w:szCs w:val="24"/>
        </w:rPr>
        <w:t>p</w:t>
      </w:r>
      <w:r w:rsidR="00001953" w:rsidRPr="00001953">
        <w:rPr>
          <w:rFonts w:ascii="Palatino Linotype" w:hAnsi="Palatino Linotype"/>
          <w:sz w:val="24"/>
          <w:szCs w:val="24"/>
        </w:rPr>
        <w:t>apers involving two or more settings</w:t>
      </w:r>
      <w:r>
        <w:rPr>
          <w:rFonts w:ascii="Palatino Linotype" w:hAnsi="Palatino Linotype"/>
          <w:sz w:val="24"/>
          <w:szCs w:val="24"/>
        </w:rPr>
        <w:t>,</w:t>
      </w:r>
      <w:r w:rsidR="00001953" w:rsidRPr="00001953">
        <w:rPr>
          <w:rFonts w:ascii="Palatino Linotype" w:hAnsi="Palatino Linotype"/>
          <w:sz w:val="24"/>
          <w:szCs w:val="24"/>
        </w:rPr>
        <w:t xml:space="preserve"> focus</w:t>
      </w:r>
      <w:r>
        <w:rPr>
          <w:rFonts w:ascii="Palatino Linotype" w:hAnsi="Palatino Linotype"/>
          <w:sz w:val="24"/>
          <w:szCs w:val="24"/>
        </w:rPr>
        <w:t xml:space="preserve">ing </w:t>
      </w:r>
      <w:r w:rsidR="00001953" w:rsidRPr="00001953">
        <w:rPr>
          <w:rFonts w:ascii="Palatino Linotype" w:hAnsi="Palatino Linotype"/>
          <w:sz w:val="24"/>
          <w:szCs w:val="24"/>
        </w:rPr>
        <w:t xml:space="preserve">on how differences of context and ecology have shaped specific elements of practice locally as well as linking core practice and beliefs about clinic, education and outcomes for students and clients.  </w:t>
      </w:r>
    </w:p>
    <w:p w:rsidR="00001953" w:rsidRPr="00466DD5" w:rsidRDefault="00001953" w:rsidP="00466DD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480" w:lineRule="auto"/>
        <w:jc w:val="both"/>
        <w:rPr>
          <w:rFonts w:ascii="Palatino Linotype" w:hAnsi="Palatino Linotype"/>
          <w:i/>
          <w:sz w:val="24"/>
          <w:szCs w:val="24"/>
        </w:rPr>
      </w:pPr>
      <w:r w:rsidRPr="00466DD5">
        <w:rPr>
          <w:rFonts w:ascii="Palatino Linotype" w:hAnsi="Palatino Linotype"/>
          <w:i/>
          <w:sz w:val="24"/>
          <w:szCs w:val="24"/>
        </w:rPr>
        <w:t>3.</w:t>
      </w:r>
      <w:r w:rsidRPr="00466DD5">
        <w:rPr>
          <w:rFonts w:ascii="Palatino Linotype" w:hAnsi="Palatino Linotype"/>
          <w:i/>
          <w:sz w:val="24"/>
          <w:szCs w:val="24"/>
        </w:rPr>
        <w:tab/>
        <w:t>How do we know?: research, evidence and impact in clinical education</w:t>
      </w:r>
      <w:r w:rsidR="00466DD5" w:rsidRPr="00466DD5">
        <w:rPr>
          <w:rFonts w:ascii="Palatino Linotype" w:hAnsi="Palatino Linotype"/>
          <w:i/>
          <w:sz w:val="24"/>
          <w:szCs w:val="24"/>
        </w:rPr>
        <w:tab/>
      </w:r>
    </w:p>
    <w:p w:rsidR="00001953" w:rsidRDefault="008E77B1" w:rsidP="008E77B1">
      <w:pPr>
        <w:spacing w:line="480" w:lineRule="auto"/>
        <w:ind w:left="720"/>
        <w:jc w:val="both"/>
        <w:rPr>
          <w:rFonts w:ascii="Palatino Linotype" w:hAnsi="Palatino Linotype"/>
          <w:sz w:val="24"/>
          <w:szCs w:val="24"/>
        </w:rPr>
      </w:pPr>
      <w:r>
        <w:rPr>
          <w:rFonts w:ascii="Palatino Linotype" w:hAnsi="Palatino Linotype"/>
          <w:sz w:val="24"/>
          <w:szCs w:val="24"/>
        </w:rPr>
        <w:t>p</w:t>
      </w:r>
      <w:r w:rsidR="00001953" w:rsidRPr="00001953">
        <w:rPr>
          <w:rFonts w:ascii="Palatino Linotype" w:hAnsi="Palatino Linotype"/>
          <w:sz w:val="24"/>
          <w:szCs w:val="24"/>
        </w:rPr>
        <w:t>apers focus</w:t>
      </w:r>
      <w:r>
        <w:rPr>
          <w:rFonts w:ascii="Palatino Linotype" w:hAnsi="Palatino Linotype"/>
          <w:sz w:val="24"/>
          <w:szCs w:val="24"/>
        </w:rPr>
        <w:t>ing</w:t>
      </w:r>
      <w:r w:rsidR="00001953" w:rsidRPr="00001953">
        <w:rPr>
          <w:rFonts w:ascii="Palatino Linotype" w:hAnsi="Palatino Linotype"/>
          <w:sz w:val="24"/>
          <w:szCs w:val="24"/>
        </w:rPr>
        <w:t xml:space="preserve"> specifically on methods of evaluation and the nature of the evidence that we use to understand and assess our clinics</w:t>
      </w:r>
      <w:r>
        <w:rPr>
          <w:rFonts w:ascii="Palatino Linotype" w:hAnsi="Palatino Linotype"/>
          <w:sz w:val="24"/>
          <w:szCs w:val="24"/>
        </w:rPr>
        <w:t xml:space="preserve">, </w:t>
      </w:r>
      <w:r w:rsidR="00001953" w:rsidRPr="00001953">
        <w:rPr>
          <w:rFonts w:ascii="Palatino Linotype" w:hAnsi="Palatino Linotype"/>
          <w:sz w:val="24"/>
          <w:szCs w:val="24"/>
        </w:rPr>
        <w:t>represent</w:t>
      </w:r>
      <w:r>
        <w:rPr>
          <w:rFonts w:ascii="Palatino Linotype" w:hAnsi="Palatino Linotype"/>
          <w:sz w:val="24"/>
          <w:szCs w:val="24"/>
        </w:rPr>
        <w:t>ing</w:t>
      </w:r>
      <w:r w:rsidR="00001953" w:rsidRPr="00001953">
        <w:rPr>
          <w:rFonts w:ascii="Palatino Linotype" w:hAnsi="Palatino Linotype"/>
          <w:sz w:val="24"/>
          <w:szCs w:val="24"/>
        </w:rPr>
        <w:t xml:space="preserve"> a range of philosophical and methodological approaches.</w:t>
      </w:r>
    </w:p>
    <w:p w:rsidR="00466DD5" w:rsidRDefault="00466DD5" w:rsidP="00AA4B92">
      <w:pPr>
        <w:jc w:val="both"/>
        <w:rPr>
          <w:rFonts w:ascii="Palatino Linotype" w:hAnsi="Palatino Linotype"/>
          <w:sz w:val="24"/>
          <w:szCs w:val="24"/>
        </w:rPr>
      </w:pPr>
      <w:r>
        <w:rPr>
          <w:rFonts w:ascii="Palatino Linotype" w:hAnsi="Palatino Linotype"/>
          <w:sz w:val="24"/>
          <w:szCs w:val="24"/>
        </w:rPr>
        <w:t>Please let me know about CLE events and I will</w:t>
      </w:r>
      <w:r w:rsidR="00AA4B92">
        <w:rPr>
          <w:rFonts w:ascii="Palatino Linotype" w:hAnsi="Palatino Linotype"/>
          <w:sz w:val="24"/>
          <w:szCs w:val="24"/>
        </w:rPr>
        <w:t xml:space="preserve"> publicise them here – do bear in mind our approximate publication dates of February, July and November.</w:t>
      </w:r>
    </w:p>
    <w:p w:rsidR="006528A4" w:rsidRDefault="008E77B1" w:rsidP="006528A4">
      <w:pPr>
        <w:rPr>
          <w:rFonts w:ascii="Palatino Linotype" w:hAnsi="Palatino Linotype"/>
          <w:sz w:val="24"/>
          <w:szCs w:val="24"/>
        </w:rPr>
      </w:pPr>
      <w:r>
        <w:rPr>
          <w:rFonts w:ascii="Palatino Linotype" w:hAnsi="Palatino Linotype"/>
          <w:sz w:val="24"/>
          <w:szCs w:val="24"/>
        </w:rPr>
        <w:t xml:space="preserve">I hope to see many of you </w:t>
      </w:r>
      <w:r w:rsidR="00E55130">
        <w:rPr>
          <w:rFonts w:ascii="Palatino Linotype" w:hAnsi="Palatino Linotype"/>
          <w:sz w:val="24"/>
          <w:szCs w:val="24"/>
        </w:rPr>
        <w:t>at these events</w:t>
      </w:r>
      <w:r>
        <w:rPr>
          <w:rFonts w:ascii="Palatino Linotype" w:hAnsi="Palatino Linotype"/>
          <w:sz w:val="24"/>
          <w:szCs w:val="24"/>
        </w:rPr>
        <w:t>!</w:t>
      </w:r>
    </w:p>
    <w:p w:rsidR="008E77B1" w:rsidRDefault="008E77B1" w:rsidP="006528A4">
      <w:pPr>
        <w:rPr>
          <w:rFonts w:ascii="Palatino Linotype" w:hAnsi="Palatino Linotype"/>
          <w:sz w:val="24"/>
          <w:szCs w:val="24"/>
        </w:rPr>
      </w:pPr>
    </w:p>
    <w:p w:rsidR="006528A4" w:rsidRDefault="006528A4" w:rsidP="006528A4">
      <w:pPr>
        <w:rPr>
          <w:rFonts w:ascii="Palatino Linotype" w:hAnsi="Palatino Linotype"/>
          <w:sz w:val="24"/>
          <w:szCs w:val="24"/>
        </w:rPr>
      </w:pPr>
      <w:r>
        <w:rPr>
          <w:rFonts w:ascii="Palatino Linotype" w:hAnsi="Palatino Linotype"/>
          <w:sz w:val="24"/>
          <w:szCs w:val="24"/>
        </w:rPr>
        <w:lastRenderedPageBreak/>
        <w:t>References</w:t>
      </w:r>
    </w:p>
    <w:p w:rsidR="006528A4" w:rsidRPr="0077399E" w:rsidRDefault="0077399E" w:rsidP="006528A4">
      <w:pPr>
        <w:rPr>
          <w:rFonts w:ascii="Palatino Linotype" w:hAnsi="Palatino Linotype"/>
          <w:i/>
          <w:sz w:val="24"/>
          <w:szCs w:val="24"/>
        </w:rPr>
      </w:pPr>
      <w:r>
        <w:rPr>
          <w:rFonts w:ascii="Palatino Linotype" w:hAnsi="Palatino Linotype"/>
          <w:sz w:val="24"/>
          <w:szCs w:val="24"/>
        </w:rPr>
        <w:t>Eliot, T.S</w:t>
      </w:r>
      <w:r w:rsidR="006528A4" w:rsidRPr="00C1484B">
        <w:rPr>
          <w:rFonts w:ascii="Palatino Linotype" w:hAnsi="Palatino Linotype"/>
          <w:sz w:val="24"/>
          <w:szCs w:val="24"/>
        </w:rPr>
        <w:t>.</w:t>
      </w:r>
      <w:r>
        <w:rPr>
          <w:rFonts w:ascii="Palatino Linotype" w:hAnsi="Palatino Linotype"/>
          <w:sz w:val="24"/>
          <w:szCs w:val="24"/>
        </w:rPr>
        <w:t xml:space="preserve"> (1941) </w:t>
      </w:r>
      <w:r>
        <w:rPr>
          <w:rFonts w:ascii="Palatino Linotype" w:hAnsi="Palatino Linotype"/>
          <w:i/>
          <w:sz w:val="24"/>
          <w:szCs w:val="24"/>
        </w:rPr>
        <w:t>The Dry Salvages</w:t>
      </w:r>
      <w:r w:rsidR="0000017C">
        <w:rPr>
          <w:rFonts w:ascii="Palatino Linotype" w:hAnsi="Palatino Linotype"/>
          <w:i/>
          <w:sz w:val="24"/>
          <w:szCs w:val="24"/>
        </w:rPr>
        <w:t>.</w:t>
      </w:r>
      <w:r>
        <w:rPr>
          <w:rFonts w:ascii="Palatino Linotype" w:hAnsi="Palatino Linotype"/>
          <w:i/>
          <w:sz w:val="24"/>
          <w:szCs w:val="24"/>
        </w:rPr>
        <w:t xml:space="preserve"> </w:t>
      </w:r>
      <w:r w:rsidR="0000017C" w:rsidRPr="0000017C">
        <w:rPr>
          <w:rFonts w:ascii="Palatino Linotype" w:hAnsi="Palatino Linotype"/>
          <w:sz w:val="24"/>
          <w:szCs w:val="24"/>
        </w:rPr>
        <w:t>Published in the</w:t>
      </w:r>
      <w:r w:rsidR="0000017C">
        <w:rPr>
          <w:rFonts w:ascii="Palatino Linotype" w:hAnsi="Palatino Linotype"/>
          <w:i/>
          <w:sz w:val="24"/>
          <w:szCs w:val="24"/>
        </w:rPr>
        <w:t xml:space="preserve"> </w:t>
      </w:r>
      <w:r>
        <w:rPr>
          <w:rFonts w:ascii="Palatino Linotype" w:hAnsi="Palatino Linotype"/>
          <w:sz w:val="24"/>
          <w:szCs w:val="24"/>
        </w:rPr>
        <w:t xml:space="preserve">New English Weekly, collected in </w:t>
      </w:r>
      <w:r>
        <w:rPr>
          <w:rFonts w:ascii="Palatino Linotype" w:hAnsi="Palatino Linotype"/>
          <w:i/>
          <w:sz w:val="24"/>
          <w:szCs w:val="24"/>
        </w:rPr>
        <w:t>The Four Quartets</w:t>
      </w:r>
      <w:r w:rsidR="0000017C">
        <w:rPr>
          <w:rFonts w:ascii="Palatino Linotype" w:hAnsi="Palatino Linotype"/>
          <w:i/>
          <w:sz w:val="24"/>
          <w:szCs w:val="24"/>
        </w:rPr>
        <w:t xml:space="preserve"> </w:t>
      </w:r>
      <w:r w:rsidR="0000017C" w:rsidRPr="0000017C">
        <w:rPr>
          <w:rFonts w:ascii="Palatino Linotype" w:hAnsi="Palatino Linotype"/>
          <w:sz w:val="24"/>
          <w:szCs w:val="24"/>
        </w:rPr>
        <w:t>(1943) New York: Harcourt</w:t>
      </w:r>
    </w:p>
    <w:p w:rsidR="00CC5B35" w:rsidRDefault="007B55F7"/>
    <w:sectPr w:rsidR="00CC5B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F7" w:rsidRDefault="007B55F7" w:rsidP="001738C8">
      <w:pPr>
        <w:spacing w:after="0" w:line="240" w:lineRule="auto"/>
      </w:pPr>
      <w:r>
        <w:separator/>
      </w:r>
    </w:p>
  </w:endnote>
  <w:endnote w:type="continuationSeparator" w:id="0">
    <w:p w:rsidR="007B55F7" w:rsidRDefault="007B55F7" w:rsidP="0017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F7" w:rsidRDefault="007B55F7" w:rsidP="001738C8">
      <w:pPr>
        <w:spacing w:after="0" w:line="240" w:lineRule="auto"/>
      </w:pPr>
      <w:r>
        <w:separator/>
      </w:r>
    </w:p>
  </w:footnote>
  <w:footnote w:type="continuationSeparator" w:id="0">
    <w:p w:rsidR="007B55F7" w:rsidRDefault="007B55F7" w:rsidP="001738C8">
      <w:pPr>
        <w:spacing w:after="0" w:line="240" w:lineRule="auto"/>
      </w:pPr>
      <w:r>
        <w:continuationSeparator/>
      </w:r>
    </w:p>
  </w:footnote>
  <w:footnote w:id="1">
    <w:p w:rsidR="001738C8" w:rsidRDefault="001738C8">
      <w:pPr>
        <w:pStyle w:val="FootnoteText"/>
      </w:pPr>
      <w:r>
        <w:rPr>
          <w:rStyle w:val="FootnoteReference"/>
        </w:rPr>
        <w:footnoteRef/>
      </w:r>
      <w:r>
        <w:t xml:space="preserve"> A clinic experience placed at the end of a degree programme in which the prior academic and skills learning is operationalised.</w:t>
      </w:r>
    </w:p>
  </w:footnote>
  <w:footnote w:id="2">
    <w:p w:rsidR="0024000F" w:rsidRDefault="0024000F">
      <w:pPr>
        <w:pStyle w:val="FootnoteText"/>
      </w:pPr>
      <w:r>
        <w:rPr>
          <w:rStyle w:val="FootnoteReference"/>
        </w:rPr>
        <w:footnoteRef/>
      </w:r>
      <w:r>
        <w:t xml:space="preserve"> For details of how to apply, please contact </w:t>
      </w:r>
      <w:hyperlink r:id="rId1" w:history="1">
        <w:r w:rsidRPr="001D5428">
          <w:rPr>
            <w:rStyle w:val="Hyperlink"/>
          </w:rPr>
          <w:t>ustege@iuctorino.it</w:t>
        </w:r>
      </w:hyperlink>
      <w:r>
        <w:rPr>
          <w:rStyle w:val="Hyperlink"/>
        </w:rPr>
        <w:t xml:space="preserve"> </w:t>
      </w:r>
      <w:r>
        <w:t xml:space="preserve">or </w:t>
      </w:r>
      <w:hyperlink r:id="rId2" w:history="1">
        <w:r w:rsidRPr="00187795">
          <w:rPr>
            <w:rStyle w:val="Hyperlink"/>
          </w:rPr>
          <w:t>paul.mckeown@northumbria.ac.uk</w:t>
        </w:r>
      </w:hyperlink>
      <w:r>
        <w:t xml:space="preserve"> </w:t>
      </w:r>
    </w:p>
  </w:footnote>
  <w:footnote w:id="3">
    <w:p w:rsidR="00466DD5" w:rsidRDefault="00466DD5">
      <w:pPr>
        <w:pStyle w:val="FootnoteText"/>
      </w:pPr>
      <w:r>
        <w:rPr>
          <w:rStyle w:val="FootnoteReference"/>
        </w:rPr>
        <w:footnoteRef/>
      </w:r>
      <w:r>
        <w:t xml:space="preserve"> </w:t>
      </w:r>
      <w:hyperlink r:id="rId3" w:history="1">
        <w:r w:rsidRPr="00187795">
          <w:rPr>
            <w:rStyle w:val="Hyperlink"/>
          </w:rPr>
          <w:t>https://www.northumbria.ac.uk/about-us/academic-departments/northumbria-law-school/law-research/legal-education-and-professional-skills/problema</w:t>
        </w:r>
        <w:r w:rsidRPr="00187795">
          <w:rPr>
            <w:rStyle w:val="Hyperlink"/>
          </w:rPr>
          <w:t>t</w:t>
        </w:r>
        <w:r w:rsidRPr="00187795">
          <w:rPr>
            <w:rStyle w:val="Hyperlink"/>
          </w:rPr>
          <w:t>ising-assessment-in-clinical-legal-education/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559A"/>
    <w:multiLevelType w:val="hybridMultilevel"/>
    <w:tmpl w:val="5498D48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A4"/>
    <w:rsid w:val="0000017C"/>
    <w:rsid w:val="00001953"/>
    <w:rsid w:val="001738C8"/>
    <w:rsid w:val="0024000F"/>
    <w:rsid w:val="004409C0"/>
    <w:rsid w:val="00466DD5"/>
    <w:rsid w:val="006073F0"/>
    <w:rsid w:val="006528A4"/>
    <w:rsid w:val="00686B46"/>
    <w:rsid w:val="0077399E"/>
    <w:rsid w:val="007B55F7"/>
    <w:rsid w:val="008200A4"/>
    <w:rsid w:val="00855414"/>
    <w:rsid w:val="008E77B1"/>
    <w:rsid w:val="009F7BD3"/>
    <w:rsid w:val="00AA4B92"/>
    <w:rsid w:val="00DF6068"/>
    <w:rsid w:val="00E55130"/>
    <w:rsid w:val="00E76A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A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8A4"/>
    <w:rPr>
      <w:color w:val="0000FF" w:themeColor="hyperlink"/>
      <w:u w:val="single"/>
    </w:rPr>
  </w:style>
  <w:style w:type="paragraph" w:styleId="ListParagraph">
    <w:name w:val="List Paragraph"/>
    <w:basedOn w:val="Normal"/>
    <w:uiPriority w:val="34"/>
    <w:qFormat/>
    <w:rsid w:val="006073F0"/>
    <w:pPr>
      <w:ind w:left="720"/>
      <w:contextualSpacing/>
    </w:pPr>
  </w:style>
  <w:style w:type="paragraph" w:styleId="FootnoteText">
    <w:name w:val="footnote text"/>
    <w:basedOn w:val="Normal"/>
    <w:link w:val="FootnoteTextChar"/>
    <w:uiPriority w:val="99"/>
    <w:semiHidden/>
    <w:unhideWhenUsed/>
    <w:rsid w:val="00173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8C8"/>
    <w:rPr>
      <w:rFonts w:eastAsiaTheme="minorHAnsi"/>
      <w:sz w:val="20"/>
      <w:szCs w:val="20"/>
      <w:lang w:eastAsia="en-US"/>
    </w:rPr>
  </w:style>
  <w:style w:type="character" w:styleId="FootnoteReference">
    <w:name w:val="footnote reference"/>
    <w:basedOn w:val="DefaultParagraphFont"/>
    <w:uiPriority w:val="99"/>
    <w:semiHidden/>
    <w:unhideWhenUsed/>
    <w:rsid w:val="001738C8"/>
    <w:rPr>
      <w:vertAlign w:val="superscript"/>
    </w:rPr>
  </w:style>
  <w:style w:type="character" w:styleId="FollowedHyperlink">
    <w:name w:val="FollowedHyperlink"/>
    <w:basedOn w:val="DefaultParagraphFont"/>
    <w:uiPriority w:val="99"/>
    <w:semiHidden/>
    <w:unhideWhenUsed/>
    <w:rsid w:val="008554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A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8A4"/>
    <w:rPr>
      <w:color w:val="0000FF" w:themeColor="hyperlink"/>
      <w:u w:val="single"/>
    </w:rPr>
  </w:style>
  <w:style w:type="paragraph" w:styleId="ListParagraph">
    <w:name w:val="List Paragraph"/>
    <w:basedOn w:val="Normal"/>
    <w:uiPriority w:val="34"/>
    <w:qFormat/>
    <w:rsid w:val="006073F0"/>
    <w:pPr>
      <w:ind w:left="720"/>
      <w:contextualSpacing/>
    </w:pPr>
  </w:style>
  <w:style w:type="paragraph" w:styleId="FootnoteText">
    <w:name w:val="footnote text"/>
    <w:basedOn w:val="Normal"/>
    <w:link w:val="FootnoteTextChar"/>
    <w:uiPriority w:val="99"/>
    <w:semiHidden/>
    <w:unhideWhenUsed/>
    <w:rsid w:val="00173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8C8"/>
    <w:rPr>
      <w:rFonts w:eastAsiaTheme="minorHAnsi"/>
      <w:sz w:val="20"/>
      <w:szCs w:val="20"/>
      <w:lang w:eastAsia="en-US"/>
    </w:rPr>
  </w:style>
  <w:style w:type="character" w:styleId="FootnoteReference">
    <w:name w:val="footnote reference"/>
    <w:basedOn w:val="DefaultParagraphFont"/>
    <w:uiPriority w:val="99"/>
    <w:semiHidden/>
    <w:unhideWhenUsed/>
    <w:rsid w:val="001738C8"/>
    <w:rPr>
      <w:vertAlign w:val="superscript"/>
    </w:rPr>
  </w:style>
  <w:style w:type="character" w:styleId="FollowedHyperlink">
    <w:name w:val="FollowedHyperlink"/>
    <w:basedOn w:val="DefaultParagraphFont"/>
    <w:uiPriority w:val="99"/>
    <w:semiHidden/>
    <w:unhideWhenUsed/>
    <w:rsid w:val="00855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aje.org/8th-worldwide-conference/" TargetMode="External"/><Relationship Id="rId4" Type="http://schemas.microsoft.com/office/2007/relationships/stylesWithEffects" Target="stylesWithEffects.xml"/><Relationship Id="rId9" Type="http://schemas.openxmlformats.org/officeDocument/2006/relationships/hyperlink" Target="mailto:Elaine.Hall@northumbria.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rthumbria.ac.uk/about-us/academic-departments/northumbria-law-school/law-research/legal-education-and-professional-skills/problematising-assessment-in-clinical-legal-education/" TargetMode="External"/><Relationship Id="rId2" Type="http://schemas.openxmlformats.org/officeDocument/2006/relationships/hyperlink" Target="mailto:paul.mckeown@northumbria.ac.uk" TargetMode="External"/><Relationship Id="rId1" Type="http://schemas.openxmlformats.org/officeDocument/2006/relationships/hyperlink" Target="mailto:ustege@iuctori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DD4E-3E29-4F47-834A-256199EC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Paul Burns</cp:lastModifiedBy>
  <cp:revision>4</cp:revision>
  <dcterms:created xsi:type="dcterms:W3CDTF">2015-02-09T11:10:00Z</dcterms:created>
  <dcterms:modified xsi:type="dcterms:W3CDTF">2015-02-09T14:44:00Z</dcterms:modified>
</cp:coreProperties>
</file>