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53" w:rsidRPr="00613946" w:rsidRDefault="00BF4953" w:rsidP="00BF4953">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BF4953" w:rsidRPr="00613946" w:rsidRDefault="00BF4953" w:rsidP="00BF4953">
      <w:pPr>
        <w:rPr>
          <w:rFonts w:ascii="Palatino Linotype" w:hAnsi="Palatino Linotype"/>
          <w:b/>
          <w:sz w:val="28"/>
          <w:szCs w:val="28"/>
        </w:rPr>
      </w:pPr>
      <w:r>
        <w:rPr>
          <w:rFonts w:ascii="Palatino Linotype" w:hAnsi="Palatino Linotype"/>
          <w:b/>
          <w:sz w:val="28"/>
          <w:szCs w:val="28"/>
        </w:rPr>
        <w:t>Locating clinic and ourselves within it</w:t>
      </w:r>
    </w:p>
    <w:p w:rsidR="00BF4953" w:rsidRDefault="00BF4953" w:rsidP="00BF4953">
      <w:pPr>
        <w:rPr>
          <w:rFonts w:ascii="Palatino Linotype" w:hAnsi="Palatino Linotype"/>
          <w:sz w:val="24"/>
          <w:szCs w:val="24"/>
        </w:rPr>
      </w:pPr>
      <w:r>
        <w:rPr>
          <w:rFonts w:ascii="Palatino Linotype" w:hAnsi="Palatino Linotype"/>
          <w:sz w:val="24"/>
          <w:szCs w:val="24"/>
        </w:rPr>
        <w:t>Elaine Hall</w:t>
      </w:r>
    </w:p>
    <w:p w:rsidR="00BF4953" w:rsidRDefault="00BF4953" w:rsidP="00BF4953">
      <w:pPr>
        <w:rPr>
          <w:rFonts w:ascii="Palatino Linotype" w:hAnsi="Palatino Linotype"/>
          <w:sz w:val="24"/>
          <w:szCs w:val="24"/>
        </w:rPr>
      </w:pPr>
      <w:r>
        <w:rPr>
          <w:rFonts w:ascii="Palatino Linotype" w:hAnsi="Palatino Linotype"/>
          <w:sz w:val="24"/>
          <w:szCs w:val="24"/>
        </w:rPr>
        <w:t>Northumbria University, UK</w:t>
      </w:r>
    </w:p>
    <w:p w:rsidR="00CC5B35" w:rsidRDefault="00BF4953" w:rsidP="00BF4953">
      <w:pPr>
        <w:rPr>
          <w:rStyle w:val="Hyperlink"/>
          <w:rFonts w:ascii="Palatino Linotype" w:hAnsi="Palatino Linotype"/>
          <w:sz w:val="24"/>
          <w:szCs w:val="24"/>
        </w:rPr>
      </w:pPr>
      <w:hyperlink r:id="rId5" w:history="1">
        <w:r w:rsidRPr="00935DD6">
          <w:rPr>
            <w:rStyle w:val="Hyperlink"/>
            <w:rFonts w:ascii="Palatino Linotype" w:hAnsi="Palatino Linotype"/>
            <w:sz w:val="24"/>
            <w:szCs w:val="24"/>
          </w:rPr>
          <w:t>Elaine.Hall@northumbria.ac.uk</w:t>
        </w:r>
      </w:hyperlink>
    </w:p>
    <w:p w:rsidR="00BF4953" w:rsidRDefault="00BF4953" w:rsidP="00BF4953">
      <w:pPr>
        <w:spacing w:line="480" w:lineRule="auto"/>
        <w:rPr>
          <w:rFonts w:ascii="Palatino Linotype" w:hAnsi="Palatino Linotype"/>
          <w:sz w:val="24"/>
          <w:szCs w:val="24"/>
        </w:rPr>
      </w:pPr>
    </w:p>
    <w:p w:rsidR="00BF4953" w:rsidRDefault="0038230A" w:rsidP="0038230A">
      <w:pPr>
        <w:spacing w:line="480" w:lineRule="auto"/>
        <w:jc w:val="both"/>
        <w:rPr>
          <w:rFonts w:ascii="Palatino Linotype" w:hAnsi="Palatino Linotype"/>
          <w:sz w:val="24"/>
          <w:szCs w:val="24"/>
        </w:rPr>
      </w:pPr>
      <w:r>
        <w:rPr>
          <w:rFonts w:ascii="Palatino Linotype" w:hAnsi="Palatino Linotype"/>
          <w:sz w:val="24"/>
          <w:szCs w:val="24"/>
        </w:rPr>
        <w:t xml:space="preserve">In this edition we return to a key theme for this journal, mapping our clinical practice.  </w:t>
      </w:r>
      <w:r w:rsidR="006F74AF">
        <w:rPr>
          <w:rFonts w:ascii="Palatino Linotype" w:hAnsi="Palatino Linotype"/>
          <w:sz w:val="24"/>
          <w:szCs w:val="24"/>
        </w:rPr>
        <w:t xml:space="preserve">Why is this process of mapping so important? </w:t>
      </w:r>
      <w:r w:rsidR="00F86CAF">
        <w:rPr>
          <w:rFonts w:ascii="Palatino Linotype" w:hAnsi="Palatino Linotype"/>
          <w:sz w:val="24"/>
          <w:szCs w:val="24"/>
        </w:rPr>
        <w:t xml:space="preserve">I’d like to advance the argument that mapping in academic practice can be seen as a mindfulness technique, enabling us to evaluate the past, to dream of and plan for the future and most crucially to experience the present. This awareness of where we are now allows us to be engaged actors, rather than the cranky passive consumers that John </w:t>
      </w:r>
      <w:proofErr w:type="spellStart"/>
      <w:r w:rsidR="00F86CAF">
        <w:rPr>
          <w:rFonts w:ascii="Palatino Linotype" w:hAnsi="Palatino Linotype"/>
          <w:sz w:val="24"/>
          <w:szCs w:val="24"/>
        </w:rPr>
        <w:t>Brehm</w:t>
      </w:r>
      <w:proofErr w:type="spellEnd"/>
      <w:r w:rsidR="00F86CAF">
        <w:rPr>
          <w:rFonts w:ascii="Palatino Linotype" w:hAnsi="Palatino Linotype"/>
          <w:sz w:val="24"/>
          <w:szCs w:val="24"/>
        </w:rPr>
        <w:t xml:space="preserve"> describes:</w:t>
      </w:r>
    </w:p>
    <w:p w:rsidR="006F74AF" w:rsidRPr="006F74AF" w:rsidRDefault="00F86CAF" w:rsidP="00F86CAF">
      <w:pPr>
        <w:spacing w:after="0"/>
        <w:ind w:left="426" w:right="662"/>
        <w:jc w:val="both"/>
        <w:rPr>
          <w:rFonts w:ascii="Palatino Linotype" w:hAnsi="Palatino Linotype"/>
          <w:i/>
          <w:sz w:val="24"/>
          <w:szCs w:val="24"/>
        </w:rPr>
      </w:pPr>
      <w:proofErr w:type="gramStart"/>
      <w:r>
        <w:rPr>
          <w:rFonts w:ascii="Palatino Linotype" w:hAnsi="Palatino Linotype"/>
          <w:i/>
          <w:sz w:val="24"/>
          <w:szCs w:val="24"/>
        </w:rPr>
        <w:t xml:space="preserve">… </w:t>
      </w:r>
      <w:r w:rsidR="006F74AF" w:rsidRPr="006F74AF">
        <w:rPr>
          <w:rFonts w:ascii="Palatino Linotype" w:hAnsi="Palatino Linotype"/>
          <w:i/>
          <w:sz w:val="24"/>
          <w:szCs w:val="24"/>
        </w:rPr>
        <w:t>we'd</w:t>
      </w:r>
      <w:proofErr w:type="gramEnd"/>
      <w:r w:rsidR="006F74AF" w:rsidRPr="006F74AF">
        <w:rPr>
          <w:rFonts w:ascii="Palatino Linotype" w:hAnsi="Palatino Linotype"/>
          <w:i/>
          <w:sz w:val="24"/>
          <w:szCs w:val="24"/>
        </w:rPr>
        <w:t xml:space="preserve"> still be waiting for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the</w:t>
      </w:r>
      <w:proofErr w:type="gramEnd"/>
      <w:r w:rsidRPr="006F74AF">
        <w:rPr>
          <w:rFonts w:ascii="Palatino Linotype" w:hAnsi="Palatino Linotype"/>
          <w:i/>
          <w:sz w:val="24"/>
          <w:szCs w:val="24"/>
        </w:rPr>
        <w:t xml:space="preserve"> next thing to happen in Heaven,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the</w:t>
      </w:r>
      <w:proofErr w:type="gramEnd"/>
      <w:r w:rsidRPr="006F74AF">
        <w:rPr>
          <w:rFonts w:ascii="Palatino Linotype" w:hAnsi="Palatino Linotype"/>
          <w:i/>
          <w:sz w:val="24"/>
          <w:szCs w:val="24"/>
        </w:rPr>
        <w:t xml:space="preserve"> next violin concerto or cotton candy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festival</w:t>
      </w:r>
      <w:proofErr w:type="gramEnd"/>
      <w:r w:rsidRPr="006F74AF">
        <w:rPr>
          <w:rFonts w:ascii="Palatino Linotype" w:hAnsi="Palatino Linotype"/>
          <w:i/>
          <w:sz w:val="24"/>
          <w:szCs w:val="24"/>
        </w:rPr>
        <w:t xml:space="preserve"> or </w:t>
      </w:r>
      <w:proofErr w:type="spellStart"/>
      <w:r w:rsidRPr="006F74AF">
        <w:rPr>
          <w:rFonts w:ascii="Palatino Linotype" w:hAnsi="Palatino Linotype"/>
          <w:i/>
          <w:sz w:val="24"/>
          <w:szCs w:val="24"/>
        </w:rPr>
        <w:t>breathtaking</w:t>
      </w:r>
      <w:proofErr w:type="spellEnd"/>
      <w:r w:rsidRPr="006F74AF">
        <w:rPr>
          <w:rFonts w:ascii="Palatino Linotype" w:hAnsi="Palatino Linotype"/>
          <w:i/>
          <w:sz w:val="24"/>
          <w:szCs w:val="24"/>
        </w:rPr>
        <w:t xml:space="preserve"> vista to open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beneath</w:t>
      </w:r>
      <w:proofErr w:type="gramEnd"/>
      <w:r w:rsidRPr="006F74AF">
        <w:rPr>
          <w:rFonts w:ascii="Palatino Linotype" w:hAnsi="Palatino Linotype"/>
          <w:i/>
          <w:sz w:val="24"/>
          <w:szCs w:val="24"/>
        </w:rPr>
        <w:t xml:space="preserve"> our feet, and thinking this place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isn't</w:t>
      </w:r>
      <w:proofErr w:type="gramEnd"/>
      <w:r w:rsidRPr="006F74AF">
        <w:rPr>
          <w:rFonts w:ascii="Palatino Linotype" w:hAnsi="Palatino Linotype"/>
          <w:i/>
          <w:sz w:val="24"/>
          <w:szCs w:val="24"/>
        </w:rPr>
        <w:t xml:space="preserve"> quite what it's cracked up to be,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and</w:t>
      </w:r>
      <w:proofErr w:type="gramEnd"/>
      <w:r w:rsidRPr="006F74AF">
        <w:rPr>
          <w:rFonts w:ascii="Palatino Linotype" w:hAnsi="Palatino Linotype"/>
          <w:i/>
          <w:sz w:val="24"/>
          <w:szCs w:val="24"/>
        </w:rPr>
        <w:t xml:space="preserve"> why in hell does everybody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want</w:t>
      </w:r>
      <w:proofErr w:type="gramEnd"/>
      <w:r w:rsidRPr="006F74AF">
        <w:rPr>
          <w:rFonts w:ascii="Palatino Linotype" w:hAnsi="Palatino Linotype"/>
          <w:i/>
          <w:sz w:val="24"/>
          <w:szCs w:val="24"/>
        </w:rPr>
        <w:t xml:space="preserve"> to get here? We'd still be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waiting</w:t>
      </w:r>
      <w:proofErr w:type="gramEnd"/>
      <w:r w:rsidRPr="006F74AF">
        <w:rPr>
          <w:rFonts w:ascii="Palatino Linotype" w:hAnsi="Palatino Linotype"/>
          <w:i/>
          <w:sz w:val="24"/>
          <w:szCs w:val="24"/>
        </w:rPr>
        <w:t xml:space="preserve"> for someone else to come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and</w:t>
      </w:r>
      <w:proofErr w:type="gramEnd"/>
      <w:r w:rsidRPr="006F74AF">
        <w:rPr>
          <w:rFonts w:ascii="Palatino Linotype" w:hAnsi="Palatino Linotype"/>
          <w:i/>
          <w:sz w:val="24"/>
          <w:szCs w:val="24"/>
        </w:rPr>
        <w:t xml:space="preserve"> make us happy, staring </w:t>
      </w:r>
    </w:p>
    <w:p w:rsidR="006F74AF" w:rsidRPr="006F74AF" w:rsidRDefault="006F74AF" w:rsidP="00F86CAF">
      <w:pPr>
        <w:spacing w:after="0"/>
        <w:ind w:left="426" w:right="662"/>
        <w:jc w:val="both"/>
        <w:rPr>
          <w:rFonts w:ascii="Palatino Linotype" w:hAnsi="Palatino Linotype"/>
          <w:i/>
          <w:sz w:val="24"/>
          <w:szCs w:val="24"/>
        </w:rPr>
      </w:pPr>
      <w:proofErr w:type="gramStart"/>
      <w:r w:rsidRPr="006F74AF">
        <w:rPr>
          <w:rFonts w:ascii="Palatino Linotype" w:hAnsi="Palatino Linotype"/>
          <w:i/>
          <w:sz w:val="24"/>
          <w:szCs w:val="24"/>
        </w:rPr>
        <w:t>through</w:t>
      </w:r>
      <w:proofErr w:type="gramEnd"/>
      <w:r w:rsidRPr="006F74AF">
        <w:rPr>
          <w:rFonts w:ascii="Palatino Linotype" w:hAnsi="Palatino Linotype"/>
          <w:i/>
          <w:sz w:val="24"/>
          <w:szCs w:val="24"/>
        </w:rPr>
        <w:t xml:space="preserve"> whatever's in front of us, </w:t>
      </w:r>
    </w:p>
    <w:p w:rsidR="006F74AF" w:rsidRDefault="006F74AF" w:rsidP="00F86CAF">
      <w:pPr>
        <w:spacing w:after="0"/>
        <w:ind w:left="426" w:right="662"/>
        <w:jc w:val="both"/>
        <w:rPr>
          <w:rFonts w:ascii="Palatino Linotype" w:hAnsi="Palatino Linotype"/>
          <w:sz w:val="24"/>
          <w:szCs w:val="24"/>
        </w:rPr>
      </w:pPr>
      <w:proofErr w:type="gramStart"/>
      <w:r w:rsidRPr="006F74AF">
        <w:rPr>
          <w:rFonts w:ascii="Palatino Linotype" w:hAnsi="Palatino Linotype"/>
          <w:i/>
          <w:sz w:val="24"/>
          <w:szCs w:val="24"/>
        </w:rPr>
        <w:t>cursing</w:t>
      </w:r>
      <w:proofErr w:type="gramEnd"/>
      <w:r w:rsidRPr="006F74AF">
        <w:rPr>
          <w:rFonts w:ascii="Palatino Linotype" w:hAnsi="Palatino Linotype"/>
          <w:i/>
          <w:sz w:val="24"/>
          <w:szCs w:val="24"/>
        </w:rPr>
        <w:t xml:space="preserve"> the light that never seems to change</w:t>
      </w:r>
      <w:r w:rsidRPr="006F74AF">
        <w:rPr>
          <w:rFonts w:ascii="Palatino Linotype" w:hAnsi="Palatino Linotype"/>
          <w:sz w:val="24"/>
          <w:szCs w:val="24"/>
        </w:rPr>
        <w:t>.</w:t>
      </w:r>
    </w:p>
    <w:p w:rsidR="00F86CAF" w:rsidRDefault="00F86CAF" w:rsidP="0038230A">
      <w:pPr>
        <w:spacing w:line="480" w:lineRule="auto"/>
        <w:jc w:val="both"/>
        <w:rPr>
          <w:rFonts w:ascii="Palatino Linotype" w:hAnsi="Palatino Linotype"/>
          <w:sz w:val="24"/>
          <w:szCs w:val="24"/>
        </w:rPr>
      </w:pPr>
    </w:p>
    <w:p w:rsidR="0038230A" w:rsidRDefault="00F86CAF" w:rsidP="0038230A">
      <w:pPr>
        <w:spacing w:line="480" w:lineRule="auto"/>
        <w:jc w:val="both"/>
        <w:rPr>
          <w:rFonts w:ascii="Palatino Linotype" w:hAnsi="Palatino Linotype"/>
          <w:sz w:val="24"/>
          <w:szCs w:val="24"/>
        </w:rPr>
      </w:pPr>
      <w:r>
        <w:rPr>
          <w:rFonts w:ascii="Palatino Linotype" w:hAnsi="Palatino Linotype"/>
          <w:sz w:val="24"/>
          <w:szCs w:val="24"/>
        </w:rPr>
        <w:lastRenderedPageBreak/>
        <w:t>This time we use a number of lenses: geographically, in terms of partnerships and pedagogy and also theoretically</w:t>
      </w:r>
      <w:r>
        <w:rPr>
          <w:rFonts w:ascii="Palatino Linotype" w:hAnsi="Palatino Linotype"/>
          <w:sz w:val="24"/>
          <w:szCs w:val="24"/>
        </w:rPr>
        <w:t xml:space="preserve">.  </w:t>
      </w:r>
    </w:p>
    <w:p w:rsidR="006F74AF" w:rsidRDefault="006F74AF" w:rsidP="0038230A">
      <w:pPr>
        <w:spacing w:line="480" w:lineRule="auto"/>
        <w:jc w:val="both"/>
        <w:rPr>
          <w:rFonts w:ascii="Palatino Linotype" w:hAnsi="Palatino Linotype"/>
          <w:sz w:val="24"/>
          <w:szCs w:val="24"/>
        </w:rPr>
      </w:pPr>
      <w:r>
        <w:rPr>
          <w:rFonts w:ascii="Palatino Linotype" w:hAnsi="Palatino Linotype"/>
          <w:sz w:val="24"/>
          <w:szCs w:val="24"/>
        </w:rPr>
        <w:t xml:space="preserve">Adrian Evans and Ross </w:t>
      </w:r>
      <w:proofErr w:type="spellStart"/>
      <w:r>
        <w:rPr>
          <w:rFonts w:ascii="Palatino Linotype" w:hAnsi="Palatino Linotype"/>
          <w:sz w:val="24"/>
          <w:szCs w:val="24"/>
        </w:rPr>
        <w:t>Hyams</w:t>
      </w:r>
      <w:proofErr w:type="spellEnd"/>
      <w:r w:rsidR="001E4B87">
        <w:rPr>
          <w:rFonts w:ascii="Palatino Linotype" w:hAnsi="Palatino Linotype"/>
          <w:sz w:val="24"/>
          <w:szCs w:val="24"/>
        </w:rPr>
        <w:t xml:space="preserve">’ paper is particularly useful as an aid to future travel, since they give us the benefit of a range of perspectives: they provide a large scale map of externship practice in Australian clinical legal education, then swoop down to street level to give a case example of externship partnerships at </w:t>
      </w:r>
      <w:proofErr w:type="spellStart"/>
      <w:r w:rsidR="001E4B87">
        <w:rPr>
          <w:rFonts w:ascii="Palatino Linotype" w:hAnsi="Palatino Linotype"/>
          <w:sz w:val="24"/>
          <w:szCs w:val="24"/>
        </w:rPr>
        <w:t>Monash</w:t>
      </w:r>
      <w:proofErr w:type="spellEnd"/>
      <w:r w:rsidR="001E4B87">
        <w:rPr>
          <w:rFonts w:ascii="Palatino Linotype" w:hAnsi="Palatino Linotype"/>
          <w:sz w:val="24"/>
          <w:szCs w:val="24"/>
        </w:rPr>
        <w:t xml:space="preserve"> University before gaining reflective distance on externships as a phenomenon, offering an analysis of strengths and weaknesses.</w:t>
      </w:r>
    </w:p>
    <w:p w:rsidR="00FF3254" w:rsidRDefault="00FF3254" w:rsidP="0038230A">
      <w:pPr>
        <w:spacing w:line="480" w:lineRule="auto"/>
        <w:jc w:val="both"/>
        <w:rPr>
          <w:rFonts w:ascii="Palatino Linotype" w:hAnsi="Palatino Linotype"/>
          <w:sz w:val="24"/>
          <w:szCs w:val="24"/>
        </w:rPr>
      </w:pPr>
      <w:r>
        <w:rPr>
          <w:rFonts w:ascii="Palatino Linotype" w:hAnsi="Palatino Linotype"/>
          <w:sz w:val="24"/>
          <w:szCs w:val="24"/>
        </w:rPr>
        <w:t xml:space="preserve">Clelia </w:t>
      </w:r>
      <w:proofErr w:type="spellStart"/>
      <w:r>
        <w:rPr>
          <w:rFonts w:ascii="Palatino Linotype" w:hAnsi="Palatino Linotype"/>
          <w:sz w:val="24"/>
          <w:szCs w:val="24"/>
        </w:rPr>
        <w:t>Bartoli</w:t>
      </w:r>
      <w:proofErr w:type="spellEnd"/>
      <w:r>
        <w:rPr>
          <w:rFonts w:ascii="Palatino Linotype" w:hAnsi="Palatino Linotype"/>
          <w:sz w:val="24"/>
          <w:szCs w:val="24"/>
        </w:rPr>
        <w:t xml:space="preserve"> from Palermo reports from the field not just on the development of separate clinics across Italy but also on the sense that a movement is growing, suggesting that like-minded (she specifies philosophical and speculative as leading characteristics) law teachers have identified clinic as a vehicle for a larger social and pedagogic project. </w:t>
      </w:r>
    </w:p>
    <w:p w:rsidR="006F74AF" w:rsidRDefault="006F74AF" w:rsidP="0038230A">
      <w:pPr>
        <w:spacing w:line="480" w:lineRule="auto"/>
        <w:jc w:val="both"/>
        <w:rPr>
          <w:rFonts w:ascii="Palatino Linotype" w:hAnsi="Palatino Linotype"/>
          <w:sz w:val="24"/>
          <w:szCs w:val="24"/>
        </w:rPr>
      </w:pPr>
      <w:r>
        <w:rPr>
          <w:rFonts w:ascii="Palatino Linotype" w:hAnsi="Palatino Linotype"/>
          <w:sz w:val="24"/>
          <w:szCs w:val="24"/>
        </w:rPr>
        <w:t xml:space="preserve">Elaine Campbell’s reflexive exploration of her practice as a clinical supervisor </w:t>
      </w:r>
      <w:r w:rsidR="00FF3254">
        <w:rPr>
          <w:rFonts w:ascii="Palatino Linotype" w:hAnsi="Palatino Linotype"/>
          <w:sz w:val="24"/>
          <w:szCs w:val="24"/>
        </w:rPr>
        <w:t>takes us further down this road, focusing on the internal tensions for the supervisor of ceding power to the student and the uncertainty that comes from disrupting the relational expectations.  The eventual rewards are significant for (most) students and this is a telling account of a particular voyage.</w:t>
      </w:r>
    </w:p>
    <w:p w:rsidR="006F74AF" w:rsidRPr="006F74AF" w:rsidRDefault="006F74AF" w:rsidP="0038230A">
      <w:pPr>
        <w:spacing w:line="480" w:lineRule="auto"/>
        <w:jc w:val="both"/>
        <w:rPr>
          <w:rFonts w:ascii="Palatino Linotype" w:hAnsi="Palatino Linotype"/>
          <w:sz w:val="24"/>
          <w:szCs w:val="24"/>
        </w:rPr>
      </w:pPr>
      <w:r>
        <w:rPr>
          <w:rFonts w:ascii="Palatino Linotype" w:hAnsi="Palatino Linotype"/>
          <w:sz w:val="24"/>
          <w:szCs w:val="24"/>
        </w:rPr>
        <w:t xml:space="preserve">Finally, Rachel Lofthouse reviews </w:t>
      </w:r>
      <w:r>
        <w:rPr>
          <w:rFonts w:ascii="Palatino Linotype" w:hAnsi="Palatino Linotype"/>
          <w:i/>
          <w:sz w:val="24"/>
          <w:szCs w:val="24"/>
        </w:rPr>
        <w:t>Learning in Landscapes of Practice</w:t>
      </w:r>
      <w:r>
        <w:rPr>
          <w:rFonts w:ascii="Palatino Linotype" w:hAnsi="Palatino Linotype"/>
          <w:sz w:val="24"/>
          <w:szCs w:val="24"/>
        </w:rPr>
        <w:t>, a book that helps us to locate our work theoretically</w:t>
      </w:r>
      <w:r w:rsidR="007F56A4">
        <w:rPr>
          <w:rFonts w:ascii="Palatino Linotype" w:hAnsi="Palatino Linotype"/>
          <w:sz w:val="24"/>
          <w:szCs w:val="24"/>
        </w:rPr>
        <w:t xml:space="preserve"> but not in a scary way! Rather, she found it “</w:t>
      </w:r>
      <w:r w:rsidR="007F56A4" w:rsidRPr="0019099A">
        <w:rPr>
          <w:rFonts w:ascii="Palatino Linotype" w:hAnsi="Palatino Linotype"/>
          <w:sz w:val="24"/>
          <w:szCs w:val="24"/>
        </w:rPr>
        <w:t>a genuine invitation into other lives and ideas</w:t>
      </w:r>
      <w:proofErr w:type="gramStart"/>
      <w:r w:rsidR="007F56A4">
        <w:rPr>
          <w:rFonts w:ascii="Palatino Linotype" w:hAnsi="Palatino Linotype"/>
          <w:sz w:val="24"/>
          <w:szCs w:val="24"/>
        </w:rPr>
        <w:t xml:space="preserve">…  </w:t>
      </w:r>
      <w:r w:rsidR="007F56A4" w:rsidRPr="0019099A">
        <w:rPr>
          <w:rFonts w:ascii="Palatino Linotype" w:hAnsi="Palatino Linotype"/>
          <w:sz w:val="24"/>
          <w:szCs w:val="24"/>
        </w:rPr>
        <w:t>thought</w:t>
      </w:r>
      <w:proofErr w:type="gramEnd"/>
      <w:r w:rsidR="007F56A4" w:rsidRPr="0019099A">
        <w:rPr>
          <w:rFonts w:ascii="Palatino Linotype" w:hAnsi="Palatino Linotype"/>
          <w:sz w:val="24"/>
          <w:szCs w:val="24"/>
        </w:rPr>
        <w:t>-provoking, evocative and illustrative</w:t>
      </w:r>
      <w:r w:rsidR="007F56A4">
        <w:rPr>
          <w:rFonts w:ascii="Palatino Linotype" w:hAnsi="Palatino Linotype"/>
          <w:sz w:val="24"/>
          <w:szCs w:val="24"/>
        </w:rPr>
        <w:t xml:space="preserve">”.  If as Clelia </w:t>
      </w:r>
      <w:proofErr w:type="spellStart"/>
      <w:r w:rsidR="007F56A4">
        <w:rPr>
          <w:rFonts w:ascii="Palatino Linotype" w:hAnsi="Palatino Linotype"/>
          <w:sz w:val="24"/>
          <w:szCs w:val="24"/>
        </w:rPr>
        <w:t>Bartoli</w:t>
      </w:r>
      <w:proofErr w:type="spellEnd"/>
      <w:r w:rsidR="007F56A4">
        <w:rPr>
          <w:rFonts w:ascii="Palatino Linotype" w:hAnsi="Palatino Linotype"/>
          <w:sz w:val="24"/>
          <w:szCs w:val="24"/>
        </w:rPr>
        <w:t xml:space="preserve"> suggests, we are inherently philosophical, we would do well to engage with the ideas in this book so as to be able to link our work into wider networks, across disciplines and into different maps.</w:t>
      </w:r>
    </w:p>
    <w:p w:rsidR="00BF4953" w:rsidRDefault="00BF4953" w:rsidP="00BF4953">
      <w:pPr>
        <w:spacing w:line="480" w:lineRule="auto"/>
        <w:jc w:val="both"/>
        <w:rPr>
          <w:rFonts w:ascii="Palatino Linotype" w:hAnsi="Palatino Linotype"/>
          <w:sz w:val="24"/>
          <w:szCs w:val="24"/>
        </w:rPr>
      </w:pPr>
      <w:r>
        <w:rPr>
          <w:rFonts w:ascii="Palatino Linotype" w:hAnsi="Palatino Linotype"/>
          <w:sz w:val="24"/>
          <w:szCs w:val="24"/>
        </w:rPr>
        <w:t xml:space="preserve">As usual, </w:t>
      </w:r>
      <w:r w:rsidR="006F74AF">
        <w:rPr>
          <w:rFonts w:ascii="Palatino Linotype" w:hAnsi="Palatino Linotype"/>
          <w:sz w:val="24"/>
          <w:szCs w:val="24"/>
        </w:rPr>
        <w:t xml:space="preserve">before signing off </w:t>
      </w:r>
      <w:r>
        <w:rPr>
          <w:rFonts w:ascii="Palatino Linotype" w:hAnsi="Palatino Linotype"/>
          <w:sz w:val="24"/>
          <w:szCs w:val="24"/>
        </w:rPr>
        <w:t>I would like to draw your attention to a series of upcoming events</w:t>
      </w:r>
      <w:r>
        <w:rPr>
          <w:rFonts w:ascii="Palatino Linotype" w:hAnsi="Palatino Linotype"/>
          <w:sz w:val="24"/>
          <w:szCs w:val="24"/>
        </w:rPr>
        <w:t xml:space="preserve"> in the CLE world</w:t>
      </w:r>
      <w:r>
        <w:rPr>
          <w:rFonts w:ascii="Palatino Linotype" w:hAnsi="Palatino Linotype"/>
          <w:sz w:val="24"/>
          <w:szCs w:val="24"/>
        </w:rPr>
        <w:t>.</w:t>
      </w:r>
      <w:r>
        <w:rPr>
          <w:rFonts w:ascii="Palatino Linotype" w:hAnsi="Palatino Linotype"/>
          <w:sz w:val="24"/>
          <w:szCs w:val="24"/>
        </w:rPr>
        <w:t xml:space="preserve">  </w:t>
      </w:r>
      <w:r w:rsidR="00F86CAF">
        <w:rPr>
          <w:rFonts w:ascii="Palatino Linotype" w:hAnsi="Palatino Linotype"/>
          <w:sz w:val="24"/>
          <w:szCs w:val="24"/>
        </w:rPr>
        <w:t>Late this year,</w:t>
      </w:r>
      <w:r>
        <w:rPr>
          <w:rFonts w:ascii="Palatino Linotype" w:hAnsi="Palatino Linotype"/>
          <w:sz w:val="24"/>
          <w:szCs w:val="24"/>
        </w:rPr>
        <w:t xml:space="preserve"> ENCLE will host their 3</w:t>
      </w:r>
      <w:r w:rsidRPr="00BF4953">
        <w:rPr>
          <w:rFonts w:ascii="Palatino Linotype" w:hAnsi="Palatino Linotype"/>
          <w:sz w:val="24"/>
          <w:szCs w:val="24"/>
          <w:vertAlign w:val="superscript"/>
        </w:rPr>
        <w:t>rd</w:t>
      </w:r>
      <w:r>
        <w:rPr>
          <w:rFonts w:ascii="Palatino Linotype" w:hAnsi="Palatino Linotype"/>
          <w:sz w:val="24"/>
          <w:szCs w:val="24"/>
        </w:rPr>
        <w:t xml:space="preserve"> Conference</w:t>
      </w:r>
      <w:r w:rsidR="00F86CAF">
        <w:rPr>
          <w:rFonts w:ascii="Palatino Linotype" w:hAnsi="Palatino Linotype"/>
          <w:sz w:val="24"/>
          <w:szCs w:val="24"/>
        </w:rPr>
        <w:t>:</w:t>
      </w:r>
      <w:r w:rsidR="00A054F6">
        <w:rPr>
          <w:rFonts w:ascii="Palatino Linotype" w:hAnsi="Palatino Linotype"/>
          <w:sz w:val="24"/>
          <w:szCs w:val="24"/>
        </w:rPr>
        <w:t xml:space="preserve"> </w:t>
      </w:r>
      <w:r w:rsidR="00A054F6" w:rsidRPr="00A054F6">
        <w:rPr>
          <w:rFonts w:ascii="Palatino Linotype" w:hAnsi="Palatino Linotype"/>
          <w:sz w:val="24"/>
          <w:szCs w:val="24"/>
        </w:rPr>
        <w:t>‘(R</w:t>
      </w:r>
      <w:proofErr w:type="gramStart"/>
      <w:r w:rsidR="00A054F6" w:rsidRPr="00A054F6">
        <w:rPr>
          <w:rFonts w:ascii="Palatino Linotype" w:hAnsi="Palatino Linotype"/>
          <w:sz w:val="24"/>
          <w:szCs w:val="24"/>
        </w:rPr>
        <w:t>)evolution</w:t>
      </w:r>
      <w:proofErr w:type="gramEnd"/>
      <w:r w:rsidR="00A054F6" w:rsidRPr="00A054F6">
        <w:rPr>
          <w:rFonts w:ascii="Palatino Linotype" w:hAnsi="Palatino Linotype"/>
          <w:sz w:val="24"/>
          <w:szCs w:val="24"/>
        </w:rPr>
        <w:t xml:space="preserve"> of clinics in Europe’</w:t>
      </w:r>
      <w:r w:rsidR="00F86CAF">
        <w:rPr>
          <w:rFonts w:ascii="Palatino Linotype" w:hAnsi="Palatino Linotype"/>
          <w:sz w:val="24"/>
          <w:szCs w:val="24"/>
        </w:rPr>
        <w:t>.  It</w:t>
      </w:r>
      <w:r w:rsidR="00A054F6" w:rsidRPr="00A054F6">
        <w:rPr>
          <w:rFonts w:ascii="Palatino Linotype" w:hAnsi="Palatino Linotype"/>
          <w:sz w:val="24"/>
          <w:szCs w:val="24"/>
        </w:rPr>
        <w:t xml:space="preserve"> will be held on 26 and 27 October 2015 at the Faculty of Law, ELTE University, </w:t>
      </w:r>
      <w:proofErr w:type="gramStart"/>
      <w:r w:rsidR="00A054F6" w:rsidRPr="00A054F6">
        <w:rPr>
          <w:rFonts w:ascii="Palatino Linotype" w:hAnsi="Palatino Linotype"/>
          <w:sz w:val="24"/>
          <w:szCs w:val="24"/>
        </w:rPr>
        <w:t>Budapest</w:t>
      </w:r>
      <w:proofErr w:type="gramEnd"/>
      <w:r w:rsidR="00A054F6" w:rsidRPr="00A054F6">
        <w:rPr>
          <w:rFonts w:ascii="Palatino Linotype" w:hAnsi="Palatino Linotype"/>
          <w:sz w:val="24"/>
          <w:szCs w:val="24"/>
        </w:rPr>
        <w:t>.</w:t>
      </w:r>
      <w:r w:rsidR="00A054F6">
        <w:rPr>
          <w:rFonts w:ascii="Palatino Linotype" w:hAnsi="Palatino Linotype"/>
          <w:sz w:val="24"/>
          <w:szCs w:val="24"/>
        </w:rPr>
        <w:t xml:space="preserve">  The call for papers closed on 15</w:t>
      </w:r>
      <w:r w:rsidR="00A054F6" w:rsidRPr="00A054F6">
        <w:rPr>
          <w:rFonts w:ascii="Palatino Linotype" w:hAnsi="Palatino Linotype"/>
          <w:sz w:val="24"/>
          <w:szCs w:val="24"/>
          <w:vertAlign w:val="superscript"/>
        </w:rPr>
        <w:t>th</w:t>
      </w:r>
      <w:r w:rsidR="00A054F6">
        <w:rPr>
          <w:rFonts w:ascii="Palatino Linotype" w:hAnsi="Palatino Linotype"/>
          <w:sz w:val="24"/>
          <w:szCs w:val="24"/>
        </w:rPr>
        <w:t xml:space="preserve"> July and it promises to be a vibrant and exciting meeting</w:t>
      </w:r>
      <w:r w:rsidR="00D368D7">
        <w:rPr>
          <w:rFonts w:ascii="Palatino Linotype" w:hAnsi="Palatino Linotype"/>
          <w:sz w:val="24"/>
          <w:szCs w:val="24"/>
        </w:rPr>
        <w:t xml:space="preserve">, please see the ENCLE site for updates </w:t>
      </w:r>
      <w:hyperlink r:id="rId6" w:history="1">
        <w:r w:rsidR="00D368D7" w:rsidRPr="00D52177">
          <w:rPr>
            <w:rStyle w:val="Hyperlink"/>
            <w:rFonts w:ascii="Palatino Linotype" w:hAnsi="Palatino Linotype"/>
            <w:sz w:val="24"/>
            <w:szCs w:val="24"/>
          </w:rPr>
          <w:t>www.encle.eu</w:t>
        </w:r>
      </w:hyperlink>
      <w:r w:rsidR="00D368D7">
        <w:rPr>
          <w:rFonts w:ascii="Palatino Linotype" w:hAnsi="Palatino Linotype"/>
          <w:sz w:val="24"/>
          <w:szCs w:val="24"/>
        </w:rPr>
        <w:t xml:space="preserve">. </w:t>
      </w:r>
    </w:p>
    <w:p w:rsidR="00BF4953" w:rsidRDefault="00BF4953" w:rsidP="00BF4953">
      <w:pPr>
        <w:spacing w:line="480" w:lineRule="auto"/>
        <w:jc w:val="both"/>
        <w:rPr>
          <w:rFonts w:ascii="Palatino Linotype" w:hAnsi="Palatino Linotype"/>
          <w:sz w:val="24"/>
          <w:szCs w:val="24"/>
        </w:rPr>
      </w:pPr>
      <w:r>
        <w:rPr>
          <w:rFonts w:ascii="Palatino Linotype" w:hAnsi="Palatino Linotype"/>
          <w:sz w:val="24"/>
          <w:szCs w:val="24"/>
        </w:rPr>
        <w:t xml:space="preserve">Looking further ahead, there are two events scheduled (relatively) near to one another in time and space next July.  </w:t>
      </w:r>
      <w:r w:rsidRPr="00BF4953">
        <w:rPr>
          <w:rFonts w:ascii="Palatino Linotype" w:hAnsi="Palatino Linotype"/>
          <w:sz w:val="24"/>
          <w:szCs w:val="24"/>
        </w:rPr>
        <w:t>We are delighted to be able to give you early notice that for 2016 the IJCLE conference with the Association for Canadian Clinical Legal Education (ACCLE) Conference will be hosted by the University of Toronto</w:t>
      </w:r>
      <w:r>
        <w:rPr>
          <w:rFonts w:ascii="Palatino Linotype" w:hAnsi="Palatino Linotype"/>
          <w:sz w:val="24"/>
          <w:szCs w:val="24"/>
        </w:rPr>
        <w:t xml:space="preserve">.  The conference, entitled </w:t>
      </w:r>
      <w:r w:rsidRPr="00BF4953">
        <w:rPr>
          <w:rFonts w:ascii="Palatino Linotype" w:hAnsi="Palatino Linotype"/>
          <w:b/>
          <w:i/>
          <w:sz w:val="24"/>
          <w:szCs w:val="24"/>
        </w:rPr>
        <w:t>The Risks and Rewards of Clinic</w:t>
      </w:r>
      <w:r w:rsidRPr="00BF4953">
        <w:rPr>
          <w:rFonts w:ascii="Palatino Linotype" w:hAnsi="Palatino Linotype"/>
          <w:sz w:val="24"/>
          <w:szCs w:val="24"/>
        </w:rPr>
        <w:t xml:space="preserve"> encourages participants to reflect on the balance between risk and reward for all the stakeholders in clinic.  In particular, we would like to encourage participants to include student and other </w:t>
      </w:r>
      <w:r w:rsidRPr="00BF4953">
        <w:rPr>
          <w:rFonts w:ascii="Palatino Linotype" w:hAnsi="Palatino Linotype"/>
          <w:sz w:val="24"/>
          <w:szCs w:val="24"/>
        </w:rPr>
        <w:lastRenderedPageBreak/>
        <w:t>partners’ voices in their presentations, ideally through collaborative writing and presentation in person or through video calling or recordings.</w:t>
      </w:r>
    </w:p>
    <w:p w:rsidR="00BF4953" w:rsidRDefault="00BF4953" w:rsidP="00BF4953">
      <w:pPr>
        <w:spacing w:line="480" w:lineRule="auto"/>
        <w:jc w:val="both"/>
        <w:rPr>
          <w:rFonts w:ascii="Palatino Linotype" w:hAnsi="Palatino Linotype"/>
          <w:sz w:val="24"/>
          <w:szCs w:val="24"/>
        </w:rPr>
      </w:pPr>
      <w:r>
        <w:rPr>
          <w:noProof/>
        </w:rPr>
        <w:drawing>
          <wp:inline distT="0" distB="0" distL="0" distR="0" wp14:anchorId="2005AD0B" wp14:editId="14CC49DA">
            <wp:extent cx="5078437" cy="3165231"/>
            <wp:effectExtent l="0" t="0" r="0" b="165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F4953" w:rsidRDefault="00BF4953" w:rsidP="00BF4953">
      <w:pPr>
        <w:spacing w:line="480" w:lineRule="auto"/>
        <w:jc w:val="both"/>
        <w:rPr>
          <w:rFonts w:ascii="Palatino Linotype" w:hAnsi="Palatino Linotype"/>
          <w:sz w:val="24"/>
          <w:szCs w:val="24"/>
        </w:rPr>
      </w:pPr>
      <w:r>
        <w:rPr>
          <w:rFonts w:ascii="Palatino Linotype" w:hAnsi="Palatino Linotype"/>
          <w:sz w:val="24"/>
          <w:szCs w:val="24"/>
        </w:rPr>
        <w:t xml:space="preserve">This will be followed by the </w:t>
      </w:r>
      <w:r w:rsidRPr="00BF4953">
        <w:rPr>
          <w:rFonts w:ascii="Palatino Linotype" w:hAnsi="Palatino Linotype"/>
          <w:sz w:val="24"/>
          <w:szCs w:val="24"/>
        </w:rPr>
        <w:t>International Legal Ethics Conference VII (ILEC VII), which Fordham Law School will host in New York City on July 14-16, 2016</w:t>
      </w:r>
      <w:r>
        <w:rPr>
          <w:rFonts w:ascii="Palatino Linotype" w:hAnsi="Palatino Linotype"/>
          <w:sz w:val="24"/>
          <w:szCs w:val="24"/>
        </w:rPr>
        <w:t xml:space="preserve"> focusing on </w:t>
      </w:r>
      <w:r w:rsidRPr="00BF4953">
        <w:rPr>
          <w:rFonts w:ascii="Palatino Linotype" w:hAnsi="Palatino Linotype"/>
          <w:sz w:val="24"/>
          <w:szCs w:val="24"/>
        </w:rPr>
        <w:t>legal education, ethics, technology, regulation, globalization and rule of law</w:t>
      </w:r>
      <w:r>
        <w:rPr>
          <w:rFonts w:ascii="Palatino Linotype" w:hAnsi="Palatino Linotype"/>
          <w:sz w:val="24"/>
          <w:szCs w:val="24"/>
        </w:rPr>
        <w:t xml:space="preserve"> (</w:t>
      </w:r>
      <w:hyperlink r:id="rId12" w:history="1">
        <w:r w:rsidRPr="00D52177">
          <w:rPr>
            <w:rStyle w:val="Hyperlink"/>
            <w:rFonts w:ascii="Palatino Linotype" w:hAnsi="Palatino Linotype"/>
            <w:sz w:val="24"/>
            <w:szCs w:val="24"/>
          </w:rPr>
          <w:t>www.law.fordham.edu/ilec2016</w:t>
        </w:r>
      </w:hyperlink>
      <w:r>
        <w:rPr>
          <w:rFonts w:ascii="Palatino Linotype" w:hAnsi="Palatino Linotype"/>
          <w:sz w:val="24"/>
          <w:szCs w:val="24"/>
        </w:rPr>
        <w:t>)</w:t>
      </w:r>
      <w:r w:rsidRPr="00BF4953">
        <w:rPr>
          <w:rFonts w:ascii="Palatino Linotype" w:hAnsi="Palatino Linotype"/>
          <w:sz w:val="24"/>
          <w:szCs w:val="24"/>
        </w:rPr>
        <w:t>.</w:t>
      </w:r>
      <w:r w:rsidR="00D368D7">
        <w:rPr>
          <w:rFonts w:ascii="Palatino Linotype" w:hAnsi="Palatino Linotype"/>
          <w:sz w:val="24"/>
          <w:szCs w:val="24"/>
        </w:rPr>
        <w:t xml:space="preserve">  I hope many colleagues will be able to come to both events, since two papers for one lot of travel can be sold as good value to budget committees!</w:t>
      </w:r>
    </w:p>
    <w:p w:rsidR="00F86CAF" w:rsidRDefault="007F56A4" w:rsidP="00BF4953">
      <w:pPr>
        <w:spacing w:line="480" w:lineRule="auto"/>
        <w:jc w:val="both"/>
        <w:rPr>
          <w:rFonts w:ascii="Palatino Linotype" w:hAnsi="Palatino Linotype"/>
          <w:sz w:val="24"/>
          <w:szCs w:val="24"/>
        </w:rPr>
      </w:pPr>
      <w:r>
        <w:rPr>
          <w:rFonts w:ascii="Palatino Linotype" w:hAnsi="Palatino Linotype"/>
          <w:sz w:val="24"/>
          <w:szCs w:val="24"/>
        </w:rPr>
        <w:t>Please send me news of clinical events for our November edition as well as your papers from GAJE, IJCLE and ENCLE. Don’t stick them in a drawer when you get home, get them on the map.</w:t>
      </w:r>
      <w:bookmarkStart w:id="0" w:name="_GoBack"/>
      <w:bookmarkEnd w:id="0"/>
    </w:p>
    <w:p w:rsidR="00F86CAF" w:rsidRPr="00F86CAF" w:rsidRDefault="00F86CAF" w:rsidP="00F86CAF">
      <w:pPr>
        <w:spacing w:line="240" w:lineRule="auto"/>
        <w:ind w:right="662"/>
        <w:jc w:val="both"/>
        <w:rPr>
          <w:rFonts w:ascii="Palatino Linotype" w:hAnsi="Palatino Linotype"/>
          <w:i/>
          <w:sz w:val="24"/>
          <w:szCs w:val="24"/>
        </w:rPr>
      </w:pPr>
      <w:r w:rsidRPr="00F86CAF">
        <w:rPr>
          <w:rFonts w:ascii="Palatino Linotype" w:hAnsi="Palatino Linotype"/>
          <w:sz w:val="20"/>
          <w:szCs w:val="24"/>
        </w:rPr>
        <w:t xml:space="preserve">John </w:t>
      </w:r>
      <w:proofErr w:type="spellStart"/>
      <w:r w:rsidRPr="00F86CAF">
        <w:rPr>
          <w:rFonts w:ascii="Palatino Linotype" w:hAnsi="Palatino Linotype"/>
          <w:sz w:val="20"/>
          <w:szCs w:val="24"/>
        </w:rPr>
        <w:t>Brehm</w:t>
      </w:r>
      <w:proofErr w:type="spellEnd"/>
      <w:r w:rsidRPr="00F86CAF">
        <w:rPr>
          <w:rFonts w:ascii="Palatino Linotype" w:hAnsi="Palatino Linotype"/>
          <w:sz w:val="20"/>
          <w:szCs w:val="24"/>
        </w:rPr>
        <w:t xml:space="preserve">, </w:t>
      </w:r>
      <w:r w:rsidRPr="00F86CAF">
        <w:rPr>
          <w:rFonts w:ascii="Palatino Linotype" w:hAnsi="Palatino Linotype"/>
          <w:sz w:val="20"/>
          <w:szCs w:val="24"/>
        </w:rPr>
        <w:t xml:space="preserve">fragment </w:t>
      </w:r>
      <w:r w:rsidRPr="00F86CAF">
        <w:rPr>
          <w:rFonts w:ascii="Palatino Linotype" w:hAnsi="Palatino Linotype"/>
          <w:sz w:val="20"/>
          <w:szCs w:val="24"/>
        </w:rPr>
        <w:t xml:space="preserve">from </w:t>
      </w:r>
      <w:r w:rsidRPr="00F86CAF">
        <w:rPr>
          <w:rFonts w:ascii="Palatino Linotype" w:hAnsi="Palatino Linotype"/>
          <w:i/>
          <w:sz w:val="20"/>
          <w:szCs w:val="24"/>
        </w:rPr>
        <w:t xml:space="preserve">Getting Where We’re Going, </w:t>
      </w:r>
      <w:r w:rsidRPr="00F86CAF">
        <w:rPr>
          <w:rFonts w:ascii="Palatino Linotype" w:hAnsi="Palatino Linotype"/>
          <w:sz w:val="20"/>
          <w:szCs w:val="24"/>
        </w:rPr>
        <w:t>Poetry, January 2008</w:t>
      </w:r>
      <w:r w:rsidRPr="00F86CAF">
        <w:rPr>
          <w:rFonts w:ascii="Palatino Linotype" w:hAnsi="Palatino Linotype"/>
          <w:sz w:val="20"/>
          <w:szCs w:val="24"/>
        </w:rPr>
        <w:t xml:space="preserve"> downloaded from </w:t>
      </w:r>
      <w:hyperlink r:id="rId13" w:history="1">
        <w:r w:rsidRPr="00F86CAF">
          <w:rPr>
            <w:rStyle w:val="Hyperlink"/>
            <w:rFonts w:ascii="Palatino Linotype" w:hAnsi="Palatino Linotype"/>
            <w:sz w:val="20"/>
            <w:szCs w:val="24"/>
          </w:rPr>
          <w:t>http://www.poetryfoundation.org/poetrymagazine/poem/180547</w:t>
        </w:r>
      </w:hyperlink>
      <w:r>
        <w:rPr>
          <w:rFonts w:ascii="Palatino Linotype" w:hAnsi="Palatino Linotype"/>
          <w:sz w:val="24"/>
          <w:szCs w:val="24"/>
        </w:rPr>
        <w:t xml:space="preserve"> </w:t>
      </w:r>
    </w:p>
    <w:p w:rsidR="00F86CAF" w:rsidRPr="00BF4953" w:rsidRDefault="00F86CAF" w:rsidP="00BF4953">
      <w:pPr>
        <w:spacing w:line="480" w:lineRule="auto"/>
        <w:jc w:val="both"/>
        <w:rPr>
          <w:rFonts w:ascii="Palatino Linotype" w:hAnsi="Palatino Linotype"/>
          <w:sz w:val="24"/>
          <w:szCs w:val="24"/>
        </w:rPr>
      </w:pPr>
    </w:p>
    <w:sectPr w:rsidR="00F86CAF" w:rsidRPr="00BF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53"/>
    <w:rsid w:val="001E4B87"/>
    <w:rsid w:val="0038230A"/>
    <w:rsid w:val="00686B46"/>
    <w:rsid w:val="006F74AF"/>
    <w:rsid w:val="007F56A4"/>
    <w:rsid w:val="009C1378"/>
    <w:rsid w:val="00A054F6"/>
    <w:rsid w:val="00BF4953"/>
    <w:rsid w:val="00D368D7"/>
    <w:rsid w:val="00DF6068"/>
    <w:rsid w:val="00E76A2E"/>
    <w:rsid w:val="00F86CAF"/>
    <w:rsid w:val="00FF32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5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953"/>
    <w:rPr>
      <w:color w:val="0000FF" w:themeColor="hyperlink"/>
      <w:u w:val="single"/>
    </w:rPr>
  </w:style>
  <w:style w:type="paragraph" w:styleId="BalloonText">
    <w:name w:val="Balloon Text"/>
    <w:basedOn w:val="Normal"/>
    <w:link w:val="BalloonTextChar"/>
    <w:uiPriority w:val="99"/>
    <w:semiHidden/>
    <w:unhideWhenUsed/>
    <w:rsid w:val="00BF4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53"/>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5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953"/>
    <w:rPr>
      <w:color w:val="0000FF" w:themeColor="hyperlink"/>
      <w:u w:val="single"/>
    </w:rPr>
  </w:style>
  <w:style w:type="paragraph" w:styleId="BalloonText">
    <w:name w:val="Balloon Text"/>
    <w:basedOn w:val="Normal"/>
    <w:link w:val="BalloonTextChar"/>
    <w:uiPriority w:val="99"/>
    <w:semiHidden/>
    <w:unhideWhenUsed/>
    <w:rsid w:val="00BF4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53"/>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5071">
      <w:bodyDiv w:val="1"/>
      <w:marLeft w:val="0"/>
      <w:marRight w:val="0"/>
      <w:marTop w:val="0"/>
      <w:marBottom w:val="0"/>
      <w:divBdr>
        <w:top w:val="none" w:sz="0" w:space="0" w:color="auto"/>
        <w:left w:val="none" w:sz="0" w:space="0" w:color="auto"/>
        <w:bottom w:val="none" w:sz="0" w:space="0" w:color="auto"/>
        <w:right w:val="none" w:sz="0" w:space="0" w:color="auto"/>
      </w:divBdr>
    </w:div>
    <w:div w:id="856115695">
      <w:bodyDiv w:val="1"/>
      <w:marLeft w:val="0"/>
      <w:marRight w:val="0"/>
      <w:marTop w:val="0"/>
      <w:marBottom w:val="0"/>
      <w:divBdr>
        <w:top w:val="none" w:sz="0" w:space="0" w:color="auto"/>
        <w:left w:val="none" w:sz="0" w:space="0" w:color="auto"/>
        <w:bottom w:val="none" w:sz="0" w:space="0" w:color="auto"/>
        <w:right w:val="none" w:sz="0" w:space="0" w:color="auto"/>
      </w:divBdr>
      <w:divsChild>
        <w:div w:id="922687844">
          <w:marLeft w:val="0"/>
          <w:marRight w:val="0"/>
          <w:marTop w:val="0"/>
          <w:marBottom w:val="0"/>
          <w:divBdr>
            <w:top w:val="none" w:sz="0" w:space="0" w:color="auto"/>
            <w:left w:val="none" w:sz="0" w:space="0" w:color="auto"/>
            <w:bottom w:val="none" w:sz="0" w:space="0" w:color="auto"/>
            <w:right w:val="none" w:sz="0" w:space="0" w:color="auto"/>
          </w:divBdr>
          <w:divsChild>
            <w:div w:id="391588284">
              <w:marLeft w:val="0"/>
              <w:marRight w:val="0"/>
              <w:marTop w:val="0"/>
              <w:marBottom w:val="0"/>
              <w:divBdr>
                <w:top w:val="none" w:sz="0" w:space="0" w:color="auto"/>
                <w:left w:val="none" w:sz="0" w:space="0" w:color="auto"/>
                <w:bottom w:val="none" w:sz="0" w:space="0" w:color="auto"/>
                <w:right w:val="none" w:sz="0" w:space="0" w:color="auto"/>
              </w:divBdr>
              <w:divsChild>
                <w:div w:id="1489637988">
                  <w:marLeft w:val="0"/>
                  <w:marRight w:val="0"/>
                  <w:marTop w:val="0"/>
                  <w:marBottom w:val="0"/>
                  <w:divBdr>
                    <w:top w:val="none" w:sz="0" w:space="0" w:color="auto"/>
                    <w:left w:val="none" w:sz="0" w:space="0" w:color="auto"/>
                    <w:bottom w:val="none" w:sz="0" w:space="0" w:color="auto"/>
                    <w:right w:val="none" w:sz="0" w:space="0" w:color="auto"/>
                  </w:divBdr>
                  <w:divsChild>
                    <w:div w:id="574706306">
                      <w:marLeft w:val="0"/>
                      <w:marRight w:val="0"/>
                      <w:marTop w:val="0"/>
                      <w:marBottom w:val="0"/>
                      <w:divBdr>
                        <w:top w:val="none" w:sz="0" w:space="0" w:color="auto"/>
                        <w:left w:val="none" w:sz="0" w:space="0" w:color="auto"/>
                        <w:bottom w:val="none" w:sz="0" w:space="0" w:color="auto"/>
                        <w:right w:val="none" w:sz="0" w:space="0" w:color="auto"/>
                      </w:divBdr>
                      <w:divsChild>
                        <w:div w:id="2044792664">
                          <w:marLeft w:val="0"/>
                          <w:marRight w:val="0"/>
                          <w:marTop w:val="0"/>
                          <w:marBottom w:val="0"/>
                          <w:divBdr>
                            <w:top w:val="none" w:sz="0" w:space="0" w:color="auto"/>
                            <w:left w:val="none" w:sz="0" w:space="0" w:color="auto"/>
                            <w:bottom w:val="none" w:sz="0" w:space="0" w:color="auto"/>
                            <w:right w:val="none" w:sz="0" w:space="0" w:color="auto"/>
                          </w:divBdr>
                          <w:divsChild>
                            <w:div w:id="436029044">
                              <w:marLeft w:val="0"/>
                              <w:marRight w:val="0"/>
                              <w:marTop w:val="375"/>
                              <w:marBottom w:val="0"/>
                              <w:divBdr>
                                <w:top w:val="none" w:sz="0" w:space="0" w:color="auto"/>
                                <w:left w:val="none" w:sz="0" w:space="0" w:color="auto"/>
                                <w:bottom w:val="none" w:sz="0" w:space="0" w:color="auto"/>
                                <w:right w:val="none" w:sz="0" w:space="0" w:color="auto"/>
                              </w:divBdr>
                              <w:divsChild>
                                <w:div w:id="818351908">
                                  <w:marLeft w:val="0"/>
                                  <w:marRight w:val="0"/>
                                  <w:marTop w:val="0"/>
                                  <w:marBottom w:val="0"/>
                                  <w:divBdr>
                                    <w:top w:val="none" w:sz="0" w:space="0" w:color="auto"/>
                                    <w:left w:val="none" w:sz="0" w:space="0" w:color="auto"/>
                                    <w:bottom w:val="none" w:sz="0" w:space="0" w:color="auto"/>
                                    <w:right w:val="none" w:sz="0" w:space="0" w:color="auto"/>
                                  </w:divBdr>
                                </w:div>
                                <w:div w:id="1821120202">
                                  <w:marLeft w:val="0"/>
                                  <w:marRight w:val="0"/>
                                  <w:marTop w:val="0"/>
                                  <w:marBottom w:val="0"/>
                                  <w:divBdr>
                                    <w:top w:val="none" w:sz="0" w:space="0" w:color="auto"/>
                                    <w:left w:val="none" w:sz="0" w:space="0" w:color="auto"/>
                                    <w:bottom w:val="none" w:sz="0" w:space="0" w:color="auto"/>
                                    <w:right w:val="none" w:sz="0" w:space="0" w:color="auto"/>
                                  </w:divBdr>
                                </w:div>
                                <w:div w:id="1465926234">
                                  <w:marLeft w:val="0"/>
                                  <w:marRight w:val="0"/>
                                  <w:marTop w:val="0"/>
                                  <w:marBottom w:val="0"/>
                                  <w:divBdr>
                                    <w:top w:val="none" w:sz="0" w:space="0" w:color="auto"/>
                                    <w:left w:val="none" w:sz="0" w:space="0" w:color="auto"/>
                                    <w:bottom w:val="none" w:sz="0" w:space="0" w:color="auto"/>
                                    <w:right w:val="none" w:sz="0" w:space="0" w:color="auto"/>
                                  </w:divBdr>
                                </w:div>
                                <w:div w:id="537477374">
                                  <w:marLeft w:val="0"/>
                                  <w:marRight w:val="0"/>
                                  <w:marTop w:val="0"/>
                                  <w:marBottom w:val="0"/>
                                  <w:divBdr>
                                    <w:top w:val="none" w:sz="0" w:space="0" w:color="auto"/>
                                    <w:left w:val="none" w:sz="0" w:space="0" w:color="auto"/>
                                    <w:bottom w:val="none" w:sz="0" w:space="0" w:color="auto"/>
                                    <w:right w:val="none" w:sz="0" w:space="0" w:color="auto"/>
                                  </w:divBdr>
                                </w:div>
                                <w:div w:id="2065790790">
                                  <w:marLeft w:val="0"/>
                                  <w:marRight w:val="0"/>
                                  <w:marTop w:val="0"/>
                                  <w:marBottom w:val="0"/>
                                  <w:divBdr>
                                    <w:top w:val="none" w:sz="0" w:space="0" w:color="auto"/>
                                    <w:left w:val="none" w:sz="0" w:space="0" w:color="auto"/>
                                    <w:bottom w:val="none" w:sz="0" w:space="0" w:color="auto"/>
                                    <w:right w:val="none" w:sz="0" w:space="0" w:color="auto"/>
                                  </w:divBdr>
                                </w:div>
                                <w:div w:id="1928727498">
                                  <w:marLeft w:val="0"/>
                                  <w:marRight w:val="0"/>
                                  <w:marTop w:val="0"/>
                                  <w:marBottom w:val="0"/>
                                  <w:divBdr>
                                    <w:top w:val="none" w:sz="0" w:space="0" w:color="auto"/>
                                    <w:left w:val="none" w:sz="0" w:space="0" w:color="auto"/>
                                    <w:bottom w:val="none" w:sz="0" w:space="0" w:color="auto"/>
                                    <w:right w:val="none" w:sz="0" w:space="0" w:color="auto"/>
                                  </w:divBdr>
                                </w:div>
                                <w:div w:id="1572499618">
                                  <w:marLeft w:val="0"/>
                                  <w:marRight w:val="0"/>
                                  <w:marTop w:val="0"/>
                                  <w:marBottom w:val="0"/>
                                  <w:divBdr>
                                    <w:top w:val="none" w:sz="0" w:space="0" w:color="auto"/>
                                    <w:left w:val="none" w:sz="0" w:space="0" w:color="auto"/>
                                    <w:bottom w:val="none" w:sz="0" w:space="0" w:color="auto"/>
                                    <w:right w:val="none" w:sz="0" w:space="0" w:color="auto"/>
                                  </w:divBdr>
                                </w:div>
                                <w:div w:id="845828850">
                                  <w:marLeft w:val="0"/>
                                  <w:marRight w:val="0"/>
                                  <w:marTop w:val="0"/>
                                  <w:marBottom w:val="0"/>
                                  <w:divBdr>
                                    <w:top w:val="none" w:sz="0" w:space="0" w:color="auto"/>
                                    <w:left w:val="none" w:sz="0" w:space="0" w:color="auto"/>
                                    <w:bottom w:val="none" w:sz="0" w:space="0" w:color="auto"/>
                                    <w:right w:val="none" w:sz="0" w:space="0" w:color="auto"/>
                                  </w:divBdr>
                                </w:div>
                                <w:div w:id="656491556">
                                  <w:marLeft w:val="0"/>
                                  <w:marRight w:val="0"/>
                                  <w:marTop w:val="0"/>
                                  <w:marBottom w:val="0"/>
                                  <w:divBdr>
                                    <w:top w:val="none" w:sz="0" w:space="0" w:color="auto"/>
                                    <w:left w:val="none" w:sz="0" w:space="0" w:color="auto"/>
                                    <w:bottom w:val="none" w:sz="0" w:space="0" w:color="auto"/>
                                    <w:right w:val="none" w:sz="0" w:space="0" w:color="auto"/>
                                  </w:divBdr>
                                </w:div>
                                <w:div w:id="978268629">
                                  <w:marLeft w:val="0"/>
                                  <w:marRight w:val="0"/>
                                  <w:marTop w:val="0"/>
                                  <w:marBottom w:val="0"/>
                                  <w:divBdr>
                                    <w:top w:val="none" w:sz="0" w:space="0" w:color="auto"/>
                                    <w:left w:val="none" w:sz="0" w:space="0" w:color="auto"/>
                                    <w:bottom w:val="none" w:sz="0" w:space="0" w:color="auto"/>
                                    <w:right w:val="none" w:sz="0" w:space="0" w:color="auto"/>
                                  </w:divBdr>
                                </w:div>
                                <w:div w:id="1167986643">
                                  <w:marLeft w:val="0"/>
                                  <w:marRight w:val="0"/>
                                  <w:marTop w:val="0"/>
                                  <w:marBottom w:val="0"/>
                                  <w:divBdr>
                                    <w:top w:val="none" w:sz="0" w:space="0" w:color="auto"/>
                                    <w:left w:val="none" w:sz="0" w:space="0" w:color="auto"/>
                                    <w:bottom w:val="none" w:sz="0" w:space="0" w:color="auto"/>
                                    <w:right w:val="none" w:sz="0" w:space="0" w:color="auto"/>
                                  </w:divBdr>
                                </w:div>
                                <w:div w:id="5317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poetryfoundation.org/poetrymagazine/poem/180547"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law.fordham.edu/ilec20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cle.eu" TargetMode="External"/><Relationship Id="rId11" Type="http://schemas.microsoft.com/office/2007/relationships/diagramDrawing" Target="diagrams/drawing1.xml"/><Relationship Id="rId5" Type="http://schemas.openxmlformats.org/officeDocument/2006/relationships/hyperlink" Target="mailto:Elaine.Hall@northumbria.ac.uk" TargetMode="Externa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54DCF-84D5-4108-89CE-428051B8D926}" type="doc">
      <dgm:prSet loTypeId="urn:microsoft.com/office/officeart/2005/8/layout/radial5" loCatId="relationship" qsTypeId="urn:microsoft.com/office/officeart/2005/8/quickstyle/simple1" qsCatId="simple" csTypeId="urn:microsoft.com/office/officeart/2005/8/colors/colorful1" csCatId="colorful" phldr="1"/>
      <dgm:spPr/>
      <dgm:t>
        <a:bodyPr/>
        <a:lstStyle/>
        <a:p>
          <a:endParaRPr lang="en-GB"/>
        </a:p>
      </dgm:t>
    </dgm:pt>
    <dgm:pt modelId="{EAEFA4BF-2C52-425A-A7CF-1CA49D8382CC}">
      <dgm:prSet phldrT="[Text]"/>
      <dgm:spPr/>
      <dgm:t>
        <a:bodyPr/>
        <a:lstStyle/>
        <a:p>
          <a:r>
            <a:rPr lang="en-GB"/>
            <a:t>Clinic</a:t>
          </a:r>
        </a:p>
      </dgm:t>
    </dgm:pt>
    <dgm:pt modelId="{8F1FBD01-F8D4-427C-9B9E-74560706EB88}" type="parTrans" cxnId="{61356852-826A-413A-B55E-94B894FCDB5B}">
      <dgm:prSet/>
      <dgm:spPr/>
      <dgm:t>
        <a:bodyPr/>
        <a:lstStyle/>
        <a:p>
          <a:endParaRPr lang="en-GB"/>
        </a:p>
      </dgm:t>
    </dgm:pt>
    <dgm:pt modelId="{16CC99E1-7E45-48FC-A268-A76ED7346E67}" type="sibTrans" cxnId="{61356852-826A-413A-B55E-94B894FCDB5B}">
      <dgm:prSet/>
      <dgm:spPr/>
      <dgm:t>
        <a:bodyPr/>
        <a:lstStyle/>
        <a:p>
          <a:endParaRPr lang="en-GB"/>
        </a:p>
      </dgm:t>
    </dgm:pt>
    <dgm:pt modelId="{E625B6B3-4E33-4D38-99A4-F42F6F248D5D}">
      <dgm:prSet phldrT="[Text]"/>
      <dgm:spPr>
        <a:solidFill>
          <a:schemeClr val="accent5"/>
        </a:solidFill>
      </dgm:spPr>
      <dgm:t>
        <a:bodyPr/>
        <a:lstStyle/>
        <a:p>
          <a:r>
            <a:rPr lang="en-GB"/>
            <a:t>Clients</a:t>
          </a:r>
        </a:p>
      </dgm:t>
    </dgm:pt>
    <dgm:pt modelId="{20E7A49E-0A62-4CCC-AEE7-072DA00E464A}" type="parTrans" cxnId="{CB4BCA7B-49E8-420F-A9A5-9C63CB5795EE}">
      <dgm:prSet/>
      <dgm:spPr>
        <a:solidFill>
          <a:schemeClr val="accent5"/>
        </a:solidFill>
      </dgm:spPr>
      <dgm:t>
        <a:bodyPr/>
        <a:lstStyle/>
        <a:p>
          <a:endParaRPr lang="en-GB"/>
        </a:p>
      </dgm:t>
    </dgm:pt>
    <dgm:pt modelId="{9C4E4DF2-23D3-4466-BC43-A89A4CF492A3}" type="sibTrans" cxnId="{CB4BCA7B-49E8-420F-A9A5-9C63CB5795EE}">
      <dgm:prSet/>
      <dgm:spPr/>
      <dgm:t>
        <a:bodyPr/>
        <a:lstStyle/>
        <a:p>
          <a:endParaRPr lang="en-GB"/>
        </a:p>
      </dgm:t>
    </dgm:pt>
    <dgm:pt modelId="{DD8E3D63-A675-4099-85E9-B6AD5C2DEBA4}">
      <dgm:prSet phldrT="[Text]"/>
      <dgm:spPr>
        <a:solidFill>
          <a:srgbClr val="B95BB5"/>
        </a:solidFill>
      </dgm:spPr>
      <dgm:t>
        <a:bodyPr/>
        <a:lstStyle/>
        <a:p>
          <a:r>
            <a:rPr lang="en-GB"/>
            <a:t>Community groups</a:t>
          </a:r>
        </a:p>
      </dgm:t>
    </dgm:pt>
    <dgm:pt modelId="{5F715D59-A320-4068-A435-F360ADF2084A}" type="parTrans" cxnId="{B413B22D-AB77-4D70-BAFF-11D3D2A165C8}">
      <dgm:prSet/>
      <dgm:spPr>
        <a:solidFill>
          <a:srgbClr val="B95BB5"/>
        </a:solidFill>
      </dgm:spPr>
      <dgm:t>
        <a:bodyPr/>
        <a:lstStyle/>
        <a:p>
          <a:endParaRPr lang="en-GB"/>
        </a:p>
      </dgm:t>
    </dgm:pt>
    <dgm:pt modelId="{1E9B16D5-60C6-44FB-89FD-999C46EA68D8}" type="sibTrans" cxnId="{B413B22D-AB77-4D70-BAFF-11D3D2A165C8}">
      <dgm:prSet/>
      <dgm:spPr/>
      <dgm:t>
        <a:bodyPr/>
        <a:lstStyle/>
        <a:p>
          <a:endParaRPr lang="en-GB"/>
        </a:p>
      </dgm:t>
    </dgm:pt>
    <dgm:pt modelId="{A465276E-D1E2-4ED7-83A7-257D25E451D6}">
      <dgm:prSet phldrT="[Text]"/>
      <dgm:spPr/>
      <dgm:t>
        <a:bodyPr/>
        <a:lstStyle/>
        <a:p>
          <a:r>
            <a:rPr lang="en-GB"/>
            <a:t>Professional colleagues</a:t>
          </a:r>
        </a:p>
      </dgm:t>
    </dgm:pt>
    <dgm:pt modelId="{C998D391-E372-4E3C-955D-C9A0F880208A}" type="parTrans" cxnId="{623B50C7-5BAC-45E6-A8D3-E38896C34E9C}">
      <dgm:prSet/>
      <dgm:spPr/>
      <dgm:t>
        <a:bodyPr/>
        <a:lstStyle/>
        <a:p>
          <a:endParaRPr lang="en-GB"/>
        </a:p>
      </dgm:t>
    </dgm:pt>
    <dgm:pt modelId="{B2BEF1D0-F335-4DA8-AE14-3DF6F3C285DA}" type="sibTrans" cxnId="{623B50C7-5BAC-45E6-A8D3-E38896C34E9C}">
      <dgm:prSet/>
      <dgm:spPr/>
      <dgm:t>
        <a:bodyPr/>
        <a:lstStyle/>
        <a:p>
          <a:endParaRPr lang="en-GB"/>
        </a:p>
      </dgm:t>
    </dgm:pt>
    <dgm:pt modelId="{37024BE6-10A2-4BA1-86F5-25722C3CE064}">
      <dgm:prSet phldrT="[Text]"/>
      <dgm:spPr/>
      <dgm:t>
        <a:bodyPr/>
        <a:lstStyle/>
        <a:p>
          <a:r>
            <a:rPr lang="en-GB"/>
            <a:t>the University</a:t>
          </a:r>
        </a:p>
      </dgm:t>
    </dgm:pt>
    <dgm:pt modelId="{0F2F86B7-4287-48EC-8B80-C8E03E008DE2}" type="parTrans" cxnId="{D2C56D58-1DEF-4B77-B066-E75311176F74}">
      <dgm:prSet/>
      <dgm:spPr/>
      <dgm:t>
        <a:bodyPr/>
        <a:lstStyle/>
        <a:p>
          <a:endParaRPr lang="en-GB"/>
        </a:p>
      </dgm:t>
    </dgm:pt>
    <dgm:pt modelId="{BAD22B27-6DC9-4C1C-BDBB-A4C3520152B9}" type="sibTrans" cxnId="{D2C56D58-1DEF-4B77-B066-E75311176F74}">
      <dgm:prSet/>
      <dgm:spPr/>
      <dgm:t>
        <a:bodyPr/>
        <a:lstStyle/>
        <a:p>
          <a:endParaRPr lang="en-GB"/>
        </a:p>
      </dgm:t>
    </dgm:pt>
    <dgm:pt modelId="{35F60F51-8D0A-4A81-ACCE-C13F050E17F3}">
      <dgm:prSet/>
      <dgm:spPr/>
      <dgm:t>
        <a:bodyPr/>
        <a:lstStyle/>
        <a:p>
          <a:r>
            <a:rPr lang="en-GB"/>
            <a:t>Students</a:t>
          </a:r>
        </a:p>
      </dgm:t>
    </dgm:pt>
    <dgm:pt modelId="{90FD11F9-24A3-4844-8E97-95B79A87F7BD}" type="parTrans" cxnId="{10EBB1D8-1C10-4D39-B63D-7C19B6FF0F19}">
      <dgm:prSet/>
      <dgm:spPr/>
      <dgm:t>
        <a:bodyPr/>
        <a:lstStyle/>
        <a:p>
          <a:endParaRPr lang="en-GB"/>
        </a:p>
      </dgm:t>
    </dgm:pt>
    <dgm:pt modelId="{5340F006-F475-422B-A939-12914B4CC262}" type="sibTrans" cxnId="{10EBB1D8-1C10-4D39-B63D-7C19B6FF0F19}">
      <dgm:prSet/>
      <dgm:spPr/>
      <dgm:t>
        <a:bodyPr/>
        <a:lstStyle/>
        <a:p>
          <a:endParaRPr lang="en-GB"/>
        </a:p>
      </dgm:t>
    </dgm:pt>
    <dgm:pt modelId="{3FD19193-B59A-4F40-B1B2-1839166196FB}">
      <dgm:prSet/>
      <dgm:spPr/>
      <dgm:t>
        <a:bodyPr/>
        <a:lstStyle/>
        <a:p>
          <a:r>
            <a:rPr lang="en-GB"/>
            <a:t>Academic and professional staff</a:t>
          </a:r>
        </a:p>
      </dgm:t>
    </dgm:pt>
    <dgm:pt modelId="{12FB8F83-BDAE-42BC-A167-235E802F43F4}" type="parTrans" cxnId="{960D3820-139C-4FF8-9B6C-AEBAAB15360E}">
      <dgm:prSet/>
      <dgm:spPr/>
      <dgm:t>
        <a:bodyPr/>
        <a:lstStyle/>
        <a:p>
          <a:endParaRPr lang="en-GB"/>
        </a:p>
      </dgm:t>
    </dgm:pt>
    <dgm:pt modelId="{7D5AB83E-3ABF-4451-9585-BC7E3153E21F}" type="sibTrans" cxnId="{960D3820-139C-4FF8-9B6C-AEBAAB15360E}">
      <dgm:prSet/>
      <dgm:spPr/>
      <dgm:t>
        <a:bodyPr/>
        <a:lstStyle/>
        <a:p>
          <a:endParaRPr lang="en-GB"/>
        </a:p>
      </dgm:t>
    </dgm:pt>
    <dgm:pt modelId="{8BCDDF78-7BAB-49E5-B74C-1DAE11D71714}">
      <dgm:prSet/>
      <dgm:spPr>
        <a:solidFill>
          <a:schemeClr val="accent3">
            <a:lumMod val="75000"/>
          </a:schemeClr>
        </a:solidFill>
      </dgm:spPr>
      <dgm:t>
        <a:bodyPr/>
        <a:lstStyle/>
        <a:p>
          <a:r>
            <a:rPr lang="en-GB"/>
            <a:t>Governments and professional bodies</a:t>
          </a:r>
        </a:p>
      </dgm:t>
    </dgm:pt>
    <dgm:pt modelId="{4C9F8892-ED38-4ECF-BC9C-2CAA21529BEE}" type="parTrans" cxnId="{FB54B28B-B109-47E2-8AAE-3194E96CB13F}">
      <dgm:prSet/>
      <dgm:spPr>
        <a:solidFill>
          <a:schemeClr val="accent3">
            <a:lumMod val="75000"/>
          </a:schemeClr>
        </a:solidFill>
      </dgm:spPr>
      <dgm:t>
        <a:bodyPr/>
        <a:lstStyle/>
        <a:p>
          <a:endParaRPr lang="en-GB"/>
        </a:p>
      </dgm:t>
    </dgm:pt>
    <dgm:pt modelId="{B5DF2B47-00DD-4E3E-9CA2-FF157393DD81}" type="sibTrans" cxnId="{FB54B28B-B109-47E2-8AAE-3194E96CB13F}">
      <dgm:prSet/>
      <dgm:spPr/>
      <dgm:t>
        <a:bodyPr/>
        <a:lstStyle/>
        <a:p>
          <a:endParaRPr lang="en-GB"/>
        </a:p>
      </dgm:t>
    </dgm:pt>
    <dgm:pt modelId="{10E3F8AC-AF7F-4348-9AD5-C3198B32CBBD}" type="pres">
      <dgm:prSet presAssocID="{D0154DCF-84D5-4108-89CE-428051B8D926}" presName="Name0" presStyleCnt="0">
        <dgm:presLayoutVars>
          <dgm:chMax val="1"/>
          <dgm:dir/>
          <dgm:animLvl val="ctr"/>
          <dgm:resizeHandles val="exact"/>
        </dgm:presLayoutVars>
      </dgm:prSet>
      <dgm:spPr/>
      <dgm:t>
        <a:bodyPr/>
        <a:lstStyle/>
        <a:p>
          <a:endParaRPr lang="en-GB"/>
        </a:p>
      </dgm:t>
    </dgm:pt>
    <dgm:pt modelId="{FAFA8DFB-EC3C-4681-B726-3CFDAF4596C1}" type="pres">
      <dgm:prSet presAssocID="{EAEFA4BF-2C52-425A-A7CF-1CA49D8382CC}" presName="centerShape" presStyleLbl="node0" presStyleIdx="0" presStyleCnt="1"/>
      <dgm:spPr/>
      <dgm:t>
        <a:bodyPr/>
        <a:lstStyle/>
        <a:p>
          <a:endParaRPr lang="en-GB"/>
        </a:p>
      </dgm:t>
    </dgm:pt>
    <dgm:pt modelId="{45657EB4-81C3-4608-A8D7-D7CD83063298}" type="pres">
      <dgm:prSet presAssocID="{20E7A49E-0A62-4CCC-AEE7-072DA00E464A}" presName="parTrans" presStyleLbl="sibTrans2D1" presStyleIdx="0" presStyleCnt="7" custScaleX="147880" custScaleY="128554"/>
      <dgm:spPr>
        <a:prstGeom prst="leftRightArrow">
          <a:avLst/>
        </a:prstGeom>
      </dgm:spPr>
      <dgm:t>
        <a:bodyPr/>
        <a:lstStyle/>
        <a:p>
          <a:endParaRPr lang="en-GB"/>
        </a:p>
      </dgm:t>
    </dgm:pt>
    <dgm:pt modelId="{AE8EBC76-9EAC-4696-A849-2575E80B0B19}" type="pres">
      <dgm:prSet presAssocID="{20E7A49E-0A62-4CCC-AEE7-072DA00E464A}" presName="connectorText" presStyleLbl="sibTrans2D1" presStyleIdx="0" presStyleCnt="7"/>
      <dgm:spPr/>
      <dgm:t>
        <a:bodyPr/>
        <a:lstStyle/>
        <a:p>
          <a:endParaRPr lang="en-GB"/>
        </a:p>
      </dgm:t>
    </dgm:pt>
    <dgm:pt modelId="{049460B5-BFAB-4F8A-9CB4-106977D4F3A3}" type="pres">
      <dgm:prSet presAssocID="{E625B6B3-4E33-4D38-99A4-F42F6F248D5D}" presName="node" presStyleLbl="node1" presStyleIdx="0" presStyleCnt="7">
        <dgm:presLayoutVars>
          <dgm:bulletEnabled val="1"/>
        </dgm:presLayoutVars>
      </dgm:prSet>
      <dgm:spPr/>
      <dgm:t>
        <a:bodyPr/>
        <a:lstStyle/>
        <a:p>
          <a:endParaRPr lang="en-GB"/>
        </a:p>
      </dgm:t>
    </dgm:pt>
    <dgm:pt modelId="{C786A35B-C054-432B-8A75-6A4AE5B596E5}" type="pres">
      <dgm:prSet presAssocID="{5F715D59-A320-4068-A435-F360ADF2084A}" presName="parTrans" presStyleLbl="sibTrans2D1" presStyleIdx="1" presStyleCnt="7" custScaleX="140628" custScaleY="118341"/>
      <dgm:spPr>
        <a:prstGeom prst="leftRightArrow">
          <a:avLst/>
        </a:prstGeom>
      </dgm:spPr>
      <dgm:t>
        <a:bodyPr/>
        <a:lstStyle/>
        <a:p>
          <a:endParaRPr lang="en-GB"/>
        </a:p>
      </dgm:t>
    </dgm:pt>
    <dgm:pt modelId="{E6826E2E-748D-4A5E-A0D0-C953BFD18206}" type="pres">
      <dgm:prSet presAssocID="{5F715D59-A320-4068-A435-F360ADF2084A}" presName="connectorText" presStyleLbl="sibTrans2D1" presStyleIdx="1" presStyleCnt="7"/>
      <dgm:spPr/>
      <dgm:t>
        <a:bodyPr/>
        <a:lstStyle/>
        <a:p>
          <a:endParaRPr lang="en-GB"/>
        </a:p>
      </dgm:t>
    </dgm:pt>
    <dgm:pt modelId="{50C5E733-8334-4714-B976-7A42B63FB25B}" type="pres">
      <dgm:prSet presAssocID="{DD8E3D63-A675-4099-85E9-B6AD5C2DEBA4}" presName="node" presStyleLbl="node1" presStyleIdx="1" presStyleCnt="7">
        <dgm:presLayoutVars>
          <dgm:bulletEnabled val="1"/>
        </dgm:presLayoutVars>
      </dgm:prSet>
      <dgm:spPr/>
      <dgm:t>
        <a:bodyPr/>
        <a:lstStyle/>
        <a:p>
          <a:endParaRPr lang="en-GB"/>
        </a:p>
      </dgm:t>
    </dgm:pt>
    <dgm:pt modelId="{82B5D599-885B-421B-933F-16183ECA491E}" type="pres">
      <dgm:prSet presAssocID="{C998D391-E372-4E3C-955D-C9A0F880208A}" presName="parTrans" presStyleLbl="sibTrans2D1" presStyleIdx="2" presStyleCnt="7" custScaleX="146243" custScaleY="124879"/>
      <dgm:spPr>
        <a:prstGeom prst="leftRightArrow">
          <a:avLst/>
        </a:prstGeom>
      </dgm:spPr>
      <dgm:t>
        <a:bodyPr/>
        <a:lstStyle/>
        <a:p>
          <a:endParaRPr lang="en-GB"/>
        </a:p>
      </dgm:t>
    </dgm:pt>
    <dgm:pt modelId="{6C65E928-723C-4C8B-82C4-89DBAE6BDFBF}" type="pres">
      <dgm:prSet presAssocID="{C998D391-E372-4E3C-955D-C9A0F880208A}" presName="connectorText" presStyleLbl="sibTrans2D1" presStyleIdx="2" presStyleCnt="7"/>
      <dgm:spPr/>
      <dgm:t>
        <a:bodyPr/>
        <a:lstStyle/>
        <a:p>
          <a:endParaRPr lang="en-GB"/>
        </a:p>
      </dgm:t>
    </dgm:pt>
    <dgm:pt modelId="{0A458C79-1C5D-431B-BA80-F0AB35164548}" type="pres">
      <dgm:prSet presAssocID="{A465276E-D1E2-4ED7-83A7-257D25E451D6}" presName="node" presStyleLbl="node1" presStyleIdx="2" presStyleCnt="7">
        <dgm:presLayoutVars>
          <dgm:bulletEnabled val="1"/>
        </dgm:presLayoutVars>
      </dgm:prSet>
      <dgm:spPr/>
      <dgm:t>
        <a:bodyPr/>
        <a:lstStyle/>
        <a:p>
          <a:endParaRPr lang="en-GB"/>
        </a:p>
      </dgm:t>
    </dgm:pt>
    <dgm:pt modelId="{4F71DBAD-EB0D-4450-981E-AF78DF0FAB51}" type="pres">
      <dgm:prSet presAssocID="{4C9F8892-ED38-4ECF-BC9C-2CAA21529BEE}" presName="parTrans" presStyleLbl="sibTrans2D1" presStyleIdx="3" presStyleCnt="7" custScaleX="150436" custScaleY="130134"/>
      <dgm:spPr>
        <a:prstGeom prst="leftRightArrow">
          <a:avLst/>
        </a:prstGeom>
      </dgm:spPr>
      <dgm:t>
        <a:bodyPr/>
        <a:lstStyle/>
        <a:p>
          <a:endParaRPr lang="en-GB"/>
        </a:p>
      </dgm:t>
    </dgm:pt>
    <dgm:pt modelId="{EBA24522-9B58-40A8-AE2B-DD6FB07E5AD4}" type="pres">
      <dgm:prSet presAssocID="{4C9F8892-ED38-4ECF-BC9C-2CAA21529BEE}" presName="connectorText" presStyleLbl="sibTrans2D1" presStyleIdx="3" presStyleCnt="7"/>
      <dgm:spPr/>
      <dgm:t>
        <a:bodyPr/>
        <a:lstStyle/>
        <a:p>
          <a:endParaRPr lang="en-GB"/>
        </a:p>
      </dgm:t>
    </dgm:pt>
    <dgm:pt modelId="{E5C2A3FA-6808-44BD-99C1-D4EBBB80C687}" type="pres">
      <dgm:prSet presAssocID="{8BCDDF78-7BAB-49E5-B74C-1DAE11D71714}" presName="node" presStyleLbl="node1" presStyleIdx="3" presStyleCnt="7">
        <dgm:presLayoutVars>
          <dgm:bulletEnabled val="1"/>
        </dgm:presLayoutVars>
      </dgm:prSet>
      <dgm:spPr/>
      <dgm:t>
        <a:bodyPr/>
        <a:lstStyle/>
        <a:p>
          <a:endParaRPr lang="en-GB"/>
        </a:p>
      </dgm:t>
    </dgm:pt>
    <dgm:pt modelId="{96A2ACEE-2BA1-4046-B2EB-AD1CD987C2B2}" type="pres">
      <dgm:prSet presAssocID="{0F2F86B7-4287-48EC-8B80-C8E03E008DE2}" presName="parTrans" presStyleLbl="sibTrans2D1" presStyleIdx="4" presStyleCnt="7" custScaleX="153069" custScaleY="124528"/>
      <dgm:spPr>
        <a:prstGeom prst="leftRightArrow">
          <a:avLst/>
        </a:prstGeom>
      </dgm:spPr>
      <dgm:t>
        <a:bodyPr/>
        <a:lstStyle/>
        <a:p>
          <a:endParaRPr lang="en-GB"/>
        </a:p>
      </dgm:t>
    </dgm:pt>
    <dgm:pt modelId="{D5C8C243-D060-431F-BB63-CCB4B726A9EC}" type="pres">
      <dgm:prSet presAssocID="{0F2F86B7-4287-48EC-8B80-C8E03E008DE2}" presName="connectorText" presStyleLbl="sibTrans2D1" presStyleIdx="4" presStyleCnt="7"/>
      <dgm:spPr/>
      <dgm:t>
        <a:bodyPr/>
        <a:lstStyle/>
        <a:p>
          <a:endParaRPr lang="en-GB"/>
        </a:p>
      </dgm:t>
    </dgm:pt>
    <dgm:pt modelId="{30636DAA-54E9-4B95-A2C4-17D152C832F5}" type="pres">
      <dgm:prSet presAssocID="{37024BE6-10A2-4BA1-86F5-25722C3CE064}" presName="node" presStyleLbl="node1" presStyleIdx="4" presStyleCnt="7">
        <dgm:presLayoutVars>
          <dgm:bulletEnabled val="1"/>
        </dgm:presLayoutVars>
      </dgm:prSet>
      <dgm:spPr/>
      <dgm:t>
        <a:bodyPr/>
        <a:lstStyle/>
        <a:p>
          <a:endParaRPr lang="en-GB"/>
        </a:p>
      </dgm:t>
    </dgm:pt>
    <dgm:pt modelId="{EA25C3C7-8D0D-4BE1-AC29-149D9FB8624C}" type="pres">
      <dgm:prSet presAssocID="{12FB8F83-BDAE-42BC-A167-235E802F43F4}" presName="parTrans" presStyleLbl="sibTrans2D1" presStyleIdx="5" presStyleCnt="7" custScaleX="150810" custScaleY="117428"/>
      <dgm:spPr>
        <a:prstGeom prst="leftRightArrow">
          <a:avLst/>
        </a:prstGeom>
      </dgm:spPr>
      <dgm:t>
        <a:bodyPr/>
        <a:lstStyle/>
        <a:p>
          <a:endParaRPr lang="en-GB"/>
        </a:p>
      </dgm:t>
    </dgm:pt>
    <dgm:pt modelId="{A34835CC-F5AD-4DD3-86D4-0D08029A098B}" type="pres">
      <dgm:prSet presAssocID="{12FB8F83-BDAE-42BC-A167-235E802F43F4}" presName="connectorText" presStyleLbl="sibTrans2D1" presStyleIdx="5" presStyleCnt="7"/>
      <dgm:spPr/>
      <dgm:t>
        <a:bodyPr/>
        <a:lstStyle/>
        <a:p>
          <a:endParaRPr lang="en-GB"/>
        </a:p>
      </dgm:t>
    </dgm:pt>
    <dgm:pt modelId="{6AFC4657-77D4-4AB1-9DFD-78EBFE31ED8F}" type="pres">
      <dgm:prSet presAssocID="{3FD19193-B59A-4F40-B1B2-1839166196FB}" presName="node" presStyleLbl="node1" presStyleIdx="5" presStyleCnt="7">
        <dgm:presLayoutVars>
          <dgm:bulletEnabled val="1"/>
        </dgm:presLayoutVars>
      </dgm:prSet>
      <dgm:spPr/>
      <dgm:t>
        <a:bodyPr/>
        <a:lstStyle/>
        <a:p>
          <a:endParaRPr lang="en-GB"/>
        </a:p>
      </dgm:t>
    </dgm:pt>
    <dgm:pt modelId="{A449A391-99E5-403A-AE35-48366489A69D}" type="pres">
      <dgm:prSet presAssocID="{90FD11F9-24A3-4844-8E97-95B79A87F7BD}" presName="parTrans" presStyleLbl="sibTrans2D1" presStyleIdx="6" presStyleCnt="7" custScaleX="147531" custScaleY="118270"/>
      <dgm:spPr>
        <a:prstGeom prst="leftRightArrow">
          <a:avLst/>
        </a:prstGeom>
      </dgm:spPr>
      <dgm:t>
        <a:bodyPr/>
        <a:lstStyle/>
        <a:p>
          <a:endParaRPr lang="en-GB"/>
        </a:p>
      </dgm:t>
    </dgm:pt>
    <dgm:pt modelId="{16626EC5-E801-4937-B09A-C19A3E92901D}" type="pres">
      <dgm:prSet presAssocID="{90FD11F9-24A3-4844-8E97-95B79A87F7BD}" presName="connectorText" presStyleLbl="sibTrans2D1" presStyleIdx="6" presStyleCnt="7"/>
      <dgm:spPr/>
      <dgm:t>
        <a:bodyPr/>
        <a:lstStyle/>
        <a:p>
          <a:endParaRPr lang="en-GB"/>
        </a:p>
      </dgm:t>
    </dgm:pt>
    <dgm:pt modelId="{2F81B676-9D3F-4944-9633-1FACE6D1BDA9}" type="pres">
      <dgm:prSet presAssocID="{35F60F51-8D0A-4A81-ACCE-C13F050E17F3}" presName="node" presStyleLbl="node1" presStyleIdx="6" presStyleCnt="7">
        <dgm:presLayoutVars>
          <dgm:bulletEnabled val="1"/>
        </dgm:presLayoutVars>
      </dgm:prSet>
      <dgm:spPr/>
      <dgm:t>
        <a:bodyPr/>
        <a:lstStyle/>
        <a:p>
          <a:endParaRPr lang="en-GB"/>
        </a:p>
      </dgm:t>
    </dgm:pt>
  </dgm:ptLst>
  <dgm:cxnLst>
    <dgm:cxn modelId="{71E9E670-BF74-4FE5-9D5B-FBA4075A4013}" type="presOf" srcId="{20E7A49E-0A62-4CCC-AEE7-072DA00E464A}" destId="{AE8EBC76-9EAC-4696-A849-2575E80B0B19}" srcOrd="1" destOrd="0" presId="urn:microsoft.com/office/officeart/2005/8/layout/radial5"/>
    <dgm:cxn modelId="{17C381CE-1602-4660-B54C-D4114610E711}" type="presOf" srcId="{0F2F86B7-4287-48EC-8B80-C8E03E008DE2}" destId="{D5C8C243-D060-431F-BB63-CCB4B726A9EC}" srcOrd="1" destOrd="0" presId="urn:microsoft.com/office/officeart/2005/8/layout/radial5"/>
    <dgm:cxn modelId="{CB4BCA7B-49E8-420F-A9A5-9C63CB5795EE}" srcId="{EAEFA4BF-2C52-425A-A7CF-1CA49D8382CC}" destId="{E625B6B3-4E33-4D38-99A4-F42F6F248D5D}" srcOrd="0" destOrd="0" parTransId="{20E7A49E-0A62-4CCC-AEE7-072DA00E464A}" sibTransId="{9C4E4DF2-23D3-4466-BC43-A89A4CF492A3}"/>
    <dgm:cxn modelId="{CF089638-4FF4-49E1-B524-EBE0B687D72E}" type="presOf" srcId="{90FD11F9-24A3-4844-8E97-95B79A87F7BD}" destId="{16626EC5-E801-4937-B09A-C19A3E92901D}" srcOrd="1" destOrd="0" presId="urn:microsoft.com/office/officeart/2005/8/layout/radial5"/>
    <dgm:cxn modelId="{D2C56D58-1DEF-4B77-B066-E75311176F74}" srcId="{EAEFA4BF-2C52-425A-A7CF-1CA49D8382CC}" destId="{37024BE6-10A2-4BA1-86F5-25722C3CE064}" srcOrd="4" destOrd="0" parTransId="{0F2F86B7-4287-48EC-8B80-C8E03E008DE2}" sibTransId="{BAD22B27-6DC9-4C1C-BDBB-A4C3520152B9}"/>
    <dgm:cxn modelId="{B79868A0-D374-496B-9519-512D24F84215}" type="presOf" srcId="{A465276E-D1E2-4ED7-83A7-257D25E451D6}" destId="{0A458C79-1C5D-431B-BA80-F0AB35164548}" srcOrd="0" destOrd="0" presId="urn:microsoft.com/office/officeart/2005/8/layout/radial5"/>
    <dgm:cxn modelId="{3DE597E6-4985-476C-BCDF-DB1B922194AB}" type="presOf" srcId="{20E7A49E-0A62-4CCC-AEE7-072DA00E464A}" destId="{45657EB4-81C3-4608-A8D7-D7CD83063298}" srcOrd="0" destOrd="0" presId="urn:microsoft.com/office/officeart/2005/8/layout/radial5"/>
    <dgm:cxn modelId="{241F06CA-33E4-478B-8EE1-E8BF30DC669C}" type="presOf" srcId="{C998D391-E372-4E3C-955D-C9A0F880208A}" destId="{82B5D599-885B-421B-933F-16183ECA491E}" srcOrd="0" destOrd="0" presId="urn:microsoft.com/office/officeart/2005/8/layout/radial5"/>
    <dgm:cxn modelId="{10EBB1D8-1C10-4D39-B63D-7C19B6FF0F19}" srcId="{EAEFA4BF-2C52-425A-A7CF-1CA49D8382CC}" destId="{35F60F51-8D0A-4A81-ACCE-C13F050E17F3}" srcOrd="6" destOrd="0" parTransId="{90FD11F9-24A3-4844-8E97-95B79A87F7BD}" sibTransId="{5340F006-F475-422B-A939-12914B4CC262}"/>
    <dgm:cxn modelId="{DA5A1FFF-BC75-4971-A25B-8005EB3BC675}" type="presOf" srcId="{8BCDDF78-7BAB-49E5-B74C-1DAE11D71714}" destId="{E5C2A3FA-6808-44BD-99C1-D4EBBB80C687}" srcOrd="0" destOrd="0" presId="urn:microsoft.com/office/officeart/2005/8/layout/radial5"/>
    <dgm:cxn modelId="{4A6456B2-9992-4C65-A0DF-444031DAB015}" type="presOf" srcId="{DD8E3D63-A675-4099-85E9-B6AD5C2DEBA4}" destId="{50C5E733-8334-4714-B976-7A42B63FB25B}" srcOrd="0" destOrd="0" presId="urn:microsoft.com/office/officeart/2005/8/layout/radial5"/>
    <dgm:cxn modelId="{B413B22D-AB77-4D70-BAFF-11D3D2A165C8}" srcId="{EAEFA4BF-2C52-425A-A7CF-1CA49D8382CC}" destId="{DD8E3D63-A675-4099-85E9-B6AD5C2DEBA4}" srcOrd="1" destOrd="0" parTransId="{5F715D59-A320-4068-A435-F360ADF2084A}" sibTransId="{1E9B16D5-60C6-44FB-89FD-999C46EA68D8}"/>
    <dgm:cxn modelId="{FC144B0F-57DB-42EF-A18A-FD7BE955C6FF}" type="presOf" srcId="{C998D391-E372-4E3C-955D-C9A0F880208A}" destId="{6C65E928-723C-4C8B-82C4-89DBAE6BDFBF}" srcOrd="1" destOrd="0" presId="urn:microsoft.com/office/officeart/2005/8/layout/radial5"/>
    <dgm:cxn modelId="{FB54B28B-B109-47E2-8AAE-3194E96CB13F}" srcId="{EAEFA4BF-2C52-425A-A7CF-1CA49D8382CC}" destId="{8BCDDF78-7BAB-49E5-B74C-1DAE11D71714}" srcOrd="3" destOrd="0" parTransId="{4C9F8892-ED38-4ECF-BC9C-2CAA21529BEE}" sibTransId="{B5DF2B47-00DD-4E3E-9CA2-FF157393DD81}"/>
    <dgm:cxn modelId="{69F43C43-A69D-4F01-A360-0513D25C6CA2}" type="presOf" srcId="{5F715D59-A320-4068-A435-F360ADF2084A}" destId="{E6826E2E-748D-4A5E-A0D0-C953BFD18206}" srcOrd="1" destOrd="0" presId="urn:microsoft.com/office/officeart/2005/8/layout/radial5"/>
    <dgm:cxn modelId="{DEF5371A-6F54-4C98-A7F7-0C0561A9FA56}" type="presOf" srcId="{12FB8F83-BDAE-42BC-A167-235E802F43F4}" destId="{A34835CC-F5AD-4DD3-86D4-0D08029A098B}" srcOrd="1" destOrd="0" presId="urn:microsoft.com/office/officeart/2005/8/layout/radial5"/>
    <dgm:cxn modelId="{A4752B67-FF33-4664-B951-24797D0B40CE}" type="presOf" srcId="{4C9F8892-ED38-4ECF-BC9C-2CAA21529BEE}" destId="{4F71DBAD-EB0D-4450-981E-AF78DF0FAB51}" srcOrd="0" destOrd="0" presId="urn:microsoft.com/office/officeart/2005/8/layout/radial5"/>
    <dgm:cxn modelId="{11A8D79D-DC3E-4933-B976-943C606E1519}" type="presOf" srcId="{3FD19193-B59A-4F40-B1B2-1839166196FB}" destId="{6AFC4657-77D4-4AB1-9DFD-78EBFE31ED8F}" srcOrd="0" destOrd="0" presId="urn:microsoft.com/office/officeart/2005/8/layout/radial5"/>
    <dgm:cxn modelId="{09930C72-6F57-43CE-9D61-7416E079BA55}" type="presOf" srcId="{37024BE6-10A2-4BA1-86F5-25722C3CE064}" destId="{30636DAA-54E9-4B95-A2C4-17D152C832F5}" srcOrd="0" destOrd="0" presId="urn:microsoft.com/office/officeart/2005/8/layout/radial5"/>
    <dgm:cxn modelId="{960D3820-139C-4FF8-9B6C-AEBAAB15360E}" srcId="{EAEFA4BF-2C52-425A-A7CF-1CA49D8382CC}" destId="{3FD19193-B59A-4F40-B1B2-1839166196FB}" srcOrd="5" destOrd="0" parTransId="{12FB8F83-BDAE-42BC-A167-235E802F43F4}" sibTransId="{7D5AB83E-3ABF-4451-9585-BC7E3153E21F}"/>
    <dgm:cxn modelId="{041E1F55-3CA3-455C-9CBA-D1238DC5E9FE}" type="presOf" srcId="{EAEFA4BF-2C52-425A-A7CF-1CA49D8382CC}" destId="{FAFA8DFB-EC3C-4681-B726-3CFDAF4596C1}" srcOrd="0" destOrd="0" presId="urn:microsoft.com/office/officeart/2005/8/layout/radial5"/>
    <dgm:cxn modelId="{4B7954A6-9F8F-4734-8CFE-5C5D0E74DCDA}" type="presOf" srcId="{0F2F86B7-4287-48EC-8B80-C8E03E008DE2}" destId="{96A2ACEE-2BA1-4046-B2EB-AD1CD987C2B2}" srcOrd="0" destOrd="0" presId="urn:microsoft.com/office/officeart/2005/8/layout/radial5"/>
    <dgm:cxn modelId="{A5E7AEBF-42EA-4DC6-B190-5704DF68ECEF}" type="presOf" srcId="{E625B6B3-4E33-4D38-99A4-F42F6F248D5D}" destId="{049460B5-BFAB-4F8A-9CB4-106977D4F3A3}" srcOrd="0" destOrd="0" presId="urn:microsoft.com/office/officeart/2005/8/layout/radial5"/>
    <dgm:cxn modelId="{61356852-826A-413A-B55E-94B894FCDB5B}" srcId="{D0154DCF-84D5-4108-89CE-428051B8D926}" destId="{EAEFA4BF-2C52-425A-A7CF-1CA49D8382CC}" srcOrd="0" destOrd="0" parTransId="{8F1FBD01-F8D4-427C-9B9E-74560706EB88}" sibTransId="{16CC99E1-7E45-48FC-A268-A76ED7346E67}"/>
    <dgm:cxn modelId="{0B47AEA4-5442-4958-B0A6-006485469653}" type="presOf" srcId="{4C9F8892-ED38-4ECF-BC9C-2CAA21529BEE}" destId="{EBA24522-9B58-40A8-AE2B-DD6FB07E5AD4}" srcOrd="1" destOrd="0" presId="urn:microsoft.com/office/officeart/2005/8/layout/radial5"/>
    <dgm:cxn modelId="{B1A132DD-88E1-4CA2-85CA-9A9402D24A01}" type="presOf" srcId="{90FD11F9-24A3-4844-8E97-95B79A87F7BD}" destId="{A449A391-99E5-403A-AE35-48366489A69D}" srcOrd="0" destOrd="0" presId="urn:microsoft.com/office/officeart/2005/8/layout/radial5"/>
    <dgm:cxn modelId="{623B50C7-5BAC-45E6-A8D3-E38896C34E9C}" srcId="{EAEFA4BF-2C52-425A-A7CF-1CA49D8382CC}" destId="{A465276E-D1E2-4ED7-83A7-257D25E451D6}" srcOrd="2" destOrd="0" parTransId="{C998D391-E372-4E3C-955D-C9A0F880208A}" sibTransId="{B2BEF1D0-F335-4DA8-AE14-3DF6F3C285DA}"/>
    <dgm:cxn modelId="{AEEDDDCB-3DB4-4422-8338-6D9D68074B95}" type="presOf" srcId="{5F715D59-A320-4068-A435-F360ADF2084A}" destId="{C786A35B-C054-432B-8A75-6A4AE5B596E5}" srcOrd="0" destOrd="0" presId="urn:microsoft.com/office/officeart/2005/8/layout/radial5"/>
    <dgm:cxn modelId="{7021B182-6FF0-4468-AC8E-E4C25D9DCD51}" type="presOf" srcId="{D0154DCF-84D5-4108-89CE-428051B8D926}" destId="{10E3F8AC-AF7F-4348-9AD5-C3198B32CBBD}" srcOrd="0" destOrd="0" presId="urn:microsoft.com/office/officeart/2005/8/layout/radial5"/>
    <dgm:cxn modelId="{C06663C7-BA83-42BF-8F98-9CDA46093FEA}" type="presOf" srcId="{12FB8F83-BDAE-42BC-A167-235E802F43F4}" destId="{EA25C3C7-8D0D-4BE1-AC29-149D9FB8624C}" srcOrd="0" destOrd="0" presId="urn:microsoft.com/office/officeart/2005/8/layout/radial5"/>
    <dgm:cxn modelId="{1FF58FBE-8287-46AD-9B1D-718305D44658}" type="presOf" srcId="{35F60F51-8D0A-4A81-ACCE-C13F050E17F3}" destId="{2F81B676-9D3F-4944-9633-1FACE6D1BDA9}" srcOrd="0" destOrd="0" presId="urn:microsoft.com/office/officeart/2005/8/layout/radial5"/>
    <dgm:cxn modelId="{65508CC1-B318-492B-9CAF-A9BA54C14FFA}" type="presParOf" srcId="{10E3F8AC-AF7F-4348-9AD5-C3198B32CBBD}" destId="{FAFA8DFB-EC3C-4681-B726-3CFDAF4596C1}" srcOrd="0" destOrd="0" presId="urn:microsoft.com/office/officeart/2005/8/layout/radial5"/>
    <dgm:cxn modelId="{88881DF2-869D-4782-B3B7-2B658CA9C303}" type="presParOf" srcId="{10E3F8AC-AF7F-4348-9AD5-C3198B32CBBD}" destId="{45657EB4-81C3-4608-A8D7-D7CD83063298}" srcOrd="1" destOrd="0" presId="urn:microsoft.com/office/officeart/2005/8/layout/radial5"/>
    <dgm:cxn modelId="{A80BC30C-2A8C-417B-A015-BABED91E3BFC}" type="presParOf" srcId="{45657EB4-81C3-4608-A8D7-D7CD83063298}" destId="{AE8EBC76-9EAC-4696-A849-2575E80B0B19}" srcOrd="0" destOrd="0" presId="urn:microsoft.com/office/officeart/2005/8/layout/radial5"/>
    <dgm:cxn modelId="{0DD42A14-73CA-4D77-BCC2-97D182CF72B9}" type="presParOf" srcId="{10E3F8AC-AF7F-4348-9AD5-C3198B32CBBD}" destId="{049460B5-BFAB-4F8A-9CB4-106977D4F3A3}" srcOrd="2" destOrd="0" presId="urn:microsoft.com/office/officeart/2005/8/layout/radial5"/>
    <dgm:cxn modelId="{E38F31DA-266B-49EC-A33A-E1883A3DAB60}" type="presParOf" srcId="{10E3F8AC-AF7F-4348-9AD5-C3198B32CBBD}" destId="{C786A35B-C054-432B-8A75-6A4AE5B596E5}" srcOrd="3" destOrd="0" presId="urn:microsoft.com/office/officeart/2005/8/layout/radial5"/>
    <dgm:cxn modelId="{6954B6FC-4A3C-40AD-9698-2615067725ED}" type="presParOf" srcId="{C786A35B-C054-432B-8A75-6A4AE5B596E5}" destId="{E6826E2E-748D-4A5E-A0D0-C953BFD18206}" srcOrd="0" destOrd="0" presId="urn:microsoft.com/office/officeart/2005/8/layout/radial5"/>
    <dgm:cxn modelId="{FD24F935-A39D-4567-9192-839E8F9E8DF5}" type="presParOf" srcId="{10E3F8AC-AF7F-4348-9AD5-C3198B32CBBD}" destId="{50C5E733-8334-4714-B976-7A42B63FB25B}" srcOrd="4" destOrd="0" presId="urn:microsoft.com/office/officeart/2005/8/layout/radial5"/>
    <dgm:cxn modelId="{DE26714F-8370-42D8-B611-922B595E5563}" type="presParOf" srcId="{10E3F8AC-AF7F-4348-9AD5-C3198B32CBBD}" destId="{82B5D599-885B-421B-933F-16183ECA491E}" srcOrd="5" destOrd="0" presId="urn:microsoft.com/office/officeart/2005/8/layout/radial5"/>
    <dgm:cxn modelId="{3F659917-C0B8-4B62-85AB-CD5EF220817C}" type="presParOf" srcId="{82B5D599-885B-421B-933F-16183ECA491E}" destId="{6C65E928-723C-4C8B-82C4-89DBAE6BDFBF}" srcOrd="0" destOrd="0" presId="urn:microsoft.com/office/officeart/2005/8/layout/radial5"/>
    <dgm:cxn modelId="{2BA4F57D-64F7-489F-9C4A-742D091EAF8A}" type="presParOf" srcId="{10E3F8AC-AF7F-4348-9AD5-C3198B32CBBD}" destId="{0A458C79-1C5D-431B-BA80-F0AB35164548}" srcOrd="6" destOrd="0" presId="urn:microsoft.com/office/officeart/2005/8/layout/radial5"/>
    <dgm:cxn modelId="{DF249339-2808-43A3-A751-B3D9A2E7D0E8}" type="presParOf" srcId="{10E3F8AC-AF7F-4348-9AD5-C3198B32CBBD}" destId="{4F71DBAD-EB0D-4450-981E-AF78DF0FAB51}" srcOrd="7" destOrd="0" presId="urn:microsoft.com/office/officeart/2005/8/layout/radial5"/>
    <dgm:cxn modelId="{B084F80D-7735-4FAB-966D-DAD91261577D}" type="presParOf" srcId="{4F71DBAD-EB0D-4450-981E-AF78DF0FAB51}" destId="{EBA24522-9B58-40A8-AE2B-DD6FB07E5AD4}" srcOrd="0" destOrd="0" presId="urn:microsoft.com/office/officeart/2005/8/layout/radial5"/>
    <dgm:cxn modelId="{CA81818D-32B3-48FD-A11D-C41F464F79BE}" type="presParOf" srcId="{10E3F8AC-AF7F-4348-9AD5-C3198B32CBBD}" destId="{E5C2A3FA-6808-44BD-99C1-D4EBBB80C687}" srcOrd="8" destOrd="0" presId="urn:microsoft.com/office/officeart/2005/8/layout/radial5"/>
    <dgm:cxn modelId="{88900341-EB77-494C-AFC5-0080A45EECBA}" type="presParOf" srcId="{10E3F8AC-AF7F-4348-9AD5-C3198B32CBBD}" destId="{96A2ACEE-2BA1-4046-B2EB-AD1CD987C2B2}" srcOrd="9" destOrd="0" presId="urn:microsoft.com/office/officeart/2005/8/layout/radial5"/>
    <dgm:cxn modelId="{F2DD0777-1063-4A7F-A491-A0290057BFB3}" type="presParOf" srcId="{96A2ACEE-2BA1-4046-B2EB-AD1CD987C2B2}" destId="{D5C8C243-D060-431F-BB63-CCB4B726A9EC}" srcOrd="0" destOrd="0" presId="urn:microsoft.com/office/officeart/2005/8/layout/radial5"/>
    <dgm:cxn modelId="{060E0619-33B9-4B89-BF74-2FA400FD4F01}" type="presParOf" srcId="{10E3F8AC-AF7F-4348-9AD5-C3198B32CBBD}" destId="{30636DAA-54E9-4B95-A2C4-17D152C832F5}" srcOrd="10" destOrd="0" presId="urn:microsoft.com/office/officeart/2005/8/layout/radial5"/>
    <dgm:cxn modelId="{A4541830-6300-4947-961A-81383F0EE7AE}" type="presParOf" srcId="{10E3F8AC-AF7F-4348-9AD5-C3198B32CBBD}" destId="{EA25C3C7-8D0D-4BE1-AC29-149D9FB8624C}" srcOrd="11" destOrd="0" presId="urn:microsoft.com/office/officeart/2005/8/layout/radial5"/>
    <dgm:cxn modelId="{19DD5D14-0FD4-46F7-AF91-905D134D2539}" type="presParOf" srcId="{EA25C3C7-8D0D-4BE1-AC29-149D9FB8624C}" destId="{A34835CC-F5AD-4DD3-86D4-0D08029A098B}" srcOrd="0" destOrd="0" presId="urn:microsoft.com/office/officeart/2005/8/layout/radial5"/>
    <dgm:cxn modelId="{844743C6-D0D9-4815-888F-AB8449F7C67C}" type="presParOf" srcId="{10E3F8AC-AF7F-4348-9AD5-C3198B32CBBD}" destId="{6AFC4657-77D4-4AB1-9DFD-78EBFE31ED8F}" srcOrd="12" destOrd="0" presId="urn:microsoft.com/office/officeart/2005/8/layout/radial5"/>
    <dgm:cxn modelId="{25F4B382-AF9D-4E7E-B136-6EBA9E75ABCB}" type="presParOf" srcId="{10E3F8AC-AF7F-4348-9AD5-C3198B32CBBD}" destId="{A449A391-99E5-403A-AE35-48366489A69D}" srcOrd="13" destOrd="0" presId="urn:microsoft.com/office/officeart/2005/8/layout/radial5"/>
    <dgm:cxn modelId="{F3751B72-4D5E-4273-8400-F8245BD0AFE0}" type="presParOf" srcId="{A449A391-99E5-403A-AE35-48366489A69D}" destId="{16626EC5-E801-4937-B09A-C19A3E92901D}" srcOrd="0" destOrd="0" presId="urn:microsoft.com/office/officeart/2005/8/layout/radial5"/>
    <dgm:cxn modelId="{D4EFAFC0-BAE5-40DF-A89F-1DEB585CC3D4}" type="presParOf" srcId="{10E3F8AC-AF7F-4348-9AD5-C3198B32CBBD}" destId="{2F81B676-9D3F-4944-9633-1FACE6D1BDA9}" srcOrd="14" destOrd="0" presId="urn:microsoft.com/office/officeart/2005/8/layout/radial5"/>
  </dgm:cxnLst>
  <dgm:bg>
    <a:noFill/>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A8DFB-EC3C-4681-B726-3CFDAF4596C1}">
      <dsp:nvSpPr>
        <dsp:cNvPr id="0" name=""/>
        <dsp:cNvSpPr/>
      </dsp:nvSpPr>
      <dsp:spPr>
        <a:xfrm>
          <a:off x="2191558" y="1294672"/>
          <a:ext cx="695319" cy="6953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Clinic</a:t>
          </a:r>
        </a:p>
      </dsp:txBody>
      <dsp:txXfrm>
        <a:off x="2293385" y="1396499"/>
        <a:ext cx="491665" cy="491665"/>
      </dsp:txXfrm>
    </dsp:sp>
    <dsp:sp modelId="{45657EB4-81C3-4608-A8D7-D7CD83063298}">
      <dsp:nvSpPr>
        <dsp:cNvPr id="0" name=""/>
        <dsp:cNvSpPr/>
      </dsp:nvSpPr>
      <dsp:spPr>
        <a:xfrm rot="16200000">
          <a:off x="2373148" y="947157"/>
          <a:ext cx="332140" cy="283965"/>
        </a:xfrm>
        <a:prstGeom prst="leftRightArrow">
          <a:avLst/>
        </a:prstGeom>
        <a:solidFill>
          <a:schemeClr val="accent5"/>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2415743" y="1046545"/>
        <a:ext cx="246951" cy="170379"/>
      </dsp:txXfrm>
    </dsp:sp>
    <dsp:sp modelId="{049460B5-BFAB-4F8A-9CB4-106977D4F3A3}">
      <dsp:nvSpPr>
        <dsp:cNvPr id="0" name=""/>
        <dsp:cNvSpPr/>
      </dsp:nvSpPr>
      <dsp:spPr>
        <a:xfrm>
          <a:off x="2104643" y="1747"/>
          <a:ext cx="869149" cy="869149"/>
        </a:xfrm>
        <a:prstGeom prst="ellipse">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Clients</a:t>
          </a:r>
        </a:p>
      </dsp:txBody>
      <dsp:txXfrm>
        <a:off x="2231927" y="129031"/>
        <a:ext cx="614581" cy="614581"/>
      </dsp:txXfrm>
    </dsp:sp>
    <dsp:sp modelId="{C786A35B-C054-432B-8A75-6A4AE5B596E5}">
      <dsp:nvSpPr>
        <dsp:cNvPr id="0" name=""/>
        <dsp:cNvSpPr/>
      </dsp:nvSpPr>
      <dsp:spPr>
        <a:xfrm rot="19285714">
          <a:off x="2813794" y="1166719"/>
          <a:ext cx="315852" cy="261406"/>
        </a:xfrm>
        <a:prstGeom prst="leftRightArrow">
          <a:avLst/>
        </a:prstGeom>
        <a:solidFill>
          <a:srgbClr val="B95BB5"/>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2822349" y="1243448"/>
        <a:ext cx="237430" cy="156844"/>
      </dsp:txXfrm>
    </dsp:sp>
    <dsp:sp modelId="{50C5E733-8334-4714-B976-7A42B63FB25B}">
      <dsp:nvSpPr>
        <dsp:cNvPr id="0" name=""/>
        <dsp:cNvSpPr/>
      </dsp:nvSpPr>
      <dsp:spPr>
        <a:xfrm>
          <a:off x="3047540" y="455822"/>
          <a:ext cx="869149" cy="869149"/>
        </a:xfrm>
        <a:prstGeom prst="ellipse">
          <a:avLst/>
        </a:prstGeom>
        <a:solidFill>
          <a:srgbClr val="B95BB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Community groups</a:t>
          </a:r>
        </a:p>
      </dsp:txBody>
      <dsp:txXfrm>
        <a:off x="3174824" y="583106"/>
        <a:ext cx="614581" cy="614581"/>
      </dsp:txXfrm>
    </dsp:sp>
    <dsp:sp modelId="{82B5D599-885B-421B-933F-16183ECA491E}">
      <dsp:nvSpPr>
        <dsp:cNvPr id="0" name=""/>
        <dsp:cNvSpPr/>
      </dsp:nvSpPr>
      <dsp:spPr>
        <a:xfrm rot="771429">
          <a:off x="2914308" y="1627504"/>
          <a:ext cx="328463" cy="275847"/>
        </a:xfrm>
        <a:prstGeom prst="leftRightArrow">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2915345" y="1673466"/>
        <a:ext cx="245709" cy="165509"/>
      </dsp:txXfrm>
    </dsp:sp>
    <dsp:sp modelId="{0A458C79-1C5D-431B-BA80-F0AB35164548}">
      <dsp:nvSpPr>
        <dsp:cNvPr id="0" name=""/>
        <dsp:cNvSpPr/>
      </dsp:nvSpPr>
      <dsp:spPr>
        <a:xfrm>
          <a:off x="3280416" y="1476119"/>
          <a:ext cx="869149" cy="869149"/>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Professional colleagues</a:t>
          </a:r>
        </a:p>
      </dsp:txBody>
      <dsp:txXfrm>
        <a:off x="3407700" y="1603403"/>
        <a:ext cx="614581" cy="614581"/>
      </dsp:txXfrm>
    </dsp:sp>
    <dsp:sp modelId="{4F71DBAD-EB0D-4450-981E-AF78DF0FAB51}">
      <dsp:nvSpPr>
        <dsp:cNvPr id="0" name=""/>
        <dsp:cNvSpPr/>
      </dsp:nvSpPr>
      <dsp:spPr>
        <a:xfrm rot="3857143">
          <a:off x="2610298" y="1997011"/>
          <a:ext cx="337881" cy="287455"/>
        </a:xfrm>
        <a:prstGeom prst="leftRightArrow">
          <a:avLst/>
        </a:prstGeom>
        <a:solidFill>
          <a:schemeClr val="accent3">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2634708" y="2015654"/>
        <a:ext cx="251645" cy="172473"/>
      </dsp:txXfrm>
    </dsp:sp>
    <dsp:sp modelId="{E5C2A3FA-6808-44BD-99C1-D4EBBB80C687}">
      <dsp:nvSpPr>
        <dsp:cNvPr id="0" name=""/>
        <dsp:cNvSpPr/>
      </dsp:nvSpPr>
      <dsp:spPr>
        <a:xfrm>
          <a:off x="2627912" y="2294334"/>
          <a:ext cx="869149" cy="869149"/>
        </a:xfrm>
        <a:prstGeom prst="ellipse">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Governments and professional bodies</a:t>
          </a:r>
        </a:p>
      </dsp:txBody>
      <dsp:txXfrm>
        <a:off x="2755196" y="2421618"/>
        <a:ext cx="614581" cy="614581"/>
      </dsp:txXfrm>
    </dsp:sp>
    <dsp:sp modelId="{96A2ACEE-2BA1-4046-B2EB-AD1CD987C2B2}">
      <dsp:nvSpPr>
        <dsp:cNvPr id="0" name=""/>
        <dsp:cNvSpPr/>
      </dsp:nvSpPr>
      <dsp:spPr>
        <a:xfrm rot="6942857">
          <a:off x="2127300" y="2003203"/>
          <a:ext cx="343794" cy="275072"/>
        </a:xfrm>
        <a:prstGeom prst="leftRightArrow">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rot="10800000">
        <a:off x="2186463" y="2021042"/>
        <a:ext cx="261272" cy="165044"/>
      </dsp:txXfrm>
    </dsp:sp>
    <dsp:sp modelId="{30636DAA-54E9-4B95-A2C4-17D152C832F5}">
      <dsp:nvSpPr>
        <dsp:cNvPr id="0" name=""/>
        <dsp:cNvSpPr/>
      </dsp:nvSpPr>
      <dsp:spPr>
        <a:xfrm>
          <a:off x="1581375" y="2294334"/>
          <a:ext cx="869149" cy="869149"/>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the University</a:t>
          </a:r>
        </a:p>
      </dsp:txBody>
      <dsp:txXfrm>
        <a:off x="1708659" y="2421618"/>
        <a:ext cx="614581" cy="614581"/>
      </dsp:txXfrm>
    </dsp:sp>
    <dsp:sp modelId="{EA25C3C7-8D0D-4BE1-AC29-149D9FB8624C}">
      <dsp:nvSpPr>
        <dsp:cNvPr id="0" name=""/>
        <dsp:cNvSpPr/>
      </dsp:nvSpPr>
      <dsp:spPr>
        <a:xfrm rot="10028571">
          <a:off x="1830536" y="1635733"/>
          <a:ext cx="338721" cy="259389"/>
        </a:xfrm>
        <a:prstGeom prst="leftRightArrow">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rot="10800000">
        <a:off x="1907377" y="1678953"/>
        <a:ext cx="260904" cy="155633"/>
      </dsp:txXfrm>
    </dsp:sp>
    <dsp:sp modelId="{6AFC4657-77D4-4AB1-9DFD-78EBFE31ED8F}">
      <dsp:nvSpPr>
        <dsp:cNvPr id="0" name=""/>
        <dsp:cNvSpPr/>
      </dsp:nvSpPr>
      <dsp:spPr>
        <a:xfrm>
          <a:off x="928871" y="1476119"/>
          <a:ext cx="869149" cy="869149"/>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Academic and professional staff</a:t>
          </a:r>
        </a:p>
      </dsp:txBody>
      <dsp:txXfrm>
        <a:off x="1056155" y="1603403"/>
        <a:ext cx="614581" cy="614581"/>
      </dsp:txXfrm>
    </dsp:sp>
    <dsp:sp modelId="{A449A391-99E5-403A-AE35-48366489A69D}">
      <dsp:nvSpPr>
        <dsp:cNvPr id="0" name=""/>
        <dsp:cNvSpPr/>
      </dsp:nvSpPr>
      <dsp:spPr>
        <a:xfrm rot="13114286">
          <a:off x="1941038" y="1166798"/>
          <a:ext cx="331356" cy="261249"/>
        </a:xfrm>
        <a:prstGeom prst="leftRightArrow">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rot="10800000">
        <a:off x="2010864" y="1243481"/>
        <a:ext cx="252981" cy="156749"/>
      </dsp:txXfrm>
    </dsp:sp>
    <dsp:sp modelId="{2F81B676-9D3F-4944-9633-1FACE6D1BDA9}">
      <dsp:nvSpPr>
        <dsp:cNvPr id="0" name=""/>
        <dsp:cNvSpPr/>
      </dsp:nvSpPr>
      <dsp:spPr>
        <a:xfrm>
          <a:off x="1161747" y="455822"/>
          <a:ext cx="869149" cy="869149"/>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Students</a:t>
          </a:r>
        </a:p>
      </dsp:txBody>
      <dsp:txXfrm>
        <a:off x="1289031" y="583106"/>
        <a:ext cx="614581" cy="61458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Hall</dc:creator>
  <cp:lastModifiedBy>Elaine Hall</cp:lastModifiedBy>
  <cp:revision>2</cp:revision>
  <dcterms:created xsi:type="dcterms:W3CDTF">2015-07-13T13:16:00Z</dcterms:created>
  <dcterms:modified xsi:type="dcterms:W3CDTF">2015-07-13T15:05:00Z</dcterms:modified>
</cp:coreProperties>
</file>