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408" w:rsidRPr="00FE2408" w:rsidRDefault="00FE2408" w:rsidP="005D078E">
      <w:pPr>
        <w:shd w:val="clear" w:color="auto" w:fill="FFFFFF"/>
        <w:spacing w:after="0" w:line="480" w:lineRule="auto"/>
        <w:ind w:left="284"/>
        <w:jc w:val="both"/>
        <w:rPr>
          <w:rFonts w:ascii="Palatino Linotype" w:hAnsi="Palatino Linotype"/>
          <w:b/>
          <w:bCs/>
          <w:i/>
          <w:sz w:val="24"/>
          <w:szCs w:val="24"/>
          <w:shd w:val="clear" w:color="auto" w:fill="FFFFFF"/>
        </w:rPr>
      </w:pPr>
      <w:r>
        <w:rPr>
          <w:rFonts w:ascii="Palatino Linotype" w:hAnsi="Palatino Linotype"/>
          <w:b/>
          <w:bCs/>
          <w:i/>
          <w:sz w:val="24"/>
          <w:szCs w:val="24"/>
          <w:shd w:val="clear" w:color="auto" w:fill="FFFFFF"/>
        </w:rPr>
        <w:t>Reviewed Article: Teaching and Learning in Clinic</w:t>
      </w:r>
    </w:p>
    <w:p w:rsidR="00FE2408" w:rsidRDefault="00FE2408" w:rsidP="005D078E">
      <w:pPr>
        <w:shd w:val="clear" w:color="auto" w:fill="FFFFFF"/>
        <w:spacing w:after="0" w:line="480" w:lineRule="auto"/>
        <w:ind w:left="284"/>
        <w:jc w:val="both"/>
        <w:rPr>
          <w:rFonts w:ascii="Palatino Linotype" w:hAnsi="Palatino Linotype"/>
          <w:b/>
          <w:bCs/>
          <w:sz w:val="24"/>
          <w:szCs w:val="24"/>
          <w:shd w:val="clear" w:color="auto" w:fill="FFFFFF"/>
        </w:rPr>
      </w:pPr>
    </w:p>
    <w:p w:rsidR="00BE51F2" w:rsidRPr="00FE2408" w:rsidRDefault="00FE2408" w:rsidP="005D078E">
      <w:pPr>
        <w:shd w:val="clear" w:color="auto" w:fill="FFFFFF"/>
        <w:spacing w:after="0" w:line="480" w:lineRule="auto"/>
        <w:ind w:left="284"/>
        <w:jc w:val="both"/>
        <w:rPr>
          <w:rFonts w:ascii="Palatino Linotype" w:hAnsi="Palatino Linotype"/>
          <w:b/>
          <w:bCs/>
          <w:sz w:val="28"/>
          <w:szCs w:val="28"/>
          <w:shd w:val="clear" w:color="auto" w:fill="FFFFFF"/>
        </w:rPr>
      </w:pPr>
      <w:r w:rsidRPr="00FE2408">
        <w:rPr>
          <w:rFonts w:ascii="Palatino Linotype" w:hAnsi="Palatino Linotype"/>
          <w:b/>
          <w:bCs/>
          <w:sz w:val="28"/>
          <w:szCs w:val="28"/>
          <w:shd w:val="clear" w:color="auto" w:fill="FFFFFF"/>
        </w:rPr>
        <w:t>SPECIALIST LEGAL CLINICS:</w:t>
      </w:r>
    </w:p>
    <w:p w:rsidR="00BE51F2" w:rsidRPr="00FE2408" w:rsidRDefault="00FE2408" w:rsidP="005D078E">
      <w:pPr>
        <w:shd w:val="clear" w:color="auto" w:fill="FFFFFF"/>
        <w:spacing w:after="0" w:line="480" w:lineRule="auto"/>
        <w:ind w:left="284"/>
        <w:jc w:val="both"/>
        <w:rPr>
          <w:rFonts w:ascii="Palatino Linotype" w:hAnsi="Palatino Linotype"/>
          <w:b/>
          <w:bCs/>
          <w:sz w:val="28"/>
          <w:szCs w:val="28"/>
          <w:shd w:val="clear" w:color="auto" w:fill="FFFFFF"/>
        </w:rPr>
      </w:pPr>
      <w:r w:rsidRPr="00FE2408">
        <w:rPr>
          <w:rFonts w:ascii="Palatino Linotype" w:hAnsi="Palatino Linotype"/>
          <w:b/>
          <w:bCs/>
          <w:sz w:val="28"/>
          <w:szCs w:val="28"/>
          <w:shd w:val="clear" w:color="auto" w:fill="FFFFFF"/>
        </w:rPr>
        <w:t>THEIR PEDAGOGY, RISKS AND PAYOFFS AS EXTERNSHIPS</w:t>
      </w:r>
    </w:p>
    <w:p w:rsidR="00BE51F2" w:rsidRPr="00FE2408" w:rsidRDefault="00BE51F2" w:rsidP="005D078E">
      <w:pPr>
        <w:shd w:val="clear" w:color="auto" w:fill="FFFFFF"/>
        <w:spacing w:after="0" w:line="480" w:lineRule="auto"/>
        <w:ind w:left="284"/>
        <w:jc w:val="both"/>
        <w:rPr>
          <w:rFonts w:ascii="Palatino Linotype" w:eastAsia="Times New Roman" w:hAnsi="Palatino Linotype"/>
          <w:b/>
          <w:bCs/>
          <w:sz w:val="24"/>
          <w:szCs w:val="24"/>
        </w:rPr>
      </w:pPr>
    </w:p>
    <w:p w:rsidR="00BE51F2" w:rsidRDefault="00FE2408" w:rsidP="005D078E">
      <w:pPr>
        <w:shd w:val="clear" w:color="auto" w:fill="FFFFFF"/>
        <w:spacing w:after="0" w:line="480" w:lineRule="auto"/>
        <w:ind w:left="284"/>
        <w:jc w:val="both"/>
        <w:rPr>
          <w:rFonts w:ascii="Palatino Linotype" w:eastAsia="Times New Roman" w:hAnsi="Palatino Linotype"/>
          <w:b/>
          <w:bCs/>
          <w:sz w:val="24"/>
          <w:szCs w:val="24"/>
        </w:rPr>
      </w:pPr>
      <w:r>
        <w:rPr>
          <w:rFonts w:ascii="Palatino Linotype" w:eastAsia="Times New Roman" w:hAnsi="Palatino Linotype"/>
          <w:b/>
          <w:bCs/>
          <w:sz w:val="24"/>
          <w:szCs w:val="24"/>
        </w:rPr>
        <w:t xml:space="preserve">Adrian </w:t>
      </w:r>
      <w:r w:rsidR="00BE51F2" w:rsidRPr="00FE2408">
        <w:rPr>
          <w:rFonts w:ascii="Palatino Linotype" w:eastAsia="Times New Roman" w:hAnsi="Palatino Linotype"/>
          <w:b/>
          <w:bCs/>
          <w:sz w:val="24"/>
          <w:szCs w:val="24"/>
        </w:rPr>
        <w:t xml:space="preserve">Evans and </w:t>
      </w:r>
      <w:r>
        <w:rPr>
          <w:rFonts w:ascii="Palatino Linotype" w:eastAsia="Times New Roman" w:hAnsi="Palatino Linotype"/>
          <w:b/>
          <w:bCs/>
          <w:sz w:val="24"/>
          <w:szCs w:val="24"/>
        </w:rPr>
        <w:t xml:space="preserve">Ross </w:t>
      </w:r>
      <w:proofErr w:type="spellStart"/>
      <w:r w:rsidR="00BE51F2" w:rsidRPr="00FE2408">
        <w:rPr>
          <w:rFonts w:ascii="Palatino Linotype" w:eastAsia="Times New Roman" w:hAnsi="Palatino Linotype"/>
          <w:b/>
          <w:bCs/>
          <w:sz w:val="24"/>
          <w:szCs w:val="24"/>
        </w:rPr>
        <w:t>Hyams</w:t>
      </w:r>
      <w:proofErr w:type="spellEnd"/>
      <w:r>
        <w:rPr>
          <w:rStyle w:val="FootnoteReference"/>
          <w:rFonts w:ascii="Palatino Linotype" w:eastAsia="Times New Roman" w:hAnsi="Palatino Linotype"/>
          <w:b/>
          <w:bCs/>
          <w:sz w:val="24"/>
          <w:szCs w:val="24"/>
        </w:rPr>
        <w:footnoteReference w:id="1"/>
      </w:r>
    </w:p>
    <w:p w:rsidR="00FE2408" w:rsidRPr="00FE2408" w:rsidRDefault="00FE2408" w:rsidP="005D078E">
      <w:pPr>
        <w:shd w:val="clear" w:color="auto" w:fill="FFFFFF"/>
        <w:spacing w:after="0" w:line="480" w:lineRule="auto"/>
        <w:ind w:left="284"/>
        <w:jc w:val="both"/>
        <w:rPr>
          <w:rFonts w:ascii="Palatino Linotype" w:eastAsia="Times New Roman" w:hAnsi="Palatino Linotype"/>
          <w:b/>
          <w:bCs/>
          <w:sz w:val="24"/>
          <w:szCs w:val="24"/>
        </w:rPr>
      </w:pPr>
      <w:r>
        <w:rPr>
          <w:rFonts w:ascii="Palatino Linotype" w:eastAsia="Times New Roman" w:hAnsi="Palatino Linotype"/>
          <w:b/>
          <w:bCs/>
          <w:sz w:val="24"/>
          <w:szCs w:val="24"/>
        </w:rPr>
        <w:t>Monash University, Melbourne, Australia</w:t>
      </w:r>
    </w:p>
    <w:p w:rsidR="00BE51F2" w:rsidRPr="00FE2408" w:rsidRDefault="00BE51F2" w:rsidP="005D078E">
      <w:pPr>
        <w:shd w:val="clear" w:color="auto" w:fill="FFFFFF"/>
        <w:spacing w:before="100" w:beforeAutospacing="1" w:after="100" w:afterAutospacing="1" w:line="480" w:lineRule="auto"/>
        <w:ind w:left="284"/>
        <w:jc w:val="both"/>
        <w:rPr>
          <w:rFonts w:ascii="Palatino Linotype" w:eastAsia="Times New Roman" w:hAnsi="Palatino Linotype"/>
          <w:b/>
          <w:bCs/>
          <w:sz w:val="24"/>
          <w:szCs w:val="24"/>
        </w:rPr>
      </w:pPr>
    </w:p>
    <w:p w:rsidR="00BE51F2" w:rsidRPr="00FE2408" w:rsidRDefault="00FE2408" w:rsidP="005D078E">
      <w:pPr>
        <w:shd w:val="clear" w:color="auto" w:fill="FFFFFF"/>
        <w:spacing w:before="100" w:beforeAutospacing="1" w:after="100" w:afterAutospacing="1" w:line="480" w:lineRule="auto"/>
        <w:ind w:left="284"/>
        <w:jc w:val="both"/>
        <w:rPr>
          <w:rFonts w:ascii="Palatino Linotype" w:eastAsia="Times New Roman" w:hAnsi="Palatino Linotype"/>
          <w:bCs/>
          <w:sz w:val="24"/>
          <w:szCs w:val="24"/>
        </w:rPr>
      </w:pPr>
      <w:r w:rsidRPr="00FE2408">
        <w:rPr>
          <w:rFonts w:ascii="Palatino Linotype" w:eastAsia="Times New Roman" w:hAnsi="Palatino Linotype"/>
          <w:bCs/>
          <w:sz w:val="24"/>
          <w:szCs w:val="24"/>
        </w:rPr>
        <w:t xml:space="preserve">INTRODUCTION </w:t>
      </w:r>
    </w:p>
    <w:p w:rsidR="00BE51F2" w:rsidRPr="00FE2408" w:rsidRDefault="00BE51F2" w:rsidP="005D078E">
      <w:pPr>
        <w:shd w:val="clear" w:color="auto" w:fill="FFFFFF"/>
        <w:spacing w:before="100" w:beforeAutospacing="1" w:after="100" w:afterAutospacing="1" w:line="480" w:lineRule="auto"/>
        <w:ind w:left="284"/>
        <w:jc w:val="both"/>
        <w:rPr>
          <w:rFonts w:ascii="Palatino Linotype" w:eastAsia="Times New Roman" w:hAnsi="Palatino Linotype"/>
          <w:bCs/>
          <w:sz w:val="24"/>
          <w:szCs w:val="24"/>
        </w:rPr>
      </w:pPr>
      <w:r w:rsidRPr="00FE2408">
        <w:rPr>
          <w:rFonts w:ascii="Palatino Linotype" w:eastAsia="Times New Roman" w:hAnsi="Palatino Linotype"/>
          <w:bCs/>
          <w:sz w:val="24"/>
          <w:szCs w:val="24"/>
        </w:rPr>
        <w:t xml:space="preserve">Within clinical legal education there is a great deal of discussion at the moment about externships. Part of the motivation for all this conversation is the desire of law schools to get in on the clinical ‘act’ as inexpensively as possible. Some law Deans have the view that they can outsource clinics to firms and agencies and achieve reputable clinical outcomes with little or no expenditure. We beg to differ and in this article we explain why law school management of an externship experience is resource intensive and nearly as complicated as an in-house clinic. It may be less expensive, but an externship can never be set and forgotten. </w:t>
      </w:r>
    </w:p>
    <w:p w:rsidR="00BE51F2" w:rsidRPr="00FE2408" w:rsidRDefault="00BE51F2" w:rsidP="005D078E">
      <w:pPr>
        <w:shd w:val="clear" w:color="auto" w:fill="FFFFFF"/>
        <w:spacing w:before="100" w:beforeAutospacing="1" w:after="100" w:afterAutospacing="1" w:line="480" w:lineRule="auto"/>
        <w:ind w:left="284"/>
        <w:jc w:val="both"/>
        <w:rPr>
          <w:rFonts w:ascii="Palatino Linotype" w:eastAsia="Times New Roman" w:hAnsi="Palatino Linotype"/>
          <w:bCs/>
          <w:sz w:val="24"/>
          <w:szCs w:val="24"/>
        </w:rPr>
      </w:pPr>
      <w:r w:rsidRPr="00FE2408">
        <w:rPr>
          <w:rFonts w:ascii="Palatino Linotype" w:eastAsia="Times New Roman" w:hAnsi="Palatino Linotype"/>
          <w:bCs/>
          <w:sz w:val="24"/>
          <w:szCs w:val="24"/>
        </w:rPr>
        <w:lastRenderedPageBreak/>
        <w:t xml:space="preserve">We also discuss the peculiarities of specialist externships, since many externship sites are in fact specialist legal practices. In fact, the attraction of an externship is the access it provides for students to participate in a specialised area of law, while overseen by specialist lawyers. We set out in detail the advantages and disadvantages of operating such placements and connect these to the recent Australian </w:t>
      </w:r>
      <w:r w:rsidRPr="00FE2408">
        <w:rPr>
          <w:rFonts w:ascii="Palatino Linotype" w:eastAsia="Times New Roman" w:hAnsi="Palatino Linotype"/>
          <w:bCs/>
          <w:i/>
          <w:sz w:val="24"/>
          <w:szCs w:val="24"/>
        </w:rPr>
        <w:t>Best Practices</w:t>
      </w:r>
      <w:r w:rsidRPr="00FE2408">
        <w:rPr>
          <w:rFonts w:ascii="Palatino Linotype" w:eastAsia="Times New Roman" w:hAnsi="Palatino Linotype"/>
          <w:bCs/>
          <w:sz w:val="24"/>
          <w:szCs w:val="24"/>
        </w:rPr>
        <w:t xml:space="preserve"> in clinical legal education. To begin with however, we need to define some terms as they are used in an Australian clinical setting.</w:t>
      </w:r>
    </w:p>
    <w:p w:rsidR="00444D27" w:rsidRDefault="00444D27" w:rsidP="005D078E">
      <w:pPr>
        <w:shd w:val="clear" w:color="auto" w:fill="FFFFFF"/>
        <w:spacing w:before="100" w:beforeAutospacing="1" w:after="100" w:afterAutospacing="1" w:line="480" w:lineRule="auto"/>
        <w:ind w:left="284"/>
        <w:jc w:val="both"/>
        <w:rPr>
          <w:rFonts w:ascii="Palatino Linotype" w:eastAsia="Times New Roman" w:hAnsi="Palatino Linotype"/>
          <w:sz w:val="24"/>
          <w:szCs w:val="24"/>
        </w:rPr>
      </w:pPr>
    </w:p>
    <w:p w:rsidR="00BE51F2" w:rsidRPr="00FE2408" w:rsidRDefault="00FE2408" w:rsidP="005D078E">
      <w:pPr>
        <w:shd w:val="clear" w:color="auto" w:fill="FFFFFF"/>
        <w:spacing w:before="100" w:beforeAutospacing="1" w:after="100" w:afterAutospacing="1" w:line="480" w:lineRule="auto"/>
        <w:ind w:left="284"/>
        <w:jc w:val="both"/>
        <w:rPr>
          <w:rFonts w:ascii="Palatino Linotype" w:eastAsia="Times New Roman" w:hAnsi="Palatino Linotype"/>
          <w:sz w:val="24"/>
          <w:szCs w:val="24"/>
        </w:rPr>
      </w:pPr>
      <w:r w:rsidRPr="00FE2408">
        <w:rPr>
          <w:rFonts w:ascii="Palatino Linotype" w:eastAsia="Times New Roman" w:hAnsi="Palatino Linotype"/>
          <w:sz w:val="24"/>
          <w:szCs w:val="24"/>
        </w:rPr>
        <w:t>DEFINITIONS OF CLINICS IN AN AUSTRALIAN CONTEXT</w:t>
      </w:r>
    </w:p>
    <w:p w:rsidR="00BE51F2" w:rsidRPr="00FE2408" w:rsidRDefault="00BE51F2" w:rsidP="005D078E">
      <w:pPr>
        <w:autoSpaceDE w:val="0"/>
        <w:autoSpaceDN w:val="0"/>
        <w:adjustRightInd w:val="0"/>
        <w:spacing w:after="0" w:line="480" w:lineRule="auto"/>
        <w:ind w:left="284"/>
        <w:jc w:val="both"/>
        <w:rPr>
          <w:rFonts w:ascii="Palatino Linotype" w:hAnsi="Palatino Linotype"/>
          <w:i/>
          <w:iCs/>
          <w:sz w:val="24"/>
          <w:szCs w:val="24"/>
        </w:rPr>
      </w:pPr>
      <w:r w:rsidRPr="00FE2408">
        <w:rPr>
          <w:rFonts w:ascii="Palatino Linotype" w:eastAsia="Times New Roman" w:hAnsi="Palatino Linotype"/>
          <w:sz w:val="24"/>
          <w:szCs w:val="24"/>
        </w:rPr>
        <w:t xml:space="preserve">Between 2010 and 2012 an Australian study of clinical practices in over 30 law schools (the </w:t>
      </w:r>
      <w:r w:rsidRPr="00FE2408">
        <w:rPr>
          <w:rFonts w:ascii="Palatino Linotype" w:eastAsia="Times New Roman" w:hAnsi="Palatino Linotype"/>
          <w:i/>
          <w:sz w:val="24"/>
          <w:szCs w:val="24"/>
        </w:rPr>
        <w:t>Best Practices</w:t>
      </w:r>
      <w:r w:rsidRPr="00FE2408">
        <w:rPr>
          <w:rStyle w:val="FootnoteReference"/>
          <w:rFonts w:ascii="Palatino Linotype" w:hAnsi="Palatino Linotype"/>
          <w:sz w:val="24"/>
          <w:szCs w:val="24"/>
        </w:rPr>
        <w:footnoteReference w:id="2"/>
      </w:r>
      <w:r w:rsidRPr="00FE2408">
        <w:rPr>
          <w:rFonts w:ascii="Palatino Linotype" w:eastAsia="Times New Roman" w:hAnsi="Palatino Linotype"/>
          <w:sz w:val="24"/>
          <w:szCs w:val="24"/>
        </w:rPr>
        <w:t xml:space="preserve">) came to the very definite conclusion that specialist clinics are clinics, even though there may be no conventional client or there is a research task. What is important is that students work on real-life projects rather than simulations. The best practices recommended by the Australian study were unanimously adopted by the </w:t>
      </w:r>
      <w:r w:rsidRPr="00FE2408">
        <w:rPr>
          <w:rFonts w:ascii="Palatino Linotype" w:eastAsia="Times New Roman" w:hAnsi="Palatino Linotype"/>
          <w:i/>
          <w:sz w:val="24"/>
          <w:szCs w:val="24"/>
        </w:rPr>
        <w:t>Council of Australian Law Deans</w:t>
      </w:r>
      <w:r w:rsidRPr="00FE2408">
        <w:rPr>
          <w:rFonts w:ascii="Palatino Linotype" w:eastAsia="Times New Roman" w:hAnsi="Palatino Linotype"/>
          <w:sz w:val="24"/>
          <w:szCs w:val="24"/>
        </w:rPr>
        <w:t xml:space="preserve"> (CALD) in late 2012. They defined and described clinics as follows:</w:t>
      </w:r>
    </w:p>
    <w:p w:rsidR="00444D27" w:rsidRDefault="00444D27" w:rsidP="005D078E">
      <w:pPr>
        <w:autoSpaceDE w:val="0"/>
        <w:autoSpaceDN w:val="0"/>
        <w:adjustRightInd w:val="0"/>
        <w:spacing w:after="0" w:line="360" w:lineRule="auto"/>
        <w:ind w:left="284"/>
        <w:jc w:val="both"/>
        <w:rPr>
          <w:rFonts w:ascii="Palatino Linotype" w:hAnsi="Palatino Linotype"/>
          <w:i/>
          <w:iCs/>
          <w:sz w:val="24"/>
          <w:szCs w:val="24"/>
        </w:rPr>
      </w:pPr>
    </w:p>
    <w:p w:rsidR="00BE51F2" w:rsidRPr="00FE2408" w:rsidRDefault="00BE51F2" w:rsidP="005D078E">
      <w:pPr>
        <w:autoSpaceDE w:val="0"/>
        <w:autoSpaceDN w:val="0"/>
        <w:adjustRightInd w:val="0"/>
        <w:spacing w:after="0" w:line="480" w:lineRule="auto"/>
        <w:ind w:left="284"/>
        <w:jc w:val="both"/>
        <w:rPr>
          <w:rFonts w:ascii="Palatino Linotype" w:hAnsi="Palatino Linotype"/>
          <w:i/>
          <w:iCs/>
          <w:sz w:val="24"/>
          <w:szCs w:val="24"/>
        </w:rPr>
      </w:pPr>
      <w:r w:rsidRPr="00FE2408">
        <w:rPr>
          <w:rFonts w:ascii="Palatino Linotype" w:hAnsi="Palatino Linotype"/>
          <w:i/>
          <w:iCs/>
          <w:sz w:val="24"/>
          <w:szCs w:val="24"/>
        </w:rPr>
        <w:lastRenderedPageBreak/>
        <w:t>What is ‘Clinic’?</w:t>
      </w:r>
    </w:p>
    <w:p w:rsidR="00BE51F2" w:rsidRPr="00FE2408" w:rsidRDefault="00BE51F2" w:rsidP="005D078E">
      <w:pPr>
        <w:autoSpaceDE w:val="0"/>
        <w:autoSpaceDN w:val="0"/>
        <w:adjustRightInd w:val="0"/>
        <w:spacing w:after="0" w:line="480" w:lineRule="auto"/>
        <w:ind w:left="284"/>
        <w:jc w:val="both"/>
        <w:rPr>
          <w:rFonts w:ascii="Palatino Linotype" w:hAnsi="Palatino Linotype"/>
          <w:sz w:val="24"/>
          <w:szCs w:val="24"/>
        </w:rPr>
      </w:pPr>
      <w:r w:rsidRPr="00FE2408">
        <w:rPr>
          <w:rFonts w:ascii="Palatino Linotype" w:hAnsi="Palatino Linotype"/>
          <w:sz w:val="24"/>
          <w:szCs w:val="24"/>
        </w:rPr>
        <w:t xml:space="preserve">‘Clinic’ or clinical legal education (CLE) is a significant experiential method of learning and teaching. CLE places law students in close contact with the realities, demands and compromises of legal practice. In so doing, CLE provides students with real-life reference points for learning the law. CLE also invites students to see the wider context and everyday realities of accessing an imperfect legal system. Clinical pedagogy involves a system of self-critique and supervisory feedback so that law students may learn how to learn from their experiences of simulated environments, observation and, at its most effective level, personal responsibility for real clients and their legal problems. CLE is, in summary, a learning methodology for law students that compels them, through a constant reality check, to integrate their learning of substantive law with the justice or otherwise of its practical operation. </w:t>
      </w:r>
    </w:p>
    <w:p w:rsidR="00BE51F2" w:rsidRPr="00FE2408" w:rsidRDefault="00BE51F2" w:rsidP="005D078E">
      <w:pPr>
        <w:autoSpaceDE w:val="0"/>
        <w:autoSpaceDN w:val="0"/>
        <w:adjustRightInd w:val="0"/>
        <w:spacing w:after="0" w:line="480" w:lineRule="auto"/>
        <w:ind w:left="284"/>
        <w:jc w:val="both"/>
        <w:rPr>
          <w:rFonts w:ascii="Palatino Linotype" w:hAnsi="Palatino Linotype"/>
          <w:i/>
          <w:iCs/>
          <w:sz w:val="24"/>
          <w:szCs w:val="24"/>
        </w:rPr>
      </w:pPr>
      <w:r w:rsidRPr="00FE2408">
        <w:rPr>
          <w:rFonts w:ascii="Palatino Linotype" w:hAnsi="Palatino Linotype"/>
          <w:i/>
          <w:iCs/>
          <w:sz w:val="24"/>
          <w:szCs w:val="24"/>
        </w:rPr>
        <w:t>What is ‘live client’?</w:t>
      </w:r>
    </w:p>
    <w:p w:rsidR="00BE51F2" w:rsidRPr="00FE2408" w:rsidRDefault="00BE51F2" w:rsidP="005D078E">
      <w:pPr>
        <w:autoSpaceDE w:val="0"/>
        <w:autoSpaceDN w:val="0"/>
        <w:adjustRightInd w:val="0"/>
        <w:spacing w:after="0" w:line="480" w:lineRule="auto"/>
        <w:ind w:left="284"/>
        <w:jc w:val="both"/>
        <w:rPr>
          <w:rFonts w:ascii="Palatino Linotype" w:hAnsi="Palatino Linotype"/>
          <w:sz w:val="24"/>
          <w:szCs w:val="24"/>
        </w:rPr>
      </w:pPr>
      <w:r w:rsidRPr="00FE2408">
        <w:rPr>
          <w:rFonts w:ascii="Palatino Linotype" w:hAnsi="Palatino Linotype"/>
          <w:sz w:val="24"/>
          <w:szCs w:val="24"/>
        </w:rPr>
        <w:t xml:space="preserve">Live-client CLE is intensive, essentially one-on-one in nature, with an implicit expectation that (mostly) self-selecting students will do well as they apply legal theory, develop lawyering skills and build their confidence in solving the legal problems of real clients for whom they are responsible, under supervision. Live-client CLE entails a high staff-student ratio and collaborative learning environments so each student is motivated to improve and perform at their best. Students are so motivated because of the personal responsibility of working with </w:t>
      </w:r>
      <w:r w:rsidRPr="00FE2408">
        <w:rPr>
          <w:rFonts w:ascii="Palatino Linotype" w:hAnsi="Palatino Linotype"/>
          <w:sz w:val="24"/>
          <w:szCs w:val="24"/>
        </w:rPr>
        <w:lastRenderedPageBreak/>
        <w:t>and being accountable to clients, as opposed to software or other simulated accountability structures.</w:t>
      </w:r>
    </w:p>
    <w:p w:rsidR="00BE51F2" w:rsidRPr="00FE2408" w:rsidRDefault="00BE51F2" w:rsidP="005D078E">
      <w:pPr>
        <w:autoSpaceDE w:val="0"/>
        <w:autoSpaceDN w:val="0"/>
        <w:adjustRightInd w:val="0"/>
        <w:spacing w:after="0" w:line="480" w:lineRule="auto"/>
        <w:ind w:left="284"/>
        <w:jc w:val="both"/>
        <w:rPr>
          <w:rFonts w:ascii="Palatino Linotype" w:hAnsi="Palatino Linotype"/>
          <w:sz w:val="24"/>
          <w:szCs w:val="24"/>
        </w:rPr>
      </w:pPr>
      <w:r w:rsidRPr="00FE2408">
        <w:rPr>
          <w:rFonts w:ascii="Palatino Linotype" w:hAnsi="Palatino Linotype"/>
          <w:sz w:val="24"/>
          <w:szCs w:val="24"/>
        </w:rPr>
        <w:t xml:space="preserve"> </w:t>
      </w:r>
    </w:p>
    <w:tbl>
      <w:tblPr>
        <w:tblStyle w:val="LightList"/>
        <w:tblW w:w="4767" w:type="pct"/>
        <w:jc w:val="center"/>
        <w:tblLook w:val="0000" w:firstRow="0" w:lastRow="0" w:firstColumn="0" w:lastColumn="0" w:noHBand="0" w:noVBand="0"/>
      </w:tblPr>
      <w:tblGrid>
        <w:gridCol w:w="2719"/>
        <w:gridCol w:w="3080"/>
        <w:gridCol w:w="3012"/>
      </w:tblGrid>
      <w:tr w:rsidR="00BE51F2" w:rsidRPr="00FE2408" w:rsidTr="009E4C39">
        <w:trPr>
          <w:cnfStyle w:val="000000100000" w:firstRow="0" w:lastRow="0" w:firstColumn="0" w:lastColumn="0" w:oddVBand="0" w:evenVBand="0" w:oddHBand="1" w:evenHBand="0" w:firstRowFirstColumn="0" w:firstRowLastColumn="0" w:lastRowFirstColumn="0" w:lastRowLastColumn="0"/>
          <w:trHeight w:val="179"/>
          <w:jc w:val="center"/>
        </w:trPr>
        <w:tc>
          <w:tcPr>
            <w:cnfStyle w:val="000010000000" w:firstRow="0" w:lastRow="0" w:firstColumn="0" w:lastColumn="0" w:oddVBand="1" w:evenVBand="0" w:oddHBand="0" w:evenHBand="0" w:firstRowFirstColumn="0" w:firstRowLastColumn="0" w:lastRowFirstColumn="0" w:lastRowLastColumn="0"/>
            <w:tcW w:w="1543" w:type="pct"/>
            <w:shd w:val="clear" w:color="auto" w:fill="D9D9D9" w:themeFill="background1" w:themeFillShade="D9"/>
          </w:tcPr>
          <w:p w:rsidR="00BE51F2" w:rsidRPr="00FE2408" w:rsidRDefault="00BE51F2" w:rsidP="00AD51FB">
            <w:pPr>
              <w:autoSpaceDE w:val="0"/>
              <w:autoSpaceDN w:val="0"/>
              <w:adjustRightInd w:val="0"/>
              <w:spacing w:line="480" w:lineRule="auto"/>
              <w:ind w:left="113" w:right="113"/>
              <w:jc w:val="both"/>
              <w:rPr>
                <w:rFonts w:ascii="Palatino Linotype" w:hAnsi="Palatino Linotype"/>
                <w:sz w:val="24"/>
                <w:szCs w:val="24"/>
              </w:rPr>
            </w:pPr>
            <w:r w:rsidRPr="00FE2408">
              <w:rPr>
                <w:rFonts w:ascii="Palatino Linotype" w:hAnsi="Palatino Linotype"/>
                <w:b/>
                <w:bCs/>
                <w:sz w:val="24"/>
                <w:szCs w:val="24"/>
              </w:rPr>
              <w:t xml:space="preserve">Clinic Type </w:t>
            </w:r>
          </w:p>
        </w:tc>
        <w:tc>
          <w:tcPr>
            <w:tcW w:w="1748" w:type="pct"/>
            <w:shd w:val="clear" w:color="auto" w:fill="D9D9D9" w:themeFill="background1" w:themeFillShade="D9"/>
          </w:tcPr>
          <w:p w:rsidR="00BE51F2" w:rsidRPr="00FE2408" w:rsidRDefault="00BE51F2" w:rsidP="00AD51FB">
            <w:pPr>
              <w:autoSpaceDE w:val="0"/>
              <w:autoSpaceDN w:val="0"/>
              <w:adjustRightInd w:val="0"/>
              <w:spacing w:line="480" w:lineRule="auto"/>
              <w:ind w:left="113" w:right="113"/>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FE2408">
              <w:rPr>
                <w:rFonts w:ascii="Palatino Linotype" w:hAnsi="Palatino Linotype"/>
                <w:b/>
                <w:bCs/>
                <w:sz w:val="24"/>
                <w:szCs w:val="24"/>
              </w:rPr>
              <w:t xml:space="preserve">Definition </w:t>
            </w:r>
          </w:p>
        </w:tc>
        <w:tc>
          <w:tcPr>
            <w:cnfStyle w:val="000010000000" w:firstRow="0" w:lastRow="0" w:firstColumn="0" w:lastColumn="0" w:oddVBand="1" w:evenVBand="0" w:oddHBand="0" w:evenHBand="0" w:firstRowFirstColumn="0" w:firstRowLastColumn="0" w:lastRowFirstColumn="0" w:lastRowLastColumn="0"/>
            <w:tcW w:w="1709" w:type="pct"/>
            <w:shd w:val="clear" w:color="auto" w:fill="D9D9D9" w:themeFill="background1" w:themeFillShade="D9"/>
          </w:tcPr>
          <w:p w:rsidR="00BE51F2" w:rsidRPr="00FE2408" w:rsidRDefault="00BE51F2" w:rsidP="00AD51FB">
            <w:pPr>
              <w:autoSpaceDE w:val="0"/>
              <w:autoSpaceDN w:val="0"/>
              <w:adjustRightInd w:val="0"/>
              <w:spacing w:line="480" w:lineRule="auto"/>
              <w:ind w:left="113" w:right="113"/>
              <w:jc w:val="both"/>
              <w:rPr>
                <w:rFonts w:ascii="Palatino Linotype" w:hAnsi="Palatino Linotype"/>
                <w:sz w:val="24"/>
                <w:szCs w:val="24"/>
              </w:rPr>
            </w:pPr>
            <w:r w:rsidRPr="00FE2408">
              <w:rPr>
                <w:rFonts w:ascii="Palatino Linotype" w:hAnsi="Palatino Linotype"/>
                <w:b/>
                <w:bCs/>
                <w:sz w:val="24"/>
                <w:szCs w:val="24"/>
              </w:rPr>
              <w:t xml:space="preserve">Australian Example </w:t>
            </w:r>
          </w:p>
        </w:tc>
      </w:tr>
      <w:tr w:rsidR="00BE51F2" w:rsidRPr="00FE2408" w:rsidTr="009E4C39">
        <w:trPr>
          <w:trHeight w:val="380"/>
          <w:jc w:val="center"/>
        </w:trPr>
        <w:tc>
          <w:tcPr>
            <w:cnfStyle w:val="000010000000" w:firstRow="0" w:lastRow="0" w:firstColumn="0" w:lastColumn="0" w:oddVBand="1" w:evenVBand="0" w:oddHBand="0" w:evenHBand="0" w:firstRowFirstColumn="0" w:firstRowLastColumn="0" w:lastRowFirstColumn="0" w:lastRowLastColumn="0"/>
            <w:tcW w:w="1543" w:type="pct"/>
          </w:tcPr>
          <w:p w:rsidR="00BE51F2" w:rsidRPr="0035470C" w:rsidRDefault="00BE51F2" w:rsidP="00AD51FB">
            <w:pPr>
              <w:autoSpaceDE w:val="0"/>
              <w:autoSpaceDN w:val="0"/>
              <w:adjustRightInd w:val="0"/>
              <w:spacing w:line="276" w:lineRule="auto"/>
              <w:ind w:left="113" w:right="113"/>
              <w:rPr>
                <w:rFonts w:ascii="Palatino Linotype" w:hAnsi="Palatino Linotype"/>
              </w:rPr>
            </w:pPr>
            <w:r w:rsidRPr="0035470C">
              <w:rPr>
                <w:rFonts w:ascii="Palatino Linotype" w:hAnsi="Palatino Linotype"/>
              </w:rPr>
              <w:t>Wholly law school funded in-house live-client clinic</w:t>
            </w:r>
          </w:p>
        </w:tc>
        <w:tc>
          <w:tcPr>
            <w:tcW w:w="1748" w:type="pct"/>
          </w:tcPr>
          <w:p w:rsidR="00BE51F2" w:rsidRPr="0035470C" w:rsidRDefault="00BE51F2" w:rsidP="00AD51FB">
            <w:pPr>
              <w:autoSpaceDE w:val="0"/>
              <w:autoSpaceDN w:val="0"/>
              <w:adjustRightInd w:val="0"/>
              <w:spacing w:line="276" w:lineRule="auto"/>
              <w:ind w:left="113" w:right="113"/>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35470C">
              <w:rPr>
                <w:rFonts w:ascii="Palatino Linotype" w:hAnsi="Palatino Linotype"/>
              </w:rPr>
              <w:t>On campus, wholly funded and controlled by law school for student education</w:t>
            </w:r>
          </w:p>
        </w:tc>
        <w:tc>
          <w:tcPr>
            <w:cnfStyle w:val="000010000000" w:firstRow="0" w:lastRow="0" w:firstColumn="0" w:lastColumn="0" w:oddVBand="1" w:evenVBand="0" w:oddHBand="0" w:evenHBand="0" w:firstRowFirstColumn="0" w:firstRowLastColumn="0" w:lastRowFirstColumn="0" w:lastRowLastColumn="0"/>
            <w:tcW w:w="1709" w:type="pct"/>
          </w:tcPr>
          <w:p w:rsidR="00BE51F2" w:rsidRPr="0035470C" w:rsidRDefault="00BE51F2" w:rsidP="00AD51FB">
            <w:pPr>
              <w:autoSpaceDE w:val="0"/>
              <w:autoSpaceDN w:val="0"/>
              <w:adjustRightInd w:val="0"/>
              <w:spacing w:line="276" w:lineRule="auto"/>
              <w:ind w:left="113" w:right="113"/>
              <w:rPr>
                <w:rFonts w:ascii="Palatino Linotype" w:hAnsi="Palatino Linotype"/>
              </w:rPr>
            </w:pPr>
            <w:r w:rsidRPr="0035470C">
              <w:rPr>
                <w:rFonts w:ascii="Palatino Linotype" w:hAnsi="Palatino Linotype"/>
              </w:rPr>
              <w:t>University of South Australia Legal Advice Clinic</w:t>
            </w:r>
          </w:p>
        </w:tc>
      </w:tr>
      <w:tr w:rsidR="00BE51F2" w:rsidRPr="00FE2408" w:rsidTr="009E4C39">
        <w:trPr>
          <w:cnfStyle w:val="000000100000" w:firstRow="0" w:lastRow="0" w:firstColumn="0" w:lastColumn="0" w:oddVBand="0" w:evenVBand="0" w:oddHBand="1" w:evenHBand="0" w:firstRowFirstColumn="0" w:firstRowLastColumn="0" w:lastRowFirstColumn="0" w:lastRowLastColumn="0"/>
          <w:trHeight w:val="380"/>
          <w:jc w:val="center"/>
        </w:trPr>
        <w:tc>
          <w:tcPr>
            <w:cnfStyle w:val="000010000000" w:firstRow="0" w:lastRow="0" w:firstColumn="0" w:lastColumn="0" w:oddVBand="1" w:evenVBand="0" w:oddHBand="0" w:evenHBand="0" w:firstRowFirstColumn="0" w:firstRowLastColumn="0" w:lastRowFirstColumn="0" w:lastRowLastColumn="0"/>
            <w:tcW w:w="1543" w:type="pct"/>
          </w:tcPr>
          <w:p w:rsidR="00BE51F2" w:rsidRPr="0035470C" w:rsidRDefault="00BE51F2" w:rsidP="00AD51FB">
            <w:pPr>
              <w:autoSpaceDE w:val="0"/>
              <w:autoSpaceDN w:val="0"/>
              <w:adjustRightInd w:val="0"/>
              <w:spacing w:line="276" w:lineRule="auto"/>
              <w:ind w:left="113" w:right="113"/>
              <w:rPr>
                <w:rFonts w:ascii="Palatino Linotype" w:hAnsi="Palatino Linotype"/>
              </w:rPr>
            </w:pPr>
            <w:r w:rsidRPr="0035470C">
              <w:rPr>
                <w:rFonts w:ascii="Palatino Linotype" w:hAnsi="Palatino Linotype"/>
              </w:rPr>
              <w:t xml:space="preserve">In-house live-client clinic (some external funding) </w:t>
            </w:r>
          </w:p>
        </w:tc>
        <w:tc>
          <w:tcPr>
            <w:tcW w:w="1748" w:type="pct"/>
          </w:tcPr>
          <w:p w:rsidR="00BE51F2" w:rsidRPr="0035470C" w:rsidRDefault="00BE51F2" w:rsidP="00AD51FB">
            <w:pPr>
              <w:autoSpaceDE w:val="0"/>
              <w:autoSpaceDN w:val="0"/>
              <w:adjustRightInd w:val="0"/>
              <w:spacing w:line="276" w:lineRule="auto"/>
              <w:ind w:left="113" w:right="113"/>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35470C">
              <w:rPr>
                <w:rFonts w:ascii="Palatino Linotype" w:hAnsi="Palatino Linotype"/>
              </w:rPr>
              <w:t xml:space="preserve">Substantially funded, substantially controlled by university, for student learning and client service </w:t>
            </w:r>
          </w:p>
        </w:tc>
        <w:tc>
          <w:tcPr>
            <w:cnfStyle w:val="000010000000" w:firstRow="0" w:lastRow="0" w:firstColumn="0" w:lastColumn="0" w:oddVBand="1" w:evenVBand="0" w:oddHBand="0" w:evenHBand="0" w:firstRowFirstColumn="0" w:firstRowLastColumn="0" w:lastRowFirstColumn="0" w:lastRowLastColumn="0"/>
            <w:tcW w:w="1709" w:type="pct"/>
          </w:tcPr>
          <w:p w:rsidR="00BE51F2" w:rsidRPr="0035470C" w:rsidRDefault="00BE51F2" w:rsidP="00AD51FB">
            <w:pPr>
              <w:autoSpaceDE w:val="0"/>
              <w:autoSpaceDN w:val="0"/>
              <w:adjustRightInd w:val="0"/>
              <w:spacing w:line="276" w:lineRule="auto"/>
              <w:ind w:left="113" w:right="113"/>
              <w:rPr>
                <w:rFonts w:ascii="Palatino Linotype" w:hAnsi="Palatino Linotype"/>
              </w:rPr>
            </w:pPr>
            <w:r w:rsidRPr="0035470C">
              <w:rPr>
                <w:rFonts w:ascii="Palatino Linotype" w:hAnsi="Palatino Linotype"/>
              </w:rPr>
              <w:t xml:space="preserve">Kingsford Legal Centre, UNSW </w:t>
            </w:r>
          </w:p>
        </w:tc>
      </w:tr>
      <w:tr w:rsidR="00BE51F2" w:rsidRPr="00FE2408" w:rsidTr="009E4C39">
        <w:trPr>
          <w:trHeight w:val="380"/>
          <w:jc w:val="center"/>
        </w:trPr>
        <w:tc>
          <w:tcPr>
            <w:cnfStyle w:val="000010000000" w:firstRow="0" w:lastRow="0" w:firstColumn="0" w:lastColumn="0" w:oddVBand="1" w:evenVBand="0" w:oddHBand="0" w:evenHBand="0" w:firstRowFirstColumn="0" w:firstRowLastColumn="0" w:lastRowFirstColumn="0" w:lastRowLastColumn="0"/>
            <w:tcW w:w="1543" w:type="pct"/>
          </w:tcPr>
          <w:p w:rsidR="00BE51F2" w:rsidRPr="0035470C" w:rsidRDefault="00BE51F2" w:rsidP="00AD51FB">
            <w:pPr>
              <w:autoSpaceDE w:val="0"/>
              <w:autoSpaceDN w:val="0"/>
              <w:adjustRightInd w:val="0"/>
              <w:spacing w:line="276" w:lineRule="auto"/>
              <w:ind w:left="113" w:right="113"/>
              <w:rPr>
                <w:rFonts w:ascii="Palatino Linotype" w:hAnsi="Palatino Linotype"/>
              </w:rPr>
            </w:pPr>
            <w:r w:rsidRPr="0035470C">
              <w:rPr>
                <w:rFonts w:ascii="Palatino Linotype" w:hAnsi="Palatino Linotype"/>
              </w:rPr>
              <w:t xml:space="preserve">External* live-client clinic (‘agency clinic’) </w:t>
            </w:r>
          </w:p>
        </w:tc>
        <w:tc>
          <w:tcPr>
            <w:tcW w:w="1748" w:type="pct"/>
          </w:tcPr>
          <w:p w:rsidR="00BE51F2" w:rsidRPr="0035470C" w:rsidRDefault="00BE51F2" w:rsidP="00AD51FB">
            <w:pPr>
              <w:autoSpaceDE w:val="0"/>
              <w:autoSpaceDN w:val="0"/>
              <w:adjustRightInd w:val="0"/>
              <w:spacing w:line="276" w:lineRule="auto"/>
              <w:ind w:left="113" w:right="113"/>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35470C">
              <w:rPr>
                <w:rFonts w:ascii="Palatino Linotype" w:hAnsi="Palatino Linotype"/>
              </w:rPr>
              <w:t xml:space="preserve">University students placed in an agency, under substantial supervision of agency, assessed by university, with input from placement </w:t>
            </w:r>
          </w:p>
        </w:tc>
        <w:tc>
          <w:tcPr>
            <w:cnfStyle w:val="000010000000" w:firstRow="0" w:lastRow="0" w:firstColumn="0" w:lastColumn="0" w:oddVBand="1" w:evenVBand="0" w:oddHBand="0" w:evenHBand="0" w:firstRowFirstColumn="0" w:firstRowLastColumn="0" w:lastRowFirstColumn="0" w:lastRowLastColumn="0"/>
            <w:tcW w:w="1709" w:type="pct"/>
          </w:tcPr>
          <w:p w:rsidR="00BE51F2" w:rsidRPr="0035470C" w:rsidRDefault="00BE51F2" w:rsidP="00AD51FB">
            <w:pPr>
              <w:autoSpaceDE w:val="0"/>
              <w:autoSpaceDN w:val="0"/>
              <w:adjustRightInd w:val="0"/>
              <w:spacing w:line="276" w:lineRule="auto"/>
              <w:ind w:left="113" w:right="113"/>
              <w:rPr>
                <w:rFonts w:ascii="Palatino Linotype" w:hAnsi="Palatino Linotype"/>
              </w:rPr>
            </w:pPr>
            <w:r w:rsidRPr="0035470C">
              <w:rPr>
                <w:rFonts w:ascii="Palatino Linotype" w:hAnsi="Palatino Linotype"/>
              </w:rPr>
              <w:t xml:space="preserve">Springvale Monash Legal Service, Monash University </w:t>
            </w:r>
          </w:p>
        </w:tc>
      </w:tr>
      <w:tr w:rsidR="00BE51F2" w:rsidRPr="00FE2408" w:rsidTr="009E4C39">
        <w:trPr>
          <w:cnfStyle w:val="000000100000" w:firstRow="0" w:lastRow="0" w:firstColumn="0" w:lastColumn="0" w:oddVBand="0" w:evenVBand="0" w:oddHBand="1" w:evenHBand="0" w:firstRowFirstColumn="0" w:firstRowLastColumn="0" w:lastRowFirstColumn="0" w:lastRowLastColumn="0"/>
          <w:trHeight w:val="380"/>
          <w:jc w:val="center"/>
        </w:trPr>
        <w:tc>
          <w:tcPr>
            <w:cnfStyle w:val="000010000000" w:firstRow="0" w:lastRow="0" w:firstColumn="0" w:lastColumn="0" w:oddVBand="1" w:evenVBand="0" w:oddHBand="0" w:evenHBand="0" w:firstRowFirstColumn="0" w:firstRowLastColumn="0" w:lastRowFirstColumn="0" w:lastRowLastColumn="0"/>
            <w:tcW w:w="1543" w:type="pct"/>
          </w:tcPr>
          <w:p w:rsidR="00BE51F2" w:rsidRPr="0035470C" w:rsidRDefault="00BE51F2" w:rsidP="00AD51FB">
            <w:pPr>
              <w:autoSpaceDE w:val="0"/>
              <w:autoSpaceDN w:val="0"/>
              <w:adjustRightInd w:val="0"/>
              <w:spacing w:line="276" w:lineRule="auto"/>
              <w:ind w:left="113" w:right="113"/>
              <w:rPr>
                <w:rFonts w:ascii="Palatino Linotype" w:hAnsi="Palatino Linotype"/>
              </w:rPr>
            </w:pPr>
            <w:r w:rsidRPr="0035470C">
              <w:rPr>
                <w:rFonts w:ascii="Palatino Linotype" w:hAnsi="Palatino Linotype"/>
              </w:rPr>
              <w:t xml:space="preserve">Externships* (includes ‘internships’ and ‘placements’) </w:t>
            </w:r>
          </w:p>
        </w:tc>
        <w:tc>
          <w:tcPr>
            <w:tcW w:w="1748" w:type="pct"/>
          </w:tcPr>
          <w:p w:rsidR="00BE51F2" w:rsidRPr="0035470C" w:rsidRDefault="00BE51F2" w:rsidP="00AD51FB">
            <w:pPr>
              <w:autoSpaceDE w:val="0"/>
              <w:autoSpaceDN w:val="0"/>
              <w:adjustRightInd w:val="0"/>
              <w:spacing w:line="276" w:lineRule="auto"/>
              <w:ind w:left="113" w:right="113"/>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35470C">
              <w:rPr>
                <w:rFonts w:ascii="Palatino Linotype" w:hAnsi="Palatino Linotype"/>
              </w:rPr>
              <w:t xml:space="preserve">University students placed in an agency, under supervision of agency, assessed by university, with input from placement </w:t>
            </w:r>
          </w:p>
        </w:tc>
        <w:tc>
          <w:tcPr>
            <w:cnfStyle w:val="000010000000" w:firstRow="0" w:lastRow="0" w:firstColumn="0" w:lastColumn="0" w:oddVBand="1" w:evenVBand="0" w:oddHBand="0" w:evenHBand="0" w:firstRowFirstColumn="0" w:firstRowLastColumn="0" w:lastRowFirstColumn="0" w:lastRowLastColumn="0"/>
            <w:tcW w:w="1709" w:type="pct"/>
          </w:tcPr>
          <w:p w:rsidR="00BE51F2" w:rsidRPr="0035470C" w:rsidRDefault="00BE51F2" w:rsidP="00AD51FB">
            <w:pPr>
              <w:autoSpaceDE w:val="0"/>
              <w:autoSpaceDN w:val="0"/>
              <w:adjustRightInd w:val="0"/>
              <w:spacing w:line="276" w:lineRule="auto"/>
              <w:ind w:left="113" w:right="113"/>
              <w:rPr>
                <w:rFonts w:ascii="Palatino Linotype" w:hAnsi="Palatino Linotype"/>
              </w:rPr>
            </w:pPr>
            <w:r w:rsidRPr="0035470C">
              <w:rPr>
                <w:rFonts w:ascii="Palatino Linotype" w:hAnsi="Palatino Linotype"/>
              </w:rPr>
              <w:t>Griffith University Semester in Practice.</w:t>
            </w:r>
            <w:r w:rsidRPr="0035470C">
              <w:rPr>
                <w:rStyle w:val="FootnoteReference"/>
                <w:rFonts w:ascii="Palatino Linotype" w:hAnsi="Palatino Linotype"/>
              </w:rPr>
              <w:footnoteReference w:id="3"/>
            </w:r>
            <w:r w:rsidRPr="0035470C">
              <w:rPr>
                <w:rFonts w:ascii="Palatino Linotype" w:hAnsi="Palatino Linotype"/>
              </w:rPr>
              <w:t xml:space="preserve"> </w:t>
            </w:r>
          </w:p>
        </w:tc>
      </w:tr>
    </w:tbl>
    <w:p w:rsidR="00BE51F2" w:rsidRPr="00FE2408" w:rsidRDefault="00BE51F2" w:rsidP="005D078E">
      <w:pPr>
        <w:shd w:val="clear" w:color="auto" w:fill="FFFFFF"/>
        <w:spacing w:after="0" w:line="480" w:lineRule="auto"/>
        <w:ind w:left="284"/>
        <w:jc w:val="both"/>
        <w:rPr>
          <w:rFonts w:ascii="Palatino Linotype" w:eastAsia="Times New Roman" w:hAnsi="Palatino Linotype"/>
          <w:sz w:val="24"/>
          <w:szCs w:val="24"/>
        </w:rPr>
      </w:pPr>
    </w:p>
    <w:p w:rsidR="00BE51F2" w:rsidRPr="00FE2408" w:rsidRDefault="00BE51F2" w:rsidP="005D078E">
      <w:pPr>
        <w:shd w:val="clear" w:color="auto" w:fill="FFFFFF"/>
        <w:spacing w:before="100" w:beforeAutospacing="1" w:after="100" w:afterAutospacing="1" w:line="480" w:lineRule="auto"/>
        <w:ind w:left="284"/>
        <w:jc w:val="both"/>
        <w:rPr>
          <w:rFonts w:ascii="Palatino Linotype" w:eastAsia="Times New Roman" w:hAnsi="Palatino Linotype"/>
          <w:sz w:val="24"/>
          <w:szCs w:val="24"/>
        </w:rPr>
      </w:pPr>
      <w:r w:rsidRPr="00FE2408">
        <w:rPr>
          <w:rFonts w:ascii="Palatino Linotype" w:eastAsia="Times New Roman" w:hAnsi="Palatino Linotype"/>
          <w:sz w:val="24"/>
          <w:szCs w:val="24"/>
        </w:rPr>
        <w:t xml:space="preserve">Any of these clinic types can accommodate specialised legal service delivery, as we describe further below. In practice, it tends to be the externships (as above*) in the Australian setting that provide a natural fit for specialised delivery, because the external agencies have most often been established to offer such specialised services. But it is important that we first emphasise something which the </w:t>
      </w:r>
      <w:r w:rsidRPr="00FE2408">
        <w:rPr>
          <w:rFonts w:ascii="Palatino Linotype" w:eastAsia="Times New Roman" w:hAnsi="Palatino Linotype"/>
          <w:i/>
          <w:sz w:val="24"/>
          <w:szCs w:val="24"/>
        </w:rPr>
        <w:t xml:space="preserve">Best </w:t>
      </w:r>
      <w:r w:rsidRPr="00FE2408">
        <w:rPr>
          <w:rFonts w:ascii="Palatino Linotype" w:eastAsia="Times New Roman" w:hAnsi="Palatino Linotype"/>
          <w:i/>
          <w:sz w:val="24"/>
          <w:szCs w:val="24"/>
        </w:rPr>
        <w:lastRenderedPageBreak/>
        <w:t>Practices</w:t>
      </w:r>
      <w:r w:rsidRPr="00FE2408">
        <w:rPr>
          <w:rFonts w:ascii="Palatino Linotype" w:eastAsia="Times New Roman" w:hAnsi="Palatino Linotype"/>
          <w:sz w:val="24"/>
          <w:szCs w:val="24"/>
        </w:rPr>
        <w:t xml:space="preserve">’ research underlined: that the nature of </w:t>
      </w:r>
      <w:r w:rsidRPr="00FE2408">
        <w:rPr>
          <w:rFonts w:ascii="Palatino Linotype" w:eastAsia="Times New Roman" w:hAnsi="Palatino Linotype"/>
          <w:i/>
          <w:sz w:val="24"/>
          <w:szCs w:val="24"/>
        </w:rPr>
        <w:t>supervision</w:t>
      </w:r>
      <w:r w:rsidRPr="00FE2408">
        <w:rPr>
          <w:rFonts w:ascii="Palatino Linotype" w:eastAsia="Times New Roman" w:hAnsi="Palatino Linotype"/>
          <w:sz w:val="24"/>
          <w:szCs w:val="24"/>
        </w:rPr>
        <w:t xml:space="preserve"> is the key linking ingredient between all types of clinic and the main reason why a ‘set and forget’ approach to externships (be they general practice or specialised) cannot be tolerated.   </w:t>
      </w:r>
    </w:p>
    <w:p w:rsidR="00BE51F2" w:rsidRPr="00FE2408" w:rsidRDefault="00BE51F2" w:rsidP="005D078E">
      <w:pPr>
        <w:shd w:val="clear" w:color="auto" w:fill="FFFFFF"/>
        <w:spacing w:before="100" w:beforeAutospacing="1" w:after="100" w:afterAutospacing="1" w:line="480" w:lineRule="auto"/>
        <w:ind w:left="284"/>
        <w:jc w:val="both"/>
        <w:rPr>
          <w:rFonts w:ascii="Palatino Linotype" w:eastAsia="Times New Roman" w:hAnsi="Palatino Linotype"/>
          <w:sz w:val="24"/>
          <w:szCs w:val="24"/>
        </w:rPr>
      </w:pPr>
      <w:r w:rsidRPr="00FE2408">
        <w:rPr>
          <w:rFonts w:ascii="Palatino Linotype" w:eastAsia="Times New Roman" w:hAnsi="Palatino Linotype"/>
          <w:sz w:val="24"/>
          <w:szCs w:val="24"/>
        </w:rPr>
        <w:t xml:space="preserve">The </w:t>
      </w:r>
      <w:r w:rsidRPr="00FE2408">
        <w:rPr>
          <w:rFonts w:ascii="Palatino Linotype" w:eastAsia="Times New Roman" w:hAnsi="Palatino Linotype"/>
          <w:i/>
          <w:sz w:val="24"/>
          <w:szCs w:val="24"/>
        </w:rPr>
        <w:t>Best Practices</w:t>
      </w:r>
      <w:r w:rsidRPr="00FE2408">
        <w:rPr>
          <w:rFonts w:ascii="Palatino Linotype" w:eastAsia="Times New Roman" w:hAnsi="Palatino Linotype"/>
          <w:sz w:val="24"/>
          <w:szCs w:val="24"/>
        </w:rPr>
        <w:t xml:space="preserve"> contain a number of specific practices that deal with this key requirement for a successful externship: the quality of supervision.</w:t>
      </w:r>
    </w:p>
    <w:p w:rsidR="00BE51F2" w:rsidRPr="00FE2408" w:rsidRDefault="00BE51F2" w:rsidP="005D078E">
      <w:pPr>
        <w:shd w:val="clear" w:color="auto" w:fill="FFFFFF"/>
        <w:spacing w:after="0" w:line="480" w:lineRule="auto"/>
        <w:ind w:left="284"/>
        <w:jc w:val="both"/>
        <w:rPr>
          <w:rFonts w:ascii="Palatino Linotype" w:eastAsia="Times New Roman" w:hAnsi="Palatino Linotype"/>
          <w:i/>
          <w:sz w:val="24"/>
          <w:szCs w:val="24"/>
        </w:rPr>
      </w:pPr>
      <w:r w:rsidRPr="00FE2408">
        <w:rPr>
          <w:rFonts w:ascii="Palatino Linotype" w:eastAsia="Times New Roman" w:hAnsi="Palatino Linotype"/>
          <w:i/>
          <w:sz w:val="24"/>
          <w:szCs w:val="24"/>
        </w:rPr>
        <w:t>Supervision</w:t>
      </w:r>
    </w:p>
    <w:p w:rsidR="00BE51F2" w:rsidRPr="00FE2408" w:rsidRDefault="00BE51F2" w:rsidP="005D078E">
      <w:pPr>
        <w:shd w:val="clear" w:color="auto" w:fill="FFFFFF"/>
        <w:spacing w:after="0" w:line="480" w:lineRule="auto"/>
        <w:ind w:left="284"/>
        <w:jc w:val="both"/>
        <w:rPr>
          <w:rFonts w:ascii="Palatino Linotype" w:eastAsia="Times New Roman" w:hAnsi="Palatino Linotype"/>
          <w:sz w:val="24"/>
          <w:szCs w:val="24"/>
        </w:rPr>
      </w:pPr>
      <w:r w:rsidRPr="00FE2408">
        <w:rPr>
          <w:rFonts w:ascii="Palatino Linotype" w:eastAsia="Times New Roman" w:hAnsi="Palatino Linotype"/>
          <w:sz w:val="24"/>
          <w:szCs w:val="24"/>
        </w:rPr>
        <w:t>The agreed principles of supervision include several which frame the ideal relationship between an external supervisor and their students:</w:t>
      </w:r>
    </w:p>
    <w:p w:rsidR="00BE51F2" w:rsidRPr="00FE2408" w:rsidRDefault="00BE51F2" w:rsidP="005D078E">
      <w:pPr>
        <w:pStyle w:val="ListParagraph"/>
        <w:numPr>
          <w:ilvl w:val="0"/>
          <w:numId w:val="6"/>
        </w:numPr>
        <w:autoSpaceDE w:val="0"/>
        <w:autoSpaceDN w:val="0"/>
        <w:adjustRightInd w:val="0"/>
        <w:spacing w:after="0" w:line="480" w:lineRule="auto"/>
        <w:jc w:val="both"/>
        <w:rPr>
          <w:rFonts w:ascii="Palatino Linotype" w:hAnsi="Palatino Linotype"/>
          <w:sz w:val="24"/>
          <w:szCs w:val="24"/>
        </w:rPr>
      </w:pPr>
      <w:r w:rsidRPr="00FE2408">
        <w:rPr>
          <w:rFonts w:ascii="Palatino Linotype" w:hAnsi="Palatino Linotype"/>
          <w:bCs/>
          <w:sz w:val="24"/>
          <w:szCs w:val="24"/>
        </w:rPr>
        <w:t xml:space="preserve">Supervision arrangements are designed to assist students to link theory and practice and to work collaboratively with supervisors in addressing clients’ needs. </w:t>
      </w:r>
    </w:p>
    <w:p w:rsidR="00BE51F2" w:rsidRPr="00FE2408" w:rsidRDefault="00BE51F2" w:rsidP="005D078E">
      <w:pPr>
        <w:pStyle w:val="ListParagraph"/>
        <w:numPr>
          <w:ilvl w:val="0"/>
          <w:numId w:val="6"/>
        </w:numPr>
        <w:autoSpaceDE w:val="0"/>
        <w:autoSpaceDN w:val="0"/>
        <w:adjustRightInd w:val="0"/>
        <w:spacing w:after="0" w:line="480" w:lineRule="auto"/>
        <w:jc w:val="both"/>
        <w:rPr>
          <w:rFonts w:ascii="Palatino Linotype" w:hAnsi="Palatino Linotype"/>
          <w:sz w:val="24"/>
          <w:szCs w:val="24"/>
        </w:rPr>
      </w:pPr>
      <w:r w:rsidRPr="00FE2408">
        <w:rPr>
          <w:rFonts w:ascii="Palatino Linotype" w:hAnsi="Palatino Linotype"/>
          <w:bCs/>
          <w:sz w:val="24"/>
          <w:szCs w:val="24"/>
        </w:rPr>
        <w:t xml:space="preserve">Supervision is structured, with ground rules and clear learning objectives. As a system, it ensures students’ right to supervision and feedback, together with support and respect for both supervisees and supervisors. </w:t>
      </w:r>
    </w:p>
    <w:p w:rsidR="00BE51F2" w:rsidRPr="00FE2408" w:rsidRDefault="00BE51F2" w:rsidP="005D078E">
      <w:pPr>
        <w:pStyle w:val="ListParagraph"/>
        <w:numPr>
          <w:ilvl w:val="0"/>
          <w:numId w:val="6"/>
        </w:numPr>
        <w:autoSpaceDE w:val="0"/>
        <w:autoSpaceDN w:val="0"/>
        <w:adjustRightInd w:val="0"/>
        <w:spacing w:after="0" w:line="480" w:lineRule="auto"/>
        <w:jc w:val="both"/>
        <w:rPr>
          <w:rFonts w:ascii="Palatino Linotype" w:hAnsi="Palatino Linotype"/>
          <w:sz w:val="24"/>
          <w:szCs w:val="24"/>
        </w:rPr>
      </w:pPr>
      <w:r w:rsidRPr="00FE2408">
        <w:rPr>
          <w:rFonts w:ascii="Palatino Linotype" w:hAnsi="Palatino Linotype"/>
          <w:bCs/>
          <w:sz w:val="24"/>
          <w:szCs w:val="24"/>
        </w:rPr>
        <w:t xml:space="preserve">Supervisors meet with each student on a regular basis as well as have the capacity to respond to unpredictable events. </w:t>
      </w:r>
    </w:p>
    <w:p w:rsidR="00BE51F2" w:rsidRPr="00FE2408" w:rsidRDefault="00BE51F2" w:rsidP="005D078E">
      <w:pPr>
        <w:pStyle w:val="ListParagraph"/>
        <w:numPr>
          <w:ilvl w:val="0"/>
          <w:numId w:val="6"/>
        </w:numPr>
        <w:autoSpaceDE w:val="0"/>
        <w:autoSpaceDN w:val="0"/>
        <w:adjustRightInd w:val="0"/>
        <w:spacing w:after="0" w:line="480" w:lineRule="auto"/>
        <w:jc w:val="both"/>
        <w:rPr>
          <w:rFonts w:ascii="Palatino Linotype" w:hAnsi="Palatino Linotype"/>
          <w:bCs/>
          <w:sz w:val="24"/>
          <w:szCs w:val="24"/>
        </w:rPr>
      </w:pPr>
      <w:r w:rsidRPr="00FE2408">
        <w:rPr>
          <w:rFonts w:ascii="Palatino Linotype" w:hAnsi="Palatino Linotype"/>
          <w:bCs/>
          <w:sz w:val="24"/>
          <w:szCs w:val="24"/>
        </w:rPr>
        <w:t>Development of a strong supervision relationship relies on supervisors as role models.</w:t>
      </w:r>
      <w:r w:rsidRPr="00FE2408">
        <w:rPr>
          <w:rStyle w:val="FootnoteReference"/>
          <w:rFonts w:ascii="Palatino Linotype" w:hAnsi="Palatino Linotype"/>
          <w:bCs/>
          <w:sz w:val="24"/>
          <w:szCs w:val="24"/>
        </w:rPr>
        <w:footnoteReference w:id="4"/>
      </w:r>
      <w:r w:rsidRPr="00FE2408">
        <w:rPr>
          <w:rFonts w:ascii="Palatino Linotype" w:hAnsi="Palatino Linotype"/>
          <w:bCs/>
          <w:sz w:val="24"/>
          <w:szCs w:val="24"/>
        </w:rPr>
        <w:t xml:space="preserve"> </w:t>
      </w:r>
    </w:p>
    <w:p w:rsidR="00BE51F2" w:rsidRPr="00FE2408" w:rsidRDefault="00BE51F2" w:rsidP="005D078E">
      <w:pPr>
        <w:autoSpaceDE w:val="0"/>
        <w:autoSpaceDN w:val="0"/>
        <w:adjustRightInd w:val="0"/>
        <w:spacing w:after="0" w:line="480" w:lineRule="auto"/>
        <w:ind w:left="284"/>
        <w:jc w:val="both"/>
        <w:rPr>
          <w:rFonts w:ascii="Palatino Linotype" w:hAnsi="Palatino Linotype"/>
          <w:bCs/>
          <w:sz w:val="24"/>
          <w:szCs w:val="24"/>
        </w:rPr>
      </w:pPr>
      <w:r w:rsidRPr="00FE2408">
        <w:rPr>
          <w:rFonts w:ascii="Palatino Linotype" w:hAnsi="Palatino Linotype"/>
          <w:bCs/>
          <w:sz w:val="24"/>
          <w:szCs w:val="24"/>
        </w:rPr>
        <w:lastRenderedPageBreak/>
        <w:t xml:space="preserve">Externship supervisors, just as much as their in-house colleagues, need these attributes, according to the </w:t>
      </w:r>
      <w:r w:rsidRPr="00FE2408">
        <w:rPr>
          <w:rFonts w:ascii="Palatino Linotype" w:hAnsi="Palatino Linotype"/>
          <w:bCs/>
          <w:i/>
          <w:sz w:val="24"/>
          <w:szCs w:val="24"/>
        </w:rPr>
        <w:t>Best Practices</w:t>
      </w:r>
      <w:r w:rsidRPr="00FE2408">
        <w:rPr>
          <w:rFonts w:ascii="Palatino Linotype" w:hAnsi="Palatino Linotype"/>
          <w:bCs/>
          <w:sz w:val="24"/>
          <w:szCs w:val="24"/>
        </w:rPr>
        <w:t>:</w:t>
      </w:r>
    </w:p>
    <w:p w:rsidR="00BE51F2" w:rsidRPr="00FE2408" w:rsidRDefault="00BE51F2" w:rsidP="005D078E">
      <w:pPr>
        <w:pStyle w:val="Default"/>
        <w:spacing w:after="15" w:line="480" w:lineRule="auto"/>
        <w:ind w:left="284"/>
        <w:jc w:val="both"/>
        <w:rPr>
          <w:rFonts w:ascii="Palatino Linotype" w:hAnsi="Palatino Linotype" w:cstheme="minorBidi"/>
          <w:color w:val="auto"/>
        </w:rPr>
      </w:pPr>
      <w:r w:rsidRPr="00FE2408">
        <w:rPr>
          <w:rFonts w:ascii="Palatino Linotype" w:hAnsi="Palatino Linotype" w:cstheme="minorBidi"/>
          <w:color w:val="auto"/>
        </w:rPr>
        <w:t xml:space="preserve">Supervisors also need to have particular personal attributes. They should - </w:t>
      </w:r>
    </w:p>
    <w:p w:rsidR="00BE51F2" w:rsidRPr="00FE2408" w:rsidRDefault="00BE51F2" w:rsidP="005D078E">
      <w:pPr>
        <w:pStyle w:val="Default"/>
        <w:spacing w:after="15" w:line="480" w:lineRule="auto"/>
        <w:ind w:left="720"/>
        <w:jc w:val="both"/>
        <w:rPr>
          <w:rFonts w:ascii="Palatino Linotype" w:hAnsi="Palatino Linotype" w:cstheme="minorBidi"/>
          <w:color w:val="auto"/>
        </w:rPr>
      </w:pPr>
      <w:r w:rsidRPr="00FE2408">
        <w:rPr>
          <w:rFonts w:ascii="Palatino Linotype" w:hAnsi="Palatino Linotype" w:cstheme="minorBidi"/>
          <w:color w:val="auto"/>
        </w:rPr>
        <w:t xml:space="preserve">• be able, both as teachers and practitioners; </w:t>
      </w:r>
    </w:p>
    <w:p w:rsidR="00BE51F2" w:rsidRPr="00FE2408" w:rsidRDefault="00BE51F2" w:rsidP="005D078E">
      <w:pPr>
        <w:pStyle w:val="Default"/>
        <w:spacing w:after="15" w:line="480" w:lineRule="auto"/>
        <w:ind w:left="720"/>
        <w:jc w:val="both"/>
        <w:rPr>
          <w:rFonts w:ascii="Palatino Linotype" w:hAnsi="Palatino Linotype" w:cstheme="minorBidi"/>
          <w:color w:val="auto"/>
        </w:rPr>
      </w:pPr>
      <w:r w:rsidRPr="00FE2408">
        <w:rPr>
          <w:rFonts w:ascii="Palatino Linotype" w:hAnsi="Palatino Linotype" w:cstheme="minorBidi"/>
          <w:color w:val="auto"/>
        </w:rPr>
        <w:t xml:space="preserve">• model constructive work relationships; </w:t>
      </w:r>
    </w:p>
    <w:p w:rsidR="00BE51F2" w:rsidRPr="00FE2408" w:rsidRDefault="00BE51F2" w:rsidP="005D078E">
      <w:pPr>
        <w:pStyle w:val="Default"/>
        <w:spacing w:after="15" w:line="480" w:lineRule="auto"/>
        <w:ind w:left="720"/>
        <w:jc w:val="both"/>
        <w:rPr>
          <w:rFonts w:ascii="Palatino Linotype" w:hAnsi="Palatino Linotype" w:cstheme="minorBidi"/>
          <w:color w:val="auto"/>
        </w:rPr>
      </w:pPr>
      <w:r w:rsidRPr="00FE2408">
        <w:rPr>
          <w:rFonts w:ascii="Palatino Linotype" w:hAnsi="Palatino Linotype" w:cstheme="minorBidi"/>
          <w:color w:val="auto"/>
        </w:rPr>
        <w:t xml:space="preserve">• provide feedback and constructive criticism (see ‘feedback’ below); </w:t>
      </w:r>
    </w:p>
    <w:p w:rsidR="00BE51F2" w:rsidRPr="00FE2408" w:rsidRDefault="00BE51F2" w:rsidP="005D078E">
      <w:pPr>
        <w:pStyle w:val="Default"/>
        <w:spacing w:after="15" w:line="480" w:lineRule="auto"/>
        <w:ind w:left="720"/>
        <w:jc w:val="both"/>
        <w:rPr>
          <w:rFonts w:ascii="Palatino Linotype" w:hAnsi="Palatino Linotype" w:cstheme="minorBidi"/>
          <w:color w:val="auto"/>
        </w:rPr>
      </w:pPr>
      <w:r w:rsidRPr="00FE2408">
        <w:rPr>
          <w:rFonts w:ascii="Palatino Linotype" w:hAnsi="Palatino Linotype" w:cstheme="minorBidi"/>
          <w:color w:val="auto"/>
        </w:rPr>
        <w:t xml:space="preserve">• be available, in that they are co-located with the students or are able to meaningfully interact through use of technology; </w:t>
      </w:r>
    </w:p>
    <w:p w:rsidR="00BE51F2" w:rsidRPr="00FE2408" w:rsidRDefault="00BE51F2" w:rsidP="005D078E">
      <w:pPr>
        <w:pStyle w:val="Default"/>
        <w:spacing w:after="15" w:line="480" w:lineRule="auto"/>
        <w:ind w:left="720"/>
        <w:jc w:val="both"/>
        <w:rPr>
          <w:rFonts w:ascii="Palatino Linotype" w:hAnsi="Palatino Linotype" w:cstheme="minorBidi"/>
          <w:color w:val="auto"/>
        </w:rPr>
      </w:pPr>
      <w:r w:rsidRPr="00FE2408">
        <w:rPr>
          <w:rFonts w:ascii="Palatino Linotype" w:hAnsi="Palatino Linotype" w:cstheme="minorBidi"/>
          <w:color w:val="auto"/>
        </w:rPr>
        <w:t xml:space="preserve">• be approachable; </w:t>
      </w:r>
    </w:p>
    <w:p w:rsidR="00BE51F2" w:rsidRPr="00FE2408" w:rsidRDefault="00BE51F2" w:rsidP="005D078E">
      <w:pPr>
        <w:pStyle w:val="Default"/>
        <w:spacing w:after="15" w:line="480" w:lineRule="auto"/>
        <w:ind w:left="720"/>
        <w:jc w:val="both"/>
        <w:rPr>
          <w:rFonts w:ascii="Palatino Linotype" w:hAnsi="Palatino Linotype" w:cstheme="minorBidi"/>
          <w:color w:val="auto"/>
        </w:rPr>
      </w:pPr>
      <w:r w:rsidRPr="00FE2408">
        <w:rPr>
          <w:rFonts w:ascii="Palatino Linotype" w:hAnsi="Palatino Linotype" w:cstheme="minorBidi"/>
          <w:color w:val="auto"/>
        </w:rPr>
        <w:t xml:space="preserve">• be adaptable and flexible in maintaining a constructive and student-focused approach; </w:t>
      </w:r>
    </w:p>
    <w:p w:rsidR="00BE51F2" w:rsidRPr="00FE2408" w:rsidRDefault="00BE51F2" w:rsidP="005D078E">
      <w:pPr>
        <w:pStyle w:val="Default"/>
        <w:spacing w:after="15" w:line="480" w:lineRule="auto"/>
        <w:ind w:left="720"/>
        <w:jc w:val="both"/>
        <w:rPr>
          <w:rFonts w:ascii="Palatino Linotype" w:hAnsi="Palatino Linotype" w:cstheme="minorBidi"/>
          <w:color w:val="auto"/>
        </w:rPr>
      </w:pPr>
      <w:r w:rsidRPr="00FE2408">
        <w:rPr>
          <w:rFonts w:ascii="Palatino Linotype" w:hAnsi="Palatino Linotype" w:cstheme="minorBidi"/>
          <w:color w:val="auto"/>
        </w:rPr>
        <w:t xml:space="preserve">• communicate effectively; and </w:t>
      </w:r>
    </w:p>
    <w:p w:rsidR="00BE51F2" w:rsidRPr="00FE2408" w:rsidRDefault="00BE51F2" w:rsidP="005D078E">
      <w:pPr>
        <w:pStyle w:val="Default"/>
        <w:spacing w:line="480" w:lineRule="auto"/>
        <w:ind w:left="720"/>
        <w:jc w:val="both"/>
        <w:rPr>
          <w:rFonts w:ascii="Palatino Linotype" w:hAnsi="Palatino Linotype" w:cstheme="minorBidi"/>
          <w:color w:val="auto"/>
        </w:rPr>
      </w:pPr>
      <w:r w:rsidRPr="00FE2408">
        <w:rPr>
          <w:rFonts w:ascii="Palatino Linotype" w:hAnsi="Palatino Linotype" w:cstheme="minorBidi"/>
          <w:color w:val="auto"/>
        </w:rPr>
        <w:t>• self-evaluate and accept evaluation by supervisees and peers.</w:t>
      </w:r>
      <w:r w:rsidRPr="00FE2408">
        <w:rPr>
          <w:rStyle w:val="FootnoteReference"/>
          <w:rFonts w:ascii="Palatino Linotype" w:hAnsi="Palatino Linotype" w:cstheme="minorBidi"/>
          <w:color w:val="auto"/>
        </w:rPr>
        <w:footnoteReference w:id="5"/>
      </w:r>
      <w:r w:rsidRPr="00FE2408">
        <w:rPr>
          <w:rFonts w:ascii="Palatino Linotype" w:hAnsi="Palatino Linotype" w:cstheme="minorBidi"/>
          <w:color w:val="auto"/>
        </w:rPr>
        <w:t xml:space="preserve"> </w:t>
      </w:r>
    </w:p>
    <w:p w:rsidR="00BE51F2" w:rsidRPr="00FE2408" w:rsidRDefault="00BE51F2" w:rsidP="005D078E">
      <w:pPr>
        <w:shd w:val="clear" w:color="auto" w:fill="FFFFFF"/>
        <w:spacing w:after="0" w:line="480" w:lineRule="auto"/>
        <w:ind w:left="284"/>
        <w:jc w:val="both"/>
        <w:rPr>
          <w:rFonts w:ascii="Palatino Linotype" w:eastAsia="Times New Roman" w:hAnsi="Palatino Linotype"/>
          <w:sz w:val="24"/>
          <w:szCs w:val="24"/>
        </w:rPr>
      </w:pPr>
      <w:r w:rsidRPr="00FE2408">
        <w:rPr>
          <w:rFonts w:ascii="Palatino Linotype" w:eastAsia="Times New Roman" w:hAnsi="Palatino Linotype"/>
          <w:sz w:val="24"/>
          <w:szCs w:val="24"/>
        </w:rPr>
        <w:t xml:space="preserve">Furthermore, external supervisors are asked to be accountable for their supervision in the same way as in-house supervisors. This list of best practices goes on to make it obvious that an externship is not a cheap dumping ground for students who cannot be housed in an in-house clinic. </w:t>
      </w:r>
    </w:p>
    <w:p w:rsidR="00BE51F2" w:rsidRPr="00FE2408" w:rsidRDefault="00BE51F2" w:rsidP="005D078E">
      <w:pPr>
        <w:pStyle w:val="Default"/>
        <w:spacing w:line="480" w:lineRule="auto"/>
        <w:ind w:left="284"/>
        <w:jc w:val="both"/>
        <w:rPr>
          <w:rFonts w:ascii="Palatino Linotype" w:hAnsi="Palatino Linotype" w:cstheme="minorBidi"/>
          <w:color w:val="auto"/>
        </w:rPr>
      </w:pPr>
      <w:r w:rsidRPr="00FE2408">
        <w:rPr>
          <w:rFonts w:ascii="Palatino Linotype" w:hAnsi="Palatino Linotype" w:cstheme="minorBidi"/>
          <w:color w:val="auto"/>
        </w:rPr>
        <w:t>All supervisors, including short-term, locum and agency-employed supervisors, must be</w:t>
      </w:r>
      <w:r w:rsidR="00444D27">
        <w:rPr>
          <w:rFonts w:ascii="Palatino Linotype" w:hAnsi="Palatino Linotype" w:cstheme="minorBidi"/>
          <w:color w:val="auto"/>
        </w:rPr>
        <w:t xml:space="preserve"> </w:t>
      </w:r>
      <w:r w:rsidRPr="00FE2408">
        <w:rPr>
          <w:rFonts w:ascii="Palatino Linotype" w:hAnsi="Palatino Linotype" w:cstheme="minorBidi"/>
          <w:color w:val="auto"/>
        </w:rPr>
        <w:t xml:space="preserve">trained in the process of supervision and provided with the time and resources to fulfil their responsibilities. Supervisors must also be able to participate in specific supervision training courses and skills development </w:t>
      </w:r>
      <w:r w:rsidRPr="00FE2408">
        <w:rPr>
          <w:rFonts w:ascii="Palatino Linotype" w:hAnsi="Palatino Linotype" w:cstheme="minorBidi"/>
          <w:color w:val="auto"/>
        </w:rPr>
        <w:lastRenderedPageBreak/>
        <w:t>processes. Universities should be able to give ongoing commitment to the professional development of supervisors.</w:t>
      </w:r>
      <w:r w:rsidRPr="00FE2408">
        <w:rPr>
          <w:rStyle w:val="FootnoteReference"/>
          <w:rFonts w:ascii="Palatino Linotype" w:hAnsi="Palatino Linotype" w:cstheme="minorBidi"/>
          <w:color w:val="auto"/>
        </w:rPr>
        <w:footnoteReference w:id="6"/>
      </w:r>
      <w:r w:rsidRPr="00FE2408">
        <w:rPr>
          <w:rFonts w:ascii="Palatino Linotype" w:hAnsi="Palatino Linotype" w:cstheme="minorBidi"/>
          <w:color w:val="auto"/>
        </w:rPr>
        <w:t xml:space="preserve"> </w:t>
      </w:r>
    </w:p>
    <w:p w:rsidR="00BE51F2" w:rsidRPr="00FE2408" w:rsidRDefault="00BE51F2" w:rsidP="005D078E">
      <w:pPr>
        <w:pStyle w:val="Default"/>
        <w:spacing w:line="480" w:lineRule="auto"/>
        <w:ind w:left="284"/>
        <w:jc w:val="both"/>
        <w:rPr>
          <w:rFonts w:ascii="Palatino Linotype" w:hAnsi="Palatino Linotype" w:cstheme="minorBidi"/>
          <w:color w:val="auto"/>
        </w:rPr>
      </w:pPr>
      <w:r w:rsidRPr="00FE2408">
        <w:rPr>
          <w:rFonts w:ascii="Palatino Linotype" w:hAnsi="Palatino Linotype" w:cstheme="minorBidi"/>
          <w:color w:val="auto"/>
        </w:rPr>
        <w:t xml:space="preserve">In agency clinics and externships the training is provided to supervisors by the law school in conjunction with the agency. Training addresses the ways in which the dual purposes of client service and student learning can be advanced together. There is a shared commitment to meaningful liaison between academic staff and externship agency staff. </w:t>
      </w:r>
    </w:p>
    <w:p w:rsidR="00BE51F2" w:rsidRPr="00FE2408" w:rsidRDefault="00BE51F2" w:rsidP="005D078E">
      <w:pPr>
        <w:pStyle w:val="Default"/>
        <w:spacing w:line="480" w:lineRule="auto"/>
        <w:ind w:left="284"/>
        <w:jc w:val="both"/>
        <w:rPr>
          <w:rFonts w:ascii="Palatino Linotype" w:hAnsi="Palatino Linotype" w:cstheme="minorBidi"/>
          <w:color w:val="auto"/>
        </w:rPr>
      </w:pPr>
      <w:r w:rsidRPr="00FE2408">
        <w:rPr>
          <w:rFonts w:ascii="Palatino Linotype" w:hAnsi="Palatino Linotype" w:cstheme="minorBidi"/>
          <w:color w:val="auto"/>
        </w:rPr>
        <w:t xml:space="preserve">Training includes a clear understanding of: </w:t>
      </w:r>
    </w:p>
    <w:p w:rsidR="00BE51F2" w:rsidRPr="00FE2408" w:rsidRDefault="00BE51F2" w:rsidP="005D078E">
      <w:pPr>
        <w:pStyle w:val="Default"/>
        <w:spacing w:after="15" w:line="480" w:lineRule="auto"/>
        <w:ind w:left="720"/>
        <w:jc w:val="both"/>
        <w:rPr>
          <w:rFonts w:ascii="Palatino Linotype" w:hAnsi="Palatino Linotype" w:cstheme="minorBidi"/>
          <w:color w:val="auto"/>
        </w:rPr>
      </w:pPr>
      <w:r w:rsidRPr="00FE2408">
        <w:rPr>
          <w:rFonts w:ascii="Palatino Linotype" w:hAnsi="Palatino Linotype" w:cstheme="minorBidi"/>
          <w:color w:val="auto"/>
        </w:rPr>
        <w:t xml:space="preserve">• the learning outcomes of the externship; </w:t>
      </w:r>
    </w:p>
    <w:p w:rsidR="00BE51F2" w:rsidRPr="00FE2408" w:rsidRDefault="00BE51F2" w:rsidP="005D078E">
      <w:pPr>
        <w:pStyle w:val="Default"/>
        <w:spacing w:after="15" w:line="480" w:lineRule="auto"/>
        <w:ind w:left="720"/>
        <w:jc w:val="both"/>
        <w:rPr>
          <w:rFonts w:ascii="Palatino Linotype" w:hAnsi="Palatino Linotype" w:cstheme="minorBidi"/>
          <w:color w:val="auto"/>
        </w:rPr>
      </w:pPr>
      <w:r w:rsidRPr="00FE2408">
        <w:rPr>
          <w:rFonts w:ascii="Palatino Linotype" w:hAnsi="Palatino Linotype" w:cstheme="minorBidi"/>
          <w:color w:val="auto"/>
        </w:rPr>
        <w:t xml:space="preserve">• the role of the supervisor in supporting the student learning; and </w:t>
      </w:r>
    </w:p>
    <w:p w:rsidR="00BE51F2" w:rsidRPr="00FE2408" w:rsidRDefault="00BE51F2" w:rsidP="005D078E">
      <w:pPr>
        <w:pStyle w:val="Default"/>
        <w:spacing w:after="15" w:line="480" w:lineRule="auto"/>
        <w:ind w:left="720"/>
        <w:jc w:val="both"/>
        <w:rPr>
          <w:rFonts w:ascii="Palatino Linotype" w:hAnsi="Palatino Linotype" w:cstheme="minorBidi"/>
          <w:color w:val="auto"/>
        </w:rPr>
      </w:pPr>
      <w:r w:rsidRPr="00FE2408">
        <w:rPr>
          <w:rFonts w:ascii="Palatino Linotype" w:hAnsi="Palatino Linotype" w:cstheme="minorBidi"/>
          <w:color w:val="auto"/>
        </w:rPr>
        <w:t xml:space="preserve">• how the assessment from the agency staff feeds into the students’ academic   progress. </w:t>
      </w:r>
    </w:p>
    <w:p w:rsidR="00BE51F2" w:rsidRPr="00FE2408" w:rsidRDefault="00BE51F2" w:rsidP="005D078E">
      <w:pPr>
        <w:pStyle w:val="Default"/>
        <w:spacing w:after="15" w:line="480" w:lineRule="auto"/>
        <w:ind w:left="284"/>
        <w:jc w:val="both"/>
        <w:rPr>
          <w:rFonts w:ascii="Palatino Linotype" w:hAnsi="Palatino Linotype" w:cstheme="minorBidi"/>
          <w:color w:val="auto"/>
        </w:rPr>
      </w:pPr>
      <w:r w:rsidRPr="00FE2408">
        <w:rPr>
          <w:rFonts w:ascii="Palatino Linotype" w:hAnsi="Palatino Linotype" w:cstheme="minorBidi"/>
          <w:color w:val="auto"/>
        </w:rPr>
        <w:t xml:space="preserve">Law schools and their clinical courses provide to supervisors: </w:t>
      </w:r>
    </w:p>
    <w:p w:rsidR="00BE51F2" w:rsidRPr="00FE2408" w:rsidRDefault="00BE51F2" w:rsidP="005D078E">
      <w:pPr>
        <w:pStyle w:val="Default"/>
        <w:spacing w:after="15" w:line="480" w:lineRule="auto"/>
        <w:ind w:left="720"/>
        <w:jc w:val="both"/>
        <w:rPr>
          <w:rFonts w:ascii="Palatino Linotype" w:hAnsi="Palatino Linotype" w:cstheme="minorBidi"/>
          <w:color w:val="auto"/>
        </w:rPr>
      </w:pPr>
      <w:r w:rsidRPr="00FE2408">
        <w:rPr>
          <w:rFonts w:ascii="Palatino Linotype" w:hAnsi="Palatino Linotype" w:cstheme="minorBidi"/>
          <w:color w:val="auto"/>
        </w:rPr>
        <w:t xml:space="preserve">• structures to effectively support junior and sessional supervisors; </w:t>
      </w:r>
    </w:p>
    <w:p w:rsidR="00BE51F2" w:rsidRPr="00FE2408" w:rsidRDefault="00BE51F2" w:rsidP="005D078E">
      <w:pPr>
        <w:pStyle w:val="Default"/>
        <w:spacing w:after="15" w:line="480" w:lineRule="auto"/>
        <w:ind w:left="720"/>
        <w:jc w:val="both"/>
        <w:rPr>
          <w:rFonts w:ascii="Palatino Linotype" w:hAnsi="Palatino Linotype" w:cstheme="minorBidi"/>
          <w:color w:val="auto"/>
        </w:rPr>
      </w:pPr>
      <w:r w:rsidRPr="00FE2408">
        <w:rPr>
          <w:rFonts w:ascii="Palatino Linotype" w:hAnsi="Palatino Linotype" w:cstheme="minorBidi"/>
          <w:color w:val="auto"/>
        </w:rPr>
        <w:t xml:space="preserve">• a supervisor manual; </w:t>
      </w:r>
    </w:p>
    <w:p w:rsidR="00BE51F2" w:rsidRPr="00FE2408" w:rsidRDefault="00BE51F2" w:rsidP="005D078E">
      <w:pPr>
        <w:pStyle w:val="Default"/>
        <w:spacing w:after="15" w:line="480" w:lineRule="auto"/>
        <w:ind w:left="720"/>
        <w:jc w:val="both"/>
        <w:rPr>
          <w:rFonts w:ascii="Palatino Linotype" w:hAnsi="Palatino Linotype" w:cstheme="minorBidi"/>
          <w:color w:val="auto"/>
        </w:rPr>
      </w:pPr>
      <w:r w:rsidRPr="00FE2408">
        <w:rPr>
          <w:rFonts w:ascii="Palatino Linotype" w:hAnsi="Palatino Linotype" w:cstheme="minorBidi"/>
          <w:color w:val="auto"/>
        </w:rPr>
        <w:t xml:space="preserve">• access to other clinical supervisors for mentoring purposes; </w:t>
      </w:r>
    </w:p>
    <w:p w:rsidR="00BE51F2" w:rsidRPr="00FE2408" w:rsidRDefault="00BE51F2" w:rsidP="005D078E">
      <w:pPr>
        <w:pStyle w:val="Default"/>
        <w:spacing w:after="15" w:line="480" w:lineRule="auto"/>
        <w:ind w:left="720"/>
        <w:jc w:val="both"/>
        <w:rPr>
          <w:rFonts w:ascii="Palatino Linotype" w:hAnsi="Palatino Linotype" w:cstheme="minorBidi"/>
          <w:color w:val="auto"/>
        </w:rPr>
      </w:pPr>
      <w:r w:rsidRPr="00FE2408">
        <w:rPr>
          <w:rFonts w:ascii="Palatino Linotype" w:hAnsi="Palatino Linotype" w:cstheme="minorBidi"/>
          <w:color w:val="auto"/>
        </w:rPr>
        <w:t xml:space="preserve">• sufficient time to develop supervision skills before a full supervision load is required of them; and </w:t>
      </w:r>
    </w:p>
    <w:p w:rsidR="00BE51F2" w:rsidRPr="00FE2408" w:rsidRDefault="00BE51F2" w:rsidP="005D078E">
      <w:pPr>
        <w:pStyle w:val="Default"/>
        <w:spacing w:line="480" w:lineRule="auto"/>
        <w:ind w:left="720"/>
        <w:jc w:val="both"/>
        <w:rPr>
          <w:rFonts w:ascii="Palatino Linotype" w:hAnsi="Palatino Linotype" w:cstheme="minorBidi"/>
          <w:color w:val="auto"/>
        </w:rPr>
      </w:pPr>
      <w:r w:rsidRPr="00FE2408">
        <w:rPr>
          <w:rFonts w:ascii="Palatino Linotype" w:hAnsi="Palatino Linotype" w:cstheme="minorBidi"/>
          <w:color w:val="auto"/>
        </w:rPr>
        <w:t xml:space="preserve">• sufficient time and resources to ensure their professional development – in both clinical teaching and the areas of law in which they are practising. </w:t>
      </w:r>
    </w:p>
    <w:p w:rsidR="00BE51F2" w:rsidRPr="00FE2408" w:rsidRDefault="00BE51F2" w:rsidP="005D078E">
      <w:pPr>
        <w:pStyle w:val="Default"/>
        <w:spacing w:line="480" w:lineRule="auto"/>
        <w:ind w:left="284"/>
        <w:jc w:val="both"/>
        <w:rPr>
          <w:rFonts w:ascii="Palatino Linotype" w:hAnsi="Palatino Linotype" w:cstheme="minorBidi"/>
          <w:color w:val="auto"/>
        </w:rPr>
      </w:pPr>
      <w:r w:rsidRPr="00FE2408">
        <w:rPr>
          <w:rFonts w:ascii="Palatino Linotype" w:hAnsi="Palatino Linotype" w:cstheme="minorBidi"/>
          <w:color w:val="auto"/>
        </w:rPr>
        <w:lastRenderedPageBreak/>
        <w:t xml:space="preserve">In agency clinics and externships, supervisors receive an induction into clinical methodology and some training in supervision. This training addresses the provision of feedback to students. Supervisors are sufficiently accessible to deal promptly with unexpected critical incidents. Supervisors also enable the student to incrementally develop the understandings and skills identified by the clinic as important. In externships, supervision arrangements, including regular meetings, are discussed and established collaboratively by the student, the supervisor and the clinical academic responsible for the course. </w:t>
      </w:r>
    </w:p>
    <w:p w:rsidR="00BE51F2" w:rsidRPr="00FE2408" w:rsidRDefault="00BE51F2" w:rsidP="005D078E">
      <w:pPr>
        <w:pStyle w:val="Default"/>
        <w:spacing w:line="480" w:lineRule="auto"/>
        <w:ind w:left="284"/>
        <w:jc w:val="both"/>
        <w:rPr>
          <w:rFonts w:ascii="Palatino Linotype" w:hAnsi="Palatino Linotype"/>
          <w:color w:val="auto"/>
        </w:rPr>
      </w:pPr>
      <w:r w:rsidRPr="00FE2408">
        <w:rPr>
          <w:rFonts w:ascii="Palatino Linotype" w:hAnsi="Palatino Linotype" w:cstheme="minorBidi"/>
          <w:color w:val="auto"/>
        </w:rPr>
        <w:t>The constructive provision of feedback is central to student supervision. Feedback is clear and is focused on enabling the student to build on good performance and develop their skills and understandings. It must also be provided in a timely manner so as to enable the student to address and build on the feedback. Further students need to undergo training to constructively receive feedback. In an agency</w:t>
      </w:r>
      <w:r w:rsidRPr="00FE2408">
        <w:rPr>
          <w:rFonts w:ascii="Palatino Linotype" w:hAnsi="Palatino Linotype"/>
          <w:color w:val="auto"/>
        </w:rPr>
        <w:t xml:space="preserve"> clinic,</w:t>
      </w:r>
      <w:r w:rsidR="00444D27">
        <w:rPr>
          <w:rFonts w:ascii="Palatino Linotype" w:hAnsi="Palatino Linotype"/>
          <w:color w:val="auto"/>
        </w:rPr>
        <w:t xml:space="preserve"> </w:t>
      </w:r>
      <w:r w:rsidRPr="00FE2408">
        <w:rPr>
          <w:rFonts w:ascii="Palatino Linotype" w:hAnsi="Palatino Linotype"/>
          <w:color w:val="auto"/>
        </w:rPr>
        <w:t>the nature and timeliness of feedback is planned collaboratively between university and externship agency.</w:t>
      </w:r>
      <w:r w:rsidRPr="00FE2408">
        <w:rPr>
          <w:rStyle w:val="FootnoteReference"/>
          <w:rFonts w:ascii="Palatino Linotype" w:hAnsi="Palatino Linotype"/>
          <w:color w:val="auto"/>
        </w:rPr>
        <w:footnoteReference w:id="7"/>
      </w:r>
    </w:p>
    <w:p w:rsidR="00BE51F2" w:rsidRPr="00FE2408" w:rsidRDefault="00BE51F2" w:rsidP="005D078E">
      <w:pPr>
        <w:shd w:val="clear" w:color="auto" w:fill="FFFFFF"/>
        <w:spacing w:after="0" w:line="480" w:lineRule="auto"/>
        <w:ind w:left="284"/>
        <w:jc w:val="both"/>
        <w:rPr>
          <w:rFonts w:ascii="Palatino Linotype" w:hAnsi="Palatino Linotype"/>
          <w:sz w:val="24"/>
          <w:szCs w:val="24"/>
        </w:rPr>
      </w:pPr>
      <w:r w:rsidRPr="00FE2408">
        <w:rPr>
          <w:rFonts w:ascii="Palatino Linotype" w:hAnsi="Palatino Linotype"/>
          <w:sz w:val="24"/>
          <w:szCs w:val="24"/>
        </w:rPr>
        <w:t xml:space="preserve">If supervision must meet these standards in a general externship setting, can they be any less rigorous in a specialised setting? In principle, the answer is no. </w:t>
      </w:r>
    </w:p>
    <w:p w:rsidR="00BE51F2" w:rsidRPr="00FE2408" w:rsidRDefault="00BE51F2" w:rsidP="005D078E">
      <w:pPr>
        <w:shd w:val="clear" w:color="auto" w:fill="FFFFFF"/>
        <w:spacing w:after="0" w:line="480" w:lineRule="auto"/>
        <w:ind w:left="284"/>
        <w:jc w:val="both"/>
        <w:rPr>
          <w:rFonts w:ascii="Palatino Linotype" w:eastAsia="Times New Roman" w:hAnsi="Palatino Linotype"/>
          <w:b/>
          <w:sz w:val="24"/>
          <w:szCs w:val="24"/>
        </w:rPr>
      </w:pPr>
      <w:r w:rsidRPr="00FE2408">
        <w:rPr>
          <w:rFonts w:ascii="Palatino Linotype" w:hAnsi="Palatino Linotype"/>
          <w:sz w:val="24"/>
          <w:szCs w:val="24"/>
        </w:rPr>
        <w:t xml:space="preserve">In the next section, we describe in more detail the nature of a specialist clinic and its relationship to the externship setting, in an effort to demonstrate why clinical externships that deliver specialised legal services must be treated with the same </w:t>
      </w:r>
      <w:r w:rsidRPr="00FE2408">
        <w:rPr>
          <w:rFonts w:ascii="Palatino Linotype" w:hAnsi="Palatino Linotype"/>
          <w:sz w:val="24"/>
          <w:szCs w:val="24"/>
        </w:rPr>
        <w:lastRenderedPageBreak/>
        <w:t>respect as in-house clinics if quality educational outcomes are to be achieved for law students placed there.</w:t>
      </w:r>
    </w:p>
    <w:p w:rsidR="00BE51F2" w:rsidRPr="00444D27" w:rsidRDefault="00444D27" w:rsidP="005D078E">
      <w:pPr>
        <w:shd w:val="clear" w:color="auto" w:fill="FFFFFF"/>
        <w:spacing w:before="100" w:beforeAutospacing="1" w:after="100" w:afterAutospacing="1" w:line="480" w:lineRule="auto"/>
        <w:ind w:left="284"/>
        <w:jc w:val="both"/>
        <w:rPr>
          <w:rFonts w:ascii="Palatino Linotype" w:eastAsia="Times New Roman" w:hAnsi="Palatino Linotype"/>
          <w:sz w:val="24"/>
          <w:szCs w:val="24"/>
          <w:u w:val="single"/>
        </w:rPr>
      </w:pPr>
      <w:r w:rsidRPr="00444D27">
        <w:rPr>
          <w:rFonts w:ascii="Palatino Linotype" w:eastAsia="Times New Roman" w:hAnsi="Palatino Linotype"/>
          <w:sz w:val="24"/>
          <w:szCs w:val="24"/>
        </w:rPr>
        <w:t xml:space="preserve">DESCRIBING AND EXPLAINING SPECIALIST (OR SPECIALISED?) CLINICS </w:t>
      </w:r>
    </w:p>
    <w:p w:rsidR="00BE51F2" w:rsidRPr="00FE2408" w:rsidRDefault="00BE51F2" w:rsidP="005D078E">
      <w:pPr>
        <w:shd w:val="clear" w:color="auto" w:fill="FFFFFF"/>
        <w:spacing w:before="100" w:beforeAutospacing="1" w:after="100" w:afterAutospacing="1" w:line="480" w:lineRule="auto"/>
        <w:ind w:left="284"/>
        <w:jc w:val="both"/>
        <w:rPr>
          <w:rFonts w:ascii="Palatino Linotype" w:eastAsia="Times New Roman" w:hAnsi="Palatino Linotype"/>
          <w:sz w:val="24"/>
          <w:szCs w:val="24"/>
        </w:rPr>
      </w:pPr>
      <w:r w:rsidRPr="00FE2408">
        <w:rPr>
          <w:rFonts w:ascii="Palatino Linotype" w:eastAsia="Times New Roman" w:hAnsi="Palatino Linotype"/>
          <w:sz w:val="24"/>
          <w:szCs w:val="24"/>
        </w:rPr>
        <w:t>Specialised clinical legal education commenced in Australia in 1995, with a sexual assault clinic at Monash Law Faculty. This description of that inaugural clinic, which was located inside the then Springvale Legal Service Inc. (SLS), was written a year later:</w:t>
      </w:r>
    </w:p>
    <w:p w:rsidR="00BE51F2" w:rsidRPr="00FE2408" w:rsidRDefault="00BE51F2" w:rsidP="005D078E">
      <w:pPr>
        <w:shd w:val="clear" w:color="auto" w:fill="FFFFFF"/>
        <w:spacing w:before="100" w:beforeAutospacing="1" w:after="100" w:afterAutospacing="1" w:line="360" w:lineRule="auto"/>
        <w:ind w:left="567" w:right="662"/>
        <w:jc w:val="both"/>
        <w:rPr>
          <w:rFonts w:ascii="Palatino Linotype" w:eastAsia="Times New Roman" w:hAnsi="Palatino Linotype"/>
          <w:i/>
          <w:iCs/>
          <w:sz w:val="24"/>
          <w:szCs w:val="24"/>
        </w:rPr>
      </w:pPr>
      <w:r w:rsidRPr="00FE2408">
        <w:rPr>
          <w:rFonts w:ascii="Palatino Linotype" w:eastAsia="Times New Roman" w:hAnsi="Palatino Linotype"/>
          <w:i/>
          <w:iCs/>
          <w:sz w:val="24"/>
          <w:szCs w:val="24"/>
        </w:rPr>
        <w:t xml:space="preserve">“In conjunction with the South Eastern Centre Against Sexual Assault (SECASA) and Monash Medical Centre (MMC), SLS has commenced a pilot joint clinical legal service to assist victims of sexual assault. This is the first of a number of specialised options to be made progressively available to law students over the next few years. A steering committee of SLS and SECASA selects as possible 'staff', students who have performed competently and demonstrated a developed feminist analysis during their placement at the legal service. Those selected have been invited to volunteer for the pilot clinic and all have done so. </w:t>
      </w:r>
    </w:p>
    <w:p w:rsidR="00BE51F2" w:rsidRPr="00FE2408" w:rsidRDefault="00BE51F2" w:rsidP="005D078E">
      <w:pPr>
        <w:shd w:val="clear" w:color="auto" w:fill="FFFFFF"/>
        <w:spacing w:before="100" w:beforeAutospacing="1" w:after="100" w:afterAutospacing="1" w:line="360" w:lineRule="auto"/>
        <w:ind w:left="567" w:right="662"/>
        <w:jc w:val="both"/>
        <w:rPr>
          <w:rFonts w:ascii="Palatino Linotype" w:eastAsia="Times New Roman" w:hAnsi="Palatino Linotype"/>
          <w:i/>
          <w:iCs/>
          <w:sz w:val="24"/>
          <w:szCs w:val="24"/>
        </w:rPr>
      </w:pPr>
      <w:r w:rsidRPr="00FE2408">
        <w:rPr>
          <w:rFonts w:ascii="Palatino Linotype" w:eastAsia="Times New Roman" w:hAnsi="Palatino Linotype"/>
          <w:i/>
          <w:iCs/>
          <w:sz w:val="24"/>
          <w:szCs w:val="24"/>
        </w:rPr>
        <w:t xml:space="preserve">The pilot process is limited to three or four students, each with a maximum of three clients referred from SECASA. Initial interviews will be conducted jointly with the referring SECASA counsellor. Clinical services will concentrate on crimes compensation applications, civil actions for damages (if appropriate), emergency housing relocation and police-victim liaison (in the event of criminal proceedings commencing). </w:t>
      </w:r>
    </w:p>
    <w:p w:rsidR="00BE51F2" w:rsidRPr="00FE2408" w:rsidRDefault="00BE51F2" w:rsidP="005D078E">
      <w:pPr>
        <w:shd w:val="clear" w:color="auto" w:fill="FFFFFF"/>
        <w:spacing w:before="100" w:beforeAutospacing="1" w:after="100" w:afterAutospacing="1" w:line="360" w:lineRule="auto"/>
        <w:ind w:left="567" w:right="662"/>
        <w:jc w:val="both"/>
        <w:rPr>
          <w:rFonts w:ascii="Palatino Linotype" w:eastAsia="Times New Roman" w:hAnsi="Palatino Linotype"/>
          <w:i/>
          <w:iCs/>
          <w:sz w:val="24"/>
          <w:szCs w:val="24"/>
        </w:rPr>
      </w:pPr>
      <w:r w:rsidRPr="00FE2408">
        <w:rPr>
          <w:rFonts w:ascii="Palatino Linotype" w:eastAsia="Times New Roman" w:hAnsi="Palatino Linotype"/>
          <w:i/>
          <w:iCs/>
          <w:sz w:val="24"/>
          <w:szCs w:val="24"/>
        </w:rPr>
        <w:t xml:space="preserve">Professional and educational acceptance of this innovation depends on demonstrating that the low file load and high supervision ratio (four students </w:t>
      </w:r>
      <w:r w:rsidRPr="00FE2408">
        <w:rPr>
          <w:rFonts w:ascii="Palatino Linotype" w:eastAsia="Times New Roman" w:hAnsi="Palatino Linotype"/>
          <w:i/>
          <w:iCs/>
          <w:sz w:val="24"/>
          <w:szCs w:val="24"/>
        </w:rPr>
        <w:lastRenderedPageBreak/>
        <w:t xml:space="preserve">supervised by two volunteer, experienced community lawyers) can ensure both quality clinical education and - because the students will work in conjunction with SECASA counsellors and have more time available per file than private practitioners - far better than average professional services. </w:t>
      </w:r>
    </w:p>
    <w:p w:rsidR="00BE51F2" w:rsidRPr="00FE2408" w:rsidRDefault="00BE51F2" w:rsidP="005D078E">
      <w:pPr>
        <w:shd w:val="clear" w:color="auto" w:fill="FFFFFF"/>
        <w:spacing w:before="100" w:beforeAutospacing="1" w:after="100" w:afterAutospacing="1" w:line="360" w:lineRule="auto"/>
        <w:ind w:left="567" w:right="662"/>
        <w:jc w:val="both"/>
        <w:rPr>
          <w:rFonts w:ascii="Palatino Linotype" w:eastAsia="Times New Roman" w:hAnsi="Palatino Linotype"/>
          <w:i/>
          <w:iCs/>
          <w:sz w:val="24"/>
          <w:szCs w:val="24"/>
        </w:rPr>
      </w:pPr>
      <w:r w:rsidRPr="00FE2408">
        <w:rPr>
          <w:rFonts w:ascii="Palatino Linotype" w:eastAsia="Times New Roman" w:hAnsi="Palatino Linotype"/>
          <w:i/>
          <w:iCs/>
          <w:sz w:val="24"/>
          <w:szCs w:val="24"/>
        </w:rPr>
        <w:t>Specialised clinical experience of this sort is designed to consolidate and deepen a student's perception of a range of professional issues, including drafting, advocacy, multi-disciplinary approaches and 'client care'. Sexual assault is onl</w:t>
      </w:r>
      <w:r w:rsidR="008513A4">
        <w:rPr>
          <w:rFonts w:ascii="Palatino Linotype" w:eastAsia="Times New Roman" w:hAnsi="Palatino Linotype"/>
          <w:i/>
          <w:iCs/>
          <w:sz w:val="24"/>
          <w:szCs w:val="24"/>
        </w:rPr>
        <w:t>y one example of this potential</w:t>
      </w:r>
      <w:r w:rsidRPr="00FE2408">
        <w:rPr>
          <w:rFonts w:ascii="Palatino Linotype" w:eastAsia="Times New Roman" w:hAnsi="Palatino Linotype"/>
          <w:i/>
          <w:iCs/>
          <w:sz w:val="24"/>
          <w:szCs w:val="24"/>
        </w:rPr>
        <w:t>.</w:t>
      </w:r>
      <w:r w:rsidRPr="00FE2408">
        <w:rPr>
          <w:rStyle w:val="FootnoteReference"/>
          <w:rFonts w:ascii="Palatino Linotype" w:hAnsi="Palatino Linotype"/>
          <w:i/>
          <w:iCs/>
          <w:sz w:val="24"/>
          <w:szCs w:val="24"/>
        </w:rPr>
        <w:footnoteReference w:id="8"/>
      </w:r>
      <w:r w:rsidRPr="00FE2408">
        <w:rPr>
          <w:rFonts w:ascii="Palatino Linotype" w:eastAsia="Times New Roman" w:hAnsi="Palatino Linotype"/>
          <w:i/>
          <w:iCs/>
          <w:sz w:val="24"/>
          <w:szCs w:val="24"/>
        </w:rPr>
        <w:t>”</w:t>
      </w:r>
    </w:p>
    <w:p w:rsidR="00BE51F2" w:rsidRPr="00FE2408" w:rsidRDefault="00BE51F2" w:rsidP="005D078E">
      <w:pPr>
        <w:shd w:val="clear" w:color="auto" w:fill="FFFFFF"/>
        <w:spacing w:before="100" w:beforeAutospacing="1" w:after="100" w:afterAutospacing="1" w:line="480" w:lineRule="auto"/>
        <w:ind w:left="284"/>
        <w:jc w:val="both"/>
        <w:rPr>
          <w:rFonts w:ascii="Palatino Linotype" w:eastAsia="Times New Roman" w:hAnsi="Palatino Linotype"/>
          <w:sz w:val="24"/>
          <w:szCs w:val="24"/>
        </w:rPr>
      </w:pPr>
      <w:r w:rsidRPr="00FE2408">
        <w:rPr>
          <w:rFonts w:ascii="Palatino Linotype" w:eastAsia="Times New Roman" w:hAnsi="Palatino Linotype"/>
          <w:sz w:val="24"/>
          <w:szCs w:val="24"/>
        </w:rPr>
        <w:t>In 1995, the Monash Law Faculty already had a 20 year history of running a general practice clinic at SLS. SLS was then and is now an externship site, with its own community elected Board of Directors and its own client service and law reform agendas. But the peculiar history of SLS</w:t>
      </w:r>
      <w:r w:rsidRPr="00FE2408">
        <w:rPr>
          <w:rStyle w:val="FootnoteReference"/>
          <w:rFonts w:ascii="Palatino Linotype" w:hAnsi="Palatino Linotype"/>
          <w:sz w:val="24"/>
          <w:szCs w:val="24"/>
        </w:rPr>
        <w:footnoteReference w:id="9"/>
      </w:r>
      <w:r w:rsidRPr="00FE2408">
        <w:rPr>
          <w:rFonts w:ascii="Palatino Linotype" w:eastAsia="Times New Roman" w:hAnsi="Palatino Linotype"/>
          <w:sz w:val="24"/>
          <w:szCs w:val="24"/>
        </w:rPr>
        <w:t xml:space="preserve"> meant that its director had always been a legal academic</w:t>
      </w:r>
      <w:r w:rsidRPr="00FE2408">
        <w:rPr>
          <w:rStyle w:val="FootnoteReference"/>
          <w:rFonts w:ascii="Palatino Linotype" w:hAnsi="Palatino Linotype"/>
          <w:sz w:val="24"/>
          <w:szCs w:val="24"/>
        </w:rPr>
        <w:footnoteReference w:id="10"/>
      </w:r>
      <w:r w:rsidRPr="00FE2408">
        <w:rPr>
          <w:rFonts w:ascii="Palatino Linotype" w:eastAsia="Times New Roman" w:hAnsi="Palatino Linotype"/>
          <w:sz w:val="24"/>
          <w:szCs w:val="24"/>
        </w:rPr>
        <w:t xml:space="preserve"> and this person had come to understand that there were advantages for an advanced approach to teaching a specific area of law and serving a particular type of clients to a higher standard than was feasible in a general practice clinic.  </w:t>
      </w:r>
    </w:p>
    <w:p w:rsidR="00BE51F2" w:rsidRPr="00FE2408" w:rsidRDefault="00BE51F2" w:rsidP="005D078E">
      <w:pPr>
        <w:shd w:val="clear" w:color="auto" w:fill="FFFFFF"/>
        <w:spacing w:before="100" w:beforeAutospacing="1" w:after="100" w:afterAutospacing="1" w:line="480" w:lineRule="auto"/>
        <w:ind w:left="284"/>
        <w:jc w:val="both"/>
        <w:rPr>
          <w:rFonts w:ascii="Palatino Linotype" w:eastAsia="Times New Roman" w:hAnsi="Palatino Linotype"/>
          <w:sz w:val="24"/>
          <w:szCs w:val="24"/>
        </w:rPr>
      </w:pPr>
      <w:r w:rsidRPr="00FE2408">
        <w:rPr>
          <w:rFonts w:ascii="Palatino Linotype" w:eastAsia="Times New Roman" w:hAnsi="Palatino Linotype"/>
          <w:sz w:val="24"/>
          <w:szCs w:val="24"/>
        </w:rPr>
        <w:t xml:space="preserve">Specialisation has since become commonplace in Australian clinical programs. These clinics have thrived not only because they mimic the way in which most </w:t>
      </w:r>
      <w:r w:rsidRPr="00FE2408">
        <w:rPr>
          <w:rFonts w:ascii="Palatino Linotype" w:eastAsia="Times New Roman" w:hAnsi="Palatino Linotype"/>
          <w:sz w:val="24"/>
          <w:szCs w:val="24"/>
        </w:rPr>
        <w:lastRenderedPageBreak/>
        <w:t>law is practised in the private profession,</w:t>
      </w:r>
      <w:r w:rsidRPr="00FE2408">
        <w:rPr>
          <w:rStyle w:val="FootnoteReference"/>
          <w:rFonts w:ascii="Palatino Linotype" w:hAnsi="Palatino Linotype"/>
          <w:sz w:val="24"/>
          <w:szCs w:val="24"/>
        </w:rPr>
        <w:footnoteReference w:id="11"/>
      </w:r>
      <w:r w:rsidRPr="00FE2408">
        <w:rPr>
          <w:rFonts w:ascii="Palatino Linotype" w:eastAsia="Times New Roman" w:hAnsi="Palatino Linotype"/>
          <w:sz w:val="24"/>
          <w:szCs w:val="24"/>
        </w:rPr>
        <w:t xml:space="preserve"> but because they make pedagogical sense, particularly when they develop organically from earlier general practice clinics.  </w:t>
      </w:r>
    </w:p>
    <w:p w:rsidR="00BE51F2" w:rsidRPr="00FE2408" w:rsidRDefault="00BE51F2" w:rsidP="005D078E">
      <w:pPr>
        <w:shd w:val="clear" w:color="auto" w:fill="FFFFFF"/>
        <w:spacing w:before="100" w:beforeAutospacing="1" w:after="100" w:afterAutospacing="1" w:line="480" w:lineRule="auto"/>
        <w:ind w:left="284"/>
        <w:jc w:val="both"/>
        <w:rPr>
          <w:rFonts w:ascii="Palatino Linotype" w:eastAsia="Times New Roman" w:hAnsi="Palatino Linotype"/>
          <w:sz w:val="24"/>
          <w:szCs w:val="24"/>
        </w:rPr>
      </w:pPr>
      <w:r w:rsidRPr="00FE2408">
        <w:rPr>
          <w:rFonts w:ascii="Palatino Linotype" w:eastAsia="Times New Roman" w:hAnsi="Palatino Linotype"/>
          <w:sz w:val="24"/>
          <w:szCs w:val="24"/>
        </w:rPr>
        <w:t xml:space="preserve">Specialised clinical students who come out of best practice approaches to legal education are, we assert, likely to be among the most proficient and balanced of any clinical graduates. Where a law school has embraced good law teaching wholeheartedly, it will have invested in good skills simulation, critical awareness of access to justice issues and general practice clinical environments. Students entering a specialised clinic with such a background will automatically build on the skills and attitudes they have already acquired in previous simulated and clinical experiences. </w:t>
      </w:r>
    </w:p>
    <w:p w:rsidR="00BE51F2" w:rsidRPr="00FE2408" w:rsidRDefault="00BE51F2" w:rsidP="005D078E">
      <w:pPr>
        <w:shd w:val="clear" w:color="auto" w:fill="FFFFFF"/>
        <w:spacing w:after="0" w:line="480" w:lineRule="auto"/>
        <w:ind w:left="284"/>
        <w:jc w:val="both"/>
        <w:rPr>
          <w:rFonts w:ascii="Palatino Linotype" w:eastAsia="Times New Roman" w:hAnsi="Palatino Linotype"/>
          <w:i/>
          <w:sz w:val="24"/>
          <w:szCs w:val="24"/>
        </w:rPr>
      </w:pPr>
      <w:r w:rsidRPr="00FE2408">
        <w:rPr>
          <w:rFonts w:ascii="Palatino Linotype" w:eastAsia="Times New Roman" w:hAnsi="Palatino Linotype"/>
          <w:i/>
          <w:sz w:val="24"/>
          <w:szCs w:val="24"/>
        </w:rPr>
        <w:t>From excitement to contribution.</w:t>
      </w:r>
    </w:p>
    <w:p w:rsidR="00BE51F2" w:rsidRPr="00FE2408" w:rsidRDefault="00BE51F2" w:rsidP="005D078E">
      <w:pPr>
        <w:shd w:val="clear" w:color="auto" w:fill="FFFFFF"/>
        <w:spacing w:after="0" w:line="480" w:lineRule="auto"/>
        <w:ind w:left="284"/>
        <w:jc w:val="both"/>
        <w:rPr>
          <w:rFonts w:ascii="Palatino Linotype" w:eastAsia="Times New Roman" w:hAnsi="Palatino Linotype"/>
          <w:sz w:val="24"/>
          <w:szCs w:val="24"/>
        </w:rPr>
      </w:pPr>
      <w:r w:rsidRPr="00FE2408">
        <w:rPr>
          <w:rFonts w:ascii="Palatino Linotype" w:eastAsia="Times New Roman" w:hAnsi="Palatino Linotype"/>
          <w:sz w:val="24"/>
          <w:szCs w:val="24"/>
        </w:rPr>
        <w:t xml:space="preserve">So what is the pedagogical and developmental value of a specialised clinic? What can it provide over and above that of a generalist in-house clinical experience? The first and most obvious advantage is the consolidation and refinement of primary professional skills and legal knowledge. These are both made more acute because of the narrower legal content of the specialisation and the greater similarity of presenting client problems, allowing students (and their supervisors) to acquire a greater depth of experience in the available time. </w:t>
      </w:r>
    </w:p>
    <w:p w:rsidR="00BE51F2" w:rsidRPr="00FE2408" w:rsidRDefault="00BE51F2" w:rsidP="005D078E">
      <w:pPr>
        <w:shd w:val="clear" w:color="auto" w:fill="FFFFFF"/>
        <w:spacing w:after="0" w:line="480" w:lineRule="auto"/>
        <w:ind w:left="284"/>
        <w:jc w:val="both"/>
        <w:rPr>
          <w:rFonts w:ascii="Palatino Linotype" w:eastAsia="Times New Roman" w:hAnsi="Palatino Linotype"/>
          <w:sz w:val="24"/>
          <w:szCs w:val="24"/>
        </w:rPr>
      </w:pPr>
    </w:p>
    <w:p w:rsidR="00BE51F2" w:rsidRPr="00FE2408" w:rsidRDefault="00BE51F2" w:rsidP="005D078E">
      <w:pPr>
        <w:shd w:val="clear" w:color="auto" w:fill="FFFFFF"/>
        <w:spacing w:after="0" w:line="480" w:lineRule="auto"/>
        <w:ind w:left="284"/>
        <w:jc w:val="both"/>
        <w:rPr>
          <w:rFonts w:ascii="Palatino Linotype" w:eastAsia="Times New Roman" w:hAnsi="Palatino Linotype"/>
          <w:sz w:val="24"/>
          <w:szCs w:val="24"/>
        </w:rPr>
      </w:pPr>
      <w:r w:rsidRPr="00FE2408">
        <w:rPr>
          <w:rFonts w:ascii="Palatino Linotype" w:eastAsia="Times New Roman" w:hAnsi="Palatino Linotype"/>
          <w:sz w:val="24"/>
          <w:szCs w:val="24"/>
        </w:rPr>
        <w:t xml:space="preserve">It is not the case that a general practice clinic automatically offers an inadequate preparation for the realities of legal practice. Far from it. Many graduates of such clinics have made profound contributions to the law and to wider society. A significant general practice experience is central to translating simulations into dealing with real clients (see Figure 1 below). But specialised clinics take the experiential process to its logical conclusion: the emulation of all aspects of private specialised lawyering, save that of billing.  </w:t>
      </w:r>
    </w:p>
    <w:p w:rsidR="00BE51F2" w:rsidRPr="00FE2408" w:rsidRDefault="00BE51F2" w:rsidP="005D078E">
      <w:pPr>
        <w:shd w:val="clear" w:color="auto" w:fill="FFFFFF"/>
        <w:spacing w:after="0" w:line="480" w:lineRule="auto"/>
        <w:ind w:left="284"/>
        <w:jc w:val="both"/>
        <w:rPr>
          <w:rFonts w:ascii="Palatino Linotype" w:eastAsia="Times New Roman" w:hAnsi="Palatino Linotype"/>
          <w:sz w:val="24"/>
          <w:szCs w:val="24"/>
        </w:rPr>
      </w:pPr>
    </w:p>
    <w:p w:rsidR="00BE51F2" w:rsidRPr="00FE2408" w:rsidRDefault="00BE51F2" w:rsidP="005D078E">
      <w:pPr>
        <w:shd w:val="clear" w:color="auto" w:fill="FFFFFF"/>
        <w:spacing w:after="0" w:line="480" w:lineRule="auto"/>
        <w:ind w:left="284"/>
        <w:jc w:val="both"/>
        <w:rPr>
          <w:rFonts w:ascii="Palatino Linotype" w:eastAsia="Times New Roman" w:hAnsi="Palatino Linotype"/>
          <w:sz w:val="24"/>
          <w:szCs w:val="24"/>
        </w:rPr>
      </w:pPr>
      <w:r w:rsidRPr="00FE2408">
        <w:rPr>
          <w:rFonts w:ascii="Palatino Linotype" w:eastAsia="Times New Roman" w:hAnsi="Palatino Linotype"/>
          <w:sz w:val="24"/>
          <w:szCs w:val="24"/>
        </w:rPr>
        <w:t xml:space="preserve">Specialisations ‘speak’ directly to the burgeoning particular interests of individual students and can generate an even greater degree of energy for the specialisation than they experienced in the general practice clinic. If general practice students suddenly find themselves becoming </w:t>
      </w:r>
      <w:r w:rsidRPr="00FE2408">
        <w:rPr>
          <w:rFonts w:ascii="Palatino Linotype" w:eastAsia="Times New Roman" w:hAnsi="Palatino Linotype"/>
          <w:i/>
          <w:sz w:val="24"/>
          <w:szCs w:val="24"/>
        </w:rPr>
        <w:t>passionate</w:t>
      </w:r>
      <w:r w:rsidRPr="00FE2408">
        <w:rPr>
          <w:rFonts w:ascii="Palatino Linotype" w:eastAsia="Times New Roman" w:hAnsi="Palatino Linotype"/>
          <w:sz w:val="24"/>
          <w:szCs w:val="24"/>
        </w:rPr>
        <w:t xml:space="preserve"> about legal practice, specialised students become </w:t>
      </w:r>
      <w:r w:rsidRPr="00FE2408">
        <w:rPr>
          <w:rFonts w:ascii="Palatino Linotype" w:eastAsia="Times New Roman" w:hAnsi="Palatino Linotype"/>
          <w:i/>
          <w:sz w:val="24"/>
          <w:szCs w:val="24"/>
        </w:rPr>
        <w:t>committed</w:t>
      </w:r>
      <w:r w:rsidRPr="00FE2408">
        <w:rPr>
          <w:rFonts w:ascii="Palatino Linotype" w:eastAsia="Times New Roman" w:hAnsi="Palatino Linotype"/>
          <w:sz w:val="24"/>
          <w:szCs w:val="24"/>
        </w:rPr>
        <w:t>. The general practice flush of excitement becomes the specialist’s vocation. They suddenly recognise the opportunity to link personal passion with the chance to develop long term expertise – and for some, realising that they actually have a sense of ambition about a particular workplace environment and career path.</w:t>
      </w:r>
    </w:p>
    <w:p w:rsidR="00BE51F2" w:rsidRPr="00FE2408" w:rsidRDefault="00BE51F2" w:rsidP="005D078E">
      <w:pPr>
        <w:shd w:val="clear" w:color="auto" w:fill="FFFFFF"/>
        <w:spacing w:after="0" w:line="480" w:lineRule="auto"/>
        <w:ind w:left="284"/>
        <w:jc w:val="both"/>
        <w:rPr>
          <w:rFonts w:ascii="Palatino Linotype" w:eastAsia="Times New Roman" w:hAnsi="Palatino Linotype"/>
          <w:sz w:val="24"/>
          <w:szCs w:val="24"/>
        </w:rPr>
      </w:pPr>
    </w:p>
    <w:p w:rsidR="00BE51F2" w:rsidRPr="00FE2408" w:rsidRDefault="00BE51F2" w:rsidP="005D078E">
      <w:pPr>
        <w:shd w:val="clear" w:color="auto" w:fill="FFFFFF"/>
        <w:spacing w:before="100" w:beforeAutospacing="1" w:after="100" w:afterAutospacing="1" w:line="480" w:lineRule="auto"/>
        <w:ind w:left="284"/>
        <w:jc w:val="both"/>
        <w:rPr>
          <w:rFonts w:ascii="Palatino Linotype" w:eastAsia="Times New Roman" w:hAnsi="Palatino Linotype"/>
          <w:sz w:val="24"/>
          <w:szCs w:val="24"/>
        </w:rPr>
      </w:pPr>
      <w:r w:rsidRPr="00FE2408">
        <w:rPr>
          <w:rFonts w:ascii="Palatino Linotype" w:eastAsia="Times New Roman" w:hAnsi="Palatino Linotype"/>
          <w:noProof/>
          <w:sz w:val="24"/>
          <w:szCs w:val="24"/>
          <w:lang w:val="en-GB" w:eastAsia="en-GB"/>
        </w:rPr>
        <w:lastRenderedPageBreak/>
        <mc:AlternateContent>
          <mc:Choice Requires="wps">
            <w:drawing>
              <wp:anchor distT="0" distB="0" distL="114300" distR="114300" simplePos="0" relativeHeight="251659264" behindDoc="0" locked="0" layoutInCell="1" allowOverlap="1" wp14:anchorId="3372BE5B" wp14:editId="53FD714A">
                <wp:simplePos x="0" y="0"/>
                <wp:positionH relativeFrom="column">
                  <wp:posOffset>76200</wp:posOffset>
                </wp:positionH>
                <wp:positionV relativeFrom="paragraph">
                  <wp:posOffset>1071245</wp:posOffset>
                </wp:positionV>
                <wp:extent cx="1186815" cy="1926590"/>
                <wp:effectExtent l="9525" t="6350" r="13335" b="1016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815" cy="1926590"/>
                        </a:xfrm>
                        <a:prstGeom prst="rect">
                          <a:avLst/>
                        </a:prstGeom>
                        <a:solidFill>
                          <a:schemeClr val="bg1">
                            <a:lumMod val="85000"/>
                            <a:lumOff val="0"/>
                          </a:schemeClr>
                        </a:solidFill>
                        <a:ln w="9525">
                          <a:solidFill>
                            <a:schemeClr val="bg1">
                              <a:lumMod val="100000"/>
                              <a:lumOff val="0"/>
                            </a:schemeClr>
                          </a:solidFill>
                          <a:miter lim="800000"/>
                          <a:headEnd/>
                          <a:tailEnd/>
                        </a:ln>
                      </wps:spPr>
                      <wps:txbx>
                        <w:txbxContent>
                          <w:p w:rsidR="00BE51F2" w:rsidRPr="006C2C59" w:rsidRDefault="00BE51F2" w:rsidP="00BE51F2">
                            <w:pPr>
                              <w:spacing w:after="0" w:line="240" w:lineRule="auto"/>
                              <w:rPr>
                                <w:b/>
                                <w:sz w:val="28"/>
                                <w:szCs w:val="28"/>
                              </w:rPr>
                            </w:pPr>
                            <w:r w:rsidRPr="006C2C59">
                              <w:rPr>
                                <w:b/>
                                <w:sz w:val="28"/>
                                <w:szCs w:val="28"/>
                              </w:rPr>
                              <w:t>Figure 1:</w:t>
                            </w:r>
                          </w:p>
                          <w:p w:rsidR="00BE51F2" w:rsidRDefault="00BE51F2" w:rsidP="00BE51F2">
                            <w:pPr>
                              <w:spacing w:after="0" w:line="240" w:lineRule="auto"/>
                            </w:pPr>
                            <w:r>
                              <w:rPr>
                                <w:sz w:val="28"/>
                                <w:szCs w:val="28"/>
                              </w:rPr>
                              <w:t>…</w:t>
                            </w:r>
                            <w:r w:rsidRPr="006C2C59">
                              <w:rPr>
                                <w:sz w:val="28"/>
                                <w:szCs w:val="28"/>
                              </w:rPr>
                              <w:t xml:space="preserve"> from simulation to specialised clinic – GP clinics are central to the p</w:t>
                            </w:r>
                            <w:r>
                              <w:rPr>
                                <w:sz w:val="28"/>
                                <w:szCs w:val="28"/>
                              </w:rPr>
                              <w:t>rogression.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pt;margin-top:84.35pt;width:93.45pt;height:15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" fillcolor="#d8d8d8 [2732]" strokecolor="white [3212]">
                <v:textbox>
                  <w:txbxContent>
                    <w:p w:rsidR="00BE51F2" w:rsidRPr="006C2C59" w:rsidRDefault="00BE51F2" w:rsidP="00BE51F2">
                      <w:pPr>
                        <w:spacing w:after="0" w:line="240" w:lineRule="auto"/>
                        <w:rPr>
                          <w:b/>
                          <w:sz w:val="28"/>
                          <w:szCs w:val="28"/>
                        </w:rPr>
                      </w:pPr>
                      <w:r w:rsidRPr="006C2C59">
                        <w:rPr>
                          <w:b/>
                          <w:sz w:val="28"/>
                          <w:szCs w:val="28"/>
                        </w:rPr>
                        <w:t>Figure 1:</w:t>
                      </w:r>
                    </w:p>
                    <w:p w:rsidR="00BE51F2" w:rsidRDefault="00BE51F2" w:rsidP="00BE51F2">
                      <w:pPr>
                        <w:spacing w:after="0" w:line="240" w:lineRule="auto"/>
                      </w:pPr>
                      <w:r>
                        <w:rPr>
                          <w:sz w:val="28"/>
                          <w:szCs w:val="28"/>
                        </w:rPr>
                        <w:t>…</w:t>
                      </w:r>
                      <w:r w:rsidRPr="006C2C59">
                        <w:rPr>
                          <w:sz w:val="28"/>
                          <w:szCs w:val="28"/>
                        </w:rPr>
                        <w:t xml:space="preserve"> </w:t>
                      </w:r>
                      <w:proofErr w:type="gramStart"/>
                      <w:r w:rsidRPr="006C2C59">
                        <w:rPr>
                          <w:sz w:val="28"/>
                          <w:szCs w:val="28"/>
                        </w:rPr>
                        <w:t>from</w:t>
                      </w:r>
                      <w:proofErr w:type="gramEnd"/>
                      <w:r w:rsidRPr="006C2C59">
                        <w:rPr>
                          <w:sz w:val="28"/>
                          <w:szCs w:val="28"/>
                        </w:rPr>
                        <w:t xml:space="preserve"> simulation to specialised clinic – GP clinics are central to the p</w:t>
                      </w:r>
                      <w:r>
                        <w:rPr>
                          <w:sz w:val="28"/>
                          <w:szCs w:val="28"/>
                        </w:rPr>
                        <w:t>rogression.</w:t>
                      </w:r>
                    </w:p>
                  </w:txbxContent>
                </v:textbox>
              </v:shape>
            </w:pict>
          </mc:Fallback>
        </mc:AlternateContent>
      </w:r>
      <w:r w:rsidRPr="00FE2408">
        <w:rPr>
          <w:rFonts w:ascii="Palatino Linotype" w:eastAsia="Times New Roman" w:hAnsi="Palatino Linotype"/>
          <w:noProof/>
          <w:sz w:val="24"/>
          <w:szCs w:val="24"/>
          <w:lang w:val="en-GB" w:eastAsia="en-GB"/>
        </w:rPr>
        <w:drawing>
          <wp:inline distT="0" distB="0" distL="0" distR="0" wp14:anchorId="3CF0019E" wp14:editId="5E7AED27">
            <wp:extent cx="5486400" cy="3200400"/>
            <wp:effectExtent l="0" t="3810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BE51F2" w:rsidRPr="00FE2408" w:rsidRDefault="00BE51F2" w:rsidP="005D078E">
      <w:pPr>
        <w:shd w:val="clear" w:color="auto" w:fill="FFFFFF"/>
        <w:spacing w:before="100" w:beforeAutospacing="1" w:after="100" w:afterAutospacing="1" w:line="480" w:lineRule="auto"/>
        <w:ind w:left="284"/>
        <w:jc w:val="both"/>
        <w:rPr>
          <w:rFonts w:ascii="Palatino Linotype" w:eastAsia="Times New Roman" w:hAnsi="Palatino Linotype"/>
          <w:sz w:val="24"/>
          <w:szCs w:val="24"/>
        </w:rPr>
      </w:pPr>
      <w:r w:rsidRPr="00FE2408">
        <w:rPr>
          <w:rFonts w:ascii="Palatino Linotype" w:eastAsia="Times New Roman" w:hAnsi="Palatino Linotype"/>
          <w:sz w:val="24"/>
          <w:szCs w:val="24"/>
        </w:rPr>
        <w:t xml:space="preserve">Despite these profound connections, there are occasional queries about the legitimacy of describing a specialised clinic as a ‘clinic’. </w:t>
      </w:r>
    </w:p>
    <w:p w:rsidR="00BE51F2" w:rsidRPr="00FE2408" w:rsidRDefault="00BE51F2" w:rsidP="005D078E">
      <w:pPr>
        <w:shd w:val="clear" w:color="auto" w:fill="FFFFFF"/>
        <w:spacing w:after="0" w:line="480" w:lineRule="auto"/>
        <w:ind w:left="284"/>
        <w:jc w:val="both"/>
        <w:rPr>
          <w:rFonts w:ascii="Palatino Linotype" w:hAnsi="Palatino Linotype"/>
          <w:sz w:val="24"/>
          <w:szCs w:val="24"/>
        </w:rPr>
      </w:pPr>
      <w:r w:rsidRPr="00FE2408">
        <w:rPr>
          <w:rFonts w:ascii="Palatino Linotype" w:hAnsi="Palatino Linotype"/>
          <w:sz w:val="24"/>
          <w:szCs w:val="24"/>
        </w:rPr>
        <w:t>The following case studies from Monash University tease out the difficulty of achieving externship best practice in concrete, specialised settings.</w:t>
      </w:r>
    </w:p>
    <w:p w:rsidR="00444D27" w:rsidRDefault="00444D27" w:rsidP="005D078E">
      <w:pPr>
        <w:shd w:val="clear" w:color="auto" w:fill="FFFFFF"/>
        <w:tabs>
          <w:tab w:val="left" w:pos="2552"/>
        </w:tabs>
        <w:spacing w:before="100" w:beforeAutospacing="1" w:after="100" w:afterAutospacing="1" w:line="480" w:lineRule="auto"/>
        <w:ind w:left="284"/>
        <w:jc w:val="both"/>
        <w:rPr>
          <w:rFonts w:ascii="Palatino Linotype" w:eastAsia="Times New Roman" w:hAnsi="Palatino Linotype"/>
          <w:b/>
          <w:sz w:val="24"/>
          <w:szCs w:val="24"/>
        </w:rPr>
      </w:pPr>
    </w:p>
    <w:p w:rsidR="00BE51F2" w:rsidRPr="005D078E" w:rsidRDefault="005D078E" w:rsidP="005D078E">
      <w:pPr>
        <w:shd w:val="clear" w:color="auto" w:fill="FFFFFF"/>
        <w:tabs>
          <w:tab w:val="left" w:pos="2552"/>
        </w:tabs>
        <w:spacing w:before="100" w:beforeAutospacing="1" w:after="100" w:afterAutospacing="1" w:line="480" w:lineRule="auto"/>
        <w:ind w:left="284"/>
        <w:jc w:val="both"/>
        <w:rPr>
          <w:rFonts w:ascii="Palatino Linotype" w:eastAsia="Times New Roman" w:hAnsi="Palatino Linotype"/>
          <w:sz w:val="24"/>
          <w:szCs w:val="24"/>
        </w:rPr>
      </w:pPr>
      <w:r w:rsidRPr="005D078E">
        <w:rPr>
          <w:rFonts w:ascii="Palatino Linotype" w:eastAsia="Times New Roman" w:hAnsi="Palatino Linotype"/>
          <w:sz w:val="24"/>
          <w:szCs w:val="24"/>
        </w:rPr>
        <w:t xml:space="preserve">CASE STUDY – THE MONASH FACULTY OF LAW SUITE OF CLINICAL OFFERINGS </w:t>
      </w:r>
    </w:p>
    <w:p w:rsidR="00BE51F2" w:rsidRPr="00FE2408" w:rsidRDefault="00BE51F2" w:rsidP="005D078E">
      <w:pPr>
        <w:shd w:val="clear" w:color="auto" w:fill="FFFFFF"/>
        <w:spacing w:before="100" w:beforeAutospacing="1" w:after="100" w:afterAutospacing="1" w:line="480" w:lineRule="auto"/>
        <w:ind w:left="284"/>
        <w:jc w:val="both"/>
        <w:rPr>
          <w:rFonts w:ascii="Palatino Linotype" w:eastAsia="Times New Roman" w:hAnsi="Palatino Linotype"/>
          <w:sz w:val="24"/>
          <w:szCs w:val="24"/>
        </w:rPr>
      </w:pPr>
      <w:r w:rsidRPr="00FE2408">
        <w:rPr>
          <w:rFonts w:ascii="Palatino Linotype" w:eastAsia="Times New Roman" w:hAnsi="Palatino Linotype"/>
          <w:sz w:val="24"/>
          <w:szCs w:val="24"/>
        </w:rPr>
        <w:t xml:space="preserve">Currently, Monash Law offers a suite of seven ‘specialist’ clinics which operate as externships inside a ‘shell’ unit known as </w:t>
      </w:r>
      <w:r w:rsidRPr="00FE2408">
        <w:rPr>
          <w:rFonts w:ascii="Palatino Linotype" w:eastAsia="Times New Roman" w:hAnsi="Palatino Linotype"/>
          <w:i/>
          <w:sz w:val="24"/>
          <w:szCs w:val="24"/>
        </w:rPr>
        <w:t>Clinical Externship</w:t>
      </w:r>
      <w:r w:rsidRPr="00FE2408">
        <w:rPr>
          <w:rFonts w:ascii="Palatino Linotype" w:eastAsia="Times New Roman" w:hAnsi="Palatino Linotype"/>
          <w:sz w:val="24"/>
          <w:szCs w:val="24"/>
        </w:rPr>
        <w:t xml:space="preserve">, in addition to the original and primary clinical unit, </w:t>
      </w:r>
      <w:r w:rsidRPr="00FE2408">
        <w:rPr>
          <w:rFonts w:ascii="Palatino Linotype" w:eastAsia="Times New Roman" w:hAnsi="Palatino Linotype"/>
          <w:i/>
          <w:iCs/>
          <w:sz w:val="24"/>
          <w:szCs w:val="24"/>
        </w:rPr>
        <w:t>Professional Practi</w:t>
      </w:r>
      <w:r w:rsidRPr="00FA1D36">
        <w:rPr>
          <w:rFonts w:ascii="Palatino Linotype" w:eastAsia="Times New Roman" w:hAnsi="Palatino Linotype"/>
          <w:i/>
          <w:sz w:val="24"/>
          <w:szCs w:val="24"/>
        </w:rPr>
        <w:t>ce</w:t>
      </w:r>
      <w:r w:rsidRPr="00FE2408">
        <w:rPr>
          <w:rFonts w:ascii="Palatino Linotype" w:eastAsia="Times New Roman" w:hAnsi="Palatino Linotype"/>
          <w:sz w:val="24"/>
          <w:szCs w:val="24"/>
        </w:rPr>
        <w:t xml:space="preserve">. </w:t>
      </w:r>
    </w:p>
    <w:p w:rsidR="00444D27" w:rsidRDefault="00BE51F2" w:rsidP="005D078E">
      <w:pPr>
        <w:shd w:val="clear" w:color="auto" w:fill="FFFFFF"/>
        <w:spacing w:before="100" w:beforeAutospacing="1" w:after="0" w:line="480" w:lineRule="auto"/>
        <w:ind w:left="284"/>
        <w:jc w:val="both"/>
        <w:rPr>
          <w:rFonts w:ascii="Palatino Linotype" w:eastAsia="Times New Roman" w:hAnsi="Palatino Linotype"/>
          <w:sz w:val="24"/>
          <w:szCs w:val="24"/>
        </w:rPr>
      </w:pPr>
      <w:r w:rsidRPr="00FE2408">
        <w:rPr>
          <w:rFonts w:ascii="Palatino Linotype" w:eastAsia="Times New Roman" w:hAnsi="Palatino Linotype"/>
          <w:sz w:val="24"/>
          <w:szCs w:val="24"/>
        </w:rPr>
        <w:lastRenderedPageBreak/>
        <w:t xml:space="preserve">In some of these specialist clinics, a student who seeks entry and who has satisfactorily completed </w:t>
      </w:r>
      <w:r w:rsidRPr="00FE2408">
        <w:rPr>
          <w:rFonts w:ascii="Palatino Linotype" w:eastAsia="Times New Roman" w:hAnsi="Palatino Linotype"/>
          <w:i/>
          <w:sz w:val="24"/>
          <w:szCs w:val="24"/>
        </w:rPr>
        <w:t>Professional Practice</w:t>
      </w:r>
      <w:r w:rsidRPr="00FE2408">
        <w:rPr>
          <w:rFonts w:ascii="Palatino Linotype" w:eastAsia="Times New Roman" w:hAnsi="Palatino Linotype"/>
          <w:sz w:val="24"/>
          <w:szCs w:val="24"/>
        </w:rPr>
        <w:t xml:space="preserve"> will receive priority consideration over other equally credentialed students who have not completed </w:t>
      </w:r>
      <w:r w:rsidRPr="00FE2408">
        <w:rPr>
          <w:rFonts w:ascii="Palatino Linotype" w:eastAsia="Times New Roman" w:hAnsi="Palatino Linotype"/>
          <w:i/>
          <w:sz w:val="24"/>
          <w:szCs w:val="24"/>
        </w:rPr>
        <w:t>Professional Practice</w:t>
      </w:r>
      <w:r w:rsidRPr="00FE2408">
        <w:rPr>
          <w:rFonts w:ascii="Palatino Linotype" w:eastAsia="Times New Roman" w:hAnsi="Palatino Linotype"/>
          <w:sz w:val="24"/>
          <w:szCs w:val="24"/>
        </w:rPr>
        <w:t xml:space="preserve">. </w:t>
      </w:r>
    </w:p>
    <w:p w:rsidR="00BE51F2" w:rsidRPr="00FE2408" w:rsidRDefault="00BE51F2" w:rsidP="005D078E">
      <w:pPr>
        <w:shd w:val="clear" w:color="auto" w:fill="FFFFFF"/>
        <w:spacing w:before="100" w:beforeAutospacing="1" w:after="0" w:line="480" w:lineRule="auto"/>
        <w:ind w:left="284"/>
        <w:jc w:val="both"/>
        <w:rPr>
          <w:rFonts w:ascii="Palatino Linotype" w:eastAsia="Times New Roman" w:hAnsi="Palatino Linotype"/>
          <w:sz w:val="24"/>
          <w:szCs w:val="24"/>
        </w:rPr>
      </w:pPr>
      <w:r w:rsidRPr="00FE2408">
        <w:rPr>
          <w:rFonts w:ascii="Palatino Linotype" w:eastAsia="Times New Roman" w:hAnsi="Palatino Linotype"/>
          <w:sz w:val="24"/>
          <w:szCs w:val="24"/>
        </w:rPr>
        <w:t>The priority entry process is intended to emphasise and incentivise the sequential nature of clinical methods for Monash Law students in the manner outlined above.</w:t>
      </w:r>
    </w:p>
    <w:p w:rsidR="00BE51F2" w:rsidRPr="00FE2408" w:rsidRDefault="00BE51F2" w:rsidP="005D078E">
      <w:pPr>
        <w:pStyle w:val="Heading3"/>
        <w:shd w:val="clear" w:color="auto" w:fill="FFFFFF"/>
        <w:spacing w:before="45" w:line="480" w:lineRule="auto"/>
        <w:ind w:left="284"/>
        <w:jc w:val="both"/>
        <w:textAlignment w:val="baseline"/>
        <w:rPr>
          <w:rFonts w:ascii="Palatino Linotype" w:hAnsi="Palatino Linotype" w:cstheme="minorBidi"/>
          <w:b w:val="0"/>
          <w:bCs w:val="0"/>
          <w:color w:val="auto"/>
          <w:sz w:val="24"/>
          <w:szCs w:val="24"/>
          <w:u w:val="single"/>
        </w:rPr>
      </w:pPr>
      <w:r w:rsidRPr="00FE2408">
        <w:rPr>
          <w:rFonts w:ascii="Palatino Linotype" w:hAnsi="Palatino Linotype" w:cstheme="minorBidi"/>
          <w:b w:val="0"/>
          <w:bCs w:val="0"/>
          <w:color w:val="auto"/>
          <w:sz w:val="24"/>
          <w:szCs w:val="24"/>
        </w:rPr>
        <w:t xml:space="preserve">The published outcomes for these specialist clinics identify that at the </w:t>
      </w:r>
      <w:r w:rsidRPr="00FE2408">
        <w:rPr>
          <w:rFonts w:ascii="Palatino Linotype" w:eastAsia="Times New Roman" w:hAnsi="Palatino Linotype" w:cstheme="minorBidi"/>
          <w:b w:val="0"/>
          <w:color w:val="auto"/>
          <w:sz w:val="24"/>
          <w:szCs w:val="24"/>
        </w:rPr>
        <w:t>completion of the unit students should</w:t>
      </w:r>
      <w:r w:rsidRPr="00FA1D36">
        <w:rPr>
          <w:rFonts w:ascii="Palatino Linotype" w:hAnsi="Palatino Linotype" w:cstheme="minorBidi"/>
          <w:b w:val="0"/>
          <w:bCs w:val="0"/>
          <w:color w:val="auto"/>
          <w:sz w:val="24"/>
          <w:szCs w:val="24"/>
        </w:rPr>
        <w:t>:</w:t>
      </w:r>
    </w:p>
    <w:p w:rsidR="00BE51F2" w:rsidRPr="00444D27" w:rsidRDefault="00BE51F2" w:rsidP="005D078E">
      <w:pPr>
        <w:numPr>
          <w:ilvl w:val="0"/>
          <w:numId w:val="1"/>
        </w:numPr>
        <w:spacing w:after="0" w:line="480" w:lineRule="auto"/>
        <w:ind w:left="709" w:hanging="425"/>
        <w:jc w:val="both"/>
        <w:textAlignment w:val="baseline"/>
        <w:rPr>
          <w:rFonts w:ascii="Palatino Linotype" w:eastAsia="Times New Roman" w:hAnsi="Palatino Linotype"/>
          <w:i/>
          <w:sz w:val="24"/>
          <w:szCs w:val="24"/>
        </w:rPr>
      </w:pPr>
      <w:r w:rsidRPr="00444D27">
        <w:rPr>
          <w:rFonts w:ascii="Palatino Linotype" w:eastAsia="Times New Roman" w:hAnsi="Palatino Linotype"/>
          <w:i/>
          <w:sz w:val="24"/>
          <w:szCs w:val="24"/>
        </w:rPr>
        <w:t xml:space="preserve">have further developed the personal and communication skills acquired  </w:t>
      </w:r>
      <w:r w:rsidR="00444D27" w:rsidRPr="00444D27">
        <w:rPr>
          <w:rFonts w:ascii="Palatino Linotype" w:eastAsia="Times New Roman" w:hAnsi="Palatino Linotype"/>
          <w:i/>
          <w:sz w:val="24"/>
          <w:szCs w:val="24"/>
        </w:rPr>
        <w:t>in</w:t>
      </w:r>
      <w:r w:rsidRPr="00444D27" w:rsidDel="00D303BD">
        <w:rPr>
          <w:rFonts w:ascii="Palatino Linotype" w:hAnsi="Palatino Linotype"/>
          <w:i/>
          <w:sz w:val="24"/>
          <w:szCs w:val="24"/>
        </w:rPr>
        <w:t xml:space="preserve"> </w:t>
      </w:r>
      <w:r w:rsidRPr="00444D27">
        <w:rPr>
          <w:rFonts w:ascii="Palatino Linotype" w:eastAsia="Times New Roman" w:hAnsi="Palatino Linotype"/>
          <w:i/>
          <w:sz w:val="24"/>
          <w:szCs w:val="24"/>
        </w:rPr>
        <w:t>Professional Practice to a higher level of sophistication</w:t>
      </w:r>
    </w:p>
    <w:p w:rsidR="00BE51F2" w:rsidRPr="00444D27" w:rsidRDefault="00BE51F2" w:rsidP="005D078E">
      <w:pPr>
        <w:numPr>
          <w:ilvl w:val="0"/>
          <w:numId w:val="1"/>
        </w:numPr>
        <w:spacing w:after="0" w:line="480" w:lineRule="auto"/>
        <w:ind w:left="284" w:firstLine="0"/>
        <w:jc w:val="both"/>
        <w:textAlignment w:val="baseline"/>
        <w:rPr>
          <w:rFonts w:ascii="Palatino Linotype" w:eastAsia="Times New Roman" w:hAnsi="Palatino Linotype"/>
          <w:i/>
          <w:sz w:val="24"/>
          <w:szCs w:val="24"/>
        </w:rPr>
      </w:pPr>
      <w:r w:rsidRPr="00444D27">
        <w:rPr>
          <w:rFonts w:ascii="Palatino Linotype" w:eastAsia="Times New Roman" w:hAnsi="Palatino Linotype"/>
          <w:i/>
          <w:sz w:val="24"/>
          <w:szCs w:val="24"/>
        </w:rPr>
        <w:t>have a good understanding of the principles of law in their chosen area</w:t>
      </w:r>
    </w:p>
    <w:p w:rsidR="00BE51F2" w:rsidRPr="00444D27" w:rsidRDefault="00BE51F2" w:rsidP="005D078E">
      <w:pPr>
        <w:numPr>
          <w:ilvl w:val="0"/>
          <w:numId w:val="1"/>
        </w:numPr>
        <w:spacing w:after="0" w:line="480" w:lineRule="auto"/>
        <w:ind w:left="284" w:firstLine="0"/>
        <w:jc w:val="both"/>
        <w:textAlignment w:val="baseline"/>
        <w:rPr>
          <w:rFonts w:ascii="Palatino Linotype" w:eastAsia="Times New Roman" w:hAnsi="Palatino Linotype"/>
          <w:i/>
          <w:sz w:val="24"/>
          <w:szCs w:val="24"/>
        </w:rPr>
      </w:pPr>
      <w:r w:rsidRPr="00444D27">
        <w:rPr>
          <w:rFonts w:ascii="Palatino Linotype" w:eastAsia="Times New Roman" w:hAnsi="Palatino Linotype"/>
          <w:i/>
          <w:sz w:val="24"/>
          <w:szCs w:val="24"/>
        </w:rPr>
        <w:t>have an understanding of the practical application of the law in their chosen area</w:t>
      </w:r>
    </w:p>
    <w:p w:rsidR="00BE51F2" w:rsidRPr="00444D27" w:rsidRDefault="00BE51F2" w:rsidP="005D078E">
      <w:pPr>
        <w:numPr>
          <w:ilvl w:val="0"/>
          <w:numId w:val="1"/>
        </w:numPr>
        <w:spacing w:after="0" w:line="480" w:lineRule="auto"/>
        <w:ind w:left="284" w:firstLine="0"/>
        <w:jc w:val="both"/>
        <w:textAlignment w:val="baseline"/>
        <w:rPr>
          <w:rFonts w:ascii="Palatino Linotype" w:eastAsia="Times New Roman" w:hAnsi="Palatino Linotype"/>
          <w:i/>
          <w:sz w:val="24"/>
          <w:szCs w:val="24"/>
        </w:rPr>
      </w:pPr>
      <w:r w:rsidRPr="00444D27">
        <w:rPr>
          <w:rFonts w:ascii="Palatino Linotype" w:eastAsia="Times New Roman" w:hAnsi="Palatino Linotype"/>
          <w:i/>
          <w:sz w:val="24"/>
          <w:szCs w:val="24"/>
        </w:rPr>
        <w:t>be able to assess the effectiveness of the law and applicable legal remedies in their chosen area</w:t>
      </w:r>
    </w:p>
    <w:p w:rsidR="00BE51F2" w:rsidRPr="00444D27" w:rsidRDefault="00BE51F2" w:rsidP="005D078E">
      <w:pPr>
        <w:numPr>
          <w:ilvl w:val="0"/>
          <w:numId w:val="1"/>
        </w:numPr>
        <w:spacing w:after="0" w:line="480" w:lineRule="auto"/>
        <w:ind w:left="709" w:hanging="425"/>
        <w:jc w:val="both"/>
        <w:textAlignment w:val="baseline"/>
        <w:rPr>
          <w:rFonts w:ascii="Palatino Linotype" w:eastAsia="Times New Roman" w:hAnsi="Palatino Linotype"/>
          <w:i/>
          <w:sz w:val="24"/>
          <w:szCs w:val="24"/>
        </w:rPr>
      </w:pPr>
      <w:r w:rsidRPr="00444D27">
        <w:rPr>
          <w:rFonts w:ascii="Palatino Linotype" w:eastAsia="Times New Roman" w:hAnsi="Palatino Linotype"/>
          <w:i/>
          <w:sz w:val="24"/>
          <w:szCs w:val="24"/>
        </w:rPr>
        <w:t>have further developed their ability to work jointly with a professional in another discipline</w:t>
      </w:r>
    </w:p>
    <w:p w:rsidR="00BE51F2" w:rsidRPr="00444D27" w:rsidRDefault="00BE51F2" w:rsidP="005D078E">
      <w:pPr>
        <w:numPr>
          <w:ilvl w:val="0"/>
          <w:numId w:val="1"/>
        </w:numPr>
        <w:spacing w:after="0" w:line="480" w:lineRule="auto"/>
        <w:ind w:left="284" w:firstLine="0"/>
        <w:jc w:val="both"/>
        <w:textAlignment w:val="baseline"/>
        <w:rPr>
          <w:rFonts w:ascii="Palatino Linotype" w:eastAsia="Times New Roman" w:hAnsi="Palatino Linotype"/>
          <w:i/>
          <w:sz w:val="24"/>
          <w:szCs w:val="24"/>
        </w:rPr>
      </w:pPr>
      <w:r w:rsidRPr="00444D27">
        <w:rPr>
          <w:rFonts w:ascii="Palatino Linotype" w:eastAsia="Times New Roman" w:hAnsi="Palatino Linotype"/>
          <w:i/>
          <w:sz w:val="24"/>
          <w:szCs w:val="24"/>
        </w:rPr>
        <w:t>graduate with highly developed skills and recognised expertise in their chosen field.</w:t>
      </w:r>
    </w:p>
    <w:p w:rsidR="00BE51F2" w:rsidRPr="00444D27" w:rsidRDefault="00BE51F2" w:rsidP="005D078E">
      <w:pPr>
        <w:spacing w:after="0" w:line="480" w:lineRule="auto"/>
        <w:ind w:left="284"/>
        <w:jc w:val="both"/>
        <w:textAlignment w:val="baseline"/>
        <w:rPr>
          <w:rFonts w:ascii="Palatino Linotype" w:eastAsia="Times New Roman" w:hAnsi="Palatino Linotype"/>
          <w:sz w:val="24"/>
          <w:szCs w:val="24"/>
        </w:rPr>
      </w:pPr>
      <w:r w:rsidRPr="00444D27">
        <w:rPr>
          <w:rFonts w:ascii="Palatino Linotype" w:eastAsia="Times New Roman" w:hAnsi="Palatino Linotype"/>
          <w:sz w:val="24"/>
          <w:szCs w:val="24"/>
        </w:rPr>
        <w:t>The seven specialist clinics are:</w:t>
      </w:r>
    </w:p>
    <w:p w:rsidR="00BE51F2" w:rsidRPr="00FE2408" w:rsidRDefault="00BE51F2" w:rsidP="005D078E">
      <w:pPr>
        <w:numPr>
          <w:ilvl w:val="0"/>
          <w:numId w:val="5"/>
        </w:numPr>
        <w:spacing w:after="0" w:line="480" w:lineRule="auto"/>
        <w:jc w:val="both"/>
        <w:textAlignment w:val="baseline"/>
        <w:rPr>
          <w:rFonts w:ascii="Palatino Linotype" w:eastAsia="Times New Roman" w:hAnsi="Palatino Linotype"/>
          <w:sz w:val="24"/>
          <w:szCs w:val="24"/>
        </w:rPr>
      </w:pPr>
      <w:r w:rsidRPr="00FE2408">
        <w:rPr>
          <w:rFonts w:ascii="Palatino Linotype" w:eastAsia="Times New Roman" w:hAnsi="Palatino Linotype"/>
          <w:sz w:val="24"/>
          <w:szCs w:val="24"/>
        </w:rPr>
        <w:lastRenderedPageBreak/>
        <w:t>Sexual Assault Clinic</w:t>
      </w:r>
      <w:r w:rsidRPr="00FE2408">
        <w:rPr>
          <w:rStyle w:val="FootnoteReference"/>
          <w:rFonts w:ascii="Palatino Linotype" w:hAnsi="Palatino Linotype"/>
          <w:sz w:val="24"/>
          <w:szCs w:val="24"/>
        </w:rPr>
        <w:footnoteReference w:id="12"/>
      </w:r>
      <w:r w:rsidRPr="00FE2408">
        <w:rPr>
          <w:rFonts w:ascii="Palatino Linotype" w:eastAsia="Times New Roman" w:hAnsi="Palatino Linotype"/>
          <w:sz w:val="24"/>
          <w:szCs w:val="24"/>
        </w:rPr>
        <w:t xml:space="preserve"> - in conjunction with the South Eastern Centre Against Sexual Assault (SECASA) at Springvale Monash Legal Service (4 places, three times per year) - legal services to victims of sexual assault.</w:t>
      </w:r>
    </w:p>
    <w:p w:rsidR="00BE51F2" w:rsidRPr="00FE2408" w:rsidRDefault="00BE51F2" w:rsidP="005D078E">
      <w:pPr>
        <w:numPr>
          <w:ilvl w:val="0"/>
          <w:numId w:val="5"/>
        </w:numPr>
        <w:spacing w:after="0" w:line="480" w:lineRule="auto"/>
        <w:jc w:val="both"/>
        <w:textAlignment w:val="baseline"/>
        <w:rPr>
          <w:rFonts w:ascii="Palatino Linotype" w:eastAsia="Times New Roman" w:hAnsi="Palatino Linotype"/>
          <w:sz w:val="24"/>
          <w:szCs w:val="24"/>
        </w:rPr>
      </w:pPr>
      <w:r w:rsidRPr="00FE2408">
        <w:rPr>
          <w:rFonts w:ascii="Palatino Linotype" w:eastAsia="Times New Roman" w:hAnsi="Palatino Linotype"/>
          <w:sz w:val="24"/>
          <w:szCs w:val="24"/>
        </w:rPr>
        <w:t xml:space="preserve">Human Rights Clinic - in conjunction with the </w:t>
      </w:r>
      <w:proofErr w:type="spellStart"/>
      <w:r w:rsidRPr="00FE2408">
        <w:rPr>
          <w:rFonts w:ascii="Palatino Linotype" w:eastAsia="Times New Roman" w:hAnsi="Palatino Linotype"/>
          <w:sz w:val="24"/>
          <w:szCs w:val="24"/>
        </w:rPr>
        <w:t>Castan</w:t>
      </w:r>
      <w:proofErr w:type="spellEnd"/>
      <w:r w:rsidRPr="00FE2408">
        <w:rPr>
          <w:rFonts w:ascii="Palatino Linotype" w:eastAsia="Times New Roman" w:hAnsi="Palatino Linotype"/>
          <w:sz w:val="24"/>
          <w:szCs w:val="24"/>
        </w:rPr>
        <w:t xml:space="preserve"> Centre for Human Rights at Holding Redlich, Solicitors (2 places, twice a year) - litigation involving human rights in the broadest sense - everything from compensation for workplace injuries and discrimination to assisting asylum seekers and elderly victims of fraud and predatory lending. Immediate casework supervision is provided by the law firm and academic coordination by a member of the clinical staff.</w:t>
      </w:r>
    </w:p>
    <w:p w:rsidR="00BE51F2" w:rsidRPr="00FE2408" w:rsidRDefault="00BE51F2" w:rsidP="005D078E">
      <w:pPr>
        <w:numPr>
          <w:ilvl w:val="0"/>
          <w:numId w:val="5"/>
        </w:numPr>
        <w:spacing w:after="0" w:line="480" w:lineRule="auto"/>
        <w:jc w:val="both"/>
        <w:textAlignment w:val="baseline"/>
        <w:rPr>
          <w:rFonts w:ascii="Palatino Linotype" w:eastAsia="Times New Roman" w:hAnsi="Palatino Linotype"/>
          <w:sz w:val="24"/>
          <w:szCs w:val="24"/>
        </w:rPr>
      </w:pPr>
      <w:r w:rsidRPr="00FE2408">
        <w:rPr>
          <w:rFonts w:ascii="Palatino Linotype" w:eastAsia="Times New Roman" w:hAnsi="Palatino Linotype"/>
          <w:sz w:val="24"/>
          <w:szCs w:val="24"/>
        </w:rPr>
        <w:t>Family Violence Clinic - assisting victims of Family Violence (2 places, three times per year) - assisting victims of family violence by attending the court on family violence list days and assisting the duty lawyer to help clients make victims of crime applications to the Victims of Crime Tribunal (Victoria).</w:t>
      </w:r>
    </w:p>
    <w:p w:rsidR="00BE51F2" w:rsidRPr="00FE2408" w:rsidRDefault="00BE51F2" w:rsidP="005D078E">
      <w:pPr>
        <w:numPr>
          <w:ilvl w:val="0"/>
          <w:numId w:val="5"/>
        </w:numPr>
        <w:spacing w:after="0" w:line="480" w:lineRule="auto"/>
        <w:jc w:val="both"/>
        <w:textAlignment w:val="baseline"/>
        <w:rPr>
          <w:rFonts w:ascii="Palatino Linotype" w:eastAsia="Times New Roman" w:hAnsi="Palatino Linotype"/>
          <w:sz w:val="24"/>
          <w:szCs w:val="24"/>
        </w:rPr>
      </w:pPr>
      <w:proofErr w:type="spellStart"/>
      <w:r w:rsidRPr="00FE2408">
        <w:rPr>
          <w:rFonts w:ascii="Palatino Linotype" w:eastAsia="Times New Roman" w:hAnsi="Palatino Linotype"/>
          <w:iCs/>
          <w:sz w:val="24"/>
          <w:szCs w:val="24"/>
        </w:rPr>
        <w:t>JobWatch</w:t>
      </w:r>
      <w:proofErr w:type="spellEnd"/>
      <w:r w:rsidRPr="00FE2408">
        <w:rPr>
          <w:rFonts w:ascii="Palatino Linotype" w:eastAsia="Times New Roman" w:hAnsi="Palatino Linotype"/>
          <w:sz w:val="24"/>
          <w:szCs w:val="24"/>
        </w:rPr>
        <w:t xml:space="preserve"> clinic - Students are based at </w:t>
      </w:r>
      <w:proofErr w:type="spellStart"/>
      <w:r w:rsidRPr="00FE2408">
        <w:rPr>
          <w:rFonts w:ascii="Palatino Linotype" w:eastAsia="Times New Roman" w:hAnsi="Palatino Linotype"/>
          <w:i/>
          <w:sz w:val="24"/>
          <w:szCs w:val="24"/>
        </w:rPr>
        <w:t>JobWatch</w:t>
      </w:r>
      <w:proofErr w:type="spellEnd"/>
      <w:r w:rsidRPr="00FE2408">
        <w:rPr>
          <w:rFonts w:ascii="Palatino Linotype" w:eastAsia="Times New Roman" w:hAnsi="Palatino Linotype"/>
          <w:sz w:val="24"/>
          <w:szCs w:val="24"/>
        </w:rPr>
        <w:t>, in central Melbourne (2 places, twice a year). Students receive extensive training and support to give advice on the telephone advice line in relation to various employment law issues, and assist with legal education materials.</w:t>
      </w:r>
    </w:p>
    <w:p w:rsidR="00BE51F2" w:rsidRPr="00FE2408" w:rsidRDefault="00BE51F2" w:rsidP="005D078E">
      <w:pPr>
        <w:numPr>
          <w:ilvl w:val="0"/>
          <w:numId w:val="5"/>
        </w:numPr>
        <w:spacing w:after="0" w:line="480" w:lineRule="auto"/>
        <w:jc w:val="both"/>
        <w:textAlignment w:val="baseline"/>
        <w:rPr>
          <w:rFonts w:ascii="Palatino Linotype" w:eastAsia="Times New Roman" w:hAnsi="Palatino Linotype"/>
          <w:sz w:val="24"/>
          <w:szCs w:val="24"/>
        </w:rPr>
      </w:pPr>
      <w:r w:rsidRPr="00FE2408">
        <w:rPr>
          <w:rFonts w:ascii="Palatino Linotype" w:eastAsia="Times New Roman" w:hAnsi="Palatino Linotype"/>
          <w:sz w:val="24"/>
          <w:szCs w:val="24"/>
        </w:rPr>
        <w:t>Monash/</w:t>
      </w:r>
      <w:proofErr w:type="spellStart"/>
      <w:r w:rsidRPr="00FE2408">
        <w:rPr>
          <w:rFonts w:ascii="Palatino Linotype" w:eastAsia="Times New Roman" w:hAnsi="Palatino Linotype"/>
          <w:sz w:val="24"/>
          <w:szCs w:val="24"/>
        </w:rPr>
        <w:t>Ashurst</w:t>
      </w:r>
      <w:proofErr w:type="spellEnd"/>
      <w:r w:rsidRPr="00FE2408">
        <w:rPr>
          <w:rFonts w:ascii="Palatino Linotype" w:eastAsia="Times New Roman" w:hAnsi="Palatino Linotype"/>
          <w:sz w:val="24"/>
          <w:szCs w:val="24"/>
        </w:rPr>
        <w:t xml:space="preserve"> Corporate Governance and Responsibility Clinic - (4 places, twice a year) This clinic is open to students who have completed </w:t>
      </w:r>
      <w:r w:rsidRPr="00FE2408">
        <w:rPr>
          <w:rFonts w:ascii="Palatino Linotype" w:eastAsia="Times New Roman" w:hAnsi="Palatino Linotype"/>
          <w:i/>
          <w:sz w:val="24"/>
          <w:szCs w:val="24"/>
        </w:rPr>
        <w:t>Corporations Law</w:t>
      </w:r>
      <w:r w:rsidRPr="00FE2408">
        <w:rPr>
          <w:rFonts w:ascii="Palatino Linotype" w:eastAsia="Times New Roman" w:hAnsi="Palatino Linotype"/>
          <w:sz w:val="24"/>
          <w:szCs w:val="24"/>
        </w:rPr>
        <w:t xml:space="preserve">. Students participating in this clinic work with faculty members, </w:t>
      </w:r>
      <w:r w:rsidRPr="00FE2408">
        <w:rPr>
          <w:rFonts w:ascii="Palatino Linotype" w:eastAsia="Times New Roman" w:hAnsi="Palatino Linotype"/>
          <w:sz w:val="24"/>
          <w:szCs w:val="24"/>
        </w:rPr>
        <w:lastRenderedPageBreak/>
        <w:t>practitioners and corporations to provide advice on corporate governance and social responsibility issues to not-for-profits and/or ASX listed companies.</w:t>
      </w:r>
    </w:p>
    <w:p w:rsidR="00BE51F2" w:rsidRDefault="00BE51F2" w:rsidP="005D078E">
      <w:pPr>
        <w:pStyle w:val="ListParagraph"/>
        <w:numPr>
          <w:ilvl w:val="0"/>
          <w:numId w:val="5"/>
        </w:numPr>
        <w:spacing w:after="0" w:line="480" w:lineRule="auto"/>
        <w:jc w:val="both"/>
        <w:rPr>
          <w:rFonts w:ascii="Palatino Linotype" w:hAnsi="Palatino Linotype"/>
          <w:sz w:val="24"/>
          <w:szCs w:val="24"/>
        </w:rPr>
      </w:pPr>
      <w:r w:rsidRPr="00FE2408">
        <w:rPr>
          <w:rFonts w:ascii="Palatino Linotype" w:hAnsi="Palatino Linotype"/>
          <w:sz w:val="24"/>
          <w:szCs w:val="24"/>
        </w:rPr>
        <w:t xml:space="preserve">Supreme Court clinic </w:t>
      </w:r>
      <w:r w:rsidRPr="00FE2408">
        <w:rPr>
          <w:rFonts w:ascii="Palatino Linotype" w:eastAsia="Times New Roman" w:hAnsi="Palatino Linotype"/>
          <w:sz w:val="24"/>
          <w:szCs w:val="24"/>
        </w:rPr>
        <w:t xml:space="preserve">(2 places, twice a year). </w:t>
      </w:r>
      <w:r w:rsidRPr="00FE2408">
        <w:rPr>
          <w:rFonts w:ascii="Palatino Linotype" w:hAnsi="Palatino Linotype"/>
          <w:sz w:val="24"/>
          <w:szCs w:val="24"/>
        </w:rPr>
        <w:t>Students participating in this clinic work with judges and other judicial staff members of the Court.  Students are required to assist judges and other judicial staff in Judges’ Chambers at the Court in drafting speeches, preparing case summaries and undertaking complex legal research. They also assist Judges’ Associates in other legal and administrative duties in Chambers and Court. As part of their assessment, students are required to prepare an oral presentation of 20 minutes on a topic approved by their court mentor in consultation with clinical legal education staff. The presentation is assessed jointly by a Judge of the Supreme Court of Victoria and a member of the clinical teaching staff of the Faculty.</w:t>
      </w:r>
    </w:p>
    <w:p w:rsidR="00BE51F2" w:rsidRPr="0035364D" w:rsidRDefault="00BE51F2" w:rsidP="005D078E">
      <w:pPr>
        <w:pStyle w:val="ListParagraph"/>
        <w:numPr>
          <w:ilvl w:val="0"/>
          <w:numId w:val="5"/>
        </w:numPr>
        <w:spacing w:after="0" w:line="480" w:lineRule="auto"/>
        <w:jc w:val="both"/>
        <w:rPr>
          <w:rFonts w:ascii="Palatino Linotype" w:hAnsi="Palatino Linotype"/>
          <w:sz w:val="24"/>
          <w:szCs w:val="24"/>
        </w:rPr>
      </w:pPr>
      <w:r w:rsidRPr="0035364D">
        <w:rPr>
          <w:rFonts w:ascii="Palatino Linotype" w:hAnsi="Palatino Linotype" w:cs="Arial"/>
          <w:sz w:val="24"/>
          <w:szCs w:val="24"/>
        </w:rPr>
        <w:t>Victorian Civil and Administrative Tribunal (VCAT) Self Help Centre (10 students, twice a year). Students attend VCAT for one full day each week over a 12 week period,  providing unrepresented parties with information about VCAT’s practices and procedures that will help parties make or defend claims in diverse areas such as planning and environmental, tenancy, consumer, guardianship, mental health, equal opportunity and building and property law.</w:t>
      </w:r>
    </w:p>
    <w:p w:rsidR="00BE51F2" w:rsidRPr="00FE2408" w:rsidRDefault="00BE51F2" w:rsidP="005D078E">
      <w:pPr>
        <w:spacing w:after="0" w:line="480" w:lineRule="auto"/>
        <w:ind w:left="284"/>
        <w:jc w:val="both"/>
        <w:textAlignment w:val="baseline"/>
        <w:rPr>
          <w:rFonts w:ascii="Palatino Linotype" w:eastAsia="Times New Roman" w:hAnsi="Palatino Linotype"/>
          <w:sz w:val="24"/>
          <w:szCs w:val="24"/>
        </w:rPr>
      </w:pPr>
      <w:r w:rsidRPr="00FE2408">
        <w:rPr>
          <w:rFonts w:ascii="Palatino Linotype" w:eastAsia="Times New Roman" w:hAnsi="Palatino Linotype"/>
          <w:sz w:val="24"/>
          <w:szCs w:val="24"/>
        </w:rPr>
        <w:t xml:space="preserve">These clinics generally follow the same assessment regime, however alterations to this format are made in discussion with the hosting body, depending on the </w:t>
      </w:r>
      <w:r w:rsidRPr="00FE2408">
        <w:rPr>
          <w:rFonts w:ascii="Palatino Linotype" w:eastAsia="Times New Roman" w:hAnsi="Palatino Linotype"/>
          <w:sz w:val="24"/>
          <w:szCs w:val="24"/>
        </w:rPr>
        <w:lastRenderedPageBreak/>
        <w:t>nature of the tasks being performed at the clinic and the educational objectives of the clinic:</w:t>
      </w:r>
    </w:p>
    <w:p w:rsidR="00BE51F2" w:rsidRPr="00FE2408" w:rsidRDefault="00BE51F2" w:rsidP="005D078E">
      <w:pPr>
        <w:spacing w:after="0" w:line="480" w:lineRule="auto"/>
        <w:ind w:left="284"/>
        <w:jc w:val="both"/>
        <w:textAlignment w:val="baseline"/>
        <w:rPr>
          <w:rFonts w:ascii="Palatino Linotype" w:eastAsia="Times New Roman" w:hAnsi="Palatino Linotype"/>
          <w:sz w:val="24"/>
          <w:szCs w:val="24"/>
        </w:rPr>
      </w:pPr>
    </w:p>
    <w:tbl>
      <w:tblPr>
        <w:tblW w:w="8631" w:type="dxa"/>
        <w:jc w:val="center"/>
        <w:tblInd w:w="-3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6041"/>
        <w:gridCol w:w="2590"/>
      </w:tblGrid>
      <w:tr w:rsidR="00BE51F2" w:rsidRPr="00FE2408" w:rsidTr="0035364D">
        <w:trPr>
          <w:trHeight w:val="728"/>
          <w:jc w:val="center"/>
        </w:trPr>
        <w:tc>
          <w:tcPr>
            <w:tcW w:w="6041" w:type="dxa"/>
            <w:shd w:val="clear" w:color="auto" w:fill="D9D9D9" w:themeFill="background1" w:themeFillShade="D9"/>
          </w:tcPr>
          <w:p w:rsidR="00BE51F2" w:rsidRPr="00FE2408" w:rsidRDefault="00BE51F2" w:rsidP="005D078E">
            <w:pPr>
              <w:spacing w:line="480" w:lineRule="auto"/>
              <w:ind w:left="284"/>
              <w:jc w:val="both"/>
              <w:rPr>
                <w:rFonts w:ascii="Palatino Linotype" w:hAnsi="Palatino Linotype"/>
                <w:b/>
                <w:sz w:val="24"/>
                <w:szCs w:val="24"/>
                <w:lang w:val="en-GB"/>
              </w:rPr>
            </w:pPr>
            <w:r w:rsidRPr="00FE2408">
              <w:rPr>
                <w:rFonts w:ascii="Palatino Linotype" w:hAnsi="Palatino Linotype"/>
                <w:b/>
                <w:sz w:val="24"/>
                <w:szCs w:val="24"/>
                <w:lang w:val="en-GB"/>
              </w:rPr>
              <w:t>Assessment Task</w:t>
            </w:r>
          </w:p>
        </w:tc>
        <w:tc>
          <w:tcPr>
            <w:tcW w:w="2590" w:type="dxa"/>
            <w:shd w:val="clear" w:color="auto" w:fill="D9D9D9" w:themeFill="background1" w:themeFillShade="D9"/>
          </w:tcPr>
          <w:p w:rsidR="00BE51F2" w:rsidRPr="00FE2408" w:rsidRDefault="00BE51F2" w:rsidP="005D078E">
            <w:pPr>
              <w:spacing w:line="480" w:lineRule="auto"/>
              <w:ind w:left="284"/>
              <w:jc w:val="both"/>
              <w:rPr>
                <w:rFonts w:ascii="Palatino Linotype" w:hAnsi="Palatino Linotype"/>
                <w:b/>
                <w:sz w:val="24"/>
                <w:szCs w:val="24"/>
                <w:lang w:val="en-GB"/>
              </w:rPr>
            </w:pPr>
            <w:r w:rsidRPr="00FE2408">
              <w:rPr>
                <w:rFonts w:ascii="Palatino Linotype" w:hAnsi="Palatino Linotype"/>
                <w:b/>
                <w:sz w:val="24"/>
                <w:szCs w:val="24"/>
                <w:lang w:val="en-GB"/>
              </w:rPr>
              <w:t>Value</w:t>
            </w:r>
          </w:p>
        </w:tc>
      </w:tr>
      <w:tr w:rsidR="00BE51F2" w:rsidRPr="00FE2408" w:rsidTr="00730191">
        <w:trPr>
          <w:jc w:val="center"/>
        </w:trPr>
        <w:tc>
          <w:tcPr>
            <w:tcW w:w="6041" w:type="dxa"/>
          </w:tcPr>
          <w:p w:rsidR="00BE51F2" w:rsidRPr="00FE2408" w:rsidRDefault="00BE51F2" w:rsidP="005D078E">
            <w:pPr>
              <w:ind w:left="284"/>
              <w:jc w:val="both"/>
              <w:rPr>
                <w:rFonts w:ascii="Palatino Linotype" w:hAnsi="Palatino Linotype"/>
                <w:sz w:val="24"/>
                <w:szCs w:val="24"/>
              </w:rPr>
            </w:pPr>
            <w:r w:rsidRPr="00FE2408">
              <w:rPr>
                <w:rFonts w:ascii="Palatino Linotype" w:hAnsi="Palatino Linotype"/>
                <w:sz w:val="24"/>
                <w:szCs w:val="24"/>
              </w:rPr>
              <w:t>1. Casework at Clinic  (the actual criteria change, according to the work of the clinic)</w:t>
            </w:r>
          </w:p>
        </w:tc>
        <w:tc>
          <w:tcPr>
            <w:tcW w:w="2590" w:type="dxa"/>
          </w:tcPr>
          <w:p w:rsidR="00BE51F2" w:rsidRPr="00FE2408" w:rsidRDefault="00BE51F2" w:rsidP="005D078E">
            <w:pPr>
              <w:spacing w:line="480" w:lineRule="auto"/>
              <w:ind w:left="284"/>
              <w:jc w:val="both"/>
              <w:rPr>
                <w:rFonts w:ascii="Palatino Linotype" w:hAnsi="Palatino Linotype"/>
                <w:sz w:val="24"/>
                <w:szCs w:val="24"/>
              </w:rPr>
            </w:pPr>
            <w:r w:rsidRPr="00FE2408">
              <w:rPr>
                <w:rFonts w:ascii="Palatino Linotype" w:hAnsi="Palatino Linotype"/>
                <w:sz w:val="24"/>
                <w:szCs w:val="24"/>
              </w:rPr>
              <w:t>80%</w:t>
            </w:r>
          </w:p>
        </w:tc>
      </w:tr>
      <w:tr w:rsidR="00BE51F2" w:rsidRPr="00FE2408" w:rsidTr="00730191">
        <w:trPr>
          <w:jc w:val="center"/>
        </w:trPr>
        <w:tc>
          <w:tcPr>
            <w:tcW w:w="6041" w:type="dxa"/>
          </w:tcPr>
          <w:p w:rsidR="00BE51F2" w:rsidRPr="00FE2408" w:rsidRDefault="00BE51F2" w:rsidP="005D078E">
            <w:pPr>
              <w:spacing w:line="480" w:lineRule="auto"/>
              <w:ind w:left="284"/>
              <w:jc w:val="both"/>
              <w:rPr>
                <w:rFonts w:ascii="Palatino Linotype" w:hAnsi="Palatino Linotype"/>
                <w:sz w:val="24"/>
                <w:szCs w:val="24"/>
              </w:rPr>
            </w:pPr>
            <w:r w:rsidRPr="00FE2408">
              <w:rPr>
                <w:rFonts w:ascii="Palatino Linotype" w:hAnsi="Palatino Linotype"/>
                <w:sz w:val="24"/>
                <w:szCs w:val="24"/>
              </w:rPr>
              <w:t>2. Research paper (1000-1500 words)</w:t>
            </w:r>
          </w:p>
        </w:tc>
        <w:tc>
          <w:tcPr>
            <w:tcW w:w="2590" w:type="dxa"/>
          </w:tcPr>
          <w:p w:rsidR="00BE51F2" w:rsidRPr="00FE2408" w:rsidRDefault="00BE51F2" w:rsidP="005D078E">
            <w:pPr>
              <w:spacing w:line="480" w:lineRule="auto"/>
              <w:ind w:left="284"/>
              <w:jc w:val="both"/>
              <w:rPr>
                <w:rFonts w:ascii="Palatino Linotype" w:hAnsi="Palatino Linotype"/>
                <w:sz w:val="24"/>
                <w:szCs w:val="24"/>
              </w:rPr>
            </w:pPr>
            <w:r w:rsidRPr="00FE2408">
              <w:rPr>
                <w:rFonts w:ascii="Palatino Linotype" w:hAnsi="Palatino Linotype"/>
                <w:sz w:val="24"/>
                <w:szCs w:val="24"/>
              </w:rPr>
              <w:t xml:space="preserve">20% </w:t>
            </w:r>
          </w:p>
        </w:tc>
      </w:tr>
    </w:tbl>
    <w:p w:rsidR="00BE51F2" w:rsidRPr="00FE2408" w:rsidRDefault="00BE51F2" w:rsidP="005D078E">
      <w:pPr>
        <w:shd w:val="clear" w:color="auto" w:fill="FFFFFF"/>
        <w:spacing w:before="100" w:beforeAutospacing="1" w:after="100" w:afterAutospacing="1" w:line="480" w:lineRule="auto"/>
        <w:ind w:left="284"/>
        <w:jc w:val="both"/>
        <w:rPr>
          <w:rFonts w:ascii="Palatino Linotype" w:eastAsia="Times New Roman" w:hAnsi="Palatino Linotype"/>
          <w:sz w:val="24"/>
          <w:szCs w:val="24"/>
        </w:rPr>
      </w:pPr>
      <w:r w:rsidRPr="00FE2408">
        <w:rPr>
          <w:rFonts w:ascii="Palatino Linotype" w:eastAsia="Times New Roman" w:hAnsi="Palatino Linotype"/>
          <w:sz w:val="24"/>
          <w:szCs w:val="24"/>
        </w:rPr>
        <w:t xml:space="preserve"> The following section provides a detailed description of one of the most recent Monash specialist clinics:</w:t>
      </w:r>
    </w:p>
    <w:p w:rsidR="00BE51F2" w:rsidRPr="00FE2408" w:rsidRDefault="00BE51F2" w:rsidP="005D078E">
      <w:pPr>
        <w:shd w:val="clear" w:color="auto" w:fill="FFFFFF"/>
        <w:spacing w:before="100" w:beforeAutospacing="1" w:after="100" w:afterAutospacing="1" w:line="480" w:lineRule="auto"/>
        <w:ind w:left="284"/>
        <w:jc w:val="both"/>
        <w:rPr>
          <w:rFonts w:ascii="Palatino Linotype" w:eastAsia="Times New Roman" w:hAnsi="Palatino Linotype"/>
          <w:b/>
          <w:bCs/>
          <w:sz w:val="24"/>
          <w:szCs w:val="24"/>
        </w:rPr>
      </w:pPr>
      <w:r w:rsidRPr="00FE2408">
        <w:rPr>
          <w:rFonts w:ascii="Palatino Linotype" w:eastAsia="Times New Roman" w:hAnsi="Palatino Linotype"/>
          <w:b/>
          <w:bCs/>
          <w:sz w:val="24"/>
          <w:szCs w:val="24"/>
        </w:rPr>
        <w:t>Objectives, operation and reality in the Corporate Social Responsibility clinic</w:t>
      </w:r>
    </w:p>
    <w:p w:rsidR="00BE51F2" w:rsidRPr="00FE2408" w:rsidRDefault="00BE51F2" w:rsidP="005D078E">
      <w:pPr>
        <w:pStyle w:val="NormalWeb"/>
        <w:spacing w:before="0" w:beforeAutospacing="0" w:line="480" w:lineRule="auto"/>
        <w:ind w:left="284"/>
        <w:jc w:val="both"/>
        <w:rPr>
          <w:rFonts w:ascii="Palatino Linotype" w:hAnsi="Palatino Linotype" w:cstheme="minorBidi"/>
          <w:color w:val="auto"/>
          <w:sz w:val="24"/>
          <w:szCs w:val="24"/>
          <w:lang w:eastAsia="en-AU"/>
        </w:rPr>
      </w:pPr>
      <w:r w:rsidRPr="00FE2408">
        <w:rPr>
          <w:rFonts w:ascii="Palatino Linotype" w:hAnsi="Palatino Linotype" w:cstheme="minorBidi"/>
          <w:color w:val="auto"/>
          <w:sz w:val="24"/>
          <w:szCs w:val="24"/>
          <w:lang w:val="en-AU"/>
        </w:rPr>
        <w:t xml:space="preserve">This clinic was created because we realised we had a gap in clinical offerings. There was nothing to appeal to students who had a more commercial leaning and we saw no reason why students with a strong interest should not receive a clinical experience. </w:t>
      </w:r>
      <w:r w:rsidRPr="00FE2408">
        <w:rPr>
          <w:rFonts w:ascii="Palatino Linotype" w:hAnsi="Palatino Linotype" w:cstheme="minorBidi"/>
          <w:color w:val="auto"/>
          <w:sz w:val="24"/>
          <w:szCs w:val="24"/>
        </w:rPr>
        <w:t xml:space="preserve">Students participating in this clinic work with faculty members, practitioners and corporations to prepare corporate governance reports for ASX listed companies.  Students work alone, or in pairs or groups of up to four on a report under the supervision of a </w:t>
      </w:r>
      <w:r w:rsidR="00CA55FB">
        <w:rPr>
          <w:rFonts w:ascii="Palatino Linotype" w:hAnsi="Palatino Linotype" w:cstheme="minorBidi"/>
          <w:color w:val="auto"/>
          <w:sz w:val="24"/>
          <w:szCs w:val="24"/>
        </w:rPr>
        <w:t>faculty and/</w:t>
      </w:r>
      <w:r w:rsidRPr="00FE2408">
        <w:rPr>
          <w:rFonts w:ascii="Palatino Linotype" w:hAnsi="Palatino Linotype" w:cstheme="minorBidi"/>
          <w:color w:val="auto"/>
          <w:sz w:val="24"/>
          <w:szCs w:val="24"/>
        </w:rPr>
        <w:t>or practitioner mentor.</w:t>
      </w:r>
    </w:p>
    <w:p w:rsidR="00BE51F2" w:rsidRPr="00FE2408" w:rsidRDefault="00BE51F2" w:rsidP="005D078E">
      <w:pPr>
        <w:shd w:val="clear" w:color="auto" w:fill="FFFFFF"/>
        <w:spacing w:before="100" w:beforeAutospacing="1" w:after="100" w:afterAutospacing="1" w:line="480" w:lineRule="auto"/>
        <w:ind w:left="284"/>
        <w:jc w:val="both"/>
        <w:rPr>
          <w:rFonts w:ascii="Palatino Linotype" w:eastAsia="Times New Roman" w:hAnsi="Palatino Linotype"/>
          <w:sz w:val="24"/>
          <w:szCs w:val="24"/>
        </w:rPr>
      </w:pPr>
      <w:r w:rsidRPr="00FE2408">
        <w:rPr>
          <w:rFonts w:ascii="Palatino Linotype" w:eastAsia="Times New Roman" w:hAnsi="Palatino Linotype"/>
          <w:sz w:val="24"/>
          <w:szCs w:val="24"/>
        </w:rPr>
        <w:t xml:space="preserve">There is some debate among Monash clinicians as to whether this new </w:t>
      </w:r>
      <w:proofErr w:type="spellStart"/>
      <w:r w:rsidRPr="00FE2408">
        <w:rPr>
          <w:rFonts w:ascii="Palatino Linotype" w:eastAsia="Times New Roman" w:hAnsi="Palatino Linotype"/>
          <w:sz w:val="24"/>
          <w:szCs w:val="24"/>
        </w:rPr>
        <w:t>Ashurst</w:t>
      </w:r>
      <w:proofErr w:type="spellEnd"/>
      <w:r w:rsidRPr="00FE2408">
        <w:rPr>
          <w:rFonts w:ascii="Palatino Linotype" w:eastAsia="Times New Roman" w:hAnsi="Palatino Linotype"/>
          <w:sz w:val="24"/>
          <w:szCs w:val="24"/>
        </w:rPr>
        <w:t xml:space="preserve"> clinic can truly be considered a clinic, considering the ‘client’ is a corporation and </w:t>
      </w:r>
      <w:r w:rsidRPr="00FE2408">
        <w:rPr>
          <w:rFonts w:ascii="Palatino Linotype" w:eastAsia="Times New Roman" w:hAnsi="Palatino Linotype"/>
          <w:sz w:val="24"/>
          <w:szCs w:val="24"/>
        </w:rPr>
        <w:lastRenderedPageBreak/>
        <w:t xml:space="preserve">the social justice routes of the Monash program. In fact, the clinic has a high-order social justice agenda and teaches very practical skills and these two aspects appear sufficient for it to be considered a clinical externship, rather than just ‘work experience’, work integrated learning or an observational placement. </w:t>
      </w:r>
    </w:p>
    <w:p w:rsidR="00BE51F2" w:rsidRPr="00FE2408" w:rsidRDefault="00BE51F2" w:rsidP="005D078E">
      <w:pPr>
        <w:shd w:val="clear" w:color="auto" w:fill="FFFFFF"/>
        <w:spacing w:before="100" w:beforeAutospacing="1" w:after="100" w:afterAutospacing="1" w:line="480" w:lineRule="auto"/>
        <w:ind w:left="284"/>
        <w:jc w:val="both"/>
        <w:rPr>
          <w:rFonts w:ascii="Palatino Linotype" w:eastAsia="Times New Roman" w:hAnsi="Palatino Linotype"/>
          <w:b/>
          <w:bCs/>
          <w:i/>
          <w:iCs/>
          <w:sz w:val="24"/>
          <w:szCs w:val="24"/>
        </w:rPr>
      </w:pPr>
      <w:r w:rsidRPr="00FE2408">
        <w:rPr>
          <w:rFonts w:ascii="Palatino Linotype" w:eastAsia="Times New Roman" w:hAnsi="Palatino Linotype"/>
          <w:b/>
          <w:bCs/>
          <w:i/>
          <w:iCs/>
          <w:sz w:val="24"/>
          <w:szCs w:val="24"/>
        </w:rPr>
        <w:t>Casework inside the CSR clinic is divided up as follows:</w:t>
      </w:r>
    </w:p>
    <w:tbl>
      <w:tblPr>
        <w:tblW w:w="9000"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2700"/>
      </w:tblGrid>
      <w:tr w:rsidR="00BE51F2" w:rsidRPr="00FE2408" w:rsidTr="0035364D">
        <w:tc>
          <w:tcPr>
            <w:tcW w:w="6300" w:type="dxa"/>
            <w:shd w:val="clear" w:color="auto" w:fill="E6E6E6"/>
            <w:vAlign w:val="bottom"/>
          </w:tcPr>
          <w:p w:rsidR="00BE51F2" w:rsidRPr="00FE2408" w:rsidRDefault="00BE51F2" w:rsidP="005D078E">
            <w:pPr>
              <w:pStyle w:val="BodyText"/>
              <w:spacing w:line="480" w:lineRule="auto"/>
              <w:ind w:left="284"/>
              <w:jc w:val="both"/>
              <w:rPr>
                <w:rFonts w:ascii="Palatino Linotype" w:hAnsi="Palatino Linotype" w:cstheme="minorBidi"/>
                <w:b/>
                <w:bCs/>
              </w:rPr>
            </w:pPr>
            <w:r w:rsidRPr="00FE2408">
              <w:rPr>
                <w:rFonts w:ascii="Palatino Linotype" w:hAnsi="Palatino Linotype" w:cstheme="minorBidi"/>
                <w:b/>
                <w:bCs/>
              </w:rPr>
              <w:t>SKILL AREA</w:t>
            </w:r>
          </w:p>
        </w:tc>
        <w:tc>
          <w:tcPr>
            <w:tcW w:w="2700" w:type="dxa"/>
            <w:shd w:val="clear" w:color="auto" w:fill="E6E6E6"/>
            <w:vAlign w:val="center"/>
          </w:tcPr>
          <w:p w:rsidR="00BE51F2" w:rsidRPr="00FE2408" w:rsidRDefault="00BE51F2" w:rsidP="005D078E">
            <w:pPr>
              <w:pStyle w:val="BodyText"/>
              <w:spacing w:line="480" w:lineRule="auto"/>
              <w:ind w:left="284"/>
              <w:jc w:val="both"/>
              <w:rPr>
                <w:rFonts w:ascii="Palatino Linotype" w:hAnsi="Palatino Linotype" w:cstheme="minorBidi"/>
                <w:b/>
                <w:bCs/>
              </w:rPr>
            </w:pPr>
            <w:r w:rsidRPr="00FE2408">
              <w:rPr>
                <w:rFonts w:ascii="Palatino Linotype" w:hAnsi="Palatino Linotype" w:cstheme="minorBidi"/>
                <w:b/>
                <w:bCs/>
              </w:rPr>
              <w:t>MARK</w:t>
            </w:r>
          </w:p>
        </w:tc>
      </w:tr>
      <w:tr w:rsidR="00BE51F2" w:rsidRPr="00FE2408" w:rsidTr="00730191">
        <w:tc>
          <w:tcPr>
            <w:tcW w:w="6300" w:type="dxa"/>
          </w:tcPr>
          <w:p w:rsidR="00BE51F2" w:rsidRPr="00FE2408" w:rsidRDefault="00BE51F2" w:rsidP="00CA55FB">
            <w:pPr>
              <w:spacing w:before="120" w:after="120"/>
              <w:ind w:left="284"/>
              <w:jc w:val="both"/>
              <w:rPr>
                <w:rFonts w:ascii="Palatino Linotype" w:hAnsi="Palatino Linotype"/>
                <w:sz w:val="24"/>
                <w:szCs w:val="24"/>
              </w:rPr>
            </w:pPr>
            <w:r w:rsidRPr="00FE2408">
              <w:rPr>
                <w:rFonts w:ascii="Palatino Linotype" w:hAnsi="Palatino Linotype"/>
                <w:sz w:val="24"/>
                <w:szCs w:val="24"/>
              </w:rPr>
              <w:t>Ability to accept responsibility, exercise initiative, respond to feedback, collaborate with others and work effectively as part of a team</w:t>
            </w:r>
          </w:p>
        </w:tc>
        <w:tc>
          <w:tcPr>
            <w:tcW w:w="2700" w:type="dxa"/>
          </w:tcPr>
          <w:p w:rsidR="00BE51F2" w:rsidRPr="00FE2408" w:rsidRDefault="00BE51F2" w:rsidP="00CA55FB">
            <w:pPr>
              <w:spacing w:before="120"/>
              <w:ind w:left="284"/>
              <w:jc w:val="both"/>
              <w:rPr>
                <w:rFonts w:ascii="Palatino Linotype" w:hAnsi="Palatino Linotype"/>
                <w:sz w:val="24"/>
                <w:szCs w:val="24"/>
              </w:rPr>
            </w:pPr>
            <w:r w:rsidRPr="00FE2408">
              <w:rPr>
                <w:rFonts w:ascii="Palatino Linotype" w:hAnsi="Palatino Linotype"/>
                <w:sz w:val="24"/>
                <w:szCs w:val="24"/>
              </w:rPr>
              <w:t>out of 25</w:t>
            </w:r>
          </w:p>
        </w:tc>
      </w:tr>
      <w:tr w:rsidR="00BE51F2" w:rsidRPr="00FE2408" w:rsidTr="00730191">
        <w:tc>
          <w:tcPr>
            <w:tcW w:w="6300" w:type="dxa"/>
          </w:tcPr>
          <w:p w:rsidR="00BE51F2" w:rsidRPr="00FE2408" w:rsidRDefault="00BE51F2" w:rsidP="00CA55FB">
            <w:pPr>
              <w:spacing w:before="120" w:after="120"/>
              <w:ind w:left="284"/>
              <w:jc w:val="both"/>
              <w:rPr>
                <w:rFonts w:ascii="Palatino Linotype" w:hAnsi="Palatino Linotype"/>
                <w:sz w:val="24"/>
                <w:szCs w:val="24"/>
              </w:rPr>
            </w:pPr>
            <w:r w:rsidRPr="00FE2408">
              <w:rPr>
                <w:rFonts w:ascii="Palatino Linotype" w:hAnsi="Palatino Linotype"/>
                <w:sz w:val="24"/>
                <w:szCs w:val="24"/>
              </w:rPr>
              <w:t>Ability to communicate effectively with clients and colleagues and act in an ethical and professional manner</w:t>
            </w:r>
          </w:p>
        </w:tc>
        <w:tc>
          <w:tcPr>
            <w:tcW w:w="2700" w:type="dxa"/>
          </w:tcPr>
          <w:p w:rsidR="00BE51F2" w:rsidRPr="00FE2408" w:rsidRDefault="00BE51F2" w:rsidP="00CA55FB">
            <w:pPr>
              <w:pStyle w:val="BodyText"/>
              <w:spacing w:before="120" w:line="276" w:lineRule="auto"/>
              <w:ind w:left="284"/>
              <w:jc w:val="both"/>
              <w:rPr>
                <w:rFonts w:ascii="Palatino Linotype" w:hAnsi="Palatino Linotype" w:cstheme="minorBidi"/>
              </w:rPr>
            </w:pPr>
            <w:r w:rsidRPr="00FE2408">
              <w:rPr>
                <w:rFonts w:ascii="Palatino Linotype" w:hAnsi="Palatino Linotype" w:cstheme="minorBidi"/>
              </w:rPr>
              <w:t>out of 25</w:t>
            </w:r>
          </w:p>
        </w:tc>
      </w:tr>
      <w:tr w:rsidR="00BE51F2" w:rsidRPr="00FE2408" w:rsidTr="00730191">
        <w:tc>
          <w:tcPr>
            <w:tcW w:w="6300" w:type="dxa"/>
          </w:tcPr>
          <w:p w:rsidR="00BE51F2" w:rsidRPr="00FE2408" w:rsidRDefault="00BE51F2" w:rsidP="00CA55FB">
            <w:pPr>
              <w:spacing w:before="120" w:after="120"/>
              <w:ind w:left="284"/>
              <w:jc w:val="both"/>
              <w:rPr>
                <w:rFonts w:ascii="Palatino Linotype" w:hAnsi="Palatino Linotype"/>
                <w:sz w:val="24"/>
                <w:szCs w:val="24"/>
              </w:rPr>
            </w:pPr>
            <w:r w:rsidRPr="00FE2408">
              <w:rPr>
                <w:rFonts w:ascii="Palatino Linotype" w:hAnsi="Palatino Linotype"/>
                <w:sz w:val="24"/>
                <w:szCs w:val="24"/>
              </w:rPr>
              <w:t>Ability to research, understand and analyse the relevant law, and the relevant factual and commercial context, and apply the law in a practical manner</w:t>
            </w:r>
          </w:p>
        </w:tc>
        <w:tc>
          <w:tcPr>
            <w:tcW w:w="2700" w:type="dxa"/>
          </w:tcPr>
          <w:p w:rsidR="00BE51F2" w:rsidRPr="00FE2408" w:rsidRDefault="00BE51F2" w:rsidP="00CA55FB">
            <w:pPr>
              <w:pStyle w:val="BodyText"/>
              <w:spacing w:before="120" w:line="276" w:lineRule="auto"/>
              <w:ind w:left="284"/>
              <w:jc w:val="both"/>
              <w:rPr>
                <w:rFonts w:ascii="Palatino Linotype" w:hAnsi="Palatino Linotype" w:cstheme="minorBidi"/>
              </w:rPr>
            </w:pPr>
            <w:r w:rsidRPr="00FE2408">
              <w:rPr>
                <w:rFonts w:ascii="Palatino Linotype" w:hAnsi="Palatino Linotype" w:cstheme="minorBidi"/>
              </w:rPr>
              <w:t>out of 25</w:t>
            </w:r>
          </w:p>
        </w:tc>
      </w:tr>
      <w:tr w:rsidR="00BE51F2" w:rsidRPr="00FE2408" w:rsidTr="00730191">
        <w:tc>
          <w:tcPr>
            <w:tcW w:w="6300" w:type="dxa"/>
          </w:tcPr>
          <w:p w:rsidR="00BE51F2" w:rsidRPr="00FE2408" w:rsidRDefault="00BE51F2" w:rsidP="00CA55FB">
            <w:pPr>
              <w:spacing w:before="120" w:after="120"/>
              <w:ind w:left="284"/>
              <w:jc w:val="both"/>
              <w:rPr>
                <w:rFonts w:ascii="Palatino Linotype" w:hAnsi="Palatino Linotype"/>
                <w:sz w:val="24"/>
                <w:szCs w:val="24"/>
              </w:rPr>
            </w:pPr>
            <w:r w:rsidRPr="00FE2408">
              <w:rPr>
                <w:rFonts w:ascii="Palatino Linotype" w:hAnsi="Palatino Linotype"/>
                <w:sz w:val="24"/>
                <w:szCs w:val="24"/>
              </w:rPr>
              <w:t>Ability to write clearly and succinctly, in an appropriate style, and with a logical structure</w:t>
            </w:r>
          </w:p>
        </w:tc>
        <w:tc>
          <w:tcPr>
            <w:tcW w:w="2700" w:type="dxa"/>
          </w:tcPr>
          <w:p w:rsidR="00BE51F2" w:rsidRPr="00FE2408" w:rsidRDefault="00BE51F2" w:rsidP="00CA55FB">
            <w:pPr>
              <w:pStyle w:val="BodyText"/>
              <w:spacing w:before="120" w:line="276" w:lineRule="auto"/>
              <w:ind w:left="284"/>
              <w:jc w:val="both"/>
              <w:rPr>
                <w:rFonts w:ascii="Palatino Linotype" w:hAnsi="Palatino Linotype" w:cstheme="minorBidi"/>
              </w:rPr>
            </w:pPr>
            <w:r w:rsidRPr="00FE2408">
              <w:rPr>
                <w:rFonts w:ascii="Palatino Linotype" w:hAnsi="Palatino Linotype" w:cstheme="minorBidi"/>
              </w:rPr>
              <w:t>out of 25</w:t>
            </w:r>
          </w:p>
        </w:tc>
      </w:tr>
      <w:tr w:rsidR="00BE51F2" w:rsidRPr="00FE2408" w:rsidTr="00730191">
        <w:tc>
          <w:tcPr>
            <w:tcW w:w="6300" w:type="dxa"/>
          </w:tcPr>
          <w:p w:rsidR="00BE51F2" w:rsidRPr="00FE2408" w:rsidRDefault="00BE51F2" w:rsidP="00CA55FB">
            <w:pPr>
              <w:spacing w:before="120" w:after="120" w:line="480" w:lineRule="auto"/>
              <w:ind w:left="284"/>
              <w:jc w:val="both"/>
              <w:rPr>
                <w:rFonts w:ascii="Palatino Linotype" w:hAnsi="Palatino Linotype"/>
                <w:sz w:val="24"/>
                <w:szCs w:val="24"/>
              </w:rPr>
            </w:pPr>
            <w:r w:rsidRPr="00FE2408">
              <w:rPr>
                <w:rFonts w:ascii="Palatino Linotype" w:hAnsi="Palatino Linotype"/>
                <w:sz w:val="24"/>
                <w:szCs w:val="24"/>
              </w:rPr>
              <w:t>TOTAL</w:t>
            </w:r>
          </w:p>
        </w:tc>
        <w:tc>
          <w:tcPr>
            <w:tcW w:w="2700" w:type="dxa"/>
          </w:tcPr>
          <w:p w:rsidR="00BE51F2" w:rsidRPr="00FE2408" w:rsidRDefault="00BE51F2" w:rsidP="00CA55FB">
            <w:pPr>
              <w:spacing w:before="120" w:line="480" w:lineRule="auto"/>
              <w:ind w:left="284"/>
              <w:jc w:val="both"/>
              <w:rPr>
                <w:rFonts w:ascii="Palatino Linotype" w:hAnsi="Palatino Linotype"/>
                <w:sz w:val="24"/>
                <w:szCs w:val="24"/>
              </w:rPr>
            </w:pPr>
            <w:r w:rsidRPr="00FE2408">
              <w:rPr>
                <w:rFonts w:ascii="Palatino Linotype" w:hAnsi="Palatino Linotype"/>
                <w:sz w:val="24"/>
                <w:szCs w:val="24"/>
              </w:rPr>
              <w:t>/100</w:t>
            </w:r>
          </w:p>
        </w:tc>
      </w:tr>
    </w:tbl>
    <w:p w:rsidR="00BE51F2" w:rsidRPr="00FE2408" w:rsidRDefault="00BE51F2" w:rsidP="005D078E">
      <w:pPr>
        <w:shd w:val="clear" w:color="auto" w:fill="FFFFFF"/>
        <w:spacing w:before="100" w:beforeAutospacing="1" w:after="100" w:afterAutospacing="1" w:line="480" w:lineRule="auto"/>
        <w:ind w:left="284"/>
        <w:jc w:val="both"/>
        <w:rPr>
          <w:rFonts w:ascii="Palatino Linotype" w:eastAsia="Times New Roman" w:hAnsi="Palatino Linotype"/>
          <w:sz w:val="24"/>
          <w:szCs w:val="24"/>
        </w:rPr>
      </w:pPr>
      <w:r w:rsidRPr="005D078E">
        <w:rPr>
          <w:rFonts w:ascii="Palatino Linotype" w:eastAsia="Times New Roman" w:hAnsi="Palatino Linotype"/>
          <w:sz w:val="24"/>
          <w:szCs w:val="24"/>
        </w:rPr>
        <w:t>The CSR clinic has provoked excellent feedback from students:</w:t>
      </w:r>
    </w:p>
    <w:p w:rsidR="00BE51F2" w:rsidRPr="00FE2408" w:rsidRDefault="00BE51F2" w:rsidP="005D078E">
      <w:pPr>
        <w:shd w:val="clear" w:color="auto" w:fill="FFFFFF"/>
        <w:spacing w:before="100" w:beforeAutospacing="1" w:after="100" w:afterAutospacing="1"/>
        <w:ind w:left="709" w:right="662" w:hanging="425"/>
        <w:jc w:val="both"/>
        <w:rPr>
          <w:rFonts w:ascii="Palatino Linotype" w:hAnsi="Palatino Linotype"/>
          <w:i/>
          <w:iCs/>
          <w:sz w:val="24"/>
          <w:szCs w:val="24"/>
          <w:shd w:val="clear" w:color="auto" w:fill="FFFFFF"/>
        </w:rPr>
      </w:pPr>
      <w:r w:rsidRPr="00FE2408">
        <w:rPr>
          <w:rFonts w:ascii="Palatino Linotype" w:hAnsi="Palatino Linotype"/>
          <w:i/>
          <w:iCs/>
          <w:sz w:val="24"/>
          <w:szCs w:val="24"/>
          <w:shd w:val="clear" w:color="auto" w:fill="FFFFFF"/>
        </w:rPr>
        <w:t xml:space="preserve">My experience with the clinic was overwhelmingly positive, largely due to the support, enthusiasm and guidance of Bruce and Corey </w:t>
      </w:r>
      <w:r w:rsidRPr="00FE2408">
        <w:rPr>
          <w:rFonts w:ascii="Palatino Linotype" w:hAnsi="Palatino Linotype"/>
          <w:sz w:val="24"/>
          <w:szCs w:val="24"/>
          <w:shd w:val="clear" w:color="auto" w:fill="FFFFFF"/>
        </w:rPr>
        <w:t xml:space="preserve">[the </w:t>
      </w:r>
      <w:proofErr w:type="spellStart"/>
      <w:r w:rsidRPr="00FE2408">
        <w:rPr>
          <w:rFonts w:ascii="Palatino Linotype" w:hAnsi="Palatino Linotype"/>
          <w:sz w:val="24"/>
          <w:szCs w:val="24"/>
          <w:shd w:val="clear" w:color="auto" w:fill="FFFFFF"/>
        </w:rPr>
        <w:t>Ashurst</w:t>
      </w:r>
      <w:proofErr w:type="spellEnd"/>
      <w:r w:rsidRPr="00FE2408">
        <w:rPr>
          <w:rFonts w:ascii="Palatino Linotype" w:hAnsi="Palatino Linotype"/>
          <w:sz w:val="24"/>
          <w:szCs w:val="24"/>
          <w:shd w:val="clear" w:color="auto" w:fill="FFFFFF"/>
        </w:rPr>
        <w:t xml:space="preserve"> partners]</w:t>
      </w:r>
      <w:r w:rsidRPr="00FE2408">
        <w:rPr>
          <w:rFonts w:ascii="Palatino Linotype" w:hAnsi="Palatino Linotype"/>
          <w:i/>
          <w:iCs/>
          <w:sz w:val="24"/>
          <w:szCs w:val="24"/>
          <w:shd w:val="clear" w:color="auto" w:fill="FFFFFF"/>
        </w:rPr>
        <w:t xml:space="preserve">, and also the really lovely team dynamic we developed amongst our little group of students. </w:t>
      </w:r>
    </w:p>
    <w:p w:rsidR="00BE51F2" w:rsidRPr="00FE2408" w:rsidRDefault="00BE51F2" w:rsidP="005D078E">
      <w:pPr>
        <w:shd w:val="clear" w:color="auto" w:fill="FFFFFF"/>
        <w:spacing w:before="100" w:beforeAutospacing="1" w:after="100" w:afterAutospacing="1"/>
        <w:ind w:left="709" w:right="662" w:hanging="425"/>
        <w:jc w:val="both"/>
        <w:rPr>
          <w:rFonts w:ascii="Palatino Linotype" w:hAnsi="Palatino Linotype"/>
          <w:i/>
          <w:iCs/>
          <w:sz w:val="24"/>
          <w:szCs w:val="24"/>
          <w:shd w:val="clear" w:color="auto" w:fill="FFFFFF"/>
        </w:rPr>
      </w:pPr>
      <w:r w:rsidRPr="00FE2408">
        <w:rPr>
          <w:rFonts w:ascii="Palatino Linotype" w:hAnsi="Palatino Linotype"/>
          <w:i/>
          <w:iCs/>
          <w:sz w:val="24"/>
          <w:szCs w:val="24"/>
          <w:shd w:val="clear" w:color="auto" w:fill="FFFFFF"/>
        </w:rPr>
        <w:lastRenderedPageBreak/>
        <w:t xml:space="preserve">I think the best aspects of the unit were the chance to experience life at </w:t>
      </w:r>
      <w:proofErr w:type="spellStart"/>
      <w:r w:rsidRPr="00FE2408">
        <w:rPr>
          <w:rFonts w:ascii="Palatino Linotype" w:hAnsi="Palatino Linotype"/>
          <w:i/>
          <w:iCs/>
          <w:sz w:val="24"/>
          <w:szCs w:val="24"/>
          <w:shd w:val="clear" w:color="auto" w:fill="FFFFFF"/>
        </w:rPr>
        <w:t>Ashurst</w:t>
      </w:r>
      <w:proofErr w:type="spellEnd"/>
      <w:r w:rsidRPr="00FE2408">
        <w:rPr>
          <w:rFonts w:ascii="Palatino Linotype" w:hAnsi="Palatino Linotype"/>
          <w:i/>
          <w:iCs/>
          <w:sz w:val="24"/>
          <w:szCs w:val="24"/>
          <w:shd w:val="clear" w:color="auto" w:fill="FFFFFF"/>
        </w:rPr>
        <w:t xml:space="preserve">, our ability to drive our own research and divide work amongst ourselves, the chance to work for and meet a real client, and the in-depth understanding we gained of a very specialised area of corporate law (although I picked up a lot of general knowledge about the financial world as well). </w:t>
      </w:r>
    </w:p>
    <w:p w:rsidR="00BE51F2" w:rsidRPr="00FE2408" w:rsidRDefault="00BE51F2" w:rsidP="005D078E">
      <w:pPr>
        <w:shd w:val="clear" w:color="auto" w:fill="FFFFFF"/>
        <w:spacing w:before="100" w:beforeAutospacing="1" w:after="100" w:afterAutospacing="1"/>
        <w:ind w:left="709" w:right="662" w:hanging="425"/>
        <w:jc w:val="both"/>
        <w:rPr>
          <w:rFonts w:ascii="Palatino Linotype" w:hAnsi="Palatino Linotype"/>
          <w:i/>
          <w:iCs/>
          <w:sz w:val="24"/>
          <w:szCs w:val="24"/>
          <w:shd w:val="clear" w:color="auto" w:fill="FFFFFF"/>
        </w:rPr>
      </w:pPr>
      <w:r w:rsidRPr="00FE2408">
        <w:rPr>
          <w:rFonts w:ascii="Palatino Linotype" w:hAnsi="Palatino Linotype"/>
          <w:i/>
          <w:iCs/>
          <w:sz w:val="24"/>
          <w:szCs w:val="24"/>
          <w:shd w:val="clear" w:color="auto" w:fill="FFFFFF"/>
        </w:rPr>
        <w:t>I also really appreciated Bruce and Corey's efforts in making us feel at home - we had security passes, meeting rooms booked, were introduced to many staff members and were invited to several functions. I think we all felt very included, and that Bruce was really proud of the project which was nice. </w:t>
      </w:r>
    </w:p>
    <w:p w:rsidR="00BE51F2" w:rsidRPr="00FE2408" w:rsidRDefault="00BE51F2" w:rsidP="005D078E">
      <w:pPr>
        <w:shd w:val="clear" w:color="auto" w:fill="FFFFFF"/>
        <w:spacing w:before="100" w:beforeAutospacing="1" w:after="100" w:afterAutospacing="1" w:line="480" w:lineRule="auto"/>
        <w:ind w:left="284"/>
        <w:jc w:val="both"/>
        <w:rPr>
          <w:rFonts w:ascii="Palatino Linotype" w:hAnsi="Palatino Linotype"/>
          <w:sz w:val="24"/>
          <w:szCs w:val="24"/>
          <w:shd w:val="clear" w:color="auto" w:fill="FFFFFF"/>
        </w:rPr>
      </w:pPr>
      <w:r w:rsidRPr="00FE2408">
        <w:rPr>
          <w:rFonts w:ascii="Palatino Linotype" w:hAnsi="Palatino Linotype"/>
          <w:sz w:val="24"/>
          <w:szCs w:val="24"/>
          <w:shd w:val="clear" w:color="auto" w:fill="FFFFFF"/>
        </w:rPr>
        <w:t>This sort of feedback emphasises how important it is to have ‘buy in’ from the firm!</w:t>
      </w:r>
    </w:p>
    <w:p w:rsidR="00BE51F2" w:rsidRPr="005D078E" w:rsidRDefault="005D078E" w:rsidP="005D078E">
      <w:pPr>
        <w:shd w:val="clear" w:color="auto" w:fill="FFFFFF"/>
        <w:spacing w:before="100" w:beforeAutospacing="1" w:after="100" w:afterAutospacing="1" w:line="480" w:lineRule="auto"/>
        <w:ind w:left="284"/>
        <w:jc w:val="both"/>
        <w:rPr>
          <w:rFonts w:ascii="Palatino Linotype" w:hAnsi="Palatino Linotype"/>
          <w:bCs/>
          <w:sz w:val="24"/>
          <w:szCs w:val="24"/>
        </w:rPr>
      </w:pPr>
      <w:r w:rsidRPr="005D078E">
        <w:rPr>
          <w:rFonts w:ascii="Palatino Linotype" w:eastAsia="Times New Roman" w:hAnsi="Palatino Linotype"/>
          <w:sz w:val="24"/>
          <w:szCs w:val="24"/>
        </w:rPr>
        <w:t xml:space="preserve">WHY OPERATE SPECIALIST CLINICS AS EXTERNSHIPS? </w:t>
      </w:r>
    </w:p>
    <w:p w:rsidR="00BE51F2" w:rsidRPr="00FE2408" w:rsidRDefault="00BE51F2" w:rsidP="005D078E">
      <w:pPr>
        <w:shd w:val="clear" w:color="auto" w:fill="FFFFFF"/>
        <w:spacing w:before="100" w:beforeAutospacing="1" w:after="100" w:afterAutospacing="1" w:line="480" w:lineRule="auto"/>
        <w:ind w:left="284"/>
        <w:jc w:val="both"/>
        <w:rPr>
          <w:rFonts w:ascii="Palatino Linotype" w:eastAsia="Times New Roman" w:hAnsi="Palatino Linotype"/>
          <w:sz w:val="24"/>
          <w:szCs w:val="24"/>
        </w:rPr>
      </w:pPr>
      <w:r w:rsidRPr="00FE2408">
        <w:rPr>
          <w:rFonts w:ascii="Palatino Linotype" w:hAnsi="Palatino Linotype"/>
          <w:bCs/>
          <w:sz w:val="24"/>
          <w:szCs w:val="24"/>
        </w:rPr>
        <w:t>Specialist clinics are and can be both in-house and external, without loss of pedagogical value and t</w:t>
      </w:r>
      <w:r w:rsidRPr="00FE2408">
        <w:rPr>
          <w:rFonts w:ascii="Palatino Linotype" w:eastAsia="Times New Roman" w:hAnsi="Palatino Linotype"/>
          <w:sz w:val="24"/>
          <w:szCs w:val="24"/>
        </w:rPr>
        <w:t xml:space="preserve">here is no imperative to operate a specialised externship clinic (SEC). However there are several reasons why they make sense. First, the externship site will itself often be engaged in precisely the specialised area of service delivery that a law school considers attractive or offers a good fit to the law school’s priorities. Well-known in-house clinical ‘norms’ of practice, for example, human rights and some types of criminal practice can be standard bearers and encourage more recent specialisations (such as corporate social responsibility). If the same specialisation were to be offered in-house, the law school might face considerable logistical and recruiting problems, attempting to find suitable staff and develop the sort of profile and reputation that specialist clients would consider appropriate. All this takes a lot of time. So a law school </w:t>
      </w:r>
      <w:r w:rsidRPr="00FE2408">
        <w:rPr>
          <w:rFonts w:ascii="Palatino Linotype" w:eastAsia="Times New Roman" w:hAnsi="Palatino Linotype"/>
          <w:sz w:val="24"/>
          <w:szCs w:val="24"/>
        </w:rPr>
        <w:lastRenderedPageBreak/>
        <w:t xml:space="preserve">will typically prefer to bypass many of these difficulties by going straight to an established and reputable NGO or law firm and begin to talk about the potential externship clinic. </w:t>
      </w:r>
    </w:p>
    <w:p w:rsidR="00BE51F2" w:rsidRPr="00FE2408" w:rsidRDefault="00BE51F2" w:rsidP="005D078E">
      <w:pPr>
        <w:shd w:val="clear" w:color="auto" w:fill="FFFFFF"/>
        <w:spacing w:before="100" w:beforeAutospacing="1" w:after="100" w:afterAutospacing="1" w:line="480" w:lineRule="auto"/>
        <w:ind w:left="284"/>
        <w:jc w:val="both"/>
        <w:rPr>
          <w:rFonts w:ascii="Palatino Linotype" w:eastAsia="Times New Roman" w:hAnsi="Palatino Linotype"/>
          <w:sz w:val="24"/>
          <w:szCs w:val="24"/>
        </w:rPr>
      </w:pPr>
      <w:r w:rsidRPr="00FE2408">
        <w:rPr>
          <w:rFonts w:ascii="Palatino Linotype" w:eastAsia="Times New Roman" w:hAnsi="Palatino Linotype"/>
          <w:sz w:val="24"/>
          <w:szCs w:val="24"/>
        </w:rPr>
        <w:t>Second and for similar reasons, the SEC is potentially more affordable than an in-house equivalent. Specialised externships can be cost neutral or lower cost to the law school because the external agency or firm can often be persuaded to fund the cost of the supervision itself, in return for the labour and commitment of the allocated students.</w:t>
      </w:r>
    </w:p>
    <w:p w:rsidR="00BE51F2" w:rsidRPr="00FE2408" w:rsidRDefault="00BE51F2" w:rsidP="005D078E">
      <w:pPr>
        <w:shd w:val="clear" w:color="auto" w:fill="FFFFFF"/>
        <w:spacing w:before="100" w:beforeAutospacing="1" w:after="100" w:afterAutospacing="1" w:line="480" w:lineRule="auto"/>
        <w:ind w:left="284"/>
        <w:jc w:val="both"/>
        <w:rPr>
          <w:rFonts w:ascii="Palatino Linotype" w:eastAsia="Times New Roman" w:hAnsi="Palatino Linotype"/>
          <w:sz w:val="24"/>
          <w:szCs w:val="24"/>
        </w:rPr>
      </w:pPr>
      <w:r w:rsidRPr="00FE2408">
        <w:rPr>
          <w:rFonts w:ascii="Palatino Linotype" w:eastAsia="Times New Roman" w:hAnsi="Palatino Linotype"/>
          <w:sz w:val="24"/>
          <w:szCs w:val="24"/>
        </w:rPr>
        <w:t>Third, a SEC offers complete alignment with the growing recognition that ’work integrated learning’ (WIL) concepts are central to all educational approaches.</w:t>
      </w:r>
      <w:r w:rsidRPr="00FE2408">
        <w:rPr>
          <w:rStyle w:val="FootnoteReference"/>
          <w:rFonts w:ascii="Palatino Linotype" w:hAnsi="Palatino Linotype"/>
          <w:sz w:val="24"/>
          <w:szCs w:val="24"/>
        </w:rPr>
        <w:footnoteReference w:id="13"/>
      </w:r>
      <w:r w:rsidRPr="00FE2408">
        <w:rPr>
          <w:rFonts w:ascii="Palatino Linotype" w:eastAsia="Times New Roman" w:hAnsi="Palatino Linotype"/>
          <w:sz w:val="24"/>
          <w:szCs w:val="24"/>
        </w:rPr>
        <w:t xml:space="preserve"> The SEC is ‘real’ and foreshadows the experience students will require in that </w:t>
      </w:r>
      <w:r w:rsidRPr="00FE2408">
        <w:rPr>
          <w:rFonts w:ascii="Palatino Linotype" w:eastAsia="Times New Roman" w:hAnsi="Palatino Linotype"/>
          <w:i/>
          <w:sz w:val="24"/>
          <w:szCs w:val="24"/>
        </w:rPr>
        <w:t>specialised</w:t>
      </w:r>
      <w:r w:rsidRPr="00FE2408">
        <w:rPr>
          <w:rFonts w:ascii="Palatino Linotype" w:eastAsia="Times New Roman" w:hAnsi="Palatino Linotype"/>
          <w:sz w:val="24"/>
          <w:szCs w:val="24"/>
        </w:rPr>
        <w:t xml:space="preserve"> practice area. While Law and Medicine (for example) have always understood the importance of </w:t>
      </w:r>
      <w:r w:rsidRPr="00FE2408">
        <w:rPr>
          <w:rStyle w:val="st1"/>
          <w:rFonts w:ascii="Palatino Linotype" w:hAnsi="Palatino Linotype"/>
          <w:sz w:val="24"/>
          <w:szCs w:val="24"/>
        </w:rPr>
        <w:t>integrating academic learning with its application in the workplace, much wider service sector recognition has now reached the point that many NGOs and niche law firms find it unsurprising that a law school would propose a specialised externship.</w:t>
      </w:r>
      <w:r w:rsidRPr="00FE2408">
        <w:rPr>
          <w:rFonts w:ascii="Palatino Linotype" w:eastAsia="Times New Roman" w:hAnsi="Palatino Linotype"/>
          <w:sz w:val="24"/>
          <w:szCs w:val="24"/>
        </w:rPr>
        <w:t xml:space="preserve">  </w:t>
      </w:r>
    </w:p>
    <w:p w:rsidR="00BE51F2" w:rsidRPr="00FE2408" w:rsidRDefault="00BE51F2" w:rsidP="005D078E">
      <w:pPr>
        <w:shd w:val="clear" w:color="auto" w:fill="FFFFFF"/>
        <w:spacing w:before="100" w:beforeAutospacing="1" w:after="100" w:afterAutospacing="1" w:line="480" w:lineRule="auto"/>
        <w:ind w:left="284"/>
        <w:jc w:val="both"/>
        <w:rPr>
          <w:rFonts w:ascii="Palatino Linotype" w:eastAsia="Times New Roman" w:hAnsi="Palatino Linotype"/>
          <w:sz w:val="24"/>
          <w:szCs w:val="24"/>
        </w:rPr>
      </w:pPr>
      <w:r w:rsidRPr="00FE2408">
        <w:rPr>
          <w:rFonts w:ascii="Palatino Linotype" w:eastAsia="Times New Roman" w:hAnsi="Palatino Linotype"/>
          <w:sz w:val="24"/>
          <w:szCs w:val="24"/>
        </w:rPr>
        <w:t xml:space="preserve">Fourth, the external clinic can reduce the insular nature of some law school environments. Reliance on external skills and expertise means the potential within </w:t>
      </w:r>
      <w:r w:rsidRPr="00FE2408">
        <w:rPr>
          <w:rFonts w:ascii="Palatino Linotype" w:eastAsia="Times New Roman" w:hAnsi="Palatino Linotype"/>
          <w:sz w:val="24"/>
          <w:szCs w:val="24"/>
        </w:rPr>
        <w:lastRenderedPageBreak/>
        <w:t>an in-house clinic for internal exclusivity or narrowness of competence and attitudes is reduced.</w:t>
      </w:r>
    </w:p>
    <w:p w:rsidR="00BE51F2" w:rsidRPr="00FE2408" w:rsidRDefault="00BE51F2" w:rsidP="005D078E">
      <w:pPr>
        <w:shd w:val="clear" w:color="auto" w:fill="FFFFFF"/>
        <w:spacing w:before="100" w:beforeAutospacing="1" w:after="100" w:afterAutospacing="1" w:line="480" w:lineRule="auto"/>
        <w:ind w:left="284"/>
        <w:jc w:val="both"/>
        <w:rPr>
          <w:rFonts w:ascii="Palatino Linotype" w:eastAsia="Times New Roman" w:hAnsi="Palatino Linotype"/>
          <w:sz w:val="24"/>
          <w:szCs w:val="24"/>
        </w:rPr>
      </w:pPr>
      <w:r w:rsidRPr="00FE2408">
        <w:rPr>
          <w:rFonts w:ascii="Palatino Linotype" w:eastAsia="Times New Roman" w:hAnsi="Palatino Linotype"/>
          <w:sz w:val="24"/>
          <w:szCs w:val="24"/>
        </w:rPr>
        <w:t xml:space="preserve">Finally, a SEC is also a very good way to harness the goodwill of clinical alumni. Connections with these graduates can be developed to locate externship sites and potential supervisors at those sites can be carefully nurtured, benefiting both those professionals by allowing them the chance to give back to their law school and the SEC students, by connecting them with possible future employers. The process completes an alumnus-student-alumnus loop that may be both expanding and self-sustaining within a few cycles. Firms led by alumni recruit from trusted current students, who become the next group of employers and so on: </w:t>
      </w:r>
    </w:p>
    <w:p w:rsidR="00BE51F2" w:rsidRPr="00FE2408" w:rsidRDefault="00BE51F2" w:rsidP="005D078E">
      <w:pPr>
        <w:shd w:val="clear" w:color="auto" w:fill="FFFFFF"/>
        <w:spacing w:before="100" w:beforeAutospacing="1" w:after="100" w:afterAutospacing="1" w:line="480" w:lineRule="auto"/>
        <w:ind w:left="284"/>
        <w:jc w:val="both"/>
        <w:rPr>
          <w:rFonts w:ascii="Palatino Linotype" w:eastAsia="Times New Roman" w:hAnsi="Palatino Linotype"/>
          <w:sz w:val="24"/>
          <w:szCs w:val="24"/>
        </w:rPr>
      </w:pPr>
      <w:r w:rsidRPr="00FE2408">
        <w:rPr>
          <w:rFonts w:ascii="Palatino Linotype" w:eastAsia="Times New Roman" w:hAnsi="Palatino Linotype"/>
          <w:noProof/>
          <w:sz w:val="24"/>
          <w:szCs w:val="24"/>
          <w:lang w:val="en-GB" w:eastAsia="en-GB"/>
        </w:rPr>
        <w:drawing>
          <wp:inline distT="0" distB="0" distL="0" distR="0" wp14:anchorId="2CE8DA72" wp14:editId="7C1102C1">
            <wp:extent cx="5486400" cy="1965600"/>
            <wp:effectExtent l="0" t="0" r="0" b="349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BE51F2" w:rsidRPr="00FE2408" w:rsidRDefault="00BE51F2" w:rsidP="005D078E">
      <w:pPr>
        <w:shd w:val="clear" w:color="auto" w:fill="FFFFFF"/>
        <w:spacing w:before="100" w:beforeAutospacing="1" w:after="100" w:afterAutospacing="1" w:line="480" w:lineRule="auto"/>
        <w:ind w:left="284"/>
        <w:jc w:val="both"/>
        <w:rPr>
          <w:rFonts w:ascii="Palatino Linotype" w:eastAsia="Times New Roman" w:hAnsi="Palatino Linotype"/>
          <w:sz w:val="24"/>
          <w:szCs w:val="24"/>
        </w:rPr>
      </w:pPr>
      <w:r w:rsidRPr="00FE2408">
        <w:rPr>
          <w:rFonts w:ascii="Palatino Linotype" w:eastAsia="Times New Roman" w:hAnsi="Palatino Linotype"/>
          <w:sz w:val="24"/>
          <w:szCs w:val="24"/>
        </w:rPr>
        <w:t xml:space="preserve">A SEC can operate without a primary (general practice) clinical experience preceding it, provided the externship itself is carefully and thoroughly set up – but it’s not as seamless or productive in the educational outcome sense as the preferred, progressive GP&gt;Specialisation model advocated here, simply because there is less time for students to develop in their understanding of practice. The </w:t>
      </w:r>
      <w:r w:rsidRPr="00FE2408">
        <w:rPr>
          <w:rFonts w:ascii="Palatino Linotype" w:eastAsia="Times New Roman" w:hAnsi="Palatino Linotype"/>
          <w:sz w:val="24"/>
          <w:szCs w:val="24"/>
        </w:rPr>
        <w:lastRenderedPageBreak/>
        <w:t xml:space="preserve">stand-alone SEC may also be educationally deficient because students entering a SEC as their first clinic are not necessarily doing so with full knowledge of their own attributes, learning styles and learning needs. </w:t>
      </w:r>
    </w:p>
    <w:p w:rsidR="00BE51F2" w:rsidRPr="00FE2408" w:rsidRDefault="00BE51F2" w:rsidP="005D078E">
      <w:pPr>
        <w:shd w:val="clear" w:color="auto" w:fill="FFFFFF"/>
        <w:spacing w:before="100" w:beforeAutospacing="1" w:after="100" w:afterAutospacing="1" w:line="480" w:lineRule="auto"/>
        <w:ind w:left="284"/>
        <w:jc w:val="both"/>
        <w:rPr>
          <w:rFonts w:ascii="Palatino Linotype" w:eastAsia="Times New Roman" w:hAnsi="Palatino Linotype"/>
          <w:b/>
          <w:sz w:val="24"/>
          <w:szCs w:val="24"/>
        </w:rPr>
      </w:pPr>
      <w:r w:rsidRPr="00FE2408">
        <w:rPr>
          <w:rFonts w:ascii="Palatino Linotype" w:eastAsia="Times New Roman" w:hAnsi="Palatino Linotype"/>
          <w:sz w:val="24"/>
          <w:szCs w:val="24"/>
        </w:rPr>
        <w:t>Taken as a whole, the specialised externship does best when it follows a significant in-house GP experience, but even in this context, these clinics must be organised and set up carefully if they are to avoid some well-known traps.</w:t>
      </w:r>
    </w:p>
    <w:p w:rsidR="00BE51F2" w:rsidRPr="005D078E" w:rsidRDefault="005D078E" w:rsidP="005D078E">
      <w:pPr>
        <w:shd w:val="clear" w:color="auto" w:fill="FFFFFF"/>
        <w:spacing w:before="100" w:beforeAutospacing="1" w:after="100" w:afterAutospacing="1" w:line="480" w:lineRule="auto"/>
        <w:ind w:left="284"/>
        <w:jc w:val="both"/>
        <w:rPr>
          <w:rFonts w:ascii="Palatino Linotype" w:eastAsia="Times New Roman" w:hAnsi="Palatino Linotype"/>
          <w:sz w:val="24"/>
          <w:szCs w:val="24"/>
        </w:rPr>
      </w:pPr>
      <w:r w:rsidRPr="005D078E">
        <w:rPr>
          <w:rFonts w:ascii="Palatino Linotype" w:eastAsia="Times New Roman" w:hAnsi="Palatino Linotype"/>
          <w:sz w:val="24"/>
          <w:szCs w:val="24"/>
        </w:rPr>
        <w:t xml:space="preserve">WHAT ARE THE PITFALLS OF SPECIALISED EXTERNSHIPS? </w:t>
      </w:r>
    </w:p>
    <w:p w:rsidR="00BE51F2" w:rsidRPr="00FE2408" w:rsidRDefault="00BE51F2" w:rsidP="005D078E">
      <w:pPr>
        <w:shd w:val="clear" w:color="auto" w:fill="FFFFFF"/>
        <w:spacing w:after="0" w:line="480" w:lineRule="auto"/>
        <w:ind w:left="284"/>
        <w:jc w:val="both"/>
        <w:rPr>
          <w:rFonts w:ascii="Palatino Linotype" w:eastAsia="Times New Roman" w:hAnsi="Palatino Linotype"/>
          <w:sz w:val="24"/>
          <w:szCs w:val="24"/>
        </w:rPr>
      </w:pPr>
      <w:r w:rsidRPr="00FE2408">
        <w:rPr>
          <w:rFonts w:ascii="Palatino Linotype" w:eastAsia="Times New Roman" w:hAnsi="Palatino Linotype"/>
          <w:sz w:val="24"/>
          <w:szCs w:val="24"/>
        </w:rPr>
        <w:t>The principal issue in setting up</w:t>
      </w:r>
      <w:r w:rsidRPr="00FE2408">
        <w:rPr>
          <w:rFonts w:ascii="Palatino Linotype" w:eastAsia="Times New Roman" w:hAnsi="Palatino Linotype"/>
          <w:b/>
          <w:sz w:val="24"/>
          <w:szCs w:val="24"/>
        </w:rPr>
        <w:t xml:space="preserve"> </w:t>
      </w:r>
      <w:r w:rsidRPr="00FE2408">
        <w:rPr>
          <w:rFonts w:ascii="Palatino Linotype" w:hAnsi="Palatino Linotype"/>
          <w:bCs/>
          <w:sz w:val="24"/>
          <w:szCs w:val="24"/>
        </w:rPr>
        <w:t>a secure and stable externship</w:t>
      </w:r>
      <w:r w:rsidRPr="00FE2408">
        <w:rPr>
          <w:rFonts w:ascii="Palatino Linotype" w:eastAsia="Times New Roman" w:hAnsi="Palatino Linotype"/>
          <w:sz w:val="24"/>
          <w:szCs w:val="24"/>
        </w:rPr>
        <w:t xml:space="preserve"> is </w:t>
      </w:r>
      <w:r w:rsidRPr="00FE2408">
        <w:rPr>
          <w:rFonts w:ascii="Palatino Linotype" w:eastAsia="Times New Roman" w:hAnsi="Palatino Linotype"/>
          <w:sz w:val="24"/>
          <w:szCs w:val="24"/>
          <w:u w:val="single"/>
        </w:rPr>
        <w:t>not</w:t>
      </w:r>
      <w:r w:rsidRPr="00FE2408">
        <w:rPr>
          <w:rFonts w:ascii="Palatino Linotype" w:eastAsia="Times New Roman" w:hAnsi="Palatino Linotype"/>
          <w:sz w:val="24"/>
          <w:szCs w:val="24"/>
        </w:rPr>
        <w:t xml:space="preserve"> the area of specialisation, but the </w:t>
      </w:r>
      <w:r w:rsidRPr="00FE2408">
        <w:rPr>
          <w:rFonts w:ascii="Palatino Linotype" w:eastAsia="Times New Roman" w:hAnsi="Palatino Linotype"/>
          <w:sz w:val="24"/>
          <w:szCs w:val="24"/>
          <w:u w:val="single"/>
        </w:rPr>
        <w:t>quality</w:t>
      </w:r>
      <w:r w:rsidRPr="00FE2408">
        <w:rPr>
          <w:rFonts w:ascii="Palatino Linotype" w:eastAsia="Times New Roman" w:hAnsi="Palatino Linotype"/>
          <w:sz w:val="24"/>
          <w:szCs w:val="24"/>
        </w:rPr>
        <w:t xml:space="preserve"> of the externship set up </w:t>
      </w:r>
      <w:r w:rsidRPr="00FE2408">
        <w:rPr>
          <w:rFonts w:ascii="Palatino Linotype" w:eastAsia="Times New Roman" w:hAnsi="Palatino Linotype"/>
          <w:i/>
          <w:sz w:val="24"/>
          <w:szCs w:val="24"/>
        </w:rPr>
        <w:t>per se</w:t>
      </w:r>
      <w:r w:rsidRPr="00FE2408">
        <w:rPr>
          <w:rFonts w:ascii="Palatino Linotype" w:eastAsia="Times New Roman" w:hAnsi="Palatino Linotype"/>
          <w:sz w:val="24"/>
          <w:szCs w:val="24"/>
        </w:rPr>
        <w:t>. A number of factors are in play here:</w:t>
      </w:r>
    </w:p>
    <w:p w:rsidR="00BE51F2" w:rsidRPr="00FE2408" w:rsidRDefault="00BE51F2" w:rsidP="005D078E">
      <w:pPr>
        <w:shd w:val="clear" w:color="auto" w:fill="FFFFFF"/>
        <w:spacing w:after="0" w:line="480" w:lineRule="auto"/>
        <w:ind w:left="284"/>
        <w:jc w:val="both"/>
        <w:rPr>
          <w:rFonts w:ascii="Palatino Linotype" w:eastAsia="Times New Roman" w:hAnsi="Palatino Linotype"/>
          <w:sz w:val="24"/>
          <w:szCs w:val="24"/>
        </w:rPr>
      </w:pPr>
    </w:p>
    <w:p w:rsidR="00BE51F2" w:rsidRPr="00FE2408" w:rsidRDefault="00BE51F2" w:rsidP="005D078E">
      <w:pPr>
        <w:shd w:val="clear" w:color="auto" w:fill="FFFFFF"/>
        <w:spacing w:after="0" w:line="480" w:lineRule="auto"/>
        <w:ind w:left="1080" w:hanging="796"/>
        <w:jc w:val="both"/>
        <w:rPr>
          <w:rFonts w:ascii="Palatino Linotype" w:eastAsia="Times New Roman" w:hAnsi="Palatino Linotype"/>
          <w:i/>
          <w:iCs/>
          <w:sz w:val="24"/>
          <w:szCs w:val="24"/>
        </w:rPr>
      </w:pPr>
      <w:r w:rsidRPr="00FE2408">
        <w:rPr>
          <w:rFonts w:ascii="Palatino Linotype" w:eastAsia="Times New Roman" w:hAnsi="Palatino Linotype"/>
          <w:i/>
          <w:iCs/>
          <w:sz w:val="24"/>
          <w:szCs w:val="24"/>
        </w:rPr>
        <w:t>No control over the day-to-day experience of students</w:t>
      </w:r>
    </w:p>
    <w:p w:rsidR="00BE51F2" w:rsidRPr="00FE2408" w:rsidRDefault="00BE51F2" w:rsidP="005D078E">
      <w:pPr>
        <w:shd w:val="clear" w:color="auto" w:fill="FFFFFF"/>
        <w:spacing w:after="0" w:line="480" w:lineRule="auto"/>
        <w:ind w:left="284"/>
        <w:jc w:val="both"/>
        <w:rPr>
          <w:rFonts w:ascii="Palatino Linotype" w:eastAsia="Times New Roman" w:hAnsi="Palatino Linotype"/>
          <w:sz w:val="24"/>
          <w:szCs w:val="24"/>
        </w:rPr>
      </w:pPr>
      <w:r w:rsidRPr="00FE2408">
        <w:rPr>
          <w:rFonts w:ascii="Palatino Linotype" w:eastAsia="Times New Roman" w:hAnsi="Palatino Linotype"/>
          <w:sz w:val="24"/>
          <w:szCs w:val="24"/>
        </w:rPr>
        <w:t xml:space="preserve">To a large extent, the quality of day-to-day student experience is a leap of faith. Clinicians have to be confident in the educative abilities of externship partners and rely on them to provide the students with educationally useful and valuable activities. </w:t>
      </w:r>
    </w:p>
    <w:p w:rsidR="00BE51F2" w:rsidRPr="00FE2408" w:rsidRDefault="00BE51F2" w:rsidP="005D078E">
      <w:pPr>
        <w:shd w:val="clear" w:color="auto" w:fill="FFFFFF"/>
        <w:spacing w:after="0" w:line="480" w:lineRule="auto"/>
        <w:ind w:left="284"/>
        <w:jc w:val="both"/>
        <w:rPr>
          <w:rFonts w:ascii="Palatino Linotype" w:eastAsia="Times New Roman" w:hAnsi="Palatino Linotype"/>
          <w:sz w:val="24"/>
          <w:szCs w:val="24"/>
        </w:rPr>
      </w:pPr>
      <w:r w:rsidRPr="00FE2408">
        <w:rPr>
          <w:rFonts w:ascii="Palatino Linotype" w:eastAsia="Times New Roman" w:hAnsi="Palatino Linotype"/>
          <w:sz w:val="24"/>
          <w:szCs w:val="24"/>
        </w:rPr>
        <w:t xml:space="preserve">Reliance is also placed on the students being adult, independent and autonomous individuals who will report back any dissatisfaction with the quality of the experience. </w:t>
      </w:r>
    </w:p>
    <w:p w:rsidR="00BE51F2" w:rsidRPr="00FE2408" w:rsidRDefault="00BE51F2" w:rsidP="005D078E">
      <w:pPr>
        <w:shd w:val="clear" w:color="auto" w:fill="FFFFFF"/>
        <w:spacing w:after="0" w:line="480" w:lineRule="auto"/>
        <w:ind w:left="284"/>
        <w:jc w:val="both"/>
        <w:rPr>
          <w:rFonts w:ascii="Palatino Linotype" w:eastAsia="Times New Roman" w:hAnsi="Palatino Linotype"/>
          <w:sz w:val="24"/>
          <w:szCs w:val="24"/>
        </w:rPr>
      </w:pPr>
      <w:r w:rsidRPr="00FE2408">
        <w:rPr>
          <w:rFonts w:ascii="Palatino Linotype" w:eastAsia="Times New Roman" w:hAnsi="Palatino Linotype"/>
          <w:sz w:val="24"/>
          <w:szCs w:val="24"/>
        </w:rPr>
        <w:lastRenderedPageBreak/>
        <w:t>Monash tries to deal with this via a mid-semester visit to all externships to speak with a firm representative and students independently, in order to gauge whether expectations (on both sides) are being fulfilled.</w:t>
      </w:r>
    </w:p>
    <w:p w:rsidR="00BE51F2" w:rsidRPr="00FE2408" w:rsidRDefault="00BE51F2" w:rsidP="005D078E">
      <w:pPr>
        <w:shd w:val="clear" w:color="auto" w:fill="FFFFFF"/>
        <w:spacing w:after="0" w:line="480" w:lineRule="auto"/>
        <w:ind w:left="1073" w:hanging="789"/>
        <w:jc w:val="both"/>
        <w:rPr>
          <w:rFonts w:ascii="Palatino Linotype" w:eastAsia="Times New Roman" w:hAnsi="Palatino Linotype"/>
          <w:i/>
          <w:iCs/>
          <w:sz w:val="24"/>
          <w:szCs w:val="24"/>
        </w:rPr>
      </w:pPr>
    </w:p>
    <w:p w:rsidR="00BE51F2" w:rsidRPr="00FE2408" w:rsidRDefault="00BE51F2" w:rsidP="005D078E">
      <w:pPr>
        <w:shd w:val="clear" w:color="auto" w:fill="FFFFFF"/>
        <w:spacing w:after="0" w:line="480" w:lineRule="auto"/>
        <w:ind w:left="1073" w:hanging="789"/>
        <w:jc w:val="both"/>
        <w:rPr>
          <w:rFonts w:ascii="Palatino Linotype" w:eastAsia="Times New Roman" w:hAnsi="Palatino Linotype"/>
          <w:i/>
          <w:iCs/>
          <w:sz w:val="24"/>
          <w:szCs w:val="24"/>
        </w:rPr>
      </w:pPr>
      <w:r w:rsidRPr="00FE2408">
        <w:rPr>
          <w:rFonts w:ascii="Palatino Linotype" w:eastAsia="Times New Roman" w:hAnsi="Palatino Linotype"/>
          <w:i/>
          <w:iCs/>
          <w:sz w:val="24"/>
          <w:szCs w:val="24"/>
        </w:rPr>
        <w:t>Quality control of mentors.</w:t>
      </w:r>
    </w:p>
    <w:p w:rsidR="00BE51F2" w:rsidRPr="00FE2408" w:rsidRDefault="00BE51F2" w:rsidP="005D078E">
      <w:pPr>
        <w:shd w:val="clear" w:color="auto" w:fill="FFFFFF"/>
        <w:spacing w:after="0" w:line="480" w:lineRule="auto"/>
        <w:ind w:left="284"/>
        <w:jc w:val="both"/>
        <w:rPr>
          <w:rFonts w:ascii="Palatino Linotype" w:eastAsia="Times New Roman" w:hAnsi="Palatino Linotype"/>
          <w:sz w:val="24"/>
          <w:szCs w:val="24"/>
        </w:rPr>
      </w:pPr>
      <w:r w:rsidRPr="00FE2408">
        <w:rPr>
          <w:rFonts w:ascii="Palatino Linotype" w:eastAsia="Times New Roman" w:hAnsi="Palatino Linotype"/>
          <w:sz w:val="24"/>
          <w:szCs w:val="24"/>
        </w:rPr>
        <w:t xml:space="preserve">Legal education is being delivered by non-University staff and practitioners do not necessarily make good teachers. As such, the University cannot control what is being taught and how. The quality varies widely. Experience has demonstrated that the firms who are interested in offering clinical placements are keen and enthusiastic and that there is usually a ‘champion’ who is not only a good practitioner, but also a good teacher. </w:t>
      </w:r>
    </w:p>
    <w:p w:rsidR="00BE51F2" w:rsidRPr="00FE2408" w:rsidRDefault="00BE51F2" w:rsidP="005D078E">
      <w:pPr>
        <w:shd w:val="clear" w:color="auto" w:fill="FFFFFF"/>
        <w:spacing w:after="0" w:line="480" w:lineRule="auto"/>
        <w:ind w:left="284"/>
        <w:jc w:val="both"/>
        <w:rPr>
          <w:rFonts w:ascii="Palatino Linotype" w:eastAsia="Times New Roman" w:hAnsi="Palatino Linotype"/>
          <w:sz w:val="24"/>
          <w:szCs w:val="24"/>
        </w:rPr>
      </w:pPr>
      <w:r w:rsidRPr="00FE2408">
        <w:rPr>
          <w:rFonts w:ascii="Palatino Linotype" w:eastAsia="Times New Roman" w:hAnsi="Palatino Linotype"/>
          <w:sz w:val="24"/>
          <w:szCs w:val="24"/>
        </w:rPr>
        <w:t>However, students do sometimes complain that, apart from the ‘champion’, other members of the placement firm were uninterested or even hostile. This is very hard to control. Part of the way of resolving this is to ensure that assessments in all externships are finalised by clinical staff.  Accordingly, the host firm will assess the ‘casework’ aspect and sometimes provide a mark for the written work, but the program convenor will always second mark and second check the assessments and sign off on all final marks.</w:t>
      </w:r>
    </w:p>
    <w:p w:rsidR="00BE51F2" w:rsidRPr="00FE2408" w:rsidRDefault="00BE51F2" w:rsidP="005D078E">
      <w:pPr>
        <w:shd w:val="clear" w:color="auto" w:fill="FFFFFF"/>
        <w:spacing w:after="0" w:line="480" w:lineRule="auto"/>
        <w:ind w:left="284"/>
        <w:jc w:val="both"/>
        <w:rPr>
          <w:rFonts w:ascii="Palatino Linotype" w:eastAsia="Times New Roman" w:hAnsi="Palatino Linotype"/>
          <w:i/>
          <w:iCs/>
          <w:sz w:val="24"/>
          <w:szCs w:val="24"/>
        </w:rPr>
      </w:pPr>
    </w:p>
    <w:p w:rsidR="00BE51F2" w:rsidRPr="00FE2408" w:rsidRDefault="00BE51F2" w:rsidP="005D078E">
      <w:pPr>
        <w:shd w:val="clear" w:color="auto" w:fill="FFFFFF"/>
        <w:spacing w:after="0" w:line="480" w:lineRule="auto"/>
        <w:ind w:left="284"/>
        <w:jc w:val="both"/>
        <w:rPr>
          <w:rFonts w:ascii="Palatino Linotype" w:eastAsia="Times New Roman" w:hAnsi="Palatino Linotype"/>
          <w:i/>
          <w:iCs/>
          <w:sz w:val="24"/>
          <w:szCs w:val="24"/>
        </w:rPr>
      </w:pPr>
      <w:r w:rsidRPr="00FE2408">
        <w:rPr>
          <w:rFonts w:ascii="Palatino Linotype" w:eastAsia="Times New Roman" w:hAnsi="Palatino Linotype"/>
          <w:i/>
          <w:iCs/>
          <w:sz w:val="24"/>
          <w:szCs w:val="24"/>
        </w:rPr>
        <w:t>Student expectations and the reality of practice</w:t>
      </w:r>
    </w:p>
    <w:p w:rsidR="00BE51F2" w:rsidRPr="00FE2408" w:rsidRDefault="00BE51F2" w:rsidP="005D078E">
      <w:pPr>
        <w:shd w:val="clear" w:color="auto" w:fill="FFFFFF"/>
        <w:spacing w:after="0" w:line="480" w:lineRule="auto"/>
        <w:ind w:left="284"/>
        <w:jc w:val="both"/>
        <w:rPr>
          <w:rFonts w:ascii="Palatino Linotype" w:eastAsia="Times New Roman" w:hAnsi="Palatino Linotype"/>
          <w:sz w:val="24"/>
          <w:szCs w:val="24"/>
        </w:rPr>
      </w:pPr>
      <w:r w:rsidRPr="00FE2408">
        <w:rPr>
          <w:rFonts w:ascii="Palatino Linotype" w:eastAsia="Times New Roman" w:hAnsi="Palatino Linotype"/>
          <w:sz w:val="24"/>
          <w:szCs w:val="24"/>
        </w:rPr>
        <w:t xml:space="preserve">Part of having successful external placements is the management of student expectations. Students need to have a good (and realistic) idea of what they will </w:t>
      </w:r>
      <w:r w:rsidRPr="00FE2408">
        <w:rPr>
          <w:rFonts w:ascii="Palatino Linotype" w:eastAsia="Times New Roman" w:hAnsi="Palatino Linotype"/>
          <w:sz w:val="24"/>
          <w:szCs w:val="24"/>
        </w:rPr>
        <w:lastRenderedPageBreak/>
        <w:t>and won’t be doing as part of the externship experience. Sometimes they have an idealised concept of practice in which they are very important and lauded for their intelligent insights. The reality very rarely matches this expectation. Efforts are therefore made to be very clear to students about what they’ll be doing in the externship, where they will be on the ‘totem pole’ (usually, the lowest of the low) and what they should expect to get out of the experience.</w:t>
      </w:r>
    </w:p>
    <w:p w:rsidR="00BE51F2" w:rsidRPr="00FE2408" w:rsidRDefault="00BE51F2" w:rsidP="005D078E">
      <w:pPr>
        <w:shd w:val="clear" w:color="auto" w:fill="FFFFFF"/>
        <w:spacing w:after="0" w:line="480" w:lineRule="auto"/>
        <w:ind w:left="284"/>
        <w:jc w:val="both"/>
        <w:rPr>
          <w:rFonts w:ascii="Palatino Linotype" w:eastAsia="Times New Roman" w:hAnsi="Palatino Linotype"/>
          <w:i/>
          <w:iCs/>
          <w:sz w:val="24"/>
          <w:szCs w:val="24"/>
        </w:rPr>
      </w:pPr>
    </w:p>
    <w:p w:rsidR="00BE51F2" w:rsidRPr="00FE2408" w:rsidRDefault="00BE51F2" w:rsidP="005D078E">
      <w:pPr>
        <w:shd w:val="clear" w:color="auto" w:fill="FFFFFF"/>
        <w:spacing w:after="0" w:line="480" w:lineRule="auto"/>
        <w:ind w:left="284"/>
        <w:jc w:val="both"/>
        <w:rPr>
          <w:rFonts w:ascii="Palatino Linotype" w:eastAsia="Times New Roman" w:hAnsi="Palatino Linotype"/>
          <w:i/>
          <w:iCs/>
          <w:sz w:val="24"/>
          <w:szCs w:val="24"/>
        </w:rPr>
      </w:pPr>
      <w:r w:rsidRPr="00FE2408">
        <w:rPr>
          <w:rFonts w:ascii="Palatino Linotype" w:eastAsia="Times New Roman" w:hAnsi="Palatino Linotype"/>
          <w:i/>
          <w:iCs/>
          <w:sz w:val="24"/>
          <w:szCs w:val="24"/>
        </w:rPr>
        <w:t>Maintaining student interest</w:t>
      </w:r>
    </w:p>
    <w:p w:rsidR="00BE51F2" w:rsidRPr="00FE2408" w:rsidRDefault="00BE51F2" w:rsidP="005D078E">
      <w:pPr>
        <w:shd w:val="clear" w:color="auto" w:fill="FFFFFF"/>
        <w:spacing w:after="0" w:line="480" w:lineRule="auto"/>
        <w:ind w:left="284"/>
        <w:jc w:val="both"/>
        <w:rPr>
          <w:rFonts w:ascii="Palatino Linotype" w:eastAsia="Times New Roman" w:hAnsi="Palatino Linotype"/>
          <w:sz w:val="24"/>
          <w:szCs w:val="24"/>
        </w:rPr>
      </w:pPr>
      <w:r w:rsidRPr="00FE2408">
        <w:rPr>
          <w:rFonts w:ascii="Palatino Linotype" w:eastAsia="Times New Roman" w:hAnsi="Palatino Linotype"/>
          <w:sz w:val="24"/>
          <w:szCs w:val="24"/>
        </w:rPr>
        <w:t>Getting the word out to the student body about the suite of externships available is the hardest thing to do and takes the most effort. In a large law school in a very large University with many different double degree combinations and choices of electives, word of mouth is nowhere near as effective as might be thought. The adage of “build it and they will come” does not necessarily apply here.</w:t>
      </w:r>
    </w:p>
    <w:p w:rsidR="00BE51F2" w:rsidRPr="00FE2408" w:rsidRDefault="00BE51F2" w:rsidP="005D078E">
      <w:pPr>
        <w:shd w:val="clear" w:color="auto" w:fill="FFFFFF"/>
        <w:spacing w:after="0" w:line="480" w:lineRule="auto"/>
        <w:ind w:left="284"/>
        <w:jc w:val="both"/>
        <w:rPr>
          <w:rFonts w:ascii="Palatino Linotype" w:eastAsia="Times New Roman" w:hAnsi="Palatino Linotype"/>
          <w:sz w:val="24"/>
          <w:szCs w:val="24"/>
        </w:rPr>
      </w:pPr>
      <w:r w:rsidRPr="00FE2408">
        <w:rPr>
          <w:rFonts w:ascii="Palatino Linotype" w:eastAsia="Times New Roman" w:hAnsi="Palatino Linotype"/>
          <w:sz w:val="24"/>
          <w:szCs w:val="24"/>
        </w:rPr>
        <w:t xml:space="preserve">The mantra therefore is promote, promote, promote. </w:t>
      </w:r>
    </w:p>
    <w:p w:rsidR="00BE51F2" w:rsidRPr="00FE2408" w:rsidRDefault="00BE51F2" w:rsidP="005D078E">
      <w:pPr>
        <w:shd w:val="clear" w:color="auto" w:fill="FFFFFF"/>
        <w:spacing w:after="0" w:line="480" w:lineRule="auto"/>
        <w:ind w:left="284"/>
        <w:jc w:val="both"/>
        <w:rPr>
          <w:rFonts w:ascii="Palatino Linotype" w:eastAsia="Times New Roman" w:hAnsi="Palatino Linotype"/>
          <w:sz w:val="24"/>
          <w:szCs w:val="24"/>
        </w:rPr>
      </w:pPr>
      <w:r w:rsidRPr="00FE2408">
        <w:rPr>
          <w:rFonts w:ascii="Palatino Linotype" w:eastAsia="Times New Roman" w:hAnsi="Palatino Linotype"/>
          <w:sz w:val="24"/>
          <w:szCs w:val="24"/>
        </w:rPr>
        <w:t xml:space="preserve">Global emails and printed advertisements are a given, but scheduled information sessions where members of the hosting body come to speak to students are more effective. However, such visits are incredibly time consuming and administratively demanding. The difficulty is that if the program convenor does not have the appropriate students to provide for a particular externship, momentum is lost within the host firm, or worse their ire is incurred, as they are relying on their positions to be filled semester after semester. </w:t>
      </w:r>
    </w:p>
    <w:p w:rsidR="00BE51F2" w:rsidRPr="00FE2408" w:rsidRDefault="00BE51F2" w:rsidP="005D078E">
      <w:pPr>
        <w:shd w:val="clear" w:color="auto" w:fill="FFFFFF"/>
        <w:spacing w:after="0" w:line="480" w:lineRule="auto"/>
        <w:ind w:left="284"/>
        <w:jc w:val="both"/>
        <w:rPr>
          <w:rFonts w:ascii="Palatino Linotype" w:eastAsia="Times New Roman" w:hAnsi="Palatino Linotype"/>
          <w:sz w:val="24"/>
          <w:szCs w:val="24"/>
        </w:rPr>
      </w:pPr>
    </w:p>
    <w:p w:rsidR="00BE51F2" w:rsidRPr="00FE2408" w:rsidRDefault="00BE51F2" w:rsidP="005D078E">
      <w:pPr>
        <w:shd w:val="clear" w:color="auto" w:fill="FFFFFF"/>
        <w:spacing w:after="0" w:line="480" w:lineRule="auto"/>
        <w:ind w:left="284"/>
        <w:jc w:val="both"/>
        <w:rPr>
          <w:rFonts w:ascii="Palatino Linotype" w:eastAsia="Times New Roman" w:hAnsi="Palatino Linotype"/>
          <w:i/>
          <w:iCs/>
          <w:sz w:val="24"/>
          <w:szCs w:val="24"/>
        </w:rPr>
      </w:pPr>
      <w:r w:rsidRPr="00FE2408">
        <w:rPr>
          <w:rFonts w:ascii="Palatino Linotype" w:eastAsia="Times New Roman" w:hAnsi="Palatino Linotype"/>
          <w:i/>
          <w:iCs/>
          <w:sz w:val="24"/>
          <w:szCs w:val="24"/>
        </w:rPr>
        <w:lastRenderedPageBreak/>
        <w:t>Dealing with and managing external interests – time consuming!</w:t>
      </w:r>
    </w:p>
    <w:p w:rsidR="00BE51F2" w:rsidRPr="00FE2408" w:rsidRDefault="00BE51F2" w:rsidP="005D078E">
      <w:pPr>
        <w:shd w:val="clear" w:color="auto" w:fill="FFFFFF"/>
        <w:spacing w:after="0" w:line="480" w:lineRule="auto"/>
        <w:ind w:left="284"/>
        <w:jc w:val="both"/>
        <w:rPr>
          <w:rFonts w:ascii="Palatino Linotype" w:eastAsia="Times New Roman" w:hAnsi="Palatino Linotype"/>
          <w:sz w:val="24"/>
          <w:szCs w:val="24"/>
        </w:rPr>
      </w:pPr>
      <w:r w:rsidRPr="00FE2408">
        <w:rPr>
          <w:rFonts w:ascii="Palatino Linotype" w:eastAsia="Times New Roman" w:hAnsi="Palatino Linotype"/>
          <w:sz w:val="24"/>
          <w:szCs w:val="24"/>
        </w:rPr>
        <w:t xml:space="preserve">Management of the externship relationship is probably the most significant issue with specialist clinic placements. The program convenor requires considerable patience and time in order to deal with externship personnel. </w:t>
      </w:r>
    </w:p>
    <w:p w:rsidR="00BE51F2" w:rsidRPr="00FE2408" w:rsidRDefault="00BE51F2" w:rsidP="005D078E">
      <w:pPr>
        <w:shd w:val="clear" w:color="auto" w:fill="FFFFFF"/>
        <w:spacing w:after="0" w:line="480" w:lineRule="auto"/>
        <w:ind w:left="284"/>
        <w:jc w:val="both"/>
        <w:rPr>
          <w:rFonts w:ascii="Palatino Linotype" w:eastAsia="Times New Roman" w:hAnsi="Palatino Linotype"/>
          <w:sz w:val="24"/>
          <w:szCs w:val="24"/>
        </w:rPr>
      </w:pPr>
      <w:r w:rsidRPr="00FE2408">
        <w:rPr>
          <w:rFonts w:ascii="Palatino Linotype" w:eastAsia="Times New Roman" w:hAnsi="Palatino Linotype"/>
          <w:sz w:val="24"/>
          <w:szCs w:val="24"/>
        </w:rPr>
        <w:t xml:space="preserve">Their expectations of the relationship (kudos, free labour, fulfilling their </w:t>
      </w:r>
      <w:r w:rsidRPr="00FE2408">
        <w:rPr>
          <w:rFonts w:ascii="Palatino Linotype" w:eastAsia="Times New Roman" w:hAnsi="Palatino Linotype"/>
          <w:i/>
          <w:sz w:val="24"/>
          <w:szCs w:val="24"/>
        </w:rPr>
        <w:t>pro bono</w:t>
      </w:r>
      <w:r w:rsidRPr="00FE2408">
        <w:rPr>
          <w:rFonts w:ascii="Palatino Linotype" w:eastAsia="Times New Roman" w:hAnsi="Palatino Linotype"/>
          <w:sz w:val="24"/>
          <w:szCs w:val="24"/>
        </w:rPr>
        <w:t xml:space="preserve"> requirements) must be juggled so that law school interests in appropriate work for students and professional on-site supervision are not compromised. </w:t>
      </w:r>
    </w:p>
    <w:p w:rsidR="00BE51F2" w:rsidRPr="00FE2408" w:rsidRDefault="00BE51F2" w:rsidP="005D078E">
      <w:pPr>
        <w:shd w:val="clear" w:color="auto" w:fill="FFFFFF"/>
        <w:spacing w:after="0" w:line="480" w:lineRule="auto"/>
        <w:ind w:left="284"/>
        <w:jc w:val="both"/>
        <w:rPr>
          <w:rFonts w:ascii="Palatino Linotype" w:eastAsia="Times New Roman" w:hAnsi="Palatino Linotype"/>
          <w:i/>
          <w:iCs/>
          <w:sz w:val="24"/>
          <w:szCs w:val="24"/>
        </w:rPr>
      </w:pPr>
      <w:r w:rsidRPr="00FE2408">
        <w:rPr>
          <w:rFonts w:ascii="Palatino Linotype" w:eastAsia="Times New Roman" w:hAnsi="Palatino Linotype"/>
          <w:sz w:val="24"/>
          <w:szCs w:val="24"/>
        </w:rPr>
        <w:t xml:space="preserve">The relationship cannot be maintained entirely by email or telephone and requires regular site visits, plus the willingness to go and meet externship supervisors at the site when a particular problem arises. Considerable negotiation is always required to come to a reasonable conclusion regarding student hours of work, the type of work, the avoidance of entirely junior supervisors of students and the assessment regime and other similar matters. As the </w:t>
      </w:r>
      <w:r w:rsidRPr="00FE2408">
        <w:rPr>
          <w:rFonts w:ascii="Palatino Linotype" w:eastAsia="Times New Roman" w:hAnsi="Palatino Linotype"/>
          <w:i/>
          <w:sz w:val="24"/>
          <w:szCs w:val="24"/>
        </w:rPr>
        <w:t>Best Practices</w:t>
      </w:r>
      <w:r w:rsidRPr="00FE2408">
        <w:rPr>
          <w:rFonts w:ascii="Palatino Linotype" w:eastAsia="Times New Roman" w:hAnsi="Palatino Linotype"/>
          <w:sz w:val="24"/>
          <w:szCs w:val="24"/>
        </w:rPr>
        <w:t xml:space="preserve"> make clear, it’s important to agree on a Memorandum of Understanding before the first group of students commences, so that everyone is in agreement with these basic matters.</w:t>
      </w:r>
      <w:r w:rsidRPr="00FE2408">
        <w:rPr>
          <w:rStyle w:val="FootnoteReference"/>
          <w:rFonts w:ascii="Palatino Linotype" w:hAnsi="Palatino Linotype"/>
          <w:sz w:val="24"/>
          <w:szCs w:val="24"/>
        </w:rPr>
        <w:footnoteReference w:id="14"/>
      </w:r>
    </w:p>
    <w:p w:rsidR="00BE51F2" w:rsidRPr="00FE2408" w:rsidRDefault="00BE51F2" w:rsidP="005D078E">
      <w:pPr>
        <w:shd w:val="clear" w:color="auto" w:fill="FFFFFF"/>
        <w:spacing w:after="0" w:line="480" w:lineRule="auto"/>
        <w:ind w:left="284"/>
        <w:jc w:val="both"/>
        <w:rPr>
          <w:rFonts w:ascii="Palatino Linotype" w:eastAsia="Times New Roman" w:hAnsi="Palatino Linotype"/>
          <w:sz w:val="24"/>
          <w:szCs w:val="24"/>
        </w:rPr>
      </w:pPr>
      <w:r w:rsidRPr="00FE2408">
        <w:rPr>
          <w:rFonts w:ascii="Palatino Linotype" w:eastAsia="Times New Roman" w:hAnsi="Palatino Linotype"/>
          <w:sz w:val="24"/>
          <w:szCs w:val="24"/>
        </w:rPr>
        <w:t xml:space="preserve">The on-going externship relationship also requires a lot of work. Contacting each externship before each group of students starts to ensure they are preparing for the next group can never be neglected. This is not a role for an introvert. At least one site visit during a placement period is also a good idea, to demonstrate the law school’s investment and involvement to both students and the firm. </w:t>
      </w:r>
    </w:p>
    <w:p w:rsidR="00BE51F2" w:rsidRPr="00FE2408" w:rsidRDefault="00BE51F2" w:rsidP="005D078E">
      <w:pPr>
        <w:shd w:val="clear" w:color="auto" w:fill="FFFFFF"/>
        <w:spacing w:after="0" w:line="480" w:lineRule="auto"/>
        <w:ind w:left="284"/>
        <w:jc w:val="both"/>
        <w:rPr>
          <w:rFonts w:ascii="Palatino Linotype" w:eastAsia="Times New Roman" w:hAnsi="Palatino Linotype"/>
          <w:i/>
          <w:iCs/>
          <w:sz w:val="24"/>
          <w:szCs w:val="24"/>
        </w:rPr>
      </w:pPr>
    </w:p>
    <w:p w:rsidR="00BE51F2" w:rsidRPr="00FE2408" w:rsidRDefault="00BE51F2" w:rsidP="005D078E">
      <w:pPr>
        <w:shd w:val="clear" w:color="auto" w:fill="FFFFFF"/>
        <w:spacing w:after="0" w:line="480" w:lineRule="auto"/>
        <w:ind w:left="284"/>
        <w:jc w:val="both"/>
        <w:rPr>
          <w:rFonts w:ascii="Palatino Linotype" w:eastAsia="Times New Roman" w:hAnsi="Palatino Linotype"/>
          <w:sz w:val="24"/>
          <w:szCs w:val="24"/>
        </w:rPr>
      </w:pPr>
      <w:r w:rsidRPr="00FE2408">
        <w:rPr>
          <w:rFonts w:ascii="Palatino Linotype" w:eastAsia="Times New Roman" w:hAnsi="Palatino Linotype"/>
          <w:i/>
          <w:iCs/>
          <w:sz w:val="24"/>
          <w:szCs w:val="24"/>
        </w:rPr>
        <w:lastRenderedPageBreak/>
        <w:t>Ideological and educational disparities</w:t>
      </w:r>
    </w:p>
    <w:p w:rsidR="00BE51F2" w:rsidRPr="00FE2408" w:rsidRDefault="00BE51F2" w:rsidP="005D078E">
      <w:pPr>
        <w:shd w:val="clear" w:color="auto" w:fill="FFFFFF"/>
        <w:spacing w:after="0" w:line="480" w:lineRule="auto"/>
        <w:ind w:left="284"/>
        <w:jc w:val="both"/>
        <w:rPr>
          <w:rFonts w:ascii="Palatino Linotype" w:eastAsia="Times New Roman" w:hAnsi="Palatino Linotype"/>
          <w:sz w:val="24"/>
          <w:szCs w:val="24"/>
        </w:rPr>
      </w:pPr>
      <w:r w:rsidRPr="00FE2408">
        <w:rPr>
          <w:rFonts w:ascii="Palatino Linotype" w:eastAsia="Times New Roman" w:hAnsi="Palatino Linotype"/>
          <w:sz w:val="24"/>
          <w:szCs w:val="24"/>
        </w:rPr>
        <w:t>Law firms tend to point out the difference between conventional law school learning and the ‘real world’. Part of the large law firm mentality is the focus on time sheets, profits and efficiency. This is important for students to learn, but a mature understanding of clinical process requires a social justice agenda, the promotion of best practices and ethical interaction with clients.</w:t>
      </w:r>
      <w:r w:rsidRPr="00FE2408">
        <w:rPr>
          <w:rStyle w:val="FootnoteReference"/>
          <w:rFonts w:ascii="Palatino Linotype" w:hAnsi="Palatino Linotype"/>
          <w:sz w:val="24"/>
          <w:szCs w:val="24"/>
        </w:rPr>
        <w:footnoteReference w:id="15"/>
      </w:r>
      <w:r w:rsidRPr="00FE2408">
        <w:rPr>
          <w:rFonts w:ascii="Palatino Linotype" w:eastAsia="Times New Roman" w:hAnsi="Palatino Linotype"/>
          <w:sz w:val="24"/>
          <w:szCs w:val="24"/>
        </w:rPr>
        <w:t xml:space="preserve"> </w:t>
      </w:r>
    </w:p>
    <w:p w:rsidR="00BE51F2" w:rsidRPr="00FE2408" w:rsidRDefault="00BE51F2" w:rsidP="005D078E">
      <w:pPr>
        <w:shd w:val="clear" w:color="auto" w:fill="FFFFFF"/>
        <w:spacing w:before="100" w:beforeAutospacing="1" w:after="100" w:afterAutospacing="1" w:line="480" w:lineRule="auto"/>
        <w:ind w:left="284"/>
        <w:jc w:val="both"/>
        <w:rPr>
          <w:rFonts w:ascii="Palatino Linotype" w:eastAsia="Times New Roman" w:hAnsi="Palatino Linotype"/>
          <w:sz w:val="24"/>
          <w:szCs w:val="24"/>
        </w:rPr>
      </w:pPr>
      <w:r w:rsidRPr="00FE2408">
        <w:rPr>
          <w:rFonts w:ascii="Palatino Linotype" w:eastAsia="Times New Roman" w:hAnsi="Palatino Linotype"/>
          <w:sz w:val="24"/>
          <w:szCs w:val="24"/>
        </w:rPr>
        <w:t xml:space="preserve">There may be a disparity between clinical legal education core beliefs and a pragmatic, big firm mentality. It is important to ensure that externship students are pre-equipped to deal with and discuss the large firm mentality in the interests of strengthening their understanding of the importance of a strong social justice priority in their own professional futures. </w:t>
      </w:r>
    </w:p>
    <w:p w:rsidR="00BE51F2" w:rsidRPr="00FE2408" w:rsidRDefault="00BE51F2" w:rsidP="005D078E">
      <w:pPr>
        <w:shd w:val="clear" w:color="auto" w:fill="FFFFFF"/>
        <w:spacing w:before="100" w:beforeAutospacing="1" w:after="100" w:afterAutospacing="1" w:line="480" w:lineRule="auto"/>
        <w:ind w:left="284"/>
        <w:jc w:val="both"/>
        <w:rPr>
          <w:rFonts w:ascii="Palatino Linotype" w:eastAsia="Times New Roman" w:hAnsi="Palatino Linotype"/>
          <w:sz w:val="24"/>
          <w:szCs w:val="24"/>
        </w:rPr>
      </w:pPr>
      <w:r w:rsidRPr="00FE2408">
        <w:rPr>
          <w:rFonts w:ascii="Palatino Linotype" w:eastAsia="Times New Roman" w:hAnsi="Palatino Linotype"/>
          <w:sz w:val="24"/>
          <w:szCs w:val="24"/>
        </w:rPr>
        <w:t>This, again, is very hard to control. However, differing practice cultures can be managed in a number of ways:</w:t>
      </w:r>
    </w:p>
    <w:p w:rsidR="00BE51F2" w:rsidRPr="00FE2408" w:rsidRDefault="00BE51F2" w:rsidP="005D078E">
      <w:pPr>
        <w:pStyle w:val="ListParagraph"/>
        <w:numPr>
          <w:ilvl w:val="0"/>
          <w:numId w:val="4"/>
        </w:numPr>
        <w:shd w:val="clear" w:color="auto" w:fill="FFFFFF"/>
        <w:spacing w:before="100" w:beforeAutospacing="1" w:after="100" w:afterAutospacing="1" w:line="480" w:lineRule="auto"/>
        <w:jc w:val="both"/>
        <w:rPr>
          <w:rFonts w:ascii="Palatino Linotype" w:eastAsia="Times New Roman" w:hAnsi="Palatino Linotype"/>
          <w:sz w:val="24"/>
          <w:szCs w:val="24"/>
        </w:rPr>
      </w:pPr>
      <w:r w:rsidRPr="00FE2408">
        <w:rPr>
          <w:rFonts w:ascii="Palatino Linotype" w:eastAsia="Times New Roman" w:hAnsi="Palatino Linotype"/>
          <w:sz w:val="24"/>
          <w:szCs w:val="24"/>
        </w:rPr>
        <w:t>Acceptance of pedagogy - in establishing the clinical externship, it is essential to ensure that those in authority at the externship site and the people who are dealing with students day-to-day understand the philosophical and ethical position of the clinical program, and particularly its social justice agenda.</w:t>
      </w:r>
    </w:p>
    <w:p w:rsidR="00BE51F2" w:rsidRPr="00FE2408" w:rsidRDefault="00BE51F2" w:rsidP="005D078E">
      <w:pPr>
        <w:pStyle w:val="ListParagraph"/>
        <w:numPr>
          <w:ilvl w:val="0"/>
          <w:numId w:val="4"/>
        </w:numPr>
        <w:shd w:val="clear" w:color="auto" w:fill="FFFFFF"/>
        <w:spacing w:before="100" w:beforeAutospacing="1" w:after="100" w:afterAutospacing="1" w:line="480" w:lineRule="auto"/>
        <w:jc w:val="both"/>
        <w:rPr>
          <w:rFonts w:ascii="Palatino Linotype" w:eastAsia="Times New Roman" w:hAnsi="Palatino Linotype"/>
          <w:sz w:val="24"/>
          <w:szCs w:val="24"/>
        </w:rPr>
      </w:pPr>
      <w:r w:rsidRPr="00FE2408">
        <w:rPr>
          <w:rFonts w:ascii="Palatino Linotype" w:eastAsia="Times New Roman" w:hAnsi="Palatino Linotype"/>
          <w:sz w:val="24"/>
          <w:szCs w:val="24"/>
        </w:rPr>
        <w:lastRenderedPageBreak/>
        <w:t>Counselling students regularly - students should be de-briefed during the externship period in order to draw out these issues and the clashes the students might be experiencing between the clinic’s lawyering objectives and that of the firm.</w:t>
      </w:r>
    </w:p>
    <w:p w:rsidR="00BE51F2" w:rsidRPr="00FE2408" w:rsidRDefault="00BE51F2" w:rsidP="005D078E">
      <w:pPr>
        <w:pStyle w:val="ListParagraph"/>
        <w:numPr>
          <w:ilvl w:val="0"/>
          <w:numId w:val="4"/>
        </w:numPr>
        <w:shd w:val="clear" w:color="auto" w:fill="FFFFFF"/>
        <w:spacing w:before="100" w:beforeAutospacing="1" w:after="100" w:afterAutospacing="1" w:line="480" w:lineRule="auto"/>
        <w:jc w:val="both"/>
        <w:rPr>
          <w:rFonts w:ascii="Palatino Linotype" w:eastAsia="Times New Roman" w:hAnsi="Palatino Linotype"/>
          <w:sz w:val="24"/>
          <w:szCs w:val="24"/>
        </w:rPr>
      </w:pPr>
      <w:r w:rsidRPr="00FE2408">
        <w:rPr>
          <w:rFonts w:ascii="Palatino Linotype" w:eastAsia="Times New Roman" w:hAnsi="Palatino Linotype"/>
          <w:sz w:val="24"/>
          <w:szCs w:val="24"/>
        </w:rPr>
        <w:t>Reflective journaling – This requires students to formally write up confronting issues and submit them for discussion. Journaling forces students to unpick issues and incidents which may go unnoticed and undiscussed. These journals can be readily assessed.</w:t>
      </w:r>
      <w:r w:rsidRPr="00FE2408">
        <w:rPr>
          <w:rStyle w:val="FootnoteReference"/>
          <w:rFonts w:ascii="Palatino Linotype" w:hAnsi="Palatino Linotype"/>
          <w:sz w:val="24"/>
          <w:szCs w:val="24"/>
        </w:rPr>
        <w:footnoteReference w:id="16"/>
      </w:r>
      <w:r w:rsidRPr="00FE2408">
        <w:rPr>
          <w:rFonts w:ascii="Palatino Linotype" w:eastAsia="Times New Roman" w:hAnsi="Palatino Linotype"/>
          <w:sz w:val="24"/>
          <w:szCs w:val="24"/>
        </w:rPr>
        <w:t xml:space="preserve"> </w:t>
      </w:r>
    </w:p>
    <w:p w:rsidR="00BE51F2" w:rsidRPr="00FE2408" w:rsidRDefault="00BE51F2" w:rsidP="005D078E">
      <w:pPr>
        <w:pStyle w:val="ListParagraph"/>
        <w:numPr>
          <w:ilvl w:val="0"/>
          <w:numId w:val="4"/>
        </w:numPr>
        <w:shd w:val="clear" w:color="auto" w:fill="FFFFFF"/>
        <w:spacing w:before="100" w:beforeAutospacing="1" w:after="100" w:afterAutospacing="1" w:line="480" w:lineRule="auto"/>
        <w:jc w:val="both"/>
        <w:rPr>
          <w:rFonts w:ascii="Palatino Linotype" w:eastAsia="Times New Roman" w:hAnsi="Palatino Linotype"/>
          <w:sz w:val="24"/>
          <w:szCs w:val="24"/>
        </w:rPr>
      </w:pPr>
      <w:r w:rsidRPr="00FE2408">
        <w:rPr>
          <w:rFonts w:ascii="Palatino Linotype" w:eastAsia="Times New Roman" w:hAnsi="Palatino Linotype"/>
          <w:sz w:val="24"/>
          <w:szCs w:val="24"/>
        </w:rPr>
        <w:t>Moral and ethical preparation – increasingly, it is necessary to prepare students to encounter ‘real world’ profit priorities in some externship sites by checking to see that their law school ethics curricula are not just focussed on rote learning of local professional conduct rules, but are underpinned by a more substantial understanding of general morality</w:t>
      </w:r>
      <w:r w:rsidRPr="00FE2408">
        <w:rPr>
          <w:rStyle w:val="FootnoteReference"/>
          <w:rFonts w:ascii="Palatino Linotype" w:hAnsi="Palatino Linotype"/>
          <w:sz w:val="24"/>
          <w:szCs w:val="24"/>
        </w:rPr>
        <w:footnoteReference w:id="17"/>
      </w:r>
      <w:r w:rsidRPr="00FE2408">
        <w:rPr>
          <w:rFonts w:ascii="Palatino Linotype" w:eastAsia="Times New Roman" w:hAnsi="Palatino Linotype"/>
          <w:sz w:val="24"/>
          <w:szCs w:val="24"/>
        </w:rPr>
        <w:t xml:space="preserve"> and legal ethical types.</w:t>
      </w:r>
      <w:r w:rsidRPr="00FE2408">
        <w:rPr>
          <w:rStyle w:val="FootnoteReference"/>
          <w:rFonts w:ascii="Palatino Linotype" w:hAnsi="Palatino Linotype"/>
          <w:sz w:val="24"/>
          <w:szCs w:val="24"/>
        </w:rPr>
        <w:footnoteReference w:id="18"/>
      </w:r>
    </w:p>
    <w:p w:rsidR="00BE51F2" w:rsidRPr="00FE2408" w:rsidRDefault="00BE51F2" w:rsidP="005D078E">
      <w:pPr>
        <w:shd w:val="clear" w:color="auto" w:fill="FFFFFF"/>
        <w:spacing w:before="100" w:beforeAutospacing="1" w:after="100" w:afterAutospacing="1" w:line="480" w:lineRule="auto"/>
        <w:ind w:left="284"/>
        <w:jc w:val="both"/>
        <w:rPr>
          <w:rFonts w:ascii="Palatino Linotype" w:eastAsia="Times New Roman" w:hAnsi="Palatino Linotype"/>
          <w:sz w:val="24"/>
          <w:szCs w:val="24"/>
        </w:rPr>
      </w:pPr>
      <w:r w:rsidRPr="00FE2408">
        <w:rPr>
          <w:rFonts w:ascii="Palatino Linotype" w:eastAsia="Times New Roman" w:hAnsi="Palatino Linotype"/>
          <w:sz w:val="24"/>
          <w:szCs w:val="24"/>
        </w:rPr>
        <w:t xml:space="preserve">Experience suggests that a student who has reflected on the deeper issues of access to justice via these frameworks will manage some big firm cultures with a </w:t>
      </w:r>
      <w:r w:rsidRPr="00FE2408">
        <w:rPr>
          <w:rFonts w:ascii="Palatino Linotype" w:eastAsia="Times New Roman" w:hAnsi="Palatino Linotype"/>
          <w:sz w:val="24"/>
          <w:szCs w:val="24"/>
        </w:rPr>
        <w:lastRenderedPageBreak/>
        <w:t xml:space="preserve">stronger capacity to engage confidently in justice discussions inside the externship and subsequently.  </w:t>
      </w:r>
    </w:p>
    <w:p w:rsidR="00BE51F2" w:rsidRPr="005D078E" w:rsidRDefault="005D078E" w:rsidP="005D078E">
      <w:pPr>
        <w:shd w:val="clear" w:color="auto" w:fill="FFFFFF"/>
        <w:spacing w:before="100" w:beforeAutospacing="1" w:after="100" w:afterAutospacing="1" w:line="480" w:lineRule="auto"/>
        <w:ind w:left="284"/>
        <w:jc w:val="both"/>
        <w:rPr>
          <w:rFonts w:ascii="Palatino Linotype" w:eastAsia="Times New Roman" w:hAnsi="Palatino Linotype"/>
          <w:sz w:val="24"/>
          <w:szCs w:val="24"/>
          <w:u w:val="single"/>
        </w:rPr>
      </w:pPr>
      <w:r w:rsidRPr="005D078E">
        <w:rPr>
          <w:rFonts w:ascii="Palatino Linotype" w:eastAsia="Times New Roman" w:hAnsi="Palatino Linotype"/>
          <w:sz w:val="24"/>
          <w:szCs w:val="24"/>
        </w:rPr>
        <w:t xml:space="preserve">ROOM FOR IMPROVEMENT </w:t>
      </w:r>
    </w:p>
    <w:p w:rsidR="00BE51F2" w:rsidRPr="00FE2408" w:rsidRDefault="00BE51F2" w:rsidP="005D078E">
      <w:pPr>
        <w:shd w:val="clear" w:color="auto" w:fill="FFFFFF"/>
        <w:spacing w:before="100" w:beforeAutospacing="1" w:after="100" w:afterAutospacing="1" w:line="480" w:lineRule="auto"/>
        <w:ind w:left="284"/>
        <w:jc w:val="both"/>
        <w:rPr>
          <w:rFonts w:ascii="Palatino Linotype" w:eastAsia="Times New Roman" w:hAnsi="Palatino Linotype"/>
          <w:sz w:val="24"/>
          <w:szCs w:val="24"/>
        </w:rPr>
      </w:pPr>
      <w:r w:rsidRPr="00FE2408">
        <w:rPr>
          <w:rFonts w:ascii="Palatino Linotype" w:eastAsia="Times New Roman" w:hAnsi="Palatino Linotype"/>
          <w:sz w:val="24"/>
          <w:szCs w:val="24"/>
        </w:rPr>
        <w:t>There remain several areas where improvements can be achieved in the management of clinical externships.</w:t>
      </w:r>
    </w:p>
    <w:p w:rsidR="00BE51F2" w:rsidRPr="00FE2408" w:rsidRDefault="00BE51F2" w:rsidP="005D078E">
      <w:pPr>
        <w:spacing w:line="480" w:lineRule="auto"/>
        <w:ind w:left="202" w:firstLine="82"/>
        <w:jc w:val="both"/>
        <w:rPr>
          <w:rFonts w:ascii="Palatino Linotype" w:hAnsi="Palatino Linotype"/>
          <w:sz w:val="24"/>
          <w:szCs w:val="24"/>
        </w:rPr>
      </w:pPr>
      <w:r w:rsidRPr="00FE2408">
        <w:rPr>
          <w:rFonts w:ascii="Palatino Linotype" w:hAnsi="Palatino Linotype"/>
          <w:i/>
          <w:iCs/>
          <w:sz w:val="24"/>
          <w:szCs w:val="24"/>
        </w:rPr>
        <w:t>Expansion – more clinics or more students per clinic?</w:t>
      </w:r>
    </w:p>
    <w:p w:rsidR="00BE51F2" w:rsidRPr="00FE2408" w:rsidRDefault="00BE51F2" w:rsidP="005D078E">
      <w:pPr>
        <w:spacing w:line="480" w:lineRule="auto"/>
        <w:ind w:left="284"/>
        <w:jc w:val="both"/>
        <w:rPr>
          <w:rFonts w:ascii="Palatino Linotype" w:hAnsi="Palatino Linotype"/>
          <w:sz w:val="24"/>
          <w:szCs w:val="24"/>
        </w:rPr>
      </w:pPr>
      <w:r w:rsidRPr="00FE2408">
        <w:rPr>
          <w:rFonts w:ascii="Palatino Linotype" w:hAnsi="Palatino Linotype"/>
          <w:sz w:val="24"/>
          <w:szCs w:val="24"/>
        </w:rPr>
        <w:t>The problem with expansion is the danger of ‘over extension’. There is no point having dozens of clinics and no students to participate. However, the wider the range of clinics available, the wider the appeal to a greater pool of students.</w:t>
      </w:r>
    </w:p>
    <w:p w:rsidR="005D078E" w:rsidRDefault="00BE51F2" w:rsidP="005D078E">
      <w:pPr>
        <w:spacing w:line="480" w:lineRule="auto"/>
        <w:ind w:left="284"/>
        <w:jc w:val="both"/>
        <w:rPr>
          <w:rFonts w:ascii="Palatino Linotype" w:hAnsi="Palatino Linotype"/>
          <w:sz w:val="24"/>
          <w:szCs w:val="24"/>
        </w:rPr>
      </w:pPr>
      <w:r w:rsidRPr="00FE2408">
        <w:rPr>
          <w:rFonts w:ascii="Palatino Linotype" w:hAnsi="Palatino Linotype"/>
          <w:sz w:val="24"/>
          <w:szCs w:val="24"/>
        </w:rPr>
        <w:t xml:space="preserve">Part of the difficulty of expansion is that programs tend to draw on a limited pool of students who understand the value of a clinical experience. There will always be a hard core of ‘commercially driven’ students who cannot see any value in a clinical experience and thus will not expose themselves to a clinic, even if that specialist clinic focuses on an area of law (such as small business) that they envisage themselves working in, in the future. Clinical programs can rarely draw from the entire student body and this will limit the number of potential applicants to fill all the places in all the clinics provided. The other problem is that clinics take a lot of administrative work for small numbers of participating students. More clinics amounts to more administrative time. If the clinical convenor cannot absorb that work, someone else has to. </w:t>
      </w:r>
    </w:p>
    <w:p w:rsidR="00BE51F2" w:rsidRPr="00FE2408" w:rsidRDefault="00BE51F2" w:rsidP="005D078E">
      <w:pPr>
        <w:spacing w:line="480" w:lineRule="auto"/>
        <w:ind w:left="284"/>
        <w:jc w:val="both"/>
        <w:rPr>
          <w:rFonts w:ascii="Palatino Linotype" w:hAnsi="Palatino Linotype"/>
          <w:sz w:val="24"/>
          <w:szCs w:val="24"/>
        </w:rPr>
      </w:pPr>
      <w:r w:rsidRPr="00FE2408">
        <w:rPr>
          <w:rFonts w:ascii="Palatino Linotype" w:hAnsi="Palatino Linotype"/>
          <w:sz w:val="24"/>
          <w:szCs w:val="24"/>
        </w:rPr>
        <w:lastRenderedPageBreak/>
        <w:t>For the public face of the law school, these clinics have to be efficiently managed. The more there are, the harder it is for one person to administer them.</w:t>
      </w:r>
      <w:r w:rsidR="005A4E6B">
        <w:rPr>
          <w:rFonts w:ascii="Palatino Linotype" w:hAnsi="Palatino Linotype"/>
          <w:sz w:val="24"/>
          <w:szCs w:val="24"/>
        </w:rPr>
        <w:t xml:space="preserve"> </w:t>
      </w:r>
      <w:r w:rsidRPr="00FE2408">
        <w:rPr>
          <w:rFonts w:ascii="Palatino Linotype" w:hAnsi="Palatino Linotype"/>
          <w:sz w:val="24"/>
          <w:szCs w:val="24"/>
        </w:rPr>
        <w:t>So, specialist clinics ought only to expand with caution. It is essential to ensure that the program has the administrative infrastructure and the sheer student numbers to support expansions, not just Faculty goodwill.</w:t>
      </w:r>
    </w:p>
    <w:p w:rsidR="00BE51F2" w:rsidRPr="00FE2408" w:rsidRDefault="00BE51F2" w:rsidP="005D078E">
      <w:pPr>
        <w:spacing w:line="480" w:lineRule="auto"/>
        <w:ind w:left="284"/>
        <w:jc w:val="both"/>
        <w:rPr>
          <w:rFonts w:ascii="Palatino Linotype" w:hAnsi="Palatino Linotype"/>
          <w:i/>
          <w:iCs/>
          <w:sz w:val="24"/>
          <w:szCs w:val="24"/>
        </w:rPr>
      </w:pPr>
      <w:r w:rsidRPr="00FE2408">
        <w:rPr>
          <w:rFonts w:ascii="Palatino Linotype" w:hAnsi="Palatino Linotype"/>
          <w:i/>
          <w:iCs/>
          <w:sz w:val="24"/>
          <w:szCs w:val="24"/>
        </w:rPr>
        <w:t>Developing understanding of benefits of clinical pedagogy amongst students and faculty colleagues</w:t>
      </w:r>
    </w:p>
    <w:p w:rsidR="00BE51F2" w:rsidRPr="00FE2408" w:rsidRDefault="00BE51F2" w:rsidP="005D078E">
      <w:pPr>
        <w:spacing w:line="480" w:lineRule="auto"/>
        <w:ind w:left="284"/>
        <w:jc w:val="both"/>
        <w:rPr>
          <w:rFonts w:ascii="Palatino Linotype" w:hAnsi="Palatino Linotype"/>
          <w:sz w:val="24"/>
          <w:szCs w:val="24"/>
        </w:rPr>
      </w:pPr>
      <w:r w:rsidRPr="00FE2408">
        <w:rPr>
          <w:rFonts w:ascii="Palatino Linotype" w:hAnsi="Palatino Linotype"/>
          <w:sz w:val="24"/>
          <w:szCs w:val="24"/>
        </w:rPr>
        <w:t>Clinical method can be introduced early to students in the curriculum in various ways and when this occurs, the long-term development of clinical benefits is more likely. This can be done by:</w:t>
      </w:r>
    </w:p>
    <w:p w:rsidR="00BE51F2" w:rsidRPr="00FE2408" w:rsidRDefault="00BE51F2" w:rsidP="005D078E">
      <w:pPr>
        <w:pStyle w:val="ListParagraph"/>
        <w:numPr>
          <w:ilvl w:val="0"/>
          <w:numId w:val="7"/>
        </w:numPr>
        <w:spacing w:line="480" w:lineRule="auto"/>
        <w:jc w:val="both"/>
        <w:rPr>
          <w:rFonts w:ascii="Palatino Linotype" w:hAnsi="Palatino Linotype"/>
          <w:sz w:val="24"/>
          <w:szCs w:val="24"/>
        </w:rPr>
      </w:pPr>
      <w:r w:rsidRPr="00FE2408">
        <w:rPr>
          <w:rFonts w:ascii="Palatino Linotype" w:hAnsi="Palatino Linotype"/>
          <w:sz w:val="24"/>
          <w:szCs w:val="24"/>
        </w:rPr>
        <w:t>Observation and placement assignments in foundation years – Students are able to observe, shadow &amp;/or ‘buddy’ students</w:t>
      </w:r>
      <w:r w:rsidRPr="00FE2408">
        <w:rPr>
          <w:rStyle w:val="FootnoteReference"/>
          <w:rFonts w:ascii="Palatino Linotype" w:hAnsi="Palatino Linotype"/>
          <w:sz w:val="24"/>
          <w:szCs w:val="24"/>
        </w:rPr>
        <w:footnoteReference w:id="19"/>
      </w:r>
      <w:r w:rsidRPr="00FE2408">
        <w:rPr>
          <w:rFonts w:ascii="Palatino Linotype" w:hAnsi="Palatino Linotype"/>
          <w:sz w:val="24"/>
          <w:szCs w:val="24"/>
        </w:rPr>
        <w:t xml:space="preserve"> in the later-year clinics for a period of time and write a ‘content of the law’, reflective or ‘access to justice’ assignment.</w:t>
      </w:r>
    </w:p>
    <w:p w:rsidR="00BE51F2" w:rsidRPr="00FE2408" w:rsidRDefault="00BE51F2" w:rsidP="005D078E">
      <w:pPr>
        <w:pStyle w:val="ListParagraph"/>
        <w:numPr>
          <w:ilvl w:val="0"/>
          <w:numId w:val="7"/>
        </w:numPr>
        <w:spacing w:line="480" w:lineRule="auto"/>
        <w:jc w:val="both"/>
        <w:rPr>
          <w:rFonts w:ascii="Palatino Linotype" w:hAnsi="Palatino Linotype"/>
          <w:sz w:val="24"/>
          <w:szCs w:val="24"/>
        </w:rPr>
      </w:pPr>
      <w:r w:rsidRPr="00FE2408">
        <w:rPr>
          <w:rFonts w:ascii="Palatino Linotype" w:hAnsi="Palatino Linotype"/>
          <w:sz w:val="24"/>
          <w:szCs w:val="24"/>
        </w:rPr>
        <w:t>Continuous ‘awareness training’ – staff should constantly remind students of how to test doctrine being learnt in law school against the reality of practice, by participation in a clinical unit or by volunteering in appropriate NGOs or externship sites.</w:t>
      </w:r>
    </w:p>
    <w:p w:rsidR="00BE51F2" w:rsidRPr="00FE2408" w:rsidRDefault="00BE51F2" w:rsidP="005D078E">
      <w:pPr>
        <w:spacing w:line="480" w:lineRule="auto"/>
        <w:ind w:left="284"/>
        <w:jc w:val="both"/>
        <w:rPr>
          <w:rFonts w:ascii="Palatino Linotype" w:hAnsi="Palatino Linotype"/>
          <w:sz w:val="24"/>
          <w:szCs w:val="24"/>
        </w:rPr>
      </w:pPr>
      <w:r w:rsidRPr="00FE2408">
        <w:rPr>
          <w:rFonts w:ascii="Palatino Linotype" w:hAnsi="Palatino Linotype"/>
          <w:sz w:val="24"/>
          <w:szCs w:val="24"/>
        </w:rPr>
        <w:lastRenderedPageBreak/>
        <w:t>It may be a little more difficult with faculty staff, who often have very entrenched views of the (perceived lack of) value of clinical experience. The best way to work with this limitation is by being very proactive by, for example, providing presentations at staff teaching seminars of educational approa</w:t>
      </w:r>
      <w:r w:rsidR="00C221B4">
        <w:rPr>
          <w:rFonts w:ascii="Palatino Linotype" w:hAnsi="Palatino Linotype"/>
          <w:sz w:val="24"/>
          <w:szCs w:val="24"/>
        </w:rPr>
        <w:t>ches occurring in the clinics (</w:t>
      </w:r>
      <w:r w:rsidRPr="00FE2408">
        <w:rPr>
          <w:rFonts w:ascii="Palatino Linotype" w:hAnsi="Palatino Linotype"/>
          <w:sz w:val="24"/>
          <w:szCs w:val="24"/>
        </w:rPr>
        <w:t>such as reflective writing/skills and other exercises such as simulations and role plays) which may have relevance to mainstream units. It also adds credibility if clinical staff engage in presentations at staff research seminars of outcomes of clinical research, in relation either to pedagogy or “legal content’ issues.</w:t>
      </w:r>
    </w:p>
    <w:p w:rsidR="00BE51F2" w:rsidRPr="00FE2408" w:rsidRDefault="00BE51F2" w:rsidP="005D078E">
      <w:pPr>
        <w:spacing w:line="480" w:lineRule="auto"/>
        <w:ind w:left="284"/>
        <w:jc w:val="both"/>
        <w:rPr>
          <w:rFonts w:ascii="Palatino Linotype" w:hAnsi="Palatino Linotype"/>
          <w:sz w:val="24"/>
          <w:szCs w:val="24"/>
        </w:rPr>
      </w:pPr>
      <w:r w:rsidRPr="00FE2408">
        <w:rPr>
          <w:rFonts w:ascii="Palatino Linotype" w:hAnsi="Palatino Linotype"/>
          <w:sz w:val="24"/>
          <w:szCs w:val="24"/>
        </w:rPr>
        <w:t>Clinical teachers need to engage with mainstream staff in academic environments to demonstrate the validity of clinical pedagogy and thus make it more relevant and less confronting for mainstream academic staff.</w:t>
      </w:r>
    </w:p>
    <w:p w:rsidR="00BE51F2" w:rsidRPr="00FE2408" w:rsidRDefault="00BE51F2" w:rsidP="005D078E">
      <w:pPr>
        <w:spacing w:line="480" w:lineRule="auto"/>
        <w:ind w:left="284"/>
        <w:jc w:val="both"/>
        <w:rPr>
          <w:rFonts w:ascii="Palatino Linotype" w:hAnsi="Palatino Linotype"/>
          <w:i/>
          <w:iCs/>
          <w:sz w:val="24"/>
          <w:szCs w:val="24"/>
        </w:rPr>
      </w:pPr>
      <w:r w:rsidRPr="00FE2408">
        <w:rPr>
          <w:rFonts w:ascii="Palatino Linotype" w:hAnsi="Palatino Linotype"/>
          <w:i/>
          <w:iCs/>
          <w:sz w:val="24"/>
          <w:szCs w:val="24"/>
        </w:rPr>
        <w:t>Developing a deeper understanding of pedagogical aims amongst ‘host’ placement firms.</w:t>
      </w:r>
    </w:p>
    <w:p w:rsidR="00BE51F2" w:rsidRPr="00FE2408" w:rsidRDefault="00BE51F2" w:rsidP="005D078E">
      <w:pPr>
        <w:spacing w:line="480" w:lineRule="auto"/>
        <w:ind w:left="284"/>
        <w:jc w:val="both"/>
        <w:rPr>
          <w:rFonts w:ascii="Palatino Linotype" w:hAnsi="Palatino Linotype"/>
          <w:sz w:val="24"/>
          <w:szCs w:val="24"/>
        </w:rPr>
      </w:pPr>
      <w:r w:rsidRPr="00FE2408">
        <w:rPr>
          <w:rFonts w:ascii="Palatino Linotype" w:hAnsi="Palatino Linotype"/>
          <w:sz w:val="24"/>
          <w:szCs w:val="24"/>
        </w:rPr>
        <w:t xml:space="preserve">Again, encouraging the acceptance of pedagogical objectives is an evolutionary, long term process. It is a matter of being very focussed on why a clinic is being established and maintained with a placement firm and an agreed set of goals. </w:t>
      </w:r>
    </w:p>
    <w:p w:rsidR="00BE51F2" w:rsidRPr="00FE2408" w:rsidRDefault="00BE51F2" w:rsidP="005D078E">
      <w:pPr>
        <w:spacing w:line="480" w:lineRule="auto"/>
        <w:ind w:left="284"/>
        <w:jc w:val="both"/>
        <w:rPr>
          <w:rFonts w:ascii="Palatino Linotype" w:hAnsi="Palatino Linotype"/>
          <w:sz w:val="24"/>
          <w:szCs w:val="24"/>
        </w:rPr>
      </w:pPr>
      <w:r w:rsidRPr="00FE2408">
        <w:rPr>
          <w:rFonts w:ascii="Palatino Linotype" w:hAnsi="Palatino Linotype"/>
          <w:sz w:val="24"/>
          <w:szCs w:val="24"/>
        </w:rPr>
        <w:t>The firm needs to see and deeply accept the difference between ‘observation’ or ‘work experience’ on one hand and clinical experience on the other.</w:t>
      </w:r>
      <w:r w:rsidRPr="00FE2408">
        <w:rPr>
          <w:rStyle w:val="FootnoteReference"/>
          <w:rFonts w:ascii="Palatino Linotype" w:hAnsi="Palatino Linotype"/>
          <w:sz w:val="24"/>
          <w:szCs w:val="24"/>
        </w:rPr>
        <w:footnoteReference w:id="20"/>
      </w:r>
      <w:r w:rsidRPr="00FE2408">
        <w:rPr>
          <w:rFonts w:ascii="Palatino Linotype" w:hAnsi="Palatino Linotype"/>
          <w:sz w:val="24"/>
          <w:szCs w:val="24"/>
        </w:rPr>
        <w:t xml:space="preserve"> The first two questions that should always be asked when an externship is suggested is:</w:t>
      </w:r>
    </w:p>
    <w:p w:rsidR="00BE51F2" w:rsidRPr="00FE2408" w:rsidRDefault="00BE51F2" w:rsidP="005D078E">
      <w:pPr>
        <w:pStyle w:val="ListParagraph"/>
        <w:numPr>
          <w:ilvl w:val="0"/>
          <w:numId w:val="2"/>
        </w:numPr>
        <w:spacing w:line="480" w:lineRule="auto"/>
        <w:ind w:left="284" w:firstLine="0"/>
        <w:jc w:val="both"/>
        <w:rPr>
          <w:rFonts w:ascii="Palatino Linotype" w:hAnsi="Palatino Linotype"/>
          <w:sz w:val="24"/>
          <w:szCs w:val="24"/>
        </w:rPr>
      </w:pPr>
      <w:r w:rsidRPr="00FE2408">
        <w:rPr>
          <w:rFonts w:ascii="Palatino Linotype" w:hAnsi="Palatino Linotype"/>
          <w:sz w:val="24"/>
          <w:szCs w:val="24"/>
        </w:rPr>
        <w:lastRenderedPageBreak/>
        <w:t xml:space="preserve">What are the aims of the clinic (i.e. student learning outcomes)? </w:t>
      </w:r>
      <w:r w:rsidRPr="00FE2408">
        <w:rPr>
          <w:rFonts w:ascii="Palatino Linotype" w:hAnsi="Palatino Linotype"/>
          <w:b/>
          <w:bCs/>
          <w:sz w:val="24"/>
          <w:szCs w:val="24"/>
        </w:rPr>
        <w:t>and</w:t>
      </w:r>
    </w:p>
    <w:p w:rsidR="00BE51F2" w:rsidRPr="00FE2408" w:rsidRDefault="00BE51F2" w:rsidP="005D078E">
      <w:pPr>
        <w:pStyle w:val="ListParagraph"/>
        <w:numPr>
          <w:ilvl w:val="0"/>
          <w:numId w:val="2"/>
        </w:numPr>
        <w:spacing w:line="480" w:lineRule="auto"/>
        <w:ind w:left="284" w:firstLine="0"/>
        <w:jc w:val="both"/>
        <w:rPr>
          <w:rFonts w:ascii="Palatino Linotype" w:hAnsi="Palatino Linotype"/>
          <w:sz w:val="24"/>
          <w:szCs w:val="24"/>
        </w:rPr>
      </w:pPr>
      <w:r w:rsidRPr="00FE2408">
        <w:rPr>
          <w:rFonts w:ascii="Palatino Linotype" w:hAnsi="Palatino Linotype"/>
          <w:sz w:val="24"/>
          <w:szCs w:val="24"/>
        </w:rPr>
        <w:t xml:space="preserve">What will the students actually </w:t>
      </w:r>
      <w:r w:rsidRPr="00FE2408">
        <w:rPr>
          <w:rFonts w:ascii="Palatino Linotype" w:hAnsi="Palatino Linotype"/>
          <w:sz w:val="24"/>
          <w:szCs w:val="24"/>
          <w:u w:val="single"/>
        </w:rPr>
        <w:t>do</w:t>
      </w:r>
      <w:r w:rsidRPr="00FE2408">
        <w:rPr>
          <w:rFonts w:ascii="Palatino Linotype" w:hAnsi="Palatino Linotype"/>
          <w:sz w:val="24"/>
          <w:szCs w:val="24"/>
        </w:rPr>
        <w:t>?</w:t>
      </w:r>
    </w:p>
    <w:p w:rsidR="00BE51F2" w:rsidRPr="00FE2408" w:rsidRDefault="00BE51F2" w:rsidP="005D078E">
      <w:pPr>
        <w:spacing w:line="480" w:lineRule="auto"/>
        <w:ind w:left="284"/>
        <w:jc w:val="both"/>
        <w:rPr>
          <w:rFonts w:ascii="Palatino Linotype" w:hAnsi="Palatino Linotype"/>
          <w:sz w:val="24"/>
          <w:szCs w:val="24"/>
        </w:rPr>
      </w:pPr>
      <w:r w:rsidRPr="00FE2408">
        <w:rPr>
          <w:rFonts w:ascii="Palatino Linotype" w:hAnsi="Palatino Linotype"/>
          <w:sz w:val="24"/>
          <w:szCs w:val="24"/>
        </w:rPr>
        <w:t>The firm needs to be reminded about what benefit the students are receiving from participating in the clinic. They need to understand that students are not merely a source of free labour or that the firm can expect low-cost kudos from its association with a university. This means that the program convenor overseeing the externships must be very clear about their purpose and communicate that clearly and consistently to the host firms.</w:t>
      </w:r>
    </w:p>
    <w:p w:rsidR="00BE51F2" w:rsidRPr="00FE2408" w:rsidRDefault="00BE51F2" w:rsidP="005D078E">
      <w:pPr>
        <w:spacing w:line="480" w:lineRule="auto"/>
        <w:ind w:left="284"/>
        <w:jc w:val="both"/>
        <w:rPr>
          <w:rFonts w:ascii="Palatino Linotype" w:hAnsi="Palatino Linotype"/>
          <w:i/>
          <w:iCs/>
          <w:sz w:val="24"/>
          <w:szCs w:val="24"/>
        </w:rPr>
      </w:pPr>
      <w:r w:rsidRPr="00FE2408">
        <w:rPr>
          <w:rFonts w:ascii="Palatino Linotype" w:hAnsi="Palatino Linotype"/>
          <w:i/>
          <w:iCs/>
          <w:sz w:val="24"/>
          <w:szCs w:val="24"/>
        </w:rPr>
        <w:t>Deeper links between the profession and the Faculty through externship pedagogy.</w:t>
      </w:r>
    </w:p>
    <w:p w:rsidR="00BE51F2" w:rsidRPr="00FE2408" w:rsidRDefault="00BE51F2" w:rsidP="005D078E">
      <w:pPr>
        <w:spacing w:line="480" w:lineRule="auto"/>
        <w:ind w:left="284"/>
        <w:jc w:val="both"/>
        <w:rPr>
          <w:rFonts w:ascii="Palatino Linotype" w:hAnsi="Palatino Linotype"/>
          <w:sz w:val="24"/>
          <w:szCs w:val="24"/>
        </w:rPr>
      </w:pPr>
      <w:r w:rsidRPr="00FE2408">
        <w:rPr>
          <w:rFonts w:ascii="Palatino Linotype" w:hAnsi="Palatino Linotype"/>
          <w:sz w:val="24"/>
          <w:szCs w:val="24"/>
        </w:rPr>
        <w:t xml:space="preserve">The aim is mutual benefit from the relationship. It is very useful to have strong, wealthy and influential allies in the profession, if there is ever any threat to the clinical program from within the university. If the clinical program has a review, it is very powerful to have external, powerful firms speaking on its behalf and extolling its virtues. Many of these firms will also draw employees from students who have completed clinical placements, thus further strengthening the ties. </w:t>
      </w:r>
    </w:p>
    <w:p w:rsidR="00BE51F2" w:rsidRPr="00FE2408" w:rsidRDefault="00BE51F2" w:rsidP="005D078E">
      <w:pPr>
        <w:spacing w:line="480" w:lineRule="auto"/>
        <w:ind w:left="284"/>
        <w:jc w:val="both"/>
        <w:rPr>
          <w:rFonts w:ascii="Palatino Linotype" w:hAnsi="Palatino Linotype"/>
          <w:sz w:val="24"/>
          <w:szCs w:val="24"/>
        </w:rPr>
      </w:pPr>
      <w:r w:rsidRPr="00FE2408">
        <w:rPr>
          <w:rFonts w:ascii="Palatino Linotype" w:hAnsi="Palatino Linotype"/>
          <w:sz w:val="24"/>
          <w:szCs w:val="24"/>
        </w:rPr>
        <w:t xml:space="preserve">Law firms will also provide feedback to the law school about the sorts of skills and knowledge they are looking for in potential employees, which may influence the faculty’s curriculum development directions. </w:t>
      </w:r>
    </w:p>
    <w:p w:rsidR="00BE51F2" w:rsidRPr="00FE2408" w:rsidRDefault="00BE51F2" w:rsidP="005D078E">
      <w:pPr>
        <w:spacing w:line="480" w:lineRule="auto"/>
        <w:ind w:left="284"/>
        <w:jc w:val="both"/>
        <w:rPr>
          <w:rFonts w:ascii="Palatino Linotype" w:hAnsi="Palatino Linotype"/>
          <w:i/>
          <w:iCs/>
          <w:sz w:val="24"/>
          <w:szCs w:val="24"/>
        </w:rPr>
      </w:pPr>
      <w:r w:rsidRPr="00FE2408">
        <w:rPr>
          <w:rFonts w:ascii="Palatino Linotype" w:hAnsi="Palatino Linotype"/>
          <w:sz w:val="24"/>
          <w:szCs w:val="24"/>
        </w:rPr>
        <w:lastRenderedPageBreak/>
        <w:t>At the least, that conversation provides a conduit for a useful discussion in this area. It is also possible in the long term that they may donate funds for the ongoing work of the clinics.</w:t>
      </w:r>
    </w:p>
    <w:p w:rsidR="00BE51F2" w:rsidRPr="00FE2408" w:rsidRDefault="00BE51F2" w:rsidP="005D078E">
      <w:pPr>
        <w:spacing w:line="480" w:lineRule="auto"/>
        <w:ind w:left="284"/>
        <w:jc w:val="both"/>
        <w:rPr>
          <w:rFonts w:ascii="Palatino Linotype" w:hAnsi="Palatino Linotype"/>
          <w:i/>
          <w:iCs/>
          <w:sz w:val="24"/>
          <w:szCs w:val="24"/>
        </w:rPr>
      </w:pPr>
      <w:r w:rsidRPr="00FE2408">
        <w:rPr>
          <w:rFonts w:ascii="Palatino Linotype" w:hAnsi="Palatino Linotype"/>
          <w:i/>
          <w:iCs/>
          <w:sz w:val="24"/>
          <w:szCs w:val="24"/>
        </w:rPr>
        <w:t>Opportunity for multidisciplinary work.</w:t>
      </w:r>
    </w:p>
    <w:p w:rsidR="00BE51F2" w:rsidRPr="00FE2408" w:rsidRDefault="00BE51F2" w:rsidP="005D078E">
      <w:pPr>
        <w:spacing w:line="480" w:lineRule="auto"/>
        <w:ind w:left="284"/>
        <w:jc w:val="both"/>
        <w:rPr>
          <w:rFonts w:ascii="Palatino Linotype" w:hAnsi="Palatino Linotype"/>
          <w:sz w:val="24"/>
          <w:szCs w:val="24"/>
        </w:rPr>
      </w:pPr>
      <w:r w:rsidRPr="00FE2408">
        <w:rPr>
          <w:rFonts w:ascii="Palatino Linotype" w:hAnsi="Palatino Linotype"/>
          <w:sz w:val="24"/>
          <w:szCs w:val="24"/>
        </w:rPr>
        <w:t>The future of clinical work may well be in multidisciplinary partnerships. This model reflects the reality of practice and is a very fertile learning environment for law students.</w:t>
      </w:r>
      <w:r w:rsidR="00C221B4">
        <w:rPr>
          <w:rStyle w:val="FootnoteReference"/>
          <w:rFonts w:ascii="Palatino Linotype" w:hAnsi="Palatino Linotype"/>
          <w:sz w:val="24"/>
          <w:szCs w:val="24"/>
        </w:rPr>
        <w:footnoteReference w:id="21"/>
      </w:r>
      <w:r w:rsidRPr="00FE2408">
        <w:rPr>
          <w:rFonts w:ascii="Palatino Linotype" w:hAnsi="Palatino Linotype"/>
          <w:sz w:val="24"/>
          <w:szCs w:val="24"/>
        </w:rPr>
        <w:t xml:space="preserve"> Placements into ‘non/quasi’ legal environments are an opportunity for students to experience this collaborative agenda first hand. There is room for expansion to non-legal environments such as </w:t>
      </w:r>
    </w:p>
    <w:p w:rsidR="00BE51F2" w:rsidRPr="00FE2408" w:rsidRDefault="00BE51F2" w:rsidP="005D078E">
      <w:pPr>
        <w:pStyle w:val="ListParagraph"/>
        <w:numPr>
          <w:ilvl w:val="0"/>
          <w:numId w:val="3"/>
        </w:numPr>
        <w:spacing w:line="480" w:lineRule="auto"/>
        <w:ind w:left="284" w:firstLine="0"/>
        <w:jc w:val="both"/>
        <w:rPr>
          <w:rFonts w:ascii="Palatino Linotype" w:hAnsi="Palatino Linotype"/>
          <w:sz w:val="24"/>
          <w:szCs w:val="24"/>
        </w:rPr>
      </w:pPr>
      <w:r w:rsidRPr="00FE2408">
        <w:rPr>
          <w:rFonts w:ascii="Palatino Linotype" w:hAnsi="Palatino Linotype"/>
          <w:sz w:val="24"/>
          <w:szCs w:val="24"/>
        </w:rPr>
        <w:t>Family Relationship Centres in Australia – working alongside mediators and social workers in family law matters.</w:t>
      </w:r>
    </w:p>
    <w:p w:rsidR="00BE51F2" w:rsidRPr="00FE2408" w:rsidRDefault="00BE51F2" w:rsidP="005D078E">
      <w:pPr>
        <w:pStyle w:val="ListParagraph"/>
        <w:numPr>
          <w:ilvl w:val="0"/>
          <w:numId w:val="3"/>
        </w:numPr>
        <w:spacing w:line="480" w:lineRule="auto"/>
        <w:ind w:left="284" w:firstLine="0"/>
        <w:jc w:val="both"/>
        <w:rPr>
          <w:rFonts w:ascii="Palatino Linotype" w:hAnsi="Palatino Linotype"/>
          <w:sz w:val="24"/>
          <w:szCs w:val="24"/>
        </w:rPr>
      </w:pPr>
      <w:r w:rsidRPr="00FE2408">
        <w:rPr>
          <w:rFonts w:ascii="Palatino Linotype" w:hAnsi="Palatino Linotype"/>
          <w:sz w:val="24"/>
          <w:szCs w:val="24"/>
        </w:rPr>
        <w:t>Business and accounting firms – working with accountants and financial counsellors.</w:t>
      </w:r>
    </w:p>
    <w:p w:rsidR="00BE51F2" w:rsidRPr="00FE2408" w:rsidRDefault="00BE51F2" w:rsidP="005D078E">
      <w:pPr>
        <w:pStyle w:val="ListParagraph"/>
        <w:numPr>
          <w:ilvl w:val="0"/>
          <w:numId w:val="3"/>
        </w:numPr>
        <w:spacing w:line="480" w:lineRule="auto"/>
        <w:ind w:left="284" w:firstLine="0"/>
        <w:jc w:val="both"/>
        <w:rPr>
          <w:rFonts w:ascii="Palatino Linotype" w:hAnsi="Palatino Linotype"/>
          <w:sz w:val="24"/>
          <w:szCs w:val="24"/>
        </w:rPr>
      </w:pPr>
      <w:r w:rsidRPr="00FE2408">
        <w:rPr>
          <w:rFonts w:ascii="Palatino Linotype" w:hAnsi="Palatino Linotype"/>
          <w:sz w:val="24"/>
          <w:szCs w:val="24"/>
        </w:rPr>
        <w:t>Medical suites and hospitals – participation in medico-legal specialisations, writing wills for terminally-ill patients, etc.</w:t>
      </w:r>
    </w:p>
    <w:p w:rsidR="00BE51F2" w:rsidRPr="00FE2408" w:rsidRDefault="00BE51F2" w:rsidP="005D078E">
      <w:pPr>
        <w:pStyle w:val="ListParagraph"/>
        <w:numPr>
          <w:ilvl w:val="0"/>
          <w:numId w:val="3"/>
        </w:numPr>
        <w:spacing w:line="480" w:lineRule="auto"/>
        <w:ind w:left="284" w:firstLine="0"/>
        <w:jc w:val="both"/>
        <w:rPr>
          <w:rFonts w:ascii="Palatino Linotype" w:hAnsi="Palatino Linotype"/>
          <w:sz w:val="24"/>
          <w:szCs w:val="24"/>
        </w:rPr>
      </w:pPr>
      <w:r w:rsidRPr="00FE2408">
        <w:rPr>
          <w:rFonts w:ascii="Palatino Linotype" w:hAnsi="Palatino Linotype"/>
          <w:sz w:val="24"/>
          <w:szCs w:val="24"/>
        </w:rPr>
        <w:t xml:space="preserve"> Small business clinics – working with finance and tax professionals.</w:t>
      </w:r>
    </w:p>
    <w:p w:rsidR="00BE51F2" w:rsidRPr="00FE2408" w:rsidRDefault="00BE51F2" w:rsidP="005D078E">
      <w:pPr>
        <w:spacing w:line="480" w:lineRule="auto"/>
        <w:ind w:left="284"/>
        <w:jc w:val="both"/>
        <w:rPr>
          <w:rFonts w:ascii="Palatino Linotype" w:hAnsi="Palatino Linotype"/>
          <w:b/>
          <w:sz w:val="24"/>
          <w:szCs w:val="24"/>
        </w:rPr>
      </w:pPr>
      <w:r w:rsidRPr="00FE2408">
        <w:rPr>
          <w:rFonts w:ascii="Palatino Linotype" w:hAnsi="Palatino Linotype"/>
          <w:sz w:val="24"/>
          <w:szCs w:val="24"/>
        </w:rPr>
        <w:t>The multidisciplinary pedagogy is also a fertile area for research for clinical teachers.</w:t>
      </w:r>
      <w:r w:rsidRPr="00FE2408">
        <w:rPr>
          <w:rFonts w:ascii="Palatino Linotype" w:hAnsi="Palatino Linotype"/>
          <w:b/>
          <w:sz w:val="24"/>
          <w:szCs w:val="24"/>
        </w:rPr>
        <w:t xml:space="preserve"> </w:t>
      </w:r>
    </w:p>
    <w:p w:rsidR="00BE51F2" w:rsidRPr="005D078E" w:rsidRDefault="005D078E" w:rsidP="005D078E">
      <w:pPr>
        <w:spacing w:line="480" w:lineRule="auto"/>
        <w:ind w:left="284"/>
        <w:jc w:val="both"/>
        <w:rPr>
          <w:rFonts w:ascii="Palatino Linotype" w:hAnsi="Palatino Linotype"/>
          <w:sz w:val="24"/>
          <w:szCs w:val="24"/>
        </w:rPr>
      </w:pPr>
      <w:r w:rsidRPr="005D078E">
        <w:rPr>
          <w:rFonts w:ascii="Palatino Linotype" w:hAnsi="Palatino Linotype"/>
          <w:sz w:val="24"/>
          <w:szCs w:val="24"/>
        </w:rPr>
        <w:lastRenderedPageBreak/>
        <w:t>CONCLUSION</w:t>
      </w:r>
    </w:p>
    <w:p w:rsidR="00BE51F2" w:rsidRPr="00FE2408" w:rsidRDefault="00BE51F2" w:rsidP="005D078E">
      <w:pPr>
        <w:spacing w:line="480" w:lineRule="auto"/>
        <w:ind w:left="284"/>
        <w:jc w:val="both"/>
        <w:rPr>
          <w:rFonts w:ascii="Palatino Linotype" w:hAnsi="Palatino Linotype"/>
          <w:sz w:val="24"/>
          <w:szCs w:val="24"/>
        </w:rPr>
      </w:pPr>
      <w:r w:rsidRPr="00FE2408">
        <w:rPr>
          <w:rFonts w:ascii="Palatino Linotype" w:hAnsi="Palatino Linotype"/>
          <w:sz w:val="24"/>
          <w:szCs w:val="24"/>
        </w:rPr>
        <w:t>It should never be assumed that creating and sustaining clinical externships are easy because they are cheap and the supervisory work is outsourced to willing (and competent) partners. It is important that the objectives of the clinic are very clear in both faculty and the external partners’ minds and that pedagogical aims are clearly defined before a clinic gets underway. Further, the faculty must satisfy itself that educational and ethical standards are being upheld. There are definitely a number of practical limitations and barriers which need to be negotiated in creating, operating and sustaining clinical externships. There are also some exciting pedagogical opportunities and positive consequences for law faculties in forging stronger bonds with the practising profession, all of which makes the effort worthwhile.</w:t>
      </w:r>
      <w:r w:rsidRPr="00FE2408" w:rsidDel="008841DE">
        <w:rPr>
          <w:rFonts w:ascii="Palatino Linotype" w:hAnsi="Palatino Linotype"/>
          <w:sz w:val="24"/>
          <w:szCs w:val="24"/>
        </w:rPr>
        <w:t xml:space="preserve"> </w:t>
      </w:r>
    </w:p>
    <w:p w:rsidR="00793FA8" w:rsidRPr="00FE2408" w:rsidRDefault="00BE51F2" w:rsidP="005D078E">
      <w:pPr>
        <w:spacing w:line="480" w:lineRule="auto"/>
        <w:ind w:left="284"/>
        <w:jc w:val="both"/>
        <w:rPr>
          <w:rFonts w:ascii="Palatino Linotype" w:hAnsi="Palatino Linotype"/>
          <w:sz w:val="24"/>
          <w:szCs w:val="24"/>
        </w:rPr>
      </w:pPr>
      <w:r w:rsidRPr="00FE2408">
        <w:rPr>
          <w:rFonts w:ascii="Palatino Linotype" w:hAnsi="Palatino Linotype"/>
          <w:sz w:val="24"/>
          <w:szCs w:val="24"/>
        </w:rPr>
        <w:t>---------------------------------------</w:t>
      </w:r>
    </w:p>
    <w:sectPr w:rsidR="00793FA8" w:rsidRPr="00FE240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B98" w:rsidRDefault="00B40B98" w:rsidP="00BE51F2">
      <w:pPr>
        <w:spacing w:after="0" w:line="240" w:lineRule="auto"/>
      </w:pPr>
      <w:r>
        <w:separator/>
      </w:r>
    </w:p>
  </w:endnote>
  <w:endnote w:type="continuationSeparator" w:id="0">
    <w:p w:rsidR="00B40B98" w:rsidRDefault="00B40B98" w:rsidP="00BE5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B98" w:rsidRDefault="00B40B98" w:rsidP="00BE51F2">
      <w:pPr>
        <w:spacing w:after="0" w:line="240" w:lineRule="auto"/>
      </w:pPr>
      <w:r>
        <w:separator/>
      </w:r>
    </w:p>
  </w:footnote>
  <w:footnote w:type="continuationSeparator" w:id="0">
    <w:p w:rsidR="00B40B98" w:rsidRDefault="00B40B98" w:rsidP="00BE51F2">
      <w:pPr>
        <w:spacing w:after="0" w:line="240" w:lineRule="auto"/>
      </w:pPr>
      <w:r>
        <w:continuationSeparator/>
      </w:r>
    </w:p>
  </w:footnote>
  <w:footnote w:id="1">
    <w:p w:rsidR="00FE2408" w:rsidRPr="00D51E34" w:rsidRDefault="00FE2408">
      <w:pPr>
        <w:pStyle w:val="FootnoteText"/>
        <w:rPr>
          <w:rFonts w:ascii="Palatino Linotype" w:hAnsi="Palatino Linotype"/>
        </w:rPr>
      </w:pPr>
      <w:r w:rsidRPr="00D51E34">
        <w:rPr>
          <w:rStyle w:val="FootnoteReference"/>
          <w:rFonts w:ascii="Palatino Linotype" w:hAnsi="Palatino Linotype"/>
        </w:rPr>
        <w:footnoteRef/>
      </w:r>
      <w:r w:rsidRPr="00D51E34">
        <w:rPr>
          <w:rFonts w:ascii="Palatino Linotype" w:hAnsi="Palatino Linotype"/>
        </w:rPr>
        <w:t xml:space="preserve"> Adrian Evans is Professor</w:t>
      </w:r>
      <w:r w:rsidR="0035470C" w:rsidRPr="00D51E34">
        <w:rPr>
          <w:rFonts w:ascii="Palatino Linotype" w:hAnsi="Palatino Linotype"/>
        </w:rPr>
        <w:t xml:space="preserve"> of Law and </w:t>
      </w:r>
      <w:r w:rsidRPr="00D51E34">
        <w:rPr>
          <w:rFonts w:ascii="Palatino Linotype" w:hAnsi="Palatino Linotype"/>
        </w:rPr>
        <w:t xml:space="preserve">Ross </w:t>
      </w:r>
      <w:proofErr w:type="spellStart"/>
      <w:r w:rsidRPr="00D51E34">
        <w:rPr>
          <w:rFonts w:ascii="Palatino Linotype" w:hAnsi="Palatino Linotype"/>
        </w:rPr>
        <w:t>Hyams</w:t>
      </w:r>
      <w:proofErr w:type="spellEnd"/>
      <w:r w:rsidRPr="00D51E34">
        <w:rPr>
          <w:rFonts w:ascii="Palatino Linotype" w:hAnsi="Palatino Linotype"/>
        </w:rPr>
        <w:t xml:space="preserve"> is Senior Lecturer in Law and Con</w:t>
      </w:r>
      <w:r w:rsidR="009E4C39">
        <w:rPr>
          <w:rFonts w:ascii="Palatino Linotype" w:hAnsi="Palatino Linotype"/>
        </w:rPr>
        <w:t>venor of Law Faculty Legal Prac</w:t>
      </w:r>
      <w:r w:rsidRPr="00D51E34">
        <w:rPr>
          <w:rFonts w:ascii="Palatino Linotype" w:hAnsi="Palatino Linotype"/>
        </w:rPr>
        <w:t>t</w:t>
      </w:r>
      <w:r w:rsidR="009E4C39">
        <w:rPr>
          <w:rFonts w:ascii="Palatino Linotype" w:hAnsi="Palatino Linotype"/>
        </w:rPr>
        <w:t>i</w:t>
      </w:r>
      <w:r w:rsidRPr="00D51E34">
        <w:rPr>
          <w:rFonts w:ascii="Palatino Linotype" w:hAnsi="Palatino Linotype"/>
        </w:rPr>
        <w:t>ce Programs at Monash University</w:t>
      </w:r>
    </w:p>
  </w:footnote>
  <w:footnote w:id="2">
    <w:p w:rsidR="00BE51F2" w:rsidRPr="00D51E34" w:rsidRDefault="00BE51F2" w:rsidP="00BE51F2">
      <w:pPr>
        <w:pStyle w:val="FootnoteText"/>
        <w:rPr>
          <w:rFonts w:ascii="Palatino Linotype" w:hAnsi="Palatino Linotype"/>
        </w:rPr>
      </w:pPr>
      <w:r w:rsidRPr="00D51E34">
        <w:rPr>
          <w:rStyle w:val="FootnoteReference"/>
          <w:rFonts w:ascii="Palatino Linotype" w:hAnsi="Palatino Linotype"/>
        </w:rPr>
        <w:footnoteRef/>
      </w:r>
      <w:r w:rsidRPr="00D51E34">
        <w:rPr>
          <w:rFonts w:ascii="Palatino Linotype" w:hAnsi="Palatino Linotype"/>
        </w:rPr>
        <w:t xml:space="preserve"> See </w:t>
      </w:r>
      <w:r w:rsidRPr="00D51E34">
        <w:rPr>
          <w:rFonts w:ascii="Palatino Linotype" w:hAnsi="Palatino Linotype" w:cs="Times New Roman"/>
        </w:rPr>
        <w:t xml:space="preserve">Adrian Evans, Anna Cody, Anna Copeland, Jeff Giddings, Mary Anne </w:t>
      </w:r>
      <w:proofErr w:type="spellStart"/>
      <w:r w:rsidRPr="00D51E34">
        <w:rPr>
          <w:rFonts w:ascii="Palatino Linotype" w:hAnsi="Palatino Linotype" w:cs="Times New Roman"/>
        </w:rPr>
        <w:t>Noone</w:t>
      </w:r>
      <w:proofErr w:type="spellEnd"/>
      <w:r w:rsidRPr="00D51E34">
        <w:rPr>
          <w:rFonts w:ascii="Palatino Linotype" w:hAnsi="Palatino Linotype" w:cs="Times New Roman"/>
        </w:rPr>
        <w:t xml:space="preserve"> and Simon Rice,</w:t>
      </w:r>
      <w:r w:rsidRPr="00D51E34">
        <w:rPr>
          <w:rFonts w:ascii="Palatino Linotype" w:hAnsi="Palatino Linotype" w:cs="Times New Roman"/>
          <w:i/>
        </w:rPr>
        <w:t xml:space="preserve"> Best Practices: Australian Clinical Legal Education,</w:t>
      </w:r>
      <w:r w:rsidRPr="00D51E34">
        <w:rPr>
          <w:rFonts w:ascii="Palatino Linotype" w:hAnsi="Palatino Linotype" w:cs="Times New Roman"/>
        </w:rPr>
        <w:t xml:space="preserve"> Australian Government, Canberra, 2013, ‘Definitions’, at p 20. In the United States, similar best practices for externship clinics can be found in </w:t>
      </w:r>
      <w:r w:rsidRPr="00D51E34">
        <w:rPr>
          <w:rFonts w:ascii="Palatino Linotype" w:hAnsi="Palatino Linotype"/>
        </w:rPr>
        <w:t xml:space="preserve">Roy Stuckey and others, </w:t>
      </w:r>
      <w:r w:rsidRPr="00D51E34">
        <w:rPr>
          <w:rFonts w:ascii="Palatino Linotype" w:hAnsi="Palatino Linotype"/>
          <w:i/>
        </w:rPr>
        <w:t xml:space="preserve">Best Practices for Legal Education: A Vision and a Road Map </w:t>
      </w:r>
      <w:r w:rsidRPr="00D51E34">
        <w:rPr>
          <w:rFonts w:ascii="Palatino Linotype" w:hAnsi="Palatino Linotype"/>
        </w:rPr>
        <w:t>(</w:t>
      </w:r>
      <w:r w:rsidRPr="00D51E34">
        <w:rPr>
          <w:rFonts w:ascii="Palatino Linotype" w:hAnsi="Palatino Linotype"/>
          <w:i/>
        </w:rPr>
        <w:t>US Best Practices*</w:t>
      </w:r>
      <w:r w:rsidRPr="00D51E34">
        <w:rPr>
          <w:rFonts w:ascii="Palatino Linotype" w:hAnsi="Palatino Linotype"/>
        </w:rPr>
        <w:t xml:space="preserve">), Clinical Legal Education Association, USA, 2007, Section D. United Kingdom scholars or clinics have not thus far sought to identify and establish best practices for externships. See </w:t>
      </w:r>
      <w:r w:rsidRPr="00D51E34">
        <w:rPr>
          <w:rFonts w:ascii="Palatino Linotype" w:hAnsi="Palatino Linotype" w:cs="Arial"/>
          <w:bCs/>
          <w:kern w:val="36"/>
        </w:rPr>
        <w:t xml:space="preserve">Philip </w:t>
      </w:r>
      <w:proofErr w:type="spellStart"/>
      <w:r w:rsidRPr="00D51E34">
        <w:rPr>
          <w:rFonts w:ascii="Palatino Linotype" w:hAnsi="Palatino Linotype" w:cs="Arial"/>
          <w:bCs/>
          <w:kern w:val="36"/>
        </w:rPr>
        <w:t>Plowden</w:t>
      </w:r>
      <w:proofErr w:type="spellEnd"/>
      <w:r w:rsidRPr="00D51E34">
        <w:rPr>
          <w:rFonts w:ascii="Palatino Linotype" w:hAnsi="Palatino Linotype" w:cs="Arial"/>
          <w:bCs/>
          <w:i/>
          <w:kern w:val="36"/>
        </w:rPr>
        <w:t xml:space="preserve"> (</w:t>
      </w:r>
      <w:proofErr w:type="spellStart"/>
      <w:r w:rsidRPr="00D51E34">
        <w:rPr>
          <w:rFonts w:ascii="Palatino Linotype" w:hAnsi="Palatino Linotype" w:cs="Arial"/>
          <w:bCs/>
          <w:kern w:val="36"/>
        </w:rPr>
        <w:t>ed</w:t>
      </w:r>
      <w:proofErr w:type="spellEnd"/>
      <w:r w:rsidRPr="00D51E34">
        <w:rPr>
          <w:rFonts w:ascii="Palatino Linotype" w:hAnsi="Palatino Linotype" w:cs="Arial"/>
          <w:bCs/>
          <w:kern w:val="36"/>
        </w:rPr>
        <w:t xml:space="preserve">), </w:t>
      </w:r>
      <w:r w:rsidRPr="00D51E34">
        <w:rPr>
          <w:rFonts w:ascii="Palatino Linotype" w:hAnsi="Palatino Linotype" w:cs="Arial"/>
          <w:bCs/>
          <w:i/>
          <w:kern w:val="36"/>
        </w:rPr>
        <w:t>Model standards for live-client clinics</w:t>
      </w:r>
      <w:r w:rsidRPr="00D51E34">
        <w:rPr>
          <w:rFonts w:ascii="Palatino Linotype" w:hAnsi="Palatino Linotype" w:cs="Arial"/>
          <w:bCs/>
          <w:kern w:val="36"/>
        </w:rPr>
        <w:t xml:space="preserve"> (</w:t>
      </w:r>
      <w:r w:rsidRPr="00D51E34">
        <w:rPr>
          <w:rFonts w:ascii="Palatino Linotype" w:hAnsi="Palatino Linotype" w:cs="Arial"/>
          <w:bCs/>
          <w:i/>
          <w:kern w:val="36"/>
        </w:rPr>
        <w:t>UK Model Standards</w:t>
      </w:r>
      <w:r w:rsidRPr="00D51E34">
        <w:rPr>
          <w:rFonts w:ascii="Palatino Linotype" w:hAnsi="Palatino Linotype" w:cs="Arial"/>
          <w:bCs/>
          <w:kern w:val="36"/>
        </w:rPr>
        <w:t>), Clinical Legal Education Organisation, United Kingdom, 2007.</w:t>
      </w:r>
    </w:p>
  </w:footnote>
  <w:footnote w:id="3">
    <w:p w:rsidR="00BE51F2" w:rsidRPr="00D51E34" w:rsidRDefault="00BE51F2" w:rsidP="00BE51F2">
      <w:pPr>
        <w:pStyle w:val="FootnoteText"/>
        <w:rPr>
          <w:rFonts w:ascii="Palatino Linotype" w:hAnsi="Palatino Linotype"/>
        </w:rPr>
      </w:pPr>
      <w:r w:rsidRPr="00D51E34">
        <w:rPr>
          <w:rStyle w:val="FootnoteReference"/>
          <w:rFonts w:ascii="Palatino Linotype" w:hAnsi="Palatino Linotype"/>
        </w:rPr>
        <w:footnoteRef/>
      </w:r>
      <w:r w:rsidRPr="00D51E34">
        <w:rPr>
          <w:rFonts w:ascii="Palatino Linotype" w:hAnsi="Palatino Linotype"/>
        </w:rPr>
        <w:t xml:space="preserve"> Ibid.</w:t>
      </w:r>
    </w:p>
  </w:footnote>
  <w:footnote w:id="4">
    <w:p w:rsidR="00BE51F2" w:rsidRPr="00D51E34" w:rsidRDefault="00BE51F2" w:rsidP="00BE51F2">
      <w:pPr>
        <w:pStyle w:val="FootnoteText"/>
        <w:rPr>
          <w:rFonts w:ascii="Palatino Linotype" w:hAnsi="Palatino Linotype"/>
        </w:rPr>
      </w:pPr>
      <w:r w:rsidRPr="00D51E34">
        <w:rPr>
          <w:rStyle w:val="FootnoteReference"/>
          <w:rFonts w:ascii="Palatino Linotype" w:hAnsi="Palatino Linotype"/>
        </w:rPr>
        <w:footnoteRef/>
      </w:r>
      <w:r w:rsidRPr="00D51E34">
        <w:rPr>
          <w:rFonts w:ascii="Palatino Linotype" w:hAnsi="Palatino Linotype"/>
        </w:rPr>
        <w:t xml:space="preserve"> Evans </w:t>
      </w:r>
      <w:r w:rsidRPr="00D51E34">
        <w:rPr>
          <w:rFonts w:ascii="Palatino Linotype" w:hAnsi="Palatino Linotype"/>
          <w:i/>
        </w:rPr>
        <w:t>et al</w:t>
      </w:r>
      <w:r w:rsidRPr="00D51E34">
        <w:rPr>
          <w:rFonts w:ascii="Palatino Linotype" w:hAnsi="Palatino Linotype"/>
        </w:rPr>
        <w:t>, n 6, p 55.</w:t>
      </w:r>
    </w:p>
  </w:footnote>
  <w:footnote w:id="5">
    <w:p w:rsidR="00BE51F2" w:rsidRPr="00D51E34" w:rsidRDefault="00BE51F2" w:rsidP="00BE51F2">
      <w:pPr>
        <w:pStyle w:val="FootnoteText"/>
        <w:rPr>
          <w:rFonts w:ascii="Palatino Linotype" w:hAnsi="Palatino Linotype"/>
        </w:rPr>
      </w:pPr>
      <w:r w:rsidRPr="00D51E34">
        <w:rPr>
          <w:rStyle w:val="FootnoteReference"/>
          <w:rFonts w:ascii="Palatino Linotype" w:hAnsi="Palatino Linotype"/>
        </w:rPr>
        <w:footnoteRef/>
      </w:r>
      <w:r w:rsidRPr="00D51E34">
        <w:rPr>
          <w:rFonts w:ascii="Palatino Linotype" w:hAnsi="Palatino Linotype"/>
        </w:rPr>
        <w:t xml:space="preserve"> Ibid. </w:t>
      </w:r>
    </w:p>
  </w:footnote>
  <w:footnote w:id="6">
    <w:p w:rsidR="00BE51F2" w:rsidRPr="00D51E34" w:rsidRDefault="00BE51F2" w:rsidP="00BE51F2">
      <w:pPr>
        <w:pStyle w:val="FootnoteText"/>
        <w:rPr>
          <w:rFonts w:ascii="Palatino Linotype" w:hAnsi="Palatino Linotype"/>
        </w:rPr>
      </w:pPr>
      <w:r w:rsidRPr="00D51E34">
        <w:rPr>
          <w:rStyle w:val="FootnoteReference"/>
          <w:rFonts w:ascii="Palatino Linotype" w:hAnsi="Palatino Linotype"/>
        </w:rPr>
        <w:footnoteRef/>
      </w:r>
      <w:r w:rsidRPr="00D51E34">
        <w:rPr>
          <w:rFonts w:ascii="Palatino Linotype" w:hAnsi="Palatino Linotype"/>
        </w:rPr>
        <w:t xml:space="preserve"> For a general discussion of the importance of all supervisory issues in the Australian context, see Jeff Giddings, </w:t>
      </w:r>
      <w:r w:rsidRPr="00D51E34">
        <w:rPr>
          <w:rFonts w:ascii="Palatino Linotype" w:hAnsi="Palatino Linotype"/>
          <w:i/>
        </w:rPr>
        <w:t>Promoting Justice Through Clinical Legal Education</w:t>
      </w:r>
      <w:r w:rsidRPr="00D51E34">
        <w:rPr>
          <w:rFonts w:ascii="Palatino Linotype" w:hAnsi="Palatino Linotype"/>
        </w:rPr>
        <w:t>, Justice Press, Melbourne, 2013.</w:t>
      </w:r>
    </w:p>
  </w:footnote>
  <w:footnote w:id="7">
    <w:p w:rsidR="00BE51F2" w:rsidRPr="00D51E34" w:rsidRDefault="00BE51F2" w:rsidP="00BE51F2">
      <w:pPr>
        <w:pStyle w:val="FootnoteText"/>
        <w:rPr>
          <w:rFonts w:ascii="Palatino Linotype" w:hAnsi="Palatino Linotype"/>
          <w:lang w:val="fr-FR"/>
        </w:rPr>
      </w:pPr>
      <w:r w:rsidRPr="00D51E34">
        <w:rPr>
          <w:rStyle w:val="FootnoteReference"/>
          <w:rFonts w:ascii="Palatino Linotype" w:hAnsi="Palatino Linotype"/>
        </w:rPr>
        <w:footnoteRef/>
      </w:r>
      <w:r w:rsidRPr="00D51E34">
        <w:rPr>
          <w:rFonts w:ascii="Palatino Linotype" w:hAnsi="Palatino Linotype"/>
          <w:lang w:val="fr-FR"/>
        </w:rPr>
        <w:t xml:space="preserve"> Evans, </w:t>
      </w:r>
      <w:r w:rsidRPr="00D51E34">
        <w:rPr>
          <w:rFonts w:ascii="Palatino Linotype" w:hAnsi="Palatino Linotype"/>
          <w:i/>
          <w:lang w:val="fr-FR"/>
        </w:rPr>
        <w:t>et al</w:t>
      </w:r>
      <w:r w:rsidRPr="00D51E34">
        <w:rPr>
          <w:rFonts w:ascii="Palatino Linotype" w:hAnsi="Palatino Linotype"/>
          <w:lang w:val="fr-FR"/>
        </w:rPr>
        <w:t xml:space="preserve">, op </w:t>
      </w:r>
      <w:proofErr w:type="spellStart"/>
      <w:r w:rsidRPr="00D51E34">
        <w:rPr>
          <w:rFonts w:ascii="Palatino Linotype" w:hAnsi="Palatino Linotype"/>
          <w:lang w:val="fr-FR"/>
        </w:rPr>
        <w:t>cit</w:t>
      </w:r>
      <w:proofErr w:type="spellEnd"/>
      <w:r w:rsidRPr="00D51E34">
        <w:rPr>
          <w:rFonts w:ascii="Palatino Linotype" w:hAnsi="Palatino Linotype"/>
          <w:lang w:val="fr-FR"/>
        </w:rPr>
        <w:t>, p 57.</w:t>
      </w:r>
    </w:p>
  </w:footnote>
  <w:footnote w:id="8">
    <w:p w:rsidR="00BE51F2" w:rsidRPr="00D51E34" w:rsidRDefault="00BE51F2" w:rsidP="00BE51F2">
      <w:pPr>
        <w:autoSpaceDE w:val="0"/>
        <w:autoSpaceDN w:val="0"/>
        <w:adjustRightInd w:val="0"/>
        <w:spacing w:after="0" w:line="240" w:lineRule="auto"/>
        <w:rPr>
          <w:rFonts w:ascii="Palatino Linotype" w:hAnsi="Palatino Linotype"/>
        </w:rPr>
      </w:pPr>
      <w:r w:rsidRPr="00D51E34">
        <w:rPr>
          <w:rStyle w:val="FootnoteReference"/>
          <w:rFonts w:ascii="Palatino Linotype" w:hAnsi="Palatino Linotype"/>
        </w:rPr>
        <w:footnoteRef/>
      </w:r>
      <w:r w:rsidRPr="00D51E34">
        <w:rPr>
          <w:rFonts w:ascii="Palatino Linotype" w:hAnsi="Palatino Linotype"/>
        </w:rPr>
        <w:t xml:space="preserve"> </w:t>
      </w:r>
      <w:r w:rsidRPr="00D51E34">
        <w:rPr>
          <w:rFonts w:ascii="Palatino Linotype" w:hAnsi="Palatino Linotype" w:cs="Arial"/>
          <w:sz w:val="20"/>
          <w:szCs w:val="20"/>
        </w:rPr>
        <w:t>Adrian Evans, ‘</w:t>
      </w:r>
      <w:r w:rsidRPr="00D51E34">
        <w:rPr>
          <w:rFonts w:ascii="Palatino Linotype" w:hAnsi="Palatino Linotype" w:cs="Arial"/>
          <w:bCs/>
          <w:sz w:val="20"/>
          <w:szCs w:val="20"/>
        </w:rPr>
        <w:t>Specialised clinical legal education begins in Australia’ (</w:t>
      </w:r>
      <w:r w:rsidRPr="00D51E34">
        <w:rPr>
          <w:rFonts w:ascii="Palatino Linotype" w:hAnsi="Palatino Linotype" w:cs="Arial"/>
          <w:sz w:val="20"/>
          <w:szCs w:val="20"/>
        </w:rPr>
        <w:t xml:space="preserve">1996) 21 </w:t>
      </w:r>
      <w:r w:rsidRPr="00D51E34">
        <w:rPr>
          <w:rFonts w:ascii="Palatino Linotype" w:hAnsi="Palatino Linotype" w:cs="Arial"/>
          <w:i/>
          <w:sz w:val="20"/>
          <w:szCs w:val="20"/>
        </w:rPr>
        <w:t>Alternative Law Journal</w:t>
      </w:r>
      <w:r w:rsidRPr="00D51E34">
        <w:rPr>
          <w:rFonts w:ascii="Palatino Linotype" w:hAnsi="Palatino Linotype" w:cs="Arial"/>
          <w:sz w:val="20"/>
          <w:szCs w:val="20"/>
        </w:rPr>
        <w:t xml:space="preserve"> 79.</w:t>
      </w:r>
      <w:r w:rsidRPr="00D51E34">
        <w:rPr>
          <w:rFonts w:ascii="Palatino Linotype" w:hAnsi="Palatino Linotype" w:cs="Arial"/>
          <w:sz w:val="24"/>
          <w:szCs w:val="24"/>
        </w:rPr>
        <w:t xml:space="preserve"> </w:t>
      </w:r>
    </w:p>
  </w:footnote>
  <w:footnote w:id="9">
    <w:p w:rsidR="00BE51F2" w:rsidRPr="00D51E34" w:rsidRDefault="00BE51F2" w:rsidP="00BE51F2">
      <w:pPr>
        <w:pStyle w:val="FootnoteText"/>
        <w:rPr>
          <w:rFonts w:ascii="Palatino Linotype" w:hAnsi="Palatino Linotype"/>
        </w:rPr>
      </w:pPr>
      <w:r w:rsidRPr="00D51E34">
        <w:rPr>
          <w:rStyle w:val="FootnoteReference"/>
          <w:rFonts w:ascii="Palatino Linotype" w:hAnsi="Palatino Linotype"/>
        </w:rPr>
        <w:footnoteRef/>
      </w:r>
      <w:r w:rsidRPr="00D51E34">
        <w:rPr>
          <w:rFonts w:ascii="Palatino Linotype" w:hAnsi="Palatino Linotype"/>
        </w:rPr>
        <w:t xml:space="preserve"> See generally, Kerry Greenwood</w:t>
      </w:r>
      <w:r w:rsidRPr="00D51E34">
        <w:rPr>
          <w:rFonts w:ascii="Palatino Linotype" w:hAnsi="Palatino Linotype"/>
          <w:i/>
        </w:rPr>
        <w:t>, It Seemed Like a Good Idea at the Time</w:t>
      </w:r>
      <w:r w:rsidRPr="00D51E34">
        <w:rPr>
          <w:rFonts w:ascii="Palatino Linotype" w:hAnsi="Palatino Linotype"/>
        </w:rPr>
        <w:t>, Springvale Legal Service Inc., 1994</w:t>
      </w:r>
      <w:r w:rsidRPr="00D51E34">
        <w:rPr>
          <w:rFonts w:ascii="Palatino Linotype" w:hAnsi="Palatino Linotype"/>
          <w:color w:val="FF0000"/>
        </w:rPr>
        <w:t>.</w:t>
      </w:r>
    </w:p>
  </w:footnote>
  <w:footnote w:id="10">
    <w:p w:rsidR="00BE51F2" w:rsidRPr="00D51E34" w:rsidRDefault="00BE51F2" w:rsidP="00BE51F2">
      <w:pPr>
        <w:pStyle w:val="FootnoteText"/>
        <w:rPr>
          <w:rFonts w:ascii="Palatino Linotype" w:hAnsi="Palatino Linotype"/>
        </w:rPr>
      </w:pPr>
      <w:r w:rsidRPr="00D51E34">
        <w:rPr>
          <w:rStyle w:val="FootnoteReference"/>
          <w:rFonts w:ascii="Palatino Linotype" w:hAnsi="Palatino Linotype"/>
        </w:rPr>
        <w:footnoteRef/>
      </w:r>
      <w:r w:rsidRPr="00D51E34">
        <w:rPr>
          <w:rFonts w:ascii="Palatino Linotype" w:hAnsi="Palatino Linotype"/>
        </w:rPr>
        <w:t xml:space="preserve"> As of 2014, the leadership of SMLS has been divided between an Academic Director (a Law Faculty academic) and an Executive Director, a lawyer employed by SMLS.</w:t>
      </w:r>
    </w:p>
  </w:footnote>
  <w:footnote w:id="11">
    <w:p w:rsidR="00BE51F2" w:rsidRPr="00D51E34" w:rsidRDefault="00BE51F2" w:rsidP="00BE51F2">
      <w:pPr>
        <w:tabs>
          <w:tab w:val="left" w:pos="4500"/>
        </w:tabs>
        <w:spacing w:after="0" w:line="240" w:lineRule="auto"/>
        <w:rPr>
          <w:rFonts w:ascii="Palatino Linotype" w:hAnsi="Palatino Linotype"/>
          <w:sz w:val="20"/>
          <w:szCs w:val="20"/>
        </w:rPr>
      </w:pPr>
      <w:r w:rsidRPr="00D51E34">
        <w:rPr>
          <w:rStyle w:val="FootnoteReference"/>
          <w:rFonts w:ascii="Palatino Linotype" w:hAnsi="Palatino Linotype"/>
        </w:rPr>
        <w:footnoteRef/>
      </w:r>
      <w:r w:rsidRPr="00D51E34">
        <w:rPr>
          <w:rFonts w:ascii="Palatino Linotype" w:hAnsi="Palatino Linotype"/>
        </w:rPr>
        <w:t xml:space="preserve"> </w:t>
      </w:r>
      <w:r w:rsidRPr="00D51E34">
        <w:rPr>
          <w:rFonts w:ascii="Palatino Linotype" w:hAnsi="Palatino Linotype"/>
          <w:sz w:val="20"/>
          <w:szCs w:val="20"/>
        </w:rPr>
        <w:t xml:space="preserve">See for example, Adrian Evans and Clark Cunningham, ‘Speciality Certification as an Incentive for Increased Professionalism: Lessons from Other Disciplines and Countries’ </w:t>
      </w:r>
      <w:r w:rsidRPr="00D51E34">
        <w:rPr>
          <w:rFonts w:ascii="Palatino Linotype" w:hAnsi="Palatino Linotype"/>
          <w:bCs/>
          <w:sz w:val="20"/>
          <w:szCs w:val="20"/>
        </w:rPr>
        <w:t xml:space="preserve">(2003) 54(4) </w:t>
      </w:r>
      <w:r w:rsidRPr="00D51E34">
        <w:rPr>
          <w:rFonts w:ascii="Palatino Linotype" w:hAnsi="Palatino Linotype"/>
          <w:i/>
          <w:iCs/>
          <w:sz w:val="20"/>
          <w:szCs w:val="20"/>
        </w:rPr>
        <w:t>South Carolina Law Review</w:t>
      </w:r>
      <w:r w:rsidRPr="00D51E34">
        <w:rPr>
          <w:rFonts w:ascii="Palatino Linotype" w:hAnsi="Palatino Linotype"/>
          <w:sz w:val="20"/>
          <w:szCs w:val="20"/>
        </w:rPr>
        <w:t xml:space="preserve"> 987-1009</w:t>
      </w:r>
      <w:r w:rsidRPr="00D51E34">
        <w:rPr>
          <w:rFonts w:ascii="Palatino Linotype" w:hAnsi="Palatino Linotype"/>
          <w:b/>
          <w:sz w:val="20"/>
          <w:szCs w:val="20"/>
        </w:rPr>
        <w:t>.</w:t>
      </w:r>
    </w:p>
  </w:footnote>
  <w:footnote w:id="12">
    <w:p w:rsidR="00BE51F2" w:rsidRPr="00D51E34" w:rsidRDefault="00BE51F2" w:rsidP="00BE51F2">
      <w:pPr>
        <w:pStyle w:val="FootnoteText"/>
        <w:rPr>
          <w:rFonts w:ascii="Palatino Linotype" w:hAnsi="Palatino Linotype"/>
        </w:rPr>
      </w:pPr>
      <w:r w:rsidRPr="00D51E34">
        <w:rPr>
          <w:rStyle w:val="FootnoteReference"/>
          <w:rFonts w:ascii="Palatino Linotype" w:hAnsi="Palatino Linotype"/>
        </w:rPr>
        <w:footnoteRef/>
      </w:r>
      <w:r w:rsidRPr="00D51E34">
        <w:rPr>
          <w:rFonts w:ascii="Palatino Linotype" w:hAnsi="Palatino Linotype"/>
        </w:rPr>
        <w:t xml:space="preserve"> This is the original Monash specialist clinic referred to above, n2</w:t>
      </w:r>
    </w:p>
  </w:footnote>
  <w:footnote w:id="13">
    <w:p w:rsidR="00BE51F2" w:rsidRPr="00D51E34" w:rsidRDefault="00BE51F2" w:rsidP="00BE51F2">
      <w:pPr>
        <w:pStyle w:val="FootnoteText"/>
        <w:rPr>
          <w:rFonts w:ascii="Palatino Linotype" w:hAnsi="Palatino Linotype"/>
        </w:rPr>
      </w:pPr>
      <w:r w:rsidRPr="00D51E34">
        <w:rPr>
          <w:rStyle w:val="FootnoteReference"/>
          <w:rFonts w:ascii="Palatino Linotype" w:hAnsi="Palatino Linotype"/>
        </w:rPr>
        <w:footnoteRef/>
      </w:r>
      <w:r w:rsidRPr="00D51E34">
        <w:rPr>
          <w:rFonts w:ascii="Palatino Linotype" w:hAnsi="Palatino Linotype"/>
        </w:rPr>
        <w:t xml:space="preserve"> See for example the February 2014 agreement between </w:t>
      </w:r>
      <w:r w:rsidRPr="004537BE">
        <w:rPr>
          <w:rFonts w:ascii="Palatino Linotype" w:hAnsi="Palatino Linotype"/>
        </w:rPr>
        <w:t>Universities Australia</w:t>
      </w:r>
      <w:r w:rsidRPr="00D51E34">
        <w:rPr>
          <w:rFonts w:ascii="Palatino Linotype" w:hAnsi="Palatino Linotype"/>
          <w:i/>
        </w:rPr>
        <w:t xml:space="preserve">, </w:t>
      </w:r>
      <w:r w:rsidRPr="004537BE">
        <w:rPr>
          <w:rFonts w:ascii="Palatino Linotype" w:hAnsi="Palatino Linotype"/>
        </w:rPr>
        <w:t>the</w:t>
      </w:r>
      <w:r w:rsidRPr="00D51E34">
        <w:rPr>
          <w:rFonts w:ascii="Palatino Linotype" w:hAnsi="Palatino Linotype"/>
        </w:rPr>
        <w:t xml:space="preserve"> </w:t>
      </w:r>
      <w:r w:rsidRPr="00D51E34">
        <w:rPr>
          <w:rFonts w:ascii="Palatino Linotype" w:hAnsi="Palatino Linotype"/>
          <w:lang w:val="en"/>
        </w:rPr>
        <w:t>Australian Chamber of Commerce and Industry and the Business Council of Australia, at http://theconversation.com/universities-australia-deal-to-get-students-work-ready-23719.</w:t>
      </w:r>
    </w:p>
  </w:footnote>
  <w:footnote w:id="14">
    <w:p w:rsidR="00BE51F2" w:rsidRPr="00D51E34" w:rsidRDefault="00BE51F2" w:rsidP="00BE51F2">
      <w:pPr>
        <w:pStyle w:val="FootnoteText"/>
        <w:rPr>
          <w:rFonts w:ascii="Palatino Linotype" w:hAnsi="Palatino Linotype"/>
        </w:rPr>
      </w:pPr>
      <w:r w:rsidRPr="00D51E34">
        <w:rPr>
          <w:rStyle w:val="FootnoteReference"/>
          <w:rFonts w:ascii="Palatino Linotype" w:hAnsi="Palatino Linotype"/>
        </w:rPr>
        <w:footnoteRef/>
      </w:r>
      <w:r w:rsidRPr="00D51E34">
        <w:rPr>
          <w:rFonts w:ascii="Palatino Linotype" w:hAnsi="Palatino Linotype"/>
        </w:rPr>
        <w:t xml:space="preserve"> </w:t>
      </w:r>
      <w:r w:rsidRPr="00D51E34">
        <w:rPr>
          <w:rFonts w:ascii="Palatino Linotype" w:hAnsi="Palatino Linotype"/>
          <w:i/>
        </w:rPr>
        <w:t>Best Practices</w:t>
      </w:r>
      <w:r w:rsidRPr="00D51E34">
        <w:rPr>
          <w:rFonts w:ascii="Palatino Linotype" w:hAnsi="Palatino Linotype"/>
        </w:rPr>
        <w:t xml:space="preserve">, </w:t>
      </w:r>
      <w:r w:rsidRPr="00D51E34">
        <w:rPr>
          <w:rFonts w:ascii="Palatino Linotype" w:hAnsi="Palatino Linotype"/>
          <w:i/>
        </w:rPr>
        <w:t xml:space="preserve">op </w:t>
      </w:r>
      <w:proofErr w:type="spellStart"/>
      <w:r w:rsidRPr="00D51E34">
        <w:rPr>
          <w:rFonts w:ascii="Palatino Linotype" w:hAnsi="Palatino Linotype"/>
          <w:i/>
        </w:rPr>
        <w:t>cit</w:t>
      </w:r>
      <w:proofErr w:type="spellEnd"/>
      <w:r w:rsidRPr="00D51E34">
        <w:rPr>
          <w:rFonts w:ascii="Palatino Linotype" w:hAnsi="Palatino Linotype"/>
        </w:rPr>
        <w:t>, n 6, Infrastructure, Best Practice #3, p 65.</w:t>
      </w:r>
    </w:p>
  </w:footnote>
  <w:footnote w:id="15">
    <w:p w:rsidR="00BE51F2" w:rsidRPr="00D51E34" w:rsidRDefault="00BE51F2" w:rsidP="00BE51F2">
      <w:pPr>
        <w:pStyle w:val="FootnoteText"/>
        <w:rPr>
          <w:rFonts w:ascii="Palatino Linotype" w:hAnsi="Palatino Linotype"/>
        </w:rPr>
      </w:pPr>
      <w:r w:rsidRPr="00D51E34">
        <w:rPr>
          <w:rStyle w:val="FootnoteReference"/>
          <w:rFonts w:ascii="Palatino Linotype" w:hAnsi="Palatino Linotype"/>
        </w:rPr>
        <w:footnoteRef/>
      </w:r>
      <w:r w:rsidRPr="00D51E34">
        <w:rPr>
          <w:rFonts w:ascii="Palatino Linotype" w:hAnsi="Palatino Linotype"/>
        </w:rPr>
        <w:t xml:space="preserve"> </w:t>
      </w:r>
      <w:r w:rsidRPr="00D51E34">
        <w:rPr>
          <w:rFonts w:ascii="Palatino Linotype" w:hAnsi="Palatino Linotype"/>
          <w:i/>
        </w:rPr>
        <w:t xml:space="preserve">Op </w:t>
      </w:r>
      <w:proofErr w:type="spellStart"/>
      <w:r w:rsidRPr="00D51E34">
        <w:rPr>
          <w:rFonts w:ascii="Palatino Linotype" w:hAnsi="Palatino Linotype"/>
          <w:i/>
        </w:rPr>
        <w:t>cit</w:t>
      </w:r>
      <w:proofErr w:type="spellEnd"/>
      <w:r w:rsidRPr="00D51E34">
        <w:rPr>
          <w:rFonts w:ascii="Palatino Linotype" w:hAnsi="Palatino Linotype"/>
        </w:rPr>
        <w:t xml:space="preserve">, </w:t>
      </w:r>
      <w:bookmarkStart w:id="0" w:name="_Toc335825144"/>
      <w:bookmarkStart w:id="1" w:name="_Toc335833000"/>
      <w:r w:rsidRPr="00D51E34">
        <w:rPr>
          <w:rFonts w:ascii="Palatino Linotype" w:hAnsi="Palatino Linotype"/>
        </w:rPr>
        <w:t>‘Law in Context in a Clinical Setting</w:t>
      </w:r>
      <w:bookmarkEnd w:id="0"/>
      <w:bookmarkEnd w:id="1"/>
      <w:r w:rsidRPr="00D51E34">
        <w:rPr>
          <w:rFonts w:ascii="Palatino Linotype" w:hAnsi="Palatino Linotype"/>
        </w:rPr>
        <w:t>’, p 53</w:t>
      </w:r>
    </w:p>
  </w:footnote>
  <w:footnote w:id="16">
    <w:p w:rsidR="00BE51F2" w:rsidRPr="00D51E34" w:rsidRDefault="00BE51F2" w:rsidP="00BE51F2">
      <w:pPr>
        <w:pStyle w:val="Heading2"/>
        <w:ind w:left="0"/>
        <w:jc w:val="left"/>
        <w:rPr>
          <w:rFonts w:ascii="Palatino Linotype" w:hAnsi="Palatino Linotype"/>
        </w:rPr>
      </w:pPr>
      <w:r w:rsidRPr="00D51E34">
        <w:rPr>
          <w:rStyle w:val="FootnoteReference"/>
          <w:rFonts w:ascii="Palatino Linotype" w:hAnsi="Palatino Linotype"/>
          <w:bCs/>
          <w:sz w:val="20"/>
        </w:rPr>
        <w:footnoteRef/>
      </w:r>
      <w:r w:rsidRPr="00D51E34">
        <w:rPr>
          <w:rFonts w:ascii="Palatino Linotype" w:hAnsi="Palatino Linotype"/>
          <w:b w:val="0"/>
          <w:bCs/>
          <w:sz w:val="20"/>
        </w:rPr>
        <w:t xml:space="preserve"> See for example, Michele Leering, ‘Encouraging Reflective Practice:  Conceptualizing Reflective Practice for Legal Professionals’, (2014) 23 </w:t>
      </w:r>
      <w:r w:rsidRPr="00D51E34">
        <w:rPr>
          <w:rFonts w:ascii="Palatino Linotype" w:hAnsi="Palatino Linotype"/>
          <w:b w:val="0"/>
          <w:bCs/>
          <w:i/>
          <w:sz w:val="20"/>
        </w:rPr>
        <w:t>Journal of Law and Social Policy</w:t>
      </w:r>
      <w:r w:rsidRPr="00D51E34">
        <w:rPr>
          <w:rFonts w:ascii="Palatino Linotype" w:hAnsi="Palatino Linotype"/>
          <w:b w:val="0"/>
          <w:bCs/>
          <w:i/>
          <w:iCs/>
          <w:sz w:val="20"/>
        </w:rPr>
        <w:t xml:space="preserve"> </w:t>
      </w:r>
      <w:r w:rsidRPr="00D51E34">
        <w:rPr>
          <w:rFonts w:ascii="Palatino Linotype" w:hAnsi="Palatino Linotype"/>
          <w:b w:val="0"/>
          <w:bCs/>
          <w:sz w:val="20"/>
        </w:rPr>
        <w:t xml:space="preserve">83; </w:t>
      </w:r>
      <w:proofErr w:type="spellStart"/>
      <w:r w:rsidRPr="00D51E34">
        <w:rPr>
          <w:rFonts w:ascii="Palatino Linotype" w:hAnsi="Palatino Linotype" w:cs="Arial"/>
          <w:b w:val="0"/>
          <w:bCs/>
          <w:sz w:val="20"/>
        </w:rPr>
        <w:t>Hyams</w:t>
      </w:r>
      <w:proofErr w:type="spellEnd"/>
      <w:r w:rsidRPr="00D51E34">
        <w:rPr>
          <w:rFonts w:ascii="Palatino Linotype" w:hAnsi="Palatino Linotype" w:cs="Arial"/>
          <w:b w:val="0"/>
          <w:bCs/>
          <w:sz w:val="20"/>
        </w:rPr>
        <w:t xml:space="preserve">, R  "Assessing Insight: Grading Reflective Journals in Clinical Legal Education" (2010) 17 </w:t>
      </w:r>
      <w:r w:rsidRPr="00D51E34">
        <w:rPr>
          <w:rFonts w:ascii="Palatino Linotype" w:hAnsi="Palatino Linotype" w:cs="Arial"/>
          <w:b w:val="0"/>
          <w:bCs/>
          <w:i/>
          <w:sz w:val="20"/>
        </w:rPr>
        <w:t>James Cook University Law Review</w:t>
      </w:r>
      <w:r w:rsidRPr="00D51E34">
        <w:rPr>
          <w:rFonts w:ascii="Palatino Linotype" w:hAnsi="Palatino Linotype" w:cs="Arial"/>
          <w:b w:val="0"/>
          <w:bCs/>
          <w:sz w:val="20"/>
        </w:rPr>
        <w:t xml:space="preserve"> 25 </w:t>
      </w:r>
    </w:p>
  </w:footnote>
  <w:footnote w:id="17">
    <w:p w:rsidR="00BE51F2" w:rsidRPr="00D51E34" w:rsidRDefault="00BE51F2" w:rsidP="00BE51F2">
      <w:pPr>
        <w:pStyle w:val="FootnoteText"/>
        <w:rPr>
          <w:rFonts w:ascii="Palatino Linotype" w:hAnsi="Palatino Linotype"/>
        </w:rPr>
      </w:pPr>
      <w:r w:rsidRPr="00D51E34">
        <w:rPr>
          <w:rStyle w:val="FootnoteReference"/>
          <w:rFonts w:ascii="Palatino Linotype" w:hAnsi="Palatino Linotype"/>
        </w:rPr>
        <w:footnoteRef/>
      </w:r>
      <w:r w:rsidRPr="00D51E34">
        <w:rPr>
          <w:rFonts w:ascii="Palatino Linotype" w:hAnsi="Palatino Linotype"/>
        </w:rPr>
        <w:t xml:space="preserve"> See for example, </w:t>
      </w:r>
      <w:proofErr w:type="spellStart"/>
      <w:r w:rsidRPr="00D51E34">
        <w:rPr>
          <w:rFonts w:ascii="Palatino Linotype" w:hAnsi="Palatino Linotype"/>
        </w:rPr>
        <w:t>Hyams</w:t>
      </w:r>
      <w:proofErr w:type="spellEnd"/>
      <w:r w:rsidRPr="00D51E34">
        <w:rPr>
          <w:rFonts w:ascii="Palatino Linotype" w:hAnsi="Palatino Linotype"/>
        </w:rPr>
        <w:t xml:space="preserve">, </w:t>
      </w:r>
      <w:r w:rsidRPr="00D51E34">
        <w:rPr>
          <w:rFonts w:ascii="Palatino Linotype" w:hAnsi="Palatino Linotype"/>
          <w:i/>
        </w:rPr>
        <w:t>et al</w:t>
      </w:r>
      <w:r w:rsidRPr="00D51E34">
        <w:rPr>
          <w:rFonts w:ascii="Palatino Linotype" w:hAnsi="Palatino Linotype"/>
        </w:rPr>
        <w:t xml:space="preserve">, </w:t>
      </w:r>
      <w:r w:rsidRPr="00D51E34">
        <w:rPr>
          <w:rFonts w:ascii="Palatino Linotype" w:hAnsi="Palatino Linotype"/>
          <w:i/>
        </w:rPr>
        <w:t>Practical Legal Skills</w:t>
      </w:r>
      <w:r w:rsidRPr="00D51E34">
        <w:rPr>
          <w:rFonts w:ascii="Palatino Linotype" w:hAnsi="Palatino Linotype"/>
        </w:rPr>
        <w:t>, 4</w:t>
      </w:r>
      <w:r w:rsidRPr="00D51E34">
        <w:rPr>
          <w:rFonts w:ascii="Palatino Linotype" w:hAnsi="Palatino Linotype"/>
          <w:vertAlign w:val="superscript"/>
        </w:rPr>
        <w:t>th</w:t>
      </w:r>
      <w:r w:rsidRPr="00D51E34">
        <w:rPr>
          <w:rFonts w:ascii="Palatino Linotype" w:hAnsi="Palatino Linotype"/>
        </w:rPr>
        <w:t xml:space="preserve"> </w:t>
      </w:r>
      <w:proofErr w:type="spellStart"/>
      <w:r w:rsidRPr="00D51E34">
        <w:rPr>
          <w:rFonts w:ascii="Palatino Linotype" w:hAnsi="Palatino Linotype"/>
        </w:rPr>
        <w:t>edn</w:t>
      </w:r>
      <w:proofErr w:type="spellEnd"/>
      <w:r w:rsidRPr="00D51E34">
        <w:rPr>
          <w:rFonts w:ascii="Palatino Linotype" w:hAnsi="Palatino Linotype"/>
        </w:rPr>
        <w:t xml:space="preserve">, OUP, Port Melbourne, 2014, </w:t>
      </w:r>
      <w:proofErr w:type="spellStart"/>
      <w:r w:rsidRPr="00D51E34">
        <w:rPr>
          <w:rFonts w:ascii="Palatino Linotype" w:hAnsi="Palatino Linotype"/>
        </w:rPr>
        <w:t>Ch</w:t>
      </w:r>
      <w:proofErr w:type="spellEnd"/>
      <w:r w:rsidRPr="00D51E34">
        <w:rPr>
          <w:rFonts w:ascii="Palatino Linotype" w:hAnsi="Palatino Linotype"/>
        </w:rPr>
        <w:t xml:space="preserve"> 4 ‘Keeping Out of Trouble’.; Evans A, </w:t>
      </w:r>
      <w:r w:rsidRPr="00D51E34">
        <w:rPr>
          <w:rFonts w:ascii="Palatino Linotype" w:hAnsi="Palatino Linotype"/>
          <w:i/>
          <w:iCs/>
        </w:rPr>
        <w:t>The Good Lawyer,</w:t>
      </w:r>
      <w:r w:rsidRPr="00D51E34">
        <w:rPr>
          <w:rFonts w:ascii="Palatino Linotype" w:hAnsi="Palatino Linotype"/>
        </w:rPr>
        <w:t xml:space="preserve"> Cambridge University Press, Port Melbourne, 2014.</w:t>
      </w:r>
    </w:p>
  </w:footnote>
  <w:footnote w:id="18">
    <w:p w:rsidR="00BE51F2" w:rsidRPr="00D51E34" w:rsidRDefault="00BE51F2" w:rsidP="00BE51F2">
      <w:pPr>
        <w:pStyle w:val="FootnoteText"/>
        <w:rPr>
          <w:rFonts w:ascii="Palatino Linotype" w:hAnsi="Palatino Linotype"/>
        </w:rPr>
      </w:pPr>
      <w:r w:rsidRPr="00D51E34">
        <w:rPr>
          <w:rStyle w:val="FootnoteReference"/>
          <w:rFonts w:ascii="Palatino Linotype" w:hAnsi="Palatino Linotype"/>
        </w:rPr>
        <w:footnoteRef/>
      </w:r>
      <w:r w:rsidRPr="00D51E34">
        <w:rPr>
          <w:rFonts w:ascii="Palatino Linotype" w:hAnsi="Palatino Linotype"/>
        </w:rPr>
        <w:t xml:space="preserve"> See for example, Christine Parker and Adrian Evans, </w:t>
      </w:r>
      <w:r w:rsidRPr="00D51E34">
        <w:rPr>
          <w:rFonts w:ascii="Palatino Linotype" w:hAnsi="Palatino Linotype"/>
          <w:i/>
        </w:rPr>
        <w:t>Inside Lawyers’ Ethics</w:t>
      </w:r>
      <w:r w:rsidRPr="00D51E34">
        <w:rPr>
          <w:rFonts w:ascii="Palatino Linotype" w:hAnsi="Palatino Linotype"/>
        </w:rPr>
        <w:t>, 2</w:t>
      </w:r>
      <w:r w:rsidRPr="00D51E34">
        <w:rPr>
          <w:rFonts w:ascii="Palatino Linotype" w:hAnsi="Palatino Linotype"/>
          <w:vertAlign w:val="superscript"/>
        </w:rPr>
        <w:t>nd</w:t>
      </w:r>
      <w:r w:rsidRPr="00D51E34">
        <w:rPr>
          <w:rFonts w:ascii="Palatino Linotype" w:hAnsi="Palatino Linotype"/>
        </w:rPr>
        <w:t xml:space="preserve"> </w:t>
      </w:r>
      <w:proofErr w:type="spellStart"/>
      <w:r w:rsidRPr="00D51E34">
        <w:rPr>
          <w:rFonts w:ascii="Palatino Linotype" w:hAnsi="Palatino Linotype"/>
        </w:rPr>
        <w:t>edn</w:t>
      </w:r>
      <w:proofErr w:type="spellEnd"/>
      <w:r w:rsidRPr="00D51E34">
        <w:rPr>
          <w:rFonts w:ascii="Palatino Linotype" w:hAnsi="Palatino Linotype"/>
        </w:rPr>
        <w:t xml:space="preserve">, CUP, South Melbourne, 2014, </w:t>
      </w:r>
      <w:proofErr w:type="spellStart"/>
      <w:r w:rsidRPr="00D51E34">
        <w:rPr>
          <w:rFonts w:ascii="Palatino Linotype" w:hAnsi="Palatino Linotype"/>
        </w:rPr>
        <w:t>Chs</w:t>
      </w:r>
      <w:proofErr w:type="spellEnd"/>
      <w:r w:rsidRPr="00D51E34">
        <w:rPr>
          <w:rFonts w:ascii="Palatino Linotype" w:hAnsi="Palatino Linotype"/>
        </w:rPr>
        <w:t xml:space="preserve"> 2 and 3 and Appendix.</w:t>
      </w:r>
    </w:p>
  </w:footnote>
  <w:footnote w:id="19">
    <w:p w:rsidR="00BE51F2" w:rsidRPr="00D51E34" w:rsidRDefault="00BE51F2" w:rsidP="00BE51F2">
      <w:pPr>
        <w:spacing w:after="0" w:line="240" w:lineRule="auto"/>
        <w:rPr>
          <w:rFonts w:ascii="Palatino Linotype" w:hAnsi="Palatino Linotype" w:cs="Arial"/>
          <w:sz w:val="24"/>
        </w:rPr>
      </w:pPr>
      <w:r w:rsidRPr="00D51E34">
        <w:rPr>
          <w:rStyle w:val="FootnoteReference"/>
          <w:rFonts w:ascii="Palatino Linotype" w:hAnsi="Palatino Linotype"/>
        </w:rPr>
        <w:footnoteRef/>
      </w:r>
      <w:r w:rsidRPr="00D51E34">
        <w:rPr>
          <w:rFonts w:ascii="Palatino Linotype" w:hAnsi="Palatino Linotype"/>
        </w:rPr>
        <w:t xml:space="preserve"> See Hyams, R  </w:t>
      </w:r>
      <w:r w:rsidRPr="00D51E34">
        <w:rPr>
          <w:rFonts w:ascii="Palatino Linotype" w:hAnsi="Palatino Linotype" w:cs="Arial"/>
        </w:rPr>
        <w:t xml:space="preserve">‘Clinical Buddies: Jumping the Fact-Law Chasm’ in Naylor B and </w:t>
      </w:r>
      <w:proofErr w:type="spellStart"/>
      <w:r w:rsidRPr="00D51E34">
        <w:rPr>
          <w:rFonts w:ascii="Palatino Linotype" w:hAnsi="Palatino Linotype" w:cs="Arial"/>
        </w:rPr>
        <w:t>Hyams</w:t>
      </w:r>
      <w:proofErr w:type="spellEnd"/>
      <w:r w:rsidRPr="00D51E34">
        <w:rPr>
          <w:rFonts w:ascii="Palatino Linotype" w:hAnsi="Palatino Linotype" w:cs="Arial"/>
        </w:rPr>
        <w:t xml:space="preserve"> R (</w:t>
      </w:r>
      <w:proofErr w:type="spellStart"/>
      <w:r w:rsidRPr="00D51E34">
        <w:rPr>
          <w:rFonts w:ascii="Palatino Linotype" w:hAnsi="Palatino Linotype" w:cs="Arial"/>
        </w:rPr>
        <w:t>Eds</w:t>
      </w:r>
      <w:proofErr w:type="spellEnd"/>
      <w:r w:rsidRPr="00D51E34">
        <w:rPr>
          <w:rFonts w:ascii="Palatino Linotype" w:hAnsi="Palatino Linotype" w:cs="Arial"/>
        </w:rPr>
        <w:t xml:space="preserve">) </w:t>
      </w:r>
      <w:r w:rsidRPr="00D51E34">
        <w:rPr>
          <w:rFonts w:ascii="Palatino Linotype" w:hAnsi="Palatino Linotype" w:cs="Arial"/>
          <w:bCs/>
          <w:u w:val="single"/>
        </w:rPr>
        <w:t>Innovation in Clinical Legal Education: Educating Future Lawyers — Monograph No 1</w:t>
      </w:r>
      <w:r w:rsidRPr="00D51E34">
        <w:rPr>
          <w:rFonts w:ascii="Palatino Linotype" w:hAnsi="Palatino Linotype" w:cs="Arial"/>
          <w:bCs/>
        </w:rPr>
        <w:t>(2007)</w:t>
      </w:r>
      <w:r w:rsidRPr="00D51E34">
        <w:rPr>
          <w:rFonts w:ascii="Palatino Linotype" w:hAnsi="Palatino Linotype" w:cs="Arial"/>
          <w:noProof/>
          <w:lang w:val="en-GB" w:eastAsia="en-GB"/>
        </w:rPr>
        <w:drawing>
          <wp:inline distT="0" distB="0" distL="0" distR="0" wp14:anchorId="16DAF480" wp14:editId="68E298DB">
            <wp:extent cx="47625" cy="47625"/>
            <wp:effectExtent l="0" t="0" r="0" b="0"/>
            <wp:docPr id="3" name="Picture 3" descr="http://www.altlj.org/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ltlj.org/images/blank.gif"/>
                    <pic:cNvPicPr>
                      <a:picLocks noChangeAspect="1" noChangeArrowheads="1"/>
                    </pic:cNvPicPr>
                  </pic:nvPicPr>
                  <pic:blipFill>
                    <a:blip r:embed="rId1"/>
                    <a:srcRect/>
                    <a:stretch>
                      <a:fillRect/>
                    </a:stretch>
                  </pic:blipFill>
                  <pic:spPr bwMode="auto">
                    <a:xfrm>
                      <a:off x="0" y="0"/>
                      <a:ext cx="47625" cy="47625"/>
                    </a:xfrm>
                    <a:prstGeom prst="rect">
                      <a:avLst/>
                    </a:prstGeom>
                    <a:noFill/>
                    <a:ln w="9525">
                      <a:noFill/>
                      <a:miter lim="800000"/>
                      <a:headEnd/>
                      <a:tailEnd/>
                    </a:ln>
                  </pic:spPr>
                </pic:pic>
              </a:graphicData>
            </a:graphic>
          </wp:inline>
        </w:drawing>
      </w:r>
      <w:r w:rsidRPr="00D51E34">
        <w:rPr>
          <w:rFonts w:ascii="Palatino Linotype" w:hAnsi="Palatino Linotype" w:cs="Arial"/>
        </w:rPr>
        <w:t xml:space="preserve"> </w:t>
      </w:r>
      <w:r w:rsidRPr="00D51E34">
        <w:rPr>
          <w:rFonts w:ascii="Palatino Linotype" w:hAnsi="Palatino Linotype" w:cs="Arial"/>
          <w:i/>
        </w:rPr>
        <w:t>Alternative Law Journal</w:t>
      </w:r>
    </w:p>
    <w:p w:rsidR="00BE51F2" w:rsidRPr="00D51E34" w:rsidRDefault="00BE51F2" w:rsidP="00BE51F2">
      <w:pPr>
        <w:pStyle w:val="FootnoteText"/>
        <w:rPr>
          <w:rFonts w:ascii="Palatino Linotype" w:hAnsi="Palatino Linotype"/>
        </w:rPr>
      </w:pPr>
    </w:p>
  </w:footnote>
  <w:footnote w:id="20">
    <w:p w:rsidR="00BE51F2" w:rsidRPr="00D51E34" w:rsidRDefault="00BE51F2" w:rsidP="00BE51F2">
      <w:pPr>
        <w:pStyle w:val="FootnoteText"/>
        <w:rPr>
          <w:rFonts w:ascii="Palatino Linotype" w:hAnsi="Palatino Linotype"/>
        </w:rPr>
      </w:pPr>
      <w:r w:rsidRPr="00D51E34">
        <w:rPr>
          <w:rStyle w:val="FootnoteReference"/>
          <w:rFonts w:ascii="Palatino Linotype" w:hAnsi="Palatino Linotype"/>
        </w:rPr>
        <w:footnoteRef/>
      </w:r>
      <w:r w:rsidRPr="00D51E34">
        <w:rPr>
          <w:rFonts w:ascii="Palatino Linotype" w:hAnsi="Palatino Linotype"/>
        </w:rPr>
        <w:t xml:space="preserve"> See further, </w:t>
      </w:r>
      <w:r w:rsidRPr="00D51E34">
        <w:rPr>
          <w:rFonts w:ascii="Palatino Linotype" w:hAnsi="Palatino Linotype"/>
          <w:i/>
        </w:rPr>
        <w:t>Best Practices</w:t>
      </w:r>
      <w:r w:rsidRPr="00D51E34">
        <w:rPr>
          <w:rFonts w:ascii="Palatino Linotype" w:hAnsi="Palatino Linotype"/>
        </w:rPr>
        <w:t xml:space="preserve">, </w:t>
      </w:r>
      <w:r w:rsidRPr="00D51E34">
        <w:rPr>
          <w:rFonts w:ascii="Palatino Linotype" w:hAnsi="Palatino Linotype"/>
          <w:i/>
        </w:rPr>
        <w:t xml:space="preserve">op </w:t>
      </w:r>
      <w:proofErr w:type="spellStart"/>
      <w:r w:rsidRPr="00D51E34">
        <w:rPr>
          <w:rFonts w:ascii="Palatino Linotype" w:hAnsi="Palatino Linotype"/>
          <w:i/>
        </w:rPr>
        <w:t>cit</w:t>
      </w:r>
      <w:proofErr w:type="spellEnd"/>
      <w:r w:rsidRPr="00D51E34">
        <w:rPr>
          <w:rFonts w:ascii="Palatino Linotype" w:hAnsi="Palatino Linotype"/>
        </w:rPr>
        <w:t>, Introduction, pp 10-11.</w:t>
      </w:r>
    </w:p>
  </w:footnote>
  <w:footnote w:id="21">
    <w:p w:rsidR="00C221B4" w:rsidRPr="00C221B4" w:rsidRDefault="00C221B4" w:rsidP="00C221B4">
      <w:pPr>
        <w:spacing w:after="0" w:line="240" w:lineRule="auto"/>
        <w:rPr>
          <w:rFonts w:ascii="Palatino Linotype" w:hAnsi="Palatino Linotype" w:cs="Arial"/>
          <w:sz w:val="20"/>
          <w:szCs w:val="20"/>
        </w:rPr>
      </w:pPr>
      <w:r>
        <w:rPr>
          <w:rStyle w:val="FootnoteReference"/>
        </w:rPr>
        <w:footnoteRef/>
      </w:r>
      <w:r>
        <w:t xml:space="preserve"> </w:t>
      </w:r>
      <w:r w:rsidRPr="00D51E34">
        <w:rPr>
          <w:rFonts w:ascii="Palatino Linotype" w:hAnsi="Palatino Linotype"/>
          <w:sz w:val="20"/>
          <w:szCs w:val="20"/>
        </w:rPr>
        <w:t xml:space="preserve">See </w:t>
      </w:r>
      <w:proofErr w:type="spellStart"/>
      <w:r w:rsidRPr="00D51E34">
        <w:rPr>
          <w:rFonts w:ascii="Palatino Linotype" w:hAnsi="Palatino Linotype"/>
          <w:sz w:val="20"/>
          <w:szCs w:val="20"/>
        </w:rPr>
        <w:t>Hyams</w:t>
      </w:r>
      <w:proofErr w:type="spellEnd"/>
      <w:r w:rsidRPr="00D51E34">
        <w:rPr>
          <w:rFonts w:ascii="Palatino Linotype" w:hAnsi="Palatino Linotype"/>
          <w:sz w:val="20"/>
          <w:szCs w:val="20"/>
        </w:rPr>
        <w:t xml:space="preserve"> R, Brown G and Foster R (2013) “The Benefits of Multidisciplinary Learning in Clinical Practice for Law, Finance, and Social Work Students: An Australian Experience” 33 (2) </w:t>
      </w:r>
      <w:r w:rsidRPr="00C221B4">
        <w:rPr>
          <w:rFonts w:ascii="Palatino Linotype" w:hAnsi="Palatino Linotype"/>
          <w:i/>
          <w:sz w:val="20"/>
          <w:szCs w:val="20"/>
        </w:rPr>
        <w:t>Journal of Teaching in Social Work</w:t>
      </w:r>
      <w:r w:rsidRPr="00D51E34">
        <w:rPr>
          <w:rFonts w:ascii="Palatino Linotype" w:hAnsi="Palatino Linotype"/>
          <w:sz w:val="20"/>
          <w:szCs w:val="20"/>
        </w:rPr>
        <w:t xml:space="preserve"> 159; </w:t>
      </w:r>
      <w:proofErr w:type="spellStart"/>
      <w:r w:rsidRPr="00D51E34">
        <w:rPr>
          <w:rFonts w:ascii="Palatino Linotype" w:hAnsi="Palatino Linotype"/>
          <w:sz w:val="20"/>
          <w:szCs w:val="20"/>
        </w:rPr>
        <w:t>Hyams</w:t>
      </w:r>
      <w:proofErr w:type="spellEnd"/>
      <w:r w:rsidRPr="00D51E34">
        <w:rPr>
          <w:rFonts w:ascii="Palatino Linotype" w:hAnsi="Palatino Linotype"/>
          <w:sz w:val="20"/>
          <w:szCs w:val="20"/>
        </w:rPr>
        <w:t xml:space="preserve"> R “Multidisciplinary Clinical Legal Education: The Future of the Profession” (2012) 37 (2) </w:t>
      </w:r>
      <w:r w:rsidRPr="00D51E34">
        <w:rPr>
          <w:rFonts w:ascii="Palatino Linotype" w:hAnsi="Palatino Linotype"/>
          <w:i/>
          <w:iCs/>
          <w:sz w:val="20"/>
          <w:szCs w:val="20"/>
        </w:rPr>
        <w:t>Alt LJ</w:t>
      </w:r>
      <w:r w:rsidRPr="00D51E34">
        <w:rPr>
          <w:rFonts w:ascii="Palatino Linotype" w:hAnsi="Palatino Linotype"/>
          <w:sz w:val="20"/>
          <w:szCs w:val="20"/>
        </w:rPr>
        <w:t xml:space="preserve"> 103; </w:t>
      </w:r>
      <w:proofErr w:type="spellStart"/>
      <w:r w:rsidRPr="00D51E34">
        <w:rPr>
          <w:rFonts w:ascii="Palatino Linotype" w:hAnsi="Palatino Linotype" w:cs="Arial"/>
          <w:sz w:val="20"/>
          <w:szCs w:val="20"/>
        </w:rPr>
        <w:t>Hyams</w:t>
      </w:r>
      <w:proofErr w:type="spellEnd"/>
      <w:r w:rsidRPr="00D51E34">
        <w:rPr>
          <w:rFonts w:ascii="Palatino Linotype" w:hAnsi="Palatino Linotype" w:cs="Arial"/>
          <w:sz w:val="20"/>
          <w:szCs w:val="20"/>
        </w:rPr>
        <w:t xml:space="preserve"> R &amp; </w:t>
      </w:r>
      <w:proofErr w:type="spellStart"/>
      <w:r w:rsidRPr="00D51E34">
        <w:rPr>
          <w:rFonts w:ascii="Palatino Linotype" w:hAnsi="Palatino Linotype" w:cs="Arial"/>
          <w:sz w:val="20"/>
          <w:szCs w:val="20"/>
        </w:rPr>
        <w:t>Gertner</w:t>
      </w:r>
      <w:proofErr w:type="spellEnd"/>
      <w:r w:rsidRPr="00D51E34">
        <w:rPr>
          <w:rFonts w:ascii="Palatino Linotype" w:hAnsi="Palatino Linotype" w:cs="Arial"/>
          <w:sz w:val="20"/>
          <w:szCs w:val="20"/>
        </w:rPr>
        <w:t xml:space="preserve"> F "Multidisciplinary Clinics - Broadening the Outlook of Clinical Learning" (2012) 17 </w:t>
      </w:r>
      <w:r w:rsidRPr="00D51E34">
        <w:rPr>
          <w:rFonts w:ascii="Palatino Linotype" w:hAnsi="Palatino Linotype" w:cs="Arial"/>
          <w:i/>
          <w:iCs/>
          <w:sz w:val="20"/>
          <w:szCs w:val="20"/>
        </w:rPr>
        <w:t>International Journal of Clinical Legal Education</w:t>
      </w:r>
      <w:r>
        <w:rPr>
          <w:rFonts w:ascii="Palatino Linotype" w:hAnsi="Palatino Linotype" w:cs="Arial"/>
          <w:sz w:val="20"/>
          <w:szCs w:val="20"/>
        </w:rPr>
        <w:t xml:space="preserve"> 23.</w:t>
      </w:r>
      <w:bookmarkStart w:id="2" w:name="_GoBack"/>
      <w:bookmarkEnd w:id="2"/>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3275"/>
    <w:multiLevelType w:val="hybridMultilevel"/>
    <w:tmpl w:val="296A2EEA"/>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5467F61"/>
    <w:multiLevelType w:val="multilevel"/>
    <w:tmpl w:val="71E86A16"/>
    <w:lvl w:ilvl="0">
      <w:start w:val="1"/>
      <w:numFmt w:val="lowerLetter"/>
      <w:lvlText w:val="%1."/>
      <w:lvlJc w:val="left"/>
      <w:pPr>
        <w:tabs>
          <w:tab w:val="num" w:pos="720"/>
        </w:tabs>
        <w:ind w:left="720" w:hanging="360"/>
      </w:pPr>
    </w:lvl>
    <w:lvl w:ilvl="1">
      <w:numFmt w:val="bullet"/>
      <w:lvlText w:val="-"/>
      <w:lvlJc w:val="left"/>
      <w:pPr>
        <w:ind w:left="1455" w:hanging="375"/>
      </w:pPr>
      <w:rPr>
        <w:rFonts w:ascii="Arial" w:eastAsia="Times New Roman" w:hAnsi="Arial" w:cs="Arial" w:hint="default"/>
        <w:i w:val="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24CE255E"/>
    <w:multiLevelType w:val="hybridMultilevel"/>
    <w:tmpl w:val="474E07F4"/>
    <w:lvl w:ilvl="0" w:tplc="613EEB08">
      <w:start w:val="1"/>
      <w:numFmt w:val="lowerLetter"/>
      <w:lvlText w:val="%1)"/>
      <w:lvlJc w:val="left"/>
      <w:pPr>
        <w:ind w:left="720" w:hanging="360"/>
      </w:pPr>
      <w:rPr>
        <w:rFonts w:hint="default"/>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AE84F63"/>
    <w:multiLevelType w:val="hybridMultilevel"/>
    <w:tmpl w:val="C4161CB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nsid w:val="2D501B53"/>
    <w:multiLevelType w:val="hybridMultilevel"/>
    <w:tmpl w:val="09AEA854"/>
    <w:lvl w:ilvl="0" w:tplc="0C090017">
      <w:start w:val="1"/>
      <w:numFmt w:val="lowerLetter"/>
      <w:lvlText w:val="%1)"/>
      <w:lvlJc w:val="left"/>
      <w:pPr>
        <w:ind w:left="1004" w:hanging="360"/>
      </w:pPr>
    </w:lvl>
    <w:lvl w:ilvl="1" w:tplc="0C090019">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5">
    <w:nsid w:val="479F53CB"/>
    <w:multiLevelType w:val="hybridMultilevel"/>
    <w:tmpl w:val="D8F4B7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6AA469A4"/>
    <w:multiLevelType w:val="hybridMultilevel"/>
    <w:tmpl w:val="E806EAD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1F2"/>
    <w:rsid w:val="00012421"/>
    <w:rsid w:val="001C3117"/>
    <w:rsid w:val="0035364D"/>
    <w:rsid w:val="0035470C"/>
    <w:rsid w:val="00444D27"/>
    <w:rsid w:val="004537BE"/>
    <w:rsid w:val="005A4E6B"/>
    <w:rsid w:val="005D078E"/>
    <w:rsid w:val="00676C94"/>
    <w:rsid w:val="00796F60"/>
    <w:rsid w:val="008513A4"/>
    <w:rsid w:val="008D7AD0"/>
    <w:rsid w:val="009E4C39"/>
    <w:rsid w:val="00AD51FB"/>
    <w:rsid w:val="00B40B98"/>
    <w:rsid w:val="00BE51F2"/>
    <w:rsid w:val="00C221B4"/>
    <w:rsid w:val="00CA55FB"/>
    <w:rsid w:val="00D51E34"/>
    <w:rsid w:val="00FA1D36"/>
    <w:rsid w:val="00FE240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BE51F2"/>
    <w:pPr>
      <w:keepNext/>
      <w:spacing w:after="0" w:line="240" w:lineRule="auto"/>
      <w:ind w:left="1440"/>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uiPriority w:val="9"/>
    <w:unhideWhenUsed/>
    <w:qFormat/>
    <w:rsid w:val="00BE51F2"/>
    <w:pPr>
      <w:keepNext/>
      <w:keepLines/>
      <w:spacing w:before="200" w:after="0"/>
      <w:outlineLvl w:val="2"/>
    </w:pPr>
    <w:rPr>
      <w:rFonts w:asciiTheme="majorHAnsi" w:eastAsiaTheme="majorEastAsia" w:hAnsiTheme="majorHAnsi" w:cstheme="majorBidi"/>
      <w:b/>
      <w:bCs/>
      <w:color w:val="4F81BD" w:themeColor="accent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51F2"/>
    <w:rPr>
      <w:sz w:val="16"/>
      <w:szCs w:val="16"/>
    </w:rPr>
  </w:style>
  <w:style w:type="paragraph" w:styleId="CommentText">
    <w:name w:val="annotation text"/>
    <w:basedOn w:val="Normal"/>
    <w:link w:val="CommentTextChar"/>
    <w:uiPriority w:val="99"/>
    <w:unhideWhenUsed/>
    <w:rsid w:val="00BE51F2"/>
    <w:pPr>
      <w:spacing w:line="240" w:lineRule="auto"/>
    </w:pPr>
    <w:rPr>
      <w:rFonts w:eastAsiaTheme="minorEastAsia"/>
      <w:sz w:val="20"/>
      <w:szCs w:val="20"/>
      <w:lang w:eastAsia="zh-CN"/>
    </w:rPr>
  </w:style>
  <w:style w:type="character" w:customStyle="1" w:styleId="CommentTextChar">
    <w:name w:val="Comment Text Char"/>
    <w:basedOn w:val="DefaultParagraphFont"/>
    <w:link w:val="CommentText"/>
    <w:uiPriority w:val="99"/>
    <w:rsid w:val="00BE51F2"/>
    <w:rPr>
      <w:rFonts w:eastAsiaTheme="minorEastAsia"/>
      <w:sz w:val="20"/>
      <w:szCs w:val="20"/>
      <w:lang w:eastAsia="zh-CN"/>
    </w:rPr>
  </w:style>
  <w:style w:type="character" w:customStyle="1" w:styleId="Heading2Char">
    <w:name w:val="Heading 2 Char"/>
    <w:basedOn w:val="DefaultParagraphFont"/>
    <w:link w:val="Heading2"/>
    <w:rsid w:val="00BE51F2"/>
    <w:rPr>
      <w:rFonts w:ascii="Times New Roman" w:eastAsia="Times New Roman" w:hAnsi="Times New Roman" w:cs="Times New Roman"/>
      <w:b/>
      <w:sz w:val="24"/>
      <w:szCs w:val="20"/>
    </w:rPr>
  </w:style>
  <w:style w:type="character" w:customStyle="1" w:styleId="Heading3Char">
    <w:name w:val="Heading 3 Char"/>
    <w:basedOn w:val="DefaultParagraphFont"/>
    <w:link w:val="Heading3"/>
    <w:uiPriority w:val="9"/>
    <w:rsid w:val="00BE51F2"/>
    <w:rPr>
      <w:rFonts w:asciiTheme="majorHAnsi" w:eastAsiaTheme="majorEastAsia" w:hAnsiTheme="majorHAnsi" w:cstheme="majorBidi"/>
      <w:b/>
      <w:bCs/>
      <w:color w:val="4F81BD" w:themeColor="accent1"/>
      <w:lang w:eastAsia="zh-CN"/>
    </w:rPr>
  </w:style>
  <w:style w:type="paragraph" w:styleId="ListParagraph">
    <w:name w:val="List Paragraph"/>
    <w:basedOn w:val="Normal"/>
    <w:uiPriority w:val="34"/>
    <w:qFormat/>
    <w:rsid w:val="00BE51F2"/>
    <w:pPr>
      <w:ind w:left="720"/>
      <w:contextualSpacing/>
    </w:pPr>
    <w:rPr>
      <w:rFonts w:eastAsiaTheme="minorEastAsia"/>
      <w:lang w:eastAsia="zh-CN"/>
    </w:rPr>
  </w:style>
  <w:style w:type="paragraph" w:styleId="FootnoteText">
    <w:name w:val="footnote text"/>
    <w:basedOn w:val="Normal"/>
    <w:link w:val="FootnoteTextChar"/>
    <w:uiPriority w:val="99"/>
    <w:semiHidden/>
    <w:unhideWhenUsed/>
    <w:rsid w:val="00BE51F2"/>
    <w:pPr>
      <w:spacing w:after="0" w:line="240" w:lineRule="auto"/>
    </w:pPr>
    <w:rPr>
      <w:rFonts w:eastAsiaTheme="minorEastAsia"/>
      <w:sz w:val="20"/>
      <w:szCs w:val="20"/>
      <w:lang w:eastAsia="zh-CN"/>
    </w:rPr>
  </w:style>
  <w:style w:type="character" w:customStyle="1" w:styleId="FootnoteTextChar">
    <w:name w:val="Footnote Text Char"/>
    <w:basedOn w:val="DefaultParagraphFont"/>
    <w:link w:val="FootnoteText"/>
    <w:uiPriority w:val="99"/>
    <w:semiHidden/>
    <w:rsid w:val="00BE51F2"/>
    <w:rPr>
      <w:rFonts w:eastAsiaTheme="minorEastAsia"/>
      <w:sz w:val="20"/>
      <w:szCs w:val="20"/>
      <w:lang w:eastAsia="zh-CN"/>
    </w:rPr>
  </w:style>
  <w:style w:type="character" w:styleId="FootnoteReference">
    <w:name w:val="footnote reference"/>
    <w:basedOn w:val="DefaultParagraphFont"/>
    <w:uiPriority w:val="99"/>
    <w:semiHidden/>
    <w:unhideWhenUsed/>
    <w:rsid w:val="00BE51F2"/>
    <w:rPr>
      <w:vertAlign w:val="superscript"/>
    </w:rPr>
  </w:style>
  <w:style w:type="paragraph" w:customStyle="1" w:styleId="Default">
    <w:name w:val="Default"/>
    <w:rsid w:val="00BE51F2"/>
    <w:pPr>
      <w:autoSpaceDE w:val="0"/>
      <w:autoSpaceDN w:val="0"/>
      <w:adjustRightInd w:val="0"/>
      <w:spacing w:after="0" w:line="240" w:lineRule="auto"/>
    </w:pPr>
    <w:rPr>
      <w:rFonts w:ascii="Calibri" w:eastAsiaTheme="minorEastAsia" w:hAnsi="Calibri" w:cs="Calibri"/>
      <w:color w:val="000000"/>
      <w:sz w:val="24"/>
      <w:szCs w:val="24"/>
      <w:lang w:eastAsia="zh-CN"/>
    </w:rPr>
  </w:style>
  <w:style w:type="character" w:customStyle="1" w:styleId="st1">
    <w:name w:val="st1"/>
    <w:basedOn w:val="DefaultParagraphFont"/>
    <w:rsid w:val="00BE51F2"/>
  </w:style>
  <w:style w:type="paragraph" w:styleId="NormalWeb">
    <w:name w:val="Normal (Web)"/>
    <w:basedOn w:val="Normal"/>
    <w:link w:val="NormalWebChar"/>
    <w:uiPriority w:val="99"/>
    <w:rsid w:val="00BE51F2"/>
    <w:pPr>
      <w:spacing w:before="100" w:beforeAutospacing="1" w:after="100" w:afterAutospacing="1" w:line="240" w:lineRule="auto"/>
    </w:pPr>
    <w:rPr>
      <w:rFonts w:ascii="Times New Roman" w:eastAsia="Times New Roman" w:hAnsi="Times New Roman" w:cs="Times New Roman"/>
      <w:color w:val="333366"/>
      <w:lang w:val="en-US"/>
    </w:rPr>
  </w:style>
  <w:style w:type="character" w:customStyle="1" w:styleId="NormalWebChar">
    <w:name w:val="Normal (Web) Char"/>
    <w:basedOn w:val="DefaultParagraphFont"/>
    <w:link w:val="NormalWeb"/>
    <w:uiPriority w:val="99"/>
    <w:rsid w:val="00BE51F2"/>
    <w:rPr>
      <w:rFonts w:ascii="Times New Roman" w:eastAsia="Times New Roman" w:hAnsi="Times New Roman" w:cs="Times New Roman"/>
      <w:color w:val="333366"/>
      <w:lang w:val="en-US"/>
    </w:rPr>
  </w:style>
  <w:style w:type="paragraph" w:styleId="BodyText">
    <w:name w:val="Body Text"/>
    <w:basedOn w:val="Normal"/>
    <w:link w:val="BodyTextChar"/>
    <w:rsid w:val="00BE51F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E51F2"/>
    <w:rPr>
      <w:rFonts w:ascii="Times New Roman" w:eastAsia="Times New Roman" w:hAnsi="Times New Roman" w:cs="Times New Roman"/>
      <w:sz w:val="24"/>
      <w:szCs w:val="24"/>
    </w:rPr>
  </w:style>
  <w:style w:type="table" w:styleId="LightList">
    <w:name w:val="Light List"/>
    <w:basedOn w:val="TableNormal"/>
    <w:uiPriority w:val="61"/>
    <w:rsid w:val="00BE51F2"/>
    <w:pPr>
      <w:spacing w:after="0" w:line="240" w:lineRule="auto"/>
    </w:pPr>
    <w:rPr>
      <w:rFonts w:eastAsiaTheme="minorEastAsia"/>
      <w:lang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rsid w:val="00BE5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1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BE51F2"/>
    <w:pPr>
      <w:keepNext/>
      <w:spacing w:after="0" w:line="240" w:lineRule="auto"/>
      <w:ind w:left="1440"/>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uiPriority w:val="9"/>
    <w:unhideWhenUsed/>
    <w:qFormat/>
    <w:rsid w:val="00BE51F2"/>
    <w:pPr>
      <w:keepNext/>
      <w:keepLines/>
      <w:spacing w:before="200" w:after="0"/>
      <w:outlineLvl w:val="2"/>
    </w:pPr>
    <w:rPr>
      <w:rFonts w:asciiTheme="majorHAnsi" w:eastAsiaTheme="majorEastAsia" w:hAnsiTheme="majorHAnsi" w:cstheme="majorBidi"/>
      <w:b/>
      <w:bCs/>
      <w:color w:val="4F81BD" w:themeColor="accent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51F2"/>
    <w:rPr>
      <w:sz w:val="16"/>
      <w:szCs w:val="16"/>
    </w:rPr>
  </w:style>
  <w:style w:type="paragraph" w:styleId="CommentText">
    <w:name w:val="annotation text"/>
    <w:basedOn w:val="Normal"/>
    <w:link w:val="CommentTextChar"/>
    <w:uiPriority w:val="99"/>
    <w:unhideWhenUsed/>
    <w:rsid w:val="00BE51F2"/>
    <w:pPr>
      <w:spacing w:line="240" w:lineRule="auto"/>
    </w:pPr>
    <w:rPr>
      <w:rFonts w:eastAsiaTheme="minorEastAsia"/>
      <w:sz w:val="20"/>
      <w:szCs w:val="20"/>
      <w:lang w:eastAsia="zh-CN"/>
    </w:rPr>
  </w:style>
  <w:style w:type="character" w:customStyle="1" w:styleId="CommentTextChar">
    <w:name w:val="Comment Text Char"/>
    <w:basedOn w:val="DefaultParagraphFont"/>
    <w:link w:val="CommentText"/>
    <w:uiPriority w:val="99"/>
    <w:rsid w:val="00BE51F2"/>
    <w:rPr>
      <w:rFonts w:eastAsiaTheme="minorEastAsia"/>
      <w:sz w:val="20"/>
      <w:szCs w:val="20"/>
      <w:lang w:eastAsia="zh-CN"/>
    </w:rPr>
  </w:style>
  <w:style w:type="character" w:customStyle="1" w:styleId="Heading2Char">
    <w:name w:val="Heading 2 Char"/>
    <w:basedOn w:val="DefaultParagraphFont"/>
    <w:link w:val="Heading2"/>
    <w:rsid w:val="00BE51F2"/>
    <w:rPr>
      <w:rFonts w:ascii="Times New Roman" w:eastAsia="Times New Roman" w:hAnsi="Times New Roman" w:cs="Times New Roman"/>
      <w:b/>
      <w:sz w:val="24"/>
      <w:szCs w:val="20"/>
    </w:rPr>
  </w:style>
  <w:style w:type="character" w:customStyle="1" w:styleId="Heading3Char">
    <w:name w:val="Heading 3 Char"/>
    <w:basedOn w:val="DefaultParagraphFont"/>
    <w:link w:val="Heading3"/>
    <w:uiPriority w:val="9"/>
    <w:rsid w:val="00BE51F2"/>
    <w:rPr>
      <w:rFonts w:asciiTheme="majorHAnsi" w:eastAsiaTheme="majorEastAsia" w:hAnsiTheme="majorHAnsi" w:cstheme="majorBidi"/>
      <w:b/>
      <w:bCs/>
      <w:color w:val="4F81BD" w:themeColor="accent1"/>
      <w:lang w:eastAsia="zh-CN"/>
    </w:rPr>
  </w:style>
  <w:style w:type="paragraph" w:styleId="ListParagraph">
    <w:name w:val="List Paragraph"/>
    <w:basedOn w:val="Normal"/>
    <w:uiPriority w:val="34"/>
    <w:qFormat/>
    <w:rsid w:val="00BE51F2"/>
    <w:pPr>
      <w:ind w:left="720"/>
      <w:contextualSpacing/>
    </w:pPr>
    <w:rPr>
      <w:rFonts w:eastAsiaTheme="minorEastAsia"/>
      <w:lang w:eastAsia="zh-CN"/>
    </w:rPr>
  </w:style>
  <w:style w:type="paragraph" w:styleId="FootnoteText">
    <w:name w:val="footnote text"/>
    <w:basedOn w:val="Normal"/>
    <w:link w:val="FootnoteTextChar"/>
    <w:uiPriority w:val="99"/>
    <w:semiHidden/>
    <w:unhideWhenUsed/>
    <w:rsid w:val="00BE51F2"/>
    <w:pPr>
      <w:spacing w:after="0" w:line="240" w:lineRule="auto"/>
    </w:pPr>
    <w:rPr>
      <w:rFonts w:eastAsiaTheme="minorEastAsia"/>
      <w:sz w:val="20"/>
      <w:szCs w:val="20"/>
      <w:lang w:eastAsia="zh-CN"/>
    </w:rPr>
  </w:style>
  <w:style w:type="character" w:customStyle="1" w:styleId="FootnoteTextChar">
    <w:name w:val="Footnote Text Char"/>
    <w:basedOn w:val="DefaultParagraphFont"/>
    <w:link w:val="FootnoteText"/>
    <w:uiPriority w:val="99"/>
    <w:semiHidden/>
    <w:rsid w:val="00BE51F2"/>
    <w:rPr>
      <w:rFonts w:eastAsiaTheme="minorEastAsia"/>
      <w:sz w:val="20"/>
      <w:szCs w:val="20"/>
      <w:lang w:eastAsia="zh-CN"/>
    </w:rPr>
  </w:style>
  <w:style w:type="character" w:styleId="FootnoteReference">
    <w:name w:val="footnote reference"/>
    <w:basedOn w:val="DefaultParagraphFont"/>
    <w:uiPriority w:val="99"/>
    <w:semiHidden/>
    <w:unhideWhenUsed/>
    <w:rsid w:val="00BE51F2"/>
    <w:rPr>
      <w:vertAlign w:val="superscript"/>
    </w:rPr>
  </w:style>
  <w:style w:type="paragraph" w:customStyle="1" w:styleId="Default">
    <w:name w:val="Default"/>
    <w:rsid w:val="00BE51F2"/>
    <w:pPr>
      <w:autoSpaceDE w:val="0"/>
      <w:autoSpaceDN w:val="0"/>
      <w:adjustRightInd w:val="0"/>
      <w:spacing w:after="0" w:line="240" w:lineRule="auto"/>
    </w:pPr>
    <w:rPr>
      <w:rFonts w:ascii="Calibri" w:eastAsiaTheme="minorEastAsia" w:hAnsi="Calibri" w:cs="Calibri"/>
      <w:color w:val="000000"/>
      <w:sz w:val="24"/>
      <w:szCs w:val="24"/>
      <w:lang w:eastAsia="zh-CN"/>
    </w:rPr>
  </w:style>
  <w:style w:type="character" w:customStyle="1" w:styleId="st1">
    <w:name w:val="st1"/>
    <w:basedOn w:val="DefaultParagraphFont"/>
    <w:rsid w:val="00BE51F2"/>
  </w:style>
  <w:style w:type="paragraph" w:styleId="NormalWeb">
    <w:name w:val="Normal (Web)"/>
    <w:basedOn w:val="Normal"/>
    <w:link w:val="NormalWebChar"/>
    <w:uiPriority w:val="99"/>
    <w:rsid w:val="00BE51F2"/>
    <w:pPr>
      <w:spacing w:before="100" w:beforeAutospacing="1" w:after="100" w:afterAutospacing="1" w:line="240" w:lineRule="auto"/>
    </w:pPr>
    <w:rPr>
      <w:rFonts w:ascii="Times New Roman" w:eastAsia="Times New Roman" w:hAnsi="Times New Roman" w:cs="Times New Roman"/>
      <w:color w:val="333366"/>
      <w:lang w:val="en-US"/>
    </w:rPr>
  </w:style>
  <w:style w:type="character" w:customStyle="1" w:styleId="NormalWebChar">
    <w:name w:val="Normal (Web) Char"/>
    <w:basedOn w:val="DefaultParagraphFont"/>
    <w:link w:val="NormalWeb"/>
    <w:uiPriority w:val="99"/>
    <w:rsid w:val="00BE51F2"/>
    <w:rPr>
      <w:rFonts w:ascii="Times New Roman" w:eastAsia="Times New Roman" w:hAnsi="Times New Roman" w:cs="Times New Roman"/>
      <w:color w:val="333366"/>
      <w:lang w:val="en-US"/>
    </w:rPr>
  </w:style>
  <w:style w:type="paragraph" w:styleId="BodyText">
    <w:name w:val="Body Text"/>
    <w:basedOn w:val="Normal"/>
    <w:link w:val="BodyTextChar"/>
    <w:rsid w:val="00BE51F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E51F2"/>
    <w:rPr>
      <w:rFonts w:ascii="Times New Roman" w:eastAsia="Times New Roman" w:hAnsi="Times New Roman" w:cs="Times New Roman"/>
      <w:sz w:val="24"/>
      <w:szCs w:val="24"/>
    </w:rPr>
  </w:style>
  <w:style w:type="table" w:styleId="LightList">
    <w:name w:val="Light List"/>
    <w:basedOn w:val="TableNormal"/>
    <w:uiPriority w:val="61"/>
    <w:rsid w:val="00BE51F2"/>
    <w:pPr>
      <w:spacing w:after="0" w:line="240" w:lineRule="auto"/>
    </w:pPr>
    <w:rPr>
      <w:rFonts w:eastAsiaTheme="minorEastAsia"/>
      <w:lang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rsid w:val="00BE5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1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s>
</file>

<file path=word/_rels/footnotes.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D7E0ED-A497-4A2D-8213-C9EA9EBFE0C5}" type="doc">
      <dgm:prSet loTypeId="urn:microsoft.com/office/officeart/2005/8/layout/gear1" loCatId="cycle" qsTypeId="urn:microsoft.com/office/officeart/2005/8/quickstyle/simple1" qsCatId="simple" csTypeId="urn:microsoft.com/office/officeart/2005/8/colors/accent1_2" csCatId="accent1" phldr="1"/>
      <dgm:spPr/>
    </dgm:pt>
    <dgm:pt modelId="{284529FF-0273-4B8F-9EA6-4175D7CE7F42}">
      <dgm:prSet phldrT="[Text]"/>
      <dgm:spPr/>
      <dgm:t>
        <a:bodyPr/>
        <a:lstStyle/>
        <a:p>
          <a:r>
            <a:rPr lang="en-AU"/>
            <a:t>Specialised clinic</a:t>
          </a:r>
        </a:p>
      </dgm:t>
    </dgm:pt>
    <dgm:pt modelId="{1410F4BD-20D9-4F79-8B26-441CFE718F72}" type="parTrans" cxnId="{0DEBC293-7F89-410A-9576-9EE7C42AB89D}">
      <dgm:prSet/>
      <dgm:spPr/>
      <dgm:t>
        <a:bodyPr/>
        <a:lstStyle/>
        <a:p>
          <a:endParaRPr lang="en-AU"/>
        </a:p>
      </dgm:t>
    </dgm:pt>
    <dgm:pt modelId="{0F55B60D-3804-4F33-9101-EC6350C89681}" type="sibTrans" cxnId="{0DEBC293-7F89-410A-9576-9EE7C42AB89D}">
      <dgm:prSet/>
      <dgm:spPr/>
      <dgm:t>
        <a:bodyPr/>
        <a:lstStyle/>
        <a:p>
          <a:endParaRPr lang="en-AU"/>
        </a:p>
      </dgm:t>
    </dgm:pt>
    <dgm:pt modelId="{E40DA32C-691C-4A84-8BF6-34834ADBA452}">
      <dgm:prSet phldrT="[Text]"/>
      <dgm:spPr/>
      <dgm:t>
        <a:bodyPr/>
        <a:lstStyle/>
        <a:p>
          <a:r>
            <a:rPr lang="en-AU"/>
            <a:t>GP clinic</a:t>
          </a:r>
        </a:p>
      </dgm:t>
    </dgm:pt>
    <dgm:pt modelId="{D159F0DF-DD1F-4322-A2D1-AA2A12EEAF30}" type="parTrans" cxnId="{702801DB-2603-41F3-8DC7-7CFB5082D381}">
      <dgm:prSet/>
      <dgm:spPr/>
      <dgm:t>
        <a:bodyPr/>
        <a:lstStyle/>
        <a:p>
          <a:endParaRPr lang="en-AU"/>
        </a:p>
      </dgm:t>
    </dgm:pt>
    <dgm:pt modelId="{A7CC145C-4BC5-42DD-B29C-AEE85D30457F}" type="sibTrans" cxnId="{702801DB-2603-41F3-8DC7-7CFB5082D381}">
      <dgm:prSet/>
      <dgm:spPr/>
      <dgm:t>
        <a:bodyPr/>
        <a:lstStyle/>
        <a:p>
          <a:endParaRPr lang="en-AU"/>
        </a:p>
      </dgm:t>
    </dgm:pt>
    <dgm:pt modelId="{0F5F241E-E349-4773-BD84-2FCDF17AB2D2}">
      <dgm:prSet phldrT="[Text]"/>
      <dgm:spPr/>
      <dgm:t>
        <a:bodyPr/>
        <a:lstStyle/>
        <a:p>
          <a:r>
            <a:rPr lang="en-AU"/>
            <a:t>simulation</a:t>
          </a:r>
        </a:p>
      </dgm:t>
    </dgm:pt>
    <dgm:pt modelId="{63366428-5C55-41E6-AAA7-74B798CBA94E}" type="parTrans" cxnId="{903BDF1C-2EB1-4CF5-A2DD-13BBFCEAB409}">
      <dgm:prSet/>
      <dgm:spPr/>
      <dgm:t>
        <a:bodyPr/>
        <a:lstStyle/>
        <a:p>
          <a:endParaRPr lang="en-AU"/>
        </a:p>
      </dgm:t>
    </dgm:pt>
    <dgm:pt modelId="{73E867BF-3B52-4FFD-B69D-38902525880E}" type="sibTrans" cxnId="{903BDF1C-2EB1-4CF5-A2DD-13BBFCEAB409}">
      <dgm:prSet/>
      <dgm:spPr/>
      <dgm:t>
        <a:bodyPr/>
        <a:lstStyle/>
        <a:p>
          <a:endParaRPr lang="en-AU"/>
        </a:p>
      </dgm:t>
    </dgm:pt>
    <dgm:pt modelId="{637B0CD8-26F3-47F6-B6ED-5411CFE71F05}" type="pres">
      <dgm:prSet presAssocID="{67D7E0ED-A497-4A2D-8213-C9EA9EBFE0C5}" presName="composite" presStyleCnt="0">
        <dgm:presLayoutVars>
          <dgm:chMax val="3"/>
          <dgm:animLvl val="lvl"/>
          <dgm:resizeHandles val="exact"/>
        </dgm:presLayoutVars>
      </dgm:prSet>
      <dgm:spPr/>
    </dgm:pt>
    <dgm:pt modelId="{A0616E64-DA40-428D-B6D8-EA989E99CC02}" type="pres">
      <dgm:prSet presAssocID="{284529FF-0273-4B8F-9EA6-4175D7CE7F42}" presName="gear1" presStyleLbl="node1" presStyleIdx="0" presStyleCnt="3" custScaleX="75560" custScaleY="74401">
        <dgm:presLayoutVars>
          <dgm:chMax val="1"/>
          <dgm:bulletEnabled val="1"/>
        </dgm:presLayoutVars>
      </dgm:prSet>
      <dgm:spPr/>
      <dgm:t>
        <a:bodyPr/>
        <a:lstStyle/>
        <a:p>
          <a:endParaRPr lang="en-AU"/>
        </a:p>
      </dgm:t>
    </dgm:pt>
    <dgm:pt modelId="{2FAEE7C5-02ED-46E5-B374-251B23EEC8C6}" type="pres">
      <dgm:prSet presAssocID="{284529FF-0273-4B8F-9EA6-4175D7CE7F42}" presName="gear1srcNode" presStyleLbl="node1" presStyleIdx="0" presStyleCnt="3"/>
      <dgm:spPr/>
      <dgm:t>
        <a:bodyPr/>
        <a:lstStyle/>
        <a:p>
          <a:endParaRPr lang="en-AU"/>
        </a:p>
      </dgm:t>
    </dgm:pt>
    <dgm:pt modelId="{C8708B00-2EA4-4381-B21E-CD266F87EABD}" type="pres">
      <dgm:prSet presAssocID="{284529FF-0273-4B8F-9EA6-4175D7CE7F42}" presName="gear1dstNode" presStyleLbl="node1" presStyleIdx="0" presStyleCnt="3"/>
      <dgm:spPr/>
      <dgm:t>
        <a:bodyPr/>
        <a:lstStyle/>
        <a:p>
          <a:endParaRPr lang="en-AU"/>
        </a:p>
      </dgm:t>
    </dgm:pt>
    <dgm:pt modelId="{2A139309-9ECC-4EB1-950F-607D662788BD}" type="pres">
      <dgm:prSet presAssocID="{E40DA32C-691C-4A84-8BF6-34834ADBA452}" presName="gear2" presStyleLbl="node1" presStyleIdx="1" presStyleCnt="3" custScaleX="141225" custScaleY="140176">
        <dgm:presLayoutVars>
          <dgm:chMax val="1"/>
          <dgm:bulletEnabled val="1"/>
        </dgm:presLayoutVars>
      </dgm:prSet>
      <dgm:spPr/>
      <dgm:t>
        <a:bodyPr/>
        <a:lstStyle/>
        <a:p>
          <a:endParaRPr lang="en-AU"/>
        </a:p>
      </dgm:t>
    </dgm:pt>
    <dgm:pt modelId="{9B9596B4-ED94-401C-9037-1252597AE218}" type="pres">
      <dgm:prSet presAssocID="{E40DA32C-691C-4A84-8BF6-34834ADBA452}" presName="gear2srcNode" presStyleLbl="node1" presStyleIdx="1" presStyleCnt="3"/>
      <dgm:spPr/>
      <dgm:t>
        <a:bodyPr/>
        <a:lstStyle/>
        <a:p>
          <a:endParaRPr lang="en-AU"/>
        </a:p>
      </dgm:t>
    </dgm:pt>
    <dgm:pt modelId="{EC5797BD-7919-41B1-97A4-C5408BDC11F4}" type="pres">
      <dgm:prSet presAssocID="{E40DA32C-691C-4A84-8BF6-34834ADBA452}" presName="gear2dstNode" presStyleLbl="node1" presStyleIdx="1" presStyleCnt="3"/>
      <dgm:spPr/>
      <dgm:t>
        <a:bodyPr/>
        <a:lstStyle/>
        <a:p>
          <a:endParaRPr lang="en-AU"/>
        </a:p>
      </dgm:t>
    </dgm:pt>
    <dgm:pt modelId="{9728ECB4-C37C-42D6-BCD1-A43145D140A3}" type="pres">
      <dgm:prSet presAssocID="{0F5F241E-E349-4773-BD84-2FCDF17AB2D2}" presName="gear3" presStyleLbl="node1" presStyleIdx="2" presStyleCnt="3" custScaleX="81075" custScaleY="81444"/>
      <dgm:spPr/>
      <dgm:t>
        <a:bodyPr/>
        <a:lstStyle/>
        <a:p>
          <a:endParaRPr lang="en-AU"/>
        </a:p>
      </dgm:t>
    </dgm:pt>
    <dgm:pt modelId="{8B30ECEA-0E31-449D-A8C6-F7583C3FB895}" type="pres">
      <dgm:prSet presAssocID="{0F5F241E-E349-4773-BD84-2FCDF17AB2D2}" presName="gear3tx" presStyleLbl="node1" presStyleIdx="2" presStyleCnt="3">
        <dgm:presLayoutVars>
          <dgm:chMax val="1"/>
          <dgm:bulletEnabled val="1"/>
        </dgm:presLayoutVars>
      </dgm:prSet>
      <dgm:spPr/>
      <dgm:t>
        <a:bodyPr/>
        <a:lstStyle/>
        <a:p>
          <a:endParaRPr lang="en-AU"/>
        </a:p>
      </dgm:t>
    </dgm:pt>
    <dgm:pt modelId="{6E1B7AD0-31DE-4F10-A506-F1B406A93873}" type="pres">
      <dgm:prSet presAssocID="{0F5F241E-E349-4773-BD84-2FCDF17AB2D2}" presName="gear3srcNode" presStyleLbl="node1" presStyleIdx="2" presStyleCnt="3"/>
      <dgm:spPr/>
      <dgm:t>
        <a:bodyPr/>
        <a:lstStyle/>
        <a:p>
          <a:endParaRPr lang="en-AU"/>
        </a:p>
      </dgm:t>
    </dgm:pt>
    <dgm:pt modelId="{6387C7DE-165B-4E03-9613-8C5947438A42}" type="pres">
      <dgm:prSet presAssocID="{0F5F241E-E349-4773-BD84-2FCDF17AB2D2}" presName="gear3dstNode" presStyleLbl="node1" presStyleIdx="2" presStyleCnt="3"/>
      <dgm:spPr/>
      <dgm:t>
        <a:bodyPr/>
        <a:lstStyle/>
        <a:p>
          <a:endParaRPr lang="en-AU"/>
        </a:p>
      </dgm:t>
    </dgm:pt>
    <dgm:pt modelId="{D13190DD-C189-4981-8CC9-5FF6FB26D045}" type="pres">
      <dgm:prSet presAssocID="{0F55B60D-3804-4F33-9101-EC6350C89681}" presName="connector1" presStyleLbl="sibTrans2D1" presStyleIdx="0" presStyleCnt="3" custScaleX="74095" custScaleY="79848"/>
      <dgm:spPr/>
      <dgm:t>
        <a:bodyPr/>
        <a:lstStyle/>
        <a:p>
          <a:endParaRPr lang="en-AU"/>
        </a:p>
      </dgm:t>
    </dgm:pt>
    <dgm:pt modelId="{EF616D5F-A7BD-4C55-8B23-61EA54BA57C5}" type="pres">
      <dgm:prSet presAssocID="{A7CC145C-4BC5-42DD-B29C-AEE85D30457F}" presName="connector2" presStyleLbl="sibTrans2D1" presStyleIdx="1" presStyleCnt="3" custLinFactNeighborX="-8645" custLinFactNeighborY="-7315"/>
      <dgm:spPr/>
      <dgm:t>
        <a:bodyPr/>
        <a:lstStyle/>
        <a:p>
          <a:endParaRPr lang="en-AU"/>
        </a:p>
      </dgm:t>
    </dgm:pt>
    <dgm:pt modelId="{ED6A1D43-392B-49F7-A336-5C0CFF2C5E2A}" type="pres">
      <dgm:prSet presAssocID="{73E867BF-3B52-4FFD-B69D-38902525880E}" presName="connector3" presStyleLbl="sibTrans2D1" presStyleIdx="2" presStyleCnt="3" custAng="649131" custLinFactNeighborX="-1851" custLinFactNeighborY="-7401"/>
      <dgm:spPr/>
      <dgm:t>
        <a:bodyPr/>
        <a:lstStyle/>
        <a:p>
          <a:endParaRPr lang="en-AU"/>
        </a:p>
      </dgm:t>
    </dgm:pt>
  </dgm:ptLst>
  <dgm:cxnLst>
    <dgm:cxn modelId="{3FC89DEB-44FF-44BC-B4D0-EC645B42E389}" type="presOf" srcId="{73E867BF-3B52-4FFD-B69D-38902525880E}" destId="{ED6A1D43-392B-49F7-A336-5C0CFF2C5E2A}" srcOrd="0" destOrd="0" presId="urn:microsoft.com/office/officeart/2005/8/layout/gear1"/>
    <dgm:cxn modelId="{AE3CE2F1-EA6E-4CC4-A635-6B91E2CA9A0E}" type="presOf" srcId="{0F55B60D-3804-4F33-9101-EC6350C89681}" destId="{D13190DD-C189-4981-8CC9-5FF6FB26D045}" srcOrd="0" destOrd="0" presId="urn:microsoft.com/office/officeart/2005/8/layout/gear1"/>
    <dgm:cxn modelId="{E82A327D-83F3-4844-9611-AF74FB69FA59}" type="presOf" srcId="{A7CC145C-4BC5-42DD-B29C-AEE85D30457F}" destId="{EF616D5F-A7BD-4C55-8B23-61EA54BA57C5}" srcOrd="0" destOrd="0" presId="urn:microsoft.com/office/officeart/2005/8/layout/gear1"/>
    <dgm:cxn modelId="{E549B94D-7EA8-4F13-82C7-097FC8CB1519}" type="presOf" srcId="{284529FF-0273-4B8F-9EA6-4175D7CE7F42}" destId="{2FAEE7C5-02ED-46E5-B374-251B23EEC8C6}" srcOrd="1" destOrd="0" presId="urn:microsoft.com/office/officeart/2005/8/layout/gear1"/>
    <dgm:cxn modelId="{72E849E8-0FD0-43F9-992B-59B0E26103B4}" type="presOf" srcId="{0F5F241E-E349-4773-BD84-2FCDF17AB2D2}" destId="{6E1B7AD0-31DE-4F10-A506-F1B406A93873}" srcOrd="2" destOrd="0" presId="urn:microsoft.com/office/officeart/2005/8/layout/gear1"/>
    <dgm:cxn modelId="{BC76FDB5-6235-4661-A04A-8F68590ACE0B}" type="presOf" srcId="{E40DA32C-691C-4A84-8BF6-34834ADBA452}" destId="{EC5797BD-7919-41B1-97A4-C5408BDC11F4}" srcOrd="2" destOrd="0" presId="urn:microsoft.com/office/officeart/2005/8/layout/gear1"/>
    <dgm:cxn modelId="{A47E6A0A-4E3E-4DAA-9E8E-A5410D3757F3}" type="presOf" srcId="{284529FF-0273-4B8F-9EA6-4175D7CE7F42}" destId="{A0616E64-DA40-428D-B6D8-EA989E99CC02}" srcOrd="0" destOrd="0" presId="urn:microsoft.com/office/officeart/2005/8/layout/gear1"/>
    <dgm:cxn modelId="{70213246-190A-40DC-A578-002499A1F5BD}" type="presOf" srcId="{0F5F241E-E349-4773-BD84-2FCDF17AB2D2}" destId="{8B30ECEA-0E31-449D-A8C6-F7583C3FB895}" srcOrd="1" destOrd="0" presId="urn:microsoft.com/office/officeart/2005/8/layout/gear1"/>
    <dgm:cxn modelId="{60AF8B6F-5C22-4B6A-84F6-41D45CADC1DC}" type="presOf" srcId="{284529FF-0273-4B8F-9EA6-4175D7CE7F42}" destId="{C8708B00-2EA4-4381-B21E-CD266F87EABD}" srcOrd="2" destOrd="0" presId="urn:microsoft.com/office/officeart/2005/8/layout/gear1"/>
    <dgm:cxn modelId="{330A3AD1-4381-446D-AFF7-8A7FD4DF74A6}" type="presOf" srcId="{E40DA32C-691C-4A84-8BF6-34834ADBA452}" destId="{2A139309-9ECC-4EB1-950F-607D662788BD}" srcOrd="0" destOrd="0" presId="urn:microsoft.com/office/officeart/2005/8/layout/gear1"/>
    <dgm:cxn modelId="{869FC426-DE98-4CD3-BBBA-DE59E34994E4}" type="presOf" srcId="{E40DA32C-691C-4A84-8BF6-34834ADBA452}" destId="{9B9596B4-ED94-401C-9037-1252597AE218}" srcOrd="1" destOrd="0" presId="urn:microsoft.com/office/officeart/2005/8/layout/gear1"/>
    <dgm:cxn modelId="{39D5B95C-3635-4037-A831-106A864EBFDA}" type="presOf" srcId="{0F5F241E-E349-4773-BD84-2FCDF17AB2D2}" destId="{9728ECB4-C37C-42D6-BCD1-A43145D140A3}" srcOrd="0" destOrd="0" presId="urn:microsoft.com/office/officeart/2005/8/layout/gear1"/>
    <dgm:cxn modelId="{CF408369-783D-454C-AC8B-C68EC0AC323D}" type="presOf" srcId="{67D7E0ED-A497-4A2D-8213-C9EA9EBFE0C5}" destId="{637B0CD8-26F3-47F6-B6ED-5411CFE71F05}" srcOrd="0" destOrd="0" presId="urn:microsoft.com/office/officeart/2005/8/layout/gear1"/>
    <dgm:cxn modelId="{0DEBC293-7F89-410A-9576-9EE7C42AB89D}" srcId="{67D7E0ED-A497-4A2D-8213-C9EA9EBFE0C5}" destId="{284529FF-0273-4B8F-9EA6-4175D7CE7F42}" srcOrd="0" destOrd="0" parTransId="{1410F4BD-20D9-4F79-8B26-441CFE718F72}" sibTransId="{0F55B60D-3804-4F33-9101-EC6350C89681}"/>
    <dgm:cxn modelId="{702801DB-2603-41F3-8DC7-7CFB5082D381}" srcId="{67D7E0ED-A497-4A2D-8213-C9EA9EBFE0C5}" destId="{E40DA32C-691C-4A84-8BF6-34834ADBA452}" srcOrd="1" destOrd="0" parTransId="{D159F0DF-DD1F-4322-A2D1-AA2A12EEAF30}" sibTransId="{A7CC145C-4BC5-42DD-B29C-AEE85D30457F}"/>
    <dgm:cxn modelId="{903BDF1C-2EB1-4CF5-A2DD-13BBFCEAB409}" srcId="{67D7E0ED-A497-4A2D-8213-C9EA9EBFE0C5}" destId="{0F5F241E-E349-4773-BD84-2FCDF17AB2D2}" srcOrd="2" destOrd="0" parTransId="{63366428-5C55-41E6-AAA7-74B798CBA94E}" sibTransId="{73E867BF-3B52-4FFD-B69D-38902525880E}"/>
    <dgm:cxn modelId="{02FBB9F1-D5C9-4E31-9673-890FC4B996F0}" type="presOf" srcId="{0F5F241E-E349-4773-BD84-2FCDF17AB2D2}" destId="{6387C7DE-165B-4E03-9613-8C5947438A42}" srcOrd="3" destOrd="0" presId="urn:microsoft.com/office/officeart/2005/8/layout/gear1"/>
    <dgm:cxn modelId="{B01541C6-CBC7-4D2B-BC26-7E336FD48BC4}" type="presParOf" srcId="{637B0CD8-26F3-47F6-B6ED-5411CFE71F05}" destId="{A0616E64-DA40-428D-B6D8-EA989E99CC02}" srcOrd="0" destOrd="0" presId="urn:microsoft.com/office/officeart/2005/8/layout/gear1"/>
    <dgm:cxn modelId="{5807E1DD-8AA9-4B36-9F8E-178628110D5C}" type="presParOf" srcId="{637B0CD8-26F3-47F6-B6ED-5411CFE71F05}" destId="{2FAEE7C5-02ED-46E5-B374-251B23EEC8C6}" srcOrd="1" destOrd="0" presId="urn:microsoft.com/office/officeart/2005/8/layout/gear1"/>
    <dgm:cxn modelId="{460D8C01-584B-4A71-8A46-99D7857642D5}" type="presParOf" srcId="{637B0CD8-26F3-47F6-B6ED-5411CFE71F05}" destId="{C8708B00-2EA4-4381-B21E-CD266F87EABD}" srcOrd="2" destOrd="0" presId="urn:microsoft.com/office/officeart/2005/8/layout/gear1"/>
    <dgm:cxn modelId="{AD6A3A20-0ACE-429C-B1A2-E5551074A47B}" type="presParOf" srcId="{637B0CD8-26F3-47F6-B6ED-5411CFE71F05}" destId="{2A139309-9ECC-4EB1-950F-607D662788BD}" srcOrd="3" destOrd="0" presId="urn:microsoft.com/office/officeart/2005/8/layout/gear1"/>
    <dgm:cxn modelId="{31677414-9CAB-4C5A-9931-A5FC9C0A0177}" type="presParOf" srcId="{637B0CD8-26F3-47F6-B6ED-5411CFE71F05}" destId="{9B9596B4-ED94-401C-9037-1252597AE218}" srcOrd="4" destOrd="0" presId="urn:microsoft.com/office/officeart/2005/8/layout/gear1"/>
    <dgm:cxn modelId="{264466B4-3632-494A-BA45-2106C48FF2F5}" type="presParOf" srcId="{637B0CD8-26F3-47F6-B6ED-5411CFE71F05}" destId="{EC5797BD-7919-41B1-97A4-C5408BDC11F4}" srcOrd="5" destOrd="0" presId="urn:microsoft.com/office/officeart/2005/8/layout/gear1"/>
    <dgm:cxn modelId="{83104850-4CA0-491D-8FC4-E4B2CD2E3327}" type="presParOf" srcId="{637B0CD8-26F3-47F6-B6ED-5411CFE71F05}" destId="{9728ECB4-C37C-42D6-BCD1-A43145D140A3}" srcOrd="6" destOrd="0" presId="urn:microsoft.com/office/officeart/2005/8/layout/gear1"/>
    <dgm:cxn modelId="{20DE8947-7938-4BFB-BCE3-E1722A523AF0}" type="presParOf" srcId="{637B0CD8-26F3-47F6-B6ED-5411CFE71F05}" destId="{8B30ECEA-0E31-449D-A8C6-F7583C3FB895}" srcOrd="7" destOrd="0" presId="urn:microsoft.com/office/officeart/2005/8/layout/gear1"/>
    <dgm:cxn modelId="{9F517DE3-6C9E-4A18-BBAF-75FE1E678A1C}" type="presParOf" srcId="{637B0CD8-26F3-47F6-B6ED-5411CFE71F05}" destId="{6E1B7AD0-31DE-4F10-A506-F1B406A93873}" srcOrd="8" destOrd="0" presId="urn:microsoft.com/office/officeart/2005/8/layout/gear1"/>
    <dgm:cxn modelId="{F0DF29D7-F184-49AF-A719-6B013464A4C6}" type="presParOf" srcId="{637B0CD8-26F3-47F6-B6ED-5411CFE71F05}" destId="{6387C7DE-165B-4E03-9613-8C5947438A42}" srcOrd="9" destOrd="0" presId="urn:microsoft.com/office/officeart/2005/8/layout/gear1"/>
    <dgm:cxn modelId="{0EDB2589-FBA5-4AB9-958C-770193C6F181}" type="presParOf" srcId="{637B0CD8-26F3-47F6-B6ED-5411CFE71F05}" destId="{D13190DD-C189-4981-8CC9-5FF6FB26D045}" srcOrd="10" destOrd="0" presId="urn:microsoft.com/office/officeart/2005/8/layout/gear1"/>
    <dgm:cxn modelId="{DA47276E-2807-4526-8AE4-BD1C608490DD}" type="presParOf" srcId="{637B0CD8-26F3-47F6-B6ED-5411CFE71F05}" destId="{EF616D5F-A7BD-4C55-8B23-61EA54BA57C5}" srcOrd="11" destOrd="0" presId="urn:microsoft.com/office/officeart/2005/8/layout/gear1"/>
    <dgm:cxn modelId="{F2CB7671-2CFD-4D8D-B8E1-3D05EF0EFE27}" type="presParOf" srcId="{637B0CD8-26F3-47F6-B6ED-5411CFE71F05}" destId="{ED6A1D43-392B-49F7-A336-5C0CFF2C5E2A}" srcOrd="12" destOrd="0" presId="urn:microsoft.com/office/officeart/2005/8/layout/gear1"/>
  </dgm:cxnLst>
  <dgm:bg>
    <a:solidFill>
      <a:schemeClr val="bg1">
        <a:lumMod val="85000"/>
      </a:schemeClr>
    </a:solidFill>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8752422-616B-48E4-8BF1-ED4F365CFBB0}" type="doc">
      <dgm:prSet loTypeId="urn:microsoft.com/office/officeart/2005/8/layout/arrow2" loCatId="process" qsTypeId="urn:microsoft.com/office/officeart/2005/8/quickstyle/simple1" qsCatId="simple" csTypeId="urn:microsoft.com/office/officeart/2005/8/colors/accent1_2" csCatId="accent1" phldr="1"/>
      <dgm:spPr/>
    </dgm:pt>
    <dgm:pt modelId="{C0AFFDDF-6BA0-445B-9E19-16A9696E26E6}">
      <dgm:prSet phldrT="[Text]"/>
      <dgm:spPr/>
      <dgm:t>
        <a:bodyPr/>
        <a:lstStyle/>
        <a:p>
          <a:r>
            <a:rPr lang="en-AU"/>
            <a:t>one specialised externship graduate</a:t>
          </a:r>
        </a:p>
      </dgm:t>
    </dgm:pt>
    <dgm:pt modelId="{096D4849-4D72-4BF1-91C8-A9EC2887558C}" type="parTrans" cxnId="{F38D442A-7850-436A-9D38-E211066A94F0}">
      <dgm:prSet/>
      <dgm:spPr/>
      <dgm:t>
        <a:bodyPr/>
        <a:lstStyle/>
        <a:p>
          <a:endParaRPr lang="en-AU"/>
        </a:p>
      </dgm:t>
    </dgm:pt>
    <dgm:pt modelId="{7DDDAF4E-35F7-4945-9056-464931B031A1}" type="sibTrans" cxnId="{F38D442A-7850-436A-9D38-E211066A94F0}">
      <dgm:prSet/>
      <dgm:spPr/>
      <dgm:t>
        <a:bodyPr/>
        <a:lstStyle/>
        <a:p>
          <a:endParaRPr lang="en-AU"/>
        </a:p>
      </dgm:t>
    </dgm:pt>
    <dgm:pt modelId="{1A0A6175-A469-46F7-9436-CF11000F97F3}">
      <dgm:prSet phldrT="[Text]"/>
      <dgm:spPr/>
      <dgm:t>
        <a:bodyPr/>
        <a:lstStyle/>
        <a:p>
          <a:r>
            <a:rPr lang="en-AU"/>
            <a:t>encourages their supervisor to welcome more students.</a:t>
          </a:r>
        </a:p>
      </dgm:t>
    </dgm:pt>
    <dgm:pt modelId="{271B08FD-EBA0-4CF8-A120-88980C7A1460}" type="parTrans" cxnId="{80594038-A5D3-46A6-92BE-8266797404A7}">
      <dgm:prSet/>
      <dgm:spPr/>
      <dgm:t>
        <a:bodyPr/>
        <a:lstStyle/>
        <a:p>
          <a:endParaRPr lang="en-AU"/>
        </a:p>
      </dgm:t>
    </dgm:pt>
    <dgm:pt modelId="{0D87C0AA-4B17-420E-88FB-56AEA63869AF}" type="sibTrans" cxnId="{80594038-A5D3-46A6-92BE-8266797404A7}">
      <dgm:prSet/>
      <dgm:spPr/>
      <dgm:t>
        <a:bodyPr/>
        <a:lstStyle/>
        <a:p>
          <a:endParaRPr lang="en-AU"/>
        </a:p>
      </dgm:t>
    </dgm:pt>
    <dgm:pt modelId="{5F584707-F172-419D-B207-09CE36E4A74D}">
      <dgm:prSet phldrT="[Text]"/>
      <dgm:spPr/>
      <dgm:t>
        <a:bodyPr/>
        <a:lstStyle/>
        <a:p>
          <a:r>
            <a:rPr lang="en-AU"/>
            <a:t>the specialised externship expands and generates good will for students and the objectives of the NGO  or law firm.</a:t>
          </a:r>
        </a:p>
      </dgm:t>
    </dgm:pt>
    <dgm:pt modelId="{EC7A1A4C-1927-444B-B2E3-16E60C8BFA0B}" type="parTrans" cxnId="{CA73D49F-4D4C-4142-B83A-7B3E18A90E48}">
      <dgm:prSet/>
      <dgm:spPr/>
      <dgm:t>
        <a:bodyPr/>
        <a:lstStyle/>
        <a:p>
          <a:endParaRPr lang="en-AU"/>
        </a:p>
      </dgm:t>
    </dgm:pt>
    <dgm:pt modelId="{3F0FCFA9-8B86-4694-9E97-C6AAAE2880E3}" type="sibTrans" cxnId="{CA73D49F-4D4C-4142-B83A-7B3E18A90E48}">
      <dgm:prSet/>
      <dgm:spPr/>
      <dgm:t>
        <a:bodyPr/>
        <a:lstStyle/>
        <a:p>
          <a:endParaRPr lang="en-AU"/>
        </a:p>
      </dgm:t>
    </dgm:pt>
    <dgm:pt modelId="{C75A6927-4B2C-490E-A20F-18B423C3A237}" type="pres">
      <dgm:prSet presAssocID="{28752422-616B-48E4-8BF1-ED4F365CFBB0}" presName="arrowDiagram" presStyleCnt="0">
        <dgm:presLayoutVars>
          <dgm:chMax val="5"/>
          <dgm:dir/>
          <dgm:resizeHandles val="exact"/>
        </dgm:presLayoutVars>
      </dgm:prSet>
      <dgm:spPr/>
    </dgm:pt>
    <dgm:pt modelId="{DB80D60F-A0CB-4A69-BBFD-8001C70B2896}" type="pres">
      <dgm:prSet presAssocID="{28752422-616B-48E4-8BF1-ED4F365CFBB0}" presName="arrow" presStyleLbl="bgShp" presStyleIdx="0" presStyleCnt="1"/>
      <dgm:spPr/>
    </dgm:pt>
    <dgm:pt modelId="{D719F96E-F928-4084-9794-FF4A32E2A204}" type="pres">
      <dgm:prSet presAssocID="{28752422-616B-48E4-8BF1-ED4F365CFBB0}" presName="arrowDiagram3" presStyleCnt="0"/>
      <dgm:spPr/>
    </dgm:pt>
    <dgm:pt modelId="{ED1DD4E1-6EE0-4C46-A07B-0E01EFC8891D}" type="pres">
      <dgm:prSet presAssocID="{C0AFFDDF-6BA0-445B-9E19-16A9696E26E6}" presName="bullet3a" presStyleLbl="node1" presStyleIdx="0" presStyleCnt="3"/>
      <dgm:spPr/>
    </dgm:pt>
    <dgm:pt modelId="{54C59178-4369-4BF6-A7D7-756DE998D9E7}" type="pres">
      <dgm:prSet presAssocID="{C0AFFDDF-6BA0-445B-9E19-16A9696E26E6}" presName="textBox3a" presStyleLbl="revTx" presStyleIdx="0" presStyleCnt="3">
        <dgm:presLayoutVars>
          <dgm:bulletEnabled val="1"/>
        </dgm:presLayoutVars>
      </dgm:prSet>
      <dgm:spPr/>
      <dgm:t>
        <a:bodyPr/>
        <a:lstStyle/>
        <a:p>
          <a:endParaRPr lang="en-AU"/>
        </a:p>
      </dgm:t>
    </dgm:pt>
    <dgm:pt modelId="{D5E7C80A-7FE2-41B4-949D-D97E2083648E}" type="pres">
      <dgm:prSet presAssocID="{1A0A6175-A469-46F7-9436-CF11000F97F3}" presName="bullet3b" presStyleLbl="node1" presStyleIdx="1" presStyleCnt="3"/>
      <dgm:spPr/>
    </dgm:pt>
    <dgm:pt modelId="{043EF259-2D3B-40C5-8770-0E54185E5D03}" type="pres">
      <dgm:prSet presAssocID="{1A0A6175-A469-46F7-9436-CF11000F97F3}" presName="textBox3b" presStyleLbl="revTx" presStyleIdx="1" presStyleCnt="3">
        <dgm:presLayoutVars>
          <dgm:bulletEnabled val="1"/>
        </dgm:presLayoutVars>
      </dgm:prSet>
      <dgm:spPr/>
      <dgm:t>
        <a:bodyPr/>
        <a:lstStyle/>
        <a:p>
          <a:endParaRPr lang="en-AU"/>
        </a:p>
      </dgm:t>
    </dgm:pt>
    <dgm:pt modelId="{BBEDFBE2-0EC7-429B-B464-CDC9B7EA00CD}" type="pres">
      <dgm:prSet presAssocID="{5F584707-F172-419D-B207-09CE36E4A74D}" presName="bullet3c" presStyleLbl="node1" presStyleIdx="2" presStyleCnt="3"/>
      <dgm:spPr/>
    </dgm:pt>
    <dgm:pt modelId="{A84DDEB1-D4CE-4807-A8FB-9092EDDF8438}" type="pres">
      <dgm:prSet presAssocID="{5F584707-F172-419D-B207-09CE36E4A74D}" presName="textBox3c" presStyleLbl="revTx" presStyleIdx="2" presStyleCnt="3" custScaleX="136476" custScaleY="77375">
        <dgm:presLayoutVars>
          <dgm:bulletEnabled val="1"/>
        </dgm:presLayoutVars>
      </dgm:prSet>
      <dgm:spPr/>
      <dgm:t>
        <a:bodyPr/>
        <a:lstStyle/>
        <a:p>
          <a:endParaRPr lang="en-AU"/>
        </a:p>
      </dgm:t>
    </dgm:pt>
  </dgm:ptLst>
  <dgm:cxnLst>
    <dgm:cxn modelId="{9D8B5119-1CA6-4487-B7F5-F152E170BECD}" type="presOf" srcId="{1A0A6175-A469-46F7-9436-CF11000F97F3}" destId="{043EF259-2D3B-40C5-8770-0E54185E5D03}" srcOrd="0" destOrd="0" presId="urn:microsoft.com/office/officeart/2005/8/layout/arrow2"/>
    <dgm:cxn modelId="{CA73D49F-4D4C-4142-B83A-7B3E18A90E48}" srcId="{28752422-616B-48E4-8BF1-ED4F365CFBB0}" destId="{5F584707-F172-419D-B207-09CE36E4A74D}" srcOrd="2" destOrd="0" parTransId="{EC7A1A4C-1927-444B-B2E3-16E60C8BFA0B}" sibTransId="{3F0FCFA9-8B86-4694-9E97-C6AAAE2880E3}"/>
    <dgm:cxn modelId="{4CCF32D6-2559-4426-AEF4-2A5BA8737283}" type="presOf" srcId="{5F584707-F172-419D-B207-09CE36E4A74D}" destId="{A84DDEB1-D4CE-4807-A8FB-9092EDDF8438}" srcOrd="0" destOrd="0" presId="urn:microsoft.com/office/officeart/2005/8/layout/arrow2"/>
    <dgm:cxn modelId="{35FAFBB0-9580-4502-BE17-71669505EB26}" type="presOf" srcId="{C0AFFDDF-6BA0-445B-9E19-16A9696E26E6}" destId="{54C59178-4369-4BF6-A7D7-756DE998D9E7}" srcOrd="0" destOrd="0" presId="urn:microsoft.com/office/officeart/2005/8/layout/arrow2"/>
    <dgm:cxn modelId="{F38D442A-7850-436A-9D38-E211066A94F0}" srcId="{28752422-616B-48E4-8BF1-ED4F365CFBB0}" destId="{C0AFFDDF-6BA0-445B-9E19-16A9696E26E6}" srcOrd="0" destOrd="0" parTransId="{096D4849-4D72-4BF1-91C8-A9EC2887558C}" sibTransId="{7DDDAF4E-35F7-4945-9056-464931B031A1}"/>
    <dgm:cxn modelId="{80594038-A5D3-46A6-92BE-8266797404A7}" srcId="{28752422-616B-48E4-8BF1-ED4F365CFBB0}" destId="{1A0A6175-A469-46F7-9436-CF11000F97F3}" srcOrd="1" destOrd="0" parTransId="{271B08FD-EBA0-4CF8-A120-88980C7A1460}" sibTransId="{0D87C0AA-4B17-420E-88FB-56AEA63869AF}"/>
    <dgm:cxn modelId="{11D613AE-2134-4148-BAFE-3459678E7646}" type="presOf" srcId="{28752422-616B-48E4-8BF1-ED4F365CFBB0}" destId="{C75A6927-4B2C-490E-A20F-18B423C3A237}" srcOrd="0" destOrd="0" presId="urn:microsoft.com/office/officeart/2005/8/layout/arrow2"/>
    <dgm:cxn modelId="{99588166-2A54-4E6A-BFF5-A203EB0E668D}" type="presParOf" srcId="{C75A6927-4B2C-490E-A20F-18B423C3A237}" destId="{DB80D60F-A0CB-4A69-BBFD-8001C70B2896}" srcOrd="0" destOrd="0" presId="urn:microsoft.com/office/officeart/2005/8/layout/arrow2"/>
    <dgm:cxn modelId="{C2AFDBEF-B29D-4892-9E83-CADC1465CDE6}" type="presParOf" srcId="{C75A6927-4B2C-490E-A20F-18B423C3A237}" destId="{D719F96E-F928-4084-9794-FF4A32E2A204}" srcOrd="1" destOrd="0" presId="urn:microsoft.com/office/officeart/2005/8/layout/arrow2"/>
    <dgm:cxn modelId="{32685A46-D1A9-4D5E-85F2-3478FC6DDD4E}" type="presParOf" srcId="{D719F96E-F928-4084-9794-FF4A32E2A204}" destId="{ED1DD4E1-6EE0-4C46-A07B-0E01EFC8891D}" srcOrd="0" destOrd="0" presId="urn:microsoft.com/office/officeart/2005/8/layout/arrow2"/>
    <dgm:cxn modelId="{D628C432-B669-4FE9-A82D-48E3BE48DF3B}" type="presParOf" srcId="{D719F96E-F928-4084-9794-FF4A32E2A204}" destId="{54C59178-4369-4BF6-A7D7-756DE998D9E7}" srcOrd="1" destOrd="0" presId="urn:microsoft.com/office/officeart/2005/8/layout/arrow2"/>
    <dgm:cxn modelId="{3B85870B-BF98-4AB8-B337-3F9ECEA4476E}" type="presParOf" srcId="{D719F96E-F928-4084-9794-FF4A32E2A204}" destId="{D5E7C80A-7FE2-41B4-949D-D97E2083648E}" srcOrd="2" destOrd="0" presId="urn:microsoft.com/office/officeart/2005/8/layout/arrow2"/>
    <dgm:cxn modelId="{A550FBC6-EFD1-4AC3-8146-8B92B825E951}" type="presParOf" srcId="{D719F96E-F928-4084-9794-FF4A32E2A204}" destId="{043EF259-2D3B-40C5-8770-0E54185E5D03}" srcOrd="3" destOrd="0" presId="urn:microsoft.com/office/officeart/2005/8/layout/arrow2"/>
    <dgm:cxn modelId="{E649D959-3D45-458E-BD92-FF0A4A8A40A5}" type="presParOf" srcId="{D719F96E-F928-4084-9794-FF4A32E2A204}" destId="{BBEDFBE2-0EC7-429B-B464-CDC9B7EA00CD}" srcOrd="4" destOrd="0" presId="urn:microsoft.com/office/officeart/2005/8/layout/arrow2"/>
    <dgm:cxn modelId="{BCFF1D45-8DCB-4A96-A8C8-1CECFB3642DB}" type="presParOf" srcId="{D719F96E-F928-4084-9794-FF4A32E2A204}" destId="{A84DDEB1-D4CE-4807-A8FB-9092EDDF8438}" srcOrd="5" destOrd="0" presId="urn:microsoft.com/office/officeart/2005/8/layout/arrow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616E64-DA40-428D-B6D8-EA989E99CC02}">
      <dsp:nvSpPr>
        <dsp:cNvPr id="0" name=""/>
        <dsp:cNvSpPr/>
      </dsp:nvSpPr>
      <dsp:spPr>
        <a:xfrm>
          <a:off x="2830282" y="1727489"/>
          <a:ext cx="1330022" cy="1309621"/>
        </a:xfrm>
        <a:prstGeom prst="gear9">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AU" sz="1000" kern="1200"/>
            <a:t>Specialised clinic</a:t>
          </a:r>
        </a:p>
      </dsp:txBody>
      <dsp:txXfrm>
        <a:off x="3096151" y="2034261"/>
        <a:ext cx="798284" cy="673173"/>
      </dsp:txXfrm>
    </dsp:sp>
    <dsp:sp modelId="{2A139309-9ECC-4EB1-950F-607D662788BD}">
      <dsp:nvSpPr>
        <dsp:cNvPr id="0" name=""/>
        <dsp:cNvSpPr/>
      </dsp:nvSpPr>
      <dsp:spPr>
        <a:xfrm>
          <a:off x="1327183" y="828979"/>
          <a:ext cx="1807905" cy="1794477"/>
        </a:xfrm>
        <a:prstGeom prst="gear6">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AU" sz="1000" kern="1200"/>
            <a:t>GP clinic</a:t>
          </a:r>
        </a:p>
      </dsp:txBody>
      <dsp:txXfrm>
        <a:off x="1780900" y="1283474"/>
        <a:ext cx="900471" cy="885487"/>
      </dsp:txXfrm>
    </dsp:sp>
    <dsp:sp modelId="{9728ECB4-C37C-42D6-BCD1-A43145D140A3}">
      <dsp:nvSpPr>
        <dsp:cNvPr id="0" name=""/>
        <dsp:cNvSpPr/>
      </dsp:nvSpPr>
      <dsp:spPr>
        <a:xfrm rot="20700000">
          <a:off x="2427611" y="318484"/>
          <a:ext cx="1015225" cy="1023242"/>
        </a:xfrm>
        <a:prstGeom prst="gear6">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AU" sz="1000" kern="1200"/>
            <a:t>simulation</a:t>
          </a:r>
        </a:p>
      </dsp:txBody>
      <dsp:txXfrm rot="-20700000">
        <a:off x="2649804" y="543387"/>
        <a:ext cx="570839" cy="573437"/>
      </dsp:txXfrm>
    </dsp:sp>
    <dsp:sp modelId="{D13190DD-C189-4981-8CC9-5FF6FB26D045}">
      <dsp:nvSpPr>
        <dsp:cNvPr id="0" name=""/>
        <dsp:cNvSpPr/>
      </dsp:nvSpPr>
      <dsp:spPr>
        <a:xfrm>
          <a:off x="2761065" y="1469571"/>
          <a:ext cx="1669420" cy="1799040"/>
        </a:xfrm>
        <a:prstGeom prst="circularArrow">
          <a:avLst>
            <a:gd name="adj1" fmla="val 4687"/>
            <a:gd name="adj2" fmla="val 299029"/>
            <a:gd name="adj3" fmla="val 2486671"/>
            <a:gd name="adj4" fmla="val 15926341"/>
            <a:gd name="adj5" fmla="val 546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F616D5F-A7BD-4C55-8B23-61EA54BA57C5}">
      <dsp:nvSpPr>
        <dsp:cNvPr id="0" name=""/>
        <dsp:cNvSpPr/>
      </dsp:nvSpPr>
      <dsp:spPr>
        <a:xfrm>
          <a:off x="1222823" y="687405"/>
          <a:ext cx="1637004" cy="1637004"/>
        </a:xfrm>
        <a:prstGeom prst="leftCircularArrow">
          <a:avLst>
            <a:gd name="adj1" fmla="val 6452"/>
            <a:gd name="adj2" fmla="val 429999"/>
            <a:gd name="adj3" fmla="val 10489124"/>
            <a:gd name="adj4" fmla="val 14837806"/>
            <a:gd name="adj5" fmla="val 7527"/>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D6A1D43-392B-49F7-A336-5C0CFF2C5E2A}">
      <dsp:nvSpPr>
        <dsp:cNvPr id="0" name=""/>
        <dsp:cNvSpPr/>
      </dsp:nvSpPr>
      <dsp:spPr>
        <a:xfrm rot="649131">
          <a:off x="1985274" y="-198143"/>
          <a:ext cx="1765020" cy="1765020"/>
        </a:xfrm>
        <a:prstGeom prst="circularArrow">
          <a:avLst>
            <a:gd name="adj1" fmla="val 5984"/>
            <a:gd name="adj2" fmla="val 394124"/>
            <a:gd name="adj3" fmla="val 13313824"/>
            <a:gd name="adj4" fmla="val 10508221"/>
            <a:gd name="adj5" fmla="val 698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80D60F-A0CB-4A69-BBFD-8001C70B2896}">
      <dsp:nvSpPr>
        <dsp:cNvPr id="0" name=""/>
        <dsp:cNvSpPr/>
      </dsp:nvSpPr>
      <dsp:spPr>
        <a:xfrm>
          <a:off x="1170719" y="0"/>
          <a:ext cx="3144960" cy="1965600"/>
        </a:xfrm>
        <a:prstGeom prst="swooshArrow">
          <a:avLst>
            <a:gd name="adj1" fmla="val 25000"/>
            <a:gd name="adj2" fmla="val 25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ED1DD4E1-6EE0-4C46-A07B-0E01EFC8891D}">
      <dsp:nvSpPr>
        <dsp:cNvPr id="0" name=""/>
        <dsp:cNvSpPr/>
      </dsp:nvSpPr>
      <dsp:spPr>
        <a:xfrm>
          <a:off x="1570129" y="1356657"/>
          <a:ext cx="81768" cy="8176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4C59178-4369-4BF6-A7D7-756DE998D9E7}">
      <dsp:nvSpPr>
        <dsp:cNvPr id="0" name=""/>
        <dsp:cNvSpPr/>
      </dsp:nvSpPr>
      <dsp:spPr>
        <a:xfrm>
          <a:off x="1611014" y="1397541"/>
          <a:ext cx="732775" cy="56805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3328" tIns="0" rIns="0" bIns="0" numCol="1" spcCol="1270" anchor="t" anchorCtr="0">
          <a:noAutofit/>
        </a:bodyPr>
        <a:lstStyle/>
        <a:p>
          <a:pPr lvl="0" algn="l" defTabSz="400050">
            <a:lnSpc>
              <a:spcPct val="90000"/>
            </a:lnSpc>
            <a:spcBef>
              <a:spcPct val="0"/>
            </a:spcBef>
            <a:spcAft>
              <a:spcPct val="35000"/>
            </a:spcAft>
          </a:pPr>
          <a:r>
            <a:rPr lang="en-AU" sz="900" kern="1200"/>
            <a:t>one specialised externship graduate</a:t>
          </a:r>
        </a:p>
      </dsp:txBody>
      <dsp:txXfrm>
        <a:off x="1611014" y="1397541"/>
        <a:ext cx="732775" cy="568058"/>
      </dsp:txXfrm>
    </dsp:sp>
    <dsp:sp modelId="{D5E7C80A-7FE2-41B4-949D-D97E2083648E}">
      <dsp:nvSpPr>
        <dsp:cNvPr id="0" name=""/>
        <dsp:cNvSpPr/>
      </dsp:nvSpPr>
      <dsp:spPr>
        <a:xfrm>
          <a:off x="2291898" y="822407"/>
          <a:ext cx="147813" cy="14781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43EF259-2D3B-40C5-8770-0E54185E5D03}">
      <dsp:nvSpPr>
        <dsp:cNvPr id="0" name=""/>
        <dsp:cNvSpPr/>
      </dsp:nvSpPr>
      <dsp:spPr>
        <a:xfrm>
          <a:off x="2365804" y="896313"/>
          <a:ext cx="754790" cy="106928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323" tIns="0" rIns="0" bIns="0" numCol="1" spcCol="1270" anchor="t" anchorCtr="0">
          <a:noAutofit/>
        </a:bodyPr>
        <a:lstStyle/>
        <a:p>
          <a:pPr lvl="0" algn="l" defTabSz="400050">
            <a:lnSpc>
              <a:spcPct val="90000"/>
            </a:lnSpc>
            <a:spcBef>
              <a:spcPct val="0"/>
            </a:spcBef>
            <a:spcAft>
              <a:spcPct val="35000"/>
            </a:spcAft>
          </a:pPr>
          <a:r>
            <a:rPr lang="en-AU" sz="900" kern="1200"/>
            <a:t>encourages their supervisor to welcome more students.</a:t>
          </a:r>
        </a:p>
      </dsp:txBody>
      <dsp:txXfrm>
        <a:off x="2365804" y="896313"/>
        <a:ext cx="754790" cy="1069286"/>
      </dsp:txXfrm>
    </dsp:sp>
    <dsp:sp modelId="{BBEDFBE2-0EC7-429B-B464-CDC9B7EA00CD}">
      <dsp:nvSpPr>
        <dsp:cNvPr id="0" name=""/>
        <dsp:cNvSpPr/>
      </dsp:nvSpPr>
      <dsp:spPr>
        <a:xfrm>
          <a:off x="3159907" y="497296"/>
          <a:ext cx="204422" cy="20442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84DDEB1-D4CE-4807-A8FB-9092EDDF8438}">
      <dsp:nvSpPr>
        <dsp:cNvPr id="0" name=""/>
        <dsp:cNvSpPr/>
      </dsp:nvSpPr>
      <dsp:spPr>
        <a:xfrm>
          <a:off x="3124459" y="754047"/>
          <a:ext cx="1030107" cy="105701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8319" tIns="0" rIns="0" bIns="0" numCol="1" spcCol="1270" anchor="t" anchorCtr="0">
          <a:noAutofit/>
        </a:bodyPr>
        <a:lstStyle/>
        <a:p>
          <a:pPr lvl="0" algn="l" defTabSz="400050">
            <a:lnSpc>
              <a:spcPct val="90000"/>
            </a:lnSpc>
            <a:spcBef>
              <a:spcPct val="0"/>
            </a:spcBef>
            <a:spcAft>
              <a:spcPct val="35000"/>
            </a:spcAft>
          </a:pPr>
          <a:r>
            <a:rPr lang="en-AU" sz="900" kern="1200"/>
            <a:t>the specialised externship expands and generates good will for students and the objectives of the NGO  or law firm.</a:t>
          </a:r>
        </a:p>
      </dsp:txBody>
      <dsp:txXfrm>
        <a:off x="3124459" y="754047"/>
        <a:ext cx="1030107" cy="1057013"/>
      </dsp:txXfrm>
    </dsp:sp>
  </dsp:spTree>
</dsp:drawing>
</file>

<file path=word/diagrams/layout1.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0EFEC-DEF8-4D89-9876-E155850B3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6277</Words>
  <Characters>35784</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Paul Burns</cp:lastModifiedBy>
  <cp:revision>2</cp:revision>
  <dcterms:created xsi:type="dcterms:W3CDTF">2015-07-14T09:03:00Z</dcterms:created>
  <dcterms:modified xsi:type="dcterms:W3CDTF">2015-07-14T09:03:00Z</dcterms:modified>
</cp:coreProperties>
</file>