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EA" w:rsidRPr="003643FF" w:rsidRDefault="002C5E0F">
      <w:pPr>
        <w:pStyle w:val="Body"/>
        <w:jc w:val="both"/>
        <w:rPr>
          <w:rFonts w:ascii="Palatino Linotype" w:hAnsi="Palatino Linotype" w:cs="Times New Roman"/>
          <w:b/>
          <w:bCs/>
          <w:i/>
          <w:iCs/>
          <w:sz w:val="28"/>
          <w:szCs w:val="24"/>
          <w:lang w:val="en-GB"/>
        </w:rPr>
      </w:pPr>
      <w:r w:rsidRPr="003643FF">
        <w:rPr>
          <w:rFonts w:ascii="Palatino Linotype" w:hAnsi="Palatino Linotype" w:cs="Times New Roman"/>
          <w:b/>
          <w:bCs/>
          <w:i/>
          <w:iCs/>
          <w:sz w:val="28"/>
          <w:szCs w:val="24"/>
          <w:lang w:val="en-GB"/>
        </w:rPr>
        <w:t>From the Field</w:t>
      </w:r>
    </w:p>
    <w:p w:rsidR="003643FF" w:rsidRPr="003643FF" w:rsidRDefault="003643FF" w:rsidP="003643FF">
      <w:pPr>
        <w:pStyle w:val="Body"/>
        <w:spacing w:line="480" w:lineRule="auto"/>
        <w:jc w:val="both"/>
        <w:rPr>
          <w:rFonts w:ascii="Palatino Linotype" w:hAnsi="Palatino Linotype" w:cs="Times New Roman"/>
          <w:b/>
          <w:bCs/>
          <w:sz w:val="28"/>
          <w:szCs w:val="28"/>
          <w:lang w:val="en-GB"/>
        </w:rPr>
      </w:pPr>
    </w:p>
    <w:p w:rsidR="000A7CEA" w:rsidRPr="003643FF" w:rsidRDefault="003643FF" w:rsidP="003643FF">
      <w:pPr>
        <w:pStyle w:val="Body"/>
        <w:spacing w:line="480" w:lineRule="auto"/>
        <w:jc w:val="both"/>
        <w:rPr>
          <w:rFonts w:ascii="Palatino Linotype" w:hAnsi="Palatino Linotype" w:cs="Times New Roman"/>
          <w:b/>
          <w:bCs/>
          <w:sz w:val="28"/>
          <w:szCs w:val="28"/>
          <w:lang w:val="en-GB"/>
        </w:rPr>
      </w:pPr>
      <w:r w:rsidRPr="003643FF">
        <w:rPr>
          <w:rFonts w:ascii="Palatino Linotype" w:hAnsi="Palatino Linotype" w:cs="Times New Roman"/>
          <w:b/>
          <w:bCs/>
          <w:sz w:val="28"/>
          <w:szCs w:val="28"/>
          <w:lang w:val="en-GB"/>
        </w:rPr>
        <w:t>THE EUROPEAN NETWORK OF CLINICAL LEGAL EDUCATION: THE SPRING WORKSHOP 2015</w:t>
      </w:r>
    </w:p>
    <w:p w:rsidR="003643FF" w:rsidRPr="003643FF" w:rsidRDefault="00515B00">
      <w:pPr>
        <w:pStyle w:val="Body"/>
        <w:jc w:val="both"/>
        <w:rPr>
          <w:rFonts w:ascii="Palatino Linotype" w:hAnsi="Palatino Linotype" w:cs="Times New Roman"/>
          <w:b/>
          <w:sz w:val="24"/>
          <w:szCs w:val="24"/>
          <w:lang w:val="en-GB"/>
        </w:rPr>
      </w:pPr>
      <w:r w:rsidRPr="003643FF">
        <w:rPr>
          <w:rFonts w:ascii="Palatino Linotype" w:hAnsi="Palatino Linotype" w:cs="Times New Roman"/>
          <w:b/>
          <w:sz w:val="24"/>
          <w:szCs w:val="24"/>
          <w:lang w:val="en-GB"/>
        </w:rPr>
        <w:t xml:space="preserve">Rachel Dunn and </w:t>
      </w:r>
      <w:r w:rsidR="002C5E0F" w:rsidRPr="003643FF">
        <w:rPr>
          <w:rFonts w:ascii="Palatino Linotype" w:hAnsi="Palatino Linotype" w:cs="Times New Roman"/>
          <w:b/>
          <w:sz w:val="24"/>
          <w:szCs w:val="24"/>
          <w:lang w:val="en-GB"/>
        </w:rPr>
        <w:t>Paul McKeown</w:t>
      </w:r>
      <w:r w:rsidR="003643FF" w:rsidRPr="003643FF">
        <w:rPr>
          <w:rStyle w:val="FootnoteReference"/>
          <w:rFonts w:ascii="Palatino Linotype" w:hAnsi="Palatino Linotype" w:cs="Times New Roman"/>
          <w:b/>
          <w:sz w:val="24"/>
          <w:szCs w:val="24"/>
          <w:lang w:val="en-GB"/>
        </w:rPr>
        <w:footnoteReference w:id="2"/>
      </w:r>
      <w:r w:rsidR="002C5E0F" w:rsidRPr="003643FF">
        <w:rPr>
          <w:rFonts w:ascii="Palatino Linotype" w:hAnsi="Palatino Linotype" w:cs="Times New Roman"/>
          <w:b/>
          <w:sz w:val="24"/>
          <w:szCs w:val="24"/>
          <w:lang w:val="en-GB"/>
        </w:rPr>
        <w:t xml:space="preserve">, </w:t>
      </w:r>
    </w:p>
    <w:p w:rsidR="000A7CEA" w:rsidRPr="003643FF" w:rsidRDefault="002C5E0F">
      <w:pPr>
        <w:pStyle w:val="Body"/>
        <w:jc w:val="both"/>
        <w:rPr>
          <w:rFonts w:ascii="Palatino Linotype" w:hAnsi="Palatino Linotype" w:cs="Times New Roman"/>
          <w:b/>
          <w:sz w:val="24"/>
          <w:szCs w:val="24"/>
          <w:lang w:val="en-GB"/>
        </w:rPr>
      </w:pPr>
      <w:r w:rsidRPr="003643FF">
        <w:rPr>
          <w:rFonts w:ascii="Palatino Linotype" w:hAnsi="Palatino Linotype" w:cs="Times New Roman"/>
          <w:b/>
          <w:sz w:val="24"/>
          <w:szCs w:val="24"/>
          <w:lang w:val="en-GB"/>
        </w:rPr>
        <w:t>Northumbria University, UK</w:t>
      </w:r>
    </w:p>
    <w:p w:rsidR="000A7CEA" w:rsidRPr="003643FF" w:rsidRDefault="003B6905">
      <w:pPr>
        <w:pStyle w:val="Body"/>
        <w:jc w:val="both"/>
        <w:rPr>
          <w:rFonts w:ascii="Palatino Linotype" w:hAnsi="Palatino Linotype" w:cs="Times New Roman"/>
          <w:color w:val="0072C6"/>
          <w:sz w:val="24"/>
          <w:szCs w:val="24"/>
          <w:u w:color="0072C6"/>
          <w:lang w:val="en-GB"/>
        </w:rPr>
      </w:pPr>
      <w:hyperlink r:id="rId9" w:history="1">
        <w:r w:rsidR="002C5E0F" w:rsidRPr="003643FF">
          <w:rPr>
            <w:rStyle w:val="Hyperlink0"/>
            <w:rFonts w:ascii="Palatino Linotype" w:hAnsi="Palatino Linotype" w:cs="Times New Roman"/>
            <w:lang w:val="en-GB"/>
          </w:rPr>
          <w:t>rachel.a.dunn@northumbria.ac.uk</w:t>
        </w:r>
      </w:hyperlink>
      <w:r w:rsidR="002C5E0F" w:rsidRPr="003643FF">
        <w:rPr>
          <w:rFonts w:ascii="Palatino Linotype" w:hAnsi="Palatino Linotype" w:cs="Times New Roman"/>
          <w:color w:val="0072C6"/>
          <w:sz w:val="24"/>
          <w:szCs w:val="24"/>
          <w:u w:color="0072C6"/>
          <w:lang w:val="en-GB"/>
        </w:rPr>
        <w:t xml:space="preserve"> </w:t>
      </w:r>
    </w:p>
    <w:p w:rsidR="00515B00" w:rsidRPr="003643FF" w:rsidRDefault="003B6905" w:rsidP="00515B00">
      <w:pPr>
        <w:pStyle w:val="Body"/>
        <w:jc w:val="both"/>
        <w:rPr>
          <w:rFonts w:ascii="Palatino Linotype" w:hAnsi="Palatino Linotype" w:cs="Times New Roman"/>
          <w:color w:val="0072C6"/>
          <w:sz w:val="24"/>
          <w:szCs w:val="24"/>
          <w:u w:color="0072C6"/>
          <w:lang w:val="en-GB"/>
        </w:rPr>
      </w:pPr>
      <w:hyperlink r:id="rId10" w:history="1">
        <w:r w:rsidR="00515B00" w:rsidRPr="003643FF">
          <w:rPr>
            <w:rStyle w:val="Hyperlink0"/>
            <w:rFonts w:ascii="Palatino Linotype" w:hAnsi="Palatino Linotype" w:cs="Times New Roman"/>
            <w:lang w:val="en-GB"/>
          </w:rPr>
          <w:t>paul.mckeown@northumbria.ac.uk</w:t>
        </w:r>
      </w:hyperlink>
      <w:r w:rsidR="00515B00" w:rsidRPr="003643FF">
        <w:rPr>
          <w:rFonts w:ascii="Palatino Linotype" w:hAnsi="Palatino Linotype" w:cs="Times New Roman"/>
          <w:color w:val="0072C6"/>
          <w:sz w:val="24"/>
          <w:szCs w:val="24"/>
          <w:u w:color="0072C6"/>
          <w:lang w:val="en-GB"/>
        </w:rPr>
        <w:t xml:space="preserve"> </w:t>
      </w:r>
    </w:p>
    <w:p w:rsidR="003643FF" w:rsidRPr="003643FF" w:rsidRDefault="003643FF" w:rsidP="00336CAD">
      <w:pPr>
        <w:pStyle w:val="Body"/>
        <w:spacing w:line="480" w:lineRule="auto"/>
        <w:jc w:val="both"/>
        <w:rPr>
          <w:rFonts w:ascii="Palatino Linotype" w:hAnsi="Palatino Linotype" w:cs="Times New Roman"/>
          <w:sz w:val="24"/>
          <w:szCs w:val="24"/>
          <w:u w:val="single"/>
          <w:lang w:val="en-GB"/>
        </w:rPr>
      </w:pPr>
    </w:p>
    <w:p w:rsidR="000A7CEA" w:rsidRPr="003643FF" w:rsidRDefault="003643F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INTRODUCTION</w:t>
      </w:r>
    </w:p>
    <w:p w:rsidR="000A7CEA" w:rsidRPr="003643FF" w:rsidRDefault="00E909A6"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The European Network for Clinical Legal Education (ENCLE) was established in 201</w:t>
      </w:r>
      <w:r w:rsidR="008B6472" w:rsidRPr="003643FF">
        <w:rPr>
          <w:rFonts w:ascii="Palatino Linotype" w:hAnsi="Palatino Linotype" w:cs="Times New Roman"/>
          <w:sz w:val="24"/>
          <w:szCs w:val="24"/>
          <w:lang w:val="en-GB"/>
        </w:rPr>
        <w:t>3</w:t>
      </w:r>
      <w:r w:rsidRPr="003643FF">
        <w:rPr>
          <w:rFonts w:ascii="Palatino Linotype" w:hAnsi="Palatino Linotype" w:cs="Times New Roman"/>
          <w:sz w:val="24"/>
          <w:szCs w:val="24"/>
          <w:lang w:val="en-GB"/>
        </w:rPr>
        <w:t xml:space="preserve"> with the aim of bringing individuals and organisations together to exchange ideas and work </w:t>
      </w:r>
      <w:r w:rsidR="007441B0" w:rsidRPr="003643FF">
        <w:rPr>
          <w:rFonts w:ascii="Palatino Linotype" w:hAnsi="Palatino Linotype" w:cs="Times New Roman"/>
          <w:sz w:val="24"/>
          <w:szCs w:val="24"/>
          <w:lang w:val="en-GB"/>
        </w:rPr>
        <w:t>collaboratively</w:t>
      </w:r>
      <w:r w:rsidRPr="003643FF">
        <w:rPr>
          <w:rFonts w:ascii="Palatino Linotype" w:hAnsi="Palatino Linotype" w:cs="Times New Roman"/>
          <w:sz w:val="24"/>
          <w:szCs w:val="24"/>
          <w:lang w:val="en-GB"/>
        </w:rPr>
        <w:t xml:space="preserve"> to promote justice and increase the quality of law teaching through clinical legal ed</w:t>
      </w:r>
      <w:bookmarkStart w:id="0" w:name="_GoBack"/>
      <w:bookmarkEnd w:id="0"/>
      <w:r w:rsidRPr="003643FF">
        <w:rPr>
          <w:rFonts w:ascii="Palatino Linotype" w:hAnsi="Palatino Linotype" w:cs="Times New Roman"/>
          <w:sz w:val="24"/>
          <w:szCs w:val="24"/>
          <w:lang w:val="en-GB"/>
        </w:rPr>
        <w:t>ucation.</w:t>
      </w:r>
      <w:r w:rsidR="008B6472" w:rsidRPr="003643FF">
        <w:rPr>
          <w:rFonts w:ascii="Palatino Linotype" w:hAnsi="Palatino Linotype" w:cs="Times New Roman"/>
          <w:sz w:val="24"/>
          <w:szCs w:val="24"/>
          <w:lang w:val="en-GB"/>
        </w:rPr>
        <w:t xml:space="preserve">  According to its mission statement, ‘ENCLE aims to support the growth and quality of [clinical legal education] programmes in Europe through facilitating transnational information sharing, fostering CLE scholarship and research, convening conferences, workshops and </w:t>
      </w:r>
      <w:r w:rsidR="008B6472" w:rsidRPr="003643FF">
        <w:rPr>
          <w:rFonts w:ascii="Palatino Linotype" w:hAnsi="Palatino Linotype" w:cs="Times New Roman"/>
          <w:sz w:val="24"/>
          <w:szCs w:val="24"/>
          <w:lang w:val="en-GB"/>
        </w:rPr>
        <w:lastRenderedPageBreak/>
        <w:t>training session, establishing a website as an open resource for information sharing and promoting collaboration between CLE programmes and legal professionals.’</w:t>
      </w:r>
      <w:r w:rsidR="008B6472" w:rsidRPr="003643FF">
        <w:rPr>
          <w:rStyle w:val="FootnoteReference"/>
          <w:rFonts w:ascii="Palatino Linotype" w:hAnsi="Palatino Linotype" w:cs="Times New Roman"/>
          <w:sz w:val="24"/>
          <w:szCs w:val="24"/>
          <w:lang w:val="en-GB"/>
        </w:rPr>
        <w:footnoteReference w:id="3"/>
      </w:r>
    </w:p>
    <w:p w:rsidR="000A7CEA" w:rsidRPr="003643FF" w:rsidRDefault="007441B0"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In furtherance of the missi</w:t>
      </w:r>
      <w:r w:rsidR="00775534" w:rsidRPr="003643FF">
        <w:rPr>
          <w:rFonts w:ascii="Palatino Linotype" w:hAnsi="Palatino Linotype" w:cs="Times New Roman"/>
          <w:sz w:val="24"/>
          <w:szCs w:val="24"/>
          <w:lang w:val="en-GB"/>
        </w:rPr>
        <w:t>on statement, ENCLE have organis</w:t>
      </w:r>
      <w:r w:rsidRPr="003643FF">
        <w:rPr>
          <w:rFonts w:ascii="Palatino Linotype" w:hAnsi="Palatino Linotype" w:cs="Times New Roman"/>
          <w:sz w:val="24"/>
          <w:szCs w:val="24"/>
          <w:lang w:val="en-GB"/>
        </w:rPr>
        <w:t>ed several conferences and workshops.</w:t>
      </w:r>
      <w:r w:rsidR="00995BCE" w:rsidRPr="003643FF">
        <w:rPr>
          <w:rStyle w:val="FootnoteReference"/>
          <w:rFonts w:ascii="Palatino Linotype" w:hAnsi="Palatino Linotype" w:cs="Times New Roman"/>
          <w:sz w:val="24"/>
          <w:szCs w:val="24"/>
          <w:lang w:val="en-GB"/>
        </w:rPr>
        <w:footnoteReference w:id="4"/>
      </w:r>
      <w:r w:rsidRPr="003643FF">
        <w:rPr>
          <w:rFonts w:ascii="Palatino Linotype" w:hAnsi="Palatino Linotype" w:cs="Times New Roman"/>
          <w:sz w:val="24"/>
          <w:szCs w:val="24"/>
          <w:lang w:val="en-GB"/>
        </w:rPr>
        <w:t xml:space="preserve">  In April 2015, a workshop was held at Northumbria University, Newcastle upon Tyne, UK entitled ‘Preparing students for clinic’.  The aim of the workshop was to generate discussion</w:t>
      </w:r>
      <w:r w:rsidR="001A418D" w:rsidRPr="003643FF">
        <w:rPr>
          <w:rFonts w:ascii="Palatino Linotype" w:hAnsi="Palatino Linotype" w:cs="Times New Roman"/>
          <w:sz w:val="24"/>
          <w:szCs w:val="24"/>
          <w:lang w:val="en-GB"/>
        </w:rPr>
        <w:t>, through themed sessions, as to how clinicians can prepare their students for the clinical experience.  Sessions were facilitated by experienced clinician</w:t>
      </w:r>
      <w:r w:rsidR="009750E8" w:rsidRPr="003643FF">
        <w:rPr>
          <w:rFonts w:ascii="Palatino Linotype" w:hAnsi="Palatino Linotype" w:cs="Times New Roman"/>
          <w:sz w:val="24"/>
          <w:szCs w:val="24"/>
          <w:lang w:val="en-GB"/>
        </w:rPr>
        <w:t>s</w:t>
      </w:r>
      <w:r w:rsidR="001A418D" w:rsidRPr="003643FF">
        <w:rPr>
          <w:rFonts w:ascii="Palatino Linotype" w:hAnsi="Palatino Linotype" w:cs="Times New Roman"/>
          <w:sz w:val="24"/>
          <w:szCs w:val="24"/>
          <w:lang w:val="en-GB"/>
        </w:rPr>
        <w:t xml:space="preserve"> from around Europe who drew out ideas for best practice thus strengthening the abilities of attendees to prepare their students for the clinical experience.</w:t>
      </w:r>
    </w:p>
    <w:p w:rsidR="001A418D" w:rsidRPr="003643FF" w:rsidRDefault="001A418D"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The first session, which will be the predominant focus of this article, </w:t>
      </w:r>
      <w:r w:rsidR="00995BCE" w:rsidRPr="003643FF">
        <w:rPr>
          <w:rFonts w:ascii="Palatino Linotype" w:hAnsi="Palatino Linotype" w:cs="Times New Roman"/>
          <w:sz w:val="24"/>
          <w:szCs w:val="24"/>
          <w:lang w:val="en-GB"/>
        </w:rPr>
        <w:t xml:space="preserve">considered </w:t>
      </w:r>
      <w:r w:rsidRPr="003643FF">
        <w:rPr>
          <w:rFonts w:ascii="Palatino Linotype" w:hAnsi="Palatino Linotype" w:cs="Times New Roman"/>
          <w:sz w:val="24"/>
          <w:szCs w:val="24"/>
          <w:lang w:val="en-GB"/>
        </w:rPr>
        <w:t>‘Why we do clinic’.  It is important that as clinical educators we understand the rationale for what we do.  If we do not know where we are going, we will never get there</w:t>
      </w:r>
      <w:r w:rsidR="00995BCE" w:rsidRPr="003643FF">
        <w:rPr>
          <w:rFonts w:ascii="Palatino Linotype" w:hAnsi="Palatino Linotype" w:cs="Times New Roman"/>
          <w:sz w:val="24"/>
          <w:szCs w:val="24"/>
          <w:lang w:val="en-GB"/>
        </w:rPr>
        <w:t>, which was highlighted at the start of the first session</w:t>
      </w:r>
      <w:r w:rsidRPr="003643FF">
        <w:rPr>
          <w:rFonts w:ascii="Palatino Linotype" w:hAnsi="Palatino Linotype" w:cs="Times New Roman"/>
          <w:sz w:val="24"/>
          <w:szCs w:val="24"/>
          <w:lang w:val="en-GB"/>
        </w:rPr>
        <w:t>.</w:t>
      </w:r>
    </w:p>
    <w:p w:rsidR="002041DB" w:rsidRPr="003643FF" w:rsidRDefault="001A418D"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Other sessions included</w:t>
      </w:r>
      <w:r w:rsidR="002041DB" w:rsidRPr="003643FF">
        <w:rPr>
          <w:rFonts w:ascii="Palatino Linotype" w:hAnsi="Palatino Linotype" w:cs="Times New Roman"/>
          <w:sz w:val="24"/>
          <w:szCs w:val="24"/>
          <w:lang w:val="en-GB"/>
        </w:rPr>
        <w:t xml:space="preserve">: </w:t>
      </w:r>
    </w:p>
    <w:p w:rsidR="001A418D" w:rsidRPr="003643FF" w:rsidRDefault="002041DB"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Establishing a legal clinic</w:t>
      </w:r>
    </w:p>
    <w:p w:rsidR="002041DB" w:rsidRPr="003643FF" w:rsidRDefault="002041DB"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Running and sustaining a legal clinic</w:t>
      </w:r>
    </w:p>
    <w:p w:rsidR="002041DB" w:rsidRPr="003643FF" w:rsidRDefault="002041DB"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lastRenderedPageBreak/>
        <w:t>Standardised clients</w:t>
      </w:r>
    </w:p>
    <w:p w:rsidR="002041DB" w:rsidRPr="003643FF" w:rsidRDefault="002041DB"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Approaches to preparation: legal knowledge or problem based learning</w:t>
      </w:r>
    </w:p>
    <w:p w:rsidR="006942F4" w:rsidRPr="003643FF" w:rsidRDefault="002041DB"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Developing ethical </w:t>
      </w:r>
      <w:r w:rsidR="00202263" w:rsidRPr="003643FF">
        <w:rPr>
          <w:rFonts w:ascii="Palatino Linotype" w:hAnsi="Palatino Linotype" w:cs="Times New Roman"/>
          <w:sz w:val="24"/>
          <w:szCs w:val="24"/>
          <w:lang w:val="en-GB"/>
        </w:rPr>
        <w:t>sensitivity</w:t>
      </w:r>
      <w:r w:rsidR="006942F4" w:rsidRPr="003643FF">
        <w:rPr>
          <w:rFonts w:ascii="Palatino Linotype" w:hAnsi="Palatino Linotype" w:cs="Times New Roman"/>
          <w:sz w:val="24"/>
          <w:szCs w:val="24"/>
          <w:lang w:val="en-GB"/>
        </w:rPr>
        <w:t xml:space="preserve"> in clinical students</w:t>
      </w:r>
    </w:p>
    <w:p w:rsidR="006942F4" w:rsidRPr="003643FF" w:rsidRDefault="006942F4"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Ethical aspects of clinical design and management</w:t>
      </w:r>
    </w:p>
    <w:p w:rsidR="006942F4" w:rsidRPr="003643FF" w:rsidRDefault="006942F4"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Strengthening the social justice mission of clinic</w:t>
      </w:r>
    </w:p>
    <w:p w:rsidR="002041DB" w:rsidRPr="003643FF" w:rsidRDefault="006942F4" w:rsidP="003643FF">
      <w:pPr>
        <w:pStyle w:val="Body"/>
        <w:numPr>
          <w:ilvl w:val="0"/>
          <w:numId w:val="1"/>
        </w:numPr>
        <w:spacing w:line="36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Impact of clinic in Europe: What do we know so far and where do we go from here (and how)?</w:t>
      </w:r>
      <w:r w:rsidR="00202263" w:rsidRPr="003643FF">
        <w:rPr>
          <w:rFonts w:ascii="Palatino Linotype" w:hAnsi="Palatino Linotype" w:cs="Times New Roman"/>
          <w:sz w:val="24"/>
          <w:szCs w:val="24"/>
          <w:lang w:val="en-GB"/>
        </w:rPr>
        <w:t xml:space="preserve"> </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The sessions covered </w:t>
      </w:r>
      <w:r w:rsidR="006942F4" w:rsidRPr="003643FF">
        <w:rPr>
          <w:rFonts w:ascii="Palatino Linotype" w:hAnsi="Palatino Linotype" w:cs="Times New Roman"/>
          <w:sz w:val="24"/>
          <w:szCs w:val="24"/>
          <w:lang w:val="en-GB"/>
        </w:rPr>
        <w:t>various forms</w:t>
      </w:r>
      <w:r w:rsidRPr="003643FF">
        <w:rPr>
          <w:rFonts w:ascii="Palatino Linotype" w:hAnsi="Palatino Linotype" w:cs="Times New Roman"/>
          <w:sz w:val="24"/>
          <w:szCs w:val="24"/>
          <w:lang w:val="en-GB"/>
        </w:rPr>
        <w:t xml:space="preserve"> of clinical legal education, not just those working with live clients. However, throughout the two days other sub-themes started to emerge and the need to justify why we do clinic as a form of legal education was underlying in all sessions. </w:t>
      </w:r>
    </w:p>
    <w:p w:rsidR="000A7CEA" w:rsidRPr="003643FF" w:rsidRDefault="003671E4"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There were approximately 42 clinicians who attended the Workshop. The first session of the Workshop was recorded</w:t>
      </w:r>
      <w:r w:rsidR="00EB6EDE" w:rsidRPr="003643FF">
        <w:rPr>
          <w:rFonts w:ascii="Palatino Linotype" w:hAnsi="Palatino Linotype" w:cs="Times New Roman"/>
          <w:sz w:val="24"/>
          <w:szCs w:val="24"/>
          <w:lang w:val="en-GB"/>
        </w:rPr>
        <w:t>, lasting approximately one hour</w:t>
      </w:r>
      <w:r w:rsidRPr="003643FF">
        <w:rPr>
          <w:rFonts w:ascii="Palatino Linotype" w:hAnsi="Palatino Linotype" w:cs="Times New Roman"/>
          <w:sz w:val="24"/>
          <w:szCs w:val="24"/>
          <w:lang w:val="en-GB"/>
        </w:rPr>
        <w:t>. Once we gained ethical approval to use this recording as data for an article</w:t>
      </w:r>
      <w:r w:rsidR="00EB6EDE" w:rsidRPr="003643FF">
        <w:rPr>
          <w:rFonts w:ascii="Palatino Linotype" w:hAnsi="Palatino Linotype" w:cs="Times New Roman"/>
          <w:sz w:val="24"/>
          <w:szCs w:val="24"/>
          <w:lang w:val="en-GB"/>
        </w:rPr>
        <w:t xml:space="preserve"> and</w:t>
      </w:r>
      <w:r w:rsidRPr="003643FF">
        <w:rPr>
          <w:rFonts w:ascii="Palatino Linotype" w:hAnsi="Palatino Linotype" w:cs="Times New Roman"/>
          <w:sz w:val="24"/>
          <w:szCs w:val="24"/>
          <w:lang w:val="en-GB"/>
        </w:rPr>
        <w:t xml:space="preserve"> it was transcribed and </w:t>
      </w:r>
      <w:r w:rsidR="002C5E0F" w:rsidRPr="003643FF">
        <w:rPr>
          <w:rFonts w:ascii="Palatino Linotype" w:hAnsi="Palatino Linotype" w:cs="Times New Roman"/>
          <w:sz w:val="24"/>
          <w:szCs w:val="24"/>
          <w:lang w:val="en-GB"/>
        </w:rPr>
        <w:t>analysed in order to highlight the main themes discussed during the Workshop.</w:t>
      </w:r>
      <w:r w:rsidRPr="003643FF">
        <w:rPr>
          <w:rFonts w:ascii="Palatino Linotype" w:hAnsi="Palatino Linotype" w:cs="Times New Roman"/>
          <w:sz w:val="24"/>
          <w:szCs w:val="24"/>
          <w:lang w:val="en-GB"/>
        </w:rPr>
        <w:t xml:space="preserve"> Attendees were notified of our intention to use the recording, provided with a username and password to access it securely on the ENCLE website and time was given for </w:t>
      </w:r>
      <w:r w:rsidR="00EB6EDE" w:rsidRPr="003643FF">
        <w:rPr>
          <w:rFonts w:ascii="Palatino Linotype" w:hAnsi="Palatino Linotype" w:cs="Times New Roman"/>
          <w:sz w:val="24"/>
          <w:szCs w:val="24"/>
          <w:lang w:val="en-GB"/>
        </w:rPr>
        <w:t>them</w:t>
      </w:r>
      <w:r w:rsidRPr="003643FF">
        <w:rPr>
          <w:rFonts w:ascii="Palatino Linotype" w:hAnsi="Palatino Linotype" w:cs="Times New Roman"/>
          <w:sz w:val="24"/>
          <w:szCs w:val="24"/>
          <w:lang w:val="en-GB"/>
        </w:rPr>
        <w:t xml:space="preserve"> to listen to it. They could then decide if they consented to their comments being used and were able to exclude any comments which they did not want to be used in this work. </w:t>
      </w:r>
      <w:r w:rsidR="002C5E0F" w:rsidRPr="003643FF">
        <w:rPr>
          <w:rFonts w:ascii="Palatino Linotype" w:hAnsi="Palatino Linotype" w:cs="Times New Roman"/>
          <w:sz w:val="24"/>
          <w:szCs w:val="24"/>
          <w:lang w:val="en-GB"/>
        </w:rPr>
        <w:t>The comments discussed below are</w:t>
      </w:r>
      <w:r w:rsidRPr="003643FF">
        <w:rPr>
          <w:rFonts w:ascii="Palatino Linotype" w:hAnsi="Palatino Linotype" w:cs="Times New Roman"/>
          <w:sz w:val="24"/>
          <w:szCs w:val="24"/>
          <w:lang w:val="en-GB"/>
        </w:rPr>
        <w:t xml:space="preserve"> only</w:t>
      </w:r>
      <w:r w:rsidR="002C5E0F" w:rsidRPr="003643FF">
        <w:rPr>
          <w:rFonts w:ascii="Palatino Linotype" w:hAnsi="Palatino Linotype" w:cs="Times New Roman"/>
          <w:sz w:val="24"/>
          <w:szCs w:val="24"/>
          <w:lang w:val="en-GB"/>
        </w:rPr>
        <w:t xml:space="preserve"> those from attendees who agreed for their contributions to be used. </w:t>
      </w:r>
    </w:p>
    <w:p w:rsidR="003643FF" w:rsidRDefault="003643FF" w:rsidP="00336CAD">
      <w:pPr>
        <w:pStyle w:val="Body"/>
        <w:spacing w:line="480" w:lineRule="auto"/>
        <w:jc w:val="both"/>
        <w:rPr>
          <w:rFonts w:ascii="Palatino Linotype" w:hAnsi="Palatino Linotype" w:cs="Times New Roman"/>
          <w:i/>
          <w:iCs/>
          <w:sz w:val="24"/>
          <w:szCs w:val="24"/>
          <w:lang w:val="en-GB"/>
        </w:rPr>
      </w:pPr>
    </w:p>
    <w:p w:rsidR="000A7CEA" w:rsidRPr="003643FF" w:rsidRDefault="003643FF" w:rsidP="00336CAD">
      <w:pPr>
        <w:pStyle w:val="Body"/>
        <w:spacing w:line="480" w:lineRule="auto"/>
        <w:jc w:val="both"/>
        <w:rPr>
          <w:rFonts w:ascii="Palatino Linotype" w:hAnsi="Palatino Linotype" w:cs="Times New Roman"/>
          <w:iCs/>
          <w:sz w:val="24"/>
          <w:szCs w:val="24"/>
          <w:lang w:val="en-GB"/>
        </w:rPr>
      </w:pPr>
      <w:r w:rsidRPr="003643FF">
        <w:rPr>
          <w:rFonts w:ascii="Palatino Linotype" w:hAnsi="Palatino Linotype" w:cs="Times New Roman"/>
          <w:iCs/>
          <w:sz w:val="24"/>
          <w:szCs w:val="24"/>
          <w:lang w:val="en-GB"/>
        </w:rPr>
        <w:t>WHY WE DO CLINIC.</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The first session of the Workshop</w:t>
      </w:r>
      <w:r w:rsidR="00F514B8" w:rsidRPr="003643FF">
        <w:rPr>
          <w:rFonts w:ascii="Palatino Linotype" w:hAnsi="Palatino Linotype" w:cs="Times New Roman"/>
          <w:sz w:val="24"/>
          <w:szCs w:val="24"/>
          <w:lang w:val="en-GB"/>
        </w:rPr>
        <w:t>,</w:t>
      </w:r>
      <w:r w:rsidRPr="003643FF">
        <w:rPr>
          <w:rFonts w:ascii="Palatino Linotype" w:hAnsi="Palatino Linotype" w:cs="Times New Roman"/>
          <w:sz w:val="24"/>
          <w:szCs w:val="24"/>
          <w:lang w:val="en-GB"/>
        </w:rPr>
        <w:t xml:space="preserve"> led by </w:t>
      </w:r>
      <w:r w:rsidR="00F514B8" w:rsidRPr="003643FF">
        <w:rPr>
          <w:rFonts w:ascii="Palatino Linotype" w:hAnsi="Palatino Linotype" w:cs="Times New Roman"/>
          <w:sz w:val="24"/>
          <w:szCs w:val="24"/>
          <w:lang w:val="en-GB"/>
        </w:rPr>
        <w:t xml:space="preserve">Professor </w:t>
      </w:r>
      <w:r w:rsidRPr="003643FF">
        <w:rPr>
          <w:rFonts w:ascii="Palatino Linotype" w:hAnsi="Palatino Linotype" w:cs="Times New Roman"/>
          <w:sz w:val="24"/>
          <w:szCs w:val="24"/>
          <w:lang w:val="en-GB"/>
        </w:rPr>
        <w:t>Kevin Ke</w:t>
      </w:r>
      <w:r w:rsidR="00F514B8" w:rsidRPr="003643FF">
        <w:rPr>
          <w:rFonts w:ascii="Palatino Linotype" w:hAnsi="Palatino Linotype" w:cs="Times New Roman"/>
          <w:sz w:val="24"/>
          <w:szCs w:val="24"/>
          <w:lang w:val="en-GB"/>
        </w:rPr>
        <w:t>rrigan and Carol Boothby, asked</w:t>
      </w:r>
      <w:r w:rsidRPr="003643FF">
        <w:rPr>
          <w:rFonts w:ascii="Palatino Linotype" w:hAnsi="Palatino Linotype" w:cs="Times New Roman"/>
          <w:sz w:val="24"/>
          <w:szCs w:val="24"/>
          <w:lang w:val="en-GB"/>
        </w:rPr>
        <w:t xml:space="preserve"> </w:t>
      </w:r>
      <w:r w:rsidRPr="003643FF">
        <w:rPr>
          <w:rFonts w:ascii="Palatino Linotype" w:hAnsi="Palatino Linotype" w:cs="Times New Roman"/>
          <w:i/>
          <w:iCs/>
          <w:sz w:val="24"/>
          <w:szCs w:val="24"/>
          <w:lang w:val="en-GB"/>
        </w:rPr>
        <w:t>‘why</w:t>
      </w:r>
      <w:r w:rsidR="009A3A39" w:rsidRPr="003643FF">
        <w:rPr>
          <w:rFonts w:ascii="Palatino Linotype" w:hAnsi="Palatino Linotype" w:cs="Times New Roman"/>
          <w:i/>
          <w:iCs/>
          <w:sz w:val="24"/>
          <w:szCs w:val="24"/>
          <w:lang w:val="en-GB"/>
        </w:rPr>
        <w:t xml:space="preserve"> do</w:t>
      </w:r>
      <w:r w:rsidRPr="003643FF">
        <w:rPr>
          <w:rFonts w:ascii="Palatino Linotype" w:hAnsi="Palatino Linotype" w:cs="Times New Roman"/>
          <w:i/>
          <w:iCs/>
          <w:sz w:val="24"/>
          <w:szCs w:val="24"/>
          <w:lang w:val="en-GB"/>
        </w:rPr>
        <w:t xml:space="preserve"> we do clinic’</w:t>
      </w:r>
      <w:r w:rsidR="00F514B8" w:rsidRPr="003643FF">
        <w:rPr>
          <w:rFonts w:ascii="Palatino Linotype" w:hAnsi="Palatino Linotype" w:cs="Times New Roman"/>
          <w:iCs/>
          <w:sz w:val="24"/>
          <w:szCs w:val="24"/>
          <w:lang w:val="en-GB"/>
        </w:rPr>
        <w:t>.</w:t>
      </w:r>
      <w:r w:rsidRPr="003643FF">
        <w:rPr>
          <w:rFonts w:ascii="Palatino Linotype" w:hAnsi="Palatino Linotype" w:cs="Times New Roman"/>
          <w:i/>
          <w:iCs/>
          <w:sz w:val="24"/>
          <w:szCs w:val="24"/>
          <w:lang w:val="en-GB"/>
        </w:rPr>
        <w:t xml:space="preserve"> </w:t>
      </w:r>
      <w:r w:rsidRPr="003643FF">
        <w:rPr>
          <w:rFonts w:ascii="Palatino Linotype" w:hAnsi="Palatino Linotype" w:cs="Times New Roman"/>
          <w:sz w:val="24"/>
          <w:szCs w:val="24"/>
          <w:lang w:val="en-GB"/>
        </w:rPr>
        <w:t xml:space="preserve">The purpose of this session, as </w:t>
      </w:r>
      <w:r w:rsidR="00F514B8" w:rsidRPr="003643FF">
        <w:rPr>
          <w:rFonts w:ascii="Palatino Linotype" w:hAnsi="Palatino Linotype" w:cs="Times New Roman"/>
          <w:sz w:val="24"/>
          <w:szCs w:val="24"/>
          <w:lang w:val="en-GB"/>
        </w:rPr>
        <w:t>Professor Kerrigan</w:t>
      </w:r>
      <w:r w:rsidRPr="003643FF">
        <w:rPr>
          <w:rFonts w:ascii="Palatino Linotype" w:hAnsi="Palatino Linotype" w:cs="Times New Roman"/>
          <w:sz w:val="24"/>
          <w:szCs w:val="24"/>
          <w:lang w:val="en-GB"/>
        </w:rPr>
        <w:t xml:space="preserve"> highlighted, was to justify why we</w:t>
      </w:r>
      <w:r w:rsidR="007C4E3D" w:rsidRPr="003643FF">
        <w:rPr>
          <w:rFonts w:ascii="Palatino Linotype" w:hAnsi="Palatino Linotype" w:cs="Times New Roman"/>
          <w:sz w:val="24"/>
          <w:szCs w:val="24"/>
          <w:lang w:val="en-GB"/>
        </w:rPr>
        <w:t>, as educators,</w:t>
      </w:r>
      <w:r w:rsidRPr="003643FF">
        <w:rPr>
          <w:rFonts w:ascii="Palatino Linotype" w:hAnsi="Palatino Linotype" w:cs="Times New Roman"/>
          <w:sz w:val="24"/>
          <w:szCs w:val="24"/>
          <w:lang w:val="en-GB"/>
        </w:rPr>
        <w:t xml:space="preserve"> should have law clinics in universities. This justification is</w:t>
      </w:r>
      <w:r w:rsidR="00F514B8"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n</w:t>
      </w:r>
      <w:r w:rsidR="00F514B8" w:rsidRPr="003643FF">
        <w:rPr>
          <w:rFonts w:ascii="Palatino Linotype" w:hAnsi="Palatino Linotype" w:cs="Times New Roman"/>
          <w:sz w:val="24"/>
          <w:szCs w:val="24"/>
          <w:lang w:val="en-GB"/>
        </w:rPr>
        <w:t>o</w:t>
      </w:r>
      <w:r w:rsidRPr="003643FF">
        <w:rPr>
          <w:rFonts w:ascii="Palatino Linotype" w:hAnsi="Palatino Linotype" w:cs="Times New Roman"/>
          <w:sz w:val="24"/>
          <w:szCs w:val="24"/>
          <w:lang w:val="en-GB"/>
        </w:rPr>
        <w:t xml:space="preserve">t just to Deans or Vice Chancellors, but also to the </w:t>
      </w:r>
      <w:r w:rsidR="00F514B8" w:rsidRPr="003643FF">
        <w:rPr>
          <w:rFonts w:ascii="Palatino Linotype" w:hAnsi="Palatino Linotype" w:cs="Times New Roman"/>
          <w:sz w:val="24"/>
          <w:szCs w:val="24"/>
          <w:lang w:val="en-GB"/>
        </w:rPr>
        <w:t xml:space="preserve">wider </w:t>
      </w:r>
      <w:r w:rsidRPr="003643FF">
        <w:rPr>
          <w:rFonts w:ascii="Palatino Linotype" w:hAnsi="Palatino Linotype" w:cs="Times New Roman"/>
          <w:sz w:val="24"/>
          <w:szCs w:val="24"/>
          <w:lang w:val="en-GB"/>
        </w:rPr>
        <w:t xml:space="preserve">legal profession and community. This justification, or reason for doing clinic, is important for the sustainability of a clinic. However, an attendee also stated that it is important to know why we do clinic </w:t>
      </w:r>
      <w:r w:rsidRPr="003643FF">
        <w:rPr>
          <w:rFonts w:ascii="Palatino Linotype" w:hAnsi="Palatino Linotype" w:cs="Times New Roman"/>
          <w:i/>
          <w:sz w:val="24"/>
          <w:szCs w:val="24"/>
          <w:lang w:val="en-GB"/>
        </w:rPr>
        <w:t>‘</w:t>
      </w:r>
      <w:r w:rsidR="00DC4607" w:rsidRPr="003643FF">
        <w:rPr>
          <w:rFonts w:ascii="Palatino Linotype" w:hAnsi="Palatino Linotype" w:cs="Times New Roman"/>
          <w:i/>
          <w:sz w:val="24"/>
          <w:szCs w:val="24"/>
          <w:lang w:val="en-GB"/>
        </w:rPr>
        <w:t>b</w:t>
      </w:r>
      <w:r w:rsidR="00A52CC3" w:rsidRPr="003643FF">
        <w:rPr>
          <w:rFonts w:ascii="Palatino Linotype" w:hAnsi="Palatino Linotype" w:cs="Times New Roman"/>
          <w:i/>
          <w:sz w:val="24"/>
          <w:szCs w:val="24"/>
          <w:lang w:val="en-GB"/>
        </w:rPr>
        <w:t>ecause this will then shape in what we need for it, how we do it</w:t>
      </w:r>
      <w:r w:rsidR="00A52CC3" w:rsidRPr="003643FF">
        <w:rPr>
          <w:rFonts w:ascii="Palatino Linotype" w:hAnsi="Palatino Linotype" w:cs="Times New Roman"/>
          <w:sz w:val="24"/>
          <w:szCs w:val="24"/>
          <w:lang w:val="en-GB"/>
        </w:rPr>
        <w:t xml:space="preserve">, </w:t>
      </w:r>
      <w:r w:rsidRPr="003643FF">
        <w:rPr>
          <w:rFonts w:ascii="Palatino Linotype" w:hAnsi="Palatino Linotype" w:cs="Times New Roman"/>
          <w:i/>
          <w:iCs/>
          <w:sz w:val="24"/>
          <w:szCs w:val="24"/>
          <w:lang w:val="en-GB"/>
        </w:rPr>
        <w:t>how we communicate with the students, what goals</w:t>
      </w:r>
      <w:r w:rsidR="00775534" w:rsidRPr="003643FF">
        <w:rPr>
          <w:rFonts w:ascii="Palatino Linotype" w:hAnsi="Palatino Linotype" w:cs="Times New Roman"/>
          <w:i/>
          <w:iCs/>
          <w:sz w:val="24"/>
          <w:szCs w:val="24"/>
          <w:lang w:val="en-GB"/>
        </w:rPr>
        <w:t xml:space="preserve"> do we proceed, what we emphasis</w:t>
      </w:r>
      <w:r w:rsidRPr="003643FF">
        <w:rPr>
          <w:rFonts w:ascii="Palatino Linotype" w:hAnsi="Palatino Linotype" w:cs="Times New Roman"/>
          <w:i/>
          <w:iCs/>
          <w:sz w:val="24"/>
          <w:szCs w:val="24"/>
          <w:lang w:val="en-GB"/>
        </w:rPr>
        <w:t xml:space="preserve">e. So this is a really important thing to know in order to shape the teaching process in the right way.’ </w:t>
      </w:r>
      <w:r w:rsidRPr="003643FF">
        <w:rPr>
          <w:rFonts w:ascii="Palatino Linotype" w:hAnsi="Palatino Linotype" w:cs="Times New Roman"/>
          <w:sz w:val="24"/>
          <w:szCs w:val="24"/>
          <w:lang w:val="en-GB"/>
        </w:rPr>
        <w:t xml:space="preserve">So, it is not just justifying to those outside of the clinic, but also for those working inside it, ensuring the clinic is pedagogically sound. </w:t>
      </w:r>
      <w:r w:rsidR="00DC4607" w:rsidRPr="003643FF">
        <w:rPr>
          <w:rFonts w:ascii="Palatino Linotype" w:hAnsi="Palatino Linotype" w:cs="Times New Roman"/>
          <w:sz w:val="24"/>
          <w:szCs w:val="24"/>
          <w:lang w:val="en-GB"/>
        </w:rPr>
        <w:t xml:space="preserve"> As such, the purpose of the clinic needs to be clear in our own minds as to achieve anything, we need to know what it is we are trying to achieve.</w:t>
      </w:r>
    </w:p>
    <w:p w:rsidR="00470EDD" w:rsidRPr="003643FF" w:rsidRDefault="00470EDD"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There are various reasons why we </w:t>
      </w:r>
      <w:r w:rsidR="00DC4607" w:rsidRPr="003643FF">
        <w:rPr>
          <w:rFonts w:ascii="Palatino Linotype" w:hAnsi="Palatino Linotype" w:cs="Times New Roman"/>
          <w:sz w:val="24"/>
          <w:szCs w:val="24"/>
          <w:lang w:val="en-GB"/>
        </w:rPr>
        <w:t>establish</w:t>
      </w:r>
      <w:r w:rsidRPr="003643FF">
        <w:rPr>
          <w:rFonts w:ascii="Palatino Linotype" w:hAnsi="Palatino Linotype" w:cs="Times New Roman"/>
          <w:sz w:val="24"/>
          <w:szCs w:val="24"/>
          <w:lang w:val="en-GB"/>
        </w:rPr>
        <w:t xml:space="preserve"> clinics. </w:t>
      </w:r>
      <w:proofErr w:type="spellStart"/>
      <w:r w:rsidR="00ED3186" w:rsidRPr="003643FF">
        <w:rPr>
          <w:rFonts w:ascii="Palatino Linotype" w:hAnsi="Palatino Linotype" w:cs="Times New Roman"/>
          <w:sz w:val="24"/>
          <w:szCs w:val="24"/>
          <w:lang w:val="en-GB"/>
        </w:rPr>
        <w:t>Aksamovic</w:t>
      </w:r>
      <w:proofErr w:type="spellEnd"/>
      <w:r w:rsidR="00ED3186" w:rsidRPr="003643FF">
        <w:rPr>
          <w:rFonts w:ascii="Palatino Linotype" w:hAnsi="Palatino Linotype" w:cs="Times New Roman"/>
          <w:sz w:val="24"/>
          <w:szCs w:val="24"/>
          <w:lang w:val="en-GB"/>
        </w:rPr>
        <w:t xml:space="preserve"> and </w:t>
      </w:r>
      <w:proofErr w:type="spellStart"/>
      <w:r w:rsidR="00ED3186" w:rsidRPr="003643FF">
        <w:rPr>
          <w:rFonts w:ascii="Palatino Linotype" w:hAnsi="Palatino Linotype" w:cs="Times New Roman"/>
          <w:sz w:val="24"/>
          <w:szCs w:val="24"/>
          <w:lang w:val="en-GB"/>
        </w:rPr>
        <w:t>Genty</w:t>
      </w:r>
      <w:proofErr w:type="spellEnd"/>
      <w:r w:rsidR="00ED3186" w:rsidRPr="003643FF">
        <w:rPr>
          <w:rFonts w:ascii="Palatino Linotype" w:hAnsi="Palatino Linotype" w:cs="Times New Roman"/>
          <w:sz w:val="24"/>
          <w:szCs w:val="24"/>
          <w:lang w:val="en-GB"/>
        </w:rPr>
        <w:t xml:space="preserve"> highlight that it is important to distinguish between these reasons, and that two of the main goals of clinicians are ‘…</w:t>
      </w:r>
      <w:r w:rsidR="00ED3186" w:rsidRPr="003643FF">
        <w:rPr>
          <w:rFonts w:ascii="Palatino Linotype" w:hAnsi="Palatino Linotype" w:cs="Courier New"/>
          <w:sz w:val="24"/>
          <w:lang w:val="en-GB"/>
        </w:rPr>
        <w:t xml:space="preserve">creating social change by giving disadvantaged groups access to legal services; making experiential courses mandatory so that all students </w:t>
      </w:r>
      <w:r w:rsidR="00ED3186" w:rsidRPr="003643FF">
        <w:rPr>
          <w:rFonts w:ascii="Palatino Linotype" w:hAnsi="Palatino Linotype" w:cs="Courier New"/>
          <w:sz w:val="24"/>
          <w:lang w:val="en-GB"/>
        </w:rPr>
        <w:lastRenderedPageBreak/>
        <w:t>are better prepared for the profession they will be entering…’</w:t>
      </w:r>
      <w:r w:rsidR="00573445" w:rsidRPr="003643FF">
        <w:rPr>
          <w:rStyle w:val="FootnoteReference"/>
          <w:rFonts w:ascii="Palatino Linotype" w:hAnsi="Palatino Linotype" w:cs="Courier New"/>
          <w:sz w:val="24"/>
          <w:lang w:val="en-GB"/>
        </w:rPr>
        <w:footnoteReference w:id="5"/>
      </w:r>
      <w:r w:rsidR="00ED3186"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However, this session highlighted other reasons as to why we do clinic and how we can justify it, which surfaced when we discussed the advantages and disadvantages, or the rewards and risks, of clinics. These advantages and disadvantages were to various groups, including the university, the community and the legal profession. Discussing the advantages and disadvantages of clinics also brought up other areas of discussion. The themes of this session can be displayed visually</w:t>
      </w:r>
      <w:r w:rsidR="00A475A5" w:rsidRPr="003643FF">
        <w:rPr>
          <w:rFonts w:ascii="Palatino Linotype" w:hAnsi="Palatino Linotype" w:cs="Times New Roman"/>
          <w:sz w:val="24"/>
          <w:szCs w:val="24"/>
          <w:lang w:val="en-GB"/>
        </w:rPr>
        <w:t>, taken</w:t>
      </w:r>
      <w:r w:rsidRPr="003643FF">
        <w:rPr>
          <w:rFonts w:ascii="Palatino Linotype" w:hAnsi="Palatino Linotype" w:cs="Times New Roman"/>
          <w:sz w:val="24"/>
          <w:szCs w:val="24"/>
          <w:lang w:val="en-GB"/>
        </w:rPr>
        <w:t xml:space="preserve"> from the recording:</w:t>
      </w:r>
    </w:p>
    <w:p w:rsidR="00470EDD" w:rsidRPr="003643FF" w:rsidRDefault="00133A57"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noProof/>
          <w:sz w:val="24"/>
          <w:szCs w:val="24"/>
          <w:lang w:val="en-GB" w:eastAsia="zh-CN"/>
        </w:rPr>
        <w:drawing>
          <wp:inline distT="0" distB="0" distL="0" distR="0" wp14:anchorId="3835835C" wp14:editId="77FD23B4">
            <wp:extent cx="5724525" cy="43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4324350"/>
                    </a:xfrm>
                    <a:prstGeom prst="rect">
                      <a:avLst/>
                    </a:prstGeom>
                    <a:noFill/>
                    <a:ln>
                      <a:noFill/>
                    </a:ln>
                  </pic:spPr>
                </pic:pic>
              </a:graphicData>
            </a:graphic>
          </wp:inline>
        </w:drawing>
      </w:r>
    </w:p>
    <w:p w:rsidR="00470EDD" w:rsidRPr="003643FF" w:rsidRDefault="00133A57"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lastRenderedPageBreak/>
        <w:t>The issues facing clinical programmes identified during the Workshop are represented above</w:t>
      </w:r>
      <w:r w:rsidR="00470EDD" w:rsidRPr="003643FF">
        <w:rPr>
          <w:rFonts w:ascii="Palatino Linotype" w:hAnsi="Palatino Linotype" w:cs="Times New Roman"/>
          <w:sz w:val="24"/>
          <w:szCs w:val="24"/>
          <w:lang w:val="en-GB"/>
        </w:rPr>
        <w:t xml:space="preserve">. The themes flowing from </w:t>
      </w:r>
      <w:r w:rsidRPr="003643FF">
        <w:rPr>
          <w:rFonts w:ascii="Palatino Linotype" w:hAnsi="Palatino Linotype" w:cs="Times New Roman"/>
          <w:sz w:val="24"/>
          <w:szCs w:val="24"/>
          <w:lang w:val="en-GB"/>
        </w:rPr>
        <w:t>these issues</w:t>
      </w:r>
      <w:r w:rsidR="00470EDD" w:rsidRPr="003643FF">
        <w:rPr>
          <w:rFonts w:ascii="Palatino Linotype" w:hAnsi="Palatino Linotype" w:cs="Times New Roman"/>
          <w:sz w:val="24"/>
          <w:szCs w:val="24"/>
          <w:lang w:val="en-GB"/>
        </w:rPr>
        <w:t xml:space="preserve"> are the main areas which were covered during the discussions, the bigger the circle the more weight placed on the discussion. We then have other comments flowing from these main areas, which attendees highlighted as advantages or disadvantages</w:t>
      </w:r>
      <w:r w:rsidRPr="003643FF">
        <w:rPr>
          <w:rFonts w:ascii="Palatino Linotype" w:hAnsi="Palatino Linotype" w:cs="Times New Roman"/>
          <w:sz w:val="24"/>
          <w:szCs w:val="24"/>
          <w:lang w:val="en-GB"/>
        </w:rPr>
        <w:t>, or risks and rewards,</w:t>
      </w:r>
      <w:r w:rsidR="00470EDD" w:rsidRPr="003643FF">
        <w:rPr>
          <w:rFonts w:ascii="Palatino Linotype" w:hAnsi="Palatino Linotype" w:cs="Times New Roman"/>
          <w:sz w:val="24"/>
          <w:szCs w:val="24"/>
          <w:lang w:val="en-GB"/>
        </w:rPr>
        <w:t xml:space="preserve"> of clinics. The bigger the comments the more it was discussed. Some of these issues link together, even though they were discussed during different themes.  Looking at the data from the session in this way shows how certain issues can link together, even though they may seem very separate in practice. Furthermore, displaying the weighting of the conversations outlines what was most discussed, or was more of a c</w:t>
      </w:r>
      <w:r w:rsidRPr="003643FF">
        <w:rPr>
          <w:rFonts w:ascii="Palatino Linotype" w:hAnsi="Palatino Linotype" w:cs="Times New Roman"/>
          <w:sz w:val="24"/>
          <w:szCs w:val="24"/>
          <w:lang w:val="en-GB"/>
        </w:rPr>
        <w:t>oncern to the attendees of the W</w:t>
      </w:r>
      <w:r w:rsidR="00470EDD" w:rsidRPr="003643FF">
        <w:rPr>
          <w:rFonts w:ascii="Palatino Linotype" w:hAnsi="Palatino Linotype" w:cs="Times New Roman"/>
          <w:sz w:val="24"/>
          <w:szCs w:val="24"/>
          <w:lang w:val="en-GB"/>
        </w:rPr>
        <w:t xml:space="preserve">orkshop. </w:t>
      </w:r>
      <w:r w:rsidRPr="003643FF">
        <w:rPr>
          <w:rFonts w:ascii="Palatino Linotype" w:hAnsi="Palatino Linotype" w:cs="Times New Roman"/>
          <w:sz w:val="24"/>
          <w:szCs w:val="24"/>
          <w:lang w:val="en-GB"/>
        </w:rPr>
        <w:t>The issues have also been colour coded.  Comments in red represent issues which hinder the development of clinic whilst comments in green can be considered to advance the clinical mission</w:t>
      </w:r>
      <w:r w:rsidR="00995BCE" w:rsidRPr="003643FF">
        <w:rPr>
          <w:rFonts w:ascii="Palatino Linotype" w:hAnsi="Palatino Linotype" w:cs="Times New Roman"/>
          <w:sz w:val="24"/>
          <w:szCs w:val="24"/>
          <w:lang w:val="en-GB"/>
        </w:rPr>
        <w:t xml:space="preserve">, </w:t>
      </w:r>
      <w:r w:rsidR="008D5CFB" w:rsidRPr="003643FF">
        <w:rPr>
          <w:rFonts w:ascii="Palatino Linotype" w:hAnsi="Palatino Linotype" w:cs="Times New Roman"/>
          <w:sz w:val="24"/>
          <w:szCs w:val="24"/>
          <w:lang w:val="en-GB"/>
        </w:rPr>
        <w:t>enhancing</w:t>
      </w:r>
      <w:r w:rsidR="00995BCE" w:rsidRPr="003643FF">
        <w:rPr>
          <w:rFonts w:ascii="Palatino Linotype" w:hAnsi="Palatino Linotype" w:cs="Times New Roman"/>
          <w:sz w:val="24"/>
          <w:szCs w:val="24"/>
          <w:lang w:val="en-GB"/>
        </w:rPr>
        <w:t xml:space="preserve"> the education of our students and provide legal support to our community</w:t>
      </w:r>
      <w:r w:rsidRPr="003643FF">
        <w:rPr>
          <w:rFonts w:ascii="Palatino Linotype" w:hAnsi="Palatino Linotype" w:cs="Times New Roman"/>
          <w:sz w:val="24"/>
          <w:szCs w:val="24"/>
          <w:lang w:val="en-GB"/>
        </w:rPr>
        <w:t>.  Comment</w:t>
      </w:r>
      <w:r w:rsidR="00CA2867" w:rsidRPr="003643FF">
        <w:rPr>
          <w:rFonts w:ascii="Palatino Linotype" w:hAnsi="Palatino Linotype" w:cs="Times New Roman"/>
          <w:sz w:val="24"/>
          <w:szCs w:val="24"/>
          <w:lang w:val="en-GB"/>
        </w:rPr>
        <w:t>s</w:t>
      </w:r>
      <w:r w:rsidRPr="003643FF">
        <w:rPr>
          <w:rFonts w:ascii="Palatino Linotype" w:hAnsi="Palatino Linotype" w:cs="Times New Roman"/>
          <w:sz w:val="24"/>
          <w:szCs w:val="24"/>
          <w:lang w:val="en-GB"/>
        </w:rPr>
        <w:t xml:space="preserve"> in orange could either advance or hinder the development of clinics depending upon their implementation in practice.  </w:t>
      </w:r>
      <w:r w:rsidR="00630002" w:rsidRPr="003643FF">
        <w:rPr>
          <w:rFonts w:ascii="Palatino Linotype" w:hAnsi="Palatino Linotype" w:cs="Times New Roman"/>
          <w:sz w:val="24"/>
          <w:szCs w:val="24"/>
          <w:lang w:val="en-GB"/>
        </w:rPr>
        <w:t xml:space="preserve">At the bottom of the diagram is a comment made by </w:t>
      </w:r>
      <w:r w:rsidR="00251FB2" w:rsidRPr="003643FF">
        <w:rPr>
          <w:rFonts w:ascii="Palatino Linotype" w:hAnsi="Palatino Linotype" w:cs="Times New Roman"/>
          <w:sz w:val="24"/>
          <w:szCs w:val="24"/>
          <w:lang w:val="en-GB"/>
        </w:rPr>
        <w:t>an</w:t>
      </w:r>
      <w:r w:rsidR="00630002" w:rsidRPr="003643FF">
        <w:rPr>
          <w:rFonts w:ascii="Palatino Linotype" w:hAnsi="Palatino Linotype" w:cs="Times New Roman"/>
          <w:sz w:val="24"/>
          <w:szCs w:val="24"/>
          <w:lang w:val="en-GB"/>
        </w:rPr>
        <w:t xml:space="preserve"> attendee </w:t>
      </w:r>
      <w:r w:rsidR="00DC4607" w:rsidRPr="003643FF">
        <w:rPr>
          <w:rFonts w:ascii="Palatino Linotype" w:hAnsi="Palatino Linotype" w:cs="Times New Roman"/>
          <w:sz w:val="24"/>
          <w:szCs w:val="24"/>
          <w:lang w:val="en-GB"/>
        </w:rPr>
        <w:t>that</w:t>
      </w:r>
      <w:r w:rsidR="00630002" w:rsidRPr="003643FF">
        <w:rPr>
          <w:rFonts w:ascii="Palatino Linotype" w:hAnsi="Palatino Linotype" w:cs="Times New Roman"/>
          <w:sz w:val="24"/>
          <w:szCs w:val="24"/>
          <w:lang w:val="en-GB"/>
        </w:rPr>
        <w:t xml:space="preserve"> did not </w:t>
      </w:r>
      <w:r w:rsidRPr="003643FF">
        <w:rPr>
          <w:rFonts w:ascii="Palatino Linotype" w:hAnsi="Palatino Linotype" w:cs="Times New Roman"/>
          <w:sz w:val="24"/>
          <w:szCs w:val="24"/>
          <w:lang w:val="en-GB"/>
        </w:rPr>
        <w:t>appear to fit with the other issues discussed</w:t>
      </w:r>
      <w:r w:rsidR="00630002" w:rsidRPr="003643FF">
        <w:rPr>
          <w:rFonts w:ascii="Palatino Linotype" w:hAnsi="Palatino Linotype" w:cs="Times New Roman"/>
          <w:sz w:val="24"/>
          <w:szCs w:val="24"/>
          <w:lang w:val="en-GB"/>
        </w:rPr>
        <w:t xml:space="preserve">, but is </w:t>
      </w:r>
      <w:r w:rsidR="00DC4607" w:rsidRPr="003643FF">
        <w:rPr>
          <w:rFonts w:ascii="Palatino Linotype" w:hAnsi="Palatino Linotype" w:cs="Times New Roman"/>
          <w:sz w:val="24"/>
          <w:szCs w:val="24"/>
          <w:lang w:val="en-GB"/>
        </w:rPr>
        <w:t xml:space="preserve">an </w:t>
      </w:r>
      <w:r w:rsidR="00630002" w:rsidRPr="003643FF">
        <w:rPr>
          <w:rFonts w:ascii="Palatino Linotype" w:hAnsi="Palatino Linotype" w:cs="Times New Roman"/>
          <w:sz w:val="24"/>
          <w:szCs w:val="24"/>
          <w:lang w:val="en-GB"/>
        </w:rPr>
        <w:t xml:space="preserve">important </w:t>
      </w:r>
      <w:r w:rsidR="00DC4607" w:rsidRPr="003643FF">
        <w:rPr>
          <w:rFonts w:ascii="Palatino Linotype" w:hAnsi="Palatino Linotype" w:cs="Times New Roman"/>
          <w:sz w:val="24"/>
          <w:szCs w:val="24"/>
          <w:lang w:val="en-GB"/>
        </w:rPr>
        <w:t xml:space="preserve">consideration </w:t>
      </w:r>
      <w:r w:rsidR="00630002" w:rsidRPr="003643FF">
        <w:rPr>
          <w:rFonts w:ascii="Palatino Linotype" w:hAnsi="Palatino Linotype" w:cs="Times New Roman"/>
          <w:sz w:val="24"/>
          <w:szCs w:val="24"/>
          <w:lang w:val="en-GB"/>
        </w:rPr>
        <w:t>none-the-less. This attendee wanted to highlight that when setting up a clinic you must be prepared to fail, as so many clinics do fail when they are first established.</w:t>
      </w:r>
      <w:r w:rsidR="00C346AD" w:rsidRPr="003643FF">
        <w:rPr>
          <w:rFonts w:ascii="Palatino Linotype" w:hAnsi="Palatino Linotype" w:cs="Times New Roman"/>
          <w:sz w:val="24"/>
          <w:szCs w:val="24"/>
          <w:lang w:val="en-GB"/>
        </w:rPr>
        <w:t xml:space="preserve"> Also that establishing a clinic is a slow process and that you must be patient.</w:t>
      </w:r>
      <w:r w:rsidR="00630002"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This</w:t>
      </w:r>
      <w:r w:rsidR="00C346AD" w:rsidRPr="003643FF">
        <w:rPr>
          <w:rFonts w:ascii="Palatino Linotype" w:hAnsi="Palatino Linotype" w:cs="Times New Roman"/>
          <w:sz w:val="24"/>
          <w:szCs w:val="24"/>
          <w:lang w:val="en-GB"/>
        </w:rPr>
        <w:t xml:space="preserve"> is a valid point to make to those who are considering setting up a clinic, and why it has been placed at the bottom</w:t>
      </w:r>
      <w:r w:rsidR="00F935A6" w:rsidRPr="003643FF">
        <w:rPr>
          <w:rFonts w:ascii="Palatino Linotype" w:hAnsi="Palatino Linotype" w:cs="Times New Roman"/>
          <w:sz w:val="24"/>
          <w:szCs w:val="24"/>
          <w:lang w:val="en-GB"/>
        </w:rPr>
        <w:t xml:space="preserve"> of the diagram</w:t>
      </w:r>
      <w:r w:rsidR="00C346AD" w:rsidRPr="003643FF">
        <w:rPr>
          <w:rFonts w:ascii="Palatino Linotype" w:hAnsi="Palatino Linotype" w:cs="Times New Roman"/>
          <w:sz w:val="24"/>
          <w:szCs w:val="24"/>
          <w:lang w:val="en-GB"/>
        </w:rPr>
        <w:t xml:space="preserve">. </w:t>
      </w:r>
    </w:p>
    <w:p w:rsidR="00470EDD" w:rsidRPr="003643FF" w:rsidRDefault="00470EDD" w:rsidP="00336CAD">
      <w:pPr>
        <w:spacing w:after="200" w:line="480" w:lineRule="auto"/>
        <w:jc w:val="both"/>
        <w:rPr>
          <w:rFonts w:ascii="Palatino Linotype" w:hAnsi="Palatino Linotype"/>
          <w:iCs/>
          <w:lang w:val="en-GB"/>
        </w:rPr>
      </w:pPr>
      <w:r w:rsidRPr="003643FF">
        <w:rPr>
          <w:rFonts w:ascii="Palatino Linotype" w:hAnsi="Palatino Linotype"/>
          <w:lang w:val="en-GB"/>
        </w:rPr>
        <w:lastRenderedPageBreak/>
        <w:t xml:space="preserve">For example, one attendee talked of the educational benefits of law clinics and how there </w:t>
      </w:r>
      <w:r w:rsidRPr="003643FF">
        <w:rPr>
          <w:rFonts w:ascii="Palatino Linotype" w:hAnsi="Palatino Linotype"/>
          <w:i/>
          <w:iCs/>
          <w:lang w:val="en-GB"/>
        </w:rPr>
        <w:t>‘are certain things that a student can only learn in clinic.’</w:t>
      </w:r>
      <w:r w:rsidRPr="003643FF">
        <w:rPr>
          <w:rFonts w:ascii="Palatino Linotype" w:hAnsi="Palatino Linotype"/>
          <w:iCs/>
          <w:lang w:val="en-GB"/>
        </w:rPr>
        <w:t xml:space="preserve"> However, even though clinicians claim that this kind of pedagogy is beneficial to students, there is a lack of </w:t>
      </w:r>
      <w:r w:rsidR="009B7DE9" w:rsidRPr="003643FF">
        <w:rPr>
          <w:rFonts w:ascii="Palatino Linotype" w:hAnsi="Palatino Linotype"/>
          <w:iCs/>
          <w:lang w:val="en-GB"/>
        </w:rPr>
        <w:t xml:space="preserve">empirical </w:t>
      </w:r>
      <w:r w:rsidRPr="003643FF">
        <w:rPr>
          <w:rFonts w:ascii="Palatino Linotype" w:hAnsi="Palatino Linotype"/>
          <w:iCs/>
          <w:lang w:val="en-GB"/>
        </w:rPr>
        <w:t xml:space="preserve">evidence to help justify </w:t>
      </w:r>
      <w:r w:rsidR="009B7DE9" w:rsidRPr="003643FF">
        <w:rPr>
          <w:rFonts w:ascii="Palatino Linotype" w:hAnsi="Palatino Linotype"/>
          <w:iCs/>
          <w:lang w:val="en-GB"/>
        </w:rPr>
        <w:t>such a claim</w:t>
      </w:r>
      <w:r w:rsidRPr="003643FF">
        <w:rPr>
          <w:rFonts w:ascii="Palatino Linotype" w:hAnsi="Palatino Linotype"/>
          <w:iCs/>
          <w:lang w:val="en-GB"/>
        </w:rPr>
        <w:t xml:space="preserve">. To make such bold claims for clinics, which are logical to make, we must </w:t>
      </w:r>
      <w:r w:rsidR="00A475A5" w:rsidRPr="003643FF">
        <w:rPr>
          <w:rFonts w:ascii="Palatino Linotype" w:hAnsi="Palatino Linotype"/>
          <w:iCs/>
          <w:lang w:val="en-GB"/>
        </w:rPr>
        <w:t xml:space="preserve">still </w:t>
      </w:r>
      <w:r w:rsidRPr="003643FF">
        <w:rPr>
          <w:rFonts w:ascii="Palatino Linotype" w:hAnsi="Palatino Linotype"/>
          <w:iCs/>
          <w:lang w:val="en-GB"/>
        </w:rPr>
        <w:t xml:space="preserve">be able to support them with evidence and research. These educational claims </w:t>
      </w:r>
      <w:r w:rsidR="009B7DE9" w:rsidRPr="003643FF">
        <w:rPr>
          <w:rFonts w:ascii="Palatino Linotype" w:hAnsi="Palatino Linotype"/>
          <w:iCs/>
          <w:lang w:val="en-GB"/>
        </w:rPr>
        <w:t>were then linked to reputation</w:t>
      </w:r>
      <w:r w:rsidRPr="003643FF">
        <w:rPr>
          <w:rFonts w:ascii="Palatino Linotype" w:hAnsi="Palatino Linotype"/>
          <w:iCs/>
          <w:lang w:val="en-GB"/>
        </w:rPr>
        <w:t xml:space="preserve">, the attendee advancing, </w:t>
      </w:r>
      <w:r w:rsidRPr="003643FF">
        <w:rPr>
          <w:rFonts w:ascii="Palatino Linotype" w:hAnsi="Palatino Linotype"/>
          <w:i/>
          <w:iCs/>
          <w:lang w:val="en-GB"/>
        </w:rPr>
        <w:t>‘students want to come to our university because we have an attractive clinical progra</w:t>
      </w:r>
      <w:r w:rsidR="001A7725" w:rsidRPr="003643FF">
        <w:rPr>
          <w:rFonts w:ascii="Palatino Linotype" w:hAnsi="Palatino Linotype"/>
          <w:i/>
          <w:iCs/>
          <w:lang w:val="en-GB"/>
        </w:rPr>
        <w:t>m</w:t>
      </w:r>
      <w:r w:rsidRPr="003643FF">
        <w:rPr>
          <w:rFonts w:ascii="Palatino Linotype" w:hAnsi="Palatino Linotype"/>
          <w:i/>
          <w:iCs/>
          <w:lang w:val="en-GB"/>
        </w:rPr>
        <w:t>m</w:t>
      </w:r>
      <w:r w:rsidR="001A7725" w:rsidRPr="003643FF">
        <w:rPr>
          <w:rFonts w:ascii="Palatino Linotype" w:hAnsi="Palatino Linotype"/>
          <w:i/>
          <w:iCs/>
          <w:lang w:val="en-GB"/>
        </w:rPr>
        <w:t>e</w:t>
      </w:r>
      <w:r w:rsidRPr="003643FF">
        <w:rPr>
          <w:rFonts w:ascii="Palatino Linotype" w:hAnsi="Palatino Linotype"/>
          <w:i/>
          <w:iCs/>
          <w:lang w:val="en-GB"/>
        </w:rPr>
        <w:t>.’</w:t>
      </w:r>
      <w:r w:rsidRPr="003643FF">
        <w:rPr>
          <w:rFonts w:ascii="Palatino Linotype" w:hAnsi="Palatino Linotype"/>
          <w:iCs/>
          <w:lang w:val="en-GB"/>
        </w:rPr>
        <w:t xml:space="preserve"> </w:t>
      </w:r>
      <w:r w:rsidR="009B7DE9" w:rsidRPr="003643FF">
        <w:rPr>
          <w:rFonts w:ascii="Palatino Linotype" w:hAnsi="Palatino Linotype"/>
          <w:iCs/>
          <w:lang w:val="en-GB"/>
        </w:rPr>
        <w:t>T</w:t>
      </w:r>
      <w:r w:rsidRPr="003643FF">
        <w:rPr>
          <w:rFonts w:ascii="Palatino Linotype" w:hAnsi="Palatino Linotype"/>
          <w:iCs/>
          <w:lang w:val="en-GB"/>
        </w:rPr>
        <w:t xml:space="preserve">hese claims </w:t>
      </w:r>
      <w:r w:rsidR="009B7DE9" w:rsidRPr="003643FF">
        <w:rPr>
          <w:rFonts w:ascii="Palatino Linotype" w:hAnsi="Palatino Linotype"/>
          <w:iCs/>
          <w:lang w:val="en-GB"/>
        </w:rPr>
        <w:t>are connected</w:t>
      </w:r>
      <w:r w:rsidRPr="003643FF">
        <w:rPr>
          <w:rFonts w:ascii="Palatino Linotype" w:hAnsi="Palatino Linotype"/>
          <w:iCs/>
          <w:lang w:val="en-GB"/>
        </w:rPr>
        <w:t xml:space="preserve"> to many of the issues. Reputation links back to students, and ultimately their satisfaction, to the community and their views of the university. In order to strengthen </w:t>
      </w:r>
      <w:r w:rsidR="009B7DE9" w:rsidRPr="003643FF">
        <w:rPr>
          <w:rFonts w:ascii="Palatino Linotype" w:hAnsi="Palatino Linotype"/>
          <w:iCs/>
          <w:lang w:val="en-GB"/>
        </w:rPr>
        <w:t>the</w:t>
      </w:r>
      <w:r w:rsidRPr="003643FF">
        <w:rPr>
          <w:rFonts w:ascii="Palatino Linotype" w:hAnsi="Palatino Linotype"/>
          <w:iCs/>
          <w:lang w:val="en-GB"/>
        </w:rPr>
        <w:t xml:space="preserve"> reputation of clinic</w:t>
      </w:r>
      <w:r w:rsidR="009B7DE9" w:rsidRPr="003643FF">
        <w:rPr>
          <w:rFonts w:ascii="Palatino Linotype" w:hAnsi="Palatino Linotype"/>
          <w:iCs/>
          <w:lang w:val="en-GB"/>
        </w:rPr>
        <w:t>,</w:t>
      </w:r>
      <w:r w:rsidRPr="003643FF">
        <w:rPr>
          <w:rFonts w:ascii="Palatino Linotype" w:hAnsi="Palatino Linotype"/>
          <w:iCs/>
          <w:lang w:val="en-GB"/>
        </w:rPr>
        <w:t xml:space="preserve"> </w:t>
      </w:r>
      <w:r w:rsidR="009B7DE9" w:rsidRPr="003643FF">
        <w:rPr>
          <w:rFonts w:ascii="Palatino Linotype" w:hAnsi="Palatino Linotype"/>
          <w:iCs/>
          <w:lang w:val="en-GB"/>
        </w:rPr>
        <w:t xml:space="preserve">we need more evidence. </w:t>
      </w:r>
      <w:r w:rsidRPr="003643FF">
        <w:rPr>
          <w:rFonts w:ascii="Palatino Linotype" w:hAnsi="Palatino Linotype"/>
          <w:iCs/>
          <w:lang w:val="en-GB"/>
        </w:rPr>
        <w:t xml:space="preserve"> Should clinics be producing more research into their work to justify what they are doing?</w:t>
      </w:r>
    </w:p>
    <w:p w:rsidR="00AC1115" w:rsidRPr="003643FF" w:rsidRDefault="00470EDD" w:rsidP="00336CAD">
      <w:pPr>
        <w:spacing w:after="200" w:line="480" w:lineRule="auto"/>
        <w:jc w:val="both"/>
        <w:rPr>
          <w:rFonts w:ascii="Palatino Linotype" w:hAnsi="Palatino Linotype"/>
          <w:lang w:val="en-GB"/>
        </w:rPr>
      </w:pPr>
      <w:r w:rsidRPr="003643FF">
        <w:rPr>
          <w:rFonts w:ascii="Palatino Linotype" w:hAnsi="Palatino Linotype"/>
          <w:lang w:val="en-GB"/>
        </w:rPr>
        <w:t xml:space="preserve">Something which was highlighted during the discussion, and is apparent from the diagram, is </w:t>
      </w:r>
      <w:r w:rsidR="009B7DE9" w:rsidRPr="003643FF">
        <w:rPr>
          <w:rFonts w:ascii="Palatino Linotype" w:hAnsi="Palatino Linotype"/>
          <w:lang w:val="en-GB"/>
        </w:rPr>
        <w:t xml:space="preserve">the </w:t>
      </w:r>
      <w:r w:rsidR="00914832" w:rsidRPr="003643FF">
        <w:rPr>
          <w:rFonts w:ascii="Palatino Linotype" w:hAnsi="Palatino Linotype"/>
          <w:lang w:val="en-GB"/>
        </w:rPr>
        <w:t xml:space="preserve">conflicting </w:t>
      </w:r>
      <w:r w:rsidR="009B7DE9" w:rsidRPr="003643FF">
        <w:rPr>
          <w:rFonts w:ascii="Palatino Linotype" w:hAnsi="Palatino Linotype"/>
          <w:lang w:val="en-GB"/>
        </w:rPr>
        <w:t>perception of clinic</w:t>
      </w:r>
      <w:r w:rsidRPr="003643FF">
        <w:rPr>
          <w:rFonts w:ascii="Palatino Linotype" w:hAnsi="Palatino Linotype"/>
          <w:lang w:val="en-GB"/>
        </w:rPr>
        <w:t xml:space="preserve"> from the </w:t>
      </w:r>
      <w:r w:rsidR="009B7DE9" w:rsidRPr="003643FF">
        <w:rPr>
          <w:rFonts w:ascii="Palatino Linotype" w:hAnsi="Palatino Linotype"/>
          <w:lang w:val="en-GB"/>
        </w:rPr>
        <w:t xml:space="preserve">legal </w:t>
      </w:r>
      <w:r w:rsidRPr="003643FF">
        <w:rPr>
          <w:rFonts w:ascii="Palatino Linotype" w:hAnsi="Palatino Linotype"/>
          <w:lang w:val="en-GB"/>
        </w:rPr>
        <w:t xml:space="preserve">profession. </w:t>
      </w:r>
      <w:r w:rsidR="009B7DE9" w:rsidRPr="003643FF">
        <w:rPr>
          <w:rFonts w:ascii="Palatino Linotype" w:hAnsi="Palatino Linotype"/>
          <w:lang w:val="en-GB"/>
        </w:rPr>
        <w:t>T</w:t>
      </w:r>
      <w:r w:rsidRPr="003643FF">
        <w:rPr>
          <w:rFonts w:ascii="Palatino Linotype" w:hAnsi="Palatino Linotype"/>
          <w:lang w:val="en-GB"/>
        </w:rPr>
        <w:t xml:space="preserve">here was a comment about how some law firms do not like their trainees to have prior clinical experience and like to </w:t>
      </w:r>
      <w:r w:rsidRPr="003643FF">
        <w:rPr>
          <w:rFonts w:ascii="Palatino Linotype" w:hAnsi="Palatino Linotype"/>
          <w:i/>
          <w:lang w:val="en-GB"/>
        </w:rPr>
        <w:t>‘mould’</w:t>
      </w:r>
      <w:r w:rsidRPr="003643FF">
        <w:rPr>
          <w:rFonts w:ascii="Palatino Linotype" w:hAnsi="Palatino Linotype"/>
          <w:lang w:val="en-GB"/>
        </w:rPr>
        <w:t xml:space="preserve"> them to their firm. This attendee stated that law firms can be resistant to taking on students who </w:t>
      </w:r>
      <w:r w:rsidRPr="003643FF">
        <w:rPr>
          <w:rFonts w:ascii="Palatino Linotype" w:hAnsi="Palatino Linotype"/>
          <w:i/>
          <w:iCs/>
          <w:lang w:val="en-GB"/>
        </w:rPr>
        <w:t>‘already have a professional identity.’</w:t>
      </w:r>
      <w:r w:rsidRPr="003643FF">
        <w:rPr>
          <w:rFonts w:ascii="Palatino Linotype" w:hAnsi="Palatino Linotype"/>
          <w:iCs/>
          <w:lang w:val="en-GB"/>
        </w:rPr>
        <w:t xml:space="preserve"> However, when looking at benefits there is a comment that clinic is beneficial to the profession as they are gaining trainees who are better prepared for practice and would otherwise lack the skills needed if it were</w:t>
      </w:r>
      <w:r w:rsidR="009B7DE9" w:rsidRPr="003643FF">
        <w:rPr>
          <w:rFonts w:ascii="Palatino Linotype" w:hAnsi="Palatino Linotype"/>
          <w:iCs/>
          <w:lang w:val="en-GB"/>
        </w:rPr>
        <w:t xml:space="preserve"> </w:t>
      </w:r>
      <w:r w:rsidRPr="003643FF">
        <w:rPr>
          <w:rFonts w:ascii="Palatino Linotype" w:hAnsi="Palatino Linotype"/>
          <w:iCs/>
          <w:lang w:val="en-GB"/>
        </w:rPr>
        <w:t>n</w:t>
      </w:r>
      <w:r w:rsidR="009B7DE9" w:rsidRPr="003643FF">
        <w:rPr>
          <w:rFonts w:ascii="Palatino Linotype" w:hAnsi="Palatino Linotype"/>
          <w:iCs/>
          <w:lang w:val="en-GB"/>
        </w:rPr>
        <w:t>o</w:t>
      </w:r>
      <w:r w:rsidRPr="003643FF">
        <w:rPr>
          <w:rFonts w:ascii="Palatino Linotype" w:hAnsi="Palatino Linotype"/>
          <w:iCs/>
          <w:lang w:val="en-GB"/>
        </w:rPr>
        <w:t>t for a student’s clinic</w:t>
      </w:r>
      <w:r w:rsidR="009B7DE9" w:rsidRPr="003643FF">
        <w:rPr>
          <w:rFonts w:ascii="Palatino Linotype" w:hAnsi="Palatino Linotype"/>
          <w:iCs/>
          <w:lang w:val="en-GB"/>
        </w:rPr>
        <w:t>al experience</w:t>
      </w:r>
      <w:r w:rsidRPr="003643FF">
        <w:rPr>
          <w:rFonts w:ascii="Palatino Linotype" w:hAnsi="Palatino Linotype"/>
          <w:iCs/>
          <w:lang w:val="en-GB"/>
        </w:rPr>
        <w:t xml:space="preserve">. </w:t>
      </w:r>
      <w:r w:rsidRPr="003643FF">
        <w:rPr>
          <w:rFonts w:ascii="Palatino Linotype" w:hAnsi="Palatino Linotype"/>
          <w:lang w:val="en-GB"/>
        </w:rPr>
        <w:t xml:space="preserve">Thus, it </w:t>
      </w:r>
      <w:r w:rsidR="009B7DE9" w:rsidRPr="003643FF">
        <w:rPr>
          <w:rFonts w:ascii="Palatino Linotype" w:hAnsi="Palatino Linotype"/>
          <w:lang w:val="en-GB"/>
        </w:rPr>
        <w:t>appears</w:t>
      </w:r>
      <w:r w:rsidRPr="003643FF">
        <w:rPr>
          <w:rFonts w:ascii="Palatino Linotype" w:hAnsi="Palatino Linotype"/>
          <w:lang w:val="en-GB"/>
        </w:rPr>
        <w:t xml:space="preserve"> that there can be confusion over the expectations of a </w:t>
      </w:r>
      <w:r w:rsidRPr="003643FF">
        <w:rPr>
          <w:rFonts w:ascii="Palatino Linotype" w:hAnsi="Palatino Linotype"/>
          <w:lang w:val="en-GB"/>
        </w:rPr>
        <w:lastRenderedPageBreak/>
        <w:t>clinic</w:t>
      </w:r>
      <w:r w:rsidR="001A7725" w:rsidRPr="003643FF">
        <w:rPr>
          <w:rFonts w:ascii="Palatino Linotype" w:hAnsi="Palatino Linotype"/>
          <w:lang w:val="en-GB"/>
        </w:rPr>
        <w:t>al programmes</w:t>
      </w:r>
      <w:r w:rsidRPr="003643FF">
        <w:rPr>
          <w:rFonts w:ascii="Palatino Linotype" w:hAnsi="Palatino Linotype"/>
          <w:lang w:val="en-GB"/>
        </w:rPr>
        <w:t xml:space="preserve"> and what sort of position it can put students in when they have completed their degree. This difference of opinion is not surprising as all clinicians, and indeed the clinic</w:t>
      </w:r>
      <w:r w:rsidR="00D63E93" w:rsidRPr="003643FF">
        <w:rPr>
          <w:rFonts w:ascii="Palatino Linotype" w:hAnsi="Palatino Linotype"/>
          <w:lang w:val="en-GB"/>
        </w:rPr>
        <w:t>al programmes</w:t>
      </w:r>
      <w:r w:rsidRPr="003643FF">
        <w:rPr>
          <w:rFonts w:ascii="Palatino Linotype" w:hAnsi="Palatino Linotype"/>
          <w:lang w:val="en-GB"/>
        </w:rPr>
        <w:t xml:space="preserve"> as a </w:t>
      </w:r>
      <w:proofErr w:type="gramStart"/>
      <w:r w:rsidRPr="003643FF">
        <w:rPr>
          <w:rFonts w:ascii="Palatino Linotype" w:hAnsi="Palatino Linotype"/>
          <w:lang w:val="en-GB"/>
        </w:rPr>
        <w:t>whole,</w:t>
      </w:r>
      <w:proofErr w:type="gramEnd"/>
      <w:r w:rsidRPr="003643FF">
        <w:rPr>
          <w:rFonts w:ascii="Palatino Linotype" w:hAnsi="Palatino Linotype"/>
          <w:lang w:val="en-GB"/>
        </w:rPr>
        <w:t xml:space="preserve"> </w:t>
      </w:r>
      <w:r w:rsidR="009056CC" w:rsidRPr="003643FF">
        <w:rPr>
          <w:rFonts w:ascii="Palatino Linotype" w:hAnsi="Palatino Linotype"/>
          <w:lang w:val="en-GB"/>
        </w:rPr>
        <w:t>have had</w:t>
      </w:r>
      <w:r w:rsidRPr="003643FF">
        <w:rPr>
          <w:rFonts w:ascii="Palatino Linotype" w:hAnsi="Palatino Linotype"/>
          <w:lang w:val="en-GB"/>
        </w:rPr>
        <w:t xml:space="preserve"> different experiences with the legal profession and this will feed into their comments. Furthermore, different jurisdictions will have different experiences and relationships with the profession, resulting in this area of discussion not meeting a consensus. </w:t>
      </w:r>
    </w:p>
    <w:p w:rsidR="000A7CEA" w:rsidRPr="003643FF" w:rsidRDefault="00D63E93"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w:t>
      </w:r>
      <w:r w:rsidR="00470EDD" w:rsidRPr="003643FF">
        <w:rPr>
          <w:rFonts w:ascii="Palatino Linotype" w:hAnsi="Palatino Linotype" w:cs="Times New Roman"/>
          <w:sz w:val="24"/>
          <w:szCs w:val="24"/>
          <w:lang w:val="en-GB"/>
        </w:rPr>
        <w:t>t was highlighted that there are many reasons of why we do clinic, and these reasons will vary from clinic to clinic. Whatever the reason, we must be able to justify our clinics and be honest about the rewards and risks of them. This justification will help us with our teaching and shaping the clinic</w:t>
      </w:r>
      <w:r w:rsidR="001A7725" w:rsidRPr="003643FF">
        <w:rPr>
          <w:rFonts w:ascii="Palatino Linotype" w:hAnsi="Palatino Linotype" w:cs="Times New Roman"/>
          <w:sz w:val="24"/>
          <w:szCs w:val="24"/>
          <w:lang w:val="en-GB"/>
        </w:rPr>
        <w:t>al programme</w:t>
      </w:r>
      <w:r w:rsidR="00470EDD" w:rsidRPr="003643FF">
        <w:rPr>
          <w:rFonts w:ascii="Palatino Linotype" w:hAnsi="Palatino Linotype" w:cs="Times New Roman"/>
          <w:sz w:val="24"/>
          <w:szCs w:val="24"/>
          <w:lang w:val="en-GB"/>
        </w:rPr>
        <w:t xml:space="preserve"> for the students. Getting the attendees to think ab</w:t>
      </w:r>
      <w:r w:rsidRPr="003643FF">
        <w:rPr>
          <w:rFonts w:ascii="Palatino Linotype" w:hAnsi="Palatino Linotype" w:cs="Times New Roman"/>
          <w:sz w:val="24"/>
          <w:szCs w:val="24"/>
          <w:lang w:val="en-GB"/>
        </w:rPr>
        <w:t xml:space="preserve">out this from the start of the </w:t>
      </w:r>
      <w:r w:rsidR="001A7725" w:rsidRPr="003643FF">
        <w:rPr>
          <w:rFonts w:ascii="Palatino Linotype" w:hAnsi="Palatino Linotype" w:cs="Times New Roman"/>
          <w:sz w:val="24"/>
          <w:szCs w:val="24"/>
          <w:lang w:val="en-GB"/>
        </w:rPr>
        <w:t>W</w:t>
      </w:r>
      <w:r w:rsidR="00470EDD" w:rsidRPr="003643FF">
        <w:rPr>
          <w:rFonts w:ascii="Palatino Linotype" w:hAnsi="Palatino Linotype" w:cs="Times New Roman"/>
          <w:sz w:val="24"/>
          <w:szCs w:val="24"/>
          <w:lang w:val="en-GB"/>
        </w:rPr>
        <w:t xml:space="preserve">orkshop helped during the other sessions to think about what kinds of clinic is best for their institution and why.  </w:t>
      </w:r>
    </w:p>
    <w:p w:rsidR="000A7CEA" w:rsidRPr="003643FF" w:rsidRDefault="003643F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ISSUES</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Throughout the two day workshop there were issues highlighted which made sustaining a successful clinic</w:t>
      </w:r>
      <w:r w:rsidR="001A7725" w:rsidRPr="003643FF">
        <w:rPr>
          <w:rFonts w:ascii="Palatino Linotype" w:hAnsi="Palatino Linotype" w:cs="Times New Roman"/>
          <w:sz w:val="24"/>
          <w:szCs w:val="24"/>
          <w:lang w:val="en-GB"/>
        </w:rPr>
        <w:t>al programme</w:t>
      </w:r>
      <w:r w:rsidRPr="003643FF">
        <w:rPr>
          <w:rFonts w:ascii="Palatino Linotype" w:hAnsi="Palatino Linotype" w:cs="Times New Roman"/>
          <w:sz w:val="24"/>
          <w:szCs w:val="24"/>
          <w:lang w:val="en-GB"/>
        </w:rPr>
        <w:t xml:space="preserve"> difficult. </w:t>
      </w:r>
      <w:r w:rsidR="001A7725" w:rsidRPr="003643FF">
        <w:rPr>
          <w:rFonts w:ascii="Palatino Linotype" w:hAnsi="Palatino Linotype" w:cs="Times New Roman"/>
          <w:sz w:val="24"/>
          <w:szCs w:val="24"/>
          <w:lang w:val="en-GB"/>
        </w:rPr>
        <w:t xml:space="preserve">As the diagram above illustrates, the issues faced by clinical programmes are complex.  </w:t>
      </w:r>
      <w:r w:rsidRPr="003643FF">
        <w:rPr>
          <w:rFonts w:ascii="Palatino Linotype" w:hAnsi="Palatino Linotype" w:cs="Times New Roman"/>
          <w:sz w:val="24"/>
          <w:szCs w:val="24"/>
          <w:lang w:val="en-GB"/>
        </w:rPr>
        <w:t xml:space="preserve">As attendees started to open up about this more people started to share and </w:t>
      </w:r>
      <w:r w:rsidR="00775534" w:rsidRPr="003643FF">
        <w:rPr>
          <w:rFonts w:ascii="Palatino Linotype" w:hAnsi="Palatino Linotype" w:cs="Times New Roman"/>
          <w:sz w:val="24"/>
          <w:szCs w:val="24"/>
          <w:lang w:val="en-GB"/>
        </w:rPr>
        <w:t xml:space="preserve">we </w:t>
      </w:r>
      <w:r w:rsidRPr="003643FF">
        <w:rPr>
          <w:rFonts w:ascii="Palatino Linotype" w:hAnsi="Palatino Linotype" w:cs="Times New Roman"/>
          <w:sz w:val="24"/>
          <w:szCs w:val="24"/>
          <w:lang w:val="en-GB"/>
        </w:rPr>
        <w:t xml:space="preserve">realised that these issues are common throughout clinics in Europe. Knowing what issues there are </w:t>
      </w:r>
      <w:r w:rsidR="00D63E93" w:rsidRPr="003643FF">
        <w:rPr>
          <w:rFonts w:ascii="Palatino Linotype" w:hAnsi="Palatino Linotype" w:cs="Times New Roman"/>
          <w:sz w:val="24"/>
          <w:szCs w:val="24"/>
          <w:lang w:val="en-GB"/>
        </w:rPr>
        <w:t>assists</w:t>
      </w:r>
      <w:r w:rsidRPr="003643FF">
        <w:rPr>
          <w:rFonts w:ascii="Palatino Linotype" w:hAnsi="Palatino Linotype" w:cs="Times New Roman"/>
          <w:sz w:val="24"/>
          <w:szCs w:val="24"/>
          <w:lang w:val="en-GB"/>
        </w:rPr>
        <w:t xml:space="preserve"> with overcoming them and move forward with our European clinical movement. </w:t>
      </w:r>
      <w:r w:rsidR="001A7725" w:rsidRPr="003643FF">
        <w:rPr>
          <w:rFonts w:ascii="Palatino Linotype" w:hAnsi="Palatino Linotype" w:cs="Times New Roman"/>
          <w:sz w:val="24"/>
          <w:szCs w:val="24"/>
          <w:lang w:val="en-GB"/>
        </w:rPr>
        <w:t xml:space="preserve">We will focus the discussion on two issues identified in the Workshop, </w:t>
      </w:r>
      <w:r w:rsidR="001A7725" w:rsidRPr="003643FF">
        <w:rPr>
          <w:rFonts w:ascii="Palatino Linotype" w:hAnsi="Palatino Linotype" w:cs="Times New Roman"/>
          <w:sz w:val="24"/>
          <w:szCs w:val="24"/>
          <w:lang w:val="en-GB"/>
        </w:rPr>
        <w:lastRenderedPageBreak/>
        <w:t>resistance from the legal profession and resistance from the university.  As key stakeholders in any clinical programme, it appears useful to address these concerns.</w:t>
      </w:r>
    </w:p>
    <w:p w:rsidR="000A7CEA" w:rsidRPr="003643FF" w:rsidRDefault="002C5E0F" w:rsidP="00336CAD">
      <w:pPr>
        <w:pStyle w:val="Body"/>
        <w:spacing w:line="480" w:lineRule="auto"/>
        <w:jc w:val="both"/>
        <w:rPr>
          <w:rFonts w:ascii="Palatino Linotype" w:hAnsi="Palatino Linotype" w:cs="Times New Roman"/>
          <w:b/>
          <w:i/>
          <w:iCs/>
          <w:sz w:val="24"/>
          <w:szCs w:val="24"/>
          <w:lang w:val="en-GB"/>
        </w:rPr>
      </w:pPr>
      <w:r w:rsidRPr="003643FF">
        <w:rPr>
          <w:rFonts w:ascii="Palatino Linotype" w:hAnsi="Palatino Linotype" w:cs="Times New Roman"/>
          <w:b/>
          <w:i/>
          <w:iCs/>
          <w:sz w:val="24"/>
          <w:szCs w:val="24"/>
          <w:lang w:val="en-GB"/>
        </w:rPr>
        <w:t>Resistance/opposition from the profession</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Resistance or opposition from the profession arises from a lack of understanding of a clinic</w:t>
      </w:r>
      <w:r w:rsidR="00AB4F3A" w:rsidRPr="003643FF">
        <w:rPr>
          <w:rFonts w:ascii="Palatino Linotype" w:hAnsi="Palatino Linotype" w:cs="Times New Roman"/>
          <w:sz w:val="24"/>
          <w:szCs w:val="24"/>
          <w:lang w:val="en-GB"/>
        </w:rPr>
        <w:t>al programme</w:t>
      </w:r>
      <w:r w:rsidR="004936B0" w:rsidRPr="003643FF">
        <w:rPr>
          <w:rFonts w:ascii="Palatino Linotype" w:hAnsi="Palatino Linotype" w:cs="Times New Roman"/>
          <w:sz w:val="24"/>
          <w:szCs w:val="24"/>
          <w:lang w:val="en-GB"/>
        </w:rPr>
        <w:t>’</w:t>
      </w:r>
      <w:r w:rsidRPr="003643FF">
        <w:rPr>
          <w:rFonts w:ascii="Palatino Linotype" w:hAnsi="Palatino Linotype" w:cs="Times New Roman"/>
          <w:sz w:val="24"/>
          <w:szCs w:val="24"/>
          <w:lang w:val="en-GB"/>
        </w:rPr>
        <w:t>s goals and how it operates. This opposition seems to stem from fear of a clinic</w:t>
      </w:r>
      <w:r w:rsidR="00AB4F3A" w:rsidRPr="003643FF">
        <w:rPr>
          <w:rFonts w:ascii="Palatino Linotype" w:hAnsi="Palatino Linotype" w:cs="Times New Roman"/>
          <w:sz w:val="24"/>
          <w:szCs w:val="24"/>
          <w:lang w:val="en-GB"/>
        </w:rPr>
        <w:t>al programme</w:t>
      </w:r>
      <w:r w:rsidRPr="003643FF">
        <w:rPr>
          <w:rFonts w:ascii="Palatino Linotype" w:hAnsi="Palatino Linotype" w:cs="Times New Roman"/>
          <w:sz w:val="24"/>
          <w:szCs w:val="24"/>
          <w:lang w:val="en-GB"/>
        </w:rPr>
        <w:t xml:space="preserve"> taking away work from the profession. An attendee spoke a</w:t>
      </w:r>
      <w:r w:rsidR="00AB4F3A" w:rsidRPr="003643FF">
        <w:rPr>
          <w:rFonts w:ascii="Palatino Linotype" w:hAnsi="Palatino Linotype" w:cs="Times New Roman"/>
          <w:sz w:val="24"/>
          <w:szCs w:val="24"/>
          <w:lang w:val="en-GB"/>
        </w:rPr>
        <w:t>bout the opposition their programme</w:t>
      </w:r>
      <w:r w:rsidRPr="003643FF">
        <w:rPr>
          <w:rFonts w:ascii="Palatino Linotype" w:hAnsi="Palatino Linotype" w:cs="Times New Roman"/>
          <w:sz w:val="24"/>
          <w:szCs w:val="24"/>
          <w:lang w:val="en-GB"/>
        </w:rPr>
        <w:t xml:space="preserve"> faced when it </w:t>
      </w:r>
      <w:r w:rsidR="00D63E93" w:rsidRPr="003643FF">
        <w:rPr>
          <w:rFonts w:ascii="Palatino Linotype" w:hAnsi="Palatino Linotype" w:cs="Times New Roman"/>
          <w:sz w:val="24"/>
          <w:szCs w:val="24"/>
          <w:lang w:val="en-GB"/>
        </w:rPr>
        <w:t>was established</w:t>
      </w:r>
      <w:r w:rsidRPr="003643FF">
        <w:rPr>
          <w:rFonts w:ascii="Palatino Linotype" w:hAnsi="Palatino Linotype" w:cs="Times New Roman"/>
          <w:sz w:val="24"/>
          <w:szCs w:val="24"/>
          <w:lang w:val="en-GB"/>
        </w:rPr>
        <w:t>, how local lawyers felt as though their livelihood was in trouble and they would face more competition for clients. The clinic</w:t>
      </w:r>
      <w:r w:rsidR="00AB4F3A" w:rsidRPr="003643FF">
        <w:rPr>
          <w:rFonts w:ascii="Palatino Linotype" w:hAnsi="Palatino Linotype" w:cs="Times New Roman"/>
          <w:sz w:val="24"/>
          <w:szCs w:val="24"/>
          <w:lang w:val="en-GB"/>
        </w:rPr>
        <w:t>al programme</w:t>
      </w:r>
      <w:r w:rsidRPr="003643FF">
        <w:rPr>
          <w:rFonts w:ascii="Palatino Linotype" w:hAnsi="Palatino Linotype" w:cs="Times New Roman"/>
          <w:sz w:val="24"/>
          <w:szCs w:val="24"/>
          <w:lang w:val="en-GB"/>
        </w:rPr>
        <w:t xml:space="preserve"> had to </w:t>
      </w:r>
      <w:r w:rsidRPr="003643FF">
        <w:rPr>
          <w:rFonts w:ascii="Palatino Linotype" w:hAnsi="Palatino Linotype" w:cs="Times New Roman"/>
          <w:i/>
          <w:iCs/>
          <w:sz w:val="24"/>
          <w:szCs w:val="24"/>
          <w:lang w:val="en-GB"/>
        </w:rPr>
        <w:t>‘justify why we’re doing clinic and the type of clinic that we were running and ultimately, eventually, they came around and now they’re many of our biggest supporters in the local legal profession.’</w:t>
      </w:r>
      <w:r w:rsidRPr="003643FF">
        <w:rPr>
          <w:rFonts w:ascii="Palatino Linotype" w:hAnsi="Palatino Linotype" w:cs="Times New Roman"/>
          <w:sz w:val="24"/>
          <w:szCs w:val="24"/>
          <w:lang w:val="en-GB"/>
        </w:rPr>
        <w:t xml:space="preserve"> </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If the resistance from the legal profession is broken down then the support they can provide for a clinic</w:t>
      </w:r>
      <w:r w:rsidR="00AB4F3A" w:rsidRPr="003643FF">
        <w:rPr>
          <w:rFonts w:ascii="Palatino Linotype" w:hAnsi="Palatino Linotype" w:cs="Times New Roman"/>
          <w:sz w:val="24"/>
          <w:szCs w:val="24"/>
          <w:lang w:val="en-GB"/>
        </w:rPr>
        <w:t>al programme</w:t>
      </w:r>
      <w:r w:rsidRPr="003643FF">
        <w:rPr>
          <w:rFonts w:ascii="Palatino Linotype" w:hAnsi="Palatino Linotype" w:cs="Times New Roman"/>
          <w:sz w:val="24"/>
          <w:szCs w:val="24"/>
          <w:lang w:val="en-GB"/>
        </w:rPr>
        <w:t xml:space="preserve"> is </w:t>
      </w:r>
      <w:r w:rsidR="00AB4F3A" w:rsidRPr="003643FF">
        <w:rPr>
          <w:rFonts w:ascii="Palatino Linotype" w:hAnsi="Palatino Linotype" w:cs="Times New Roman"/>
          <w:sz w:val="24"/>
          <w:szCs w:val="24"/>
          <w:lang w:val="en-GB"/>
        </w:rPr>
        <w:t>in</w:t>
      </w:r>
      <w:r w:rsidRPr="003643FF">
        <w:rPr>
          <w:rFonts w:ascii="Palatino Linotype" w:hAnsi="Palatino Linotype" w:cs="Times New Roman"/>
          <w:sz w:val="24"/>
          <w:szCs w:val="24"/>
          <w:lang w:val="en-GB"/>
        </w:rPr>
        <w:t xml:space="preserve">valuable. </w:t>
      </w:r>
      <w:r w:rsidR="00AB4F3A" w:rsidRPr="003643FF">
        <w:rPr>
          <w:rFonts w:ascii="Palatino Linotype" w:hAnsi="Palatino Linotype" w:cs="Times New Roman"/>
          <w:sz w:val="24"/>
          <w:szCs w:val="24"/>
          <w:lang w:val="en-GB"/>
        </w:rPr>
        <w:t>Clinical programmes</w:t>
      </w:r>
      <w:r w:rsidRPr="003643FF">
        <w:rPr>
          <w:rFonts w:ascii="Palatino Linotype" w:hAnsi="Palatino Linotype" w:cs="Times New Roman"/>
          <w:sz w:val="24"/>
          <w:szCs w:val="24"/>
          <w:lang w:val="en-GB"/>
        </w:rPr>
        <w:t xml:space="preserve"> are operating all over the world and many professionals can appreciate and encourage the work they do. </w:t>
      </w:r>
      <w:r w:rsidR="002C2C31" w:rsidRPr="003643FF">
        <w:rPr>
          <w:rFonts w:ascii="Palatino Linotype" w:hAnsi="Palatino Linotype" w:cs="Times New Roman"/>
          <w:sz w:val="24"/>
          <w:szCs w:val="24"/>
          <w:lang w:val="en-GB"/>
        </w:rPr>
        <w:t>This issue is one which most clinic</w:t>
      </w:r>
      <w:r w:rsidR="00AB4F3A" w:rsidRPr="003643FF">
        <w:rPr>
          <w:rFonts w:ascii="Palatino Linotype" w:hAnsi="Palatino Linotype" w:cs="Times New Roman"/>
          <w:sz w:val="24"/>
          <w:szCs w:val="24"/>
          <w:lang w:val="en-GB"/>
        </w:rPr>
        <w:t>al programme</w:t>
      </w:r>
      <w:r w:rsidR="002C2C31" w:rsidRPr="003643FF">
        <w:rPr>
          <w:rFonts w:ascii="Palatino Linotype" w:hAnsi="Palatino Linotype" w:cs="Times New Roman"/>
          <w:sz w:val="24"/>
          <w:szCs w:val="24"/>
          <w:lang w:val="en-GB"/>
        </w:rPr>
        <w:t xml:space="preserve"> </w:t>
      </w:r>
      <w:proofErr w:type="gramStart"/>
      <w:r w:rsidR="002C2C31" w:rsidRPr="003643FF">
        <w:rPr>
          <w:rFonts w:ascii="Palatino Linotype" w:hAnsi="Palatino Linotype" w:cs="Times New Roman"/>
          <w:sz w:val="24"/>
          <w:szCs w:val="24"/>
          <w:lang w:val="en-GB"/>
        </w:rPr>
        <w:t>have</w:t>
      </w:r>
      <w:proofErr w:type="gramEnd"/>
      <w:r w:rsidR="002C2C31" w:rsidRPr="003643FF">
        <w:rPr>
          <w:rFonts w:ascii="Palatino Linotype" w:hAnsi="Palatino Linotype" w:cs="Times New Roman"/>
          <w:sz w:val="24"/>
          <w:szCs w:val="24"/>
          <w:lang w:val="en-GB"/>
        </w:rPr>
        <w:t xml:space="preserve"> faced in many countries. Even countries which now have a </w:t>
      </w:r>
      <w:proofErr w:type="spellStart"/>
      <w:r w:rsidR="002C2C31" w:rsidRPr="003643FF">
        <w:rPr>
          <w:rFonts w:ascii="Palatino Linotype" w:hAnsi="Palatino Linotype" w:cs="Times New Roman"/>
          <w:sz w:val="24"/>
          <w:szCs w:val="24"/>
          <w:lang w:val="en-GB"/>
        </w:rPr>
        <w:t>well established</w:t>
      </w:r>
      <w:proofErr w:type="spellEnd"/>
      <w:r w:rsidR="002C2C31" w:rsidRPr="003643FF">
        <w:rPr>
          <w:rFonts w:ascii="Palatino Linotype" w:hAnsi="Palatino Linotype" w:cs="Times New Roman"/>
          <w:sz w:val="24"/>
          <w:szCs w:val="24"/>
          <w:lang w:val="en-GB"/>
        </w:rPr>
        <w:t xml:space="preserve"> clinical pr</w:t>
      </w:r>
      <w:r w:rsidR="00D63E93" w:rsidRPr="003643FF">
        <w:rPr>
          <w:rFonts w:ascii="Palatino Linotype" w:hAnsi="Palatino Linotype" w:cs="Times New Roman"/>
          <w:sz w:val="24"/>
          <w:szCs w:val="24"/>
          <w:lang w:val="en-GB"/>
        </w:rPr>
        <w:t>esence in their legal education</w:t>
      </w:r>
      <w:r w:rsidR="002C2C31" w:rsidRPr="003643FF">
        <w:rPr>
          <w:rFonts w:ascii="Palatino Linotype" w:hAnsi="Palatino Linotype" w:cs="Times New Roman"/>
          <w:sz w:val="24"/>
          <w:szCs w:val="24"/>
          <w:lang w:val="en-GB"/>
        </w:rPr>
        <w:t xml:space="preserve"> have faced this</w:t>
      </w:r>
      <w:r w:rsidR="00AB4F3A" w:rsidRPr="003643FF">
        <w:rPr>
          <w:rFonts w:ascii="Palatino Linotype" w:hAnsi="Palatino Linotype" w:cs="Times New Roman"/>
          <w:sz w:val="24"/>
          <w:szCs w:val="24"/>
          <w:lang w:val="en-GB"/>
        </w:rPr>
        <w:t xml:space="preserve"> problem when setting up clinical programmes</w:t>
      </w:r>
      <w:r w:rsidR="002C2C31" w:rsidRPr="003643FF">
        <w:rPr>
          <w:rFonts w:ascii="Palatino Linotype" w:hAnsi="Palatino Linotype" w:cs="Times New Roman"/>
          <w:sz w:val="24"/>
          <w:szCs w:val="24"/>
          <w:lang w:val="en-GB"/>
        </w:rPr>
        <w:t xml:space="preserve">. For example, Giddings brings to light resistance from the profession in the early </w:t>
      </w:r>
      <w:r w:rsidR="002C2C31" w:rsidRPr="003643FF">
        <w:rPr>
          <w:rFonts w:ascii="Palatino Linotype" w:hAnsi="Palatino Linotype" w:cs="Times New Roman"/>
          <w:sz w:val="24"/>
          <w:szCs w:val="24"/>
          <w:lang w:val="en-GB"/>
        </w:rPr>
        <w:lastRenderedPageBreak/>
        <w:t>Australia movement.</w:t>
      </w:r>
      <w:r w:rsidR="002C2C31" w:rsidRPr="003643FF">
        <w:rPr>
          <w:rStyle w:val="FootnoteReference"/>
          <w:rFonts w:ascii="Palatino Linotype" w:hAnsi="Palatino Linotype" w:cs="Times New Roman"/>
          <w:sz w:val="24"/>
          <w:szCs w:val="24"/>
          <w:lang w:val="en-GB"/>
        </w:rPr>
        <w:footnoteReference w:id="6"/>
      </w:r>
      <w:r w:rsidR="002C2C31" w:rsidRPr="003643FF">
        <w:rPr>
          <w:rFonts w:ascii="Palatino Linotype" w:hAnsi="Palatino Linotype" w:cs="Times New Roman"/>
          <w:sz w:val="24"/>
          <w:szCs w:val="24"/>
          <w:lang w:val="en-GB"/>
        </w:rPr>
        <w:t xml:space="preserve">  </w:t>
      </w:r>
      <w:r w:rsidR="00BF79A2" w:rsidRPr="003643FF">
        <w:rPr>
          <w:rFonts w:ascii="Palatino Linotype" w:hAnsi="Palatino Linotype" w:cs="Times New Roman"/>
          <w:sz w:val="24"/>
          <w:szCs w:val="24"/>
          <w:lang w:val="en-GB"/>
        </w:rPr>
        <w:t xml:space="preserve">Whilst </w:t>
      </w:r>
      <w:proofErr w:type="gramStart"/>
      <w:r w:rsidR="00BF79A2" w:rsidRPr="003643FF">
        <w:rPr>
          <w:rFonts w:ascii="Palatino Linotype" w:hAnsi="Palatino Linotype" w:cs="Times New Roman"/>
          <w:sz w:val="24"/>
          <w:szCs w:val="24"/>
          <w:lang w:val="en-GB"/>
        </w:rPr>
        <w:t>this jurisdiction, and many others, ha</w:t>
      </w:r>
      <w:r w:rsidR="00AB4F3A" w:rsidRPr="003643FF">
        <w:rPr>
          <w:rFonts w:ascii="Palatino Linotype" w:hAnsi="Palatino Linotype" w:cs="Times New Roman"/>
          <w:sz w:val="24"/>
          <w:szCs w:val="24"/>
          <w:lang w:val="en-GB"/>
        </w:rPr>
        <w:t>ve</w:t>
      </w:r>
      <w:proofErr w:type="gramEnd"/>
      <w:r w:rsidR="00BF79A2"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overcome</w:t>
      </w:r>
      <w:r w:rsidR="00BF79A2" w:rsidRPr="003643FF">
        <w:rPr>
          <w:rFonts w:ascii="Palatino Linotype" w:hAnsi="Palatino Linotype" w:cs="Times New Roman"/>
          <w:sz w:val="24"/>
          <w:szCs w:val="24"/>
          <w:lang w:val="en-GB"/>
        </w:rPr>
        <w:t xml:space="preserve"> resistance</w:t>
      </w:r>
      <w:r w:rsidR="00150A6E" w:rsidRPr="003643FF">
        <w:rPr>
          <w:rFonts w:ascii="Palatino Linotype" w:hAnsi="Palatino Linotype" w:cs="Times New Roman"/>
          <w:sz w:val="24"/>
          <w:szCs w:val="24"/>
          <w:lang w:val="en-GB"/>
        </w:rPr>
        <w:t xml:space="preserve"> from the profession</w:t>
      </w:r>
      <w:r w:rsidR="00BF79A2" w:rsidRPr="003643FF">
        <w:rPr>
          <w:rFonts w:ascii="Palatino Linotype" w:hAnsi="Palatino Linotype" w:cs="Times New Roman"/>
          <w:sz w:val="24"/>
          <w:szCs w:val="24"/>
          <w:lang w:val="en-GB"/>
        </w:rPr>
        <w:t>, this cannot</w:t>
      </w:r>
      <w:r w:rsidRPr="003643FF">
        <w:rPr>
          <w:rFonts w:ascii="Palatino Linotype" w:hAnsi="Palatino Linotype" w:cs="Times New Roman"/>
          <w:sz w:val="24"/>
          <w:szCs w:val="24"/>
          <w:lang w:val="en-GB"/>
        </w:rPr>
        <w:t xml:space="preserve"> be said of all jurisdictions, where it is still a major hurdle </w:t>
      </w:r>
      <w:r w:rsidR="00CF0F55" w:rsidRPr="003643FF">
        <w:rPr>
          <w:rFonts w:ascii="Palatino Linotype" w:hAnsi="Palatino Linotype" w:cs="Times New Roman"/>
          <w:sz w:val="24"/>
          <w:szCs w:val="24"/>
          <w:lang w:val="en-GB"/>
        </w:rPr>
        <w:t>clinic</w:t>
      </w:r>
      <w:r w:rsidR="00AB4F3A" w:rsidRPr="003643FF">
        <w:rPr>
          <w:rFonts w:ascii="Palatino Linotype" w:hAnsi="Palatino Linotype" w:cs="Times New Roman"/>
          <w:sz w:val="24"/>
          <w:szCs w:val="24"/>
          <w:lang w:val="en-GB"/>
        </w:rPr>
        <w:t>al programmes</w:t>
      </w:r>
      <w:r w:rsidR="00CF0F55" w:rsidRPr="003643FF">
        <w:rPr>
          <w:rFonts w:ascii="Palatino Linotype" w:hAnsi="Palatino Linotype" w:cs="Times New Roman"/>
          <w:sz w:val="24"/>
          <w:szCs w:val="24"/>
          <w:lang w:val="en-GB"/>
        </w:rPr>
        <w:t xml:space="preserve"> face</w:t>
      </w:r>
      <w:r w:rsidRPr="003643FF">
        <w:rPr>
          <w:rFonts w:ascii="Palatino Linotype" w:hAnsi="Palatino Linotype" w:cs="Times New Roman"/>
          <w:sz w:val="24"/>
          <w:szCs w:val="24"/>
          <w:lang w:val="en-GB"/>
        </w:rPr>
        <w:t xml:space="preserve">. </w:t>
      </w:r>
      <w:r w:rsidR="00150A6E" w:rsidRPr="003643FF">
        <w:rPr>
          <w:rFonts w:ascii="Palatino Linotype" w:hAnsi="Palatino Linotype" w:cs="Times New Roman"/>
          <w:sz w:val="24"/>
          <w:szCs w:val="24"/>
          <w:lang w:val="en-GB"/>
        </w:rPr>
        <w:t>Wilson has discussed</w:t>
      </w:r>
      <w:r w:rsidR="003C0492" w:rsidRPr="003643FF">
        <w:rPr>
          <w:rFonts w:ascii="Palatino Linotype" w:hAnsi="Palatino Linotype" w:cs="Times New Roman"/>
          <w:sz w:val="24"/>
          <w:szCs w:val="24"/>
          <w:lang w:val="en-GB"/>
        </w:rPr>
        <w:t xml:space="preserve"> this issue in relation to Western Europe, in particular Germany. He states that clinic</w:t>
      </w:r>
      <w:r w:rsidR="00AB4F3A" w:rsidRPr="003643FF">
        <w:rPr>
          <w:rFonts w:ascii="Palatino Linotype" w:hAnsi="Palatino Linotype" w:cs="Times New Roman"/>
          <w:sz w:val="24"/>
          <w:szCs w:val="24"/>
          <w:lang w:val="en-GB"/>
        </w:rPr>
        <w:t>al programmes</w:t>
      </w:r>
      <w:r w:rsidR="003C0492" w:rsidRPr="003643FF">
        <w:rPr>
          <w:rFonts w:ascii="Palatino Linotype" w:hAnsi="Palatino Linotype" w:cs="Times New Roman"/>
          <w:sz w:val="24"/>
          <w:szCs w:val="24"/>
          <w:lang w:val="en-GB"/>
        </w:rPr>
        <w:t>, ‘…are seen as a threat to the earnings of those lawyers who have “paid their dues” by going through the rigorous process of admission to the bar.</w:t>
      </w:r>
      <w:r w:rsidR="00D63E93" w:rsidRPr="003643FF">
        <w:rPr>
          <w:rFonts w:ascii="Palatino Linotype" w:hAnsi="Palatino Linotype" w:cs="Times New Roman"/>
          <w:sz w:val="24"/>
          <w:szCs w:val="24"/>
          <w:lang w:val="en-GB"/>
        </w:rPr>
        <w:t>’</w:t>
      </w:r>
      <w:r w:rsidR="003C0492" w:rsidRPr="003643FF">
        <w:rPr>
          <w:rStyle w:val="FootnoteReference"/>
          <w:rFonts w:ascii="Palatino Linotype" w:hAnsi="Palatino Linotype" w:cs="Times New Roman"/>
          <w:sz w:val="24"/>
          <w:szCs w:val="24"/>
          <w:lang w:val="en-GB"/>
        </w:rPr>
        <w:footnoteReference w:id="7"/>
      </w:r>
      <w:r w:rsidR="003C0492" w:rsidRPr="003643FF">
        <w:rPr>
          <w:rFonts w:ascii="Palatino Linotype" w:hAnsi="Palatino Linotype" w:cs="Times New Roman"/>
          <w:sz w:val="24"/>
          <w:szCs w:val="24"/>
          <w:lang w:val="en-GB"/>
        </w:rPr>
        <w:t xml:space="preserve"> </w:t>
      </w:r>
    </w:p>
    <w:p w:rsidR="00364583"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This was addressed by another attendee, </w:t>
      </w:r>
      <w:r w:rsidR="00AB4F3A" w:rsidRPr="003643FF">
        <w:rPr>
          <w:rFonts w:ascii="Palatino Linotype" w:hAnsi="Palatino Linotype" w:cs="Times New Roman"/>
          <w:sz w:val="24"/>
          <w:szCs w:val="24"/>
          <w:lang w:val="en-GB"/>
        </w:rPr>
        <w:t>who stated that the work clinical programmes</w:t>
      </w:r>
      <w:r w:rsidRPr="003643FF">
        <w:rPr>
          <w:rFonts w:ascii="Palatino Linotype" w:hAnsi="Palatino Linotype" w:cs="Times New Roman"/>
          <w:sz w:val="24"/>
          <w:szCs w:val="24"/>
          <w:lang w:val="en-GB"/>
        </w:rPr>
        <w:t xml:space="preserve"> do does not really take work from the legal profession as </w:t>
      </w:r>
      <w:r w:rsidRPr="003643FF">
        <w:rPr>
          <w:rFonts w:ascii="Palatino Linotype" w:hAnsi="Palatino Linotype" w:cs="Times New Roman"/>
          <w:i/>
          <w:iCs/>
          <w:sz w:val="24"/>
          <w:szCs w:val="24"/>
          <w:lang w:val="en-GB"/>
        </w:rPr>
        <w:t xml:space="preserve">‘we are doing something else.’ </w:t>
      </w:r>
      <w:r w:rsidRPr="003643FF">
        <w:rPr>
          <w:rFonts w:ascii="Palatino Linotype" w:hAnsi="Palatino Linotype" w:cs="Times New Roman"/>
          <w:sz w:val="24"/>
          <w:szCs w:val="24"/>
          <w:lang w:val="en-GB"/>
        </w:rPr>
        <w:t>This something else is</w:t>
      </w:r>
      <w:r w:rsidR="00D63E93" w:rsidRPr="003643FF">
        <w:rPr>
          <w:rFonts w:ascii="Palatino Linotype" w:hAnsi="Palatino Linotype" w:cs="Times New Roman"/>
          <w:sz w:val="24"/>
          <w:szCs w:val="24"/>
          <w:lang w:val="en-GB"/>
        </w:rPr>
        <w:t xml:space="preserve"> arguably</w:t>
      </w:r>
      <w:r w:rsidRPr="003643FF">
        <w:rPr>
          <w:rFonts w:ascii="Palatino Linotype" w:hAnsi="Palatino Linotype" w:cs="Times New Roman"/>
          <w:sz w:val="24"/>
          <w:szCs w:val="24"/>
          <w:lang w:val="en-GB"/>
        </w:rPr>
        <w:t xml:space="preserve"> providing legal services to those who struggle for access to justice.</w:t>
      </w:r>
      <w:r w:rsidR="00D63E93"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 xml:space="preserve"> However, providing this service does</w:t>
      </w:r>
      <w:r w:rsidR="009750E8" w:rsidRPr="003643FF">
        <w:rPr>
          <w:rFonts w:ascii="Palatino Linotype" w:hAnsi="Palatino Linotype" w:cs="Times New Roman"/>
          <w:sz w:val="24"/>
          <w:szCs w:val="24"/>
          <w:lang w:val="en-GB"/>
        </w:rPr>
        <w:t xml:space="preserve"> not</w:t>
      </w:r>
      <w:r w:rsidRPr="003643FF">
        <w:rPr>
          <w:rFonts w:ascii="Palatino Linotype" w:hAnsi="Palatino Linotype" w:cs="Times New Roman"/>
          <w:sz w:val="24"/>
          <w:szCs w:val="24"/>
          <w:lang w:val="en-GB"/>
        </w:rPr>
        <w:t xml:space="preserve"> mean competition for clients, as this attendee concluded, </w:t>
      </w:r>
      <w:r w:rsidR="00CF0698" w:rsidRPr="003643FF">
        <w:rPr>
          <w:rFonts w:ascii="Palatino Linotype" w:hAnsi="Palatino Linotype" w:cs="Times New Roman"/>
          <w:i/>
          <w:iCs/>
          <w:sz w:val="24"/>
          <w:szCs w:val="24"/>
          <w:lang w:val="en-GB"/>
        </w:rPr>
        <w:t>‘b</w:t>
      </w:r>
      <w:r w:rsidRPr="003643FF">
        <w:rPr>
          <w:rFonts w:ascii="Palatino Linotype" w:hAnsi="Palatino Linotype" w:cs="Times New Roman"/>
          <w:i/>
          <w:iCs/>
          <w:sz w:val="24"/>
          <w:szCs w:val="24"/>
          <w:lang w:val="en-GB"/>
        </w:rPr>
        <w:t>ut I believe there’s no country in the world where the problems of access to justice would be solved in a way that we would really be competing to clients. We might be competing for clients in some segments, but not in a global way.’</w:t>
      </w:r>
      <w:r w:rsidRPr="003643FF">
        <w:rPr>
          <w:rFonts w:ascii="Palatino Linotype" w:hAnsi="Palatino Linotype" w:cs="Times New Roman"/>
          <w:sz w:val="24"/>
          <w:szCs w:val="24"/>
          <w:lang w:val="en-GB"/>
        </w:rPr>
        <w:t xml:space="preserve"> This is a</w:t>
      </w:r>
      <w:r w:rsidR="003C0492" w:rsidRPr="003643FF">
        <w:rPr>
          <w:rFonts w:ascii="Palatino Linotype" w:hAnsi="Palatino Linotype" w:cs="Times New Roman"/>
          <w:sz w:val="24"/>
          <w:szCs w:val="24"/>
          <w:lang w:val="en-GB"/>
        </w:rPr>
        <w:t xml:space="preserve">n opinion which has been argued before, particularly by Wilson. </w:t>
      </w:r>
      <w:r w:rsidR="00D81FC7" w:rsidRPr="003643FF">
        <w:rPr>
          <w:rFonts w:ascii="Palatino Linotype" w:hAnsi="Palatino Linotype" w:cs="Times New Roman"/>
          <w:sz w:val="24"/>
          <w:szCs w:val="24"/>
          <w:lang w:val="en-GB"/>
        </w:rPr>
        <w:t xml:space="preserve">From </w:t>
      </w:r>
      <w:r w:rsidR="001B62CC" w:rsidRPr="003643FF">
        <w:rPr>
          <w:rFonts w:ascii="Palatino Linotype" w:hAnsi="Palatino Linotype" w:cs="Times New Roman"/>
          <w:sz w:val="24"/>
          <w:szCs w:val="24"/>
          <w:lang w:val="en-GB"/>
        </w:rPr>
        <w:t>his research in Germany he</w:t>
      </w:r>
      <w:r w:rsidR="00D81FC7" w:rsidRPr="003643FF">
        <w:rPr>
          <w:rFonts w:ascii="Palatino Linotype" w:hAnsi="Palatino Linotype" w:cs="Times New Roman"/>
          <w:sz w:val="24"/>
          <w:szCs w:val="24"/>
          <w:lang w:val="en-GB"/>
        </w:rPr>
        <w:t xml:space="preserve"> provides two rebuttals to the opposition from the profession. Firstly, clini</w:t>
      </w:r>
      <w:r w:rsidR="00AB4F3A" w:rsidRPr="003643FF">
        <w:rPr>
          <w:rFonts w:ascii="Palatino Linotype" w:hAnsi="Palatino Linotype" w:cs="Times New Roman"/>
          <w:sz w:val="24"/>
          <w:szCs w:val="24"/>
          <w:lang w:val="en-GB"/>
        </w:rPr>
        <w:t>cal programmes</w:t>
      </w:r>
      <w:r w:rsidR="00D81FC7" w:rsidRPr="003643FF">
        <w:rPr>
          <w:rFonts w:ascii="Palatino Linotype" w:hAnsi="Palatino Linotype" w:cs="Times New Roman"/>
          <w:sz w:val="24"/>
          <w:szCs w:val="24"/>
          <w:lang w:val="en-GB"/>
        </w:rPr>
        <w:t xml:space="preserve"> </w:t>
      </w:r>
      <w:r w:rsidR="00D81FC7" w:rsidRPr="003643FF">
        <w:rPr>
          <w:rFonts w:ascii="Palatino Linotype" w:hAnsi="Palatino Linotype" w:cs="Times New Roman"/>
          <w:i/>
          <w:sz w:val="24"/>
          <w:szCs w:val="24"/>
          <w:lang w:val="en-GB"/>
        </w:rPr>
        <w:t>usually</w:t>
      </w:r>
      <w:r w:rsidR="00D81FC7" w:rsidRPr="003643FF">
        <w:rPr>
          <w:rFonts w:ascii="Palatino Linotype" w:hAnsi="Palatino Linotype" w:cs="Times New Roman"/>
          <w:sz w:val="24"/>
          <w:szCs w:val="24"/>
          <w:lang w:val="en-GB"/>
        </w:rPr>
        <w:t xml:space="preserve"> do not represent clients who could not otherwise afford legal services, nor would they be awarded legal aid. Secondly, students are limited in the extent they can represent clients, stating that </w:t>
      </w:r>
      <w:r w:rsidR="00D81FC7" w:rsidRPr="003643FF">
        <w:rPr>
          <w:rFonts w:ascii="Palatino Linotype" w:hAnsi="Palatino Linotype" w:cs="Times New Roman"/>
          <w:sz w:val="24"/>
          <w:szCs w:val="24"/>
          <w:lang w:val="en-GB"/>
        </w:rPr>
        <w:lastRenderedPageBreak/>
        <w:t>they focus instead on ‘a narrow range of matters.</w:t>
      </w:r>
      <w:r w:rsidR="00CF0698" w:rsidRPr="003643FF">
        <w:rPr>
          <w:rFonts w:ascii="Palatino Linotype" w:hAnsi="Palatino Linotype" w:cs="Times New Roman"/>
          <w:sz w:val="24"/>
          <w:szCs w:val="24"/>
          <w:lang w:val="en-GB"/>
        </w:rPr>
        <w:t>’</w:t>
      </w:r>
      <w:r w:rsidR="00D81FC7" w:rsidRPr="003643FF">
        <w:rPr>
          <w:rStyle w:val="FootnoteReference"/>
          <w:rFonts w:ascii="Palatino Linotype" w:hAnsi="Palatino Linotype" w:cs="Times New Roman"/>
          <w:sz w:val="24"/>
          <w:szCs w:val="24"/>
          <w:lang w:val="en-GB"/>
        </w:rPr>
        <w:t xml:space="preserve"> </w:t>
      </w:r>
      <w:r w:rsidR="00D81FC7" w:rsidRPr="003643FF">
        <w:rPr>
          <w:rStyle w:val="FootnoteReference"/>
          <w:rFonts w:ascii="Palatino Linotype" w:hAnsi="Palatino Linotype" w:cs="Times New Roman"/>
          <w:sz w:val="24"/>
          <w:szCs w:val="24"/>
          <w:lang w:val="en-GB"/>
        </w:rPr>
        <w:footnoteReference w:id="8"/>
      </w:r>
      <w:r w:rsidR="001B62CC" w:rsidRPr="003643FF">
        <w:rPr>
          <w:rFonts w:ascii="Palatino Linotype" w:hAnsi="Palatino Linotype" w:cs="Times New Roman"/>
          <w:sz w:val="24"/>
          <w:szCs w:val="24"/>
          <w:lang w:val="en-GB"/>
        </w:rPr>
        <w:t xml:space="preserve"> </w:t>
      </w:r>
      <w:r w:rsidR="00CF0698" w:rsidRPr="003643FF">
        <w:rPr>
          <w:rFonts w:ascii="Palatino Linotype" w:hAnsi="Palatino Linotype" w:cs="Times New Roman"/>
          <w:sz w:val="24"/>
          <w:szCs w:val="24"/>
          <w:lang w:val="en-GB"/>
        </w:rPr>
        <w:t xml:space="preserve">A further rebuttal is the availability of legal services.  For commercial reasons, the availability of </w:t>
      </w:r>
      <w:r w:rsidR="001D1FA2" w:rsidRPr="003643FF">
        <w:rPr>
          <w:rFonts w:ascii="Palatino Linotype" w:hAnsi="Palatino Linotype" w:cs="Times New Roman"/>
          <w:sz w:val="24"/>
          <w:szCs w:val="24"/>
          <w:lang w:val="en-GB"/>
        </w:rPr>
        <w:t>legal services in a particular area of law may not be available.  This may be due to the fact a case is not financially viable for law firms to pursue, or alternatively, it is not financially viable for a client to pay</w:t>
      </w:r>
      <w:r w:rsidR="00BE0988" w:rsidRPr="003643FF">
        <w:rPr>
          <w:rFonts w:ascii="Palatino Linotype" w:hAnsi="Palatino Linotype" w:cs="Times New Roman"/>
          <w:sz w:val="24"/>
          <w:szCs w:val="24"/>
          <w:lang w:val="en-GB"/>
        </w:rPr>
        <w:t xml:space="preserve"> for the case regardless of their means</w:t>
      </w:r>
      <w:r w:rsidR="001D1FA2" w:rsidRPr="003643FF">
        <w:rPr>
          <w:rFonts w:ascii="Palatino Linotype" w:hAnsi="Palatino Linotype" w:cs="Times New Roman"/>
          <w:sz w:val="24"/>
          <w:szCs w:val="24"/>
          <w:lang w:val="en-GB"/>
        </w:rPr>
        <w:t xml:space="preserve">.  </w:t>
      </w:r>
      <w:r w:rsidR="00364583" w:rsidRPr="003643FF">
        <w:rPr>
          <w:rFonts w:ascii="Palatino Linotype" w:hAnsi="Palatino Linotype" w:cs="Times New Roman"/>
          <w:sz w:val="24"/>
          <w:szCs w:val="24"/>
          <w:lang w:val="en-GB"/>
        </w:rPr>
        <w:t xml:space="preserve">This would often be the case in low value disputes where the legal costs would outweigh the value of the claim.  </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There will always be a need for legal services for those who do not have access to it, making the competition </w:t>
      </w:r>
      <w:r w:rsidR="00364583" w:rsidRPr="003643FF">
        <w:rPr>
          <w:rFonts w:ascii="Palatino Linotype" w:hAnsi="Palatino Linotype" w:cs="Times New Roman"/>
          <w:sz w:val="24"/>
          <w:szCs w:val="24"/>
          <w:lang w:val="en-GB"/>
        </w:rPr>
        <w:t>with</w:t>
      </w:r>
      <w:r w:rsidRPr="003643FF">
        <w:rPr>
          <w:rFonts w:ascii="Palatino Linotype" w:hAnsi="Palatino Linotype" w:cs="Times New Roman"/>
          <w:sz w:val="24"/>
          <w:szCs w:val="24"/>
          <w:lang w:val="en-GB"/>
        </w:rPr>
        <w:t xml:space="preserve"> the legal professions low. </w:t>
      </w:r>
      <w:r w:rsidR="00364583" w:rsidRPr="003643FF">
        <w:rPr>
          <w:rFonts w:ascii="Palatino Linotype" w:hAnsi="Palatino Linotype" w:cs="Times New Roman"/>
          <w:sz w:val="24"/>
          <w:szCs w:val="24"/>
          <w:lang w:val="en-GB"/>
        </w:rPr>
        <w:t>Whilst some clinical programmes may be competitive with the legal profession</w:t>
      </w:r>
      <w:r w:rsidRPr="003643FF">
        <w:rPr>
          <w:rFonts w:ascii="Palatino Linotype" w:hAnsi="Palatino Linotype" w:cs="Times New Roman"/>
          <w:sz w:val="24"/>
          <w:szCs w:val="24"/>
          <w:lang w:val="en-GB"/>
        </w:rPr>
        <w:t xml:space="preserve">, </w:t>
      </w:r>
      <w:r w:rsidR="00364583" w:rsidRPr="003643FF">
        <w:rPr>
          <w:rFonts w:ascii="Palatino Linotype" w:hAnsi="Palatino Linotype" w:cs="Times New Roman"/>
          <w:sz w:val="24"/>
          <w:szCs w:val="24"/>
          <w:lang w:val="en-GB"/>
        </w:rPr>
        <w:t xml:space="preserve">this is likely to be the exception rather than the rule.  </w:t>
      </w:r>
    </w:p>
    <w:p w:rsidR="00364583" w:rsidRPr="003643FF" w:rsidRDefault="00364583"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An example of a potentially competitive clinical model would be the business clinic.</w:t>
      </w:r>
      <w:r w:rsidR="003B0DCB"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 xml:space="preserve">It may be </w:t>
      </w:r>
      <w:r w:rsidR="003B0DCB" w:rsidRPr="003643FF">
        <w:rPr>
          <w:rFonts w:ascii="Palatino Linotype" w:hAnsi="Palatino Linotype" w:cs="Times New Roman"/>
          <w:sz w:val="24"/>
          <w:szCs w:val="24"/>
          <w:lang w:val="en-GB"/>
        </w:rPr>
        <w:t>taking some</w:t>
      </w:r>
      <w:r w:rsidR="002C5E0F" w:rsidRPr="003643FF">
        <w:rPr>
          <w:rFonts w:ascii="Palatino Linotype" w:hAnsi="Palatino Linotype" w:cs="Times New Roman"/>
          <w:sz w:val="24"/>
          <w:szCs w:val="24"/>
          <w:lang w:val="en-GB"/>
        </w:rPr>
        <w:t xml:space="preserve"> work away from the profession as they are providing free services to those whose </w:t>
      </w:r>
      <w:r w:rsidRPr="003643FF">
        <w:rPr>
          <w:rFonts w:ascii="Palatino Linotype" w:hAnsi="Palatino Linotype" w:cs="Times New Roman"/>
          <w:sz w:val="24"/>
          <w:szCs w:val="24"/>
          <w:lang w:val="en-GB"/>
        </w:rPr>
        <w:t>primary</w:t>
      </w:r>
      <w:r w:rsidR="002C5E0F" w:rsidRPr="003643FF">
        <w:rPr>
          <w:rFonts w:ascii="Palatino Linotype" w:hAnsi="Palatino Linotype" w:cs="Times New Roman"/>
          <w:sz w:val="24"/>
          <w:szCs w:val="24"/>
          <w:lang w:val="en-GB"/>
        </w:rPr>
        <w:t xml:space="preserve"> alternative </w:t>
      </w:r>
      <w:r w:rsidRPr="003643FF">
        <w:rPr>
          <w:rFonts w:ascii="Palatino Linotype" w:hAnsi="Palatino Linotype" w:cs="Times New Roman"/>
          <w:sz w:val="24"/>
          <w:szCs w:val="24"/>
          <w:lang w:val="en-GB"/>
        </w:rPr>
        <w:t xml:space="preserve">option </w:t>
      </w:r>
      <w:r w:rsidR="002C5E0F" w:rsidRPr="003643FF">
        <w:rPr>
          <w:rFonts w:ascii="Palatino Linotype" w:hAnsi="Palatino Linotype" w:cs="Times New Roman"/>
          <w:sz w:val="24"/>
          <w:szCs w:val="24"/>
          <w:lang w:val="en-GB"/>
        </w:rPr>
        <w:t>is to hire a lawyer. These clinic</w:t>
      </w:r>
      <w:r w:rsidR="00AB4F3A" w:rsidRPr="003643FF">
        <w:rPr>
          <w:rFonts w:ascii="Palatino Linotype" w:hAnsi="Palatino Linotype" w:cs="Times New Roman"/>
          <w:sz w:val="24"/>
          <w:szCs w:val="24"/>
          <w:lang w:val="en-GB"/>
        </w:rPr>
        <w:t>al programmes</w:t>
      </w:r>
      <w:r w:rsidR="002C5E0F" w:rsidRPr="003643FF">
        <w:rPr>
          <w:rFonts w:ascii="Palatino Linotype" w:hAnsi="Palatino Linotype" w:cs="Times New Roman"/>
          <w:sz w:val="24"/>
          <w:szCs w:val="24"/>
          <w:lang w:val="en-GB"/>
        </w:rPr>
        <w:t xml:space="preserve"> will find it more difficult to rebut </w:t>
      </w:r>
      <w:r w:rsidRPr="003643FF">
        <w:rPr>
          <w:rFonts w:ascii="Palatino Linotype" w:hAnsi="Palatino Linotype" w:cs="Times New Roman"/>
          <w:sz w:val="24"/>
          <w:szCs w:val="24"/>
          <w:lang w:val="en-GB"/>
        </w:rPr>
        <w:t xml:space="preserve">competition </w:t>
      </w:r>
      <w:r w:rsidR="002C5E0F" w:rsidRPr="003643FF">
        <w:rPr>
          <w:rFonts w:ascii="Palatino Linotype" w:hAnsi="Palatino Linotype" w:cs="Times New Roman"/>
          <w:sz w:val="24"/>
          <w:szCs w:val="24"/>
          <w:lang w:val="en-GB"/>
        </w:rPr>
        <w:t>argument</w:t>
      </w:r>
      <w:r w:rsidRPr="003643FF">
        <w:rPr>
          <w:rFonts w:ascii="Palatino Linotype" w:hAnsi="Palatino Linotype" w:cs="Times New Roman"/>
          <w:sz w:val="24"/>
          <w:szCs w:val="24"/>
          <w:lang w:val="en-GB"/>
        </w:rPr>
        <w:t>s</w:t>
      </w:r>
      <w:r w:rsidR="002C5E0F" w:rsidRPr="003643FF">
        <w:rPr>
          <w:rFonts w:ascii="Palatino Linotype" w:hAnsi="Palatino Linotype" w:cs="Times New Roman"/>
          <w:sz w:val="24"/>
          <w:szCs w:val="24"/>
          <w:lang w:val="en-GB"/>
        </w:rPr>
        <w:t xml:space="preserve"> and justify </w:t>
      </w:r>
      <w:r w:rsidR="00764407" w:rsidRPr="003643FF">
        <w:rPr>
          <w:rFonts w:ascii="Palatino Linotype" w:hAnsi="Palatino Linotype" w:cs="Times New Roman"/>
          <w:sz w:val="24"/>
          <w:szCs w:val="24"/>
          <w:lang w:val="en-GB"/>
        </w:rPr>
        <w:t xml:space="preserve">their </w:t>
      </w:r>
      <w:r w:rsidR="00AB4F3A" w:rsidRPr="003643FF">
        <w:rPr>
          <w:rFonts w:ascii="Palatino Linotype" w:hAnsi="Palatino Linotype" w:cs="Times New Roman"/>
          <w:sz w:val="24"/>
          <w:szCs w:val="24"/>
          <w:lang w:val="en-GB"/>
        </w:rPr>
        <w:t>programme</w:t>
      </w:r>
      <w:r w:rsidR="00764407" w:rsidRPr="003643FF">
        <w:rPr>
          <w:rFonts w:ascii="Palatino Linotype" w:hAnsi="Palatino Linotype" w:cs="Times New Roman"/>
          <w:sz w:val="24"/>
          <w:szCs w:val="24"/>
          <w:lang w:val="en-GB"/>
        </w:rPr>
        <w:t xml:space="preserve"> as a need for the community.</w:t>
      </w:r>
      <w:r w:rsidR="00707050"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However</w:t>
      </w:r>
      <w:r w:rsidR="00707050" w:rsidRPr="003643FF">
        <w:rPr>
          <w:rFonts w:ascii="Palatino Linotype" w:hAnsi="Palatino Linotype" w:cs="Times New Roman"/>
          <w:sz w:val="24"/>
          <w:szCs w:val="24"/>
          <w:lang w:val="en-GB"/>
        </w:rPr>
        <w:t xml:space="preserve">, not all business clinics assist clients who can afford legal advice. There are clients in these </w:t>
      </w:r>
      <w:r w:rsidR="00AB4F3A" w:rsidRPr="003643FF">
        <w:rPr>
          <w:rFonts w:ascii="Palatino Linotype" w:hAnsi="Palatino Linotype" w:cs="Times New Roman"/>
          <w:sz w:val="24"/>
          <w:szCs w:val="24"/>
          <w:lang w:val="en-GB"/>
        </w:rPr>
        <w:t>programmes</w:t>
      </w:r>
      <w:r w:rsidR="00707050" w:rsidRPr="003643FF">
        <w:rPr>
          <w:rFonts w:ascii="Palatino Linotype" w:hAnsi="Palatino Linotype" w:cs="Times New Roman"/>
          <w:sz w:val="24"/>
          <w:szCs w:val="24"/>
          <w:lang w:val="en-GB"/>
        </w:rPr>
        <w:t xml:space="preserve"> who cannot afford to pay heavy legal fees to help </w:t>
      </w:r>
      <w:r w:rsidR="00EA1250" w:rsidRPr="003643FF">
        <w:rPr>
          <w:rFonts w:ascii="Palatino Linotype" w:hAnsi="Palatino Linotype" w:cs="Times New Roman"/>
          <w:sz w:val="24"/>
          <w:szCs w:val="24"/>
          <w:lang w:val="en-GB"/>
        </w:rPr>
        <w:t>launch</w:t>
      </w:r>
      <w:r w:rsidR="00707050" w:rsidRPr="003643FF">
        <w:rPr>
          <w:rFonts w:ascii="Palatino Linotype" w:hAnsi="Palatino Linotype" w:cs="Times New Roman"/>
          <w:sz w:val="24"/>
          <w:szCs w:val="24"/>
          <w:lang w:val="en-GB"/>
        </w:rPr>
        <w:t xml:space="preserve"> their business, and some </w:t>
      </w:r>
      <w:r w:rsidR="00AB4F3A" w:rsidRPr="003643FF">
        <w:rPr>
          <w:rFonts w:ascii="Palatino Linotype" w:hAnsi="Palatino Linotype" w:cs="Times New Roman"/>
          <w:sz w:val="24"/>
          <w:szCs w:val="24"/>
          <w:lang w:val="en-GB"/>
        </w:rPr>
        <w:t>programmes</w:t>
      </w:r>
      <w:r w:rsidR="00707050" w:rsidRPr="003643FF">
        <w:rPr>
          <w:rFonts w:ascii="Palatino Linotype" w:hAnsi="Palatino Linotype" w:cs="Times New Roman"/>
          <w:sz w:val="24"/>
          <w:szCs w:val="24"/>
          <w:lang w:val="en-GB"/>
        </w:rPr>
        <w:t xml:space="preserve"> will establish this through a means test. </w:t>
      </w:r>
    </w:p>
    <w:p w:rsidR="00364583" w:rsidRPr="003643FF" w:rsidRDefault="00364583"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lastRenderedPageBreak/>
        <w:t>Further, some business or transactional clinics may only assist charities.  Whils</w:t>
      </w:r>
      <w:r w:rsidR="00641502" w:rsidRPr="003643FF">
        <w:rPr>
          <w:rFonts w:ascii="Palatino Linotype" w:hAnsi="Palatino Linotype" w:cs="Times New Roman"/>
          <w:sz w:val="24"/>
          <w:szCs w:val="24"/>
          <w:lang w:val="en-GB"/>
        </w:rPr>
        <w:t>t it is arguable that a charity, especially larger charities would pay for legal services, there is an argument that the wider social benefit is served by retaining money for charitable purposes rather than paying legal fees.  Even law firms often provide assistance to charit</w:t>
      </w:r>
      <w:r w:rsidR="009750E8" w:rsidRPr="003643FF">
        <w:rPr>
          <w:rFonts w:ascii="Palatino Linotype" w:hAnsi="Palatino Linotype" w:cs="Times New Roman"/>
          <w:sz w:val="24"/>
          <w:szCs w:val="24"/>
          <w:lang w:val="en-GB"/>
        </w:rPr>
        <w:t>ies on a pro bono basis recognis</w:t>
      </w:r>
      <w:r w:rsidR="00641502" w:rsidRPr="003643FF">
        <w:rPr>
          <w:rFonts w:ascii="Palatino Linotype" w:hAnsi="Palatino Linotype" w:cs="Times New Roman"/>
          <w:sz w:val="24"/>
          <w:szCs w:val="24"/>
          <w:lang w:val="en-GB"/>
        </w:rPr>
        <w:t>ing these wider social benefits.</w:t>
      </w:r>
    </w:p>
    <w:p w:rsidR="003B0DCB" w:rsidRPr="003643FF" w:rsidRDefault="00641502"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w:t>
      </w:r>
      <w:r w:rsidR="00E02F4E" w:rsidRPr="003643FF">
        <w:rPr>
          <w:rFonts w:ascii="Palatino Linotype" w:hAnsi="Palatino Linotype" w:cs="Times New Roman"/>
          <w:sz w:val="24"/>
          <w:szCs w:val="24"/>
          <w:lang w:val="en-GB"/>
        </w:rPr>
        <w:t>here is also</w:t>
      </w:r>
      <w:r w:rsidR="00707050" w:rsidRPr="003643FF">
        <w:rPr>
          <w:rFonts w:ascii="Palatino Linotype" w:hAnsi="Palatino Linotype" w:cs="Times New Roman"/>
          <w:sz w:val="24"/>
          <w:szCs w:val="24"/>
          <w:lang w:val="en-GB"/>
        </w:rPr>
        <w:t xml:space="preserve"> a strong argument for the pedagogical benefits this kind of clinic</w:t>
      </w:r>
      <w:r w:rsidR="00AB4F3A" w:rsidRPr="003643FF">
        <w:rPr>
          <w:rFonts w:ascii="Palatino Linotype" w:hAnsi="Palatino Linotype" w:cs="Times New Roman"/>
          <w:sz w:val="24"/>
          <w:szCs w:val="24"/>
          <w:lang w:val="en-GB"/>
        </w:rPr>
        <w:t>al programme</w:t>
      </w:r>
      <w:r w:rsidR="00707050" w:rsidRPr="003643FF">
        <w:rPr>
          <w:rFonts w:ascii="Palatino Linotype" w:hAnsi="Palatino Linotype" w:cs="Times New Roman"/>
          <w:sz w:val="24"/>
          <w:szCs w:val="24"/>
          <w:lang w:val="en-GB"/>
        </w:rPr>
        <w:t xml:space="preserve"> can give to students, allowing them to work in an area of law whereby they may not otherw</w:t>
      </w:r>
      <w:r w:rsidRPr="003643FF">
        <w:rPr>
          <w:rFonts w:ascii="Palatino Linotype" w:hAnsi="Palatino Linotype" w:cs="Times New Roman"/>
          <w:sz w:val="24"/>
          <w:szCs w:val="24"/>
          <w:lang w:val="en-GB"/>
        </w:rPr>
        <w:t>ise get an opportunity</w:t>
      </w:r>
      <w:r w:rsidR="00707050" w:rsidRPr="003643FF">
        <w:rPr>
          <w:rFonts w:ascii="Palatino Linotype" w:hAnsi="Palatino Linotype" w:cs="Times New Roman"/>
          <w:sz w:val="24"/>
          <w:szCs w:val="24"/>
          <w:lang w:val="en-GB"/>
        </w:rPr>
        <w:t xml:space="preserve">. </w:t>
      </w:r>
      <w:r w:rsidR="00E02F4E" w:rsidRPr="003643FF">
        <w:rPr>
          <w:rFonts w:ascii="Palatino Linotype" w:hAnsi="Palatino Linotype" w:cs="Times New Roman"/>
          <w:sz w:val="24"/>
          <w:szCs w:val="24"/>
          <w:lang w:val="en-GB"/>
        </w:rPr>
        <w:t>As Campbell states</w:t>
      </w:r>
      <w:r w:rsidR="00E02F4E" w:rsidRPr="003643FF">
        <w:rPr>
          <w:rFonts w:ascii="Palatino Linotype" w:hAnsi="Palatino Linotype" w:cs="Times New Roman"/>
          <w:i/>
          <w:sz w:val="24"/>
          <w:szCs w:val="24"/>
          <w:lang w:val="en-GB"/>
        </w:rPr>
        <w:t>, ‘It would be a shame if clinics focusing on transactional work had to continually fight for acceptance, as a consequence of a perceived detachment of that kind of work from a social justice ideology.</w:t>
      </w:r>
      <w:r w:rsidRPr="003643FF">
        <w:rPr>
          <w:rFonts w:ascii="Palatino Linotype" w:hAnsi="Palatino Linotype" w:cs="Times New Roman"/>
          <w:i/>
          <w:sz w:val="24"/>
          <w:szCs w:val="24"/>
          <w:lang w:val="en-GB"/>
        </w:rPr>
        <w:t>’</w:t>
      </w:r>
      <w:r w:rsidR="00E02F4E" w:rsidRPr="003643FF">
        <w:rPr>
          <w:rStyle w:val="FootnoteReference"/>
          <w:rFonts w:ascii="Palatino Linotype" w:hAnsi="Palatino Linotype" w:cs="Times New Roman"/>
          <w:i/>
          <w:sz w:val="24"/>
          <w:szCs w:val="24"/>
          <w:lang w:val="en-GB"/>
        </w:rPr>
        <w:footnoteReference w:id="9"/>
      </w:r>
      <w:r w:rsidR="00E02F4E" w:rsidRPr="003643FF">
        <w:rPr>
          <w:rFonts w:ascii="Palatino Linotype" w:hAnsi="Palatino Linotype" w:cs="Times New Roman"/>
          <w:sz w:val="24"/>
          <w:szCs w:val="24"/>
          <w:lang w:val="en-GB"/>
        </w:rPr>
        <w:t xml:space="preserve"> If a clinic is providing a sound education for students, </w:t>
      </w:r>
      <w:r w:rsidR="007A77D3" w:rsidRPr="003643FF">
        <w:rPr>
          <w:rFonts w:ascii="Palatino Linotype" w:hAnsi="Palatino Linotype" w:cs="Times New Roman"/>
          <w:sz w:val="24"/>
          <w:szCs w:val="24"/>
          <w:lang w:val="en-GB"/>
        </w:rPr>
        <w:t xml:space="preserve">we may ask whether </w:t>
      </w:r>
      <w:r w:rsidR="00E02F4E" w:rsidRPr="003643FF">
        <w:rPr>
          <w:rFonts w:ascii="Palatino Linotype" w:hAnsi="Palatino Linotype" w:cs="Times New Roman"/>
          <w:sz w:val="24"/>
          <w:szCs w:val="24"/>
          <w:lang w:val="en-GB"/>
        </w:rPr>
        <w:t>we</w:t>
      </w:r>
      <w:r w:rsidR="007A77D3" w:rsidRPr="003643FF">
        <w:rPr>
          <w:rFonts w:ascii="Palatino Linotype" w:hAnsi="Palatino Linotype" w:cs="Times New Roman"/>
          <w:sz w:val="24"/>
          <w:szCs w:val="24"/>
          <w:lang w:val="en-GB"/>
        </w:rPr>
        <w:t xml:space="preserve"> do</w:t>
      </w:r>
      <w:r w:rsidR="00E02F4E" w:rsidRPr="003643FF">
        <w:rPr>
          <w:rFonts w:ascii="Palatino Linotype" w:hAnsi="Palatino Linotype" w:cs="Times New Roman"/>
          <w:sz w:val="24"/>
          <w:szCs w:val="24"/>
          <w:lang w:val="en-GB"/>
        </w:rPr>
        <w:t xml:space="preserve"> </w:t>
      </w:r>
      <w:r w:rsidR="00E02F4E" w:rsidRPr="003643FF">
        <w:rPr>
          <w:rFonts w:ascii="Palatino Linotype" w:hAnsi="Palatino Linotype" w:cs="Times New Roman"/>
          <w:i/>
          <w:sz w:val="24"/>
          <w:szCs w:val="24"/>
          <w:lang w:val="en-GB"/>
        </w:rPr>
        <w:t>have</w:t>
      </w:r>
      <w:r w:rsidR="00E02F4E" w:rsidRPr="003643FF">
        <w:rPr>
          <w:rFonts w:ascii="Palatino Linotype" w:hAnsi="Palatino Linotype" w:cs="Times New Roman"/>
          <w:sz w:val="24"/>
          <w:szCs w:val="24"/>
          <w:lang w:val="en-GB"/>
        </w:rPr>
        <w:t xml:space="preserve"> to use social justice as </w:t>
      </w:r>
      <w:r w:rsidRPr="003643FF">
        <w:rPr>
          <w:rFonts w:ascii="Palatino Linotype" w:hAnsi="Palatino Linotype" w:cs="Times New Roman"/>
          <w:sz w:val="24"/>
          <w:szCs w:val="24"/>
          <w:lang w:val="en-GB"/>
        </w:rPr>
        <w:t>a justification for our clinics.</w:t>
      </w:r>
      <w:r w:rsidR="00E02F4E"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 xml:space="preserve"> </w:t>
      </w:r>
      <w:r w:rsidR="00E02F4E" w:rsidRPr="003643FF">
        <w:rPr>
          <w:rFonts w:ascii="Palatino Linotype" w:hAnsi="Palatino Linotype" w:cs="Times New Roman"/>
          <w:sz w:val="24"/>
          <w:szCs w:val="24"/>
          <w:lang w:val="en-GB"/>
        </w:rPr>
        <w:t>Surely a good education and an introduction to practice can only benefit the profession, providing them with new lawyers who have some experience</w:t>
      </w:r>
      <w:r w:rsidR="007A77D3" w:rsidRPr="003643FF">
        <w:rPr>
          <w:rFonts w:ascii="Palatino Linotype" w:hAnsi="Palatino Linotype" w:cs="Times New Roman"/>
          <w:sz w:val="24"/>
          <w:szCs w:val="24"/>
          <w:lang w:val="en-GB"/>
        </w:rPr>
        <w:t xml:space="preserve"> and equipped with the necessary skills</w:t>
      </w:r>
      <w:r w:rsidR="00E02F4E" w:rsidRPr="003643FF">
        <w:rPr>
          <w:rFonts w:ascii="Palatino Linotype" w:hAnsi="Palatino Linotype" w:cs="Times New Roman"/>
          <w:sz w:val="24"/>
          <w:szCs w:val="24"/>
          <w:lang w:val="en-GB"/>
        </w:rPr>
        <w:t xml:space="preserve">. </w:t>
      </w:r>
    </w:p>
    <w:p w:rsidR="00C660D4" w:rsidRPr="003643FF" w:rsidRDefault="00A662A1"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It is important in growing the clinical movement to establish what resistance there is to clinical legal education from the profession across Europe, and the reasons for this resistance.  We cannot address the problem unless we know the reason for it.  However, the anecdotal evidence suggests that measures can be taken to lessen the resistance.  Fundamentally, it is important to open a dialogue with the local legal </w:t>
      </w:r>
      <w:r w:rsidRPr="003643FF">
        <w:rPr>
          <w:rFonts w:ascii="Palatino Linotype" w:hAnsi="Palatino Linotype" w:cs="Times New Roman"/>
          <w:sz w:val="24"/>
          <w:szCs w:val="24"/>
          <w:lang w:val="en-GB"/>
        </w:rPr>
        <w:lastRenderedPageBreak/>
        <w:t>profession and be clear about what you are doing and why you are doing it.  If clinic</w:t>
      </w:r>
      <w:r w:rsidR="000F2576" w:rsidRPr="003643FF">
        <w:rPr>
          <w:rFonts w:ascii="Palatino Linotype" w:hAnsi="Palatino Linotype" w:cs="Times New Roman"/>
          <w:sz w:val="24"/>
          <w:szCs w:val="24"/>
          <w:lang w:val="en-GB"/>
        </w:rPr>
        <w:t>al programmes</w:t>
      </w:r>
      <w:r w:rsidRPr="003643FF">
        <w:rPr>
          <w:rFonts w:ascii="Palatino Linotype" w:hAnsi="Palatino Linotype" w:cs="Times New Roman"/>
          <w:sz w:val="24"/>
          <w:szCs w:val="24"/>
          <w:lang w:val="en-GB"/>
        </w:rPr>
        <w:t xml:space="preserve"> are seen as a benefit and not a threat, it is likely that they will attract support, rather than resistance. </w:t>
      </w:r>
      <w:r w:rsidR="00C660D4" w:rsidRPr="003643FF">
        <w:rPr>
          <w:rFonts w:ascii="Palatino Linotype" w:hAnsi="Palatino Linotype" w:cs="Times New Roman"/>
          <w:sz w:val="24"/>
          <w:szCs w:val="24"/>
          <w:lang w:val="en-GB"/>
        </w:rPr>
        <w:t xml:space="preserve"> </w:t>
      </w:r>
    </w:p>
    <w:p w:rsidR="003643FF" w:rsidRDefault="003643FF" w:rsidP="003643FF">
      <w:pPr>
        <w:pStyle w:val="Body"/>
        <w:tabs>
          <w:tab w:val="center" w:pos="4510"/>
        </w:tabs>
        <w:spacing w:line="480" w:lineRule="auto"/>
        <w:jc w:val="both"/>
        <w:rPr>
          <w:rFonts w:ascii="Palatino Linotype" w:hAnsi="Palatino Linotype" w:cs="Times New Roman"/>
          <w:b/>
          <w:i/>
          <w:iCs/>
          <w:sz w:val="24"/>
          <w:szCs w:val="24"/>
          <w:lang w:val="en-GB"/>
        </w:rPr>
      </w:pPr>
    </w:p>
    <w:p w:rsidR="003643FF" w:rsidRDefault="003643FF" w:rsidP="003643FF">
      <w:pPr>
        <w:pStyle w:val="Body"/>
        <w:tabs>
          <w:tab w:val="center" w:pos="4510"/>
        </w:tabs>
        <w:spacing w:line="480" w:lineRule="auto"/>
        <w:jc w:val="both"/>
        <w:rPr>
          <w:rFonts w:ascii="Palatino Linotype" w:hAnsi="Palatino Linotype" w:cs="Times New Roman"/>
          <w:b/>
          <w:i/>
          <w:iCs/>
          <w:sz w:val="24"/>
          <w:szCs w:val="24"/>
          <w:lang w:val="en-GB"/>
        </w:rPr>
      </w:pPr>
    </w:p>
    <w:p w:rsidR="00072CB6" w:rsidRPr="003643FF" w:rsidRDefault="000F2576" w:rsidP="003643FF">
      <w:pPr>
        <w:pStyle w:val="Body"/>
        <w:tabs>
          <w:tab w:val="center" w:pos="4510"/>
        </w:tabs>
        <w:spacing w:line="480" w:lineRule="auto"/>
        <w:jc w:val="both"/>
        <w:rPr>
          <w:rFonts w:ascii="Palatino Linotype" w:hAnsi="Palatino Linotype" w:cs="Times New Roman"/>
          <w:b/>
          <w:i/>
          <w:iCs/>
          <w:sz w:val="24"/>
          <w:szCs w:val="24"/>
          <w:lang w:val="en-GB"/>
        </w:rPr>
      </w:pPr>
      <w:r w:rsidRPr="003643FF">
        <w:rPr>
          <w:rFonts w:ascii="Palatino Linotype" w:hAnsi="Palatino Linotype" w:cs="Times New Roman"/>
          <w:b/>
          <w:i/>
          <w:iCs/>
          <w:sz w:val="24"/>
          <w:szCs w:val="24"/>
          <w:lang w:val="en-GB"/>
        </w:rPr>
        <w:t>Resistance/</w:t>
      </w:r>
      <w:r w:rsidR="00A662A1" w:rsidRPr="003643FF">
        <w:rPr>
          <w:rFonts w:ascii="Palatino Linotype" w:hAnsi="Palatino Linotype" w:cs="Times New Roman"/>
          <w:b/>
          <w:i/>
          <w:iCs/>
          <w:sz w:val="24"/>
          <w:szCs w:val="24"/>
          <w:lang w:val="en-GB"/>
        </w:rPr>
        <w:t>opposition</w:t>
      </w:r>
      <w:r w:rsidRPr="003643FF">
        <w:rPr>
          <w:rFonts w:ascii="Palatino Linotype" w:hAnsi="Palatino Linotype" w:cs="Times New Roman"/>
          <w:b/>
          <w:i/>
          <w:iCs/>
          <w:sz w:val="24"/>
          <w:szCs w:val="24"/>
          <w:lang w:val="en-GB"/>
        </w:rPr>
        <w:t xml:space="preserve"> from the academy</w:t>
      </w:r>
      <w:r w:rsidR="003643FF" w:rsidRPr="003643FF">
        <w:rPr>
          <w:rFonts w:ascii="Palatino Linotype" w:hAnsi="Palatino Linotype" w:cs="Times New Roman"/>
          <w:b/>
          <w:i/>
          <w:iCs/>
          <w:sz w:val="24"/>
          <w:szCs w:val="24"/>
          <w:lang w:val="en-GB"/>
        </w:rPr>
        <w:tab/>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This issue is one which has surfaced in many institutions across the globe. When clinic</w:t>
      </w:r>
      <w:r w:rsidR="000F2576" w:rsidRPr="003643FF">
        <w:rPr>
          <w:rFonts w:ascii="Palatino Linotype" w:hAnsi="Palatino Linotype" w:cs="Times New Roman"/>
          <w:sz w:val="24"/>
          <w:szCs w:val="24"/>
          <w:lang w:val="en-GB"/>
        </w:rPr>
        <w:t>al programmes</w:t>
      </w:r>
      <w:r w:rsidRPr="003643FF">
        <w:rPr>
          <w:rFonts w:ascii="Palatino Linotype" w:hAnsi="Palatino Linotype" w:cs="Times New Roman"/>
          <w:sz w:val="24"/>
          <w:szCs w:val="24"/>
          <w:lang w:val="en-GB"/>
        </w:rPr>
        <w:t xml:space="preserve"> began to evolve there could sometimes be opposition faced internally as well as externally.</w:t>
      </w:r>
      <w:r w:rsidRPr="003643FF">
        <w:rPr>
          <w:rFonts w:ascii="Palatino Linotype" w:eastAsia="Times New Roman" w:hAnsi="Palatino Linotype" w:cs="Times New Roman"/>
          <w:sz w:val="24"/>
          <w:szCs w:val="24"/>
          <w:vertAlign w:val="superscript"/>
          <w:lang w:val="en-GB"/>
        </w:rPr>
        <w:footnoteReference w:id="10"/>
      </w:r>
      <w:r w:rsidRPr="003643FF">
        <w:rPr>
          <w:rFonts w:ascii="Palatino Linotype" w:hAnsi="Palatino Linotype" w:cs="Times New Roman"/>
          <w:sz w:val="24"/>
          <w:szCs w:val="24"/>
          <w:lang w:val="en-GB"/>
        </w:rPr>
        <w:t xml:space="preserve"> This opposition seems to still be alive in some European clinic</w:t>
      </w:r>
      <w:r w:rsidR="00AD4BF8" w:rsidRPr="003643FF">
        <w:rPr>
          <w:rFonts w:ascii="Palatino Linotype" w:hAnsi="Palatino Linotype" w:cs="Times New Roman"/>
          <w:sz w:val="24"/>
          <w:szCs w:val="24"/>
          <w:lang w:val="en-GB"/>
        </w:rPr>
        <w:t>al programmes</w:t>
      </w:r>
      <w:r w:rsidRPr="003643FF">
        <w:rPr>
          <w:rFonts w:ascii="Palatino Linotype" w:hAnsi="Palatino Linotype" w:cs="Times New Roman"/>
          <w:sz w:val="24"/>
          <w:szCs w:val="24"/>
          <w:lang w:val="en-GB"/>
        </w:rPr>
        <w:t xml:space="preserve">, especially the newer </w:t>
      </w:r>
      <w:r w:rsidR="00AD4BF8" w:rsidRPr="003643FF">
        <w:rPr>
          <w:rFonts w:ascii="Palatino Linotype" w:hAnsi="Palatino Linotype" w:cs="Times New Roman"/>
          <w:sz w:val="24"/>
          <w:szCs w:val="24"/>
          <w:lang w:val="en-GB"/>
        </w:rPr>
        <w:t>programmes</w:t>
      </w:r>
      <w:r w:rsidRPr="003643FF">
        <w:rPr>
          <w:rFonts w:ascii="Palatino Linotype" w:hAnsi="Palatino Linotype" w:cs="Times New Roman"/>
          <w:sz w:val="24"/>
          <w:szCs w:val="24"/>
          <w:lang w:val="en-GB"/>
        </w:rPr>
        <w:t>. One attendee stated that:</w:t>
      </w:r>
    </w:p>
    <w:p w:rsidR="000A7CEA" w:rsidRPr="003643FF" w:rsidRDefault="002C5E0F" w:rsidP="003643FF">
      <w:pPr>
        <w:pStyle w:val="Body"/>
        <w:spacing w:line="480" w:lineRule="auto"/>
        <w:ind w:left="567" w:right="656"/>
        <w:jc w:val="both"/>
        <w:rPr>
          <w:rFonts w:ascii="Palatino Linotype" w:hAnsi="Palatino Linotype" w:cs="Times New Roman"/>
          <w:sz w:val="24"/>
          <w:szCs w:val="24"/>
          <w:lang w:val="en-GB"/>
        </w:rPr>
      </w:pPr>
      <w:r w:rsidRPr="003643FF">
        <w:rPr>
          <w:rFonts w:ascii="Palatino Linotype" w:hAnsi="Palatino Linotype" w:cs="Times New Roman"/>
          <w:i/>
          <w:iCs/>
          <w:sz w:val="24"/>
          <w:szCs w:val="24"/>
          <w:lang w:val="en-GB"/>
        </w:rPr>
        <w:t xml:space="preserve">‘…often academics within the faulty, within the school, can be resistant. </w:t>
      </w:r>
      <w:proofErr w:type="gramStart"/>
      <w:r w:rsidRPr="003643FF">
        <w:rPr>
          <w:rFonts w:ascii="Palatino Linotype" w:hAnsi="Palatino Linotype" w:cs="Times New Roman"/>
          <w:i/>
          <w:iCs/>
          <w:sz w:val="24"/>
          <w:szCs w:val="24"/>
          <w:lang w:val="en-GB"/>
        </w:rPr>
        <w:t>Or, even if they’re not resistant, uninterested.</w:t>
      </w:r>
      <w:proofErr w:type="gramEnd"/>
      <w:r w:rsidRPr="003643FF">
        <w:rPr>
          <w:rFonts w:ascii="Palatino Linotype" w:hAnsi="Palatino Linotype" w:cs="Times New Roman"/>
          <w:i/>
          <w:iCs/>
          <w:sz w:val="24"/>
          <w:szCs w:val="24"/>
          <w:lang w:val="en-GB"/>
        </w:rPr>
        <w:t xml:space="preserve"> And I think that a clinic can work really well when everybody’s convinced with its value, even if they don’t work within it. And they know what the students are doing with it because it can affect their own teaching.’ </w:t>
      </w:r>
    </w:p>
    <w:p w:rsidR="00035199" w:rsidRPr="003643FF" w:rsidRDefault="0031404A"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lastRenderedPageBreak/>
        <w:t xml:space="preserve">Bloch </w:t>
      </w:r>
      <w:r w:rsidR="00BF207D" w:rsidRPr="003643FF">
        <w:rPr>
          <w:rFonts w:ascii="Palatino Linotype" w:hAnsi="Palatino Linotype" w:cs="Times New Roman"/>
          <w:sz w:val="24"/>
          <w:szCs w:val="24"/>
          <w:lang w:val="en-GB"/>
        </w:rPr>
        <w:t>characteris</w:t>
      </w:r>
      <w:r w:rsidR="00F110FF" w:rsidRPr="003643FF">
        <w:rPr>
          <w:rFonts w:ascii="Palatino Linotype" w:hAnsi="Palatino Linotype" w:cs="Times New Roman"/>
          <w:sz w:val="24"/>
          <w:szCs w:val="24"/>
          <w:lang w:val="en-GB"/>
        </w:rPr>
        <w:t>es</w:t>
      </w:r>
      <w:r w:rsidRPr="003643FF">
        <w:rPr>
          <w:rFonts w:ascii="Palatino Linotype" w:hAnsi="Palatino Linotype" w:cs="Times New Roman"/>
          <w:sz w:val="24"/>
          <w:szCs w:val="24"/>
          <w:lang w:val="en-GB"/>
        </w:rPr>
        <w:t xml:space="preserve"> the tension in legal education as a ‘conflict between theory and practice.’</w:t>
      </w:r>
      <w:r w:rsidRPr="003643FF">
        <w:rPr>
          <w:rStyle w:val="FootnoteReference"/>
          <w:rFonts w:ascii="Palatino Linotype" w:hAnsi="Palatino Linotype" w:cs="Times New Roman"/>
          <w:sz w:val="24"/>
          <w:szCs w:val="24"/>
          <w:lang w:val="en-GB"/>
        </w:rPr>
        <w:footnoteReference w:id="11"/>
      </w:r>
      <w:r w:rsidR="00F110FF" w:rsidRPr="003643FF">
        <w:rPr>
          <w:rFonts w:ascii="Palatino Linotype" w:hAnsi="Palatino Linotype" w:cs="Times New Roman"/>
          <w:sz w:val="24"/>
          <w:szCs w:val="24"/>
          <w:lang w:val="en-GB"/>
        </w:rPr>
        <w:t xml:space="preserve">  </w:t>
      </w:r>
      <w:r w:rsidR="00965840" w:rsidRPr="003643FF">
        <w:rPr>
          <w:rFonts w:ascii="Palatino Linotype" w:hAnsi="Palatino Linotype" w:cs="Times New Roman"/>
          <w:sz w:val="24"/>
          <w:szCs w:val="24"/>
          <w:lang w:val="en-GB"/>
        </w:rPr>
        <w:t>Whilst theoretical scholarship has an established place within the academy, with a clear status and role for those who engage, practice or clinical scholarship has struggled to establish legitimacy.  Perh</w:t>
      </w:r>
      <w:r w:rsidR="00B44DA1" w:rsidRPr="003643FF">
        <w:rPr>
          <w:rFonts w:ascii="Palatino Linotype" w:hAnsi="Palatino Linotype" w:cs="Times New Roman"/>
          <w:sz w:val="24"/>
          <w:szCs w:val="24"/>
          <w:lang w:val="en-GB"/>
        </w:rPr>
        <w:t>aps this struggle goes to the core of clinical legal education, a</w:t>
      </w:r>
      <w:r w:rsidR="00E477B6" w:rsidRPr="003643FF">
        <w:rPr>
          <w:rFonts w:ascii="Palatino Linotype" w:hAnsi="Palatino Linotype" w:cs="Times New Roman"/>
          <w:sz w:val="24"/>
          <w:szCs w:val="24"/>
          <w:lang w:val="en-GB"/>
        </w:rPr>
        <w:t>nd in particular the background</w:t>
      </w:r>
      <w:r w:rsidR="00B44DA1" w:rsidRPr="003643FF">
        <w:rPr>
          <w:rFonts w:ascii="Palatino Linotype" w:hAnsi="Palatino Linotype" w:cs="Times New Roman"/>
          <w:sz w:val="24"/>
          <w:szCs w:val="24"/>
          <w:lang w:val="en-GB"/>
        </w:rPr>
        <w:t xml:space="preserve"> of many clinicians.  Many clinicians are lawyers, not traditional academics, and see their role as teaching legal skills.  As such, clinicians may</w:t>
      </w:r>
      <w:r w:rsidR="00E477B6" w:rsidRPr="003643FF">
        <w:rPr>
          <w:rFonts w:ascii="Palatino Linotype" w:hAnsi="Palatino Linotype" w:cs="Times New Roman"/>
          <w:sz w:val="24"/>
          <w:szCs w:val="24"/>
          <w:lang w:val="en-GB"/>
        </w:rPr>
        <w:t xml:space="preserve"> sense their role is practiced based, </w:t>
      </w:r>
      <w:r w:rsidR="003A4AC8" w:rsidRPr="003643FF">
        <w:rPr>
          <w:rFonts w:ascii="Palatino Linotype" w:hAnsi="Palatino Linotype" w:cs="Times New Roman"/>
          <w:sz w:val="24"/>
          <w:szCs w:val="24"/>
          <w:lang w:val="en-GB"/>
        </w:rPr>
        <w:t xml:space="preserve">and </w:t>
      </w:r>
      <w:r w:rsidR="00E477B6" w:rsidRPr="003643FF">
        <w:rPr>
          <w:rFonts w:ascii="Palatino Linotype" w:hAnsi="Palatino Linotype" w:cs="Times New Roman"/>
          <w:sz w:val="24"/>
          <w:szCs w:val="24"/>
          <w:lang w:val="en-GB"/>
        </w:rPr>
        <w:t>not</w:t>
      </w:r>
      <w:r w:rsidR="003A4AC8" w:rsidRPr="003643FF">
        <w:rPr>
          <w:rFonts w:ascii="Palatino Linotype" w:hAnsi="Palatino Linotype" w:cs="Times New Roman"/>
          <w:sz w:val="24"/>
          <w:szCs w:val="24"/>
          <w:lang w:val="en-GB"/>
        </w:rPr>
        <w:t xml:space="preserve"> focused on</w:t>
      </w:r>
      <w:r w:rsidR="00E477B6" w:rsidRPr="003643FF">
        <w:rPr>
          <w:rFonts w:ascii="Palatino Linotype" w:hAnsi="Palatino Linotype" w:cs="Times New Roman"/>
          <w:sz w:val="24"/>
          <w:szCs w:val="24"/>
          <w:lang w:val="en-GB"/>
        </w:rPr>
        <w:t xml:space="preserve"> publishing the theory.  Thus, it is arguable that it is clinicians who have established the barrier, or at least contributed to it.</w:t>
      </w:r>
    </w:p>
    <w:p w:rsidR="00B02DE5" w:rsidRPr="003643FF" w:rsidRDefault="00B02DE5"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However, there are also cultural barriers to overcome if clinicians are to become an accepted member of the academy.  Some law schools, especially in countries such as Germany, prefer the traditional teaching methods and do not think there is a place for practical legal teaching within their schools. This is better left for after a student has finished their degree.</w:t>
      </w:r>
      <w:r w:rsidRPr="003643FF">
        <w:rPr>
          <w:rFonts w:ascii="Palatino Linotype" w:hAnsi="Palatino Linotype" w:cs="Times New Roman"/>
          <w:sz w:val="24"/>
          <w:szCs w:val="24"/>
          <w:vertAlign w:val="superscript"/>
          <w:lang w:val="en-GB"/>
        </w:rPr>
        <w:t xml:space="preserve"> </w:t>
      </w:r>
      <w:r w:rsidRPr="003643FF">
        <w:rPr>
          <w:rFonts w:ascii="Palatino Linotype" w:hAnsi="Palatino Linotype" w:cs="Times New Roman"/>
          <w:sz w:val="24"/>
          <w:szCs w:val="24"/>
          <w:vertAlign w:val="superscript"/>
          <w:lang w:val="en-GB"/>
        </w:rPr>
        <w:footnoteReference w:id="12"/>
      </w:r>
    </w:p>
    <w:p w:rsidR="00F110FF" w:rsidRPr="003643FF" w:rsidRDefault="00035199"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It is necessary to consider that theory and practice are not mutually exclusive concepts.  Whilst theory leads to practice, practice also leads to theory and teaching at its best shapes both research and practice.</w:t>
      </w:r>
      <w:r w:rsidRPr="003643FF">
        <w:rPr>
          <w:rStyle w:val="FootnoteReference"/>
          <w:rFonts w:ascii="Palatino Linotype" w:hAnsi="Palatino Linotype" w:cs="Times New Roman"/>
          <w:sz w:val="24"/>
          <w:szCs w:val="24"/>
          <w:lang w:val="en-GB"/>
        </w:rPr>
        <w:footnoteReference w:id="13"/>
      </w:r>
      <w:r w:rsidR="00E477B6" w:rsidRPr="003643FF">
        <w:rPr>
          <w:rFonts w:ascii="Palatino Linotype" w:hAnsi="Palatino Linotype" w:cs="Times New Roman"/>
          <w:sz w:val="24"/>
          <w:szCs w:val="24"/>
          <w:lang w:val="en-GB"/>
        </w:rPr>
        <w:t xml:space="preserve"> </w:t>
      </w:r>
      <w:r w:rsidR="00B44DA1" w:rsidRPr="003643FF">
        <w:rPr>
          <w:rFonts w:ascii="Palatino Linotype" w:hAnsi="Palatino Linotype" w:cs="Times New Roman"/>
          <w:sz w:val="24"/>
          <w:szCs w:val="24"/>
          <w:lang w:val="en-GB"/>
        </w:rPr>
        <w:t xml:space="preserve"> </w:t>
      </w:r>
      <w:r w:rsidR="00D67B01" w:rsidRPr="003643FF">
        <w:rPr>
          <w:rFonts w:ascii="Palatino Linotype" w:hAnsi="Palatino Linotype" w:cs="Times New Roman"/>
          <w:sz w:val="24"/>
          <w:szCs w:val="24"/>
          <w:lang w:val="en-GB"/>
        </w:rPr>
        <w:t xml:space="preserve">Boyer posits that the term </w:t>
      </w:r>
      <w:r w:rsidR="00D67B01" w:rsidRPr="003643FF">
        <w:rPr>
          <w:rFonts w:ascii="Palatino Linotype" w:hAnsi="Palatino Linotype" w:cs="Times New Roman"/>
          <w:sz w:val="24"/>
          <w:szCs w:val="24"/>
          <w:lang w:val="en-GB"/>
        </w:rPr>
        <w:lastRenderedPageBreak/>
        <w:t>‘scholarship’ should have ‘a broader, more capacious meaning, one that brings legitimacy to the full scope of academic work.’</w:t>
      </w:r>
      <w:r w:rsidR="00D67B01" w:rsidRPr="003643FF">
        <w:rPr>
          <w:rStyle w:val="FootnoteReference"/>
          <w:rFonts w:ascii="Palatino Linotype" w:hAnsi="Palatino Linotype" w:cs="Times New Roman"/>
          <w:sz w:val="24"/>
          <w:szCs w:val="24"/>
          <w:lang w:val="en-GB"/>
        </w:rPr>
        <w:footnoteReference w:id="14"/>
      </w:r>
      <w:r w:rsidR="00D67B01" w:rsidRPr="003643FF">
        <w:rPr>
          <w:rFonts w:ascii="Palatino Linotype" w:hAnsi="Palatino Linotype" w:cs="Times New Roman"/>
          <w:sz w:val="24"/>
          <w:szCs w:val="24"/>
          <w:lang w:val="en-GB"/>
        </w:rPr>
        <w:t xml:space="preserve">  In doing so, he identifies that academic work has four separate but overlapping functions: the scholarship of discovery; the scholarship of integration; the scholarship of application; and the scholarship of teaching.</w:t>
      </w:r>
      <w:r w:rsidR="00D67B01" w:rsidRPr="003643FF">
        <w:rPr>
          <w:rStyle w:val="FootnoteReference"/>
          <w:rFonts w:ascii="Palatino Linotype" w:hAnsi="Palatino Linotype" w:cs="Times New Roman"/>
          <w:sz w:val="24"/>
          <w:szCs w:val="24"/>
          <w:lang w:val="en-GB"/>
        </w:rPr>
        <w:footnoteReference w:id="15"/>
      </w:r>
      <w:r w:rsidR="00D67B01" w:rsidRPr="003643FF">
        <w:rPr>
          <w:rFonts w:ascii="Palatino Linotype" w:hAnsi="Palatino Linotype" w:cs="Times New Roman"/>
          <w:sz w:val="24"/>
          <w:szCs w:val="24"/>
          <w:lang w:val="en-GB"/>
        </w:rPr>
        <w:t xml:space="preserve"> </w:t>
      </w:r>
      <w:r w:rsidR="00965840" w:rsidRPr="003643FF">
        <w:rPr>
          <w:rFonts w:ascii="Palatino Linotype" w:hAnsi="Palatino Linotype" w:cs="Times New Roman"/>
          <w:sz w:val="24"/>
          <w:szCs w:val="24"/>
          <w:lang w:val="en-GB"/>
        </w:rPr>
        <w:t xml:space="preserve"> </w:t>
      </w:r>
    </w:p>
    <w:p w:rsidR="00B02DE5" w:rsidRPr="003643FF" w:rsidRDefault="00B02DE5"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The scholarship of discovery is the closest element to “research”.  Boyer states that the scholarship of discovery ‘contributes not only to the stock of human knowledge but also the intellectual climate of a college or university.’</w:t>
      </w:r>
      <w:r w:rsidRPr="003643FF">
        <w:rPr>
          <w:rStyle w:val="FootnoteReference"/>
          <w:rFonts w:ascii="Palatino Linotype" w:hAnsi="Palatino Linotype" w:cs="Times New Roman"/>
          <w:sz w:val="24"/>
          <w:szCs w:val="24"/>
          <w:lang w:val="en-GB"/>
        </w:rPr>
        <w:footnoteReference w:id="16"/>
      </w:r>
      <w:r w:rsidRPr="003643FF">
        <w:rPr>
          <w:rFonts w:ascii="Palatino Linotype" w:hAnsi="Palatino Linotype" w:cs="Times New Roman"/>
          <w:sz w:val="24"/>
          <w:szCs w:val="24"/>
          <w:lang w:val="en-GB"/>
        </w:rPr>
        <w:t xml:space="preserve">  Scholarship of integration is connected to the scholarship of discovery but relates to the connections across disciplines and the knowledge is seen within a larger context.</w:t>
      </w:r>
      <w:r w:rsidRPr="003643FF">
        <w:rPr>
          <w:rStyle w:val="FootnoteReference"/>
          <w:rFonts w:ascii="Palatino Linotype" w:hAnsi="Palatino Linotype" w:cs="Times New Roman"/>
          <w:sz w:val="24"/>
          <w:szCs w:val="24"/>
          <w:lang w:val="en-GB"/>
        </w:rPr>
        <w:footnoteReference w:id="17"/>
      </w:r>
      <w:r w:rsidRPr="003643FF">
        <w:rPr>
          <w:rFonts w:ascii="Palatino Linotype" w:hAnsi="Palatino Linotype" w:cs="Times New Roman"/>
          <w:sz w:val="24"/>
          <w:szCs w:val="24"/>
          <w:lang w:val="en-GB"/>
        </w:rPr>
        <w:t xml:space="preserve">  He goes on to state that the difference between “discovery” and “integration” can be understood in the questions asked.  Academics engaged in discovery ask, “What is to be known, what is yet to be found?”  However, academics engaged in integration ask, “What do the findings mean?”</w:t>
      </w:r>
      <w:r w:rsidR="004D5349" w:rsidRPr="003643FF">
        <w:rPr>
          <w:rStyle w:val="FootnoteReference"/>
          <w:rFonts w:ascii="Palatino Linotype" w:hAnsi="Palatino Linotype" w:cs="Times New Roman"/>
          <w:sz w:val="24"/>
          <w:szCs w:val="24"/>
          <w:lang w:val="en-GB"/>
        </w:rPr>
        <w:footnoteReference w:id="18"/>
      </w:r>
      <w:r w:rsidRPr="003643FF">
        <w:rPr>
          <w:rFonts w:ascii="Palatino Linotype" w:hAnsi="Palatino Linotype" w:cs="Times New Roman"/>
          <w:sz w:val="24"/>
          <w:szCs w:val="24"/>
          <w:lang w:val="en-GB"/>
        </w:rPr>
        <w:t xml:space="preserve"> The third element, the scholarship of application, addresses how knowledge can be applied to consequential problems and help both individuals and </w:t>
      </w:r>
      <w:r w:rsidR="004D5349" w:rsidRPr="003643FF">
        <w:rPr>
          <w:rFonts w:ascii="Palatino Linotype" w:hAnsi="Palatino Linotype" w:cs="Times New Roman"/>
          <w:sz w:val="24"/>
          <w:szCs w:val="24"/>
          <w:lang w:val="en-GB"/>
        </w:rPr>
        <w:t>institutions</w:t>
      </w:r>
      <w:r w:rsidRPr="003643FF">
        <w:rPr>
          <w:rFonts w:ascii="Palatino Linotype" w:hAnsi="Palatino Linotype" w:cs="Times New Roman"/>
          <w:sz w:val="24"/>
          <w:szCs w:val="24"/>
          <w:lang w:val="en-GB"/>
        </w:rPr>
        <w:t>.</w:t>
      </w:r>
      <w:r w:rsidR="004D5349" w:rsidRPr="003643FF">
        <w:rPr>
          <w:rStyle w:val="FootnoteReference"/>
          <w:rFonts w:ascii="Palatino Linotype" w:hAnsi="Palatino Linotype" w:cs="Times New Roman"/>
          <w:sz w:val="24"/>
          <w:szCs w:val="24"/>
          <w:lang w:val="en-GB"/>
        </w:rPr>
        <w:footnoteReference w:id="19"/>
      </w:r>
      <w:r w:rsidRPr="003643FF">
        <w:rPr>
          <w:rFonts w:ascii="Palatino Linotype" w:hAnsi="Palatino Linotype" w:cs="Times New Roman"/>
          <w:sz w:val="24"/>
          <w:szCs w:val="24"/>
          <w:lang w:val="en-GB"/>
        </w:rPr>
        <w:t xml:space="preserve"> Boyer is careful to point out that application is not a one-way </w:t>
      </w:r>
      <w:r w:rsidRPr="003643FF">
        <w:rPr>
          <w:rFonts w:ascii="Palatino Linotype" w:hAnsi="Palatino Linotype" w:cs="Times New Roman"/>
          <w:sz w:val="24"/>
          <w:szCs w:val="24"/>
          <w:lang w:val="en-GB"/>
        </w:rPr>
        <w:lastRenderedPageBreak/>
        <w:t>street; knowledge is not merely discovered then applied.  Indeed, new intellectual understanding can arise from the application of the knowledge; theory and practice interact so that one will renew the other.</w:t>
      </w:r>
      <w:r w:rsidR="004D5349" w:rsidRPr="003643FF">
        <w:rPr>
          <w:rStyle w:val="FootnoteReference"/>
          <w:rFonts w:ascii="Palatino Linotype" w:hAnsi="Palatino Linotype" w:cs="Times New Roman"/>
          <w:sz w:val="24"/>
          <w:szCs w:val="24"/>
          <w:lang w:val="en-GB"/>
        </w:rPr>
        <w:footnoteReference w:id="20"/>
      </w:r>
      <w:r w:rsidRPr="003643FF">
        <w:rPr>
          <w:rFonts w:ascii="Palatino Linotype" w:hAnsi="Palatino Linotype" w:cs="Times New Roman"/>
          <w:sz w:val="24"/>
          <w:szCs w:val="24"/>
          <w:lang w:val="en-GB"/>
        </w:rPr>
        <w:t xml:space="preserve">  Finally, the scholarship of teaching is more than transmitting knowledge, it is “transforming” and “extending</w:t>
      </w:r>
      <w:r w:rsidR="004D5349" w:rsidRPr="003643FF">
        <w:rPr>
          <w:rFonts w:ascii="Palatino Linotype" w:hAnsi="Palatino Linotype" w:cs="Times New Roman"/>
          <w:sz w:val="24"/>
          <w:szCs w:val="24"/>
          <w:lang w:val="en-GB"/>
        </w:rPr>
        <w:t>” it as well</w:t>
      </w:r>
      <w:r w:rsidRPr="003643FF">
        <w:rPr>
          <w:rFonts w:ascii="Palatino Linotype" w:hAnsi="Palatino Linotype" w:cs="Times New Roman"/>
          <w:sz w:val="24"/>
          <w:szCs w:val="24"/>
          <w:lang w:val="en-GB"/>
        </w:rPr>
        <w:t>.</w:t>
      </w:r>
      <w:r w:rsidR="004D5349" w:rsidRPr="003643FF">
        <w:rPr>
          <w:rStyle w:val="FootnoteReference"/>
          <w:rFonts w:ascii="Palatino Linotype" w:hAnsi="Palatino Linotype" w:cs="Times New Roman"/>
          <w:sz w:val="24"/>
          <w:szCs w:val="24"/>
          <w:lang w:val="en-GB"/>
        </w:rPr>
        <w:footnoteReference w:id="21"/>
      </w:r>
      <w:r w:rsidRPr="003643FF">
        <w:rPr>
          <w:rFonts w:ascii="Palatino Linotype" w:hAnsi="Palatino Linotype" w:cs="Times New Roman"/>
          <w:sz w:val="24"/>
          <w:szCs w:val="24"/>
          <w:lang w:val="en-GB"/>
        </w:rPr>
        <w:t xml:space="preserve">  The scholarship of teaching is important as it not only educates but also entices fu</w:t>
      </w:r>
      <w:r w:rsidR="004D5349" w:rsidRPr="003643FF">
        <w:rPr>
          <w:rFonts w:ascii="Palatino Linotype" w:hAnsi="Palatino Linotype" w:cs="Times New Roman"/>
          <w:sz w:val="24"/>
          <w:szCs w:val="24"/>
          <w:lang w:val="en-GB"/>
        </w:rPr>
        <w:t>ture scholars</w:t>
      </w:r>
      <w:r w:rsidRPr="003643FF">
        <w:rPr>
          <w:rFonts w:ascii="Palatino Linotype" w:hAnsi="Palatino Linotype" w:cs="Times New Roman"/>
          <w:sz w:val="24"/>
          <w:szCs w:val="24"/>
          <w:lang w:val="en-GB"/>
        </w:rPr>
        <w:t>.</w:t>
      </w:r>
      <w:r w:rsidR="004D5349" w:rsidRPr="003643FF">
        <w:rPr>
          <w:rStyle w:val="FootnoteReference"/>
          <w:rFonts w:ascii="Palatino Linotype" w:hAnsi="Palatino Linotype" w:cs="Times New Roman"/>
          <w:sz w:val="24"/>
          <w:szCs w:val="24"/>
          <w:lang w:val="en-GB"/>
        </w:rPr>
        <w:footnoteReference w:id="22"/>
      </w:r>
    </w:p>
    <w:p w:rsidR="004D5349" w:rsidRPr="003643FF" w:rsidRDefault="004D5349"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Hutchings and Shulman stated that the ‘scholarship of teaching’ has three ‘central features of being public (“community property”), open to critique and evaluation and in a form that others can build on’.  They go on to state that there is a fourth attribute, namely ‘that it involves question-asking, inquiry and investigation, particularly around the issues of student learning.’</w:t>
      </w:r>
      <w:r w:rsidRPr="003643FF">
        <w:rPr>
          <w:rStyle w:val="FootnoteReference"/>
          <w:rFonts w:ascii="Palatino Linotype" w:hAnsi="Palatino Linotype" w:cs="Times New Roman"/>
          <w:sz w:val="24"/>
          <w:szCs w:val="24"/>
          <w:lang w:val="en-GB"/>
        </w:rPr>
        <w:footnoteReference w:id="23"/>
      </w:r>
    </w:p>
    <w:p w:rsidR="004D5349" w:rsidRPr="003643FF" w:rsidRDefault="00D76470"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In applying the notion of scholarship of teaching to clinical scholarship, clinicians are uniquely placed to study the legal profession from a different perspective to their academic colleagues.  Indeed Bloch highlights that that a ‘great strength of clinical legal education is that it embraces its ties to the “real world” of law practice.  The clinical methodology gains much of its richness when student are immersed in </w:t>
      </w:r>
      <w:r w:rsidRPr="003643FF">
        <w:rPr>
          <w:rFonts w:ascii="Palatino Linotype" w:hAnsi="Palatino Linotype" w:cs="Times New Roman"/>
          <w:sz w:val="24"/>
          <w:szCs w:val="24"/>
          <w:lang w:val="en-GB"/>
        </w:rPr>
        <w:lastRenderedPageBreak/>
        <w:t>actual lawyer work, with all of its complexities and ambiguities.”</w:t>
      </w:r>
      <w:r w:rsidRPr="003643FF">
        <w:rPr>
          <w:rStyle w:val="FootnoteReference"/>
          <w:rFonts w:ascii="Palatino Linotype" w:hAnsi="Palatino Linotype" w:cs="Times New Roman"/>
          <w:sz w:val="24"/>
          <w:szCs w:val="24"/>
          <w:lang w:val="en-GB"/>
        </w:rPr>
        <w:footnoteReference w:id="24"/>
      </w:r>
      <w:r w:rsidRPr="003643FF">
        <w:rPr>
          <w:rFonts w:ascii="Palatino Linotype" w:hAnsi="Palatino Linotype" w:cs="Times New Roman"/>
          <w:sz w:val="24"/>
          <w:szCs w:val="24"/>
          <w:lang w:val="en-GB"/>
        </w:rPr>
        <w:t xml:space="preserve">  It is thus important that clinical work is made public allowing others to scrutinise and build upon the work already undertaken.  Whilst there has been an historic tendency for clinicians </w:t>
      </w:r>
      <w:r w:rsidR="002A35AC" w:rsidRPr="003643FF">
        <w:rPr>
          <w:rFonts w:ascii="Palatino Linotype" w:hAnsi="Palatino Linotype" w:cs="Times New Roman"/>
          <w:sz w:val="24"/>
          <w:szCs w:val="24"/>
          <w:lang w:val="en-GB"/>
        </w:rPr>
        <w:t xml:space="preserve">either not to engage in scholarship, or alternatively to talk over one another, this has hindered the development of clinical scholarship within the academy.  By engaging in such scholarship, arguably clinical scholarship will become an accepted part of the academy and thus reduce internal friction. </w:t>
      </w:r>
    </w:p>
    <w:p w:rsidR="00140C17" w:rsidRPr="003643FF" w:rsidRDefault="002A35AC"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However, there are also practical difficulties faced by clinicians if they are to be on equal footing to other academics.  </w:t>
      </w:r>
      <w:r w:rsidR="002C5E0F" w:rsidRPr="003643FF">
        <w:rPr>
          <w:rFonts w:ascii="Palatino Linotype" w:hAnsi="Palatino Linotype" w:cs="Times New Roman"/>
          <w:sz w:val="24"/>
          <w:szCs w:val="24"/>
          <w:lang w:val="en-GB"/>
        </w:rPr>
        <w:t xml:space="preserve">As well as running the clinic they </w:t>
      </w:r>
      <w:r w:rsidRPr="003643FF">
        <w:rPr>
          <w:rFonts w:ascii="Palatino Linotype" w:hAnsi="Palatino Linotype" w:cs="Times New Roman"/>
          <w:sz w:val="24"/>
          <w:szCs w:val="24"/>
          <w:lang w:val="en-GB"/>
        </w:rPr>
        <w:t>may</w:t>
      </w:r>
      <w:r w:rsidR="002C5E0F" w:rsidRPr="003643FF">
        <w:rPr>
          <w:rFonts w:ascii="Palatino Linotype" w:hAnsi="Palatino Linotype" w:cs="Times New Roman"/>
          <w:sz w:val="24"/>
          <w:szCs w:val="24"/>
          <w:lang w:val="en-GB"/>
        </w:rPr>
        <w:t xml:space="preserve"> also have the same responsibilities and duties </w:t>
      </w:r>
      <w:r w:rsidRPr="003643FF">
        <w:rPr>
          <w:rFonts w:ascii="Palatino Linotype" w:hAnsi="Palatino Linotype" w:cs="Times New Roman"/>
          <w:sz w:val="24"/>
          <w:szCs w:val="24"/>
          <w:lang w:val="en-GB"/>
        </w:rPr>
        <w:t>as the other academics</w:t>
      </w:r>
      <w:r w:rsidR="002C5E0F"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with</w:t>
      </w:r>
      <w:r w:rsidR="002C5E0F" w:rsidRPr="003643FF">
        <w:rPr>
          <w:rFonts w:ascii="Palatino Linotype" w:hAnsi="Palatino Linotype" w:cs="Times New Roman"/>
          <w:sz w:val="24"/>
          <w:szCs w:val="24"/>
          <w:lang w:val="en-GB"/>
        </w:rPr>
        <w:t>in the institution, but will not get paid extra for this extra work or have their other workload lessened. This is an issue which could have an impact on the running and sustainability of clinic</w:t>
      </w:r>
      <w:r w:rsidR="005237BF" w:rsidRPr="003643FF">
        <w:rPr>
          <w:rFonts w:ascii="Palatino Linotype" w:hAnsi="Palatino Linotype" w:cs="Times New Roman"/>
          <w:sz w:val="24"/>
          <w:szCs w:val="24"/>
          <w:lang w:val="en-GB"/>
        </w:rPr>
        <w:t>al programmes</w:t>
      </w:r>
      <w:r w:rsidR="002C5E0F" w:rsidRPr="003643FF">
        <w:rPr>
          <w:rFonts w:ascii="Palatino Linotype" w:hAnsi="Palatino Linotype" w:cs="Times New Roman"/>
          <w:sz w:val="24"/>
          <w:szCs w:val="24"/>
          <w:lang w:val="en-GB"/>
        </w:rPr>
        <w:t xml:space="preserve">. </w:t>
      </w:r>
      <w:r w:rsidR="005237BF" w:rsidRPr="003643FF">
        <w:rPr>
          <w:rFonts w:ascii="Palatino Linotype" w:hAnsi="Palatino Linotype" w:cs="Times New Roman"/>
          <w:sz w:val="24"/>
          <w:szCs w:val="24"/>
          <w:lang w:val="en-GB"/>
        </w:rPr>
        <w:t>Clinical programme</w:t>
      </w:r>
      <w:r w:rsidR="002C5E0F" w:rsidRPr="003643FF">
        <w:rPr>
          <w:rFonts w:ascii="Palatino Linotype" w:hAnsi="Palatino Linotype" w:cs="Times New Roman"/>
          <w:sz w:val="24"/>
          <w:szCs w:val="24"/>
          <w:lang w:val="en-GB"/>
        </w:rPr>
        <w:t xml:space="preserve">s are becoming an </w:t>
      </w:r>
      <w:r w:rsidRPr="003643FF">
        <w:rPr>
          <w:rFonts w:ascii="Palatino Linotype" w:hAnsi="Palatino Linotype" w:cs="Times New Roman"/>
          <w:sz w:val="24"/>
          <w:szCs w:val="24"/>
          <w:lang w:val="en-GB"/>
        </w:rPr>
        <w:t>ac</w:t>
      </w:r>
      <w:r w:rsidR="002C5E0F" w:rsidRPr="003643FF">
        <w:rPr>
          <w:rFonts w:ascii="Palatino Linotype" w:hAnsi="Palatino Linotype" w:cs="Times New Roman"/>
          <w:sz w:val="24"/>
          <w:szCs w:val="24"/>
          <w:lang w:val="en-GB"/>
        </w:rPr>
        <w:t>cepted form of legal education and the clinicians running them should be allowed the time</w:t>
      </w:r>
      <w:r w:rsidR="00DD26C4" w:rsidRPr="003643FF">
        <w:rPr>
          <w:rFonts w:ascii="Palatino Linotype" w:hAnsi="Palatino Linotype" w:cs="Times New Roman"/>
          <w:sz w:val="24"/>
          <w:szCs w:val="24"/>
          <w:lang w:val="en-GB"/>
        </w:rPr>
        <w:t xml:space="preserve"> and support</w:t>
      </w:r>
      <w:r w:rsidR="002C5E0F" w:rsidRPr="003643FF">
        <w:rPr>
          <w:rFonts w:ascii="Palatino Linotype" w:hAnsi="Palatino Linotype" w:cs="Times New Roman"/>
          <w:sz w:val="24"/>
          <w:szCs w:val="24"/>
          <w:lang w:val="en-GB"/>
        </w:rPr>
        <w:t xml:space="preserve"> to do so. </w:t>
      </w:r>
    </w:p>
    <w:p w:rsidR="00985214" w:rsidRPr="003643FF" w:rsidRDefault="00DE2C1E"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Whilst clinicians work extremely hard to make their </w:t>
      </w:r>
      <w:r w:rsidR="005237BF" w:rsidRPr="003643FF">
        <w:rPr>
          <w:rFonts w:ascii="Palatino Linotype" w:hAnsi="Palatino Linotype" w:cs="Times New Roman"/>
          <w:sz w:val="24"/>
          <w:szCs w:val="24"/>
          <w:lang w:val="en-GB"/>
        </w:rPr>
        <w:t>programmes</w:t>
      </w:r>
      <w:r w:rsidRPr="003643FF">
        <w:rPr>
          <w:rFonts w:ascii="Palatino Linotype" w:hAnsi="Palatino Linotype" w:cs="Times New Roman"/>
          <w:sz w:val="24"/>
          <w:szCs w:val="24"/>
          <w:lang w:val="en-GB"/>
        </w:rPr>
        <w:t xml:space="preserve"> successful, there can be a lack of recognition. They may not be publishing as much as </w:t>
      </w:r>
      <w:r w:rsidR="002A35AC" w:rsidRPr="003643FF">
        <w:rPr>
          <w:rFonts w:ascii="Palatino Linotype" w:hAnsi="Palatino Linotype" w:cs="Times New Roman"/>
          <w:sz w:val="24"/>
          <w:szCs w:val="24"/>
          <w:lang w:val="en-GB"/>
        </w:rPr>
        <w:t>other members of academic staff or their achievements</w:t>
      </w:r>
      <w:r w:rsidRPr="003643FF">
        <w:rPr>
          <w:rFonts w:ascii="Palatino Linotype" w:hAnsi="Palatino Linotype" w:cs="Times New Roman"/>
          <w:sz w:val="24"/>
          <w:szCs w:val="24"/>
          <w:lang w:val="en-GB"/>
        </w:rPr>
        <w:t xml:space="preserve"> not as widely </w:t>
      </w:r>
      <w:r w:rsidR="00BF207D" w:rsidRPr="003643FF">
        <w:rPr>
          <w:rFonts w:ascii="Palatino Linotype" w:hAnsi="Palatino Linotype" w:cs="Times New Roman"/>
          <w:sz w:val="24"/>
          <w:szCs w:val="24"/>
          <w:lang w:val="en-GB"/>
        </w:rPr>
        <w:t>recognis</w:t>
      </w:r>
      <w:r w:rsidR="00985214" w:rsidRPr="003643FF">
        <w:rPr>
          <w:rFonts w:ascii="Palatino Linotype" w:hAnsi="Palatino Linotype" w:cs="Times New Roman"/>
          <w:sz w:val="24"/>
          <w:szCs w:val="24"/>
          <w:lang w:val="en-GB"/>
        </w:rPr>
        <w:t>ed</w:t>
      </w:r>
      <w:r w:rsidRPr="003643FF">
        <w:rPr>
          <w:rFonts w:ascii="Palatino Linotype" w:hAnsi="Palatino Linotype" w:cs="Times New Roman"/>
          <w:sz w:val="24"/>
          <w:szCs w:val="24"/>
          <w:lang w:val="en-GB"/>
        </w:rPr>
        <w:t xml:space="preserve">. For example, </w:t>
      </w:r>
      <w:r w:rsidR="00FE6FF6" w:rsidRPr="003643FF">
        <w:rPr>
          <w:rFonts w:ascii="Palatino Linotype" w:hAnsi="Palatino Linotype" w:cs="Times New Roman"/>
          <w:sz w:val="24"/>
          <w:szCs w:val="24"/>
          <w:lang w:val="en-GB"/>
        </w:rPr>
        <w:t>Donnelly argues that,</w:t>
      </w:r>
      <w:r w:rsidR="002A35AC" w:rsidRPr="003643FF">
        <w:rPr>
          <w:rFonts w:ascii="Palatino Linotype" w:hAnsi="Palatino Linotype" w:cs="Times New Roman"/>
          <w:sz w:val="24"/>
          <w:szCs w:val="24"/>
          <w:lang w:val="en-GB"/>
        </w:rPr>
        <w:t xml:space="preserve"> </w:t>
      </w:r>
      <w:r w:rsidRPr="003643FF">
        <w:rPr>
          <w:rFonts w:ascii="Palatino Linotype" w:hAnsi="Palatino Linotype" w:cs="Times New Roman"/>
          <w:i/>
          <w:sz w:val="24"/>
          <w:szCs w:val="24"/>
          <w:lang w:val="en-GB"/>
        </w:rPr>
        <w:t>‘</w:t>
      </w:r>
      <w:r w:rsidR="002A35AC" w:rsidRPr="003643FF">
        <w:rPr>
          <w:rFonts w:ascii="Palatino Linotype" w:hAnsi="Palatino Linotype" w:cs="Times New Roman"/>
          <w:i/>
          <w:sz w:val="24"/>
          <w:szCs w:val="24"/>
          <w:lang w:val="en-GB"/>
        </w:rPr>
        <w:t>[</w:t>
      </w:r>
      <w:proofErr w:type="spellStart"/>
      <w:r w:rsidR="002A35AC" w:rsidRPr="003643FF">
        <w:rPr>
          <w:rFonts w:ascii="Palatino Linotype" w:hAnsi="Palatino Linotype" w:cs="Times New Roman"/>
          <w:i/>
          <w:sz w:val="24"/>
          <w:szCs w:val="24"/>
          <w:lang w:val="en-GB"/>
        </w:rPr>
        <w:t>i</w:t>
      </w:r>
      <w:proofErr w:type="spellEnd"/>
      <w:r w:rsidR="002A35AC" w:rsidRPr="003643FF">
        <w:rPr>
          <w:rFonts w:ascii="Palatino Linotype" w:hAnsi="Palatino Linotype" w:cs="Times New Roman"/>
          <w:i/>
          <w:sz w:val="24"/>
          <w:szCs w:val="24"/>
          <w:lang w:val="en-GB"/>
        </w:rPr>
        <w:t>]</w:t>
      </w:r>
      <w:r w:rsidRPr="003643FF">
        <w:rPr>
          <w:rFonts w:ascii="Palatino Linotype" w:hAnsi="Palatino Linotype" w:cs="Times New Roman"/>
          <w:i/>
          <w:sz w:val="24"/>
          <w:szCs w:val="24"/>
          <w:lang w:val="en-GB"/>
        </w:rPr>
        <w:t xml:space="preserve">t is grossly unrealistic to hold clinicians to the same boilerplate </w:t>
      </w:r>
      <w:r w:rsidRPr="003643FF">
        <w:rPr>
          <w:rFonts w:ascii="Palatino Linotype" w:hAnsi="Palatino Linotype" w:cs="Times New Roman"/>
          <w:i/>
          <w:sz w:val="24"/>
          <w:szCs w:val="24"/>
          <w:lang w:val="en-GB"/>
        </w:rPr>
        <w:lastRenderedPageBreak/>
        <w:t>standard as our colleagues when seeking promotion, especially when there is still little recognition granted to clinical work.</w:t>
      </w:r>
      <w:r w:rsidR="002A35AC" w:rsidRPr="003643FF">
        <w:rPr>
          <w:rFonts w:ascii="Palatino Linotype" w:hAnsi="Palatino Linotype" w:cs="Times New Roman"/>
          <w:i/>
          <w:sz w:val="24"/>
          <w:szCs w:val="24"/>
          <w:lang w:val="en-GB"/>
        </w:rPr>
        <w:t>’</w:t>
      </w:r>
      <w:r w:rsidR="00FE6FF6" w:rsidRPr="003643FF">
        <w:rPr>
          <w:rStyle w:val="FootnoteReference"/>
          <w:rFonts w:ascii="Palatino Linotype" w:hAnsi="Palatino Linotype" w:cs="Times New Roman"/>
          <w:sz w:val="24"/>
          <w:szCs w:val="24"/>
          <w:lang w:val="en-GB"/>
        </w:rPr>
        <w:footnoteReference w:id="25"/>
      </w:r>
      <w:r w:rsidR="00FE6FF6" w:rsidRPr="003643FF">
        <w:rPr>
          <w:rFonts w:ascii="Palatino Linotype" w:hAnsi="Palatino Linotype" w:cs="Times New Roman"/>
          <w:sz w:val="24"/>
          <w:szCs w:val="24"/>
          <w:lang w:val="en-GB"/>
        </w:rPr>
        <w:t xml:space="preserve"> </w:t>
      </w:r>
    </w:p>
    <w:p w:rsidR="00140C17" w:rsidRPr="003643FF" w:rsidRDefault="00140C17"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The publishing element of a clinician’s work provides another issue in the argument of scholarship. As lawyers, and not academics, some clinicians are not provided with, or encouraged, to undertake training in how to conduct research and publish it. This makes it difficult for clinicians to produce the work they would like to and push them further to this scholarship status.</w:t>
      </w:r>
    </w:p>
    <w:p w:rsidR="00140C17" w:rsidRPr="003643FF" w:rsidRDefault="00140C17"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Furthermore, even if this training is provided not every institution allows sufficient work allocation to conduct and write up research. If a clinician wishes to write research for publication this comes out of their own time, which they do not seem to have a lot of when running a clinic. </w:t>
      </w:r>
    </w:p>
    <w:p w:rsidR="00140C17" w:rsidRPr="003643FF" w:rsidRDefault="00140C17" w:rsidP="00336CAD">
      <w:pPr>
        <w:pStyle w:val="Body"/>
        <w:spacing w:line="480" w:lineRule="auto"/>
        <w:jc w:val="both"/>
        <w:rPr>
          <w:rFonts w:ascii="Palatino Linotype" w:hAnsi="Palatino Linotype" w:cs="Times New Roman"/>
          <w:iCs/>
          <w:sz w:val="24"/>
          <w:szCs w:val="24"/>
          <w:lang w:val="en-GB"/>
        </w:rPr>
      </w:pPr>
      <w:r w:rsidRPr="003643FF">
        <w:rPr>
          <w:rFonts w:ascii="Palatino Linotype" w:hAnsi="Palatino Linotype" w:cs="Times New Roman"/>
          <w:sz w:val="24"/>
          <w:szCs w:val="24"/>
          <w:lang w:val="en-GB"/>
        </w:rPr>
        <w:t xml:space="preserve">If clinicians are to have equal status within the academy, it is important that they undertake research or, clinical scholarship.  As the clinical movement it growing it is imperative that we gather evidence as to the effectiveness of our practice and that we are sharing our experiences. By making our work public, we allow others to learn from our experience and build upon our work, thus improving the quality of the educational experience.   </w:t>
      </w:r>
    </w:p>
    <w:p w:rsidR="00CC48D4" w:rsidRPr="003643FF" w:rsidRDefault="00140C17"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Considering the</w:t>
      </w:r>
      <w:r w:rsidR="009968D5" w:rsidRPr="003643FF">
        <w:rPr>
          <w:rFonts w:ascii="Palatino Linotype" w:hAnsi="Palatino Linotype" w:cs="Times New Roman"/>
          <w:sz w:val="24"/>
          <w:szCs w:val="24"/>
          <w:lang w:val="en-GB"/>
        </w:rPr>
        <w:t>se</w:t>
      </w:r>
      <w:r w:rsidRPr="003643FF">
        <w:rPr>
          <w:rFonts w:ascii="Palatino Linotype" w:hAnsi="Palatino Linotype" w:cs="Times New Roman"/>
          <w:sz w:val="24"/>
          <w:szCs w:val="24"/>
          <w:lang w:val="en-GB"/>
        </w:rPr>
        <w:t xml:space="preserve"> differences, c</w:t>
      </w:r>
      <w:r w:rsidR="00985214" w:rsidRPr="003643FF">
        <w:rPr>
          <w:rFonts w:ascii="Palatino Linotype" w:hAnsi="Palatino Linotype" w:cs="Times New Roman"/>
          <w:sz w:val="24"/>
          <w:szCs w:val="24"/>
          <w:lang w:val="en-GB"/>
        </w:rPr>
        <w:t>linicians have a choice as to whether they argue their work is</w:t>
      </w:r>
      <w:r w:rsidR="00FE6FF6" w:rsidRPr="003643FF">
        <w:rPr>
          <w:rFonts w:ascii="Palatino Linotype" w:hAnsi="Palatino Linotype" w:cs="Times New Roman"/>
          <w:sz w:val="24"/>
          <w:szCs w:val="24"/>
          <w:lang w:val="en-GB"/>
        </w:rPr>
        <w:t xml:space="preserve"> different to that of traditional academics, </w:t>
      </w:r>
      <w:r w:rsidR="00985214" w:rsidRPr="003643FF">
        <w:rPr>
          <w:rFonts w:ascii="Palatino Linotype" w:hAnsi="Palatino Linotype" w:cs="Times New Roman"/>
          <w:sz w:val="24"/>
          <w:szCs w:val="24"/>
          <w:lang w:val="en-GB"/>
        </w:rPr>
        <w:t xml:space="preserve">or whether to argue it has the same </w:t>
      </w:r>
      <w:r w:rsidR="00985214" w:rsidRPr="003643FF">
        <w:rPr>
          <w:rFonts w:ascii="Palatino Linotype" w:hAnsi="Palatino Linotype" w:cs="Times New Roman"/>
          <w:sz w:val="24"/>
          <w:szCs w:val="24"/>
          <w:lang w:val="en-GB"/>
        </w:rPr>
        <w:lastRenderedPageBreak/>
        <w:t>status.  Bloch states that if the distinction is rejected, this can result in ‘a “blood bath” at the time of promotion or tenure.’</w:t>
      </w:r>
      <w:r w:rsidR="00985214" w:rsidRPr="003643FF">
        <w:rPr>
          <w:rStyle w:val="FootnoteReference"/>
          <w:rFonts w:ascii="Palatino Linotype" w:hAnsi="Palatino Linotype" w:cs="Times New Roman"/>
          <w:sz w:val="24"/>
          <w:szCs w:val="24"/>
          <w:lang w:val="en-GB"/>
        </w:rPr>
        <w:footnoteReference w:id="26"/>
      </w:r>
      <w:r w:rsidR="00985214" w:rsidRPr="003643FF">
        <w:rPr>
          <w:rFonts w:ascii="Palatino Linotype" w:hAnsi="Palatino Linotype" w:cs="Times New Roman"/>
          <w:sz w:val="24"/>
          <w:szCs w:val="24"/>
          <w:lang w:val="en-GB"/>
        </w:rPr>
        <w:t xml:space="preserve">  However, acceptance of the distinction creates ‘an almost unavoidable second-class status for the clinical program and its faculty.’</w:t>
      </w:r>
      <w:r w:rsidR="00985214" w:rsidRPr="003643FF">
        <w:rPr>
          <w:rStyle w:val="FootnoteReference"/>
          <w:rFonts w:ascii="Palatino Linotype" w:hAnsi="Palatino Linotype" w:cs="Times New Roman"/>
          <w:sz w:val="24"/>
          <w:szCs w:val="24"/>
          <w:lang w:val="en-GB"/>
        </w:rPr>
        <w:footnoteReference w:id="27"/>
      </w:r>
      <w:r w:rsidR="00985214" w:rsidRPr="003643FF">
        <w:rPr>
          <w:rFonts w:ascii="Palatino Linotype" w:hAnsi="Palatino Linotype" w:cs="Times New Roman"/>
          <w:sz w:val="24"/>
          <w:szCs w:val="24"/>
          <w:lang w:val="en-GB"/>
        </w:rPr>
        <w:t xml:space="preserve">  It seems that if clinician</w:t>
      </w:r>
      <w:r w:rsidR="00167585" w:rsidRPr="003643FF">
        <w:rPr>
          <w:rFonts w:ascii="Palatino Linotype" w:hAnsi="Palatino Linotype" w:cs="Times New Roman"/>
          <w:sz w:val="24"/>
          <w:szCs w:val="24"/>
          <w:lang w:val="en-GB"/>
        </w:rPr>
        <w:t>s</w:t>
      </w:r>
      <w:r w:rsidR="00BF207D" w:rsidRPr="003643FF">
        <w:rPr>
          <w:rFonts w:ascii="Palatino Linotype" w:hAnsi="Palatino Linotype" w:cs="Times New Roman"/>
          <w:sz w:val="24"/>
          <w:szCs w:val="24"/>
          <w:lang w:val="en-GB"/>
        </w:rPr>
        <w:t xml:space="preserve"> wish to establish their</w:t>
      </w:r>
      <w:r w:rsidR="00985214" w:rsidRPr="003643FF">
        <w:rPr>
          <w:rFonts w:ascii="Palatino Linotype" w:hAnsi="Palatino Linotype" w:cs="Times New Roman"/>
          <w:sz w:val="24"/>
          <w:szCs w:val="24"/>
          <w:lang w:val="en-GB"/>
        </w:rPr>
        <w:t xml:space="preserve"> equal </w:t>
      </w:r>
      <w:r w:rsidR="00BF207D" w:rsidRPr="003643FF">
        <w:rPr>
          <w:rFonts w:ascii="Palatino Linotype" w:hAnsi="Palatino Linotype" w:cs="Times New Roman"/>
          <w:sz w:val="24"/>
          <w:szCs w:val="24"/>
          <w:lang w:val="en-GB"/>
        </w:rPr>
        <w:t>status within the academy, their</w:t>
      </w:r>
      <w:r w:rsidR="00985214" w:rsidRPr="003643FF">
        <w:rPr>
          <w:rFonts w:ascii="Palatino Linotype" w:hAnsi="Palatino Linotype" w:cs="Times New Roman"/>
          <w:sz w:val="24"/>
          <w:szCs w:val="24"/>
          <w:lang w:val="en-GB"/>
        </w:rPr>
        <w:t xml:space="preserve"> work must be </w:t>
      </w:r>
      <w:r w:rsidR="00167585" w:rsidRPr="003643FF">
        <w:rPr>
          <w:rFonts w:ascii="Palatino Linotype" w:hAnsi="Palatino Linotype" w:cs="Times New Roman"/>
          <w:sz w:val="24"/>
          <w:szCs w:val="24"/>
          <w:lang w:val="en-GB"/>
        </w:rPr>
        <w:t>held as equivalent to that of traditional academics.  If clinicians are engaged in scholarship, then this must surely have the same standing as others engaged in scholarship.</w:t>
      </w:r>
    </w:p>
    <w:p w:rsidR="00197579" w:rsidRPr="003643FF" w:rsidRDefault="00197579"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Further, it is only through engagement in clinical scholarship that clinicians can address the issues identified above.  Examples include evidencing the benefits of clinical programmes, identifying and tackling the barriers to the clinical mission and enhancing the quality of the programme for the students.  These are important issues when we ask why we do clinic.</w:t>
      </w:r>
    </w:p>
    <w:p w:rsidR="00197579" w:rsidRPr="003643FF" w:rsidRDefault="00167585"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As </w:t>
      </w:r>
      <w:r w:rsidR="00FE6FF6" w:rsidRPr="003643FF">
        <w:rPr>
          <w:rFonts w:ascii="Palatino Linotype" w:hAnsi="Palatino Linotype" w:cs="Times New Roman"/>
          <w:sz w:val="24"/>
          <w:szCs w:val="24"/>
          <w:lang w:val="en-GB"/>
        </w:rPr>
        <w:t>clinic</w:t>
      </w:r>
      <w:r w:rsidR="005237BF" w:rsidRPr="003643FF">
        <w:rPr>
          <w:rFonts w:ascii="Palatino Linotype" w:hAnsi="Palatino Linotype" w:cs="Times New Roman"/>
          <w:sz w:val="24"/>
          <w:szCs w:val="24"/>
          <w:lang w:val="en-GB"/>
        </w:rPr>
        <w:t>al programmes</w:t>
      </w:r>
      <w:r w:rsidR="00FE6FF6" w:rsidRPr="003643FF">
        <w:rPr>
          <w:rFonts w:ascii="Palatino Linotype" w:hAnsi="Palatino Linotype" w:cs="Times New Roman"/>
          <w:sz w:val="24"/>
          <w:szCs w:val="24"/>
          <w:lang w:val="en-GB"/>
        </w:rPr>
        <w:t xml:space="preserve"> grow</w:t>
      </w:r>
      <w:r w:rsidRPr="003643FF">
        <w:rPr>
          <w:rFonts w:ascii="Palatino Linotype" w:hAnsi="Palatino Linotype" w:cs="Times New Roman"/>
          <w:sz w:val="24"/>
          <w:szCs w:val="24"/>
          <w:lang w:val="en-GB"/>
        </w:rPr>
        <w:t xml:space="preserve"> within Europe</w:t>
      </w:r>
      <w:r w:rsidR="00FE6FF6" w:rsidRPr="003643FF">
        <w:rPr>
          <w:rFonts w:ascii="Palatino Linotype" w:hAnsi="Palatino Linotype" w:cs="Times New Roman"/>
          <w:sz w:val="24"/>
          <w:szCs w:val="24"/>
          <w:lang w:val="en-GB"/>
        </w:rPr>
        <w:t xml:space="preserve"> and </w:t>
      </w:r>
      <w:r w:rsidRPr="003643FF">
        <w:rPr>
          <w:rFonts w:ascii="Palatino Linotype" w:hAnsi="Palatino Linotype" w:cs="Times New Roman"/>
          <w:sz w:val="24"/>
          <w:szCs w:val="24"/>
          <w:lang w:val="en-GB"/>
        </w:rPr>
        <w:t xml:space="preserve">with </w:t>
      </w:r>
      <w:r w:rsidR="00FE6FF6" w:rsidRPr="003643FF">
        <w:rPr>
          <w:rFonts w:ascii="Palatino Linotype" w:hAnsi="Palatino Linotype" w:cs="Times New Roman"/>
          <w:sz w:val="24"/>
          <w:szCs w:val="24"/>
          <w:lang w:val="en-GB"/>
        </w:rPr>
        <w:t xml:space="preserve">the knowledge that they can provide students with a rich legal education, </w:t>
      </w:r>
      <w:r w:rsidRPr="003643FF">
        <w:rPr>
          <w:rFonts w:ascii="Palatino Linotype" w:hAnsi="Palatino Linotype" w:cs="Times New Roman"/>
          <w:sz w:val="24"/>
          <w:szCs w:val="24"/>
          <w:lang w:val="en-GB"/>
        </w:rPr>
        <w:t>we should consider whether there is a</w:t>
      </w:r>
      <w:r w:rsidR="00FE6FF6" w:rsidRPr="003643FF">
        <w:rPr>
          <w:rFonts w:ascii="Palatino Linotype" w:hAnsi="Palatino Linotype" w:cs="Times New Roman"/>
          <w:sz w:val="24"/>
          <w:szCs w:val="24"/>
          <w:lang w:val="en-GB"/>
        </w:rPr>
        <w:t xml:space="preserve"> divide b</w:t>
      </w:r>
      <w:r w:rsidRPr="003643FF">
        <w:rPr>
          <w:rFonts w:ascii="Palatino Linotype" w:hAnsi="Palatino Linotype" w:cs="Times New Roman"/>
          <w:sz w:val="24"/>
          <w:szCs w:val="24"/>
          <w:lang w:val="en-GB"/>
        </w:rPr>
        <w:t>etween academics and clinicians.</w:t>
      </w:r>
      <w:r w:rsidR="00FE6FF6"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 xml:space="preserve"> There should be a</w:t>
      </w:r>
      <w:r w:rsidR="00FE6FF6" w:rsidRPr="003643FF">
        <w:rPr>
          <w:rFonts w:ascii="Palatino Linotype" w:hAnsi="Palatino Linotype" w:cs="Times New Roman"/>
          <w:sz w:val="24"/>
          <w:szCs w:val="24"/>
          <w:lang w:val="en-GB"/>
        </w:rPr>
        <w:t xml:space="preserve"> mutual app</w:t>
      </w:r>
      <w:r w:rsidRPr="003643FF">
        <w:rPr>
          <w:rFonts w:ascii="Palatino Linotype" w:hAnsi="Palatino Linotype" w:cs="Times New Roman"/>
          <w:sz w:val="24"/>
          <w:szCs w:val="24"/>
          <w:lang w:val="en-GB"/>
        </w:rPr>
        <w:t xml:space="preserve">reciation between academics and </w:t>
      </w:r>
      <w:r w:rsidR="00FE6FF6" w:rsidRPr="003643FF">
        <w:rPr>
          <w:rFonts w:ascii="Palatino Linotype" w:hAnsi="Palatino Linotype" w:cs="Times New Roman"/>
          <w:sz w:val="24"/>
          <w:szCs w:val="24"/>
          <w:lang w:val="en-GB"/>
        </w:rPr>
        <w:t>clinicians of the work done and the</w:t>
      </w:r>
      <w:r w:rsidRPr="003643FF">
        <w:rPr>
          <w:rFonts w:ascii="Palatino Linotype" w:hAnsi="Palatino Linotype" w:cs="Times New Roman"/>
          <w:sz w:val="24"/>
          <w:szCs w:val="24"/>
          <w:lang w:val="en-GB"/>
        </w:rPr>
        <w:t xml:space="preserve"> value it holds to a </w:t>
      </w:r>
      <w:r w:rsidRPr="003643FF">
        <w:rPr>
          <w:rFonts w:ascii="Palatino Linotype" w:hAnsi="Palatino Linotype" w:cs="Times New Roman"/>
          <w:sz w:val="24"/>
          <w:szCs w:val="24"/>
          <w:lang w:val="en-GB"/>
        </w:rPr>
        <w:lastRenderedPageBreak/>
        <w:t>university.</w:t>
      </w:r>
      <w:r w:rsidR="00FE6FF6" w:rsidRPr="003643FF">
        <w:rPr>
          <w:rFonts w:ascii="Palatino Linotype" w:hAnsi="Palatino Linotype" w:cs="Times New Roman"/>
          <w:sz w:val="24"/>
          <w:szCs w:val="24"/>
          <w:lang w:val="en-GB"/>
        </w:rPr>
        <w:t xml:space="preserve"> </w:t>
      </w:r>
      <w:r w:rsidRPr="003643FF">
        <w:rPr>
          <w:rFonts w:ascii="Palatino Linotype" w:hAnsi="Palatino Linotype" w:cs="Times New Roman"/>
          <w:sz w:val="24"/>
          <w:szCs w:val="24"/>
          <w:lang w:val="en-GB"/>
        </w:rPr>
        <w:t>Arguably</w:t>
      </w:r>
      <w:r w:rsidR="001D2C31" w:rsidRPr="003643FF">
        <w:rPr>
          <w:rFonts w:ascii="Palatino Linotype" w:hAnsi="Palatino Linotype" w:cs="Times New Roman"/>
          <w:sz w:val="24"/>
          <w:szCs w:val="24"/>
          <w:lang w:val="en-GB"/>
        </w:rPr>
        <w:t xml:space="preserve"> with the recent educational reforms</w:t>
      </w:r>
      <w:r w:rsidR="004B1A29" w:rsidRPr="003643FF">
        <w:rPr>
          <w:rFonts w:ascii="Palatino Linotype" w:hAnsi="Palatino Linotype" w:cs="Times New Roman"/>
          <w:sz w:val="24"/>
          <w:szCs w:val="24"/>
          <w:lang w:val="en-GB"/>
        </w:rPr>
        <w:t xml:space="preserve"> in Europe</w:t>
      </w:r>
      <w:r w:rsidR="001D2C31" w:rsidRPr="003643FF">
        <w:rPr>
          <w:rFonts w:ascii="Palatino Linotype" w:hAnsi="Palatino Linotype" w:cs="Times New Roman"/>
          <w:sz w:val="24"/>
          <w:szCs w:val="24"/>
          <w:lang w:val="en-GB"/>
        </w:rPr>
        <w:t xml:space="preserve"> and the introduction of the Bologna Process</w:t>
      </w:r>
      <w:r w:rsidR="001D2C31" w:rsidRPr="003643FF">
        <w:rPr>
          <w:rStyle w:val="FootnoteReference"/>
          <w:rFonts w:ascii="Palatino Linotype" w:hAnsi="Palatino Linotype" w:cs="Times New Roman"/>
          <w:sz w:val="24"/>
          <w:szCs w:val="24"/>
          <w:lang w:val="en-GB"/>
        </w:rPr>
        <w:footnoteReference w:id="28"/>
      </w:r>
      <w:r w:rsidR="00071E11" w:rsidRPr="003643FF">
        <w:rPr>
          <w:rFonts w:ascii="Palatino Linotype" w:hAnsi="Palatino Linotype" w:cs="Times New Roman"/>
          <w:sz w:val="24"/>
          <w:szCs w:val="24"/>
          <w:lang w:val="en-GB"/>
        </w:rPr>
        <w:t xml:space="preserve"> clinic will help with implementation of this</w:t>
      </w:r>
      <w:r w:rsidRPr="003643FF">
        <w:rPr>
          <w:rFonts w:ascii="Palatino Linotype" w:hAnsi="Palatino Linotype" w:cs="Times New Roman"/>
          <w:sz w:val="24"/>
          <w:szCs w:val="24"/>
          <w:lang w:val="en-GB"/>
        </w:rPr>
        <w:t>.</w:t>
      </w:r>
      <w:r w:rsidR="00071E11" w:rsidRPr="003643FF">
        <w:rPr>
          <w:rStyle w:val="FootnoteReference"/>
          <w:rFonts w:ascii="Palatino Linotype" w:hAnsi="Palatino Linotype" w:cs="Times New Roman"/>
          <w:sz w:val="24"/>
          <w:szCs w:val="24"/>
          <w:lang w:val="en-GB"/>
        </w:rPr>
        <w:footnoteReference w:id="29"/>
      </w:r>
    </w:p>
    <w:p w:rsidR="003643FF" w:rsidRDefault="003643FF" w:rsidP="00336CAD">
      <w:pPr>
        <w:pStyle w:val="Body"/>
        <w:spacing w:line="480" w:lineRule="auto"/>
        <w:jc w:val="both"/>
        <w:rPr>
          <w:rFonts w:ascii="Palatino Linotype" w:hAnsi="Palatino Linotype" w:cs="Times New Roman"/>
          <w:sz w:val="24"/>
          <w:szCs w:val="24"/>
          <w:lang w:val="en-GB"/>
        </w:rPr>
      </w:pPr>
    </w:p>
    <w:p w:rsidR="000A7CEA" w:rsidRPr="003643FF" w:rsidRDefault="003643F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WHERE DO WE GO NEXT?</w:t>
      </w:r>
    </w:p>
    <w:p w:rsidR="008A63AF" w:rsidRPr="003643FF" w:rsidRDefault="00CB60D2"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As the European clinical movement develops, it is clear that there are challenges ahead.  In addressing these challenges, clinicians need to reflect upon their own practice and </w:t>
      </w:r>
      <w:r w:rsidR="008A63AF" w:rsidRPr="003643FF">
        <w:rPr>
          <w:rFonts w:ascii="Palatino Linotype" w:hAnsi="Palatino Linotype" w:cs="Times New Roman"/>
          <w:sz w:val="24"/>
          <w:szCs w:val="24"/>
          <w:lang w:val="en-GB"/>
        </w:rPr>
        <w:t xml:space="preserve">establish their own identity.  </w:t>
      </w:r>
    </w:p>
    <w:p w:rsidR="000A7CEA" w:rsidRPr="003643FF" w:rsidRDefault="008A63AF" w:rsidP="00336CAD">
      <w:pPr>
        <w:pStyle w:val="Body"/>
        <w:spacing w:line="480" w:lineRule="auto"/>
        <w:jc w:val="both"/>
        <w:rPr>
          <w:rFonts w:ascii="Palatino Linotype" w:hAnsi="Palatino Linotype" w:cs="Times New Roman"/>
          <w:sz w:val="24"/>
          <w:szCs w:val="24"/>
          <w:u w:val="single"/>
          <w:lang w:val="en-GB"/>
        </w:rPr>
      </w:pPr>
      <w:r w:rsidRPr="003643FF">
        <w:rPr>
          <w:rFonts w:ascii="Palatino Linotype" w:hAnsi="Palatino Linotype" w:cs="Times New Roman"/>
          <w:sz w:val="24"/>
          <w:szCs w:val="24"/>
          <w:lang w:val="en-GB"/>
        </w:rPr>
        <w:t>This article merely highlights</w:t>
      </w:r>
      <w:r w:rsidR="002C5E0F" w:rsidRPr="003643FF">
        <w:rPr>
          <w:rFonts w:ascii="Palatino Linotype" w:hAnsi="Palatino Linotype" w:cs="Times New Roman"/>
          <w:sz w:val="24"/>
          <w:szCs w:val="24"/>
          <w:lang w:val="en-GB"/>
        </w:rPr>
        <w:t xml:space="preserve"> issues </w:t>
      </w:r>
      <w:r w:rsidRPr="003643FF">
        <w:rPr>
          <w:rFonts w:ascii="Palatino Linotype" w:hAnsi="Palatino Linotype" w:cs="Times New Roman"/>
          <w:sz w:val="24"/>
          <w:szCs w:val="24"/>
          <w:lang w:val="en-GB"/>
        </w:rPr>
        <w:t>raised</w:t>
      </w:r>
      <w:r w:rsidR="002C5E0F" w:rsidRPr="003643FF">
        <w:rPr>
          <w:rFonts w:ascii="Palatino Linotype" w:hAnsi="Palatino Linotype" w:cs="Times New Roman"/>
          <w:sz w:val="24"/>
          <w:szCs w:val="24"/>
          <w:lang w:val="en-GB"/>
        </w:rPr>
        <w:t xml:space="preserve"> throughout the two days </w:t>
      </w:r>
      <w:r w:rsidR="00197579" w:rsidRPr="003643FF">
        <w:rPr>
          <w:rFonts w:ascii="Palatino Linotype" w:hAnsi="Palatino Linotype" w:cs="Times New Roman"/>
          <w:sz w:val="24"/>
          <w:szCs w:val="24"/>
          <w:lang w:val="en-GB"/>
        </w:rPr>
        <w:t>of the W</w:t>
      </w:r>
      <w:r w:rsidRPr="003643FF">
        <w:rPr>
          <w:rFonts w:ascii="Palatino Linotype" w:hAnsi="Palatino Linotype" w:cs="Times New Roman"/>
          <w:sz w:val="24"/>
          <w:szCs w:val="24"/>
          <w:lang w:val="en-GB"/>
        </w:rPr>
        <w:t>orkshop.  W</w:t>
      </w:r>
      <w:r w:rsidR="002C5E0F" w:rsidRPr="003643FF">
        <w:rPr>
          <w:rFonts w:ascii="Palatino Linotype" w:hAnsi="Palatino Linotype" w:cs="Times New Roman"/>
          <w:sz w:val="24"/>
          <w:szCs w:val="24"/>
          <w:lang w:val="en-GB"/>
        </w:rPr>
        <w:t xml:space="preserve">e </w:t>
      </w:r>
      <w:r w:rsidRPr="003643FF">
        <w:rPr>
          <w:rFonts w:ascii="Palatino Linotype" w:hAnsi="Palatino Linotype" w:cs="Times New Roman"/>
          <w:sz w:val="24"/>
          <w:szCs w:val="24"/>
          <w:lang w:val="en-GB"/>
        </w:rPr>
        <w:t>must establish</w:t>
      </w:r>
      <w:r w:rsidR="002C5E0F" w:rsidRPr="003643FF">
        <w:rPr>
          <w:rFonts w:ascii="Palatino Linotype" w:hAnsi="Palatino Linotype" w:cs="Times New Roman"/>
          <w:sz w:val="24"/>
          <w:szCs w:val="24"/>
          <w:lang w:val="en-GB"/>
        </w:rPr>
        <w:t xml:space="preserve"> a clear vision of the next steps </w:t>
      </w:r>
      <w:r w:rsidRPr="003643FF">
        <w:rPr>
          <w:rFonts w:ascii="Palatino Linotype" w:hAnsi="Palatino Linotype" w:cs="Times New Roman"/>
          <w:sz w:val="24"/>
          <w:szCs w:val="24"/>
          <w:lang w:val="en-GB"/>
        </w:rPr>
        <w:t>to</w:t>
      </w:r>
      <w:r w:rsidR="002C5E0F" w:rsidRPr="003643FF">
        <w:rPr>
          <w:rFonts w:ascii="Palatino Linotype" w:hAnsi="Palatino Linotype" w:cs="Times New Roman"/>
          <w:sz w:val="24"/>
          <w:szCs w:val="24"/>
          <w:lang w:val="en-GB"/>
        </w:rPr>
        <w:t xml:space="preserve"> take </w:t>
      </w:r>
      <w:r w:rsidRPr="003643FF">
        <w:rPr>
          <w:rFonts w:ascii="Palatino Linotype" w:hAnsi="Palatino Linotype" w:cs="Times New Roman"/>
          <w:sz w:val="24"/>
          <w:szCs w:val="24"/>
          <w:lang w:val="en-GB"/>
        </w:rPr>
        <w:t xml:space="preserve">and </w:t>
      </w:r>
      <w:r w:rsidR="002C5E0F" w:rsidRPr="003643FF">
        <w:rPr>
          <w:rFonts w:ascii="Palatino Linotype" w:hAnsi="Palatino Linotype" w:cs="Times New Roman"/>
          <w:sz w:val="24"/>
          <w:szCs w:val="24"/>
          <w:lang w:val="en-GB"/>
        </w:rPr>
        <w:t>to keep the European clinical movement pushing forward. However, during the discussion there was not a consensus reached on certain issues, different attendees haven different experiences in their clinics.</w:t>
      </w:r>
      <w:r w:rsidRPr="003643FF">
        <w:rPr>
          <w:rFonts w:ascii="Palatino Linotype" w:hAnsi="Palatino Linotype" w:cs="Times New Roman"/>
          <w:sz w:val="24"/>
          <w:szCs w:val="24"/>
          <w:lang w:val="en-GB"/>
        </w:rPr>
        <w:t xml:space="preserve">  This may suggest that it is not possible to establish a single identity for a European clinical movement with each jurisdiction facing its own challenges.</w:t>
      </w:r>
      <w:r w:rsidR="002C5E0F" w:rsidRPr="003643FF">
        <w:rPr>
          <w:rFonts w:ascii="Palatino Linotype" w:hAnsi="Palatino Linotype" w:cs="Times New Roman"/>
          <w:sz w:val="24"/>
          <w:szCs w:val="24"/>
          <w:lang w:val="en-GB"/>
        </w:rPr>
        <w:t xml:space="preserve">  We cannot treat all jurisdictions in the same way, </w:t>
      </w:r>
      <w:r w:rsidRPr="003643FF">
        <w:rPr>
          <w:rFonts w:ascii="Palatino Linotype" w:hAnsi="Palatino Linotype" w:cs="Times New Roman"/>
          <w:sz w:val="24"/>
          <w:szCs w:val="24"/>
          <w:lang w:val="en-GB"/>
        </w:rPr>
        <w:t>but it may be possible to establish a common thread or adapt the model as and when necessary</w:t>
      </w:r>
      <w:r w:rsidR="002C5E0F" w:rsidRPr="003643FF">
        <w:rPr>
          <w:rFonts w:ascii="Palatino Linotype" w:hAnsi="Palatino Linotype" w:cs="Times New Roman"/>
          <w:sz w:val="24"/>
          <w:szCs w:val="24"/>
          <w:lang w:val="en-GB"/>
        </w:rPr>
        <w:t xml:space="preserve">. </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lastRenderedPageBreak/>
        <w:t xml:space="preserve">Research in clinic should now be a leading agenda throughout Europe. We learnt </w:t>
      </w:r>
      <w:r w:rsidR="00197579" w:rsidRPr="003643FF">
        <w:rPr>
          <w:rFonts w:ascii="Palatino Linotype" w:hAnsi="Palatino Linotype" w:cs="Times New Roman"/>
          <w:sz w:val="24"/>
          <w:szCs w:val="24"/>
          <w:lang w:val="en-GB"/>
        </w:rPr>
        <w:t>during the last session of the W</w:t>
      </w:r>
      <w:r w:rsidRPr="003643FF">
        <w:rPr>
          <w:rFonts w:ascii="Palatino Linotype" w:hAnsi="Palatino Linotype" w:cs="Times New Roman"/>
          <w:sz w:val="24"/>
          <w:szCs w:val="24"/>
          <w:lang w:val="en-GB"/>
        </w:rPr>
        <w:t xml:space="preserve">orkshop that the amount of peer reviewed articles published in clinical legal education is vast. However, Europe does not produce as much as other continents. In order for our movement to keep growing we must share experiences, failures and successes. Publishing research is a great way to do this. Furthermore, the research we can produce will help to justify why we do clinic. As </w:t>
      </w:r>
      <w:proofErr w:type="spellStart"/>
      <w:r w:rsidRPr="003643FF">
        <w:rPr>
          <w:rFonts w:ascii="Palatino Linotype" w:hAnsi="Palatino Linotype" w:cs="Times New Roman"/>
          <w:sz w:val="24"/>
          <w:szCs w:val="24"/>
          <w:lang w:val="en-GB"/>
        </w:rPr>
        <w:t>Tomoszek</w:t>
      </w:r>
      <w:proofErr w:type="spellEnd"/>
      <w:r w:rsidRPr="003643FF">
        <w:rPr>
          <w:rFonts w:ascii="Palatino Linotype" w:hAnsi="Palatino Linotype" w:cs="Times New Roman"/>
          <w:sz w:val="24"/>
          <w:szCs w:val="24"/>
          <w:lang w:val="en-GB"/>
        </w:rPr>
        <w:t xml:space="preserve"> states:</w:t>
      </w:r>
    </w:p>
    <w:p w:rsidR="000A7CEA" w:rsidRPr="003643FF" w:rsidRDefault="002C5E0F" w:rsidP="003643FF">
      <w:pPr>
        <w:pStyle w:val="Body"/>
        <w:spacing w:line="480" w:lineRule="auto"/>
        <w:ind w:left="851" w:right="515"/>
        <w:jc w:val="both"/>
        <w:rPr>
          <w:rFonts w:ascii="Palatino Linotype" w:hAnsi="Palatino Linotype" w:cs="Times New Roman"/>
          <w:i/>
          <w:iCs/>
          <w:sz w:val="24"/>
          <w:szCs w:val="24"/>
          <w:lang w:val="en-GB"/>
        </w:rPr>
      </w:pPr>
      <w:r w:rsidRPr="003643FF">
        <w:rPr>
          <w:rFonts w:ascii="Palatino Linotype" w:hAnsi="Palatino Linotype" w:cs="Times New Roman"/>
          <w:i/>
          <w:iCs/>
          <w:sz w:val="24"/>
          <w:szCs w:val="24"/>
          <w:lang w:val="en-GB"/>
        </w:rPr>
        <w:t xml:space="preserve"> ‘The positive contribution of clinical legal education towards the overall outcome of legal education system still has not been proven by a rigorous empirical evidence-based study – it is mostly based on belief of clinical teachers and clinical students.</w:t>
      </w:r>
      <w:r w:rsidRPr="003643FF">
        <w:rPr>
          <w:rFonts w:ascii="Palatino Linotype" w:hAnsi="Palatino Linotype" w:cs="Times New Roman"/>
          <w:i/>
          <w:iCs/>
          <w:sz w:val="24"/>
          <w:szCs w:val="24"/>
          <w:vertAlign w:val="superscript"/>
          <w:lang w:val="en-GB"/>
        </w:rPr>
        <w:footnoteReference w:id="30"/>
      </w:r>
      <w:r w:rsidRPr="003643FF">
        <w:rPr>
          <w:rFonts w:ascii="Palatino Linotype" w:hAnsi="Palatino Linotype" w:cs="Times New Roman"/>
          <w:i/>
          <w:iCs/>
          <w:sz w:val="24"/>
          <w:szCs w:val="24"/>
          <w:lang w:val="en-GB"/>
        </w:rPr>
        <w:t xml:space="preserve">’ </w:t>
      </w:r>
    </w:p>
    <w:p w:rsidR="00197579" w:rsidRPr="003643FF" w:rsidRDefault="00197579"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ENCLE provides the network to support and facilitate this agenda</w:t>
      </w:r>
      <w:r w:rsidR="00BB287E" w:rsidRPr="003643FF">
        <w:rPr>
          <w:rFonts w:ascii="Palatino Linotype" w:hAnsi="Palatino Linotype" w:cs="Times New Roman"/>
          <w:sz w:val="24"/>
          <w:szCs w:val="24"/>
          <w:lang w:val="en-GB"/>
        </w:rPr>
        <w:t xml:space="preserve"> across Europe</w:t>
      </w:r>
      <w:r w:rsidRPr="003643FF">
        <w:rPr>
          <w:rFonts w:ascii="Palatino Linotype" w:hAnsi="Palatino Linotype" w:cs="Times New Roman"/>
          <w:sz w:val="24"/>
          <w:szCs w:val="24"/>
          <w:lang w:val="en-GB"/>
        </w:rPr>
        <w:t>.</w:t>
      </w:r>
      <w:r w:rsidR="00BB287E" w:rsidRPr="003643FF">
        <w:rPr>
          <w:rFonts w:ascii="Palatino Linotype" w:hAnsi="Palatino Linotype" w:cs="Times New Roman"/>
          <w:sz w:val="24"/>
          <w:szCs w:val="24"/>
          <w:lang w:val="en-GB"/>
        </w:rPr>
        <w:t xml:space="preserve">  </w:t>
      </w:r>
      <w:r w:rsidR="001407C3" w:rsidRPr="003643FF">
        <w:rPr>
          <w:rFonts w:ascii="Palatino Linotype" w:hAnsi="Palatino Linotype" w:cs="Times New Roman"/>
          <w:sz w:val="24"/>
          <w:szCs w:val="24"/>
          <w:lang w:val="en-GB"/>
        </w:rPr>
        <w:t>S</w:t>
      </w:r>
      <w:r w:rsidR="00BB287E" w:rsidRPr="003643FF">
        <w:rPr>
          <w:rFonts w:ascii="Palatino Linotype" w:hAnsi="Palatino Linotype" w:cs="Times New Roman"/>
          <w:sz w:val="24"/>
          <w:szCs w:val="24"/>
          <w:lang w:val="en-GB"/>
        </w:rPr>
        <w:t>upporting the growth and quality of clinical legal education through, amongst other things, research and scholarship is at</w:t>
      </w:r>
      <w:r w:rsidR="001407C3" w:rsidRPr="003643FF">
        <w:rPr>
          <w:rFonts w:ascii="Palatino Linotype" w:hAnsi="Palatino Linotype" w:cs="Times New Roman"/>
          <w:sz w:val="24"/>
          <w:szCs w:val="24"/>
          <w:lang w:val="en-GB"/>
        </w:rPr>
        <w:t xml:space="preserve"> the core of the ENCLE mission.</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t xml:space="preserve">Whilst this belief is strong and the claims of the benefits of clinical legal education are logical to make, there is still a need for the rigorous and empirical research to be conducted. This will help to make our argument and justifications even stronger. </w:t>
      </w:r>
    </w:p>
    <w:p w:rsidR="000A7CEA" w:rsidRPr="003643FF" w:rsidRDefault="002C5E0F" w:rsidP="00336CAD">
      <w:pPr>
        <w:pStyle w:val="Body"/>
        <w:spacing w:line="480" w:lineRule="auto"/>
        <w:jc w:val="both"/>
        <w:rPr>
          <w:rFonts w:ascii="Palatino Linotype" w:hAnsi="Palatino Linotype" w:cs="Times New Roman"/>
          <w:sz w:val="24"/>
          <w:szCs w:val="24"/>
          <w:lang w:val="en-GB"/>
        </w:rPr>
      </w:pPr>
      <w:r w:rsidRPr="003643FF">
        <w:rPr>
          <w:rFonts w:ascii="Palatino Linotype" w:hAnsi="Palatino Linotype" w:cs="Times New Roman"/>
          <w:sz w:val="24"/>
          <w:szCs w:val="24"/>
          <w:lang w:val="en-GB"/>
        </w:rPr>
        <w:lastRenderedPageBreak/>
        <w:t>With sharing these experiences comes the opportunity to help develop clinic</w:t>
      </w:r>
      <w:r w:rsidR="001407C3" w:rsidRPr="003643FF">
        <w:rPr>
          <w:rFonts w:ascii="Palatino Linotype" w:hAnsi="Palatino Linotype" w:cs="Times New Roman"/>
          <w:sz w:val="24"/>
          <w:szCs w:val="24"/>
          <w:lang w:val="en-GB"/>
        </w:rPr>
        <w:t>al programmes</w:t>
      </w:r>
      <w:r w:rsidRPr="003643FF">
        <w:rPr>
          <w:rFonts w:ascii="Palatino Linotype" w:hAnsi="Palatino Linotype" w:cs="Times New Roman"/>
          <w:sz w:val="24"/>
          <w:szCs w:val="24"/>
          <w:lang w:val="en-GB"/>
        </w:rPr>
        <w:t xml:space="preserve"> th</w:t>
      </w:r>
      <w:r w:rsidR="001407C3" w:rsidRPr="003643FF">
        <w:rPr>
          <w:rFonts w:ascii="Palatino Linotype" w:hAnsi="Palatino Linotype" w:cs="Times New Roman"/>
          <w:sz w:val="24"/>
          <w:szCs w:val="24"/>
          <w:lang w:val="en-GB"/>
        </w:rPr>
        <w:t>roughout Europe. The opposition</w:t>
      </w:r>
      <w:r w:rsidRPr="003643FF">
        <w:rPr>
          <w:rFonts w:ascii="Palatino Linotype" w:hAnsi="Palatino Linotype" w:cs="Times New Roman"/>
          <w:sz w:val="24"/>
          <w:szCs w:val="24"/>
          <w:lang w:val="en-GB"/>
        </w:rPr>
        <w:t xml:space="preserve"> faced by clinic</w:t>
      </w:r>
      <w:r w:rsidR="001407C3" w:rsidRPr="003643FF">
        <w:rPr>
          <w:rFonts w:ascii="Palatino Linotype" w:hAnsi="Palatino Linotype" w:cs="Times New Roman"/>
          <w:sz w:val="24"/>
          <w:szCs w:val="24"/>
          <w:lang w:val="en-GB"/>
        </w:rPr>
        <w:t>al programmes</w:t>
      </w:r>
      <w:r w:rsidRPr="003643FF">
        <w:rPr>
          <w:rFonts w:ascii="Palatino Linotype" w:hAnsi="Palatino Linotype" w:cs="Times New Roman"/>
          <w:sz w:val="24"/>
          <w:szCs w:val="24"/>
          <w:lang w:val="en-GB"/>
        </w:rPr>
        <w:t xml:space="preserve"> </w:t>
      </w:r>
      <w:r w:rsidR="001407C3" w:rsidRPr="003643FF">
        <w:rPr>
          <w:rFonts w:ascii="Palatino Linotype" w:hAnsi="Palatino Linotype" w:cs="Times New Roman"/>
          <w:sz w:val="24"/>
          <w:szCs w:val="24"/>
          <w:lang w:val="en-GB"/>
        </w:rPr>
        <w:t>is</w:t>
      </w:r>
      <w:r w:rsidR="00161488" w:rsidRPr="003643FF">
        <w:rPr>
          <w:rFonts w:ascii="Palatino Linotype" w:hAnsi="Palatino Linotype" w:cs="Times New Roman"/>
          <w:sz w:val="24"/>
          <w:szCs w:val="24"/>
          <w:lang w:val="en-GB"/>
        </w:rPr>
        <w:t xml:space="preserve"> sometimes</w:t>
      </w:r>
      <w:r w:rsidR="001407C3" w:rsidRPr="003643FF">
        <w:rPr>
          <w:rFonts w:ascii="Palatino Linotype" w:hAnsi="Palatino Linotype" w:cs="Times New Roman"/>
          <w:sz w:val="24"/>
          <w:szCs w:val="24"/>
          <w:lang w:val="en-GB"/>
        </w:rPr>
        <w:t xml:space="preserve"> great and with help from other established</w:t>
      </w:r>
      <w:r w:rsidRPr="003643FF">
        <w:rPr>
          <w:rFonts w:ascii="Palatino Linotype" w:hAnsi="Palatino Linotype" w:cs="Times New Roman"/>
          <w:sz w:val="24"/>
          <w:szCs w:val="24"/>
          <w:lang w:val="en-GB"/>
        </w:rPr>
        <w:t xml:space="preserve"> </w:t>
      </w:r>
      <w:r w:rsidR="001407C3" w:rsidRPr="003643FF">
        <w:rPr>
          <w:rFonts w:ascii="Palatino Linotype" w:hAnsi="Palatino Linotype" w:cs="Times New Roman"/>
          <w:sz w:val="24"/>
          <w:szCs w:val="24"/>
          <w:lang w:val="en-GB"/>
        </w:rPr>
        <w:t xml:space="preserve">programmes, and experienced clinicians, </w:t>
      </w:r>
      <w:r w:rsidRPr="003643FF">
        <w:rPr>
          <w:rFonts w:ascii="Palatino Linotype" w:hAnsi="Palatino Linotype" w:cs="Times New Roman"/>
          <w:sz w:val="24"/>
          <w:szCs w:val="24"/>
          <w:lang w:val="en-GB"/>
        </w:rPr>
        <w:t xml:space="preserve">they can be overcome. </w:t>
      </w:r>
    </w:p>
    <w:sectPr w:rsidR="000A7CEA" w:rsidRPr="003643FF" w:rsidSect="000A7CEA">
      <w:headerReference w:type="default" r:id="rId12"/>
      <w:footerReference w:type="default" r:id="rId13"/>
      <w:pgSz w:w="11900" w:h="16840"/>
      <w:pgMar w:top="1440" w:right="1440" w:bottom="1440" w:left="1440" w:header="708" w:footer="708"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447E0" w15:done="0"/>
  <w15:commentEx w15:paraId="24962163" w15:done="0"/>
  <w15:commentEx w15:paraId="2E8B91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DC" w:rsidRDefault="009761DC" w:rsidP="000A7CEA">
      <w:r>
        <w:separator/>
      </w:r>
    </w:p>
  </w:endnote>
  <w:endnote w:type="continuationSeparator" w:id="0">
    <w:p w:rsidR="009761DC" w:rsidRDefault="009761DC" w:rsidP="000A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50" w:rsidRDefault="0070705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DC" w:rsidRDefault="009761DC">
      <w:r>
        <w:separator/>
      </w:r>
    </w:p>
  </w:footnote>
  <w:footnote w:type="continuationSeparator" w:id="0">
    <w:p w:rsidR="009761DC" w:rsidRDefault="009761DC">
      <w:r>
        <w:continuationSeparator/>
      </w:r>
    </w:p>
  </w:footnote>
  <w:footnote w:type="continuationNotice" w:id="1">
    <w:p w:rsidR="009761DC" w:rsidRDefault="009761DC"/>
  </w:footnote>
  <w:footnote w:id="2">
    <w:p w:rsidR="003643FF" w:rsidRPr="003B6905" w:rsidRDefault="003643FF">
      <w:pPr>
        <w:pStyle w:val="FootnoteText"/>
        <w:rPr>
          <w:rFonts w:ascii="Palatino Linotype" w:hAnsi="Palatino Linotype"/>
        </w:rPr>
      </w:pPr>
      <w:r w:rsidRPr="003B6905">
        <w:rPr>
          <w:rStyle w:val="FootnoteReference"/>
          <w:rFonts w:ascii="Palatino Linotype" w:hAnsi="Palatino Linotype"/>
        </w:rPr>
        <w:footnoteRef/>
      </w:r>
      <w:r w:rsidRPr="003B6905">
        <w:rPr>
          <w:rFonts w:ascii="Palatino Linotype" w:hAnsi="Palatino Linotype"/>
        </w:rPr>
        <w:t xml:space="preserve"> Rachel Dunn is a second year PhD student and </w:t>
      </w:r>
      <w:r w:rsidRPr="003B6905">
        <w:rPr>
          <w:rFonts w:ascii="Palatino Linotype" w:hAnsi="Palatino Linotype"/>
        </w:rPr>
        <w:t xml:space="preserve">Associate Lecturer </w:t>
      </w:r>
      <w:r w:rsidRPr="003B6905">
        <w:rPr>
          <w:rFonts w:ascii="Palatino Linotype" w:hAnsi="Palatino Linotype"/>
        </w:rPr>
        <w:t xml:space="preserve">and Paul McKeown is a Senior Lecturer </w:t>
      </w:r>
      <w:r w:rsidRPr="003B6905">
        <w:rPr>
          <w:rFonts w:ascii="Palatino Linotype" w:hAnsi="Palatino Linotype"/>
        </w:rPr>
        <w:t>in the School of Law at Northumbria University</w:t>
      </w:r>
    </w:p>
  </w:footnote>
  <w:footnote w:id="3">
    <w:p w:rsidR="008B6472" w:rsidRPr="003B6905" w:rsidRDefault="008B6472"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00EC263C" w:rsidRPr="003B6905">
        <w:rPr>
          <w:rFonts w:ascii="Palatino Linotype" w:hAnsi="Palatino Linotype"/>
          <w:sz w:val="16"/>
          <w:szCs w:val="16"/>
        </w:rPr>
        <w:t>ENCLE,</w:t>
      </w:r>
      <w:r w:rsidRPr="003B6905">
        <w:rPr>
          <w:rFonts w:ascii="Palatino Linotype" w:hAnsi="Palatino Linotype"/>
          <w:sz w:val="16"/>
          <w:szCs w:val="16"/>
        </w:rPr>
        <w:t xml:space="preserve"> </w:t>
      </w:r>
      <w:r w:rsidR="00EC263C" w:rsidRPr="003B6905">
        <w:rPr>
          <w:rFonts w:ascii="Palatino Linotype" w:hAnsi="Palatino Linotype"/>
          <w:i/>
          <w:sz w:val="16"/>
          <w:szCs w:val="16"/>
        </w:rPr>
        <w:t xml:space="preserve">Mission Statement </w:t>
      </w:r>
      <w:r w:rsidR="00EC263C" w:rsidRPr="003B6905">
        <w:rPr>
          <w:rFonts w:ascii="Palatino Linotype" w:hAnsi="Palatino Linotype"/>
          <w:sz w:val="16"/>
          <w:szCs w:val="16"/>
        </w:rPr>
        <w:t>Available at:</w:t>
      </w:r>
      <w:r w:rsidR="00EC263C" w:rsidRPr="003B6905">
        <w:rPr>
          <w:rFonts w:ascii="Palatino Linotype" w:hAnsi="Palatino Linotype"/>
          <w:i/>
          <w:sz w:val="16"/>
          <w:szCs w:val="16"/>
        </w:rPr>
        <w:t xml:space="preserve"> </w:t>
      </w:r>
      <w:hyperlink r:id="rId1" w:history="1">
        <w:r w:rsidR="00EC263C" w:rsidRPr="003B6905">
          <w:rPr>
            <w:rStyle w:val="Hyperlink"/>
            <w:rFonts w:ascii="Palatino Linotype" w:hAnsi="Palatino Linotype"/>
            <w:sz w:val="16"/>
            <w:szCs w:val="16"/>
          </w:rPr>
          <w:t>http://www.encle.org/about-encle/memorandum-of-understanding-statute-in-entirety</w:t>
        </w:r>
      </w:hyperlink>
      <w:r w:rsidR="00EC263C" w:rsidRPr="003B6905">
        <w:rPr>
          <w:rFonts w:ascii="Palatino Linotype" w:hAnsi="Palatino Linotype"/>
          <w:sz w:val="16"/>
          <w:szCs w:val="16"/>
        </w:rPr>
        <w:t xml:space="preserve"> (Accessed: 24 September 2015)</w:t>
      </w:r>
    </w:p>
  </w:footnote>
  <w:footnote w:id="4">
    <w:p w:rsidR="00995BCE" w:rsidRPr="003B6905" w:rsidRDefault="00B5085B">
      <w:pPr>
        <w:pStyle w:val="FootnoteText"/>
        <w:rPr>
          <w:rFonts w:ascii="Palatino Linotype" w:hAnsi="Palatino Linotype" w:cs="Times New Roman"/>
          <w:sz w:val="16"/>
          <w:szCs w:val="16"/>
          <w:lang w:val="en-GB"/>
        </w:rPr>
      </w:pPr>
      <w:r w:rsidRPr="003B6905">
        <w:rPr>
          <w:rStyle w:val="FootnoteReference"/>
          <w:rFonts w:ascii="Palatino Linotype" w:hAnsi="Palatino Linotype" w:cs="Times New Roman"/>
          <w:sz w:val="16"/>
          <w:szCs w:val="16"/>
        </w:rPr>
        <w:footnoteRef/>
      </w:r>
      <w:r w:rsidRPr="003B6905">
        <w:rPr>
          <w:rFonts w:ascii="Palatino Linotype" w:hAnsi="Palatino Linotype" w:cs="Times New Roman"/>
          <w:sz w:val="16"/>
          <w:szCs w:val="16"/>
        </w:rPr>
        <w:t xml:space="preserve">For more information </w:t>
      </w:r>
      <w:r w:rsidR="005E67D3" w:rsidRPr="003B6905">
        <w:rPr>
          <w:rFonts w:ascii="Palatino Linotype" w:hAnsi="Palatino Linotype" w:cs="Times New Roman"/>
          <w:sz w:val="16"/>
          <w:szCs w:val="16"/>
        </w:rPr>
        <w:t xml:space="preserve">on </w:t>
      </w:r>
      <w:r w:rsidRPr="003B6905">
        <w:rPr>
          <w:rFonts w:ascii="Palatino Linotype" w:hAnsi="Palatino Linotype" w:cs="Times New Roman"/>
          <w:sz w:val="16"/>
          <w:szCs w:val="16"/>
        </w:rPr>
        <w:t>other ENCLE events please see, http://encle.org/news-and-events/past-events</w:t>
      </w:r>
    </w:p>
  </w:footnote>
  <w:footnote w:id="5">
    <w:p w:rsidR="00573445" w:rsidRPr="003B6905" w:rsidRDefault="00B5085B">
      <w:pPr>
        <w:pStyle w:val="FootnoteText"/>
        <w:rPr>
          <w:rFonts w:ascii="Palatino Linotype" w:hAnsi="Palatino Linotype" w:cs="Times New Roman"/>
          <w:sz w:val="16"/>
          <w:szCs w:val="16"/>
        </w:rPr>
      </w:pPr>
      <w:r w:rsidRPr="003B6905">
        <w:rPr>
          <w:rStyle w:val="FootnoteReference"/>
          <w:rFonts w:ascii="Palatino Linotype" w:hAnsi="Palatino Linotype" w:cs="Times New Roman"/>
          <w:sz w:val="16"/>
          <w:szCs w:val="16"/>
        </w:rPr>
        <w:footnoteRef/>
      </w:r>
      <w:r w:rsidRPr="003B6905">
        <w:rPr>
          <w:rFonts w:ascii="Palatino Linotype" w:hAnsi="Palatino Linotype" w:cs="Times New Roman"/>
          <w:sz w:val="16"/>
          <w:szCs w:val="16"/>
        </w:rPr>
        <w:t xml:space="preserve"> </w:t>
      </w:r>
      <w:proofErr w:type="spellStart"/>
      <w:r w:rsidRPr="003B6905">
        <w:rPr>
          <w:rFonts w:ascii="Palatino Linotype" w:hAnsi="Palatino Linotype" w:cs="Times New Roman"/>
          <w:sz w:val="16"/>
          <w:szCs w:val="16"/>
          <w:lang w:val="en-GB"/>
        </w:rPr>
        <w:t>Askamovic</w:t>
      </w:r>
      <w:proofErr w:type="spellEnd"/>
      <w:r w:rsidRPr="003B6905">
        <w:rPr>
          <w:rFonts w:ascii="Palatino Linotype" w:hAnsi="Palatino Linotype" w:cs="Times New Roman"/>
          <w:sz w:val="16"/>
          <w:szCs w:val="16"/>
          <w:lang w:val="en-GB"/>
        </w:rPr>
        <w:t xml:space="preserve"> D and </w:t>
      </w:r>
      <w:proofErr w:type="spellStart"/>
      <w:r w:rsidRPr="003B6905">
        <w:rPr>
          <w:rFonts w:ascii="Palatino Linotype" w:hAnsi="Palatino Linotype" w:cs="Times New Roman"/>
          <w:sz w:val="16"/>
          <w:szCs w:val="16"/>
          <w:lang w:val="en-GB"/>
        </w:rPr>
        <w:t>Genty</w:t>
      </w:r>
      <w:proofErr w:type="spellEnd"/>
      <w:r w:rsidRPr="003B6905">
        <w:rPr>
          <w:rFonts w:ascii="Palatino Linotype" w:hAnsi="Palatino Linotype" w:cs="Times New Roman"/>
          <w:sz w:val="16"/>
          <w:szCs w:val="16"/>
          <w:lang w:val="en-GB"/>
        </w:rPr>
        <w:t xml:space="preserve"> P, 'An Examination of the Challenges, Successes and Setbacks for Clinical Legal Education in Eastern Europe' (2014) 20 The International Journal of Clinical Legal Education, p.437</w:t>
      </w:r>
    </w:p>
  </w:footnote>
  <w:footnote w:id="6">
    <w:p w:rsidR="00707050" w:rsidRPr="003B6905" w:rsidRDefault="00707050"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Giddings J, 'Clinical Legal Education in Australia: A Historical Perspective' (2003) 2003 International Journal of Clinical Legal Education, pp. 9-10</w:t>
      </w:r>
    </w:p>
  </w:footnote>
  <w:footnote w:id="7">
    <w:p w:rsidR="00707050" w:rsidRPr="003B6905" w:rsidRDefault="00707050"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Wilson RJ, 'Western Europe: Last Holdout in the Worldwide Acceptance of Clinical Legal Education' (2009) 10 German Law Journal, p.834</w:t>
      </w:r>
    </w:p>
  </w:footnote>
  <w:footnote w:id="8">
    <w:p w:rsidR="00707050" w:rsidRPr="003B6905" w:rsidRDefault="00707050" w:rsidP="00336CAD">
      <w:pPr>
        <w:pStyle w:val="NoSpacing"/>
        <w:spacing w:line="480" w:lineRule="auto"/>
        <w:rPr>
          <w:rFonts w:ascii="Palatino Linotype" w:hAnsi="Palatino Linotype"/>
          <w:i/>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i/>
          <w:sz w:val="16"/>
          <w:szCs w:val="16"/>
          <w:lang w:val="en-GB"/>
        </w:rPr>
        <w:t>Ibid</w:t>
      </w:r>
    </w:p>
  </w:footnote>
  <w:footnote w:id="9">
    <w:p w:rsidR="00E02F4E" w:rsidRPr="003B6905" w:rsidRDefault="00E02F4E"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Campbell E, 'A dangerous method? Defending the rise of business law clinics in the UK' (2015) 49 The Law Teacher, p.175</w:t>
      </w:r>
    </w:p>
  </w:footnote>
  <w:footnote w:id="10">
    <w:p w:rsidR="00707050" w:rsidRPr="003B6905" w:rsidRDefault="00707050" w:rsidP="00336CAD">
      <w:pPr>
        <w:pStyle w:val="NoSpacing"/>
        <w:spacing w:line="480" w:lineRule="auto"/>
        <w:rPr>
          <w:rFonts w:ascii="Palatino Linotype" w:hAnsi="Palatino Linotype"/>
          <w:sz w:val="16"/>
          <w:szCs w:val="16"/>
        </w:rPr>
      </w:pPr>
      <w:r w:rsidRPr="003B6905">
        <w:rPr>
          <w:rFonts w:ascii="Palatino Linotype" w:hAnsi="Palatino Linotype"/>
          <w:sz w:val="16"/>
          <w:szCs w:val="16"/>
          <w:vertAlign w:val="superscript"/>
        </w:rPr>
        <w:footnoteRef/>
      </w:r>
      <w:r w:rsidRPr="003B6905">
        <w:rPr>
          <w:rFonts w:ascii="Palatino Linotype" w:hAnsi="Palatino Linotype"/>
          <w:sz w:val="16"/>
          <w:szCs w:val="16"/>
        </w:rPr>
        <w:t xml:space="preserve"> For more information please see,  Iya, P.F. ‘Fostering a Better Interaction Between Academics and Practitioners to Promote Quality Clinical Legal Education with High Ethical Values’, International Journal of Clinical Legal Education, Vol.3, 2003, pp.41-57. </w:t>
      </w:r>
    </w:p>
  </w:footnote>
  <w:footnote w:id="11">
    <w:p w:rsidR="0031404A" w:rsidRPr="003B6905" w:rsidRDefault="0031404A"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 xml:space="preserve">Bloch F S, ‘The case for clinical scholarship’, International Journal of Clinical Legal Education, Vol.4, 2004, pp.7-21  </w:t>
      </w:r>
    </w:p>
  </w:footnote>
  <w:footnote w:id="12">
    <w:p w:rsidR="00B02DE5" w:rsidRPr="003B6905" w:rsidRDefault="00B02DE5"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For example see </w:t>
      </w:r>
      <w:r w:rsidRPr="003B6905">
        <w:rPr>
          <w:rFonts w:ascii="Palatino Linotype" w:hAnsi="Palatino Linotype"/>
          <w:sz w:val="16"/>
          <w:szCs w:val="16"/>
          <w:lang w:val="en-GB"/>
        </w:rPr>
        <w:t>Bucker A and Woodruff A, 'The Bologna Process and German Legal Education: Developing Professional Competence through Clinical Experiences ' (2008) 9 German Law Journal, p. 609</w:t>
      </w:r>
    </w:p>
  </w:footnote>
  <w:footnote w:id="13">
    <w:p w:rsidR="00035199" w:rsidRPr="003B6905" w:rsidRDefault="0003519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Boyer E L, ‘Scholarship Reconsidered: Priorities of the Professoriate’, The Carnegie Foundation for the Advancement of Teaching, 1990</w:t>
      </w:r>
    </w:p>
  </w:footnote>
  <w:footnote w:id="14">
    <w:p w:rsidR="00D67B01" w:rsidRPr="003B6905" w:rsidRDefault="00D67B01"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w:t>
      </w:r>
    </w:p>
  </w:footnote>
  <w:footnote w:id="15">
    <w:p w:rsidR="00D67B01" w:rsidRPr="003B6905" w:rsidRDefault="00D67B01"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w:t>
      </w:r>
    </w:p>
  </w:footnote>
  <w:footnote w:id="16">
    <w:p w:rsidR="00B02DE5" w:rsidRPr="003B6905" w:rsidRDefault="00B02DE5"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p.17</w:t>
      </w:r>
    </w:p>
  </w:footnote>
  <w:footnote w:id="17">
    <w:p w:rsidR="00B02DE5" w:rsidRPr="003B6905" w:rsidRDefault="00B02DE5"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pp.18-19</w:t>
      </w:r>
    </w:p>
  </w:footnote>
  <w:footnote w:id="18">
    <w:p w:rsidR="004D5349" w:rsidRPr="003B6905" w:rsidRDefault="004D534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p.19</w:t>
      </w:r>
    </w:p>
  </w:footnote>
  <w:footnote w:id="19">
    <w:p w:rsidR="004D5349" w:rsidRPr="003B6905" w:rsidRDefault="004D534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p.21</w:t>
      </w:r>
    </w:p>
  </w:footnote>
  <w:footnote w:id="20">
    <w:p w:rsidR="004D5349" w:rsidRPr="003B6905" w:rsidRDefault="004D534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p.23</w:t>
      </w:r>
    </w:p>
  </w:footnote>
  <w:footnote w:id="21">
    <w:p w:rsidR="004D5349" w:rsidRPr="003B6905" w:rsidRDefault="004D534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p.24</w:t>
      </w:r>
    </w:p>
  </w:footnote>
  <w:footnote w:id="22">
    <w:p w:rsidR="004D5349" w:rsidRPr="003B6905" w:rsidRDefault="004D534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 p.23</w:t>
      </w:r>
    </w:p>
  </w:footnote>
  <w:footnote w:id="23">
    <w:p w:rsidR="004D5349" w:rsidRPr="003B6905" w:rsidRDefault="004D5349"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Hutchings P and Shulman L, ‘The Scholarship of Teaching: New Elaborations, New Developments’, The Carnegie Foundation for the Advancement of Teaching, 1999</w:t>
      </w:r>
    </w:p>
  </w:footnote>
  <w:footnote w:id="24">
    <w:p w:rsidR="00D76470" w:rsidRPr="003B6905" w:rsidRDefault="00D76470"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Supra n.7</w:t>
      </w:r>
    </w:p>
  </w:footnote>
  <w:footnote w:id="25">
    <w:p w:rsidR="00FE6FF6" w:rsidRPr="003B6905" w:rsidRDefault="00FE6FF6"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Donnelly L, 'Clinical Legal Education in Ireland: Some Transatlantic Musings' (2010-2011) 4 Phoenix Law Review, p.15</w:t>
      </w:r>
    </w:p>
  </w:footnote>
  <w:footnote w:id="26">
    <w:p w:rsidR="00985214" w:rsidRPr="003B6905" w:rsidRDefault="00985214"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Supra n.7</w:t>
      </w:r>
    </w:p>
  </w:footnote>
  <w:footnote w:id="27">
    <w:p w:rsidR="00985214" w:rsidRPr="003B6905" w:rsidRDefault="00985214"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Ibid</w:t>
      </w:r>
    </w:p>
  </w:footnote>
  <w:footnote w:id="28">
    <w:p w:rsidR="001D2C31" w:rsidRPr="003B6905" w:rsidRDefault="001D2C31"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sz w:val="16"/>
          <w:szCs w:val="16"/>
          <w:lang w:val="en-GB"/>
        </w:rPr>
        <w:t xml:space="preserve">For more information  on the Bologna Process and its implementation please see </w:t>
      </w:r>
      <w:hyperlink r:id="rId2" w:history="1">
        <w:r w:rsidRPr="003B6905">
          <w:rPr>
            <w:rStyle w:val="Hyperlink"/>
            <w:rFonts w:ascii="Palatino Linotype" w:hAnsi="Palatino Linotype"/>
            <w:sz w:val="16"/>
            <w:szCs w:val="16"/>
            <w:lang w:val="en-GB"/>
          </w:rPr>
          <w:t>http://www.ehea.info/Uploads/SubmitedFiles/5_2015/132824.pdf</w:t>
        </w:r>
      </w:hyperlink>
      <w:r w:rsidRPr="003B6905">
        <w:rPr>
          <w:rFonts w:ascii="Palatino Linotype" w:hAnsi="Palatino Linotype"/>
          <w:sz w:val="16"/>
          <w:szCs w:val="16"/>
          <w:lang w:val="en-GB"/>
        </w:rPr>
        <w:t xml:space="preserve"> </w:t>
      </w:r>
    </w:p>
  </w:footnote>
  <w:footnote w:id="29">
    <w:p w:rsidR="00071E11" w:rsidRPr="003B6905" w:rsidRDefault="00071E11" w:rsidP="00336CAD">
      <w:pPr>
        <w:pStyle w:val="NoSpacing"/>
        <w:spacing w:line="480" w:lineRule="auto"/>
        <w:rPr>
          <w:rFonts w:ascii="Palatino Linotype" w:hAnsi="Palatino Linotype"/>
          <w:sz w:val="16"/>
          <w:szCs w:val="16"/>
          <w:lang w:val="en-GB"/>
        </w:rPr>
      </w:pPr>
      <w:r w:rsidRPr="003B6905">
        <w:rPr>
          <w:rStyle w:val="FootnoteReference"/>
          <w:rFonts w:ascii="Palatino Linotype" w:hAnsi="Palatino Linotype"/>
          <w:sz w:val="16"/>
          <w:szCs w:val="16"/>
        </w:rPr>
        <w:footnoteRef/>
      </w:r>
      <w:r w:rsidRPr="003B6905">
        <w:rPr>
          <w:rFonts w:ascii="Palatino Linotype" w:hAnsi="Palatino Linotype"/>
          <w:sz w:val="16"/>
          <w:szCs w:val="16"/>
        </w:rPr>
        <w:t xml:space="preserve"> </w:t>
      </w:r>
      <w:r w:rsidRPr="003B6905">
        <w:rPr>
          <w:rFonts w:ascii="Palatino Linotype" w:hAnsi="Palatino Linotype"/>
          <w:i/>
          <w:sz w:val="16"/>
          <w:szCs w:val="16"/>
        </w:rPr>
        <w:t>Supra</w:t>
      </w:r>
      <w:r w:rsidRPr="003B6905">
        <w:rPr>
          <w:rFonts w:ascii="Palatino Linotype" w:hAnsi="Palatino Linotype"/>
          <w:sz w:val="16"/>
          <w:szCs w:val="16"/>
        </w:rPr>
        <w:t xml:space="preserve"> n.6</w:t>
      </w:r>
    </w:p>
  </w:footnote>
  <w:footnote w:id="30">
    <w:p w:rsidR="00707050" w:rsidRPr="003B6905" w:rsidRDefault="00707050" w:rsidP="00336CAD">
      <w:pPr>
        <w:pStyle w:val="NoSpacing"/>
        <w:spacing w:line="480" w:lineRule="auto"/>
        <w:rPr>
          <w:rFonts w:ascii="Palatino Linotype" w:hAnsi="Palatino Linotype"/>
        </w:rPr>
      </w:pPr>
      <w:r w:rsidRPr="003B6905">
        <w:rPr>
          <w:rFonts w:ascii="Palatino Linotype" w:hAnsi="Palatino Linotype"/>
          <w:i/>
          <w:iCs/>
          <w:sz w:val="16"/>
          <w:szCs w:val="16"/>
          <w:vertAlign w:val="superscript"/>
        </w:rPr>
        <w:footnoteRef/>
      </w:r>
      <w:r w:rsidRPr="003B6905">
        <w:rPr>
          <w:rFonts w:ascii="Palatino Linotype" w:hAnsi="Palatino Linotype"/>
          <w:sz w:val="16"/>
          <w:szCs w:val="16"/>
        </w:rPr>
        <w:t xml:space="preserve"> </w:t>
      </w:r>
      <w:proofErr w:type="spellStart"/>
      <w:r w:rsidRPr="003B6905">
        <w:rPr>
          <w:rFonts w:ascii="Palatino Linotype" w:eastAsia="Segoe UI" w:hAnsi="Palatino Linotype"/>
          <w:sz w:val="16"/>
          <w:szCs w:val="16"/>
        </w:rPr>
        <w:t>Tomoszek</w:t>
      </w:r>
      <w:proofErr w:type="spellEnd"/>
      <w:r w:rsidRPr="003B6905">
        <w:rPr>
          <w:rFonts w:ascii="Palatino Linotype" w:eastAsia="Segoe UI" w:hAnsi="Palatino Linotype"/>
          <w:sz w:val="16"/>
          <w:szCs w:val="16"/>
        </w:rPr>
        <w:t xml:space="preserve"> M, 'The Growth of Legal Clinics in Europe - Faith and Hope, or Evidence and Hard Work?' (2014) 21 International Journal of Clinical Legal Education, pp. 99-100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50" w:rsidRDefault="0070705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54A0E"/>
    <w:multiLevelType w:val="hybridMultilevel"/>
    <w:tmpl w:val="5D26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EA"/>
    <w:rsid w:val="00035199"/>
    <w:rsid w:val="00071E11"/>
    <w:rsid w:val="00072CB6"/>
    <w:rsid w:val="000A7CEA"/>
    <w:rsid w:val="000F2576"/>
    <w:rsid w:val="00133A57"/>
    <w:rsid w:val="001407C3"/>
    <w:rsid w:val="00140C17"/>
    <w:rsid w:val="00150A6E"/>
    <w:rsid w:val="0015559C"/>
    <w:rsid w:val="00161488"/>
    <w:rsid w:val="00167585"/>
    <w:rsid w:val="00197579"/>
    <w:rsid w:val="001A418D"/>
    <w:rsid w:val="001A7725"/>
    <w:rsid w:val="001A7D30"/>
    <w:rsid w:val="001B1283"/>
    <w:rsid w:val="001B62CC"/>
    <w:rsid w:val="001D1FA2"/>
    <w:rsid w:val="001D2C31"/>
    <w:rsid w:val="001D7E6E"/>
    <w:rsid w:val="001F47F6"/>
    <w:rsid w:val="00202263"/>
    <w:rsid w:val="002041DB"/>
    <w:rsid w:val="00251FB2"/>
    <w:rsid w:val="002538CE"/>
    <w:rsid w:val="002A35AC"/>
    <w:rsid w:val="002C2C31"/>
    <w:rsid w:val="002C5E0F"/>
    <w:rsid w:val="002D5753"/>
    <w:rsid w:val="0031404A"/>
    <w:rsid w:val="00336CAD"/>
    <w:rsid w:val="00357BDA"/>
    <w:rsid w:val="003643FF"/>
    <w:rsid w:val="00364583"/>
    <w:rsid w:val="003671E4"/>
    <w:rsid w:val="003A4AC8"/>
    <w:rsid w:val="003B0DCB"/>
    <w:rsid w:val="003B6905"/>
    <w:rsid w:val="003C0492"/>
    <w:rsid w:val="003E29DB"/>
    <w:rsid w:val="00420B1F"/>
    <w:rsid w:val="00452BB7"/>
    <w:rsid w:val="004544DC"/>
    <w:rsid w:val="00470EDD"/>
    <w:rsid w:val="004936B0"/>
    <w:rsid w:val="004B1A29"/>
    <w:rsid w:val="004D5349"/>
    <w:rsid w:val="00515B00"/>
    <w:rsid w:val="005237BF"/>
    <w:rsid w:val="00525327"/>
    <w:rsid w:val="00543082"/>
    <w:rsid w:val="00573445"/>
    <w:rsid w:val="005E1FDC"/>
    <w:rsid w:val="005E67D3"/>
    <w:rsid w:val="005F71C9"/>
    <w:rsid w:val="00630002"/>
    <w:rsid w:val="00641502"/>
    <w:rsid w:val="00646BB2"/>
    <w:rsid w:val="006942F4"/>
    <w:rsid w:val="006B3F4C"/>
    <w:rsid w:val="006E0B8E"/>
    <w:rsid w:val="006F71EC"/>
    <w:rsid w:val="00702874"/>
    <w:rsid w:val="00707050"/>
    <w:rsid w:val="007142A0"/>
    <w:rsid w:val="007441B0"/>
    <w:rsid w:val="00764407"/>
    <w:rsid w:val="00775534"/>
    <w:rsid w:val="007A29DF"/>
    <w:rsid w:val="007A77D3"/>
    <w:rsid w:val="007C4E3D"/>
    <w:rsid w:val="007C6E7F"/>
    <w:rsid w:val="008A1A9C"/>
    <w:rsid w:val="008A63AF"/>
    <w:rsid w:val="008B50A7"/>
    <w:rsid w:val="008B6472"/>
    <w:rsid w:val="008D20C5"/>
    <w:rsid w:val="008D5CFB"/>
    <w:rsid w:val="009056CC"/>
    <w:rsid w:val="00914832"/>
    <w:rsid w:val="00931919"/>
    <w:rsid w:val="00965840"/>
    <w:rsid w:val="009750E8"/>
    <w:rsid w:val="009761DC"/>
    <w:rsid w:val="00985214"/>
    <w:rsid w:val="00995BCE"/>
    <w:rsid w:val="009968D5"/>
    <w:rsid w:val="009A3A39"/>
    <w:rsid w:val="009B7DE9"/>
    <w:rsid w:val="00A36E8F"/>
    <w:rsid w:val="00A475A5"/>
    <w:rsid w:val="00A52CC3"/>
    <w:rsid w:val="00A662A1"/>
    <w:rsid w:val="00AB4F3A"/>
    <w:rsid w:val="00AC1115"/>
    <w:rsid w:val="00AC44A4"/>
    <w:rsid w:val="00AD4BF8"/>
    <w:rsid w:val="00B02DE5"/>
    <w:rsid w:val="00B21F8C"/>
    <w:rsid w:val="00B31D27"/>
    <w:rsid w:val="00B44DA1"/>
    <w:rsid w:val="00B5085B"/>
    <w:rsid w:val="00B57175"/>
    <w:rsid w:val="00BB287E"/>
    <w:rsid w:val="00BC6A73"/>
    <w:rsid w:val="00BE0988"/>
    <w:rsid w:val="00BF207D"/>
    <w:rsid w:val="00BF79A2"/>
    <w:rsid w:val="00C20100"/>
    <w:rsid w:val="00C346AD"/>
    <w:rsid w:val="00C65A5E"/>
    <w:rsid w:val="00C660D4"/>
    <w:rsid w:val="00CA2867"/>
    <w:rsid w:val="00CB60D2"/>
    <w:rsid w:val="00CC48D4"/>
    <w:rsid w:val="00CE2F1A"/>
    <w:rsid w:val="00CF0698"/>
    <w:rsid w:val="00CF0F55"/>
    <w:rsid w:val="00D05A70"/>
    <w:rsid w:val="00D324DF"/>
    <w:rsid w:val="00D5376B"/>
    <w:rsid w:val="00D63E93"/>
    <w:rsid w:val="00D67B01"/>
    <w:rsid w:val="00D76470"/>
    <w:rsid w:val="00D81FC7"/>
    <w:rsid w:val="00D823D1"/>
    <w:rsid w:val="00DA78F8"/>
    <w:rsid w:val="00DC4607"/>
    <w:rsid w:val="00DD26C4"/>
    <w:rsid w:val="00DE2C1E"/>
    <w:rsid w:val="00DF72CB"/>
    <w:rsid w:val="00E02F4E"/>
    <w:rsid w:val="00E04A5A"/>
    <w:rsid w:val="00E45CB3"/>
    <w:rsid w:val="00E477B6"/>
    <w:rsid w:val="00E65D8F"/>
    <w:rsid w:val="00E8042C"/>
    <w:rsid w:val="00E909A6"/>
    <w:rsid w:val="00EA1250"/>
    <w:rsid w:val="00EB6EDE"/>
    <w:rsid w:val="00EC263C"/>
    <w:rsid w:val="00ED3186"/>
    <w:rsid w:val="00F110FF"/>
    <w:rsid w:val="00F514B8"/>
    <w:rsid w:val="00F74636"/>
    <w:rsid w:val="00F77660"/>
    <w:rsid w:val="00F935A6"/>
    <w:rsid w:val="00FE6F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CE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7CEA"/>
    <w:rPr>
      <w:u w:val="single"/>
    </w:rPr>
  </w:style>
  <w:style w:type="paragraph" w:customStyle="1" w:styleId="HeaderFooter">
    <w:name w:val="Header &amp; Footer"/>
    <w:rsid w:val="000A7CEA"/>
    <w:pPr>
      <w:tabs>
        <w:tab w:val="right" w:pos="9020"/>
      </w:tabs>
    </w:pPr>
    <w:rPr>
      <w:rFonts w:ascii="Helvetica" w:hAnsi="Arial Unicode MS" w:cs="Arial Unicode MS"/>
      <w:color w:val="000000"/>
      <w:sz w:val="24"/>
      <w:szCs w:val="24"/>
    </w:rPr>
  </w:style>
  <w:style w:type="paragraph" w:customStyle="1" w:styleId="Body">
    <w:name w:val="Body"/>
    <w:rsid w:val="000A7CEA"/>
    <w:pPr>
      <w:spacing w:after="200" w:line="276" w:lineRule="auto"/>
    </w:pPr>
    <w:rPr>
      <w:rFonts w:ascii="Calibri" w:eastAsia="Calibri" w:hAnsi="Calibri" w:cs="Calibri"/>
      <w:color w:val="000000"/>
      <w:sz w:val="22"/>
      <w:szCs w:val="22"/>
      <w:u w:color="000000"/>
      <w:lang w:val="en-US"/>
    </w:rPr>
  </w:style>
  <w:style w:type="character" w:customStyle="1" w:styleId="None">
    <w:name w:val="None"/>
    <w:rsid w:val="000A7CEA"/>
  </w:style>
  <w:style w:type="character" w:customStyle="1" w:styleId="Hyperlink0">
    <w:name w:val="Hyperlink.0"/>
    <w:basedOn w:val="None"/>
    <w:rsid w:val="000A7CEA"/>
    <w:rPr>
      <w:rFonts w:ascii="Calibri" w:eastAsia="Calibri" w:hAnsi="Calibri" w:cs="Calibri"/>
      <w:color w:val="0000FF"/>
      <w:sz w:val="24"/>
      <w:szCs w:val="24"/>
      <w:u w:val="single" w:color="0000FF"/>
      <w:lang w:val="en-US"/>
    </w:rPr>
  </w:style>
  <w:style w:type="paragraph" w:styleId="FootnoteText">
    <w:name w:val="footnote text"/>
    <w:rsid w:val="000A7CEA"/>
    <w:pPr>
      <w:spacing w:after="200" w:line="276" w:lineRule="auto"/>
    </w:pPr>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3C0492"/>
    <w:rPr>
      <w:vertAlign w:val="superscript"/>
    </w:rPr>
  </w:style>
  <w:style w:type="character" w:styleId="CommentReference">
    <w:name w:val="annotation reference"/>
    <w:basedOn w:val="DefaultParagraphFont"/>
    <w:uiPriority w:val="99"/>
    <w:semiHidden/>
    <w:unhideWhenUsed/>
    <w:rsid w:val="00C20100"/>
    <w:rPr>
      <w:sz w:val="16"/>
      <w:szCs w:val="16"/>
    </w:rPr>
  </w:style>
  <w:style w:type="paragraph" w:styleId="CommentText">
    <w:name w:val="annotation text"/>
    <w:basedOn w:val="Normal"/>
    <w:link w:val="CommentTextChar"/>
    <w:uiPriority w:val="99"/>
    <w:semiHidden/>
    <w:unhideWhenUsed/>
    <w:rsid w:val="00C20100"/>
    <w:rPr>
      <w:sz w:val="20"/>
      <w:szCs w:val="20"/>
    </w:rPr>
  </w:style>
  <w:style w:type="character" w:customStyle="1" w:styleId="CommentTextChar">
    <w:name w:val="Comment Text Char"/>
    <w:basedOn w:val="DefaultParagraphFont"/>
    <w:link w:val="CommentText"/>
    <w:uiPriority w:val="99"/>
    <w:semiHidden/>
    <w:rsid w:val="00C20100"/>
    <w:rPr>
      <w:lang w:val="en-US" w:eastAsia="en-US"/>
    </w:rPr>
  </w:style>
  <w:style w:type="paragraph" w:styleId="CommentSubject">
    <w:name w:val="annotation subject"/>
    <w:basedOn w:val="CommentText"/>
    <w:next w:val="CommentText"/>
    <w:link w:val="CommentSubjectChar"/>
    <w:uiPriority w:val="99"/>
    <w:semiHidden/>
    <w:unhideWhenUsed/>
    <w:rsid w:val="00C20100"/>
    <w:rPr>
      <w:b/>
      <w:bCs/>
    </w:rPr>
  </w:style>
  <w:style w:type="character" w:customStyle="1" w:styleId="CommentSubjectChar">
    <w:name w:val="Comment Subject Char"/>
    <w:basedOn w:val="CommentTextChar"/>
    <w:link w:val="CommentSubject"/>
    <w:uiPriority w:val="99"/>
    <w:semiHidden/>
    <w:rsid w:val="00C20100"/>
    <w:rPr>
      <w:b/>
      <w:bCs/>
      <w:lang w:val="en-US" w:eastAsia="en-US"/>
    </w:rPr>
  </w:style>
  <w:style w:type="paragraph" w:styleId="BalloonText">
    <w:name w:val="Balloon Text"/>
    <w:basedOn w:val="Normal"/>
    <w:link w:val="BalloonTextChar"/>
    <w:uiPriority w:val="99"/>
    <w:semiHidden/>
    <w:unhideWhenUsed/>
    <w:rsid w:val="00C20100"/>
    <w:rPr>
      <w:rFonts w:ascii="Tahoma" w:hAnsi="Tahoma" w:cs="Tahoma"/>
      <w:sz w:val="16"/>
      <w:szCs w:val="16"/>
    </w:rPr>
  </w:style>
  <w:style w:type="character" w:customStyle="1" w:styleId="BalloonTextChar">
    <w:name w:val="Balloon Text Char"/>
    <w:basedOn w:val="DefaultParagraphFont"/>
    <w:link w:val="BalloonText"/>
    <w:uiPriority w:val="99"/>
    <w:semiHidden/>
    <w:rsid w:val="00C20100"/>
    <w:rPr>
      <w:rFonts w:ascii="Tahoma" w:hAnsi="Tahoma" w:cs="Tahoma"/>
      <w:sz w:val="16"/>
      <w:szCs w:val="16"/>
      <w:lang w:val="en-US" w:eastAsia="en-US"/>
    </w:rPr>
  </w:style>
  <w:style w:type="paragraph" w:styleId="ListParagraph">
    <w:name w:val="List Paragraph"/>
    <w:basedOn w:val="Normal"/>
    <w:uiPriority w:val="34"/>
    <w:qFormat/>
    <w:rsid w:val="00470EDD"/>
    <w:pPr>
      <w:ind w:left="720"/>
      <w:contextualSpacing/>
    </w:pPr>
  </w:style>
  <w:style w:type="paragraph" w:styleId="NoSpacing">
    <w:name w:val="No Spacing"/>
    <w:uiPriority w:val="1"/>
    <w:qFormat/>
    <w:rsid w:val="00357BD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CE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7CEA"/>
    <w:rPr>
      <w:u w:val="single"/>
    </w:rPr>
  </w:style>
  <w:style w:type="paragraph" w:customStyle="1" w:styleId="HeaderFooter">
    <w:name w:val="Header &amp; Footer"/>
    <w:rsid w:val="000A7CEA"/>
    <w:pPr>
      <w:tabs>
        <w:tab w:val="right" w:pos="9020"/>
      </w:tabs>
    </w:pPr>
    <w:rPr>
      <w:rFonts w:ascii="Helvetica" w:hAnsi="Arial Unicode MS" w:cs="Arial Unicode MS"/>
      <w:color w:val="000000"/>
      <w:sz w:val="24"/>
      <w:szCs w:val="24"/>
    </w:rPr>
  </w:style>
  <w:style w:type="paragraph" w:customStyle="1" w:styleId="Body">
    <w:name w:val="Body"/>
    <w:rsid w:val="000A7CEA"/>
    <w:pPr>
      <w:spacing w:after="200" w:line="276" w:lineRule="auto"/>
    </w:pPr>
    <w:rPr>
      <w:rFonts w:ascii="Calibri" w:eastAsia="Calibri" w:hAnsi="Calibri" w:cs="Calibri"/>
      <w:color w:val="000000"/>
      <w:sz w:val="22"/>
      <w:szCs w:val="22"/>
      <w:u w:color="000000"/>
      <w:lang w:val="en-US"/>
    </w:rPr>
  </w:style>
  <w:style w:type="character" w:customStyle="1" w:styleId="None">
    <w:name w:val="None"/>
    <w:rsid w:val="000A7CEA"/>
  </w:style>
  <w:style w:type="character" w:customStyle="1" w:styleId="Hyperlink0">
    <w:name w:val="Hyperlink.0"/>
    <w:basedOn w:val="None"/>
    <w:rsid w:val="000A7CEA"/>
    <w:rPr>
      <w:rFonts w:ascii="Calibri" w:eastAsia="Calibri" w:hAnsi="Calibri" w:cs="Calibri"/>
      <w:color w:val="0000FF"/>
      <w:sz w:val="24"/>
      <w:szCs w:val="24"/>
      <w:u w:val="single" w:color="0000FF"/>
      <w:lang w:val="en-US"/>
    </w:rPr>
  </w:style>
  <w:style w:type="paragraph" w:styleId="FootnoteText">
    <w:name w:val="footnote text"/>
    <w:rsid w:val="000A7CEA"/>
    <w:pPr>
      <w:spacing w:after="200" w:line="276" w:lineRule="auto"/>
    </w:pPr>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3C0492"/>
    <w:rPr>
      <w:vertAlign w:val="superscript"/>
    </w:rPr>
  </w:style>
  <w:style w:type="character" w:styleId="CommentReference">
    <w:name w:val="annotation reference"/>
    <w:basedOn w:val="DefaultParagraphFont"/>
    <w:uiPriority w:val="99"/>
    <w:semiHidden/>
    <w:unhideWhenUsed/>
    <w:rsid w:val="00C20100"/>
    <w:rPr>
      <w:sz w:val="16"/>
      <w:szCs w:val="16"/>
    </w:rPr>
  </w:style>
  <w:style w:type="paragraph" w:styleId="CommentText">
    <w:name w:val="annotation text"/>
    <w:basedOn w:val="Normal"/>
    <w:link w:val="CommentTextChar"/>
    <w:uiPriority w:val="99"/>
    <w:semiHidden/>
    <w:unhideWhenUsed/>
    <w:rsid w:val="00C20100"/>
    <w:rPr>
      <w:sz w:val="20"/>
      <w:szCs w:val="20"/>
    </w:rPr>
  </w:style>
  <w:style w:type="character" w:customStyle="1" w:styleId="CommentTextChar">
    <w:name w:val="Comment Text Char"/>
    <w:basedOn w:val="DefaultParagraphFont"/>
    <w:link w:val="CommentText"/>
    <w:uiPriority w:val="99"/>
    <w:semiHidden/>
    <w:rsid w:val="00C20100"/>
    <w:rPr>
      <w:lang w:val="en-US" w:eastAsia="en-US"/>
    </w:rPr>
  </w:style>
  <w:style w:type="paragraph" w:styleId="CommentSubject">
    <w:name w:val="annotation subject"/>
    <w:basedOn w:val="CommentText"/>
    <w:next w:val="CommentText"/>
    <w:link w:val="CommentSubjectChar"/>
    <w:uiPriority w:val="99"/>
    <w:semiHidden/>
    <w:unhideWhenUsed/>
    <w:rsid w:val="00C20100"/>
    <w:rPr>
      <w:b/>
      <w:bCs/>
    </w:rPr>
  </w:style>
  <w:style w:type="character" w:customStyle="1" w:styleId="CommentSubjectChar">
    <w:name w:val="Comment Subject Char"/>
    <w:basedOn w:val="CommentTextChar"/>
    <w:link w:val="CommentSubject"/>
    <w:uiPriority w:val="99"/>
    <w:semiHidden/>
    <w:rsid w:val="00C20100"/>
    <w:rPr>
      <w:b/>
      <w:bCs/>
      <w:lang w:val="en-US" w:eastAsia="en-US"/>
    </w:rPr>
  </w:style>
  <w:style w:type="paragraph" w:styleId="BalloonText">
    <w:name w:val="Balloon Text"/>
    <w:basedOn w:val="Normal"/>
    <w:link w:val="BalloonTextChar"/>
    <w:uiPriority w:val="99"/>
    <w:semiHidden/>
    <w:unhideWhenUsed/>
    <w:rsid w:val="00C20100"/>
    <w:rPr>
      <w:rFonts w:ascii="Tahoma" w:hAnsi="Tahoma" w:cs="Tahoma"/>
      <w:sz w:val="16"/>
      <w:szCs w:val="16"/>
    </w:rPr>
  </w:style>
  <w:style w:type="character" w:customStyle="1" w:styleId="BalloonTextChar">
    <w:name w:val="Balloon Text Char"/>
    <w:basedOn w:val="DefaultParagraphFont"/>
    <w:link w:val="BalloonText"/>
    <w:uiPriority w:val="99"/>
    <w:semiHidden/>
    <w:rsid w:val="00C20100"/>
    <w:rPr>
      <w:rFonts w:ascii="Tahoma" w:hAnsi="Tahoma" w:cs="Tahoma"/>
      <w:sz w:val="16"/>
      <w:szCs w:val="16"/>
      <w:lang w:val="en-US" w:eastAsia="en-US"/>
    </w:rPr>
  </w:style>
  <w:style w:type="paragraph" w:styleId="ListParagraph">
    <w:name w:val="List Paragraph"/>
    <w:basedOn w:val="Normal"/>
    <w:uiPriority w:val="34"/>
    <w:qFormat/>
    <w:rsid w:val="00470EDD"/>
    <w:pPr>
      <w:ind w:left="720"/>
      <w:contextualSpacing/>
    </w:pPr>
  </w:style>
  <w:style w:type="paragraph" w:styleId="NoSpacing">
    <w:name w:val="No Spacing"/>
    <w:uiPriority w:val="1"/>
    <w:qFormat/>
    <w:rsid w:val="00357BD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ul.mckeown@northumbria.ac.uk" TargetMode="External"/><Relationship Id="rId4" Type="http://schemas.microsoft.com/office/2007/relationships/stylesWithEffects" Target="stylesWithEffects.xml"/><Relationship Id="rId9" Type="http://schemas.openxmlformats.org/officeDocument/2006/relationships/hyperlink" Target="mailto:rachel.a.dunn@northumbria.ac.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hea.info/Uploads/SubmitedFiles/5_2015/132824.pdf" TargetMode="External"/><Relationship Id="rId1" Type="http://schemas.openxmlformats.org/officeDocument/2006/relationships/hyperlink" Target="http://www.encle.org/about-encle/memorandum-of-understanding-statute-in-entiret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9E588-9CED-4D7F-8DF7-0973A97A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4459</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27947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rachel.a.dunn</dc:creator>
  <cp:lastModifiedBy>Elaine Hall</cp:lastModifiedBy>
  <cp:revision>3</cp:revision>
  <cp:lastPrinted>2015-10-05T14:00:00Z</cp:lastPrinted>
  <dcterms:created xsi:type="dcterms:W3CDTF">2015-11-27T13:27:00Z</dcterms:created>
  <dcterms:modified xsi:type="dcterms:W3CDTF">2015-11-27T13:31:00Z</dcterms:modified>
</cp:coreProperties>
</file>