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89E" w:rsidRPr="0031089E" w:rsidRDefault="0031089E" w:rsidP="0031089E">
      <w:pPr>
        <w:suppressAutoHyphens/>
        <w:autoSpaceDE w:val="0"/>
        <w:autoSpaceDN w:val="0"/>
        <w:adjustRightInd w:val="0"/>
        <w:spacing w:after="120" w:line="240" w:lineRule="auto"/>
        <w:rPr>
          <w:rFonts w:cs="Courier New"/>
          <w:b/>
          <w:sz w:val="72"/>
          <w:szCs w:val="72"/>
        </w:rPr>
      </w:pPr>
      <w:bookmarkStart w:id="0" w:name="_GoBack"/>
      <w:bookmarkEnd w:id="0"/>
      <w:r w:rsidRPr="0031089E">
        <w:rPr>
          <w:rFonts w:cs="Courier New"/>
          <w:b/>
          <w:sz w:val="72"/>
          <w:szCs w:val="72"/>
        </w:rPr>
        <w:t xml:space="preserve">An essay on the stages of the clinical year in law school: </w:t>
      </w:r>
    </w:p>
    <w:p w:rsidR="0031089E" w:rsidRPr="0031089E" w:rsidRDefault="0031089E" w:rsidP="0031089E">
      <w:pPr>
        <w:suppressAutoHyphens/>
        <w:autoSpaceDE w:val="0"/>
        <w:autoSpaceDN w:val="0"/>
        <w:adjustRightInd w:val="0"/>
        <w:spacing w:after="120" w:line="240" w:lineRule="auto"/>
        <w:rPr>
          <w:rFonts w:cs="Courier New"/>
          <w:b/>
          <w:sz w:val="56"/>
          <w:szCs w:val="56"/>
        </w:rPr>
      </w:pPr>
      <w:r w:rsidRPr="0031089E">
        <w:rPr>
          <w:rFonts w:cs="Courier New"/>
          <w:b/>
          <w:sz w:val="56"/>
          <w:szCs w:val="56"/>
        </w:rPr>
        <w:t xml:space="preserve">Group process with existentialist roots </w:t>
      </w:r>
    </w:p>
    <w:p w:rsidR="0031089E" w:rsidRPr="0031089E" w:rsidRDefault="0031089E" w:rsidP="0031089E">
      <w:pPr>
        <w:suppressAutoHyphens/>
        <w:autoSpaceDE w:val="0"/>
        <w:autoSpaceDN w:val="0"/>
        <w:adjustRightInd w:val="0"/>
        <w:spacing w:after="120" w:line="240" w:lineRule="auto"/>
        <w:rPr>
          <w:rFonts w:cs="Courier New"/>
          <w:i/>
          <w:sz w:val="28"/>
          <w:szCs w:val="28"/>
        </w:rPr>
      </w:pPr>
      <w:r w:rsidRPr="0031089E">
        <w:rPr>
          <w:rFonts w:cs="Courier New"/>
          <w:i/>
          <w:sz w:val="28"/>
          <w:szCs w:val="28"/>
        </w:rPr>
        <w:t>Richard J. Wilson</w:t>
      </w:r>
      <w:r w:rsidRPr="0031089E">
        <w:rPr>
          <w:rStyle w:val="FootnoteReference"/>
          <w:rFonts w:cs="Courier New"/>
          <w:i/>
          <w:sz w:val="28"/>
          <w:szCs w:val="28"/>
        </w:rPr>
        <w:footnoteReference w:customMarkFollows="1" w:id="1"/>
        <w:sym w:font="Symbol" w:char="F02A"/>
      </w:r>
      <w:r w:rsidRPr="0031089E">
        <w:rPr>
          <w:rFonts w:cs="Courier New"/>
          <w:i/>
          <w:sz w:val="28"/>
          <w:szCs w:val="28"/>
        </w:rPr>
        <w:t xml:space="preserve"> </w:t>
      </w:r>
    </w:p>
    <w:p w:rsidR="0031089E" w:rsidRDefault="0031089E" w:rsidP="0031089E">
      <w:pPr>
        <w:suppressAutoHyphens/>
        <w:autoSpaceDE w:val="0"/>
        <w:autoSpaceDN w:val="0"/>
        <w:adjustRightInd w:val="0"/>
        <w:spacing w:after="120" w:line="240" w:lineRule="auto"/>
        <w:rPr>
          <w:rFonts w:cs="Courier New"/>
          <w:sz w:val="24"/>
        </w:rPr>
      </w:pPr>
    </w:p>
    <w:p w:rsidR="0031089E" w:rsidRPr="0031089E" w:rsidRDefault="0031089E" w:rsidP="0031089E">
      <w:pPr>
        <w:suppressAutoHyphens/>
        <w:autoSpaceDE w:val="0"/>
        <w:autoSpaceDN w:val="0"/>
        <w:adjustRightInd w:val="0"/>
        <w:spacing w:after="120" w:line="240" w:lineRule="auto"/>
        <w:rPr>
          <w:rFonts w:cs="Courier New"/>
          <w:b/>
          <w:sz w:val="28"/>
          <w:szCs w:val="28"/>
        </w:rPr>
      </w:pPr>
      <w:r w:rsidRPr="0031089E">
        <w:rPr>
          <w:rFonts w:cs="Courier New"/>
          <w:b/>
          <w:sz w:val="28"/>
          <w:szCs w:val="28"/>
        </w:rPr>
        <w:t xml:space="preserve">Abstract </w:t>
      </w:r>
    </w:p>
    <w:p w:rsidR="0031089E" w:rsidRPr="0031089E" w:rsidRDefault="0031089E" w:rsidP="0031089E">
      <w:pPr>
        <w:suppressAutoHyphens/>
        <w:autoSpaceDE w:val="0"/>
        <w:autoSpaceDN w:val="0"/>
        <w:adjustRightInd w:val="0"/>
        <w:spacing w:after="120" w:line="240" w:lineRule="auto"/>
        <w:ind w:left="720"/>
        <w:rPr>
          <w:rFonts w:cs="Courier New"/>
          <w:i/>
          <w:sz w:val="24"/>
        </w:rPr>
      </w:pPr>
      <w:r w:rsidRPr="0031089E">
        <w:rPr>
          <w:rFonts w:cs="Courier New"/>
          <w:i/>
          <w:sz w:val="24"/>
        </w:rPr>
        <w:t>This short essay focuses on “units,” or stages of group process, part of my shared experience in law teaching and in adult education at St. Mark’s Church, Capitol Hill, Washington, DC. The article explores the context of the functional education program of church teaching and its common elements with clinical law teaching. In my own experience, the unit structure from church teaching translates well into the structu</w:t>
      </w:r>
      <w:r>
        <w:rPr>
          <w:rFonts w:cs="Courier New"/>
          <w:i/>
          <w:sz w:val="24"/>
        </w:rPr>
        <w:t>re of clinical legal education.</w:t>
      </w:r>
    </w:p>
    <w:p w:rsidR="0031089E" w:rsidRPr="0031089E" w:rsidRDefault="0031089E" w:rsidP="0031089E">
      <w:pPr>
        <w:suppressAutoHyphens/>
        <w:autoSpaceDE w:val="0"/>
        <w:autoSpaceDN w:val="0"/>
        <w:adjustRightInd w:val="0"/>
        <w:spacing w:after="120" w:line="240" w:lineRule="auto"/>
        <w:rPr>
          <w:rFonts w:cs="Courier New"/>
          <w:sz w:val="24"/>
        </w:rPr>
      </w:pPr>
    </w:p>
    <w:p w:rsidR="0031089E" w:rsidRPr="0031089E" w:rsidRDefault="0031089E" w:rsidP="0031089E">
      <w:pPr>
        <w:suppressAutoHyphens/>
        <w:autoSpaceDE w:val="0"/>
        <w:autoSpaceDN w:val="0"/>
        <w:adjustRightInd w:val="0"/>
        <w:spacing w:after="120" w:line="240" w:lineRule="auto"/>
        <w:rPr>
          <w:rFonts w:cs="Courier New"/>
          <w:b/>
          <w:sz w:val="28"/>
          <w:szCs w:val="28"/>
        </w:rPr>
      </w:pPr>
      <w:r w:rsidRPr="0031089E">
        <w:rPr>
          <w:rFonts w:cs="Courier New"/>
          <w:b/>
          <w:sz w:val="28"/>
          <w:szCs w:val="28"/>
        </w:rPr>
        <w:t xml:space="preserve">Introduction </w:t>
      </w:r>
    </w:p>
    <w:p w:rsidR="0031089E" w:rsidRPr="0031089E" w:rsidRDefault="0031089E" w:rsidP="0031089E">
      <w:pPr>
        <w:suppressAutoHyphens/>
        <w:autoSpaceDE w:val="0"/>
        <w:autoSpaceDN w:val="0"/>
        <w:adjustRightInd w:val="0"/>
        <w:spacing w:after="120" w:line="240" w:lineRule="auto"/>
        <w:rPr>
          <w:rFonts w:cs="Courier New"/>
          <w:sz w:val="24"/>
        </w:rPr>
      </w:pPr>
      <w:r w:rsidRPr="0031089E">
        <w:rPr>
          <w:rFonts w:cs="Courier New"/>
          <w:sz w:val="24"/>
        </w:rPr>
        <w:t xml:space="preserve">I have been a law teacher for 25 years this year, most of them in in-house, live-client clinics. The experience has generally been a happy one, rewarding and fulfilling for me, as I hope has also been true for my students. Because of my background as a public defender prior to teaching, I try to motivate my students to consider work in the public interest field, if not directly in human rights. My own clinic, the International Human Rights Law Clinic at American University, has done human rights work for the past twenty years. As I complete a fulfilling sabbatical year, I find myself looking back as much as forward and reflecting on what has been useful in my own teaching that might also be useful to others. </w:t>
      </w:r>
    </w:p>
    <w:p w:rsidR="0031089E" w:rsidRPr="0031089E" w:rsidRDefault="0031089E" w:rsidP="0031089E">
      <w:pPr>
        <w:suppressAutoHyphens/>
        <w:autoSpaceDE w:val="0"/>
        <w:autoSpaceDN w:val="0"/>
        <w:adjustRightInd w:val="0"/>
        <w:spacing w:after="120" w:line="240" w:lineRule="auto"/>
        <w:rPr>
          <w:rFonts w:cs="Courier New"/>
          <w:sz w:val="24"/>
        </w:rPr>
      </w:pPr>
      <w:r w:rsidRPr="0031089E">
        <w:rPr>
          <w:rFonts w:cs="Courier New"/>
          <w:sz w:val="24"/>
        </w:rPr>
        <w:t xml:space="preserve">I am repeatedly drawn to the synergy between my experiences in clinical teaching in law and my long-time work as a teacher in the adult education program of my church, St. Mark’s Episcopal Church on Capitol Hill. Let me clarify from the outset that my reflections are not intended to proselytize or otherwise sell any particular brand of religion. There are a couple of good reasons why this is so. First, I haven’t done this kind of church work for a number of years; my primary church teaching with adults was during the 1980s and 90s. </w:t>
      </w:r>
      <w:r>
        <w:rPr>
          <w:rFonts w:cs="Courier New"/>
          <w:sz w:val="24"/>
        </w:rPr>
        <w:t xml:space="preserve">More recently, I have taken to </w:t>
      </w:r>
      <w:r w:rsidRPr="0031089E">
        <w:rPr>
          <w:rFonts w:cs="Courier New"/>
          <w:sz w:val="24"/>
        </w:rPr>
        <w:t xml:space="preserve">protecting my Sunday mornings for “down time” – long, slow swigs from the New York Times, and an occasional Tai Chi course. Second, St. Mark’s, then and now, was and is unlike many other churches. It explicitly advertises to draw in religious skeptics and doubters. Its </w:t>
      </w:r>
      <w:r w:rsidRPr="0031089E">
        <w:rPr>
          <w:rFonts w:cs="Courier New"/>
          <w:sz w:val="24"/>
        </w:rPr>
        <w:lastRenderedPageBreak/>
        <w:t xml:space="preserve">parishioners include a solid core of Christian believers but it also draws agnostics, atheists, fallen-away Catholics, Jews and other religious refugees and dissenters, all of them seekers after faith. It serves communion to any and all who step up during the service. “Whatever you believe, whatever you do not believe, you are welcome at this table,” says the introduction on the St. Mark’s website, which also poses this premise for the church’s work: “We follow the paradoxical path: by looking squarely into the dimness of uncertainty, we can </w:t>
      </w:r>
      <w:r>
        <w:rPr>
          <w:rFonts w:cs="Courier New"/>
          <w:sz w:val="24"/>
        </w:rPr>
        <w:t>discover truth.”</w:t>
      </w:r>
      <w:r>
        <w:rPr>
          <w:rStyle w:val="FootnoteReference"/>
          <w:rFonts w:cs="Courier New"/>
          <w:sz w:val="24"/>
        </w:rPr>
        <w:footnoteReference w:id="2"/>
      </w:r>
      <w:r>
        <w:rPr>
          <w:rFonts w:cs="Courier New"/>
          <w:sz w:val="24"/>
        </w:rPr>
        <w:t xml:space="preserve"> </w:t>
      </w:r>
      <w:r w:rsidRPr="0031089E">
        <w:rPr>
          <w:rFonts w:cs="Courier New"/>
          <w:sz w:val="24"/>
        </w:rPr>
        <w:t xml:space="preserve">St. Mark’s still offers an extensive education program similar to that with which I was involved for many years, including my two-year stint as a co-director of Christian Education. That makes me an official Elder in the church – a category not defined by age, I might note. </w:t>
      </w:r>
    </w:p>
    <w:p w:rsidR="0031089E" w:rsidRPr="0031089E" w:rsidRDefault="0031089E" w:rsidP="0031089E">
      <w:pPr>
        <w:suppressAutoHyphens/>
        <w:autoSpaceDE w:val="0"/>
        <w:autoSpaceDN w:val="0"/>
        <w:adjustRightInd w:val="0"/>
        <w:spacing w:after="120" w:line="240" w:lineRule="auto"/>
        <w:rPr>
          <w:rFonts w:cs="Courier New"/>
          <w:sz w:val="24"/>
        </w:rPr>
      </w:pPr>
      <w:r w:rsidRPr="0031089E">
        <w:rPr>
          <w:rFonts w:cs="Courier New"/>
          <w:sz w:val="24"/>
        </w:rPr>
        <w:t>My purpose here, however, is to describe and briefly analyze one central and totally secular application of our church’s pedagogical structure to legal education, and particularly to the trajectory of work with cases and clients in clinical legal education. I have directed the International Human Rights Law Clinic at American since its founding in 1990. That in-house clinic, part of a nationally recognized clinical program, takes from 16 to 32 students for the entire academic year. Students work on real human rights cases, both domestic and international, while taking a parallel seminar called “The Lawyering Process.” The course and case-work is year-long, and graded credits are given to students for their participation. There are ge</w:t>
      </w:r>
      <w:r w:rsidR="00B34AEC">
        <w:rPr>
          <w:rFonts w:cs="Courier New"/>
          <w:sz w:val="24"/>
        </w:rPr>
        <w:t>nerally two to four supervisor/</w:t>
      </w:r>
      <w:r w:rsidRPr="0031089E">
        <w:rPr>
          <w:rFonts w:cs="Courier New"/>
          <w:sz w:val="24"/>
        </w:rPr>
        <w:t xml:space="preserve">teachers in the clinic, with each supervisor overseeing the work of four student pairs on </w:t>
      </w:r>
      <w:r>
        <w:rPr>
          <w:rFonts w:cs="Courier New"/>
          <w:sz w:val="24"/>
        </w:rPr>
        <w:t>case-work throughout the year.</w:t>
      </w:r>
      <w:r>
        <w:rPr>
          <w:rStyle w:val="FootnoteReference"/>
          <w:rFonts w:cs="Courier New"/>
          <w:sz w:val="24"/>
        </w:rPr>
        <w:footnoteReference w:id="3"/>
      </w:r>
    </w:p>
    <w:p w:rsidR="0031089E" w:rsidRPr="0031089E" w:rsidRDefault="0031089E" w:rsidP="0031089E">
      <w:pPr>
        <w:suppressAutoHyphens/>
        <w:autoSpaceDE w:val="0"/>
        <w:autoSpaceDN w:val="0"/>
        <w:adjustRightInd w:val="0"/>
        <w:spacing w:after="120" w:line="240" w:lineRule="auto"/>
        <w:rPr>
          <w:rFonts w:cs="Courier New"/>
          <w:sz w:val="24"/>
        </w:rPr>
      </w:pPr>
      <w:r w:rsidRPr="0031089E">
        <w:rPr>
          <w:rFonts w:cs="Courier New"/>
          <w:sz w:val="24"/>
        </w:rPr>
        <w:t xml:space="preserve">The work on cases is ever-changing, challenging and generally rewarding for me and students, but it can produce teeth-gnashing frustration with slow, bad decisions by courts or with general bureaucratic truculence and obstinacy. Each year I have taught in clinic, I have been struck by the parallels between the group dynamics of the clinical class, rounds and case-work and the model provided in my church work. That model comes from a structure known as functional education, set out more fully below. Both clinic and the adult church classes share a common commitment to learning life lessons through experience, and in both contexts we make extensive use of role-plays, simulation and other experiential devices to put us into situations in which tough choices are made, followed by reflection and learning from that experience. </w:t>
      </w:r>
    </w:p>
    <w:p w:rsidR="0031089E" w:rsidRPr="0031089E" w:rsidRDefault="0031089E" w:rsidP="0031089E">
      <w:pPr>
        <w:suppressAutoHyphens/>
        <w:autoSpaceDE w:val="0"/>
        <w:autoSpaceDN w:val="0"/>
        <w:adjustRightInd w:val="0"/>
        <w:spacing w:after="120" w:line="240" w:lineRule="auto"/>
        <w:rPr>
          <w:rFonts w:cs="Courier New"/>
          <w:sz w:val="24"/>
        </w:rPr>
      </w:pPr>
      <w:r w:rsidRPr="0031089E">
        <w:rPr>
          <w:rFonts w:cs="Courier New"/>
          <w:sz w:val="24"/>
        </w:rPr>
        <w:t>In this short reflection, I will briefly set out some background on adult education at St. Mark’s Church. I will focus on two particular aspects, functional education and the “units,” or context in which adult courses are taught. I will follow that with an examination of my own extrapolations to the literature on functional education in broader historical, philosophical and pedagogical context, and how closely they relate to the theories of adult learning in clinical legal education. The heart of my reflection lies in an exposition of the relationship between the functional unit and my experience of the stages of the clinical year. Units have been called “descriptive stages of deepening h</w:t>
      </w:r>
      <w:r>
        <w:rPr>
          <w:rFonts w:cs="Courier New"/>
          <w:sz w:val="24"/>
        </w:rPr>
        <w:t>uman encounter and experience,”</w:t>
      </w:r>
      <w:r>
        <w:rPr>
          <w:rStyle w:val="FootnoteReference"/>
          <w:rFonts w:cs="Courier New"/>
          <w:sz w:val="24"/>
        </w:rPr>
        <w:footnoteReference w:id="4"/>
      </w:r>
      <w:r>
        <w:rPr>
          <w:rFonts w:cs="Courier New"/>
          <w:sz w:val="24"/>
        </w:rPr>
        <w:t xml:space="preserve"> </w:t>
      </w:r>
      <w:r w:rsidRPr="0031089E">
        <w:rPr>
          <w:rFonts w:cs="Courier New"/>
          <w:sz w:val="24"/>
        </w:rPr>
        <w:t xml:space="preserve">and they are my focus </w:t>
      </w:r>
      <w:r w:rsidRPr="0031089E">
        <w:rPr>
          <w:rFonts w:cs="Courier New"/>
          <w:sz w:val="24"/>
        </w:rPr>
        <w:lastRenderedPageBreak/>
        <w:t>here. Units relate to both the stage</w:t>
      </w:r>
      <w:r>
        <w:rPr>
          <w:rFonts w:cs="Courier New"/>
          <w:sz w:val="24"/>
        </w:rPr>
        <w:t xml:space="preserve">s </w:t>
      </w:r>
      <w:r w:rsidRPr="0031089E">
        <w:rPr>
          <w:rFonts w:cs="Courier New"/>
          <w:sz w:val="24"/>
        </w:rPr>
        <w:t xml:space="preserve">of group development and the universal seasons of religious worship, both ancient and modern. I follow with a brief conclusion. </w:t>
      </w:r>
    </w:p>
    <w:p w:rsidR="0031089E" w:rsidRDefault="0031089E" w:rsidP="0031089E">
      <w:pPr>
        <w:suppressAutoHyphens/>
        <w:autoSpaceDE w:val="0"/>
        <w:autoSpaceDN w:val="0"/>
        <w:adjustRightInd w:val="0"/>
        <w:spacing w:after="120" w:line="240" w:lineRule="auto"/>
        <w:rPr>
          <w:rFonts w:cs="Courier New"/>
          <w:sz w:val="24"/>
        </w:rPr>
      </w:pPr>
      <w:r w:rsidRPr="0031089E">
        <w:rPr>
          <w:rFonts w:cs="Courier New"/>
          <w:sz w:val="24"/>
        </w:rPr>
        <w:t xml:space="preserve">It was the parallel between the church classes’ passage through the units and my observation that my clinic classes often pass through the same stages that led me to this writing. Before developing that parallel more fully, however, let me indulge my academic curiosity by a brief exploration of the roots of functional education, both at St. Mark’s and more widely. The functional model seems to have universal application, and the unit structure seems to repeat itself again and again, much as the church calendars of all faiths (and school semesters) provide an endless cycle of renewal. </w:t>
      </w:r>
    </w:p>
    <w:p w:rsidR="0031089E" w:rsidRPr="0031089E" w:rsidRDefault="0031089E" w:rsidP="0031089E">
      <w:pPr>
        <w:suppressAutoHyphens/>
        <w:autoSpaceDE w:val="0"/>
        <w:autoSpaceDN w:val="0"/>
        <w:adjustRightInd w:val="0"/>
        <w:spacing w:after="120" w:line="240" w:lineRule="auto"/>
        <w:rPr>
          <w:rFonts w:cs="Courier New"/>
          <w:sz w:val="24"/>
        </w:rPr>
      </w:pPr>
    </w:p>
    <w:p w:rsidR="0031089E" w:rsidRPr="0031089E" w:rsidRDefault="0031089E" w:rsidP="0031089E">
      <w:pPr>
        <w:suppressAutoHyphens/>
        <w:autoSpaceDE w:val="0"/>
        <w:autoSpaceDN w:val="0"/>
        <w:adjustRightInd w:val="0"/>
        <w:spacing w:after="120" w:line="240" w:lineRule="auto"/>
        <w:rPr>
          <w:rFonts w:cs="Courier New"/>
          <w:b/>
          <w:sz w:val="24"/>
        </w:rPr>
      </w:pPr>
      <w:r w:rsidRPr="0031089E">
        <w:rPr>
          <w:rFonts w:cs="Courier New"/>
          <w:b/>
          <w:sz w:val="24"/>
        </w:rPr>
        <w:t xml:space="preserve">A. Functional education at St. Mark’s church </w:t>
      </w:r>
    </w:p>
    <w:p w:rsidR="0031089E" w:rsidRPr="0031089E" w:rsidRDefault="0031089E" w:rsidP="0031089E">
      <w:pPr>
        <w:suppressAutoHyphens/>
        <w:autoSpaceDE w:val="0"/>
        <w:autoSpaceDN w:val="0"/>
        <w:adjustRightInd w:val="0"/>
        <w:spacing w:after="120" w:line="240" w:lineRule="auto"/>
        <w:rPr>
          <w:rFonts w:cs="Courier New"/>
          <w:sz w:val="24"/>
        </w:rPr>
      </w:pPr>
      <w:r w:rsidRPr="0031089E">
        <w:rPr>
          <w:rFonts w:cs="Courier New"/>
          <w:sz w:val="24"/>
        </w:rPr>
        <w:t>The core written sources for my knowledge of functional education and the units are sparse indeed. They come from a literature used at St. Mark’s to plan and carry out adult classes, collectively gathered under the rubric of functional education. Functional education’s theories and structures provide the basic framework, both theological and practical, for our religious teaching, with strong echoes in clinical legal education. The core ideas of functional education were put into writing by Dr. Charles Penniman, who served as an educational consultant to the parish in the 1950s during a time when church attend</w:t>
      </w:r>
      <w:r w:rsidR="003C04F1">
        <w:rPr>
          <w:rFonts w:cs="Courier New"/>
          <w:sz w:val="24"/>
        </w:rPr>
        <w:t>ance was falling off generally.</w:t>
      </w:r>
      <w:r w:rsidR="003C04F1">
        <w:rPr>
          <w:rStyle w:val="FootnoteReference"/>
          <w:rFonts w:cs="Courier New"/>
          <w:sz w:val="24"/>
        </w:rPr>
        <w:footnoteReference w:id="5"/>
      </w:r>
      <w:r w:rsidRPr="0031089E">
        <w:rPr>
          <w:rFonts w:cs="Courier New"/>
          <w:sz w:val="24"/>
        </w:rPr>
        <w:t xml:space="preserve"> Penniman’s terse writings, completed in 1954 and later annotated by a former rector, the Rev. James Adams, still guide functional education at a thriving S</w:t>
      </w:r>
      <w:r w:rsidR="003C04F1">
        <w:rPr>
          <w:rFonts w:cs="Courier New"/>
          <w:sz w:val="24"/>
        </w:rPr>
        <w:t>t. Mark’s today.</w:t>
      </w:r>
      <w:r w:rsidR="003C04F1">
        <w:rPr>
          <w:rStyle w:val="FootnoteReference"/>
          <w:rFonts w:cs="Courier New"/>
          <w:sz w:val="24"/>
        </w:rPr>
        <w:footnoteReference w:id="6"/>
      </w:r>
      <w:r w:rsidRPr="0031089E">
        <w:rPr>
          <w:rFonts w:cs="Courier New"/>
          <w:sz w:val="24"/>
        </w:rPr>
        <w:t xml:space="preserve"> </w:t>
      </w:r>
    </w:p>
    <w:p w:rsidR="0031089E" w:rsidRPr="0031089E" w:rsidRDefault="0031089E" w:rsidP="0031089E">
      <w:pPr>
        <w:suppressAutoHyphens/>
        <w:autoSpaceDE w:val="0"/>
        <w:autoSpaceDN w:val="0"/>
        <w:adjustRightInd w:val="0"/>
        <w:spacing w:after="120" w:line="240" w:lineRule="auto"/>
        <w:rPr>
          <w:rFonts w:cs="Courier New"/>
          <w:sz w:val="24"/>
        </w:rPr>
      </w:pPr>
      <w:r w:rsidRPr="0031089E">
        <w:rPr>
          <w:rFonts w:cs="Courier New"/>
          <w:sz w:val="24"/>
        </w:rPr>
        <w:t xml:space="preserve">All of the adult courses at St. Mark’s, as I said above, are experiential. There is an eloquent explication by Penniman of his own meaning of functional education that bears brief repetition here because it echoes so powerfully in my own clinical teaching. “People learn functionally and in problem situations,” Penniman begins his </w:t>
      </w:r>
      <w:r w:rsidRPr="00BF5385">
        <w:rPr>
          <w:rFonts w:cs="Courier New"/>
          <w:i/>
          <w:sz w:val="24"/>
        </w:rPr>
        <w:t>Categories</w:t>
      </w:r>
      <w:r w:rsidRPr="0031089E">
        <w:rPr>
          <w:rFonts w:cs="Courier New"/>
          <w:sz w:val="24"/>
        </w:rPr>
        <w:t>. “Therefore, we start with life</w:t>
      </w:r>
      <w:r w:rsidR="00BF5385">
        <w:rPr>
          <w:rFonts w:cs="Courier New"/>
          <w:sz w:val="24"/>
        </w:rPr>
        <w:t xml:space="preserve"> ...</w:t>
      </w:r>
      <w:r w:rsidRPr="0031089E">
        <w:rPr>
          <w:rFonts w:cs="Courier New"/>
          <w:sz w:val="24"/>
        </w:rPr>
        <w:t xml:space="preserve"> We specifically do not start with the straightjacket of goals where life is only hinted at. We start with life a</w:t>
      </w:r>
      <w:r w:rsidR="003C04F1">
        <w:rPr>
          <w:rFonts w:cs="Courier New"/>
          <w:sz w:val="24"/>
        </w:rPr>
        <w:t>nd only hint at goals.”</w:t>
      </w:r>
      <w:r w:rsidR="003C04F1">
        <w:rPr>
          <w:rStyle w:val="FootnoteReference"/>
          <w:rFonts w:cs="Courier New"/>
          <w:sz w:val="24"/>
        </w:rPr>
        <w:footnoteReference w:id="7"/>
      </w:r>
      <w:r w:rsidRPr="0031089E">
        <w:rPr>
          <w:rFonts w:cs="Courier New"/>
          <w:sz w:val="24"/>
        </w:rPr>
        <w:t xml:space="preserve"> Later, Penniman sets out what he calls the “laws of learning: (a) People learn what they are ready to learn; (b) People learn where</w:t>
      </w:r>
      <w:r w:rsidR="003C04F1">
        <w:rPr>
          <w:rFonts w:cs="Courier New"/>
          <w:sz w:val="24"/>
        </w:rPr>
        <w:t xml:space="preserve"> there is a positive effect</w:t>
      </w:r>
      <w:r w:rsidR="00BF5385">
        <w:rPr>
          <w:rFonts w:cs="Courier New"/>
          <w:sz w:val="24"/>
        </w:rPr>
        <w:t xml:space="preserve"> </w:t>
      </w:r>
      <w:r w:rsidR="003C04F1">
        <w:rPr>
          <w:rFonts w:cs="Courier New"/>
          <w:sz w:val="24"/>
        </w:rPr>
        <w:t>..</w:t>
      </w:r>
      <w:r w:rsidRPr="0031089E">
        <w:rPr>
          <w:rFonts w:cs="Courier New"/>
          <w:sz w:val="24"/>
        </w:rPr>
        <w:t>.</w:t>
      </w:r>
      <w:r w:rsidR="003C04F1">
        <w:rPr>
          <w:rFonts w:cs="Courier New"/>
          <w:sz w:val="24"/>
        </w:rPr>
        <w:t xml:space="preserve"> </w:t>
      </w:r>
      <w:r w:rsidRPr="0031089E">
        <w:rPr>
          <w:rFonts w:cs="Courier New"/>
          <w:sz w:val="24"/>
        </w:rPr>
        <w:t>; (c) People learn what they can use, and use now</w:t>
      </w:r>
      <w:r w:rsidR="00BF5385">
        <w:rPr>
          <w:rFonts w:cs="Courier New"/>
          <w:sz w:val="24"/>
        </w:rPr>
        <w:t xml:space="preserve"> ...</w:t>
      </w:r>
      <w:r w:rsidRPr="0031089E">
        <w:rPr>
          <w:rFonts w:cs="Courier New"/>
          <w:sz w:val="24"/>
        </w:rPr>
        <w:t>” The commentary notes that “these are the principles of what has been called ‘progressive’</w:t>
      </w:r>
      <w:r w:rsidR="003C04F1">
        <w:rPr>
          <w:rFonts w:cs="Courier New"/>
          <w:sz w:val="24"/>
        </w:rPr>
        <w:t xml:space="preserve"> or ‘experiential’ education.”</w:t>
      </w:r>
      <w:r w:rsidR="003C04F1">
        <w:rPr>
          <w:rStyle w:val="FootnoteReference"/>
          <w:rFonts w:cs="Courier New"/>
          <w:sz w:val="24"/>
        </w:rPr>
        <w:footnoteReference w:id="8"/>
      </w:r>
    </w:p>
    <w:p w:rsidR="0031089E" w:rsidRPr="0031089E" w:rsidRDefault="0031089E" w:rsidP="0031089E">
      <w:pPr>
        <w:suppressAutoHyphens/>
        <w:autoSpaceDE w:val="0"/>
        <w:autoSpaceDN w:val="0"/>
        <w:adjustRightInd w:val="0"/>
        <w:spacing w:after="120" w:line="240" w:lineRule="auto"/>
        <w:rPr>
          <w:rFonts w:cs="Courier New"/>
          <w:sz w:val="24"/>
        </w:rPr>
      </w:pPr>
      <w:r w:rsidRPr="0031089E">
        <w:rPr>
          <w:rFonts w:cs="Courier New"/>
          <w:sz w:val="24"/>
        </w:rPr>
        <w:t>Progressive education is the early twentieth-century movement most identified with the writings of John Dewey, the great American educational theorist.</w:t>
      </w:r>
      <w:r w:rsidR="003C04F1">
        <w:rPr>
          <w:rStyle w:val="FootnoteReference"/>
          <w:rFonts w:cs="Courier New"/>
          <w:sz w:val="24"/>
        </w:rPr>
        <w:footnoteReference w:id="9"/>
      </w:r>
      <w:r w:rsidRPr="0031089E">
        <w:rPr>
          <w:rFonts w:cs="Courier New"/>
          <w:sz w:val="24"/>
        </w:rPr>
        <w:t xml:space="preserve"> Penniman further explicates functional learning when he suggests that any issue can be approached at three levels: the </w:t>
      </w:r>
      <w:r w:rsidRPr="0031089E">
        <w:rPr>
          <w:rFonts w:cs="Courier New"/>
          <w:sz w:val="24"/>
        </w:rPr>
        <w:lastRenderedPageBreak/>
        <w:t>ideological, the organizational and the functional. “It will be seen that the first two will never get us into the issue – that it is only on the third level that we get into the issue.” By this, the commentary suggests, he means that it is not enough to think intellectually about an issue (ideological), or to feel the emotional connection of loyal and enthusiastic group membership (organizational), but that true knowledge occurs only when people learn “how they function under pressure and where they find the resources they need. They are engaged at a personal level, what the Bib</w:t>
      </w:r>
      <w:r w:rsidR="003C04F1">
        <w:rPr>
          <w:rFonts w:cs="Courier New"/>
          <w:sz w:val="24"/>
        </w:rPr>
        <w:t>le calls the level of spirit.”</w:t>
      </w:r>
      <w:r w:rsidR="003C04F1">
        <w:rPr>
          <w:rStyle w:val="FootnoteReference"/>
          <w:rFonts w:cs="Courier New"/>
          <w:sz w:val="24"/>
        </w:rPr>
        <w:footnoteReference w:id="10"/>
      </w:r>
    </w:p>
    <w:p w:rsidR="0031089E" w:rsidRPr="0031089E" w:rsidRDefault="0031089E" w:rsidP="0031089E">
      <w:pPr>
        <w:suppressAutoHyphens/>
        <w:autoSpaceDE w:val="0"/>
        <w:autoSpaceDN w:val="0"/>
        <w:adjustRightInd w:val="0"/>
        <w:spacing w:after="120" w:line="240" w:lineRule="auto"/>
        <w:rPr>
          <w:rFonts w:cs="Courier New"/>
          <w:sz w:val="24"/>
        </w:rPr>
      </w:pPr>
      <w:r w:rsidRPr="0031089E">
        <w:rPr>
          <w:rFonts w:cs="Courier New"/>
          <w:sz w:val="24"/>
        </w:rPr>
        <w:t>So, a typical class at St. Mark’s is designed to explore religious issues in a real-life context. Each class session during my time there was carefully planned around day-to-day issues that put the class into the moral and religious dilemmas of the day - what Penniman called “the issue.” A typical early class session in an adult confirmation class might begin, for example, with a scenario asking paired class members to identify the types of credentials by which people identify each other, or with small groups preparing skits on a topic such as depiction of an occasion in which people who did not know each other are gathering before a formal meeting. “The Issue” in the first scenario might be as follows: “I want to be known to the world by my credentials, and I want to be accepted for who I am.” The Issue in the second might be, “I want to make new friends, and I want to maintain my autonomy and privacy.” These issues are what are often referred to in clinical scholarship as the “inherent tension” between two competing dynamics, as for example, the alleged tension between theory and practi</w:t>
      </w:r>
      <w:r w:rsidR="003C04F1">
        <w:rPr>
          <w:rFonts w:cs="Courier New"/>
          <w:sz w:val="24"/>
        </w:rPr>
        <w:t>ce in legal education generally</w:t>
      </w:r>
      <w:r w:rsidR="003C04F1">
        <w:rPr>
          <w:rStyle w:val="FootnoteReference"/>
          <w:rFonts w:cs="Courier New"/>
          <w:sz w:val="24"/>
        </w:rPr>
        <w:footnoteReference w:id="11"/>
      </w:r>
      <w:r w:rsidRPr="0031089E">
        <w:rPr>
          <w:rFonts w:cs="Courier New"/>
          <w:sz w:val="24"/>
        </w:rPr>
        <w:t xml:space="preserve"> or be</w:t>
      </w:r>
      <w:r w:rsidR="003C04F1">
        <w:rPr>
          <w:rFonts w:cs="Courier New"/>
          <w:sz w:val="24"/>
        </w:rPr>
        <w:t>tween teaching and scholarship</w:t>
      </w:r>
      <w:r w:rsidR="003C04F1">
        <w:rPr>
          <w:rStyle w:val="FootnoteReference"/>
          <w:rFonts w:cs="Courier New"/>
          <w:sz w:val="24"/>
        </w:rPr>
        <w:footnoteReference w:id="12"/>
      </w:r>
      <w:r w:rsidRPr="0031089E">
        <w:rPr>
          <w:rFonts w:cs="Courier New"/>
          <w:sz w:val="24"/>
        </w:rPr>
        <w:t xml:space="preserve"> for clinical teachers. These are not choices between good and evil but between competing goods. Yet we will, indeed we must, choose a course of action. </w:t>
      </w:r>
    </w:p>
    <w:p w:rsidR="0031089E" w:rsidRPr="0031089E" w:rsidRDefault="0031089E" w:rsidP="0031089E">
      <w:pPr>
        <w:suppressAutoHyphens/>
        <w:autoSpaceDE w:val="0"/>
        <w:autoSpaceDN w:val="0"/>
        <w:adjustRightInd w:val="0"/>
        <w:spacing w:after="120" w:line="240" w:lineRule="auto"/>
        <w:rPr>
          <w:rFonts w:cs="Courier New"/>
          <w:sz w:val="24"/>
        </w:rPr>
      </w:pPr>
      <w:r w:rsidRPr="0031089E">
        <w:rPr>
          <w:rFonts w:cs="Courier New"/>
          <w:sz w:val="24"/>
        </w:rPr>
        <w:t xml:space="preserve">Another typical example has been the use of role-plays. Leaders request, for example, that class participants divide into two groups, one to prepare the husband and the other to prepare the wife, to role-play a household discussion. In one such typical scenario, the wife has obtained an attractive job offer in another city, one that would require the husband to give up his well-paying job without the certainty of getting similar employment in the new location. The groups are given about a half-hour to prepare one of their members to be the role-player, after which the two role-players play out the scene for the class, in role, hopefully moving toward solution. The role-play goes on for 15 to 20 minutes, after which the role players and groups are de-briefed, followed by guided discussion, ending with some lesson on how one might approach this issue from a religious or faith perspective. As the course evolves, the issues become more central to life’s ultimate questions and thus more poignant. A typical role-play toward the end of the course involves two role-players, prepared by their groups, one playing a dying grandmother, covered in blankets and unable to speak, who is visited by a grand-son or daughter who must do all the talking in their brief meeting. These powerful role-plays open the </w:t>
      </w:r>
      <w:r w:rsidRPr="0031089E">
        <w:rPr>
          <w:rFonts w:cs="Courier New"/>
          <w:sz w:val="24"/>
        </w:rPr>
        <w:lastRenderedPageBreak/>
        <w:t xml:space="preserve">class to discussion of their values, what matters, and how they might use a framework of religious faith to resolve the issues. </w:t>
      </w:r>
    </w:p>
    <w:p w:rsidR="0031089E" w:rsidRPr="0031089E" w:rsidRDefault="0031089E" w:rsidP="0031089E">
      <w:pPr>
        <w:suppressAutoHyphens/>
        <w:autoSpaceDE w:val="0"/>
        <w:autoSpaceDN w:val="0"/>
        <w:adjustRightInd w:val="0"/>
        <w:spacing w:after="120" w:line="240" w:lineRule="auto"/>
        <w:rPr>
          <w:rFonts w:cs="Courier New"/>
          <w:sz w:val="24"/>
        </w:rPr>
      </w:pPr>
      <w:r w:rsidRPr="0031089E">
        <w:rPr>
          <w:rFonts w:cs="Courier New"/>
          <w:sz w:val="24"/>
        </w:rPr>
        <w:t>There was, during my own classes and teaching, no overt suggestion that life problems would be resolved by “coming to Jesus” or any other such proselytizing solution. Participants were left to decide their path of their own faith journeys. Many chose to take this journey within the St. Mark’s community, a generally activist parish with extensive community outreach programs and a vibrant parish life. While the program allowed personal experience to drive the decision for involvement, as time went on, the courses offer a deeper meaning, “found in probing that relation between belief and behavior, that intersection of life at which issues of faith often f</w:t>
      </w:r>
      <w:r w:rsidR="003C04F1">
        <w:rPr>
          <w:rFonts w:cs="Courier New"/>
          <w:sz w:val="24"/>
        </w:rPr>
        <w:t>reely arise and confront us.”</w:t>
      </w:r>
      <w:r w:rsidR="003C04F1">
        <w:rPr>
          <w:rStyle w:val="FootnoteReference"/>
          <w:rFonts w:cs="Courier New"/>
          <w:sz w:val="24"/>
        </w:rPr>
        <w:footnoteReference w:id="13"/>
      </w:r>
    </w:p>
    <w:p w:rsidR="0031089E" w:rsidRPr="0031089E" w:rsidRDefault="0031089E" w:rsidP="0031089E">
      <w:pPr>
        <w:suppressAutoHyphens/>
        <w:autoSpaceDE w:val="0"/>
        <w:autoSpaceDN w:val="0"/>
        <w:adjustRightInd w:val="0"/>
        <w:spacing w:after="120" w:line="240" w:lineRule="auto"/>
        <w:rPr>
          <w:rFonts w:cs="Courier New"/>
          <w:sz w:val="24"/>
        </w:rPr>
      </w:pPr>
    </w:p>
    <w:p w:rsidR="0031089E" w:rsidRPr="008E217D" w:rsidRDefault="0031089E" w:rsidP="0031089E">
      <w:pPr>
        <w:suppressAutoHyphens/>
        <w:autoSpaceDE w:val="0"/>
        <w:autoSpaceDN w:val="0"/>
        <w:adjustRightInd w:val="0"/>
        <w:spacing w:after="120" w:line="240" w:lineRule="auto"/>
        <w:rPr>
          <w:rFonts w:cs="Courier New"/>
          <w:b/>
          <w:sz w:val="24"/>
        </w:rPr>
      </w:pPr>
      <w:r w:rsidRPr="008E217D">
        <w:rPr>
          <w:rFonts w:cs="Courier New"/>
          <w:b/>
          <w:sz w:val="24"/>
        </w:rPr>
        <w:t xml:space="preserve">B. Functional education in history and theology </w:t>
      </w:r>
    </w:p>
    <w:p w:rsidR="0031089E" w:rsidRPr="0031089E" w:rsidRDefault="0031089E" w:rsidP="0031089E">
      <w:pPr>
        <w:suppressAutoHyphens/>
        <w:autoSpaceDE w:val="0"/>
        <w:autoSpaceDN w:val="0"/>
        <w:adjustRightInd w:val="0"/>
        <w:spacing w:after="120" w:line="240" w:lineRule="auto"/>
        <w:rPr>
          <w:rFonts w:cs="Courier New"/>
          <w:sz w:val="24"/>
        </w:rPr>
      </w:pPr>
      <w:r w:rsidRPr="0031089E">
        <w:rPr>
          <w:rFonts w:cs="Courier New"/>
          <w:sz w:val="24"/>
        </w:rPr>
        <w:t>The Rev. Paul Abernathy, current rector at St. Mark’s, suggests that Charles Penniman’s work was solidly in the tradition of theological existentialism, particularly in the writings of Søren Kierkegaard, Martin Buber and Paul Tillich. As such, it reflects a concern with the core themes of existentialism: the absurdity of life and the inevitability of death; existence and non</w:t>
      </w:r>
      <w:r w:rsidRPr="0031089E">
        <w:rPr>
          <w:rFonts w:cs="Courier New"/>
          <w:sz w:val="24"/>
        </w:rPr>
        <w:softHyphen/>
        <w:t>existence; and the intentionality of human behavior reflected in the power to choose a</w:t>
      </w:r>
      <w:r w:rsidR="003C04F1">
        <w:rPr>
          <w:rFonts w:cs="Courier New"/>
          <w:sz w:val="24"/>
        </w:rPr>
        <w:t>s part of the human condition.</w:t>
      </w:r>
      <w:r w:rsidR="003C04F1">
        <w:rPr>
          <w:rStyle w:val="FootnoteReference"/>
          <w:rFonts w:cs="Courier New"/>
          <w:sz w:val="24"/>
        </w:rPr>
        <w:footnoteReference w:id="14"/>
      </w:r>
      <w:r w:rsidRPr="0031089E">
        <w:rPr>
          <w:rFonts w:cs="Courier New"/>
          <w:sz w:val="24"/>
        </w:rPr>
        <w:t xml:space="preserve"> Kierkegaard (1813-1855) himself posited three “modes of existence”: the aesthetic, the ethical and the religious. As paradigmatic examples of each of these modes, Kierkegaard chose Don Juan for the aesthetic, Immanuel Kant for the ethical, and the biblical Abraham of the Old Testament for the religious. One can freely choose, Kierkegaard argued, any of these courses of action to guide one’s life. Consistent with the other existentialists, however, he posited that there was no legitimate rationale for choosing one over the other. One is thus left with the option of “taking hold” of life by passionately</w:t>
      </w:r>
      <w:r w:rsidR="003C04F1">
        <w:rPr>
          <w:rFonts w:cs="Courier New"/>
          <w:sz w:val="24"/>
        </w:rPr>
        <w:t xml:space="preserve"> engaging in what one chooses.</w:t>
      </w:r>
      <w:r w:rsidR="003C04F1">
        <w:rPr>
          <w:rStyle w:val="FootnoteReference"/>
          <w:rFonts w:cs="Courier New"/>
          <w:sz w:val="24"/>
        </w:rPr>
        <w:footnoteReference w:id="15"/>
      </w:r>
      <w:r w:rsidRPr="0031089E">
        <w:rPr>
          <w:rFonts w:cs="Courier New"/>
          <w:sz w:val="24"/>
        </w:rPr>
        <w:t xml:space="preserve"> While these core ideas of existentialism may have been eclipsed in some ways by post-modern thought, the ongoing vitality of the St. Mark’s congregation’s intellectual engagement is testimony to the currency of these theories in people’s lives. </w:t>
      </w:r>
    </w:p>
    <w:p w:rsidR="0031089E" w:rsidRPr="0031089E" w:rsidRDefault="0031089E" w:rsidP="0031089E">
      <w:pPr>
        <w:suppressAutoHyphens/>
        <w:autoSpaceDE w:val="0"/>
        <w:autoSpaceDN w:val="0"/>
        <w:adjustRightInd w:val="0"/>
        <w:spacing w:after="120" w:line="240" w:lineRule="auto"/>
        <w:rPr>
          <w:rFonts w:cs="Courier New"/>
          <w:sz w:val="24"/>
        </w:rPr>
      </w:pPr>
      <w:r w:rsidRPr="0031089E">
        <w:rPr>
          <w:rFonts w:cs="Courier New"/>
          <w:sz w:val="24"/>
        </w:rPr>
        <w:t>One can find additional support for functional approaches in the writings on existential psychother</w:t>
      </w:r>
      <w:r w:rsidR="003C04F1">
        <w:rPr>
          <w:rFonts w:cs="Courier New"/>
          <w:sz w:val="24"/>
        </w:rPr>
        <w:t>apy as practiced in the 1970s.</w:t>
      </w:r>
      <w:r w:rsidR="003C04F1">
        <w:rPr>
          <w:rStyle w:val="FootnoteReference"/>
          <w:rFonts w:cs="Courier New"/>
          <w:sz w:val="24"/>
        </w:rPr>
        <w:footnoteReference w:id="16"/>
      </w:r>
      <w:r>
        <w:rPr>
          <w:rFonts w:cs="Courier New"/>
          <w:sz w:val="24"/>
        </w:rPr>
        <w:t xml:space="preserve"> </w:t>
      </w:r>
      <w:r w:rsidRPr="0031089E">
        <w:rPr>
          <w:rFonts w:cs="Courier New"/>
          <w:sz w:val="24"/>
        </w:rPr>
        <w:t xml:space="preserve">During the same period of time, the term “functional </w:t>
      </w:r>
      <w:r w:rsidRPr="0031089E">
        <w:rPr>
          <w:rFonts w:cs="Courier New"/>
          <w:sz w:val="24"/>
        </w:rPr>
        <w:lastRenderedPageBreak/>
        <w:t xml:space="preserve">education” was used as a term of art, probably not coincidentally, to describe work in the fields of educational and development theory. In education, the term was used in 1961 to mean “education everywhere and at all times,” in “natural schools” emerging from the student’s needs, “spontaneously from the influence of the environment,” rather than from “deliberate, goal-oriented” traditional education. The basis in psychology for the term comes from William James in the United States, </w:t>
      </w:r>
      <w:r w:rsidR="003C04F1">
        <w:rPr>
          <w:rFonts w:cs="Courier New"/>
          <w:sz w:val="24"/>
        </w:rPr>
        <w:t>and Eduard Claparède in Europe.</w:t>
      </w:r>
      <w:r w:rsidR="003C04F1">
        <w:rPr>
          <w:rStyle w:val="FootnoteReference"/>
          <w:rFonts w:cs="Courier New"/>
          <w:sz w:val="24"/>
        </w:rPr>
        <w:footnoteReference w:id="17"/>
      </w:r>
      <w:r w:rsidRPr="0031089E">
        <w:rPr>
          <w:rFonts w:cs="Courier New"/>
          <w:sz w:val="24"/>
        </w:rPr>
        <w:t xml:space="preserve"> Another, similar meaning was given the term for an early computer program designed to meet individual learning needs of grade school students in pilot public schools, thus allowing the student to assume respo</w:t>
      </w:r>
      <w:r w:rsidR="003C04F1">
        <w:rPr>
          <w:rFonts w:cs="Courier New"/>
          <w:sz w:val="24"/>
        </w:rPr>
        <w:t>nsibility for her own learning.</w:t>
      </w:r>
      <w:r w:rsidR="003C04F1">
        <w:rPr>
          <w:rStyle w:val="FootnoteReference"/>
          <w:rFonts w:cs="Courier New"/>
          <w:sz w:val="24"/>
        </w:rPr>
        <w:footnoteReference w:id="18"/>
      </w:r>
      <w:r w:rsidRPr="0031089E">
        <w:rPr>
          <w:rFonts w:cs="Courier New"/>
          <w:sz w:val="24"/>
        </w:rPr>
        <w:t xml:space="preserve"> In a more overtly political context, functional education described a body of educational principles responsive to colonial oppression, designed to raise consciousness and promote deep social change, originally promoted by followers of M.K. Gandhi in In</w:t>
      </w:r>
      <w:r w:rsidR="003C04F1">
        <w:rPr>
          <w:rFonts w:cs="Courier New"/>
          <w:sz w:val="24"/>
        </w:rPr>
        <w:t>dia in the 1950s and early 60s,</w:t>
      </w:r>
      <w:r w:rsidR="003C04F1">
        <w:rPr>
          <w:rStyle w:val="FootnoteReference"/>
          <w:rFonts w:cs="Courier New"/>
          <w:sz w:val="24"/>
        </w:rPr>
        <w:footnoteReference w:id="19"/>
      </w:r>
      <w:r w:rsidRPr="0031089E">
        <w:rPr>
          <w:rFonts w:cs="Courier New"/>
          <w:sz w:val="24"/>
        </w:rPr>
        <w:t xml:space="preserve"> and later by the Bra</w:t>
      </w:r>
      <w:r w:rsidR="003C04F1">
        <w:rPr>
          <w:rFonts w:cs="Courier New"/>
          <w:sz w:val="24"/>
        </w:rPr>
        <w:t>zilian educator, Paulo Freire,</w:t>
      </w:r>
      <w:r w:rsidR="003C04F1">
        <w:rPr>
          <w:rStyle w:val="FootnoteReference"/>
          <w:rFonts w:cs="Courier New"/>
          <w:sz w:val="24"/>
        </w:rPr>
        <w:footnoteReference w:id="20"/>
      </w:r>
      <w:r w:rsidR="008E217D">
        <w:rPr>
          <w:rFonts w:cs="Courier New"/>
          <w:sz w:val="24"/>
        </w:rPr>
        <w:t xml:space="preserve"> </w:t>
      </w:r>
      <w:r w:rsidR="00B17C97">
        <w:rPr>
          <w:rFonts w:cs="Courier New"/>
          <w:sz w:val="24"/>
        </w:rPr>
        <w:t>a personal favorite of mine.</w:t>
      </w:r>
      <w:r w:rsidR="00B17C97">
        <w:rPr>
          <w:rStyle w:val="FootnoteReference"/>
          <w:rFonts w:cs="Courier New"/>
          <w:sz w:val="24"/>
        </w:rPr>
        <w:footnoteReference w:id="21"/>
      </w:r>
    </w:p>
    <w:p w:rsidR="0031089E" w:rsidRPr="0031089E" w:rsidRDefault="0031089E" w:rsidP="0031089E">
      <w:pPr>
        <w:suppressAutoHyphens/>
        <w:autoSpaceDE w:val="0"/>
        <w:autoSpaceDN w:val="0"/>
        <w:adjustRightInd w:val="0"/>
        <w:spacing w:after="120" w:line="240" w:lineRule="auto"/>
        <w:rPr>
          <w:rFonts w:cs="Courier New"/>
          <w:sz w:val="24"/>
        </w:rPr>
      </w:pPr>
      <w:r w:rsidRPr="0031089E">
        <w:rPr>
          <w:rFonts w:cs="Courier New"/>
          <w:sz w:val="24"/>
        </w:rPr>
        <w:t xml:space="preserve">Thus, while the holistic discipline of functional education, at least as that term is used at St. Mark’s church, includes biblical and spiritual dimensions, my focus here will be on the experiential – and wholly secular – uses of the theory, much as the term has been used in other theoretical contexts. I offer this extended preface to discussion of the units for three reasons. First, the theories of functional education find great resonance within clinical legal education, particularly in the teachings of such theorists as John Dewey and Paulo Freire. Their theories resonate in the methodology of clinical teaching today, not only in the United States but throughout the world. Second, the methods themselves are remarkably similar in their application. Our work in clinical teaching in law is grounded in the same experiential learning context as functional education, and we make extensive use of role-playing and simulation, in and out of class, as effective devices for adult learning. Third, and most important, the units were developed in a religious context, as part of religious instruction. This provides important contextualization for their application to the field of law, as I hope the subsequent section will demonstrate. </w:t>
      </w:r>
    </w:p>
    <w:p w:rsidR="0031089E" w:rsidRPr="0031089E" w:rsidRDefault="0031089E" w:rsidP="0031089E">
      <w:pPr>
        <w:suppressAutoHyphens/>
        <w:autoSpaceDE w:val="0"/>
        <w:autoSpaceDN w:val="0"/>
        <w:adjustRightInd w:val="0"/>
        <w:spacing w:after="120" w:line="240" w:lineRule="auto"/>
        <w:rPr>
          <w:rFonts w:cs="Courier New"/>
          <w:sz w:val="24"/>
        </w:rPr>
      </w:pPr>
    </w:p>
    <w:p w:rsidR="0031089E" w:rsidRPr="008E217D" w:rsidRDefault="0031089E" w:rsidP="0031089E">
      <w:pPr>
        <w:suppressAutoHyphens/>
        <w:autoSpaceDE w:val="0"/>
        <w:autoSpaceDN w:val="0"/>
        <w:adjustRightInd w:val="0"/>
        <w:spacing w:after="120" w:line="240" w:lineRule="auto"/>
        <w:rPr>
          <w:rFonts w:cs="Courier New"/>
          <w:b/>
          <w:sz w:val="24"/>
        </w:rPr>
      </w:pPr>
      <w:r w:rsidRPr="008E217D">
        <w:rPr>
          <w:rFonts w:cs="Courier New"/>
          <w:b/>
          <w:sz w:val="24"/>
        </w:rPr>
        <w:t xml:space="preserve">C. The units: repeating, seasonal stages in the life of a clinic </w:t>
      </w:r>
    </w:p>
    <w:p w:rsidR="0031089E" w:rsidRPr="0031089E" w:rsidRDefault="0031089E" w:rsidP="0031089E">
      <w:pPr>
        <w:suppressAutoHyphens/>
        <w:autoSpaceDE w:val="0"/>
        <w:autoSpaceDN w:val="0"/>
        <w:adjustRightInd w:val="0"/>
        <w:spacing w:after="120" w:line="240" w:lineRule="auto"/>
        <w:rPr>
          <w:rFonts w:cs="Courier New"/>
          <w:sz w:val="24"/>
        </w:rPr>
      </w:pPr>
      <w:r w:rsidRPr="0031089E">
        <w:rPr>
          <w:rFonts w:cs="Courier New"/>
          <w:sz w:val="24"/>
        </w:rPr>
        <w:lastRenderedPageBreak/>
        <w:t xml:space="preserve">For our purposes, Penniman’s theory of the “units,” or stages of group development, is of greatest interest. Unit theory, so far as I can tell, is not covered in Penniman’s surviving writings; units are identified but not explicated. The most thorough exposition on the units is found in two sources. First, there is a booklet describing the evolution of an adult confirmation class, co-authored by the former rector, James Adams, who annotated Penniman’s work, together </w:t>
      </w:r>
      <w:r w:rsidR="00B17C97">
        <w:rPr>
          <w:rFonts w:cs="Courier New"/>
          <w:sz w:val="24"/>
        </w:rPr>
        <w:t>with a St. Mark’s parishioner.</w:t>
      </w:r>
      <w:r w:rsidR="00B17C97">
        <w:rPr>
          <w:rStyle w:val="FootnoteReference"/>
          <w:rFonts w:cs="Courier New"/>
          <w:sz w:val="24"/>
        </w:rPr>
        <w:footnoteReference w:id="22"/>
      </w:r>
      <w:r w:rsidRPr="0031089E">
        <w:rPr>
          <w:rFonts w:cs="Courier New"/>
          <w:sz w:val="24"/>
        </w:rPr>
        <w:t xml:space="preserve"> Additional material has been gathered by the current rector and posted to the church’s website, as noted above. </w:t>
      </w:r>
    </w:p>
    <w:p w:rsidR="0031089E" w:rsidRPr="0031089E" w:rsidRDefault="0031089E" w:rsidP="0031089E">
      <w:pPr>
        <w:suppressAutoHyphens/>
        <w:autoSpaceDE w:val="0"/>
        <w:autoSpaceDN w:val="0"/>
        <w:adjustRightInd w:val="0"/>
        <w:spacing w:after="120" w:line="240" w:lineRule="auto"/>
        <w:rPr>
          <w:rFonts w:cs="Courier New"/>
          <w:sz w:val="24"/>
        </w:rPr>
      </w:pPr>
      <w:r w:rsidRPr="0031089E">
        <w:rPr>
          <w:rFonts w:cs="Courier New"/>
          <w:sz w:val="24"/>
        </w:rPr>
        <w:t>The five units are curiosity, anxiety, hope, despair and anticipation. The terminology alone has a wholly existential ring. All planning of adult courses was done with the knowledge – now borne out by decades of experiential teaching – that the class will pass, as a group, through these units in fairly predictable steps, with predictable amounts of time spent in each unit. As Paul Abernathy, the current rector at St. Mark’s, notes, “the units do not describe a linear movement, but, rather, provide a framework or context within which a very dynamic, indeed, ever repeatable proce</w:t>
      </w:r>
      <w:r w:rsidR="00B17C97">
        <w:rPr>
          <w:rFonts w:cs="Courier New"/>
          <w:sz w:val="24"/>
        </w:rPr>
        <w:t>ss takes shape.”</w:t>
      </w:r>
      <w:r w:rsidR="00B17C97">
        <w:rPr>
          <w:rStyle w:val="FootnoteReference"/>
          <w:rFonts w:cs="Courier New"/>
          <w:sz w:val="24"/>
        </w:rPr>
        <w:footnoteReference w:id="23"/>
      </w:r>
    </w:p>
    <w:p w:rsidR="0031089E" w:rsidRPr="0031089E" w:rsidRDefault="0031089E" w:rsidP="0031089E">
      <w:pPr>
        <w:suppressAutoHyphens/>
        <w:autoSpaceDE w:val="0"/>
        <w:autoSpaceDN w:val="0"/>
        <w:adjustRightInd w:val="0"/>
        <w:spacing w:after="120" w:line="240" w:lineRule="auto"/>
        <w:rPr>
          <w:rFonts w:cs="Courier New"/>
          <w:sz w:val="24"/>
        </w:rPr>
      </w:pPr>
      <w:r w:rsidRPr="0031089E">
        <w:rPr>
          <w:rFonts w:cs="Courier New"/>
          <w:sz w:val="24"/>
        </w:rPr>
        <w:t>From a theological point of view, Penniman’s units are said to follow the group dynamic of Christ and his apostles as their relationships evolved and deepened. Units “are drawn from a study of the disciples’ growing relationship with Jesus as port</w:t>
      </w:r>
      <w:r w:rsidR="00B17C97">
        <w:rPr>
          <w:rFonts w:cs="Courier New"/>
          <w:sz w:val="24"/>
        </w:rPr>
        <w:t>rayed in the gospel accounts.”</w:t>
      </w:r>
      <w:r w:rsidR="00B17C97">
        <w:rPr>
          <w:rStyle w:val="FootnoteReference"/>
          <w:rFonts w:cs="Courier New"/>
          <w:sz w:val="24"/>
        </w:rPr>
        <w:footnoteReference w:id="24"/>
      </w:r>
      <w:r w:rsidR="008E217D">
        <w:rPr>
          <w:rFonts w:cs="Courier New"/>
          <w:sz w:val="24"/>
        </w:rPr>
        <w:t xml:space="preserve"> Again, however, </w:t>
      </w:r>
      <w:r w:rsidRPr="0031089E">
        <w:rPr>
          <w:rFonts w:cs="Courier New"/>
          <w:sz w:val="24"/>
        </w:rPr>
        <w:t xml:space="preserve">I am more interested in the socio-political dimensions, as well as the deeply cyclical nature of the movement through the units. In this sense, I am drawn more to the imagery of the mandala, the concentric circle so important to both Buddhism and Hinduism, or the yin and yang of Taoism, as sources for symbolic reference. </w:t>
      </w:r>
    </w:p>
    <w:p w:rsidR="0031089E" w:rsidRPr="0031089E" w:rsidRDefault="0031089E" w:rsidP="0031089E">
      <w:pPr>
        <w:suppressAutoHyphens/>
        <w:autoSpaceDE w:val="0"/>
        <w:autoSpaceDN w:val="0"/>
        <w:adjustRightInd w:val="0"/>
        <w:spacing w:after="120" w:line="240" w:lineRule="auto"/>
        <w:rPr>
          <w:rFonts w:cs="Courier New"/>
          <w:sz w:val="24"/>
        </w:rPr>
      </w:pPr>
      <w:r w:rsidRPr="0031089E">
        <w:rPr>
          <w:rFonts w:cs="Courier New"/>
          <w:sz w:val="24"/>
        </w:rPr>
        <w:t xml:space="preserve">As noted above, there is, at some primordial level, an endless cycle of renewal linked to the seasons. In Sir James Frazier’s classic, </w:t>
      </w:r>
      <w:r w:rsidRPr="0078476A">
        <w:rPr>
          <w:rFonts w:cs="Courier New"/>
          <w:i/>
          <w:sz w:val="24"/>
        </w:rPr>
        <w:t>The Golden Bough</w:t>
      </w:r>
      <w:r w:rsidRPr="0031089E">
        <w:rPr>
          <w:rFonts w:cs="Courier New"/>
          <w:sz w:val="24"/>
        </w:rPr>
        <w:t xml:space="preserve">, he captures the ritualistic and mythical dimensions of those changes, and argues quite persuasively that religious traditions, particularly Christian festivals, evolved from these early practices and beliefs: </w:t>
      </w:r>
    </w:p>
    <w:p w:rsidR="008E217D" w:rsidRDefault="0031089E" w:rsidP="008E217D">
      <w:pPr>
        <w:suppressAutoHyphens/>
        <w:autoSpaceDE w:val="0"/>
        <w:autoSpaceDN w:val="0"/>
        <w:adjustRightInd w:val="0"/>
        <w:spacing w:after="120" w:line="240" w:lineRule="auto"/>
        <w:ind w:left="720"/>
        <w:rPr>
          <w:rFonts w:cs="Courier New"/>
          <w:sz w:val="24"/>
        </w:rPr>
      </w:pPr>
      <w:r w:rsidRPr="0031089E">
        <w:rPr>
          <w:rFonts w:cs="Courier New"/>
          <w:sz w:val="24"/>
        </w:rPr>
        <w:t>The spectacle of the great changes which annually pass over the face of the earth has powerfully impressed the minds of men in all ages, and stirred them to meditate on the causes of transformations so vast and wonderful.</w:t>
      </w:r>
      <w:r w:rsidR="00BF5385">
        <w:rPr>
          <w:rFonts w:cs="Courier New"/>
          <w:sz w:val="24"/>
        </w:rPr>
        <w:t xml:space="preserve"> ...</w:t>
      </w:r>
      <w:r w:rsidRPr="0031089E">
        <w:rPr>
          <w:rFonts w:cs="Courier New"/>
          <w:sz w:val="24"/>
        </w:rPr>
        <w:t xml:space="preserve"> In course of time the slow advance of knowledge, which has dispelled so many cherished illusions, convinced at least the more thoughtful portion of mankind that the alternations of summer and winter, of spring and autumn, were not merely the result of their own magical rites, but that some deeper cause, some mightier power, was at work behind the shifting scenes of nature</w:t>
      </w:r>
      <w:r w:rsidR="0078476A">
        <w:rPr>
          <w:rFonts w:cs="Courier New"/>
          <w:sz w:val="24"/>
        </w:rPr>
        <w:t xml:space="preserve"> …</w:t>
      </w:r>
      <w:r w:rsidRPr="0031089E">
        <w:rPr>
          <w:rFonts w:cs="Courier New"/>
          <w:sz w:val="24"/>
        </w:rPr>
        <w:t xml:space="preserve"> Thus the old magical theory of the seasons was displaced, or rather supplemented, by a religious theory. </w:t>
      </w:r>
      <w:r w:rsidR="008E217D">
        <w:rPr>
          <w:rFonts w:cs="Courier New"/>
          <w:sz w:val="24"/>
        </w:rPr>
        <w:t xml:space="preserve">… </w:t>
      </w:r>
      <w:r w:rsidRPr="0031089E">
        <w:rPr>
          <w:rFonts w:cs="Courier New"/>
          <w:sz w:val="24"/>
        </w:rPr>
        <w:t xml:space="preserve">Taken together, the coincidence of the Christian with the heathen festivals are too close and </w:t>
      </w:r>
      <w:r w:rsidR="00B17C97">
        <w:rPr>
          <w:rFonts w:cs="Courier New"/>
          <w:sz w:val="24"/>
        </w:rPr>
        <w:t>too numerous to be accidental.</w:t>
      </w:r>
      <w:r w:rsidR="00B17C97">
        <w:rPr>
          <w:rStyle w:val="FootnoteReference"/>
          <w:rFonts w:cs="Courier New"/>
          <w:sz w:val="24"/>
        </w:rPr>
        <w:footnoteReference w:id="25"/>
      </w:r>
    </w:p>
    <w:p w:rsidR="0031089E" w:rsidRPr="0031089E" w:rsidRDefault="0031089E" w:rsidP="008E217D">
      <w:pPr>
        <w:suppressAutoHyphens/>
        <w:autoSpaceDE w:val="0"/>
        <w:autoSpaceDN w:val="0"/>
        <w:adjustRightInd w:val="0"/>
        <w:spacing w:after="120" w:line="240" w:lineRule="auto"/>
        <w:rPr>
          <w:rFonts w:cs="Courier New"/>
          <w:sz w:val="24"/>
        </w:rPr>
      </w:pPr>
      <w:r w:rsidRPr="0031089E">
        <w:rPr>
          <w:rFonts w:cs="Courier New"/>
          <w:sz w:val="24"/>
        </w:rPr>
        <w:lastRenderedPageBreak/>
        <w:t xml:space="preserve">Joseph Campbell, too, captures the cyclical nature of the seasons in his book on the hero’s mythical journey, </w:t>
      </w:r>
      <w:r w:rsidRPr="0078476A">
        <w:rPr>
          <w:rFonts w:cs="Courier New"/>
          <w:i/>
          <w:sz w:val="24"/>
        </w:rPr>
        <w:t>The Hero with a Thousand Faces</w:t>
      </w:r>
      <w:r w:rsidRPr="0031089E">
        <w:rPr>
          <w:rFonts w:cs="Courier New"/>
          <w:sz w:val="24"/>
        </w:rPr>
        <w:t>. “The wonderful cycle of the year, with its hardships and periods of joy, is celebrated, and delineated, and represented as continued in the l</w:t>
      </w:r>
      <w:r w:rsidR="00B17C97">
        <w:rPr>
          <w:rFonts w:cs="Courier New"/>
          <w:sz w:val="24"/>
        </w:rPr>
        <w:t>ife-round of the human group.”</w:t>
      </w:r>
      <w:r w:rsidR="00B17C97">
        <w:rPr>
          <w:rStyle w:val="FootnoteReference"/>
          <w:rFonts w:cs="Courier New"/>
          <w:sz w:val="24"/>
        </w:rPr>
        <w:footnoteReference w:id="26"/>
      </w:r>
      <w:r>
        <w:rPr>
          <w:rFonts w:cs="Courier New"/>
          <w:sz w:val="24"/>
        </w:rPr>
        <w:t xml:space="preserve"> </w:t>
      </w:r>
      <w:r w:rsidRPr="0031089E">
        <w:rPr>
          <w:rFonts w:cs="Courier New"/>
          <w:sz w:val="24"/>
        </w:rPr>
        <w:t xml:space="preserve">“We’re captive on the carousel of time,” says Joni Mitchell. “We can’t return, we can only look behind from where we came, and go round and round and round in the circle game.” </w:t>
      </w:r>
    </w:p>
    <w:p w:rsidR="0031089E" w:rsidRPr="0031089E" w:rsidRDefault="0031089E" w:rsidP="0031089E">
      <w:pPr>
        <w:suppressAutoHyphens/>
        <w:autoSpaceDE w:val="0"/>
        <w:autoSpaceDN w:val="0"/>
        <w:adjustRightInd w:val="0"/>
        <w:spacing w:after="120" w:line="240" w:lineRule="auto"/>
        <w:rPr>
          <w:rFonts w:cs="Courier New"/>
          <w:sz w:val="24"/>
        </w:rPr>
      </w:pPr>
      <w:r w:rsidRPr="0031089E">
        <w:rPr>
          <w:rFonts w:cs="Courier New"/>
          <w:sz w:val="24"/>
        </w:rPr>
        <w:t xml:space="preserve">For anyone who has taught for some time, this invocation of the inevitable rhythm of the seasons (particularly in the northern states), and of life itself, resonates deeply and powerfully in the predictable repetitions of semesters. </w:t>
      </w:r>
    </w:p>
    <w:p w:rsidR="0031089E" w:rsidRPr="0031089E" w:rsidRDefault="0031089E" w:rsidP="0031089E">
      <w:pPr>
        <w:suppressAutoHyphens/>
        <w:autoSpaceDE w:val="0"/>
        <w:autoSpaceDN w:val="0"/>
        <w:adjustRightInd w:val="0"/>
        <w:spacing w:after="120" w:line="240" w:lineRule="auto"/>
        <w:rPr>
          <w:rFonts w:cs="Courier New"/>
          <w:sz w:val="24"/>
        </w:rPr>
      </w:pPr>
      <w:r w:rsidRPr="0031089E">
        <w:rPr>
          <w:rFonts w:cs="Courier New"/>
          <w:sz w:val="24"/>
        </w:rPr>
        <w:t>My own clinic is a full academic year in length, so my experience of the clinic cycle is spread across the full nine-month academic calendar. Because it follows the seasons from fall through spring, and Washington, D.C. experiences the full range of seasonal variation (albeit sometimes milder than more deeply northern climes), the template is particularly appropriate in the full-year context. I do experience something of the same cycles in the more compressed schedule of the single-semester courses I teach outside of clinic, particularly those moving from winter into spring. What follows is my effort to apply the template of functional education units to the academic calendar in clinic. The parenthetical information shows my best estimate of the amount of time each unit, or phase, will take, followed by the church season symbolically invoked in the cycle of the Chr</w:t>
      </w:r>
      <w:r w:rsidR="00B17C97">
        <w:rPr>
          <w:rFonts w:cs="Courier New"/>
          <w:sz w:val="24"/>
        </w:rPr>
        <w:t>istian calendar.</w:t>
      </w:r>
      <w:r w:rsidR="00B17C97">
        <w:rPr>
          <w:rStyle w:val="FootnoteReference"/>
          <w:rFonts w:cs="Courier New"/>
          <w:sz w:val="24"/>
        </w:rPr>
        <w:footnoteReference w:id="27"/>
      </w:r>
    </w:p>
    <w:p w:rsidR="0031089E" w:rsidRPr="0031089E" w:rsidRDefault="0031089E" w:rsidP="0031089E">
      <w:pPr>
        <w:suppressAutoHyphens/>
        <w:autoSpaceDE w:val="0"/>
        <w:autoSpaceDN w:val="0"/>
        <w:adjustRightInd w:val="0"/>
        <w:spacing w:after="120" w:line="240" w:lineRule="auto"/>
        <w:rPr>
          <w:rFonts w:cs="Courier New"/>
          <w:sz w:val="24"/>
        </w:rPr>
      </w:pPr>
    </w:p>
    <w:p w:rsidR="0031089E" w:rsidRPr="008E217D" w:rsidRDefault="0031089E" w:rsidP="0031089E">
      <w:pPr>
        <w:suppressAutoHyphens/>
        <w:autoSpaceDE w:val="0"/>
        <w:autoSpaceDN w:val="0"/>
        <w:adjustRightInd w:val="0"/>
        <w:spacing w:after="120" w:line="240" w:lineRule="auto"/>
        <w:rPr>
          <w:rFonts w:cs="Courier New"/>
          <w:b/>
          <w:sz w:val="28"/>
          <w:szCs w:val="28"/>
        </w:rPr>
      </w:pPr>
      <w:r w:rsidRPr="008E217D">
        <w:rPr>
          <w:rFonts w:cs="Courier New"/>
          <w:b/>
          <w:sz w:val="28"/>
          <w:szCs w:val="28"/>
        </w:rPr>
        <w:t xml:space="preserve">UNIT 1: CURIOSITY </w:t>
      </w:r>
    </w:p>
    <w:p w:rsidR="0031089E" w:rsidRPr="0031089E" w:rsidRDefault="0031089E" w:rsidP="0031089E">
      <w:pPr>
        <w:suppressAutoHyphens/>
        <w:autoSpaceDE w:val="0"/>
        <w:autoSpaceDN w:val="0"/>
        <w:adjustRightInd w:val="0"/>
        <w:spacing w:after="120" w:line="240" w:lineRule="auto"/>
        <w:rPr>
          <w:rFonts w:cs="Courier New"/>
          <w:sz w:val="24"/>
        </w:rPr>
      </w:pPr>
      <w:r w:rsidRPr="0031089E">
        <w:rPr>
          <w:rFonts w:cs="Courier New"/>
          <w:sz w:val="24"/>
        </w:rPr>
        <w:t xml:space="preserve">(Full year, weeks 1-6; one semester, weeks 1-3) </w:t>
      </w:r>
    </w:p>
    <w:p w:rsidR="0031089E" w:rsidRPr="0031089E" w:rsidRDefault="0031089E" w:rsidP="0031089E">
      <w:pPr>
        <w:suppressAutoHyphens/>
        <w:autoSpaceDE w:val="0"/>
        <w:autoSpaceDN w:val="0"/>
        <w:adjustRightInd w:val="0"/>
        <w:spacing w:after="120" w:line="240" w:lineRule="auto"/>
        <w:rPr>
          <w:rFonts w:cs="Courier New"/>
          <w:sz w:val="24"/>
        </w:rPr>
      </w:pPr>
      <w:r w:rsidRPr="0031089E">
        <w:rPr>
          <w:rFonts w:cs="Courier New"/>
          <w:sz w:val="24"/>
        </w:rPr>
        <w:t xml:space="preserve">(Church season: the Sundays after Pentecost) </w:t>
      </w:r>
    </w:p>
    <w:p w:rsidR="0031089E" w:rsidRPr="0031089E" w:rsidRDefault="0031089E" w:rsidP="0031089E">
      <w:pPr>
        <w:suppressAutoHyphens/>
        <w:autoSpaceDE w:val="0"/>
        <w:autoSpaceDN w:val="0"/>
        <w:adjustRightInd w:val="0"/>
        <w:spacing w:after="120" w:line="240" w:lineRule="auto"/>
        <w:rPr>
          <w:rFonts w:cs="Courier New"/>
          <w:sz w:val="24"/>
        </w:rPr>
      </w:pPr>
      <w:r w:rsidRPr="0031089E">
        <w:rPr>
          <w:rFonts w:cs="Courier New"/>
          <w:sz w:val="24"/>
        </w:rPr>
        <w:t>It is the fall of the year, and at once, a time of beginnings and endings: the end of the growing season and the beginning of the school year. “In the northern countries of Europe this has always be</w:t>
      </w:r>
      <w:r w:rsidR="00B17C97">
        <w:rPr>
          <w:rFonts w:cs="Courier New"/>
          <w:sz w:val="24"/>
        </w:rPr>
        <w:t>en the primary harvest time.”</w:t>
      </w:r>
      <w:r w:rsidR="00B17C97">
        <w:rPr>
          <w:rStyle w:val="FootnoteReference"/>
          <w:rFonts w:cs="Courier New"/>
          <w:sz w:val="24"/>
        </w:rPr>
        <w:footnoteReference w:id="28"/>
      </w:r>
      <w:r w:rsidRPr="0031089E">
        <w:rPr>
          <w:rFonts w:cs="Courier New"/>
          <w:sz w:val="24"/>
        </w:rPr>
        <w:t xml:space="preserve"> People bring in food and store it, preparing themselves and their homes for the winter</w:t>
      </w:r>
      <w:r w:rsidR="00B17C97">
        <w:rPr>
          <w:rFonts w:cs="Courier New"/>
          <w:sz w:val="24"/>
        </w:rPr>
        <w:t xml:space="preserve"> ahead. In psychological terms,</w:t>
      </w:r>
      <w:r w:rsidR="00B17C97">
        <w:rPr>
          <w:rStyle w:val="FootnoteReference"/>
          <w:rFonts w:cs="Courier New"/>
          <w:sz w:val="24"/>
        </w:rPr>
        <w:footnoteReference w:id="29"/>
      </w:r>
      <w:r w:rsidRPr="0031089E">
        <w:rPr>
          <w:rFonts w:cs="Courier New"/>
          <w:sz w:val="24"/>
        </w:rPr>
        <w:t xml:space="preserve"> this can be a period of time in which group members are either dependent on leaders or might flee from the awesome responsibilities facing them. In biblical terms, this was the time the disciples dropped everything and spontaneously followed Jesus, feeling “their enthrallment with the authority and the dep</w:t>
      </w:r>
      <w:r w:rsidR="00B17C97">
        <w:rPr>
          <w:rFonts w:cs="Courier New"/>
          <w:sz w:val="24"/>
        </w:rPr>
        <w:t>th of insight in his teaching.”</w:t>
      </w:r>
      <w:r w:rsidR="00B17C97">
        <w:rPr>
          <w:rStyle w:val="FootnoteReference"/>
          <w:rFonts w:cs="Courier New"/>
          <w:sz w:val="24"/>
        </w:rPr>
        <w:footnoteReference w:id="30"/>
      </w:r>
      <w:r w:rsidRPr="0031089E">
        <w:rPr>
          <w:rFonts w:cs="Courier New"/>
          <w:sz w:val="24"/>
        </w:rPr>
        <w:t xml:space="preserve"> The Sundays after Pentecost (the holiday commemorating the descent of the Holy Spirit to visit the disciples, are sometimes called Whitsunday, so named for the white garments worn by those to be baptized during this time). </w:t>
      </w:r>
      <w:r w:rsidRPr="0031089E">
        <w:rPr>
          <w:rFonts w:cs="Courier New"/>
          <w:sz w:val="24"/>
        </w:rPr>
        <w:lastRenderedPageBreak/>
        <w:t>This was a time of teaching the behaviors expected of Christians and “a preparatio</w:t>
      </w:r>
      <w:r w:rsidR="00B17C97">
        <w:rPr>
          <w:rFonts w:cs="Courier New"/>
          <w:sz w:val="24"/>
        </w:rPr>
        <w:t>n for possible trouble ahead.”</w:t>
      </w:r>
      <w:r w:rsidR="00B17C97">
        <w:rPr>
          <w:rStyle w:val="FootnoteReference"/>
          <w:rFonts w:cs="Courier New"/>
          <w:sz w:val="24"/>
        </w:rPr>
        <w:footnoteReference w:id="31"/>
      </w:r>
      <w:r w:rsidRPr="0031089E">
        <w:rPr>
          <w:rFonts w:cs="Courier New"/>
          <w:sz w:val="24"/>
        </w:rPr>
        <w:t xml:space="preserve"> </w:t>
      </w:r>
    </w:p>
    <w:p w:rsidR="0031089E" w:rsidRPr="0031089E" w:rsidRDefault="0031089E" w:rsidP="0031089E">
      <w:pPr>
        <w:suppressAutoHyphens/>
        <w:autoSpaceDE w:val="0"/>
        <w:autoSpaceDN w:val="0"/>
        <w:adjustRightInd w:val="0"/>
        <w:spacing w:after="120" w:line="240" w:lineRule="auto"/>
        <w:rPr>
          <w:rFonts w:cs="Courier New"/>
          <w:sz w:val="24"/>
        </w:rPr>
      </w:pPr>
      <w:r w:rsidRPr="0031089E">
        <w:rPr>
          <w:rFonts w:cs="Courier New"/>
          <w:sz w:val="24"/>
        </w:rPr>
        <w:t xml:space="preserve">In my experience, students are highly trusting and dependent on their clinic supervisors at this stage, and tend to react to us as sources for “answers,” as their teachers have been throughout their educational lives. The new modes of work, in both seminar and case-work, are both exhilarating and terrifying, as students face the first real responsibilities in their own cases. One device we use regularly in clinic orientation is a session in which students speak to their hopes and fears of what the clinic year will bring. The opportunity to articulate their fears out loud serves, at the same time, as a way for them to hear that their fears and hopes are shared with everyone else – they are not alone – and as a mode of breaking patterns of deep socialization in law school in which speaking of one’s emotions are explicitly or implicitly repressed as part of the ethos of “thinking like a lawyer.” </w:t>
      </w:r>
    </w:p>
    <w:p w:rsidR="0031089E" w:rsidRPr="0031089E" w:rsidRDefault="0031089E" w:rsidP="0031089E">
      <w:pPr>
        <w:suppressAutoHyphens/>
        <w:autoSpaceDE w:val="0"/>
        <w:autoSpaceDN w:val="0"/>
        <w:adjustRightInd w:val="0"/>
        <w:spacing w:after="120" w:line="240" w:lineRule="auto"/>
        <w:rPr>
          <w:rFonts w:cs="Courier New"/>
          <w:sz w:val="24"/>
        </w:rPr>
      </w:pPr>
      <w:r w:rsidRPr="0031089E">
        <w:rPr>
          <w:rFonts w:cs="Courier New"/>
          <w:sz w:val="24"/>
        </w:rPr>
        <w:t xml:space="preserve">Student teams generally immerse themselves in their cases enthusiastically. They are often slow to reach out to clients for the first time, feeling a sense of dread and awe in establishing contact with a real person as part of a course of study; no course has ever involved a third party in the learning process. Moreover, where culture and language are involved in the encounter, as is often the case in immigration or human rights cases, students often lack the most basic abilities to communicate, or they misread cultural signals in their enthusiasm to gather information. During the first simulation exercises on interviewing, including sessions on partnership collaboration and interpretation (linguistic and cultural), the students are like sponges soaking up knowledge in great experiential gulps. </w:t>
      </w:r>
    </w:p>
    <w:p w:rsidR="0031089E" w:rsidRDefault="0031089E" w:rsidP="0031089E">
      <w:pPr>
        <w:suppressAutoHyphens/>
        <w:autoSpaceDE w:val="0"/>
        <w:autoSpaceDN w:val="0"/>
        <w:adjustRightInd w:val="0"/>
        <w:spacing w:after="120" w:line="240" w:lineRule="auto"/>
        <w:rPr>
          <w:rFonts w:cs="Courier New"/>
          <w:sz w:val="24"/>
        </w:rPr>
      </w:pPr>
      <w:r w:rsidRPr="0031089E">
        <w:rPr>
          <w:rFonts w:cs="Courier New"/>
          <w:sz w:val="24"/>
        </w:rPr>
        <w:t xml:space="preserve">Students’ learning curves are high and fast, but I find my supervision sessions include a lot of admonitions that they must find legal or factual answers for themselves and not through their teacher. As Freire notes, this is no longer the “banking” system of education, in which the teacher “makes deposits which the students receive, memorize, and repeat,” but a deeply significant resolution of the “teacher-student contradiction,” where students </w:t>
      </w:r>
      <w:r w:rsidR="008E217D">
        <w:rPr>
          <w:rFonts w:cs="Courier New"/>
          <w:sz w:val="24"/>
        </w:rPr>
        <w:t xml:space="preserve">come to realize that “both are </w:t>
      </w:r>
      <w:r w:rsidRPr="0031089E">
        <w:rPr>
          <w:rFonts w:cs="Courier New"/>
          <w:sz w:val="24"/>
        </w:rPr>
        <w:t>simultan</w:t>
      </w:r>
      <w:r w:rsidR="00B17C97">
        <w:rPr>
          <w:rFonts w:cs="Courier New"/>
          <w:sz w:val="24"/>
        </w:rPr>
        <w:t>eously teachers and students.”</w:t>
      </w:r>
      <w:r w:rsidR="00B17C97">
        <w:rPr>
          <w:rStyle w:val="FootnoteReference"/>
          <w:rFonts w:cs="Courier New"/>
          <w:sz w:val="24"/>
        </w:rPr>
        <w:footnoteReference w:id="32"/>
      </w:r>
      <w:r w:rsidRPr="0031089E">
        <w:rPr>
          <w:rFonts w:cs="Courier New"/>
          <w:sz w:val="24"/>
        </w:rPr>
        <w:t xml:space="preserve"> My role is focused on facilitating models for problem solving, noting potential alternative visions and ranges of action with regard to their actions, and pointing to research tools for law and facts, particularly for factual exploration with which they have had little or no experience after two years (for most) of law school. I value ap</w:t>
      </w:r>
      <w:r w:rsidR="008E217D">
        <w:rPr>
          <w:rFonts w:cs="Courier New"/>
          <w:sz w:val="24"/>
        </w:rPr>
        <w:t>prenticeship over discipleship.</w:t>
      </w:r>
    </w:p>
    <w:p w:rsidR="008E217D" w:rsidRPr="0031089E" w:rsidRDefault="008E217D" w:rsidP="0031089E">
      <w:pPr>
        <w:suppressAutoHyphens/>
        <w:autoSpaceDE w:val="0"/>
        <w:autoSpaceDN w:val="0"/>
        <w:adjustRightInd w:val="0"/>
        <w:spacing w:after="120" w:line="240" w:lineRule="auto"/>
        <w:rPr>
          <w:rFonts w:cs="Courier New"/>
          <w:sz w:val="24"/>
        </w:rPr>
      </w:pPr>
    </w:p>
    <w:p w:rsidR="0031089E" w:rsidRPr="008E217D" w:rsidRDefault="0031089E" w:rsidP="0031089E">
      <w:pPr>
        <w:suppressAutoHyphens/>
        <w:autoSpaceDE w:val="0"/>
        <w:autoSpaceDN w:val="0"/>
        <w:adjustRightInd w:val="0"/>
        <w:spacing w:after="120" w:line="240" w:lineRule="auto"/>
        <w:rPr>
          <w:rFonts w:cs="Courier New"/>
          <w:b/>
          <w:sz w:val="28"/>
          <w:szCs w:val="28"/>
        </w:rPr>
      </w:pPr>
      <w:r w:rsidRPr="008E217D">
        <w:rPr>
          <w:rFonts w:cs="Courier New"/>
          <w:b/>
          <w:sz w:val="28"/>
          <w:szCs w:val="28"/>
        </w:rPr>
        <w:t xml:space="preserve">UNIT 2 – ANXIETY </w:t>
      </w:r>
    </w:p>
    <w:p w:rsidR="0031089E" w:rsidRPr="0031089E" w:rsidRDefault="0031089E" w:rsidP="0031089E">
      <w:pPr>
        <w:suppressAutoHyphens/>
        <w:autoSpaceDE w:val="0"/>
        <w:autoSpaceDN w:val="0"/>
        <w:adjustRightInd w:val="0"/>
        <w:spacing w:after="120" w:line="240" w:lineRule="auto"/>
        <w:rPr>
          <w:rFonts w:cs="Courier New"/>
          <w:sz w:val="24"/>
        </w:rPr>
      </w:pPr>
      <w:r w:rsidRPr="0031089E">
        <w:rPr>
          <w:rFonts w:cs="Courier New"/>
          <w:sz w:val="24"/>
        </w:rPr>
        <w:t xml:space="preserve">(Full year, weeks 7-13; one semester, 4-6 weeks) </w:t>
      </w:r>
    </w:p>
    <w:p w:rsidR="0031089E" w:rsidRPr="0031089E" w:rsidRDefault="0031089E" w:rsidP="0031089E">
      <w:pPr>
        <w:suppressAutoHyphens/>
        <w:autoSpaceDE w:val="0"/>
        <w:autoSpaceDN w:val="0"/>
        <w:adjustRightInd w:val="0"/>
        <w:spacing w:after="120" w:line="240" w:lineRule="auto"/>
        <w:rPr>
          <w:rFonts w:cs="Courier New"/>
          <w:sz w:val="24"/>
        </w:rPr>
      </w:pPr>
      <w:r w:rsidRPr="0031089E">
        <w:rPr>
          <w:rFonts w:cs="Courier New"/>
          <w:sz w:val="24"/>
        </w:rPr>
        <w:t xml:space="preserve">(Church season: Advent) </w:t>
      </w:r>
    </w:p>
    <w:p w:rsidR="0031089E" w:rsidRPr="0031089E" w:rsidRDefault="0031089E" w:rsidP="0031089E">
      <w:pPr>
        <w:suppressAutoHyphens/>
        <w:autoSpaceDE w:val="0"/>
        <w:autoSpaceDN w:val="0"/>
        <w:adjustRightInd w:val="0"/>
        <w:spacing w:after="120" w:line="240" w:lineRule="auto"/>
        <w:rPr>
          <w:rFonts w:cs="Courier New"/>
          <w:sz w:val="24"/>
        </w:rPr>
      </w:pPr>
      <w:r w:rsidRPr="0031089E">
        <w:rPr>
          <w:rFonts w:cs="Courier New"/>
          <w:sz w:val="24"/>
        </w:rPr>
        <w:t xml:space="preserve">Winter is approaching. As the days grow noticeably shorter, primitive people “undoubtedly feared that the sun was gradually disappearing and that the world would be left in cold and </w:t>
      </w:r>
      <w:r w:rsidRPr="0031089E">
        <w:rPr>
          <w:rFonts w:cs="Courier New"/>
          <w:sz w:val="24"/>
        </w:rPr>
        <w:lastRenderedPageBreak/>
        <w:t>darkness</w:t>
      </w:r>
      <w:r w:rsidR="0078476A">
        <w:rPr>
          <w:rFonts w:cs="Courier New"/>
          <w:sz w:val="24"/>
        </w:rPr>
        <w:t xml:space="preserve"> …</w:t>
      </w:r>
      <w:r w:rsidRPr="0031089E">
        <w:rPr>
          <w:rFonts w:cs="Courier New"/>
          <w:sz w:val="24"/>
        </w:rPr>
        <w:t xml:space="preserve"> Their anxiety was compounded by their memory of other winters. Even if the sun returned, would their food last until spring? Would they have enough </w:t>
      </w:r>
      <w:r w:rsidR="00B17C97">
        <w:rPr>
          <w:rFonts w:cs="Courier New"/>
          <w:sz w:val="24"/>
        </w:rPr>
        <w:t>fuel to keep themselves warm?”</w:t>
      </w:r>
      <w:r w:rsidR="00B17C97">
        <w:rPr>
          <w:rStyle w:val="FootnoteReference"/>
          <w:rFonts w:cs="Courier New"/>
          <w:sz w:val="24"/>
        </w:rPr>
        <w:footnoteReference w:id="33"/>
      </w:r>
      <w:r w:rsidRPr="0031089E">
        <w:rPr>
          <w:rFonts w:cs="Courier New"/>
          <w:sz w:val="24"/>
        </w:rPr>
        <w:t xml:space="preserve"> Put more colloquially, this stage “characterizes the growing awareness that all ain’t what one perceived it to be.” This is the period in which the disciples experience “rising opposition to Jesus by the religious and secular rulers and their own conf</w:t>
      </w:r>
      <w:r w:rsidR="00B17C97">
        <w:rPr>
          <w:rFonts w:cs="Courier New"/>
          <w:sz w:val="24"/>
        </w:rPr>
        <w:t>usion about Jesus’ intentions.”</w:t>
      </w:r>
      <w:r w:rsidR="00B17C97">
        <w:rPr>
          <w:rStyle w:val="FootnoteReference"/>
          <w:rFonts w:cs="Courier New"/>
          <w:sz w:val="24"/>
        </w:rPr>
        <w:footnoteReference w:id="34"/>
      </w:r>
      <w:r w:rsidRPr="0031089E">
        <w:rPr>
          <w:rFonts w:cs="Courier New"/>
          <w:sz w:val="24"/>
        </w:rPr>
        <w:t xml:space="preserve"> Their beliefs, “when tested in the crucible of the human experience of suffering, prove insufficient to help one continue to make meaning or sense out of human existence.”</w:t>
      </w:r>
      <w:r w:rsidR="00B17C97">
        <w:rPr>
          <w:rStyle w:val="FootnoteReference"/>
          <w:rFonts w:cs="Courier New"/>
          <w:sz w:val="24"/>
        </w:rPr>
        <w:footnoteReference w:id="35"/>
      </w:r>
      <w:r w:rsidRPr="0031089E">
        <w:rPr>
          <w:rFonts w:cs="Courier New"/>
          <w:sz w:val="24"/>
        </w:rPr>
        <w:t xml:space="preserve"> Theologically, the paradigm is the disciples’ statement, “Teacher, do you not care if we perish?” Psychologically, this is a period of counter-independence and flight.</w:t>
      </w:r>
      <w:r w:rsidR="00B17C97">
        <w:rPr>
          <w:rStyle w:val="FootnoteReference"/>
          <w:rFonts w:cs="Courier New"/>
          <w:sz w:val="24"/>
        </w:rPr>
        <w:footnoteReference w:id="36"/>
      </w:r>
      <w:r w:rsidRPr="0031089E">
        <w:rPr>
          <w:rFonts w:cs="Courier New"/>
          <w:sz w:val="24"/>
        </w:rPr>
        <w:t xml:space="preserve"> </w:t>
      </w:r>
    </w:p>
    <w:p w:rsidR="0031089E" w:rsidRPr="0031089E" w:rsidRDefault="0031089E" w:rsidP="0031089E">
      <w:pPr>
        <w:suppressAutoHyphens/>
        <w:autoSpaceDE w:val="0"/>
        <w:autoSpaceDN w:val="0"/>
        <w:adjustRightInd w:val="0"/>
        <w:spacing w:after="120" w:line="240" w:lineRule="auto"/>
        <w:rPr>
          <w:rFonts w:cs="Courier New"/>
          <w:sz w:val="24"/>
        </w:rPr>
      </w:pPr>
      <w:r w:rsidRPr="0031089E">
        <w:rPr>
          <w:rFonts w:cs="Courier New"/>
          <w:sz w:val="24"/>
        </w:rPr>
        <w:t xml:space="preserve">The Advent season is the four Sundays before Christmas, but this unit or stage usually begins well before December, which is the end of the semester for us. By the first days of December, most students have turned their attentions away from clinic and toward other courses that require their attention. I associate the Anxiety stage with the time from later October though semester-end. </w:t>
      </w:r>
    </w:p>
    <w:p w:rsidR="0031089E" w:rsidRPr="0031089E" w:rsidRDefault="0031089E" w:rsidP="0031089E">
      <w:pPr>
        <w:suppressAutoHyphens/>
        <w:autoSpaceDE w:val="0"/>
        <w:autoSpaceDN w:val="0"/>
        <w:adjustRightInd w:val="0"/>
        <w:spacing w:after="120" w:line="240" w:lineRule="auto"/>
        <w:rPr>
          <w:rFonts w:cs="Courier New"/>
          <w:sz w:val="24"/>
        </w:rPr>
      </w:pPr>
      <w:r w:rsidRPr="0031089E">
        <w:rPr>
          <w:rFonts w:cs="Courier New"/>
          <w:sz w:val="24"/>
        </w:rPr>
        <w:t xml:space="preserve">This is an ambiguous and uncomfortable period, but it can also be enormously productive and rewarding. Students are growing in confidence and becoming more accustomed to the rhythms of clinic class, rounds and supervision. They feel comfortable coming into my office. At the same time, students are beginning to be annoyed by their supervisor’s constant response of “I don’t know. What do you think we should do?” Students yearn for the comfort of answers (“Teacher, do you not care if we perish?”), and the pressures of time and case schedules may constitute a siren call to the teacher to abandon the classic non-directive supervision model. </w:t>
      </w:r>
    </w:p>
    <w:p w:rsidR="0031089E" w:rsidRPr="0031089E" w:rsidRDefault="0031089E" w:rsidP="0031089E">
      <w:pPr>
        <w:suppressAutoHyphens/>
        <w:autoSpaceDE w:val="0"/>
        <w:autoSpaceDN w:val="0"/>
        <w:adjustRightInd w:val="0"/>
        <w:spacing w:after="120" w:line="240" w:lineRule="auto"/>
        <w:rPr>
          <w:rFonts w:cs="Courier New"/>
          <w:sz w:val="24"/>
        </w:rPr>
      </w:pPr>
      <w:r w:rsidRPr="0031089E">
        <w:rPr>
          <w:rFonts w:cs="Courier New"/>
          <w:sz w:val="24"/>
        </w:rPr>
        <w:t xml:space="preserve">This is also a time when the first signals of friction or fraying of the partnership relationship appear, and students are often anxious about raising the issue directly and openly. If court appearances loom, the anxiety level can be through the roof, with students grasping for a thorough “script” for what seems to them the unstructured, unpredictable and indeterminate event of a courtroom hearing. Many have never seen a courtroom save for the mock courtrooms at school. </w:t>
      </w:r>
    </w:p>
    <w:p w:rsidR="0031089E" w:rsidRPr="0031089E" w:rsidRDefault="0031089E" w:rsidP="0031089E">
      <w:pPr>
        <w:suppressAutoHyphens/>
        <w:autoSpaceDE w:val="0"/>
        <w:autoSpaceDN w:val="0"/>
        <w:adjustRightInd w:val="0"/>
        <w:spacing w:after="120" w:line="240" w:lineRule="auto"/>
        <w:rPr>
          <w:rFonts w:cs="Courier New"/>
          <w:sz w:val="24"/>
        </w:rPr>
      </w:pPr>
      <w:r w:rsidRPr="0031089E">
        <w:rPr>
          <w:rFonts w:cs="Courier New"/>
          <w:sz w:val="24"/>
        </w:rPr>
        <w:t xml:space="preserve">More than anything, students often have begun to see a more human and unreliable side to their individual clients. Clients often do not put their legal cases at the center of their universe, and may skip or be late for meetings. They may tell different and inconsistent versions of the facts of their story, often leading students to conclude that clients are lying, rather than that memories are weak or that stories are often uncomfortable or impossible to recount due to trauma. Legal issues that seemed simple when posed suddenly become immensely complex when the student teams struggle to make sense of the chaos of law and facts together. Frustration and impatience rises, though often masked behind the traditional student-teacher encounter of formality and distance. Another version of this phenomenon is the issue of the client as friend with students becoming confused about boundaries and limits, both moral and </w:t>
      </w:r>
      <w:r w:rsidRPr="0031089E">
        <w:rPr>
          <w:rFonts w:cs="Courier New"/>
          <w:sz w:val="24"/>
        </w:rPr>
        <w:lastRenderedPageBreak/>
        <w:t xml:space="preserve">ethical. Do they (or the clinic) pay for their client’s cab fare to clinic? How about a meal? Donated clothing for the client’s new baby? Bail for release from immigration detention? In the non-monetary realm, one paradigmatic issue is giving out a personal cell or home phone number, thus permitting the client to call at any hour of any day. If the client is a group or organization, how does the student team prevent itself from being seen as research help and not a full partner in the lawyering project? Ethically, how much of the client’s story is available for public consumption? What if the client really is lying? What are our duties of candor to the tribunal? These and other questions may be exciting at first, but after a few weeks, they can become tedious or annoying. </w:t>
      </w:r>
    </w:p>
    <w:p w:rsidR="0031089E" w:rsidRDefault="0031089E" w:rsidP="0031089E">
      <w:pPr>
        <w:suppressAutoHyphens/>
        <w:autoSpaceDE w:val="0"/>
        <w:autoSpaceDN w:val="0"/>
        <w:adjustRightInd w:val="0"/>
        <w:spacing w:after="120" w:line="240" w:lineRule="auto"/>
        <w:rPr>
          <w:rFonts w:cs="Courier New"/>
          <w:sz w:val="24"/>
        </w:rPr>
      </w:pPr>
      <w:r w:rsidRPr="0031089E">
        <w:rPr>
          <w:rFonts w:cs="Courier New"/>
          <w:sz w:val="24"/>
        </w:rPr>
        <w:t>Experienced faculty often feel the pressures of additional responsibilities outside of clinic, whether they be with regard to writing (a constant, gnawing anxiety), faculty committee work, or outside speaking in the fall “conference season.” And despite repeated admonitions to students to submit drafts early, student teams often – indeed inevitably – fail to plan enough lead time, leading everyone into a last-minute frenzy of producing that first court filing, brief or legal memorandum that may or may not have an unalterable and definitive due date. Students learn the meaning of t</w:t>
      </w:r>
      <w:r w:rsidR="00B17C97">
        <w:rPr>
          <w:rFonts w:cs="Courier New"/>
          <w:sz w:val="24"/>
        </w:rPr>
        <w:t xml:space="preserve">he term </w:t>
      </w:r>
      <w:r w:rsidR="00B17C97" w:rsidRPr="009341F3">
        <w:rPr>
          <w:rFonts w:cs="Courier New"/>
          <w:i/>
          <w:sz w:val="24"/>
        </w:rPr>
        <w:t>nunc pro tunc</w:t>
      </w:r>
      <w:r w:rsidR="00B17C97">
        <w:rPr>
          <w:rFonts w:cs="Courier New"/>
          <w:sz w:val="24"/>
        </w:rPr>
        <w:t xml:space="preserve"> filing.</w:t>
      </w:r>
      <w:r w:rsidR="00B17C97">
        <w:rPr>
          <w:rStyle w:val="FootnoteReference"/>
          <w:rFonts w:cs="Courier New"/>
          <w:sz w:val="24"/>
        </w:rPr>
        <w:footnoteReference w:id="37"/>
      </w:r>
    </w:p>
    <w:p w:rsidR="008E217D" w:rsidRPr="0031089E" w:rsidRDefault="008E217D" w:rsidP="0031089E">
      <w:pPr>
        <w:suppressAutoHyphens/>
        <w:autoSpaceDE w:val="0"/>
        <w:autoSpaceDN w:val="0"/>
        <w:adjustRightInd w:val="0"/>
        <w:spacing w:after="120" w:line="240" w:lineRule="auto"/>
        <w:rPr>
          <w:rFonts w:cs="Courier New"/>
          <w:sz w:val="24"/>
        </w:rPr>
      </w:pPr>
    </w:p>
    <w:p w:rsidR="0031089E" w:rsidRPr="008E217D" w:rsidRDefault="0031089E" w:rsidP="0031089E">
      <w:pPr>
        <w:suppressAutoHyphens/>
        <w:autoSpaceDE w:val="0"/>
        <w:autoSpaceDN w:val="0"/>
        <w:adjustRightInd w:val="0"/>
        <w:spacing w:after="120" w:line="240" w:lineRule="auto"/>
        <w:rPr>
          <w:rFonts w:cs="Courier New"/>
          <w:b/>
          <w:sz w:val="28"/>
          <w:szCs w:val="28"/>
        </w:rPr>
      </w:pPr>
      <w:r w:rsidRPr="008E217D">
        <w:rPr>
          <w:rFonts w:cs="Courier New"/>
          <w:b/>
          <w:sz w:val="28"/>
          <w:szCs w:val="28"/>
        </w:rPr>
        <w:t xml:space="preserve">UNIT 3 – HOPE </w:t>
      </w:r>
    </w:p>
    <w:p w:rsidR="0031089E" w:rsidRPr="0031089E" w:rsidRDefault="0031089E" w:rsidP="0031089E">
      <w:pPr>
        <w:suppressAutoHyphens/>
        <w:autoSpaceDE w:val="0"/>
        <w:autoSpaceDN w:val="0"/>
        <w:adjustRightInd w:val="0"/>
        <w:spacing w:after="120" w:line="240" w:lineRule="auto"/>
        <w:rPr>
          <w:rFonts w:cs="Courier New"/>
          <w:sz w:val="24"/>
        </w:rPr>
      </w:pPr>
      <w:r w:rsidRPr="0031089E">
        <w:rPr>
          <w:rFonts w:cs="Courier New"/>
          <w:sz w:val="24"/>
        </w:rPr>
        <w:t xml:space="preserve">(Full year, weeks 14-15; one semester, week 7) </w:t>
      </w:r>
    </w:p>
    <w:p w:rsidR="0031089E" w:rsidRPr="0031089E" w:rsidRDefault="0031089E" w:rsidP="0031089E">
      <w:pPr>
        <w:suppressAutoHyphens/>
        <w:autoSpaceDE w:val="0"/>
        <w:autoSpaceDN w:val="0"/>
        <w:adjustRightInd w:val="0"/>
        <w:spacing w:after="120" w:line="240" w:lineRule="auto"/>
        <w:rPr>
          <w:rFonts w:cs="Courier New"/>
          <w:sz w:val="24"/>
        </w:rPr>
      </w:pPr>
      <w:r w:rsidRPr="0031089E">
        <w:rPr>
          <w:rFonts w:cs="Courier New"/>
          <w:sz w:val="24"/>
        </w:rPr>
        <w:t xml:space="preserve">(Church seasons: Christmas and Epiphany) </w:t>
      </w:r>
    </w:p>
    <w:p w:rsidR="0031089E" w:rsidRPr="0031089E" w:rsidRDefault="0031089E" w:rsidP="0031089E">
      <w:pPr>
        <w:suppressAutoHyphens/>
        <w:autoSpaceDE w:val="0"/>
        <w:autoSpaceDN w:val="0"/>
        <w:adjustRightInd w:val="0"/>
        <w:spacing w:after="120" w:line="240" w:lineRule="auto"/>
        <w:rPr>
          <w:rFonts w:cs="Courier New"/>
          <w:sz w:val="24"/>
        </w:rPr>
      </w:pPr>
      <w:r w:rsidRPr="0031089E">
        <w:rPr>
          <w:rFonts w:cs="Courier New"/>
          <w:sz w:val="24"/>
        </w:rPr>
        <w:t xml:space="preserve">The sun is rising earlier each day and light is gradually, incrementally returning. It is no coincidence, as Frazier suggests in the passage quoted above from </w:t>
      </w:r>
      <w:r w:rsidRPr="009341F3">
        <w:rPr>
          <w:rFonts w:cs="Courier New"/>
          <w:i/>
          <w:sz w:val="24"/>
        </w:rPr>
        <w:t>The Golden Bough</w:t>
      </w:r>
      <w:r w:rsidRPr="0031089E">
        <w:rPr>
          <w:rFonts w:cs="Courier New"/>
          <w:sz w:val="24"/>
        </w:rPr>
        <w:t>, that the date attributed to Jesus’ birth is commensurate with the winter solstice. “Since the dawn of history the day has been set aside for the celebration of hope. The return of the light is represented by the burning of the Yule log and the promise of another spring by decorations made from branches of trees which remain green throughout the year.”</w:t>
      </w:r>
      <w:r w:rsidR="00B17C97">
        <w:rPr>
          <w:rStyle w:val="FootnoteReference"/>
          <w:rFonts w:cs="Courier New"/>
          <w:sz w:val="24"/>
        </w:rPr>
        <w:footnoteReference w:id="38"/>
      </w:r>
      <w:r w:rsidRPr="0031089E">
        <w:rPr>
          <w:rFonts w:cs="Courier New"/>
          <w:sz w:val="24"/>
        </w:rPr>
        <w:t xml:space="preserve"> One of the most basic symbols of hope is the birth of a baby. “In the birth of a child the moment is charged with potentiality. A new life has begun.”</w:t>
      </w:r>
      <w:r w:rsidR="00B17C97">
        <w:rPr>
          <w:rStyle w:val="FootnoteReference"/>
          <w:rFonts w:cs="Courier New"/>
          <w:sz w:val="24"/>
        </w:rPr>
        <w:footnoteReference w:id="39"/>
      </w:r>
      <w:r w:rsidRPr="0031089E">
        <w:rPr>
          <w:rFonts w:cs="Courier New"/>
          <w:sz w:val="24"/>
        </w:rPr>
        <w:t xml:space="preserve"> Theologically, another symbol is the Epiphany, the date in early January celebrated as the revelation of God in human form. It commemorates the transfiguration, the miracle in which Jesus, atop a mountain and before the disciples’ eyes, is transformed into radiance, speaks with Moses and Elijah, and is called “Son” by God. For the disciples, it is a defining moment that confirms their commitment. </w:t>
      </w:r>
    </w:p>
    <w:p w:rsidR="0031089E" w:rsidRPr="0031089E" w:rsidRDefault="0031089E" w:rsidP="0031089E">
      <w:pPr>
        <w:suppressAutoHyphens/>
        <w:autoSpaceDE w:val="0"/>
        <w:autoSpaceDN w:val="0"/>
        <w:adjustRightInd w:val="0"/>
        <w:spacing w:after="120" w:line="240" w:lineRule="auto"/>
        <w:rPr>
          <w:rFonts w:cs="Courier New"/>
          <w:sz w:val="24"/>
        </w:rPr>
      </w:pPr>
      <w:r w:rsidRPr="0031089E">
        <w:rPr>
          <w:rFonts w:cs="Courier New"/>
          <w:sz w:val="24"/>
        </w:rPr>
        <w:t>Psychologically, this is a mom</w:t>
      </w:r>
      <w:r w:rsidR="00B17C97">
        <w:rPr>
          <w:rFonts w:cs="Courier New"/>
          <w:sz w:val="24"/>
        </w:rPr>
        <w:t>ent of resolution or catharsis.</w:t>
      </w:r>
      <w:r w:rsidR="00B17C97">
        <w:rPr>
          <w:rStyle w:val="FootnoteReference"/>
          <w:rFonts w:cs="Courier New"/>
          <w:sz w:val="24"/>
        </w:rPr>
        <w:footnoteReference w:id="40"/>
      </w:r>
      <w:r w:rsidRPr="0031089E">
        <w:rPr>
          <w:rFonts w:cs="Courier New"/>
          <w:sz w:val="24"/>
        </w:rPr>
        <w:t xml:space="preserve"> This stage “captures one’s sense of having come through a moment of suffering or a time of trial intact. Feelings of relief or </w:t>
      </w:r>
      <w:r w:rsidRPr="0031089E">
        <w:rPr>
          <w:rFonts w:cs="Courier New"/>
          <w:sz w:val="24"/>
        </w:rPr>
        <w:lastRenderedPageBreak/>
        <w:t>gratitude can pervade one’s being. Hope may also manifest itself in one’s renewed conviction about one’s life and its purpose and a deepened relationship with God.”</w:t>
      </w:r>
      <w:r w:rsidR="00B17C97">
        <w:rPr>
          <w:rStyle w:val="FootnoteReference"/>
          <w:rFonts w:cs="Courier New"/>
          <w:sz w:val="24"/>
        </w:rPr>
        <w:footnoteReference w:id="41"/>
      </w:r>
      <w:r w:rsidRPr="0031089E">
        <w:rPr>
          <w:rFonts w:cs="Courier New"/>
          <w:sz w:val="24"/>
        </w:rPr>
        <w:t xml:space="preserve"> </w:t>
      </w:r>
    </w:p>
    <w:p w:rsidR="0031089E" w:rsidRPr="0031089E" w:rsidRDefault="0031089E" w:rsidP="0031089E">
      <w:pPr>
        <w:suppressAutoHyphens/>
        <w:autoSpaceDE w:val="0"/>
        <w:autoSpaceDN w:val="0"/>
        <w:adjustRightInd w:val="0"/>
        <w:spacing w:after="120" w:line="240" w:lineRule="auto"/>
        <w:rPr>
          <w:rFonts w:cs="Courier New"/>
          <w:sz w:val="24"/>
        </w:rPr>
      </w:pPr>
      <w:r w:rsidRPr="0031089E">
        <w:rPr>
          <w:rFonts w:cs="Courier New"/>
          <w:sz w:val="24"/>
        </w:rPr>
        <w:t xml:space="preserve">Hope is a short but intense stage: I give it a week or two (not counting the Christmas break) before we pass on, sometimes by degrees, into despair. In the clinical context, it is most readily recognizable in the first court appearance, hearing or other formal, public presentation, which is often timed to fall at this point in the calendar, but not always. These events are usually short episodes, often preliminary skirmishes in a long process, but they are the first such experiences for many students, and they are usually intense in their preparation. As a portion of overall time spent in clinic, these public events are by far the least amount of total time, but perhaps the greatest in psychic energy and lost sleep. </w:t>
      </w:r>
    </w:p>
    <w:p w:rsidR="0031089E" w:rsidRPr="0031089E" w:rsidRDefault="0031089E" w:rsidP="0031089E">
      <w:pPr>
        <w:suppressAutoHyphens/>
        <w:autoSpaceDE w:val="0"/>
        <w:autoSpaceDN w:val="0"/>
        <w:adjustRightInd w:val="0"/>
        <w:spacing w:after="120" w:line="240" w:lineRule="auto"/>
        <w:rPr>
          <w:rFonts w:cs="Courier New"/>
          <w:sz w:val="24"/>
        </w:rPr>
      </w:pPr>
      <w:r w:rsidRPr="0031089E">
        <w:rPr>
          <w:rFonts w:cs="Courier New"/>
          <w:sz w:val="24"/>
        </w:rPr>
        <w:t xml:space="preserve">The relief after such events, for both the students and me, is palpable. All of these feelings occur regardless of the outcome of the event, but a courtroom win produces the greatest sense of accomplishment and relief. Even a loss tends to produce some catharsis or resolution, the feeling of having suffered and survived intact. Usually student performance is excellent, but even if it is not, they have come through the fire and survived. For clients, this can also be a defining moment. Outcomes of court hearings seldom, in my view, are driven solely by lawyer performance but much more by the power of a client’s story. The raw narrative power of a compelling story can transfigure a courtroom from a routine event into a personal epiphany for the client, and sometimes for the judge, because the students are able to let the client’s voice out through the story, to fill the room with pathos and compassion. </w:t>
      </w:r>
    </w:p>
    <w:p w:rsidR="0031089E" w:rsidRDefault="0031089E" w:rsidP="0031089E">
      <w:pPr>
        <w:suppressAutoHyphens/>
        <w:autoSpaceDE w:val="0"/>
        <w:autoSpaceDN w:val="0"/>
        <w:adjustRightInd w:val="0"/>
        <w:spacing w:after="120" w:line="240" w:lineRule="auto"/>
        <w:rPr>
          <w:rFonts w:cs="Courier New"/>
          <w:sz w:val="24"/>
        </w:rPr>
      </w:pPr>
      <w:r w:rsidRPr="0031089E">
        <w:rPr>
          <w:rFonts w:cs="Courier New"/>
          <w:sz w:val="24"/>
        </w:rPr>
        <w:t xml:space="preserve">A lesser and more timely version of the hope stage occurs simply because of the end of the semester. Students usually feel some sense of accomplishment after a semester, and generally begin the second semester revived and excited. In a one-semester course or clinic, hope appears as the course passes “over the hump,” or middle of the course, and starts to head toward the end. It may not be a time of particular catharsis and group bonding, but it is </w:t>
      </w:r>
      <w:r w:rsidR="008E217D">
        <w:rPr>
          <w:rFonts w:cs="Courier New"/>
          <w:sz w:val="24"/>
        </w:rPr>
        <w:t>a notable passage in any event.</w:t>
      </w:r>
    </w:p>
    <w:p w:rsidR="008E217D" w:rsidRPr="0031089E" w:rsidRDefault="008E217D" w:rsidP="0031089E">
      <w:pPr>
        <w:suppressAutoHyphens/>
        <w:autoSpaceDE w:val="0"/>
        <w:autoSpaceDN w:val="0"/>
        <w:adjustRightInd w:val="0"/>
        <w:spacing w:after="120" w:line="240" w:lineRule="auto"/>
        <w:rPr>
          <w:rFonts w:cs="Courier New"/>
          <w:sz w:val="24"/>
        </w:rPr>
      </w:pPr>
    </w:p>
    <w:p w:rsidR="0031089E" w:rsidRPr="008E217D" w:rsidRDefault="0031089E" w:rsidP="0031089E">
      <w:pPr>
        <w:suppressAutoHyphens/>
        <w:autoSpaceDE w:val="0"/>
        <w:autoSpaceDN w:val="0"/>
        <w:adjustRightInd w:val="0"/>
        <w:spacing w:after="120" w:line="240" w:lineRule="auto"/>
        <w:rPr>
          <w:rFonts w:cs="Courier New"/>
          <w:b/>
          <w:sz w:val="28"/>
          <w:szCs w:val="28"/>
        </w:rPr>
      </w:pPr>
      <w:r w:rsidRPr="008E217D">
        <w:rPr>
          <w:rFonts w:cs="Courier New"/>
          <w:b/>
          <w:sz w:val="28"/>
          <w:szCs w:val="28"/>
        </w:rPr>
        <w:t xml:space="preserve">UNIT 4 – DESPAIR </w:t>
      </w:r>
    </w:p>
    <w:p w:rsidR="0031089E" w:rsidRPr="0031089E" w:rsidRDefault="0031089E" w:rsidP="0031089E">
      <w:pPr>
        <w:suppressAutoHyphens/>
        <w:autoSpaceDE w:val="0"/>
        <w:autoSpaceDN w:val="0"/>
        <w:adjustRightInd w:val="0"/>
        <w:spacing w:after="120" w:line="240" w:lineRule="auto"/>
        <w:rPr>
          <w:rFonts w:cs="Courier New"/>
          <w:sz w:val="24"/>
        </w:rPr>
      </w:pPr>
      <w:r w:rsidRPr="0031089E">
        <w:rPr>
          <w:rFonts w:cs="Courier New"/>
          <w:sz w:val="24"/>
        </w:rPr>
        <w:t xml:space="preserve">(Full year, weeks 16-23; one semester, weeks 8-12) </w:t>
      </w:r>
    </w:p>
    <w:p w:rsidR="0031089E" w:rsidRPr="0031089E" w:rsidRDefault="0031089E" w:rsidP="0031089E">
      <w:pPr>
        <w:suppressAutoHyphens/>
        <w:autoSpaceDE w:val="0"/>
        <w:autoSpaceDN w:val="0"/>
        <w:adjustRightInd w:val="0"/>
        <w:spacing w:after="120" w:line="240" w:lineRule="auto"/>
        <w:rPr>
          <w:rFonts w:cs="Courier New"/>
          <w:sz w:val="24"/>
        </w:rPr>
      </w:pPr>
      <w:r w:rsidRPr="0031089E">
        <w:rPr>
          <w:rFonts w:cs="Courier New"/>
          <w:sz w:val="24"/>
        </w:rPr>
        <w:t xml:space="preserve">(Church season: Lent) </w:t>
      </w:r>
    </w:p>
    <w:p w:rsidR="0031089E" w:rsidRPr="0031089E" w:rsidRDefault="0031089E" w:rsidP="0031089E">
      <w:pPr>
        <w:suppressAutoHyphens/>
        <w:autoSpaceDE w:val="0"/>
        <w:autoSpaceDN w:val="0"/>
        <w:adjustRightInd w:val="0"/>
        <w:spacing w:after="120" w:line="240" w:lineRule="auto"/>
        <w:rPr>
          <w:rFonts w:cs="Courier New"/>
          <w:sz w:val="24"/>
        </w:rPr>
      </w:pPr>
      <w:r w:rsidRPr="0031089E">
        <w:rPr>
          <w:rFonts w:cs="Courier New"/>
          <w:sz w:val="24"/>
        </w:rPr>
        <w:t>It’s January, and February and March</w:t>
      </w:r>
      <w:r w:rsidR="00BF5385">
        <w:rPr>
          <w:rFonts w:cs="Courier New"/>
          <w:sz w:val="24"/>
        </w:rPr>
        <w:t xml:space="preserve"> ...</w:t>
      </w:r>
      <w:r w:rsidRPr="0031089E">
        <w:rPr>
          <w:rFonts w:cs="Courier New"/>
          <w:sz w:val="24"/>
        </w:rPr>
        <w:t xml:space="preserve"> and spring never seems to come. Although Lent itself is, as a formal matter, the 40 days between Ash Wednesday and Palm Sunday, it feels so very much longer. The cold, grey, dreary winter seems never to end. The 40 days of Lent are a symbolically powerful number, as reflected in other meaningful Biblical events, such as the 40 days of Noah’s flood, the 40 years of wandering of the Hebrew people, and the 40 days of fasting by Christ in the wilderness. There is no particular magic to that number in the clinic calendar; despair is the much longer period of time from just after the beginning of the semester up to spring break, which for us is usually the second week of March. </w:t>
      </w:r>
    </w:p>
    <w:p w:rsidR="0031089E" w:rsidRPr="0031089E" w:rsidRDefault="0031089E" w:rsidP="0031089E">
      <w:pPr>
        <w:suppressAutoHyphens/>
        <w:autoSpaceDE w:val="0"/>
        <w:autoSpaceDN w:val="0"/>
        <w:adjustRightInd w:val="0"/>
        <w:spacing w:after="120" w:line="240" w:lineRule="auto"/>
        <w:rPr>
          <w:rFonts w:cs="Courier New"/>
          <w:sz w:val="24"/>
        </w:rPr>
      </w:pPr>
      <w:r w:rsidRPr="0031089E">
        <w:rPr>
          <w:rFonts w:cs="Courier New"/>
          <w:sz w:val="24"/>
        </w:rPr>
        <w:lastRenderedPageBreak/>
        <w:t>Liturgically, Ash Wednesday, which starts Lent, reminds us of our mortality. The ashes are imposed as the priest tells us to remember that we are dust and to dust we shall return. No reminder is more sobering and humbling in the church calendar. “Primitive people suffered further agonies as they saw the last of their winter stores being consumed while the frozen earth, still covered with snow, gave no</w:t>
      </w:r>
      <w:r w:rsidR="00B17C97">
        <w:rPr>
          <w:rFonts w:cs="Courier New"/>
          <w:sz w:val="24"/>
        </w:rPr>
        <w:t xml:space="preserve"> promise of returning to life.”</w:t>
      </w:r>
      <w:r w:rsidR="00B17C97">
        <w:rPr>
          <w:rStyle w:val="FootnoteReference"/>
          <w:rFonts w:cs="Courier New"/>
          <w:sz w:val="24"/>
        </w:rPr>
        <w:footnoteReference w:id="42"/>
      </w:r>
      <w:r w:rsidRPr="0031089E">
        <w:rPr>
          <w:rFonts w:cs="Courier New"/>
          <w:sz w:val="24"/>
        </w:rPr>
        <w:t xml:space="preserve"> This is a season of turning inward, of “self-examination and reflection.”</w:t>
      </w:r>
      <w:r w:rsidR="00B17C97">
        <w:rPr>
          <w:rStyle w:val="FootnoteReference"/>
          <w:rFonts w:cs="Courier New"/>
          <w:sz w:val="24"/>
        </w:rPr>
        <w:footnoteReference w:id="43"/>
      </w:r>
      <w:r w:rsidRPr="0031089E">
        <w:rPr>
          <w:rFonts w:cs="Courier New"/>
          <w:sz w:val="24"/>
        </w:rPr>
        <w:t xml:space="preserve"> “In some sense, [despair] is a deeper degree of anxiety, pointing to one’s awareness that mountaintop moments don’t last forever. The return to the valley ever waits.”</w:t>
      </w:r>
      <w:r w:rsidR="00B17C97">
        <w:rPr>
          <w:rStyle w:val="FootnoteReference"/>
          <w:rFonts w:cs="Courier New"/>
          <w:sz w:val="24"/>
        </w:rPr>
        <w:footnoteReference w:id="44"/>
      </w:r>
      <w:r w:rsidRPr="0031089E">
        <w:rPr>
          <w:rFonts w:cs="Courier New"/>
          <w:sz w:val="24"/>
        </w:rPr>
        <w:t xml:space="preserve"> If we see the Bible story of the disciples as a metaphor for our own lives, we know that when faced with the really important moments, we often react as they did in Jesus’ final days – “betrayal, denial, abandonment and subsequently, grief and repentance.”</w:t>
      </w:r>
      <w:r w:rsidR="00B17C97">
        <w:rPr>
          <w:rStyle w:val="FootnoteReference"/>
          <w:rFonts w:cs="Courier New"/>
          <w:sz w:val="24"/>
        </w:rPr>
        <w:footnoteReference w:id="45"/>
      </w:r>
      <w:r w:rsidRPr="0031089E">
        <w:rPr>
          <w:rFonts w:cs="Courier New"/>
          <w:sz w:val="24"/>
        </w:rPr>
        <w:t xml:space="preserve"> Psychologically, this is fight or flight at its deepest and most powerful; disenchantment, counter-dependence and independence all can take hold.</w:t>
      </w:r>
      <w:r w:rsidR="00B17C97">
        <w:rPr>
          <w:rStyle w:val="FootnoteReference"/>
          <w:rFonts w:cs="Courier New"/>
          <w:sz w:val="24"/>
        </w:rPr>
        <w:footnoteReference w:id="46"/>
      </w:r>
      <w:r w:rsidRPr="0031089E">
        <w:rPr>
          <w:rFonts w:cs="Courier New"/>
          <w:sz w:val="24"/>
        </w:rPr>
        <w:t xml:space="preserve"> </w:t>
      </w:r>
    </w:p>
    <w:p w:rsidR="0031089E" w:rsidRPr="0031089E" w:rsidRDefault="0031089E" w:rsidP="0031089E">
      <w:pPr>
        <w:suppressAutoHyphens/>
        <w:autoSpaceDE w:val="0"/>
        <w:autoSpaceDN w:val="0"/>
        <w:adjustRightInd w:val="0"/>
        <w:spacing w:after="120" w:line="240" w:lineRule="auto"/>
        <w:rPr>
          <w:rFonts w:cs="Courier New"/>
          <w:sz w:val="24"/>
        </w:rPr>
      </w:pPr>
      <w:r w:rsidRPr="0031089E">
        <w:rPr>
          <w:rFonts w:cs="Courier New"/>
          <w:sz w:val="24"/>
        </w:rPr>
        <w:t>This can be an important period of reflection and ongoing learning for the students, but may also be a time when they are most frayed and brittle. If their partners or clients are uncooperative or life outside of clinic is not going well, this is often the time of students’ tear-filled private meetings with me. At its deepest point, the Penniman materials suggest, despair occurs when “my life is out of control, or I feel condemned for my stupid decisions. In such moments I feel like I am filled with tears, so many tears that if I cried them all they would make a pool so large and deep that I might drown in them.” This “pool of tears” is an image reminiscent of the powerful allegory of Alice in Wonderland, falling into the pool of her own tears when in despair.</w:t>
      </w:r>
      <w:r w:rsidR="00B17C97">
        <w:rPr>
          <w:rStyle w:val="FootnoteReference"/>
          <w:rFonts w:cs="Courier New"/>
          <w:sz w:val="24"/>
        </w:rPr>
        <w:footnoteReference w:id="47"/>
      </w:r>
      <w:r w:rsidRPr="0031089E">
        <w:rPr>
          <w:rFonts w:cs="Courier New"/>
          <w:sz w:val="24"/>
        </w:rPr>
        <w:t xml:space="preserve"> </w:t>
      </w:r>
    </w:p>
    <w:p w:rsidR="0031089E" w:rsidRDefault="0031089E" w:rsidP="0031089E">
      <w:pPr>
        <w:suppressAutoHyphens/>
        <w:autoSpaceDE w:val="0"/>
        <w:autoSpaceDN w:val="0"/>
        <w:adjustRightInd w:val="0"/>
        <w:spacing w:after="120" w:line="240" w:lineRule="auto"/>
        <w:rPr>
          <w:rFonts w:cs="Courier New"/>
          <w:sz w:val="24"/>
        </w:rPr>
      </w:pPr>
      <w:r w:rsidRPr="0031089E">
        <w:rPr>
          <w:rFonts w:cs="Courier New"/>
          <w:sz w:val="24"/>
        </w:rPr>
        <w:t>Graduating students often begin to feel the approaching end of their time in law school, and they know they are about to step off the cliff from the security of school into the real world of work life, into a deeper relationship with a partner (or not), or profound anxiety about high debts from law school costs and no immediate job prospects. In that long period where the end is not easily discerned, I am also more likely to be short and temperamental or to flee the scene of my students’ angst. I’m more impatient with the late work-product and increasingly reluctant to spend all-nighters finishing and filing a brief or other court document. We all feel exhausted, and the week of spring break is only a tantalizing reminder of rest, not a real respite from the pace and demands of the uncontrollable schedule of law fir</w:t>
      </w:r>
      <w:r w:rsidR="008E217D">
        <w:rPr>
          <w:rFonts w:cs="Courier New"/>
          <w:sz w:val="24"/>
        </w:rPr>
        <w:t>m practice within a law school.</w:t>
      </w:r>
    </w:p>
    <w:p w:rsidR="008E217D" w:rsidRPr="0031089E" w:rsidRDefault="008E217D" w:rsidP="0031089E">
      <w:pPr>
        <w:suppressAutoHyphens/>
        <w:autoSpaceDE w:val="0"/>
        <w:autoSpaceDN w:val="0"/>
        <w:adjustRightInd w:val="0"/>
        <w:spacing w:after="120" w:line="240" w:lineRule="auto"/>
        <w:rPr>
          <w:rFonts w:cs="Courier New"/>
          <w:sz w:val="24"/>
        </w:rPr>
      </w:pPr>
    </w:p>
    <w:p w:rsidR="0031089E" w:rsidRPr="008E217D" w:rsidRDefault="0031089E" w:rsidP="0031089E">
      <w:pPr>
        <w:suppressAutoHyphens/>
        <w:autoSpaceDE w:val="0"/>
        <w:autoSpaceDN w:val="0"/>
        <w:adjustRightInd w:val="0"/>
        <w:spacing w:after="120" w:line="240" w:lineRule="auto"/>
        <w:rPr>
          <w:rFonts w:cs="Courier New"/>
          <w:b/>
          <w:sz w:val="28"/>
          <w:szCs w:val="28"/>
        </w:rPr>
      </w:pPr>
      <w:r w:rsidRPr="008E217D">
        <w:rPr>
          <w:rFonts w:cs="Courier New"/>
          <w:b/>
          <w:sz w:val="28"/>
          <w:szCs w:val="28"/>
        </w:rPr>
        <w:t xml:space="preserve">UNIT 5 – ANTICIPATION </w:t>
      </w:r>
    </w:p>
    <w:p w:rsidR="0031089E" w:rsidRPr="0031089E" w:rsidRDefault="0031089E" w:rsidP="0031089E">
      <w:pPr>
        <w:suppressAutoHyphens/>
        <w:autoSpaceDE w:val="0"/>
        <w:autoSpaceDN w:val="0"/>
        <w:adjustRightInd w:val="0"/>
        <w:spacing w:after="120" w:line="240" w:lineRule="auto"/>
        <w:rPr>
          <w:rFonts w:cs="Courier New"/>
          <w:sz w:val="24"/>
        </w:rPr>
      </w:pPr>
      <w:r w:rsidRPr="0031089E">
        <w:rPr>
          <w:rFonts w:cs="Courier New"/>
          <w:sz w:val="24"/>
        </w:rPr>
        <w:t xml:space="preserve">(Full year, weeks 24-28; one semester, weeks 13-14) </w:t>
      </w:r>
    </w:p>
    <w:p w:rsidR="0031089E" w:rsidRPr="0031089E" w:rsidRDefault="0031089E" w:rsidP="0031089E">
      <w:pPr>
        <w:suppressAutoHyphens/>
        <w:autoSpaceDE w:val="0"/>
        <w:autoSpaceDN w:val="0"/>
        <w:adjustRightInd w:val="0"/>
        <w:spacing w:after="120" w:line="240" w:lineRule="auto"/>
        <w:rPr>
          <w:rFonts w:cs="Courier New"/>
          <w:sz w:val="24"/>
        </w:rPr>
      </w:pPr>
      <w:r w:rsidRPr="0031089E">
        <w:rPr>
          <w:rFonts w:cs="Courier New"/>
          <w:sz w:val="24"/>
        </w:rPr>
        <w:lastRenderedPageBreak/>
        <w:t xml:space="preserve">(Church seasons: Easter, Ascension, Pentecost) </w:t>
      </w:r>
    </w:p>
    <w:p w:rsidR="0031089E" w:rsidRPr="0031089E" w:rsidRDefault="0031089E" w:rsidP="0031089E">
      <w:pPr>
        <w:suppressAutoHyphens/>
        <w:autoSpaceDE w:val="0"/>
        <w:autoSpaceDN w:val="0"/>
        <w:adjustRightInd w:val="0"/>
        <w:spacing w:after="120" w:line="240" w:lineRule="auto"/>
        <w:rPr>
          <w:rFonts w:cs="Courier New"/>
          <w:sz w:val="24"/>
        </w:rPr>
      </w:pPr>
      <w:r w:rsidRPr="0031089E">
        <w:rPr>
          <w:rFonts w:cs="Courier New"/>
          <w:sz w:val="24"/>
        </w:rPr>
        <w:t>Spring and new life are finally here, the season of new beginnings</w:t>
      </w:r>
      <w:r w:rsidR="00BF5385">
        <w:rPr>
          <w:rFonts w:cs="Courier New"/>
          <w:sz w:val="24"/>
        </w:rPr>
        <w:t xml:space="preserve"> ...</w:t>
      </w:r>
      <w:r w:rsidRPr="0031089E">
        <w:rPr>
          <w:rFonts w:cs="Courier New"/>
          <w:sz w:val="24"/>
        </w:rPr>
        <w:t xml:space="preserve"> and school endings. The first flowers bloom, the cherry blossoms adorn the Tidal Basin near the Capitol Mall, and warm, gentle breezes return. The spring equinox brings the world back into balance, but then tips toward longer, sunnier days. “Primitive people must have felt this same e</w:t>
      </w:r>
      <w:r w:rsidR="00B17C97">
        <w:rPr>
          <w:rFonts w:cs="Courier New"/>
          <w:sz w:val="24"/>
        </w:rPr>
        <w:t xml:space="preserve">nergizing effect of enthusiasm </w:t>
      </w:r>
      <w:r w:rsidRPr="0031089E">
        <w:rPr>
          <w:rFonts w:cs="Courier New"/>
          <w:sz w:val="24"/>
        </w:rPr>
        <w:t>for life</w:t>
      </w:r>
      <w:r w:rsidR="009341F3">
        <w:rPr>
          <w:rFonts w:cs="Courier New"/>
          <w:sz w:val="24"/>
        </w:rPr>
        <w:t xml:space="preserve"> …</w:t>
      </w:r>
      <w:r w:rsidRPr="0031089E">
        <w:rPr>
          <w:rFonts w:cs="Courier New"/>
          <w:sz w:val="24"/>
        </w:rPr>
        <w:t xml:space="preserve"> It is no wonder that their celebration of joy and thanks for the renewal of the earth centered around Easter, the goddess of fertility, and that they used the most obvious symbols of fertility, the egg and the rabbit.”</w:t>
      </w:r>
      <w:r w:rsidR="00A20282">
        <w:rPr>
          <w:rStyle w:val="FootnoteReference"/>
          <w:rFonts w:cs="Courier New"/>
          <w:sz w:val="24"/>
        </w:rPr>
        <w:footnoteReference w:id="48"/>
      </w:r>
      <w:r w:rsidRPr="0031089E">
        <w:rPr>
          <w:rFonts w:cs="Courier New"/>
          <w:sz w:val="24"/>
        </w:rPr>
        <w:t xml:space="preserve"> As despair is to anxiety, anticipation is “a deeper degree of hope.” In this stage, “one can step out on faith into the unknown of new experience or deeper relationship with others, with God, and with one’s self.”</w:t>
      </w:r>
      <w:r w:rsidR="00A20282">
        <w:rPr>
          <w:rStyle w:val="FootnoteReference"/>
          <w:rFonts w:cs="Courier New"/>
          <w:sz w:val="24"/>
        </w:rPr>
        <w:footnoteReference w:id="49"/>
      </w:r>
      <w:r w:rsidRPr="0031089E">
        <w:rPr>
          <w:rFonts w:cs="Courier New"/>
          <w:sz w:val="24"/>
        </w:rPr>
        <w:t xml:space="preserve"> In psychological terms, this is the stage of interdependence and consensual validation.</w:t>
      </w:r>
      <w:r w:rsidR="00A20282">
        <w:rPr>
          <w:rStyle w:val="FootnoteReference"/>
          <w:rFonts w:cs="Courier New"/>
          <w:sz w:val="24"/>
        </w:rPr>
        <w:footnoteReference w:id="50"/>
      </w:r>
      <w:r w:rsidRPr="0031089E">
        <w:rPr>
          <w:rFonts w:cs="Courier New"/>
          <w:sz w:val="24"/>
        </w:rPr>
        <w:t xml:space="preserve"> </w:t>
      </w:r>
    </w:p>
    <w:p w:rsidR="0031089E" w:rsidRPr="0031089E" w:rsidRDefault="0031089E" w:rsidP="0031089E">
      <w:pPr>
        <w:suppressAutoHyphens/>
        <w:autoSpaceDE w:val="0"/>
        <w:autoSpaceDN w:val="0"/>
        <w:adjustRightInd w:val="0"/>
        <w:spacing w:after="120" w:line="240" w:lineRule="auto"/>
        <w:rPr>
          <w:rFonts w:cs="Courier New"/>
          <w:sz w:val="24"/>
        </w:rPr>
      </w:pPr>
      <w:r w:rsidRPr="0031089E">
        <w:rPr>
          <w:rFonts w:cs="Courier New"/>
          <w:sz w:val="24"/>
        </w:rPr>
        <w:t xml:space="preserve">The school year is about to end, as is the student’s work in clinic. Sometimes, with luck, the student team’s case-work ends with some culminating event that corresponds to the end of the school year – a trial or major filing in court, a presentation or other major work-product in the project-based cases. As often as not, however, the case simply goes on, passing from one student team to another by means of a transfer memo. Some files have up to ten transfer memos as the case lingers and lingers and lingers in judicial limbo, a giant circle game. Graduation, too, is a great ritual festival of celebration and passage, always a favored event for me. I feel proud to have contributed to the developing sense of ownership of a new career by those precious few who have shared the journey of the clinic year with me. Hopefully, in the best of cases, we have evolved from student and teacher to true colleagues. </w:t>
      </w:r>
    </w:p>
    <w:p w:rsidR="0031089E" w:rsidRPr="0031089E" w:rsidRDefault="0031089E" w:rsidP="0031089E">
      <w:pPr>
        <w:suppressAutoHyphens/>
        <w:autoSpaceDE w:val="0"/>
        <w:autoSpaceDN w:val="0"/>
        <w:adjustRightInd w:val="0"/>
        <w:spacing w:after="120" w:line="240" w:lineRule="auto"/>
        <w:rPr>
          <w:rFonts w:cs="Courier New"/>
          <w:sz w:val="24"/>
        </w:rPr>
      </w:pPr>
      <w:r w:rsidRPr="0031089E">
        <w:rPr>
          <w:rFonts w:cs="Courier New"/>
          <w:sz w:val="24"/>
        </w:rPr>
        <w:t>Year-end is also a time of deeper reflection about what clinic students really want from their careers, from their professional and personal life. There is that sense of the great cycles of school and work life, from one student team to another, a time of endings that anticipates all the p</w:t>
      </w:r>
      <w:r w:rsidR="008E217D">
        <w:rPr>
          <w:rFonts w:cs="Courier New"/>
          <w:sz w:val="24"/>
        </w:rPr>
        <w:t>ossibilities of new beginnings.</w:t>
      </w:r>
    </w:p>
    <w:p w:rsidR="0031089E" w:rsidRPr="0031089E" w:rsidRDefault="0031089E" w:rsidP="0031089E">
      <w:pPr>
        <w:suppressAutoHyphens/>
        <w:autoSpaceDE w:val="0"/>
        <w:autoSpaceDN w:val="0"/>
        <w:adjustRightInd w:val="0"/>
        <w:spacing w:after="120" w:line="240" w:lineRule="auto"/>
        <w:rPr>
          <w:rFonts w:cs="Courier New"/>
          <w:sz w:val="24"/>
        </w:rPr>
      </w:pPr>
    </w:p>
    <w:p w:rsidR="0031089E" w:rsidRPr="008E217D" w:rsidRDefault="0031089E" w:rsidP="0031089E">
      <w:pPr>
        <w:suppressAutoHyphens/>
        <w:autoSpaceDE w:val="0"/>
        <w:autoSpaceDN w:val="0"/>
        <w:adjustRightInd w:val="0"/>
        <w:spacing w:after="120" w:line="240" w:lineRule="auto"/>
        <w:rPr>
          <w:rFonts w:cs="Courier New"/>
          <w:b/>
          <w:sz w:val="28"/>
          <w:szCs w:val="28"/>
        </w:rPr>
      </w:pPr>
      <w:r w:rsidRPr="008E217D">
        <w:rPr>
          <w:rFonts w:cs="Courier New"/>
          <w:b/>
          <w:sz w:val="28"/>
          <w:szCs w:val="28"/>
        </w:rPr>
        <w:t xml:space="preserve">CONCLUSION </w:t>
      </w:r>
    </w:p>
    <w:p w:rsidR="0031089E" w:rsidRPr="0031089E" w:rsidRDefault="0031089E" w:rsidP="0031089E">
      <w:pPr>
        <w:suppressAutoHyphens/>
        <w:autoSpaceDE w:val="0"/>
        <w:autoSpaceDN w:val="0"/>
        <w:adjustRightInd w:val="0"/>
        <w:spacing w:after="120" w:line="240" w:lineRule="auto"/>
        <w:rPr>
          <w:rFonts w:cs="Courier New"/>
          <w:sz w:val="24"/>
        </w:rPr>
      </w:pPr>
      <w:r w:rsidRPr="0031089E">
        <w:rPr>
          <w:rFonts w:cs="Courier New"/>
          <w:sz w:val="24"/>
        </w:rPr>
        <w:t xml:space="preserve">Let me note again that this is a template and a prediction tool; it has been mostly true for me in most years. The units do not always fall into perfect symmetry, but remarkably, they often do. I often take comfort in the knowledge that I am somewhere on the great wheel of the clinic seasons, deeply situated and moving at the same time. I can modify my behaviors in recognition of my place in the stages, or make accommodations for otherwise puzzling or perplexing student (or my own) actions. I’ve used the stages more than once to explain an interaction or event to fellow faculty or to the students themselves. Perhaps you’ll find them as useful as I have. </w:t>
      </w:r>
    </w:p>
    <w:p w:rsidR="000537F7" w:rsidRPr="00A20282" w:rsidRDefault="0031089E" w:rsidP="00A20282">
      <w:pPr>
        <w:suppressAutoHyphens/>
        <w:autoSpaceDE w:val="0"/>
        <w:autoSpaceDN w:val="0"/>
        <w:adjustRightInd w:val="0"/>
        <w:spacing w:after="120" w:line="240" w:lineRule="auto"/>
        <w:rPr>
          <w:rFonts w:cs="Courier New"/>
          <w:sz w:val="24"/>
        </w:rPr>
      </w:pPr>
      <w:r w:rsidRPr="0031089E">
        <w:rPr>
          <w:rFonts w:cs="Courier New"/>
          <w:sz w:val="24"/>
        </w:rPr>
        <w:lastRenderedPageBreak/>
        <w:t xml:space="preserve">At the center of this annual journey lies the relationship between me and my students, and between my student and their client. The primordial principle defining those relationships shares the central lesson of Karen Armstrong’s </w:t>
      </w:r>
      <w:r w:rsidRPr="009213C7">
        <w:rPr>
          <w:rFonts w:cs="Courier New"/>
          <w:i/>
          <w:sz w:val="24"/>
        </w:rPr>
        <w:t>The Great Transformation</w:t>
      </w:r>
      <w:r w:rsidRPr="0031089E">
        <w:rPr>
          <w:rFonts w:cs="Courier New"/>
          <w:sz w:val="24"/>
        </w:rPr>
        <w:t>, which focused on the “axial age,” the period between 900 and 200 B.C. when the major pre-Christian traditions – Confucianism and Daoism in China, Buddhism and Hinduism in India, Judaism in Israel, and philosophical rationalism in Greece – took shape.</w:t>
      </w:r>
      <w:r w:rsidR="00A20282">
        <w:rPr>
          <w:rStyle w:val="FootnoteReference"/>
          <w:rFonts w:cs="Courier New"/>
          <w:sz w:val="24"/>
        </w:rPr>
        <w:footnoteReference w:id="51"/>
      </w:r>
      <w:r w:rsidRPr="0031089E">
        <w:rPr>
          <w:rFonts w:cs="Courier New"/>
          <w:sz w:val="24"/>
        </w:rPr>
        <w:t xml:space="preserve"> During that period, what mattered “was not what you believed but how you behaved. Religion was about doing things that changed you at a profound level</w:t>
      </w:r>
      <w:r w:rsidR="009213C7">
        <w:rPr>
          <w:rFonts w:cs="Courier New"/>
          <w:sz w:val="24"/>
        </w:rPr>
        <w:t xml:space="preserve"> …</w:t>
      </w:r>
      <w:r w:rsidRPr="0031089E">
        <w:rPr>
          <w:rFonts w:cs="Courier New"/>
          <w:sz w:val="24"/>
        </w:rPr>
        <w:t xml:space="preserve"> Each tradition developed its own formulation of the Golden Rule: do not do to others what you would not have done to you. As far as the Axial sages were concerned, respect for the sacred rights of all beings – not orthodox belief – was religious.”</w:t>
      </w:r>
      <w:r w:rsidR="00A20282">
        <w:rPr>
          <w:rStyle w:val="FootnoteReference"/>
          <w:rFonts w:cs="Courier New"/>
          <w:sz w:val="24"/>
        </w:rPr>
        <w:footnoteReference w:id="52"/>
      </w:r>
      <w:r w:rsidRPr="0031089E">
        <w:rPr>
          <w:rFonts w:cs="Courier New"/>
          <w:sz w:val="24"/>
        </w:rPr>
        <w:t xml:space="preserve"> As Best Practices for Legal Education puts it: </w:t>
      </w:r>
      <w:r w:rsidR="00A20282">
        <w:rPr>
          <w:rFonts w:cs="Courier New"/>
          <w:sz w:val="24"/>
        </w:rPr>
        <w:t>first, do no harm to students.</w:t>
      </w:r>
      <w:r w:rsidR="00A20282">
        <w:rPr>
          <w:rStyle w:val="FootnoteReference"/>
          <w:rFonts w:cs="Courier New"/>
          <w:sz w:val="24"/>
        </w:rPr>
        <w:footnoteReference w:id="53"/>
      </w:r>
    </w:p>
    <w:sectPr w:rsidR="000537F7" w:rsidRPr="00A20282" w:rsidSect="0051782A">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667C" w:rsidRDefault="0075667C" w:rsidP="0031089E">
      <w:pPr>
        <w:spacing w:after="0" w:line="240" w:lineRule="auto"/>
      </w:pPr>
      <w:r>
        <w:separator/>
      </w:r>
    </w:p>
  </w:endnote>
  <w:endnote w:type="continuationSeparator" w:id="0">
    <w:p w:rsidR="0075667C" w:rsidRDefault="0075667C" w:rsidP="003108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667C" w:rsidRDefault="0075667C" w:rsidP="0031089E">
      <w:pPr>
        <w:spacing w:after="0" w:line="240" w:lineRule="auto"/>
      </w:pPr>
      <w:r>
        <w:separator/>
      </w:r>
    </w:p>
  </w:footnote>
  <w:footnote w:type="continuationSeparator" w:id="0">
    <w:p w:rsidR="0075667C" w:rsidRDefault="0075667C" w:rsidP="0031089E">
      <w:pPr>
        <w:spacing w:after="0" w:line="240" w:lineRule="auto"/>
      </w:pPr>
      <w:r>
        <w:continuationSeparator/>
      </w:r>
    </w:p>
  </w:footnote>
  <w:footnote w:id="1">
    <w:p w:rsidR="0031089E" w:rsidRPr="008E217D" w:rsidRDefault="0031089E" w:rsidP="008E217D">
      <w:pPr>
        <w:pStyle w:val="FootnoteText"/>
        <w:spacing w:after="120"/>
        <w:rPr>
          <w:sz w:val="18"/>
        </w:rPr>
      </w:pPr>
      <w:r w:rsidRPr="008E217D">
        <w:rPr>
          <w:rStyle w:val="FootnoteReference"/>
          <w:sz w:val="18"/>
        </w:rPr>
        <w:sym w:font="Symbol" w:char="F02A"/>
      </w:r>
      <w:r w:rsidRPr="008E217D">
        <w:rPr>
          <w:sz w:val="18"/>
        </w:rPr>
        <w:t xml:space="preserve"> </w:t>
      </w:r>
      <w:r w:rsidRPr="008E217D">
        <w:rPr>
          <w:rFonts w:cs="Courier New"/>
          <w:sz w:val="18"/>
        </w:rPr>
        <w:t>Richard J. Wilson is Professor of Law and founding director of the International Human Rights Law Clinic at American University’s Washington College of Law. I appreciate the insights and help of Zachary Ista, my research assistant, in reviewing and preparing this article.</w:t>
      </w:r>
    </w:p>
  </w:footnote>
  <w:footnote w:id="2">
    <w:p w:rsidR="0031089E" w:rsidRPr="008E217D" w:rsidRDefault="0031089E" w:rsidP="008E217D">
      <w:pPr>
        <w:pStyle w:val="FootnoteText"/>
        <w:spacing w:after="120"/>
        <w:rPr>
          <w:sz w:val="18"/>
        </w:rPr>
      </w:pPr>
      <w:r w:rsidRPr="008E217D">
        <w:rPr>
          <w:rStyle w:val="FootnoteReference"/>
          <w:sz w:val="18"/>
        </w:rPr>
        <w:footnoteRef/>
      </w:r>
      <w:r w:rsidRPr="008E217D">
        <w:rPr>
          <w:sz w:val="18"/>
        </w:rPr>
        <w:t xml:space="preserve"> </w:t>
      </w:r>
      <w:r w:rsidRPr="008E217D">
        <w:rPr>
          <w:rFonts w:cs="Courier New"/>
          <w:sz w:val="18"/>
        </w:rPr>
        <w:t>These references come from http://www.stmarks.net/about/introduction.html (last visited on April 7, 2010).</w:t>
      </w:r>
    </w:p>
  </w:footnote>
  <w:footnote w:id="3">
    <w:p w:rsidR="0031089E" w:rsidRPr="008E217D" w:rsidRDefault="0031089E" w:rsidP="008E217D">
      <w:pPr>
        <w:suppressAutoHyphens/>
        <w:autoSpaceDE w:val="0"/>
        <w:autoSpaceDN w:val="0"/>
        <w:adjustRightInd w:val="0"/>
        <w:spacing w:after="120" w:line="240" w:lineRule="auto"/>
        <w:rPr>
          <w:rFonts w:cs="Courier New"/>
          <w:sz w:val="18"/>
        </w:rPr>
      </w:pPr>
      <w:r w:rsidRPr="008E217D">
        <w:rPr>
          <w:rStyle w:val="FootnoteReference"/>
          <w:sz w:val="18"/>
        </w:rPr>
        <w:footnoteRef/>
      </w:r>
      <w:r w:rsidRPr="008E217D">
        <w:rPr>
          <w:sz w:val="18"/>
        </w:rPr>
        <w:t xml:space="preserve"> </w:t>
      </w:r>
      <w:r w:rsidRPr="008E217D">
        <w:rPr>
          <w:rFonts w:cs="Courier New"/>
          <w:sz w:val="18"/>
        </w:rPr>
        <w:t>A useful document on the concrete operation of the Human Rights clinic can be found on-line at https://www.wcl.american.edu/clinical/annual_2002.pdf?rd=1 (last visited on April 8, 2010).</w:t>
      </w:r>
    </w:p>
  </w:footnote>
  <w:footnote w:id="4">
    <w:p w:rsidR="0031089E" w:rsidRPr="008E217D" w:rsidRDefault="0031089E" w:rsidP="008E217D">
      <w:pPr>
        <w:pStyle w:val="FootnoteText"/>
        <w:spacing w:after="120"/>
        <w:rPr>
          <w:sz w:val="18"/>
        </w:rPr>
      </w:pPr>
      <w:r w:rsidRPr="008E217D">
        <w:rPr>
          <w:rStyle w:val="FootnoteReference"/>
          <w:sz w:val="18"/>
        </w:rPr>
        <w:footnoteRef/>
      </w:r>
      <w:r w:rsidRPr="008E217D">
        <w:rPr>
          <w:sz w:val="18"/>
        </w:rPr>
        <w:t xml:space="preserve"> </w:t>
      </w:r>
      <w:r w:rsidRPr="008E217D">
        <w:rPr>
          <w:rFonts w:cs="Courier New"/>
          <w:sz w:val="18"/>
        </w:rPr>
        <w:t xml:space="preserve">Paul R. Abernathy, </w:t>
      </w:r>
      <w:r w:rsidRPr="00B34AEC">
        <w:rPr>
          <w:rFonts w:cs="Courier New"/>
          <w:i/>
          <w:sz w:val="18"/>
        </w:rPr>
        <w:t>A Word About Kierkegaard, Buber, and Tillich</w:t>
      </w:r>
      <w:r w:rsidRPr="008E217D">
        <w:rPr>
          <w:rFonts w:cs="Courier New"/>
          <w:sz w:val="18"/>
        </w:rPr>
        <w:t>, http://www.stmarks.net/christian_ed/functional_education/kierkegaard.html (last visited on April 8, 2010).</w:t>
      </w:r>
    </w:p>
  </w:footnote>
  <w:footnote w:id="5">
    <w:p w:rsidR="003C04F1" w:rsidRPr="008E217D" w:rsidRDefault="003C04F1" w:rsidP="008E217D">
      <w:pPr>
        <w:pStyle w:val="FootnoteText"/>
        <w:spacing w:after="120"/>
        <w:rPr>
          <w:sz w:val="18"/>
        </w:rPr>
      </w:pPr>
      <w:r w:rsidRPr="008E217D">
        <w:rPr>
          <w:rStyle w:val="FootnoteReference"/>
          <w:sz w:val="18"/>
        </w:rPr>
        <w:footnoteRef/>
      </w:r>
      <w:r w:rsidRPr="008E217D">
        <w:rPr>
          <w:sz w:val="18"/>
        </w:rPr>
        <w:t xml:space="preserve"> </w:t>
      </w:r>
      <w:r w:rsidRPr="00B34AEC">
        <w:rPr>
          <w:i/>
          <w:sz w:val="18"/>
        </w:rPr>
        <w:t>Id</w:t>
      </w:r>
      <w:r w:rsidRPr="008E217D">
        <w:rPr>
          <w:sz w:val="18"/>
        </w:rPr>
        <w:t>.</w:t>
      </w:r>
    </w:p>
  </w:footnote>
  <w:footnote w:id="6">
    <w:p w:rsidR="003C04F1" w:rsidRPr="008E217D" w:rsidRDefault="003C04F1" w:rsidP="008E217D">
      <w:pPr>
        <w:pStyle w:val="FootnoteText"/>
        <w:spacing w:after="120"/>
        <w:rPr>
          <w:sz w:val="18"/>
        </w:rPr>
      </w:pPr>
      <w:r w:rsidRPr="008E217D">
        <w:rPr>
          <w:rStyle w:val="FootnoteReference"/>
          <w:sz w:val="18"/>
        </w:rPr>
        <w:footnoteRef/>
      </w:r>
      <w:r w:rsidRPr="008E217D">
        <w:rPr>
          <w:sz w:val="18"/>
        </w:rPr>
        <w:t xml:space="preserve"> </w:t>
      </w:r>
      <w:r w:rsidRPr="008E217D">
        <w:rPr>
          <w:rFonts w:cs="Courier New"/>
          <w:sz w:val="18"/>
        </w:rPr>
        <w:t xml:space="preserve">His theological work, organized as </w:t>
      </w:r>
      <w:r w:rsidRPr="00B34AEC">
        <w:rPr>
          <w:rFonts w:cs="Courier New"/>
          <w:i/>
          <w:sz w:val="18"/>
        </w:rPr>
        <w:t>Categories</w:t>
      </w:r>
      <w:r w:rsidRPr="008E217D">
        <w:rPr>
          <w:rFonts w:cs="Courier New"/>
          <w:sz w:val="18"/>
        </w:rPr>
        <w:t xml:space="preserve"> and </w:t>
      </w:r>
      <w:r w:rsidRPr="00B34AEC">
        <w:rPr>
          <w:rFonts w:cs="Courier New"/>
          <w:i/>
          <w:sz w:val="18"/>
        </w:rPr>
        <w:t>General Notes</w:t>
      </w:r>
      <w:r w:rsidRPr="008E217D">
        <w:rPr>
          <w:rFonts w:cs="Courier New"/>
          <w:sz w:val="18"/>
        </w:rPr>
        <w:t>, and annotated by the Rev. James Adams, former rector at St. Mark’s, can be found at http://www.stmarks.net/christian_ed/functional_education/penniman.pdf (last visited on April 8, 2010).</w:t>
      </w:r>
    </w:p>
  </w:footnote>
  <w:footnote w:id="7">
    <w:p w:rsidR="003C04F1" w:rsidRPr="008E217D" w:rsidRDefault="003C04F1" w:rsidP="008E217D">
      <w:pPr>
        <w:suppressAutoHyphens/>
        <w:autoSpaceDE w:val="0"/>
        <w:autoSpaceDN w:val="0"/>
        <w:adjustRightInd w:val="0"/>
        <w:spacing w:after="120" w:line="240" w:lineRule="auto"/>
        <w:rPr>
          <w:rFonts w:cs="Courier New"/>
          <w:sz w:val="18"/>
        </w:rPr>
      </w:pPr>
      <w:r w:rsidRPr="008E217D">
        <w:rPr>
          <w:rStyle w:val="FootnoteReference"/>
          <w:sz w:val="18"/>
        </w:rPr>
        <w:footnoteRef/>
      </w:r>
      <w:r w:rsidRPr="008E217D">
        <w:rPr>
          <w:sz w:val="18"/>
        </w:rPr>
        <w:t xml:space="preserve"> </w:t>
      </w:r>
      <w:r w:rsidRPr="00B34AEC">
        <w:rPr>
          <w:rFonts w:cs="Courier New"/>
          <w:i/>
          <w:sz w:val="18"/>
        </w:rPr>
        <w:t>Categories</w:t>
      </w:r>
      <w:r w:rsidRPr="008E217D">
        <w:rPr>
          <w:rFonts w:cs="Courier New"/>
          <w:sz w:val="18"/>
        </w:rPr>
        <w:t xml:space="preserve">, </w:t>
      </w:r>
      <w:r w:rsidRPr="00B34AEC">
        <w:rPr>
          <w:rFonts w:cs="Courier New"/>
          <w:i/>
          <w:sz w:val="18"/>
        </w:rPr>
        <w:t>Id</w:t>
      </w:r>
      <w:r w:rsidRPr="008E217D">
        <w:rPr>
          <w:rFonts w:cs="Courier New"/>
          <w:sz w:val="18"/>
        </w:rPr>
        <w:t>. at 2.</w:t>
      </w:r>
    </w:p>
  </w:footnote>
  <w:footnote w:id="8">
    <w:p w:rsidR="003C04F1" w:rsidRPr="008E217D" w:rsidRDefault="003C04F1" w:rsidP="008E217D">
      <w:pPr>
        <w:pStyle w:val="FootnoteText"/>
        <w:spacing w:after="120"/>
        <w:rPr>
          <w:sz w:val="18"/>
        </w:rPr>
      </w:pPr>
      <w:r w:rsidRPr="008E217D">
        <w:rPr>
          <w:rStyle w:val="FootnoteReference"/>
          <w:sz w:val="18"/>
        </w:rPr>
        <w:footnoteRef/>
      </w:r>
      <w:r w:rsidRPr="008E217D">
        <w:rPr>
          <w:sz w:val="18"/>
        </w:rPr>
        <w:t xml:space="preserve"> </w:t>
      </w:r>
      <w:r w:rsidRPr="00BF5385">
        <w:rPr>
          <w:rFonts w:cs="Courier New"/>
          <w:i/>
          <w:sz w:val="18"/>
        </w:rPr>
        <w:t>Id</w:t>
      </w:r>
      <w:r w:rsidRPr="008E217D">
        <w:rPr>
          <w:rFonts w:cs="Courier New"/>
          <w:sz w:val="18"/>
        </w:rPr>
        <w:t>. at 12.</w:t>
      </w:r>
    </w:p>
  </w:footnote>
  <w:footnote w:id="9">
    <w:p w:rsidR="003C04F1" w:rsidRPr="008E217D" w:rsidRDefault="003C04F1" w:rsidP="008E217D">
      <w:pPr>
        <w:pStyle w:val="FootnoteText"/>
        <w:spacing w:after="120"/>
        <w:rPr>
          <w:sz w:val="18"/>
        </w:rPr>
      </w:pPr>
      <w:r w:rsidRPr="008E217D">
        <w:rPr>
          <w:rStyle w:val="FootnoteReference"/>
          <w:sz w:val="18"/>
        </w:rPr>
        <w:footnoteRef/>
      </w:r>
      <w:r w:rsidRPr="008E217D">
        <w:rPr>
          <w:sz w:val="18"/>
        </w:rPr>
        <w:t xml:space="preserve"> </w:t>
      </w:r>
      <w:r w:rsidR="00BF5385">
        <w:rPr>
          <w:rFonts w:cs="Courier New"/>
          <w:sz w:val="18"/>
        </w:rPr>
        <w:t>J</w:t>
      </w:r>
      <w:r w:rsidRPr="008E217D">
        <w:rPr>
          <w:rFonts w:cs="Courier New"/>
          <w:sz w:val="18"/>
        </w:rPr>
        <w:t xml:space="preserve">ohn </w:t>
      </w:r>
      <w:r w:rsidR="00BF5385">
        <w:rPr>
          <w:rFonts w:cs="Courier New"/>
          <w:sz w:val="18"/>
        </w:rPr>
        <w:t xml:space="preserve">Dewey, </w:t>
      </w:r>
      <w:r w:rsidR="00BF5385" w:rsidRPr="00BF5385">
        <w:rPr>
          <w:rFonts w:cs="Courier New"/>
          <w:i/>
          <w:sz w:val="18"/>
        </w:rPr>
        <w:t>D</w:t>
      </w:r>
      <w:r w:rsidRPr="00BF5385">
        <w:rPr>
          <w:rFonts w:cs="Courier New"/>
          <w:i/>
          <w:sz w:val="18"/>
        </w:rPr>
        <w:t xml:space="preserve">emocracy and </w:t>
      </w:r>
      <w:r w:rsidR="00BF5385" w:rsidRPr="00BF5385">
        <w:rPr>
          <w:rFonts w:cs="Courier New"/>
          <w:i/>
          <w:sz w:val="18"/>
        </w:rPr>
        <w:t>E</w:t>
      </w:r>
      <w:r w:rsidRPr="00BF5385">
        <w:rPr>
          <w:rFonts w:cs="Courier New"/>
          <w:i/>
          <w:sz w:val="18"/>
        </w:rPr>
        <w:t xml:space="preserve">ducation: an introduction to the </w:t>
      </w:r>
      <w:r w:rsidR="00BF5385" w:rsidRPr="00BF5385">
        <w:rPr>
          <w:rFonts w:cs="Courier New"/>
          <w:i/>
          <w:sz w:val="18"/>
        </w:rPr>
        <w:t>P</w:t>
      </w:r>
      <w:r w:rsidRPr="00BF5385">
        <w:rPr>
          <w:rFonts w:cs="Courier New"/>
          <w:i/>
          <w:sz w:val="18"/>
        </w:rPr>
        <w:t xml:space="preserve">hilosophy of </w:t>
      </w:r>
      <w:r w:rsidR="00BF5385" w:rsidRPr="00BF5385">
        <w:rPr>
          <w:rFonts w:cs="Courier New"/>
          <w:i/>
          <w:sz w:val="18"/>
        </w:rPr>
        <w:t>E</w:t>
      </w:r>
      <w:r w:rsidRPr="00BF5385">
        <w:rPr>
          <w:rFonts w:cs="Courier New"/>
          <w:i/>
          <w:sz w:val="18"/>
        </w:rPr>
        <w:t>ducation</w:t>
      </w:r>
      <w:r w:rsidR="00BF5385">
        <w:rPr>
          <w:rFonts w:cs="Courier New"/>
          <w:sz w:val="18"/>
        </w:rPr>
        <w:t xml:space="preserve"> (1916); J</w:t>
      </w:r>
      <w:r w:rsidRPr="008E217D">
        <w:rPr>
          <w:rFonts w:cs="Courier New"/>
          <w:sz w:val="18"/>
        </w:rPr>
        <w:t xml:space="preserve">ohn </w:t>
      </w:r>
      <w:r w:rsidR="00BF5385">
        <w:rPr>
          <w:rFonts w:cs="Courier New"/>
          <w:sz w:val="18"/>
        </w:rPr>
        <w:t>D</w:t>
      </w:r>
      <w:r w:rsidRPr="008E217D">
        <w:rPr>
          <w:rFonts w:cs="Courier New"/>
          <w:sz w:val="18"/>
        </w:rPr>
        <w:t xml:space="preserve">ewey, </w:t>
      </w:r>
      <w:r w:rsidR="00BF5385" w:rsidRPr="00BF5385">
        <w:rPr>
          <w:rFonts w:cs="Courier New"/>
          <w:i/>
          <w:sz w:val="18"/>
        </w:rPr>
        <w:t>E</w:t>
      </w:r>
      <w:r w:rsidRPr="00BF5385">
        <w:rPr>
          <w:rFonts w:cs="Courier New"/>
          <w:i/>
          <w:sz w:val="18"/>
        </w:rPr>
        <w:t xml:space="preserve">xperience and </w:t>
      </w:r>
      <w:r w:rsidR="00BF5385" w:rsidRPr="00BF5385">
        <w:rPr>
          <w:rFonts w:cs="Courier New"/>
          <w:i/>
          <w:sz w:val="18"/>
        </w:rPr>
        <w:t>E</w:t>
      </w:r>
      <w:r w:rsidRPr="00BF5385">
        <w:rPr>
          <w:rFonts w:cs="Courier New"/>
          <w:i/>
          <w:sz w:val="18"/>
        </w:rPr>
        <w:t>ducation</w:t>
      </w:r>
      <w:r w:rsidRPr="008E217D">
        <w:rPr>
          <w:rFonts w:cs="Courier New"/>
          <w:sz w:val="18"/>
        </w:rPr>
        <w:t xml:space="preserve"> (1938); </w:t>
      </w:r>
      <w:r w:rsidR="00BF5385" w:rsidRPr="00BF5385">
        <w:rPr>
          <w:rFonts w:cs="Courier New"/>
          <w:i/>
          <w:sz w:val="18"/>
        </w:rPr>
        <w:t>T</w:t>
      </w:r>
      <w:r w:rsidRPr="00BF5385">
        <w:rPr>
          <w:rFonts w:cs="Courier New"/>
          <w:i/>
          <w:sz w:val="18"/>
        </w:rPr>
        <w:t xml:space="preserve">he </w:t>
      </w:r>
      <w:r w:rsidR="00BF5385" w:rsidRPr="00BF5385">
        <w:rPr>
          <w:rFonts w:cs="Courier New"/>
          <w:i/>
          <w:sz w:val="18"/>
        </w:rPr>
        <w:t>E</w:t>
      </w:r>
      <w:r w:rsidRPr="00BF5385">
        <w:rPr>
          <w:rFonts w:cs="Courier New"/>
          <w:i/>
          <w:sz w:val="18"/>
        </w:rPr>
        <w:t xml:space="preserve">ssential </w:t>
      </w:r>
      <w:r w:rsidR="00BF5385" w:rsidRPr="00BF5385">
        <w:rPr>
          <w:rFonts w:cs="Courier New"/>
          <w:i/>
          <w:sz w:val="18"/>
        </w:rPr>
        <w:t>Dewey: volume 1, P</w:t>
      </w:r>
      <w:r w:rsidRPr="00BF5385">
        <w:rPr>
          <w:rFonts w:cs="Courier New"/>
          <w:i/>
          <w:sz w:val="18"/>
        </w:rPr>
        <w:t xml:space="preserve">ragmatism, </w:t>
      </w:r>
      <w:r w:rsidR="00BF5385" w:rsidRPr="00BF5385">
        <w:rPr>
          <w:rFonts w:cs="Courier New"/>
          <w:i/>
          <w:sz w:val="18"/>
        </w:rPr>
        <w:t>E</w:t>
      </w:r>
      <w:r w:rsidRPr="00BF5385">
        <w:rPr>
          <w:rFonts w:cs="Courier New"/>
          <w:i/>
          <w:sz w:val="18"/>
        </w:rPr>
        <w:t xml:space="preserve">ducation, </w:t>
      </w:r>
      <w:r w:rsidR="00BF5385" w:rsidRPr="00BF5385">
        <w:rPr>
          <w:rFonts w:cs="Courier New"/>
          <w:i/>
          <w:sz w:val="18"/>
        </w:rPr>
        <w:t>D</w:t>
      </w:r>
      <w:r w:rsidRPr="00BF5385">
        <w:rPr>
          <w:rFonts w:cs="Courier New"/>
          <w:i/>
          <w:sz w:val="18"/>
        </w:rPr>
        <w:t>emocracy</w:t>
      </w:r>
      <w:r w:rsidRPr="008E217D">
        <w:rPr>
          <w:rFonts w:cs="Courier New"/>
          <w:sz w:val="18"/>
        </w:rPr>
        <w:t xml:space="preserve"> (Larry A. Hickman &amp; Thomas A. Alexander eds. 1998).</w:t>
      </w:r>
    </w:p>
  </w:footnote>
  <w:footnote w:id="10">
    <w:p w:rsidR="003C04F1" w:rsidRPr="008E217D" w:rsidRDefault="003C04F1" w:rsidP="008E217D">
      <w:pPr>
        <w:pStyle w:val="FootnoteText"/>
        <w:spacing w:after="120"/>
        <w:rPr>
          <w:sz w:val="18"/>
        </w:rPr>
      </w:pPr>
      <w:r w:rsidRPr="008E217D">
        <w:rPr>
          <w:rStyle w:val="FootnoteReference"/>
          <w:sz w:val="18"/>
        </w:rPr>
        <w:footnoteRef/>
      </w:r>
      <w:r w:rsidRPr="008E217D">
        <w:rPr>
          <w:sz w:val="18"/>
        </w:rPr>
        <w:t xml:space="preserve"> </w:t>
      </w:r>
      <w:r w:rsidRPr="00BF5385">
        <w:rPr>
          <w:rFonts w:cs="Courier New"/>
          <w:i/>
          <w:sz w:val="18"/>
        </w:rPr>
        <w:t>Categories</w:t>
      </w:r>
      <w:r w:rsidRPr="008E217D">
        <w:rPr>
          <w:rFonts w:cs="Courier New"/>
          <w:sz w:val="18"/>
        </w:rPr>
        <w:t xml:space="preserve">, </w:t>
      </w:r>
      <w:r w:rsidRPr="00BF5385">
        <w:rPr>
          <w:rFonts w:cs="Courier New"/>
          <w:i/>
          <w:sz w:val="18"/>
        </w:rPr>
        <w:t>supra</w:t>
      </w:r>
      <w:r w:rsidRPr="008E217D">
        <w:rPr>
          <w:rFonts w:cs="Courier New"/>
          <w:sz w:val="18"/>
        </w:rPr>
        <w:t xml:space="preserve"> n. 6, at 11.</w:t>
      </w:r>
    </w:p>
  </w:footnote>
  <w:footnote w:id="11">
    <w:p w:rsidR="003C04F1" w:rsidRPr="008E217D" w:rsidRDefault="003C04F1" w:rsidP="008E217D">
      <w:pPr>
        <w:pStyle w:val="FootnoteText"/>
        <w:spacing w:after="120"/>
        <w:rPr>
          <w:sz w:val="18"/>
        </w:rPr>
      </w:pPr>
      <w:r w:rsidRPr="008E217D">
        <w:rPr>
          <w:rStyle w:val="FootnoteReference"/>
          <w:sz w:val="18"/>
        </w:rPr>
        <w:footnoteRef/>
      </w:r>
      <w:r w:rsidRPr="008E217D">
        <w:rPr>
          <w:sz w:val="18"/>
        </w:rPr>
        <w:t xml:space="preserve"> </w:t>
      </w:r>
      <w:r w:rsidRPr="008E217D">
        <w:rPr>
          <w:rFonts w:cs="Courier New"/>
          <w:sz w:val="18"/>
        </w:rPr>
        <w:t xml:space="preserve">Frank S. Bloch, </w:t>
      </w:r>
      <w:r w:rsidRPr="00BF5385">
        <w:rPr>
          <w:rFonts w:cs="Courier New"/>
          <w:i/>
          <w:sz w:val="18"/>
        </w:rPr>
        <w:t>The Case for Clinical Scholarship</w:t>
      </w:r>
      <w:r w:rsidRPr="008E217D">
        <w:rPr>
          <w:rFonts w:cs="Courier New"/>
          <w:sz w:val="18"/>
        </w:rPr>
        <w:t>, 6 Int’l J. Clinical Educ. 7 (2004) (“There is an inherent tension in legal education between its academic and professional missions, sometimes characterized as a conflict between theory and practice.”).</w:t>
      </w:r>
    </w:p>
  </w:footnote>
  <w:footnote w:id="12">
    <w:p w:rsidR="003C04F1" w:rsidRPr="008E217D" w:rsidRDefault="003C04F1" w:rsidP="008E217D">
      <w:pPr>
        <w:pStyle w:val="FootnoteText"/>
        <w:spacing w:after="120"/>
        <w:rPr>
          <w:sz w:val="18"/>
        </w:rPr>
      </w:pPr>
      <w:r w:rsidRPr="008E217D">
        <w:rPr>
          <w:rStyle w:val="FootnoteReference"/>
          <w:sz w:val="18"/>
        </w:rPr>
        <w:footnoteRef/>
      </w:r>
      <w:r w:rsidRPr="008E217D">
        <w:rPr>
          <w:sz w:val="18"/>
        </w:rPr>
        <w:t xml:space="preserve"> </w:t>
      </w:r>
      <w:r w:rsidRPr="008E217D">
        <w:rPr>
          <w:rFonts w:cs="Courier New"/>
          <w:sz w:val="18"/>
        </w:rPr>
        <w:t xml:space="preserve">Peter A. Joy, </w:t>
      </w:r>
      <w:r w:rsidRPr="00BF5385">
        <w:rPr>
          <w:rFonts w:cs="Courier New"/>
          <w:i/>
          <w:sz w:val="18"/>
        </w:rPr>
        <w:t>Clinical Scholarship: Improving the Practice of Law</w:t>
      </w:r>
      <w:r w:rsidRPr="008E217D">
        <w:rPr>
          <w:rFonts w:cs="Courier New"/>
          <w:sz w:val="18"/>
        </w:rPr>
        <w:t>, 2 Clinical L. Rev. 385, 394 (1996) (“. . . [T]here is an inherent tension between [teaching and scholarship], especially for clinical teachers.”).</w:t>
      </w:r>
    </w:p>
  </w:footnote>
  <w:footnote w:id="13">
    <w:p w:rsidR="003C04F1" w:rsidRPr="008E217D" w:rsidRDefault="003C04F1" w:rsidP="008E217D">
      <w:pPr>
        <w:pStyle w:val="FootnoteText"/>
        <w:spacing w:after="120"/>
        <w:rPr>
          <w:sz w:val="18"/>
        </w:rPr>
      </w:pPr>
      <w:r w:rsidRPr="008E217D">
        <w:rPr>
          <w:rStyle w:val="FootnoteReference"/>
          <w:sz w:val="18"/>
        </w:rPr>
        <w:footnoteRef/>
      </w:r>
      <w:r w:rsidRPr="008E217D">
        <w:rPr>
          <w:sz w:val="18"/>
        </w:rPr>
        <w:t xml:space="preserve"> </w:t>
      </w:r>
      <w:r w:rsidRPr="008E217D">
        <w:rPr>
          <w:rFonts w:cs="Courier New"/>
          <w:sz w:val="18"/>
        </w:rPr>
        <w:t xml:space="preserve">Rev. Paul R. Abernathy, rector of St. Mark’s, sets out the basic tenets in </w:t>
      </w:r>
      <w:r w:rsidRPr="008D7A18">
        <w:rPr>
          <w:rFonts w:cs="Courier New"/>
          <w:i/>
          <w:sz w:val="18"/>
        </w:rPr>
        <w:t>Introduction to Functional Education: Theological Underpinnings of St. Mark’s Christian Education Program</w:t>
      </w:r>
      <w:r w:rsidRPr="008E217D">
        <w:rPr>
          <w:rFonts w:cs="Courier New"/>
          <w:sz w:val="18"/>
        </w:rPr>
        <w:t xml:space="preserve">, </w:t>
      </w:r>
      <w:hyperlink r:id="rId1" w:history="1">
        <w:r w:rsidRPr="008D7A18">
          <w:rPr>
            <w:rStyle w:val="Hyperlink"/>
            <w:rFonts w:cs="Courier New"/>
            <w:color w:val="auto"/>
            <w:sz w:val="18"/>
            <w:u w:val="none"/>
          </w:rPr>
          <w:t>http://www.stmarks.net/christian_ed/functional_education/intro.html</w:t>
        </w:r>
      </w:hyperlink>
      <w:r w:rsidRPr="008E217D">
        <w:rPr>
          <w:rFonts w:cs="Courier New"/>
          <w:sz w:val="18"/>
        </w:rPr>
        <w:t xml:space="preserve"> (last visited on April 7, 2010).</w:t>
      </w:r>
    </w:p>
  </w:footnote>
  <w:footnote w:id="14">
    <w:p w:rsidR="003C04F1" w:rsidRPr="008E217D" w:rsidRDefault="003C04F1" w:rsidP="008E217D">
      <w:pPr>
        <w:suppressAutoHyphens/>
        <w:autoSpaceDE w:val="0"/>
        <w:autoSpaceDN w:val="0"/>
        <w:adjustRightInd w:val="0"/>
        <w:spacing w:after="120" w:line="240" w:lineRule="auto"/>
        <w:rPr>
          <w:rFonts w:cs="Courier New"/>
          <w:sz w:val="18"/>
        </w:rPr>
      </w:pPr>
      <w:r w:rsidRPr="008E217D">
        <w:rPr>
          <w:rStyle w:val="FootnoteReference"/>
          <w:sz w:val="18"/>
        </w:rPr>
        <w:footnoteRef/>
      </w:r>
      <w:r w:rsidRPr="008E217D">
        <w:rPr>
          <w:sz w:val="18"/>
        </w:rPr>
        <w:t xml:space="preserve"> </w:t>
      </w:r>
      <w:r w:rsidRPr="008E217D">
        <w:rPr>
          <w:rFonts w:cs="Courier New"/>
          <w:sz w:val="18"/>
        </w:rPr>
        <w:t xml:space="preserve">Abernathy, </w:t>
      </w:r>
      <w:r w:rsidRPr="008D7A18">
        <w:rPr>
          <w:rFonts w:cs="Courier New"/>
          <w:i/>
          <w:sz w:val="18"/>
        </w:rPr>
        <w:t>supra</w:t>
      </w:r>
      <w:r w:rsidRPr="008E217D">
        <w:rPr>
          <w:rFonts w:cs="Courier New"/>
          <w:sz w:val="18"/>
        </w:rPr>
        <w:t xml:space="preserve"> n. 4.</w:t>
      </w:r>
    </w:p>
  </w:footnote>
  <w:footnote w:id="15">
    <w:p w:rsidR="003C04F1" w:rsidRPr="008E217D" w:rsidRDefault="003C04F1" w:rsidP="008E217D">
      <w:pPr>
        <w:pStyle w:val="FootnoteText"/>
        <w:spacing w:after="120"/>
        <w:rPr>
          <w:sz w:val="18"/>
        </w:rPr>
      </w:pPr>
      <w:r w:rsidRPr="008E217D">
        <w:rPr>
          <w:rStyle w:val="FootnoteReference"/>
          <w:sz w:val="18"/>
        </w:rPr>
        <w:footnoteRef/>
      </w:r>
      <w:r w:rsidRPr="008E217D">
        <w:rPr>
          <w:sz w:val="18"/>
        </w:rPr>
        <w:t xml:space="preserve"> </w:t>
      </w:r>
      <w:r w:rsidR="008D7A18">
        <w:rPr>
          <w:rFonts w:cs="Courier New"/>
          <w:sz w:val="18"/>
        </w:rPr>
        <w:t>Robert C. Solomon</w:t>
      </w:r>
      <w:r w:rsidRPr="008E217D">
        <w:rPr>
          <w:rFonts w:cs="Courier New"/>
          <w:sz w:val="18"/>
        </w:rPr>
        <w:t xml:space="preserve">, </w:t>
      </w:r>
      <w:r w:rsidR="008D7A18" w:rsidRPr="008D7A18">
        <w:rPr>
          <w:rFonts w:cs="Courier New"/>
          <w:i/>
          <w:sz w:val="18"/>
        </w:rPr>
        <w:t>Existentialism</w:t>
      </w:r>
      <w:r w:rsidRPr="008E217D">
        <w:rPr>
          <w:rFonts w:cs="Courier New"/>
          <w:sz w:val="18"/>
        </w:rPr>
        <w:t xml:space="preserve"> 2-28 (2D ED. 2004).</w:t>
      </w:r>
    </w:p>
  </w:footnote>
  <w:footnote w:id="16">
    <w:p w:rsidR="003C04F1" w:rsidRPr="008E217D" w:rsidRDefault="003C04F1" w:rsidP="008E217D">
      <w:pPr>
        <w:pStyle w:val="FootnoteText"/>
        <w:spacing w:after="120"/>
        <w:rPr>
          <w:sz w:val="18"/>
        </w:rPr>
      </w:pPr>
      <w:r w:rsidRPr="008E217D">
        <w:rPr>
          <w:rStyle w:val="FootnoteReference"/>
          <w:sz w:val="18"/>
        </w:rPr>
        <w:footnoteRef/>
      </w:r>
      <w:r w:rsidRPr="008E217D">
        <w:rPr>
          <w:sz w:val="18"/>
        </w:rPr>
        <w:t xml:space="preserve"> </w:t>
      </w:r>
      <w:r w:rsidRPr="008E217D">
        <w:rPr>
          <w:rFonts w:cs="Courier New"/>
          <w:sz w:val="18"/>
        </w:rPr>
        <w:t xml:space="preserve">See, e.g., Maurice R. Green, </w:t>
      </w:r>
      <w:r w:rsidRPr="008D7A18">
        <w:rPr>
          <w:rFonts w:cs="Courier New"/>
          <w:i/>
          <w:sz w:val="18"/>
        </w:rPr>
        <w:t>Anticipation, Hope, and Despair</w:t>
      </w:r>
      <w:r w:rsidRPr="008E217D">
        <w:rPr>
          <w:rFonts w:cs="Courier New"/>
          <w:sz w:val="18"/>
        </w:rPr>
        <w:t xml:space="preserve">, 5 J. Am. Acad. Psychoanalysis 215 (1977); Julius E. Heuscher, </w:t>
      </w:r>
      <w:r w:rsidRPr="008D7A18">
        <w:rPr>
          <w:rFonts w:cs="Courier New"/>
          <w:i/>
          <w:sz w:val="18"/>
        </w:rPr>
        <w:t>Inauthenticity, Flight from Freedom, Despair</w:t>
      </w:r>
      <w:r w:rsidRPr="008E217D">
        <w:rPr>
          <w:rFonts w:cs="Courier New"/>
          <w:sz w:val="18"/>
        </w:rPr>
        <w:t>, 36 Am. J. Psychoanalysis 4 (1976) (using the language from the units, and quoting extensively from the existentialists). The former rector of St. Mark’s, Rev. James Adams, vividly demonstrates the unorthodox theology of St. Mark’s by pointing to LSD research that demonstrates another paradigm of the class experience, found in the work of Dr. Stanislav Grof, T</w:t>
      </w:r>
      <w:r w:rsidRPr="008D7A18">
        <w:rPr>
          <w:rFonts w:cs="Courier New"/>
          <w:i/>
          <w:sz w:val="18"/>
        </w:rPr>
        <w:t>heoretical and Empirical Basis of Transpersonal Psychology and Psychotherapy: Observations from LSD Research</w:t>
      </w:r>
      <w:r w:rsidRPr="008E217D">
        <w:rPr>
          <w:rFonts w:cs="Courier New"/>
          <w:sz w:val="18"/>
        </w:rPr>
        <w:t>, 5 J. Trans-Personal Psych. 15 (1973), cited in J</w:t>
      </w:r>
      <w:r w:rsidR="008D7A18">
        <w:rPr>
          <w:rFonts w:cs="Courier New"/>
          <w:sz w:val="18"/>
        </w:rPr>
        <w:t>ames</w:t>
      </w:r>
      <w:r w:rsidRPr="008E217D">
        <w:rPr>
          <w:rFonts w:cs="Courier New"/>
          <w:sz w:val="18"/>
        </w:rPr>
        <w:t xml:space="preserve"> R. A</w:t>
      </w:r>
      <w:r w:rsidR="008D7A18">
        <w:rPr>
          <w:rFonts w:cs="Courier New"/>
          <w:sz w:val="18"/>
        </w:rPr>
        <w:t>dams</w:t>
      </w:r>
      <w:r w:rsidRPr="008E217D">
        <w:rPr>
          <w:rFonts w:cs="Courier New"/>
          <w:sz w:val="18"/>
        </w:rPr>
        <w:t xml:space="preserve"> &amp; C</w:t>
      </w:r>
      <w:r w:rsidR="008D7A18">
        <w:rPr>
          <w:rFonts w:cs="Courier New"/>
          <w:sz w:val="18"/>
        </w:rPr>
        <w:t>elia</w:t>
      </w:r>
      <w:r w:rsidRPr="008E217D">
        <w:rPr>
          <w:rFonts w:cs="Courier New"/>
          <w:sz w:val="18"/>
        </w:rPr>
        <w:t xml:space="preserve"> A</w:t>
      </w:r>
      <w:r w:rsidR="008D7A18">
        <w:rPr>
          <w:rFonts w:cs="Courier New"/>
          <w:sz w:val="18"/>
        </w:rPr>
        <w:t>llison</w:t>
      </w:r>
      <w:r w:rsidRPr="008E217D">
        <w:rPr>
          <w:rFonts w:cs="Courier New"/>
          <w:sz w:val="18"/>
        </w:rPr>
        <w:t xml:space="preserve"> H</w:t>
      </w:r>
      <w:r w:rsidR="008D7A18">
        <w:rPr>
          <w:rFonts w:cs="Courier New"/>
          <w:sz w:val="18"/>
        </w:rPr>
        <w:t>ahn</w:t>
      </w:r>
      <w:r w:rsidRPr="008E217D">
        <w:rPr>
          <w:rFonts w:cs="Courier New"/>
          <w:sz w:val="18"/>
        </w:rPr>
        <w:t xml:space="preserve">, </w:t>
      </w:r>
      <w:r w:rsidRPr="008D7A18">
        <w:rPr>
          <w:rFonts w:cs="Courier New"/>
          <w:i/>
          <w:sz w:val="18"/>
        </w:rPr>
        <w:t>A W</w:t>
      </w:r>
      <w:r w:rsidR="008D7A18" w:rsidRPr="008D7A18">
        <w:rPr>
          <w:rFonts w:cs="Courier New"/>
          <w:i/>
          <w:sz w:val="18"/>
        </w:rPr>
        <w:t>ay To Belong</w:t>
      </w:r>
      <w:r w:rsidRPr="008E217D">
        <w:rPr>
          <w:rFonts w:cs="Courier New"/>
          <w:sz w:val="18"/>
        </w:rPr>
        <w:t xml:space="preserve"> (1980), at 55, n. 4 (using the “trauma of birth” to demonstrate four stages of development: “primal union with the mother, antagonism, synergism, and finally repartition from the mother.”).</w:t>
      </w:r>
    </w:p>
  </w:footnote>
  <w:footnote w:id="17">
    <w:p w:rsidR="003C04F1" w:rsidRPr="008E217D" w:rsidRDefault="003C04F1" w:rsidP="008E217D">
      <w:pPr>
        <w:pStyle w:val="FootnoteText"/>
        <w:spacing w:after="120"/>
        <w:rPr>
          <w:sz w:val="18"/>
        </w:rPr>
      </w:pPr>
      <w:r w:rsidRPr="008E217D">
        <w:rPr>
          <w:rStyle w:val="FootnoteReference"/>
          <w:sz w:val="18"/>
        </w:rPr>
        <w:footnoteRef/>
      </w:r>
      <w:r w:rsidRPr="008E217D">
        <w:rPr>
          <w:sz w:val="18"/>
        </w:rPr>
        <w:t xml:space="preserve"> </w:t>
      </w:r>
      <w:r w:rsidRPr="008E217D">
        <w:rPr>
          <w:rFonts w:cs="Courier New"/>
          <w:sz w:val="18"/>
        </w:rPr>
        <w:t xml:space="preserve">See generally, Yehudah Zeilberger, </w:t>
      </w:r>
      <w:r w:rsidRPr="008D7A18">
        <w:rPr>
          <w:rFonts w:cs="Courier New"/>
          <w:i/>
          <w:sz w:val="18"/>
        </w:rPr>
        <w:t>Functional Education</w:t>
      </w:r>
      <w:r w:rsidRPr="008E217D">
        <w:rPr>
          <w:rFonts w:cs="Courier New"/>
          <w:sz w:val="18"/>
        </w:rPr>
        <w:t>, (translated from Hebrew, originally an entry in the Educational Encyclopedia (Jerusalem, Israel 1961)), http://www.math.rutgers.edu/~zeilberg/family/EncKhi1.html (last visited on April 8, 2010).</w:t>
      </w:r>
    </w:p>
  </w:footnote>
  <w:footnote w:id="18">
    <w:p w:rsidR="003C04F1" w:rsidRPr="008E217D" w:rsidRDefault="003C04F1" w:rsidP="008E217D">
      <w:pPr>
        <w:pStyle w:val="FootnoteText"/>
        <w:spacing w:after="120"/>
        <w:rPr>
          <w:sz w:val="18"/>
        </w:rPr>
      </w:pPr>
      <w:r w:rsidRPr="008E217D">
        <w:rPr>
          <w:rStyle w:val="FootnoteReference"/>
          <w:sz w:val="18"/>
        </w:rPr>
        <w:footnoteRef/>
      </w:r>
      <w:r w:rsidRPr="008E217D">
        <w:rPr>
          <w:sz w:val="18"/>
        </w:rPr>
        <w:t xml:space="preserve"> </w:t>
      </w:r>
      <w:r w:rsidRPr="008E217D">
        <w:rPr>
          <w:rFonts w:cs="Courier New"/>
          <w:sz w:val="18"/>
        </w:rPr>
        <w:t xml:space="preserve">John C. Flanagan, </w:t>
      </w:r>
      <w:r w:rsidRPr="008D7A18">
        <w:rPr>
          <w:rFonts w:cs="Courier New"/>
          <w:i/>
          <w:sz w:val="18"/>
        </w:rPr>
        <w:t>Functional Education for the Seventies</w:t>
      </w:r>
      <w:r w:rsidRPr="008E217D">
        <w:rPr>
          <w:rFonts w:cs="Courier New"/>
          <w:sz w:val="18"/>
        </w:rPr>
        <w:t>, 49 The Phi Delta Kappan 27 (Sept. 1967).</w:t>
      </w:r>
    </w:p>
  </w:footnote>
  <w:footnote w:id="19">
    <w:p w:rsidR="003C04F1" w:rsidRPr="008E217D" w:rsidRDefault="003C04F1" w:rsidP="008E217D">
      <w:pPr>
        <w:pStyle w:val="FootnoteText"/>
        <w:spacing w:after="120"/>
        <w:rPr>
          <w:sz w:val="18"/>
        </w:rPr>
      </w:pPr>
      <w:r w:rsidRPr="008E217D">
        <w:rPr>
          <w:rStyle w:val="FootnoteReference"/>
          <w:sz w:val="18"/>
        </w:rPr>
        <w:footnoteRef/>
      </w:r>
      <w:r w:rsidRPr="008E217D">
        <w:rPr>
          <w:sz w:val="18"/>
        </w:rPr>
        <w:t xml:space="preserve"> </w:t>
      </w:r>
      <w:r w:rsidRPr="008E217D">
        <w:rPr>
          <w:rFonts w:cs="Courier New"/>
          <w:sz w:val="18"/>
        </w:rPr>
        <w:t xml:space="preserve">P. Udagama, </w:t>
      </w:r>
      <w:r w:rsidRPr="008D7A18">
        <w:rPr>
          <w:rFonts w:cs="Courier New"/>
          <w:i/>
          <w:sz w:val="18"/>
        </w:rPr>
        <w:t>Basic Functional Education: Concepts and Approaches</w:t>
      </w:r>
      <w:r w:rsidRPr="008E217D">
        <w:rPr>
          <w:rFonts w:cs="Courier New"/>
          <w:sz w:val="18"/>
        </w:rPr>
        <w:t xml:space="preserve"> (UNESCO, May 1976), at 13.</w:t>
      </w:r>
    </w:p>
  </w:footnote>
  <w:footnote w:id="20">
    <w:p w:rsidR="003C04F1" w:rsidRPr="008E217D" w:rsidRDefault="003C04F1" w:rsidP="008E217D">
      <w:pPr>
        <w:pStyle w:val="FootnoteText"/>
        <w:spacing w:after="120"/>
        <w:rPr>
          <w:sz w:val="18"/>
        </w:rPr>
      </w:pPr>
      <w:r w:rsidRPr="008E217D">
        <w:rPr>
          <w:rStyle w:val="FootnoteReference"/>
          <w:sz w:val="18"/>
        </w:rPr>
        <w:footnoteRef/>
      </w:r>
      <w:r w:rsidRPr="008E217D">
        <w:rPr>
          <w:sz w:val="18"/>
        </w:rPr>
        <w:t xml:space="preserve"> </w:t>
      </w:r>
      <w:r w:rsidRPr="008E217D">
        <w:rPr>
          <w:rFonts w:cs="Courier New"/>
          <w:sz w:val="18"/>
        </w:rPr>
        <w:t xml:space="preserve">Mohammed Rafi, </w:t>
      </w:r>
      <w:r w:rsidRPr="008D7A18">
        <w:rPr>
          <w:rFonts w:cs="Courier New"/>
          <w:i/>
          <w:sz w:val="18"/>
        </w:rPr>
        <w:t>Freire and Experiments in Conscientisation in a Bangladesh Village</w:t>
      </w:r>
      <w:r w:rsidRPr="008E217D">
        <w:rPr>
          <w:rFonts w:cs="Courier New"/>
          <w:sz w:val="18"/>
        </w:rPr>
        <w:t>, 38 Econ. &amp; Political Weekly 3908, 3909-10 (Sept. 13-19, 2003). “Conscientisation” is the practice of raising consciousness of groups through education, in this case accomplished through the work of a large human rights NGO using a functional education program.</w:t>
      </w:r>
    </w:p>
  </w:footnote>
  <w:footnote w:id="21">
    <w:p w:rsidR="00B17C97" w:rsidRPr="008E217D" w:rsidRDefault="00B17C97" w:rsidP="008E217D">
      <w:pPr>
        <w:pStyle w:val="FootnoteText"/>
        <w:spacing w:after="120"/>
        <w:rPr>
          <w:sz w:val="18"/>
        </w:rPr>
      </w:pPr>
      <w:r w:rsidRPr="008E217D">
        <w:rPr>
          <w:rStyle w:val="FootnoteReference"/>
          <w:sz w:val="18"/>
        </w:rPr>
        <w:footnoteRef/>
      </w:r>
      <w:r w:rsidRPr="008E217D">
        <w:rPr>
          <w:sz w:val="18"/>
        </w:rPr>
        <w:t xml:space="preserve"> </w:t>
      </w:r>
      <w:r w:rsidRPr="008E217D">
        <w:rPr>
          <w:rFonts w:cs="Courier New"/>
          <w:sz w:val="18"/>
        </w:rPr>
        <w:t xml:space="preserve">I have recognized and promoted the influence of Freire repeatedly in my writing on educational macro-theory using active and engaged teaching and learning methods, particularly in Latin America, but wherever oppressed people gather to learn. Richard J. Wilson, </w:t>
      </w:r>
      <w:r w:rsidRPr="008D7A18">
        <w:rPr>
          <w:rFonts w:cs="Courier New"/>
          <w:i/>
          <w:sz w:val="18"/>
        </w:rPr>
        <w:t>The New Legal Education in North and South America</w:t>
      </w:r>
      <w:r w:rsidRPr="008E217D">
        <w:rPr>
          <w:rFonts w:cs="Courier New"/>
          <w:sz w:val="18"/>
        </w:rPr>
        <w:t>, 25 Stan. J. Int’l L. 375, 424-427 (1988-1989); R</w:t>
      </w:r>
      <w:r w:rsidR="008D7A18">
        <w:rPr>
          <w:rFonts w:cs="Courier New"/>
          <w:sz w:val="18"/>
        </w:rPr>
        <w:t>ichard</w:t>
      </w:r>
      <w:r w:rsidRPr="008E217D">
        <w:rPr>
          <w:rFonts w:cs="Courier New"/>
          <w:sz w:val="18"/>
        </w:rPr>
        <w:t xml:space="preserve"> J. W</w:t>
      </w:r>
      <w:r w:rsidR="008D7A18">
        <w:rPr>
          <w:rFonts w:cs="Courier New"/>
          <w:sz w:val="18"/>
        </w:rPr>
        <w:t>ilson</w:t>
      </w:r>
      <w:r w:rsidRPr="008E217D">
        <w:rPr>
          <w:rFonts w:cs="Courier New"/>
          <w:sz w:val="18"/>
        </w:rPr>
        <w:t xml:space="preserve">, </w:t>
      </w:r>
      <w:r w:rsidR="008D7A18" w:rsidRPr="008D7A18">
        <w:rPr>
          <w:rFonts w:cs="Courier New"/>
          <w:i/>
          <w:sz w:val="18"/>
        </w:rPr>
        <w:t xml:space="preserve">Access to Justice: An Issue Paper for USAID and Legal Services Providers </w:t>
      </w:r>
      <w:r w:rsidRPr="008D7A18">
        <w:rPr>
          <w:rFonts w:cs="Courier New"/>
          <w:i/>
          <w:sz w:val="18"/>
        </w:rPr>
        <w:t>3</w:t>
      </w:r>
      <w:r w:rsidRPr="008E217D">
        <w:rPr>
          <w:rFonts w:cs="Courier New"/>
          <w:sz w:val="18"/>
        </w:rPr>
        <w:t xml:space="preserve"> (USAID, 1995); Richard J. Wilson, </w:t>
      </w:r>
      <w:r w:rsidRPr="008D7A18">
        <w:rPr>
          <w:rFonts w:cs="Courier New"/>
          <w:i/>
          <w:sz w:val="18"/>
        </w:rPr>
        <w:t>Beyond Legal Imperialism: U.S. Clinical Legal Education and the New Law and Development</w:t>
      </w:r>
      <w:r w:rsidRPr="008E217D">
        <w:rPr>
          <w:rFonts w:cs="Courier New"/>
          <w:sz w:val="18"/>
        </w:rPr>
        <w:t xml:space="preserve">, in </w:t>
      </w:r>
      <w:r w:rsidR="008D7A18">
        <w:rPr>
          <w:rFonts w:cs="Courier New"/>
          <w:sz w:val="18"/>
        </w:rPr>
        <w:t>The Global Clinical Movement: Educating Lawyers for Social Justice</w:t>
      </w:r>
      <w:r w:rsidRPr="008E217D">
        <w:rPr>
          <w:rFonts w:cs="Courier New"/>
          <w:sz w:val="18"/>
        </w:rPr>
        <w:t xml:space="preserve"> (Frank Bloch ed., 2010).</w:t>
      </w:r>
    </w:p>
  </w:footnote>
  <w:footnote w:id="22">
    <w:p w:rsidR="00B17C97" w:rsidRPr="008E217D" w:rsidRDefault="00B17C97" w:rsidP="008E217D">
      <w:pPr>
        <w:pStyle w:val="FootnoteText"/>
        <w:spacing w:after="120"/>
        <w:rPr>
          <w:sz w:val="18"/>
        </w:rPr>
      </w:pPr>
      <w:r w:rsidRPr="008E217D">
        <w:rPr>
          <w:rStyle w:val="FootnoteReference"/>
          <w:sz w:val="18"/>
        </w:rPr>
        <w:footnoteRef/>
      </w:r>
      <w:r w:rsidRPr="008E217D">
        <w:rPr>
          <w:sz w:val="18"/>
        </w:rPr>
        <w:t xml:space="preserve"> </w:t>
      </w:r>
      <w:r w:rsidR="008D7A18" w:rsidRPr="008E217D">
        <w:rPr>
          <w:rFonts w:cs="Courier New"/>
          <w:sz w:val="18"/>
        </w:rPr>
        <w:t>J</w:t>
      </w:r>
      <w:r w:rsidR="008D7A18">
        <w:rPr>
          <w:rFonts w:cs="Courier New"/>
          <w:sz w:val="18"/>
        </w:rPr>
        <w:t>ames</w:t>
      </w:r>
      <w:r w:rsidR="008D7A18" w:rsidRPr="008E217D">
        <w:rPr>
          <w:rFonts w:cs="Courier New"/>
          <w:sz w:val="18"/>
        </w:rPr>
        <w:t xml:space="preserve"> R. A</w:t>
      </w:r>
      <w:r w:rsidR="008D7A18">
        <w:rPr>
          <w:rFonts w:cs="Courier New"/>
          <w:sz w:val="18"/>
        </w:rPr>
        <w:t>dams</w:t>
      </w:r>
      <w:r w:rsidR="008D7A18" w:rsidRPr="008E217D">
        <w:rPr>
          <w:rFonts w:cs="Courier New"/>
          <w:sz w:val="18"/>
        </w:rPr>
        <w:t xml:space="preserve"> &amp; C</w:t>
      </w:r>
      <w:r w:rsidR="008D7A18">
        <w:rPr>
          <w:rFonts w:cs="Courier New"/>
          <w:sz w:val="18"/>
        </w:rPr>
        <w:t>elia</w:t>
      </w:r>
      <w:r w:rsidR="008D7A18" w:rsidRPr="008E217D">
        <w:rPr>
          <w:rFonts w:cs="Courier New"/>
          <w:sz w:val="18"/>
        </w:rPr>
        <w:t xml:space="preserve"> A</w:t>
      </w:r>
      <w:r w:rsidR="008D7A18">
        <w:rPr>
          <w:rFonts w:cs="Courier New"/>
          <w:sz w:val="18"/>
        </w:rPr>
        <w:t>llison</w:t>
      </w:r>
      <w:r w:rsidR="008D7A18" w:rsidRPr="008E217D">
        <w:rPr>
          <w:rFonts w:cs="Courier New"/>
          <w:sz w:val="18"/>
        </w:rPr>
        <w:t xml:space="preserve"> H</w:t>
      </w:r>
      <w:r w:rsidR="008D7A18">
        <w:rPr>
          <w:rFonts w:cs="Courier New"/>
          <w:sz w:val="18"/>
        </w:rPr>
        <w:t>ahn</w:t>
      </w:r>
      <w:r w:rsidR="008D7A18" w:rsidRPr="008E217D">
        <w:rPr>
          <w:rFonts w:cs="Courier New"/>
          <w:sz w:val="18"/>
        </w:rPr>
        <w:t xml:space="preserve">, </w:t>
      </w:r>
      <w:r w:rsidR="008D7A18" w:rsidRPr="008D7A18">
        <w:rPr>
          <w:rFonts w:cs="Courier New"/>
          <w:i/>
          <w:sz w:val="18"/>
        </w:rPr>
        <w:t>A Way To Belong</w:t>
      </w:r>
      <w:r w:rsidR="008D7A18" w:rsidRPr="008E217D">
        <w:rPr>
          <w:rFonts w:cs="Courier New"/>
          <w:sz w:val="18"/>
        </w:rPr>
        <w:t xml:space="preserve"> </w:t>
      </w:r>
      <w:r w:rsidRPr="008E217D">
        <w:rPr>
          <w:rFonts w:cs="Courier New"/>
          <w:sz w:val="18"/>
        </w:rPr>
        <w:t>(1980).</w:t>
      </w:r>
    </w:p>
  </w:footnote>
  <w:footnote w:id="23">
    <w:p w:rsidR="00B17C97" w:rsidRPr="008E217D" w:rsidRDefault="00B17C97" w:rsidP="008E217D">
      <w:pPr>
        <w:pStyle w:val="FootnoteText"/>
        <w:spacing w:after="120"/>
        <w:rPr>
          <w:sz w:val="18"/>
        </w:rPr>
      </w:pPr>
      <w:r w:rsidRPr="008E217D">
        <w:rPr>
          <w:rStyle w:val="FootnoteReference"/>
          <w:sz w:val="18"/>
        </w:rPr>
        <w:footnoteRef/>
      </w:r>
      <w:r w:rsidRPr="008E217D">
        <w:rPr>
          <w:sz w:val="18"/>
        </w:rPr>
        <w:t xml:space="preserve"> </w:t>
      </w:r>
      <w:r w:rsidRPr="008E217D">
        <w:rPr>
          <w:rFonts w:cs="Courier New"/>
          <w:sz w:val="18"/>
        </w:rPr>
        <w:t xml:space="preserve">Abernathy, </w:t>
      </w:r>
      <w:r w:rsidRPr="008D7A18">
        <w:rPr>
          <w:rFonts w:cs="Courier New"/>
          <w:i/>
          <w:sz w:val="18"/>
        </w:rPr>
        <w:t>supra</w:t>
      </w:r>
      <w:r w:rsidRPr="008E217D">
        <w:rPr>
          <w:rFonts w:cs="Courier New"/>
          <w:sz w:val="18"/>
        </w:rPr>
        <w:t xml:space="preserve"> n. 4.</w:t>
      </w:r>
    </w:p>
  </w:footnote>
  <w:footnote w:id="24">
    <w:p w:rsidR="00B17C97" w:rsidRPr="008E217D" w:rsidRDefault="00B17C97" w:rsidP="008E217D">
      <w:pPr>
        <w:pStyle w:val="FootnoteText"/>
        <w:spacing w:after="120"/>
        <w:rPr>
          <w:sz w:val="18"/>
        </w:rPr>
      </w:pPr>
      <w:r w:rsidRPr="008E217D">
        <w:rPr>
          <w:rStyle w:val="FootnoteReference"/>
          <w:sz w:val="18"/>
        </w:rPr>
        <w:footnoteRef/>
      </w:r>
      <w:r w:rsidRPr="008E217D">
        <w:rPr>
          <w:sz w:val="18"/>
        </w:rPr>
        <w:t xml:space="preserve"> </w:t>
      </w:r>
      <w:r w:rsidRPr="008E217D">
        <w:rPr>
          <w:rFonts w:cs="Courier New"/>
          <w:sz w:val="18"/>
        </w:rPr>
        <w:t xml:space="preserve">Abernathy, </w:t>
      </w:r>
      <w:r w:rsidRPr="008D7A18">
        <w:rPr>
          <w:rFonts w:cs="Courier New"/>
          <w:i/>
          <w:sz w:val="18"/>
        </w:rPr>
        <w:t>supra</w:t>
      </w:r>
      <w:r w:rsidRPr="008E217D">
        <w:rPr>
          <w:rFonts w:cs="Courier New"/>
          <w:sz w:val="18"/>
        </w:rPr>
        <w:t xml:space="preserve"> n. 4.</w:t>
      </w:r>
    </w:p>
  </w:footnote>
  <w:footnote w:id="25">
    <w:p w:rsidR="00B17C97" w:rsidRPr="008E217D" w:rsidRDefault="00B17C97" w:rsidP="008E217D">
      <w:pPr>
        <w:pStyle w:val="FootnoteText"/>
        <w:spacing w:after="120"/>
        <w:rPr>
          <w:sz w:val="18"/>
        </w:rPr>
      </w:pPr>
      <w:r w:rsidRPr="008E217D">
        <w:rPr>
          <w:rStyle w:val="FootnoteReference"/>
          <w:sz w:val="18"/>
        </w:rPr>
        <w:footnoteRef/>
      </w:r>
      <w:r w:rsidRPr="008E217D">
        <w:rPr>
          <w:sz w:val="18"/>
        </w:rPr>
        <w:t xml:space="preserve"> </w:t>
      </w:r>
      <w:r w:rsidR="0078476A" w:rsidRPr="0078476A">
        <w:rPr>
          <w:rFonts w:cs="Courier New"/>
          <w:sz w:val="18"/>
          <w:szCs w:val="18"/>
        </w:rPr>
        <w:t xml:space="preserve">Sir James George Frazier, </w:t>
      </w:r>
      <w:r w:rsidR="0078476A" w:rsidRPr="0078476A">
        <w:rPr>
          <w:rFonts w:cs="Courier New"/>
          <w:i/>
          <w:sz w:val="18"/>
          <w:szCs w:val="18"/>
        </w:rPr>
        <w:t>The Golden Bough</w:t>
      </w:r>
      <w:r w:rsidR="0078476A" w:rsidRPr="0078476A">
        <w:rPr>
          <w:rFonts w:cs="Courier New"/>
          <w:sz w:val="18"/>
          <w:szCs w:val="18"/>
        </w:rPr>
        <w:t xml:space="preserve"> </w:t>
      </w:r>
      <w:r w:rsidRPr="008E217D">
        <w:rPr>
          <w:rFonts w:cs="Courier New"/>
          <w:sz w:val="18"/>
        </w:rPr>
        <w:t>376-377, 419 (1922).</w:t>
      </w:r>
    </w:p>
  </w:footnote>
  <w:footnote w:id="26">
    <w:p w:rsidR="00B17C97" w:rsidRPr="008E217D" w:rsidRDefault="00B17C97" w:rsidP="008E217D">
      <w:pPr>
        <w:pStyle w:val="FootnoteText"/>
        <w:spacing w:after="120"/>
        <w:rPr>
          <w:sz w:val="18"/>
        </w:rPr>
      </w:pPr>
      <w:r w:rsidRPr="008E217D">
        <w:rPr>
          <w:rStyle w:val="FootnoteReference"/>
          <w:sz w:val="18"/>
        </w:rPr>
        <w:footnoteRef/>
      </w:r>
      <w:r w:rsidRPr="008E217D">
        <w:rPr>
          <w:sz w:val="18"/>
        </w:rPr>
        <w:t xml:space="preserve"> </w:t>
      </w:r>
      <w:r w:rsidR="0078476A">
        <w:rPr>
          <w:rFonts w:cs="Courier New"/>
          <w:sz w:val="18"/>
        </w:rPr>
        <w:t>Joseph Campbell</w:t>
      </w:r>
      <w:r w:rsidRPr="008E217D">
        <w:rPr>
          <w:rFonts w:cs="Courier New"/>
          <w:sz w:val="18"/>
        </w:rPr>
        <w:t xml:space="preserve">, </w:t>
      </w:r>
      <w:r w:rsidR="0078476A" w:rsidRPr="0078476A">
        <w:rPr>
          <w:rFonts w:cs="Courier New"/>
          <w:i/>
          <w:sz w:val="18"/>
        </w:rPr>
        <w:t>The Hero With A Thousand Faces</w:t>
      </w:r>
      <w:r w:rsidRPr="008E217D">
        <w:rPr>
          <w:rFonts w:cs="Courier New"/>
          <w:sz w:val="18"/>
        </w:rPr>
        <w:t xml:space="preserve"> 384 (1968).</w:t>
      </w:r>
    </w:p>
  </w:footnote>
  <w:footnote w:id="27">
    <w:p w:rsidR="00B17C97" w:rsidRPr="008E217D" w:rsidRDefault="00B17C97" w:rsidP="008E217D">
      <w:pPr>
        <w:pStyle w:val="FootnoteText"/>
        <w:spacing w:after="120"/>
        <w:rPr>
          <w:sz w:val="18"/>
        </w:rPr>
      </w:pPr>
      <w:r w:rsidRPr="008E217D">
        <w:rPr>
          <w:rStyle w:val="FootnoteReference"/>
          <w:sz w:val="18"/>
        </w:rPr>
        <w:footnoteRef/>
      </w:r>
      <w:r w:rsidRPr="008E217D">
        <w:rPr>
          <w:sz w:val="18"/>
        </w:rPr>
        <w:t xml:space="preserve"> </w:t>
      </w:r>
      <w:r w:rsidRPr="008E217D">
        <w:rPr>
          <w:rFonts w:cs="Courier New"/>
          <w:sz w:val="18"/>
        </w:rPr>
        <w:t>One might note a similar set of cycles with other religious calendars, particularly those of the Abrahamic tradition (Christianity, Judaism and Islam), but the complexity and variation of religious calendars, combined with my scant knowledge of comparative religions, militate against such speculation.</w:t>
      </w:r>
    </w:p>
  </w:footnote>
  <w:footnote w:id="28">
    <w:p w:rsidR="00B17C97" w:rsidRPr="008E217D" w:rsidRDefault="00B17C97" w:rsidP="008E217D">
      <w:pPr>
        <w:pStyle w:val="FootnoteText"/>
        <w:spacing w:after="120"/>
        <w:rPr>
          <w:sz w:val="18"/>
        </w:rPr>
      </w:pPr>
      <w:r w:rsidRPr="008E217D">
        <w:rPr>
          <w:rStyle w:val="FootnoteReference"/>
          <w:sz w:val="18"/>
        </w:rPr>
        <w:footnoteRef/>
      </w:r>
      <w:r w:rsidRPr="008E217D">
        <w:rPr>
          <w:sz w:val="18"/>
        </w:rPr>
        <w:t xml:space="preserve"> </w:t>
      </w:r>
      <w:r w:rsidR="0078476A" w:rsidRPr="008D7A18">
        <w:rPr>
          <w:rFonts w:cs="Courier New"/>
          <w:i/>
          <w:sz w:val="18"/>
        </w:rPr>
        <w:t>A Way To Belong</w:t>
      </w:r>
      <w:r w:rsidRPr="008E217D">
        <w:rPr>
          <w:rFonts w:cs="Courier New"/>
          <w:sz w:val="18"/>
        </w:rPr>
        <w:t>, supra n. 22, at 54.</w:t>
      </w:r>
    </w:p>
  </w:footnote>
  <w:footnote w:id="29">
    <w:p w:rsidR="00B17C97" w:rsidRPr="008E217D" w:rsidRDefault="00B17C97" w:rsidP="008E217D">
      <w:pPr>
        <w:pStyle w:val="FootnoteText"/>
        <w:spacing w:after="120"/>
        <w:rPr>
          <w:sz w:val="18"/>
        </w:rPr>
      </w:pPr>
      <w:r w:rsidRPr="008E217D">
        <w:rPr>
          <w:rStyle w:val="FootnoteReference"/>
          <w:sz w:val="18"/>
        </w:rPr>
        <w:footnoteRef/>
      </w:r>
      <w:r w:rsidRPr="008E217D">
        <w:rPr>
          <w:sz w:val="18"/>
        </w:rPr>
        <w:t xml:space="preserve"> </w:t>
      </w:r>
      <w:r w:rsidR="0078476A" w:rsidRPr="008D7A18">
        <w:rPr>
          <w:rFonts w:cs="Courier New"/>
          <w:i/>
          <w:sz w:val="18"/>
        </w:rPr>
        <w:t>A Way To Belong</w:t>
      </w:r>
      <w:r w:rsidRPr="008E217D">
        <w:rPr>
          <w:rFonts w:cs="Courier New"/>
          <w:sz w:val="18"/>
        </w:rPr>
        <w:t>, supra n. 22, (includes a chart, at 56, comparing the units on theological and psychological bases).</w:t>
      </w:r>
    </w:p>
  </w:footnote>
  <w:footnote w:id="30">
    <w:p w:rsidR="00B17C97" w:rsidRPr="008E217D" w:rsidRDefault="00B17C97" w:rsidP="008E217D">
      <w:pPr>
        <w:pStyle w:val="FootnoteText"/>
        <w:spacing w:after="120"/>
        <w:rPr>
          <w:sz w:val="18"/>
        </w:rPr>
      </w:pPr>
      <w:r w:rsidRPr="008E217D">
        <w:rPr>
          <w:rStyle w:val="FootnoteReference"/>
          <w:sz w:val="18"/>
        </w:rPr>
        <w:footnoteRef/>
      </w:r>
      <w:r w:rsidRPr="008E217D">
        <w:rPr>
          <w:sz w:val="18"/>
        </w:rPr>
        <w:t xml:space="preserve"> </w:t>
      </w:r>
      <w:r w:rsidRPr="008E217D">
        <w:rPr>
          <w:rFonts w:cs="Courier New"/>
          <w:sz w:val="18"/>
        </w:rPr>
        <w:t xml:space="preserve">Abernathy, </w:t>
      </w:r>
      <w:r w:rsidRPr="0078476A">
        <w:rPr>
          <w:rFonts w:cs="Courier New"/>
          <w:i/>
          <w:sz w:val="18"/>
        </w:rPr>
        <w:t>supra</w:t>
      </w:r>
      <w:r w:rsidRPr="008E217D">
        <w:rPr>
          <w:rFonts w:cs="Courier New"/>
          <w:sz w:val="18"/>
        </w:rPr>
        <w:t xml:space="preserve"> n. 4.</w:t>
      </w:r>
    </w:p>
  </w:footnote>
  <w:footnote w:id="31">
    <w:p w:rsidR="00B17C97" w:rsidRPr="008E217D" w:rsidRDefault="00B17C97" w:rsidP="008E217D">
      <w:pPr>
        <w:pStyle w:val="FootnoteText"/>
        <w:spacing w:after="120"/>
        <w:rPr>
          <w:sz w:val="18"/>
        </w:rPr>
      </w:pPr>
      <w:r w:rsidRPr="008E217D">
        <w:rPr>
          <w:rStyle w:val="FootnoteReference"/>
          <w:sz w:val="18"/>
        </w:rPr>
        <w:footnoteRef/>
      </w:r>
      <w:r w:rsidRPr="008E217D">
        <w:rPr>
          <w:sz w:val="18"/>
        </w:rPr>
        <w:t xml:space="preserve"> </w:t>
      </w:r>
      <w:r w:rsidR="0078476A" w:rsidRPr="008D7A18">
        <w:rPr>
          <w:rFonts w:cs="Courier New"/>
          <w:i/>
          <w:sz w:val="18"/>
        </w:rPr>
        <w:t>A Way To Belong</w:t>
      </w:r>
      <w:r w:rsidRPr="008E217D">
        <w:rPr>
          <w:rFonts w:cs="Courier New"/>
          <w:sz w:val="18"/>
        </w:rPr>
        <w:t xml:space="preserve">, </w:t>
      </w:r>
      <w:r w:rsidRPr="0078476A">
        <w:rPr>
          <w:rFonts w:cs="Courier New"/>
          <w:i/>
          <w:sz w:val="18"/>
        </w:rPr>
        <w:t>supra</w:t>
      </w:r>
      <w:r w:rsidRPr="008E217D">
        <w:rPr>
          <w:rFonts w:cs="Courier New"/>
          <w:sz w:val="18"/>
        </w:rPr>
        <w:t xml:space="preserve"> n. 22, at 54.</w:t>
      </w:r>
    </w:p>
  </w:footnote>
  <w:footnote w:id="32">
    <w:p w:rsidR="00B17C97" w:rsidRPr="008E217D" w:rsidRDefault="00B17C97" w:rsidP="008E217D">
      <w:pPr>
        <w:pStyle w:val="FootnoteText"/>
        <w:spacing w:after="120"/>
        <w:rPr>
          <w:sz w:val="18"/>
        </w:rPr>
      </w:pPr>
      <w:r w:rsidRPr="008E217D">
        <w:rPr>
          <w:rStyle w:val="FootnoteReference"/>
          <w:sz w:val="18"/>
        </w:rPr>
        <w:footnoteRef/>
      </w:r>
      <w:r w:rsidRPr="008E217D">
        <w:rPr>
          <w:sz w:val="18"/>
        </w:rPr>
        <w:t xml:space="preserve"> </w:t>
      </w:r>
      <w:r w:rsidRPr="008E217D">
        <w:rPr>
          <w:rFonts w:cs="Courier New"/>
          <w:sz w:val="18"/>
        </w:rPr>
        <w:t>P</w:t>
      </w:r>
      <w:r w:rsidR="0078476A">
        <w:rPr>
          <w:rFonts w:cs="Courier New"/>
          <w:sz w:val="18"/>
        </w:rPr>
        <w:t xml:space="preserve">aolo </w:t>
      </w:r>
      <w:r w:rsidRPr="008E217D">
        <w:rPr>
          <w:rFonts w:cs="Courier New"/>
          <w:sz w:val="18"/>
        </w:rPr>
        <w:t>F</w:t>
      </w:r>
      <w:r w:rsidR="0078476A">
        <w:rPr>
          <w:rFonts w:cs="Courier New"/>
          <w:sz w:val="18"/>
        </w:rPr>
        <w:t>reire</w:t>
      </w:r>
      <w:r w:rsidRPr="008E217D">
        <w:rPr>
          <w:rFonts w:cs="Courier New"/>
          <w:sz w:val="18"/>
        </w:rPr>
        <w:t xml:space="preserve">, </w:t>
      </w:r>
      <w:r w:rsidR="0078476A" w:rsidRPr="0078476A">
        <w:rPr>
          <w:rFonts w:cs="Courier New"/>
          <w:i/>
          <w:sz w:val="18"/>
        </w:rPr>
        <w:t>Pedagogy of the Oppressed</w:t>
      </w:r>
      <w:r w:rsidRPr="008E217D">
        <w:rPr>
          <w:rFonts w:cs="Courier New"/>
          <w:sz w:val="18"/>
        </w:rPr>
        <w:t xml:space="preserve"> 58-59 (1970).</w:t>
      </w:r>
    </w:p>
  </w:footnote>
  <w:footnote w:id="33">
    <w:p w:rsidR="00B17C97" w:rsidRPr="008E217D" w:rsidRDefault="00B17C97" w:rsidP="008E217D">
      <w:pPr>
        <w:pStyle w:val="FootnoteText"/>
        <w:spacing w:after="120"/>
        <w:rPr>
          <w:sz w:val="18"/>
        </w:rPr>
      </w:pPr>
      <w:r w:rsidRPr="008E217D">
        <w:rPr>
          <w:rStyle w:val="FootnoteReference"/>
          <w:sz w:val="18"/>
        </w:rPr>
        <w:footnoteRef/>
      </w:r>
      <w:r w:rsidRPr="008E217D">
        <w:rPr>
          <w:sz w:val="18"/>
        </w:rPr>
        <w:t xml:space="preserve"> </w:t>
      </w:r>
      <w:r w:rsidR="0078476A" w:rsidRPr="008D7A18">
        <w:rPr>
          <w:rFonts w:cs="Courier New"/>
          <w:i/>
          <w:sz w:val="18"/>
        </w:rPr>
        <w:t>A Way To Belong</w:t>
      </w:r>
      <w:r w:rsidRPr="008E217D">
        <w:rPr>
          <w:rFonts w:cs="Courier New"/>
          <w:sz w:val="18"/>
        </w:rPr>
        <w:t xml:space="preserve">, </w:t>
      </w:r>
      <w:r w:rsidRPr="0078476A">
        <w:rPr>
          <w:rFonts w:cs="Courier New"/>
          <w:i/>
          <w:sz w:val="18"/>
        </w:rPr>
        <w:t>supra</w:t>
      </w:r>
      <w:r w:rsidRPr="008E217D">
        <w:rPr>
          <w:rFonts w:cs="Courier New"/>
          <w:sz w:val="18"/>
        </w:rPr>
        <w:t xml:space="preserve"> n. 22, at 54</w:t>
      </w:r>
    </w:p>
  </w:footnote>
  <w:footnote w:id="34">
    <w:p w:rsidR="00B17C97" w:rsidRPr="008E217D" w:rsidRDefault="00B17C97" w:rsidP="008E217D">
      <w:pPr>
        <w:pStyle w:val="FootnoteText"/>
        <w:spacing w:after="120"/>
        <w:rPr>
          <w:sz w:val="18"/>
        </w:rPr>
      </w:pPr>
      <w:r w:rsidRPr="008E217D">
        <w:rPr>
          <w:rStyle w:val="FootnoteReference"/>
          <w:sz w:val="18"/>
        </w:rPr>
        <w:footnoteRef/>
      </w:r>
      <w:r w:rsidRPr="008E217D">
        <w:rPr>
          <w:sz w:val="18"/>
        </w:rPr>
        <w:t xml:space="preserve"> </w:t>
      </w:r>
      <w:r w:rsidRPr="008E217D">
        <w:rPr>
          <w:rFonts w:cs="Courier New"/>
          <w:sz w:val="18"/>
        </w:rPr>
        <w:t xml:space="preserve">Abernathy, </w:t>
      </w:r>
      <w:r w:rsidRPr="0078476A">
        <w:rPr>
          <w:rFonts w:cs="Courier New"/>
          <w:i/>
          <w:sz w:val="18"/>
        </w:rPr>
        <w:t>supra</w:t>
      </w:r>
      <w:r w:rsidRPr="008E217D">
        <w:rPr>
          <w:rFonts w:cs="Courier New"/>
          <w:sz w:val="18"/>
        </w:rPr>
        <w:t xml:space="preserve"> n. 4.</w:t>
      </w:r>
    </w:p>
  </w:footnote>
  <w:footnote w:id="35">
    <w:p w:rsidR="00B17C97" w:rsidRPr="008E217D" w:rsidRDefault="00B17C97" w:rsidP="008E217D">
      <w:pPr>
        <w:pStyle w:val="FootnoteText"/>
        <w:spacing w:after="120"/>
        <w:rPr>
          <w:sz w:val="18"/>
        </w:rPr>
      </w:pPr>
      <w:r w:rsidRPr="008E217D">
        <w:rPr>
          <w:rStyle w:val="FootnoteReference"/>
          <w:sz w:val="18"/>
        </w:rPr>
        <w:footnoteRef/>
      </w:r>
      <w:r w:rsidRPr="008E217D">
        <w:rPr>
          <w:sz w:val="18"/>
        </w:rPr>
        <w:t xml:space="preserve"> </w:t>
      </w:r>
      <w:r w:rsidRPr="0078476A">
        <w:rPr>
          <w:rFonts w:cs="Courier New"/>
          <w:i/>
          <w:sz w:val="18"/>
        </w:rPr>
        <w:t>Id</w:t>
      </w:r>
      <w:r w:rsidRPr="008E217D">
        <w:rPr>
          <w:rFonts w:cs="Courier New"/>
          <w:sz w:val="18"/>
        </w:rPr>
        <w:t>.</w:t>
      </w:r>
    </w:p>
  </w:footnote>
  <w:footnote w:id="36">
    <w:p w:rsidR="00B17C97" w:rsidRPr="008E217D" w:rsidRDefault="00B17C97" w:rsidP="008E217D">
      <w:pPr>
        <w:pStyle w:val="FootnoteText"/>
        <w:spacing w:after="120"/>
        <w:rPr>
          <w:sz w:val="18"/>
        </w:rPr>
      </w:pPr>
      <w:r w:rsidRPr="008E217D">
        <w:rPr>
          <w:rStyle w:val="FootnoteReference"/>
          <w:sz w:val="18"/>
        </w:rPr>
        <w:footnoteRef/>
      </w:r>
      <w:r w:rsidRPr="008E217D">
        <w:rPr>
          <w:sz w:val="18"/>
        </w:rPr>
        <w:t xml:space="preserve"> </w:t>
      </w:r>
      <w:r w:rsidR="0078476A" w:rsidRPr="008D7A18">
        <w:rPr>
          <w:rFonts w:cs="Courier New"/>
          <w:i/>
          <w:sz w:val="18"/>
        </w:rPr>
        <w:t>A Way To Belong</w:t>
      </w:r>
      <w:r w:rsidRPr="008E217D">
        <w:rPr>
          <w:rFonts w:cs="Courier New"/>
          <w:sz w:val="18"/>
        </w:rPr>
        <w:t xml:space="preserve">, </w:t>
      </w:r>
      <w:r w:rsidRPr="0078476A">
        <w:rPr>
          <w:rFonts w:cs="Courier New"/>
          <w:i/>
          <w:sz w:val="18"/>
        </w:rPr>
        <w:t>supra</w:t>
      </w:r>
      <w:r w:rsidRPr="008E217D">
        <w:rPr>
          <w:rFonts w:cs="Courier New"/>
          <w:sz w:val="18"/>
        </w:rPr>
        <w:t xml:space="preserve"> n.22, at 56.</w:t>
      </w:r>
    </w:p>
  </w:footnote>
  <w:footnote w:id="37">
    <w:p w:rsidR="00B17C97" w:rsidRPr="008E217D" w:rsidRDefault="00B17C97" w:rsidP="008E217D">
      <w:pPr>
        <w:pStyle w:val="FootnoteText"/>
        <w:spacing w:after="120"/>
        <w:rPr>
          <w:sz w:val="18"/>
        </w:rPr>
      </w:pPr>
      <w:r w:rsidRPr="008E217D">
        <w:rPr>
          <w:rStyle w:val="FootnoteReference"/>
          <w:sz w:val="18"/>
        </w:rPr>
        <w:footnoteRef/>
      </w:r>
      <w:r w:rsidRPr="008E217D">
        <w:rPr>
          <w:sz w:val="18"/>
        </w:rPr>
        <w:t xml:space="preserve"> </w:t>
      </w:r>
      <w:r w:rsidRPr="008E217D">
        <w:rPr>
          <w:rFonts w:cs="Courier New"/>
          <w:sz w:val="18"/>
        </w:rPr>
        <w:t xml:space="preserve">A fancy Latin term meaning “now for then,” </w:t>
      </w:r>
      <w:r w:rsidRPr="009341F3">
        <w:rPr>
          <w:rFonts w:cs="Courier New"/>
          <w:i/>
          <w:sz w:val="18"/>
        </w:rPr>
        <w:t>nunc pro tunc</w:t>
      </w:r>
      <w:r w:rsidRPr="008E217D">
        <w:rPr>
          <w:rFonts w:cs="Courier New"/>
          <w:sz w:val="18"/>
        </w:rPr>
        <w:t xml:space="preserve"> filings are the lawyer’s way of saying to courts, sorry, I’m late, but it’s just a day or two!</w:t>
      </w:r>
    </w:p>
  </w:footnote>
  <w:footnote w:id="38">
    <w:p w:rsidR="00B17C97" w:rsidRPr="008E217D" w:rsidRDefault="00B17C97" w:rsidP="008E217D">
      <w:pPr>
        <w:pStyle w:val="FootnoteText"/>
        <w:spacing w:after="120"/>
        <w:rPr>
          <w:sz w:val="18"/>
        </w:rPr>
      </w:pPr>
      <w:r w:rsidRPr="008E217D">
        <w:rPr>
          <w:rStyle w:val="FootnoteReference"/>
          <w:sz w:val="18"/>
        </w:rPr>
        <w:footnoteRef/>
      </w:r>
      <w:r w:rsidRPr="008E217D">
        <w:rPr>
          <w:sz w:val="18"/>
        </w:rPr>
        <w:t xml:space="preserve"> </w:t>
      </w:r>
      <w:r w:rsidR="009341F3" w:rsidRPr="008D7A18">
        <w:rPr>
          <w:rFonts w:cs="Courier New"/>
          <w:i/>
          <w:sz w:val="18"/>
        </w:rPr>
        <w:t>A Way To Belong</w:t>
      </w:r>
      <w:r w:rsidRPr="008E217D">
        <w:rPr>
          <w:rFonts w:cs="Courier New"/>
          <w:sz w:val="18"/>
        </w:rPr>
        <w:t xml:space="preserve">, </w:t>
      </w:r>
      <w:r w:rsidRPr="009341F3">
        <w:rPr>
          <w:rFonts w:cs="Courier New"/>
          <w:i/>
          <w:sz w:val="18"/>
        </w:rPr>
        <w:t>supra</w:t>
      </w:r>
      <w:r w:rsidRPr="008E217D">
        <w:rPr>
          <w:rFonts w:cs="Courier New"/>
          <w:sz w:val="18"/>
        </w:rPr>
        <w:t xml:space="preserve"> n.22, at 54.</w:t>
      </w:r>
    </w:p>
  </w:footnote>
  <w:footnote w:id="39">
    <w:p w:rsidR="00B17C97" w:rsidRPr="008E217D" w:rsidRDefault="00B17C97" w:rsidP="008E217D">
      <w:pPr>
        <w:pStyle w:val="FootnoteText"/>
        <w:spacing w:after="120"/>
        <w:rPr>
          <w:sz w:val="18"/>
        </w:rPr>
      </w:pPr>
      <w:r w:rsidRPr="008E217D">
        <w:rPr>
          <w:rStyle w:val="FootnoteReference"/>
          <w:sz w:val="18"/>
        </w:rPr>
        <w:footnoteRef/>
      </w:r>
      <w:r w:rsidRPr="008E217D">
        <w:rPr>
          <w:sz w:val="18"/>
        </w:rPr>
        <w:t xml:space="preserve"> </w:t>
      </w:r>
      <w:r w:rsidRPr="009341F3">
        <w:rPr>
          <w:rFonts w:cs="Courier New"/>
          <w:i/>
          <w:sz w:val="18"/>
        </w:rPr>
        <w:t>Id</w:t>
      </w:r>
      <w:r w:rsidRPr="008E217D">
        <w:rPr>
          <w:rFonts w:cs="Courier New"/>
          <w:sz w:val="18"/>
        </w:rPr>
        <w:t>.</w:t>
      </w:r>
    </w:p>
  </w:footnote>
  <w:footnote w:id="40">
    <w:p w:rsidR="00B17C97" w:rsidRPr="008E217D" w:rsidRDefault="00B17C97" w:rsidP="008E217D">
      <w:pPr>
        <w:pStyle w:val="FootnoteText"/>
        <w:spacing w:after="120"/>
        <w:rPr>
          <w:sz w:val="18"/>
        </w:rPr>
      </w:pPr>
      <w:r w:rsidRPr="008E217D">
        <w:rPr>
          <w:rStyle w:val="FootnoteReference"/>
          <w:sz w:val="18"/>
        </w:rPr>
        <w:footnoteRef/>
      </w:r>
      <w:r w:rsidRPr="008E217D">
        <w:rPr>
          <w:sz w:val="18"/>
        </w:rPr>
        <w:t xml:space="preserve"> </w:t>
      </w:r>
      <w:r w:rsidR="009341F3" w:rsidRPr="008D7A18">
        <w:rPr>
          <w:rFonts w:cs="Courier New"/>
          <w:i/>
          <w:sz w:val="18"/>
        </w:rPr>
        <w:t>A Way To Belong</w:t>
      </w:r>
      <w:r w:rsidRPr="008E217D">
        <w:rPr>
          <w:rFonts w:cs="Courier New"/>
          <w:sz w:val="18"/>
        </w:rPr>
        <w:t xml:space="preserve">, </w:t>
      </w:r>
      <w:r w:rsidRPr="009341F3">
        <w:rPr>
          <w:rFonts w:cs="Courier New"/>
          <w:i/>
          <w:sz w:val="18"/>
        </w:rPr>
        <w:t>supra</w:t>
      </w:r>
      <w:r w:rsidRPr="008E217D">
        <w:rPr>
          <w:rFonts w:cs="Courier New"/>
          <w:sz w:val="18"/>
        </w:rPr>
        <w:t xml:space="preserve"> n.22, at 56.</w:t>
      </w:r>
    </w:p>
  </w:footnote>
  <w:footnote w:id="41">
    <w:p w:rsidR="00B17C97" w:rsidRPr="008E217D" w:rsidRDefault="00B17C97" w:rsidP="008E217D">
      <w:pPr>
        <w:pStyle w:val="FootnoteText"/>
        <w:spacing w:after="120"/>
        <w:rPr>
          <w:sz w:val="18"/>
        </w:rPr>
      </w:pPr>
      <w:r w:rsidRPr="008E217D">
        <w:rPr>
          <w:rStyle w:val="FootnoteReference"/>
          <w:sz w:val="18"/>
        </w:rPr>
        <w:footnoteRef/>
      </w:r>
      <w:r w:rsidRPr="008E217D">
        <w:rPr>
          <w:sz w:val="18"/>
        </w:rPr>
        <w:t xml:space="preserve"> </w:t>
      </w:r>
      <w:r w:rsidRPr="008E217D">
        <w:rPr>
          <w:rFonts w:cs="Courier New"/>
          <w:sz w:val="18"/>
        </w:rPr>
        <w:t xml:space="preserve">Abernathy, </w:t>
      </w:r>
      <w:r w:rsidRPr="009341F3">
        <w:rPr>
          <w:rFonts w:cs="Courier New"/>
          <w:i/>
          <w:sz w:val="18"/>
        </w:rPr>
        <w:t>supra</w:t>
      </w:r>
      <w:r w:rsidRPr="008E217D">
        <w:rPr>
          <w:rFonts w:cs="Courier New"/>
          <w:sz w:val="18"/>
        </w:rPr>
        <w:t xml:space="preserve"> n. 4.</w:t>
      </w:r>
    </w:p>
  </w:footnote>
  <w:footnote w:id="42">
    <w:p w:rsidR="00B17C97" w:rsidRPr="008E217D" w:rsidRDefault="00B17C97" w:rsidP="008E217D">
      <w:pPr>
        <w:pStyle w:val="FootnoteText"/>
        <w:spacing w:after="120"/>
        <w:rPr>
          <w:sz w:val="18"/>
        </w:rPr>
      </w:pPr>
      <w:r w:rsidRPr="008E217D">
        <w:rPr>
          <w:rStyle w:val="FootnoteReference"/>
          <w:sz w:val="18"/>
        </w:rPr>
        <w:footnoteRef/>
      </w:r>
      <w:r w:rsidRPr="008E217D">
        <w:rPr>
          <w:sz w:val="18"/>
        </w:rPr>
        <w:t xml:space="preserve"> </w:t>
      </w:r>
      <w:r w:rsidR="009341F3" w:rsidRPr="008D7A18">
        <w:rPr>
          <w:rFonts w:cs="Courier New"/>
          <w:i/>
          <w:sz w:val="18"/>
        </w:rPr>
        <w:t>A Way To Belong</w:t>
      </w:r>
      <w:r w:rsidRPr="008E217D">
        <w:rPr>
          <w:rFonts w:cs="Courier New"/>
          <w:sz w:val="18"/>
        </w:rPr>
        <w:t xml:space="preserve">, </w:t>
      </w:r>
      <w:r w:rsidRPr="009341F3">
        <w:rPr>
          <w:rFonts w:cs="Courier New"/>
          <w:i/>
          <w:sz w:val="18"/>
        </w:rPr>
        <w:t>supra</w:t>
      </w:r>
      <w:r w:rsidRPr="008E217D">
        <w:rPr>
          <w:rFonts w:cs="Courier New"/>
          <w:sz w:val="18"/>
        </w:rPr>
        <w:t xml:space="preserve"> n. 22, at 55.</w:t>
      </w:r>
    </w:p>
  </w:footnote>
  <w:footnote w:id="43">
    <w:p w:rsidR="00B17C97" w:rsidRPr="008E217D" w:rsidRDefault="00B17C97" w:rsidP="008E217D">
      <w:pPr>
        <w:pStyle w:val="FootnoteText"/>
        <w:spacing w:after="120"/>
        <w:rPr>
          <w:sz w:val="18"/>
        </w:rPr>
      </w:pPr>
      <w:r w:rsidRPr="008E217D">
        <w:rPr>
          <w:rStyle w:val="FootnoteReference"/>
          <w:sz w:val="18"/>
        </w:rPr>
        <w:footnoteRef/>
      </w:r>
      <w:r w:rsidRPr="008E217D">
        <w:rPr>
          <w:sz w:val="18"/>
        </w:rPr>
        <w:t xml:space="preserve"> </w:t>
      </w:r>
      <w:r w:rsidRPr="009341F3">
        <w:rPr>
          <w:rFonts w:cs="Courier New"/>
          <w:i/>
          <w:sz w:val="18"/>
        </w:rPr>
        <w:t>Id</w:t>
      </w:r>
      <w:r w:rsidRPr="008E217D">
        <w:rPr>
          <w:rFonts w:cs="Courier New"/>
          <w:sz w:val="18"/>
        </w:rPr>
        <w:t>.</w:t>
      </w:r>
    </w:p>
  </w:footnote>
  <w:footnote w:id="44">
    <w:p w:rsidR="00B17C97" w:rsidRPr="008E217D" w:rsidRDefault="00B17C97" w:rsidP="008E217D">
      <w:pPr>
        <w:pStyle w:val="FootnoteText"/>
        <w:spacing w:after="120"/>
        <w:rPr>
          <w:sz w:val="18"/>
        </w:rPr>
      </w:pPr>
      <w:r w:rsidRPr="008E217D">
        <w:rPr>
          <w:rStyle w:val="FootnoteReference"/>
          <w:sz w:val="18"/>
        </w:rPr>
        <w:footnoteRef/>
      </w:r>
      <w:r w:rsidRPr="008E217D">
        <w:rPr>
          <w:sz w:val="18"/>
        </w:rPr>
        <w:t xml:space="preserve"> </w:t>
      </w:r>
      <w:r w:rsidRPr="008E217D">
        <w:rPr>
          <w:rFonts w:cs="Courier New"/>
          <w:sz w:val="18"/>
        </w:rPr>
        <w:t xml:space="preserve">Abernathy, </w:t>
      </w:r>
      <w:r w:rsidRPr="009341F3">
        <w:rPr>
          <w:rFonts w:cs="Courier New"/>
          <w:i/>
          <w:sz w:val="18"/>
        </w:rPr>
        <w:t>supra</w:t>
      </w:r>
      <w:r w:rsidRPr="008E217D">
        <w:rPr>
          <w:rFonts w:cs="Courier New"/>
          <w:sz w:val="18"/>
        </w:rPr>
        <w:t xml:space="preserve"> n. 4.</w:t>
      </w:r>
    </w:p>
  </w:footnote>
  <w:footnote w:id="45">
    <w:p w:rsidR="00B17C97" w:rsidRPr="008E217D" w:rsidRDefault="00B17C97" w:rsidP="008E217D">
      <w:pPr>
        <w:pStyle w:val="FootnoteText"/>
        <w:spacing w:after="120"/>
        <w:rPr>
          <w:sz w:val="18"/>
        </w:rPr>
      </w:pPr>
      <w:r w:rsidRPr="008E217D">
        <w:rPr>
          <w:rStyle w:val="FootnoteReference"/>
          <w:sz w:val="18"/>
        </w:rPr>
        <w:footnoteRef/>
      </w:r>
      <w:r w:rsidRPr="008E217D">
        <w:rPr>
          <w:sz w:val="18"/>
        </w:rPr>
        <w:t xml:space="preserve"> </w:t>
      </w:r>
      <w:r w:rsidRPr="009341F3">
        <w:rPr>
          <w:rFonts w:cs="Courier New"/>
          <w:i/>
          <w:sz w:val="18"/>
        </w:rPr>
        <w:t>Id</w:t>
      </w:r>
      <w:r w:rsidRPr="008E217D">
        <w:rPr>
          <w:rFonts w:cs="Courier New"/>
          <w:sz w:val="18"/>
        </w:rPr>
        <w:t>.</w:t>
      </w:r>
    </w:p>
  </w:footnote>
  <w:footnote w:id="46">
    <w:p w:rsidR="00B17C97" w:rsidRPr="008E217D" w:rsidRDefault="00B17C97" w:rsidP="008E217D">
      <w:pPr>
        <w:pStyle w:val="FootnoteText"/>
        <w:spacing w:after="120"/>
        <w:rPr>
          <w:sz w:val="18"/>
        </w:rPr>
      </w:pPr>
      <w:r w:rsidRPr="008E217D">
        <w:rPr>
          <w:rStyle w:val="FootnoteReference"/>
          <w:sz w:val="18"/>
        </w:rPr>
        <w:footnoteRef/>
      </w:r>
      <w:r w:rsidRPr="008E217D">
        <w:rPr>
          <w:sz w:val="18"/>
        </w:rPr>
        <w:t xml:space="preserve"> </w:t>
      </w:r>
      <w:r w:rsidR="009341F3" w:rsidRPr="008D7A18">
        <w:rPr>
          <w:rFonts w:cs="Courier New"/>
          <w:i/>
          <w:sz w:val="18"/>
        </w:rPr>
        <w:t>A Way To Belong</w:t>
      </w:r>
      <w:r w:rsidRPr="008E217D">
        <w:rPr>
          <w:rFonts w:cs="Courier New"/>
          <w:sz w:val="18"/>
        </w:rPr>
        <w:t xml:space="preserve">, </w:t>
      </w:r>
      <w:r w:rsidRPr="009341F3">
        <w:rPr>
          <w:rFonts w:cs="Courier New"/>
          <w:i/>
          <w:sz w:val="18"/>
        </w:rPr>
        <w:t>supra</w:t>
      </w:r>
      <w:r w:rsidRPr="008E217D">
        <w:rPr>
          <w:rFonts w:cs="Courier New"/>
          <w:sz w:val="18"/>
        </w:rPr>
        <w:t xml:space="preserve"> n.22, at 56.</w:t>
      </w:r>
    </w:p>
  </w:footnote>
  <w:footnote w:id="47">
    <w:p w:rsidR="00B17C97" w:rsidRPr="008E217D" w:rsidRDefault="00B17C97" w:rsidP="008E217D">
      <w:pPr>
        <w:suppressAutoHyphens/>
        <w:autoSpaceDE w:val="0"/>
        <w:autoSpaceDN w:val="0"/>
        <w:adjustRightInd w:val="0"/>
        <w:spacing w:after="120" w:line="240" w:lineRule="auto"/>
        <w:rPr>
          <w:sz w:val="18"/>
        </w:rPr>
      </w:pPr>
      <w:r w:rsidRPr="008E217D">
        <w:rPr>
          <w:rStyle w:val="FootnoteReference"/>
          <w:sz w:val="18"/>
        </w:rPr>
        <w:footnoteRef/>
      </w:r>
      <w:r w:rsidRPr="008E217D">
        <w:rPr>
          <w:sz w:val="18"/>
        </w:rPr>
        <w:t xml:space="preserve"> </w:t>
      </w:r>
      <w:r w:rsidRPr="009341F3">
        <w:rPr>
          <w:rFonts w:cs="Courier New"/>
          <w:i/>
          <w:sz w:val="18"/>
        </w:rPr>
        <w:t>Categories</w:t>
      </w:r>
      <w:r w:rsidRPr="008E217D">
        <w:rPr>
          <w:rFonts w:cs="Courier New"/>
          <w:sz w:val="18"/>
        </w:rPr>
        <w:t xml:space="preserve">, </w:t>
      </w:r>
      <w:r w:rsidRPr="009341F3">
        <w:rPr>
          <w:rFonts w:cs="Courier New"/>
          <w:i/>
          <w:sz w:val="18"/>
        </w:rPr>
        <w:t>supra</w:t>
      </w:r>
      <w:r w:rsidRPr="008E217D">
        <w:rPr>
          <w:rFonts w:cs="Courier New"/>
          <w:sz w:val="18"/>
        </w:rPr>
        <w:t xml:space="preserve"> n. 6, at Confirmation Class, Unit IV, Despair, 9.</w:t>
      </w:r>
    </w:p>
  </w:footnote>
  <w:footnote w:id="48">
    <w:p w:rsidR="00A20282" w:rsidRPr="008E217D" w:rsidRDefault="00A20282" w:rsidP="008E217D">
      <w:pPr>
        <w:pStyle w:val="FootnoteText"/>
        <w:spacing w:after="120"/>
        <w:rPr>
          <w:sz w:val="18"/>
        </w:rPr>
      </w:pPr>
      <w:r w:rsidRPr="008E217D">
        <w:rPr>
          <w:rStyle w:val="FootnoteReference"/>
          <w:sz w:val="18"/>
        </w:rPr>
        <w:footnoteRef/>
      </w:r>
      <w:r w:rsidRPr="008E217D">
        <w:rPr>
          <w:sz w:val="18"/>
        </w:rPr>
        <w:t xml:space="preserve"> </w:t>
      </w:r>
      <w:r w:rsidR="009341F3" w:rsidRPr="008D7A18">
        <w:rPr>
          <w:rFonts w:cs="Courier New"/>
          <w:i/>
          <w:sz w:val="18"/>
        </w:rPr>
        <w:t>A Way To Belong</w:t>
      </w:r>
      <w:r w:rsidRPr="008E217D">
        <w:rPr>
          <w:rFonts w:cs="Courier New"/>
          <w:sz w:val="18"/>
        </w:rPr>
        <w:t xml:space="preserve">, </w:t>
      </w:r>
      <w:r w:rsidRPr="009341F3">
        <w:rPr>
          <w:rFonts w:cs="Courier New"/>
          <w:i/>
          <w:sz w:val="18"/>
        </w:rPr>
        <w:t>supra</w:t>
      </w:r>
      <w:r w:rsidRPr="008E217D">
        <w:rPr>
          <w:rFonts w:cs="Courier New"/>
          <w:sz w:val="18"/>
        </w:rPr>
        <w:t xml:space="preserve"> n.22, at 55.</w:t>
      </w:r>
    </w:p>
  </w:footnote>
  <w:footnote w:id="49">
    <w:p w:rsidR="00A20282" w:rsidRPr="008E217D" w:rsidRDefault="00A20282" w:rsidP="008E217D">
      <w:pPr>
        <w:pStyle w:val="FootnoteText"/>
        <w:spacing w:after="120"/>
        <w:rPr>
          <w:sz w:val="18"/>
        </w:rPr>
      </w:pPr>
      <w:r w:rsidRPr="008E217D">
        <w:rPr>
          <w:rStyle w:val="FootnoteReference"/>
          <w:sz w:val="18"/>
        </w:rPr>
        <w:footnoteRef/>
      </w:r>
      <w:r w:rsidRPr="008E217D">
        <w:rPr>
          <w:sz w:val="18"/>
        </w:rPr>
        <w:t xml:space="preserve"> </w:t>
      </w:r>
      <w:r w:rsidRPr="008E217D">
        <w:rPr>
          <w:rFonts w:cs="Courier New"/>
          <w:sz w:val="18"/>
        </w:rPr>
        <w:t xml:space="preserve">Abernathy, </w:t>
      </w:r>
      <w:r w:rsidRPr="009341F3">
        <w:rPr>
          <w:rFonts w:cs="Courier New"/>
          <w:i/>
          <w:sz w:val="18"/>
        </w:rPr>
        <w:t>supra</w:t>
      </w:r>
      <w:r w:rsidRPr="008E217D">
        <w:rPr>
          <w:rFonts w:cs="Courier New"/>
          <w:sz w:val="18"/>
        </w:rPr>
        <w:t xml:space="preserve"> n. 4.</w:t>
      </w:r>
    </w:p>
  </w:footnote>
  <w:footnote w:id="50">
    <w:p w:rsidR="00A20282" w:rsidRPr="008E217D" w:rsidRDefault="00A20282" w:rsidP="008E217D">
      <w:pPr>
        <w:pStyle w:val="FootnoteText"/>
        <w:spacing w:after="120"/>
        <w:rPr>
          <w:sz w:val="18"/>
        </w:rPr>
      </w:pPr>
      <w:r w:rsidRPr="008E217D">
        <w:rPr>
          <w:rStyle w:val="FootnoteReference"/>
          <w:sz w:val="18"/>
        </w:rPr>
        <w:footnoteRef/>
      </w:r>
      <w:r w:rsidRPr="008E217D">
        <w:rPr>
          <w:sz w:val="18"/>
        </w:rPr>
        <w:t xml:space="preserve"> </w:t>
      </w:r>
      <w:r w:rsidR="009341F3" w:rsidRPr="008D7A18">
        <w:rPr>
          <w:rFonts w:cs="Courier New"/>
          <w:i/>
          <w:sz w:val="18"/>
        </w:rPr>
        <w:t>A Way To Belong</w:t>
      </w:r>
      <w:r w:rsidRPr="008E217D">
        <w:rPr>
          <w:rFonts w:cs="Courier New"/>
          <w:sz w:val="18"/>
        </w:rPr>
        <w:t xml:space="preserve">, </w:t>
      </w:r>
      <w:r w:rsidRPr="009341F3">
        <w:rPr>
          <w:rFonts w:cs="Courier New"/>
          <w:i/>
          <w:sz w:val="18"/>
        </w:rPr>
        <w:t>supra</w:t>
      </w:r>
      <w:r w:rsidRPr="008E217D">
        <w:rPr>
          <w:rFonts w:cs="Courier New"/>
          <w:sz w:val="18"/>
        </w:rPr>
        <w:t xml:space="preserve"> n.22, at 56.</w:t>
      </w:r>
    </w:p>
  </w:footnote>
  <w:footnote w:id="51">
    <w:p w:rsidR="00A20282" w:rsidRPr="008E217D" w:rsidRDefault="00A20282" w:rsidP="008E217D">
      <w:pPr>
        <w:pStyle w:val="FootnoteText"/>
        <w:spacing w:after="120"/>
        <w:rPr>
          <w:sz w:val="18"/>
        </w:rPr>
      </w:pPr>
      <w:r w:rsidRPr="008E217D">
        <w:rPr>
          <w:rStyle w:val="FootnoteReference"/>
          <w:sz w:val="18"/>
        </w:rPr>
        <w:footnoteRef/>
      </w:r>
      <w:r w:rsidRPr="008E217D">
        <w:rPr>
          <w:sz w:val="18"/>
        </w:rPr>
        <w:t xml:space="preserve"> </w:t>
      </w:r>
      <w:r w:rsidR="009213C7">
        <w:rPr>
          <w:sz w:val="18"/>
        </w:rPr>
        <w:t xml:space="preserve">Karen Armstrong, </w:t>
      </w:r>
      <w:r w:rsidR="009213C7" w:rsidRPr="009213C7">
        <w:rPr>
          <w:i/>
          <w:sz w:val="18"/>
        </w:rPr>
        <w:t>The Great Transformation: The Beginning of our Religious Traditions</w:t>
      </w:r>
      <w:r w:rsidRPr="008E217D">
        <w:rPr>
          <w:rFonts w:cs="Courier New"/>
          <w:sz w:val="18"/>
        </w:rPr>
        <w:t xml:space="preserve"> (2006).</w:t>
      </w:r>
    </w:p>
  </w:footnote>
  <w:footnote w:id="52">
    <w:p w:rsidR="00A20282" w:rsidRPr="008E217D" w:rsidRDefault="00A20282" w:rsidP="008E217D">
      <w:pPr>
        <w:pStyle w:val="FootnoteText"/>
        <w:spacing w:after="120"/>
        <w:rPr>
          <w:sz w:val="18"/>
        </w:rPr>
      </w:pPr>
      <w:r w:rsidRPr="008E217D">
        <w:rPr>
          <w:rStyle w:val="FootnoteReference"/>
          <w:sz w:val="18"/>
        </w:rPr>
        <w:footnoteRef/>
      </w:r>
      <w:r w:rsidRPr="008E217D">
        <w:rPr>
          <w:sz w:val="18"/>
        </w:rPr>
        <w:t xml:space="preserve"> </w:t>
      </w:r>
      <w:r w:rsidRPr="009213C7">
        <w:rPr>
          <w:rFonts w:cs="Courier New"/>
          <w:i/>
          <w:sz w:val="18"/>
        </w:rPr>
        <w:t>Id</w:t>
      </w:r>
      <w:r w:rsidRPr="008E217D">
        <w:rPr>
          <w:rFonts w:cs="Courier New"/>
          <w:sz w:val="18"/>
        </w:rPr>
        <w:t>. at xviii-xix.</w:t>
      </w:r>
    </w:p>
  </w:footnote>
  <w:footnote w:id="53">
    <w:p w:rsidR="00A20282" w:rsidRPr="008E217D" w:rsidRDefault="00A20282" w:rsidP="008E217D">
      <w:pPr>
        <w:pStyle w:val="FootnoteText"/>
        <w:spacing w:after="120"/>
        <w:rPr>
          <w:sz w:val="18"/>
        </w:rPr>
      </w:pPr>
      <w:r w:rsidRPr="008E217D">
        <w:rPr>
          <w:rStyle w:val="FootnoteReference"/>
          <w:sz w:val="18"/>
        </w:rPr>
        <w:footnoteRef/>
      </w:r>
      <w:r w:rsidRPr="008E217D">
        <w:rPr>
          <w:sz w:val="18"/>
        </w:rPr>
        <w:t xml:space="preserve"> </w:t>
      </w:r>
      <w:r w:rsidR="009213C7">
        <w:rPr>
          <w:sz w:val="18"/>
        </w:rPr>
        <w:t xml:space="preserve">Roy Stuckey and others, </w:t>
      </w:r>
      <w:r w:rsidR="009213C7" w:rsidRPr="009213C7">
        <w:rPr>
          <w:i/>
          <w:sz w:val="18"/>
        </w:rPr>
        <w:t>Best Practice for Legal Education</w:t>
      </w:r>
      <w:r w:rsidRPr="008E217D">
        <w:rPr>
          <w:rFonts w:cs="Courier New"/>
          <w:sz w:val="18"/>
        </w:rPr>
        <w:t xml:space="preserve"> 111 (CLEA 2007).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59A"/>
    <w:rsid w:val="000537F7"/>
    <w:rsid w:val="0031089E"/>
    <w:rsid w:val="003C04F1"/>
    <w:rsid w:val="00480698"/>
    <w:rsid w:val="006851EA"/>
    <w:rsid w:val="0075667C"/>
    <w:rsid w:val="0078476A"/>
    <w:rsid w:val="008D7A18"/>
    <w:rsid w:val="008E217D"/>
    <w:rsid w:val="009213C7"/>
    <w:rsid w:val="009341F3"/>
    <w:rsid w:val="00A20282"/>
    <w:rsid w:val="00B17C97"/>
    <w:rsid w:val="00B34AEC"/>
    <w:rsid w:val="00BF5385"/>
    <w:rsid w:val="00D27EC3"/>
    <w:rsid w:val="00D765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89E"/>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1089E"/>
    <w:pPr>
      <w:spacing w:after="0" w:line="240" w:lineRule="auto"/>
    </w:pPr>
    <w:rPr>
      <w:sz w:val="20"/>
      <w:szCs w:val="20"/>
    </w:rPr>
  </w:style>
  <w:style w:type="character" w:customStyle="1" w:styleId="FootnoteTextChar">
    <w:name w:val="Footnote Text Char"/>
    <w:link w:val="FootnoteText"/>
    <w:uiPriority w:val="99"/>
    <w:semiHidden/>
    <w:rsid w:val="0031089E"/>
    <w:rPr>
      <w:sz w:val="20"/>
      <w:szCs w:val="20"/>
    </w:rPr>
  </w:style>
  <w:style w:type="character" w:styleId="FootnoteReference">
    <w:name w:val="footnote reference"/>
    <w:uiPriority w:val="99"/>
    <w:semiHidden/>
    <w:unhideWhenUsed/>
    <w:rsid w:val="0031089E"/>
    <w:rPr>
      <w:vertAlign w:val="superscript"/>
    </w:rPr>
  </w:style>
  <w:style w:type="character" w:styleId="Hyperlink">
    <w:name w:val="Hyperlink"/>
    <w:uiPriority w:val="99"/>
    <w:unhideWhenUsed/>
    <w:rsid w:val="003C04F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89E"/>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1089E"/>
    <w:pPr>
      <w:spacing w:after="0" w:line="240" w:lineRule="auto"/>
    </w:pPr>
    <w:rPr>
      <w:sz w:val="20"/>
      <w:szCs w:val="20"/>
    </w:rPr>
  </w:style>
  <w:style w:type="character" w:customStyle="1" w:styleId="FootnoteTextChar">
    <w:name w:val="Footnote Text Char"/>
    <w:link w:val="FootnoteText"/>
    <w:uiPriority w:val="99"/>
    <w:semiHidden/>
    <w:rsid w:val="0031089E"/>
    <w:rPr>
      <w:sz w:val="20"/>
      <w:szCs w:val="20"/>
    </w:rPr>
  </w:style>
  <w:style w:type="character" w:styleId="FootnoteReference">
    <w:name w:val="footnote reference"/>
    <w:uiPriority w:val="99"/>
    <w:semiHidden/>
    <w:unhideWhenUsed/>
    <w:rsid w:val="0031089E"/>
    <w:rPr>
      <w:vertAlign w:val="superscript"/>
    </w:rPr>
  </w:style>
  <w:style w:type="character" w:styleId="Hyperlink">
    <w:name w:val="Hyperlink"/>
    <w:uiPriority w:val="99"/>
    <w:unhideWhenUsed/>
    <w:rsid w:val="003C04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stmarks.net/christian_ed/functional_education/intro.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F29305-5045-4AC2-9B38-DF28185C5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6098</Words>
  <Characters>34765</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40782</CharactersWithSpaces>
  <SharedDoc>false</SharedDoc>
  <HLinks>
    <vt:vector size="6" baseType="variant">
      <vt:variant>
        <vt:i4>8192061</vt:i4>
      </vt:variant>
      <vt:variant>
        <vt:i4>0</vt:i4>
      </vt:variant>
      <vt:variant>
        <vt:i4>0</vt:i4>
      </vt:variant>
      <vt:variant>
        <vt:i4>5</vt:i4>
      </vt:variant>
      <vt:variant>
        <vt:lpwstr>http://www.stmarks.net/christian_ed/functional_education/intro.html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Burns</dc:creator>
  <cp:lastModifiedBy>Paul Burns</cp:lastModifiedBy>
  <cp:revision>2</cp:revision>
  <dcterms:created xsi:type="dcterms:W3CDTF">2016-07-12T15:42:00Z</dcterms:created>
  <dcterms:modified xsi:type="dcterms:W3CDTF">2016-07-12T15:42:00Z</dcterms:modified>
</cp:coreProperties>
</file>