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6AC2B" w14:textId="07ECDE55" w:rsidR="008F24C2" w:rsidRPr="00D82F02" w:rsidRDefault="00734CD5" w:rsidP="00D82F02">
      <w:pPr>
        <w:pStyle w:val="Body"/>
        <w:spacing w:line="480" w:lineRule="auto"/>
        <w:jc w:val="both"/>
        <w:rPr>
          <w:rFonts w:ascii="Palatino Linotype" w:eastAsia="Times New Roman Bold" w:hAnsi="Palatino Linotype" w:cs="Times New Roman"/>
          <w:sz w:val="28"/>
          <w:szCs w:val="28"/>
        </w:rPr>
      </w:pPr>
      <w:r w:rsidRPr="00D82F02">
        <w:rPr>
          <w:rFonts w:ascii="Palatino Linotype" w:hAnsi="Palatino Linotype" w:cs="Times New Roman"/>
          <w:sz w:val="28"/>
          <w:szCs w:val="28"/>
        </w:rPr>
        <w:t>THE FINANCIAL CHALLENGES OF CLINICAL LEGAL EDUCATION</w:t>
      </w:r>
      <w:r w:rsidR="00F43FCD" w:rsidRPr="00D82F02">
        <w:rPr>
          <w:rFonts w:ascii="Palatino Linotype" w:hAnsi="Palatino Linotype" w:cs="Times New Roman"/>
          <w:sz w:val="28"/>
          <w:szCs w:val="28"/>
        </w:rPr>
        <w:t>: AN</w:t>
      </w:r>
      <w:r w:rsidRPr="00D82F02">
        <w:rPr>
          <w:rFonts w:ascii="Palatino Linotype" w:hAnsi="Palatino Linotype" w:cs="Times New Roman"/>
          <w:sz w:val="28"/>
          <w:szCs w:val="28"/>
        </w:rPr>
        <w:t xml:space="preserve"> EXAMPLE FROM </w:t>
      </w:r>
      <w:r w:rsidR="00F43FCD" w:rsidRPr="00D82F02">
        <w:rPr>
          <w:rFonts w:ascii="Palatino Linotype" w:hAnsi="Palatino Linotype" w:cs="Times New Roman"/>
          <w:sz w:val="28"/>
          <w:szCs w:val="28"/>
        </w:rPr>
        <w:t xml:space="preserve">A </w:t>
      </w:r>
      <w:r w:rsidRPr="00D82F02">
        <w:rPr>
          <w:rFonts w:ascii="Palatino Linotype" w:hAnsi="Palatino Linotype" w:cs="Times New Roman"/>
          <w:sz w:val="28"/>
          <w:szCs w:val="28"/>
        </w:rPr>
        <w:t>ZAGREB LAW CLINIC</w:t>
      </w:r>
    </w:p>
    <w:p w14:paraId="2227D9F8" w14:textId="213D0FDD" w:rsidR="008F24C2" w:rsidRPr="00D82F02" w:rsidRDefault="00D82F02" w:rsidP="00D82F02">
      <w:pPr>
        <w:pStyle w:val="Body"/>
        <w:spacing w:line="480" w:lineRule="auto"/>
        <w:jc w:val="both"/>
        <w:rPr>
          <w:rFonts w:ascii="Palatino Linotype" w:eastAsia="Times New Roman Bold" w:hAnsi="Palatino Linotype" w:cs="Times New Roman"/>
          <w:sz w:val="24"/>
          <w:szCs w:val="24"/>
        </w:rPr>
      </w:pPr>
      <w:r>
        <w:rPr>
          <w:rFonts w:ascii="Palatino Linotype" w:eastAsia="Times New Roman Bold" w:hAnsi="Palatino Linotype" w:cs="Times New Roman"/>
          <w:sz w:val="24"/>
          <w:szCs w:val="24"/>
        </w:rPr>
        <w:t xml:space="preserve">Barbara </w:t>
      </w:r>
      <w:proofErr w:type="spellStart"/>
      <w:r w:rsidRPr="00D82F02">
        <w:rPr>
          <w:rFonts w:ascii="Palatino Linotype" w:eastAsia="Times New Roman Bold" w:hAnsi="Palatino Linotype" w:cs="Times New Roman"/>
          <w:sz w:val="24"/>
          <w:szCs w:val="24"/>
        </w:rPr>
        <w:t>Preložnjak</w:t>
      </w:r>
      <w:proofErr w:type="spellEnd"/>
      <w:r>
        <w:rPr>
          <w:rFonts w:ascii="Palatino Linotype" w:eastAsia="Times New Roman Bold" w:hAnsi="Palatino Linotype" w:cs="Times New Roman"/>
          <w:sz w:val="24"/>
          <w:szCs w:val="24"/>
        </w:rPr>
        <w:t xml:space="preserve"> and </w:t>
      </w:r>
      <w:proofErr w:type="spellStart"/>
      <w:r w:rsidRPr="00D82F02">
        <w:rPr>
          <w:rFonts w:ascii="Palatino Linotype" w:eastAsia="Times New Roman Bold" w:hAnsi="Palatino Linotype" w:cs="Times New Roman"/>
          <w:sz w:val="24"/>
          <w:szCs w:val="24"/>
        </w:rPr>
        <w:t>Juraj</w:t>
      </w:r>
      <w:proofErr w:type="spellEnd"/>
      <w:r w:rsidRPr="00D82F02">
        <w:rPr>
          <w:rFonts w:ascii="Palatino Linotype" w:eastAsia="Times New Roman Bold" w:hAnsi="Palatino Linotype" w:cs="Times New Roman"/>
          <w:sz w:val="24"/>
          <w:szCs w:val="24"/>
        </w:rPr>
        <w:t xml:space="preserve"> </w:t>
      </w:r>
      <w:proofErr w:type="spellStart"/>
      <w:r w:rsidRPr="00D82F02">
        <w:rPr>
          <w:rFonts w:ascii="Palatino Linotype" w:eastAsia="Times New Roman Bold" w:hAnsi="Palatino Linotype" w:cs="Times New Roman"/>
          <w:sz w:val="24"/>
          <w:szCs w:val="24"/>
        </w:rPr>
        <w:t>Brozović</w:t>
      </w:r>
      <w:proofErr w:type="spellEnd"/>
      <w:r w:rsidRPr="00D82F02">
        <w:rPr>
          <w:rFonts w:ascii="Palatino Linotype" w:eastAsia="Times New Roman" w:hAnsi="Palatino Linotype" w:cs="Times New Roman"/>
          <w:b/>
          <w:sz w:val="24"/>
          <w:szCs w:val="24"/>
          <w:vertAlign w:val="superscript"/>
        </w:rPr>
        <w:footnoteReference w:customMarkFollows="1" w:id="2"/>
        <w:t>***</w:t>
      </w:r>
    </w:p>
    <w:p w14:paraId="19ED7BFA" w14:textId="75E46821" w:rsidR="00D82F02" w:rsidRPr="00D82F02" w:rsidRDefault="00D82F02" w:rsidP="00D82F02">
      <w:pPr>
        <w:pStyle w:val="Body"/>
        <w:spacing w:line="480" w:lineRule="auto"/>
        <w:jc w:val="both"/>
        <w:rPr>
          <w:rFonts w:ascii="Palatino Linotype" w:eastAsia="Times New Roman Bold" w:hAnsi="Palatino Linotype" w:cs="Times New Roman"/>
          <w:sz w:val="24"/>
          <w:szCs w:val="24"/>
        </w:rPr>
      </w:pPr>
      <w:r>
        <w:rPr>
          <w:rFonts w:ascii="Palatino Linotype" w:eastAsia="Times New Roman Bold" w:hAnsi="Palatino Linotype" w:cs="Times New Roman"/>
          <w:sz w:val="24"/>
          <w:szCs w:val="24"/>
        </w:rPr>
        <w:t>University of Zagreb, Croatia</w:t>
      </w:r>
    </w:p>
    <w:p w14:paraId="6DE1CBBE" w14:textId="4B8AD214" w:rsidR="008F24C2" w:rsidRPr="00D82F02" w:rsidRDefault="00734CD5" w:rsidP="00D82F02">
      <w:pPr>
        <w:pStyle w:val="Body"/>
        <w:spacing w:line="360" w:lineRule="auto"/>
        <w:jc w:val="both"/>
        <w:rPr>
          <w:rFonts w:ascii="Palatino Linotype" w:eastAsia="Times New Roman" w:hAnsi="Palatino Linotype" w:cs="Times New Roman"/>
          <w:i/>
          <w:iCs/>
          <w:sz w:val="24"/>
          <w:szCs w:val="24"/>
        </w:rPr>
      </w:pPr>
      <w:r w:rsidRPr="00D82F02">
        <w:rPr>
          <w:rFonts w:ascii="Palatino Linotype" w:eastAsia="Times New Roman" w:hAnsi="Palatino Linotype" w:cs="Times New Roman"/>
          <w:i/>
          <w:iCs/>
          <w:sz w:val="24"/>
          <w:szCs w:val="24"/>
        </w:rPr>
        <w:t>Authors lay out the debate over the composition and direction of legal education in an era of law school</w:t>
      </w:r>
      <w:r w:rsidR="00BA6BC5" w:rsidRPr="00D82F02">
        <w:rPr>
          <w:rFonts w:ascii="Palatino Linotype" w:eastAsia="Times New Roman" w:hAnsi="Palatino Linotype" w:cs="Times New Roman"/>
          <w:i/>
          <w:iCs/>
          <w:sz w:val="24"/>
          <w:szCs w:val="24"/>
        </w:rPr>
        <w:t>’</w:t>
      </w:r>
      <w:r w:rsidRPr="00D82F02">
        <w:rPr>
          <w:rFonts w:ascii="Palatino Linotype" w:eastAsia="Times New Roman" w:hAnsi="Palatino Linotype" w:cs="Times New Roman"/>
          <w:i/>
          <w:iCs/>
          <w:sz w:val="24"/>
          <w:szCs w:val="24"/>
        </w:rPr>
        <w:t>s curriculum reform and limited financial resources. Croatian Legal Aid Act created an opportunity for law students to become more actively involved in delivering primarily legal aid to local community. If law schools are not sufficiently financially resourced, they can hardly equip students with the needed skills to practice law and provide legal aid. Finally, the authors argue who should play a guiding role in financing a clinical legal education in law schools that are focused on educating students as social justice lawyers.</w:t>
      </w:r>
    </w:p>
    <w:p w14:paraId="0E3886EC" w14:textId="77777777" w:rsidR="008F24C2" w:rsidRPr="00D82F02" w:rsidRDefault="00734CD5" w:rsidP="00D82F02">
      <w:pPr>
        <w:pStyle w:val="Body"/>
        <w:spacing w:line="480" w:lineRule="auto"/>
        <w:jc w:val="both"/>
        <w:rPr>
          <w:rFonts w:ascii="Palatino Linotype" w:eastAsia="Times New Roman" w:hAnsi="Palatino Linotype" w:cs="Times New Roman"/>
          <w:i/>
          <w:iCs/>
          <w:sz w:val="24"/>
          <w:szCs w:val="24"/>
        </w:rPr>
      </w:pPr>
      <w:r w:rsidRPr="00D82F02">
        <w:rPr>
          <w:rFonts w:ascii="Palatino Linotype" w:eastAsia="Times New Roman" w:hAnsi="Palatino Linotype" w:cs="Times New Roman"/>
          <w:i/>
          <w:iCs/>
          <w:sz w:val="24"/>
          <w:szCs w:val="24"/>
        </w:rPr>
        <w:tab/>
        <w:t xml:space="preserve">Keywords: clinical legal education, legal aid, financial sustainability </w:t>
      </w:r>
    </w:p>
    <w:p w14:paraId="7F5755A7" w14:textId="77777777" w:rsidR="008F24C2" w:rsidRPr="00D82F02" w:rsidRDefault="008F24C2" w:rsidP="00D82F02">
      <w:pPr>
        <w:pStyle w:val="Body"/>
        <w:spacing w:line="480" w:lineRule="auto"/>
        <w:jc w:val="both"/>
        <w:rPr>
          <w:rFonts w:ascii="Palatino Linotype" w:eastAsia="Times New Roman Bold" w:hAnsi="Palatino Linotype" w:cs="Times New Roman"/>
          <w:sz w:val="24"/>
          <w:szCs w:val="24"/>
        </w:rPr>
      </w:pPr>
    </w:p>
    <w:p w14:paraId="547DEF23" w14:textId="66286690" w:rsidR="008F24C2" w:rsidRPr="00D82F02" w:rsidRDefault="003F5990" w:rsidP="00D82F02">
      <w:pPr>
        <w:pStyle w:val="Body"/>
        <w:numPr>
          <w:ilvl w:val="0"/>
          <w:numId w:val="3"/>
        </w:numPr>
        <w:tabs>
          <w:tab w:val="num" w:pos="416"/>
        </w:tabs>
        <w:spacing w:line="480" w:lineRule="auto"/>
        <w:ind w:left="416" w:hanging="416"/>
        <w:jc w:val="both"/>
        <w:rPr>
          <w:rFonts w:ascii="Palatino Linotype" w:eastAsia="Times New Roman" w:hAnsi="Palatino Linotype" w:cs="Times New Roman"/>
          <w:b/>
          <w:sz w:val="24"/>
          <w:szCs w:val="24"/>
        </w:rPr>
      </w:pPr>
      <w:r w:rsidRPr="00D82F02">
        <w:rPr>
          <w:rFonts w:ascii="Palatino Linotype" w:hAnsi="Palatino Linotype" w:cs="Times New Roman"/>
          <w:b/>
          <w:sz w:val="24"/>
          <w:szCs w:val="24"/>
        </w:rPr>
        <w:t xml:space="preserve">INTRODUCTION </w:t>
      </w:r>
    </w:p>
    <w:p w14:paraId="43EE5D5C" w14:textId="1E0C7A8F" w:rsidR="008F24C2" w:rsidRPr="00D82F02" w:rsidRDefault="00734CD5" w:rsidP="00D82F02">
      <w:pPr>
        <w:pStyle w:val="Body"/>
        <w:spacing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ab/>
        <w:t xml:space="preserve">The concept of practical problem solving is an important means of developing skills </w:t>
      </w:r>
      <w:r w:rsidR="00FC7860" w:rsidRPr="00D82F02">
        <w:rPr>
          <w:rFonts w:ascii="Palatino Linotype" w:eastAsia="Times New Roman" w:hAnsi="Palatino Linotype" w:cs="Times New Roman"/>
          <w:sz w:val="24"/>
          <w:szCs w:val="24"/>
        </w:rPr>
        <w:t xml:space="preserve">which </w:t>
      </w:r>
      <w:r w:rsidRPr="00D82F02">
        <w:rPr>
          <w:rFonts w:ascii="Palatino Linotype" w:eastAsia="Times New Roman" w:hAnsi="Palatino Linotype" w:cs="Times New Roman"/>
          <w:sz w:val="24"/>
          <w:szCs w:val="24"/>
        </w:rPr>
        <w:t xml:space="preserve">employers are expecting </w:t>
      </w:r>
      <w:r w:rsidRPr="00D82F02">
        <w:rPr>
          <w:rFonts w:ascii="Palatino Linotype" w:hAnsi="Palatino Linotype" w:cs="Times New Roman"/>
          <w:sz w:val="24"/>
          <w:szCs w:val="24"/>
        </w:rPr>
        <w:t xml:space="preserve">from young lawyers on </w:t>
      </w:r>
      <w:r w:rsidR="00FC7860" w:rsidRPr="00D82F02">
        <w:rPr>
          <w:rFonts w:ascii="Palatino Linotype" w:hAnsi="Palatino Linotype" w:cs="Times New Roman"/>
          <w:sz w:val="24"/>
          <w:szCs w:val="24"/>
        </w:rPr>
        <w:t xml:space="preserve">the </w:t>
      </w:r>
      <w:r w:rsidRPr="00D82F02">
        <w:rPr>
          <w:rFonts w:ascii="Palatino Linotype" w:hAnsi="Palatino Linotype" w:cs="Times New Roman"/>
          <w:sz w:val="24"/>
          <w:szCs w:val="24"/>
        </w:rPr>
        <w:lastRenderedPageBreak/>
        <w:t>labour market.</w:t>
      </w:r>
      <w:r w:rsidR="00081B63" w:rsidRPr="00D82F02">
        <w:rPr>
          <w:rStyle w:val="FootnoteReference"/>
          <w:rFonts w:ascii="Palatino Linotype" w:hAnsi="Palatino Linotype" w:cs="Times New Roman"/>
          <w:sz w:val="24"/>
          <w:szCs w:val="24"/>
        </w:rPr>
        <w:footnoteReference w:id="3"/>
      </w:r>
      <w:r w:rsidRPr="00D82F02">
        <w:rPr>
          <w:rFonts w:ascii="Palatino Linotype" w:hAnsi="Palatino Linotype" w:cs="Times New Roman"/>
          <w:sz w:val="24"/>
          <w:szCs w:val="24"/>
        </w:rPr>
        <w:t xml:space="preserve"> Therefore, modern law school curriculums require that they increase the quantity and quality of experiential education provided to students. Clinical legal education is one form of experiential education which </w:t>
      </w:r>
      <w:r w:rsidR="0079683D" w:rsidRPr="00D82F02">
        <w:rPr>
          <w:rFonts w:ascii="Palatino Linotype" w:hAnsi="Palatino Linotype" w:cs="Times New Roman"/>
          <w:sz w:val="24"/>
          <w:szCs w:val="24"/>
        </w:rPr>
        <w:t xml:space="preserve">has grown </w:t>
      </w:r>
      <w:r w:rsidRPr="00D82F02">
        <w:rPr>
          <w:rFonts w:ascii="Palatino Linotype" w:hAnsi="Palatino Linotype" w:cs="Times New Roman"/>
          <w:sz w:val="24"/>
          <w:szCs w:val="24"/>
        </w:rPr>
        <w:t>in importance globally due to its potential to improve the quality of legal education.</w:t>
      </w:r>
      <w:r w:rsidR="00410148" w:rsidRPr="00D82F02">
        <w:rPr>
          <w:rStyle w:val="FootnoteReference"/>
          <w:rFonts w:ascii="Palatino Linotype" w:hAnsi="Palatino Linotype" w:cs="Times New Roman"/>
          <w:sz w:val="24"/>
          <w:szCs w:val="24"/>
        </w:rPr>
        <w:footnoteReference w:id="4"/>
      </w:r>
      <w:r w:rsidRPr="00D82F02">
        <w:rPr>
          <w:rFonts w:ascii="Palatino Linotype" w:hAnsi="Palatino Linotype" w:cs="Times New Roman"/>
          <w:sz w:val="24"/>
          <w:szCs w:val="24"/>
        </w:rPr>
        <w:t xml:space="preserve"> Clinical legal education aims at developing the perception, attitudes, skills and sense of responsibilities which lawyers are expected to </w:t>
      </w:r>
      <w:r w:rsidR="0079683D" w:rsidRPr="00D82F02">
        <w:rPr>
          <w:rFonts w:ascii="Palatino Linotype" w:hAnsi="Palatino Linotype" w:cs="Times New Roman"/>
          <w:sz w:val="24"/>
          <w:szCs w:val="24"/>
        </w:rPr>
        <w:t xml:space="preserve"> possess </w:t>
      </w:r>
      <w:r w:rsidRPr="00D82F02">
        <w:rPr>
          <w:rFonts w:ascii="Palatino Linotype" w:hAnsi="Palatino Linotype" w:cs="Times New Roman"/>
          <w:sz w:val="24"/>
          <w:szCs w:val="24"/>
        </w:rPr>
        <w:t xml:space="preserve"> when they complete their professional education</w:t>
      </w:r>
      <w:r w:rsidRPr="00D82F02">
        <w:rPr>
          <w:rFonts w:ascii="Palatino Linotype" w:eastAsia="Times New Roman" w:hAnsi="Palatino Linotype" w:cs="Times New Roman"/>
          <w:sz w:val="24"/>
          <w:szCs w:val="24"/>
          <w:vertAlign w:val="superscript"/>
        </w:rPr>
        <w:footnoteReference w:id="5"/>
      </w:r>
      <w:r w:rsidRPr="00D82F02">
        <w:rPr>
          <w:rFonts w:ascii="Palatino Linotype" w:hAnsi="Palatino Linotype" w:cs="Times New Roman"/>
          <w:sz w:val="24"/>
          <w:szCs w:val="24"/>
        </w:rPr>
        <w:t xml:space="preserve"> Thus, clinical legal education provides students with opportunities for professional and intellectual development and prepares them for the practice of law.</w:t>
      </w:r>
      <w:r w:rsidRPr="00D82F02">
        <w:rPr>
          <w:rFonts w:ascii="Palatino Linotype" w:eastAsia="Times New Roman" w:hAnsi="Palatino Linotype" w:cs="Times New Roman"/>
          <w:sz w:val="24"/>
          <w:szCs w:val="24"/>
          <w:vertAlign w:val="superscript"/>
        </w:rPr>
        <w:footnoteReference w:id="6"/>
      </w:r>
      <w:r w:rsidRPr="00D82F02">
        <w:rPr>
          <w:rFonts w:ascii="Palatino Linotype" w:hAnsi="Palatino Linotype" w:cs="Times New Roman"/>
          <w:sz w:val="24"/>
          <w:szCs w:val="24"/>
        </w:rPr>
        <w:t xml:space="preserve"> </w:t>
      </w:r>
    </w:p>
    <w:p w14:paraId="19C0AF4B" w14:textId="05EA1787" w:rsidR="008F24C2" w:rsidRDefault="00734CD5" w:rsidP="00D82F02">
      <w:pPr>
        <w:pStyle w:val="Body"/>
        <w:spacing w:line="480" w:lineRule="auto"/>
        <w:jc w:val="both"/>
        <w:rPr>
          <w:rFonts w:ascii="Palatino Linotype" w:hAnsi="Palatino Linotype" w:cs="Times New Roman"/>
          <w:sz w:val="24"/>
          <w:szCs w:val="24"/>
        </w:rPr>
      </w:pPr>
      <w:r w:rsidRPr="00D82F02">
        <w:rPr>
          <w:rFonts w:ascii="Palatino Linotype" w:eastAsia="Times New Roman" w:hAnsi="Palatino Linotype" w:cs="Times New Roman"/>
          <w:sz w:val="24"/>
          <w:szCs w:val="24"/>
        </w:rPr>
        <w:t xml:space="preserve">The article is divided in four parts. The first part examines the role of clinical legal education at law schools and </w:t>
      </w:r>
      <w:r w:rsidR="00031C59" w:rsidRPr="00D82F02">
        <w:rPr>
          <w:rFonts w:ascii="Palatino Linotype" w:eastAsia="Times New Roman" w:hAnsi="Palatino Linotype" w:cs="Times New Roman"/>
          <w:sz w:val="24"/>
          <w:szCs w:val="24"/>
        </w:rPr>
        <w:t xml:space="preserve">their service to </w:t>
      </w:r>
      <w:r w:rsidRPr="00D82F02">
        <w:rPr>
          <w:rFonts w:ascii="Palatino Linotype" w:hAnsi="Palatino Linotype" w:cs="Times New Roman"/>
          <w:sz w:val="24"/>
          <w:szCs w:val="24"/>
        </w:rPr>
        <w:t xml:space="preserve">the local community. The second section briefly discusses the financial challenges that law schools face when they want to introduce and sustain a clinical curriculum. The third section presents an example of financial sustainability of clinical legal education at </w:t>
      </w:r>
      <w:r w:rsidRPr="00D82F02">
        <w:rPr>
          <w:rFonts w:ascii="Palatino Linotype" w:hAnsi="Palatino Linotype" w:cs="Times New Roman"/>
          <w:sz w:val="24"/>
          <w:szCs w:val="24"/>
        </w:rPr>
        <w:lastRenderedPageBreak/>
        <w:t>Zagreb Law School (the Law School).</w:t>
      </w:r>
      <w:r w:rsidR="00482BB5" w:rsidRPr="00D82F02">
        <w:rPr>
          <w:rStyle w:val="FootnoteReference"/>
          <w:rFonts w:ascii="Palatino Linotype" w:hAnsi="Palatino Linotype" w:cs="Times New Roman"/>
          <w:sz w:val="24"/>
          <w:szCs w:val="24"/>
        </w:rPr>
        <w:footnoteReference w:id="7"/>
      </w:r>
      <w:r w:rsidRPr="00D82F02">
        <w:rPr>
          <w:rFonts w:ascii="Palatino Linotype" w:hAnsi="Palatino Linotype" w:cs="Times New Roman"/>
          <w:sz w:val="24"/>
          <w:szCs w:val="24"/>
        </w:rPr>
        <w:t xml:space="preserve"> Finally, the fourth section discusses the general financial implications for clinical legal education sustainability based on the Zagreb Law Clinic</w:t>
      </w:r>
      <w:r w:rsidR="0079683D" w:rsidRPr="00D82F02">
        <w:rPr>
          <w:rFonts w:ascii="Palatino Linotype" w:hAnsi="Palatino Linotype" w:cs="Times New Roman"/>
          <w:sz w:val="24"/>
          <w:szCs w:val="24"/>
        </w:rPr>
        <w:t xml:space="preserve"> (</w:t>
      </w:r>
      <w:r w:rsidR="00FD4CE5" w:rsidRPr="00D82F02">
        <w:rPr>
          <w:rFonts w:ascii="Palatino Linotype" w:hAnsi="Palatino Linotype" w:cs="Times New Roman"/>
          <w:sz w:val="24"/>
          <w:szCs w:val="24"/>
        </w:rPr>
        <w:t xml:space="preserve">the </w:t>
      </w:r>
      <w:r w:rsidR="0079683D" w:rsidRPr="00D82F02">
        <w:rPr>
          <w:rFonts w:ascii="Palatino Linotype" w:hAnsi="Palatino Linotype" w:cs="Times New Roman"/>
          <w:sz w:val="24"/>
          <w:szCs w:val="24"/>
        </w:rPr>
        <w:t>Law Clinic)</w:t>
      </w:r>
      <w:r w:rsidRPr="00D82F02">
        <w:rPr>
          <w:rFonts w:ascii="Palatino Linotype" w:hAnsi="Palatino Linotype" w:cs="Times New Roman"/>
          <w:sz w:val="24"/>
          <w:szCs w:val="24"/>
        </w:rPr>
        <w:t xml:space="preserve"> experience and discusses whether clinical legal education should be  as </w:t>
      </w:r>
      <w:r w:rsidR="0079683D" w:rsidRPr="00D82F02">
        <w:rPr>
          <w:rFonts w:ascii="Palatino Linotype" w:hAnsi="Palatino Linotype" w:cs="Times New Roman"/>
          <w:sz w:val="24"/>
          <w:szCs w:val="24"/>
        </w:rPr>
        <w:t xml:space="preserve">done so </w:t>
      </w:r>
      <w:r w:rsidRPr="00D82F02">
        <w:rPr>
          <w:rFonts w:ascii="Palatino Linotype" w:hAnsi="Palatino Linotype" w:cs="Times New Roman"/>
          <w:sz w:val="24"/>
          <w:szCs w:val="24"/>
        </w:rPr>
        <w:t>traditionally, financed by law school</w:t>
      </w:r>
      <w:r w:rsidR="00934F7D" w:rsidRPr="00D82F02">
        <w:rPr>
          <w:rFonts w:ascii="Palatino Linotype" w:hAnsi="Palatino Linotype" w:cs="Times New Roman"/>
          <w:sz w:val="24"/>
          <w:szCs w:val="24"/>
        </w:rPr>
        <w:t>,</w:t>
      </w:r>
      <w:r w:rsidRPr="00D82F02">
        <w:rPr>
          <w:rFonts w:ascii="Palatino Linotype" w:hAnsi="Palatino Linotype" w:cs="Times New Roman"/>
          <w:sz w:val="24"/>
          <w:szCs w:val="24"/>
        </w:rPr>
        <w:t xml:space="preserve"> or if the burden should be </w:t>
      </w:r>
      <w:r w:rsidR="0079683D" w:rsidRPr="00D82F02">
        <w:rPr>
          <w:rFonts w:ascii="Palatino Linotype" w:hAnsi="Palatino Linotype" w:cs="Times New Roman"/>
          <w:sz w:val="24"/>
          <w:szCs w:val="24"/>
        </w:rPr>
        <w:t xml:space="preserve">also </w:t>
      </w:r>
      <w:r w:rsidRPr="00D82F02">
        <w:rPr>
          <w:rFonts w:ascii="Palatino Linotype" w:hAnsi="Palatino Linotype" w:cs="Times New Roman"/>
          <w:sz w:val="24"/>
          <w:szCs w:val="24"/>
        </w:rPr>
        <w:t xml:space="preserve">divided among legal practitioners, local community </w:t>
      </w:r>
      <w:r w:rsidR="0079683D" w:rsidRPr="00D82F02">
        <w:rPr>
          <w:rFonts w:ascii="Palatino Linotype" w:hAnsi="Palatino Linotype" w:cs="Times New Roman"/>
          <w:sz w:val="24"/>
          <w:szCs w:val="24"/>
        </w:rPr>
        <w:t>and the state.</w:t>
      </w:r>
    </w:p>
    <w:p w14:paraId="00955AE8" w14:textId="77777777" w:rsidR="003F5990" w:rsidRPr="00D82F02" w:rsidRDefault="003F5990" w:rsidP="00D82F02">
      <w:pPr>
        <w:pStyle w:val="Body"/>
        <w:spacing w:line="480" w:lineRule="auto"/>
        <w:jc w:val="both"/>
        <w:rPr>
          <w:rFonts w:ascii="Palatino Linotype" w:eastAsia="Times New Roman" w:hAnsi="Palatino Linotype" w:cs="Times New Roman"/>
          <w:sz w:val="24"/>
          <w:szCs w:val="24"/>
        </w:rPr>
      </w:pPr>
    </w:p>
    <w:p w14:paraId="0CD44C6A" w14:textId="6BBF6406" w:rsidR="008F24C2" w:rsidRPr="00D82F02" w:rsidRDefault="003F5990" w:rsidP="00D82F02">
      <w:pPr>
        <w:pStyle w:val="Body"/>
        <w:numPr>
          <w:ilvl w:val="0"/>
          <w:numId w:val="3"/>
        </w:numPr>
        <w:spacing w:line="480" w:lineRule="auto"/>
        <w:jc w:val="both"/>
        <w:rPr>
          <w:rFonts w:ascii="Palatino Linotype" w:eastAsia="Times New Roman Bold" w:hAnsi="Palatino Linotype" w:cs="Times New Roman"/>
          <w:b/>
          <w:sz w:val="24"/>
          <w:szCs w:val="24"/>
        </w:rPr>
      </w:pPr>
      <w:r w:rsidRPr="00D82F02">
        <w:rPr>
          <w:rFonts w:ascii="Palatino Linotype" w:hAnsi="Palatino Linotype" w:cs="Times New Roman"/>
          <w:b/>
          <w:sz w:val="24"/>
          <w:szCs w:val="24"/>
        </w:rPr>
        <w:t>THE ROLE OF CLINICAL LEGAL EDUCATION</w:t>
      </w:r>
    </w:p>
    <w:p w14:paraId="366457E0" w14:textId="389ACCB0" w:rsidR="008F24C2" w:rsidRPr="00D82F02" w:rsidRDefault="00734CD5" w:rsidP="00D82F02">
      <w:pPr>
        <w:pStyle w:val="Body"/>
        <w:spacing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The intellectual roots of clinical legal education date back in the 1930s when academics at the Yale Law School</w:t>
      </w:r>
      <w:r w:rsidR="0079683D" w:rsidRPr="00D82F02">
        <w:rPr>
          <w:rFonts w:ascii="Palatino Linotype" w:eastAsia="Times New Roman" w:hAnsi="Palatino Linotype" w:cs="Times New Roman"/>
          <w:sz w:val="24"/>
          <w:szCs w:val="24"/>
        </w:rPr>
        <w:t>,</w:t>
      </w:r>
      <w:r w:rsidRPr="00D82F02">
        <w:rPr>
          <w:rFonts w:ascii="Palatino Linotype" w:eastAsia="Times New Roman" w:hAnsi="Palatino Linotype" w:cs="Times New Roman"/>
          <w:sz w:val="24"/>
          <w:szCs w:val="24"/>
        </w:rPr>
        <w:t xml:space="preserve"> together with colleagues at Columbia and one or two other law schools, developed a new approach to the study of law.</w:t>
      </w:r>
      <w:r w:rsidRPr="00D82F02">
        <w:rPr>
          <w:rFonts w:ascii="Palatino Linotype" w:eastAsia="Times New Roman" w:hAnsi="Palatino Linotype" w:cs="Times New Roman"/>
          <w:sz w:val="24"/>
          <w:szCs w:val="24"/>
          <w:vertAlign w:val="superscript"/>
        </w:rPr>
        <w:footnoteReference w:id="8"/>
      </w:r>
      <w:r w:rsidRPr="00D82F02">
        <w:rPr>
          <w:rFonts w:ascii="Palatino Linotype" w:hAnsi="Palatino Linotype" w:cs="Times New Roman"/>
          <w:sz w:val="24"/>
          <w:szCs w:val="24"/>
        </w:rPr>
        <w:t xml:space="preserve"> </w:t>
      </w:r>
      <w:r w:rsidR="00482BB5" w:rsidRPr="00D82F02">
        <w:rPr>
          <w:rFonts w:ascii="Palatino Linotype" w:hAnsi="Palatino Linotype" w:cs="Times New Roman"/>
          <w:sz w:val="24"/>
          <w:szCs w:val="24"/>
        </w:rPr>
        <w:t>Their teaching was based on the idea</w:t>
      </w:r>
      <w:r w:rsidRPr="00D82F02">
        <w:rPr>
          <w:rFonts w:ascii="Palatino Linotype" w:hAnsi="Palatino Linotype" w:cs="Times New Roman"/>
          <w:sz w:val="24"/>
          <w:szCs w:val="24"/>
        </w:rPr>
        <w:t xml:space="preserve"> that law should be used to help solve social and economic problems</w:t>
      </w:r>
      <w:r w:rsidR="005A5CC2" w:rsidRPr="00D82F02">
        <w:rPr>
          <w:rFonts w:ascii="Palatino Linotype" w:hAnsi="Palatino Linotype" w:cs="Times New Roman"/>
          <w:sz w:val="24"/>
          <w:szCs w:val="24"/>
        </w:rPr>
        <w:t>,</w:t>
      </w:r>
      <w:r w:rsidRPr="00D82F02">
        <w:rPr>
          <w:rFonts w:ascii="Palatino Linotype" w:hAnsi="Palatino Linotype" w:cs="Times New Roman"/>
          <w:sz w:val="24"/>
          <w:szCs w:val="24"/>
        </w:rPr>
        <w:t xml:space="preserve"> so students need</w:t>
      </w:r>
      <w:r w:rsidR="0079683D" w:rsidRPr="00D82F02">
        <w:rPr>
          <w:rFonts w:ascii="Palatino Linotype" w:hAnsi="Palatino Linotype" w:cs="Times New Roman"/>
          <w:sz w:val="24"/>
          <w:szCs w:val="24"/>
        </w:rPr>
        <w:t>ed</w:t>
      </w:r>
      <w:r w:rsidRPr="00D82F02">
        <w:rPr>
          <w:rFonts w:ascii="Palatino Linotype" w:hAnsi="Palatino Linotype" w:cs="Times New Roman"/>
          <w:sz w:val="24"/>
          <w:szCs w:val="24"/>
        </w:rPr>
        <w:t xml:space="preserve"> to be encouraged to question existing legal rules and </w:t>
      </w:r>
      <w:r w:rsidR="00934F7D" w:rsidRPr="00D82F02">
        <w:rPr>
          <w:rFonts w:ascii="Palatino Linotype" w:hAnsi="Palatino Linotype" w:cs="Times New Roman"/>
          <w:sz w:val="24"/>
          <w:szCs w:val="24"/>
        </w:rPr>
        <w:t xml:space="preserve">procedures </w:t>
      </w:r>
      <w:r w:rsidRPr="00D82F02">
        <w:rPr>
          <w:rFonts w:ascii="Palatino Linotype" w:hAnsi="Palatino Linotype" w:cs="Times New Roman"/>
          <w:sz w:val="24"/>
          <w:szCs w:val="24"/>
        </w:rPr>
        <w:t>with an aim to learn to think like a lawyer, rather than memorising rules and doctrine.</w:t>
      </w:r>
      <w:r w:rsidRPr="00D82F02">
        <w:rPr>
          <w:rFonts w:ascii="Palatino Linotype" w:eastAsia="Times New Roman" w:hAnsi="Palatino Linotype" w:cs="Times New Roman"/>
          <w:sz w:val="24"/>
          <w:szCs w:val="24"/>
          <w:vertAlign w:val="superscript"/>
        </w:rPr>
        <w:footnoteReference w:id="9"/>
      </w:r>
      <w:r w:rsidRPr="00D82F02">
        <w:rPr>
          <w:rFonts w:ascii="Palatino Linotype" w:hAnsi="Palatino Linotype" w:cs="Times New Roman"/>
          <w:sz w:val="24"/>
          <w:szCs w:val="24"/>
        </w:rPr>
        <w:t xml:space="preserve"> But it was not until the late 1960s that idea of clinical legal education received financial support and found effective advocates.</w:t>
      </w:r>
      <w:r w:rsidRPr="00D82F02">
        <w:rPr>
          <w:rFonts w:ascii="Palatino Linotype" w:eastAsia="Times New Roman" w:hAnsi="Palatino Linotype" w:cs="Times New Roman"/>
          <w:sz w:val="24"/>
          <w:szCs w:val="24"/>
          <w:vertAlign w:val="superscript"/>
        </w:rPr>
        <w:footnoteReference w:id="10"/>
      </w:r>
      <w:r w:rsidRPr="00D82F02">
        <w:rPr>
          <w:rFonts w:ascii="Palatino Linotype" w:hAnsi="Palatino Linotype" w:cs="Times New Roman"/>
          <w:sz w:val="24"/>
          <w:szCs w:val="24"/>
        </w:rPr>
        <w:t xml:space="preserve"> Starting with a small number of demonstration grants in the late '60s and early '70s clinical legal education was introduced into the majority of American law schools.</w:t>
      </w:r>
      <w:r w:rsidRPr="00D82F02">
        <w:rPr>
          <w:rFonts w:ascii="Palatino Linotype" w:eastAsia="Times New Roman" w:hAnsi="Palatino Linotype" w:cs="Times New Roman"/>
          <w:sz w:val="24"/>
          <w:szCs w:val="24"/>
          <w:vertAlign w:val="superscript"/>
        </w:rPr>
        <w:footnoteReference w:id="11"/>
      </w:r>
      <w:r w:rsidRPr="00D82F02">
        <w:rPr>
          <w:rFonts w:ascii="Palatino Linotype" w:hAnsi="Palatino Linotype" w:cs="Times New Roman"/>
          <w:sz w:val="24"/>
          <w:szCs w:val="24"/>
        </w:rPr>
        <w:t xml:space="preserve"> Today, more than 100 law schools in the United States have clinical programs </w:t>
      </w:r>
      <w:r w:rsidR="00482BB5" w:rsidRPr="00D82F02">
        <w:rPr>
          <w:rFonts w:ascii="Palatino Linotype" w:hAnsi="Palatino Linotype" w:cs="Times New Roman"/>
          <w:sz w:val="24"/>
          <w:szCs w:val="24"/>
        </w:rPr>
        <w:t xml:space="preserve">which </w:t>
      </w:r>
      <w:r w:rsidRPr="00D82F02">
        <w:rPr>
          <w:rFonts w:ascii="Palatino Linotype" w:hAnsi="Palatino Linotype" w:cs="Times New Roman"/>
          <w:sz w:val="24"/>
          <w:szCs w:val="24"/>
        </w:rPr>
        <w:t xml:space="preserve">are </w:t>
      </w:r>
      <w:r w:rsidR="00482BB5" w:rsidRPr="00D82F02">
        <w:rPr>
          <w:rFonts w:ascii="Palatino Linotype" w:hAnsi="Palatino Linotype" w:cs="Times New Roman"/>
          <w:sz w:val="24"/>
          <w:szCs w:val="24"/>
        </w:rPr>
        <w:t xml:space="preserve">permanently </w:t>
      </w:r>
      <w:r w:rsidRPr="00D82F02">
        <w:rPr>
          <w:rFonts w:ascii="Palatino Linotype" w:hAnsi="Palatino Linotype" w:cs="Times New Roman"/>
          <w:sz w:val="24"/>
          <w:szCs w:val="24"/>
        </w:rPr>
        <w:t>included in law school budgets</w:t>
      </w:r>
      <w:r w:rsidR="0079683D" w:rsidRPr="00D82F02">
        <w:rPr>
          <w:rFonts w:ascii="Palatino Linotype" w:hAnsi="Palatino Linotype" w:cs="Times New Roman"/>
          <w:sz w:val="24"/>
          <w:szCs w:val="24"/>
        </w:rPr>
        <w:t>,</w:t>
      </w:r>
      <w:r w:rsidRPr="00D82F02">
        <w:rPr>
          <w:rFonts w:ascii="Palatino Linotype" w:hAnsi="Palatino Linotype" w:cs="Times New Roman"/>
          <w:sz w:val="24"/>
          <w:szCs w:val="24"/>
        </w:rPr>
        <w:t xml:space="preserve"> as do some in Canada, the UK, Australia, Latin America, Europe, China, Israel, etc.</w:t>
      </w:r>
      <w:r w:rsidRPr="00D82F02">
        <w:rPr>
          <w:rFonts w:ascii="Palatino Linotype" w:eastAsia="Times New Roman" w:hAnsi="Palatino Linotype" w:cs="Times New Roman"/>
          <w:sz w:val="24"/>
          <w:szCs w:val="24"/>
          <w:vertAlign w:val="superscript"/>
        </w:rPr>
        <w:footnoteReference w:id="12"/>
      </w:r>
    </w:p>
    <w:p w14:paraId="428BEEFD" w14:textId="3238E38A" w:rsidR="008F24C2" w:rsidRPr="00D82F02" w:rsidRDefault="00D56A45" w:rsidP="00D82F02">
      <w:pPr>
        <w:pStyle w:val="Body"/>
        <w:spacing w:line="480" w:lineRule="auto"/>
        <w:jc w:val="both"/>
        <w:rPr>
          <w:rFonts w:ascii="Palatino Linotype" w:eastAsia="Times New Roman" w:hAnsi="Palatino Linotype" w:cs="Times New Roman"/>
          <w:sz w:val="24"/>
          <w:szCs w:val="24"/>
        </w:rPr>
      </w:pPr>
      <w:r>
        <w:rPr>
          <w:rFonts w:ascii="Palatino Linotype" w:hAnsi="Palatino Linotype" w:cs="Times New Roman"/>
          <w:sz w:val="24"/>
          <w:szCs w:val="24"/>
        </w:rPr>
        <w:t xml:space="preserve">Although </w:t>
      </w:r>
      <w:r w:rsidR="00734CD5" w:rsidRPr="00D82F02">
        <w:rPr>
          <w:rFonts w:ascii="Palatino Linotype" w:hAnsi="Palatino Linotype" w:cs="Times New Roman"/>
          <w:sz w:val="24"/>
          <w:szCs w:val="24"/>
        </w:rPr>
        <w:t>legal education has undergone rapid change since late 1960s, law schools are still in the midst of adjusting clinical curriculum to meet the demands of employers who increasingly want to hire students who are ready to practice law.</w:t>
      </w:r>
      <w:r w:rsidR="00734CD5" w:rsidRPr="00D82F02">
        <w:rPr>
          <w:rFonts w:ascii="Palatino Linotype" w:eastAsia="Times New Roman" w:hAnsi="Palatino Linotype" w:cs="Times New Roman"/>
          <w:sz w:val="24"/>
          <w:szCs w:val="24"/>
          <w:vertAlign w:val="superscript"/>
        </w:rPr>
        <w:footnoteReference w:id="13"/>
      </w:r>
      <w:r w:rsidR="00734CD5" w:rsidRPr="00D82F02">
        <w:rPr>
          <w:rFonts w:ascii="Palatino Linotype" w:hAnsi="Palatino Linotype" w:cs="Times New Roman"/>
          <w:sz w:val="24"/>
          <w:szCs w:val="24"/>
        </w:rPr>
        <w:t xml:space="preserve"> Therefore, clinical legal education is becoming popular within law schools</w:t>
      </w:r>
      <w:r w:rsidR="0079683D" w:rsidRPr="00D82F02">
        <w:rPr>
          <w:rFonts w:ascii="Palatino Linotype" w:hAnsi="Palatino Linotype" w:cs="Times New Roman"/>
          <w:sz w:val="24"/>
          <w:szCs w:val="24"/>
        </w:rPr>
        <w:t>,</w:t>
      </w:r>
      <w:r w:rsidR="00734CD5" w:rsidRPr="00D82F02">
        <w:rPr>
          <w:rFonts w:ascii="Palatino Linotype" w:hAnsi="Palatino Linotype" w:cs="Times New Roman"/>
          <w:sz w:val="24"/>
          <w:szCs w:val="24"/>
        </w:rPr>
        <w:t xml:space="preserve"> as it establishes an opportunity for the students to gain important practical experience whilst providing </w:t>
      </w:r>
      <w:r w:rsidR="0018006E" w:rsidRPr="00D82F02">
        <w:rPr>
          <w:rFonts w:ascii="Palatino Linotype" w:hAnsi="Palatino Linotype" w:cs="Times New Roman"/>
          <w:sz w:val="24"/>
          <w:szCs w:val="24"/>
        </w:rPr>
        <w:t xml:space="preserve">a </w:t>
      </w:r>
      <w:r w:rsidR="00734CD5" w:rsidRPr="00D82F02">
        <w:rPr>
          <w:rFonts w:ascii="Palatino Linotype" w:hAnsi="Palatino Linotype" w:cs="Times New Roman"/>
          <w:sz w:val="24"/>
          <w:szCs w:val="24"/>
        </w:rPr>
        <w:t>valuable legal aid service to the local community.</w:t>
      </w:r>
      <w:r w:rsidR="00734CD5" w:rsidRPr="00D82F02">
        <w:rPr>
          <w:rFonts w:ascii="Palatino Linotype" w:eastAsia="Times New Roman" w:hAnsi="Palatino Linotype" w:cs="Times New Roman"/>
          <w:sz w:val="24"/>
          <w:szCs w:val="24"/>
          <w:vertAlign w:val="superscript"/>
        </w:rPr>
        <w:footnoteReference w:id="14"/>
      </w:r>
      <w:r w:rsidR="00734CD5" w:rsidRPr="00D82F02">
        <w:rPr>
          <w:rFonts w:ascii="Palatino Linotype" w:hAnsi="Palatino Linotype" w:cs="Times New Roman"/>
          <w:sz w:val="24"/>
          <w:szCs w:val="24"/>
        </w:rPr>
        <w:t xml:space="preserve"> They have become the primary places where law students can learn to be competent, ethical and socially responsible lawyers.</w:t>
      </w:r>
      <w:r w:rsidR="00734CD5" w:rsidRPr="00D82F02">
        <w:rPr>
          <w:rFonts w:ascii="Palatino Linotype" w:eastAsia="Times New Roman" w:hAnsi="Palatino Linotype" w:cs="Times New Roman"/>
          <w:sz w:val="24"/>
          <w:szCs w:val="24"/>
          <w:vertAlign w:val="superscript"/>
        </w:rPr>
        <w:footnoteReference w:id="15"/>
      </w:r>
      <w:r w:rsidR="00734CD5" w:rsidRPr="00D82F02">
        <w:rPr>
          <w:rFonts w:ascii="Palatino Linotype" w:hAnsi="Palatino Linotype" w:cs="Times New Roman"/>
          <w:sz w:val="24"/>
          <w:szCs w:val="24"/>
        </w:rPr>
        <w:t xml:space="preserve"> Though </w:t>
      </w:r>
      <w:r w:rsidR="00CF125C" w:rsidRPr="00D82F02">
        <w:rPr>
          <w:rFonts w:ascii="Palatino Linotype" w:hAnsi="Palatino Linotype" w:cs="Times New Roman"/>
          <w:sz w:val="24"/>
          <w:szCs w:val="24"/>
        </w:rPr>
        <w:t xml:space="preserve">in modern welfare state </w:t>
      </w:r>
      <w:r w:rsidR="00734CD5" w:rsidRPr="00D82F02">
        <w:rPr>
          <w:rFonts w:ascii="Palatino Linotype" w:hAnsi="Palatino Linotype" w:cs="Times New Roman"/>
          <w:sz w:val="24"/>
          <w:szCs w:val="24"/>
        </w:rPr>
        <w:t>the primary obligation to provide legal aid services to the poor resides with the government and with the legal profession,</w:t>
      </w:r>
      <w:r w:rsidR="00CF125C" w:rsidRPr="00D82F02">
        <w:rPr>
          <w:rStyle w:val="FootnoteReference"/>
          <w:rFonts w:ascii="Palatino Linotype" w:hAnsi="Palatino Linotype" w:cs="Times New Roman"/>
          <w:sz w:val="24"/>
          <w:szCs w:val="24"/>
        </w:rPr>
        <w:footnoteReference w:id="16"/>
      </w:r>
      <w:r w:rsidR="00734CD5" w:rsidRPr="00D82F02">
        <w:rPr>
          <w:rFonts w:ascii="Palatino Linotype" w:hAnsi="Palatino Linotype" w:cs="Times New Roman"/>
          <w:sz w:val="24"/>
          <w:szCs w:val="24"/>
        </w:rPr>
        <w:t xml:space="preserve"> law schools can </w:t>
      </w:r>
      <w:r w:rsidR="00200E69" w:rsidRPr="00D82F02">
        <w:rPr>
          <w:rFonts w:ascii="Palatino Linotype" w:hAnsi="Palatino Linotype" w:cs="Times New Roman"/>
          <w:sz w:val="24"/>
          <w:szCs w:val="24"/>
        </w:rPr>
        <w:t>also</w:t>
      </w:r>
      <w:r w:rsidR="00734CD5" w:rsidRPr="00D82F02">
        <w:rPr>
          <w:rFonts w:ascii="Palatino Linotype" w:hAnsi="Palatino Linotype" w:cs="Times New Roman"/>
          <w:sz w:val="24"/>
          <w:szCs w:val="24"/>
        </w:rPr>
        <w:t xml:space="preserve"> contribute to the solution of the crisis in access to justice.</w:t>
      </w:r>
      <w:r w:rsidR="00734CD5" w:rsidRPr="00D82F02">
        <w:rPr>
          <w:rFonts w:ascii="Palatino Linotype" w:eastAsia="Times New Roman" w:hAnsi="Palatino Linotype" w:cs="Times New Roman"/>
          <w:sz w:val="24"/>
          <w:szCs w:val="24"/>
          <w:vertAlign w:val="superscript"/>
        </w:rPr>
        <w:footnoteReference w:id="17"/>
      </w:r>
      <w:r w:rsidR="00734CD5" w:rsidRPr="00D82F02">
        <w:rPr>
          <w:rFonts w:ascii="Palatino Linotype" w:hAnsi="Palatino Linotype" w:cs="Times New Roman"/>
          <w:sz w:val="24"/>
          <w:szCs w:val="24"/>
        </w:rPr>
        <w:t xml:space="preserve"> On the basic level, law clinics become like law </w:t>
      </w:r>
      <w:r w:rsidR="0018006E" w:rsidRPr="00D82F02">
        <w:rPr>
          <w:rFonts w:ascii="Palatino Linotype" w:hAnsi="Palatino Linotype" w:cs="Times New Roman"/>
          <w:sz w:val="24"/>
          <w:szCs w:val="24"/>
        </w:rPr>
        <w:t xml:space="preserve">firms, </w:t>
      </w:r>
      <w:r w:rsidR="00734CD5" w:rsidRPr="00D82F02">
        <w:rPr>
          <w:rFonts w:ascii="Palatino Linotype" w:hAnsi="Palatino Linotype" w:cs="Times New Roman"/>
          <w:sz w:val="24"/>
          <w:szCs w:val="24"/>
        </w:rPr>
        <w:t>where students can engage in supervised law practice by providing legal services to clients in the legal aid system and at the same time develop a critical view of that system.</w:t>
      </w:r>
      <w:r w:rsidR="00734CD5" w:rsidRPr="00D82F02">
        <w:rPr>
          <w:rFonts w:ascii="Palatino Linotype" w:eastAsia="Times New Roman" w:hAnsi="Palatino Linotype" w:cs="Times New Roman"/>
          <w:sz w:val="24"/>
          <w:szCs w:val="24"/>
          <w:vertAlign w:val="superscript"/>
        </w:rPr>
        <w:footnoteReference w:id="18"/>
      </w:r>
      <w:r w:rsidR="00734CD5" w:rsidRPr="00D82F02">
        <w:rPr>
          <w:rFonts w:ascii="Palatino Linotype" w:hAnsi="Palatino Linotype" w:cs="Times New Roman"/>
          <w:sz w:val="24"/>
          <w:szCs w:val="24"/>
        </w:rPr>
        <w:t xml:space="preserve"> On the other hand, tasks that students perform in law clinics can be distinguished from the work they perform in law </w:t>
      </w:r>
      <w:r w:rsidR="00482BB5" w:rsidRPr="00D82F02">
        <w:rPr>
          <w:rFonts w:ascii="Palatino Linotype" w:hAnsi="Palatino Linotype" w:cs="Times New Roman"/>
          <w:sz w:val="24"/>
          <w:szCs w:val="24"/>
        </w:rPr>
        <w:t xml:space="preserve">firms </w:t>
      </w:r>
      <w:r w:rsidR="00734CD5" w:rsidRPr="00D82F02">
        <w:rPr>
          <w:rFonts w:ascii="Palatino Linotype" w:hAnsi="Palatino Linotype" w:cs="Times New Roman"/>
          <w:sz w:val="24"/>
          <w:szCs w:val="24"/>
        </w:rPr>
        <w:t>while attending law school.</w:t>
      </w:r>
      <w:r w:rsidR="00734CD5" w:rsidRPr="00D82F02">
        <w:rPr>
          <w:rFonts w:ascii="Palatino Linotype" w:eastAsia="Times New Roman" w:hAnsi="Palatino Linotype" w:cs="Times New Roman"/>
          <w:sz w:val="24"/>
          <w:szCs w:val="24"/>
          <w:vertAlign w:val="superscript"/>
        </w:rPr>
        <w:footnoteReference w:id="19"/>
      </w:r>
      <w:r w:rsidR="00734CD5" w:rsidRPr="00D82F02">
        <w:rPr>
          <w:rFonts w:ascii="Palatino Linotype" w:hAnsi="Palatino Linotype" w:cs="Times New Roman"/>
          <w:sz w:val="24"/>
          <w:szCs w:val="24"/>
        </w:rPr>
        <w:t xml:space="preserve"> Students in law clinics have an exceptional opportunity to learn that legal doctrine, rules and procedure, ethical considerations and the social, economic and political implications of legal aid services are interrelated</w:t>
      </w:r>
      <w:r w:rsidR="00734CD5" w:rsidRPr="00D82F02">
        <w:rPr>
          <w:rFonts w:ascii="Palatino Linotype" w:eastAsia="Times New Roman" w:hAnsi="Palatino Linotype" w:cs="Times New Roman"/>
          <w:sz w:val="24"/>
          <w:szCs w:val="24"/>
          <w:vertAlign w:val="superscript"/>
        </w:rPr>
        <w:footnoteReference w:id="20"/>
      </w:r>
      <w:r w:rsidR="00734CD5" w:rsidRPr="00D82F02">
        <w:rPr>
          <w:rFonts w:ascii="Palatino Linotype" w:hAnsi="Palatino Linotype" w:cs="Times New Roman"/>
          <w:sz w:val="24"/>
          <w:szCs w:val="24"/>
        </w:rPr>
        <w:t xml:space="preserve"> Thereby, law clinics can provide an instructional program that is intellectually situated within the law school curriculum as an integral part of legal education with particular valuable opportunities for students to learn how the law functions, or fails to function, while serving low-income clients.</w:t>
      </w:r>
      <w:r w:rsidR="00734CD5" w:rsidRPr="00D82F02">
        <w:rPr>
          <w:rFonts w:ascii="Palatino Linotype" w:eastAsia="Times New Roman" w:hAnsi="Palatino Linotype" w:cs="Times New Roman"/>
          <w:sz w:val="24"/>
          <w:szCs w:val="24"/>
          <w:vertAlign w:val="superscript"/>
        </w:rPr>
        <w:footnoteReference w:id="21"/>
      </w:r>
    </w:p>
    <w:p w14:paraId="0D5C25BF" w14:textId="3C9FAF65" w:rsidR="008F24C2" w:rsidRDefault="00734CD5" w:rsidP="00D82F02">
      <w:pPr>
        <w:pStyle w:val="Body"/>
        <w:spacing w:line="480" w:lineRule="auto"/>
        <w:jc w:val="both"/>
        <w:rPr>
          <w:rFonts w:ascii="Palatino Linotype" w:hAnsi="Palatino Linotype" w:cs="Times New Roman"/>
          <w:sz w:val="24"/>
          <w:szCs w:val="24"/>
        </w:rPr>
      </w:pPr>
      <w:r w:rsidRPr="00D82F02">
        <w:rPr>
          <w:rFonts w:ascii="Palatino Linotype" w:hAnsi="Palatino Linotype" w:cs="Times New Roman"/>
          <w:sz w:val="24"/>
          <w:szCs w:val="24"/>
        </w:rPr>
        <w:t xml:space="preserve">  </w:t>
      </w:r>
    </w:p>
    <w:p w14:paraId="5518796D" w14:textId="77777777" w:rsidR="00D56A45" w:rsidRPr="00D82F02" w:rsidRDefault="00D56A45" w:rsidP="00D82F02">
      <w:pPr>
        <w:pStyle w:val="Body"/>
        <w:spacing w:line="480" w:lineRule="auto"/>
        <w:jc w:val="both"/>
        <w:rPr>
          <w:rFonts w:ascii="Palatino Linotype" w:eastAsia="Times New Roman" w:hAnsi="Palatino Linotype" w:cs="Times New Roman"/>
          <w:sz w:val="24"/>
          <w:szCs w:val="24"/>
        </w:rPr>
      </w:pPr>
    </w:p>
    <w:p w14:paraId="2320CEF4" w14:textId="1823839C" w:rsidR="008F24C2" w:rsidRPr="00D82F02" w:rsidRDefault="00D56A45" w:rsidP="00D82F02">
      <w:pPr>
        <w:pStyle w:val="Body"/>
        <w:numPr>
          <w:ilvl w:val="0"/>
          <w:numId w:val="6"/>
        </w:numPr>
        <w:tabs>
          <w:tab w:val="num" w:pos="416"/>
        </w:tabs>
        <w:spacing w:line="480" w:lineRule="auto"/>
        <w:ind w:left="416" w:hanging="416"/>
        <w:jc w:val="both"/>
        <w:rPr>
          <w:rFonts w:ascii="Palatino Linotype" w:eastAsia="Times New Roman Bold" w:hAnsi="Palatino Linotype" w:cs="Times New Roman"/>
          <w:b/>
          <w:sz w:val="24"/>
          <w:szCs w:val="24"/>
        </w:rPr>
      </w:pPr>
      <w:r w:rsidRPr="00D82F02">
        <w:rPr>
          <w:rFonts w:ascii="Palatino Linotype" w:hAnsi="Palatino Linotype" w:cs="Times New Roman"/>
          <w:b/>
          <w:sz w:val="24"/>
          <w:szCs w:val="24"/>
        </w:rPr>
        <w:t>THE CHALLENGES OF CLINICAL LEGAL EDUCATION</w:t>
      </w:r>
    </w:p>
    <w:p w14:paraId="521B14ED" w14:textId="6032BA5F" w:rsidR="008F24C2" w:rsidRPr="00D82F02" w:rsidRDefault="00734CD5" w:rsidP="00D82F02">
      <w:pPr>
        <w:pStyle w:val="Body"/>
        <w:spacing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ab/>
        <w:t>Legal education curriculum</w:t>
      </w:r>
      <w:r w:rsidRPr="00D82F02">
        <w:rPr>
          <w:rFonts w:ascii="Palatino Linotype" w:hAnsi="Palatino Linotype" w:cs="Times New Roman"/>
          <w:sz w:val="24"/>
          <w:szCs w:val="24"/>
        </w:rPr>
        <w:t>s that tend to satisfy labour market demands require  law schools to increase the quantity and quality of experiential education.</w:t>
      </w:r>
      <w:r w:rsidRPr="00D82F02">
        <w:rPr>
          <w:rFonts w:ascii="Palatino Linotype" w:eastAsia="Times New Roman" w:hAnsi="Palatino Linotype" w:cs="Times New Roman"/>
          <w:sz w:val="24"/>
          <w:szCs w:val="24"/>
          <w:vertAlign w:val="superscript"/>
        </w:rPr>
        <w:footnoteReference w:id="22"/>
      </w:r>
      <w:r w:rsidRPr="00D82F02">
        <w:rPr>
          <w:rFonts w:ascii="Palatino Linotype" w:hAnsi="Palatino Linotype" w:cs="Times New Roman"/>
          <w:sz w:val="24"/>
          <w:szCs w:val="24"/>
        </w:rPr>
        <w:t xml:space="preserve"> At the same time, law schools are under pressure to control costs.</w:t>
      </w:r>
      <w:r w:rsidRPr="00D82F02">
        <w:rPr>
          <w:rFonts w:ascii="Palatino Linotype" w:eastAsia="Times New Roman" w:hAnsi="Palatino Linotype" w:cs="Times New Roman"/>
          <w:sz w:val="24"/>
          <w:szCs w:val="24"/>
          <w:vertAlign w:val="superscript"/>
        </w:rPr>
        <w:footnoteReference w:id="23"/>
      </w:r>
      <w:r w:rsidRPr="00D82F02">
        <w:rPr>
          <w:rFonts w:ascii="Palatino Linotype" w:hAnsi="Palatino Linotype" w:cs="Times New Roman"/>
          <w:sz w:val="24"/>
          <w:szCs w:val="24"/>
        </w:rPr>
        <w:t xml:space="preserve"> It is the most pressing challenge many law schools face because they have a relatively fixed budget, which they can spend on matters that are most valued by the school.</w:t>
      </w:r>
      <w:r w:rsidRPr="00D82F02">
        <w:rPr>
          <w:rFonts w:ascii="Palatino Linotype" w:eastAsia="Times New Roman" w:hAnsi="Palatino Linotype" w:cs="Times New Roman"/>
          <w:sz w:val="24"/>
          <w:szCs w:val="24"/>
          <w:vertAlign w:val="superscript"/>
        </w:rPr>
        <w:footnoteReference w:id="24"/>
      </w:r>
      <w:r w:rsidRPr="00D82F02">
        <w:rPr>
          <w:rFonts w:ascii="Palatino Linotype" w:hAnsi="Palatino Linotype" w:cs="Times New Roman"/>
          <w:sz w:val="24"/>
          <w:szCs w:val="24"/>
        </w:rPr>
        <w:t xml:space="preserve"> Law schools must weigh the relative costs and merits of clinical experiential learning against those of other aspects of practical courses such as externships, which usually allow higher student-to-faculty ratios, and therefore, lower costs per student.</w:t>
      </w:r>
      <w:r w:rsidRPr="00D82F02">
        <w:rPr>
          <w:rFonts w:ascii="Palatino Linotype" w:eastAsia="Times New Roman" w:hAnsi="Palatino Linotype" w:cs="Times New Roman"/>
          <w:sz w:val="24"/>
          <w:szCs w:val="24"/>
          <w:vertAlign w:val="superscript"/>
        </w:rPr>
        <w:footnoteReference w:id="25"/>
      </w:r>
      <w:r w:rsidRPr="00D82F02">
        <w:rPr>
          <w:rFonts w:ascii="Palatino Linotype" w:hAnsi="Palatino Linotype" w:cs="Times New Roman"/>
          <w:sz w:val="24"/>
          <w:szCs w:val="24"/>
        </w:rPr>
        <w:t xml:space="preserve"> The cost per student for clinical education varies greatly depending on the type of clinical program and course.</w:t>
      </w:r>
      <w:r w:rsidRPr="00D82F02">
        <w:rPr>
          <w:rFonts w:ascii="Palatino Linotype" w:eastAsia="Times New Roman" w:hAnsi="Palatino Linotype" w:cs="Times New Roman"/>
          <w:sz w:val="24"/>
          <w:szCs w:val="24"/>
          <w:vertAlign w:val="superscript"/>
        </w:rPr>
        <w:footnoteReference w:id="26"/>
      </w:r>
      <w:r w:rsidRPr="00D82F02">
        <w:rPr>
          <w:rFonts w:ascii="Palatino Linotype" w:hAnsi="Palatino Linotype" w:cs="Times New Roman"/>
          <w:sz w:val="24"/>
          <w:szCs w:val="24"/>
        </w:rPr>
        <w:t xml:space="preserve"> The variations in costs may stem from different factors such as status of the faculty teaching the courses, student-to-faculty ratios, the number of credit hours awarded, law clinic facilities, including a research library, interview rooms, conference rooms and offices equipped with state-of-the-art technology.</w:t>
      </w:r>
      <w:r w:rsidRPr="00D82F02">
        <w:rPr>
          <w:rFonts w:ascii="Palatino Linotype" w:eastAsia="Times New Roman" w:hAnsi="Palatino Linotype" w:cs="Times New Roman"/>
          <w:sz w:val="24"/>
          <w:szCs w:val="24"/>
          <w:vertAlign w:val="superscript"/>
        </w:rPr>
        <w:footnoteReference w:id="27"/>
      </w:r>
      <w:r w:rsidRPr="00D82F02">
        <w:rPr>
          <w:rFonts w:ascii="Palatino Linotype" w:hAnsi="Palatino Linotype" w:cs="Times New Roman"/>
          <w:sz w:val="24"/>
          <w:szCs w:val="24"/>
        </w:rPr>
        <w:t xml:space="preserve"> In comparing the costs, it is often difficult to understand the true financial costs of clinical courses versus other practical law school courses.</w:t>
      </w:r>
      <w:r w:rsidRPr="00D82F02">
        <w:rPr>
          <w:rFonts w:ascii="Palatino Linotype" w:eastAsia="Times New Roman" w:hAnsi="Palatino Linotype" w:cs="Times New Roman"/>
          <w:sz w:val="24"/>
          <w:szCs w:val="24"/>
          <w:vertAlign w:val="superscript"/>
        </w:rPr>
        <w:footnoteReference w:id="28"/>
      </w:r>
      <w:r w:rsidRPr="00D82F02">
        <w:rPr>
          <w:rFonts w:ascii="Palatino Linotype" w:hAnsi="Palatino Linotype" w:cs="Times New Roman"/>
          <w:sz w:val="24"/>
          <w:szCs w:val="24"/>
        </w:rPr>
        <w:t xml:space="preserve"> Therefore, law schools must decide how much experiential education they want to offer and what they need to trade off to accomplish that goal.</w:t>
      </w:r>
      <w:r w:rsidRPr="00D82F02">
        <w:rPr>
          <w:rFonts w:ascii="Palatino Linotype" w:eastAsia="Times New Roman" w:hAnsi="Palatino Linotype" w:cs="Times New Roman"/>
          <w:sz w:val="24"/>
          <w:szCs w:val="24"/>
          <w:vertAlign w:val="superscript"/>
        </w:rPr>
        <w:footnoteReference w:id="29"/>
      </w:r>
      <w:r w:rsidRPr="00D82F02">
        <w:rPr>
          <w:rFonts w:ascii="Palatino Linotype" w:hAnsi="Palatino Linotype" w:cs="Times New Roman"/>
          <w:sz w:val="24"/>
          <w:szCs w:val="24"/>
        </w:rPr>
        <w:t xml:space="preserve"> Beside the educational goal, law clinics also have the task to meet the needs of low-income clients and their communities whom depend on legal aid services which students provide</w:t>
      </w:r>
      <w:r w:rsidR="00796B3E" w:rsidRPr="00D82F02">
        <w:rPr>
          <w:rFonts w:ascii="Palatino Linotype" w:hAnsi="Palatino Linotype" w:cs="Times New Roman"/>
          <w:sz w:val="24"/>
          <w:szCs w:val="24"/>
        </w:rPr>
        <w:t>. This is</w:t>
      </w:r>
      <w:r w:rsidRPr="00D82F02">
        <w:rPr>
          <w:rFonts w:ascii="Palatino Linotype" w:hAnsi="Palatino Linotype" w:cs="Times New Roman"/>
          <w:sz w:val="24"/>
          <w:szCs w:val="24"/>
        </w:rPr>
        <w:t xml:space="preserve"> to help ensure their access to crucial legal rights and procedures that protect the basic necessities of life, such as social assistance, housing, health, education and human rights. Therefore, sustainability of clinical legal education is not only crucial for </w:t>
      </w:r>
      <w:r w:rsidR="00FD4CE5" w:rsidRPr="00D82F02">
        <w:rPr>
          <w:rFonts w:ascii="Palatino Linotype" w:hAnsi="Palatino Linotype" w:cs="Times New Roman"/>
          <w:sz w:val="24"/>
          <w:szCs w:val="24"/>
        </w:rPr>
        <w:t xml:space="preserve">the </w:t>
      </w:r>
      <w:r w:rsidRPr="00D82F02">
        <w:rPr>
          <w:rFonts w:ascii="Palatino Linotype" w:hAnsi="Palatino Linotype" w:cs="Times New Roman"/>
          <w:sz w:val="24"/>
          <w:szCs w:val="24"/>
        </w:rPr>
        <w:t xml:space="preserve">academic community but also </w:t>
      </w:r>
      <w:r w:rsidR="00FD4CE5" w:rsidRPr="00D82F02">
        <w:rPr>
          <w:rFonts w:ascii="Palatino Linotype" w:hAnsi="Palatino Linotype" w:cs="Times New Roman"/>
          <w:sz w:val="24"/>
          <w:szCs w:val="24"/>
        </w:rPr>
        <w:t xml:space="preserve">for </w:t>
      </w:r>
      <w:r w:rsidRPr="00D82F02">
        <w:rPr>
          <w:rFonts w:ascii="Palatino Linotype" w:hAnsi="Palatino Linotype" w:cs="Times New Roman"/>
          <w:sz w:val="24"/>
          <w:szCs w:val="24"/>
        </w:rPr>
        <w:t>local communi</w:t>
      </w:r>
      <w:r w:rsidR="00FD4CE5" w:rsidRPr="00D82F02">
        <w:rPr>
          <w:rFonts w:ascii="Palatino Linotype" w:hAnsi="Palatino Linotype" w:cs="Times New Roman"/>
          <w:sz w:val="24"/>
          <w:szCs w:val="24"/>
        </w:rPr>
        <w:t>ties</w:t>
      </w:r>
      <w:r w:rsidRPr="00D82F02">
        <w:rPr>
          <w:rFonts w:ascii="Palatino Linotype" w:hAnsi="Palatino Linotype" w:cs="Times New Roman"/>
          <w:sz w:val="24"/>
          <w:szCs w:val="24"/>
        </w:rPr>
        <w:t>. We should not forget its significance for local law firms that could benefit of this type of legal education which makes students with this experience more employable and successful in law practice.</w:t>
      </w:r>
      <w:r w:rsidRPr="00D82F02">
        <w:rPr>
          <w:rFonts w:ascii="Palatino Linotype" w:eastAsia="Times New Roman" w:hAnsi="Palatino Linotype" w:cs="Times New Roman"/>
          <w:sz w:val="24"/>
          <w:szCs w:val="24"/>
          <w:vertAlign w:val="superscript"/>
        </w:rPr>
        <w:footnoteReference w:id="30"/>
      </w:r>
      <w:r w:rsidRPr="00D82F02">
        <w:rPr>
          <w:rFonts w:ascii="Palatino Linotype" w:hAnsi="Palatino Linotype" w:cs="Times New Roman"/>
          <w:sz w:val="24"/>
          <w:szCs w:val="24"/>
        </w:rPr>
        <w:t xml:space="preserve"> The broad scope of clinical legal education benefits are continually challenging law schools to find more cost-effective and innovative ways of </w:t>
      </w:r>
      <w:r w:rsidR="00FD4CE5" w:rsidRPr="00D82F02">
        <w:rPr>
          <w:rFonts w:ascii="Palatino Linotype" w:hAnsi="Palatino Linotype" w:cs="Times New Roman"/>
          <w:sz w:val="24"/>
          <w:szCs w:val="24"/>
        </w:rPr>
        <w:t xml:space="preserve">gaining </w:t>
      </w:r>
      <w:r w:rsidRPr="00D82F02">
        <w:rPr>
          <w:rFonts w:ascii="Palatino Linotype" w:hAnsi="Palatino Linotype" w:cs="Times New Roman"/>
          <w:sz w:val="24"/>
          <w:szCs w:val="24"/>
        </w:rPr>
        <w:t>outside funding. This can be ensured from the state as funding for the representation of indigent clients and from law firms and attorneys as in-kind contributions.</w:t>
      </w:r>
      <w:r w:rsidRPr="00D82F02">
        <w:rPr>
          <w:rFonts w:ascii="Palatino Linotype" w:eastAsia="Times New Roman" w:hAnsi="Palatino Linotype" w:cs="Times New Roman"/>
          <w:sz w:val="24"/>
          <w:szCs w:val="24"/>
          <w:vertAlign w:val="superscript"/>
        </w:rPr>
        <w:footnoteReference w:id="31"/>
      </w:r>
      <w:r w:rsidRPr="00D82F02">
        <w:rPr>
          <w:rFonts w:ascii="Palatino Linotype" w:hAnsi="Palatino Linotype" w:cs="Times New Roman"/>
          <w:sz w:val="24"/>
          <w:szCs w:val="24"/>
        </w:rPr>
        <w:t xml:space="preserve"> Although clinical legal education programs can be more expensive than the Socratic or lecture and seminar </w:t>
      </w:r>
      <w:r w:rsidR="00064F47" w:rsidRPr="00D82F02">
        <w:rPr>
          <w:rFonts w:ascii="Palatino Linotype" w:hAnsi="Palatino Linotype" w:cs="Times New Roman"/>
          <w:sz w:val="24"/>
          <w:szCs w:val="24"/>
        </w:rPr>
        <w:t>classroom</w:t>
      </w:r>
      <w:r w:rsidRPr="00D82F02">
        <w:rPr>
          <w:rFonts w:ascii="Palatino Linotype" w:hAnsi="Palatino Linotype" w:cs="Times New Roman"/>
          <w:sz w:val="24"/>
          <w:szCs w:val="24"/>
        </w:rPr>
        <w:t xml:space="preserve"> environment type of education, financial commitments </w:t>
      </w:r>
      <w:r w:rsidR="00FD4CE5" w:rsidRPr="00D82F02">
        <w:rPr>
          <w:rFonts w:ascii="Palatino Linotype" w:hAnsi="Palatino Linotype" w:cs="Times New Roman"/>
          <w:sz w:val="24"/>
          <w:szCs w:val="24"/>
        </w:rPr>
        <w:t xml:space="preserve">from </w:t>
      </w:r>
      <w:r w:rsidRPr="00D82F02">
        <w:rPr>
          <w:rFonts w:ascii="Palatino Linotype" w:hAnsi="Palatino Linotype" w:cs="Times New Roman"/>
          <w:sz w:val="24"/>
          <w:szCs w:val="24"/>
        </w:rPr>
        <w:t>the whole community (academia, professional lawyers, local community and state) may be of great help to overstate that expostulations.</w:t>
      </w:r>
      <w:r w:rsidRPr="00D82F02">
        <w:rPr>
          <w:rFonts w:ascii="Palatino Linotype" w:eastAsia="Times New Roman" w:hAnsi="Palatino Linotype" w:cs="Times New Roman"/>
          <w:sz w:val="24"/>
          <w:szCs w:val="24"/>
          <w:vertAlign w:val="superscript"/>
        </w:rPr>
        <w:footnoteReference w:id="32"/>
      </w:r>
    </w:p>
    <w:p w14:paraId="73FEA3BB" w14:textId="77777777" w:rsidR="008F24C2" w:rsidRPr="00D82F02" w:rsidRDefault="008F24C2" w:rsidP="00D82F02">
      <w:pPr>
        <w:pStyle w:val="Body"/>
        <w:spacing w:line="480" w:lineRule="auto"/>
        <w:jc w:val="both"/>
        <w:rPr>
          <w:rFonts w:ascii="Palatino Linotype" w:eastAsia="Times New Roman" w:hAnsi="Palatino Linotype" w:cs="Times New Roman"/>
          <w:b/>
          <w:sz w:val="24"/>
          <w:szCs w:val="24"/>
        </w:rPr>
      </w:pPr>
    </w:p>
    <w:p w14:paraId="0ADC42C2" w14:textId="77429BE5" w:rsidR="008F24C2" w:rsidRPr="00D82F02" w:rsidRDefault="00734CD5" w:rsidP="00D82F02">
      <w:pPr>
        <w:pStyle w:val="Body"/>
        <w:spacing w:line="480" w:lineRule="auto"/>
        <w:jc w:val="both"/>
        <w:rPr>
          <w:rFonts w:ascii="Palatino Linotype" w:eastAsia="Times New Roman Bold" w:hAnsi="Palatino Linotype" w:cs="Times New Roman"/>
          <w:b/>
          <w:sz w:val="24"/>
          <w:szCs w:val="24"/>
        </w:rPr>
      </w:pPr>
      <w:r w:rsidRPr="00D82F02">
        <w:rPr>
          <w:rFonts w:ascii="Palatino Linotype" w:hAnsi="Palatino Linotype" w:cs="Times New Roman"/>
          <w:b/>
          <w:sz w:val="24"/>
          <w:szCs w:val="24"/>
        </w:rPr>
        <w:t>4</w:t>
      </w:r>
      <w:r w:rsidR="00D56A45" w:rsidRPr="00D82F02">
        <w:rPr>
          <w:rFonts w:ascii="Palatino Linotype" w:hAnsi="Palatino Linotype" w:cs="Times New Roman"/>
          <w:b/>
          <w:sz w:val="24"/>
          <w:szCs w:val="24"/>
        </w:rPr>
        <w:t xml:space="preserve">. ZAGREB LAW CLINIC PRACTICE FOR BETTER LEGAL EDUCATION </w:t>
      </w:r>
    </w:p>
    <w:p w14:paraId="10A729E6" w14:textId="39125574" w:rsidR="008F24C2" w:rsidRPr="00D82F02" w:rsidRDefault="00734CD5" w:rsidP="00D82F02">
      <w:pPr>
        <w:pStyle w:val="Body"/>
        <w:spacing w:line="480" w:lineRule="auto"/>
        <w:jc w:val="both"/>
        <w:rPr>
          <w:rFonts w:ascii="Palatino Linotype" w:eastAsia="Times New Roman" w:hAnsi="Palatino Linotype" w:cs="Times New Roman"/>
          <w:b/>
          <w:sz w:val="24"/>
          <w:szCs w:val="24"/>
        </w:rPr>
      </w:pPr>
      <w:r w:rsidRPr="00D82F02">
        <w:rPr>
          <w:rFonts w:ascii="Palatino Linotype" w:hAnsi="Palatino Linotype" w:cs="Times New Roman"/>
          <w:b/>
          <w:sz w:val="24"/>
          <w:szCs w:val="24"/>
        </w:rPr>
        <w:t>4.1. Clinical legal education and the preservation of access to justice</w:t>
      </w:r>
    </w:p>
    <w:p w14:paraId="1053065B" w14:textId="7A07B7A7" w:rsidR="008F24C2" w:rsidRPr="00D82F02" w:rsidRDefault="00734CD5" w:rsidP="00D82F02">
      <w:pPr>
        <w:pStyle w:val="Body"/>
        <w:spacing w:after="120"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 xml:space="preserve">Zagreb Law Clinic </w:t>
      </w:r>
      <w:r w:rsidRPr="00D82F02">
        <w:rPr>
          <w:rFonts w:ascii="Palatino Linotype" w:hAnsi="Palatino Linotype" w:cs="Times New Roman"/>
          <w:sz w:val="24"/>
          <w:szCs w:val="24"/>
        </w:rPr>
        <w:t>was established in October 2010, with an aim to enable direct and active</w:t>
      </w:r>
      <w:r w:rsidR="00FD4CE5" w:rsidRPr="00D82F02">
        <w:rPr>
          <w:rFonts w:ascii="Palatino Linotype" w:hAnsi="Palatino Linotype" w:cs="Times New Roman"/>
          <w:sz w:val="24"/>
          <w:szCs w:val="24"/>
        </w:rPr>
        <w:t>,</w:t>
      </w:r>
      <w:r w:rsidRPr="00D82F02">
        <w:rPr>
          <w:rFonts w:ascii="Palatino Linotype" w:hAnsi="Palatino Linotype" w:cs="Times New Roman"/>
          <w:sz w:val="24"/>
          <w:szCs w:val="24"/>
        </w:rPr>
        <w:t xml:space="preserve"> practical education of students by their participation in live client cases and delivering legal aid to socially vulnerable groups of citizens. In accordance with the Regulation on Study (</w:t>
      </w:r>
      <w:r w:rsidR="009C146C" w:rsidRPr="00D82F02">
        <w:rPr>
          <w:rFonts w:ascii="Palatino Linotype" w:hAnsi="Palatino Linotype" w:cs="Times New Roman"/>
          <w:sz w:val="24"/>
          <w:szCs w:val="24"/>
        </w:rPr>
        <w:t xml:space="preserve">the </w:t>
      </w:r>
      <w:r w:rsidRPr="00D82F02">
        <w:rPr>
          <w:rFonts w:ascii="Palatino Linotype" w:hAnsi="Palatino Linotype" w:cs="Times New Roman"/>
          <w:sz w:val="24"/>
          <w:szCs w:val="24"/>
        </w:rPr>
        <w:t>Regulation)</w:t>
      </w:r>
      <w:r w:rsidR="00742F56" w:rsidRPr="00D82F02">
        <w:rPr>
          <w:rStyle w:val="FootnoteReference"/>
          <w:rFonts w:ascii="Palatino Linotype" w:hAnsi="Palatino Linotype" w:cs="Times New Roman"/>
          <w:sz w:val="24"/>
          <w:szCs w:val="24"/>
        </w:rPr>
        <w:footnoteReference w:id="33"/>
      </w:r>
      <w:r w:rsidRPr="00D82F02">
        <w:rPr>
          <w:rFonts w:ascii="Palatino Linotype" w:hAnsi="Palatino Linotype" w:cs="Times New Roman"/>
          <w:sz w:val="24"/>
          <w:szCs w:val="24"/>
        </w:rPr>
        <w:t xml:space="preserve"> and Statute of Zagreb Law Clinic (the Statute),</w:t>
      </w:r>
      <w:r w:rsidR="00742F56" w:rsidRPr="00D82F02">
        <w:rPr>
          <w:rStyle w:val="FootnoteReference"/>
          <w:rFonts w:ascii="Palatino Linotype" w:hAnsi="Palatino Linotype" w:cs="Times New Roman"/>
          <w:sz w:val="24"/>
          <w:szCs w:val="24"/>
        </w:rPr>
        <w:footnoteReference w:id="34"/>
      </w:r>
      <w:r w:rsidRPr="00D82F02">
        <w:rPr>
          <w:rFonts w:ascii="Palatino Linotype" w:hAnsi="Palatino Linotype" w:cs="Times New Roman"/>
          <w:sz w:val="24"/>
          <w:szCs w:val="24"/>
        </w:rPr>
        <w:t xml:space="preserve"> the Law Clinic is defined as a form of teaching in which students provide free legal assistance in practical legal matters under the supervision of academics and legal practitioners.</w:t>
      </w:r>
      <w:r w:rsidRPr="00D82F02">
        <w:rPr>
          <w:rFonts w:ascii="Palatino Linotype" w:eastAsia="Times New Roman" w:hAnsi="Palatino Linotype" w:cs="Times New Roman"/>
          <w:sz w:val="24"/>
          <w:szCs w:val="24"/>
          <w:vertAlign w:val="superscript"/>
        </w:rPr>
        <w:footnoteReference w:id="35"/>
      </w:r>
      <w:r w:rsidRPr="00D82F02">
        <w:rPr>
          <w:rFonts w:ascii="Palatino Linotype" w:hAnsi="Palatino Linotype" w:cs="Times New Roman"/>
          <w:sz w:val="24"/>
          <w:szCs w:val="24"/>
        </w:rPr>
        <w:t xml:space="preserve"> The Law Clinic represents, along with simulated trials</w:t>
      </w:r>
      <w:r w:rsidR="00123B55" w:rsidRPr="00D82F02">
        <w:rPr>
          <w:rFonts w:ascii="Palatino Linotype" w:hAnsi="Palatino Linotype" w:cs="Times New Roman"/>
          <w:sz w:val="24"/>
          <w:szCs w:val="24"/>
        </w:rPr>
        <w:t xml:space="preserve"> and internships in law firms and public notary offices</w:t>
      </w:r>
      <w:r w:rsidRPr="00D82F02">
        <w:rPr>
          <w:rFonts w:ascii="Palatino Linotype" w:hAnsi="Palatino Linotype" w:cs="Times New Roman"/>
          <w:sz w:val="24"/>
          <w:szCs w:val="24"/>
        </w:rPr>
        <w:t>, one of three forms of practical training in the ninth semester of the educational curriculum.</w:t>
      </w:r>
      <w:r w:rsidRPr="00D82F02">
        <w:rPr>
          <w:rFonts w:ascii="Palatino Linotype" w:eastAsia="Times New Roman" w:hAnsi="Palatino Linotype" w:cs="Times New Roman"/>
          <w:sz w:val="24"/>
          <w:szCs w:val="24"/>
          <w:vertAlign w:val="superscript"/>
        </w:rPr>
        <w:footnoteReference w:id="36"/>
      </w:r>
      <w:r w:rsidRPr="00D82F02">
        <w:rPr>
          <w:rFonts w:ascii="Palatino Linotype" w:hAnsi="Palatino Linotype" w:cs="Times New Roman"/>
          <w:sz w:val="24"/>
          <w:szCs w:val="24"/>
        </w:rPr>
        <w:t xml:space="preserve"> Student participation in the work of the Law Clinic is evaluated as equivalent to six hours of work per week during one semester, and equals 10 ECTS credits.</w:t>
      </w:r>
      <w:r w:rsidRPr="00D82F02">
        <w:rPr>
          <w:rFonts w:ascii="Palatino Linotype" w:eastAsia="Times New Roman" w:hAnsi="Palatino Linotype" w:cs="Times New Roman"/>
          <w:sz w:val="24"/>
          <w:szCs w:val="24"/>
          <w:vertAlign w:val="superscript"/>
        </w:rPr>
        <w:footnoteReference w:id="37"/>
      </w:r>
      <w:r w:rsidRPr="00D82F02">
        <w:rPr>
          <w:rFonts w:ascii="Palatino Linotype" w:hAnsi="Palatino Linotype" w:cs="Times New Roman"/>
          <w:sz w:val="24"/>
          <w:szCs w:val="24"/>
        </w:rPr>
        <w:t xml:space="preserve"> Students who enrol in the Law Clinic go through several stages and </w:t>
      </w:r>
      <w:r w:rsidR="009C146C" w:rsidRPr="00D82F02">
        <w:rPr>
          <w:rFonts w:ascii="Palatino Linotype" w:hAnsi="Palatino Linotype" w:cs="Times New Roman"/>
          <w:sz w:val="24"/>
          <w:szCs w:val="24"/>
        </w:rPr>
        <w:t xml:space="preserve">kinds </w:t>
      </w:r>
      <w:r w:rsidRPr="00D82F02">
        <w:rPr>
          <w:rFonts w:ascii="Palatino Linotype" w:hAnsi="Palatino Linotype" w:cs="Times New Roman"/>
          <w:sz w:val="24"/>
          <w:szCs w:val="24"/>
        </w:rPr>
        <w:t>of clinical education. At the start of their clinical practice students are obliged to attend introductory seminars, where they gain knowledge on the technique</w:t>
      </w:r>
      <w:r w:rsidR="009C146C" w:rsidRPr="00D82F02">
        <w:rPr>
          <w:rFonts w:ascii="Palatino Linotype" w:hAnsi="Palatino Linotype" w:cs="Times New Roman"/>
          <w:sz w:val="24"/>
          <w:szCs w:val="24"/>
        </w:rPr>
        <w:t>s</w:t>
      </w:r>
      <w:r w:rsidRPr="00D82F02">
        <w:rPr>
          <w:rFonts w:ascii="Palatino Linotype" w:hAnsi="Palatino Linotype" w:cs="Times New Roman"/>
          <w:sz w:val="24"/>
          <w:szCs w:val="24"/>
        </w:rPr>
        <w:t xml:space="preserve"> of taking on and processing legal cases.</w:t>
      </w:r>
      <w:r w:rsidRPr="00D82F02">
        <w:rPr>
          <w:rFonts w:ascii="Palatino Linotype" w:eastAsia="Times New Roman" w:hAnsi="Palatino Linotype" w:cs="Times New Roman"/>
          <w:sz w:val="24"/>
          <w:szCs w:val="24"/>
          <w:vertAlign w:val="superscript"/>
        </w:rPr>
        <w:footnoteReference w:id="38"/>
      </w:r>
      <w:r w:rsidRPr="00D82F02">
        <w:rPr>
          <w:rFonts w:ascii="Palatino Linotype" w:hAnsi="Palatino Linotype" w:cs="Times New Roman"/>
          <w:sz w:val="24"/>
          <w:szCs w:val="24"/>
        </w:rPr>
        <w:t xml:space="preserve"> After finishing introductory seminars students take their daily duties in</w:t>
      </w:r>
      <w:r w:rsidR="0049231A" w:rsidRPr="00D82F02">
        <w:rPr>
          <w:rFonts w:ascii="Palatino Linotype" w:hAnsi="Palatino Linotype" w:cs="Times New Roman"/>
          <w:sz w:val="24"/>
          <w:szCs w:val="24"/>
        </w:rPr>
        <w:t xml:space="preserve"> the</w:t>
      </w:r>
      <w:r w:rsidR="00743A1D" w:rsidRPr="00D82F02">
        <w:rPr>
          <w:rFonts w:ascii="Palatino Linotype" w:hAnsi="Palatino Linotype" w:cs="Times New Roman"/>
          <w:sz w:val="24"/>
          <w:szCs w:val="24"/>
        </w:rPr>
        <w:t xml:space="preserve"> </w:t>
      </w:r>
      <w:r w:rsidR="0049231A" w:rsidRPr="00D82F02">
        <w:rPr>
          <w:rFonts w:ascii="Palatino Linotype" w:hAnsi="Palatino Linotype" w:cs="Times New Roman"/>
          <w:sz w:val="24"/>
          <w:szCs w:val="24"/>
        </w:rPr>
        <w:t xml:space="preserve">central office </w:t>
      </w:r>
      <w:r w:rsidRPr="00D82F02">
        <w:rPr>
          <w:rFonts w:ascii="Palatino Linotype" w:hAnsi="Palatino Linotype" w:cs="Times New Roman"/>
          <w:sz w:val="24"/>
          <w:szCs w:val="24"/>
        </w:rPr>
        <w:t>where they work in groups in order to provide general legal information, legal advice and prepare written legal opinions (primary legal aid)</w:t>
      </w:r>
      <w:r w:rsidR="00742F56" w:rsidRPr="00D82F02">
        <w:rPr>
          <w:rStyle w:val="FootnoteReference"/>
          <w:rFonts w:ascii="Palatino Linotype" w:hAnsi="Palatino Linotype" w:cs="Times New Roman"/>
          <w:sz w:val="24"/>
          <w:szCs w:val="24"/>
        </w:rPr>
        <w:footnoteReference w:id="39"/>
      </w:r>
      <w:r w:rsidRPr="00D82F02">
        <w:rPr>
          <w:rFonts w:ascii="Palatino Linotype" w:hAnsi="Palatino Linotype" w:cs="Times New Roman"/>
          <w:sz w:val="24"/>
          <w:szCs w:val="24"/>
        </w:rPr>
        <w:t xml:space="preserve"> to citizens who have applied for clinical legal aid.</w:t>
      </w:r>
      <w:r w:rsidRPr="00D82F02">
        <w:rPr>
          <w:rFonts w:ascii="Palatino Linotype" w:eastAsia="Times New Roman" w:hAnsi="Palatino Linotype" w:cs="Times New Roman"/>
          <w:sz w:val="24"/>
          <w:szCs w:val="24"/>
          <w:vertAlign w:val="superscript"/>
        </w:rPr>
        <w:footnoteReference w:id="40"/>
      </w:r>
      <w:r w:rsidRPr="00D82F02">
        <w:rPr>
          <w:rFonts w:ascii="Palatino Linotype" w:hAnsi="Palatino Linotype" w:cs="Times New Roman"/>
          <w:sz w:val="24"/>
          <w:szCs w:val="24"/>
        </w:rPr>
        <w:t xml:space="preserve"> Students are not allowed to directly represent clients in the court, but they may attend the hearings and, within the work of l</w:t>
      </w:r>
      <w:r w:rsidR="00123B55" w:rsidRPr="00D82F02">
        <w:rPr>
          <w:rFonts w:ascii="Palatino Linotype" w:hAnsi="Palatino Linotype" w:cs="Times New Roman"/>
          <w:sz w:val="24"/>
          <w:szCs w:val="24"/>
        </w:rPr>
        <w:t>aw</w:t>
      </w:r>
      <w:r w:rsidRPr="00D82F02">
        <w:rPr>
          <w:rFonts w:ascii="Palatino Linotype" w:hAnsi="Palatino Linotype" w:cs="Times New Roman"/>
          <w:sz w:val="24"/>
          <w:szCs w:val="24"/>
        </w:rPr>
        <w:t xml:space="preserve"> clinics, they may assist persons authorised to represent clients in the court.</w:t>
      </w:r>
      <w:r w:rsidRPr="00D82F02">
        <w:rPr>
          <w:rFonts w:ascii="Palatino Linotype" w:eastAsia="Times New Roman" w:hAnsi="Palatino Linotype" w:cs="Times New Roman"/>
          <w:sz w:val="24"/>
          <w:szCs w:val="24"/>
          <w:vertAlign w:val="superscript"/>
        </w:rPr>
        <w:footnoteReference w:id="41"/>
      </w:r>
      <w:r w:rsidRPr="00D82F02">
        <w:rPr>
          <w:rFonts w:ascii="Palatino Linotype" w:hAnsi="Palatino Linotype" w:cs="Times New Roman"/>
          <w:sz w:val="24"/>
          <w:szCs w:val="24"/>
        </w:rPr>
        <w:t xml:space="preserve"> Students provide primary legal aid to socially vulnerable citizens, but they are also authorised to provide legal aid in various kinds of legal cases,</w:t>
      </w:r>
      <w:r w:rsidR="00123B55" w:rsidRPr="00D82F02">
        <w:rPr>
          <w:rStyle w:val="FootnoteReference"/>
          <w:rFonts w:ascii="Palatino Linotype" w:hAnsi="Palatino Linotype" w:cs="Times New Roman"/>
          <w:sz w:val="24"/>
          <w:szCs w:val="24"/>
        </w:rPr>
        <w:footnoteReference w:id="42"/>
      </w:r>
      <w:r w:rsidRPr="00D82F02">
        <w:rPr>
          <w:rFonts w:ascii="Palatino Linotype" w:hAnsi="Palatino Linotype" w:cs="Times New Roman"/>
          <w:sz w:val="24"/>
          <w:szCs w:val="24"/>
        </w:rPr>
        <w:t xml:space="preserve"> which are of great importance for gaining practical knowledge.</w:t>
      </w:r>
      <w:r w:rsidRPr="00D82F02">
        <w:rPr>
          <w:rFonts w:ascii="Palatino Linotype" w:eastAsia="Times New Roman" w:hAnsi="Palatino Linotype" w:cs="Times New Roman"/>
          <w:sz w:val="24"/>
          <w:szCs w:val="24"/>
          <w:vertAlign w:val="superscript"/>
        </w:rPr>
        <w:footnoteReference w:id="43"/>
      </w:r>
      <w:r w:rsidRPr="00D82F02">
        <w:rPr>
          <w:rFonts w:ascii="Palatino Linotype" w:hAnsi="Palatino Linotype" w:cs="Times New Roman"/>
          <w:sz w:val="24"/>
          <w:szCs w:val="24"/>
        </w:rPr>
        <w:t xml:space="preserve"> Although students are obliged to work in the group, they also may </w:t>
      </w:r>
      <w:r w:rsidR="005218E2" w:rsidRPr="00D82F02">
        <w:rPr>
          <w:rFonts w:ascii="Palatino Linotype" w:hAnsi="Palatino Linotype" w:cs="Times New Roman"/>
          <w:sz w:val="24"/>
          <w:szCs w:val="24"/>
        </w:rPr>
        <w:t>under</w:t>
      </w:r>
      <w:r w:rsidRPr="00D82F02">
        <w:rPr>
          <w:rFonts w:ascii="Palatino Linotype" w:hAnsi="Palatino Linotype" w:cs="Times New Roman"/>
          <w:sz w:val="24"/>
          <w:szCs w:val="24"/>
        </w:rPr>
        <w:t>take individual research regarding preliminary processing of cases.</w:t>
      </w:r>
      <w:r w:rsidRPr="00D82F02">
        <w:rPr>
          <w:rFonts w:ascii="Palatino Linotype" w:eastAsia="Times New Roman" w:hAnsi="Palatino Linotype" w:cs="Times New Roman"/>
          <w:sz w:val="24"/>
          <w:szCs w:val="24"/>
          <w:vertAlign w:val="superscript"/>
        </w:rPr>
        <w:footnoteReference w:id="44"/>
      </w:r>
      <w:r w:rsidRPr="00D82F02">
        <w:rPr>
          <w:rFonts w:ascii="Palatino Linotype" w:hAnsi="Palatino Linotype" w:cs="Times New Roman"/>
          <w:sz w:val="24"/>
          <w:szCs w:val="24"/>
        </w:rPr>
        <w:t xml:space="preserve"> In</w:t>
      </w:r>
      <w:r w:rsidR="009C146C" w:rsidRPr="00D82F02">
        <w:rPr>
          <w:rFonts w:ascii="Palatino Linotype" w:hAnsi="Palatino Linotype" w:cs="Times New Roman"/>
          <w:sz w:val="24"/>
          <w:szCs w:val="24"/>
        </w:rPr>
        <w:t xml:space="preserve"> our</w:t>
      </w:r>
      <w:r w:rsidRPr="00D82F02">
        <w:rPr>
          <w:rFonts w:ascii="Palatino Linotype" w:hAnsi="Palatino Linotype" w:cs="Times New Roman"/>
          <w:sz w:val="24"/>
          <w:szCs w:val="24"/>
        </w:rPr>
        <w:t xml:space="preserve"> </w:t>
      </w:r>
      <w:r w:rsidR="00363D94" w:rsidRPr="00D82F02">
        <w:rPr>
          <w:rFonts w:ascii="Palatino Linotype" w:hAnsi="Palatino Linotype" w:cs="Times New Roman"/>
          <w:sz w:val="24"/>
          <w:szCs w:val="24"/>
        </w:rPr>
        <w:t>central office</w:t>
      </w:r>
      <w:r w:rsidRPr="00D82F02">
        <w:rPr>
          <w:rFonts w:ascii="Palatino Linotype" w:hAnsi="Palatino Linotype" w:cs="Times New Roman"/>
          <w:sz w:val="24"/>
          <w:szCs w:val="24"/>
        </w:rPr>
        <w:t xml:space="preserve">, students have at least one meeting per week of working groups, where they discuss </w:t>
      </w:r>
      <w:r w:rsidR="005218E2" w:rsidRPr="00D82F02">
        <w:rPr>
          <w:rFonts w:ascii="Palatino Linotype" w:hAnsi="Palatino Linotype" w:cs="Times New Roman"/>
          <w:sz w:val="24"/>
          <w:szCs w:val="24"/>
        </w:rPr>
        <w:t xml:space="preserve">the </w:t>
      </w:r>
      <w:r w:rsidRPr="00D82F02">
        <w:rPr>
          <w:rFonts w:ascii="Palatino Linotype" w:hAnsi="Palatino Linotype" w:cs="Times New Roman"/>
          <w:sz w:val="24"/>
          <w:szCs w:val="24"/>
        </w:rPr>
        <w:t xml:space="preserve">results of </w:t>
      </w:r>
      <w:r w:rsidR="005218E2" w:rsidRPr="00D82F02">
        <w:rPr>
          <w:rFonts w:ascii="Palatino Linotype" w:hAnsi="Palatino Linotype" w:cs="Times New Roman"/>
          <w:sz w:val="24"/>
          <w:szCs w:val="24"/>
        </w:rPr>
        <w:t xml:space="preserve">their </w:t>
      </w:r>
      <w:r w:rsidRPr="00D82F02">
        <w:rPr>
          <w:rFonts w:ascii="Palatino Linotype" w:hAnsi="Palatino Linotype" w:cs="Times New Roman"/>
          <w:sz w:val="24"/>
          <w:szCs w:val="24"/>
        </w:rPr>
        <w:t xml:space="preserve">clinical work and </w:t>
      </w:r>
      <w:r w:rsidR="005218E2" w:rsidRPr="00D82F02">
        <w:rPr>
          <w:rFonts w:ascii="Palatino Linotype" w:hAnsi="Palatino Linotype" w:cs="Times New Roman"/>
          <w:sz w:val="24"/>
          <w:szCs w:val="24"/>
        </w:rPr>
        <w:t xml:space="preserve">any </w:t>
      </w:r>
      <w:r w:rsidRPr="00D82F02">
        <w:rPr>
          <w:rFonts w:ascii="Palatino Linotype" w:hAnsi="Palatino Linotype" w:cs="Times New Roman"/>
          <w:sz w:val="24"/>
          <w:szCs w:val="24"/>
        </w:rPr>
        <w:t>problems they are facing during their clinical practice.</w:t>
      </w:r>
      <w:r w:rsidRPr="00D82F02">
        <w:rPr>
          <w:rFonts w:ascii="Palatino Linotype" w:eastAsia="Times New Roman" w:hAnsi="Palatino Linotype" w:cs="Times New Roman"/>
          <w:sz w:val="24"/>
          <w:szCs w:val="24"/>
          <w:vertAlign w:val="superscript"/>
        </w:rPr>
        <w:footnoteReference w:id="45"/>
      </w:r>
      <w:r w:rsidRPr="00D82F02">
        <w:rPr>
          <w:rFonts w:ascii="Palatino Linotype" w:hAnsi="Palatino Linotype" w:cs="Times New Roman"/>
          <w:sz w:val="24"/>
          <w:szCs w:val="24"/>
        </w:rPr>
        <w:t xml:space="preserve"> At least twice in </w:t>
      </w:r>
      <w:r w:rsidR="005218E2" w:rsidRPr="00D82F02">
        <w:rPr>
          <w:rFonts w:ascii="Palatino Linotype" w:hAnsi="Palatino Linotype" w:cs="Times New Roman"/>
          <w:sz w:val="24"/>
          <w:szCs w:val="24"/>
        </w:rPr>
        <w:t xml:space="preserve">a </w:t>
      </w:r>
      <w:r w:rsidRPr="00D82F02">
        <w:rPr>
          <w:rFonts w:ascii="Palatino Linotype" w:hAnsi="Palatino Linotype" w:cs="Times New Roman"/>
          <w:sz w:val="24"/>
          <w:szCs w:val="24"/>
        </w:rPr>
        <w:t>semester student</w:t>
      </w:r>
      <w:r w:rsidR="005218E2" w:rsidRPr="00D82F02">
        <w:rPr>
          <w:rFonts w:ascii="Palatino Linotype" w:hAnsi="Palatino Linotype" w:cs="Times New Roman"/>
          <w:sz w:val="24"/>
          <w:szCs w:val="24"/>
        </w:rPr>
        <w:t>s</w:t>
      </w:r>
      <w:r w:rsidRPr="00D82F02">
        <w:rPr>
          <w:rFonts w:ascii="Palatino Linotype" w:hAnsi="Palatino Linotype" w:cs="Times New Roman"/>
          <w:sz w:val="24"/>
          <w:szCs w:val="24"/>
        </w:rPr>
        <w:t xml:space="preserve"> and clinical leadership hold plenary meetings with the aim of discussing organisational and strategic issues of clinical work, such as enrolment of new students, new projects of cooperation with NGOs and other regional law clinics</w:t>
      </w:r>
      <w:r w:rsidR="005218E2" w:rsidRPr="00D82F02">
        <w:rPr>
          <w:rFonts w:ascii="Palatino Linotype" w:hAnsi="Palatino Linotype" w:cs="Times New Roman"/>
          <w:sz w:val="24"/>
          <w:szCs w:val="24"/>
        </w:rPr>
        <w:t xml:space="preserve"> and </w:t>
      </w:r>
      <w:r w:rsidRPr="00D82F02">
        <w:rPr>
          <w:rFonts w:ascii="Palatino Linotype" w:hAnsi="Palatino Linotype" w:cs="Times New Roman"/>
          <w:sz w:val="24"/>
          <w:szCs w:val="24"/>
        </w:rPr>
        <w:t>planning the schedule for providing legal aid in mobile clinics (outreach projects).</w:t>
      </w:r>
      <w:r w:rsidRPr="00D82F02">
        <w:rPr>
          <w:rFonts w:ascii="Palatino Linotype" w:eastAsia="Times New Roman" w:hAnsi="Palatino Linotype" w:cs="Times New Roman"/>
          <w:sz w:val="24"/>
          <w:szCs w:val="24"/>
          <w:vertAlign w:val="superscript"/>
        </w:rPr>
        <w:footnoteReference w:id="46"/>
      </w:r>
      <w:r w:rsidRPr="00D82F02">
        <w:rPr>
          <w:rFonts w:ascii="Palatino Linotype" w:hAnsi="Palatino Linotype" w:cs="Times New Roman"/>
          <w:sz w:val="24"/>
          <w:szCs w:val="24"/>
        </w:rPr>
        <w:t xml:space="preserve"> Beside the work in </w:t>
      </w:r>
      <w:r w:rsidR="00970CCD" w:rsidRPr="00D82F02">
        <w:rPr>
          <w:rFonts w:ascii="Palatino Linotype" w:hAnsi="Palatino Linotype" w:cs="Times New Roman"/>
          <w:sz w:val="24"/>
          <w:szCs w:val="24"/>
        </w:rPr>
        <w:t xml:space="preserve">the </w:t>
      </w:r>
      <w:r w:rsidR="00545E1B" w:rsidRPr="00D82F02">
        <w:rPr>
          <w:rFonts w:ascii="Palatino Linotype" w:hAnsi="Palatino Linotype" w:cs="Times New Roman"/>
          <w:sz w:val="24"/>
          <w:szCs w:val="24"/>
        </w:rPr>
        <w:t xml:space="preserve">central office, </w:t>
      </w:r>
      <w:r w:rsidRPr="00D82F02">
        <w:rPr>
          <w:rFonts w:ascii="Palatino Linotype" w:hAnsi="Palatino Linotype" w:cs="Times New Roman"/>
          <w:sz w:val="24"/>
          <w:szCs w:val="24"/>
        </w:rPr>
        <w:t>students are obliged to work in a mobile clinic, where they provide legal aid in areas of Croatia where legal aid is most needed.</w:t>
      </w:r>
      <w:r w:rsidRPr="00D82F02">
        <w:rPr>
          <w:rFonts w:ascii="Palatino Linotype" w:eastAsia="Times New Roman" w:hAnsi="Palatino Linotype" w:cs="Times New Roman"/>
          <w:sz w:val="24"/>
          <w:szCs w:val="24"/>
          <w:vertAlign w:val="superscript"/>
        </w:rPr>
        <w:footnoteReference w:id="47"/>
      </w:r>
      <w:r w:rsidRPr="00D82F02">
        <w:rPr>
          <w:rFonts w:ascii="Palatino Linotype" w:hAnsi="Palatino Linotype" w:cs="Times New Roman"/>
          <w:sz w:val="24"/>
          <w:szCs w:val="24"/>
        </w:rPr>
        <w:t xml:space="preserve"> </w:t>
      </w:r>
    </w:p>
    <w:p w14:paraId="5C278B20" w14:textId="00CF54C2" w:rsidR="008F24C2" w:rsidRPr="00D82F02" w:rsidRDefault="00734CD5" w:rsidP="00D82F02">
      <w:pPr>
        <w:pStyle w:val="Body"/>
        <w:spacing w:after="120"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 xml:space="preserve">As the Law Clinic </w:t>
      </w:r>
      <w:r w:rsidRPr="00D82F02">
        <w:rPr>
          <w:rFonts w:ascii="Palatino Linotype" w:hAnsi="Palatino Linotype" w:cs="Times New Roman"/>
          <w:sz w:val="24"/>
          <w:szCs w:val="24"/>
        </w:rPr>
        <w:t xml:space="preserve">functions to provide assistance to members of especially vulnerable social groups and individuals who are not capable of exercising and protecting their legal rights, it aims to contribute to the overall system of legal aid. It is thus registered as one of </w:t>
      </w:r>
      <w:r w:rsidR="005218E2" w:rsidRPr="00D82F02">
        <w:rPr>
          <w:rFonts w:ascii="Palatino Linotype" w:hAnsi="Palatino Linotype" w:cs="Times New Roman"/>
          <w:sz w:val="24"/>
          <w:szCs w:val="24"/>
        </w:rPr>
        <w:t xml:space="preserve">the </w:t>
      </w:r>
      <w:r w:rsidRPr="00D82F02">
        <w:rPr>
          <w:rFonts w:ascii="Palatino Linotype" w:hAnsi="Palatino Linotype" w:cs="Times New Roman"/>
          <w:sz w:val="24"/>
          <w:szCs w:val="24"/>
        </w:rPr>
        <w:t>providers of legal advice and assistance at the Ministry of Justice.</w:t>
      </w:r>
      <w:r w:rsidRPr="00D82F02">
        <w:rPr>
          <w:rFonts w:ascii="Palatino Linotype" w:eastAsia="Times New Roman" w:hAnsi="Palatino Linotype" w:cs="Times New Roman"/>
          <w:sz w:val="24"/>
          <w:szCs w:val="24"/>
          <w:vertAlign w:val="superscript"/>
        </w:rPr>
        <w:footnoteReference w:id="48"/>
      </w:r>
      <w:r w:rsidRPr="00D82F02">
        <w:rPr>
          <w:rFonts w:ascii="Palatino Linotype" w:hAnsi="Palatino Linotype" w:cs="Times New Roman"/>
          <w:sz w:val="24"/>
          <w:szCs w:val="24"/>
        </w:rPr>
        <w:t xml:space="preserve"> </w:t>
      </w:r>
      <w:r w:rsidR="00970CCD" w:rsidRPr="00D82F02">
        <w:rPr>
          <w:rFonts w:ascii="Palatino Linotype" w:hAnsi="Palatino Linotype" w:cs="Times New Roman"/>
          <w:sz w:val="24"/>
          <w:szCs w:val="24"/>
        </w:rPr>
        <w:t xml:space="preserve">This </w:t>
      </w:r>
      <w:r w:rsidRPr="00D82F02">
        <w:rPr>
          <w:rFonts w:ascii="Palatino Linotype" w:hAnsi="Palatino Linotype" w:cs="Times New Roman"/>
          <w:sz w:val="24"/>
          <w:szCs w:val="24"/>
        </w:rPr>
        <w:t>segment of the clinical education</w:t>
      </w:r>
      <w:r w:rsidR="00970CCD" w:rsidRPr="00D82F02">
        <w:rPr>
          <w:rFonts w:ascii="Palatino Linotype" w:hAnsi="Palatino Linotype" w:cs="Times New Roman"/>
          <w:sz w:val="24"/>
          <w:szCs w:val="24"/>
        </w:rPr>
        <w:t>,</w:t>
      </w:r>
      <w:r w:rsidRPr="00D82F02">
        <w:rPr>
          <w:rFonts w:ascii="Palatino Linotype" w:hAnsi="Palatino Linotype" w:cs="Times New Roman"/>
          <w:sz w:val="24"/>
          <w:szCs w:val="24"/>
        </w:rPr>
        <w:t xml:space="preserve"> which comprises practical resolution of legal cases in the form of providing legal aid, represents a significant contribution not only to legal education, but also to the community</w:t>
      </w:r>
      <w:r w:rsidR="00970CCD" w:rsidRPr="00D82F02">
        <w:rPr>
          <w:rFonts w:ascii="Palatino Linotype" w:hAnsi="Palatino Linotype" w:cs="Times New Roman"/>
          <w:sz w:val="24"/>
          <w:szCs w:val="24"/>
        </w:rPr>
        <w:t>. As a result,</w:t>
      </w:r>
      <w:r w:rsidR="0047490E" w:rsidRPr="00D82F02">
        <w:rPr>
          <w:rFonts w:ascii="Palatino Linotype" w:hAnsi="Palatino Linotype" w:cs="Times New Roman"/>
          <w:sz w:val="24"/>
          <w:szCs w:val="24"/>
        </w:rPr>
        <w:t xml:space="preserve"> </w:t>
      </w:r>
      <w:r w:rsidR="00123B55" w:rsidRPr="00D82F02">
        <w:rPr>
          <w:rFonts w:ascii="Palatino Linotype" w:hAnsi="Palatino Linotype" w:cs="Times New Roman"/>
          <w:sz w:val="24"/>
          <w:szCs w:val="24"/>
        </w:rPr>
        <w:t xml:space="preserve">the </w:t>
      </w:r>
      <w:r w:rsidR="00652234" w:rsidRPr="00D82F02">
        <w:rPr>
          <w:rFonts w:ascii="Palatino Linotype" w:hAnsi="Palatino Linotype" w:cs="Times New Roman"/>
          <w:sz w:val="24"/>
          <w:szCs w:val="24"/>
        </w:rPr>
        <w:t xml:space="preserve">Law Clinic </w:t>
      </w:r>
      <w:r w:rsidRPr="00D82F02">
        <w:rPr>
          <w:rFonts w:ascii="Palatino Linotype" w:hAnsi="Palatino Linotype" w:cs="Times New Roman"/>
          <w:sz w:val="24"/>
          <w:szCs w:val="24"/>
        </w:rPr>
        <w:t>became one of the major providers of legal aid in Croatia. During 2015 and in the first half of 2016 the Law Clinic has received more than 3,720 cases. The significance of this caseload can be judged on the background of the data supplied by the Ministry of Justice for the state sponsored legal aid and advice cases. In 2014 there were, altogether, approximately 2,758 legal aid and advice cases, and in the whole of Croatia the state gave support for only about 647 legal advice cases.</w:t>
      </w:r>
      <w:r w:rsidRPr="00D82F02">
        <w:rPr>
          <w:rFonts w:ascii="Palatino Linotype" w:eastAsia="Times New Roman" w:hAnsi="Palatino Linotype" w:cs="Times New Roman"/>
          <w:sz w:val="24"/>
          <w:szCs w:val="24"/>
          <w:vertAlign w:val="superscript"/>
        </w:rPr>
        <w:footnoteReference w:id="49"/>
      </w:r>
      <w:r w:rsidRPr="00D82F02">
        <w:rPr>
          <w:rFonts w:ascii="Palatino Linotype" w:hAnsi="Palatino Linotype" w:cs="Times New Roman"/>
          <w:sz w:val="24"/>
          <w:szCs w:val="24"/>
        </w:rPr>
        <w:t xml:space="preserve"> </w:t>
      </w:r>
    </w:p>
    <w:p w14:paraId="552027D1" w14:textId="77777777" w:rsidR="008F24C2" w:rsidRPr="00D82F02" w:rsidRDefault="00734CD5" w:rsidP="00D82F02">
      <w:pPr>
        <w:pStyle w:val="Body"/>
        <w:spacing w:line="480" w:lineRule="auto"/>
        <w:jc w:val="both"/>
        <w:rPr>
          <w:rFonts w:ascii="Palatino Linotype" w:eastAsia="Times New Roman" w:hAnsi="Palatino Linotype" w:cs="Times New Roman"/>
          <w:b/>
          <w:sz w:val="24"/>
          <w:szCs w:val="24"/>
        </w:rPr>
      </w:pPr>
      <w:r w:rsidRPr="00D82F02">
        <w:rPr>
          <w:rFonts w:ascii="Palatino Linotype" w:hAnsi="Palatino Linotype" w:cs="Times New Roman"/>
          <w:b/>
          <w:sz w:val="24"/>
          <w:szCs w:val="24"/>
        </w:rPr>
        <w:t xml:space="preserve">4.2. Organisational structure </w:t>
      </w:r>
    </w:p>
    <w:p w14:paraId="37D789E3" w14:textId="6E480BE0" w:rsidR="008F24C2" w:rsidRPr="00D82F02" w:rsidRDefault="00734CD5" w:rsidP="00D82F02">
      <w:pPr>
        <w:pStyle w:val="Body"/>
        <w:spacing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 xml:space="preserve">The Law Clinic is governed and its work coordinated by the Clinical Leader, who is </w:t>
      </w:r>
      <w:r w:rsidRPr="00D82F02">
        <w:rPr>
          <w:rFonts w:ascii="Palatino Linotype" w:hAnsi="Palatino Linotype" w:cs="Times New Roman"/>
          <w:sz w:val="24"/>
          <w:szCs w:val="24"/>
        </w:rPr>
        <w:t xml:space="preserve"> a law professor and member of Zagreb Law School.</w:t>
      </w:r>
      <w:r w:rsidRPr="00D82F02">
        <w:rPr>
          <w:rFonts w:ascii="Palatino Linotype" w:eastAsia="Times New Roman" w:hAnsi="Palatino Linotype" w:cs="Times New Roman"/>
          <w:sz w:val="24"/>
          <w:szCs w:val="24"/>
          <w:vertAlign w:val="superscript"/>
        </w:rPr>
        <w:footnoteReference w:id="50"/>
      </w:r>
      <w:r w:rsidRPr="00D82F02">
        <w:rPr>
          <w:rFonts w:ascii="Palatino Linotype" w:hAnsi="Palatino Linotype" w:cs="Times New Roman"/>
          <w:sz w:val="24"/>
          <w:szCs w:val="24"/>
        </w:rPr>
        <w:t xml:space="preserve"> The administrative affairs of the  Law Clinic are carried out by Assistant Leaders with the help of Student Administrators.</w:t>
      </w:r>
      <w:r w:rsidRPr="00D82F02">
        <w:rPr>
          <w:rFonts w:ascii="Palatino Linotype" w:eastAsia="Times New Roman" w:hAnsi="Palatino Linotype" w:cs="Times New Roman"/>
          <w:sz w:val="24"/>
          <w:szCs w:val="24"/>
          <w:vertAlign w:val="superscript"/>
        </w:rPr>
        <w:footnoteReference w:id="51"/>
      </w:r>
      <w:r w:rsidRPr="00D82F02">
        <w:rPr>
          <w:rFonts w:ascii="Palatino Linotype" w:hAnsi="Palatino Linotype" w:cs="Times New Roman"/>
          <w:sz w:val="24"/>
          <w:szCs w:val="24"/>
        </w:rPr>
        <w:t xml:space="preserve"> All the important decisions on the provision of legal assistance in specific cases are brought independently by students</w:t>
      </w:r>
      <w:r w:rsidR="00F10629" w:rsidRPr="00D82F02">
        <w:rPr>
          <w:rStyle w:val="FootnoteReference"/>
          <w:rFonts w:ascii="Palatino Linotype" w:hAnsi="Palatino Linotype" w:cs="Times New Roman"/>
          <w:sz w:val="24"/>
          <w:szCs w:val="24"/>
        </w:rPr>
        <w:footnoteReference w:id="52"/>
      </w:r>
      <w:r w:rsidRPr="00D82F02">
        <w:rPr>
          <w:rFonts w:ascii="Palatino Linotype" w:hAnsi="Palatino Linotype" w:cs="Times New Roman"/>
          <w:sz w:val="24"/>
          <w:szCs w:val="24"/>
        </w:rPr>
        <w:t>. Strategic questions about the direction of clinical actions, organisation and other decisions that require the engagement of additional resources or work, are decided at joint meetings by students, in agreement with the Clinical Leader, his Deputies and Assistants, Academic Mentors.</w:t>
      </w:r>
      <w:r w:rsidRPr="00D82F02">
        <w:rPr>
          <w:rFonts w:ascii="Palatino Linotype" w:eastAsia="Times New Roman" w:hAnsi="Palatino Linotype" w:cs="Times New Roman"/>
          <w:sz w:val="24"/>
          <w:szCs w:val="24"/>
          <w:vertAlign w:val="superscript"/>
        </w:rPr>
        <w:footnoteReference w:id="53"/>
      </w:r>
    </w:p>
    <w:p w14:paraId="62D1AD7E" w14:textId="1B5CD575" w:rsidR="008F24C2" w:rsidRPr="00D82F02" w:rsidRDefault="00734CD5" w:rsidP="00D82F02">
      <w:pPr>
        <w:pStyle w:val="Body"/>
        <w:spacing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The Law Clinic has clinical groups that serve as working groups.</w:t>
      </w:r>
      <w:r w:rsidRPr="00D82F02">
        <w:rPr>
          <w:rFonts w:ascii="Palatino Linotype" w:eastAsia="Times New Roman" w:hAnsi="Palatino Linotype" w:cs="Times New Roman"/>
          <w:sz w:val="24"/>
          <w:szCs w:val="24"/>
          <w:vertAlign w:val="superscript"/>
        </w:rPr>
        <w:footnoteReference w:id="54"/>
      </w:r>
      <w:r w:rsidRPr="00D82F02">
        <w:rPr>
          <w:rFonts w:ascii="Palatino Linotype" w:hAnsi="Palatino Linotype" w:cs="Times New Roman"/>
          <w:sz w:val="24"/>
          <w:szCs w:val="24"/>
        </w:rPr>
        <w:t xml:space="preserve"> They are independently formed in accordance with characteristics of specific cases and areas to which they pertain.</w:t>
      </w:r>
      <w:r w:rsidRPr="00D82F02">
        <w:rPr>
          <w:rFonts w:ascii="Palatino Linotype" w:eastAsia="Times New Roman" w:hAnsi="Palatino Linotype" w:cs="Times New Roman"/>
          <w:sz w:val="24"/>
          <w:szCs w:val="24"/>
          <w:vertAlign w:val="superscript"/>
        </w:rPr>
        <w:footnoteReference w:id="55"/>
      </w:r>
      <w:r w:rsidRPr="00D82F02">
        <w:rPr>
          <w:rFonts w:ascii="Palatino Linotype" w:hAnsi="Palatino Linotype" w:cs="Times New Roman"/>
          <w:sz w:val="24"/>
          <w:szCs w:val="24"/>
        </w:rPr>
        <w:t xml:space="preserve"> In the beginning the Law Clinic was operating through three working groups: civil and family law group - in which the cases concerning the property and status were handled; administrative and labour law group - in which the cases concerning labour and social issues were handled; and criminal law group - in which the cases concerning criminal implications in the broader sense (criminal, misdemeanour, disciplinary and similar cases) were handled.</w:t>
      </w:r>
      <w:r w:rsidRPr="00D82F02">
        <w:rPr>
          <w:rFonts w:ascii="Palatino Linotype" w:eastAsia="Times New Roman" w:hAnsi="Palatino Linotype" w:cs="Times New Roman"/>
          <w:sz w:val="24"/>
          <w:szCs w:val="24"/>
          <w:vertAlign w:val="superscript"/>
        </w:rPr>
        <w:footnoteReference w:id="56"/>
      </w:r>
      <w:r w:rsidRPr="00D82F02">
        <w:rPr>
          <w:rFonts w:ascii="Palatino Linotype" w:hAnsi="Palatino Linotype" w:cs="Times New Roman"/>
          <w:sz w:val="24"/>
          <w:szCs w:val="24"/>
        </w:rPr>
        <w:t xml:space="preserve"> However, since this classification of the working groups was too general and less client oriented,</w:t>
      </w:r>
      <w:r w:rsidR="00096673" w:rsidRPr="00D82F02">
        <w:rPr>
          <w:rStyle w:val="FootnoteReference"/>
          <w:rFonts w:ascii="Palatino Linotype" w:hAnsi="Palatino Linotype" w:cs="Times New Roman"/>
          <w:sz w:val="24"/>
          <w:szCs w:val="24"/>
        </w:rPr>
        <w:footnoteReference w:id="57"/>
      </w:r>
      <w:r w:rsidRPr="00D82F02">
        <w:rPr>
          <w:rFonts w:ascii="Palatino Linotype" w:hAnsi="Palatino Linotype" w:cs="Times New Roman"/>
          <w:sz w:val="24"/>
          <w:szCs w:val="24"/>
        </w:rPr>
        <w:t xml:space="preserve"> at the end of academic year 2010/2011 a new classification of working groups was made. Thus, the Law Clinic now operates in eight working groups: for asylum seekers and foreigners, anti-discrimination and rights of minorities; for the rights of children and family support; for protection and assistance of crime victims; for protection of workers’ rights; for protection of patients’ rights; for </w:t>
      </w:r>
      <w:r w:rsidR="00F10629" w:rsidRPr="00D82F02">
        <w:rPr>
          <w:rFonts w:ascii="Palatino Linotype" w:hAnsi="Palatino Linotype" w:cs="Times New Roman"/>
          <w:sz w:val="24"/>
          <w:szCs w:val="24"/>
        </w:rPr>
        <w:t>public relations</w:t>
      </w:r>
      <w:r w:rsidRPr="00D82F02">
        <w:rPr>
          <w:rFonts w:ascii="Palatino Linotype" w:hAnsi="Palatino Linotype" w:cs="Times New Roman"/>
          <w:sz w:val="24"/>
          <w:szCs w:val="24"/>
        </w:rPr>
        <w:t xml:space="preserve"> and for special cases and projects.</w:t>
      </w:r>
      <w:r w:rsidRPr="00D82F02">
        <w:rPr>
          <w:rFonts w:ascii="Palatino Linotype" w:eastAsia="Times New Roman" w:hAnsi="Palatino Linotype" w:cs="Times New Roman"/>
          <w:sz w:val="24"/>
          <w:szCs w:val="24"/>
          <w:vertAlign w:val="superscript"/>
        </w:rPr>
        <w:footnoteReference w:id="58"/>
      </w:r>
    </w:p>
    <w:p w14:paraId="20F9A76C" w14:textId="48EB8EB5" w:rsidR="008F24C2" w:rsidRPr="00D82F02" w:rsidRDefault="00734CD5" w:rsidP="00D82F02">
      <w:pPr>
        <w:pStyle w:val="Body"/>
        <w:spacing w:after="120" w:line="480" w:lineRule="auto"/>
        <w:jc w:val="both"/>
        <w:rPr>
          <w:rFonts w:ascii="Palatino Linotype" w:eastAsia="Times New Roman" w:hAnsi="Palatino Linotype" w:cs="Times New Roman"/>
          <w:sz w:val="24"/>
          <w:szCs w:val="24"/>
        </w:rPr>
      </w:pPr>
      <w:r w:rsidRPr="00D82F02">
        <w:rPr>
          <w:rFonts w:ascii="Palatino Linotype" w:hAnsi="Palatino Linotype" w:cs="Times New Roman"/>
          <w:sz w:val="24"/>
          <w:szCs w:val="24"/>
        </w:rPr>
        <w:t>With the growth in its popularity and coupled with the knowledge of the public about its existence, the Law Clinic has grown considerably. In 2010/2011, initial generation of students who worked in the Clinic counted about 20 persons. During 2012-2014</w:t>
      </w:r>
      <w:r w:rsidR="00425F94" w:rsidRPr="00D82F02">
        <w:rPr>
          <w:rFonts w:ascii="Palatino Linotype" w:hAnsi="Palatino Linotype" w:cs="Times New Roman"/>
          <w:sz w:val="24"/>
          <w:szCs w:val="24"/>
        </w:rPr>
        <w:t>,</w:t>
      </w:r>
      <w:r w:rsidRPr="00D82F02">
        <w:rPr>
          <w:rFonts w:ascii="Palatino Linotype" w:hAnsi="Palatino Linotype" w:cs="Times New Roman"/>
          <w:sz w:val="24"/>
          <w:szCs w:val="24"/>
        </w:rPr>
        <w:t xml:space="preserve"> and now in 2015, the number of </w:t>
      </w:r>
      <w:r w:rsidR="00F10629" w:rsidRPr="00D82F02">
        <w:rPr>
          <w:rFonts w:ascii="Palatino Linotype" w:hAnsi="Palatino Linotype" w:cs="Times New Roman"/>
          <w:sz w:val="24"/>
          <w:szCs w:val="24"/>
        </w:rPr>
        <w:t>clinical students</w:t>
      </w:r>
      <w:r w:rsidRPr="00D82F02">
        <w:rPr>
          <w:rFonts w:ascii="Palatino Linotype" w:hAnsi="Palatino Linotype" w:cs="Times New Roman"/>
          <w:sz w:val="24"/>
          <w:szCs w:val="24"/>
        </w:rPr>
        <w:t xml:space="preserve"> rose to 112</w:t>
      </w:r>
      <w:r w:rsidR="00425F94" w:rsidRPr="00D82F02">
        <w:rPr>
          <w:rFonts w:ascii="Palatino Linotype" w:hAnsi="Palatino Linotype" w:cs="Times New Roman"/>
          <w:sz w:val="24"/>
          <w:szCs w:val="24"/>
        </w:rPr>
        <w:t xml:space="preserve">. </w:t>
      </w:r>
      <w:r w:rsidRPr="00D82F02">
        <w:rPr>
          <w:rFonts w:ascii="Palatino Linotype" w:hAnsi="Palatino Linotype" w:cs="Times New Roman"/>
          <w:sz w:val="24"/>
          <w:szCs w:val="24"/>
        </w:rPr>
        <w:t xml:space="preserve">This number needs intense engagement of the mentors and supervisors. Currently, the Law Clinic has about 20 academic mentors (selected among the teaching staff and attorneys who are assisting in training of the students), 10 student-mentors (selected among the best </w:t>
      </w:r>
      <w:r w:rsidR="00F10629" w:rsidRPr="00D82F02">
        <w:rPr>
          <w:rFonts w:ascii="Palatino Linotype" w:hAnsi="Palatino Linotype" w:cs="Times New Roman"/>
          <w:sz w:val="24"/>
          <w:szCs w:val="24"/>
        </w:rPr>
        <w:t>clinical students</w:t>
      </w:r>
      <w:r w:rsidRPr="00D82F02">
        <w:rPr>
          <w:rFonts w:ascii="Palatino Linotype" w:hAnsi="Palatino Linotype" w:cs="Times New Roman"/>
          <w:sz w:val="24"/>
          <w:szCs w:val="24"/>
        </w:rPr>
        <w:t xml:space="preserve"> of the past generation).</w:t>
      </w:r>
      <w:r w:rsidR="00F10629" w:rsidRPr="00D82F02">
        <w:rPr>
          <w:rStyle w:val="FootnoteReference"/>
          <w:rFonts w:ascii="Palatino Linotype" w:hAnsi="Palatino Linotype" w:cs="Times New Roman"/>
          <w:sz w:val="24"/>
          <w:szCs w:val="24"/>
        </w:rPr>
        <w:footnoteReference w:id="59"/>
      </w:r>
      <w:r w:rsidRPr="00D82F02">
        <w:rPr>
          <w:rFonts w:ascii="Palatino Linotype" w:hAnsi="Palatino Linotype" w:cs="Times New Roman"/>
          <w:sz w:val="24"/>
          <w:szCs w:val="24"/>
        </w:rPr>
        <w:t xml:space="preserve"> With the exception of people who are exclusively engaged in administration and strategic planning (Clinic Leader, Assistant Leaders and student administrators), all other collaborators (students and their mentors) are directly involved in provision of legal information and advice in concrete legal aid cases. </w:t>
      </w:r>
    </w:p>
    <w:p w14:paraId="0DAEF7B4" w14:textId="77777777" w:rsidR="008F24C2" w:rsidRPr="00D82F02" w:rsidRDefault="00734CD5" w:rsidP="00D82F02">
      <w:pPr>
        <w:pStyle w:val="Body"/>
        <w:spacing w:line="480" w:lineRule="auto"/>
        <w:jc w:val="both"/>
        <w:rPr>
          <w:rFonts w:ascii="Palatino Linotype" w:eastAsia="Times New Roman" w:hAnsi="Palatino Linotype" w:cs="Times New Roman"/>
          <w:b/>
          <w:sz w:val="24"/>
          <w:szCs w:val="24"/>
        </w:rPr>
      </w:pPr>
      <w:r w:rsidRPr="00D82F02">
        <w:rPr>
          <w:rFonts w:ascii="Palatino Linotype" w:hAnsi="Palatino Linotype" w:cs="Times New Roman"/>
          <w:b/>
          <w:sz w:val="24"/>
          <w:szCs w:val="24"/>
        </w:rPr>
        <w:t>4.3. Mentoring</w:t>
      </w:r>
    </w:p>
    <w:p w14:paraId="10B4F77F" w14:textId="06997B89" w:rsidR="008F24C2" w:rsidRPr="00D82F02" w:rsidRDefault="00734CD5" w:rsidP="00D82F02">
      <w:pPr>
        <w:pStyle w:val="Body"/>
        <w:spacing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 xml:space="preserve">The Law Clinic has Academic Mentors, chosen among the professors and faculty associates, depending on their interest and knowledge in specific matters of significance for the </w:t>
      </w:r>
      <w:r w:rsidRPr="00D82F02">
        <w:rPr>
          <w:rFonts w:ascii="Palatino Linotype" w:hAnsi="Palatino Linotype" w:cs="Times New Roman"/>
          <w:sz w:val="24"/>
          <w:szCs w:val="24"/>
        </w:rPr>
        <w:t>Law Clinic.</w:t>
      </w:r>
      <w:r w:rsidRPr="00D82F02">
        <w:rPr>
          <w:rFonts w:ascii="Palatino Linotype" w:eastAsia="Times New Roman" w:hAnsi="Palatino Linotype" w:cs="Times New Roman"/>
          <w:sz w:val="24"/>
          <w:szCs w:val="24"/>
          <w:vertAlign w:val="superscript"/>
        </w:rPr>
        <w:footnoteReference w:id="60"/>
      </w:r>
      <w:r w:rsidRPr="00D82F02">
        <w:rPr>
          <w:rFonts w:ascii="Palatino Linotype" w:hAnsi="Palatino Linotype" w:cs="Times New Roman"/>
          <w:sz w:val="24"/>
          <w:szCs w:val="24"/>
        </w:rPr>
        <w:t xml:space="preserve"> Academic Mentors monitor the work of their clinical groups, they advise students regarding the direction of their research in solving the legal cases and discuss various legal issues that are needed for the successful providing of legal aid.</w:t>
      </w:r>
      <w:r w:rsidRPr="00D82F02">
        <w:rPr>
          <w:rFonts w:ascii="Palatino Linotype" w:eastAsia="Times New Roman" w:hAnsi="Palatino Linotype" w:cs="Times New Roman"/>
          <w:sz w:val="24"/>
          <w:szCs w:val="24"/>
          <w:vertAlign w:val="superscript"/>
        </w:rPr>
        <w:footnoteReference w:id="61"/>
      </w:r>
      <w:r w:rsidRPr="00D82F02">
        <w:rPr>
          <w:rFonts w:ascii="Palatino Linotype" w:hAnsi="Palatino Linotype" w:cs="Times New Roman"/>
          <w:sz w:val="24"/>
          <w:szCs w:val="24"/>
        </w:rPr>
        <w:t xml:space="preserve"> Although Mentors are involved in the student’s work, they are not allowed to solve the cases instead of the students, nor are they allowed to impose on students their legal opinions.</w:t>
      </w:r>
      <w:r w:rsidRPr="00D82F02">
        <w:rPr>
          <w:rFonts w:ascii="Palatino Linotype" w:eastAsia="Times New Roman" w:hAnsi="Palatino Linotype" w:cs="Times New Roman"/>
          <w:sz w:val="24"/>
          <w:szCs w:val="24"/>
          <w:vertAlign w:val="superscript"/>
        </w:rPr>
        <w:footnoteReference w:id="62"/>
      </w:r>
      <w:r w:rsidRPr="00D82F02">
        <w:rPr>
          <w:rFonts w:ascii="Palatino Linotype" w:hAnsi="Palatino Linotype" w:cs="Times New Roman"/>
          <w:sz w:val="24"/>
          <w:szCs w:val="24"/>
        </w:rPr>
        <w:t xml:space="preserve"> In addition to Academic Mentors, the students are also mentored by ‘senior’ students who, after finishing one se</w:t>
      </w:r>
      <w:r w:rsidR="00D85445" w:rsidRPr="00D82F02">
        <w:rPr>
          <w:rFonts w:ascii="Palatino Linotype" w:hAnsi="Palatino Linotype" w:cs="Times New Roman"/>
          <w:sz w:val="24"/>
          <w:szCs w:val="24"/>
        </w:rPr>
        <w:t>mester of active work in the</w:t>
      </w:r>
      <w:r w:rsidRPr="00D82F02">
        <w:rPr>
          <w:rFonts w:ascii="Palatino Linotype" w:hAnsi="Palatino Linotype" w:cs="Times New Roman"/>
          <w:sz w:val="24"/>
          <w:szCs w:val="24"/>
        </w:rPr>
        <w:t xml:space="preserve"> Law Clinic, continue to volunteer </w:t>
      </w:r>
      <w:r w:rsidR="007715AA" w:rsidRPr="00D82F02">
        <w:rPr>
          <w:rFonts w:ascii="Palatino Linotype" w:hAnsi="Palatino Linotype" w:cs="Times New Roman"/>
          <w:sz w:val="24"/>
          <w:szCs w:val="24"/>
        </w:rPr>
        <w:t>within it.</w:t>
      </w:r>
      <w:r w:rsidR="007715AA" w:rsidRPr="00D82F02">
        <w:rPr>
          <w:rFonts w:ascii="Palatino Linotype" w:eastAsia="Times New Roman" w:hAnsi="Palatino Linotype" w:cs="Times New Roman"/>
          <w:sz w:val="24"/>
          <w:szCs w:val="24"/>
          <w:vertAlign w:val="superscript"/>
        </w:rPr>
        <w:t xml:space="preserve"> </w:t>
      </w:r>
      <w:r w:rsidR="007715AA" w:rsidRPr="00D82F02">
        <w:rPr>
          <w:rFonts w:ascii="Palatino Linotype" w:eastAsia="Times New Roman" w:hAnsi="Palatino Linotype" w:cs="Times New Roman"/>
          <w:sz w:val="24"/>
          <w:szCs w:val="24"/>
          <w:vertAlign w:val="superscript"/>
        </w:rPr>
        <w:footnoteReference w:id="63"/>
      </w:r>
    </w:p>
    <w:p w14:paraId="09876FDF" w14:textId="5B3FBE14" w:rsidR="008F24C2" w:rsidRPr="00D82F02" w:rsidRDefault="00734CD5" w:rsidP="00D82F02">
      <w:pPr>
        <w:pStyle w:val="Body"/>
        <w:spacing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ab/>
        <w:t>External mentors, selected on a voluntary basis among interested members of the legal profession (lawyers, lawyers in NGOs and other legal professionals)</w:t>
      </w:r>
      <w:r w:rsidRPr="00D82F02">
        <w:rPr>
          <w:rFonts w:ascii="Palatino Linotype" w:hAnsi="Palatino Linotype" w:cs="Times New Roman"/>
          <w:sz w:val="24"/>
          <w:szCs w:val="24"/>
        </w:rPr>
        <w:t>, also participate in activities of the Law Clinic.</w:t>
      </w:r>
      <w:r w:rsidRPr="00D82F02">
        <w:rPr>
          <w:rFonts w:ascii="Palatino Linotype" w:eastAsia="Times New Roman" w:hAnsi="Palatino Linotype" w:cs="Times New Roman"/>
          <w:sz w:val="24"/>
          <w:szCs w:val="24"/>
          <w:vertAlign w:val="superscript"/>
        </w:rPr>
        <w:footnoteReference w:id="64"/>
      </w:r>
      <w:r w:rsidRPr="00D82F02">
        <w:rPr>
          <w:rFonts w:ascii="Palatino Linotype" w:hAnsi="Palatino Linotype" w:cs="Times New Roman"/>
          <w:sz w:val="24"/>
          <w:szCs w:val="24"/>
        </w:rPr>
        <w:t xml:space="preserve"> They help students with the practical training, mainly by participating in the reception and analysis of specific cases (receiving instructions from the client, identifying the main issues and advocacy strategies, etc.).</w:t>
      </w:r>
      <w:r w:rsidRPr="00D82F02">
        <w:rPr>
          <w:rFonts w:ascii="Palatino Linotype" w:eastAsia="Times New Roman" w:hAnsi="Palatino Linotype" w:cs="Times New Roman"/>
          <w:sz w:val="24"/>
          <w:szCs w:val="24"/>
          <w:vertAlign w:val="superscript"/>
        </w:rPr>
        <w:footnoteReference w:id="65"/>
      </w:r>
      <w:r w:rsidRPr="00D82F02">
        <w:rPr>
          <w:rFonts w:ascii="Palatino Linotype" w:hAnsi="Palatino Linotype" w:cs="Times New Roman"/>
          <w:sz w:val="24"/>
          <w:szCs w:val="24"/>
        </w:rPr>
        <w:t xml:space="preserve"> So far, the Law Clinic has successfully cooperated with several attorneys specialising in various aspects of the law, lawyers working in NGOs and bodies of state administration.</w:t>
      </w:r>
    </w:p>
    <w:p w14:paraId="2BDB8259" w14:textId="77777777" w:rsidR="008F24C2" w:rsidRPr="00D82F02" w:rsidRDefault="008F24C2" w:rsidP="00D82F02">
      <w:pPr>
        <w:pStyle w:val="Body"/>
        <w:spacing w:line="480" w:lineRule="auto"/>
        <w:jc w:val="both"/>
        <w:rPr>
          <w:rFonts w:ascii="Palatino Linotype" w:eastAsia="Times New Roman" w:hAnsi="Palatino Linotype" w:cs="Times New Roman"/>
          <w:sz w:val="24"/>
          <w:szCs w:val="24"/>
        </w:rPr>
      </w:pPr>
    </w:p>
    <w:p w14:paraId="1F245CFC" w14:textId="77777777" w:rsidR="008F24C2" w:rsidRPr="00D82F02" w:rsidRDefault="00734CD5" w:rsidP="00D82F02">
      <w:pPr>
        <w:pStyle w:val="Body"/>
        <w:spacing w:line="480" w:lineRule="auto"/>
        <w:jc w:val="both"/>
        <w:rPr>
          <w:rFonts w:ascii="Palatino Linotype" w:eastAsia="Times New Roman" w:hAnsi="Palatino Linotype" w:cs="Times New Roman"/>
          <w:b/>
          <w:sz w:val="24"/>
          <w:szCs w:val="24"/>
        </w:rPr>
      </w:pPr>
      <w:r w:rsidRPr="00D82F02">
        <w:rPr>
          <w:rFonts w:ascii="Palatino Linotype" w:hAnsi="Palatino Linotype" w:cs="Times New Roman"/>
          <w:b/>
          <w:sz w:val="24"/>
          <w:szCs w:val="24"/>
        </w:rPr>
        <w:t>4.4. Funding</w:t>
      </w:r>
    </w:p>
    <w:p w14:paraId="6E3998A9" w14:textId="29389FDB" w:rsidR="008F24C2" w:rsidRPr="00D82F02" w:rsidRDefault="00734CD5" w:rsidP="00D82F02">
      <w:pPr>
        <w:pStyle w:val="b1af-f"/>
        <w:tabs>
          <w:tab w:val="clear" w:pos="454"/>
          <w:tab w:val="clear" w:pos="907"/>
          <w:tab w:val="clear" w:pos="2155"/>
          <w:tab w:val="clear" w:pos="2608"/>
          <w:tab w:val="clear" w:pos="3515"/>
          <w:tab w:val="clear" w:pos="3969"/>
          <w:tab w:val="clear" w:pos="4876"/>
          <w:tab w:val="clear" w:pos="5330"/>
          <w:tab w:val="clear" w:pos="6237"/>
          <w:tab w:val="clear" w:pos="6691"/>
          <w:tab w:val="left" w:pos="340"/>
          <w:tab w:val="left" w:pos="680"/>
          <w:tab w:val="left" w:pos="1021"/>
          <w:tab w:val="left" w:pos="2041"/>
          <w:tab w:val="left" w:pos="2381"/>
          <w:tab w:val="left" w:pos="2722"/>
          <w:tab w:val="left" w:pos="3402"/>
          <w:tab w:val="left" w:pos="3742"/>
          <w:tab w:val="left" w:pos="4082"/>
          <w:tab w:val="left" w:pos="4763"/>
          <w:tab w:val="left" w:pos="5103"/>
          <w:tab w:val="left" w:pos="5443"/>
          <w:tab w:val="left" w:pos="6124"/>
          <w:tab w:val="left" w:pos="6464"/>
          <w:tab w:val="left" w:pos="6804"/>
          <w:tab w:val="left" w:pos="7144"/>
          <w:tab w:val="left" w:pos="7484"/>
          <w:tab w:val="left" w:pos="7825"/>
        </w:tabs>
        <w:spacing w:line="480" w:lineRule="auto"/>
        <w:jc w:val="both"/>
        <w:rPr>
          <w:rFonts w:ascii="Palatino Linotype" w:hAnsi="Palatino Linotype"/>
          <w:sz w:val="24"/>
          <w:szCs w:val="24"/>
          <w:lang w:val="en-GB"/>
        </w:rPr>
      </w:pPr>
      <w:r w:rsidRPr="00D82F02">
        <w:rPr>
          <w:rFonts w:ascii="Palatino Linotype" w:hAnsi="Palatino Linotype"/>
          <w:sz w:val="24"/>
          <w:szCs w:val="24"/>
          <w:lang w:val="en-GB"/>
        </w:rPr>
        <w:t>The standing financial source for the work of the Law Clinic is the Law School. It covers the basic costs of the Law Clinic (office space, postage, utilities and the costs of three student-administrators). Other costs (including the costs for equipment, promotional materials, field activities, external outreach programs, institutional visits, and occasional honoraria for the academic mentors and coordinators) are covered from the state budget (Ministry of Justice) and the local community budget (City of Zagreb Grant). The legal provision grants rights to the Law Clinic as a legal aid provider to request compensation from the state budget, but the annual value of budgetary funds allocated for the legal aid providers are low and have been constantly decreasing.</w:t>
      </w:r>
      <w:r w:rsidRPr="00D82F02">
        <w:rPr>
          <w:rFonts w:ascii="Palatino Linotype" w:hAnsi="Palatino Linotype"/>
          <w:sz w:val="24"/>
          <w:szCs w:val="24"/>
          <w:vertAlign w:val="superscript"/>
          <w:lang w:val="en-GB"/>
        </w:rPr>
        <w:footnoteReference w:id="66"/>
      </w:r>
      <w:r w:rsidRPr="00D82F02">
        <w:rPr>
          <w:rFonts w:ascii="Palatino Linotype" w:hAnsi="Palatino Linotype"/>
          <w:sz w:val="24"/>
          <w:szCs w:val="24"/>
          <w:lang w:val="en-GB"/>
        </w:rPr>
        <w:t xml:space="preserve"> Therefore, the Law Clinic was in 2010-2011 fully financed from the Law School budget and was supported by projects with international institutions, as well as foreign and international organisations.</w:t>
      </w:r>
      <w:r w:rsidRPr="00D82F02">
        <w:rPr>
          <w:rFonts w:ascii="Palatino Linotype" w:hAnsi="Palatino Linotype"/>
          <w:sz w:val="24"/>
          <w:szCs w:val="24"/>
          <w:vertAlign w:val="superscript"/>
          <w:lang w:val="en-GB"/>
        </w:rPr>
        <w:footnoteReference w:id="67"/>
      </w:r>
      <w:r w:rsidRPr="00D82F02">
        <w:rPr>
          <w:rFonts w:ascii="Palatino Linotype" w:hAnsi="Palatino Linotype"/>
          <w:sz w:val="24"/>
          <w:szCs w:val="24"/>
          <w:lang w:val="en-GB"/>
        </w:rPr>
        <w:t xml:space="preserve"> When the projects were initially proposed, the Law Clinic was setting up its organisation, informing the public about its existence and activities and discussing the format and targets of its activities. In the second half of 2011, the Law Clinic started with its practical work but, until the end of 2011, it had altogether received </w:t>
      </w:r>
      <w:r w:rsidR="00425F94" w:rsidRPr="00D82F02">
        <w:rPr>
          <w:rFonts w:ascii="Palatino Linotype" w:hAnsi="Palatino Linotype"/>
          <w:sz w:val="24"/>
          <w:szCs w:val="24"/>
          <w:lang w:val="en-GB"/>
        </w:rPr>
        <w:t>approximately</w:t>
      </w:r>
      <w:r w:rsidRPr="00D82F02">
        <w:rPr>
          <w:rFonts w:ascii="Palatino Linotype" w:hAnsi="Palatino Linotype"/>
          <w:sz w:val="24"/>
          <w:szCs w:val="24"/>
          <w:lang w:val="en-GB"/>
        </w:rPr>
        <w:t xml:space="preserve"> 300 cases.</w:t>
      </w:r>
      <w:r w:rsidRPr="00D82F02">
        <w:rPr>
          <w:rFonts w:ascii="Palatino Linotype" w:hAnsi="Palatino Linotype"/>
          <w:sz w:val="24"/>
          <w:szCs w:val="24"/>
          <w:vertAlign w:val="superscript"/>
          <w:lang w:val="en-GB"/>
        </w:rPr>
        <w:footnoteReference w:id="68"/>
      </w:r>
      <w:r w:rsidRPr="00D82F02">
        <w:rPr>
          <w:rFonts w:ascii="Palatino Linotype" w:hAnsi="Palatino Linotype"/>
          <w:sz w:val="24"/>
          <w:szCs w:val="24"/>
          <w:lang w:val="en-GB"/>
        </w:rPr>
        <w:t xml:space="preserve"> The work of the Law Clinic was difficult </w:t>
      </w:r>
      <w:r w:rsidRPr="00D82F02">
        <w:rPr>
          <w:rFonts w:ascii="Palatino Linotype" w:hAnsi="Palatino Linotype"/>
          <w:i/>
          <w:sz w:val="24"/>
          <w:szCs w:val="24"/>
          <w:lang w:val="en-GB"/>
        </w:rPr>
        <w:t>inter alia</w:t>
      </w:r>
      <w:r w:rsidRPr="00D82F02">
        <w:rPr>
          <w:rFonts w:ascii="Palatino Linotype" w:hAnsi="Palatino Linotype"/>
          <w:sz w:val="24"/>
          <w:szCs w:val="24"/>
          <w:lang w:val="en-GB"/>
        </w:rPr>
        <w:t xml:space="preserve"> because of the lack of resources for regular work on the cases. Although the Law School provided some office space to the </w:t>
      </w:r>
      <w:r w:rsidR="00123B55" w:rsidRPr="00D82F02">
        <w:rPr>
          <w:rFonts w:ascii="Palatino Linotype" w:hAnsi="Palatino Linotype"/>
          <w:sz w:val="24"/>
          <w:szCs w:val="24"/>
          <w:lang w:val="en-GB"/>
        </w:rPr>
        <w:t>Law Clinics</w:t>
      </w:r>
      <w:r w:rsidRPr="00D82F02">
        <w:rPr>
          <w:rFonts w:ascii="Palatino Linotype" w:hAnsi="Palatino Linotype"/>
          <w:sz w:val="24"/>
          <w:szCs w:val="24"/>
          <w:lang w:val="en-GB"/>
        </w:rPr>
        <w:t xml:space="preserve">, this was a rather limited space shared by several other organisations, with a low supply of computers, printers and other office equipment necessary for office work. </w:t>
      </w:r>
      <w:r w:rsidR="00613B3E" w:rsidRPr="00D82F02">
        <w:rPr>
          <w:rFonts w:ascii="Palatino Linotype" w:hAnsi="Palatino Linotype"/>
          <w:sz w:val="24"/>
          <w:szCs w:val="24"/>
          <w:lang w:val="en-GB"/>
        </w:rPr>
        <w:t>T</w:t>
      </w:r>
      <w:r w:rsidRPr="00D82F02">
        <w:rPr>
          <w:rFonts w:ascii="Palatino Linotype" w:hAnsi="Palatino Linotype"/>
          <w:sz w:val="24"/>
          <w:szCs w:val="24"/>
          <w:lang w:val="en-GB"/>
        </w:rPr>
        <w:t>he Law Clinic acquired some of the needed equipment and supplies with the financial support from the Law School and other donors (UNHCR, World Bank)</w:t>
      </w:r>
      <w:r w:rsidR="00D262D5" w:rsidRPr="00D82F02">
        <w:rPr>
          <w:rFonts w:ascii="Palatino Linotype" w:hAnsi="Palatino Linotype"/>
          <w:sz w:val="24"/>
          <w:szCs w:val="24"/>
          <w:lang w:val="en-GB"/>
        </w:rPr>
        <w:t xml:space="preserve">. However, </w:t>
      </w:r>
      <w:r w:rsidRPr="00D82F02">
        <w:rPr>
          <w:rFonts w:ascii="Palatino Linotype" w:hAnsi="Palatino Linotype"/>
          <w:sz w:val="24"/>
          <w:szCs w:val="24"/>
          <w:lang w:val="en-GB"/>
        </w:rPr>
        <w:t xml:space="preserve">the logistics were still insufficient, specifically considering the dynamic growth of the number of cases and students working in the Law Clinic. </w:t>
      </w:r>
    </w:p>
    <w:p w14:paraId="086F6302" w14:textId="6603F5E5" w:rsidR="00D25C18" w:rsidRPr="00D82F02" w:rsidRDefault="00734CD5" w:rsidP="00D82F02">
      <w:pPr>
        <w:pStyle w:val="Body"/>
        <w:spacing w:before="120" w:line="480" w:lineRule="auto"/>
        <w:jc w:val="both"/>
        <w:rPr>
          <w:rFonts w:ascii="Palatino Linotype" w:hAnsi="Palatino Linotype" w:cs="Times New Roman"/>
          <w:sz w:val="24"/>
          <w:szCs w:val="24"/>
        </w:rPr>
      </w:pPr>
      <w:r w:rsidRPr="00D82F02">
        <w:rPr>
          <w:rFonts w:ascii="Palatino Linotype" w:eastAsia="Times New Roman" w:hAnsi="Palatino Linotype" w:cs="Times New Roman"/>
          <w:sz w:val="24"/>
          <w:szCs w:val="24"/>
        </w:rPr>
        <w:t>In the international project period (2011-2014), the Law Clinic was able to develop extensive activities in providing legal advice for marginali</w:t>
      </w:r>
      <w:r w:rsidRPr="00D82F02">
        <w:rPr>
          <w:rFonts w:ascii="Palatino Linotype" w:hAnsi="Palatino Linotype" w:cs="Times New Roman"/>
          <w:sz w:val="24"/>
          <w:szCs w:val="24"/>
        </w:rPr>
        <w:t>sed groups and the less affluent parts of the Croatian population and to properly deliver practical experience to students.</w:t>
      </w:r>
      <w:r w:rsidRPr="00D82F02">
        <w:rPr>
          <w:rFonts w:ascii="Palatino Linotype" w:eastAsia="Times New Roman" w:hAnsi="Palatino Linotype" w:cs="Times New Roman"/>
          <w:sz w:val="24"/>
          <w:szCs w:val="24"/>
          <w:vertAlign w:val="superscript"/>
        </w:rPr>
        <w:footnoteReference w:id="69"/>
      </w:r>
      <w:r w:rsidRPr="00D82F02">
        <w:rPr>
          <w:rFonts w:ascii="Palatino Linotype" w:hAnsi="Palatino Linotype" w:cs="Times New Roman"/>
          <w:sz w:val="24"/>
          <w:szCs w:val="24"/>
        </w:rPr>
        <w:t xml:space="preserve"> Coupled with the growth in its popularity and the knowledge of the public about its existence, the Law Clinic has grown considerably. Initial generation counted approximately 20 students who worked in the Law Clinic. During 2012 and now in 2016, the number of student clinicians has increased over 100 students. The end result is that the Law Clinic became, in the period of international projects, one of the major clinical legal education programs and providers of legal aid in Croatia.</w:t>
      </w:r>
      <w:r w:rsidRPr="00D82F02">
        <w:rPr>
          <w:rFonts w:ascii="Palatino Linotype" w:eastAsia="Times New Roman" w:hAnsi="Palatino Linotype" w:cs="Times New Roman"/>
          <w:sz w:val="24"/>
          <w:szCs w:val="24"/>
          <w:vertAlign w:val="superscript"/>
        </w:rPr>
        <w:footnoteReference w:id="70"/>
      </w:r>
    </w:p>
    <w:p w14:paraId="20B29FAE" w14:textId="16AB2AEF" w:rsidR="008F24C2" w:rsidRPr="00D82F02" w:rsidRDefault="008F24C2" w:rsidP="00D82F02">
      <w:pPr>
        <w:pStyle w:val="Body"/>
        <w:spacing w:before="120" w:line="480" w:lineRule="auto"/>
        <w:jc w:val="both"/>
        <w:rPr>
          <w:rFonts w:ascii="Palatino Linotype" w:eastAsia="Times New Roman" w:hAnsi="Palatino Linotype" w:cs="Times New Roman"/>
          <w:sz w:val="24"/>
          <w:szCs w:val="24"/>
        </w:rPr>
      </w:pPr>
    </w:p>
    <w:p w14:paraId="7FA49034" w14:textId="2F0E9441" w:rsidR="008F24C2" w:rsidRPr="00D82F02" w:rsidRDefault="00D56A45" w:rsidP="00D82F02">
      <w:pPr>
        <w:pStyle w:val="Body"/>
        <w:spacing w:line="480" w:lineRule="auto"/>
        <w:jc w:val="both"/>
        <w:rPr>
          <w:rFonts w:ascii="Palatino Linotype" w:eastAsia="Times New Roman" w:hAnsi="Palatino Linotype" w:cs="Times New Roman"/>
          <w:b/>
          <w:sz w:val="24"/>
          <w:szCs w:val="24"/>
        </w:rPr>
      </w:pPr>
      <w:r w:rsidRPr="00D82F02">
        <w:rPr>
          <w:rFonts w:ascii="Palatino Linotype" w:hAnsi="Palatino Linotype" w:cs="Times New Roman"/>
          <w:b/>
          <w:sz w:val="24"/>
          <w:szCs w:val="24"/>
        </w:rPr>
        <w:t>5. S</w:t>
      </w:r>
      <w:r w:rsidRPr="00D82F02">
        <w:rPr>
          <w:rFonts w:ascii="Palatino Linotype" w:eastAsia="Times New Roman" w:hAnsi="Palatino Linotype" w:cs="Times New Roman"/>
          <w:b/>
          <w:sz w:val="24"/>
          <w:szCs w:val="24"/>
        </w:rPr>
        <w:t>USTAINABILITY OF CLINICAL LEGAL EDUCATION</w:t>
      </w:r>
      <w:r w:rsidRPr="00D82F02" w:rsidDel="00CD5BC6">
        <w:rPr>
          <w:rFonts w:ascii="Palatino Linotype" w:hAnsi="Palatino Linotype" w:cs="Times New Roman"/>
          <w:b/>
          <w:sz w:val="24"/>
          <w:szCs w:val="24"/>
        </w:rPr>
        <w:t xml:space="preserve"> </w:t>
      </w:r>
    </w:p>
    <w:p w14:paraId="673D0B5B" w14:textId="24F334CA" w:rsidR="008F24C2" w:rsidRPr="00D82F02" w:rsidRDefault="00572104" w:rsidP="00D82F02">
      <w:pPr>
        <w:pStyle w:val="Body"/>
        <w:spacing w:line="480" w:lineRule="auto"/>
        <w:jc w:val="both"/>
        <w:rPr>
          <w:rFonts w:ascii="Palatino Linotype" w:eastAsia="Times New Roman" w:hAnsi="Palatino Linotype" w:cs="Times New Roman"/>
          <w:b/>
          <w:sz w:val="24"/>
          <w:szCs w:val="24"/>
        </w:rPr>
      </w:pPr>
      <w:r w:rsidRPr="00D82F02">
        <w:rPr>
          <w:rFonts w:ascii="Palatino Linotype" w:eastAsia="Times New Roman" w:hAnsi="Palatino Linotype" w:cs="Times New Roman"/>
          <w:b/>
          <w:sz w:val="24"/>
          <w:szCs w:val="24"/>
        </w:rPr>
        <w:t xml:space="preserve">5.1. Global </w:t>
      </w:r>
      <w:r w:rsidR="00CD5BC6" w:rsidRPr="00D82F02">
        <w:rPr>
          <w:rFonts w:ascii="Palatino Linotype" w:eastAsia="Times New Roman" w:hAnsi="Palatino Linotype" w:cs="Times New Roman"/>
          <w:b/>
          <w:sz w:val="24"/>
          <w:szCs w:val="24"/>
        </w:rPr>
        <w:t>challenges in funding</w:t>
      </w:r>
      <w:r w:rsidRPr="00D82F02">
        <w:rPr>
          <w:rFonts w:ascii="Palatino Linotype" w:eastAsia="Times New Roman" w:hAnsi="Palatino Linotype" w:cs="Times New Roman"/>
          <w:b/>
          <w:sz w:val="24"/>
          <w:szCs w:val="24"/>
        </w:rPr>
        <w:t xml:space="preserve"> of clinical legal education</w:t>
      </w:r>
    </w:p>
    <w:p w14:paraId="0BB08B1C" w14:textId="1B1C7A5E" w:rsidR="006B7FCA" w:rsidRPr="00D82F02" w:rsidRDefault="006B7FCA" w:rsidP="00D82F02">
      <w:pPr>
        <w:pStyle w:val="Body"/>
        <w:spacing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Resources are “a critical issue of the establishment and sustainability of clinics” and, more importantly, they “affect the size of program that can be established</w:t>
      </w:r>
      <w:r w:rsidRPr="00D82F02">
        <w:rPr>
          <w:rStyle w:val="FootnoteReference"/>
          <w:rFonts w:ascii="Palatino Linotype" w:eastAsia="Times New Roman" w:hAnsi="Palatino Linotype" w:cs="Times New Roman"/>
          <w:sz w:val="24"/>
          <w:szCs w:val="24"/>
          <w:vertAlign w:val="baseline"/>
        </w:rPr>
        <w:t>”</w:t>
      </w:r>
      <w:r w:rsidRPr="00D82F02">
        <w:rPr>
          <w:rFonts w:ascii="Palatino Linotype" w:eastAsia="Times New Roman" w:hAnsi="Palatino Linotype" w:cs="Times New Roman"/>
          <w:sz w:val="24"/>
          <w:szCs w:val="24"/>
        </w:rPr>
        <w:t>.</w:t>
      </w:r>
      <w:r w:rsidRPr="00D82F02">
        <w:rPr>
          <w:rStyle w:val="FootnoteReference"/>
          <w:rFonts w:ascii="Palatino Linotype" w:eastAsia="Times New Roman" w:hAnsi="Palatino Linotype" w:cs="Times New Roman"/>
          <w:sz w:val="24"/>
          <w:szCs w:val="24"/>
        </w:rPr>
        <w:footnoteReference w:id="71"/>
      </w:r>
      <w:r w:rsidRPr="00D82F02">
        <w:rPr>
          <w:rFonts w:ascii="Palatino Linotype" w:eastAsia="Times New Roman" w:hAnsi="Palatino Linotype" w:cs="Times New Roman"/>
          <w:sz w:val="24"/>
          <w:szCs w:val="24"/>
        </w:rPr>
        <w:t xml:space="preserve"> It is of no surprise that the question of financing clinical legal education often arises in scholarly debates. However, one thing needs to be emphasized before </w:t>
      </w:r>
      <w:r w:rsidR="00335D1E" w:rsidRPr="00D82F02">
        <w:rPr>
          <w:rFonts w:ascii="Palatino Linotype" w:eastAsia="Times New Roman" w:hAnsi="Palatino Linotype" w:cs="Times New Roman"/>
          <w:sz w:val="24"/>
          <w:szCs w:val="24"/>
        </w:rPr>
        <w:t xml:space="preserve">discussing the </w:t>
      </w:r>
      <w:r w:rsidRPr="00D82F02">
        <w:rPr>
          <w:rFonts w:ascii="Palatino Linotype" w:eastAsia="Times New Roman" w:hAnsi="Palatino Linotype" w:cs="Times New Roman"/>
          <w:sz w:val="24"/>
          <w:szCs w:val="24"/>
        </w:rPr>
        <w:t xml:space="preserve">different funding models. Financial challenges will differ depending on the source of faculty funds, so not all debates are applicable to every clinical model. For example, there is research analysing </w:t>
      </w:r>
      <w:r w:rsidR="009A0C35" w:rsidRPr="00D82F02">
        <w:rPr>
          <w:rFonts w:ascii="Palatino Linotype" w:eastAsia="Times New Roman" w:hAnsi="Palatino Linotype" w:cs="Times New Roman"/>
          <w:sz w:val="24"/>
          <w:szCs w:val="24"/>
        </w:rPr>
        <w:t xml:space="preserve">the </w:t>
      </w:r>
      <w:r w:rsidRPr="00D82F02">
        <w:rPr>
          <w:rFonts w:ascii="Palatino Linotype" w:eastAsia="Times New Roman" w:hAnsi="Palatino Linotype" w:cs="Times New Roman"/>
          <w:sz w:val="24"/>
          <w:szCs w:val="24"/>
        </w:rPr>
        <w:t xml:space="preserve"> influence of clinical legal education on the tuition of law schools.</w:t>
      </w:r>
      <w:r w:rsidRPr="00D82F02">
        <w:rPr>
          <w:rStyle w:val="FootnoteReference"/>
          <w:rFonts w:ascii="Palatino Linotype" w:eastAsia="Times New Roman" w:hAnsi="Palatino Linotype" w:cs="Times New Roman"/>
          <w:sz w:val="24"/>
          <w:szCs w:val="24"/>
        </w:rPr>
        <w:footnoteReference w:id="72"/>
      </w:r>
      <w:r w:rsidRPr="00D82F02">
        <w:rPr>
          <w:rFonts w:ascii="Palatino Linotype" w:eastAsia="Times New Roman" w:hAnsi="Palatino Linotype" w:cs="Times New Roman"/>
          <w:sz w:val="24"/>
          <w:szCs w:val="24"/>
        </w:rPr>
        <w:t xml:space="preserve"> This is certainly a very important question for privately funded law schools, however not of major importance for publicly funded law schools, such as the ones in Croatia.</w:t>
      </w:r>
      <w:r w:rsidRPr="00D82F02">
        <w:rPr>
          <w:rStyle w:val="FootnoteReference"/>
          <w:rFonts w:ascii="Palatino Linotype" w:eastAsia="Times New Roman" w:hAnsi="Palatino Linotype" w:cs="Times New Roman"/>
          <w:sz w:val="24"/>
          <w:szCs w:val="24"/>
        </w:rPr>
        <w:footnoteReference w:id="73"/>
      </w:r>
      <w:r w:rsidRPr="00D82F02">
        <w:rPr>
          <w:rFonts w:ascii="Palatino Linotype" w:eastAsia="Times New Roman" w:hAnsi="Palatino Linotype" w:cs="Times New Roman"/>
          <w:sz w:val="24"/>
          <w:szCs w:val="24"/>
        </w:rPr>
        <w:t xml:space="preserve"> </w:t>
      </w:r>
      <w:r w:rsidR="00A17FE8" w:rsidRPr="00D82F02">
        <w:rPr>
          <w:rFonts w:ascii="Palatino Linotype" w:eastAsia="Times New Roman" w:hAnsi="Palatino Linotype" w:cs="Times New Roman"/>
          <w:sz w:val="24"/>
          <w:szCs w:val="24"/>
        </w:rPr>
        <w:t xml:space="preserve">This </w:t>
      </w:r>
      <w:r w:rsidRPr="00D82F02">
        <w:rPr>
          <w:rFonts w:ascii="Palatino Linotype" w:eastAsia="Times New Roman" w:hAnsi="Palatino Linotype" w:cs="Times New Roman"/>
          <w:sz w:val="24"/>
          <w:szCs w:val="24"/>
        </w:rPr>
        <w:t xml:space="preserve">needs to be taken into account when </w:t>
      </w:r>
      <w:r w:rsidR="000A699E" w:rsidRPr="00D82F02">
        <w:rPr>
          <w:rFonts w:ascii="Palatino Linotype" w:eastAsia="Times New Roman" w:hAnsi="Palatino Linotype" w:cs="Times New Roman"/>
          <w:sz w:val="24"/>
          <w:szCs w:val="24"/>
        </w:rPr>
        <w:t xml:space="preserve">reading the </w:t>
      </w:r>
      <w:r w:rsidR="000863FC" w:rsidRPr="00D82F02">
        <w:rPr>
          <w:rFonts w:ascii="Palatino Linotype" w:eastAsia="Times New Roman" w:hAnsi="Palatino Linotype" w:cs="Times New Roman"/>
          <w:sz w:val="24"/>
          <w:szCs w:val="24"/>
        </w:rPr>
        <w:t>about</w:t>
      </w:r>
      <w:r w:rsidRPr="00D82F02">
        <w:rPr>
          <w:rFonts w:ascii="Palatino Linotype" w:eastAsia="Times New Roman" w:hAnsi="Palatino Linotype" w:cs="Times New Roman"/>
          <w:sz w:val="24"/>
          <w:szCs w:val="24"/>
        </w:rPr>
        <w:t xml:space="preserve"> different economic models of law clinics.</w:t>
      </w:r>
    </w:p>
    <w:p w14:paraId="4C15495E" w14:textId="46FBE0C4" w:rsidR="00955BDE" w:rsidRPr="00D82F02" w:rsidRDefault="006B7FCA" w:rsidP="00D82F02">
      <w:pPr>
        <w:pStyle w:val="Body"/>
        <w:spacing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 xml:space="preserve">The costs </w:t>
      </w:r>
      <w:r w:rsidR="00955BDE" w:rsidRPr="00D82F02">
        <w:rPr>
          <w:rFonts w:ascii="Palatino Linotype" w:eastAsia="Times New Roman" w:hAnsi="Palatino Linotype" w:cs="Times New Roman"/>
          <w:sz w:val="24"/>
          <w:szCs w:val="24"/>
        </w:rPr>
        <w:t>of law</w:t>
      </w:r>
      <w:r w:rsidRPr="00D82F02">
        <w:rPr>
          <w:rFonts w:ascii="Palatino Linotype" w:eastAsia="Times New Roman" w:hAnsi="Palatino Linotype" w:cs="Times New Roman"/>
          <w:sz w:val="24"/>
          <w:szCs w:val="24"/>
        </w:rPr>
        <w:t xml:space="preserve"> clinic</w:t>
      </w:r>
      <w:r w:rsidR="009A0C35" w:rsidRPr="00D82F02">
        <w:rPr>
          <w:rFonts w:ascii="Palatino Linotype" w:eastAsia="Times New Roman" w:hAnsi="Palatino Linotype" w:cs="Times New Roman"/>
          <w:sz w:val="24"/>
          <w:szCs w:val="24"/>
        </w:rPr>
        <w:t>s</w:t>
      </w:r>
      <w:r w:rsidRPr="00D82F02">
        <w:rPr>
          <w:rFonts w:ascii="Palatino Linotype" w:eastAsia="Times New Roman" w:hAnsi="Palatino Linotype" w:cs="Times New Roman"/>
          <w:sz w:val="24"/>
          <w:szCs w:val="24"/>
        </w:rPr>
        <w:t xml:space="preserve"> depend</w:t>
      </w:r>
      <w:r w:rsidR="009A0C35" w:rsidRPr="00D82F02">
        <w:rPr>
          <w:rFonts w:ascii="Palatino Linotype" w:eastAsia="Times New Roman" w:hAnsi="Palatino Linotype" w:cs="Times New Roman"/>
          <w:sz w:val="24"/>
          <w:szCs w:val="24"/>
        </w:rPr>
        <w:t>s</w:t>
      </w:r>
      <w:r w:rsidRPr="00D82F02">
        <w:rPr>
          <w:rFonts w:ascii="Palatino Linotype" w:eastAsia="Times New Roman" w:hAnsi="Palatino Linotype" w:cs="Times New Roman"/>
          <w:sz w:val="24"/>
          <w:szCs w:val="24"/>
        </w:rPr>
        <w:t xml:space="preserve"> </w:t>
      </w:r>
      <w:r w:rsidR="00BF1473" w:rsidRPr="00D82F02">
        <w:rPr>
          <w:rFonts w:ascii="Palatino Linotype" w:eastAsia="Times New Roman" w:hAnsi="Palatino Linotype" w:cs="Times New Roman"/>
          <w:sz w:val="24"/>
          <w:szCs w:val="24"/>
        </w:rPr>
        <w:t>on the status of the faculty teaching the course, student-to-faculty ratio, the number of credit hours awarded</w:t>
      </w:r>
      <w:r w:rsidR="009A0C35" w:rsidRPr="00D82F02">
        <w:rPr>
          <w:rFonts w:ascii="Palatino Linotype" w:eastAsia="Times New Roman" w:hAnsi="Palatino Linotype" w:cs="Times New Roman"/>
          <w:sz w:val="24"/>
          <w:szCs w:val="24"/>
        </w:rPr>
        <w:t>,</w:t>
      </w:r>
      <w:r w:rsidR="00BF1473" w:rsidRPr="00D82F02">
        <w:rPr>
          <w:rFonts w:ascii="Palatino Linotype" w:eastAsia="Times New Roman" w:hAnsi="Palatino Linotype" w:cs="Times New Roman"/>
          <w:sz w:val="24"/>
          <w:szCs w:val="24"/>
        </w:rPr>
        <w:t xml:space="preserve"> etc.</w:t>
      </w:r>
      <w:r w:rsidR="00BF1473" w:rsidRPr="00D82F02">
        <w:rPr>
          <w:rStyle w:val="FootnoteReference"/>
          <w:rFonts w:ascii="Palatino Linotype" w:eastAsia="Times New Roman" w:hAnsi="Palatino Linotype" w:cs="Times New Roman"/>
          <w:sz w:val="24"/>
          <w:szCs w:val="24"/>
        </w:rPr>
        <w:footnoteReference w:id="74"/>
      </w:r>
      <w:r w:rsidR="00204ED1" w:rsidRPr="00D82F02">
        <w:rPr>
          <w:rFonts w:ascii="Palatino Linotype" w:eastAsia="Times New Roman" w:hAnsi="Palatino Linotype" w:cs="Times New Roman"/>
          <w:sz w:val="24"/>
          <w:szCs w:val="24"/>
        </w:rPr>
        <w:t xml:space="preserve"> </w:t>
      </w:r>
      <w:r w:rsidR="005B1A14" w:rsidRPr="00D82F02">
        <w:rPr>
          <w:rFonts w:ascii="Palatino Linotype" w:eastAsia="Times New Roman" w:hAnsi="Palatino Linotype" w:cs="Times New Roman"/>
          <w:sz w:val="24"/>
          <w:szCs w:val="24"/>
        </w:rPr>
        <w:t>Katz adds faculty compensation costs and the complexity of the clinic</w:t>
      </w:r>
      <w:r w:rsidR="009A0C35" w:rsidRPr="00D82F02">
        <w:rPr>
          <w:rFonts w:ascii="Palatino Linotype" w:eastAsia="Times New Roman" w:hAnsi="Palatino Linotype" w:cs="Times New Roman"/>
          <w:sz w:val="24"/>
          <w:szCs w:val="24"/>
        </w:rPr>
        <w:t xml:space="preserve"> to this list</w:t>
      </w:r>
      <w:r w:rsidR="005B1A14" w:rsidRPr="00D82F02">
        <w:rPr>
          <w:rStyle w:val="FootnoteReference"/>
          <w:rFonts w:ascii="Palatino Linotype" w:eastAsia="Times New Roman" w:hAnsi="Palatino Linotype" w:cs="Times New Roman"/>
          <w:sz w:val="24"/>
          <w:szCs w:val="24"/>
        </w:rPr>
        <w:footnoteReference w:id="75"/>
      </w:r>
      <w:r w:rsidR="005B1A14" w:rsidRPr="00D82F02">
        <w:rPr>
          <w:rFonts w:ascii="Palatino Linotype" w:eastAsia="Times New Roman" w:hAnsi="Palatino Linotype" w:cs="Times New Roman"/>
          <w:sz w:val="24"/>
          <w:szCs w:val="24"/>
        </w:rPr>
        <w:t>. He explains</w:t>
      </w:r>
      <w:r w:rsidR="00955BDE" w:rsidRPr="00D82F02">
        <w:rPr>
          <w:rFonts w:ascii="Palatino Linotype" w:eastAsia="Times New Roman" w:hAnsi="Palatino Linotype" w:cs="Times New Roman"/>
          <w:sz w:val="24"/>
          <w:szCs w:val="24"/>
        </w:rPr>
        <w:t xml:space="preserve"> that there are three important variable costs: professor labour costs, other labour costs (e.g. for hiring administrative stuff, outside attorneys etc.) and other expenses (e.g. travel, case management software etc.).</w:t>
      </w:r>
      <w:r w:rsidR="00955BDE" w:rsidRPr="00D82F02">
        <w:rPr>
          <w:rStyle w:val="FootnoteReference"/>
          <w:rFonts w:ascii="Palatino Linotype" w:eastAsia="Times New Roman" w:hAnsi="Palatino Linotype" w:cs="Times New Roman"/>
          <w:sz w:val="24"/>
          <w:szCs w:val="24"/>
        </w:rPr>
        <w:footnoteReference w:id="76"/>
      </w:r>
      <w:r w:rsidR="000A699E" w:rsidRPr="00D82F02">
        <w:rPr>
          <w:rFonts w:ascii="Palatino Linotype" w:eastAsia="Times New Roman" w:hAnsi="Palatino Linotype" w:cs="Times New Roman"/>
          <w:sz w:val="24"/>
          <w:szCs w:val="24"/>
        </w:rPr>
        <w:t xml:space="preserve"> Of course, different types of experiential legal education models are faced with different costs.</w:t>
      </w:r>
      <w:r w:rsidR="000A699E" w:rsidRPr="00D82F02">
        <w:rPr>
          <w:rStyle w:val="FootnoteReference"/>
          <w:rFonts w:ascii="Palatino Linotype" w:eastAsia="Times New Roman" w:hAnsi="Palatino Linotype" w:cs="Times New Roman"/>
          <w:sz w:val="24"/>
          <w:szCs w:val="24"/>
        </w:rPr>
        <w:footnoteReference w:id="77"/>
      </w:r>
    </w:p>
    <w:p w14:paraId="2E8A4B55" w14:textId="297A7955" w:rsidR="004D5309" w:rsidRPr="00D82F02" w:rsidRDefault="00955BDE" w:rsidP="00D82F02">
      <w:pPr>
        <w:pStyle w:val="Body"/>
        <w:spacing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R</w:t>
      </w:r>
      <w:r w:rsidR="001F27B1" w:rsidRPr="00D82F02">
        <w:rPr>
          <w:rFonts w:ascii="Palatino Linotype" w:eastAsia="Times New Roman" w:hAnsi="Palatino Linotype" w:cs="Times New Roman"/>
          <w:sz w:val="24"/>
          <w:szCs w:val="24"/>
        </w:rPr>
        <w:t>ecent increase in market orientation and liberali</w:t>
      </w:r>
      <w:r w:rsidR="009A0C35" w:rsidRPr="00D82F02">
        <w:rPr>
          <w:rFonts w:ascii="Palatino Linotype" w:eastAsia="Times New Roman" w:hAnsi="Palatino Linotype" w:cs="Times New Roman"/>
          <w:sz w:val="24"/>
          <w:szCs w:val="24"/>
        </w:rPr>
        <w:t>s</w:t>
      </w:r>
      <w:r w:rsidR="001F27B1" w:rsidRPr="00D82F02">
        <w:rPr>
          <w:rFonts w:ascii="Palatino Linotype" w:eastAsia="Times New Roman" w:hAnsi="Palatino Linotype" w:cs="Times New Roman"/>
          <w:sz w:val="24"/>
          <w:szCs w:val="24"/>
        </w:rPr>
        <w:t xml:space="preserve">ation of </w:t>
      </w:r>
      <w:r w:rsidR="000A699E" w:rsidRPr="00D82F02">
        <w:rPr>
          <w:rFonts w:ascii="Palatino Linotype" w:eastAsia="Times New Roman" w:hAnsi="Palatino Linotype" w:cs="Times New Roman"/>
          <w:sz w:val="24"/>
          <w:szCs w:val="24"/>
        </w:rPr>
        <w:t xml:space="preserve">traditionally public </w:t>
      </w:r>
      <w:r w:rsidR="001F27B1" w:rsidRPr="00D82F02">
        <w:rPr>
          <w:rFonts w:ascii="Palatino Linotype" w:eastAsia="Times New Roman" w:hAnsi="Palatino Linotype" w:cs="Times New Roman"/>
          <w:sz w:val="24"/>
          <w:szCs w:val="24"/>
        </w:rPr>
        <w:t>education systems</w:t>
      </w:r>
      <w:r w:rsidR="001F27B1" w:rsidRPr="00D82F02">
        <w:rPr>
          <w:rStyle w:val="FootnoteReference"/>
          <w:rFonts w:ascii="Palatino Linotype" w:eastAsia="Times New Roman" w:hAnsi="Palatino Linotype" w:cs="Times New Roman"/>
          <w:sz w:val="24"/>
          <w:szCs w:val="24"/>
        </w:rPr>
        <w:footnoteReference w:id="78"/>
      </w:r>
      <w:r w:rsidR="001F27B1" w:rsidRPr="00D82F02">
        <w:rPr>
          <w:rFonts w:ascii="Palatino Linotype" w:eastAsia="Times New Roman" w:hAnsi="Palatino Linotype" w:cs="Times New Roman"/>
          <w:sz w:val="24"/>
          <w:szCs w:val="24"/>
        </w:rPr>
        <w:t xml:space="preserve"> will influence the need of alternative funding opportunit</w:t>
      </w:r>
      <w:r w:rsidR="00C63723" w:rsidRPr="00D82F02">
        <w:rPr>
          <w:rFonts w:ascii="Palatino Linotype" w:eastAsia="Times New Roman" w:hAnsi="Palatino Linotype" w:cs="Times New Roman"/>
          <w:sz w:val="24"/>
          <w:szCs w:val="24"/>
        </w:rPr>
        <w:t>i</w:t>
      </w:r>
      <w:r w:rsidRPr="00D82F02">
        <w:rPr>
          <w:rFonts w:ascii="Palatino Linotype" w:eastAsia="Times New Roman" w:hAnsi="Palatino Linotype" w:cs="Times New Roman"/>
          <w:sz w:val="24"/>
          <w:szCs w:val="24"/>
        </w:rPr>
        <w:t>e</w:t>
      </w:r>
      <w:r w:rsidR="001F27B1" w:rsidRPr="00D82F02">
        <w:rPr>
          <w:rFonts w:ascii="Palatino Linotype" w:eastAsia="Times New Roman" w:hAnsi="Palatino Linotype" w:cs="Times New Roman"/>
          <w:sz w:val="24"/>
          <w:szCs w:val="24"/>
        </w:rPr>
        <w:t>s</w:t>
      </w:r>
      <w:r w:rsidRPr="00D82F02">
        <w:rPr>
          <w:rFonts w:ascii="Palatino Linotype" w:eastAsia="Times New Roman" w:hAnsi="Palatino Linotype" w:cs="Times New Roman"/>
          <w:sz w:val="24"/>
          <w:szCs w:val="24"/>
        </w:rPr>
        <w:t xml:space="preserve"> for publicly funded law school clinics</w:t>
      </w:r>
      <w:r w:rsidR="001F27B1" w:rsidRPr="00D82F02">
        <w:rPr>
          <w:rFonts w:ascii="Palatino Linotype" w:eastAsia="Times New Roman" w:hAnsi="Palatino Linotype" w:cs="Times New Roman"/>
          <w:sz w:val="24"/>
          <w:szCs w:val="24"/>
        </w:rPr>
        <w:t xml:space="preserve">. </w:t>
      </w:r>
      <w:r w:rsidR="006E1194" w:rsidRPr="00D82F02">
        <w:rPr>
          <w:rFonts w:ascii="Palatino Linotype" w:eastAsia="Times New Roman" w:hAnsi="Palatino Linotype" w:cs="Times New Roman"/>
          <w:sz w:val="24"/>
          <w:szCs w:val="24"/>
        </w:rPr>
        <w:t>The general</w:t>
      </w:r>
      <w:r w:rsidR="004D5309" w:rsidRPr="00D82F02">
        <w:rPr>
          <w:rFonts w:ascii="Palatino Linotype" w:eastAsia="Times New Roman" w:hAnsi="Palatino Linotype" w:cs="Times New Roman"/>
          <w:sz w:val="24"/>
          <w:szCs w:val="24"/>
        </w:rPr>
        <w:t xml:space="preserve"> lack of support on the university </w:t>
      </w:r>
      <w:r w:rsidR="009E5F84" w:rsidRPr="00D82F02">
        <w:rPr>
          <w:rFonts w:ascii="Palatino Linotype" w:eastAsia="Times New Roman" w:hAnsi="Palatino Linotype" w:cs="Times New Roman"/>
          <w:sz w:val="24"/>
          <w:szCs w:val="24"/>
        </w:rPr>
        <w:t xml:space="preserve">and government </w:t>
      </w:r>
      <w:r w:rsidR="004D5309" w:rsidRPr="00D82F02">
        <w:rPr>
          <w:rFonts w:ascii="Palatino Linotype" w:eastAsia="Times New Roman" w:hAnsi="Palatino Linotype" w:cs="Times New Roman"/>
          <w:sz w:val="24"/>
          <w:szCs w:val="24"/>
        </w:rPr>
        <w:t xml:space="preserve">level </w:t>
      </w:r>
      <w:r w:rsidR="009E5F84" w:rsidRPr="00D82F02">
        <w:rPr>
          <w:rFonts w:ascii="Palatino Linotype" w:eastAsia="Times New Roman" w:hAnsi="Palatino Linotype" w:cs="Times New Roman"/>
          <w:sz w:val="24"/>
          <w:szCs w:val="24"/>
        </w:rPr>
        <w:t xml:space="preserve">can be </w:t>
      </w:r>
      <w:r w:rsidRPr="00D82F02">
        <w:rPr>
          <w:rFonts w:ascii="Palatino Linotype" w:eastAsia="Times New Roman" w:hAnsi="Palatino Linotype" w:cs="Times New Roman"/>
          <w:sz w:val="24"/>
          <w:szCs w:val="24"/>
        </w:rPr>
        <w:t xml:space="preserve">generally </w:t>
      </w:r>
      <w:r w:rsidR="009E5F84" w:rsidRPr="00D82F02">
        <w:rPr>
          <w:rFonts w:ascii="Palatino Linotype" w:eastAsia="Times New Roman" w:hAnsi="Palatino Linotype" w:cs="Times New Roman"/>
          <w:sz w:val="24"/>
          <w:szCs w:val="24"/>
        </w:rPr>
        <w:t>solved</w:t>
      </w:r>
      <w:r w:rsidR="004D5309" w:rsidRPr="00D82F02">
        <w:rPr>
          <w:rFonts w:ascii="Palatino Linotype" w:eastAsia="Times New Roman" w:hAnsi="Palatino Linotype" w:cs="Times New Roman"/>
          <w:sz w:val="24"/>
          <w:szCs w:val="24"/>
        </w:rPr>
        <w:t xml:space="preserve"> </w:t>
      </w:r>
      <w:r w:rsidR="009E5F84" w:rsidRPr="00D82F02">
        <w:rPr>
          <w:rFonts w:ascii="Palatino Linotype" w:eastAsia="Times New Roman" w:hAnsi="Palatino Linotype" w:cs="Times New Roman"/>
          <w:sz w:val="24"/>
          <w:szCs w:val="24"/>
        </w:rPr>
        <w:t>by way of using trusts, cooperative agreements, international resources, where available, as well as by using the private bar.</w:t>
      </w:r>
      <w:r w:rsidR="009E5F84" w:rsidRPr="00D82F02">
        <w:rPr>
          <w:rStyle w:val="FootnoteReference"/>
          <w:rFonts w:ascii="Palatino Linotype" w:eastAsia="Times New Roman" w:hAnsi="Palatino Linotype" w:cs="Times New Roman"/>
          <w:sz w:val="24"/>
          <w:szCs w:val="24"/>
        </w:rPr>
        <w:footnoteReference w:id="79"/>
      </w:r>
      <w:r w:rsidR="004A5AA8" w:rsidRPr="00D82F02">
        <w:rPr>
          <w:rFonts w:ascii="Palatino Linotype" w:eastAsia="Times New Roman" w:hAnsi="Palatino Linotype" w:cs="Times New Roman"/>
          <w:sz w:val="24"/>
          <w:szCs w:val="24"/>
        </w:rPr>
        <w:t xml:space="preserve"> </w:t>
      </w:r>
    </w:p>
    <w:p w14:paraId="5A560960" w14:textId="7E5AA231" w:rsidR="00303518" w:rsidRPr="00D82F02" w:rsidRDefault="006E1194" w:rsidP="00D82F02">
      <w:pPr>
        <w:pStyle w:val="Body"/>
        <w:spacing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A</w:t>
      </w:r>
      <w:r w:rsidR="00A17FE8" w:rsidRPr="00D82F02">
        <w:rPr>
          <w:rFonts w:ascii="Palatino Linotype" w:eastAsia="Times New Roman" w:hAnsi="Palatino Linotype" w:cs="Times New Roman"/>
          <w:sz w:val="24"/>
          <w:szCs w:val="24"/>
        </w:rPr>
        <w:t>n a</w:t>
      </w:r>
      <w:r w:rsidRPr="00D82F02">
        <w:rPr>
          <w:rFonts w:ascii="Palatino Linotype" w:eastAsia="Times New Roman" w:hAnsi="Palatino Linotype" w:cs="Times New Roman"/>
          <w:sz w:val="24"/>
          <w:szCs w:val="24"/>
        </w:rPr>
        <w:t>lternative solution</w:t>
      </w:r>
      <w:r w:rsidR="00303518" w:rsidRPr="00D82F02">
        <w:rPr>
          <w:rFonts w:ascii="Palatino Linotype" w:eastAsia="Times New Roman" w:hAnsi="Palatino Linotype" w:cs="Times New Roman"/>
          <w:sz w:val="24"/>
          <w:szCs w:val="24"/>
        </w:rPr>
        <w:t xml:space="preserve"> for clinical sustainability is to adapt the clinical programme. For instance, </w:t>
      </w:r>
      <w:r w:rsidR="009A0C35" w:rsidRPr="00D82F02">
        <w:rPr>
          <w:rFonts w:ascii="Palatino Linotype" w:eastAsia="Times New Roman" w:hAnsi="Palatino Linotype" w:cs="Times New Roman"/>
          <w:sz w:val="24"/>
          <w:szCs w:val="24"/>
        </w:rPr>
        <w:t xml:space="preserve">a </w:t>
      </w:r>
      <w:r w:rsidR="001B2772" w:rsidRPr="00D82F02">
        <w:rPr>
          <w:rFonts w:ascii="Palatino Linotype" w:eastAsia="Times New Roman" w:hAnsi="Palatino Linotype" w:cs="Times New Roman"/>
          <w:sz w:val="24"/>
          <w:szCs w:val="24"/>
        </w:rPr>
        <w:t xml:space="preserve">slightly cheaper alternative is </w:t>
      </w:r>
      <w:r w:rsidR="00007350" w:rsidRPr="00D82F02">
        <w:rPr>
          <w:rFonts w:ascii="Palatino Linotype" w:eastAsia="Times New Roman" w:hAnsi="Palatino Linotype" w:cs="Times New Roman"/>
          <w:sz w:val="24"/>
          <w:szCs w:val="24"/>
        </w:rPr>
        <w:t xml:space="preserve">to organise </w:t>
      </w:r>
      <w:r w:rsidR="001B2772" w:rsidRPr="00D82F02">
        <w:rPr>
          <w:rFonts w:ascii="Palatino Linotype" w:eastAsia="Times New Roman" w:hAnsi="Palatino Linotype" w:cs="Times New Roman"/>
          <w:sz w:val="24"/>
          <w:szCs w:val="24"/>
        </w:rPr>
        <w:t xml:space="preserve">different types of </w:t>
      </w:r>
      <w:r w:rsidR="00303518" w:rsidRPr="00D82F02">
        <w:rPr>
          <w:rFonts w:ascii="Palatino Linotype" w:eastAsia="Times New Roman" w:hAnsi="Palatino Linotype" w:cs="Times New Roman"/>
          <w:sz w:val="24"/>
          <w:szCs w:val="24"/>
        </w:rPr>
        <w:t>externships.</w:t>
      </w:r>
      <w:r w:rsidR="00303518" w:rsidRPr="00D82F02">
        <w:rPr>
          <w:rStyle w:val="FootnoteReference"/>
          <w:rFonts w:ascii="Palatino Linotype" w:eastAsia="Times New Roman" w:hAnsi="Palatino Linotype" w:cs="Times New Roman"/>
          <w:sz w:val="24"/>
          <w:szCs w:val="24"/>
        </w:rPr>
        <w:footnoteReference w:id="80"/>
      </w:r>
      <w:r w:rsidR="001B2772" w:rsidRPr="00D82F02">
        <w:rPr>
          <w:rFonts w:ascii="Palatino Linotype" w:eastAsia="Times New Roman" w:hAnsi="Palatino Linotype" w:cs="Times New Roman"/>
          <w:sz w:val="24"/>
          <w:szCs w:val="24"/>
        </w:rPr>
        <w:t xml:space="preserve"> However, if not</w:t>
      </w:r>
      <w:r w:rsidR="00007350" w:rsidRPr="00D82F02">
        <w:rPr>
          <w:rFonts w:ascii="Palatino Linotype" w:eastAsia="Times New Roman" w:hAnsi="Palatino Linotype" w:cs="Times New Roman"/>
          <w:sz w:val="24"/>
          <w:szCs w:val="24"/>
        </w:rPr>
        <w:t xml:space="preserve"> planned carefully, they</w:t>
      </w:r>
      <w:r w:rsidR="001B2772" w:rsidRPr="00D82F02">
        <w:rPr>
          <w:rFonts w:ascii="Palatino Linotype" w:eastAsia="Times New Roman" w:hAnsi="Palatino Linotype" w:cs="Times New Roman"/>
          <w:sz w:val="24"/>
          <w:szCs w:val="24"/>
        </w:rPr>
        <w:t xml:space="preserve"> will not give the same effects as in-house clinical programs</w:t>
      </w:r>
      <w:r w:rsidR="00BF1473" w:rsidRPr="00D82F02">
        <w:rPr>
          <w:rFonts w:ascii="Palatino Linotype" w:eastAsia="Times New Roman" w:hAnsi="Palatino Linotype" w:cs="Times New Roman"/>
          <w:sz w:val="24"/>
          <w:szCs w:val="24"/>
        </w:rPr>
        <w:t>.</w:t>
      </w:r>
      <w:r w:rsidR="00BF1473" w:rsidRPr="00D82F02">
        <w:rPr>
          <w:rStyle w:val="FootnoteReference"/>
          <w:rFonts w:ascii="Palatino Linotype" w:eastAsia="Times New Roman" w:hAnsi="Palatino Linotype" w:cs="Times New Roman"/>
          <w:sz w:val="24"/>
          <w:szCs w:val="24"/>
        </w:rPr>
        <w:footnoteReference w:id="81"/>
      </w:r>
      <w:r w:rsidR="00F231FD" w:rsidRPr="00D82F02">
        <w:rPr>
          <w:rFonts w:ascii="Palatino Linotype" w:eastAsia="Times New Roman" w:hAnsi="Palatino Linotype" w:cs="Times New Roman"/>
          <w:sz w:val="24"/>
          <w:szCs w:val="24"/>
        </w:rPr>
        <w:t xml:space="preserve"> It is thus prudent to try to minimise the costs elsewhere, without risking the quality of law school education, e.g. by electrification of library collections</w:t>
      </w:r>
      <w:r w:rsidR="00A302E2" w:rsidRPr="00D82F02">
        <w:rPr>
          <w:rFonts w:ascii="Palatino Linotype" w:eastAsia="Times New Roman" w:hAnsi="Palatino Linotype" w:cs="Times New Roman"/>
          <w:sz w:val="24"/>
          <w:szCs w:val="24"/>
        </w:rPr>
        <w:t xml:space="preserve"> or </w:t>
      </w:r>
      <w:r w:rsidR="00F231FD" w:rsidRPr="00D82F02">
        <w:rPr>
          <w:rFonts w:ascii="Palatino Linotype" w:eastAsia="Times New Roman" w:hAnsi="Palatino Linotype" w:cs="Times New Roman"/>
          <w:sz w:val="24"/>
          <w:szCs w:val="24"/>
        </w:rPr>
        <w:t>eliminating under-enrolled courses.</w:t>
      </w:r>
      <w:r w:rsidR="00F231FD" w:rsidRPr="00D82F02">
        <w:rPr>
          <w:rStyle w:val="FootnoteReference"/>
          <w:rFonts w:ascii="Palatino Linotype" w:eastAsia="Times New Roman" w:hAnsi="Palatino Linotype" w:cs="Times New Roman"/>
          <w:sz w:val="24"/>
          <w:szCs w:val="24"/>
        </w:rPr>
        <w:footnoteReference w:id="82"/>
      </w:r>
    </w:p>
    <w:p w14:paraId="3C043DFB" w14:textId="3DF2019E" w:rsidR="00572104" w:rsidRPr="00D82F02" w:rsidRDefault="000E78AF" w:rsidP="00D82F02">
      <w:pPr>
        <w:pStyle w:val="Body"/>
        <w:spacing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ab/>
      </w:r>
    </w:p>
    <w:p w14:paraId="2C2EA8AF" w14:textId="3F4E6515" w:rsidR="00A01CF8" w:rsidRPr="00D82F02" w:rsidRDefault="00572104" w:rsidP="00D82F02">
      <w:pPr>
        <w:pStyle w:val="Body"/>
        <w:tabs>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 w:val="left" w:pos="840"/>
          <w:tab w:val="left" w:pos="1260"/>
          <w:tab w:val="left" w:pos="2100"/>
        </w:tabs>
        <w:spacing w:line="480" w:lineRule="auto"/>
        <w:jc w:val="both"/>
        <w:rPr>
          <w:rFonts w:ascii="Palatino Linotype" w:eastAsia="Times New Roman" w:hAnsi="Palatino Linotype" w:cs="Times New Roman"/>
          <w:b/>
          <w:sz w:val="24"/>
          <w:szCs w:val="24"/>
        </w:rPr>
      </w:pPr>
      <w:r w:rsidRPr="00D82F02">
        <w:rPr>
          <w:rFonts w:ascii="Palatino Linotype" w:eastAsia="Times New Roman" w:hAnsi="Palatino Linotype" w:cs="Times New Roman"/>
          <w:b/>
          <w:sz w:val="24"/>
          <w:szCs w:val="24"/>
        </w:rPr>
        <w:t>5.2. Financial challenges of the Law Clinic</w:t>
      </w:r>
    </w:p>
    <w:p w14:paraId="2BE994A0" w14:textId="418DD2AC" w:rsidR="008F24C2" w:rsidRPr="00D82F02" w:rsidRDefault="00734CD5" w:rsidP="00D82F02">
      <w:pPr>
        <w:pStyle w:val="Body"/>
        <w:spacing w:line="480" w:lineRule="auto"/>
        <w:jc w:val="both"/>
        <w:rPr>
          <w:rFonts w:ascii="Palatino Linotype" w:hAnsi="Palatino Linotype" w:cs="Times New Roman"/>
          <w:sz w:val="24"/>
          <w:szCs w:val="24"/>
        </w:rPr>
      </w:pPr>
      <w:r w:rsidRPr="00D82F02">
        <w:rPr>
          <w:rFonts w:ascii="Palatino Linotype" w:eastAsia="Times New Roman" w:hAnsi="Palatino Linotype" w:cs="Times New Roman"/>
          <w:sz w:val="24"/>
          <w:szCs w:val="24"/>
        </w:rPr>
        <w:t xml:space="preserve">The Law Clinic is today extremely well received by students, who regularly apply for work in the Law Clinic in numbers bigger than </w:t>
      </w:r>
      <w:r w:rsidRPr="00D82F02">
        <w:rPr>
          <w:rFonts w:ascii="Palatino Linotype" w:hAnsi="Palatino Linotype" w:cs="Times New Roman"/>
          <w:sz w:val="24"/>
          <w:szCs w:val="24"/>
        </w:rPr>
        <w:t xml:space="preserve">that of available places. It also enjoys a high reputation among numerous legal aid clients in Zagreb and in other areas which have been reached by project activities so far. Unfortunately, the Law Clinic faces several challenges to its future development as a legal aid provider. </w:t>
      </w:r>
    </w:p>
    <w:tbl>
      <w:tblPr>
        <w:tblW w:w="981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95"/>
        <w:gridCol w:w="1133"/>
        <w:gridCol w:w="1168"/>
        <w:gridCol w:w="1168"/>
        <w:gridCol w:w="1168"/>
        <w:gridCol w:w="1227"/>
        <w:gridCol w:w="1220"/>
        <w:gridCol w:w="1140"/>
      </w:tblGrid>
      <w:tr w:rsidR="00A17FE8" w:rsidRPr="00D82F02" w14:paraId="5DB142A0" w14:textId="77777777" w:rsidTr="009D10D3">
        <w:trPr>
          <w:trHeight w:val="288"/>
          <w:jc w:val="center"/>
        </w:trPr>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F78D8D" w14:textId="77777777" w:rsidR="008F24C2" w:rsidRPr="00D56A45" w:rsidRDefault="008F24C2" w:rsidP="00D82F02">
            <w:pPr>
              <w:spacing w:line="480" w:lineRule="auto"/>
              <w:jc w:val="both"/>
              <w:rPr>
                <w:rFonts w:ascii="Palatino Linotype" w:hAnsi="Palatino Linotype"/>
                <w:b/>
                <w:sz w:val="20"/>
                <w:szCs w:val="20"/>
                <w:lang w:val="en-GB"/>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FE2261" w14:textId="77777777" w:rsidR="008F24C2" w:rsidRPr="00D56A45" w:rsidRDefault="00734CD5" w:rsidP="00D82F02">
            <w:pPr>
              <w:pStyle w:val="Body"/>
              <w:spacing w:before="0" w:after="0" w:line="480" w:lineRule="auto"/>
              <w:jc w:val="both"/>
              <w:rPr>
                <w:rFonts w:ascii="Palatino Linotype" w:hAnsi="Palatino Linotype" w:cs="Times New Roman"/>
                <w:b/>
                <w:sz w:val="20"/>
                <w:szCs w:val="20"/>
              </w:rPr>
            </w:pPr>
            <w:r w:rsidRPr="00D56A45">
              <w:rPr>
                <w:rFonts w:ascii="Palatino Linotype" w:hAnsi="Palatino Linotype" w:cs="Times New Roman"/>
                <w:b/>
                <w:sz w:val="20"/>
                <w:szCs w:val="20"/>
              </w:rPr>
              <w:t>2010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79BA01" w14:textId="77777777" w:rsidR="008F24C2" w:rsidRPr="00D56A45" w:rsidRDefault="00734CD5" w:rsidP="00D82F02">
            <w:pPr>
              <w:pStyle w:val="Body"/>
              <w:spacing w:before="0" w:after="0" w:line="480" w:lineRule="auto"/>
              <w:jc w:val="both"/>
              <w:rPr>
                <w:rFonts w:ascii="Palatino Linotype" w:hAnsi="Palatino Linotype" w:cs="Times New Roman"/>
                <w:b/>
                <w:sz w:val="20"/>
                <w:szCs w:val="20"/>
              </w:rPr>
            </w:pPr>
            <w:r w:rsidRPr="00D56A45">
              <w:rPr>
                <w:rFonts w:ascii="Palatino Linotype" w:hAnsi="Palatino Linotype" w:cs="Times New Roman"/>
                <w:b/>
                <w:sz w:val="20"/>
                <w:szCs w:val="20"/>
              </w:rPr>
              <w:t>2011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E19F3D" w14:textId="77777777" w:rsidR="008F24C2" w:rsidRPr="00D56A45" w:rsidRDefault="00734CD5" w:rsidP="00D82F02">
            <w:pPr>
              <w:pStyle w:val="Body"/>
              <w:spacing w:before="0" w:after="0" w:line="480" w:lineRule="auto"/>
              <w:jc w:val="both"/>
              <w:rPr>
                <w:rFonts w:ascii="Palatino Linotype" w:hAnsi="Palatino Linotype" w:cs="Times New Roman"/>
                <w:b/>
                <w:sz w:val="20"/>
                <w:szCs w:val="20"/>
              </w:rPr>
            </w:pPr>
            <w:r w:rsidRPr="00D56A45">
              <w:rPr>
                <w:rFonts w:ascii="Palatino Linotype" w:hAnsi="Palatino Linotype" w:cs="Times New Roman"/>
                <w:b/>
                <w:sz w:val="20"/>
                <w:szCs w:val="20"/>
              </w:rPr>
              <w:t>2012</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A6D00F" w14:textId="77777777" w:rsidR="008F24C2" w:rsidRPr="00D56A45" w:rsidRDefault="00734CD5" w:rsidP="00D82F02">
            <w:pPr>
              <w:pStyle w:val="Body"/>
              <w:spacing w:before="0" w:after="0" w:line="480" w:lineRule="auto"/>
              <w:jc w:val="both"/>
              <w:rPr>
                <w:rFonts w:ascii="Palatino Linotype" w:hAnsi="Palatino Linotype" w:cs="Times New Roman"/>
                <w:b/>
                <w:sz w:val="20"/>
                <w:szCs w:val="20"/>
              </w:rPr>
            </w:pPr>
            <w:r w:rsidRPr="00D56A45">
              <w:rPr>
                <w:rFonts w:ascii="Palatino Linotype" w:hAnsi="Palatino Linotype" w:cs="Times New Roman"/>
                <w:b/>
                <w:sz w:val="20"/>
                <w:szCs w:val="20"/>
              </w:rPr>
              <w:t>2013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88B4AD" w14:textId="77777777" w:rsidR="008F24C2" w:rsidRPr="00D56A45" w:rsidRDefault="00734CD5" w:rsidP="00D82F02">
            <w:pPr>
              <w:pStyle w:val="Body"/>
              <w:spacing w:before="0" w:after="0" w:line="480" w:lineRule="auto"/>
              <w:jc w:val="both"/>
              <w:rPr>
                <w:rFonts w:ascii="Palatino Linotype" w:hAnsi="Palatino Linotype" w:cs="Times New Roman"/>
                <w:b/>
                <w:sz w:val="20"/>
                <w:szCs w:val="20"/>
              </w:rPr>
            </w:pPr>
            <w:r w:rsidRPr="00D56A45">
              <w:rPr>
                <w:rFonts w:ascii="Palatino Linotype" w:hAnsi="Palatino Linotype" w:cs="Times New Roman"/>
                <w:b/>
                <w:sz w:val="20"/>
                <w:szCs w:val="20"/>
              </w:rPr>
              <w:t>2014</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839FA" w14:textId="77777777" w:rsidR="008F24C2" w:rsidRPr="00D56A45" w:rsidRDefault="00734CD5" w:rsidP="00D82F02">
            <w:pPr>
              <w:pStyle w:val="Body"/>
              <w:spacing w:before="0" w:after="0" w:line="480" w:lineRule="auto"/>
              <w:jc w:val="both"/>
              <w:rPr>
                <w:rFonts w:ascii="Palatino Linotype" w:hAnsi="Palatino Linotype" w:cs="Times New Roman"/>
                <w:b/>
                <w:sz w:val="20"/>
                <w:szCs w:val="20"/>
              </w:rPr>
            </w:pPr>
            <w:r w:rsidRPr="00D56A45">
              <w:rPr>
                <w:rFonts w:ascii="Palatino Linotype" w:hAnsi="Palatino Linotype" w:cs="Times New Roman"/>
                <w:b/>
                <w:sz w:val="20"/>
                <w:szCs w:val="20"/>
              </w:rPr>
              <w:t>2015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24D94D" w14:textId="77777777" w:rsidR="008F24C2" w:rsidRPr="00D56A45" w:rsidRDefault="00734CD5" w:rsidP="00D82F02">
            <w:pPr>
              <w:pStyle w:val="Body"/>
              <w:spacing w:before="0" w:after="0" w:line="480" w:lineRule="auto"/>
              <w:jc w:val="both"/>
              <w:rPr>
                <w:rFonts w:ascii="Palatino Linotype" w:hAnsi="Palatino Linotype" w:cs="Times New Roman"/>
                <w:b/>
                <w:sz w:val="20"/>
                <w:szCs w:val="20"/>
              </w:rPr>
            </w:pPr>
            <w:r w:rsidRPr="00D56A45">
              <w:rPr>
                <w:rFonts w:ascii="Palatino Linotype" w:hAnsi="Palatino Linotype" w:cs="Times New Roman"/>
                <w:b/>
                <w:sz w:val="20"/>
                <w:szCs w:val="20"/>
              </w:rPr>
              <w:t>2016</w:t>
            </w:r>
          </w:p>
        </w:tc>
      </w:tr>
      <w:tr w:rsidR="00A17FE8" w:rsidRPr="00D82F02" w14:paraId="5DCC3484" w14:textId="77777777" w:rsidTr="00A17FE8">
        <w:trPr>
          <w:trHeight w:val="853"/>
          <w:jc w:val="center"/>
        </w:trPr>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55E44A" w14:textId="77777777" w:rsidR="008F24C2" w:rsidRPr="00D56A45" w:rsidRDefault="00734CD5" w:rsidP="00D56A45">
            <w:pPr>
              <w:pStyle w:val="Body"/>
              <w:spacing w:before="0" w:after="0" w:line="276" w:lineRule="auto"/>
              <w:jc w:val="both"/>
              <w:rPr>
                <w:rFonts w:ascii="Palatino Linotype" w:hAnsi="Palatino Linotype" w:cs="Times New Roman"/>
                <w:b/>
                <w:sz w:val="20"/>
                <w:szCs w:val="20"/>
              </w:rPr>
            </w:pPr>
            <w:r w:rsidRPr="00D56A45">
              <w:rPr>
                <w:rFonts w:ascii="Palatino Linotype" w:hAnsi="Palatino Linotype" w:cs="Times New Roman"/>
                <w:b/>
                <w:sz w:val="20"/>
                <w:szCs w:val="20"/>
              </w:rPr>
              <w:t>Primary legal aid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3E7DE" w14:textId="5A92B2D6"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46</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000 €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2E239" w14:textId="48E3A34B"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20</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150 €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D95D9" w14:textId="5FFC4F22"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26</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700 €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A8A50" w14:textId="6D74B1DA"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21</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350 €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8E8CC" w14:textId="30D7E49E"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193</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150 €</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78365" w14:textId="656A54F1"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193</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150 €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896C1" w14:textId="3B498FB2"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93</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250 €</w:t>
            </w:r>
          </w:p>
        </w:tc>
      </w:tr>
      <w:tr w:rsidR="00A17FE8" w:rsidRPr="00D82F02" w14:paraId="19E6B00B" w14:textId="77777777" w:rsidTr="00A17FE8">
        <w:trPr>
          <w:trHeight w:val="1361"/>
          <w:jc w:val="center"/>
        </w:trPr>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0793F3" w14:textId="77777777" w:rsidR="008F24C2" w:rsidRPr="00D56A45" w:rsidRDefault="00734CD5" w:rsidP="00D56A45">
            <w:pPr>
              <w:pStyle w:val="Body"/>
              <w:spacing w:before="0" w:after="0" w:line="276" w:lineRule="auto"/>
              <w:jc w:val="both"/>
              <w:rPr>
                <w:rFonts w:ascii="Palatino Linotype" w:hAnsi="Palatino Linotype" w:cs="Times New Roman"/>
                <w:b/>
                <w:sz w:val="20"/>
                <w:szCs w:val="20"/>
              </w:rPr>
            </w:pPr>
            <w:r w:rsidRPr="00D56A45">
              <w:rPr>
                <w:rFonts w:ascii="Palatino Linotype" w:hAnsi="Palatino Linotype" w:cs="Times New Roman"/>
                <w:b/>
                <w:sz w:val="20"/>
                <w:szCs w:val="20"/>
              </w:rPr>
              <w:t>Secondary legal aid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C3D5FB" w14:textId="101A79F5"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180</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000 €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F4A5AD" w14:textId="62C55AC2"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25</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500 €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486C2" w14:textId="4837AB81"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140</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900 €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32A110" w14:textId="1ABB4457"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235</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350 €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599B76" w14:textId="1D39743B"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161</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315 €</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ADBDA2" w14:textId="402CBEDF"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366</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325 €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50B970" w14:textId="0FA336C6"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306</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380 €</w:t>
            </w:r>
          </w:p>
        </w:tc>
      </w:tr>
      <w:tr w:rsidR="00A17FE8" w:rsidRPr="00D82F02" w14:paraId="0963AAED" w14:textId="77777777" w:rsidTr="00A17FE8">
        <w:trPr>
          <w:trHeight w:val="218"/>
          <w:jc w:val="center"/>
        </w:trPr>
        <w:tc>
          <w:tcPr>
            <w:tcW w:w="1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C4BDF" w14:textId="77777777" w:rsidR="008F24C2" w:rsidRPr="00D56A45" w:rsidRDefault="00734CD5" w:rsidP="00D82F02">
            <w:pPr>
              <w:pStyle w:val="Body"/>
              <w:spacing w:before="0" w:after="0" w:line="480" w:lineRule="auto"/>
              <w:jc w:val="both"/>
              <w:rPr>
                <w:rFonts w:ascii="Palatino Linotype" w:hAnsi="Palatino Linotype" w:cs="Times New Roman"/>
                <w:b/>
                <w:sz w:val="20"/>
                <w:szCs w:val="20"/>
              </w:rPr>
            </w:pPr>
            <w:r w:rsidRPr="00D56A45">
              <w:rPr>
                <w:rFonts w:ascii="Palatino Linotype" w:hAnsi="Palatino Linotype" w:cs="Times New Roman"/>
                <w:b/>
                <w:sz w:val="20"/>
                <w:szCs w:val="20"/>
              </w:rPr>
              <w:t>Total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F7747F" w14:textId="03790188"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226</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000 €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3CCE61" w14:textId="543C6957"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45</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650 €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C63973" w14:textId="2CA20B85"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167</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600 €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96E54B" w14:textId="5FA0A9C8"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256</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700 €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E73307" w14:textId="319E4DE6"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354</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465 €</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9D8A02" w14:textId="211F4E24"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559</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473 €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C428F3" w14:textId="49058FE6" w:rsidR="008F24C2" w:rsidRPr="00D56A45" w:rsidRDefault="00734CD5" w:rsidP="00D82F02">
            <w:pPr>
              <w:pStyle w:val="Body"/>
              <w:spacing w:before="0" w:after="0" w:line="480" w:lineRule="auto"/>
              <w:jc w:val="both"/>
              <w:rPr>
                <w:rFonts w:ascii="Palatino Linotype" w:hAnsi="Palatino Linotype" w:cs="Times New Roman"/>
                <w:sz w:val="20"/>
                <w:szCs w:val="20"/>
              </w:rPr>
            </w:pPr>
            <w:r w:rsidRPr="00D56A45">
              <w:rPr>
                <w:rFonts w:ascii="Palatino Linotype" w:hAnsi="Palatino Linotype" w:cs="Times New Roman"/>
                <w:sz w:val="20"/>
                <w:szCs w:val="20"/>
              </w:rPr>
              <w:t>399</w:t>
            </w:r>
            <w:r w:rsidR="00CD28E2" w:rsidRPr="00D56A45">
              <w:rPr>
                <w:rFonts w:ascii="Palatino Linotype" w:hAnsi="Palatino Linotype" w:cs="Times New Roman"/>
                <w:sz w:val="20"/>
                <w:szCs w:val="20"/>
              </w:rPr>
              <w:t>,</w:t>
            </w:r>
            <w:r w:rsidRPr="00D56A45">
              <w:rPr>
                <w:rFonts w:ascii="Palatino Linotype" w:hAnsi="Palatino Linotype" w:cs="Times New Roman"/>
                <w:sz w:val="20"/>
                <w:szCs w:val="20"/>
              </w:rPr>
              <w:t>630 €</w:t>
            </w:r>
          </w:p>
        </w:tc>
      </w:tr>
    </w:tbl>
    <w:p w14:paraId="6C42DE5C" w14:textId="77777777" w:rsidR="008F24C2" w:rsidRPr="00D56A45" w:rsidRDefault="00734CD5" w:rsidP="00D56A45">
      <w:pPr>
        <w:pStyle w:val="Body"/>
        <w:spacing w:before="240" w:line="480" w:lineRule="auto"/>
        <w:jc w:val="center"/>
        <w:rPr>
          <w:rFonts w:ascii="Palatino Linotype" w:hAnsi="Palatino Linotype" w:cs="Times New Roman"/>
          <w:b/>
          <w:iCs/>
          <w:sz w:val="20"/>
          <w:szCs w:val="20"/>
        </w:rPr>
      </w:pPr>
      <w:r w:rsidRPr="00D56A45">
        <w:rPr>
          <w:rFonts w:ascii="Palatino Linotype" w:hAnsi="Palatino Linotype" w:cs="Times New Roman"/>
          <w:b/>
          <w:iCs/>
          <w:sz w:val="20"/>
          <w:szCs w:val="20"/>
        </w:rPr>
        <w:t>Table 1: Legal aid funds in Croatia</w:t>
      </w:r>
      <w:r w:rsidRPr="00D56A45">
        <w:rPr>
          <w:rFonts w:ascii="Palatino Linotype" w:eastAsia="Times New Roman" w:hAnsi="Palatino Linotype" w:cs="Times New Roman"/>
          <w:b/>
          <w:iCs/>
          <w:sz w:val="20"/>
          <w:szCs w:val="20"/>
          <w:vertAlign w:val="superscript"/>
        </w:rPr>
        <w:footnoteReference w:id="83"/>
      </w:r>
    </w:p>
    <w:p w14:paraId="5C5954CC" w14:textId="169D688E" w:rsidR="008F24C2" w:rsidRPr="00D82F02" w:rsidRDefault="00D56A45" w:rsidP="00D82F02">
      <w:pPr>
        <w:pStyle w:val="Body"/>
        <w:spacing w:line="480" w:lineRule="auto"/>
        <w:jc w:val="both"/>
        <w:rPr>
          <w:rFonts w:ascii="Palatino Linotype" w:hAnsi="Palatino Linotype" w:cs="Times New Roman"/>
          <w:sz w:val="24"/>
          <w:szCs w:val="24"/>
        </w:rPr>
      </w:pPr>
      <w:r w:rsidRPr="00D82F02">
        <w:rPr>
          <w:rFonts w:ascii="Palatino Linotype" w:hAnsi="Palatino Linotype" w:cs="Times New Roman"/>
          <w:sz w:val="24"/>
          <w:szCs w:val="24"/>
        </w:rPr>
        <w:t>The most important challenge is the dysfunctional financing of the legal aid system, which essentially lacks relevant willingness to commit appropriate state funds for legal aid and advice</w:t>
      </w:r>
      <w:r w:rsidRPr="00D56A45">
        <w:rPr>
          <w:rFonts w:ascii="Palatino Linotype" w:hAnsi="Palatino Linotype" w:cs="Times New Roman"/>
          <w:sz w:val="24"/>
          <w:szCs w:val="24"/>
        </w:rPr>
        <w:t xml:space="preserve">. </w:t>
      </w:r>
      <w:r w:rsidRPr="00D56A45">
        <w:rPr>
          <w:rFonts w:ascii="Palatino Linotype" w:hAnsi="Palatino Linotype" w:cs="Times New Roman"/>
          <w:iCs/>
          <w:sz w:val="24"/>
          <w:szCs w:val="24"/>
        </w:rPr>
        <w:t>Table 1</w:t>
      </w:r>
      <w:r w:rsidRPr="00D82F02">
        <w:rPr>
          <w:rFonts w:ascii="Palatino Linotype" w:hAnsi="Palatino Linotype" w:cs="Times New Roman"/>
          <w:sz w:val="24"/>
          <w:szCs w:val="24"/>
        </w:rPr>
        <w:t xml:space="preserve"> clearly shows that legal advice and primary legal aid has mostly been underfunded over the years</w:t>
      </w:r>
      <w:r>
        <w:rPr>
          <w:rFonts w:ascii="Palatino Linotype" w:hAnsi="Palatino Linotype" w:cs="Times New Roman"/>
          <w:sz w:val="24"/>
          <w:szCs w:val="24"/>
        </w:rPr>
        <w:t xml:space="preserve">. </w:t>
      </w:r>
      <w:r w:rsidR="00734CD5" w:rsidRPr="00D82F02">
        <w:rPr>
          <w:rFonts w:ascii="Palatino Linotype" w:eastAsia="Times New Roman" w:hAnsi="Palatino Linotype" w:cs="Times New Roman"/>
          <w:sz w:val="24"/>
          <w:szCs w:val="24"/>
        </w:rPr>
        <w:t>As these funds, reserved for primary legal aid, are almost non-existent, the sustainability of some clinical activities, such as mobile clinics, depend on the ability to find another way of funding. In the light of the economic crisis, there is no</w:t>
      </w:r>
      <w:r w:rsidR="004E6370" w:rsidRPr="00D82F02">
        <w:rPr>
          <w:rFonts w:ascii="Palatino Linotype" w:eastAsia="Times New Roman" w:hAnsi="Palatino Linotype" w:cs="Times New Roman"/>
          <w:sz w:val="24"/>
          <w:szCs w:val="24"/>
        </w:rPr>
        <w:t xml:space="preserve"> real</w:t>
      </w:r>
      <w:r w:rsidR="00734CD5" w:rsidRPr="00D82F02">
        <w:rPr>
          <w:rFonts w:ascii="Palatino Linotype" w:eastAsia="Times New Roman" w:hAnsi="Palatino Linotype" w:cs="Times New Roman"/>
          <w:sz w:val="24"/>
          <w:szCs w:val="24"/>
        </w:rPr>
        <w:t xml:space="preserve"> state willingness to commit appropriate funds that would improve quality of access to justice and improve practical education for law students. The maximum budget that may be granted to the Law Clinic in 2016 according to the public tender (app. 10</w:t>
      </w:r>
      <w:r w:rsidR="00CD28E2" w:rsidRPr="00D82F02">
        <w:rPr>
          <w:rFonts w:ascii="Palatino Linotype" w:eastAsia="Times New Roman" w:hAnsi="Palatino Linotype" w:cs="Times New Roman"/>
          <w:sz w:val="24"/>
          <w:szCs w:val="24"/>
        </w:rPr>
        <w:t>,</w:t>
      </w:r>
      <w:r w:rsidR="00734CD5" w:rsidRPr="00D82F02">
        <w:rPr>
          <w:rFonts w:ascii="Palatino Linotype" w:eastAsia="Times New Roman" w:hAnsi="Palatino Linotype" w:cs="Times New Roman"/>
          <w:sz w:val="24"/>
          <w:szCs w:val="24"/>
        </w:rPr>
        <w:t xml:space="preserve">000 </w:t>
      </w:r>
      <w:r w:rsidR="00734CD5" w:rsidRPr="00D82F02">
        <w:rPr>
          <w:rFonts w:ascii="Palatino Linotype" w:hAnsi="Palatino Linotype" w:cs="Times New Roman"/>
          <w:sz w:val="24"/>
          <w:szCs w:val="24"/>
        </w:rPr>
        <w:t xml:space="preserve">€) will be sufficient to finance </w:t>
      </w:r>
      <w:r w:rsidR="00AC3FED" w:rsidRPr="00D82F02">
        <w:rPr>
          <w:rFonts w:ascii="Palatino Linotype" w:hAnsi="Palatino Linotype" w:cs="Times New Roman"/>
          <w:sz w:val="24"/>
          <w:szCs w:val="24"/>
        </w:rPr>
        <w:t>less than 30</w:t>
      </w:r>
      <w:r w:rsidR="00734CD5" w:rsidRPr="00D82F02">
        <w:rPr>
          <w:rFonts w:ascii="Palatino Linotype" w:hAnsi="Palatino Linotype" w:cs="Times New Roman"/>
          <w:sz w:val="24"/>
          <w:szCs w:val="24"/>
        </w:rPr>
        <w:t xml:space="preserve">% of its real needs. </w:t>
      </w:r>
      <w:r w:rsidR="00064F47" w:rsidRPr="00D82F02">
        <w:rPr>
          <w:rFonts w:ascii="Palatino Linotype" w:hAnsi="Palatino Linotype" w:cs="Times New Roman"/>
          <w:sz w:val="24"/>
          <w:szCs w:val="24"/>
        </w:rPr>
        <w:t xml:space="preserve">The </w:t>
      </w:r>
      <w:r w:rsidR="001F5CCD" w:rsidRPr="00D82F02">
        <w:rPr>
          <w:rFonts w:ascii="Palatino Linotype" w:hAnsi="Palatino Linotype" w:cs="Times New Roman"/>
          <w:sz w:val="24"/>
          <w:szCs w:val="24"/>
        </w:rPr>
        <w:t xml:space="preserve">approximate </w:t>
      </w:r>
      <w:r w:rsidR="00064F47" w:rsidRPr="00D82F02">
        <w:rPr>
          <w:rFonts w:ascii="Palatino Linotype" w:hAnsi="Palatino Linotype" w:cs="Times New Roman"/>
          <w:sz w:val="24"/>
          <w:szCs w:val="24"/>
        </w:rPr>
        <w:t>costs of running the Law C</w:t>
      </w:r>
      <w:r w:rsidR="001F5CCD" w:rsidRPr="00D82F02">
        <w:rPr>
          <w:rFonts w:ascii="Palatino Linotype" w:hAnsi="Palatino Linotype" w:cs="Times New Roman"/>
          <w:sz w:val="24"/>
          <w:szCs w:val="24"/>
        </w:rPr>
        <w:t>linic</w:t>
      </w:r>
      <w:r w:rsidR="0065793D" w:rsidRPr="00D82F02">
        <w:rPr>
          <w:rStyle w:val="FootnoteReference"/>
          <w:rFonts w:ascii="Palatino Linotype" w:hAnsi="Palatino Linotype" w:cs="Times New Roman"/>
          <w:sz w:val="24"/>
          <w:szCs w:val="24"/>
        </w:rPr>
        <w:footnoteReference w:id="84"/>
      </w:r>
      <w:r w:rsidR="00064F47" w:rsidRPr="00D82F02">
        <w:rPr>
          <w:rFonts w:ascii="Palatino Linotype" w:hAnsi="Palatino Linotype" w:cs="Times New Roman"/>
          <w:sz w:val="24"/>
          <w:szCs w:val="24"/>
        </w:rPr>
        <w:t xml:space="preserve"> are shown in </w:t>
      </w:r>
      <w:r w:rsidR="001F5CCD" w:rsidRPr="00D82F02">
        <w:rPr>
          <w:rFonts w:ascii="Palatino Linotype" w:hAnsi="Palatino Linotype" w:cs="Times New Roman"/>
          <w:i/>
          <w:sz w:val="24"/>
          <w:szCs w:val="24"/>
        </w:rPr>
        <w:t>T</w:t>
      </w:r>
      <w:r w:rsidR="00064F47" w:rsidRPr="00D82F02">
        <w:rPr>
          <w:rFonts w:ascii="Palatino Linotype" w:hAnsi="Palatino Linotype" w:cs="Times New Roman"/>
          <w:i/>
          <w:sz w:val="24"/>
          <w:szCs w:val="24"/>
        </w:rPr>
        <w:t>able</w:t>
      </w:r>
      <w:r w:rsidR="001F5CCD" w:rsidRPr="00D82F02">
        <w:rPr>
          <w:rFonts w:ascii="Palatino Linotype" w:hAnsi="Palatino Linotype" w:cs="Times New Roman"/>
          <w:i/>
          <w:sz w:val="24"/>
          <w:szCs w:val="24"/>
        </w:rPr>
        <w:t xml:space="preserve"> 2</w:t>
      </w:r>
      <w:r w:rsidR="00064F47" w:rsidRPr="00D82F02">
        <w:rPr>
          <w:rFonts w:ascii="Palatino Linotype" w:hAnsi="Palatino Linotype" w:cs="Times New Roman"/>
          <w:sz w:val="24"/>
          <w:szCs w:val="24"/>
        </w:rPr>
        <w:t>:</w:t>
      </w:r>
    </w:p>
    <w:tbl>
      <w:tblPr>
        <w:tblW w:w="890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0"/>
        <w:gridCol w:w="6505"/>
        <w:gridCol w:w="1684"/>
      </w:tblGrid>
      <w:tr w:rsidR="00A01CF8" w:rsidRPr="00D82F02" w14:paraId="73FEDDB8" w14:textId="77777777" w:rsidTr="00D56A45">
        <w:trPr>
          <w:trHeight w:val="28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7234A3B5" w14:textId="77777777" w:rsidR="00A01CF8" w:rsidRPr="00D56A45" w:rsidRDefault="00A01CF8" w:rsidP="00D82F02">
            <w:pPr>
              <w:spacing w:line="480" w:lineRule="auto"/>
              <w:jc w:val="both"/>
              <w:rPr>
                <w:rFonts w:ascii="Palatino Linotype" w:hAnsi="Palatino Linotype"/>
                <w:b/>
                <w:sz w:val="20"/>
                <w:lang w:val="en-GB"/>
              </w:rPr>
            </w:pP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E73388" w14:textId="4579F18E" w:rsidR="00A01CF8" w:rsidRPr="00D56A45" w:rsidRDefault="00A01CF8" w:rsidP="00D82F02">
            <w:pPr>
              <w:spacing w:line="480" w:lineRule="auto"/>
              <w:jc w:val="both"/>
              <w:rPr>
                <w:rFonts w:ascii="Palatino Linotype" w:hAnsi="Palatino Linotype"/>
                <w:b/>
                <w:sz w:val="20"/>
                <w:lang w:val="en-GB"/>
              </w:rPr>
            </w:pPr>
            <w:r w:rsidRPr="00D56A45">
              <w:rPr>
                <w:rFonts w:ascii="Palatino Linotype" w:hAnsi="Palatino Linotype"/>
                <w:b/>
                <w:sz w:val="20"/>
                <w:lang w:val="en-GB"/>
              </w:rPr>
              <w:t>Expenses (per year)</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B0C193" w14:textId="09E63EA1" w:rsidR="00A01CF8" w:rsidRPr="00D56A45" w:rsidRDefault="00A01CF8" w:rsidP="00D56A45">
            <w:pPr>
              <w:pStyle w:val="Body"/>
              <w:spacing w:before="0" w:after="0" w:line="276" w:lineRule="auto"/>
              <w:jc w:val="both"/>
              <w:rPr>
                <w:rFonts w:ascii="Palatino Linotype" w:hAnsi="Palatino Linotype" w:cs="Times New Roman"/>
                <w:b/>
                <w:sz w:val="20"/>
                <w:szCs w:val="24"/>
              </w:rPr>
            </w:pPr>
            <w:r w:rsidRPr="00D56A45">
              <w:rPr>
                <w:rFonts w:ascii="Palatino Linotype" w:hAnsi="Palatino Linotype" w:cs="Times New Roman"/>
                <w:b/>
                <w:sz w:val="20"/>
                <w:szCs w:val="24"/>
              </w:rPr>
              <w:t>Approximate amount in EUR</w:t>
            </w:r>
          </w:p>
        </w:tc>
      </w:tr>
      <w:tr w:rsidR="00A01CF8" w:rsidRPr="00D82F02" w14:paraId="2E82AAD0" w14:textId="77777777" w:rsidTr="00D56A45">
        <w:trPr>
          <w:trHeight w:val="80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10F5D32B" w14:textId="3D15941B" w:rsidR="00A01CF8" w:rsidRPr="00D56A45" w:rsidRDefault="00A01CF8" w:rsidP="00D82F02">
            <w:pPr>
              <w:pStyle w:val="Body"/>
              <w:spacing w:before="0" w:after="0" w:line="480" w:lineRule="auto"/>
              <w:jc w:val="both"/>
              <w:rPr>
                <w:rFonts w:ascii="Palatino Linotype" w:hAnsi="Palatino Linotype" w:cs="Times New Roman"/>
                <w:sz w:val="20"/>
                <w:szCs w:val="24"/>
              </w:rPr>
            </w:pPr>
            <w:r w:rsidRPr="00D56A45">
              <w:rPr>
                <w:rFonts w:ascii="Palatino Linotype" w:hAnsi="Palatino Linotype" w:cs="Times New Roman"/>
                <w:sz w:val="20"/>
                <w:szCs w:val="24"/>
              </w:rPr>
              <w:t>1.</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28CE88" w14:textId="68794FC3" w:rsidR="00A01CF8" w:rsidRPr="00D56A45" w:rsidRDefault="00A01CF8" w:rsidP="00D56A45">
            <w:pPr>
              <w:pStyle w:val="Body"/>
              <w:spacing w:before="0" w:after="0" w:line="276" w:lineRule="auto"/>
              <w:jc w:val="both"/>
              <w:rPr>
                <w:rFonts w:ascii="Palatino Linotype" w:hAnsi="Palatino Linotype" w:cs="Times New Roman"/>
                <w:sz w:val="20"/>
                <w:szCs w:val="24"/>
              </w:rPr>
            </w:pPr>
            <w:r w:rsidRPr="00D56A45">
              <w:rPr>
                <w:rFonts w:ascii="Palatino Linotype" w:hAnsi="Palatino Linotype" w:cs="Times New Roman"/>
                <w:sz w:val="20"/>
                <w:szCs w:val="24"/>
              </w:rPr>
              <w:t>Organisation of outreach projects</w:t>
            </w:r>
          </w:p>
          <w:p w14:paraId="7B3FA834" w14:textId="77777777" w:rsidR="00A01CF8" w:rsidRPr="00D56A45" w:rsidRDefault="00A01CF8" w:rsidP="00D56A45">
            <w:pPr>
              <w:pStyle w:val="Body"/>
              <w:spacing w:before="0" w:after="0" w:line="276" w:lineRule="auto"/>
              <w:jc w:val="both"/>
              <w:rPr>
                <w:rFonts w:ascii="Palatino Linotype" w:hAnsi="Palatino Linotype" w:cs="Times New Roman"/>
                <w:sz w:val="20"/>
                <w:szCs w:val="24"/>
              </w:rPr>
            </w:pPr>
            <w:r w:rsidRPr="00D56A45">
              <w:rPr>
                <w:rFonts w:ascii="Palatino Linotype" w:hAnsi="Palatino Linotype" w:cs="Times New Roman"/>
                <w:sz w:val="20"/>
                <w:szCs w:val="24"/>
              </w:rPr>
              <w:t>- travel and sustenance costs for students</w:t>
            </w:r>
          </w:p>
          <w:p w14:paraId="138CDA53" w14:textId="6CB7A94A" w:rsidR="00A01CF8" w:rsidRPr="00D56A45" w:rsidRDefault="00A01CF8" w:rsidP="00D56A45">
            <w:pPr>
              <w:pStyle w:val="Body"/>
              <w:spacing w:before="0" w:after="0" w:line="276" w:lineRule="auto"/>
              <w:jc w:val="both"/>
              <w:rPr>
                <w:rFonts w:ascii="Palatino Linotype" w:hAnsi="Palatino Linotype" w:cs="Times New Roman"/>
                <w:sz w:val="20"/>
                <w:szCs w:val="24"/>
              </w:rPr>
            </w:pPr>
            <w:r w:rsidRPr="00D56A45">
              <w:rPr>
                <w:rFonts w:ascii="Palatino Linotype" w:hAnsi="Palatino Linotype" w:cs="Times New Roman"/>
                <w:sz w:val="20"/>
                <w:szCs w:val="24"/>
              </w:rPr>
              <w:t>- coordination</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06D02" w14:textId="5B9AD192" w:rsidR="00A01CF8" w:rsidRPr="00D56A45" w:rsidRDefault="00A01CF8" w:rsidP="00D56A45">
            <w:pPr>
              <w:pStyle w:val="Body"/>
              <w:spacing w:before="0" w:after="0" w:line="480" w:lineRule="auto"/>
              <w:jc w:val="right"/>
              <w:rPr>
                <w:rFonts w:ascii="Palatino Linotype" w:hAnsi="Palatino Linotype" w:cs="Times New Roman"/>
                <w:sz w:val="20"/>
                <w:szCs w:val="24"/>
              </w:rPr>
            </w:pPr>
            <w:r w:rsidRPr="00D56A45">
              <w:rPr>
                <w:rFonts w:ascii="Palatino Linotype" w:hAnsi="Palatino Linotype" w:cs="Times New Roman"/>
                <w:sz w:val="20"/>
                <w:szCs w:val="24"/>
              </w:rPr>
              <w:t>11</w:t>
            </w:r>
            <w:r w:rsidR="00A302E2" w:rsidRPr="00D56A45">
              <w:rPr>
                <w:rFonts w:ascii="Palatino Linotype" w:hAnsi="Palatino Linotype" w:cs="Times New Roman"/>
                <w:sz w:val="20"/>
                <w:szCs w:val="24"/>
              </w:rPr>
              <w:t>,</w:t>
            </w:r>
            <w:r w:rsidRPr="00D56A45">
              <w:rPr>
                <w:rFonts w:ascii="Palatino Linotype" w:hAnsi="Palatino Linotype" w:cs="Times New Roman"/>
                <w:sz w:val="20"/>
                <w:szCs w:val="24"/>
              </w:rPr>
              <w:t xml:space="preserve">000 </w:t>
            </w:r>
          </w:p>
        </w:tc>
      </w:tr>
      <w:tr w:rsidR="00A01CF8" w:rsidRPr="00D82F02" w14:paraId="03547945" w14:textId="77777777" w:rsidTr="00D56A45">
        <w:trPr>
          <w:trHeight w:val="423"/>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0612ACD0" w14:textId="46D42EEE" w:rsidR="00A01CF8" w:rsidRPr="00D56A45" w:rsidRDefault="00A01CF8" w:rsidP="00D82F02">
            <w:pPr>
              <w:pStyle w:val="Body"/>
              <w:spacing w:before="0" w:after="0" w:line="480" w:lineRule="auto"/>
              <w:jc w:val="both"/>
              <w:rPr>
                <w:rFonts w:ascii="Palatino Linotype" w:hAnsi="Palatino Linotype" w:cs="Times New Roman"/>
                <w:sz w:val="20"/>
                <w:szCs w:val="24"/>
              </w:rPr>
            </w:pPr>
            <w:r w:rsidRPr="00D56A45">
              <w:rPr>
                <w:rFonts w:ascii="Palatino Linotype" w:hAnsi="Palatino Linotype" w:cs="Times New Roman"/>
                <w:sz w:val="20"/>
                <w:szCs w:val="24"/>
              </w:rPr>
              <w:t>2.</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DFB32B" w14:textId="41B2DE9B" w:rsidR="00A01CF8" w:rsidRPr="00D56A45" w:rsidRDefault="00A01CF8" w:rsidP="00D56A45">
            <w:pPr>
              <w:pStyle w:val="Body"/>
              <w:spacing w:before="0" w:after="0" w:line="276" w:lineRule="auto"/>
              <w:jc w:val="both"/>
              <w:rPr>
                <w:rFonts w:ascii="Palatino Linotype" w:hAnsi="Palatino Linotype" w:cs="Times New Roman"/>
                <w:sz w:val="20"/>
                <w:szCs w:val="24"/>
              </w:rPr>
            </w:pPr>
            <w:r w:rsidRPr="00D56A45">
              <w:rPr>
                <w:rFonts w:ascii="Palatino Linotype" w:hAnsi="Palatino Linotype" w:cs="Times New Roman"/>
                <w:sz w:val="20"/>
                <w:szCs w:val="24"/>
              </w:rPr>
              <w:t>Administration of the work of the Law Clinic</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E96F02" w14:textId="489ED940" w:rsidR="00A01CF8" w:rsidRPr="00D56A45" w:rsidRDefault="00A01CF8" w:rsidP="00D56A45">
            <w:pPr>
              <w:pStyle w:val="Body"/>
              <w:spacing w:before="0" w:after="0" w:line="480" w:lineRule="auto"/>
              <w:jc w:val="right"/>
              <w:rPr>
                <w:rFonts w:ascii="Palatino Linotype" w:hAnsi="Palatino Linotype" w:cs="Times New Roman"/>
                <w:sz w:val="20"/>
                <w:szCs w:val="24"/>
              </w:rPr>
            </w:pPr>
            <w:r w:rsidRPr="00D56A45">
              <w:rPr>
                <w:rFonts w:ascii="Palatino Linotype" w:hAnsi="Palatino Linotype" w:cs="Times New Roman"/>
                <w:sz w:val="20"/>
                <w:szCs w:val="24"/>
              </w:rPr>
              <w:t>10</w:t>
            </w:r>
            <w:r w:rsidR="00A302E2" w:rsidRPr="00D56A45">
              <w:rPr>
                <w:rFonts w:ascii="Palatino Linotype" w:hAnsi="Palatino Linotype" w:cs="Times New Roman"/>
                <w:sz w:val="20"/>
                <w:szCs w:val="24"/>
              </w:rPr>
              <w:t>,</w:t>
            </w:r>
            <w:r w:rsidRPr="00D56A45">
              <w:rPr>
                <w:rFonts w:ascii="Palatino Linotype" w:hAnsi="Palatino Linotype" w:cs="Times New Roman"/>
                <w:sz w:val="20"/>
                <w:szCs w:val="24"/>
              </w:rPr>
              <w:t xml:space="preserve">000 </w:t>
            </w:r>
          </w:p>
        </w:tc>
      </w:tr>
      <w:tr w:rsidR="00A01CF8" w:rsidRPr="00D82F02" w14:paraId="6CB88100" w14:textId="77777777" w:rsidTr="00D56A45">
        <w:trPr>
          <w:trHeight w:val="108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615B222C" w14:textId="0541B688" w:rsidR="00A01CF8" w:rsidRPr="00D56A45" w:rsidRDefault="00A01CF8" w:rsidP="00D82F02">
            <w:pPr>
              <w:pStyle w:val="Body"/>
              <w:spacing w:before="0" w:after="0" w:line="480" w:lineRule="auto"/>
              <w:jc w:val="both"/>
              <w:rPr>
                <w:rFonts w:ascii="Palatino Linotype" w:hAnsi="Palatino Linotype" w:cs="Times New Roman"/>
                <w:sz w:val="20"/>
                <w:szCs w:val="24"/>
              </w:rPr>
            </w:pPr>
            <w:r w:rsidRPr="00D56A45">
              <w:rPr>
                <w:rFonts w:ascii="Palatino Linotype" w:hAnsi="Palatino Linotype" w:cs="Times New Roman"/>
                <w:sz w:val="20"/>
                <w:szCs w:val="24"/>
              </w:rPr>
              <w:t>3.</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B68589" w14:textId="157C6C80" w:rsidR="00A01CF8" w:rsidRPr="00D56A45" w:rsidRDefault="00A01CF8" w:rsidP="00D56A45">
            <w:pPr>
              <w:pStyle w:val="Body"/>
              <w:spacing w:before="0" w:after="0" w:line="276" w:lineRule="auto"/>
              <w:jc w:val="both"/>
              <w:rPr>
                <w:rFonts w:ascii="Palatino Linotype" w:hAnsi="Palatino Linotype" w:cs="Times New Roman"/>
                <w:sz w:val="20"/>
                <w:szCs w:val="24"/>
              </w:rPr>
            </w:pPr>
            <w:r w:rsidRPr="00D56A45">
              <w:rPr>
                <w:rFonts w:ascii="Palatino Linotype" w:hAnsi="Palatino Linotype" w:cs="Times New Roman"/>
                <w:sz w:val="20"/>
                <w:szCs w:val="24"/>
              </w:rPr>
              <w:t>Office costs</w:t>
            </w:r>
          </w:p>
          <w:p w14:paraId="6F1A2E12" w14:textId="77777777" w:rsidR="00A01CF8" w:rsidRPr="00D56A45" w:rsidRDefault="00A01CF8" w:rsidP="00D56A45">
            <w:pPr>
              <w:pStyle w:val="Body"/>
              <w:spacing w:before="0" w:after="0" w:line="276" w:lineRule="auto"/>
              <w:jc w:val="both"/>
              <w:rPr>
                <w:rFonts w:ascii="Palatino Linotype" w:hAnsi="Palatino Linotype" w:cs="Times New Roman"/>
                <w:sz w:val="20"/>
                <w:szCs w:val="24"/>
              </w:rPr>
            </w:pPr>
            <w:r w:rsidRPr="00D56A45">
              <w:rPr>
                <w:rFonts w:ascii="Palatino Linotype" w:hAnsi="Palatino Linotype" w:cs="Times New Roman"/>
                <w:sz w:val="20"/>
                <w:szCs w:val="24"/>
              </w:rPr>
              <w:t>- monthly rent</w:t>
            </w:r>
          </w:p>
          <w:p w14:paraId="5A6B04FD" w14:textId="77777777" w:rsidR="00A01CF8" w:rsidRPr="00D56A45" w:rsidRDefault="00A01CF8" w:rsidP="00D56A45">
            <w:pPr>
              <w:pStyle w:val="Body"/>
              <w:spacing w:before="0" w:after="0" w:line="276" w:lineRule="auto"/>
              <w:jc w:val="both"/>
              <w:rPr>
                <w:rFonts w:ascii="Palatino Linotype" w:hAnsi="Palatino Linotype" w:cs="Times New Roman"/>
                <w:sz w:val="20"/>
                <w:szCs w:val="24"/>
              </w:rPr>
            </w:pPr>
            <w:r w:rsidRPr="00D56A45">
              <w:rPr>
                <w:rFonts w:ascii="Palatino Linotype" w:hAnsi="Palatino Linotype" w:cs="Times New Roman"/>
                <w:sz w:val="20"/>
                <w:szCs w:val="24"/>
              </w:rPr>
              <w:t>- utilities costs</w:t>
            </w:r>
          </w:p>
          <w:p w14:paraId="08C2D4A6" w14:textId="65B72A74" w:rsidR="00A01CF8" w:rsidRPr="00D56A45" w:rsidRDefault="00A01CF8" w:rsidP="00D56A45">
            <w:pPr>
              <w:pStyle w:val="Body"/>
              <w:spacing w:before="0" w:after="0" w:line="276" w:lineRule="auto"/>
              <w:jc w:val="both"/>
              <w:rPr>
                <w:rFonts w:ascii="Palatino Linotype" w:hAnsi="Palatino Linotype" w:cs="Times New Roman"/>
                <w:sz w:val="20"/>
                <w:szCs w:val="24"/>
              </w:rPr>
            </w:pPr>
            <w:r w:rsidRPr="00D56A45">
              <w:rPr>
                <w:rFonts w:ascii="Palatino Linotype" w:hAnsi="Palatino Linotype" w:cs="Times New Roman"/>
                <w:sz w:val="20"/>
                <w:szCs w:val="24"/>
              </w:rPr>
              <w:t>- office supplies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6487BF" w14:textId="7B631593" w:rsidR="00A01CF8" w:rsidRPr="00D56A45" w:rsidRDefault="00A01CF8" w:rsidP="00D56A45">
            <w:pPr>
              <w:pStyle w:val="Body"/>
              <w:spacing w:before="0" w:after="0" w:line="480" w:lineRule="auto"/>
              <w:jc w:val="right"/>
              <w:rPr>
                <w:rFonts w:ascii="Palatino Linotype" w:hAnsi="Palatino Linotype" w:cs="Times New Roman"/>
                <w:sz w:val="20"/>
                <w:szCs w:val="24"/>
              </w:rPr>
            </w:pPr>
            <w:r w:rsidRPr="00D56A45">
              <w:rPr>
                <w:rFonts w:ascii="Palatino Linotype" w:hAnsi="Palatino Linotype" w:cs="Times New Roman"/>
                <w:sz w:val="20"/>
                <w:szCs w:val="24"/>
              </w:rPr>
              <w:t>10</w:t>
            </w:r>
            <w:r w:rsidR="00A302E2" w:rsidRPr="00D56A45">
              <w:rPr>
                <w:rFonts w:ascii="Palatino Linotype" w:hAnsi="Palatino Linotype" w:cs="Times New Roman"/>
                <w:sz w:val="20"/>
                <w:szCs w:val="24"/>
              </w:rPr>
              <w:t>,</w:t>
            </w:r>
            <w:r w:rsidRPr="00D56A45">
              <w:rPr>
                <w:rFonts w:ascii="Palatino Linotype" w:hAnsi="Palatino Linotype" w:cs="Times New Roman"/>
                <w:sz w:val="20"/>
                <w:szCs w:val="24"/>
              </w:rPr>
              <w:t xml:space="preserve">000 </w:t>
            </w:r>
          </w:p>
        </w:tc>
      </w:tr>
      <w:tr w:rsidR="00A01CF8" w:rsidRPr="00D82F02" w14:paraId="711CD6E2" w14:textId="77777777" w:rsidTr="00D56A45">
        <w:trPr>
          <w:trHeight w:val="1008"/>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6A6DD20A" w14:textId="09C5F344" w:rsidR="00A01CF8" w:rsidRPr="00D56A45" w:rsidRDefault="00A01CF8" w:rsidP="00D82F02">
            <w:pPr>
              <w:pStyle w:val="Body"/>
              <w:spacing w:before="0" w:after="0" w:line="480" w:lineRule="auto"/>
              <w:jc w:val="both"/>
              <w:rPr>
                <w:rFonts w:ascii="Palatino Linotype" w:hAnsi="Palatino Linotype" w:cs="Times New Roman"/>
                <w:sz w:val="20"/>
                <w:szCs w:val="24"/>
              </w:rPr>
            </w:pPr>
            <w:r w:rsidRPr="00D56A45">
              <w:rPr>
                <w:rFonts w:ascii="Palatino Linotype" w:hAnsi="Palatino Linotype" w:cs="Times New Roman"/>
                <w:sz w:val="20"/>
                <w:szCs w:val="24"/>
              </w:rPr>
              <w:t>4.</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C0DD60" w14:textId="003ACA41" w:rsidR="00A01CF8" w:rsidRPr="00D56A45" w:rsidRDefault="00A01CF8" w:rsidP="00D56A45">
            <w:pPr>
              <w:pStyle w:val="Body"/>
              <w:spacing w:before="0" w:after="0" w:line="276" w:lineRule="auto"/>
              <w:jc w:val="both"/>
              <w:rPr>
                <w:rFonts w:ascii="Palatino Linotype" w:hAnsi="Palatino Linotype" w:cs="Times New Roman"/>
                <w:sz w:val="20"/>
                <w:szCs w:val="24"/>
              </w:rPr>
            </w:pPr>
            <w:r w:rsidRPr="00D56A45">
              <w:rPr>
                <w:rFonts w:ascii="Palatino Linotype" w:hAnsi="Palatino Linotype" w:cs="Times New Roman"/>
                <w:sz w:val="20"/>
                <w:szCs w:val="24"/>
              </w:rPr>
              <w:t xml:space="preserve">Publications </w:t>
            </w:r>
          </w:p>
          <w:p w14:paraId="1AF9AACE" w14:textId="77777777" w:rsidR="00A01CF8" w:rsidRPr="00D56A45" w:rsidRDefault="00A01CF8" w:rsidP="00D56A45">
            <w:pPr>
              <w:pStyle w:val="Body"/>
              <w:spacing w:before="0" w:after="0" w:line="276" w:lineRule="auto"/>
              <w:jc w:val="both"/>
              <w:rPr>
                <w:rFonts w:ascii="Palatino Linotype" w:hAnsi="Palatino Linotype" w:cs="Times New Roman"/>
                <w:sz w:val="20"/>
                <w:szCs w:val="24"/>
              </w:rPr>
            </w:pPr>
            <w:r w:rsidRPr="00D56A45">
              <w:rPr>
                <w:rFonts w:ascii="Palatino Linotype" w:hAnsi="Palatino Linotype" w:cs="Times New Roman"/>
                <w:sz w:val="20"/>
                <w:szCs w:val="24"/>
              </w:rPr>
              <w:t>- Pro bono – official newsletter</w:t>
            </w:r>
          </w:p>
          <w:p w14:paraId="771A6F48" w14:textId="77777777" w:rsidR="00A01CF8" w:rsidRPr="00D56A45" w:rsidRDefault="00A01CF8" w:rsidP="00D56A45">
            <w:pPr>
              <w:pStyle w:val="Body"/>
              <w:spacing w:before="0" w:after="0" w:line="276" w:lineRule="auto"/>
              <w:jc w:val="both"/>
              <w:rPr>
                <w:rFonts w:ascii="Palatino Linotype" w:hAnsi="Palatino Linotype" w:cs="Times New Roman"/>
                <w:sz w:val="20"/>
                <w:szCs w:val="24"/>
              </w:rPr>
            </w:pPr>
            <w:r w:rsidRPr="00D56A45">
              <w:rPr>
                <w:rFonts w:ascii="Palatino Linotype" w:hAnsi="Palatino Linotype" w:cs="Times New Roman"/>
                <w:sz w:val="20"/>
                <w:szCs w:val="24"/>
              </w:rPr>
              <w:t>- student manuals</w:t>
            </w:r>
          </w:p>
          <w:p w14:paraId="6CED9837" w14:textId="0AA07454" w:rsidR="00A01CF8" w:rsidRPr="00D56A45" w:rsidRDefault="00A01CF8" w:rsidP="00D56A45">
            <w:pPr>
              <w:pStyle w:val="Body"/>
              <w:spacing w:before="0" w:after="0" w:line="276" w:lineRule="auto"/>
              <w:jc w:val="both"/>
              <w:rPr>
                <w:rFonts w:ascii="Palatino Linotype" w:hAnsi="Palatino Linotype" w:cs="Times New Roman"/>
                <w:sz w:val="20"/>
                <w:szCs w:val="24"/>
              </w:rPr>
            </w:pPr>
            <w:r w:rsidRPr="00D56A45">
              <w:rPr>
                <w:rFonts w:ascii="Palatino Linotype" w:hAnsi="Palatino Linotype" w:cs="Times New Roman"/>
                <w:sz w:val="20"/>
                <w:szCs w:val="24"/>
              </w:rPr>
              <w:t>- advertisement</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F57881" w14:textId="587F7EBB" w:rsidR="00A01CF8" w:rsidRPr="00D56A45" w:rsidRDefault="00A01CF8" w:rsidP="00D56A45">
            <w:pPr>
              <w:pStyle w:val="Body"/>
              <w:spacing w:before="0" w:after="0" w:line="480" w:lineRule="auto"/>
              <w:jc w:val="right"/>
              <w:rPr>
                <w:rFonts w:ascii="Palatino Linotype" w:hAnsi="Palatino Linotype" w:cs="Times New Roman"/>
                <w:sz w:val="20"/>
                <w:szCs w:val="24"/>
              </w:rPr>
            </w:pPr>
            <w:r w:rsidRPr="00D56A45">
              <w:rPr>
                <w:rFonts w:ascii="Palatino Linotype" w:hAnsi="Palatino Linotype" w:cs="Times New Roman"/>
                <w:sz w:val="20"/>
                <w:szCs w:val="24"/>
              </w:rPr>
              <w:t>5</w:t>
            </w:r>
            <w:r w:rsidR="00A302E2" w:rsidRPr="00D56A45">
              <w:rPr>
                <w:rFonts w:ascii="Palatino Linotype" w:hAnsi="Palatino Linotype" w:cs="Times New Roman"/>
                <w:sz w:val="20"/>
                <w:szCs w:val="24"/>
              </w:rPr>
              <w:t>,</w:t>
            </w:r>
            <w:r w:rsidRPr="00D56A45">
              <w:rPr>
                <w:rFonts w:ascii="Palatino Linotype" w:hAnsi="Palatino Linotype" w:cs="Times New Roman"/>
                <w:sz w:val="20"/>
                <w:szCs w:val="24"/>
              </w:rPr>
              <w:t xml:space="preserve">000 </w:t>
            </w:r>
          </w:p>
        </w:tc>
      </w:tr>
      <w:tr w:rsidR="00A01CF8" w:rsidRPr="00D82F02" w14:paraId="1112E509" w14:textId="77777777" w:rsidTr="00D56A45">
        <w:trPr>
          <w:trHeight w:val="828"/>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643688D9" w14:textId="3F9409DE" w:rsidR="00A01CF8" w:rsidRPr="00D56A45" w:rsidRDefault="00A01CF8" w:rsidP="00D82F02">
            <w:pPr>
              <w:pStyle w:val="Body"/>
              <w:spacing w:before="0" w:after="0" w:line="480" w:lineRule="auto"/>
              <w:jc w:val="both"/>
              <w:rPr>
                <w:rFonts w:ascii="Palatino Linotype" w:hAnsi="Palatino Linotype" w:cs="Times New Roman"/>
                <w:sz w:val="20"/>
                <w:szCs w:val="24"/>
              </w:rPr>
            </w:pPr>
            <w:r w:rsidRPr="00D56A45">
              <w:rPr>
                <w:rFonts w:ascii="Palatino Linotype" w:hAnsi="Palatino Linotype" w:cs="Times New Roman"/>
                <w:sz w:val="20"/>
                <w:szCs w:val="24"/>
              </w:rPr>
              <w:t>5.</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924FAB" w14:textId="121FACD8" w:rsidR="00A01CF8" w:rsidRPr="00D56A45" w:rsidRDefault="00A01CF8" w:rsidP="00D56A45">
            <w:pPr>
              <w:pStyle w:val="Body"/>
              <w:spacing w:before="0" w:after="0" w:line="276" w:lineRule="auto"/>
              <w:jc w:val="both"/>
              <w:rPr>
                <w:rFonts w:ascii="Palatino Linotype" w:hAnsi="Palatino Linotype" w:cs="Times New Roman"/>
                <w:sz w:val="20"/>
                <w:szCs w:val="24"/>
              </w:rPr>
            </w:pPr>
            <w:r w:rsidRPr="00D56A45">
              <w:rPr>
                <w:rFonts w:ascii="Palatino Linotype" w:hAnsi="Palatino Linotype" w:cs="Times New Roman"/>
                <w:sz w:val="20"/>
                <w:szCs w:val="24"/>
              </w:rPr>
              <w:t>Organisation of the annual round table regarding clinical legal education in Dubrovnik (within Public and Private Justice conference, held in May/June every year)</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071DE7" w14:textId="2BCCA59B" w:rsidR="00A01CF8" w:rsidRPr="00D56A45" w:rsidRDefault="00A01CF8" w:rsidP="00D56A45">
            <w:pPr>
              <w:pStyle w:val="Body"/>
              <w:spacing w:before="0" w:after="0" w:line="480" w:lineRule="auto"/>
              <w:jc w:val="right"/>
              <w:rPr>
                <w:rFonts w:ascii="Palatino Linotype" w:hAnsi="Palatino Linotype" w:cs="Times New Roman"/>
                <w:sz w:val="20"/>
                <w:szCs w:val="24"/>
              </w:rPr>
            </w:pPr>
            <w:r w:rsidRPr="00D56A45">
              <w:rPr>
                <w:rFonts w:ascii="Palatino Linotype" w:hAnsi="Palatino Linotype" w:cs="Times New Roman"/>
                <w:sz w:val="20"/>
                <w:szCs w:val="24"/>
              </w:rPr>
              <w:t>1</w:t>
            </w:r>
            <w:r w:rsidR="00A302E2" w:rsidRPr="00D56A45">
              <w:rPr>
                <w:rFonts w:ascii="Palatino Linotype" w:hAnsi="Palatino Linotype" w:cs="Times New Roman"/>
                <w:sz w:val="20"/>
                <w:szCs w:val="24"/>
              </w:rPr>
              <w:t>,</w:t>
            </w:r>
            <w:r w:rsidRPr="00D56A45">
              <w:rPr>
                <w:rFonts w:ascii="Palatino Linotype" w:hAnsi="Palatino Linotype" w:cs="Times New Roman"/>
                <w:sz w:val="20"/>
                <w:szCs w:val="24"/>
              </w:rPr>
              <w:t xml:space="preserve">000 </w:t>
            </w:r>
          </w:p>
        </w:tc>
      </w:tr>
      <w:tr w:rsidR="00A01CF8" w:rsidRPr="00D82F02" w14:paraId="529E7548" w14:textId="77777777" w:rsidTr="00D56A45">
        <w:trPr>
          <w:trHeight w:val="297"/>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224F8952" w14:textId="789BE645" w:rsidR="00A01CF8" w:rsidRPr="00D56A45" w:rsidRDefault="00A01CF8" w:rsidP="00D82F02">
            <w:pPr>
              <w:pStyle w:val="Body"/>
              <w:spacing w:before="0" w:after="0" w:line="480" w:lineRule="auto"/>
              <w:jc w:val="both"/>
              <w:rPr>
                <w:rFonts w:ascii="Palatino Linotype" w:hAnsi="Palatino Linotype" w:cs="Times New Roman"/>
                <w:b/>
                <w:sz w:val="20"/>
                <w:szCs w:val="24"/>
              </w:rPr>
            </w:pPr>
            <w:r w:rsidRPr="00D56A45">
              <w:rPr>
                <w:rFonts w:ascii="Palatino Linotype" w:hAnsi="Palatino Linotype" w:cs="Times New Roman"/>
                <w:b/>
                <w:sz w:val="20"/>
                <w:szCs w:val="24"/>
              </w:rPr>
              <w:t>#</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DA9524" w14:textId="1B2CD762" w:rsidR="00A01CF8" w:rsidRPr="00D56A45" w:rsidRDefault="00A01CF8" w:rsidP="00D82F02">
            <w:pPr>
              <w:pStyle w:val="Body"/>
              <w:spacing w:before="0" w:after="0" w:line="480" w:lineRule="auto"/>
              <w:jc w:val="both"/>
              <w:rPr>
                <w:rFonts w:ascii="Palatino Linotype" w:hAnsi="Palatino Linotype" w:cs="Times New Roman"/>
                <w:b/>
                <w:sz w:val="20"/>
                <w:szCs w:val="24"/>
              </w:rPr>
            </w:pPr>
            <w:r w:rsidRPr="00D56A45">
              <w:rPr>
                <w:rFonts w:ascii="Palatino Linotype" w:hAnsi="Palatino Linotype" w:cs="Times New Roman"/>
                <w:b/>
                <w:sz w:val="20"/>
                <w:szCs w:val="24"/>
              </w:rPr>
              <w:t>TOTAL COSTS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986D1A" w14:textId="664578BE" w:rsidR="00A01CF8" w:rsidRPr="00D56A45" w:rsidRDefault="00A01CF8" w:rsidP="00D56A45">
            <w:pPr>
              <w:pStyle w:val="Body"/>
              <w:spacing w:before="0" w:after="0" w:line="480" w:lineRule="auto"/>
              <w:jc w:val="right"/>
              <w:rPr>
                <w:rFonts w:ascii="Palatino Linotype" w:hAnsi="Palatino Linotype" w:cs="Times New Roman"/>
                <w:b/>
                <w:sz w:val="20"/>
                <w:szCs w:val="24"/>
              </w:rPr>
            </w:pPr>
            <w:r w:rsidRPr="00D56A45">
              <w:rPr>
                <w:rFonts w:ascii="Palatino Linotype" w:hAnsi="Palatino Linotype" w:cs="Times New Roman"/>
                <w:b/>
                <w:sz w:val="20"/>
                <w:szCs w:val="24"/>
              </w:rPr>
              <w:t>37</w:t>
            </w:r>
            <w:r w:rsidR="00A302E2" w:rsidRPr="00D56A45">
              <w:rPr>
                <w:rFonts w:ascii="Palatino Linotype" w:hAnsi="Palatino Linotype" w:cs="Times New Roman"/>
                <w:b/>
                <w:sz w:val="20"/>
                <w:szCs w:val="24"/>
              </w:rPr>
              <w:t>,</w:t>
            </w:r>
            <w:r w:rsidRPr="00D56A45">
              <w:rPr>
                <w:rFonts w:ascii="Palatino Linotype" w:hAnsi="Palatino Linotype" w:cs="Times New Roman"/>
                <w:b/>
                <w:sz w:val="20"/>
                <w:szCs w:val="24"/>
              </w:rPr>
              <w:t xml:space="preserve">000 </w:t>
            </w:r>
          </w:p>
        </w:tc>
      </w:tr>
    </w:tbl>
    <w:p w14:paraId="6D2222A5" w14:textId="47F0FCBD" w:rsidR="00064F47" w:rsidRPr="00D56A45" w:rsidRDefault="001F5CCD" w:rsidP="00D56A45">
      <w:pPr>
        <w:pStyle w:val="Body"/>
        <w:spacing w:before="240" w:line="480" w:lineRule="auto"/>
        <w:jc w:val="center"/>
        <w:rPr>
          <w:rFonts w:ascii="Palatino Linotype" w:hAnsi="Palatino Linotype" w:cs="Times New Roman"/>
          <w:b/>
          <w:sz w:val="20"/>
          <w:szCs w:val="20"/>
        </w:rPr>
      </w:pPr>
      <w:r w:rsidRPr="00D56A45">
        <w:rPr>
          <w:rFonts w:ascii="Palatino Linotype" w:hAnsi="Palatino Linotype" w:cs="Times New Roman"/>
          <w:b/>
          <w:sz w:val="20"/>
          <w:szCs w:val="20"/>
        </w:rPr>
        <w:t>Table 2</w:t>
      </w:r>
      <w:r w:rsidR="00A01CF8" w:rsidRPr="00D56A45">
        <w:rPr>
          <w:rFonts w:ascii="Palatino Linotype" w:hAnsi="Palatino Linotype" w:cs="Times New Roman"/>
          <w:b/>
          <w:sz w:val="20"/>
          <w:szCs w:val="20"/>
        </w:rPr>
        <w:t>: The approximation of costs for running the Law Clinic</w:t>
      </w:r>
    </w:p>
    <w:p w14:paraId="51712BF7" w14:textId="6DC84D1E" w:rsidR="00A01CF8" w:rsidRPr="00D82F02" w:rsidRDefault="00883CB3" w:rsidP="00D82F02">
      <w:pPr>
        <w:pStyle w:val="Body"/>
        <w:spacing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If the Law Clinic wishes to maintain its goal</w:t>
      </w:r>
      <w:r w:rsidR="00A302E2" w:rsidRPr="00D82F02">
        <w:rPr>
          <w:rFonts w:ascii="Palatino Linotype" w:eastAsia="Times New Roman" w:hAnsi="Palatino Linotype" w:cs="Times New Roman"/>
          <w:sz w:val="24"/>
          <w:szCs w:val="24"/>
        </w:rPr>
        <w:t>,</w:t>
      </w:r>
      <w:r w:rsidRPr="00D82F02">
        <w:rPr>
          <w:rFonts w:ascii="Palatino Linotype" w:eastAsia="Times New Roman" w:hAnsi="Palatino Linotype" w:cs="Times New Roman"/>
          <w:sz w:val="24"/>
          <w:szCs w:val="24"/>
        </w:rPr>
        <w:t xml:space="preserve"> to enable as many citizen</w:t>
      </w:r>
      <w:r w:rsidR="00A302E2" w:rsidRPr="00D82F02">
        <w:rPr>
          <w:rFonts w:ascii="Palatino Linotype" w:eastAsia="Times New Roman" w:hAnsi="Palatino Linotype" w:cs="Times New Roman"/>
          <w:sz w:val="24"/>
          <w:szCs w:val="24"/>
        </w:rPr>
        <w:t>s</w:t>
      </w:r>
      <w:r w:rsidRPr="00D82F02">
        <w:rPr>
          <w:rFonts w:ascii="Palatino Linotype" w:eastAsia="Times New Roman" w:hAnsi="Palatino Linotype" w:cs="Times New Roman"/>
          <w:sz w:val="24"/>
          <w:szCs w:val="24"/>
        </w:rPr>
        <w:t xml:space="preserve"> </w:t>
      </w:r>
      <w:r w:rsidR="00A302E2" w:rsidRPr="00D82F02">
        <w:rPr>
          <w:rFonts w:ascii="Palatino Linotype" w:eastAsia="Times New Roman" w:hAnsi="Palatino Linotype" w:cs="Times New Roman"/>
          <w:sz w:val="24"/>
          <w:szCs w:val="24"/>
        </w:rPr>
        <w:t xml:space="preserve">to </w:t>
      </w:r>
      <w:r w:rsidR="00995E3A" w:rsidRPr="00D82F02">
        <w:rPr>
          <w:rFonts w:ascii="Palatino Linotype" w:eastAsia="Times New Roman" w:hAnsi="Palatino Linotype" w:cs="Times New Roman"/>
          <w:sz w:val="24"/>
          <w:szCs w:val="24"/>
        </w:rPr>
        <w:t>access to justice</w:t>
      </w:r>
      <w:r w:rsidR="00AC3FED" w:rsidRPr="00D82F02">
        <w:rPr>
          <w:rFonts w:ascii="Palatino Linotype" w:eastAsia="Times New Roman" w:hAnsi="Palatino Linotype" w:cs="Times New Roman"/>
          <w:sz w:val="24"/>
          <w:szCs w:val="24"/>
        </w:rPr>
        <w:t xml:space="preserve"> as possible</w:t>
      </w:r>
      <w:r w:rsidR="00995E3A" w:rsidRPr="00D82F02">
        <w:rPr>
          <w:rFonts w:ascii="Palatino Linotype" w:eastAsia="Times New Roman" w:hAnsi="Palatino Linotype" w:cs="Times New Roman"/>
          <w:sz w:val="24"/>
          <w:szCs w:val="24"/>
        </w:rPr>
        <w:t xml:space="preserve">, then </w:t>
      </w:r>
      <w:r w:rsidR="00AC3FED" w:rsidRPr="00D82F02">
        <w:rPr>
          <w:rFonts w:ascii="Palatino Linotype" w:eastAsia="Times New Roman" w:hAnsi="Palatino Linotype" w:cs="Times New Roman"/>
          <w:sz w:val="24"/>
          <w:szCs w:val="24"/>
        </w:rPr>
        <w:t>it cannot limit its work to the activities which can be funded by the government.</w:t>
      </w:r>
      <w:r w:rsidR="00C636B9" w:rsidRPr="00D82F02">
        <w:rPr>
          <w:rFonts w:ascii="Palatino Linotype" w:eastAsia="Times New Roman" w:hAnsi="Palatino Linotype" w:cs="Times New Roman"/>
          <w:sz w:val="24"/>
          <w:szCs w:val="24"/>
        </w:rPr>
        <w:t xml:space="preserve"> </w:t>
      </w:r>
      <w:r w:rsidR="00D33A7E" w:rsidRPr="00D82F02">
        <w:rPr>
          <w:rFonts w:ascii="Palatino Linotype" w:eastAsia="Times New Roman" w:hAnsi="Palatino Linotype" w:cs="Times New Roman"/>
          <w:sz w:val="24"/>
          <w:szCs w:val="24"/>
        </w:rPr>
        <w:t>Namely, when the Law Clinic started its work, it was located in a very modest office, with very limited space both for students and for clients. If one compares</w:t>
      </w:r>
      <w:r w:rsidR="003A2CE8" w:rsidRPr="00D82F02">
        <w:rPr>
          <w:rFonts w:ascii="Palatino Linotype" w:eastAsia="Times New Roman" w:hAnsi="Palatino Linotype" w:cs="Times New Roman"/>
          <w:sz w:val="24"/>
          <w:szCs w:val="24"/>
        </w:rPr>
        <w:t xml:space="preserve"> the years</w:t>
      </w:r>
      <w:r w:rsidR="00D33A7E" w:rsidRPr="00D82F02">
        <w:rPr>
          <w:rFonts w:ascii="Palatino Linotype" w:eastAsia="Times New Roman" w:hAnsi="Palatino Linotype" w:cs="Times New Roman"/>
          <w:sz w:val="24"/>
          <w:szCs w:val="24"/>
        </w:rPr>
        <w:t xml:space="preserve"> 2011 and 2015</w:t>
      </w:r>
      <w:r w:rsidR="003A2CE8" w:rsidRPr="00D82F02">
        <w:rPr>
          <w:rFonts w:ascii="Palatino Linotype" w:eastAsia="Times New Roman" w:hAnsi="Palatino Linotype" w:cs="Times New Roman"/>
          <w:sz w:val="24"/>
          <w:szCs w:val="24"/>
        </w:rPr>
        <w:t xml:space="preserve"> of the Law Clinic, discussed </w:t>
      </w:r>
      <w:r w:rsidR="009D10D3" w:rsidRPr="00D82F02">
        <w:rPr>
          <w:rFonts w:ascii="Palatino Linotype" w:eastAsia="Times New Roman" w:hAnsi="Palatino Linotype" w:cs="Times New Roman"/>
          <w:sz w:val="24"/>
          <w:szCs w:val="24"/>
        </w:rPr>
        <w:t xml:space="preserve">under title </w:t>
      </w:r>
      <w:r w:rsidR="003A2CE8" w:rsidRPr="00D82F02">
        <w:rPr>
          <w:rFonts w:ascii="Palatino Linotype" w:eastAsia="Times New Roman" w:hAnsi="Palatino Linotype" w:cs="Times New Roman"/>
          <w:sz w:val="24"/>
          <w:szCs w:val="24"/>
        </w:rPr>
        <w:t xml:space="preserve"> </w:t>
      </w:r>
      <w:r w:rsidR="009D10D3" w:rsidRPr="00D82F02">
        <w:rPr>
          <w:rFonts w:ascii="Palatino Linotype" w:eastAsia="Times New Roman" w:hAnsi="Palatino Linotype" w:cs="Times New Roman"/>
          <w:sz w:val="24"/>
          <w:szCs w:val="24"/>
        </w:rPr>
        <w:t>4.4. Funding</w:t>
      </w:r>
      <w:r w:rsidR="00D33A7E" w:rsidRPr="00D82F02">
        <w:rPr>
          <w:rFonts w:ascii="Palatino Linotype" w:eastAsia="Times New Roman" w:hAnsi="Palatino Linotype" w:cs="Times New Roman"/>
          <w:sz w:val="24"/>
          <w:szCs w:val="24"/>
        </w:rPr>
        <w:t xml:space="preserve">, one can notice that the number of students and clients </w:t>
      </w:r>
      <w:r w:rsidR="003A2CE8" w:rsidRPr="00D82F02">
        <w:rPr>
          <w:rFonts w:ascii="Palatino Linotype" w:eastAsia="Times New Roman" w:hAnsi="Palatino Linotype" w:cs="Times New Roman"/>
          <w:sz w:val="24"/>
          <w:szCs w:val="24"/>
        </w:rPr>
        <w:t xml:space="preserve">has </w:t>
      </w:r>
      <w:r w:rsidR="00D33A7E" w:rsidRPr="00D82F02">
        <w:rPr>
          <w:rFonts w:ascii="Palatino Linotype" w:eastAsia="Times New Roman" w:hAnsi="Palatino Linotype" w:cs="Times New Roman"/>
          <w:sz w:val="24"/>
          <w:szCs w:val="24"/>
        </w:rPr>
        <w:t>increased more than five times</w:t>
      </w:r>
      <w:r w:rsidR="00A01CF8" w:rsidRPr="00D82F02">
        <w:rPr>
          <w:rFonts w:ascii="Palatino Linotype" w:eastAsia="Times New Roman" w:hAnsi="Palatino Linotype" w:cs="Times New Roman"/>
          <w:sz w:val="24"/>
          <w:szCs w:val="24"/>
        </w:rPr>
        <w:t>.</w:t>
      </w:r>
    </w:p>
    <w:p w14:paraId="3F02C4C3" w14:textId="30B3897D" w:rsidR="00883CB3" w:rsidRPr="00D82F02" w:rsidRDefault="00D33A7E" w:rsidP="00D82F02">
      <w:pPr>
        <w:pStyle w:val="Body"/>
        <w:spacing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 xml:space="preserve">It is only natural that the costs of the project rose along with the new responsibilities. </w:t>
      </w:r>
      <w:r w:rsidR="004E6370" w:rsidRPr="00D82F02">
        <w:rPr>
          <w:rFonts w:ascii="Palatino Linotype" w:eastAsia="Times New Roman" w:hAnsi="Palatino Linotype" w:cs="Times New Roman"/>
          <w:sz w:val="24"/>
          <w:szCs w:val="24"/>
        </w:rPr>
        <w:t>I</w:t>
      </w:r>
      <w:r w:rsidRPr="00D82F02">
        <w:rPr>
          <w:rFonts w:ascii="Palatino Linotype" w:eastAsia="Times New Roman" w:hAnsi="Palatino Linotype" w:cs="Times New Roman"/>
          <w:sz w:val="24"/>
          <w:szCs w:val="24"/>
        </w:rPr>
        <w:t>t is thus of the utmost importance to locate the funds else</w:t>
      </w:r>
      <w:r w:rsidR="004E6370" w:rsidRPr="00D82F02">
        <w:rPr>
          <w:rFonts w:ascii="Palatino Linotype" w:eastAsia="Times New Roman" w:hAnsi="Palatino Linotype" w:cs="Times New Roman"/>
          <w:sz w:val="24"/>
          <w:szCs w:val="24"/>
        </w:rPr>
        <w:t xml:space="preserve">where, since the </w:t>
      </w:r>
      <w:r w:rsidR="00A302E2" w:rsidRPr="00D82F02">
        <w:rPr>
          <w:rFonts w:ascii="Palatino Linotype" w:eastAsia="Times New Roman" w:hAnsi="Palatino Linotype" w:cs="Times New Roman"/>
          <w:sz w:val="24"/>
          <w:szCs w:val="24"/>
        </w:rPr>
        <w:t xml:space="preserve">necessary </w:t>
      </w:r>
      <w:r w:rsidR="004E6370" w:rsidRPr="00D82F02">
        <w:rPr>
          <w:rFonts w:ascii="Palatino Linotype" w:eastAsia="Times New Roman" w:hAnsi="Palatino Linotype" w:cs="Times New Roman"/>
          <w:sz w:val="24"/>
          <w:szCs w:val="24"/>
        </w:rPr>
        <w:t>public funds are not available.</w:t>
      </w:r>
    </w:p>
    <w:p w14:paraId="6A170D2B" w14:textId="1FC56D4E" w:rsidR="008F24C2" w:rsidRPr="00D82F02" w:rsidRDefault="00D33A7E" w:rsidP="00D82F02">
      <w:pPr>
        <w:pStyle w:val="Body"/>
        <w:spacing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At the beginning, t</w:t>
      </w:r>
      <w:r w:rsidR="00734CD5" w:rsidRPr="00D82F02">
        <w:rPr>
          <w:rFonts w:ascii="Palatino Linotype" w:eastAsia="Times New Roman" w:hAnsi="Palatino Linotype" w:cs="Times New Roman"/>
          <w:sz w:val="24"/>
          <w:szCs w:val="24"/>
        </w:rPr>
        <w:t>he international grants were a chance to receive at least part of the very much needed funds that covered the activities that could not be sponsored by the framework organisation, the Law School. With the help of those grant</w:t>
      </w:r>
      <w:r w:rsidR="00734CD5" w:rsidRPr="00D82F02">
        <w:rPr>
          <w:rFonts w:ascii="Palatino Linotype" w:hAnsi="Palatino Linotype" w:cs="Times New Roman"/>
          <w:sz w:val="24"/>
          <w:szCs w:val="24"/>
        </w:rPr>
        <w:t>s, the Law Clinic provided practical legal education to students and advice and assistance to people outside of Zagreb, who are most socially vulnerable. It seems that the Law Clinic</w:t>
      </w:r>
      <w:r w:rsidR="00F40E05" w:rsidRPr="00D82F02">
        <w:rPr>
          <w:rFonts w:ascii="Palatino Linotype" w:hAnsi="Palatino Linotype" w:cs="Times New Roman"/>
          <w:sz w:val="24"/>
          <w:szCs w:val="24"/>
        </w:rPr>
        <w:t>,</w:t>
      </w:r>
      <w:r w:rsidR="00734CD5" w:rsidRPr="00D82F02">
        <w:rPr>
          <w:rFonts w:ascii="Palatino Linotype" w:hAnsi="Palatino Linotype" w:cs="Times New Roman"/>
          <w:sz w:val="24"/>
          <w:szCs w:val="24"/>
        </w:rPr>
        <w:t xml:space="preserve"> </w:t>
      </w:r>
      <w:r w:rsidR="00F40E05" w:rsidRPr="00D82F02">
        <w:rPr>
          <w:rFonts w:ascii="Palatino Linotype" w:hAnsi="Palatino Linotype" w:cs="Times New Roman"/>
          <w:sz w:val="24"/>
          <w:szCs w:val="24"/>
        </w:rPr>
        <w:t xml:space="preserve">with the </w:t>
      </w:r>
      <w:r w:rsidR="00A302E2" w:rsidRPr="00D82F02">
        <w:rPr>
          <w:rFonts w:ascii="Palatino Linotype" w:hAnsi="Palatino Linotype" w:cs="Times New Roman"/>
          <w:sz w:val="24"/>
          <w:szCs w:val="24"/>
        </w:rPr>
        <w:t>support</w:t>
      </w:r>
      <w:r w:rsidR="00734CD5" w:rsidRPr="00D82F02">
        <w:rPr>
          <w:rFonts w:ascii="Palatino Linotype" w:hAnsi="Palatino Linotype" w:cs="Times New Roman"/>
          <w:sz w:val="24"/>
          <w:szCs w:val="24"/>
        </w:rPr>
        <w:t xml:space="preserve"> of </w:t>
      </w:r>
      <w:r w:rsidR="00A302E2" w:rsidRPr="00D82F02">
        <w:rPr>
          <w:rFonts w:ascii="Palatino Linotype" w:hAnsi="Palatino Linotype" w:cs="Times New Roman"/>
          <w:sz w:val="24"/>
          <w:szCs w:val="24"/>
        </w:rPr>
        <w:t xml:space="preserve">the </w:t>
      </w:r>
      <w:r w:rsidR="00734CD5" w:rsidRPr="00D82F02">
        <w:rPr>
          <w:rFonts w:ascii="Palatino Linotype" w:hAnsi="Palatino Linotype" w:cs="Times New Roman"/>
          <w:sz w:val="24"/>
          <w:szCs w:val="24"/>
        </w:rPr>
        <w:t>Law School and international grants</w:t>
      </w:r>
      <w:r w:rsidR="00F40E05" w:rsidRPr="00D82F02">
        <w:rPr>
          <w:rFonts w:ascii="Palatino Linotype" w:hAnsi="Palatino Linotype" w:cs="Times New Roman"/>
          <w:sz w:val="24"/>
          <w:szCs w:val="24"/>
        </w:rPr>
        <w:t>,</w:t>
      </w:r>
      <w:r w:rsidR="00734CD5" w:rsidRPr="00D82F02">
        <w:rPr>
          <w:rFonts w:ascii="Palatino Linotype" w:hAnsi="Palatino Linotype" w:cs="Times New Roman"/>
          <w:sz w:val="24"/>
          <w:szCs w:val="24"/>
        </w:rPr>
        <w:t xml:space="preserve"> has reached the point where its prospects were good, but the continuation of work on financial sustainability is needed to secure clinical activities. </w:t>
      </w:r>
    </w:p>
    <w:p w14:paraId="11611C84" w14:textId="4FF16BD1" w:rsidR="008F24C2" w:rsidRPr="00D82F02" w:rsidRDefault="00734CD5" w:rsidP="00D82F02">
      <w:pPr>
        <w:pStyle w:val="Body"/>
        <w:spacing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 xml:space="preserve">Therefore, projects with state and local community are important to secure some external funding for the essential legal aid activities of the Law Clinic. Without those funds, the Law Clinic will hardly be able to keep up with the expectations of the clients which also means that less students will be given the opportunity to engage in its work. </w:t>
      </w:r>
    </w:p>
    <w:p w14:paraId="17E22FF6" w14:textId="77777777" w:rsidR="004E6370" w:rsidRPr="00D82F02" w:rsidRDefault="004E6370" w:rsidP="00D82F02">
      <w:pPr>
        <w:pStyle w:val="Body"/>
        <w:spacing w:line="480" w:lineRule="auto"/>
        <w:jc w:val="both"/>
        <w:rPr>
          <w:rFonts w:ascii="Palatino Linotype" w:eastAsia="Times New Roman" w:hAnsi="Palatino Linotype" w:cs="Times New Roman"/>
          <w:sz w:val="24"/>
          <w:szCs w:val="24"/>
        </w:rPr>
      </w:pPr>
    </w:p>
    <w:p w14:paraId="508112FE" w14:textId="7D7DCB4E" w:rsidR="008F24C2" w:rsidRPr="00D82F02" w:rsidRDefault="00D56A45" w:rsidP="00D82F02">
      <w:pPr>
        <w:pStyle w:val="Body"/>
        <w:tabs>
          <w:tab w:val="clear" w:pos="454"/>
        </w:tabs>
        <w:spacing w:line="480" w:lineRule="auto"/>
        <w:jc w:val="both"/>
        <w:rPr>
          <w:rFonts w:ascii="Palatino Linotype" w:eastAsia="Times New Roman" w:hAnsi="Palatino Linotype" w:cs="Times New Roman"/>
          <w:b/>
          <w:bCs/>
          <w:sz w:val="24"/>
          <w:szCs w:val="24"/>
        </w:rPr>
      </w:pPr>
      <w:r w:rsidRPr="00D82F02">
        <w:rPr>
          <w:rFonts w:ascii="Palatino Linotype" w:hAnsi="Palatino Linotype" w:cs="Times New Roman"/>
          <w:b/>
          <w:bCs/>
          <w:sz w:val="24"/>
          <w:szCs w:val="24"/>
        </w:rPr>
        <w:t>CONCLUSION</w:t>
      </w:r>
    </w:p>
    <w:p w14:paraId="79E1A336" w14:textId="137D626E" w:rsidR="008F24C2" w:rsidRPr="00D82F02" w:rsidRDefault="00734CD5" w:rsidP="00D82F02">
      <w:pPr>
        <w:pStyle w:val="Body"/>
        <w:spacing w:line="480" w:lineRule="auto"/>
        <w:jc w:val="both"/>
        <w:rPr>
          <w:rFonts w:ascii="Palatino Linotype" w:eastAsia="Times New Roman" w:hAnsi="Palatino Linotype" w:cs="Times New Roman"/>
          <w:sz w:val="24"/>
          <w:szCs w:val="24"/>
        </w:rPr>
      </w:pPr>
      <w:r w:rsidRPr="00D82F02">
        <w:rPr>
          <w:rFonts w:ascii="Palatino Linotype" w:eastAsia="Times New Roman" w:hAnsi="Palatino Linotype" w:cs="Times New Roman"/>
          <w:sz w:val="24"/>
          <w:szCs w:val="24"/>
        </w:rPr>
        <w:t xml:space="preserve">A central goal of clinical legal education </w:t>
      </w:r>
      <w:r w:rsidRPr="00D82F02">
        <w:rPr>
          <w:rFonts w:ascii="Palatino Linotype" w:hAnsi="Palatino Linotype" w:cs="Times New Roman"/>
          <w:sz w:val="24"/>
          <w:szCs w:val="24"/>
        </w:rPr>
        <w:t>is to provide professional education in the interests of justice and it poses new challenges regarding the improvement of student education.</w:t>
      </w:r>
      <w:r w:rsidRPr="00D82F02">
        <w:rPr>
          <w:rFonts w:ascii="Palatino Linotype" w:eastAsia="Times New Roman" w:hAnsi="Palatino Linotype" w:cs="Times New Roman"/>
          <w:sz w:val="24"/>
          <w:szCs w:val="24"/>
          <w:vertAlign w:val="superscript"/>
        </w:rPr>
        <w:footnoteReference w:id="85"/>
      </w:r>
      <w:r w:rsidRPr="00D82F02">
        <w:rPr>
          <w:rFonts w:ascii="Palatino Linotype" w:hAnsi="Palatino Linotype" w:cs="Times New Roman"/>
          <w:sz w:val="24"/>
          <w:szCs w:val="24"/>
        </w:rPr>
        <w:t xml:space="preserve"> Apart from its significant role in legal education, </w:t>
      </w:r>
      <w:r w:rsidR="00A302E2" w:rsidRPr="00D82F02">
        <w:rPr>
          <w:rFonts w:ascii="Palatino Linotype" w:hAnsi="Palatino Linotype" w:cs="Times New Roman"/>
          <w:sz w:val="24"/>
          <w:szCs w:val="24"/>
        </w:rPr>
        <w:t xml:space="preserve">the </w:t>
      </w:r>
      <w:r w:rsidRPr="00D82F02">
        <w:rPr>
          <w:rFonts w:ascii="Palatino Linotype" w:hAnsi="Palatino Linotype" w:cs="Times New Roman"/>
          <w:sz w:val="24"/>
          <w:szCs w:val="24"/>
        </w:rPr>
        <w:t xml:space="preserve">existence of law clinics </w:t>
      </w:r>
      <w:r w:rsidR="00346BBB" w:rsidRPr="00D82F02">
        <w:rPr>
          <w:rFonts w:ascii="Palatino Linotype" w:hAnsi="Palatino Linotype" w:cs="Times New Roman"/>
          <w:sz w:val="24"/>
          <w:szCs w:val="24"/>
        </w:rPr>
        <w:t>is</w:t>
      </w:r>
      <w:r w:rsidRPr="00D82F02">
        <w:rPr>
          <w:rFonts w:ascii="Palatino Linotype" w:hAnsi="Palatino Linotype" w:cs="Times New Roman"/>
          <w:sz w:val="24"/>
          <w:szCs w:val="24"/>
        </w:rPr>
        <w:t xml:space="preserve"> also very important in terms of enhancing the legal aid system</w:t>
      </w:r>
      <w:r w:rsidR="00270499" w:rsidRPr="00D82F02">
        <w:rPr>
          <w:rFonts w:ascii="Palatino Linotype" w:hAnsi="Palatino Linotype" w:cs="Times New Roman"/>
          <w:sz w:val="24"/>
          <w:szCs w:val="24"/>
        </w:rPr>
        <w:t>,</w:t>
      </w:r>
      <w:r w:rsidRPr="00D82F02">
        <w:rPr>
          <w:rFonts w:ascii="Palatino Linotype" w:hAnsi="Palatino Linotype" w:cs="Times New Roman"/>
          <w:sz w:val="24"/>
          <w:szCs w:val="24"/>
        </w:rPr>
        <w:t xml:space="preserve"> by broadening the cycle of legal aid providers to which underprivileged citizens can turn when they are in need of legal aid. Moreover, clinical legal education has a positive impact on the strengthening of public policies</w:t>
      </w:r>
      <w:r w:rsidR="00D262D5" w:rsidRPr="00D82F02">
        <w:rPr>
          <w:rFonts w:ascii="Palatino Linotype" w:hAnsi="Palatino Linotype" w:cs="Times New Roman"/>
          <w:sz w:val="24"/>
          <w:szCs w:val="24"/>
        </w:rPr>
        <w:t>,</w:t>
      </w:r>
      <w:r w:rsidRPr="00D82F02">
        <w:rPr>
          <w:rFonts w:ascii="Palatino Linotype" w:hAnsi="Palatino Linotype" w:cs="Times New Roman"/>
          <w:sz w:val="24"/>
          <w:szCs w:val="24"/>
        </w:rPr>
        <w:t xml:space="preserve"> of exercising constitutional principles of equality before the law, the right of access to justice and a fair trial within a reasonable period.</w:t>
      </w:r>
      <w:r w:rsidRPr="00D82F02">
        <w:rPr>
          <w:rFonts w:ascii="Palatino Linotype" w:eastAsia="Times New Roman" w:hAnsi="Palatino Linotype" w:cs="Times New Roman"/>
          <w:sz w:val="24"/>
          <w:szCs w:val="24"/>
          <w:vertAlign w:val="superscript"/>
        </w:rPr>
        <w:footnoteReference w:id="86"/>
      </w:r>
      <w:r w:rsidRPr="00D82F02">
        <w:rPr>
          <w:rFonts w:ascii="Palatino Linotype" w:hAnsi="Palatino Linotype" w:cs="Times New Roman"/>
          <w:sz w:val="24"/>
          <w:szCs w:val="24"/>
        </w:rPr>
        <w:t xml:space="preserve"> These important goals, which clinical legal education aims to achieve, are closely linked and should be constantly improved by powering the law school’s curriculum. Therefore, to maintain the positive development of clinical legal education, law schools have to </w:t>
      </w:r>
      <w:r w:rsidR="00D01964" w:rsidRPr="00D82F02">
        <w:rPr>
          <w:rFonts w:ascii="Palatino Linotype" w:hAnsi="Palatino Linotype" w:cs="Times New Roman"/>
          <w:sz w:val="24"/>
          <w:szCs w:val="24"/>
        </w:rPr>
        <w:t xml:space="preserve">retain strong </w:t>
      </w:r>
      <w:r w:rsidRPr="00D82F02">
        <w:rPr>
          <w:rFonts w:ascii="Palatino Linotype" w:hAnsi="Palatino Linotype" w:cs="Times New Roman"/>
          <w:sz w:val="24"/>
          <w:szCs w:val="24"/>
        </w:rPr>
        <w:t>financial resource</w:t>
      </w:r>
      <w:r w:rsidR="00D01964" w:rsidRPr="00D82F02">
        <w:rPr>
          <w:rFonts w:ascii="Palatino Linotype" w:hAnsi="Palatino Linotype" w:cs="Times New Roman"/>
          <w:sz w:val="24"/>
          <w:szCs w:val="24"/>
        </w:rPr>
        <w:t>s</w:t>
      </w:r>
      <w:r w:rsidRPr="00D82F02">
        <w:rPr>
          <w:rFonts w:ascii="Palatino Linotype" w:hAnsi="Palatino Linotype" w:cs="Times New Roman"/>
          <w:sz w:val="24"/>
          <w:szCs w:val="24"/>
        </w:rPr>
        <w:t xml:space="preserve"> for work of law clinic</w:t>
      </w:r>
      <w:r w:rsidR="00BB014D" w:rsidRPr="00D82F02">
        <w:rPr>
          <w:rFonts w:ascii="Palatino Linotype" w:hAnsi="Palatino Linotype" w:cs="Times New Roman"/>
          <w:sz w:val="24"/>
          <w:szCs w:val="24"/>
        </w:rPr>
        <w:t>s</w:t>
      </w:r>
      <w:r w:rsidRPr="00D82F02">
        <w:rPr>
          <w:rFonts w:ascii="Palatino Linotype" w:hAnsi="Palatino Linotype" w:cs="Times New Roman"/>
          <w:sz w:val="24"/>
          <w:szCs w:val="24"/>
        </w:rPr>
        <w:t xml:space="preserve"> and to develop the cost model for </w:t>
      </w:r>
      <w:r w:rsidR="00BB014D" w:rsidRPr="00D82F02">
        <w:rPr>
          <w:rFonts w:ascii="Palatino Linotype" w:hAnsi="Palatino Linotype" w:cs="Times New Roman"/>
          <w:sz w:val="24"/>
          <w:szCs w:val="24"/>
        </w:rPr>
        <w:t>D</w:t>
      </w:r>
      <w:r w:rsidRPr="00D82F02">
        <w:rPr>
          <w:rFonts w:ascii="Palatino Linotype" w:hAnsi="Palatino Linotype" w:cs="Times New Roman"/>
          <w:sz w:val="24"/>
          <w:szCs w:val="24"/>
        </w:rPr>
        <w:t>eans and curriculum committees as they think about how to manage and expand their schools</w:t>
      </w:r>
      <w:r w:rsidR="00BB014D" w:rsidRPr="00D82F02">
        <w:rPr>
          <w:rFonts w:ascii="Palatino Linotype" w:hAnsi="Palatino Linotype" w:cs="Times New Roman"/>
          <w:sz w:val="24"/>
          <w:szCs w:val="24"/>
        </w:rPr>
        <w:t>’</w:t>
      </w:r>
      <w:r w:rsidRPr="00D82F02">
        <w:rPr>
          <w:rFonts w:ascii="Palatino Linotype" w:hAnsi="Palatino Linotype" w:cs="Times New Roman"/>
          <w:sz w:val="24"/>
          <w:szCs w:val="24"/>
        </w:rPr>
        <w:t xml:space="preserve"> experiential offerings.</w:t>
      </w:r>
      <w:r w:rsidRPr="00D82F02">
        <w:rPr>
          <w:rFonts w:ascii="Palatino Linotype" w:eastAsia="Times New Roman" w:hAnsi="Palatino Linotype" w:cs="Times New Roman"/>
          <w:sz w:val="24"/>
          <w:szCs w:val="24"/>
          <w:vertAlign w:val="superscript"/>
        </w:rPr>
        <w:footnoteReference w:id="87"/>
      </w:r>
      <w:r w:rsidRPr="00D82F02">
        <w:rPr>
          <w:rFonts w:ascii="Palatino Linotype" w:hAnsi="Palatino Linotype" w:cs="Times New Roman"/>
          <w:sz w:val="24"/>
          <w:szCs w:val="24"/>
        </w:rPr>
        <w:t xml:space="preserve"> That is the only way to keep track with </w:t>
      </w:r>
      <w:r w:rsidR="00BB014D" w:rsidRPr="00D82F02">
        <w:rPr>
          <w:rFonts w:ascii="Palatino Linotype" w:hAnsi="Palatino Linotype" w:cs="Times New Roman"/>
          <w:sz w:val="24"/>
          <w:szCs w:val="24"/>
        </w:rPr>
        <w:t xml:space="preserve">the </w:t>
      </w:r>
      <w:r w:rsidRPr="00D82F02">
        <w:rPr>
          <w:rFonts w:ascii="Palatino Linotype" w:hAnsi="Palatino Linotype" w:cs="Times New Roman"/>
          <w:sz w:val="24"/>
          <w:szCs w:val="24"/>
        </w:rPr>
        <w:t>development of modern clinical legal education</w:t>
      </w:r>
      <w:r w:rsidR="00BB014D" w:rsidRPr="00D82F02">
        <w:rPr>
          <w:rFonts w:ascii="Palatino Linotype" w:hAnsi="Palatino Linotype" w:cs="Times New Roman"/>
          <w:sz w:val="24"/>
          <w:szCs w:val="24"/>
        </w:rPr>
        <w:t>,</w:t>
      </w:r>
      <w:r w:rsidRPr="00D82F02">
        <w:rPr>
          <w:rFonts w:ascii="Palatino Linotype" w:hAnsi="Palatino Linotype" w:cs="Times New Roman"/>
          <w:sz w:val="24"/>
          <w:szCs w:val="24"/>
        </w:rPr>
        <w:t xml:space="preserve"> which aims to support students interested in gaining theoretical and practical experience through provision of legal aid</w:t>
      </w:r>
      <w:r w:rsidR="000763FE" w:rsidRPr="00D82F02">
        <w:rPr>
          <w:rFonts w:ascii="Palatino Linotype" w:hAnsi="Palatino Linotype" w:cs="Times New Roman"/>
          <w:sz w:val="24"/>
          <w:szCs w:val="24"/>
        </w:rPr>
        <w:t>,</w:t>
      </w:r>
      <w:r w:rsidRPr="00D82F02">
        <w:rPr>
          <w:rFonts w:ascii="Palatino Linotype" w:hAnsi="Palatino Linotype" w:cs="Times New Roman"/>
          <w:sz w:val="24"/>
          <w:szCs w:val="24"/>
        </w:rPr>
        <w:t xml:space="preserve"> in the interest of the public benefit.</w:t>
      </w:r>
      <w:r w:rsidRPr="00D82F02">
        <w:rPr>
          <w:rFonts w:ascii="Palatino Linotype" w:eastAsia="Times New Roman" w:hAnsi="Palatino Linotype" w:cs="Times New Roman"/>
          <w:sz w:val="24"/>
          <w:szCs w:val="24"/>
          <w:vertAlign w:val="superscript"/>
        </w:rPr>
        <w:footnoteReference w:id="88"/>
      </w:r>
      <w:r w:rsidR="00BB014D" w:rsidRPr="00D82F02">
        <w:rPr>
          <w:rFonts w:ascii="Palatino Linotype" w:hAnsi="Palatino Linotype" w:cs="Times New Roman"/>
          <w:sz w:val="24"/>
          <w:szCs w:val="24"/>
        </w:rPr>
        <w:t xml:space="preserve"> </w:t>
      </w:r>
    </w:p>
    <w:p w14:paraId="603F495A" w14:textId="7CFEEF38" w:rsidR="008F24C2" w:rsidRPr="00D82F02" w:rsidRDefault="00734CD5" w:rsidP="00D82F02">
      <w:pPr>
        <w:pStyle w:val="Body"/>
        <w:spacing w:before="120" w:line="480" w:lineRule="auto"/>
        <w:jc w:val="both"/>
        <w:rPr>
          <w:rFonts w:ascii="Palatino Linotype" w:eastAsia="Times New Roman" w:hAnsi="Palatino Linotype" w:cs="Times New Roman"/>
          <w:sz w:val="24"/>
          <w:szCs w:val="24"/>
          <w:shd w:val="clear" w:color="auto" w:fill="FFFFFF"/>
        </w:rPr>
      </w:pPr>
      <w:r w:rsidRPr="00D82F02">
        <w:rPr>
          <w:rFonts w:ascii="Palatino Linotype" w:hAnsi="Palatino Linotype" w:cs="Times New Roman"/>
          <w:sz w:val="24"/>
          <w:szCs w:val="24"/>
          <w:shd w:val="clear" w:color="auto" w:fill="FFFFFF"/>
        </w:rPr>
        <w:t xml:space="preserve">As a final remark we have to stress that </w:t>
      </w:r>
      <w:r w:rsidR="000763FE" w:rsidRPr="00D82F02">
        <w:rPr>
          <w:rFonts w:ascii="Palatino Linotype" w:hAnsi="Palatino Linotype" w:cs="Times New Roman"/>
          <w:sz w:val="24"/>
          <w:szCs w:val="24"/>
          <w:shd w:val="clear" w:color="auto" w:fill="FFFFFF"/>
        </w:rPr>
        <w:t xml:space="preserve">the </w:t>
      </w:r>
      <w:r w:rsidRPr="00D82F02">
        <w:rPr>
          <w:rFonts w:ascii="Palatino Linotype" w:hAnsi="Palatino Linotype" w:cs="Times New Roman"/>
          <w:sz w:val="24"/>
          <w:szCs w:val="24"/>
          <w:shd w:val="clear" w:color="auto" w:fill="FFFFFF"/>
        </w:rPr>
        <w:t>combination</w:t>
      </w:r>
      <w:r w:rsidR="000763FE" w:rsidRPr="00D82F02">
        <w:rPr>
          <w:rFonts w:ascii="Palatino Linotype" w:hAnsi="Palatino Linotype" w:cs="Times New Roman"/>
          <w:sz w:val="24"/>
          <w:szCs w:val="24"/>
          <w:shd w:val="clear" w:color="auto" w:fill="FFFFFF"/>
        </w:rPr>
        <w:t>s</w:t>
      </w:r>
      <w:r w:rsidRPr="00D82F02">
        <w:rPr>
          <w:rFonts w:ascii="Palatino Linotype" w:hAnsi="Palatino Linotype" w:cs="Times New Roman"/>
          <w:sz w:val="24"/>
          <w:szCs w:val="24"/>
          <w:shd w:val="clear" w:color="auto" w:fill="FFFFFF"/>
        </w:rPr>
        <w:t xml:space="preserve"> of financial investment</w:t>
      </w:r>
      <w:r w:rsidR="000763FE" w:rsidRPr="00D82F02">
        <w:rPr>
          <w:rFonts w:ascii="Palatino Linotype" w:hAnsi="Palatino Linotype" w:cs="Times New Roman"/>
          <w:sz w:val="24"/>
          <w:szCs w:val="24"/>
          <w:shd w:val="clear" w:color="auto" w:fill="FFFFFF"/>
        </w:rPr>
        <w:t>s</w:t>
      </w:r>
      <w:r w:rsidRPr="00D82F02">
        <w:rPr>
          <w:rFonts w:ascii="Palatino Linotype" w:hAnsi="Palatino Linotype" w:cs="Times New Roman"/>
          <w:sz w:val="24"/>
          <w:szCs w:val="24"/>
          <w:shd w:val="clear" w:color="auto" w:fill="FFFFFF"/>
        </w:rPr>
        <w:t xml:space="preserve"> of state, local community and law school</w:t>
      </w:r>
      <w:r w:rsidR="000763FE" w:rsidRPr="00D82F02">
        <w:rPr>
          <w:rFonts w:ascii="Palatino Linotype" w:hAnsi="Palatino Linotype" w:cs="Times New Roman"/>
          <w:sz w:val="24"/>
          <w:szCs w:val="24"/>
          <w:shd w:val="clear" w:color="auto" w:fill="FFFFFF"/>
        </w:rPr>
        <w:t>s</w:t>
      </w:r>
      <w:r w:rsidRPr="00D82F02">
        <w:rPr>
          <w:rFonts w:ascii="Palatino Linotype" w:hAnsi="Palatino Linotype" w:cs="Times New Roman"/>
          <w:sz w:val="24"/>
          <w:szCs w:val="24"/>
          <w:shd w:val="clear" w:color="auto" w:fill="FFFFFF"/>
        </w:rPr>
        <w:t xml:space="preserve"> </w:t>
      </w:r>
      <w:r w:rsidR="000763FE" w:rsidRPr="00D82F02">
        <w:rPr>
          <w:rFonts w:ascii="Palatino Linotype" w:hAnsi="Palatino Linotype" w:cs="Times New Roman"/>
          <w:sz w:val="24"/>
          <w:szCs w:val="24"/>
          <w:shd w:val="clear" w:color="auto" w:fill="FFFFFF"/>
        </w:rPr>
        <w:t xml:space="preserve">are </w:t>
      </w:r>
      <w:r w:rsidRPr="00D82F02">
        <w:rPr>
          <w:rFonts w:ascii="Palatino Linotype" w:hAnsi="Palatino Linotype" w:cs="Times New Roman"/>
          <w:sz w:val="24"/>
          <w:szCs w:val="24"/>
          <w:shd w:val="clear" w:color="auto" w:fill="FFFFFF"/>
        </w:rPr>
        <w:t>crucial for financial sustainability of clinical program</w:t>
      </w:r>
      <w:r w:rsidR="000763FE" w:rsidRPr="00D82F02">
        <w:rPr>
          <w:rFonts w:ascii="Palatino Linotype" w:hAnsi="Palatino Linotype" w:cs="Times New Roman"/>
          <w:sz w:val="24"/>
          <w:szCs w:val="24"/>
          <w:shd w:val="clear" w:color="auto" w:fill="FFFFFF"/>
        </w:rPr>
        <w:t>s</w:t>
      </w:r>
      <w:r w:rsidRPr="00D82F02">
        <w:rPr>
          <w:rFonts w:ascii="Palatino Linotype" w:hAnsi="Palatino Linotype" w:cs="Times New Roman"/>
          <w:sz w:val="24"/>
          <w:szCs w:val="24"/>
          <w:shd w:val="clear" w:color="auto" w:fill="FFFFFF"/>
        </w:rPr>
        <w:t xml:space="preserve">. To achieve that goal </w:t>
      </w:r>
      <w:r w:rsidR="000763FE" w:rsidRPr="00D82F02">
        <w:rPr>
          <w:rFonts w:ascii="Palatino Linotype" w:hAnsi="Palatino Linotype" w:cs="Times New Roman"/>
          <w:sz w:val="24"/>
          <w:szCs w:val="24"/>
          <w:shd w:val="clear" w:color="auto" w:fill="FFFFFF"/>
        </w:rPr>
        <w:t xml:space="preserve">the </w:t>
      </w:r>
      <w:r w:rsidRPr="00D82F02">
        <w:rPr>
          <w:rFonts w:ascii="Palatino Linotype" w:hAnsi="Palatino Linotype" w:cs="Times New Roman"/>
          <w:sz w:val="24"/>
          <w:szCs w:val="24"/>
          <w:shd w:val="clear" w:color="auto" w:fill="FFFFFF"/>
        </w:rPr>
        <w:t xml:space="preserve">Law Clinic has to periodically </w:t>
      </w:r>
      <w:r w:rsidR="000763FE" w:rsidRPr="00D82F02">
        <w:rPr>
          <w:rFonts w:ascii="Palatino Linotype" w:hAnsi="Palatino Linotype" w:cs="Times New Roman"/>
          <w:sz w:val="24"/>
          <w:szCs w:val="24"/>
          <w:shd w:val="clear" w:color="auto" w:fill="FFFFFF"/>
        </w:rPr>
        <w:t xml:space="preserve">raise </w:t>
      </w:r>
      <w:r w:rsidRPr="00D82F02">
        <w:rPr>
          <w:rFonts w:ascii="Palatino Linotype" w:hAnsi="Palatino Linotype" w:cs="Times New Roman"/>
          <w:sz w:val="24"/>
          <w:szCs w:val="24"/>
          <w:shd w:val="clear" w:color="auto" w:fill="FFFFFF"/>
        </w:rPr>
        <w:t xml:space="preserve">awareness among </w:t>
      </w:r>
      <w:r w:rsidR="000763FE" w:rsidRPr="00D82F02">
        <w:rPr>
          <w:rFonts w:ascii="Palatino Linotype" w:hAnsi="Palatino Linotype" w:cs="Times New Roman"/>
          <w:sz w:val="24"/>
          <w:szCs w:val="24"/>
          <w:shd w:val="clear" w:color="auto" w:fill="FFFFFF"/>
        </w:rPr>
        <w:t xml:space="preserve">the </w:t>
      </w:r>
      <w:r w:rsidRPr="00D82F02">
        <w:rPr>
          <w:rFonts w:ascii="Palatino Linotype" w:hAnsi="Palatino Linotype" w:cs="Times New Roman"/>
          <w:sz w:val="24"/>
          <w:szCs w:val="24"/>
          <w:shd w:val="clear" w:color="auto" w:fill="FFFFFF"/>
        </w:rPr>
        <w:t>whole community</w:t>
      </w:r>
      <w:r w:rsidR="000763FE" w:rsidRPr="00D82F02">
        <w:rPr>
          <w:rFonts w:ascii="Palatino Linotype" w:hAnsi="Palatino Linotype" w:cs="Times New Roman"/>
          <w:sz w:val="24"/>
          <w:szCs w:val="24"/>
          <w:shd w:val="clear" w:color="auto" w:fill="FFFFFF"/>
        </w:rPr>
        <w:t>,</w:t>
      </w:r>
      <w:r w:rsidRPr="00D82F02">
        <w:rPr>
          <w:rFonts w:ascii="Palatino Linotype" w:hAnsi="Palatino Linotype" w:cs="Times New Roman"/>
          <w:sz w:val="24"/>
          <w:szCs w:val="24"/>
          <w:shd w:val="clear" w:color="auto" w:fill="FFFFFF"/>
        </w:rPr>
        <w:t xml:space="preserve"> </w:t>
      </w:r>
      <w:r w:rsidR="000763FE" w:rsidRPr="00D82F02">
        <w:rPr>
          <w:rFonts w:ascii="Palatino Linotype" w:hAnsi="Palatino Linotype" w:cs="Times New Roman"/>
          <w:sz w:val="24"/>
          <w:szCs w:val="24"/>
          <w:shd w:val="clear" w:color="auto" w:fill="FFFFFF"/>
        </w:rPr>
        <w:t xml:space="preserve">highlighting the </w:t>
      </w:r>
      <w:r w:rsidRPr="00D82F02">
        <w:rPr>
          <w:rFonts w:ascii="Palatino Linotype" w:hAnsi="Palatino Linotype" w:cs="Times New Roman"/>
          <w:sz w:val="24"/>
          <w:szCs w:val="24"/>
          <w:shd w:val="clear" w:color="auto" w:fill="FFFFFF"/>
        </w:rPr>
        <w:t>importance of financial support of clinical legal education and its impact</w:t>
      </w:r>
      <w:r w:rsidR="000763FE" w:rsidRPr="00D82F02">
        <w:rPr>
          <w:rFonts w:ascii="Palatino Linotype" w:hAnsi="Palatino Linotype" w:cs="Times New Roman"/>
          <w:sz w:val="24"/>
          <w:szCs w:val="24"/>
          <w:shd w:val="clear" w:color="auto" w:fill="FFFFFF"/>
        </w:rPr>
        <w:t>,</w:t>
      </w:r>
      <w:r w:rsidRPr="00D82F02">
        <w:rPr>
          <w:rFonts w:ascii="Palatino Linotype" w:hAnsi="Palatino Linotype" w:cs="Times New Roman"/>
          <w:sz w:val="24"/>
          <w:szCs w:val="24"/>
          <w:shd w:val="clear" w:color="auto" w:fill="FFFFFF"/>
        </w:rPr>
        <w:t xml:space="preserve"> not only on education of future lawyers but</w:t>
      </w:r>
      <w:r w:rsidR="000763FE" w:rsidRPr="00D82F02">
        <w:rPr>
          <w:rFonts w:ascii="Palatino Linotype" w:hAnsi="Palatino Linotype" w:cs="Times New Roman"/>
          <w:sz w:val="24"/>
          <w:szCs w:val="24"/>
          <w:shd w:val="clear" w:color="auto" w:fill="FFFFFF"/>
        </w:rPr>
        <w:t>,</w:t>
      </w:r>
      <w:r w:rsidRPr="00D82F02">
        <w:rPr>
          <w:rFonts w:ascii="Palatino Linotype" w:hAnsi="Palatino Linotype" w:cs="Times New Roman"/>
          <w:sz w:val="24"/>
          <w:szCs w:val="24"/>
          <w:shd w:val="clear" w:color="auto" w:fill="FFFFFF"/>
        </w:rPr>
        <w:t xml:space="preserve"> also on legal aid system which is</w:t>
      </w:r>
      <w:r w:rsidR="000763FE" w:rsidRPr="00D82F02">
        <w:rPr>
          <w:rFonts w:ascii="Palatino Linotype" w:hAnsi="Palatino Linotype" w:cs="Times New Roman"/>
          <w:sz w:val="24"/>
          <w:szCs w:val="24"/>
          <w:shd w:val="clear" w:color="auto" w:fill="FFFFFF"/>
        </w:rPr>
        <w:t>,</w:t>
      </w:r>
      <w:r w:rsidRPr="00D82F02">
        <w:rPr>
          <w:rFonts w:ascii="Palatino Linotype" w:hAnsi="Palatino Linotype" w:cs="Times New Roman"/>
          <w:sz w:val="24"/>
          <w:szCs w:val="24"/>
          <w:shd w:val="clear" w:color="auto" w:fill="FFFFFF"/>
        </w:rPr>
        <w:t xml:space="preserve"> and should be</w:t>
      </w:r>
      <w:r w:rsidR="000763FE" w:rsidRPr="00D82F02">
        <w:rPr>
          <w:rFonts w:ascii="Palatino Linotype" w:hAnsi="Palatino Linotype" w:cs="Times New Roman"/>
          <w:sz w:val="24"/>
          <w:szCs w:val="24"/>
          <w:shd w:val="clear" w:color="auto" w:fill="FFFFFF"/>
        </w:rPr>
        <w:t>,</w:t>
      </w:r>
      <w:r w:rsidRPr="00D82F02">
        <w:rPr>
          <w:rFonts w:ascii="Palatino Linotype" w:hAnsi="Palatino Linotype" w:cs="Times New Roman"/>
          <w:sz w:val="24"/>
          <w:szCs w:val="24"/>
          <w:shd w:val="clear" w:color="auto" w:fill="FFFFFF"/>
        </w:rPr>
        <w:t xml:space="preserve"> the first line of </w:t>
      </w:r>
      <w:r w:rsidR="0047490E" w:rsidRPr="00D82F02">
        <w:rPr>
          <w:rFonts w:ascii="Palatino Linotype" w:hAnsi="Palatino Linotype" w:cs="Times New Roman"/>
          <w:sz w:val="24"/>
          <w:szCs w:val="24"/>
          <w:shd w:val="clear" w:color="auto" w:fill="FFFFFF"/>
        </w:rPr>
        <w:t>defence</w:t>
      </w:r>
      <w:r w:rsidRPr="00D82F02">
        <w:rPr>
          <w:rFonts w:ascii="Palatino Linotype" w:hAnsi="Palatino Linotype" w:cs="Times New Roman"/>
          <w:sz w:val="24"/>
          <w:szCs w:val="24"/>
          <w:shd w:val="clear" w:color="auto" w:fill="FFFFFF"/>
        </w:rPr>
        <w:t xml:space="preserve"> in providing equal access to justice for all.</w:t>
      </w:r>
      <w:r w:rsidR="00D01964" w:rsidRPr="00D82F02">
        <w:rPr>
          <w:rStyle w:val="FootnoteReference"/>
          <w:rFonts w:ascii="Palatino Linotype" w:hAnsi="Palatino Linotype" w:cs="Times New Roman"/>
          <w:sz w:val="24"/>
          <w:szCs w:val="24"/>
          <w:shd w:val="clear" w:color="auto" w:fill="FFFFFF"/>
        </w:rPr>
        <w:footnoteReference w:id="89"/>
      </w:r>
      <w:r w:rsidRPr="00D82F02">
        <w:rPr>
          <w:rFonts w:ascii="Palatino Linotype" w:hAnsi="Palatino Linotype" w:cs="Times New Roman"/>
          <w:sz w:val="24"/>
          <w:szCs w:val="24"/>
          <w:shd w:val="clear" w:color="auto" w:fill="FFFFFF"/>
        </w:rPr>
        <w:t xml:space="preserve"> </w:t>
      </w:r>
    </w:p>
    <w:p w14:paraId="47A089CA" w14:textId="6F6941C1" w:rsidR="00D25C18" w:rsidRPr="00D82F02" w:rsidRDefault="00D25C18" w:rsidP="00D82F02">
      <w:pPr>
        <w:pStyle w:val="Body"/>
        <w:spacing w:before="120" w:line="480" w:lineRule="auto"/>
        <w:jc w:val="both"/>
        <w:rPr>
          <w:rFonts w:ascii="Palatino Linotype" w:eastAsia="Times New Roman" w:hAnsi="Palatino Linotype" w:cs="Times New Roman"/>
          <w:sz w:val="24"/>
          <w:szCs w:val="24"/>
        </w:rPr>
      </w:pPr>
    </w:p>
    <w:sectPr w:rsidR="00D25C18" w:rsidRPr="00D82F02" w:rsidSect="00533AEA">
      <w:headerReference w:type="even" r:id="rId9"/>
      <w:headerReference w:type="default" r:id="rId10"/>
      <w:footerReference w:type="even" r:id="rId11"/>
      <w:footerReference w:type="default" r:id="rId12"/>
      <w:headerReference w:type="first" r:id="rId13"/>
      <w:footerReference w:type="first" r:id="rId14"/>
      <w:pgSz w:w="12240" w:h="15820"/>
      <w:pgMar w:top="1440" w:right="1797" w:bottom="1440" w:left="1797" w:header="708" w:footer="708" w:gutter="0"/>
      <w:pgNumType w:start="13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6BEAD" w14:textId="77777777" w:rsidR="0019363A" w:rsidRDefault="0019363A" w:rsidP="008F24C2">
      <w:r>
        <w:separator/>
      </w:r>
    </w:p>
  </w:endnote>
  <w:endnote w:type="continuationSeparator" w:id="0">
    <w:p w14:paraId="79D89607" w14:textId="77777777" w:rsidR="0019363A" w:rsidRDefault="0019363A" w:rsidP="008F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3EE36" w14:textId="77777777" w:rsidR="006F15B1" w:rsidRDefault="006F15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14E5E" w14:textId="070DC0B4" w:rsidR="006F15B1" w:rsidRDefault="006F15B1">
    <w:pPr>
      <w:pStyle w:val="Footer"/>
      <w:jc w:val="center"/>
      <w:rPr>
        <w:caps/>
        <w:noProof/>
        <w:color w:val="499BC9" w:themeColor="accent1"/>
      </w:rPr>
    </w:pPr>
    <w:r w:rsidRPr="006F15B1">
      <w:rPr>
        <w:caps/>
      </w:rPr>
      <w:fldChar w:fldCharType="begin"/>
    </w:r>
    <w:r w:rsidRPr="006F15B1">
      <w:rPr>
        <w:caps/>
      </w:rPr>
      <w:instrText xml:space="preserve"> PAGE   \* MERGEFORMAT </w:instrText>
    </w:r>
    <w:r w:rsidRPr="006F15B1">
      <w:rPr>
        <w:caps/>
      </w:rPr>
      <w:fldChar w:fldCharType="separate"/>
    </w:r>
    <w:r w:rsidR="00286718">
      <w:rPr>
        <w:caps/>
        <w:noProof/>
      </w:rPr>
      <w:t>136</w:t>
    </w:r>
    <w:r w:rsidRPr="006F15B1">
      <w:rPr>
        <w:caps/>
        <w:noProof/>
      </w:rPr>
      <w:fldChar w:fldCharType="end"/>
    </w:r>
  </w:p>
  <w:p w14:paraId="46536675" w14:textId="77777777" w:rsidR="006F15B1" w:rsidRDefault="006F15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C68E6" w14:textId="77777777" w:rsidR="006F15B1" w:rsidRDefault="006F1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570FD" w14:textId="77777777" w:rsidR="0019363A" w:rsidRDefault="0019363A">
      <w:r>
        <w:separator/>
      </w:r>
    </w:p>
  </w:footnote>
  <w:footnote w:type="continuationSeparator" w:id="0">
    <w:p w14:paraId="6763F393" w14:textId="77777777" w:rsidR="0019363A" w:rsidRDefault="0019363A">
      <w:r>
        <w:continuationSeparator/>
      </w:r>
    </w:p>
  </w:footnote>
  <w:footnote w:type="continuationNotice" w:id="1">
    <w:p w14:paraId="69D4BB03" w14:textId="77777777" w:rsidR="0019363A" w:rsidRDefault="0019363A"/>
  </w:footnote>
  <w:footnote w:id="2">
    <w:p w14:paraId="3838BDA5" w14:textId="05F60DC8" w:rsidR="00D82F02" w:rsidRPr="00D82F02" w:rsidRDefault="00D82F02" w:rsidP="00D82F02">
      <w:pPr>
        <w:pStyle w:val="Body"/>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sz w:val="20"/>
          <w:szCs w:val="20"/>
        </w:rPr>
      </w:pPr>
      <w:r w:rsidRPr="00D82F02">
        <w:rPr>
          <w:rFonts w:ascii="Palatino Linotype" w:hAnsi="Palatino Linotype" w:cs="Times New Roman"/>
          <w:sz w:val="20"/>
          <w:szCs w:val="20"/>
        </w:rPr>
        <w:t xml:space="preserve">* Barbara </w:t>
      </w:r>
      <w:proofErr w:type="spellStart"/>
      <w:r w:rsidRPr="00D82F02">
        <w:rPr>
          <w:rFonts w:ascii="Palatino Linotype" w:hAnsi="Palatino Linotype" w:cs="Times New Roman"/>
          <w:sz w:val="20"/>
          <w:szCs w:val="20"/>
        </w:rPr>
        <w:t>Preložnjak</w:t>
      </w:r>
      <w:proofErr w:type="spellEnd"/>
      <w:r w:rsidRPr="00D82F02">
        <w:rPr>
          <w:rFonts w:ascii="Palatino Linotype" w:hAnsi="Palatino Linotype" w:cs="Times New Roman"/>
          <w:sz w:val="20"/>
          <w:szCs w:val="20"/>
        </w:rPr>
        <w:t xml:space="preserve"> </w:t>
      </w:r>
      <w:r>
        <w:rPr>
          <w:rFonts w:ascii="Palatino Linotype" w:hAnsi="Palatino Linotype" w:cs="Times New Roman"/>
          <w:sz w:val="20"/>
          <w:szCs w:val="20"/>
        </w:rPr>
        <w:t xml:space="preserve">is Assistant Professor </w:t>
      </w:r>
      <w:r w:rsidR="00286718">
        <w:rPr>
          <w:rFonts w:ascii="Palatino Linotype" w:hAnsi="Palatino Linotype" w:cs="Times New Roman"/>
          <w:sz w:val="20"/>
          <w:szCs w:val="20"/>
        </w:rPr>
        <w:t xml:space="preserve">in the </w:t>
      </w:r>
      <w:r w:rsidR="00286718" w:rsidRPr="00D82F02">
        <w:rPr>
          <w:rFonts w:ascii="Palatino Linotype" w:hAnsi="Palatino Linotype" w:cs="Times New Roman"/>
          <w:sz w:val="20"/>
          <w:szCs w:val="20"/>
        </w:rPr>
        <w:t>Department of General Theory of State and Law</w:t>
      </w:r>
      <w:r w:rsidR="00286718">
        <w:rPr>
          <w:rFonts w:ascii="Palatino Linotype" w:hAnsi="Palatino Linotype" w:cs="Times New Roman"/>
          <w:sz w:val="20"/>
          <w:szCs w:val="20"/>
        </w:rPr>
        <w:t>,</w:t>
      </w:r>
      <w:r w:rsidRPr="00D82F02">
        <w:rPr>
          <w:rFonts w:ascii="Palatino Linotype" w:hAnsi="Palatino Linotype" w:cs="Times New Roman"/>
          <w:sz w:val="20"/>
          <w:szCs w:val="20"/>
        </w:rPr>
        <w:t xml:space="preserve"> </w:t>
      </w:r>
      <w:proofErr w:type="spellStart"/>
      <w:r w:rsidRPr="00D82F02">
        <w:rPr>
          <w:rFonts w:ascii="Palatino Linotype" w:hAnsi="Palatino Linotype" w:cs="Times New Roman"/>
          <w:sz w:val="20"/>
          <w:szCs w:val="20"/>
        </w:rPr>
        <w:t>Juraj</w:t>
      </w:r>
      <w:proofErr w:type="spellEnd"/>
      <w:r w:rsidRPr="00D82F02">
        <w:rPr>
          <w:rFonts w:ascii="Palatino Linotype" w:hAnsi="Palatino Linotype" w:cs="Times New Roman"/>
          <w:sz w:val="20"/>
          <w:szCs w:val="20"/>
        </w:rPr>
        <w:t xml:space="preserve"> </w:t>
      </w:r>
      <w:proofErr w:type="spellStart"/>
      <w:r w:rsidRPr="00D82F02">
        <w:rPr>
          <w:rFonts w:ascii="Palatino Linotype" w:hAnsi="Palatino Linotype" w:cs="Times New Roman"/>
          <w:sz w:val="20"/>
          <w:szCs w:val="20"/>
        </w:rPr>
        <w:t>Brozović</w:t>
      </w:r>
      <w:proofErr w:type="spellEnd"/>
      <w:r w:rsidRPr="00D82F02">
        <w:rPr>
          <w:rFonts w:ascii="Palatino Linotype" w:hAnsi="Palatino Linotype" w:cs="Times New Roman"/>
          <w:sz w:val="20"/>
          <w:szCs w:val="20"/>
        </w:rPr>
        <w:t xml:space="preserve"> </w:t>
      </w:r>
      <w:r>
        <w:rPr>
          <w:rFonts w:ascii="Palatino Linotype" w:hAnsi="Palatino Linotype" w:cs="Times New Roman"/>
          <w:sz w:val="20"/>
          <w:szCs w:val="20"/>
        </w:rPr>
        <w:t>is</w:t>
      </w:r>
      <w:r w:rsidR="00017CF3">
        <w:rPr>
          <w:rFonts w:ascii="Palatino Linotype" w:hAnsi="Palatino Linotype" w:cs="Times New Roman"/>
          <w:sz w:val="20"/>
          <w:szCs w:val="20"/>
        </w:rPr>
        <w:t xml:space="preserve"> Research Assistant </w:t>
      </w:r>
      <w:r w:rsidR="00286718">
        <w:rPr>
          <w:rFonts w:ascii="Palatino Linotype" w:hAnsi="Palatino Linotype" w:cs="Times New Roman"/>
          <w:sz w:val="20"/>
          <w:szCs w:val="20"/>
        </w:rPr>
        <w:t>in the Department for Civil Procedure Law. Both are assistants to the Director</w:t>
      </w:r>
      <w:r w:rsidRPr="00D82F02">
        <w:rPr>
          <w:rFonts w:ascii="Palatino Linotype" w:hAnsi="Palatino Linotype" w:cs="Times New Roman"/>
          <w:sz w:val="20"/>
          <w:szCs w:val="20"/>
        </w:rPr>
        <w:t xml:space="preserve"> </w:t>
      </w:r>
      <w:r>
        <w:rPr>
          <w:rFonts w:ascii="Palatino Linotype" w:hAnsi="Palatino Linotype" w:cs="Times New Roman"/>
          <w:sz w:val="20"/>
          <w:szCs w:val="20"/>
        </w:rPr>
        <w:t xml:space="preserve">at Zagreb University.  </w:t>
      </w:r>
      <w:r w:rsidRPr="00D82F02">
        <w:rPr>
          <w:rFonts w:ascii="Palatino Linotype" w:hAnsi="Palatino Linotype" w:cs="Times New Roman"/>
          <w:sz w:val="20"/>
          <w:szCs w:val="20"/>
        </w:rPr>
        <w:t>This work has been supported in part by Croatian Science Foundation under the project 6988.</w:t>
      </w:r>
      <w:bookmarkStart w:id="0" w:name="_GoBack"/>
      <w:bookmarkEnd w:id="0"/>
    </w:p>
  </w:footnote>
  <w:footnote w:id="3">
    <w:p w14:paraId="643AF0F6" w14:textId="5B0E0C8A" w:rsidR="00A63E8D" w:rsidRPr="00D82F02" w:rsidRDefault="00A63E8D" w:rsidP="00D25C18">
      <w:pPr>
        <w:pStyle w:val="FootnoteText"/>
        <w:jc w:val="both"/>
        <w:rPr>
          <w:rFonts w:ascii="Palatino Linotype" w:hAnsi="Palatino Linotype" w:cs="Times New Roman"/>
          <w:lang w:val="en-GB"/>
        </w:rPr>
      </w:pPr>
      <w:r w:rsidRPr="00D82F02">
        <w:rPr>
          <w:rStyle w:val="FootnoteReference"/>
          <w:rFonts w:ascii="Palatino Linotype" w:hAnsi="Palatino Linotype" w:cs="Times New Roman"/>
          <w:lang w:val="en-GB"/>
        </w:rPr>
        <w:footnoteRef/>
      </w:r>
      <w:r w:rsidRPr="00D82F02">
        <w:rPr>
          <w:rFonts w:ascii="Palatino Linotype" w:hAnsi="Palatino Linotype" w:cs="Times New Roman"/>
          <w:lang w:val="en-GB"/>
        </w:rPr>
        <w:t xml:space="preserve"> Research has shown that the modern law firms share ideas of what they expect from law graduates. There are certain competencies which are most important in the hiring decision (</w:t>
      </w:r>
      <w:r w:rsidRPr="00D82F02">
        <w:rPr>
          <w:rFonts w:ascii="Palatino Linotype" w:eastAsia="Times New Roman" w:hAnsi="Palatino Linotype" w:cs="Times New Roman"/>
        </w:rPr>
        <w:t>Hamilton, N. W., Law-Firm Competency Models and Student Professional Success: Building on a Foundation of Professional Formation/Professionalism, University of St. Thomas Law Journal, Vol. 11, Issue 1, 2013, pp. 6-38</w:t>
      </w:r>
      <w:r w:rsidRPr="00D82F02">
        <w:rPr>
          <w:rFonts w:ascii="Palatino Linotype" w:hAnsi="Palatino Linotype" w:cs="Times New Roman"/>
          <w:lang w:val="en-GB"/>
        </w:rPr>
        <w:t xml:space="preserve">). </w:t>
      </w:r>
    </w:p>
  </w:footnote>
  <w:footnote w:id="4">
    <w:p w14:paraId="336884C5" w14:textId="3EAA5128" w:rsidR="00A63E8D" w:rsidRPr="00D82F02" w:rsidRDefault="00A63E8D" w:rsidP="00D25C18">
      <w:pPr>
        <w:pStyle w:val="FootnoteText"/>
        <w:jc w:val="both"/>
        <w:rPr>
          <w:rFonts w:ascii="Palatino Linotype" w:hAnsi="Palatino Linotype" w:cs="Times New Roman"/>
          <w:lang w:val="en-GB"/>
        </w:rPr>
      </w:pPr>
      <w:r w:rsidRPr="00D82F02">
        <w:rPr>
          <w:rStyle w:val="FootnoteReference"/>
          <w:rFonts w:ascii="Palatino Linotype" w:hAnsi="Palatino Linotype" w:cs="Times New Roman"/>
          <w:lang w:val="en-GB"/>
        </w:rPr>
        <w:footnoteRef/>
      </w:r>
      <w:r w:rsidRPr="00D82F02">
        <w:rPr>
          <w:rFonts w:ascii="Palatino Linotype" w:hAnsi="Palatino Linotype" w:cs="Times New Roman"/>
          <w:lang w:val="en-GB"/>
        </w:rPr>
        <w:t xml:space="preserve"> </w:t>
      </w:r>
      <w:r w:rsidRPr="00D82F02">
        <w:rPr>
          <w:rFonts w:ascii="Palatino Linotype" w:hAnsi="Palatino Linotype" w:cs="Times New Roman"/>
        </w:rPr>
        <w:t>Bloch, F. S, Access to Justice and the Global Clinical Movement, Washington University Journal of Law &amp; Policy, Vol. 28, 2008</w:t>
      </w:r>
      <w:r w:rsidRPr="00D82F02">
        <w:rPr>
          <w:rFonts w:ascii="Palatino Linotype" w:hAnsi="Palatino Linotype" w:cs="Times New Roman"/>
          <w:lang w:val="en-GB"/>
        </w:rPr>
        <w:t>, p. 113. For a broader perspective and overview of different clinical models and experiences worldwide see Bloch, F. S. (ed.), The Global Clinical Movement: Educating Lawyers for Social Justice, Oxford University Press, New York, 2010.</w:t>
      </w:r>
    </w:p>
  </w:footnote>
  <w:footnote w:id="5">
    <w:p w14:paraId="2893ACD1" w14:textId="2509C763" w:rsidR="00A63E8D" w:rsidRPr="00D82F02" w:rsidRDefault="00A63E8D" w:rsidP="00D25C18">
      <w:pPr>
        <w:pStyle w:val="Body"/>
        <w:jc w:val="both"/>
        <w:rPr>
          <w:rFonts w:ascii="Palatino Linotype" w:hAnsi="Palatino Linotype" w:cs="Times New Roman"/>
          <w:sz w:val="20"/>
          <w:szCs w:val="20"/>
        </w:rPr>
      </w:pPr>
      <w:r w:rsidRPr="00D82F02">
        <w:rPr>
          <w:rFonts w:ascii="Palatino Linotype" w:eastAsia="Times New Roman" w:hAnsi="Palatino Linotype" w:cs="Times New Roman"/>
          <w:sz w:val="20"/>
          <w:szCs w:val="20"/>
          <w:vertAlign w:val="superscript"/>
        </w:rPr>
        <w:footnoteRef/>
      </w:r>
      <w:r w:rsidRPr="00D82F02">
        <w:rPr>
          <w:rFonts w:ascii="Palatino Linotype" w:hAnsi="Palatino Linotype" w:cs="Times New Roman"/>
          <w:sz w:val="20"/>
          <w:szCs w:val="20"/>
        </w:rPr>
        <w:t xml:space="preserve"> </w:t>
      </w:r>
      <w:proofErr w:type="spellStart"/>
      <w:r w:rsidRPr="00D82F02">
        <w:rPr>
          <w:rFonts w:ascii="Palatino Linotype" w:hAnsi="Palatino Linotype" w:cs="Times New Roman"/>
          <w:sz w:val="20"/>
          <w:szCs w:val="20"/>
        </w:rPr>
        <w:t>Vadapalli</w:t>
      </w:r>
      <w:proofErr w:type="spellEnd"/>
      <w:r w:rsidRPr="00D82F02">
        <w:rPr>
          <w:rFonts w:ascii="Palatino Linotype" w:hAnsi="Palatino Linotype" w:cs="Times New Roman"/>
          <w:sz w:val="20"/>
          <w:szCs w:val="20"/>
        </w:rPr>
        <w:t>, R., The Perspective of Clinical Legal Education" Selected Works, 2010, p. 1.</w:t>
      </w:r>
      <w:r w:rsidR="00E73243" w:rsidRPr="00D82F02">
        <w:rPr>
          <w:rFonts w:ascii="Palatino Linotype" w:hAnsi="Palatino Linotype" w:cs="Times New Roman"/>
          <w:sz w:val="20"/>
          <w:szCs w:val="20"/>
        </w:rPr>
        <w:t xml:space="preserve"> Available at: </w:t>
      </w:r>
      <w:hyperlink r:id="rId1" w:history="1">
        <w:r w:rsidR="00E73243" w:rsidRPr="00D82F02">
          <w:rPr>
            <w:rStyle w:val="Hyperlink"/>
            <w:rFonts w:ascii="Palatino Linotype" w:hAnsi="Palatino Linotype" w:cs="Times New Roman"/>
            <w:sz w:val="20"/>
            <w:szCs w:val="20"/>
          </w:rPr>
          <w:t>http://works.bepress.com/ranganath_vadapalli/9/</w:t>
        </w:r>
      </w:hyperlink>
      <w:r w:rsidR="00E73243" w:rsidRPr="00D82F02">
        <w:rPr>
          <w:rFonts w:ascii="Palatino Linotype" w:hAnsi="Palatino Linotype" w:cs="Times New Roman"/>
          <w:sz w:val="20"/>
          <w:szCs w:val="20"/>
        </w:rPr>
        <w:t xml:space="preserve"> (24/10/2016).</w:t>
      </w:r>
    </w:p>
  </w:footnote>
  <w:footnote w:id="6">
    <w:p w14:paraId="4459927C"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w:t>
      </w:r>
    </w:p>
  </w:footnote>
  <w:footnote w:id="7">
    <w:p w14:paraId="20A01528" w14:textId="79D208EA" w:rsidR="00A63E8D" w:rsidRPr="00D82F02" w:rsidRDefault="00A63E8D" w:rsidP="00D25C18">
      <w:pPr>
        <w:pStyle w:val="FootnoteText"/>
        <w:jc w:val="both"/>
        <w:rPr>
          <w:rFonts w:ascii="Palatino Linotype" w:hAnsi="Palatino Linotype" w:cs="Times New Roman"/>
          <w:lang w:val="en-GB"/>
        </w:rPr>
      </w:pPr>
      <w:r w:rsidRPr="00D82F02">
        <w:rPr>
          <w:rStyle w:val="FootnoteReference"/>
          <w:rFonts w:ascii="Palatino Linotype" w:hAnsi="Palatino Linotype" w:cs="Times New Roman"/>
          <w:lang w:val="en-GB"/>
        </w:rPr>
        <w:footnoteRef/>
      </w:r>
      <w:r w:rsidRPr="00D82F02">
        <w:rPr>
          <w:rFonts w:ascii="Palatino Linotype" w:hAnsi="Palatino Linotype" w:cs="Times New Roman"/>
          <w:lang w:val="en-GB"/>
        </w:rPr>
        <w:t xml:space="preserve"> See </w:t>
      </w:r>
      <w:hyperlink r:id="rId2" w:history="1">
        <w:r w:rsidRPr="00D82F02">
          <w:rPr>
            <w:rStyle w:val="Hyperlink"/>
            <w:rFonts w:ascii="Palatino Linotype" w:hAnsi="Palatino Linotype" w:cs="Times New Roman"/>
            <w:lang w:val="en-GB"/>
          </w:rPr>
          <w:t>http://klinika.pravo.unizg.hr/law-clinic-zagreb</w:t>
        </w:r>
      </w:hyperlink>
      <w:r w:rsidRPr="00D82F02">
        <w:rPr>
          <w:rFonts w:ascii="Palatino Linotype" w:hAnsi="Palatino Linotype" w:cs="Times New Roman"/>
          <w:lang w:val="en-GB"/>
        </w:rPr>
        <w:t xml:space="preserve"> (16/08/2016).</w:t>
      </w:r>
    </w:p>
  </w:footnote>
  <w:footnote w:id="8">
    <w:p w14:paraId="3B55809B" w14:textId="68376640" w:rsidR="00A63E8D" w:rsidRPr="00D82F02" w:rsidRDefault="00A63E8D" w:rsidP="00D25C18">
      <w:pPr>
        <w:pStyle w:val="Body"/>
        <w:jc w:val="both"/>
        <w:rPr>
          <w:rFonts w:ascii="Palatino Linotype" w:hAnsi="Palatino Linotype" w:cs="Times New Roman"/>
          <w:sz w:val="20"/>
          <w:szCs w:val="20"/>
        </w:rPr>
      </w:pPr>
      <w:r w:rsidRPr="00D82F02">
        <w:rPr>
          <w:rFonts w:ascii="Palatino Linotype" w:eastAsia="Times New Roman" w:hAnsi="Palatino Linotype" w:cs="Times New Roman"/>
          <w:sz w:val="20"/>
          <w:szCs w:val="20"/>
          <w:vertAlign w:val="superscript"/>
        </w:rPr>
        <w:footnoteRef/>
      </w:r>
      <w:r w:rsidRPr="00D82F02">
        <w:rPr>
          <w:rFonts w:ascii="Palatino Linotype" w:hAnsi="Palatino Linotype" w:cs="Times New Roman"/>
          <w:sz w:val="20"/>
          <w:szCs w:val="20"/>
        </w:rPr>
        <w:t xml:space="preserve"> </w:t>
      </w:r>
      <w:proofErr w:type="spellStart"/>
      <w:r w:rsidRPr="00D82F02">
        <w:rPr>
          <w:rFonts w:ascii="Palatino Linotype" w:hAnsi="Palatino Linotype" w:cs="Times New Roman"/>
          <w:sz w:val="20"/>
          <w:szCs w:val="20"/>
        </w:rPr>
        <w:t>Wizner</w:t>
      </w:r>
      <w:proofErr w:type="spellEnd"/>
      <w:r w:rsidRPr="00D82F02">
        <w:rPr>
          <w:rFonts w:ascii="Palatino Linotype" w:hAnsi="Palatino Linotype" w:cs="Times New Roman"/>
          <w:sz w:val="20"/>
          <w:szCs w:val="20"/>
        </w:rPr>
        <w:t>, S., The Law School Clinic: Legal Education in the Interests of Justice, Fordham Law Review, 2002, Vol. 70(5), pp. 1931 -1933.</w:t>
      </w:r>
    </w:p>
  </w:footnote>
  <w:footnote w:id="9">
    <w:p w14:paraId="5A3380D1" w14:textId="67337086"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 pp. 1931, 1932.</w:t>
      </w:r>
    </w:p>
  </w:footnote>
  <w:footnote w:id="10">
    <w:p w14:paraId="04E1A8D9"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 p. 1933.</w:t>
      </w:r>
    </w:p>
  </w:footnote>
  <w:footnote w:id="11">
    <w:p w14:paraId="601734EB" w14:textId="305A95CB" w:rsidR="00A63E8D" w:rsidRPr="00D82F02" w:rsidRDefault="00A63E8D" w:rsidP="00D25C18">
      <w:pPr>
        <w:pStyle w:val="Body"/>
        <w:jc w:val="both"/>
        <w:rPr>
          <w:rFonts w:ascii="Palatino Linotype" w:hAnsi="Palatino Linotype" w:cs="Times New Roman"/>
          <w:sz w:val="20"/>
          <w:szCs w:val="20"/>
        </w:rPr>
      </w:pPr>
      <w:r w:rsidRPr="00D82F02">
        <w:rPr>
          <w:rFonts w:ascii="Palatino Linotype" w:eastAsia="Times New Roman" w:hAnsi="Palatino Linotype" w:cs="Times New Roman"/>
          <w:sz w:val="20"/>
          <w:szCs w:val="20"/>
          <w:vertAlign w:val="superscript"/>
        </w:rPr>
        <w:footnoteRef/>
      </w:r>
      <w:r w:rsidRPr="00D82F02">
        <w:rPr>
          <w:rFonts w:ascii="Palatino Linotype" w:hAnsi="Palatino Linotype" w:cs="Times New Roman"/>
          <w:sz w:val="20"/>
          <w:szCs w:val="20"/>
        </w:rPr>
        <w:t xml:space="preserve"> Barry, M., et al., Clinical Education for this Millennium: The Third Wave, Clinical Law Review, 2000, Vol. 7(1), pp. 19-20.</w:t>
      </w:r>
    </w:p>
  </w:footnote>
  <w:footnote w:id="12">
    <w:p w14:paraId="7555FC07"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 p. 20-22.</w:t>
      </w:r>
    </w:p>
  </w:footnote>
  <w:footnote w:id="13">
    <w:p w14:paraId="7EB27E84" w14:textId="1E315FD8" w:rsidR="00A63E8D" w:rsidRPr="00D82F02" w:rsidRDefault="00A63E8D" w:rsidP="00D25C18">
      <w:pPr>
        <w:pStyle w:val="Body"/>
        <w:jc w:val="both"/>
        <w:rPr>
          <w:rFonts w:ascii="Palatino Linotype" w:hAnsi="Palatino Linotype" w:cs="Times New Roman"/>
          <w:sz w:val="20"/>
          <w:szCs w:val="20"/>
        </w:rPr>
      </w:pPr>
      <w:r w:rsidRPr="00D82F02">
        <w:rPr>
          <w:rFonts w:ascii="Palatino Linotype" w:eastAsia="Times New Roman" w:hAnsi="Palatino Linotype" w:cs="Times New Roman"/>
          <w:sz w:val="20"/>
          <w:szCs w:val="20"/>
          <w:vertAlign w:val="superscript"/>
        </w:rPr>
        <w:footnoteRef/>
      </w:r>
      <w:r w:rsidRPr="00D82F02">
        <w:rPr>
          <w:rFonts w:ascii="Palatino Linotype" w:hAnsi="Palatino Linotype" w:cs="Times New Roman"/>
          <w:sz w:val="20"/>
          <w:szCs w:val="20"/>
        </w:rPr>
        <w:t xml:space="preserve"> </w:t>
      </w:r>
      <w:proofErr w:type="spellStart"/>
      <w:r w:rsidRPr="00D82F02">
        <w:rPr>
          <w:rFonts w:ascii="Palatino Linotype" w:hAnsi="Palatino Linotype" w:cs="Times New Roman"/>
          <w:sz w:val="20"/>
          <w:szCs w:val="20"/>
        </w:rPr>
        <w:t>Radvany</w:t>
      </w:r>
      <w:proofErr w:type="spellEnd"/>
      <w:r w:rsidRPr="00D82F02">
        <w:rPr>
          <w:rFonts w:ascii="Palatino Linotype" w:hAnsi="Palatino Linotype" w:cs="Times New Roman"/>
          <w:sz w:val="20"/>
          <w:szCs w:val="20"/>
        </w:rPr>
        <w:t>, P., Preparing Law Students to Become Litigators in the New Legal Landscape, Review of Litigation, 2014, Vol. 33(4), p. 881.</w:t>
      </w:r>
    </w:p>
  </w:footnote>
  <w:footnote w:id="14">
    <w:p w14:paraId="20AC9666"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fr-FR"/>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fr-FR"/>
        </w:rPr>
        <w:t xml:space="preserve"> </w:t>
      </w:r>
      <w:proofErr w:type="spellStart"/>
      <w:r w:rsidRPr="00D82F02">
        <w:rPr>
          <w:rFonts w:ascii="Palatino Linotype" w:hAnsi="Palatino Linotype" w:cs="Times New Roman"/>
          <w:lang w:val="fr-FR"/>
        </w:rPr>
        <w:t>Marson</w:t>
      </w:r>
      <w:proofErr w:type="spellEnd"/>
      <w:r w:rsidRPr="00D82F02">
        <w:rPr>
          <w:rFonts w:ascii="Palatino Linotype" w:hAnsi="Palatino Linotype" w:cs="Times New Roman"/>
          <w:lang w:val="fr-FR"/>
        </w:rPr>
        <w:t xml:space="preserve"> et. al. 2005, p. 29.; Quigley 1995, p. 471.</w:t>
      </w:r>
    </w:p>
  </w:footnote>
  <w:footnote w:id="15">
    <w:p w14:paraId="1812980E" w14:textId="77777777" w:rsidR="00A63E8D" w:rsidRPr="00D82F02" w:rsidRDefault="00A63E8D" w:rsidP="00D25C18">
      <w:pPr>
        <w:pStyle w:val="Body"/>
        <w:jc w:val="both"/>
        <w:rPr>
          <w:rFonts w:ascii="Palatino Linotype" w:hAnsi="Palatino Linotype" w:cs="Times New Roman"/>
          <w:sz w:val="20"/>
          <w:szCs w:val="20"/>
        </w:rPr>
      </w:pPr>
      <w:r w:rsidRPr="00D82F02">
        <w:rPr>
          <w:rFonts w:ascii="Palatino Linotype" w:eastAsia="Times New Roman" w:hAnsi="Palatino Linotype" w:cs="Times New Roman"/>
          <w:sz w:val="20"/>
          <w:szCs w:val="20"/>
          <w:vertAlign w:val="superscript"/>
        </w:rPr>
        <w:footnoteRef/>
      </w:r>
      <w:r w:rsidRPr="00D82F02">
        <w:rPr>
          <w:rFonts w:ascii="Palatino Linotype" w:hAnsi="Palatino Linotype" w:cs="Times New Roman"/>
          <w:sz w:val="20"/>
          <w:szCs w:val="20"/>
        </w:rPr>
        <w:t xml:space="preserve"> </w:t>
      </w:r>
      <w:proofErr w:type="spellStart"/>
      <w:r w:rsidRPr="00D82F02">
        <w:rPr>
          <w:rFonts w:ascii="Palatino Linotype" w:hAnsi="Palatino Linotype" w:cs="Times New Roman"/>
          <w:sz w:val="20"/>
          <w:szCs w:val="20"/>
        </w:rPr>
        <w:t>Wizner</w:t>
      </w:r>
      <w:proofErr w:type="spellEnd"/>
      <w:r w:rsidRPr="00D82F02">
        <w:rPr>
          <w:rFonts w:ascii="Palatino Linotype" w:hAnsi="Palatino Linotype" w:cs="Times New Roman"/>
          <w:sz w:val="20"/>
          <w:szCs w:val="20"/>
        </w:rPr>
        <w:t xml:space="preserve"> 2002, p. 1929.</w:t>
      </w:r>
    </w:p>
  </w:footnote>
  <w:footnote w:id="16">
    <w:p w14:paraId="6416800B" w14:textId="7F494D46" w:rsidR="00A63E8D" w:rsidRPr="00D82F02" w:rsidRDefault="00A63E8D" w:rsidP="00D25C18">
      <w:pPr>
        <w:pStyle w:val="FootnoteText"/>
        <w:jc w:val="both"/>
        <w:rPr>
          <w:rFonts w:ascii="Palatino Linotype" w:hAnsi="Palatino Linotype" w:cs="Times New Roman"/>
          <w:lang w:val="en-GB"/>
        </w:rPr>
      </w:pPr>
      <w:r w:rsidRPr="00D82F02">
        <w:rPr>
          <w:rStyle w:val="FootnoteReference"/>
          <w:rFonts w:ascii="Palatino Linotype" w:hAnsi="Palatino Linotype" w:cs="Times New Roman"/>
          <w:lang w:val="en-GB"/>
        </w:rPr>
        <w:footnoteRef/>
      </w:r>
      <w:r w:rsidRPr="00D82F02">
        <w:rPr>
          <w:rFonts w:ascii="Palatino Linotype" w:hAnsi="Palatino Linotype" w:cs="Times New Roman"/>
          <w:lang w:val="en-GB"/>
        </w:rPr>
        <w:t xml:space="preserve"> Or at least that are the citizen’s average expectations. See Social welfare law: what the public wants from civil legal aid. Findings from a nationwide opinion poll, LAG, The Baring Foundation, p. 7. Available at: www.lag.org.uk/media/47770/social_welfare_law_what_the_public_wants_from_civil_legal_aid.pdf (24/10/2016). </w:t>
      </w:r>
    </w:p>
  </w:footnote>
  <w:footnote w:id="17">
    <w:p w14:paraId="1C601220"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w:t>
      </w:r>
      <w:proofErr w:type="spellStart"/>
      <w:r w:rsidRPr="00D82F02">
        <w:rPr>
          <w:rFonts w:ascii="Palatino Linotype" w:hAnsi="Palatino Linotype" w:cs="Times New Roman"/>
          <w:lang w:val="en-GB"/>
        </w:rPr>
        <w:t>Wizner</w:t>
      </w:r>
      <w:proofErr w:type="spellEnd"/>
      <w:r w:rsidRPr="00D82F02">
        <w:rPr>
          <w:rFonts w:ascii="Palatino Linotype" w:hAnsi="Palatino Linotype" w:cs="Times New Roman"/>
          <w:lang w:val="en-GB"/>
        </w:rPr>
        <w:t xml:space="preserve"> et. al. 2004, p. 997.</w:t>
      </w:r>
    </w:p>
  </w:footnote>
  <w:footnote w:id="18">
    <w:p w14:paraId="2CA42294"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w:t>
      </w:r>
      <w:proofErr w:type="spellStart"/>
      <w:r w:rsidRPr="00D82F02">
        <w:rPr>
          <w:rFonts w:ascii="Palatino Linotype" w:hAnsi="Palatino Linotype" w:cs="Times New Roman"/>
          <w:lang w:val="en-GB"/>
        </w:rPr>
        <w:t>Wizner</w:t>
      </w:r>
      <w:proofErr w:type="spellEnd"/>
      <w:r w:rsidRPr="00D82F02">
        <w:rPr>
          <w:rFonts w:ascii="Palatino Linotype" w:hAnsi="Palatino Linotype" w:cs="Times New Roman"/>
          <w:lang w:val="en-GB"/>
        </w:rPr>
        <w:t xml:space="preserve"> 2002, p. 1930.</w:t>
      </w:r>
    </w:p>
  </w:footnote>
  <w:footnote w:id="19">
    <w:p w14:paraId="2FCF5026"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w:t>
      </w:r>
    </w:p>
  </w:footnote>
  <w:footnote w:id="20">
    <w:p w14:paraId="3F42871D" w14:textId="72173A4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Law schools have a unique opportunity and obligation to make access to justice a more central social priority. Rhode, D. L., Access to Justice, Oxford University Press, 2004., p. 193. cited in </w:t>
      </w:r>
      <w:proofErr w:type="spellStart"/>
      <w:r w:rsidRPr="00D82F02">
        <w:rPr>
          <w:rFonts w:ascii="Palatino Linotype" w:hAnsi="Palatino Linotype" w:cs="Times New Roman"/>
          <w:lang w:val="en-GB"/>
        </w:rPr>
        <w:t>Wizner</w:t>
      </w:r>
      <w:proofErr w:type="spellEnd"/>
      <w:r w:rsidRPr="00D82F02">
        <w:rPr>
          <w:rFonts w:ascii="Palatino Linotype" w:hAnsi="Palatino Linotype" w:cs="Times New Roman"/>
          <w:lang w:val="en-GB"/>
        </w:rPr>
        <w:t xml:space="preserve"> et. al. 2004, p. 997. Students are in contact with real life clients and they are engaged in activities which are usually done by graduate lawyers. Such experience gives them unique opportunity to develop needed skills for working in practice. They interview the clients, do their own research, give their own advice etc. In order to do that in a proper manner, they need to understand the system in which they are going to work. For a further overview of the benefits of law clinics, see Kerrigan, K., Murray, V., A Student Guide to Clinical Legal Education and Pro Bono, Palgrave Macmillan, London, 2011, pp. 13-17.</w:t>
      </w:r>
    </w:p>
  </w:footnote>
  <w:footnote w:id="21">
    <w:p w14:paraId="76463E0C" w14:textId="746E905D" w:rsidR="00A63E8D" w:rsidRPr="00D82F02" w:rsidRDefault="00A63E8D" w:rsidP="00D25C18">
      <w:pPr>
        <w:pStyle w:val="Body"/>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sz w:val="20"/>
          <w:szCs w:val="20"/>
        </w:rPr>
      </w:pPr>
      <w:r w:rsidRPr="00D82F02">
        <w:rPr>
          <w:rFonts w:ascii="Palatino Linotype" w:eastAsia="Times New Roman" w:hAnsi="Palatino Linotype" w:cs="Times New Roman"/>
          <w:sz w:val="20"/>
          <w:szCs w:val="20"/>
          <w:vertAlign w:val="superscript"/>
        </w:rPr>
        <w:footnoteRef/>
      </w:r>
      <w:r w:rsidRPr="00D82F02">
        <w:rPr>
          <w:rFonts w:ascii="Palatino Linotype" w:hAnsi="Palatino Linotype" w:cs="Times New Roman"/>
          <w:sz w:val="20"/>
          <w:szCs w:val="20"/>
        </w:rPr>
        <w:t xml:space="preserve"> Ibid, p. 998.; Rhode, D., L., In the Interests of Justice: Reforming the Legal Profession, Oxford University Press, 2000, p. 199.</w:t>
      </w:r>
    </w:p>
  </w:footnote>
  <w:footnote w:id="22">
    <w:p w14:paraId="7FC73C61" w14:textId="50A53EDD" w:rsidR="00A63E8D" w:rsidRPr="00D82F02" w:rsidRDefault="00A63E8D" w:rsidP="00D25C18">
      <w:pPr>
        <w:pStyle w:val="Body"/>
        <w:jc w:val="both"/>
        <w:rPr>
          <w:rFonts w:ascii="Palatino Linotype" w:hAnsi="Palatino Linotype" w:cs="Times New Roman"/>
          <w:sz w:val="20"/>
          <w:szCs w:val="20"/>
        </w:rPr>
      </w:pPr>
      <w:r w:rsidRPr="00D82F02">
        <w:rPr>
          <w:rFonts w:ascii="Palatino Linotype" w:eastAsia="Times New Roman" w:hAnsi="Palatino Linotype" w:cs="Times New Roman"/>
          <w:sz w:val="20"/>
          <w:szCs w:val="20"/>
          <w:vertAlign w:val="superscript"/>
        </w:rPr>
        <w:footnoteRef/>
      </w:r>
      <w:r w:rsidRPr="00D82F02">
        <w:rPr>
          <w:rFonts w:ascii="Palatino Linotype" w:hAnsi="Palatino Linotype" w:cs="Times New Roman"/>
          <w:sz w:val="20"/>
          <w:szCs w:val="20"/>
        </w:rPr>
        <w:t xml:space="preserve"> Katz, M., Understanding the Costs of Experiential Legal Education, Journal of Experiential Learning, 2015, Vol. 1(1), p. 28.</w:t>
      </w:r>
    </w:p>
  </w:footnote>
  <w:footnote w:id="23">
    <w:p w14:paraId="19645658"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w:t>
      </w:r>
    </w:p>
  </w:footnote>
  <w:footnote w:id="24">
    <w:p w14:paraId="3951203F" w14:textId="6E698EE8"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 p.36.</w:t>
      </w:r>
    </w:p>
  </w:footnote>
  <w:footnote w:id="25">
    <w:p w14:paraId="784EE627" w14:textId="337C6D43"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Joy, P. A., The Cost of Clinical Legal Education, Boston College Journal of Law and Social Justice, 2012, Vol. 32(2), p. 327.</w:t>
      </w:r>
    </w:p>
  </w:footnote>
  <w:footnote w:id="26">
    <w:p w14:paraId="05E05B23" w14:textId="77777777" w:rsidR="00A63E8D" w:rsidRPr="00D82F02" w:rsidRDefault="00A63E8D" w:rsidP="00D25C18">
      <w:pPr>
        <w:pStyle w:val="Body"/>
        <w:jc w:val="both"/>
        <w:rPr>
          <w:rFonts w:ascii="Palatino Linotype" w:hAnsi="Palatino Linotype" w:cs="Times New Roman"/>
          <w:sz w:val="20"/>
          <w:szCs w:val="20"/>
        </w:rPr>
      </w:pPr>
      <w:r w:rsidRPr="00D82F02">
        <w:rPr>
          <w:rFonts w:ascii="Palatino Linotype" w:eastAsia="Times New Roman" w:hAnsi="Palatino Linotype" w:cs="Times New Roman"/>
          <w:sz w:val="20"/>
          <w:szCs w:val="20"/>
          <w:vertAlign w:val="superscript"/>
        </w:rPr>
        <w:footnoteRef/>
      </w:r>
      <w:r w:rsidRPr="00D82F02">
        <w:rPr>
          <w:rFonts w:ascii="Palatino Linotype" w:hAnsi="Palatino Linotype" w:cs="Times New Roman"/>
          <w:sz w:val="20"/>
          <w:szCs w:val="20"/>
        </w:rPr>
        <w:t xml:space="preserve"> Ibid.</w:t>
      </w:r>
    </w:p>
  </w:footnote>
  <w:footnote w:id="27">
    <w:p w14:paraId="0B14EFA9" w14:textId="241FB196" w:rsidR="00A63E8D" w:rsidRPr="00D82F02" w:rsidRDefault="00A63E8D" w:rsidP="00D25C18">
      <w:pPr>
        <w:pStyle w:val="Body"/>
        <w:jc w:val="both"/>
        <w:rPr>
          <w:rFonts w:ascii="Palatino Linotype" w:hAnsi="Palatino Linotype" w:cs="Times New Roman"/>
          <w:sz w:val="20"/>
          <w:szCs w:val="20"/>
        </w:rPr>
      </w:pPr>
      <w:r w:rsidRPr="00D82F02">
        <w:rPr>
          <w:rFonts w:ascii="Palatino Linotype" w:eastAsia="Times New Roman" w:hAnsi="Palatino Linotype" w:cs="Times New Roman"/>
          <w:sz w:val="20"/>
          <w:szCs w:val="20"/>
          <w:vertAlign w:val="superscript"/>
        </w:rPr>
        <w:footnoteRef/>
      </w:r>
      <w:r w:rsidRPr="00D82F02">
        <w:rPr>
          <w:rFonts w:ascii="Palatino Linotype" w:hAnsi="Palatino Linotype" w:cs="Times New Roman"/>
          <w:sz w:val="20"/>
          <w:szCs w:val="20"/>
        </w:rPr>
        <w:t xml:space="preserve"> Ibid., For detailed financial planning clinical legal education see more Katz 2015.</w:t>
      </w:r>
    </w:p>
  </w:footnote>
  <w:footnote w:id="28">
    <w:p w14:paraId="3D3AE4BC" w14:textId="47786414"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 p.328.</w:t>
      </w:r>
    </w:p>
  </w:footnote>
  <w:footnote w:id="29">
    <w:p w14:paraId="1765DEEF" w14:textId="6160A9B8" w:rsidR="00A63E8D" w:rsidRPr="00D82F02" w:rsidRDefault="00A63E8D" w:rsidP="00D25C18">
      <w:pPr>
        <w:pStyle w:val="Body"/>
        <w:jc w:val="both"/>
        <w:rPr>
          <w:rFonts w:ascii="Palatino Linotype" w:hAnsi="Palatino Linotype" w:cs="Times New Roman"/>
          <w:sz w:val="20"/>
          <w:szCs w:val="20"/>
        </w:rPr>
      </w:pPr>
      <w:r w:rsidRPr="00D82F02">
        <w:rPr>
          <w:rFonts w:ascii="Palatino Linotype" w:eastAsia="Times New Roman" w:hAnsi="Palatino Linotype" w:cs="Times New Roman"/>
          <w:sz w:val="20"/>
          <w:szCs w:val="20"/>
          <w:vertAlign w:val="superscript"/>
        </w:rPr>
        <w:footnoteRef/>
      </w:r>
      <w:r w:rsidRPr="00D82F02">
        <w:rPr>
          <w:rFonts w:ascii="Palatino Linotype" w:hAnsi="Palatino Linotype" w:cs="Times New Roman"/>
          <w:sz w:val="20"/>
          <w:szCs w:val="20"/>
        </w:rPr>
        <w:t xml:space="preserve"> See </w:t>
      </w:r>
      <w:proofErr w:type="spellStart"/>
      <w:r w:rsidRPr="00D82F02">
        <w:rPr>
          <w:rFonts w:ascii="Palatino Linotype" w:hAnsi="Palatino Linotype" w:cs="Times New Roman"/>
          <w:sz w:val="20"/>
          <w:szCs w:val="20"/>
        </w:rPr>
        <w:t>Kuehen</w:t>
      </w:r>
      <w:proofErr w:type="spellEnd"/>
      <w:r w:rsidRPr="00D82F02">
        <w:rPr>
          <w:rFonts w:ascii="Palatino Linotype" w:hAnsi="Palatino Linotype" w:cs="Times New Roman"/>
          <w:sz w:val="20"/>
          <w:szCs w:val="20"/>
        </w:rPr>
        <w:t xml:space="preserve">, R. R., Pricing Clinical Legal Education, Denver University Law Review, 2015, Vol. 92(1); Joy, P. A., The </w:t>
      </w:r>
      <w:proofErr w:type="spellStart"/>
      <w:r w:rsidRPr="00D82F02">
        <w:rPr>
          <w:rFonts w:ascii="Palatino Linotype" w:hAnsi="Palatino Linotype" w:cs="Times New Roman"/>
          <w:sz w:val="20"/>
          <w:szCs w:val="20"/>
        </w:rPr>
        <w:t>MacCrate</w:t>
      </w:r>
      <w:proofErr w:type="spellEnd"/>
      <w:r w:rsidRPr="00D82F02">
        <w:rPr>
          <w:rFonts w:ascii="Palatino Linotype" w:hAnsi="Palatino Linotype" w:cs="Times New Roman"/>
          <w:sz w:val="20"/>
          <w:szCs w:val="20"/>
        </w:rPr>
        <w:t xml:space="preserve"> Report: Moving Toward Integrated Learning Experiences, Clinical Law Review, 1994, Vol. 1(2), pp. 401, 404.</w:t>
      </w:r>
    </w:p>
  </w:footnote>
  <w:footnote w:id="30">
    <w:p w14:paraId="3A263A1C" w14:textId="545BEE61"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w:t>
      </w:r>
      <w:proofErr w:type="spellStart"/>
      <w:r w:rsidRPr="00D82F02">
        <w:rPr>
          <w:rFonts w:ascii="Palatino Linotype" w:hAnsi="Palatino Linotype" w:cs="Times New Roman"/>
          <w:lang w:val="en-GB"/>
        </w:rPr>
        <w:t>Marson</w:t>
      </w:r>
      <w:proofErr w:type="spellEnd"/>
      <w:r w:rsidRPr="00D82F02">
        <w:rPr>
          <w:rFonts w:ascii="Palatino Linotype" w:hAnsi="Palatino Linotype" w:cs="Times New Roman"/>
          <w:lang w:val="en-GB"/>
        </w:rPr>
        <w:t xml:space="preserve">, J., Wilson, A., Van </w:t>
      </w:r>
      <w:proofErr w:type="spellStart"/>
      <w:r w:rsidRPr="00D82F02">
        <w:rPr>
          <w:rFonts w:ascii="Palatino Linotype" w:hAnsi="Palatino Linotype" w:cs="Times New Roman"/>
          <w:lang w:val="en-GB"/>
        </w:rPr>
        <w:t>Hoorebeek</w:t>
      </w:r>
      <w:proofErr w:type="spellEnd"/>
      <w:r w:rsidRPr="00D82F02">
        <w:rPr>
          <w:rFonts w:ascii="Palatino Linotype" w:hAnsi="Palatino Linotype" w:cs="Times New Roman"/>
          <w:lang w:val="en-GB"/>
        </w:rPr>
        <w:t>, M., The necessity of clinical legal education in university law schools: a UK Perspective, International Journal of Clinical Legal Education, 2005, Vol. 7, p. 29.</w:t>
      </w:r>
    </w:p>
  </w:footnote>
  <w:footnote w:id="31">
    <w:p w14:paraId="6790225B" w14:textId="650FE476" w:rsidR="00A63E8D" w:rsidRPr="00D82F02" w:rsidRDefault="00A63E8D" w:rsidP="00D25C18">
      <w:pPr>
        <w:pStyle w:val="Body"/>
        <w:jc w:val="both"/>
        <w:rPr>
          <w:rFonts w:ascii="Palatino Linotype" w:hAnsi="Palatino Linotype" w:cs="Times New Roman"/>
          <w:sz w:val="20"/>
          <w:szCs w:val="20"/>
        </w:rPr>
      </w:pPr>
      <w:r w:rsidRPr="00D82F02">
        <w:rPr>
          <w:rFonts w:ascii="Palatino Linotype" w:eastAsia="Times New Roman" w:hAnsi="Palatino Linotype" w:cs="Times New Roman"/>
          <w:sz w:val="20"/>
          <w:szCs w:val="20"/>
          <w:vertAlign w:val="superscript"/>
        </w:rPr>
        <w:footnoteRef/>
      </w:r>
      <w:r w:rsidRPr="00D82F02">
        <w:rPr>
          <w:rFonts w:ascii="Palatino Linotype" w:hAnsi="Palatino Linotype" w:cs="Times New Roman"/>
          <w:sz w:val="20"/>
          <w:szCs w:val="20"/>
        </w:rPr>
        <w:t xml:space="preserve"> Haydock, R. S., Clinical Legal Education: The History and Development of a Law, William Mitchell Law Review, 1983, Vol. 9(1), p. 142-144. In-kind contributions can be given basically in any goods, commodities or services, as long as they are not money-based.</w:t>
      </w:r>
    </w:p>
  </w:footnote>
  <w:footnote w:id="32">
    <w:p w14:paraId="1F82E343" w14:textId="33A3CE67" w:rsidR="00A63E8D" w:rsidRPr="00D82F02" w:rsidRDefault="00A63E8D" w:rsidP="00D25C18">
      <w:pPr>
        <w:pStyle w:val="Body"/>
        <w:jc w:val="both"/>
        <w:rPr>
          <w:rFonts w:ascii="Palatino Linotype" w:hAnsi="Palatino Linotype" w:cs="Times New Roman"/>
          <w:sz w:val="20"/>
          <w:szCs w:val="20"/>
        </w:rPr>
      </w:pPr>
      <w:r w:rsidRPr="00D82F02">
        <w:rPr>
          <w:rFonts w:ascii="Palatino Linotype" w:eastAsia="Times New Roman" w:hAnsi="Palatino Linotype" w:cs="Times New Roman"/>
          <w:sz w:val="20"/>
          <w:szCs w:val="20"/>
          <w:vertAlign w:val="superscript"/>
        </w:rPr>
        <w:footnoteRef/>
      </w:r>
      <w:r w:rsidRPr="00D82F02">
        <w:rPr>
          <w:rFonts w:ascii="Palatino Linotype" w:hAnsi="Palatino Linotype" w:cs="Times New Roman"/>
          <w:sz w:val="20"/>
          <w:szCs w:val="20"/>
        </w:rPr>
        <w:t xml:space="preserve"> Kramer, J. R., Who Will Pay the Piper or Leave the Check on the Table for the Other Guy, Journal of Legal Education, 1989, Vol. 39(5), pp. 655, 661.; </w:t>
      </w:r>
      <w:proofErr w:type="spellStart"/>
      <w:r w:rsidRPr="00D82F02">
        <w:rPr>
          <w:rFonts w:ascii="Palatino Linotype" w:hAnsi="Palatino Linotype" w:cs="Times New Roman"/>
          <w:sz w:val="20"/>
          <w:szCs w:val="20"/>
        </w:rPr>
        <w:t>Kuehen</w:t>
      </w:r>
      <w:proofErr w:type="spellEnd"/>
      <w:r w:rsidRPr="00D82F02">
        <w:rPr>
          <w:rFonts w:ascii="Palatino Linotype" w:hAnsi="Palatino Linotype" w:cs="Times New Roman"/>
          <w:sz w:val="20"/>
          <w:szCs w:val="20"/>
        </w:rPr>
        <w:t xml:space="preserve"> 2015, pp. 21-22.</w:t>
      </w:r>
    </w:p>
  </w:footnote>
  <w:footnote w:id="33">
    <w:p w14:paraId="6AA16DD0" w14:textId="54CEBB3A" w:rsidR="00A63E8D" w:rsidRPr="00D82F02" w:rsidRDefault="00A63E8D" w:rsidP="00D25C18">
      <w:pPr>
        <w:pStyle w:val="FootnoteText"/>
        <w:jc w:val="both"/>
        <w:rPr>
          <w:rFonts w:ascii="Palatino Linotype" w:hAnsi="Palatino Linotype" w:cs="Times New Roman"/>
          <w:lang w:val="en-GB"/>
        </w:rPr>
      </w:pPr>
      <w:r w:rsidRPr="00D82F02">
        <w:rPr>
          <w:rStyle w:val="FootnoteReference"/>
          <w:rFonts w:ascii="Palatino Linotype" w:hAnsi="Palatino Linotype" w:cs="Times New Roman"/>
          <w:lang w:val="en-GB"/>
        </w:rPr>
        <w:footnoteRef/>
      </w:r>
      <w:r w:rsidRPr="00D82F02">
        <w:rPr>
          <w:rFonts w:ascii="Palatino Linotype" w:hAnsi="Palatino Linotype" w:cs="Times New Roman"/>
          <w:lang w:val="en-GB"/>
        </w:rPr>
        <w:t xml:space="preserve"> Regulation on Study of 26 February 2014. For the whole text (Croatian only) see: </w:t>
      </w:r>
      <w:hyperlink r:id="rId3" w:history="1">
        <w:r w:rsidRPr="00D82F02">
          <w:rPr>
            <w:rStyle w:val="Hyperlink"/>
            <w:rFonts w:ascii="Palatino Linotype" w:hAnsi="Palatino Linotype" w:cs="Times New Roman"/>
            <w:lang w:val="en-GB"/>
          </w:rPr>
          <w:t>www.pravo.unizg.hr/images/50000902/PRAVILNIK%20O%20STUDIJU%2014-04-11%20usvojen%20</w:t>
        </w:r>
      </w:hyperlink>
      <w:r w:rsidRPr="00D82F02">
        <w:rPr>
          <w:rFonts w:ascii="Palatino Linotype" w:hAnsi="Palatino Linotype" w:cs="Times New Roman"/>
          <w:lang w:val="en-GB"/>
        </w:rPr>
        <w:t xml:space="preserve"> tekst.pdf Last cited 12/08/2016</w:t>
      </w:r>
    </w:p>
  </w:footnote>
  <w:footnote w:id="34">
    <w:p w14:paraId="6767EB11" w14:textId="19F17D35" w:rsidR="00A63E8D" w:rsidRPr="00D82F02" w:rsidRDefault="00A63E8D" w:rsidP="00D25C18">
      <w:pPr>
        <w:pStyle w:val="FootnoteText"/>
        <w:jc w:val="both"/>
        <w:rPr>
          <w:rFonts w:ascii="Palatino Linotype" w:hAnsi="Palatino Linotype" w:cs="Times New Roman"/>
          <w:lang w:val="en-GB"/>
        </w:rPr>
      </w:pPr>
      <w:r w:rsidRPr="00D82F02">
        <w:rPr>
          <w:rStyle w:val="FootnoteReference"/>
          <w:rFonts w:ascii="Palatino Linotype" w:hAnsi="Palatino Linotype" w:cs="Times New Roman"/>
          <w:lang w:val="en-GB"/>
        </w:rPr>
        <w:footnoteRef/>
      </w:r>
      <w:r w:rsidRPr="00D82F02">
        <w:rPr>
          <w:rFonts w:ascii="Palatino Linotype" w:hAnsi="Palatino Linotype" w:cs="Times New Roman"/>
          <w:lang w:val="en-GB"/>
        </w:rPr>
        <w:t xml:space="preserve"> Statute of Zagreb Law Clinic of 02 July 2014. For the whole text (Croatian only), see </w:t>
      </w:r>
      <w:hyperlink r:id="rId4" w:history="1">
        <w:r w:rsidRPr="00D82F02">
          <w:rPr>
            <w:rStyle w:val="Hyperlink"/>
            <w:rFonts w:ascii="Palatino Linotype" w:hAnsi="Palatino Linotype" w:cs="Times New Roman"/>
            <w:lang w:val="en-GB"/>
          </w:rPr>
          <w:t>http://klinika.pravo.unizg.hr/sites/default/files/akt_o_pravnoj_klinici_-_statut_pk.pdf</w:t>
        </w:r>
      </w:hyperlink>
      <w:r w:rsidRPr="00D82F02">
        <w:rPr>
          <w:rFonts w:ascii="Palatino Linotype" w:hAnsi="Palatino Linotype" w:cs="Times New Roman"/>
          <w:lang w:val="en-GB"/>
        </w:rPr>
        <w:t xml:space="preserve"> Last cited 12/08/2016</w:t>
      </w:r>
      <w:r w:rsidRPr="00D82F02" w:rsidDel="00FD4CE5">
        <w:rPr>
          <w:rFonts w:ascii="Palatino Linotype" w:hAnsi="Palatino Linotype" w:cs="Times New Roman"/>
          <w:lang w:val="en-GB"/>
        </w:rPr>
        <w:t xml:space="preserve"> </w:t>
      </w:r>
    </w:p>
  </w:footnote>
  <w:footnote w:id="35">
    <w:p w14:paraId="7B5551E2"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Art. 16. of the Regulation 2014.; Art. 2., para. 1. of the Statute 2014.</w:t>
      </w:r>
    </w:p>
  </w:footnote>
  <w:footnote w:id="36">
    <w:p w14:paraId="1333556C"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See Law study program, curriculum for IX semester available on website: www.pravo.unizg.hr/diplomski_studij/5.godina/nastavni_plan?_v1=ckIPgg_H0qGU0cWjvWoVgaWNrlbP2a_roLtuulzyi6gzZcZXQmLjvLhyZB9Q659usnn9jmmFg-Q0G7pMAI1_gA==&amp;_lid=22629#news_22629. </w:t>
      </w:r>
    </w:p>
  </w:footnote>
  <w:footnote w:id="37">
    <w:p w14:paraId="3360CFB3"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w:t>
      </w:r>
    </w:p>
  </w:footnote>
  <w:footnote w:id="38">
    <w:p w14:paraId="240CDA19" w14:textId="2E3209AE"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w:t>
      </w:r>
      <w:proofErr w:type="spellStart"/>
      <w:r w:rsidRPr="00D82F02">
        <w:rPr>
          <w:rFonts w:ascii="Palatino Linotype" w:hAnsi="Palatino Linotype" w:cs="Times New Roman"/>
          <w:lang w:val="en-GB"/>
        </w:rPr>
        <w:t>Preložnjak</w:t>
      </w:r>
      <w:proofErr w:type="spellEnd"/>
      <w:r w:rsidRPr="00D82F02">
        <w:rPr>
          <w:rFonts w:ascii="Palatino Linotype" w:hAnsi="Palatino Linotype" w:cs="Times New Roman"/>
          <w:lang w:val="en-GB"/>
        </w:rPr>
        <w:t>, B., Clinical legal education in Croatia – from providing legal assistance to the poor to practical education of students, International Journal of Clinical Legal Education, 2013, Vol. 19(1), p. 375.</w:t>
      </w:r>
    </w:p>
  </w:footnote>
  <w:footnote w:id="39">
    <w:p w14:paraId="61EDA0BF" w14:textId="12C31178" w:rsidR="00A63E8D" w:rsidRPr="00D82F02" w:rsidRDefault="00A63E8D" w:rsidP="00D25C18">
      <w:pPr>
        <w:pStyle w:val="FootnoteText"/>
        <w:jc w:val="both"/>
        <w:rPr>
          <w:rFonts w:ascii="Palatino Linotype" w:hAnsi="Palatino Linotype" w:cs="Times New Roman"/>
          <w:lang w:val="en-GB"/>
        </w:rPr>
      </w:pPr>
      <w:r w:rsidRPr="00D82F02">
        <w:rPr>
          <w:rStyle w:val="FootnoteReference"/>
          <w:rFonts w:ascii="Palatino Linotype" w:hAnsi="Palatino Linotype" w:cs="Times New Roman"/>
          <w:lang w:val="en-GB"/>
        </w:rPr>
        <w:footnoteRef/>
      </w:r>
      <w:r w:rsidRPr="00D82F02">
        <w:rPr>
          <w:rFonts w:ascii="Palatino Linotype" w:hAnsi="Palatino Linotype" w:cs="Times New Roman"/>
          <w:lang w:val="en-GB"/>
        </w:rPr>
        <w:t xml:space="preserve"> According to Art. 9. Of Croatian Legal Aid Act (Off. Gaz. 143/13), primary legal aid comprises of general legal information, legal advice, help with the drafting of submissions in administrative procedures and procedures before international courts and organisations, representation before administrative bodies and legal help in alternative dispute resolution.</w:t>
      </w:r>
    </w:p>
  </w:footnote>
  <w:footnote w:id="40">
    <w:p w14:paraId="1C17C348" w14:textId="50AA1DE5"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Art. 13. of the Statute 2014; See </w:t>
      </w:r>
      <w:proofErr w:type="spellStart"/>
      <w:r w:rsidRPr="00D82F02">
        <w:rPr>
          <w:rFonts w:ascii="Palatino Linotype" w:hAnsi="Palatino Linotype" w:cs="Times New Roman"/>
          <w:lang w:val="en-GB"/>
        </w:rPr>
        <w:t>Uzelac</w:t>
      </w:r>
      <w:proofErr w:type="spellEnd"/>
      <w:r w:rsidRPr="00D82F02">
        <w:rPr>
          <w:rFonts w:ascii="Palatino Linotype" w:hAnsi="Palatino Linotype" w:cs="Times New Roman"/>
          <w:lang w:val="en-GB"/>
        </w:rPr>
        <w:t xml:space="preserve">, A., </w:t>
      </w:r>
      <w:proofErr w:type="spellStart"/>
      <w:r w:rsidRPr="00D82F02">
        <w:rPr>
          <w:rFonts w:ascii="Palatino Linotype" w:hAnsi="Palatino Linotype" w:cs="Times New Roman"/>
          <w:lang w:val="en-GB"/>
        </w:rPr>
        <w:t>Pravna</w:t>
      </w:r>
      <w:proofErr w:type="spellEnd"/>
      <w:r w:rsidRPr="00D82F02">
        <w:rPr>
          <w:rFonts w:ascii="Palatino Linotype" w:hAnsi="Palatino Linotype" w:cs="Times New Roman"/>
          <w:lang w:val="en-GB"/>
        </w:rPr>
        <w:t xml:space="preserve"> </w:t>
      </w:r>
      <w:proofErr w:type="spellStart"/>
      <w:r w:rsidRPr="00D82F02">
        <w:rPr>
          <w:rFonts w:ascii="Palatino Linotype" w:hAnsi="Palatino Linotype" w:cs="Times New Roman"/>
          <w:lang w:val="en-GB"/>
        </w:rPr>
        <w:t>klinika</w:t>
      </w:r>
      <w:proofErr w:type="spellEnd"/>
      <w:r w:rsidRPr="00D82F02">
        <w:rPr>
          <w:rFonts w:ascii="Palatino Linotype" w:hAnsi="Palatino Linotype" w:cs="Times New Roman"/>
          <w:lang w:val="en-GB"/>
        </w:rPr>
        <w:t xml:space="preserve"> </w:t>
      </w:r>
      <w:proofErr w:type="spellStart"/>
      <w:r w:rsidRPr="00D82F02">
        <w:rPr>
          <w:rFonts w:ascii="Palatino Linotype" w:hAnsi="Palatino Linotype" w:cs="Times New Roman"/>
          <w:lang w:val="en-GB"/>
        </w:rPr>
        <w:t>Pravnog</w:t>
      </w:r>
      <w:proofErr w:type="spellEnd"/>
      <w:r w:rsidRPr="00D82F02">
        <w:rPr>
          <w:rFonts w:ascii="Palatino Linotype" w:hAnsi="Palatino Linotype" w:cs="Times New Roman"/>
          <w:lang w:val="en-GB"/>
        </w:rPr>
        <w:t xml:space="preserve"> </w:t>
      </w:r>
      <w:proofErr w:type="spellStart"/>
      <w:r w:rsidRPr="00D82F02">
        <w:rPr>
          <w:rFonts w:ascii="Palatino Linotype" w:hAnsi="Palatino Linotype" w:cs="Times New Roman"/>
          <w:lang w:val="en-GB"/>
        </w:rPr>
        <w:t>fakulteta</w:t>
      </w:r>
      <w:proofErr w:type="spellEnd"/>
      <w:r w:rsidRPr="00D82F02">
        <w:rPr>
          <w:rFonts w:ascii="Palatino Linotype" w:hAnsi="Palatino Linotype" w:cs="Times New Roman"/>
          <w:lang w:val="en-GB"/>
        </w:rPr>
        <w:t xml:space="preserve"> </w:t>
      </w:r>
      <w:proofErr w:type="spellStart"/>
      <w:r w:rsidRPr="00D82F02">
        <w:rPr>
          <w:rFonts w:ascii="Palatino Linotype" w:hAnsi="Palatino Linotype" w:cs="Times New Roman"/>
          <w:lang w:val="en-GB"/>
        </w:rPr>
        <w:t>Sveučilišta</w:t>
      </w:r>
      <w:proofErr w:type="spellEnd"/>
      <w:r w:rsidRPr="00D82F02">
        <w:rPr>
          <w:rFonts w:ascii="Palatino Linotype" w:hAnsi="Palatino Linotype" w:cs="Times New Roman"/>
          <w:lang w:val="en-GB"/>
        </w:rPr>
        <w:t xml:space="preserve"> u </w:t>
      </w:r>
      <w:proofErr w:type="spellStart"/>
      <w:r w:rsidRPr="00D82F02">
        <w:rPr>
          <w:rFonts w:ascii="Palatino Linotype" w:hAnsi="Palatino Linotype" w:cs="Times New Roman"/>
          <w:lang w:val="en-GB"/>
        </w:rPr>
        <w:t>Zagrebu</w:t>
      </w:r>
      <w:proofErr w:type="spellEnd"/>
      <w:r w:rsidRPr="00D82F02">
        <w:rPr>
          <w:rFonts w:ascii="Palatino Linotype" w:hAnsi="Palatino Linotype" w:cs="Times New Roman"/>
          <w:lang w:val="en-GB"/>
        </w:rPr>
        <w:t xml:space="preserve"> - </w:t>
      </w:r>
      <w:proofErr w:type="spellStart"/>
      <w:r w:rsidRPr="00D82F02">
        <w:rPr>
          <w:rFonts w:ascii="Palatino Linotype" w:hAnsi="Palatino Linotype" w:cs="Times New Roman"/>
          <w:lang w:val="en-GB"/>
        </w:rPr>
        <w:t>Koncept</w:t>
      </w:r>
      <w:proofErr w:type="spellEnd"/>
      <w:r w:rsidRPr="00D82F02">
        <w:rPr>
          <w:rFonts w:ascii="Palatino Linotype" w:hAnsi="Palatino Linotype" w:cs="Times New Roman"/>
          <w:lang w:val="en-GB"/>
        </w:rPr>
        <w:t xml:space="preserve"> </w:t>
      </w:r>
      <w:proofErr w:type="spellStart"/>
      <w:r w:rsidRPr="00D82F02">
        <w:rPr>
          <w:rFonts w:ascii="Palatino Linotype" w:hAnsi="Palatino Linotype" w:cs="Times New Roman"/>
          <w:lang w:val="en-GB"/>
        </w:rPr>
        <w:t>programa</w:t>
      </w:r>
      <w:proofErr w:type="spellEnd"/>
      <w:r w:rsidRPr="00D82F02">
        <w:rPr>
          <w:rFonts w:ascii="Palatino Linotype" w:hAnsi="Palatino Linotype" w:cs="Times New Roman"/>
          <w:lang w:val="en-GB"/>
        </w:rPr>
        <w:t xml:space="preserve"> </w:t>
      </w:r>
      <w:proofErr w:type="spellStart"/>
      <w:r w:rsidRPr="00D82F02">
        <w:rPr>
          <w:rFonts w:ascii="Palatino Linotype" w:hAnsi="Palatino Linotype" w:cs="Times New Roman"/>
          <w:lang w:val="en-GB"/>
        </w:rPr>
        <w:t>ustrojstva</w:t>
      </w:r>
      <w:proofErr w:type="spellEnd"/>
      <w:r w:rsidRPr="00D82F02">
        <w:rPr>
          <w:rFonts w:ascii="Palatino Linotype" w:hAnsi="Palatino Linotype" w:cs="Times New Roman"/>
          <w:lang w:val="en-GB"/>
        </w:rPr>
        <w:t xml:space="preserve"> </w:t>
      </w:r>
      <w:proofErr w:type="spellStart"/>
      <w:r w:rsidRPr="00D82F02">
        <w:rPr>
          <w:rFonts w:ascii="Palatino Linotype" w:hAnsi="Palatino Linotype" w:cs="Times New Roman"/>
          <w:lang w:val="en-GB"/>
        </w:rPr>
        <w:t>i</w:t>
      </w:r>
      <w:proofErr w:type="spellEnd"/>
      <w:r w:rsidRPr="00D82F02">
        <w:rPr>
          <w:rFonts w:ascii="Palatino Linotype" w:hAnsi="Palatino Linotype" w:cs="Times New Roman"/>
          <w:lang w:val="en-GB"/>
        </w:rPr>
        <w:t xml:space="preserve"> </w:t>
      </w:r>
      <w:proofErr w:type="spellStart"/>
      <w:r w:rsidRPr="00D82F02">
        <w:rPr>
          <w:rFonts w:ascii="Palatino Linotype" w:hAnsi="Palatino Linotype" w:cs="Times New Roman"/>
          <w:lang w:val="en-GB"/>
        </w:rPr>
        <w:t>rada</w:t>
      </w:r>
      <w:proofErr w:type="spellEnd"/>
      <w:r w:rsidRPr="00D82F02">
        <w:rPr>
          <w:rFonts w:ascii="Palatino Linotype" w:hAnsi="Palatino Linotype" w:cs="Times New Roman"/>
          <w:lang w:val="en-GB"/>
        </w:rPr>
        <w:t xml:space="preserve"> (Legal Clinic of the Faculty of Law, University of Zagreb - The concept of program of its organization and operation), Zagreb, 2010., p. 3.</w:t>
      </w:r>
    </w:p>
  </w:footnote>
  <w:footnote w:id="41">
    <w:p w14:paraId="56AB5E99" w14:textId="66C3AEE9"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 Those would primarily be lawyers, but also other authorised representatives in accordance with law (e. g. Union representatives in labour disputes).</w:t>
      </w:r>
    </w:p>
  </w:footnote>
  <w:footnote w:id="42">
    <w:p w14:paraId="01D21D23" w14:textId="510588E6" w:rsidR="00A63E8D" w:rsidRPr="00D82F02" w:rsidRDefault="00A63E8D" w:rsidP="00D25C18">
      <w:pPr>
        <w:pStyle w:val="FootnoteText"/>
        <w:jc w:val="both"/>
        <w:rPr>
          <w:rFonts w:ascii="Palatino Linotype" w:hAnsi="Palatino Linotype" w:cs="Times New Roman"/>
          <w:lang w:val="en-GB"/>
        </w:rPr>
      </w:pPr>
      <w:r w:rsidRPr="00D82F02">
        <w:rPr>
          <w:rStyle w:val="FootnoteReference"/>
          <w:rFonts w:ascii="Palatino Linotype" w:hAnsi="Palatino Linotype" w:cs="Times New Roman"/>
          <w:lang w:val="en-GB"/>
        </w:rPr>
        <w:footnoteRef/>
      </w:r>
      <w:r w:rsidRPr="00D82F02">
        <w:rPr>
          <w:rFonts w:ascii="Palatino Linotype" w:hAnsi="Palatino Linotype" w:cs="Times New Roman"/>
          <w:lang w:val="en-GB"/>
        </w:rPr>
        <w:t xml:space="preserve"> According to Art. 10. Of Croatian Legal Aid Act, primary legal aid can be provided if the client applying for legal aid does not have sufficient knowledge to exercise his or her rights, if the client has not received free legal aid elsewhere, if the application is not manifestly unfounded and if the financial background of the client is such that paying for legal help could jeopardize his or her maintenance, as well as the maintenance of the members of his or her household. So any case can potentially be subject to primary legal aid.</w:t>
      </w:r>
    </w:p>
  </w:footnote>
  <w:footnote w:id="43">
    <w:p w14:paraId="0758EB54"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Art. 16. para. 3. of the regulation 2014; Art. 5. of the Statute 2014.</w:t>
      </w:r>
    </w:p>
  </w:footnote>
  <w:footnote w:id="44">
    <w:p w14:paraId="79489D86"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w:t>
      </w:r>
    </w:p>
  </w:footnote>
  <w:footnote w:id="45">
    <w:p w14:paraId="71D01DBB"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w:t>
      </w:r>
    </w:p>
  </w:footnote>
  <w:footnote w:id="46">
    <w:p w14:paraId="5811791B" w14:textId="076190B6"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 </w:t>
      </w:r>
    </w:p>
  </w:footnote>
  <w:footnote w:id="47">
    <w:p w14:paraId="315FE97C" w14:textId="5CF4A4AA"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 Art. 4. para 3. of the Statute 2014. The idea behind outreach projects is to go outside the central office, located in Croatia’s capital and visit other areas of Croatia. This decentralisation of legal aid was inspired by Norwegian model. See </w:t>
      </w:r>
      <w:hyperlink r:id="rId5" w:history="1">
        <w:r w:rsidRPr="00D82F02">
          <w:rPr>
            <w:rStyle w:val="Hyperlink"/>
            <w:rFonts w:ascii="Palatino Linotype" w:hAnsi="Palatino Linotype" w:cs="Times New Roman"/>
            <w:lang w:val="en-GB"/>
          </w:rPr>
          <w:t>http://gratisrettshjelp.no/testside/jussbuss/</w:t>
        </w:r>
      </w:hyperlink>
      <w:r w:rsidRPr="00D82F02">
        <w:rPr>
          <w:rFonts w:ascii="Palatino Linotype" w:hAnsi="Palatino Linotype" w:cs="Times New Roman"/>
          <w:lang w:val="en-GB"/>
        </w:rPr>
        <w:t xml:space="preserve"> (16/08/2016).</w:t>
      </w:r>
    </w:p>
  </w:footnote>
  <w:footnote w:id="48">
    <w:p w14:paraId="478D0A5F" w14:textId="6EEC8A7A"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See .</w:t>
      </w:r>
      <w:hyperlink r:id="rId6" w:history="1">
        <w:r w:rsidRPr="00D82F02">
          <w:rPr>
            <w:rStyle w:val="Hyperlink0"/>
            <w:rFonts w:ascii="Palatino Linotype" w:hAnsi="Palatino Linotype" w:cs="Times New Roman"/>
            <w:lang w:val="en-GB"/>
          </w:rPr>
          <w:t>https://pravosudje.gov.hr</w:t>
        </w:r>
      </w:hyperlink>
      <w:r w:rsidRPr="00D82F02">
        <w:rPr>
          <w:rFonts w:ascii="Palatino Linotype" w:hAnsi="Palatino Linotype" w:cs="Times New Roman"/>
          <w:lang w:val="en-GB"/>
        </w:rPr>
        <w:t xml:space="preserve"> (16/08/2016).</w:t>
      </w:r>
    </w:p>
  </w:footnote>
  <w:footnote w:id="49">
    <w:p w14:paraId="08D3AD91"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Report Ministry of Justice 2015.</w:t>
      </w:r>
    </w:p>
  </w:footnote>
  <w:footnote w:id="50">
    <w:p w14:paraId="3BB638FE"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Art. 17. para. 1. of the Regulation 2014.; Art. 11. of the Statute 2014.</w:t>
      </w:r>
    </w:p>
  </w:footnote>
  <w:footnote w:id="51">
    <w:p w14:paraId="58B52D48" w14:textId="2E93B05A"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Art. 11. para 2., Art. 16. of the Statute 2014.</w:t>
      </w:r>
    </w:p>
  </w:footnote>
  <w:footnote w:id="52">
    <w:p w14:paraId="25058CA8" w14:textId="7AB71449" w:rsidR="00A63E8D" w:rsidRPr="00D82F02" w:rsidRDefault="00A63E8D" w:rsidP="00D25C18">
      <w:pPr>
        <w:pStyle w:val="FootnoteText"/>
        <w:jc w:val="both"/>
        <w:rPr>
          <w:rFonts w:ascii="Palatino Linotype" w:hAnsi="Palatino Linotype" w:cs="Times New Roman"/>
          <w:lang w:val="en-GB"/>
        </w:rPr>
      </w:pPr>
      <w:r w:rsidRPr="00D82F02">
        <w:rPr>
          <w:rStyle w:val="FootnoteReference"/>
          <w:rFonts w:ascii="Palatino Linotype" w:hAnsi="Palatino Linotype" w:cs="Times New Roman"/>
          <w:lang w:val="en-GB"/>
        </w:rPr>
        <w:footnoteRef/>
      </w:r>
      <w:r w:rsidRPr="00D82F02">
        <w:rPr>
          <w:rFonts w:ascii="Palatino Linotype" w:hAnsi="Palatino Linotype" w:cs="Times New Roman"/>
          <w:lang w:val="en-GB"/>
        </w:rPr>
        <w:t xml:space="preserve"> One of the students is a reporter in charge of the case and the Group is the one deciding on the final opinion. Of course, legal opinions are subject to supervision, but supervisor tend to reach a mutual decision instead of simply correcting and amending the students' opinions.</w:t>
      </w:r>
    </w:p>
  </w:footnote>
  <w:footnote w:id="53">
    <w:p w14:paraId="39970829" w14:textId="65FD1C49"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Meetings of clinicians are held monthly in the form of the Small Council. The Clinical Leader, his Deputies, Assistants, Academic Mentors, Administrators and students which represent clinical groups discuss important questions of clinical organisation, collaboration with civil society organisations, government agencies, legal practices, as well as presenting and analysing the performance achievements of students in providing of legal aid. Also at the meetings current difficulties in the work with which students and their mentors meet are discussed, with the aim of proposing concrete suggestions for their successful resolution. For more information, please see Art. 14. of the Statute 2014.</w:t>
      </w:r>
    </w:p>
  </w:footnote>
  <w:footnote w:id="54">
    <w:p w14:paraId="7220E109"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Art. 13. of the Statute 2014.</w:t>
      </w:r>
    </w:p>
  </w:footnote>
  <w:footnote w:id="55">
    <w:p w14:paraId="726615CB"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w:t>
      </w:r>
    </w:p>
  </w:footnote>
  <w:footnote w:id="56">
    <w:p w14:paraId="515F12F1"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w:t>
      </w:r>
      <w:proofErr w:type="spellStart"/>
      <w:r w:rsidRPr="00D82F02">
        <w:rPr>
          <w:rFonts w:ascii="Palatino Linotype" w:hAnsi="Palatino Linotype" w:cs="Times New Roman"/>
          <w:lang w:val="en-GB"/>
        </w:rPr>
        <w:t>Uzelac</w:t>
      </w:r>
      <w:proofErr w:type="spellEnd"/>
      <w:r w:rsidRPr="00D82F02">
        <w:rPr>
          <w:rFonts w:ascii="Palatino Linotype" w:hAnsi="Palatino Linotype" w:cs="Times New Roman"/>
          <w:lang w:val="en-GB"/>
        </w:rPr>
        <w:t xml:space="preserve"> 2010, p. 4.</w:t>
      </w:r>
    </w:p>
  </w:footnote>
  <w:footnote w:id="57">
    <w:p w14:paraId="63C4E630" w14:textId="2949B12F" w:rsidR="00A63E8D" w:rsidRPr="00D82F02" w:rsidRDefault="00A63E8D" w:rsidP="00D25C18">
      <w:pPr>
        <w:pStyle w:val="FootnoteText"/>
        <w:jc w:val="both"/>
        <w:rPr>
          <w:rFonts w:ascii="Palatino Linotype" w:hAnsi="Palatino Linotype" w:cs="Times New Roman"/>
          <w:lang w:val="en-GB"/>
        </w:rPr>
      </w:pPr>
      <w:r w:rsidRPr="00D82F02">
        <w:rPr>
          <w:rStyle w:val="FootnoteReference"/>
          <w:rFonts w:ascii="Palatino Linotype" w:hAnsi="Palatino Linotype" w:cs="Times New Roman"/>
          <w:lang w:val="en-GB"/>
        </w:rPr>
        <w:footnoteRef/>
      </w:r>
      <w:r w:rsidRPr="00D82F02">
        <w:rPr>
          <w:rFonts w:ascii="Palatino Linotype" w:hAnsi="Palatino Linotype" w:cs="Times New Roman"/>
          <w:lang w:val="en-GB"/>
        </w:rPr>
        <w:t xml:space="preserve"> The clients started to address the Law Clinic with specific issues which needed inter-disciplinary approach. E.g. cases dealing with the issue of medical negligence needs to be assessed from a standpoint of criminal law (medical malpractice), civil law (negligence claim/insurance) and administrative law (special administrative procedures for patients). So the Law Clinic decided to focus on the client’s case in whole and not just one aspect of their rights.</w:t>
      </w:r>
    </w:p>
  </w:footnote>
  <w:footnote w:id="58">
    <w:p w14:paraId="47668DAE"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See Art. 13. of the Statute 2014.</w:t>
      </w:r>
    </w:p>
  </w:footnote>
  <w:footnote w:id="59">
    <w:p w14:paraId="7D32D374" w14:textId="0B1F2D7F" w:rsidR="00A63E8D" w:rsidRPr="00D82F02" w:rsidRDefault="00A63E8D" w:rsidP="00D25C18">
      <w:pPr>
        <w:pStyle w:val="FootnoteText"/>
        <w:jc w:val="both"/>
        <w:rPr>
          <w:rFonts w:ascii="Palatino Linotype" w:hAnsi="Palatino Linotype" w:cs="Times New Roman"/>
          <w:lang w:val="en-GB"/>
        </w:rPr>
      </w:pPr>
      <w:r w:rsidRPr="00D82F02">
        <w:rPr>
          <w:rStyle w:val="FootnoteReference"/>
          <w:rFonts w:ascii="Palatino Linotype" w:hAnsi="Palatino Linotype" w:cs="Times New Roman"/>
          <w:lang w:val="en-GB"/>
        </w:rPr>
        <w:footnoteRef/>
      </w:r>
      <w:r w:rsidRPr="00D82F02">
        <w:rPr>
          <w:rFonts w:ascii="Palatino Linotype" w:hAnsi="Palatino Linotype" w:cs="Times New Roman"/>
          <w:lang w:val="en-GB"/>
        </w:rPr>
        <w:t xml:space="preserve"> The principle of autonomy is one of the cornerstones of the work in the Law Clinic, Not only are the students autonomous in regard to the solving of the cases (subject to supervision), but they also choose their own leaders (student-mentors). They are the ones we feel know their teams the best and who can truly evaluate their colleagues.</w:t>
      </w:r>
    </w:p>
  </w:footnote>
  <w:footnote w:id="60">
    <w:p w14:paraId="445615CA"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Art. 12. para 1. of the Statute 2014.</w:t>
      </w:r>
    </w:p>
  </w:footnote>
  <w:footnote w:id="61">
    <w:p w14:paraId="358ECE76"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w:t>
      </w:r>
    </w:p>
  </w:footnote>
  <w:footnote w:id="62">
    <w:p w14:paraId="429343CF"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w:t>
      </w:r>
    </w:p>
  </w:footnote>
  <w:footnote w:id="63">
    <w:p w14:paraId="269D25DB" w14:textId="6BFD0F3D" w:rsidR="00A63E8D" w:rsidRPr="00D82F02" w:rsidRDefault="00A63E8D" w:rsidP="00D25C18">
      <w:pPr>
        <w:jc w:val="both"/>
        <w:rPr>
          <w:rFonts w:ascii="Palatino Linotype" w:hAnsi="Palatino Linotype"/>
          <w:sz w:val="20"/>
          <w:szCs w:val="20"/>
          <w:lang w:val="en-GB"/>
        </w:rPr>
      </w:pPr>
      <w:r w:rsidRPr="00D82F02">
        <w:rPr>
          <w:rFonts w:ascii="Palatino Linotype" w:eastAsia="Times New Roman" w:hAnsi="Palatino Linotype"/>
          <w:sz w:val="20"/>
          <w:szCs w:val="20"/>
          <w:vertAlign w:val="superscript"/>
          <w:lang w:val="en-GB"/>
        </w:rPr>
        <w:footnoteRef/>
      </w:r>
      <w:r w:rsidRPr="00D82F02">
        <w:rPr>
          <w:rFonts w:ascii="Palatino Linotype" w:hAnsi="Palatino Linotype"/>
          <w:sz w:val="20"/>
          <w:szCs w:val="20"/>
          <w:lang w:val="en-GB"/>
        </w:rPr>
        <w:t xml:space="preserve"> Ibid.</w:t>
      </w:r>
    </w:p>
  </w:footnote>
  <w:footnote w:id="64">
    <w:p w14:paraId="75C20B3C"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 Art. 12. of the Statute 2014.</w:t>
      </w:r>
    </w:p>
  </w:footnote>
  <w:footnote w:id="65">
    <w:p w14:paraId="30360458"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w:t>
      </w:r>
    </w:p>
  </w:footnote>
  <w:footnote w:id="66">
    <w:p w14:paraId="23516E13" w14:textId="4621174F"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hAnsi="Palatino Linotype" w:cs="Times New Roman"/>
          <w:vertAlign w:val="superscript"/>
          <w:lang w:val="en-GB"/>
        </w:rPr>
        <w:footnoteRef/>
      </w:r>
      <w:r w:rsidRPr="00D82F02">
        <w:rPr>
          <w:rFonts w:ascii="Palatino Linotype" w:hAnsi="Palatino Linotype" w:cs="Times New Roman"/>
          <w:lang w:val="en-GB"/>
        </w:rPr>
        <w:t xml:space="preserve"> Art 36. para 1. of Croatian Legal Aid Act (</w:t>
      </w:r>
      <w:r w:rsidRPr="00D82F02">
        <w:rPr>
          <w:rFonts w:ascii="Palatino Linotype" w:hAnsi="Palatino Linotype" w:cs="Times New Roman"/>
          <w:i/>
          <w:iCs/>
          <w:lang w:val="en-GB"/>
        </w:rPr>
        <w:t xml:space="preserve">Off. Gaz. 143/13; </w:t>
      </w:r>
      <w:r w:rsidRPr="00D82F02">
        <w:rPr>
          <w:rFonts w:ascii="Palatino Linotype" w:hAnsi="Palatino Linotype" w:cs="Times New Roman"/>
          <w:lang w:val="en-GB"/>
        </w:rPr>
        <w:t>CLAA); See European judicial systems Edition 2014 (data 2012): Efficiency and quality of justice European Commission for the Efficiency of Justice (CEPEJ), Council of Europe Publishing, Strasbourg, 2014, p. 77.</w:t>
      </w:r>
    </w:p>
  </w:footnote>
  <w:footnote w:id="67">
    <w:p w14:paraId="05F89B09" w14:textId="77777777" w:rsidR="00A63E8D" w:rsidRPr="00D82F02" w:rsidRDefault="00A63E8D" w:rsidP="00D25C18">
      <w:pPr>
        <w:pStyle w:val="Body"/>
        <w:jc w:val="both"/>
        <w:rPr>
          <w:rFonts w:ascii="Palatino Linotype" w:hAnsi="Palatino Linotype" w:cs="Times New Roman"/>
          <w:sz w:val="20"/>
          <w:szCs w:val="20"/>
        </w:rPr>
      </w:pPr>
      <w:r w:rsidRPr="00D82F02">
        <w:rPr>
          <w:rFonts w:ascii="Palatino Linotype" w:hAnsi="Palatino Linotype" w:cs="Times New Roman"/>
          <w:sz w:val="20"/>
          <w:szCs w:val="20"/>
          <w:vertAlign w:val="superscript"/>
        </w:rPr>
        <w:footnoteRef/>
      </w:r>
      <w:r w:rsidRPr="00D82F02">
        <w:rPr>
          <w:rFonts w:ascii="Palatino Linotype" w:hAnsi="Palatino Linotype" w:cs="Times New Roman"/>
          <w:sz w:val="20"/>
          <w:szCs w:val="20"/>
        </w:rPr>
        <w:t xml:space="preserve"> In the period of 2011-2014 the Zagreb Law Clinic has succeeded in winning projects with the British Embassy, the Norwegian Embassy, and as well with the European Citizens Action </w:t>
      </w:r>
      <w:proofErr w:type="spellStart"/>
      <w:r w:rsidRPr="00D82F02">
        <w:rPr>
          <w:rFonts w:ascii="Palatino Linotype" w:hAnsi="Palatino Linotype" w:cs="Times New Roman"/>
          <w:sz w:val="20"/>
          <w:szCs w:val="20"/>
        </w:rPr>
        <w:t>Servis</w:t>
      </w:r>
      <w:proofErr w:type="spellEnd"/>
      <w:r w:rsidRPr="00D82F02">
        <w:rPr>
          <w:rFonts w:ascii="Palatino Linotype" w:hAnsi="Palatino Linotype" w:cs="Times New Roman"/>
          <w:sz w:val="20"/>
          <w:szCs w:val="20"/>
        </w:rPr>
        <w:t xml:space="preserve"> – ECAS. See </w:t>
      </w:r>
      <w:hyperlink r:id="rId7" w:history="1">
        <w:r w:rsidRPr="00D82F02">
          <w:rPr>
            <w:rStyle w:val="Hyperlink0"/>
            <w:rFonts w:ascii="Palatino Linotype" w:hAnsi="Palatino Linotype" w:cs="Times New Roman"/>
            <w:sz w:val="20"/>
            <w:szCs w:val="20"/>
          </w:rPr>
          <w:t>http://klinika.pravo.unizg.hr/medunarodna-suradnja-i-pomoc</w:t>
        </w:r>
      </w:hyperlink>
      <w:r w:rsidRPr="00D82F02">
        <w:rPr>
          <w:rFonts w:ascii="Palatino Linotype" w:hAnsi="Palatino Linotype" w:cs="Times New Roman"/>
          <w:sz w:val="20"/>
          <w:szCs w:val="20"/>
        </w:rPr>
        <w:t xml:space="preserve">. </w:t>
      </w:r>
    </w:p>
  </w:footnote>
  <w:footnote w:id="68">
    <w:p w14:paraId="2D604A5D"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hAnsi="Palatino Linotype" w:cs="Times New Roman"/>
          <w:vertAlign w:val="superscript"/>
          <w:lang w:val="en-GB"/>
        </w:rPr>
        <w:footnoteRef/>
      </w:r>
      <w:r w:rsidRPr="00D82F02">
        <w:rPr>
          <w:rFonts w:ascii="Palatino Linotype" w:hAnsi="Palatino Linotype" w:cs="Times New Roman"/>
          <w:lang w:val="en-GB"/>
        </w:rPr>
        <w:t xml:space="preserve"> See http://klinika.pravo.unizg.hr/broj-i-vrsta-predmeta.</w:t>
      </w:r>
    </w:p>
  </w:footnote>
  <w:footnote w:id="69">
    <w:p w14:paraId="62119E0F"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w:t>
      </w:r>
    </w:p>
  </w:footnote>
  <w:footnote w:id="70">
    <w:p w14:paraId="58E9A234" w14:textId="12157F6F"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See ft. 47. This could not have been done without </w:t>
      </w:r>
      <w:r w:rsidRPr="00D82F02">
        <w:rPr>
          <w:rFonts w:ascii="Palatino Linotype" w:hAnsi="Palatino Linotype" w:cs="Times New Roman"/>
          <w:i/>
          <w:iCs/>
          <w:lang w:val="en-GB"/>
        </w:rPr>
        <w:t>pro bono</w:t>
      </w:r>
      <w:r w:rsidRPr="00D82F02">
        <w:rPr>
          <w:rFonts w:ascii="Palatino Linotype" w:hAnsi="Palatino Linotype" w:cs="Times New Roman"/>
          <w:lang w:val="en-GB"/>
        </w:rPr>
        <w:t xml:space="preserve"> engagement of the Law School staff (young researchers, assistant professors and professors) and legal practitioners (mainly lawyers) who have supported the Law Clinic from the very beginning.</w:t>
      </w:r>
    </w:p>
  </w:footnote>
  <w:footnote w:id="71">
    <w:p w14:paraId="07FCED1B" w14:textId="729460C7" w:rsidR="00A63E8D" w:rsidRPr="00D82F02" w:rsidRDefault="00A63E8D" w:rsidP="00D25C18">
      <w:pPr>
        <w:pStyle w:val="FootnoteText"/>
        <w:jc w:val="both"/>
        <w:rPr>
          <w:rFonts w:ascii="Palatino Linotype" w:hAnsi="Palatino Linotype" w:cs="Times New Roman"/>
          <w:lang w:val="en-GB"/>
        </w:rPr>
      </w:pPr>
      <w:r w:rsidRPr="00D82F02">
        <w:rPr>
          <w:rStyle w:val="FootnoteReference"/>
          <w:rFonts w:ascii="Palatino Linotype" w:hAnsi="Palatino Linotype" w:cs="Times New Roman"/>
          <w:lang w:val="en-GB"/>
        </w:rPr>
        <w:footnoteRef/>
      </w:r>
      <w:r w:rsidRPr="00D82F02">
        <w:rPr>
          <w:rFonts w:ascii="Palatino Linotype" w:hAnsi="Palatino Linotype" w:cs="Times New Roman"/>
          <w:lang w:val="en-GB"/>
        </w:rPr>
        <w:t xml:space="preserve"> </w:t>
      </w:r>
      <w:proofErr w:type="spellStart"/>
      <w:r w:rsidRPr="00D82F02">
        <w:rPr>
          <w:rFonts w:ascii="Palatino Linotype" w:hAnsi="Palatino Linotype" w:cs="Times New Roman"/>
          <w:lang w:val="en-GB"/>
        </w:rPr>
        <w:t>Giddins</w:t>
      </w:r>
      <w:proofErr w:type="spellEnd"/>
      <w:r w:rsidRPr="00D82F02">
        <w:rPr>
          <w:rFonts w:ascii="Palatino Linotype" w:hAnsi="Palatino Linotype" w:cs="Times New Roman"/>
          <w:lang w:val="en-GB"/>
        </w:rPr>
        <w:t>, J., Promoting Justice Through Clinical Legal Education, Melbourne, Justice Press, 2013, p. 145.</w:t>
      </w:r>
      <w:r w:rsidR="00E73243" w:rsidRPr="00D82F02">
        <w:rPr>
          <w:rFonts w:ascii="Palatino Linotype" w:hAnsi="Palatino Linotype" w:cs="Times New Roman"/>
          <w:lang w:val="en-GB"/>
        </w:rPr>
        <w:t xml:space="preserve"> Available at: www.justice-press.com/e-books/giddings/promoting-justice/projet/Promoting-Justice-Through-Clinical-Legal-Education---Jeff-Giddings.pdf (17/08/2016).</w:t>
      </w:r>
    </w:p>
  </w:footnote>
  <w:footnote w:id="72">
    <w:p w14:paraId="0ED558F7" w14:textId="77777777" w:rsidR="00A63E8D" w:rsidRPr="00D82F02" w:rsidRDefault="00A63E8D" w:rsidP="00D25C18">
      <w:pPr>
        <w:pStyle w:val="FootnoteText"/>
        <w:jc w:val="both"/>
        <w:rPr>
          <w:rFonts w:ascii="Palatino Linotype" w:hAnsi="Palatino Linotype" w:cs="Times New Roman"/>
          <w:lang w:val="en-GB"/>
        </w:rPr>
      </w:pPr>
      <w:r w:rsidRPr="00D82F02">
        <w:rPr>
          <w:rStyle w:val="FootnoteReference"/>
          <w:rFonts w:ascii="Palatino Linotype" w:hAnsi="Palatino Linotype" w:cs="Times New Roman"/>
          <w:lang w:val="en-GB"/>
        </w:rPr>
        <w:footnoteRef/>
      </w:r>
      <w:r w:rsidRPr="00D82F02">
        <w:rPr>
          <w:rFonts w:ascii="Palatino Linotype" w:hAnsi="Palatino Linotype" w:cs="Times New Roman"/>
          <w:lang w:val="en-GB"/>
        </w:rPr>
        <w:t xml:space="preserve"> The answer is negative. Research shows that 84% of law schools already have the capacity to provide the students with clinical legal training, so there is no need for them to increase the amount of tuition. Kuehn 2014, p. 39.</w:t>
      </w:r>
    </w:p>
  </w:footnote>
  <w:footnote w:id="73">
    <w:p w14:paraId="29C2A5A8" w14:textId="77777777" w:rsidR="00A63E8D" w:rsidRPr="00D82F02" w:rsidRDefault="00A63E8D" w:rsidP="00D25C18">
      <w:pPr>
        <w:pStyle w:val="FootnoteText"/>
        <w:jc w:val="both"/>
        <w:rPr>
          <w:rFonts w:ascii="Palatino Linotype" w:hAnsi="Palatino Linotype" w:cs="Times New Roman"/>
          <w:lang w:val="en-GB"/>
        </w:rPr>
      </w:pPr>
      <w:r w:rsidRPr="00D82F02">
        <w:rPr>
          <w:rStyle w:val="FootnoteReference"/>
          <w:rFonts w:ascii="Palatino Linotype" w:hAnsi="Palatino Linotype" w:cs="Times New Roman"/>
          <w:lang w:val="en-GB"/>
        </w:rPr>
        <w:footnoteRef/>
      </w:r>
      <w:r w:rsidRPr="00D82F02">
        <w:rPr>
          <w:rFonts w:ascii="Palatino Linotype" w:hAnsi="Palatino Linotype" w:cs="Times New Roman"/>
          <w:lang w:val="en-GB"/>
        </w:rPr>
        <w:t xml:space="preserve"> The tuition students pay is dependent on the ECTS credits. Each university is autonomous in regard to the rates of each ECTS point, however rates are determined in accordance with the recommendations of the Ministry of Science, Education and Sport. This means that faculty’s decision to include law clinic in the program could hardly influence the rates determined by University. See Rules on the tuition rates of University of Zagreb (Croatian only) of 13 March 2013, available at: www.unizg.hr/fileadmin/rektorat/O_Sveucilistu/Tijela_sluzbe/Senat/Sjednice/2012_2013/PRAVILA_PARTICIPACIJE_03.2013._Odluka_Senata-corr_scan.pdf (16/08/2016).</w:t>
      </w:r>
    </w:p>
  </w:footnote>
  <w:footnote w:id="74">
    <w:p w14:paraId="63C8D617" w14:textId="460F8935" w:rsidR="00A63E8D" w:rsidRPr="00D82F02" w:rsidRDefault="00A63E8D" w:rsidP="00D25C18">
      <w:pPr>
        <w:pStyle w:val="FootnoteText"/>
        <w:jc w:val="both"/>
        <w:rPr>
          <w:rFonts w:ascii="Palatino Linotype" w:hAnsi="Palatino Linotype" w:cs="Times New Roman"/>
          <w:lang w:val="hr-HR"/>
        </w:rPr>
      </w:pPr>
      <w:r w:rsidRPr="00D82F02">
        <w:rPr>
          <w:rStyle w:val="FootnoteReference"/>
          <w:rFonts w:ascii="Palatino Linotype" w:hAnsi="Palatino Linotype" w:cs="Times New Roman"/>
        </w:rPr>
        <w:footnoteRef/>
      </w:r>
      <w:r w:rsidRPr="00D82F02">
        <w:rPr>
          <w:rFonts w:ascii="Palatino Linotype" w:hAnsi="Palatino Linotype" w:cs="Times New Roman"/>
        </w:rPr>
        <w:t xml:space="preserve"> Swords, P. D. &amp; </w:t>
      </w:r>
      <w:proofErr w:type="spellStart"/>
      <w:r w:rsidRPr="00D82F02">
        <w:rPr>
          <w:rFonts w:ascii="Palatino Linotype" w:hAnsi="Palatino Linotype" w:cs="Times New Roman"/>
        </w:rPr>
        <w:t>Walwer</w:t>
      </w:r>
      <w:proofErr w:type="spellEnd"/>
      <w:r w:rsidRPr="00D82F02">
        <w:rPr>
          <w:rFonts w:ascii="Palatino Linotype" w:hAnsi="Palatino Linotype" w:cs="Times New Roman"/>
        </w:rPr>
        <w:t xml:space="preserve">, F. K., Cost Aspects of Clinical Education, in: Clinical Legal Education: Report Of The Association Of American Law Schools—American Bar Association Committee On Guidelines For Clinical Legal Education, 1980, pp. 139-143., cited in </w:t>
      </w:r>
      <w:r w:rsidRPr="00D82F02">
        <w:rPr>
          <w:rFonts w:ascii="Palatino Linotype" w:hAnsi="Palatino Linotype" w:cs="Times New Roman"/>
          <w:lang w:val="hr-HR"/>
        </w:rPr>
        <w:t xml:space="preserve">Joy 2012, p. 327. </w:t>
      </w:r>
      <w:r w:rsidRPr="00D82F02">
        <w:rPr>
          <w:rFonts w:ascii="Palatino Linotype" w:hAnsi="Palatino Linotype" w:cs="Times New Roman"/>
          <w:i/>
          <w:lang w:val="hr-HR"/>
        </w:rPr>
        <w:t>Katz</w:t>
      </w:r>
      <w:r w:rsidRPr="00D82F02">
        <w:rPr>
          <w:rFonts w:ascii="Palatino Linotype" w:hAnsi="Palatino Linotype" w:cs="Times New Roman"/>
          <w:lang w:val="hr-HR"/>
        </w:rPr>
        <w:t xml:space="preserve"> argues that such data is out-of-date (Katz 2015, p. 34).</w:t>
      </w:r>
    </w:p>
  </w:footnote>
  <w:footnote w:id="75">
    <w:p w14:paraId="25F3B486" w14:textId="4F78C252" w:rsidR="00A63E8D" w:rsidRPr="00D82F02" w:rsidRDefault="00A63E8D" w:rsidP="00D25C18">
      <w:pPr>
        <w:pStyle w:val="FootnoteText"/>
        <w:jc w:val="both"/>
        <w:rPr>
          <w:rFonts w:ascii="Palatino Linotype" w:hAnsi="Palatino Linotype" w:cs="Times New Roman"/>
          <w:lang w:val="hr-HR"/>
        </w:rPr>
      </w:pPr>
      <w:r w:rsidRPr="00D82F02">
        <w:rPr>
          <w:rStyle w:val="FootnoteReference"/>
          <w:rFonts w:ascii="Palatino Linotype" w:hAnsi="Palatino Linotype" w:cs="Times New Roman"/>
        </w:rPr>
        <w:footnoteRef/>
      </w:r>
      <w:r w:rsidRPr="00D82F02">
        <w:rPr>
          <w:rFonts w:ascii="Palatino Linotype" w:hAnsi="Palatino Linotype" w:cs="Times New Roman"/>
        </w:rPr>
        <w:t xml:space="preserve"> </w:t>
      </w:r>
      <w:r w:rsidRPr="00D82F02">
        <w:rPr>
          <w:rFonts w:ascii="Palatino Linotype" w:hAnsi="Palatino Linotype" w:cs="Times New Roman"/>
          <w:lang w:val="hr-HR"/>
        </w:rPr>
        <w:t>Katz 2015, p. 45.</w:t>
      </w:r>
    </w:p>
  </w:footnote>
  <w:footnote w:id="76">
    <w:p w14:paraId="03884B76" w14:textId="1AA73973" w:rsidR="00A63E8D" w:rsidRPr="00D82F02" w:rsidRDefault="00A63E8D" w:rsidP="00D25C18">
      <w:pPr>
        <w:pStyle w:val="FootnoteText"/>
        <w:jc w:val="both"/>
        <w:rPr>
          <w:rFonts w:ascii="Palatino Linotype" w:hAnsi="Palatino Linotype" w:cs="Times New Roman"/>
          <w:lang w:val="hr-HR"/>
        </w:rPr>
      </w:pPr>
      <w:r w:rsidRPr="00D82F02">
        <w:rPr>
          <w:rStyle w:val="FootnoteReference"/>
          <w:rFonts w:ascii="Palatino Linotype" w:hAnsi="Palatino Linotype" w:cs="Times New Roman"/>
        </w:rPr>
        <w:footnoteRef/>
      </w:r>
      <w:r w:rsidRPr="00D82F02">
        <w:rPr>
          <w:rFonts w:ascii="Palatino Linotype" w:hAnsi="Palatino Linotype" w:cs="Times New Roman"/>
        </w:rPr>
        <w:t xml:space="preserve"> </w:t>
      </w:r>
      <w:r w:rsidRPr="00D82F02">
        <w:rPr>
          <w:rFonts w:ascii="Palatino Linotype" w:hAnsi="Palatino Linotype" w:cs="Times New Roman"/>
          <w:lang w:val="hr-HR"/>
        </w:rPr>
        <w:t xml:space="preserve">Ibid., pp. 36-38. </w:t>
      </w:r>
    </w:p>
  </w:footnote>
  <w:footnote w:id="77">
    <w:p w14:paraId="3A78BA2D" w14:textId="6A030533" w:rsidR="00A63E8D" w:rsidRPr="00D82F02" w:rsidRDefault="00A63E8D" w:rsidP="00D25C18">
      <w:pPr>
        <w:pStyle w:val="FootnoteText"/>
        <w:jc w:val="both"/>
        <w:rPr>
          <w:rFonts w:ascii="Palatino Linotype" w:hAnsi="Palatino Linotype" w:cs="Times New Roman"/>
          <w:lang w:val="hr-HR"/>
        </w:rPr>
      </w:pPr>
      <w:r w:rsidRPr="00D82F02">
        <w:rPr>
          <w:rStyle w:val="FootnoteReference"/>
          <w:rFonts w:ascii="Palatino Linotype" w:hAnsi="Palatino Linotype" w:cs="Times New Roman"/>
        </w:rPr>
        <w:footnoteRef/>
      </w:r>
      <w:r w:rsidRPr="00D82F02">
        <w:rPr>
          <w:rFonts w:ascii="Palatino Linotype" w:hAnsi="Palatino Linotype" w:cs="Times New Roman"/>
        </w:rPr>
        <w:t xml:space="preserve"> Ibid., p. 44.</w:t>
      </w:r>
    </w:p>
  </w:footnote>
  <w:footnote w:id="78">
    <w:p w14:paraId="42DB01EA" w14:textId="53991496" w:rsidR="00A63E8D" w:rsidRPr="00D82F02" w:rsidRDefault="00A63E8D" w:rsidP="00D25C18">
      <w:pPr>
        <w:pStyle w:val="FootnoteText"/>
        <w:jc w:val="both"/>
        <w:rPr>
          <w:rFonts w:ascii="Palatino Linotype" w:hAnsi="Palatino Linotype" w:cs="Times New Roman"/>
          <w:lang w:val="hr-HR"/>
        </w:rPr>
      </w:pPr>
      <w:r w:rsidRPr="00D82F02">
        <w:rPr>
          <w:rStyle w:val="FootnoteReference"/>
          <w:rFonts w:ascii="Palatino Linotype" w:hAnsi="Palatino Linotype" w:cs="Times New Roman"/>
        </w:rPr>
        <w:footnoteRef/>
      </w:r>
      <w:r w:rsidRPr="00D82F02">
        <w:rPr>
          <w:rFonts w:ascii="Palatino Linotype" w:hAnsi="Palatino Linotype" w:cs="Times New Roman"/>
        </w:rPr>
        <w:t xml:space="preserve"> Which is certainly one of the trends characteristic for Europe (</w:t>
      </w:r>
      <w:proofErr w:type="spellStart"/>
      <w:r w:rsidRPr="00D82F02">
        <w:rPr>
          <w:rFonts w:ascii="Palatino Linotype" w:hAnsi="Palatino Linotype" w:cs="Times New Roman"/>
        </w:rPr>
        <w:t>Jongbloed</w:t>
      </w:r>
      <w:proofErr w:type="spellEnd"/>
      <w:r w:rsidRPr="00D82F02">
        <w:rPr>
          <w:rFonts w:ascii="Palatino Linotype" w:hAnsi="Palatino Linotype" w:cs="Times New Roman"/>
        </w:rPr>
        <w:t xml:space="preserve">, B., Funding higher education: a view from Europe, Funding Higher Education: A Comparative Overview, </w:t>
      </w:r>
      <w:proofErr w:type="spellStart"/>
      <w:r w:rsidRPr="00D82F02">
        <w:rPr>
          <w:rFonts w:ascii="Palatino Linotype" w:hAnsi="Palatino Linotype" w:cs="Times New Roman"/>
        </w:rPr>
        <w:t>organised</w:t>
      </w:r>
      <w:proofErr w:type="spellEnd"/>
      <w:r w:rsidRPr="00D82F02">
        <w:rPr>
          <w:rFonts w:ascii="Palatino Linotype" w:hAnsi="Palatino Linotype" w:cs="Times New Roman"/>
        </w:rPr>
        <w:t xml:space="preserve"> by the National Trade Confederation of Goods, Services and Tourism (CNC) Brasilia, October 13, 2008, p. 6).</w:t>
      </w:r>
      <w:r w:rsidR="00E73243" w:rsidRPr="00D82F02">
        <w:rPr>
          <w:rFonts w:ascii="Palatino Linotype" w:hAnsi="Palatino Linotype" w:cs="Times New Roman"/>
        </w:rPr>
        <w:t xml:space="preserve"> </w:t>
      </w:r>
      <w:r w:rsidR="00E73243" w:rsidRPr="00D82F02">
        <w:rPr>
          <w:rFonts w:ascii="Palatino Linotype" w:eastAsia="Times New Roman" w:hAnsi="Palatino Linotype" w:cs="Times New Roman"/>
        </w:rPr>
        <w:t>Available at: https://www.utwente.nl/bms/cheps/summer_school/literature/brazil%20funding%20vs2.pdf (16/08/2016)</w:t>
      </w:r>
    </w:p>
  </w:footnote>
  <w:footnote w:id="79">
    <w:p w14:paraId="6958D6A4" w14:textId="117D28E1" w:rsidR="00A63E8D" w:rsidRPr="00D82F02" w:rsidRDefault="00A63E8D" w:rsidP="00D25C18">
      <w:pPr>
        <w:pStyle w:val="FootnoteText"/>
        <w:jc w:val="both"/>
        <w:rPr>
          <w:rFonts w:ascii="Palatino Linotype" w:hAnsi="Palatino Linotype" w:cs="Times New Roman"/>
          <w:lang w:val="en-GB"/>
        </w:rPr>
      </w:pPr>
      <w:r w:rsidRPr="00D82F02">
        <w:rPr>
          <w:rStyle w:val="FootnoteReference"/>
          <w:rFonts w:ascii="Palatino Linotype" w:hAnsi="Palatino Linotype" w:cs="Times New Roman"/>
          <w:lang w:val="en-GB"/>
        </w:rPr>
        <w:footnoteRef/>
      </w:r>
      <w:r w:rsidRPr="00D82F02">
        <w:rPr>
          <w:rFonts w:ascii="Palatino Linotype" w:hAnsi="Palatino Linotype" w:cs="Times New Roman"/>
          <w:lang w:val="en-GB"/>
        </w:rPr>
        <w:t xml:space="preserve"> </w:t>
      </w:r>
      <w:r w:rsidRPr="00D82F02">
        <w:rPr>
          <w:rFonts w:ascii="Palatino Linotype" w:eastAsia="Times New Roman" w:hAnsi="Palatino Linotype" w:cs="Times New Roman"/>
          <w:lang w:val="en-GB"/>
        </w:rPr>
        <w:t>T</w:t>
      </w:r>
      <w:r w:rsidRPr="00D82F02">
        <w:rPr>
          <w:rFonts w:ascii="Palatino Linotype" w:hAnsi="Palatino Linotype" w:cs="Times New Roman"/>
          <w:lang w:val="en-GB"/>
        </w:rPr>
        <w:t xml:space="preserve">he </w:t>
      </w:r>
      <w:r w:rsidRPr="00D82F02">
        <w:rPr>
          <w:rFonts w:ascii="Palatino Linotype" w:eastAsia="Times New Roman" w:hAnsi="Palatino Linotype" w:cs="Times New Roman"/>
          <w:lang w:val="en-GB"/>
        </w:rPr>
        <w:t xml:space="preserve">need for finding the appropriate funding alternatives is the strongest in developing countries. </w:t>
      </w:r>
      <w:r w:rsidRPr="00D82F02">
        <w:rPr>
          <w:rFonts w:ascii="Palatino Linotype" w:hAnsi="Palatino Linotype" w:cs="Times New Roman"/>
          <w:lang w:val="en-GB"/>
        </w:rPr>
        <w:t>Maisel, P., Expanding and Sustaining Clinical Legal Education in Developing Countries: What We Can Learn From South Africa, Fordham International Law Journal, Vol. 30, Issue 2, pp. 388-398.</w:t>
      </w:r>
    </w:p>
  </w:footnote>
  <w:footnote w:id="80">
    <w:p w14:paraId="0E92BC0E" w14:textId="614879F7" w:rsidR="00A63E8D" w:rsidRPr="00D82F02" w:rsidRDefault="00A63E8D" w:rsidP="00D25C18">
      <w:pPr>
        <w:pStyle w:val="FootnoteText"/>
        <w:jc w:val="both"/>
        <w:rPr>
          <w:rFonts w:ascii="Palatino Linotype" w:hAnsi="Palatino Linotype" w:cs="Times New Roman"/>
          <w:lang w:val="hr-HR"/>
        </w:rPr>
      </w:pPr>
      <w:r w:rsidRPr="00D82F02">
        <w:rPr>
          <w:rStyle w:val="FootnoteReference"/>
          <w:rFonts w:ascii="Palatino Linotype" w:hAnsi="Palatino Linotype" w:cs="Times New Roman"/>
        </w:rPr>
        <w:footnoteRef/>
      </w:r>
      <w:r w:rsidRPr="00D82F02">
        <w:rPr>
          <w:rFonts w:ascii="Palatino Linotype" w:hAnsi="Palatino Linotype" w:cs="Times New Roman"/>
        </w:rPr>
        <w:t xml:space="preserve"> Joy 2012, pp. 321.</w:t>
      </w:r>
    </w:p>
  </w:footnote>
  <w:footnote w:id="81">
    <w:p w14:paraId="18A4903A" w14:textId="2834455A" w:rsidR="00A63E8D" w:rsidRPr="00D82F02" w:rsidRDefault="00A63E8D" w:rsidP="00D25C18">
      <w:pPr>
        <w:pStyle w:val="FootnoteText"/>
        <w:jc w:val="both"/>
        <w:rPr>
          <w:rFonts w:ascii="Palatino Linotype" w:hAnsi="Palatino Linotype" w:cs="Times New Roman"/>
          <w:lang w:val="hr-HR"/>
        </w:rPr>
      </w:pPr>
      <w:r w:rsidRPr="00D82F02">
        <w:rPr>
          <w:rStyle w:val="FootnoteReference"/>
          <w:rFonts w:ascii="Palatino Linotype" w:hAnsi="Palatino Linotype" w:cs="Times New Roman"/>
        </w:rPr>
        <w:footnoteRef/>
      </w:r>
      <w:r w:rsidRPr="00D82F02">
        <w:rPr>
          <w:rFonts w:ascii="Palatino Linotype" w:hAnsi="Palatino Linotype" w:cs="Times New Roman"/>
        </w:rPr>
        <w:t xml:space="preserve">Although practitioners are well qualified to teach the students the necessary skills, academic mentoring and close supervision are required to achieve optimal education goals. Ibid., pp. 322-323. </w:t>
      </w:r>
    </w:p>
  </w:footnote>
  <w:footnote w:id="82">
    <w:p w14:paraId="64467367" w14:textId="13158D1F" w:rsidR="00A63E8D" w:rsidRPr="00D82F02" w:rsidRDefault="00A63E8D" w:rsidP="00D25C18">
      <w:pPr>
        <w:pStyle w:val="FootnoteText"/>
        <w:jc w:val="both"/>
        <w:rPr>
          <w:rFonts w:ascii="Palatino Linotype" w:hAnsi="Palatino Linotype" w:cs="Times New Roman"/>
          <w:lang w:val="hr-HR"/>
        </w:rPr>
      </w:pPr>
      <w:r w:rsidRPr="00D82F02">
        <w:rPr>
          <w:rStyle w:val="FootnoteReference"/>
          <w:rFonts w:ascii="Palatino Linotype" w:hAnsi="Palatino Linotype" w:cs="Times New Roman"/>
        </w:rPr>
        <w:footnoteRef/>
      </w:r>
      <w:r w:rsidRPr="00D82F02">
        <w:rPr>
          <w:rFonts w:ascii="Palatino Linotype" w:hAnsi="Palatino Linotype" w:cs="Times New Roman"/>
        </w:rPr>
        <w:t xml:space="preserve"> </w:t>
      </w:r>
      <w:r w:rsidRPr="00D82F02">
        <w:rPr>
          <w:rFonts w:ascii="Palatino Linotype" w:hAnsi="Palatino Linotype" w:cs="Times New Roman"/>
          <w:lang w:val="hr-HR"/>
        </w:rPr>
        <w:t>Ibid., pp. 329-330.</w:t>
      </w:r>
    </w:p>
  </w:footnote>
  <w:footnote w:id="83">
    <w:p w14:paraId="16008F4B"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iCs/>
          <w:vertAlign w:val="superscript"/>
          <w:lang w:val="en-GB"/>
        </w:rPr>
        <w:footnoteRef/>
      </w:r>
      <w:r w:rsidRPr="00D82F02">
        <w:rPr>
          <w:rFonts w:ascii="Palatino Linotype" w:hAnsi="Palatino Linotype" w:cs="Times New Roman"/>
          <w:lang w:val="en-GB"/>
        </w:rPr>
        <w:t xml:space="preserve"> The presented data is approximation of the funds granted in Croatian Kuna (HRK) and does not represent a precise amount of funds granted. The data was presented on Eleventh Public and Private Justice Course in Dubrovnik during panel “Challenges in Clinical Legal Education - Sustainability of Clinical Programs” by </w:t>
      </w:r>
      <w:proofErr w:type="spellStart"/>
      <w:r w:rsidRPr="00D82F02">
        <w:rPr>
          <w:rFonts w:ascii="Palatino Linotype" w:hAnsi="Palatino Linotype" w:cs="Times New Roman"/>
          <w:lang w:val="en-GB"/>
        </w:rPr>
        <w:t>Lidija</w:t>
      </w:r>
      <w:proofErr w:type="spellEnd"/>
      <w:r w:rsidRPr="00D82F02">
        <w:rPr>
          <w:rFonts w:ascii="Palatino Linotype" w:hAnsi="Palatino Linotype" w:cs="Times New Roman"/>
          <w:lang w:val="en-GB"/>
        </w:rPr>
        <w:t xml:space="preserve"> </w:t>
      </w:r>
      <w:proofErr w:type="spellStart"/>
      <w:r w:rsidRPr="00D82F02">
        <w:rPr>
          <w:rFonts w:ascii="Palatino Linotype" w:hAnsi="Palatino Linotype" w:cs="Times New Roman"/>
          <w:lang w:val="en-GB"/>
        </w:rPr>
        <w:t>Zajec</w:t>
      </w:r>
      <w:proofErr w:type="spellEnd"/>
      <w:r w:rsidRPr="00D82F02">
        <w:rPr>
          <w:rFonts w:ascii="Palatino Linotype" w:hAnsi="Palatino Linotype" w:cs="Times New Roman"/>
          <w:lang w:val="en-GB"/>
        </w:rPr>
        <w:t xml:space="preserve">, Advisor in the Minister’s Cabinet in the Ministry of Justice. See the official web page of the course http://www.alanuzelac.from.hr/text/iuc-course.htm. </w:t>
      </w:r>
    </w:p>
  </w:footnote>
  <w:footnote w:id="84">
    <w:p w14:paraId="29C3E1A2" w14:textId="32A4676C" w:rsidR="00A63E8D" w:rsidRPr="00D82F02" w:rsidRDefault="00A63E8D" w:rsidP="00D25C18">
      <w:pPr>
        <w:pStyle w:val="FootnoteText"/>
        <w:jc w:val="both"/>
        <w:rPr>
          <w:rFonts w:ascii="Palatino Linotype" w:hAnsi="Palatino Linotype" w:cs="Times New Roman"/>
          <w:lang w:val="hr-HR"/>
        </w:rPr>
      </w:pPr>
      <w:r w:rsidRPr="00D82F02">
        <w:rPr>
          <w:rStyle w:val="FootnoteReference"/>
          <w:rFonts w:ascii="Palatino Linotype" w:hAnsi="Palatino Linotype" w:cs="Times New Roman"/>
          <w:lang w:val="en-GB"/>
        </w:rPr>
        <w:footnoteRef/>
      </w:r>
      <w:r w:rsidRPr="00D82F02">
        <w:rPr>
          <w:rFonts w:ascii="Palatino Linotype" w:hAnsi="Palatino Linotype" w:cs="Times New Roman"/>
          <w:lang w:val="en-GB"/>
        </w:rPr>
        <w:t xml:space="preserve"> The Table 2 shows a rough estimate of the funds the Law Clinic needs at yearly basis. This approximation does not include in-kind contributions which some of the partners give. E.g. it is impossible to estimate the value of in-kind contribution of lawyers engaging in supervision of legal opinions.</w:t>
      </w:r>
    </w:p>
  </w:footnote>
  <w:footnote w:id="85">
    <w:p w14:paraId="2E85E107"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w:t>
      </w:r>
      <w:proofErr w:type="spellStart"/>
      <w:r w:rsidRPr="00D82F02">
        <w:rPr>
          <w:rFonts w:ascii="Palatino Linotype" w:hAnsi="Palatino Linotype" w:cs="Times New Roman"/>
          <w:lang w:val="en-GB"/>
        </w:rPr>
        <w:t>Wizner</w:t>
      </w:r>
      <w:proofErr w:type="spellEnd"/>
      <w:r w:rsidRPr="00D82F02">
        <w:rPr>
          <w:rFonts w:ascii="Palatino Linotype" w:hAnsi="Palatino Linotype" w:cs="Times New Roman"/>
          <w:lang w:val="en-GB"/>
        </w:rPr>
        <w:t xml:space="preserve"> 2002, p. 1935.</w:t>
      </w:r>
    </w:p>
  </w:footnote>
  <w:footnote w:id="86">
    <w:p w14:paraId="61168688" w14:textId="3A330A71"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w:t>
      </w:r>
      <w:proofErr w:type="spellStart"/>
      <w:r w:rsidRPr="00D82F02">
        <w:rPr>
          <w:rFonts w:ascii="Palatino Linotype" w:hAnsi="Palatino Linotype" w:cs="Times New Roman"/>
          <w:lang w:val="en-GB"/>
        </w:rPr>
        <w:t>Preložnjak</w:t>
      </w:r>
      <w:proofErr w:type="spellEnd"/>
      <w:r w:rsidRPr="00D82F02">
        <w:rPr>
          <w:rFonts w:ascii="Palatino Linotype" w:hAnsi="Palatino Linotype" w:cs="Times New Roman"/>
          <w:lang w:val="en-GB"/>
        </w:rPr>
        <w:t xml:space="preserve"> 2013, p. 380. By informing the clients about their rights, law clinics can correct the imbalance between the parties of different socio-economic background. They can advise the clients when to initiate the court proceedings, as well as advise them on certain procedural issues within the proceedings, if they have already been initiated.</w:t>
      </w:r>
    </w:p>
  </w:footnote>
  <w:footnote w:id="87">
    <w:p w14:paraId="38340A11" w14:textId="5324566F" w:rsidR="00A63E8D" w:rsidRPr="00D82F02" w:rsidRDefault="00A63E8D" w:rsidP="00D25C18">
      <w:pPr>
        <w:pStyle w:val="Body"/>
        <w:jc w:val="both"/>
        <w:rPr>
          <w:rFonts w:ascii="Palatino Linotype" w:hAnsi="Palatino Linotype" w:cs="Times New Roman"/>
          <w:sz w:val="20"/>
          <w:szCs w:val="20"/>
        </w:rPr>
      </w:pPr>
      <w:r w:rsidRPr="00D82F02">
        <w:rPr>
          <w:rFonts w:ascii="Palatino Linotype" w:eastAsia="Times New Roman" w:hAnsi="Palatino Linotype" w:cs="Times New Roman"/>
          <w:sz w:val="20"/>
          <w:szCs w:val="20"/>
          <w:vertAlign w:val="superscript"/>
        </w:rPr>
        <w:footnoteRef/>
      </w:r>
      <w:r w:rsidRPr="00D82F02">
        <w:rPr>
          <w:rFonts w:ascii="Palatino Linotype" w:hAnsi="Palatino Linotype" w:cs="Times New Roman"/>
          <w:sz w:val="20"/>
          <w:szCs w:val="20"/>
        </w:rPr>
        <w:t xml:space="preserve"> Katz 2015, p. 29.</w:t>
      </w:r>
    </w:p>
  </w:footnote>
  <w:footnote w:id="88">
    <w:p w14:paraId="3F72EEEA" w14:textId="77777777" w:rsidR="00A63E8D" w:rsidRPr="00D82F02" w:rsidRDefault="00A63E8D" w:rsidP="00D25C18">
      <w:pPr>
        <w:pStyle w:val="FootnoteText"/>
        <w:tabs>
          <w:tab w:val="clear" w:pos="454"/>
          <w:tab w:val="clear" w:pos="907"/>
          <w:tab w:val="clear" w:pos="1361"/>
          <w:tab w:val="clear" w:pos="1701"/>
          <w:tab w:val="clear" w:pos="2155"/>
          <w:tab w:val="clear" w:pos="2608"/>
          <w:tab w:val="clear" w:pos="3062"/>
          <w:tab w:val="clear" w:pos="3515"/>
          <w:tab w:val="clear" w:pos="3969"/>
          <w:tab w:val="clear" w:pos="4423"/>
          <w:tab w:val="clear" w:pos="4876"/>
          <w:tab w:val="clear" w:pos="5330"/>
          <w:tab w:val="clear" w:pos="5783"/>
          <w:tab w:val="clear" w:pos="6237"/>
          <w:tab w:val="clear" w:pos="6691"/>
        </w:tabs>
        <w:jc w:val="both"/>
        <w:rPr>
          <w:rFonts w:ascii="Palatino Linotype" w:hAnsi="Palatino Linotype" w:cs="Times New Roman"/>
          <w:lang w:val="en-GB"/>
        </w:rPr>
      </w:pPr>
      <w:r w:rsidRPr="00D82F02">
        <w:rPr>
          <w:rFonts w:ascii="Palatino Linotype" w:eastAsia="Times New Roman" w:hAnsi="Palatino Linotype" w:cs="Times New Roman"/>
          <w:vertAlign w:val="superscript"/>
          <w:lang w:val="en-GB"/>
        </w:rPr>
        <w:footnoteRef/>
      </w:r>
      <w:r w:rsidRPr="00D82F02">
        <w:rPr>
          <w:rFonts w:ascii="Palatino Linotype" w:hAnsi="Palatino Linotype" w:cs="Times New Roman"/>
          <w:lang w:val="en-GB"/>
        </w:rPr>
        <w:t xml:space="preserve"> Ibid.</w:t>
      </w:r>
    </w:p>
  </w:footnote>
  <w:footnote w:id="89">
    <w:p w14:paraId="294CCE5C" w14:textId="51AD7036" w:rsidR="00A63E8D" w:rsidRPr="00D82F02" w:rsidRDefault="00A63E8D" w:rsidP="00D25C18">
      <w:pPr>
        <w:pStyle w:val="FootnoteText"/>
        <w:jc w:val="both"/>
        <w:rPr>
          <w:rFonts w:ascii="Palatino Linotype" w:hAnsi="Palatino Linotype" w:cs="Times New Roman"/>
          <w:lang w:val="en-GB"/>
        </w:rPr>
      </w:pPr>
      <w:r w:rsidRPr="00D82F02">
        <w:rPr>
          <w:rStyle w:val="FootnoteReference"/>
          <w:rFonts w:ascii="Palatino Linotype" w:hAnsi="Palatino Linotype" w:cs="Times New Roman"/>
          <w:lang w:val="en-GB"/>
        </w:rPr>
        <w:footnoteRef/>
      </w:r>
      <w:r w:rsidRPr="00D82F02">
        <w:rPr>
          <w:rFonts w:ascii="Palatino Linotype" w:hAnsi="Palatino Linotype" w:cs="Times New Roman"/>
          <w:lang w:val="en-GB"/>
        </w:rPr>
        <w:t xml:space="preserve"> Now there is research showing the importance of law clinics in that regard. See Drummond, O. &amp; McKeever, G., Access to Justice through University Law Clinics, Ulster University Law School, 2015, p. 32. Available at: www.ulster.ac.uk/lawclinic/files/2014/06/Access-to-Justice-through-Uni-Law-Clinics-November-2015.pdf (24/10/2016).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B97BA" w14:textId="77777777" w:rsidR="006F15B1" w:rsidRDefault="006F15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3A40E" w14:textId="35158D51" w:rsidR="00A63E8D" w:rsidRDefault="00A63E8D">
    <w:pPr>
      <w:pStyle w:val="HeaderFooterA"/>
      <w:tabs>
        <w:tab w:val="clear" w:pos="9020"/>
        <w:tab w:val="right" w:pos="8626"/>
      </w:tabs>
    </w:pPr>
    <w:r>
      <w:rPr>
        <w:noProof/>
        <w:lang w:val="en-GB"/>
      </w:rPr>
      <mc:AlternateContent>
        <mc:Choice Requires="wps">
          <w:drawing>
            <wp:anchor distT="152400" distB="152400" distL="152400" distR="152400" simplePos="0" relativeHeight="251657728" behindDoc="1" locked="0" layoutInCell="1" allowOverlap="1" wp14:anchorId="1917FC55" wp14:editId="3341EC97">
              <wp:simplePos x="0" y="0"/>
              <wp:positionH relativeFrom="page">
                <wp:posOffset>4806950</wp:posOffset>
              </wp:positionH>
              <wp:positionV relativeFrom="page">
                <wp:posOffset>9366250</wp:posOffset>
              </wp:positionV>
              <wp:extent cx="1828800" cy="1828800"/>
              <wp:effectExtent l="0" t="3175" r="317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54E83AA4" w14:textId="2205E47E" w:rsidR="00A63E8D" w:rsidRDefault="00A63E8D">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17FC55" id="Rectangle 2" o:spid="_x0000_s1026" style="position:absolute;margin-left:378.5pt;margin-top:737.5pt;width:2in;height:2in;z-index:-2516587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" filled="f" stroked="f" strokeweight="1pt">
              <v:stroke miterlimit="4"/>
              <v:textbox>
                <w:txbxContent>
                  <w:p w14:paraId="54E83AA4" w14:textId="2205E47E" w:rsidR="00A63E8D" w:rsidRDefault="00A63E8D">
                    <w:pPr>
                      <w:pStyle w:val="Body"/>
                    </w:pPr>
                  </w:p>
                </w:txbxContent>
              </v:textbox>
              <w10:wrap anchorx="page" anchory="page"/>
            </v:rect>
          </w:pict>
        </mc:Fallback>
      </mc:AlternateContent>
    </w:r>
    <w:r w:rsidR="00D82F02">
      <w:rPr>
        <w:rFonts w:ascii="Palatino Linotype" w:hAnsi="Palatino Linotype"/>
        <w:i/>
      </w:rPr>
      <w:t xml:space="preserve">Practice Report: Clinic, the University and Society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EDAF6" w14:textId="77777777" w:rsidR="006F15B1" w:rsidRDefault="006F15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3F0B"/>
    <w:multiLevelType w:val="multilevel"/>
    <w:tmpl w:val="8794C2B2"/>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1">
    <w:nsid w:val="1A2129B2"/>
    <w:multiLevelType w:val="multilevel"/>
    <w:tmpl w:val="BBA05B72"/>
    <w:styleLink w:val="List0"/>
    <w:lvl w:ilvl="0">
      <w:start w:val="1"/>
      <w:numFmt w:val="decimal"/>
      <w:lvlText w:val="%1."/>
      <w:lvlJc w:val="left"/>
      <w:pPr>
        <w:tabs>
          <w:tab w:val="num" w:pos="454"/>
        </w:tabs>
        <w:ind w:left="454" w:hanging="454"/>
      </w:pPr>
      <w:rPr>
        <w:rFonts w:ascii="Times New Roman" w:eastAsia="Times New Roman" w:hAnsi="Times New Roman" w:cs="Times New Roman"/>
        <w:position w:val="0"/>
        <w:sz w:val="24"/>
        <w:szCs w:val="24"/>
      </w:rPr>
    </w:lvl>
    <w:lvl w:ilvl="1">
      <w:start w:val="1"/>
      <w:numFmt w:val="decimal"/>
      <w:lvlText w:val="%1.%2."/>
      <w:lvlJc w:val="left"/>
      <w:pPr>
        <w:tabs>
          <w:tab w:val="num" w:pos="120"/>
        </w:tabs>
      </w:pPr>
      <w:rPr>
        <w:rFonts w:ascii="Times New Roman Bold" w:eastAsia="Times New Roman Bold" w:hAnsi="Times New Roman Bold" w:cs="Times New Roman Bold"/>
        <w:position w:val="0"/>
        <w:sz w:val="24"/>
        <w:szCs w:val="24"/>
      </w:rPr>
    </w:lvl>
    <w:lvl w:ilvl="2">
      <w:start w:val="1"/>
      <w:numFmt w:val="decimal"/>
      <w:lvlText w:val="%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120"/>
        </w:tabs>
      </w:pPr>
      <w:rPr>
        <w:rFonts w:ascii="Times New Roman Bold" w:eastAsia="Times New Roman Bold" w:hAnsi="Times New Roman Bold" w:cs="Times New Roman Bold"/>
        <w:position w:val="0"/>
        <w:sz w:val="24"/>
        <w:szCs w:val="24"/>
      </w:rPr>
    </w:lvl>
    <w:lvl w:ilvl="4">
      <w:start w:val="1"/>
      <w:numFmt w:val="decimal"/>
      <w:lvlText w:val="%5."/>
      <w:lvlJc w:val="left"/>
      <w:pPr>
        <w:tabs>
          <w:tab w:val="num" w:pos="120"/>
        </w:tabs>
      </w:pPr>
      <w:rPr>
        <w:rFonts w:ascii="Times New Roman Bold" w:eastAsia="Times New Roman Bold" w:hAnsi="Times New Roman Bold" w:cs="Times New Roman Bold"/>
        <w:position w:val="0"/>
        <w:sz w:val="24"/>
        <w:szCs w:val="24"/>
      </w:rPr>
    </w:lvl>
    <w:lvl w:ilvl="5">
      <w:start w:val="1"/>
      <w:numFmt w:val="decimal"/>
      <w:lvlText w:val="%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120"/>
        </w:tabs>
      </w:pPr>
      <w:rPr>
        <w:rFonts w:ascii="Times New Roman Bold" w:eastAsia="Times New Roman Bold" w:hAnsi="Times New Roman Bold" w:cs="Times New Roman Bold"/>
        <w:position w:val="0"/>
        <w:sz w:val="24"/>
        <w:szCs w:val="24"/>
      </w:rPr>
    </w:lvl>
    <w:lvl w:ilvl="7">
      <w:start w:val="1"/>
      <w:numFmt w:val="decimal"/>
      <w:lvlText w:val="%8."/>
      <w:lvlJc w:val="left"/>
      <w:pPr>
        <w:tabs>
          <w:tab w:val="num" w:pos="120"/>
        </w:tabs>
      </w:pPr>
      <w:rPr>
        <w:rFonts w:ascii="Times New Roman Bold" w:eastAsia="Times New Roman Bold" w:hAnsi="Times New Roman Bold" w:cs="Times New Roman Bold"/>
        <w:position w:val="0"/>
        <w:sz w:val="24"/>
        <w:szCs w:val="24"/>
      </w:rPr>
    </w:lvl>
    <w:lvl w:ilvl="8">
      <w:start w:val="1"/>
      <w:numFmt w:val="decimal"/>
      <w:lvlText w:val="%9."/>
      <w:lvlJc w:val="left"/>
      <w:pPr>
        <w:tabs>
          <w:tab w:val="num" w:pos="120"/>
        </w:tabs>
      </w:pPr>
      <w:rPr>
        <w:rFonts w:ascii="Times New Roman Bold" w:eastAsia="Times New Roman Bold" w:hAnsi="Times New Roman Bold" w:cs="Times New Roman Bold"/>
        <w:position w:val="0"/>
        <w:sz w:val="24"/>
        <w:szCs w:val="24"/>
      </w:rPr>
    </w:lvl>
  </w:abstractNum>
  <w:abstractNum w:abstractNumId="2">
    <w:nsid w:val="1AC11311"/>
    <w:multiLevelType w:val="multilevel"/>
    <w:tmpl w:val="400434FC"/>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3">
    <w:nsid w:val="20261C19"/>
    <w:multiLevelType w:val="multilevel"/>
    <w:tmpl w:val="3384C1D8"/>
    <w:lvl w:ilvl="0">
      <w:start w:val="1"/>
      <w:numFmt w:val="decimal"/>
      <w:lvlText w:val="%1."/>
      <w:lvlJc w:val="left"/>
      <w:pPr>
        <w:tabs>
          <w:tab w:val="num" w:pos="454"/>
        </w:tabs>
        <w:ind w:left="454" w:hanging="454"/>
      </w:pPr>
      <w:rPr>
        <w:position w:val="0"/>
        <w:sz w:val="24"/>
        <w:szCs w:val="24"/>
      </w:rPr>
    </w:lvl>
    <w:lvl w:ilvl="1">
      <w:start w:val="1"/>
      <w:numFmt w:val="decimal"/>
      <w:lvlText w:val="%1.%2."/>
      <w:lvlJc w:val="left"/>
      <w:pPr>
        <w:tabs>
          <w:tab w:val="num" w:pos="114"/>
        </w:tabs>
      </w:pPr>
      <w:rPr>
        <w:position w:val="0"/>
        <w:sz w:val="24"/>
        <w:szCs w:val="24"/>
      </w:rPr>
    </w:lvl>
    <w:lvl w:ilvl="2">
      <w:start w:val="1"/>
      <w:numFmt w:val="decimal"/>
      <w:lvlText w:val="%3."/>
      <w:lvlJc w:val="left"/>
      <w:pPr>
        <w:tabs>
          <w:tab w:val="num" w:pos="114"/>
        </w:tabs>
      </w:pPr>
      <w:rPr>
        <w:position w:val="0"/>
        <w:sz w:val="24"/>
        <w:szCs w:val="24"/>
      </w:rPr>
    </w:lvl>
    <w:lvl w:ilvl="3">
      <w:start w:val="1"/>
      <w:numFmt w:val="decimal"/>
      <w:lvlText w:val="%4."/>
      <w:lvlJc w:val="left"/>
      <w:pPr>
        <w:tabs>
          <w:tab w:val="num" w:pos="114"/>
        </w:tabs>
      </w:pPr>
      <w:rPr>
        <w:position w:val="0"/>
        <w:sz w:val="24"/>
        <w:szCs w:val="24"/>
      </w:rPr>
    </w:lvl>
    <w:lvl w:ilvl="4">
      <w:start w:val="1"/>
      <w:numFmt w:val="decimal"/>
      <w:lvlText w:val="%5."/>
      <w:lvlJc w:val="left"/>
      <w:pPr>
        <w:tabs>
          <w:tab w:val="num" w:pos="114"/>
        </w:tabs>
      </w:pPr>
      <w:rPr>
        <w:position w:val="0"/>
        <w:sz w:val="24"/>
        <w:szCs w:val="24"/>
      </w:rPr>
    </w:lvl>
    <w:lvl w:ilvl="5">
      <w:start w:val="1"/>
      <w:numFmt w:val="decimal"/>
      <w:lvlText w:val="%6."/>
      <w:lvlJc w:val="left"/>
      <w:pPr>
        <w:tabs>
          <w:tab w:val="num" w:pos="114"/>
        </w:tabs>
      </w:pPr>
      <w:rPr>
        <w:position w:val="0"/>
        <w:sz w:val="24"/>
        <w:szCs w:val="24"/>
      </w:rPr>
    </w:lvl>
    <w:lvl w:ilvl="6">
      <w:start w:val="1"/>
      <w:numFmt w:val="decimal"/>
      <w:lvlText w:val="%7."/>
      <w:lvlJc w:val="left"/>
      <w:pPr>
        <w:tabs>
          <w:tab w:val="num" w:pos="114"/>
        </w:tabs>
      </w:pPr>
      <w:rPr>
        <w:position w:val="0"/>
        <w:sz w:val="24"/>
        <w:szCs w:val="24"/>
      </w:rPr>
    </w:lvl>
    <w:lvl w:ilvl="7">
      <w:start w:val="1"/>
      <w:numFmt w:val="decimal"/>
      <w:lvlText w:val="%8."/>
      <w:lvlJc w:val="left"/>
      <w:pPr>
        <w:tabs>
          <w:tab w:val="num" w:pos="114"/>
        </w:tabs>
      </w:pPr>
      <w:rPr>
        <w:position w:val="0"/>
        <w:sz w:val="24"/>
        <w:szCs w:val="24"/>
      </w:rPr>
    </w:lvl>
    <w:lvl w:ilvl="8">
      <w:start w:val="1"/>
      <w:numFmt w:val="decimal"/>
      <w:lvlText w:val="%9."/>
      <w:lvlJc w:val="left"/>
      <w:pPr>
        <w:tabs>
          <w:tab w:val="num" w:pos="114"/>
        </w:tabs>
      </w:pPr>
      <w:rPr>
        <w:position w:val="0"/>
        <w:sz w:val="24"/>
        <w:szCs w:val="24"/>
      </w:rPr>
    </w:lvl>
  </w:abstractNum>
  <w:abstractNum w:abstractNumId="4">
    <w:nsid w:val="4AAB4400"/>
    <w:multiLevelType w:val="multilevel"/>
    <w:tmpl w:val="48205552"/>
    <w:lvl w:ilvl="0">
      <w:start w:val="1"/>
      <w:numFmt w:val="decimal"/>
      <w:lvlText w:val="%1."/>
      <w:lvlJc w:val="left"/>
      <w:pPr>
        <w:tabs>
          <w:tab w:val="num" w:pos="454"/>
        </w:tabs>
        <w:ind w:left="454" w:hanging="454"/>
      </w:pPr>
      <w:rPr>
        <w:rFonts w:ascii="Times New Roman Bold" w:eastAsia="Times New Roman Bold" w:hAnsi="Times New Roman Bold" w:cs="Times New Roman Bold"/>
        <w:position w:val="0"/>
        <w:sz w:val="24"/>
        <w:szCs w:val="24"/>
      </w:rPr>
    </w:lvl>
    <w:lvl w:ilvl="1">
      <w:start w:val="1"/>
      <w:numFmt w:val="decimal"/>
      <w:lvlText w:val="%1.%2."/>
      <w:lvlJc w:val="left"/>
      <w:pPr>
        <w:tabs>
          <w:tab w:val="num" w:pos="120"/>
        </w:tabs>
      </w:pPr>
      <w:rPr>
        <w:rFonts w:ascii="Times New Roman Bold" w:eastAsia="Times New Roman Bold" w:hAnsi="Times New Roman Bold" w:cs="Times New Roman Bold"/>
        <w:position w:val="0"/>
        <w:sz w:val="24"/>
        <w:szCs w:val="24"/>
      </w:rPr>
    </w:lvl>
    <w:lvl w:ilvl="2">
      <w:start w:val="1"/>
      <w:numFmt w:val="decimal"/>
      <w:lvlText w:val="%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120"/>
        </w:tabs>
      </w:pPr>
      <w:rPr>
        <w:rFonts w:ascii="Times New Roman Bold" w:eastAsia="Times New Roman Bold" w:hAnsi="Times New Roman Bold" w:cs="Times New Roman Bold"/>
        <w:position w:val="0"/>
        <w:sz w:val="24"/>
        <w:szCs w:val="24"/>
      </w:rPr>
    </w:lvl>
    <w:lvl w:ilvl="4">
      <w:start w:val="1"/>
      <w:numFmt w:val="decimal"/>
      <w:lvlText w:val="%5."/>
      <w:lvlJc w:val="left"/>
      <w:pPr>
        <w:tabs>
          <w:tab w:val="num" w:pos="120"/>
        </w:tabs>
      </w:pPr>
      <w:rPr>
        <w:rFonts w:ascii="Times New Roman Bold" w:eastAsia="Times New Roman Bold" w:hAnsi="Times New Roman Bold" w:cs="Times New Roman Bold"/>
        <w:position w:val="0"/>
        <w:sz w:val="24"/>
        <w:szCs w:val="24"/>
      </w:rPr>
    </w:lvl>
    <w:lvl w:ilvl="5">
      <w:start w:val="1"/>
      <w:numFmt w:val="decimal"/>
      <w:lvlText w:val="%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120"/>
        </w:tabs>
      </w:pPr>
      <w:rPr>
        <w:rFonts w:ascii="Times New Roman Bold" w:eastAsia="Times New Roman Bold" w:hAnsi="Times New Roman Bold" w:cs="Times New Roman Bold"/>
        <w:position w:val="0"/>
        <w:sz w:val="24"/>
        <w:szCs w:val="24"/>
      </w:rPr>
    </w:lvl>
    <w:lvl w:ilvl="7">
      <w:start w:val="1"/>
      <w:numFmt w:val="decimal"/>
      <w:lvlText w:val="%8."/>
      <w:lvlJc w:val="left"/>
      <w:pPr>
        <w:tabs>
          <w:tab w:val="num" w:pos="120"/>
        </w:tabs>
      </w:pPr>
      <w:rPr>
        <w:rFonts w:ascii="Times New Roman Bold" w:eastAsia="Times New Roman Bold" w:hAnsi="Times New Roman Bold" w:cs="Times New Roman Bold"/>
        <w:position w:val="0"/>
        <w:sz w:val="24"/>
        <w:szCs w:val="24"/>
      </w:rPr>
    </w:lvl>
    <w:lvl w:ilvl="8">
      <w:start w:val="1"/>
      <w:numFmt w:val="decimal"/>
      <w:lvlText w:val="%9."/>
      <w:lvlJc w:val="left"/>
      <w:pPr>
        <w:tabs>
          <w:tab w:val="num" w:pos="120"/>
        </w:tabs>
      </w:pPr>
      <w:rPr>
        <w:rFonts w:ascii="Times New Roman Bold" w:eastAsia="Times New Roman Bold" w:hAnsi="Times New Roman Bold" w:cs="Times New Roman Bold"/>
        <w:position w:val="0"/>
        <w:sz w:val="24"/>
        <w:szCs w:val="24"/>
      </w:rPr>
    </w:lvl>
  </w:abstractNum>
  <w:abstractNum w:abstractNumId="5">
    <w:nsid w:val="50D5549B"/>
    <w:multiLevelType w:val="multilevel"/>
    <w:tmpl w:val="F2A4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60358A"/>
    <w:multiLevelType w:val="multilevel"/>
    <w:tmpl w:val="75B65DAC"/>
    <w:lvl w:ilvl="0">
      <w:start w:val="1"/>
      <w:numFmt w:val="decimal"/>
      <w:lvlText w:val="%1."/>
      <w:lvlJc w:val="left"/>
      <w:pPr>
        <w:tabs>
          <w:tab w:val="num" w:pos="454"/>
        </w:tabs>
        <w:ind w:left="454" w:hanging="454"/>
      </w:pPr>
      <w:rPr>
        <w:rFonts w:ascii="Times New Roman Bold" w:eastAsia="Times New Roman Bold" w:hAnsi="Times New Roman Bold" w:cs="Times New Roman Bold"/>
        <w:position w:val="0"/>
        <w:sz w:val="24"/>
        <w:szCs w:val="24"/>
      </w:rPr>
    </w:lvl>
    <w:lvl w:ilvl="1">
      <w:start w:val="1"/>
      <w:numFmt w:val="decimal"/>
      <w:lvlText w:val="%1.%2."/>
      <w:lvlJc w:val="left"/>
      <w:pPr>
        <w:tabs>
          <w:tab w:val="num" w:pos="120"/>
        </w:tabs>
      </w:pPr>
      <w:rPr>
        <w:rFonts w:ascii="Times New Roman Bold" w:eastAsia="Times New Roman Bold" w:hAnsi="Times New Roman Bold" w:cs="Times New Roman Bold"/>
        <w:position w:val="0"/>
        <w:sz w:val="24"/>
        <w:szCs w:val="24"/>
      </w:rPr>
    </w:lvl>
    <w:lvl w:ilvl="2">
      <w:start w:val="1"/>
      <w:numFmt w:val="decimal"/>
      <w:lvlText w:val="%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120"/>
        </w:tabs>
      </w:pPr>
      <w:rPr>
        <w:rFonts w:ascii="Times New Roman Bold" w:eastAsia="Times New Roman Bold" w:hAnsi="Times New Roman Bold" w:cs="Times New Roman Bold"/>
        <w:position w:val="0"/>
        <w:sz w:val="24"/>
        <w:szCs w:val="24"/>
      </w:rPr>
    </w:lvl>
    <w:lvl w:ilvl="4">
      <w:start w:val="1"/>
      <w:numFmt w:val="decimal"/>
      <w:lvlText w:val="%5."/>
      <w:lvlJc w:val="left"/>
      <w:pPr>
        <w:tabs>
          <w:tab w:val="num" w:pos="120"/>
        </w:tabs>
      </w:pPr>
      <w:rPr>
        <w:rFonts w:ascii="Times New Roman Bold" w:eastAsia="Times New Roman Bold" w:hAnsi="Times New Roman Bold" w:cs="Times New Roman Bold"/>
        <w:position w:val="0"/>
        <w:sz w:val="24"/>
        <w:szCs w:val="24"/>
      </w:rPr>
    </w:lvl>
    <w:lvl w:ilvl="5">
      <w:start w:val="1"/>
      <w:numFmt w:val="decimal"/>
      <w:lvlText w:val="%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120"/>
        </w:tabs>
      </w:pPr>
      <w:rPr>
        <w:rFonts w:ascii="Times New Roman Bold" w:eastAsia="Times New Roman Bold" w:hAnsi="Times New Roman Bold" w:cs="Times New Roman Bold"/>
        <w:position w:val="0"/>
        <w:sz w:val="24"/>
        <w:szCs w:val="24"/>
      </w:rPr>
    </w:lvl>
    <w:lvl w:ilvl="7">
      <w:start w:val="1"/>
      <w:numFmt w:val="decimal"/>
      <w:lvlText w:val="%8."/>
      <w:lvlJc w:val="left"/>
      <w:pPr>
        <w:tabs>
          <w:tab w:val="num" w:pos="120"/>
        </w:tabs>
      </w:pPr>
      <w:rPr>
        <w:rFonts w:ascii="Times New Roman Bold" w:eastAsia="Times New Roman Bold" w:hAnsi="Times New Roman Bold" w:cs="Times New Roman Bold"/>
        <w:position w:val="0"/>
        <w:sz w:val="24"/>
        <w:szCs w:val="24"/>
      </w:rPr>
    </w:lvl>
    <w:lvl w:ilvl="8">
      <w:start w:val="1"/>
      <w:numFmt w:val="decimal"/>
      <w:lvlText w:val="%9."/>
      <w:lvlJc w:val="left"/>
      <w:pPr>
        <w:tabs>
          <w:tab w:val="num" w:pos="120"/>
        </w:tabs>
      </w:pPr>
      <w:rPr>
        <w:rFonts w:ascii="Times New Roman Bold" w:eastAsia="Times New Roman Bold" w:hAnsi="Times New Roman Bold" w:cs="Times New Roman Bold"/>
        <w:position w:val="0"/>
        <w:sz w:val="24"/>
        <w:szCs w:val="24"/>
      </w:rPr>
    </w:lvl>
  </w:abstractNum>
  <w:abstractNum w:abstractNumId="7">
    <w:nsid w:val="5B081D2D"/>
    <w:multiLevelType w:val="multilevel"/>
    <w:tmpl w:val="228CCF4C"/>
    <w:styleLink w:val="List1"/>
    <w:lvl w:ilvl="0">
      <w:start w:val="3"/>
      <w:numFmt w:val="decimal"/>
      <w:lvlText w:val="%1."/>
      <w:lvlJc w:val="left"/>
      <w:pPr>
        <w:tabs>
          <w:tab w:val="num" w:pos="454"/>
        </w:tabs>
        <w:ind w:left="454" w:hanging="454"/>
      </w:pPr>
      <w:rPr>
        <w:rFonts w:ascii="Times New Roman Bold" w:eastAsia="Times New Roman Bold" w:hAnsi="Times New Roman Bold" w:cs="Times New Roman Bold"/>
        <w:position w:val="0"/>
        <w:sz w:val="24"/>
        <w:szCs w:val="24"/>
      </w:rPr>
    </w:lvl>
    <w:lvl w:ilvl="1">
      <w:start w:val="1"/>
      <w:numFmt w:val="decimal"/>
      <w:lvlText w:val="%1.%2."/>
      <w:lvlJc w:val="left"/>
      <w:pPr>
        <w:tabs>
          <w:tab w:val="num" w:pos="120"/>
        </w:tabs>
      </w:pPr>
      <w:rPr>
        <w:rFonts w:ascii="Times New Roman Bold" w:eastAsia="Times New Roman Bold" w:hAnsi="Times New Roman Bold" w:cs="Times New Roman Bold"/>
        <w:position w:val="0"/>
        <w:sz w:val="24"/>
        <w:szCs w:val="24"/>
      </w:rPr>
    </w:lvl>
    <w:lvl w:ilvl="2">
      <w:start w:val="1"/>
      <w:numFmt w:val="decimal"/>
      <w:lvlText w:val="%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120"/>
        </w:tabs>
      </w:pPr>
      <w:rPr>
        <w:rFonts w:ascii="Times New Roman Bold" w:eastAsia="Times New Roman Bold" w:hAnsi="Times New Roman Bold" w:cs="Times New Roman Bold"/>
        <w:position w:val="0"/>
        <w:sz w:val="24"/>
        <w:szCs w:val="24"/>
      </w:rPr>
    </w:lvl>
    <w:lvl w:ilvl="4">
      <w:start w:val="1"/>
      <w:numFmt w:val="decimal"/>
      <w:lvlText w:val="%5."/>
      <w:lvlJc w:val="left"/>
      <w:pPr>
        <w:tabs>
          <w:tab w:val="num" w:pos="120"/>
        </w:tabs>
      </w:pPr>
      <w:rPr>
        <w:rFonts w:ascii="Times New Roman Bold" w:eastAsia="Times New Roman Bold" w:hAnsi="Times New Roman Bold" w:cs="Times New Roman Bold"/>
        <w:position w:val="0"/>
        <w:sz w:val="24"/>
        <w:szCs w:val="24"/>
      </w:rPr>
    </w:lvl>
    <w:lvl w:ilvl="5">
      <w:start w:val="1"/>
      <w:numFmt w:val="decimal"/>
      <w:lvlText w:val="%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120"/>
        </w:tabs>
      </w:pPr>
      <w:rPr>
        <w:rFonts w:ascii="Times New Roman Bold" w:eastAsia="Times New Roman Bold" w:hAnsi="Times New Roman Bold" w:cs="Times New Roman Bold"/>
        <w:position w:val="0"/>
        <w:sz w:val="24"/>
        <w:szCs w:val="24"/>
      </w:rPr>
    </w:lvl>
    <w:lvl w:ilvl="7">
      <w:start w:val="1"/>
      <w:numFmt w:val="decimal"/>
      <w:lvlText w:val="%8."/>
      <w:lvlJc w:val="left"/>
      <w:pPr>
        <w:tabs>
          <w:tab w:val="num" w:pos="120"/>
        </w:tabs>
      </w:pPr>
      <w:rPr>
        <w:rFonts w:ascii="Times New Roman Bold" w:eastAsia="Times New Roman Bold" w:hAnsi="Times New Roman Bold" w:cs="Times New Roman Bold"/>
        <w:position w:val="0"/>
        <w:sz w:val="24"/>
        <w:szCs w:val="24"/>
      </w:rPr>
    </w:lvl>
    <w:lvl w:ilvl="8">
      <w:start w:val="1"/>
      <w:numFmt w:val="decimal"/>
      <w:lvlText w:val="%9."/>
      <w:lvlJc w:val="left"/>
      <w:pPr>
        <w:tabs>
          <w:tab w:val="num" w:pos="120"/>
        </w:tabs>
      </w:pPr>
      <w:rPr>
        <w:rFonts w:ascii="Times New Roman Bold" w:eastAsia="Times New Roman Bold" w:hAnsi="Times New Roman Bold" w:cs="Times New Roman Bold"/>
        <w:position w:val="0"/>
        <w:sz w:val="24"/>
        <w:szCs w:val="24"/>
      </w:rPr>
    </w:lvl>
  </w:abstractNum>
  <w:abstractNum w:abstractNumId="8">
    <w:nsid w:val="5C9930F3"/>
    <w:multiLevelType w:val="multilevel"/>
    <w:tmpl w:val="189EAD8A"/>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9">
    <w:nsid w:val="7EBF2CA9"/>
    <w:multiLevelType w:val="multilevel"/>
    <w:tmpl w:val="0240C888"/>
    <w:styleLink w:val="List21"/>
    <w:lvl w:ilvl="0">
      <w:numFmt w:val="decimal"/>
      <w:lvlText w:val="%1."/>
      <w:lvlJc w:val="left"/>
      <w:pPr>
        <w:tabs>
          <w:tab w:val="num" w:pos="454"/>
        </w:tabs>
        <w:ind w:left="454" w:hanging="454"/>
      </w:pPr>
      <w:rPr>
        <w:position w:val="0"/>
        <w:sz w:val="24"/>
        <w:szCs w:val="24"/>
      </w:rPr>
    </w:lvl>
    <w:lvl w:ilvl="1">
      <w:start w:val="1"/>
      <w:numFmt w:val="decimal"/>
      <w:lvlText w:val="%1.%2."/>
      <w:lvlJc w:val="left"/>
      <w:pPr>
        <w:tabs>
          <w:tab w:val="num" w:pos="114"/>
        </w:tabs>
      </w:pPr>
      <w:rPr>
        <w:position w:val="0"/>
        <w:sz w:val="24"/>
        <w:szCs w:val="24"/>
      </w:rPr>
    </w:lvl>
    <w:lvl w:ilvl="2">
      <w:start w:val="1"/>
      <w:numFmt w:val="decimal"/>
      <w:lvlText w:val="%3."/>
      <w:lvlJc w:val="left"/>
      <w:pPr>
        <w:tabs>
          <w:tab w:val="num" w:pos="114"/>
        </w:tabs>
      </w:pPr>
      <w:rPr>
        <w:position w:val="0"/>
        <w:sz w:val="24"/>
        <w:szCs w:val="24"/>
      </w:rPr>
    </w:lvl>
    <w:lvl w:ilvl="3">
      <w:start w:val="1"/>
      <w:numFmt w:val="decimal"/>
      <w:lvlText w:val="%4."/>
      <w:lvlJc w:val="left"/>
      <w:pPr>
        <w:tabs>
          <w:tab w:val="num" w:pos="114"/>
        </w:tabs>
      </w:pPr>
      <w:rPr>
        <w:position w:val="0"/>
        <w:sz w:val="24"/>
        <w:szCs w:val="24"/>
      </w:rPr>
    </w:lvl>
    <w:lvl w:ilvl="4">
      <w:start w:val="1"/>
      <w:numFmt w:val="decimal"/>
      <w:lvlText w:val="%5."/>
      <w:lvlJc w:val="left"/>
      <w:pPr>
        <w:tabs>
          <w:tab w:val="num" w:pos="114"/>
        </w:tabs>
      </w:pPr>
      <w:rPr>
        <w:position w:val="0"/>
        <w:sz w:val="24"/>
        <w:szCs w:val="24"/>
      </w:rPr>
    </w:lvl>
    <w:lvl w:ilvl="5">
      <w:start w:val="1"/>
      <w:numFmt w:val="decimal"/>
      <w:lvlText w:val="%6."/>
      <w:lvlJc w:val="left"/>
      <w:pPr>
        <w:tabs>
          <w:tab w:val="num" w:pos="114"/>
        </w:tabs>
      </w:pPr>
      <w:rPr>
        <w:position w:val="0"/>
        <w:sz w:val="24"/>
        <w:szCs w:val="24"/>
      </w:rPr>
    </w:lvl>
    <w:lvl w:ilvl="6">
      <w:start w:val="1"/>
      <w:numFmt w:val="decimal"/>
      <w:lvlText w:val="%7."/>
      <w:lvlJc w:val="left"/>
      <w:pPr>
        <w:tabs>
          <w:tab w:val="num" w:pos="114"/>
        </w:tabs>
      </w:pPr>
      <w:rPr>
        <w:position w:val="0"/>
        <w:sz w:val="24"/>
        <w:szCs w:val="24"/>
      </w:rPr>
    </w:lvl>
    <w:lvl w:ilvl="7">
      <w:start w:val="1"/>
      <w:numFmt w:val="decimal"/>
      <w:lvlText w:val="%8."/>
      <w:lvlJc w:val="left"/>
      <w:pPr>
        <w:tabs>
          <w:tab w:val="num" w:pos="114"/>
        </w:tabs>
      </w:pPr>
      <w:rPr>
        <w:position w:val="0"/>
        <w:sz w:val="24"/>
        <w:szCs w:val="24"/>
      </w:rPr>
    </w:lvl>
    <w:lvl w:ilvl="8">
      <w:start w:val="1"/>
      <w:numFmt w:val="decimal"/>
      <w:lvlText w:val="%9."/>
      <w:lvlJc w:val="left"/>
      <w:pPr>
        <w:tabs>
          <w:tab w:val="num" w:pos="114"/>
        </w:tabs>
      </w:pPr>
      <w:rPr>
        <w:position w:val="0"/>
        <w:sz w:val="24"/>
        <w:szCs w:val="24"/>
      </w:rPr>
    </w:lvl>
  </w:abstractNum>
  <w:num w:numId="1">
    <w:abstractNumId w:val="4"/>
  </w:num>
  <w:num w:numId="2">
    <w:abstractNumId w:val="8"/>
  </w:num>
  <w:num w:numId="3">
    <w:abstractNumId w:val="1"/>
  </w:num>
  <w:num w:numId="4">
    <w:abstractNumId w:val="6"/>
  </w:num>
  <w:num w:numId="5">
    <w:abstractNumId w:val="0"/>
  </w:num>
  <w:num w:numId="6">
    <w:abstractNumId w:val="7"/>
  </w:num>
  <w:num w:numId="7">
    <w:abstractNumId w:val="3"/>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420"/>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4C2"/>
    <w:rsid w:val="00007350"/>
    <w:rsid w:val="00017CF3"/>
    <w:rsid w:val="00022474"/>
    <w:rsid w:val="00031C59"/>
    <w:rsid w:val="00064F47"/>
    <w:rsid w:val="000763FE"/>
    <w:rsid w:val="00081B63"/>
    <w:rsid w:val="000863FC"/>
    <w:rsid w:val="000965AB"/>
    <w:rsid w:val="00096673"/>
    <w:rsid w:val="000A699E"/>
    <w:rsid w:val="000B135F"/>
    <w:rsid w:val="000E78AF"/>
    <w:rsid w:val="00123B55"/>
    <w:rsid w:val="0018006E"/>
    <w:rsid w:val="0019363A"/>
    <w:rsid w:val="001A345F"/>
    <w:rsid w:val="001B18A1"/>
    <w:rsid w:val="001B2772"/>
    <w:rsid w:val="001D3993"/>
    <w:rsid w:val="001F27B1"/>
    <w:rsid w:val="001F5CCD"/>
    <w:rsid w:val="00200E69"/>
    <w:rsid w:val="00204ED1"/>
    <w:rsid w:val="00257C6F"/>
    <w:rsid w:val="00270499"/>
    <w:rsid w:val="00286718"/>
    <w:rsid w:val="002B627A"/>
    <w:rsid w:val="002B68CB"/>
    <w:rsid w:val="00303518"/>
    <w:rsid w:val="00335D1E"/>
    <w:rsid w:val="00346BBB"/>
    <w:rsid w:val="00363D94"/>
    <w:rsid w:val="00374B4D"/>
    <w:rsid w:val="003803BE"/>
    <w:rsid w:val="00385FA9"/>
    <w:rsid w:val="0038620B"/>
    <w:rsid w:val="003A2CE8"/>
    <w:rsid w:val="003D1F21"/>
    <w:rsid w:val="003F5990"/>
    <w:rsid w:val="00410148"/>
    <w:rsid w:val="004150B9"/>
    <w:rsid w:val="00425F94"/>
    <w:rsid w:val="00473FA0"/>
    <w:rsid w:val="0047490E"/>
    <w:rsid w:val="00482BB5"/>
    <w:rsid w:val="0049231A"/>
    <w:rsid w:val="004A5AA8"/>
    <w:rsid w:val="004D5309"/>
    <w:rsid w:val="004E170C"/>
    <w:rsid w:val="004E6370"/>
    <w:rsid w:val="004F38B9"/>
    <w:rsid w:val="004F5716"/>
    <w:rsid w:val="005218E2"/>
    <w:rsid w:val="00531292"/>
    <w:rsid w:val="00533AEA"/>
    <w:rsid w:val="00535D71"/>
    <w:rsid w:val="00545E1B"/>
    <w:rsid w:val="00561807"/>
    <w:rsid w:val="00572104"/>
    <w:rsid w:val="0057363F"/>
    <w:rsid w:val="00576E3F"/>
    <w:rsid w:val="00580E99"/>
    <w:rsid w:val="00585428"/>
    <w:rsid w:val="00586DF0"/>
    <w:rsid w:val="00593165"/>
    <w:rsid w:val="005A5CC2"/>
    <w:rsid w:val="005B1A14"/>
    <w:rsid w:val="005E5FF2"/>
    <w:rsid w:val="00613B3E"/>
    <w:rsid w:val="0062474B"/>
    <w:rsid w:val="00652234"/>
    <w:rsid w:val="0065793D"/>
    <w:rsid w:val="006624C1"/>
    <w:rsid w:val="00697968"/>
    <w:rsid w:val="006B51BF"/>
    <w:rsid w:val="006B7FCA"/>
    <w:rsid w:val="006C4096"/>
    <w:rsid w:val="006C60BA"/>
    <w:rsid w:val="006D0C55"/>
    <w:rsid w:val="006E1194"/>
    <w:rsid w:val="006F15B1"/>
    <w:rsid w:val="0071415B"/>
    <w:rsid w:val="00734CD5"/>
    <w:rsid w:val="00740F40"/>
    <w:rsid w:val="00742F56"/>
    <w:rsid w:val="00743A1D"/>
    <w:rsid w:val="007715AA"/>
    <w:rsid w:val="0079683D"/>
    <w:rsid w:val="00796B3E"/>
    <w:rsid w:val="008100B8"/>
    <w:rsid w:val="0082120B"/>
    <w:rsid w:val="00841033"/>
    <w:rsid w:val="00842424"/>
    <w:rsid w:val="0087590B"/>
    <w:rsid w:val="00876122"/>
    <w:rsid w:val="00883CB3"/>
    <w:rsid w:val="008867CB"/>
    <w:rsid w:val="008F24C2"/>
    <w:rsid w:val="008F2EA3"/>
    <w:rsid w:val="009206EE"/>
    <w:rsid w:val="00934F7D"/>
    <w:rsid w:val="00955BDE"/>
    <w:rsid w:val="00970CCD"/>
    <w:rsid w:val="00975C78"/>
    <w:rsid w:val="00984CCC"/>
    <w:rsid w:val="00995E3A"/>
    <w:rsid w:val="009A0C35"/>
    <w:rsid w:val="009C146C"/>
    <w:rsid w:val="009D10D3"/>
    <w:rsid w:val="009E5F84"/>
    <w:rsid w:val="00A01CF8"/>
    <w:rsid w:val="00A17FE8"/>
    <w:rsid w:val="00A302E2"/>
    <w:rsid w:val="00A63E8D"/>
    <w:rsid w:val="00AC3FED"/>
    <w:rsid w:val="00AE73FC"/>
    <w:rsid w:val="00B225C5"/>
    <w:rsid w:val="00B31BDB"/>
    <w:rsid w:val="00B9594E"/>
    <w:rsid w:val="00BA6BC5"/>
    <w:rsid w:val="00BB014D"/>
    <w:rsid w:val="00BE3237"/>
    <w:rsid w:val="00BF1473"/>
    <w:rsid w:val="00BF3C28"/>
    <w:rsid w:val="00C1733B"/>
    <w:rsid w:val="00C30601"/>
    <w:rsid w:val="00C51C57"/>
    <w:rsid w:val="00C52E45"/>
    <w:rsid w:val="00C636B9"/>
    <w:rsid w:val="00C63723"/>
    <w:rsid w:val="00C7219D"/>
    <w:rsid w:val="00CA2956"/>
    <w:rsid w:val="00CA69E7"/>
    <w:rsid w:val="00CB30A1"/>
    <w:rsid w:val="00CB5D85"/>
    <w:rsid w:val="00CD28E2"/>
    <w:rsid w:val="00CD5BC6"/>
    <w:rsid w:val="00CF10AD"/>
    <w:rsid w:val="00CF125C"/>
    <w:rsid w:val="00D00E96"/>
    <w:rsid w:val="00D01964"/>
    <w:rsid w:val="00D25C18"/>
    <w:rsid w:val="00D262D5"/>
    <w:rsid w:val="00D33A7E"/>
    <w:rsid w:val="00D4391C"/>
    <w:rsid w:val="00D56A45"/>
    <w:rsid w:val="00D82F02"/>
    <w:rsid w:val="00D84EA4"/>
    <w:rsid w:val="00D85445"/>
    <w:rsid w:val="00DA6C15"/>
    <w:rsid w:val="00DC1EDB"/>
    <w:rsid w:val="00DD1640"/>
    <w:rsid w:val="00DE2E9B"/>
    <w:rsid w:val="00E73243"/>
    <w:rsid w:val="00EB13FF"/>
    <w:rsid w:val="00F10629"/>
    <w:rsid w:val="00F231FD"/>
    <w:rsid w:val="00F40E05"/>
    <w:rsid w:val="00F43FCD"/>
    <w:rsid w:val="00F82164"/>
    <w:rsid w:val="00F87457"/>
    <w:rsid w:val="00FC7860"/>
    <w:rsid w:val="00FD4CE5"/>
    <w:rsid w:val="00FE46F8"/>
    <w:rsid w:val="00FF4F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7E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24C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24C2"/>
    <w:rPr>
      <w:u w:val="single"/>
    </w:rPr>
  </w:style>
  <w:style w:type="paragraph" w:customStyle="1" w:styleId="HeaderFooterA">
    <w:name w:val="Header &amp; Footer A"/>
    <w:rsid w:val="008F24C2"/>
    <w:pPr>
      <w:tabs>
        <w:tab w:val="left" w:pos="454"/>
        <w:tab w:val="left" w:pos="907"/>
        <w:tab w:val="left" w:pos="1361"/>
        <w:tab w:val="left" w:pos="1701"/>
        <w:tab w:val="left" w:pos="2155"/>
        <w:tab w:val="left" w:pos="2608"/>
        <w:tab w:val="left" w:pos="3062"/>
        <w:tab w:val="left" w:pos="3515"/>
        <w:tab w:val="left" w:pos="3969"/>
        <w:tab w:val="left" w:pos="4423"/>
        <w:tab w:val="left" w:pos="4876"/>
        <w:tab w:val="left" w:pos="5330"/>
        <w:tab w:val="left" w:pos="5783"/>
        <w:tab w:val="left" w:pos="6237"/>
        <w:tab w:val="left" w:pos="6691"/>
        <w:tab w:val="right" w:pos="9020"/>
      </w:tabs>
      <w:suppressAutoHyphens/>
      <w:spacing w:before="40" w:after="40"/>
    </w:pPr>
    <w:rPr>
      <w:rFonts w:ascii="Helvetica" w:hAnsi="Arial Unicode MS" w:cs="Arial Unicode MS"/>
      <w:color w:val="000000"/>
      <w:sz w:val="24"/>
      <w:szCs w:val="24"/>
      <w:u w:color="000000"/>
      <w:lang w:val="en-US"/>
    </w:rPr>
  </w:style>
  <w:style w:type="paragraph" w:customStyle="1" w:styleId="Body">
    <w:name w:val="Body"/>
    <w:rsid w:val="008F24C2"/>
    <w:pPr>
      <w:tabs>
        <w:tab w:val="left" w:pos="454"/>
        <w:tab w:val="left" w:pos="907"/>
        <w:tab w:val="left" w:pos="1361"/>
        <w:tab w:val="left" w:pos="1701"/>
        <w:tab w:val="left" w:pos="2155"/>
        <w:tab w:val="left" w:pos="2608"/>
        <w:tab w:val="left" w:pos="3062"/>
        <w:tab w:val="left" w:pos="3515"/>
        <w:tab w:val="left" w:pos="3969"/>
        <w:tab w:val="left" w:pos="4423"/>
        <w:tab w:val="left" w:pos="4876"/>
        <w:tab w:val="left" w:pos="5330"/>
        <w:tab w:val="left" w:pos="5783"/>
        <w:tab w:val="left" w:pos="6237"/>
        <w:tab w:val="left" w:pos="6691"/>
      </w:tabs>
      <w:suppressAutoHyphens/>
      <w:spacing w:before="40" w:after="40"/>
    </w:pPr>
    <w:rPr>
      <w:rFonts w:ascii="Tahoma" w:hAnsi="Arial Unicode MS" w:cs="Arial Unicode MS"/>
      <w:color w:val="000000"/>
      <w:sz w:val="22"/>
      <w:szCs w:val="22"/>
      <w:u w:color="000000"/>
    </w:rPr>
  </w:style>
  <w:style w:type="paragraph" w:customStyle="1" w:styleId="HeaderFooter">
    <w:name w:val="Header &amp; Footer"/>
    <w:rsid w:val="008F24C2"/>
    <w:pPr>
      <w:tabs>
        <w:tab w:val="right" w:pos="9020"/>
      </w:tabs>
    </w:pPr>
    <w:rPr>
      <w:rFonts w:ascii="Helvetica" w:hAnsi="Arial Unicode MS" w:cs="Arial Unicode MS"/>
      <w:color w:val="000000"/>
      <w:sz w:val="24"/>
      <w:szCs w:val="24"/>
    </w:rPr>
  </w:style>
  <w:style w:type="numbering" w:customStyle="1" w:styleId="List0">
    <w:name w:val="List 0"/>
    <w:basedOn w:val="ImportedStyle1"/>
    <w:rsid w:val="008F24C2"/>
    <w:pPr>
      <w:numPr>
        <w:numId w:val="3"/>
      </w:numPr>
    </w:pPr>
  </w:style>
  <w:style w:type="numbering" w:customStyle="1" w:styleId="ImportedStyle1">
    <w:name w:val="Imported Style 1"/>
    <w:rsid w:val="008F24C2"/>
  </w:style>
  <w:style w:type="paragraph" w:customStyle="1" w:styleId="Default">
    <w:name w:val="Default"/>
    <w:rsid w:val="008F24C2"/>
    <w:pPr>
      <w:tabs>
        <w:tab w:val="left" w:pos="454"/>
        <w:tab w:val="left" w:pos="907"/>
        <w:tab w:val="left" w:pos="1361"/>
        <w:tab w:val="left" w:pos="1701"/>
        <w:tab w:val="left" w:pos="2155"/>
        <w:tab w:val="left" w:pos="2608"/>
        <w:tab w:val="left" w:pos="3062"/>
        <w:tab w:val="left" w:pos="3515"/>
        <w:tab w:val="left" w:pos="3969"/>
        <w:tab w:val="left" w:pos="4423"/>
        <w:tab w:val="left" w:pos="4876"/>
        <w:tab w:val="left" w:pos="5330"/>
        <w:tab w:val="left" w:pos="5783"/>
        <w:tab w:val="left" w:pos="6237"/>
        <w:tab w:val="left" w:pos="6691"/>
      </w:tabs>
      <w:suppressAutoHyphens/>
      <w:spacing w:before="40" w:after="40"/>
    </w:pPr>
    <w:rPr>
      <w:rFonts w:ascii="Helvetica" w:eastAsia="Helvetica" w:hAnsi="Helvetica" w:cs="Helvetica"/>
      <w:color w:val="000000"/>
      <w:sz w:val="22"/>
      <w:szCs w:val="22"/>
      <w:u w:color="000000"/>
      <w:lang w:val="en-US"/>
    </w:rPr>
  </w:style>
  <w:style w:type="paragraph" w:styleId="FootnoteText">
    <w:name w:val="footnote text"/>
    <w:rsid w:val="008F24C2"/>
    <w:pPr>
      <w:tabs>
        <w:tab w:val="left" w:pos="454"/>
        <w:tab w:val="left" w:pos="907"/>
        <w:tab w:val="left" w:pos="1361"/>
        <w:tab w:val="left" w:pos="1701"/>
        <w:tab w:val="left" w:pos="2155"/>
        <w:tab w:val="left" w:pos="2608"/>
        <w:tab w:val="left" w:pos="3062"/>
        <w:tab w:val="left" w:pos="3515"/>
        <w:tab w:val="left" w:pos="3969"/>
        <w:tab w:val="left" w:pos="4423"/>
        <w:tab w:val="left" w:pos="4876"/>
        <w:tab w:val="left" w:pos="5330"/>
        <w:tab w:val="left" w:pos="5783"/>
        <w:tab w:val="left" w:pos="6237"/>
        <w:tab w:val="left" w:pos="6691"/>
      </w:tabs>
      <w:suppressAutoHyphens/>
      <w:spacing w:before="40" w:after="40"/>
    </w:pPr>
    <w:rPr>
      <w:rFonts w:ascii="Tahoma" w:eastAsia="Tahoma" w:hAnsi="Tahoma" w:cs="Tahoma"/>
      <w:color w:val="000000"/>
      <w:u w:color="000000"/>
      <w:lang w:val="en-US"/>
    </w:rPr>
  </w:style>
  <w:style w:type="numbering" w:customStyle="1" w:styleId="List1">
    <w:name w:val="List 1"/>
    <w:basedOn w:val="ImportedStyle2"/>
    <w:rsid w:val="008F24C2"/>
    <w:pPr>
      <w:numPr>
        <w:numId w:val="6"/>
      </w:numPr>
    </w:pPr>
  </w:style>
  <w:style w:type="numbering" w:customStyle="1" w:styleId="ImportedStyle2">
    <w:name w:val="Imported Style 2"/>
    <w:rsid w:val="008F24C2"/>
  </w:style>
  <w:style w:type="character" w:customStyle="1" w:styleId="Hyperlink0">
    <w:name w:val="Hyperlink.0"/>
    <w:basedOn w:val="Hyperlink"/>
    <w:rsid w:val="008F24C2"/>
    <w:rPr>
      <w:u w:val="single"/>
    </w:rPr>
  </w:style>
  <w:style w:type="paragraph" w:customStyle="1" w:styleId="b1af-f">
    <w:name w:val="b1af-_f"/>
    <w:rsid w:val="008F24C2"/>
    <w:pPr>
      <w:tabs>
        <w:tab w:val="left" w:pos="454"/>
        <w:tab w:val="left" w:pos="907"/>
        <w:tab w:val="left" w:pos="1361"/>
        <w:tab w:val="left" w:pos="1701"/>
        <w:tab w:val="left" w:pos="2155"/>
        <w:tab w:val="left" w:pos="2608"/>
        <w:tab w:val="left" w:pos="3062"/>
        <w:tab w:val="left" w:pos="3515"/>
        <w:tab w:val="left" w:pos="3969"/>
        <w:tab w:val="left" w:pos="4423"/>
        <w:tab w:val="left" w:pos="4876"/>
        <w:tab w:val="left" w:pos="5330"/>
        <w:tab w:val="left" w:pos="5783"/>
        <w:tab w:val="left" w:pos="6237"/>
        <w:tab w:val="left" w:pos="6691"/>
      </w:tabs>
      <w:suppressAutoHyphens/>
      <w:spacing w:before="40" w:after="40" w:line="360" w:lineRule="atLeast"/>
    </w:pPr>
    <w:rPr>
      <w:rFonts w:eastAsia="Times New Roman"/>
      <w:color w:val="000000"/>
      <w:u w:color="000000"/>
      <w:lang w:val="en-US"/>
    </w:rPr>
  </w:style>
  <w:style w:type="numbering" w:customStyle="1" w:styleId="List21">
    <w:name w:val="List 21"/>
    <w:basedOn w:val="ImportedStyle3"/>
    <w:rsid w:val="008F24C2"/>
    <w:pPr>
      <w:numPr>
        <w:numId w:val="9"/>
      </w:numPr>
    </w:pPr>
  </w:style>
  <w:style w:type="numbering" w:customStyle="1" w:styleId="ImportedStyle3">
    <w:name w:val="Imported Style 3"/>
    <w:rsid w:val="008F24C2"/>
  </w:style>
  <w:style w:type="paragraph" w:customStyle="1" w:styleId="rf1aff">
    <w:name w:val="rf1af_f"/>
    <w:rsid w:val="008F24C2"/>
    <w:pPr>
      <w:tabs>
        <w:tab w:val="left" w:pos="340"/>
        <w:tab w:val="left" w:pos="454"/>
        <w:tab w:val="left" w:pos="680"/>
        <w:tab w:val="left" w:pos="907"/>
        <w:tab w:val="left" w:pos="1021"/>
        <w:tab w:val="left" w:pos="1361"/>
        <w:tab w:val="left" w:pos="1701"/>
        <w:tab w:val="left" w:pos="2041"/>
        <w:tab w:val="left" w:pos="2155"/>
        <w:tab w:val="left" w:pos="2381"/>
        <w:tab w:val="left" w:pos="2608"/>
        <w:tab w:val="left" w:pos="2722"/>
        <w:tab w:val="left" w:pos="3062"/>
        <w:tab w:val="left" w:pos="3402"/>
        <w:tab w:val="left" w:pos="3515"/>
        <w:tab w:val="left" w:pos="3742"/>
        <w:tab w:val="left" w:pos="3969"/>
        <w:tab w:val="left" w:pos="4082"/>
        <w:tab w:val="left" w:pos="4423"/>
        <w:tab w:val="left" w:pos="4763"/>
        <w:tab w:val="left" w:pos="4876"/>
        <w:tab w:val="left" w:pos="5103"/>
        <w:tab w:val="left" w:pos="5330"/>
        <w:tab w:val="left" w:pos="5443"/>
        <w:tab w:val="left" w:pos="5783"/>
        <w:tab w:val="left" w:pos="6124"/>
        <w:tab w:val="left" w:pos="6237"/>
        <w:tab w:val="left" w:pos="6464"/>
        <w:tab w:val="left" w:pos="6691"/>
        <w:tab w:val="left" w:pos="6804"/>
        <w:tab w:val="left" w:pos="7144"/>
        <w:tab w:val="left" w:pos="7484"/>
        <w:tab w:val="left" w:pos="7825"/>
      </w:tabs>
      <w:suppressAutoHyphens/>
      <w:spacing w:before="160" w:after="40" w:line="360" w:lineRule="atLeast"/>
    </w:pPr>
    <w:rPr>
      <w:rFonts w:hAnsi="Arial Unicode MS" w:cs="Arial Unicode MS"/>
      <w:color w:val="000000"/>
      <w:u w:color="000000"/>
      <w:lang w:val="en-US"/>
    </w:rPr>
  </w:style>
  <w:style w:type="paragraph" w:styleId="CommentText">
    <w:name w:val="annotation text"/>
    <w:basedOn w:val="Normal"/>
    <w:link w:val="CommentTextChar"/>
    <w:uiPriority w:val="99"/>
    <w:semiHidden/>
    <w:unhideWhenUsed/>
    <w:rsid w:val="008F24C2"/>
    <w:rPr>
      <w:sz w:val="20"/>
      <w:szCs w:val="20"/>
    </w:rPr>
  </w:style>
  <w:style w:type="character" w:customStyle="1" w:styleId="CommentTextChar">
    <w:name w:val="Comment Text Char"/>
    <w:basedOn w:val="DefaultParagraphFont"/>
    <w:link w:val="CommentText"/>
    <w:uiPriority w:val="99"/>
    <w:semiHidden/>
    <w:rsid w:val="008F24C2"/>
    <w:rPr>
      <w:lang w:val="en-US" w:eastAsia="en-US"/>
    </w:rPr>
  </w:style>
  <w:style w:type="character" w:styleId="CommentReference">
    <w:name w:val="annotation reference"/>
    <w:basedOn w:val="DefaultParagraphFont"/>
    <w:uiPriority w:val="99"/>
    <w:semiHidden/>
    <w:unhideWhenUsed/>
    <w:rsid w:val="008F24C2"/>
    <w:rPr>
      <w:sz w:val="16"/>
      <w:szCs w:val="16"/>
    </w:rPr>
  </w:style>
  <w:style w:type="paragraph" w:styleId="BalloonText">
    <w:name w:val="Balloon Text"/>
    <w:basedOn w:val="Normal"/>
    <w:link w:val="BalloonTextChar"/>
    <w:uiPriority w:val="99"/>
    <w:semiHidden/>
    <w:unhideWhenUsed/>
    <w:rsid w:val="00BA6BC5"/>
    <w:rPr>
      <w:rFonts w:ascii="Tahoma" w:hAnsi="Tahoma" w:cs="Tahoma"/>
      <w:sz w:val="16"/>
      <w:szCs w:val="16"/>
    </w:rPr>
  </w:style>
  <w:style w:type="character" w:customStyle="1" w:styleId="BalloonTextChar">
    <w:name w:val="Balloon Text Char"/>
    <w:basedOn w:val="DefaultParagraphFont"/>
    <w:link w:val="BalloonText"/>
    <w:uiPriority w:val="99"/>
    <w:semiHidden/>
    <w:rsid w:val="00BA6BC5"/>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0B135F"/>
    <w:rPr>
      <w:b/>
      <w:bCs/>
    </w:rPr>
  </w:style>
  <w:style w:type="character" w:customStyle="1" w:styleId="CommentSubjectChar">
    <w:name w:val="Comment Subject Char"/>
    <w:basedOn w:val="CommentTextChar"/>
    <w:link w:val="CommentSubject"/>
    <w:uiPriority w:val="99"/>
    <w:semiHidden/>
    <w:rsid w:val="000B135F"/>
    <w:rPr>
      <w:b/>
      <w:bCs/>
      <w:lang w:val="en-US" w:eastAsia="en-US"/>
    </w:rPr>
  </w:style>
  <w:style w:type="paragraph" w:styleId="Header">
    <w:name w:val="header"/>
    <w:basedOn w:val="Normal"/>
    <w:link w:val="HeaderChar"/>
    <w:uiPriority w:val="99"/>
    <w:unhideWhenUsed/>
    <w:rsid w:val="00BE3237"/>
    <w:pPr>
      <w:tabs>
        <w:tab w:val="center" w:pos="4513"/>
        <w:tab w:val="right" w:pos="9026"/>
      </w:tabs>
    </w:pPr>
  </w:style>
  <w:style w:type="character" w:customStyle="1" w:styleId="HeaderChar">
    <w:name w:val="Header Char"/>
    <w:basedOn w:val="DefaultParagraphFont"/>
    <w:link w:val="Header"/>
    <w:uiPriority w:val="99"/>
    <w:rsid w:val="00BE3237"/>
    <w:rPr>
      <w:sz w:val="24"/>
      <w:szCs w:val="24"/>
      <w:lang w:val="en-US" w:eastAsia="en-US"/>
    </w:rPr>
  </w:style>
  <w:style w:type="paragraph" w:styleId="Footer">
    <w:name w:val="footer"/>
    <w:basedOn w:val="Normal"/>
    <w:link w:val="FooterChar"/>
    <w:uiPriority w:val="99"/>
    <w:unhideWhenUsed/>
    <w:rsid w:val="00BE3237"/>
    <w:pPr>
      <w:tabs>
        <w:tab w:val="center" w:pos="4513"/>
        <w:tab w:val="right" w:pos="9026"/>
      </w:tabs>
    </w:pPr>
  </w:style>
  <w:style w:type="character" w:customStyle="1" w:styleId="FooterChar">
    <w:name w:val="Footer Char"/>
    <w:basedOn w:val="DefaultParagraphFont"/>
    <w:link w:val="Footer"/>
    <w:uiPriority w:val="99"/>
    <w:rsid w:val="00BE3237"/>
    <w:rPr>
      <w:sz w:val="24"/>
      <w:szCs w:val="24"/>
      <w:lang w:val="en-US" w:eastAsia="en-US"/>
    </w:rPr>
  </w:style>
  <w:style w:type="character" w:styleId="Emphasis">
    <w:name w:val="Emphasis"/>
    <w:basedOn w:val="DefaultParagraphFont"/>
    <w:uiPriority w:val="20"/>
    <w:qFormat/>
    <w:rsid w:val="00200E69"/>
    <w:rPr>
      <w:i/>
      <w:iCs/>
    </w:rPr>
  </w:style>
  <w:style w:type="character" w:styleId="FootnoteReference">
    <w:name w:val="footnote reference"/>
    <w:basedOn w:val="DefaultParagraphFont"/>
    <w:uiPriority w:val="99"/>
    <w:semiHidden/>
    <w:unhideWhenUsed/>
    <w:rsid w:val="00D01964"/>
    <w:rPr>
      <w:vertAlign w:val="superscript"/>
    </w:rPr>
  </w:style>
  <w:style w:type="character" w:styleId="FollowedHyperlink">
    <w:name w:val="FollowedHyperlink"/>
    <w:basedOn w:val="DefaultParagraphFont"/>
    <w:uiPriority w:val="99"/>
    <w:semiHidden/>
    <w:unhideWhenUsed/>
    <w:rsid w:val="00C51C57"/>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24C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24C2"/>
    <w:rPr>
      <w:u w:val="single"/>
    </w:rPr>
  </w:style>
  <w:style w:type="paragraph" w:customStyle="1" w:styleId="HeaderFooterA">
    <w:name w:val="Header &amp; Footer A"/>
    <w:rsid w:val="008F24C2"/>
    <w:pPr>
      <w:tabs>
        <w:tab w:val="left" w:pos="454"/>
        <w:tab w:val="left" w:pos="907"/>
        <w:tab w:val="left" w:pos="1361"/>
        <w:tab w:val="left" w:pos="1701"/>
        <w:tab w:val="left" w:pos="2155"/>
        <w:tab w:val="left" w:pos="2608"/>
        <w:tab w:val="left" w:pos="3062"/>
        <w:tab w:val="left" w:pos="3515"/>
        <w:tab w:val="left" w:pos="3969"/>
        <w:tab w:val="left" w:pos="4423"/>
        <w:tab w:val="left" w:pos="4876"/>
        <w:tab w:val="left" w:pos="5330"/>
        <w:tab w:val="left" w:pos="5783"/>
        <w:tab w:val="left" w:pos="6237"/>
        <w:tab w:val="left" w:pos="6691"/>
        <w:tab w:val="right" w:pos="9020"/>
      </w:tabs>
      <w:suppressAutoHyphens/>
      <w:spacing w:before="40" w:after="40"/>
    </w:pPr>
    <w:rPr>
      <w:rFonts w:ascii="Helvetica" w:hAnsi="Arial Unicode MS" w:cs="Arial Unicode MS"/>
      <w:color w:val="000000"/>
      <w:sz w:val="24"/>
      <w:szCs w:val="24"/>
      <w:u w:color="000000"/>
      <w:lang w:val="en-US"/>
    </w:rPr>
  </w:style>
  <w:style w:type="paragraph" w:customStyle="1" w:styleId="Body">
    <w:name w:val="Body"/>
    <w:rsid w:val="008F24C2"/>
    <w:pPr>
      <w:tabs>
        <w:tab w:val="left" w:pos="454"/>
        <w:tab w:val="left" w:pos="907"/>
        <w:tab w:val="left" w:pos="1361"/>
        <w:tab w:val="left" w:pos="1701"/>
        <w:tab w:val="left" w:pos="2155"/>
        <w:tab w:val="left" w:pos="2608"/>
        <w:tab w:val="left" w:pos="3062"/>
        <w:tab w:val="left" w:pos="3515"/>
        <w:tab w:val="left" w:pos="3969"/>
        <w:tab w:val="left" w:pos="4423"/>
        <w:tab w:val="left" w:pos="4876"/>
        <w:tab w:val="left" w:pos="5330"/>
        <w:tab w:val="left" w:pos="5783"/>
        <w:tab w:val="left" w:pos="6237"/>
        <w:tab w:val="left" w:pos="6691"/>
      </w:tabs>
      <w:suppressAutoHyphens/>
      <w:spacing w:before="40" w:after="40"/>
    </w:pPr>
    <w:rPr>
      <w:rFonts w:ascii="Tahoma" w:hAnsi="Arial Unicode MS" w:cs="Arial Unicode MS"/>
      <w:color w:val="000000"/>
      <w:sz w:val="22"/>
      <w:szCs w:val="22"/>
      <w:u w:color="000000"/>
    </w:rPr>
  </w:style>
  <w:style w:type="paragraph" w:customStyle="1" w:styleId="HeaderFooter">
    <w:name w:val="Header &amp; Footer"/>
    <w:rsid w:val="008F24C2"/>
    <w:pPr>
      <w:tabs>
        <w:tab w:val="right" w:pos="9020"/>
      </w:tabs>
    </w:pPr>
    <w:rPr>
      <w:rFonts w:ascii="Helvetica" w:hAnsi="Arial Unicode MS" w:cs="Arial Unicode MS"/>
      <w:color w:val="000000"/>
      <w:sz w:val="24"/>
      <w:szCs w:val="24"/>
    </w:rPr>
  </w:style>
  <w:style w:type="numbering" w:customStyle="1" w:styleId="List0">
    <w:name w:val="List 0"/>
    <w:basedOn w:val="ImportedStyle1"/>
    <w:rsid w:val="008F24C2"/>
    <w:pPr>
      <w:numPr>
        <w:numId w:val="3"/>
      </w:numPr>
    </w:pPr>
  </w:style>
  <w:style w:type="numbering" w:customStyle="1" w:styleId="ImportedStyle1">
    <w:name w:val="Imported Style 1"/>
    <w:rsid w:val="008F24C2"/>
  </w:style>
  <w:style w:type="paragraph" w:customStyle="1" w:styleId="Default">
    <w:name w:val="Default"/>
    <w:rsid w:val="008F24C2"/>
    <w:pPr>
      <w:tabs>
        <w:tab w:val="left" w:pos="454"/>
        <w:tab w:val="left" w:pos="907"/>
        <w:tab w:val="left" w:pos="1361"/>
        <w:tab w:val="left" w:pos="1701"/>
        <w:tab w:val="left" w:pos="2155"/>
        <w:tab w:val="left" w:pos="2608"/>
        <w:tab w:val="left" w:pos="3062"/>
        <w:tab w:val="left" w:pos="3515"/>
        <w:tab w:val="left" w:pos="3969"/>
        <w:tab w:val="left" w:pos="4423"/>
        <w:tab w:val="left" w:pos="4876"/>
        <w:tab w:val="left" w:pos="5330"/>
        <w:tab w:val="left" w:pos="5783"/>
        <w:tab w:val="left" w:pos="6237"/>
        <w:tab w:val="left" w:pos="6691"/>
      </w:tabs>
      <w:suppressAutoHyphens/>
      <w:spacing w:before="40" w:after="40"/>
    </w:pPr>
    <w:rPr>
      <w:rFonts w:ascii="Helvetica" w:eastAsia="Helvetica" w:hAnsi="Helvetica" w:cs="Helvetica"/>
      <w:color w:val="000000"/>
      <w:sz w:val="22"/>
      <w:szCs w:val="22"/>
      <w:u w:color="000000"/>
      <w:lang w:val="en-US"/>
    </w:rPr>
  </w:style>
  <w:style w:type="paragraph" w:styleId="FootnoteText">
    <w:name w:val="footnote text"/>
    <w:rsid w:val="008F24C2"/>
    <w:pPr>
      <w:tabs>
        <w:tab w:val="left" w:pos="454"/>
        <w:tab w:val="left" w:pos="907"/>
        <w:tab w:val="left" w:pos="1361"/>
        <w:tab w:val="left" w:pos="1701"/>
        <w:tab w:val="left" w:pos="2155"/>
        <w:tab w:val="left" w:pos="2608"/>
        <w:tab w:val="left" w:pos="3062"/>
        <w:tab w:val="left" w:pos="3515"/>
        <w:tab w:val="left" w:pos="3969"/>
        <w:tab w:val="left" w:pos="4423"/>
        <w:tab w:val="left" w:pos="4876"/>
        <w:tab w:val="left" w:pos="5330"/>
        <w:tab w:val="left" w:pos="5783"/>
        <w:tab w:val="left" w:pos="6237"/>
        <w:tab w:val="left" w:pos="6691"/>
      </w:tabs>
      <w:suppressAutoHyphens/>
      <w:spacing w:before="40" w:after="40"/>
    </w:pPr>
    <w:rPr>
      <w:rFonts w:ascii="Tahoma" w:eastAsia="Tahoma" w:hAnsi="Tahoma" w:cs="Tahoma"/>
      <w:color w:val="000000"/>
      <w:u w:color="000000"/>
      <w:lang w:val="en-US"/>
    </w:rPr>
  </w:style>
  <w:style w:type="numbering" w:customStyle="1" w:styleId="List1">
    <w:name w:val="List 1"/>
    <w:basedOn w:val="ImportedStyle2"/>
    <w:rsid w:val="008F24C2"/>
    <w:pPr>
      <w:numPr>
        <w:numId w:val="6"/>
      </w:numPr>
    </w:pPr>
  </w:style>
  <w:style w:type="numbering" w:customStyle="1" w:styleId="ImportedStyle2">
    <w:name w:val="Imported Style 2"/>
    <w:rsid w:val="008F24C2"/>
  </w:style>
  <w:style w:type="character" w:customStyle="1" w:styleId="Hyperlink0">
    <w:name w:val="Hyperlink.0"/>
    <w:basedOn w:val="Hyperlink"/>
    <w:rsid w:val="008F24C2"/>
    <w:rPr>
      <w:u w:val="single"/>
    </w:rPr>
  </w:style>
  <w:style w:type="paragraph" w:customStyle="1" w:styleId="b1af-f">
    <w:name w:val="b1af-_f"/>
    <w:rsid w:val="008F24C2"/>
    <w:pPr>
      <w:tabs>
        <w:tab w:val="left" w:pos="454"/>
        <w:tab w:val="left" w:pos="907"/>
        <w:tab w:val="left" w:pos="1361"/>
        <w:tab w:val="left" w:pos="1701"/>
        <w:tab w:val="left" w:pos="2155"/>
        <w:tab w:val="left" w:pos="2608"/>
        <w:tab w:val="left" w:pos="3062"/>
        <w:tab w:val="left" w:pos="3515"/>
        <w:tab w:val="left" w:pos="3969"/>
        <w:tab w:val="left" w:pos="4423"/>
        <w:tab w:val="left" w:pos="4876"/>
        <w:tab w:val="left" w:pos="5330"/>
        <w:tab w:val="left" w:pos="5783"/>
        <w:tab w:val="left" w:pos="6237"/>
        <w:tab w:val="left" w:pos="6691"/>
      </w:tabs>
      <w:suppressAutoHyphens/>
      <w:spacing w:before="40" w:after="40" w:line="360" w:lineRule="atLeast"/>
    </w:pPr>
    <w:rPr>
      <w:rFonts w:eastAsia="Times New Roman"/>
      <w:color w:val="000000"/>
      <w:u w:color="000000"/>
      <w:lang w:val="en-US"/>
    </w:rPr>
  </w:style>
  <w:style w:type="numbering" w:customStyle="1" w:styleId="List21">
    <w:name w:val="List 21"/>
    <w:basedOn w:val="ImportedStyle3"/>
    <w:rsid w:val="008F24C2"/>
    <w:pPr>
      <w:numPr>
        <w:numId w:val="9"/>
      </w:numPr>
    </w:pPr>
  </w:style>
  <w:style w:type="numbering" w:customStyle="1" w:styleId="ImportedStyle3">
    <w:name w:val="Imported Style 3"/>
    <w:rsid w:val="008F24C2"/>
  </w:style>
  <w:style w:type="paragraph" w:customStyle="1" w:styleId="rf1aff">
    <w:name w:val="rf1af_f"/>
    <w:rsid w:val="008F24C2"/>
    <w:pPr>
      <w:tabs>
        <w:tab w:val="left" w:pos="340"/>
        <w:tab w:val="left" w:pos="454"/>
        <w:tab w:val="left" w:pos="680"/>
        <w:tab w:val="left" w:pos="907"/>
        <w:tab w:val="left" w:pos="1021"/>
        <w:tab w:val="left" w:pos="1361"/>
        <w:tab w:val="left" w:pos="1701"/>
        <w:tab w:val="left" w:pos="2041"/>
        <w:tab w:val="left" w:pos="2155"/>
        <w:tab w:val="left" w:pos="2381"/>
        <w:tab w:val="left" w:pos="2608"/>
        <w:tab w:val="left" w:pos="2722"/>
        <w:tab w:val="left" w:pos="3062"/>
        <w:tab w:val="left" w:pos="3402"/>
        <w:tab w:val="left" w:pos="3515"/>
        <w:tab w:val="left" w:pos="3742"/>
        <w:tab w:val="left" w:pos="3969"/>
        <w:tab w:val="left" w:pos="4082"/>
        <w:tab w:val="left" w:pos="4423"/>
        <w:tab w:val="left" w:pos="4763"/>
        <w:tab w:val="left" w:pos="4876"/>
        <w:tab w:val="left" w:pos="5103"/>
        <w:tab w:val="left" w:pos="5330"/>
        <w:tab w:val="left" w:pos="5443"/>
        <w:tab w:val="left" w:pos="5783"/>
        <w:tab w:val="left" w:pos="6124"/>
        <w:tab w:val="left" w:pos="6237"/>
        <w:tab w:val="left" w:pos="6464"/>
        <w:tab w:val="left" w:pos="6691"/>
        <w:tab w:val="left" w:pos="6804"/>
        <w:tab w:val="left" w:pos="7144"/>
        <w:tab w:val="left" w:pos="7484"/>
        <w:tab w:val="left" w:pos="7825"/>
      </w:tabs>
      <w:suppressAutoHyphens/>
      <w:spacing w:before="160" w:after="40" w:line="360" w:lineRule="atLeast"/>
    </w:pPr>
    <w:rPr>
      <w:rFonts w:hAnsi="Arial Unicode MS" w:cs="Arial Unicode MS"/>
      <w:color w:val="000000"/>
      <w:u w:color="000000"/>
      <w:lang w:val="en-US"/>
    </w:rPr>
  </w:style>
  <w:style w:type="paragraph" w:styleId="CommentText">
    <w:name w:val="annotation text"/>
    <w:basedOn w:val="Normal"/>
    <w:link w:val="CommentTextChar"/>
    <w:uiPriority w:val="99"/>
    <w:semiHidden/>
    <w:unhideWhenUsed/>
    <w:rsid w:val="008F24C2"/>
    <w:rPr>
      <w:sz w:val="20"/>
      <w:szCs w:val="20"/>
    </w:rPr>
  </w:style>
  <w:style w:type="character" w:customStyle="1" w:styleId="CommentTextChar">
    <w:name w:val="Comment Text Char"/>
    <w:basedOn w:val="DefaultParagraphFont"/>
    <w:link w:val="CommentText"/>
    <w:uiPriority w:val="99"/>
    <w:semiHidden/>
    <w:rsid w:val="008F24C2"/>
    <w:rPr>
      <w:lang w:val="en-US" w:eastAsia="en-US"/>
    </w:rPr>
  </w:style>
  <w:style w:type="character" w:styleId="CommentReference">
    <w:name w:val="annotation reference"/>
    <w:basedOn w:val="DefaultParagraphFont"/>
    <w:uiPriority w:val="99"/>
    <w:semiHidden/>
    <w:unhideWhenUsed/>
    <w:rsid w:val="008F24C2"/>
    <w:rPr>
      <w:sz w:val="16"/>
      <w:szCs w:val="16"/>
    </w:rPr>
  </w:style>
  <w:style w:type="paragraph" w:styleId="BalloonText">
    <w:name w:val="Balloon Text"/>
    <w:basedOn w:val="Normal"/>
    <w:link w:val="BalloonTextChar"/>
    <w:uiPriority w:val="99"/>
    <w:semiHidden/>
    <w:unhideWhenUsed/>
    <w:rsid w:val="00BA6BC5"/>
    <w:rPr>
      <w:rFonts w:ascii="Tahoma" w:hAnsi="Tahoma" w:cs="Tahoma"/>
      <w:sz w:val="16"/>
      <w:szCs w:val="16"/>
    </w:rPr>
  </w:style>
  <w:style w:type="character" w:customStyle="1" w:styleId="BalloonTextChar">
    <w:name w:val="Balloon Text Char"/>
    <w:basedOn w:val="DefaultParagraphFont"/>
    <w:link w:val="BalloonText"/>
    <w:uiPriority w:val="99"/>
    <w:semiHidden/>
    <w:rsid w:val="00BA6BC5"/>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0B135F"/>
    <w:rPr>
      <w:b/>
      <w:bCs/>
    </w:rPr>
  </w:style>
  <w:style w:type="character" w:customStyle="1" w:styleId="CommentSubjectChar">
    <w:name w:val="Comment Subject Char"/>
    <w:basedOn w:val="CommentTextChar"/>
    <w:link w:val="CommentSubject"/>
    <w:uiPriority w:val="99"/>
    <w:semiHidden/>
    <w:rsid w:val="000B135F"/>
    <w:rPr>
      <w:b/>
      <w:bCs/>
      <w:lang w:val="en-US" w:eastAsia="en-US"/>
    </w:rPr>
  </w:style>
  <w:style w:type="paragraph" w:styleId="Header">
    <w:name w:val="header"/>
    <w:basedOn w:val="Normal"/>
    <w:link w:val="HeaderChar"/>
    <w:uiPriority w:val="99"/>
    <w:unhideWhenUsed/>
    <w:rsid w:val="00BE3237"/>
    <w:pPr>
      <w:tabs>
        <w:tab w:val="center" w:pos="4513"/>
        <w:tab w:val="right" w:pos="9026"/>
      </w:tabs>
    </w:pPr>
  </w:style>
  <w:style w:type="character" w:customStyle="1" w:styleId="HeaderChar">
    <w:name w:val="Header Char"/>
    <w:basedOn w:val="DefaultParagraphFont"/>
    <w:link w:val="Header"/>
    <w:uiPriority w:val="99"/>
    <w:rsid w:val="00BE3237"/>
    <w:rPr>
      <w:sz w:val="24"/>
      <w:szCs w:val="24"/>
      <w:lang w:val="en-US" w:eastAsia="en-US"/>
    </w:rPr>
  </w:style>
  <w:style w:type="paragraph" w:styleId="Footer">
    <w:name w:val="footer"/>
    <w:basedOn w:val="Normal"/>
    <w:link w:val="FooterChar"/>
    <w:uiPriority w:val="99"/>
    <w:unhideWhenUsed/>
    <w:rsid w:val="00BE3237"/>
    <w:pPr>
      <w:tabs>
        <w:tab w:val="center" w:pos="4513"/>
        <w:tab w:val="right" w:pos="9026"/>
      </w:tabs>
    </w:pPr>
  </w:style>
  <w:style w:type="character" w:customStyle="1" w:styleId="FooterChar">
    <w:name w:val="Footer Char"/>
    <w:basedOn w:val="DefaultParagraphFont"/>
    <w:link w:val="Footer"/>
    <w:uiPriority w:val="99"/>
    <w:rsid w:val="00BE3237"/>
    <w:rPr>
      <w:sz w:val="24"/>
      <w:szCs w:val="24"/>
      <w:lang w:val="en-US" w:eastAsia="en-US"/>
    </w:rPr>
  </w:style>
  <w:style w:type="character" w:styleId="Emphasis">
    <w:name w:val="Emphasis"/>
    <w:basedOn w:val="DefaultParagraphFont"/>
    <w:uiPriority w:val="20"/>
    <w:qFormat/>
    <w:rsid w:val="00200E69"/>
    <w:rPr>
      <w:i/>
      <w:iCs/>
    </w:rPr>
  </w:style>
  <w:style w:type="character" w:styleId="FootnoteReference">
    <w:name w:val="footnote reference"/>
    <w:basedOn w:val="DefaultParagraphFont"/>
    <w:uiPriority w:val="99"/>
    <w:semiHidden/>
    <w:unhideWhenUsed/>
    <w:rsid w:val="00D01964"/>
    <w:rPr>
      <w:vertAlign w:val="superscript"/>
    </w:rPr>
  </w:style>
  <w:style w:type="character" w:styleId="FollowedHyperlink">
    <w:name w:val="FollowedHyperlink"/>
    <w:basedOn w:val="DefaultParagraphFont"/>
    <w:uiPriority w:val="99"/>
    <w:semiHidden/>
    <w:unhideWhenUsed/>
    <w:rsid w:val="00C51C5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98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pravo.unizg.hr/images/50000902/PRAVILNIK%20O%20STUDIJU%2014-04-11%20usvojen%20" TargetMode="External"/><Relationship Id="rId7" Type="http://schemas.openxmlformats.org/officeDocument/2006/relationships/hyperlink" Target="http://klinika.pravo.unizg.hr/medunarodna-suradnja-i-pomoc" TargetMode="External"/><Relationship Id="rId2" Type="http://schemas.openxmlformats.org/officeDocument/2006/relationships/hyperlink" Target="http://klinika.pravo.unizg.hr/law-clinic-zagreb" TargetMode="External"/><Relationship Id="rId1" Type="http://schemas.openxmlformats.org/officeDocument/2006/relationships/hyperlink" Target="http://works.bepress.com/ranganath_vadapalli/9/" TargetMode="External"/><Relationship Id="rId6" Type="http://schemas.openxmlformats.org/officeDocument/2006/relationships/hyperlink" Target="https://pravosudje.gov.hr" TargetMode="External"/><Relationship Id="rId5" Type="http://schemas.openxmlformats.org/officeDocument/2006/relationships/hyperlink" Target="http://gratisrettshjelp.no/testside/jussbuss/" TargetMode="External"/><Relationship Id="rId4" Type="http://schemas.openxmlformats.org/officeDocument/2006/relationships/hyperlink" Target="http://klinika.pravo.unizg.hr/sites/default/files/akt_o_pravnoj_klinici_-_statut_pk.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266700" rtl="0" fontAlgn="auto" latinLnBrk="1" hangingPunct="0">
          <a:lnSpc>
            <a:spcPct val="100000"/>
          </a:lnSpc>
          <a:spcBef>
            <a:spcPts val="200"/>
          </a:spcBef>
          <a:spcAft>
            <a:spcPts val="0"/>
          </a:spcAft>
          <a:buClrTx/>
          <a:buSzTx/>
          <a:buFontTx/>
          <a:buNone/>
          <a:tabLst>
            <a:tab pos="279400" algn="l"/>
            <a:tab pos="571500" algn="l"/>
            <a:tab pos="863600" algn="l"/>
            <a:tab pos="1079500" algn="l"/>
            <a:tab pos="1358900" algn="l"/>
            <a:tab pos="1651000" algn="l"/>
            <a:tab pos="1943100" algn="l"/>
            <a:tab pos="2222500" algn="l"/>
            <a:tab pos="2514600" algn="l"/>
            <a:tab pos="2806700" algn="l"/>
            <a:tab pos="3086100" algn="l"/>
            <a:tab pos="3378200" algn="l"/>
            <a:tab pos="3670300" algn="l"/>
            <a:tab pos="3949700" algn="l"/>
            <a:tab pos="4241800" algn="l"/>
          </a:tabLst>
          <a:defRPr kumimoji="0" sz="1100" b="0" i="0" u="none" strike="noStrike" cap="none" spc="0" normalizeH="0" baseline="0">
            <a:ln>
              <a:noFill/>
            </a:ln>
            <a:solidFill>
              <a:srgbClr val="000000"/>
            </a:solidFill>
            <a:effectLst/>
            <a:uFill>
              <a:solidFill>
                <a:srgbClr val="000000"/>
              </a:solidFill>
            </a:uFill>
            <a:latin typeface="Tahoma"/>
            <a:ea typeface="Tahoma"/>
            <a:cs typeface="Tahoma"/>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35DFF-9F20-484B-AD7A-B0100E3A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4335</Words>
  <Characters>23302</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2016-11-29T12:32:00Z</dcterms:created>
  <dcterms:modified xsi:type="dcterms:W3CDTF">2016-11-30T17:52:00Z</dcterms:modified>
</cp:coreProperties>
</file>