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41BA" w:rsidRPr="00613946" w:rsidRDefault="006F41BA" w:rsidP="006F41BA">
      <w:pPr>
        <w:spacing w:line="480" w:lineRule="auto"/>
        <w:rPr>
          <w:rFonts w:ascii="Palatino Linotype" w:hAnsi="Palatino Linotype"/>
          <w:b/>
          <w:i/>
          <w:sz w:val="24"/>
          <w:szCs w:val="24"/>
        </w:rPr>
      </w:pPr>
      <w:bookmarkStart w:id="0" w:name="_GoBack"/>
      <w:bookmarkEnd w:id="0"/>
      <w:r w:rsidRPr="00613946">
        <w:rPr>
          <w:rFonts w:ascii="Palatino Linotype" w:hAnsi="Palatino Linotype"/>
          <w:b/>
          <w:i/>
          <w:sz w:val="24"/>
          <w:szCs w:val="24"/>
        </w:rPr>
        <w:t>Editorial</w:t>
      </w:r>
    </w:p>
    <w:p w:rsidR="006F41BA" w:rsidRPr="00613946" w:rsidRDefault="00654323" w:rsidP="006F41BA">
      <w:pPr>
        <w:rPr>
          <w:rFonts w:ascii="Palatino Linotype" w:hAnsi="Palatino Linotype"/>
          <w:b/>
          <w:sz w:val="28"/>
          <w:szCs w:val="28"/>
        </w:rPr>
      </w:pPr>
      <w:r>
        <w:rPr>
          <w:rFonts w:ascii="Palatino Linotype" w:hAnsi="Palatino Linotype"/>
          <w:b/>
          <w:sz w:val="28"/>
          <w:szCs w:val="28"/>
        </w:rPr>
        <w:t xml:space="preserve">Why do we do </w:t>
      </w:r>
      <w:r w:rsidR="00455473">
        <w:rPr>
          <w:rFonts w:ascii="Palatino Linotype" w:hAnsi="Palatino Linotype"/>
          <w:b/>
          <w:sz w:val="28"/>
          <w:szCs w:val="28"/>
        </w:rPr>
        <w:t>clinic</w:t>
      </w:r>
      <w:r>
        <w:rPr>
          <w:rFonts w:ascii="Palatino Linotype" w:hAnsi="Palatino Linotype"/>
          <w:b/>
          <w:sz w:val="28"/>
          <w:szCs w:val="28"/>
        </w:rPr>
        <w:t xml:space="preserve"> and how on earth do we </w:t>
      </w:r>
      <w:r w:rsidR="00455473">
        <w:rPr>
          <w:rFonts w:ascii="Palatino Linotype" w:hAnsi="Palatino Linotype"/>
          <w:b/>
          <w:sz w:val="28"/>
          <w:szCs w:val="28"/>
        </w:rPr>
        <w:t>manage</w:t>
      </w:r>
      <w:r>
        <w:rPr>
          <w:rFonts w:ascii="Palatino Linotype" w:hAnsi="Palatino Linotype"/>
          <w:b/>
          <w:sz w:val="28"/>
          <w:szCs w:val="28"/>
        </w:rPr>
        <w:t xml:space="preserve"> it?</w:t>
      </w:r>
    </w:p>
    <w:p w:rsidR="006F41BA" w:rsidRDefault="006F41BA" w:rsidP="006F41BA">
      <w:pPr>
        <w:rPr>
          <w:rFonts w:ascii="Palatino Linotype" w:hAnsi="Palatino Linotype"/>
          <w:sz w:val="24"/>
          <w:szCs w:val="24"/>
        </w:rPr>
      </w:pPr>
      <w:r>
        <w:rPr>
          <w:rFonts w:ascii="Palatino Linotype" w:hAnsi="Palatino Linotype"/>
          <w:sz w:val="24"/>
          <w:szCs w:val="24"/>
        </w:rPr>
        <w:t>Elaine Hall</w:t>
      </w:r>
    </w:p>
    <w:p w:rsidR="006F41BA" w:rsidRDefault="006F41BA" w:rsidP="006F41BA">
      <w:pPr>
        <w:rPr>
          <w:rFonts w:ascii="Palatino Linotype" w:hAnsi="Palatino Linotype"/>
          <w:sz w:val="24"/>
          <w:szCs w:val="24"/>
        </w:rPr>
      </w:pPr>
      <w:r>
        <w:rPr>
          <w:rFonts w:ascii="Palatino Linotype" w:hAnsi="Palatino Linotype"/>
          <w:sz w:val="24"/>
          <w:szCs w:val="24"/>
        </w:rPr>
        <w:t>Northumbria University, UK</w:t>
      </w:r>
    </w:p>
    <w:p w:rsidR="006F41BA" w:rsidRDefault="009F6D5D" w:rsidP="006F41BA">
      <w:pPr>
        <w:rPr>
          <w:rStyle w:val="Hyperlink"/>
          <w:rFonts w:ascii="Palatino Linotype" w:hAnsi="Palatino Linotype"/>
          <w:sz w:val="24"/>
          <w:szCs w:val="24"/>
        </w:rPr>
      </w:pPr>
      <w:hyperlink r:id="rId8" w:history="1">
        <w:r w:rsidR="006F41BA" w:rsidRPr="00935DD6">
          <w:rPr>
            <w:rStyle w:val="Hyperlink"/>
            <w:rFonts w:ascii="Palatino Linotype" w:hAnsi="Palatino Linotype"/>
            <w:sz w:val="24"/>
            <w:szCs w:val="24"/>
          </w:rPr>
          <w:t>Elaine.Hall@northumbria.ac.uk</w:t>
        </w:r>
      </w:hyperlink>
    </w:p>
    <w:p w:rsidR="00455473" w:rsidRDefault="00455473" w:rsidP="006F41BA">
      <w:pPr>
        <w:spacing w:line="480" w:lineRule="auto"/>
        <w:jc w:val="both"/>
        <w:rPr>
          <w:rFonts w:ascii="Palatino Linotype" w:hAnsi="Palatino Linotype"/>
          <w:sz w:val="24"/>
          <w:szCs w:val="24"/>
        </w:rPr>
      </w:pPr>
      <w:r>
        <w:rPr>
          <w:rFonts w:ascii="Palatino Linotype" w:hAnsi="Palatino Linotype"/>
          <w:sz w:val="24"/>
          <w:szCs w:val="24"/>
        </w:rPr>
        <w:t>In this edition we continue the conversation linking values, intent, pedagogy and context to understand the complexity of clinic in the 21</w:t>
      </w:r>
      <w:r w:rsidRPr="00455473">
        <w:rPr>
          <w:rFonts w:ascii="Palatino Linotype" w:hAnsi="Palatino Linotype"/>
          <w:sz w:val="24"/>
          <w:szCs w:val="24"/>
          <w:vertAlign w:val="superscript"/>
        </w:rPr>
        <w:t>st</w:t>
      </w:r>
      <w:r>
        <w:rPr>
          <w:rFonts w:ascii="Palatino Linotype" w:hAnsi="Palatino Linotype"/>
          <w:sz w:val="24"/>
          <w:szCs w:val="24"/>
        </w:rPr>
        <w:t xml:space="preserve"> </w:t>
      </w:r>
      <w:r w:rsidR="00747FF6">
        <w:rPr>
          <w:rFonts w:ascii="Palatino Linotype" w:hAnsi="Palatino Linotype"/>
          <w:sz w:val="24"/>
          <w:szCs w:val="24"/>
        </w:rPr>
        <w:t>C</w:t>
      </w:r>
      <w:r>
        <w:rPr>
          <w:rFonts w:ascii="Palatino Linotype" w:hAnsi="Palatino Linotype"/>
          <w:sz w:val="24"/>
          <w:szCs w:val="24"/>
        </w:rPr>
        <w:t>entury.</w:t>
      </w:r>
    </w:p>
    <w:p w:rsidR="006B5B37" w:rsidRDefault="00455473" w:rsidP="006F41BA">
      <w:pPr>
        <w:spacing w:line="480" w:lineRule="auto"/>
        <w:jc w:val="both"/>
        <w:rPr>
          <w:rFonts w:ascii="Palatino Linotype" w:hAnsi="Palatino Linotype"/>
          <w:sz w:val="24"/>
          <w:szCs w:val="24"/>
        </w:rPr>
      </w:pPr>
      <w:r>
        <w:rPr>
          <w:rFonts w:ascii="Palatino Linotype" w:hAnsi="Palatino Linotype"/>
          <w:sz w:val="24"/>
          <w:szCs w:val="24"/>
        </w:rPr>
        <w:t xml:space="preserve">We begin with </w:t>
      </w:r>
      <w:r w:rsidR="006B5B37">
        <w:rPr>
          <w:rFonts w:ascii="Palatino Linotype" w:hAnsi="Palatino Linotype"/>
          <w:sz w:val="24"/>
          <w:szCs w:val="24"/>
        </w:rPr>
        <w:t>a paper from Martha Simmons and Marian Mac Gregor that challenges us to consider who can contribute to clinical work. Their focus on students with disabilities and the challenges and opportunities of providing access to clinic is timely and compelling.  We are witnessing an expansion of clinical programmes which can be an opportunity to ask ourselves where the evidence lies that some students are better suited to clinic than others</w:t>
      </w:r>
      <w:r w:rsidR="003A15CC">
        <w:rPr>
          <w:rFonts w:ascii="Palatino Linotype" w:hAnsi="Palatino Linotype"/>
          <w:sz w:val="24"/>
          <w:szCs w:val="24"/>
        </w:rPr>
        <w:t>, whether there are pre-existing attributes that fit students to serve our communities or whether social justice ideals demand that more diverse students get to benefit form a clinical experience.</w:t>
      </w:r>
    </w:p>
    <w:p w:rsidR="00455473" w:rsidRDefault="006B5B37" w:rsidP="006F41BA">
      <w:pPr>
        <w:spacing w:line="480" w:lineRule="auto"/>
        <w:jc w:val="both"/>
        <w:rPr>
          <w:rFonts w:ascii="Palatino Linotype" w:hAnsi="Palatino Linotype"/>
          <w:sz w:val="24"/>
          <w:szCs w:val="24"/>
        </w:rPr>
      </w:pPr>
      <w:r>
        <w:rPr>
          <w:rFonts w:ascii="Palatino Linotype" w:hAnsi="Palatino Linotype"/>
          <w:sz w:val="24"/>
          <w:szCs w:val="24"/>
        </w:rPr>
        <w:t>Following on from their paper on emotional competency in interviewing</w:t>
      </w:r>
      <w:r>
        <w:rPr>
          <w:rStyle w:val="FootnoteReference"/>
          <w:rFonts w:ascii="Palatino Linotype" w:hAnsi="Palatino Linotype"/>
          <w:sz w:val="24"/>
          <w:szCs w:val="24"/>
        </w:rPr>
        <w:footnoteReference w:id="1"/>
      </w:r>
      <w:r>
        <w:rPr>
          <w:rFonts w:ascii="Palatino Linotype" w:hAnsi="Palatino Linotype"/>
          <w:sz w:val="24"/>
          <w:szCs w:val="24"/>
        </w:rPr>
        <w:t xml:space="preserve">  we have a new</w:t>
      </w:r>
      <w:r w:rsidR="00455473">
        <w:rPr>
          <w:rFonts w:ascii="Palatino Linotype" w:hAnsi="Palatino Linotype"/>
          <w:sz w:val="24"/>
          <w:szCs w:val="24"/>
        </w:rPr>
        <w:t xml:space="preserve"> paper</w:t>
      </w:r>
      <w:r>
        <w:rPr>
          <w:rFonts w:ascii="Palatino Linotype" w:hAnsi="Palatino Linotype"/>
          <w:sz w:val="24"/>
          <w:szCs w:val="24"/>
        </w:rPr>
        <w:t xml:space="preserve"> from Colin James and Felicity </w:t>
      </w:r>
      <w:proofErr w:type="spellStart"/>
      <w:r>
        <w:rPr>
          <w:rFonts w:ascii="Palatino Linotype" w:hAnsi="Palatino Linotype"/>
          <w:sz w:val="24"/>
          <w:szCs w:val="24"/>
        </w:rPr>
        <w:t>Wardhaugh</w:t>
      </w:r>
      <w:proofErr w:type="spellEnd"/>
      <w:r>
        <w:rPr>
          <w:rFonts w:ascii="Palatino Linotype" w:hAnsi="Palatino Linotype"/>
          <w:sz w:val="24"/>
          <w:szCs w:val="24"/>
        </w:rPr>
        <w:t xml:space="preserve"> exploring the emotional impact of clinical work and the pedagogies and experiences that can support students in </w:t>
      </w:r>
      <w:r>
        <w:rPr>
          <w:rFonts w:ascii="Palatino Linotype" w:hAnsi="Palatino Linotype"/>
          <w:sz w:val="24"/>
          <w:szCs w:val="24"/>
        </w:rPr>
        <w:lastRenderedPageBreak/>
        <w:t>providing both client-centred practice and the kind of self-care that enables long term professional resilience.</w:t>
      </w:r>
    </w:p>
    <w:p w:rsidR="003A15CC" w:rsidRDefault="003A15CC" w:rsidP="006F41BA">
      <w:pPr>
        <w:spacing w:line="480" w:lineRule="auto"/>
        <w:jc w:val="both"/>
        <w:rPr>
          <w:rFonts w:ascii="Palatino Linotype" w:hAnsi="Palatino Linotype"/>
          <w:sz w:val="24"/>
          <w:szCs w:val="24"/>
        </w:rPr>
      </w:pPr>
      <w:r>
        <w:rPr>
          <w:rFonts w:ascii="Palatino Linotype" w:hAnsi="Palatino Linotype"/>
          <w:sz w:val="24"/>
          <w:szCs w:val="24"/>
        </w:rPr>
        <w:t xml:space="preserve">Ann </w:t>
      </w:r>
      <w:proofErr w:type="spellStart"/>
      <w:r>
        <w:rPr>
          <w:rFonts w:ascii="Palatino Linotype" w:hAnsi="Palatino Linotype"/>
          <w:sz w:val="24"/>
          <w:szCs w:val="24"/>
        </w:rPr>
        <w:t>Thanaraj’s</w:t>
      </w:r>
      <w:proofErr w:type="spellEnd"/>
      <w:r>
        <w:rPr>
          <w:rFonts w:ascii="Palatino Linotype" w:hAnsi="Palatino Linotype"/>
          <w:sz w:val="24"/>
          <w:szCs w:val="24"/>
        </w:rPr>
        <w:t xml:space="preserve"> paper elaborates the theme of student development and identity, using a methodological framework unusual in legal studies.  This </w:t>
      </w:r>
      <w:proofErr w:type="spellStart"/>
      <w:r>
        <w:rPr>
          <w:rFonts w:ascii="Palatino Linotype" w:hAnsi="Palatino Linotype"/>
          <w:sz w:val="24"/>
          <w:szCs w:val="24"/>
        </w:rPr>
        <w:t>phenomenographic</w:t>
      </w:r>
      <w:proofErr w:type="spellEnd"/>
      <w:r>
        <w:rPr>
          <w:rFonts w:ascii="Palatino Linotype" w:hAnsi="Palatino Linotype"/>
          <w:sz w:val="24"/>
          <w:szCs w:val="24"/>
        </w:rPr>
        <w:t xml:space="preserve"> approach offers the potential to capture data that has proved elusive in the past and others may find it helpful as a way of making more concrete their felt sense of what students gain from the clinic.</w:t>
      </w:r>
    </w:p>
    <w:p w:rsidR="003A15CC" w:rsidRDefault="003A15CC" w:rsidP="006F41BA">
      <w:pPr>
        <w:spacing w:line="480" w:lineRule="auto"/>
        <w:jc w:val="both"/>
        <w:rPr>
          <w:rFonts w:ascii="Palatino Linotype" w:hAnsi="Palatino Linotype"/>
          <w:sz w:val="24"/>
          <w:szCs w:val="24"/>
        </w:rPr>
      </w:pPr>
      <w:r>
        <w:rPr>
          <w:rFonts w:ascii="Palatino Linotype" w:hAnsi="Palatino Linotype"/>
          <w:sz w:val="24"/>
          <w:szCs w:val="24"/>
        </w:rPr>
        <w:t xml:space="preserve">We are grounded in the realities of sustaining clinic by our Practice Report from </w:t>
      </w:r>
      <w:r>
        <w:rPr>
          <w:rFonts w:ascii="Palatino Linotype" w:eastAsia="Times New Roman Bold" w:hAnsi="Palatino Linotype" w:cs="Times New Roman"/>
          <w:sz w:val="24"/>
          <w:szCs w:val="24"/>
        </w:rPr>
        <w:t xml:space="preserve">Barbara </w:t>
      </w:r>
      <w:proofErr w:type="spellStart"/>
      <w:r w:rsidRPr="00D82F02">
        <w:rPr>
          <w:rFonts w:ascii="Palatino Linotype" w:eastAsia="Times New Roman Bold" w:hAnsi="Palatino Linotype" w:cs="Times New Roman"/>
          <w:sz w:val="24"/>
          <w:szCs w:val="24"/>
        </w:rPr>
        <w:t>Preložnjak</w:t>
      </w:r>
      <w:proofErr w:type="spellEnd"/>
      <w:r>
        <w:rPr>
          <w:rFonts w:ascii="Palatino Linotype" w:eastAsia="Times New Roman Bold" w:hAnsi="Palatino Linotype" w:cs="Times New Roman"/>
          <w:sz w:val="24"/>
          <w:szCs w:val="24"/>
        </w:rPr>
        <w:t xml:space="preserve"> and </w:t>
      </w:r>
      <w:proofErr w:type="spellStart"/>
      <w:r w:rsidRPr="00D82F02">
        <w:rPr>
          <w:rFonts w:ascii="Palatino Linotype" w:eastAsia="Times New Roman Bold" w:hAnsi="Palatino Linotype" w:cs="Times New Roman"/>
          <w:sz w:val="24"/>
          <w:szCs w:val="24"/>
        </w:rPr>
        <w:t>Juraj</w:t>
      </w:r>
      <w:proofErr w:type="spellEnd"/>
      <w:r w:rsidRPr="00D82F02">
        <w:rPr>
          <w:rFonts w:ascii="Palatino Linotype" w:eastAsia="Times New Roman Bold" w:hAnsi="Palatino Linotype" w:cs="Times New Roman"/>
          <w:sz w:val="24"/>
          <w:szCs w:val="24"/>
        </w:rPr>
        <w:t xml:space="preserve"> </w:t>
      </w:r>
      <w:proofErr w:type="spellStart"/>
      <w:r w:rsidRPr="00D82F02">
        <w:rPr>
          <w:rFonts w:ascii="Palatino Linotype" w:eastAsia="Times New Roman Bold" w:hAnsi="Palatino Linotype" w:cs="Times New Roman"/>
          <w:sz w:val="24"/>
          <w:szCs w:val="24"/>
        </w:rPr>
        <w:t>Brozović</w:t>
      </w:r>
      <w:proofErr w:type="spellEnd"/>
      <w:r>
        <w:rPr>
          <w:rFonts w:ascii="Palatino Linotype" w:eastAsia="Times New Roman Bold" w:hAnsi="Palatino Linotype" w:cs="Times New Roman"/>
          <w:sz w:val="24"/>
          <w:szCs w:val="24"/>
        </w:rPr>
        <w:t xml:space="preserve">, who describe the Croatian context with great detail and energy.  Readers will immediately make the link to the key themes for sustainability identified by Tribe </w:t>
      </w:r>
      <w:proofErr w:type="spellStart"/>
      <w:r>
        <w:rPr>
          <w:rFonts w:ascii="Palatino Linotype" w:eastAsia="Times New Roman Bold" w:hAnsi="Palatino Linotype" w:cs="Times New Roman"/>
          <w:sz w:val="24"/>
          <w:szCs w:val="24"/>
        </w:rPr>
        <w:t>Mkwebu</w:t>
      </w:r>
      <w:proofErr w:type="spellEnd"/>
      <w:r>
        <w:rPr>
          <w:rStyle w:val="FootnoteReference"/>
          <w:rFonts w:ascii="Palatino Linotype" w:eastAsia="Times New Roman Bold" w:hAnsi="Palatino Linotype" w:cs="Times New Roman"/>
          <w:sz w:val="24"/>
          <w:szCs w:val="24"/>
        </w:rPr>
        <w:footnoteReference w:id="2"/>
      </w:r>
      <w:r w:rsidR="0017254C">
        <w:rPr>
          <w:rFonts w:ascii="Palatino Linotype" w:eastAsia="Times New Roman Bold" w:hAnsi="Palatino Linotype" w:cs="Times New Roman"/>
          <w:sz w:val="24"/>
          <w:szCs w:val="24"/>
        </w:rPr>
        <w:t xml:space="preserve"> and we welcome this paper and any others that colleagues might wish to share from their own countries.</w:t>
      </w:r>
    </w:p>
    <w:p w:rsidR="00A74F9C" w:rsidRDefault="00455473" w:rsidP="00455473">
      <w:pPr>
        <w:spacing w:line="480" w:lineRule="auto"/>
        <w:jc w:val="both"/>
        <w:rPr>
          <w:rFonts w:ascii="Palatino Linotype" w:hAnsi="Palatino Linotype"/>
          <w:sz w:val="24"/>
          <w:szCs w:val="24"/>
        </w:rPr>
      </w:pPr>
      <w:r>
        <w:rPr>
          <w:rFonts w:ascii="Palatino Linotype" w:hAnsi="Palatino Linotype"/>
          <w:sz w:val="24"/>
          <w:szCs w:val="24"/>
        </w:rPr>
        <w:t>We end this edition (as T.S. Eliot predicted) at the beginning, with the voices of law students, by showcasing the winners of the 2016 Pro Bono Essay competition at Northumbria University. They sum up the various approaches to understanding clinical work: academic, idealistic, pragmatic and above all highly personal.  We all have our motivations and our rewards, one model does not have to ‘win’ in order for clinic to flourish.</w:t>
      </w:r>
    </w:p>
    <w:p w:rsidR="005E528E" w:rsidRDefault="00654323" w:rsidP="00667BEA">
      <w:pPr>
        <w:spacing w:line="480" w:lineRule="auto"/>
        <w:jc w:val="both"/>
        <w:rPr>
          <w:rFonts w:ascii="Palatino Linotype" w:hAnsi="Palatino Linotype"/>
          <w:sz w:val="24"/>
          <w:szCs w:val="24"/>
        </w:rPr>
      </w:pPr>
      <w:r>
        <w:rPr>
          <w:rFonts w:ascii="Palatino Linotype" w:hAnsi="Palatino Linotype"/>
          <w:sz w:val="24"/>
          <w:szCs w:val="24"/>
        </w:rPr>
        <w:lastRenderedPageBreak/>
        <w:t>As you will hopefully have heard through your networks, three organisations are coming together for the 2017 conference.</w:t>
      </w:r>
      <w:r w:rsidR="006F41BA">
        <w:rPr>
          <w:rFonts w:ascii="Palatino Linotype" w:hAnsi="Palatino Linotype"/>
          <w:sz w:val="24"/>
          <w:szCs w:val="24"/>
        </w:rPr>
        <w:t xml:space="preserve"> </w:t>
      </w:r>
      <w:r w:rsidR="00455473">
        <w:rPr>
          <w:rFonts w:ascii="Palatino Linotype" w:hAnsi="Palatino Linotype"/>
          <w:sz w:val="24"/>
          <w:szCs w:val="24"/>
        </w:rPr>
        <w:t>We look forward to welcoming you to Newcastle!</w:t>
      </w:r>
    </w:p>
    <w:p w:rsidR="00455473" w:rsidRPr="0017254C" w:rsidRDefault="00455473" w:rsidP="00455473">
      <w:pPr>
        <w:jc w:val="center"/>
        <w:rPr>
          <w:rFonts w:ascii="Palatino Linotype" w:hAnsi="Palatino Linotype"/>
          <w:b/>
          <w:sz w:val="44"/>
        </w:rPr>
      </w:pPr>
      <w:r w:rsidRPr="0017254C">
        <w:rPr>
          <w:rFonts w:ascii="Palatino Linotype" w:hAnsi="Palatino Linotype"/>
          <w:b/>
          <w:sz w:val="44"/>
        </w:rPr>
        <w:t>IJCLE – ENCLE - CLEO</w:t>
      </w:r>
    </w:p>
    <w:p w:rsidR="00455473" w:rsidRPr="0017254C" w:rsidRDefault="00455473" w:rsidP="00455473">
      <w:pPr>
        <w:jc w:val="center"/>
        <w:rPr>
          <w:rFonts w:ascii="Palatino Linotype" w:hAnsi="Palatino Linotype"/>
          <w:sz w:val="32"/>
        </w:rPr>
      </w:pPr>
      <w:r w:rsidRPr="0017254C">
        <w:rPr>
          <w:rFonts w:ascii="Palatino Linotype" w:hAnsi="Palatino Linotype"/>
          <w:sz w:val="32"/>
        </w:rPr>
        <w:t xml:space="preserve">The </w:t>
      </w:r>
      <w:r w:rsidRPr="0017254C">
        <w:rPr>
          <w:rFonts w:ascii="Palatino Linotype" w:hAnsi="Palatino Linotype"/>
          <w:b/>
          <w:i/>
          <w:sz w:val="32"/>
        </w:rPr>
        <w:t>International Journal of Clinical Legal Education</w:t>
      </w:r>
      <w:r w:rsidRPr="0017254C">
        <w:rPr>
          <w:rFonts w:ascii="Palatino Linotype" w:hAnsi="Palatino Linotype"/>
          <w:sz w:val="32"/>
        </w:rPr>
        <w:t xml:space="preserve"> </w:t>
      </w:r>
    </w:p>
    <w:p w:rsidR="00455473" w:rsidRPr="0017254C" w:rsidRDefault="00455473" w:rsidP="00455473">
      <w:pPr>
        <w:jc w:val="center"/>
        <w:rPr>
          <w:rFonts w:ascii="Palatino Linotype" w:hAnsi="Palatino Linotype"/>
          <w:sz w:val="32"/>
        </w:rPr>
      </w:pPr>
      <w:r w:rsidRPr="0017254C">
        <w:rPr>
          <w:rFonts w:ascii="Palatino Linotype" w:hAnsi="Palatino Linotype"/>
          <w:sz w:val="32"/>
        </w:rPr>
        <w:t xml:space="preserve">in association with the </w:t>
      </w:r>
    </w:p>
    <w:p w:rsidR="00455473" w:rsidRPr="0017254C" w:rsidRDefault="00455473" w:rsidP="00455473">
      <w:pPr>
        <w:jc w:val="center"/>
        <w:rPr>
          <w:rFonts w:ascii="Palatino Linotype" w:hAnsi="Palatino Linotype"/>
          <w:b/>
          <w:i/>
          <w:sz w:val="32"/>
        </w:rPr>
      </w:pPr>
      <w:r w:rsidRPr="0017254C">
        <w:rPr>
          <w:rFonts w:ascii="Palatino Linotype" w:hAnsi="Palatino Linotype"/>
          <w:b/>
          <w:i/>
          <w:sz w:val="32"/>
        </w:rPr>
        <w:t xml:space="preserve">European Network for Clinical Legal Education </w:t>
      </w:r>
    </w:p>
    <w:p w:rsidR="00455473" w:rsidRPr="0017254C" w:rsidRDefault="00455473" w:rsidP="00455473">
      <w:pPr>
        <w:jc w:val="center"/>
        <w:rPr>
          <w:rFonts w:ascii="Palatino Linotype" w:hAnsi="Palatino Linotype"/>
          <w:sz w:val="32"/>
        </w:rPr>
      </w:pPr>
      <w:r w:rsidRPr="0017254C">
        <w:rPr>
          <w:rFonts w:ascii="Palatino Linotype" w:hAnsi="Palatino Linotype"/>
          <w:sz w:val="32"/>
        </w:rPr>
        <w:t xml:space="preserve">and the </w:t>
      </w:r>
    </w:p>
    <w:p w:rsidR="00455473" w:rsidRPr="0017254C" w:rsidRDefault="00455473" w:rsidP="00455473">
      <w:pPr>
        <w:jc w:val="center"/>
        <w:rPr>
          <w:rFonts w:ascii="Palatino Linotype" w:hAnsi="Palatino Linotype"/>
          <w:sz w:val="32"/>
        </w:rPr>
      </w:pPr>
      <w:r w:rsidRPr="0017254C">
        <w:rPr>
          <w:rFonts w:ascii="Palatino Linotype" w:hAnsi="Palatino Linotype"/>
          <w:sz w:val="32"/>
        </w:rPr>
        <w:t xml:space="preserve">United Kingdom </w:t>
      </w:r>
      <w:r w:rsidRPr="0017254C">
        <w:rPr>
          <w:rFonts w:ascii="Palatino Linotype" w:hAnsi="Palatino Linotype"/>
          <w:b/>
          <w:i/>
          <w:sz w:val="32"/>
        </w:rPr>
        <w:t>Clinical Legal Education Organisation</w:t>
      </w:r>
      <w:r w:rsidRPr="0017254C">
        <w:rPr>
          <w:rFonts w:ascii="Palatino Linotype" w:hAnsi="Palatino Linotype"/>
          <w:sz w:val="32"/>
        </w:rPr>
        <w:t xml:space="preserve"> </w:t>
      </w:r>
    </w:p>
    <w:p w:rsidR="00455473" w:rsidRPr="0017254C" w:rsidRDefault="00455473" w:rsidP="00455473">
      <w:pPr>
        <w:jc w:val="center"/>
        <w:rPr>
          <w:rFonts w:ascii="Palatino Linotype" w:hAnsi="Palatino Linotype"/>
          <w:b/>
          <w:sz w:val="44"/>
        </w:rPr>
      </w:pPr>
      <w:r w:rsidRPr="0017254C">
        <w:rPr>
          <w:rFonts w:ascii="Palatino Linotype" w:hAnsi="Palatino Linotype"/>
          <w:b/>
          <w:sz w:val="44"/>
        </w:rPr>
        <w:t>CONFERENCE 3-5 JULY 2017</w:t>
      </w:r>
    </w:p>
    <w:p w:rsidR="00455473" w:rsidRPr="0017254C" w:rsidRDefault="00455473" w:rsidP="00455473">
      <w:pPr>
        <w:jc w:val="center"/>
        <w:rPr>
          <w:rFonts w:ascii="Palatino Linotype" w:hAnsi="Palatino Linotype"/>
          <w:sz w:val="28"/>
        </w:rPr>
      </w:pPr>
      <w:r w:rsidRPr="0017254C">
        <w:rPr>
          <w:rFonts w:ascii="Palatino Linotype" w:hAnsi="Palatino Linotype"/>
          <w:sz w:val="28"/>
        </w:rPr>
        <w:t>at the University of Northumbria, Newcastle upon Tyne, UK</w:t>
      </w:r>
    </w:p>
    <w:p w:rsidR="00455473" w:rsidRPr="0017254C" w:rsidRDefault="00455473" w:rsidP="00455473">
      <w:pPr>
        <w:rPr>
          <w:rFonts w:ascii="Palatino Linotype" w:hAnsi="Palatino Linotype"/>
          <w:sz w:val="18"/>
        </w:rPr>
      </w:pPr>
    </w:p>
    <w:p w:rsidR="00455473" w:rsidRPr="0017254C" w:rsidRDefault="00455473" w:rsidP="00455473">
      <w:pPr>
        <w:jc w:val="center"/>
        <w:rPr>
          <w:rFonts w:ascii="Palatino Linotype" w:hAnsi="Palatino Linotype"/>
          <w:b/>
          <w:i/>
          <w:sz w:val="32"/>
        </w:rPr>
      </w:pPr>
      <w:r w:rsidRPr="0017254C">
        <w:rPr>
          <w:rFonts w:ascii="Palatino Linotype" w:hAnsi="Palatino Linotype"/>
          <w:b/>
          <w:i/>
          <w:sz w:val="32"/>
        </w:rPr>
        <w:t>“Bringing It All Together: Clinical Legal Educators in the 21st Century University”</w:t>
      </w:r>
    </w:p>
    <w:p w:rsidR="00455473" w:rsidRDefault="00455473" w:rsidP="00455473">
      <w:pPr>
        <w:jc w:val="center"/>
      </w:pPr>
      <w:r>
        <w:rPr>
          <w:noProof/>
          <w:lang w:eastAsia="zh-CN"/>
        </w:rPr>
        <w:drawing>
          <wp:inline distT="0" distB="0" distL="0" distR="0" wp14:anchorId="4A4D6667" wp14:editId="165E4CD8">
            <wp:extent cx="4647565" cy="2691319"/>
            <wp:effectExtent l="0" t="0" r="0" b="0"/>
            <wp:docPr id="1" name="Picture 1" descr="cid:image001.png@01D22E00.BE2837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agram 1" descr="cid:image001.png@01D22E00.BE283730"/>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4685379" cy="2713217"/>
                    </a:xfrm>
                    <a:prstGeom prst="rect">
                      <a:avLst/>
                    </a:prstGeom>
                    <a:noFill/>
                    <a:ln>
                      <a:noFill/>
                    </a:ln>
                  </pic:spPr>
                </pic:pic>
              </a:graphicData>
            </a:graphic>
          </wp:inline>
        </w:drawing>
      </w:r>
    </w:p>
    <w:p w:rsidR="00455473" w:rsidRDefault="00455473" w:rsidP="00455473"/>
    <w:p w:rsidR="00455473" w:rsidRPr="0017254C" w:rsidRDefault="00455473" w:rsidP="0017254C">
      <w:pPr>
        <w:spacing w:line="480" w:lineRule="auto"/>
        <w:jc w:val="both"/>
        <w:rPr>
          <w:rFonts w:ascii="Palatino Linotype" w:hAnsi="Palatino Linotype"/>
        </w:rPr>
      </w:pPr>
      <w:r w:rsidRPr="0017254C">
        <w:rPr>
          <w:rFonts w:ascii="Palatino Linotype" w:hAnsi="Palatino Linotype"/>
        </w:rPr>
        <w:t>Clinicians wear many hats: teacher, group facilitator, project manager, lawyer, researcher, mentor, activist, administrator, supervisor, academic, fund raiser, practice manager, collaborator, role model, counsellor…</w:t>
      </w:r>
    </w:p>
    <w:p w:rsidR="00455473" w:rsidRPr="0017254C" w:rsidRDefault="00455473" w:rsidP="0017254C">
      <w:pPr>
        <w:spacing w:line="480" w:lineRule="auto"/>
        <w:jc w:val="both"/>
        <w:rPr>
          <w:rFonts w:ascii="Palatino Linotype" w:hAnsi="Palatino Linotype"/>
        </w:rPr>
      </w:pPr>
      <w:r w:rsidRPr="0017254C">
        <w:rPr>
          <w:rFonts w:ascii="Palatino Linotype" w:hAnsi="Palatino Linotype"/>
        </w:rPr>
        <w:t>This year’s conference continues our exploration of the key, often overlapping, issues arising for clinical legal education in the 21</w:t>
      </w:r>
      <w:r w:rsidRPr="0017254C">
        <w:rPr>
          <w:rFonts w:ascii="Palatino Linotype" w:hAnsi="Palatino Linotype"/>
          <w:vertAlign w:val="superscript"/>
        </w:rPr>
        <w:t>st</w:t>
      </w:r>
      <w:r w:rsidRPr="0017254C">
        <w:rPr>
          <w:rFonts w:ascii="Palatino Linotype" w:hAnsi="Palatino Linotype"/>
        </w:rPr>
        <w:t xml:space="preserve"> century from the clinician’s perspective; juggling sometimes competing priorities and often making difficult choices.  Papers are invited which consider one or more of these </w:t>
      </w:r>
      <w:proofErr w:type="gramStart"/>
      <w:r w:rsidRPr="0017254C">
        <w:rPr>
          <w:rFonts w:ascii="Palatino Linotype" w:hAnsi="Palatino Linotype"/>
        </w:rPr>
        <w:t>themes  below</w:t>
      </w:r>
      <w:proofErr w:type="gramEnd"/>
      <w:r w:rsidRPr="0017254C">
        <w:rPr>
          <w:rFonts w:ascii="Palatino Linotype" w:hAnsi="Palatino Linotype"/>
        </w:rPr>
        <w:t xml:space="preserve">  while still encouraging participants to locate their papers either mainly in one of those areas or by exploring the overlaps. </w:t>
      </w:r>
    </w:p>
    <w:p w:rsidR="00455473" w:rsidRPr="0017254C" w:rsidRDefault="00455473" w:rsidP="0017254C">
      <w:pPr>
        <w:spacing w:line="480" w:lineRule="auto"/>
        <w:jc w:val="both"/>
        <w:rPr>
          <w:rFonts w:ascii="Palatino Linotype" w:hAnsi="Palatino Linotype"/>
        </w:rPr>
      </w:pPr>
      <w:r w:rsidRPr="0017254C">
        <w:rPr>
          <w:rFonts w:ascii="Palatino Linotype" w:hAnsi="Palatino Linotype"/>
        </w:rPr>
        <w:t>Themes:</w:t>
      </w:r>
    </w:p>
    <w:p w:rsidR="00455473" w:rsidRPr="0017254C" w:rsidRDefault="00455473" w:rsidP="0017254C">
      <w:pPr>
        <w:pStyle w:val="ListParagraph"/>
        <w:numPr>
          <w:ilvl w:val="0"/>
          <w:numId w:val="3"/>
        </w:numPr>
        <w:spacing w:line="480" w:lineRule="auto"/>
        <w:jc w:val="both"/>
        <w:rPr>
          <w:rFonts w:ascii="Palatino Linotype" w:hAnsi="Palatino Linotype"/>
        </w:rPr>
      </w:pPr>
      <w:r w:rsidRPr="0017254C">
        <w:rPr>
          <w:rFonts w:ascii="Palatino Linotype" w:hAnsi="Palatino Linotype"/>
        </w:rPr>
        <w:t>The clinician and community needs</w:t>
      </w:r>
    </w:p>
    <w:p w:rsidR="00455473" w:rsidRPr="0017254C" w:rsidRDefault="00455473" w:rsidP="0017254C">
      <w:pPr>
        <w:pStyle w:val="ListParagraph"/>
        <w:numPr>
          <w:ilvl w:val="0"/>
          <w:numId w:val="3"/>
        </w:numPr>
        <w:spacing w:line="480" w:lineRule="auto"/>
        <w:jc w:val="both"/>
        <w:rPr>
          <w:rFonts w:ascii="Palatino Linotype" w:hAnsi="Palatino Linotype"/>
        </w:rPr>
      </w:pPr>
      <w:r w:rsidRPr="0017254C">
        <w:rPr>
          <w:rFonts w:ascii="Palatino Linotype" w:hAnsi="Palatino Linotype"/>
        </w:rPr>
        <w:t>The clinician and research into the impact of clinic</w:t>
      </w:r>
    </w:p>
    <w:p w:rsidR="00455473" w:rsidRPr="0017254C" w:rsidRDefault="00455473" w:rsidP="0017254C">
      <w:pPr>
        <w:pStyle w:val="ListParagraph"/>
        <w:numPr>
          <w:ilvl w:val="0"/>
          <w:numId w:val="3"/>
        </w:numPr>
        <w:spacing w:line="480" w:lineRule="auto"/>
        <w:jc w:val="both"/>
        <w:rPr>
          <w:rFonts w:ascii="Palatino Linotype" w:hAnsi="Palatino Linotype"/>
        </w:rPr>
      </w:pPr>
      <w:r w:rsidRPr="0017254C">
        <w:rPr>
          <w:rFonts w:ascii="Palatino Linotype" w:hAnsi="Palatino Linotype"/>
        </w:rPr>
        <w:t>The clinician and academic identity</w:t>
      </w:r>
    </w:p>
    <w:p w:rsidR="00455473" w:rsidRPr="0017254C" w:rsidRDefault="00455473" w:rsidP="0017254C">
      <w:pPr>
        <w:pStyle w:val="ListParagraph"/>
        <w:numPr>
          <w:ilvl w:val="0"/>
          <w:numId w:val="3"/>
        </w:numPr>
        <w:spacing w:line="480" w:lineRule="auto"/>
        <w:jc w:val="both"/>
        <w:rPr>
          <w:rFonts w:ascii="Palatino Linotype" w:hAnsi="Palatino Linotype"/>
        </w:rPr>
      </w:pPr>
      <w:r w:rsidRPr="0017254C">
        <w:rPr>
          <w:rFonts w:ascii="Palatino Linotype" w:hAnsi="Palatino Linotype"/>
        </w:rPr>
        <w:t>The clinician and curriculum and student learning</w:t>
      </w:r>
    </w:p>
    <w:p w:rsidR="00455473" w:rsidRPr="0017254C" w:rsidRDefault="00455473" w:rsidP="0017254C">
      <w:pPr>
        <w:spacing w:line="480" w:lineRule="auto"/>
        <w:jc w:val="both"/>
        <w:rPr>
          <w:rFonts w:ascii="Palatino Linotype" w:hAnsi="Palatino Linotype"/>
        </w:rPr>
      </w:pPr>
      <w:r w:rsidRPr="0017254C">
        <w:rPr>
          <w:rFonts w:ascii="Palatino Linotype" w:hAnsi="Palatino Linotype"/>
        </w:rPr>
        <w:t>In particular, we would like to encourage participants to include student and other partners’ voices in their presentations, ideally through collaborative writing and presentation in person or through video calling or recordings.</w:t>
      </w:r>
    </w:p>
    <w:p w:rsidR="00455473" w:rsidRPr="0017254C" w:rsidRDefault="00455473" w:rsidP="0017254C">
      <w:pPr>
        <w:spacing w:line="480" w:lineRule="auto"/>
        <w:jc w:val="both"/>
        <w:rPr>
          <w:rFonts w:ascii="Palatino Linotype" w:hAnsi="Palatino Linotype"/>
          <w:b/>
        </w:rPr>
      </w:pPr>
    </w:p>
    <w:p w:rsidR="00455473" w:rsidRPr="0017254C" w:rsidRDefault="00455473" w:rsidP="0017254C">
      <w:pPr>
        <w:spacing w:line="480" w:lineRule="auto"/>
        <w:jc w:val="both"/>
        <w:rPr>
          <w:rFonts w:ascii="Palatino Linotype" w:hAnsi="Palatino Linotype"/>
          <w:b/>
        </w:rPr>
      </w:pPr>
      <w:r w:rsidRPr="0017254C">
        <w:rPr>
          <w:rFonts w:ascii="Palatino Linotype" w:hAnsi="Palatino Linotype"/>
          <w:b/>
        </w:rPr>
        <w:t>Taking part</w:t>
      </w:r>
    </w:p>
    <w:p w:rsidR="00455473" w:rsidRPr="0017254C" w:rsidRDefault="00455473" w:rsidP="0017254C">
      <w:pPr>
        <w:spacing w:line="480" w:lineRule="auto"/>
        <w:jc w:val="both"/>
        <w:rPr>
          <w:rFonts w:ascii="Palatino Linotype" w:hAnsi="Palatino Linotype"/>
        </w:rPr>
      </w:pPr>
      <w:r w:rsidRPr="0017254C">
        <w:rPr>
          <w:rFonts w:ascii="Palatino Linotype" w:hAnsi="Palatino Linotype"/>
        </w:rPr>
        <w:t xml:space="preserve">Presentations at IJCLE/ENCLE/CLEO can take one of three formats, each with its own structured proposal application form: </w:t>
      </w:r>
    </w:p>
    <w:p w:rsidR="00455473" w:rsidRPr="0017254C" w:rsidRDefault="00455473" w:rsidP="0017254C">
      <w:pPr>
        <w:pStyle w:val="ListParagraph"/>
        <w:numPr>
          <w:ilvl w:val="0"/>
          <w:numId w:val="2"/>
        </w:numPr>
        <w:spacing w:line="480" w:lineRule="auto"/>
        <w:jc w:val="both"/>
        <w:rPr>
          <w:rFonts w:ascii="Palatino Linotype" w:hAnsi="Palatino Linotype"/>
        </w:rPr>
      </w:pPr>
      <w:r w:rsidRPr="0017254C">
        <w:rPr>
          <w:rFonts w:ascii="Palatino Linotype" w:hAnsi="Palatino Linotype"/>
        </w:rPr>
        <w:t>Paper presentation</w:t>
      </w:r>
    </w:p>
    <w:p w:rsidR="00455473" w:rsidRPr="0017254C" w:rsidRDefault="00455473" w:rsidP="0017254C">
      <w:pPr>
        <w:pStyle w:val="ListParagraph"/>
        <w:numPr>
          <w:ilvl w:val="1"/>
          <w:numId w:val="2"/>
        </w:numPr>
        <w:spacing w:line="480" w:lineRule="auto"/>
        <w:jc w:val="both"/>
        <w:rPr>
          <w:rFonts w:ascii="Palatino Linotype" w:hAnsi="Palatino Linotype"/>
        </w:rPr>
      </w:pPr>
      <w:r w:rsidRPr="0017254C">
        <w:rPr>
          <w:rFonts w:ascii="Palatino Linotype" w:hAnsi="Palatino Linotype"/>
        </w:rPr>
        <w:t xml:space="preserve">These will be in traditional conference paper format, with a </w:t>
      </w:r>
      <w:proofErr w:type="gramStart"/>
      <w:r w:rsidRPr="0017254C">
        <w:rPr>
          <w:rFonts w:ascii="Palatino Linotype" w:hAnsi="Palatino Linotype"/>
        </w:rPr>
        <w:t>twenty minute</w:t>
      </w:r>
      <w:proofErr w:type="gramEnd"/>
      <w:r w:rsidRPr="0017254C">
        <w:rPr>
          <w:rFonts w:ascii="Palatino Linotype" w:hAnsi="Palatino Linotype"/>
        </w:rPr>
        <w:t xml:space="preserve"> presentation followed by questions.  Participants will be invited to indicate if their paper falls into one or more of the four areas: Community Need; Curriculum and Students; Academic Identity; Research and Impact.</w:t>
      </w:r>
    </w:p>
    <w:p w:rsidR="00455473" w:rsidRPr="0017254C" w:rsidRDefault="00455473" w:rsidP="0017254C">
      <w:pPr>
        <w:pStyle w:val="ListParagraph"/>
        <w:numPr>
          <w:ilvl w:val="0"/>
          <w:numId w:val="2"/>
        </w:numPr>
        <w:spacing w:line="480" w:lineRule="auto"/>
        <w:jc w:val="both"/>
        <w:rPr>
          <w:rFonts w:ascii="Palatino Linotype" w:hAnsi="Palatino Linotype"/>
        </w:rPr>
      </w:pPr>
      <w:r w:rsidRPr="0017254C">
        <w:rPr>
          <w:rFonts w:ascii="Palatino Linotype" w:hAnsi="Palatino Linotype"/>
        </w:rPr>
        <w:t>Interactive seminar</w:t>
      </w:r>
    </w:p>
    <w:p w:rsidR="00455473" w:rsidRPr="0017254C" w:rsidRDefault="00455473" w:rsidP="0017254C">
      <w:pPr>
        <w:pStyle w:val="ListParagraph"/>
        <w:numPr>
          <w:ilvl w:val="1"/>
          <w:numId w:val="2"/>
        </w:numPr>
        <w:spacing w:line="480" w:lineRule="auto"/>
        <w:jc w:val="both"/>
        <w:rPr>
          <w:rFonts w:ascii="Palatino Linotype" w:hAnsi="Palatino Linotype"/>
        </w:rPr>
      </w:pPr>
      <w:r w:rsidRPr="0017254C">
        <w:rPr>
          <w:rFonts w:ascii="Palatino Linotype" w:hAnsi="Palatino Linotype"/>
        </w:rPr>
        <w:t xml:space="preserve">These sessions will be 90 minutes long, will involve active participation from the audience as well as input from the presenters and will be designed to generate discussion and new learning for the participants </w:t>
      </w:r>
      <w:r w:rsidRPr="0017254C">
        <w:rPr>
          <w:rFonts w:ascii="Palatino Linotype" w:hAnsi="Palatino Linotype"/>
          <w:b/>
          <w:i/>
        </w:rPr>
        <w:t>and</w:t>
      </w:r>
      <w:r w:rsidRPr="0017254C">
        <w:rPr>
          <w:rFonts w:ascii="Palatino Linotype" w:hAnsi="Palatino Linotype"/>
        </w:rPr>
        <w:t xml:space="preserve"> the convenors. Participants will be invited to indicate if their seminar falls into one or more of the four areas: Community Need; Curriculum and Students; Academic Identity; Research and Impact.</w:t>
      </w:r>
    </w:p>
    <w:p w:rsidR="00455473" w:rsidRPr="0017254C" w:rsidRDefault="00455473" w:rsidP="0017254C">
      <w:pPr>
        <w:pStyle w:val="ListParagraph"/>
        <w:numPr>
          <w:ilvl w:val="0"/>
          <w:numId w:val="2"/>
        </w:numPr>
        <w:spacing w:line="480" w:lineRule="auto"/>
        <w:jc w:val="both"/>
        <w:rPr>
          <w:rFonts w:ascii="Palatino Linotype" w:hAnsi="Palatino Linotype"/>
        </w:rPr>
      </w:pPr>
      <w:proofErr w:type="spellStart"/>
      <w:r w:rsidRPr="0017254C">
        <w:rPr>
          <w:rFonts w:ascii="Palatino Linotype" w:hAnsi="Palatino Linotype"/>
        </w:rPr>
        <w:t>PechaKucha</w:t>
      </w:r>
      <w:proofErr w:type="spellEnd"/>
    </w:p>
    <w:p w:rsidR="00455473" w:rsidRPr="0017254C" w:rsidRDefault="00455473" w:rsidP="0017254C">
      <w:pPr>
        <w:pStyle w:val="ListParagraph"/>
        <w:numPr>
          <w:ilvl w:val="1"/>
          <w:numId w:val="2"/>
        </w:numPr>
        <w:spacing w:line="480" w:lineRule="auto"/>
        <w:ind w:left="1434" w:hanging="357"/>
        <w:jc w:val="both"/>
        <w:rPr>
          <w:rFonts w:ascii="Palatino Linotype" w:hAnsi="Palatino Linotype"/>
        </w:rPr>
      </w:pPr>
      <w:r w:rsidRPr="0017254C">
        <w:rPr>
          <w:rFonts w:ascii="Palatino Linotype" w:hAnsi="Palatino Linotype"/>
        </w:rPr>
        <w:t xml:space="preserve">A </w:t>
      </w:r>
      <w:proofErr w:type="spellStart"/>
      <w:r w:rsidRPr="0017254C">
        <w:rPr>
          <w:rFonts w:ascii="Palatino Linotype" w:hAnsi="Palatino Linotype"/>
        </w:rPr>
        <w:t>PechaKucha</w:t>
      </w:r>
      <w:proofErr w:type="spellEnd"/>
      <w:r w:rsidRPr="0017254C">
        <w:rPr>
          <w:rFonts w:ascii="Palatino Linotype" w:hAnsi="Palatino Linotype"/>
        </w:rPr>
        <w:t xml:space="preserve"> consists of 20 slides timed to change every 20 seconds, so each presentation lasts 6 minutes and 40 seconds.  Each presenter in </w:t>
      </w:r>
      <w:proofErr w:type="spellStart"/>
      <w:r w:rsidRPr="0017254C">
        <w:rPr>
          <w:rFonts w:ascii="Palatino Linotype" w:hAnsi="Palatino Linotype"/>
        </w:rPr>
        <w:t>PechaKucha</w:t>
      </w:r>
      <w:proofErr w:type="spellEnd"/>
      <w:r w:rsidRPr="0017254C">
        <w:rPr>
          <w:rFonts w:ascii="Palatino Linotype" w:hAnsi="Palatino Linotype"/>
        </w:rPr>
        <w:t xml:space="preserve"> session will be assigned a </w:t>
      </w:r>
      <w:proofErr w:type="gramStart"/>
      <w:r w:rsidRPr="0017254C">
        <w:rPr>
          <w:rFonts w:ascii="Palatino Linotype" w:hAnsi="Palatino Linotype"/>
        </w:rPr>
        <w:t>10 minute</w:t>
      </w:r>
      <w:proofErr w:type="gramEnd"/>
      <w:r w:rsidRPr="0017254C">
        <w:rPr>
          <w:rFonts w:ascii="Palatino Linotype" w:hAnsi="Palatino Linotype"/>
        </w:rPr>
        <w:t xml:space="preserve"> slot to allow for a question to be posed.  We anticipate that </w:t>
      </w:r>
      <w:proofErr w:type="spellStart"/>
      <w:r w:rsidRPr="0017254C">
        <w:rPr>
          <w:rFonts w:ascii="Palatino Linotype" w:hAnsi="Palatino Linotype"/>
        </w:rPr>
        <w:t>PechaKuchas</w:t>
      </w:r>
      <w:proofErr w:type="spellEnd"/>
      <w:r w:rsidRPr="0017254C">
        <w:rPr>
          <w:rFonts w:ascii="Palatino Linotype" w:hAnsi="Palatino Linotype"/>
        </w:rPr>
        <w:t xml:space="preserve"> will consist of short introductions to new work, methodological innovations or insights from the field.  Please follow </w:t>
      </w:r>
      <w:hyperlink r:id="rId11" w:history="1">
        <w:r w:rsidRPr="0017254C">
          <w:rPr>
            <w:rStyle w:val="Hyperlink"/>
            <w:rFonts w:ascii="Palatino Linotype" w:hAnsi="Palatino Linotype"/>
          </w:rPr>
          <w:t>this link</w:t>
        </w:r>
      </w:hyperlink>
      <w:r w:rsidRPr="0017254C">
        <w:rPr>
          <w:rFonts w:ascii="Palatino Linotype" w:hAnsi="Palatino Linotype"/>
        </w:rPr>
        <w:t xml:space="preserve"> to learn more.  Participants are encouraged to offer </w:t>
      </w:r>
      <w:proofErr w:type="spellStart"/>
      <w:r w:rsidRPr="0017254C">
        <w:rPr>
          <w:rFonts w:ascii="Palatino Linotype" w:hAnsi="Palatino Linotype"/>
        </w:rPr>
        <w:t>PechaKuchas</w:t>
      </w:r>
      <w:proofErr w:type="spellEnd"/>
      <w:r w:rsidRPr="0017254C">
        <w:rPr>
          <w:rFonts w:ascii="Palatino Linotype" w:hAnsi="Palatino Linotype"/>
        </w:rPr>
        <w:t xml:space="preserve"> in addition to traditional papers.</w:t>
      </w:r>
    </w:p>
    <w:p w:rsidR="0017254C" w:rsidRDefault="0017254C" w:rsidP="0017254C">
      <w:pPr>
        <w:spacing w:line="480" w:lineRule="auto"/>
        <w:jc w:val="both"/>
        <w:rPr>
          <w:rFonts w:ascii="Palatino Linotype" w:hAnsi="Palatino Linotype"/>
          <w:b/>
        </w:rPr>
      </w:pPr>
    </w:p>
    <w:p w:rsidR="0017254C" w:rsidRDefault="0017254C" w:rsidP="0017254C">
      <w:pPr>
        <w:spacing w:line="480" w:lineRule="auto"/>
        <w:jc w:val="both"/>
        <w:rPr>
          <w:rFonts w:ascii="Palatino Linotype" w:hAnsi="Palatino Linotype"/>
          <w:b/>
        </w:rPr>
      </w:pPr>
    </w:p>
    <w:p w:rsidR="0017254C" w:rsidRDefault="0017254C" w:rsidP="0017254C">
      <w:pPr>
        <w:spacing w:line="480" w:lineRule="auto"/>
        <w:jc w:val="both"/>
        <w:rPr>
          <w:rFonts w:ascii="Palatino Linotype" w:hAnsi="Palatino Linotype"/>
          <w:b/>
        </w:rPr>
      </w:pPr>
    </w:p>
    <w:p w:rsidR="00455473" w:rsidRPr="0017254C" w:rsidRDefault="00455473" w:rsidP="0017254C">
      <w:pPr>
        <w:spacing w:line="480" w:lineRule="auto"/>
        <w:jc w:val="both"/>
        <w:rPr>
          <w:rFonts w:ascii="Palatino Linotype" w:hAnsi="Palatino Linotype"/>
          <w:b/>
        </w:rPr>
      </w:pPr>
      <w:r w:rsidRPr="0017254C">
        <w:rPr>
          <w:rFonts w:ascii="Palatino Linotype" w:hAnsi="Palatino Linotype"/>
          <w:b/>
        </w:rPr>
        <w:t>Key Dates</w:t>
      </w:r>
    </w:p>
    <w:p w:rsidR="00455473" w:rsidRPr="0017254C" w:rsidRDefault="00455473" w:rsidP="0017254C">
      <w:pPr>
        <w:spacing w:line="480" w:lineRule="auto"/>
        <w:ind w:left="720" w:hanging="720"/>
        <w:jc w:val="both"/>
        <w:rPr>
          <w:rFonts w:ascii="Palatino Linotype" w:hAnsi="Palatino Linotype"/>
        </w:rPr>
      </w:pPr>
      <w:r w:rsidRPr="0017254C">
        <w:rPr>
          <w:rFonts w:ascii="Palatino Linotype" w:hAnsi="Palatino Linotype"/>
        </w:rPr>
        <w:t>•</w:t>
      </w:r>
      <w:r w:rsidRPr="0017254C">
        <w:rPr>
          <w:rFonts w:ascii="Palatino Linotype" w:hAnsi="Palatino Linotype"/>
        </w:rPr>
        <w:tab/>
        <w:t xml:space="preserve">Call for papers, seminars and </w:t>
      </w:r>
      <w:proofErr w:type="spellStart"/>
      <w:r w:rsidRPr="0017254C">
        <w:rPr>
          <w:rFonts w:ascii="Palatino Linotype" w:hAnsi="Palatino Linotype"/>
        </w:rPr>
        <w:t>PechaKucha</w:t>
      </w:r>
      <w:proofErr w:type="spellEnd"/>
      <w:r w:rsidRPr="0017254C">
        <w:rPr>
          <w:rFonts w:ascii="Palatino Linotype" w:hAnsi="Palatino Linotype"/>
        </w:rPr>
        <w:t xml:space="preserve"> opens – November 21, 2016.  Please follow </w:t>
      </w:r>
      <w:hyperlink r:id="rId12" w:history="1">
        <w:r w:rsidRPr="0017254C">
          <w:rPr>
            <w:rStyle w:val="Hyperlink"/>
            <w:rFonts w:ascii="Palatino Linotype" w:hAnsi="Palatino Linotype"/>
          </w:rPr>
          <w:t>this link</w:t>
        </w:r>
      </w:hyperlink>
      <w:r w:rsidRPr="0017254C">
        <w:rPr>
          <w:rFonts w:ascii="Palatino Linotype" w:hAnsi="Palatino Linotype"/>
        </w:rPr>
        <w:t xml:space="preserve"> to submit and learn more.</w:t>
      </w:r>
    </w:p>
    <w:p w:rsidR="00455473" w:rsidRPr="0017254C" w:rsidRDefault="00455473" w:rsidP="0017254C">
      <w:pPr>
        <w:spacing w:line="480" w:lineRule="auto"/>
        <w:jc w:val="both"/>
        <w:rPr>
          <w:rFonts w:ascii="Palatino Linotype" w:hAnsi="Palatino Linotype"/>
        </w:rPr>
      </w:pPr>
      <w:r w:rsidRPr="0017254C">
        <w:rPr>
          <w:rFonts w:ascii="Palatino Linotype" w:hAnsi="Palatino Linotype"/>
        </w:rPr>
        <w:t>•</w:t>
      </w:r>
      <w:r w:rsidRPr="0017254C">
        <w:rPr>
          <w:rFonts w:ascii="Palatino Linotype" w:hAnsi="Palatino Linotype"/>
        </w:rPr>
        <w:tab/>
        <w:t xml:space="preserve">Call for papers, seminars and </w:t>
      </w:r>
      <w:proofErr w:type="spellStart"/>
      <w:r w:rsidRPr="0017254C">
        <w:rPr>
          <w:rFonts w:ascii="Palatino Linotype" w:hAnsi="Palatino Linotype"/>
        </w:rPr>
        <w:t>PechaKucha</w:t>
      </w:r>
      <w:proofErr w:type="spellEnd"/>
      <w:r w:rsidRPr="0017254C">
        <w:rPr>
          <w:rFonts w:ascii="Palatino Linotype" w:hAnsi="Palatino Linotype"/>
        </w:rPr>
        <w:t xml:space="preserve"> </w:t>
      </w:r>
      <w:r w:rsidRPr="0017254C">
        <w:rPr>
          <w:rFonts w:ascii="Palatino Linotype" w:hAnsi="Palatino Linotype"/>
          <w:b/>
        </w:rPr>
        <w:t>closes</w:t>
      </w:r>
      <w:r w:rsidRPr="0017254C">
        <w:rPr>
          <w:rFonts w:ascii="Palatino Linotype" w:hAnsi="Palatino Linotype"/>
        </w:rPr>
        <w:t xml:space="preserve"> – January 31, 2017</w:t>
      </w:r>
    </w:p>
    <w:p w:rsidR="00455473" w:rsidRPr="0017254C" w:rsidRDefault="00455473" w:rsidP="0017254C">
      <w:pPr>
        <w:spacing w:line="480" w:lineRule="auto"/>
        <w:ind w:left="720" w:hanging="720"/>
        <w:jc w:val="both"/>
        <w:rPr>
          <w:rFonts w:ascii="Palatino Linotype" w:hAnsi="Palatino Linotype"/>
        </w:rPr>
      </w:pPr>
      <w:r w:rsidRPr="0017254C">
        <w:rPr>
          <w:rFonts w:ascii="Palatino Linotype" w:hAnsi="Palatino Linotype"/>
        </w:rPr>
        <w:t>•</w:t>
      </w:r>
      <w:r w:rsidRPr="0017254C">
        <w:rPr>
          <w:rFonts w:ascii="Palatino Linotype" w:hAnsi="Palatino Linotype"/>
        </w:rPr>
        <w:tab/>
        <w:t xml:space="preserve">Confirmation of papers, seminars and </w:t>
      </w:r>
      <w:proofErr w:type="spellStart"/>
      <w:r w:rsidRPr="0017254C">
        <w:rPr>
          <w:rFonts w:ascii="Palatino Linotype" w:hAnsi="Palatino Linotype"/>
        </w:rPr>
        <w:t>PechaKucha</w:t>
      </w:r>
      <w:proofErr w:type="spellEnd"/>
      <w:r w:rsidRPr="0017254C">
        <w:rPr>
          <w:rFonts w:ascii="Palatino Linotype" w:hAnsi="Palatino Linotype"/>
        </w:rPr>
        <w:t xml:space="preserve"> accepted for the conference – rolling through December and no later than February 10, 2017</w:t>
      </w:r>
    </w:p>
    <w:p w:rsidR="00455473" w:rsidRPr="0017254C" w:rsidRDefault="00455473" w:rsidP="0017254C">
      <w:pPr>
        <w:spacing w:line="480" w:lineRule="auto"/>
        <w:jc w:val="both"/>
        <w:rPr>
          <w:rFonts w:ascii="Palatino Linotype" w:hAnsi="Palatino Linotype"/>
        </w:rPr>
      </w:pPr>
      <w:r w:rsidRPr="0017254C">
        <w:rPr>
          <w:rFonts w:ascii="Palatino Linotype" w:hAnsi="Palatino Linotype"/>
        </w:rPr>
        <w:t>•</w:t>
      </w:r>
      <w:r w:rsidRPr="0017254C">
        <w:rPr>
          <w:rFonts w:ascii="Palatino Linotype" w:hAnsi="Palatino Linotype"/>
        </w:rPr>
        <w:tab/>
        <w:t>Registration opens – January 16 2017</w:t>
      </w:r>
    </w:p>
    <w:p w:rsidR="00455473" w:rsidRPr="0017254C" w:rsidRDefault="00455473" w:rsidP="0017254C">
      <w:pPr>
        <w:spacing w:line="480" w:lineRule="auto"/>
        <w:jc w:val="both"/>
        <w:rPr>
          <w:rFonts w:ascii="Palatino Linotype" w:hAnsi="Palatino Linotype"/>
        </w:rPr>
      </w:pPr>
      <w:r w:rsidRPr="0017254C">
        <w:rPr>
          <w:rFonts w:ascii="Palatino Linotype" w:hAnsi="Palatino Linotype"/>
        </w:rPr>
        <w:t>•</w:t>
      </w:r>
      <w:r w:rsidRPr="0017254C">
        <w:rPr>
          <w:rFonts w:ascii="Palatino Linotype" w:hAnsi="Palatino Linotype"/>
        </w:rPr>
        <w:tab/>
        <w:t>Early-bird registration closes – March 3, 2017</w:t>
      </w:r>
    </w:p>
    <w:p w:rsidR="00455473" w:rsidRPr="0017254C" w:rsidRDefault="00455473" w:rsidP="0017254C">
      <w:pPr>
        <w:spacing w:line="480" w:lineRule="auto"/>
        <w:jc w:val="both"/>
        <w:rPr>
          <w:rFonts w:ascii="Palatino Linotype" w:hAnsi="Palatino Linotype"/>
        </w:rPr>
      </w:pPr>
      <w:r w:rsidRPr="0017254C">
        <w:rPr>
          <w:rFonts w:ascii="Palatino Linotype" w:hAnsi="Palatino Linotype"/>
        </w:rPr>
        <w:t>•</w:t>
      </w:r>
      <w:r w:rsidRPr="0017254C">
        <w:rPr>
          <w:rFonts w:ascii="Palatino Linotype" w:hAnsi="Palatino Linotype"/>
        </w:rPr>
        <w:tab/>
        <w:t>Registration closes – June 2, 2017</w:t>
      </w:r>
    </w:p>
    <w:p w:rsidR="00455473" w:rsidRDefault="00455473" w:rsidP="0017254C">
      <w:pPr>
        <w:spacing w:line="480" w:lineRule="auto"/>
      </w:pPr>
      <w:r w:rsidRPr="0017254C">
        <w:rPr>
          <w:rFonts w:ascii="Palatino Linotype" w:hAnsi="Palatino Linotype"/>
        </w:rPr>
        <w:t>•</w:t>
      </w:r>
      <w:r w:rsidRPr="0017254C">
        <w:rPr>
          <w:rFonts w:ascii="Palatino Linotype" w:hAnsi="Palatino Linotype"/>
        </w:rPr>
        <w:tab/>
        <w:t>Deadline for submission of papers and outlines to website. – June 9, 2017</w:t>
      </w:r>
    </w:p>
    <w:p w:rsidR="00455473" w:rsidRDefault="00455473" w:rsidP="00667BEA">
      <w:pPr>
        <w:spacing w:line="480" w:lineRule="auto"/>
        <w:jc w:val="both"/>
      </w:pPr>
    </w:p>
    <w:sectPr w:rsidR="00455473">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41BA" w:rsidRDefault="006F41BA" w:rsidP="006F41BA">
      <w:pPr>
        <w:spacing w:after="0" w:line="240" w:lineRule="auto"/>
      </w:pPr>
      <w:r>
        <w:separator/>
      </w:r>
    </w:p>
  </w:endnote>
  <w:endnote w:type="continuationSeparator" w:id="0">
    <w:p w:rsidR="006F41BA" w:rsidRDefault="006F41BA" w:rsidP="006F41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DengXian">
    <w:altName w:val="等线"/>
    <w:panose1 w:val="02010600030101010101"/>
    <w:charset w:val="86"/>
    <w:family w:val="roman"/>
    <w:notTrueType/>
    <w:pitch w:val="default"/>
  </w:font>
  <w:font w:name="Palatino Linotype">
    <w:panose1 w:val="02040502050505030304"/>
    <w:charset w:val="00"/>
    <w:family w:val="roman"/>
    <w:pitch w:val="variable"/>
    <w:sig w:usb0="E0000287" w:usb1="40000013" w:usb2="00000000" w:usb3="00000000" w:csb0="0000019F" w:csb1="00000000"/>
  </w:font>
  <w:font w:name="Times New Roman Bold">
    <w:panose1 w:val="02020803070505020304"/>
    <w:charset w:val="00"/>
    <w:family w:val="roman"/>
    <w:pitch w:val="default"/>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07372214"/>
      <w:docPartObj>
        <w:docPartGallery w:val="Page Numbers (Bottom of Page)"/>
        <w:docPartUnique/>
      </w:docPartObj>
    </w:sdtPr>
    <w:sdtEndPr>
      <w:rPr>
        <w:noProof/>
      </w:rPr>
    </w:sdtEndPr>
    <w:sdtContent>
      <w:p w:rsidR="009F6D5D" w:rsidRDefault="009F6D5D">
        <w:pPr>
          <w:pStyle w:val="Footer"/>
          <w:jc w:val="center"/>
        </w:pPr>
        <w:r>
          <w:fldChar w:fldCharType="begin"/>
        </w:r>
        <w:r>
          <w:instrText xml:space="preserve"> PAGE   \* MERGEFORMAT </w:instrText>
        </w:r>
        <w:r>
          <w:fldChar w:fldCharType="separate"/>
        </w:r>
        <w:r>
          <w:rPr>
            <w:noProof/>
          </w:rPr>
          <w:t>6</w:t>
        </w:r>
        <w:r>
          <w:rPr>
            <w:noProof/>
          </w:rPr>
          <w:fldChar w:fldCharType="end"/>
        </w:r>
      </w:p>
    </w:sdtContent>
  </w:sdt>
  <w:p w:rsidR="009F6D5D" w:rsidRDefault="009F6D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41BA" w:rsidRDefault="006F41BA" w:rsidP="006F41BA">
      <w:pPr>
        <w:spacing w:after="0" w:line="240" w:lineRule="auto"/>
      </w:pPr>
      <w:r>
        <w:separator/>
      </w:r>
    </w:p>
  </w:footnote>
  <w:footnote w:type="continuationSeparator" w:id="0">
    <w:p w:rsidR="006F41BA" w:rsidRDefault="006F41BA" w:rsidP="006F41BA">
      <w:pPr>
        <w:spacing w:after="0" w:line="240" w:lineRule="auto"/>
      </w:pPr>
      <w:r>
        <w:continuationSeparator/>
      </w:r>
    </w:p>
  </w:footnote>
  <w:footnote w:id="1">
    <w:p w:rsidR="006B5B37" w:rsidRDefault="006B5B37">
      <w:pPr>
        <w:pStyle w:val="FootnoteText"/>
      </w:pPr>
      <w:r>
        <w:rPr>
          <w:rStyle w:val="FootnoteReference"/>
        </w:rPr>
        <w:footnoteRef/>
      </w:r>
      <w:r>
        <w:t xml:space="preserve"> </w:t>
      </w:r>
      <w:hyperlink r:id="rId1" w:history="1">
        <w:r w:rsidRPr="006B5B37">
          <w:rPr>
            <w:rStyle w:val="Hyperlink"/>
          </w:rPr>
          <w:t>IJCLE 20, 2, 2014</w:t>
        </w:r>
      </w:hyperlink>
    </w:p>
  </w:footnote>
  <w:footnote w:id="2">
    <w:p w:rsidR="0017254C" w:rsidRDefault="003A15CC">
      <w:pPr>
        <w:pStyle w:val="FootnoteText"/>
        <w:rPr>
          <w:i/>
        </w:rPr>
      </w:pPr>
      <w:r>
        <w:rPr>
          <w:rStyle w:val="FootnoteReference"/>
        </w:rPr>
        <w:footnoteRef/>
      </w:r>
      <w:r>
        <w:t xml:space="preserve"> </w:t>
      </w:r>
      <w:proofErr w:type="spellStart"/>
      <w:r w:rsidR="0017254C">
        <w:t>Mkwebu</w:t>
      </w:r>
      <w:proofErr w:type="spellEnd"/>
      <w:r w:rsidR="0017254C">
        <w:t xml:space="preserve">, T. (2015) </w:t>
      </w:r>
      <w:r w:rsidR="0017254C" w:rsidRPr="0017254C">
        <w:t>A Systematic Review of Literature on Clinical Legal Education: A Tool for Researchers in Responding to an Explosion of Clinical Scholarship</w:t>
      </w:r>
      <w:r w:rsidR="0017254C">
        <w:t xml:space="preserve"> </w:t>
      </w:r>
      <w:hyperlink r:id="rId2" w:history="1">
        <w:r w:rsidR="0017254C" w:rsidRPr="0017254C">
          <w:rPr>
            <w:rStyle w:val="Hyperlink"/>
            <w:i/>
          </w:rPr>
          <w:t>IJCLE, 22, 3</w:t>
        </w:r>
      </w:hyperlink>
    </w:p>
    <w:p w:rsidR="003A15CC" w:rsidRDefault="0017254C">
      <w:pPr>
        <w:pStyle w:val="FootnoteText"/>
      </w:pPr>
      <w:r>
        <w:t xml:space="preserve"> </w:t>
      </w:r>
      <w:proofErr w:type="spellStart"/>
      <w:r>
        <w:t>Mkwebu</w:t>
      </w:r>
      <w:proofErr w:type="spellEnd"/>
      <w:r>
        <w:t xml:space="preserve">, T. (2016) </w:t>
      </w:r>
      <w:r w:rsidR="003A15CC">
        <w:t>Unpacking Clini</w:t>
      </w:r>
      <w:r>
        <w:t>cal Scholarship: Why Clinics S</w:t>
      </w:r>
      <w:r w:rsidR="003A15CC">
        <w:t xml:space="preserve">tart and How </w:t>
      </w:r>
      <w:r>
        <w:t>T</w:t>
      </w:r>
      <w:r w:rsidR="003A15CC">
        <w:t xml:space="preserve">hey Last, </w:t>
      </w:r>
      <w:r w:rsidR="003A15CC" w:rsidRPr="0017254C">
        <w:rPr>
          <w:i/>
        </w:rPr>
        <w:t>AJLE</w:t>
      </w:r>
      <w:r>
        <w:rPr>
          <w:i/>
        </w:rPr>
        <w:t xml:space="preserve"> (3, 3) </w:t>
      </w:r>
      <w:hyperlink r:id="rId3" w:history="1">
        <w:r w:rsidRPr="0017254C">
          <w:rPr>
            <w:rStyle w:val="Hyperlink"/>
            <w:i/>
          </w:rPr>
          <w:t>forthcoming, available online</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684EDF"/>
    <w:multiLevelType w:val="hybridMultilevel"/>
    <w:tmpl w:val="1DBC2D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14C47C9"/>
    <w:multiLevelType w:val="hybridMultilevel"/>
    <w:tmpl w:val="69C8965C"/>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2" w15:restartNumberingAfterBreak="0">
    <w:nsid w:val="698A11A3"/>
    <w:multiLevelType w:val="hybridMultilevel"/>
    <w:tmpl w:val="955215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41BA"/>
    <w:rsid w:val="00060A1D"/>
    <w:rsid w:val="0017254C"/>
    <w:rsid w:val="003A15CC"/>
    <w:rsid w:val="00455473"/>
    <w:rsid w:val="005E528E"/>
    <w:rsid w:val="00654323"/>
    <w:rsid w:val="00667BEA"/>
    <w:rsid w:val="006B5B37"/>
    <w:rsid w:val="006F41BA"/>
    <w:rsid w:val="00747FF6"/>
    <w:rsid w:val="009F6D5D"/>
    <w:rsid w:val="00A74F9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03B5EE6-D5E6-40E1-A3F6-8C5C674F9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41BA"/>
    <w:pPr>
      <w:spacing w:after="200" w:line="276" w:lineRule="auto"/>
    </w:pPr>
    <w:rPr>
      <w:rFonts w:eastAsiaTheme="minorHAns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F41BA"/>
    <w:rPr>
      <w:color w:val="0563C1" w:themeColor="hyperlink"/>
      <w:u w:val="single"/>
    </w:rPr>
  </w:style>
  <w:style w:type="paragraph" w:styleId="FootnoteText">
    <w:name w:val="footnote text"/>
    <w:basedOn w:val="Normal"/>
    <w:link w:val="FootnoteTextChar"/>
    <w:uiPriority w:val="99"/>
    <w:semiHidden/>
    <w:unhideWhenUsed/>
    <w:rsid w:val="006F41B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F41BA"/>
    <w:rPr>
      <w:rFonts w:eastAsiaTheme="minorHAnsi"/>
      <w:sz w:val="20"/>
      <w:szCs w:val="20"/>
      <w:lang w:eastAsia="en-US"/>
    </w:rPr>
  </w:style>
  <w:style w:type="character" w:styleId="FootnoteReference">
    <w:name w:val="footnote reference"/>
    <w:basedOn w:val="DefaultParagraphFont"/>
    <w:uiPriority w:val="99"/>
    <w:semiHidden/>
    <w:unhideWhenUsed/>
    <w:rsid w:val="006F41BA"/>
    <w:rPr>
      <w:vertAlign w:val="superscript"/>
    </w:rPr>
  </w:style>
  <w:style w:type="paragraph" w:styleId="ListParagraph">
    <w:name w:val="List Paragraph"/>
    <w:basedOn w:val="Normal"/>
    <w:uiPriority w:val="34"/>
    <w:qFormat/>
    <w:rsid w:val="006F41BA"/>
    <w:pPr>
      <w:ind w:left="720"/>
      <w:contextualSpacing/>
    </w:pPr>
  </w:style>
  <w:style w:type="paragraph" w:styleId="Header">
    <w:name w:val="header"/>
    <w:basedOn w:val="Normal"/>
    <w:link w:val="HeaderChar"/>
    <w:uiPriority w:val="99"/>
    <w:unhideWhenUsed/>
    <w:rsid w:val="009F6D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F6D5D"/>
    <w:rPr>
      <w:rFonts w:eastAsiaTheme="minorHAnsi"/>
      <w:lang w:eastAsia="en-US"/>
    </w:rPr>
  </w:style>
  <w:style w:type="paragraph" w:styleId="Footer">
    <w:name w:val="footer"/>
    <w:basedOn w:val="Normal"/>
    <w:link w:val="FooterChar"/>
    <w:uiPriority w:val="99"/>
    <w:unhideWhenUsed/>
    <w:rsid w:val="009F6D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9F6D5D"/>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13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laine.Hall@northumbria.ac.uk"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northumbria.ac.uk/about-us/news-events/events/2017/07/the-international-journal-of-clinical-legal-education-conferenc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echakucha.or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cid:image001.png@01D22E00.BE283730"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ale.sagepub.com/content/early/2016/10/16/2322005816662397.abstract" TargetMode="External"/><Relationship Id="rId2" Type="http://schemas.openxmlformats.org/officeDocument/2006/relationships/hyperlink" Target="http://www.northumbriajournals.co.uk/index.php/ijcle/article/view/415" TargetMode="External"/><Relationship Id="rId1" Type="http://schemas.openxmlformats.org/officeDocument/2006/relationships/hyperlink" Target="http://www.northumbriajournals.co.uk/index.php/ijcle/article/view/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D8080D-5DBC-4FAE-B97F-C1B8D825E4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935</Words>
  <Characters>5336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Northumbria University at Newcastle</Company>
  <LinksUpToDate>false</LinksUpToDate>
  <CharactersWithSpaces>6259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Elaine Hall</dc:creator>
  <cp:keywords/>
  <dc:description/>
  <cp:lastModifiedBy>Ay Okpokam</cp:lastModifiedBy>
  <cp:revision>3</cp:revision>
  <dcterms:created xsi:type="dcterms:W3CDTF">2016-11-29T12:23:00Z</dcterms:created>
  <dcterms:modified xsi:type="dcterms:W3CDTF">2016-11-29T15:10:00Z</dcterms:modified>
</cp:coreProperties>
</file>