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BA" w:rsidRPr="00613946" w:rsidRDefault="006F41BA" w:rsidP="006F41BA">
      <w:pPr>
        <w:spacing w:line="480" w:lineRule="auto"/>
        <w:rPr>
          <w:rFonts w:ascii="Palatino Linotype" w:hAnsi="Palatino Linotype"/>
          <w:b/>
          <w:i/>
          <w:sz w:val="24"/>
          <w:szCs w:val="24"/>
        </w:rPr>
      </w:pPr>
      <w:r w:rsidRPr="00613946">
        <w:rPr>
          <w:rFonts w:ascii="Palatino Linotype" w:hAnsi="Palatino Linotype"/>
          <w:b/>
          <w:i/>
          <w:sz w:val="24"/>
          <w:szCs w:val="24"/>
        </w:rPr>
        <w:t>Editorial</w:t>
      </w:r>
    </w:p>
    <w:p w:rsidR="006F41BA" w:rsidRPr="00613946" w:rsidRDefault="009C594A" w:rsidP="006F41BA">
      <w:pPr>
        <w:rPr>
          <w:rFonts w:ascii="Palatino Linotype" w:hAnsi="Palatino Linotype"/>
          <w:b/>
          <w:sz w:val="28"/>
          <w:szCs w:val="28"/>
        </w:rPr>
      </w:pPr>
      <w:r>
        <w:rPr>
          <w:rFonts w:ascii="Palatino Linotype" w:hAnsi="Palatino Linotype"/>
          <w:b/>
          <w:sz w:val="28"/>
          <w:szCs w:val="28"/>
        </w:rPr>
        <w:t xml:space="preserve">A Festive Celebration of </w:t>
      </w:r>
      <w:r w:rsidR="007758AC">
        <w:rPr>
          <w:rFonts w:ascii="Palatino Linotype" w:hAnsi="Palatino Linotype"/>
          <w:b/>
          <w:sz w:val="28"/>
          <w:szCs w:val="28"/>
        </w:rPr>
        <w:t xml:space="preserve">Innovative </w:t>
      </w:r>
      <w:r>
        <w:rPr>
          <w:rFonts w:ascii="Palatino Linotype" w:hAnsi="Palatino Linotype"/>
          <w:b/>
          <w:sz w:val="28"/>
          <w:szCs w:val="28"/>
        </w:rPr>
        <w:t>Clinic</w:t>
      </w:r>
      <w:r w:rsidR="007758AC">
        <w:rPr>
          <w:rFonts w:ascii="Palatino Linotype" w:hAnsi="Palatino Linotype"/>
          <w:b/>
          <w:sz w:val="28"/>
          <w:szCs w:val="28"/>
        </w:rPr>
        <w:t>al Scholarship</w:t>
      </w:r>
    </w:p>
    <w:p w:rsidR="006F41BA" w:rsidRDefault="006F41BA" w:rsidP="006F41BA">
      <w:pPr>
        <w:rPr>
          <w:rFonts w:ascii="Palatino Linotype" w:hAnsi="Palatino Linotype"/>
          <w:sz w:val="24"/>
          <w:szCs w:val="24"/>
        </w:rPr>
      </w:pPr>
      <w:r>
        <w:rPr>
          <w:rFonts w:ascii="Palatino Linotype" w:hAnsi="Palatino Linotype"/>
          <w:sz w:val="24"/>
          <w:szCs w:val="24"/>
        </w:rPr>
        <w:t>Elaine Hall</w:t>
      </w:r>
    </w:p>
    <w:p w:rsidR="006F41BA" w:rsidRDefault="006F41BA" w:rsidP="006F41BA">
      <w:pPr>
        <w:rPr>
          <w:rFonts w:ascii="Palatino Linotype" w:hAnsi="Palatino Linotype"/>
          <w:sz w:val="24"/>
          <w:szCs w:val="24"/>
        </w:rPr>
      </w:pPr>
      <w:r>
        <w:rPr>
          <w:rFonts w:ascii="Palatino Linotype" w:hAnsi="Palatino Linotype"/>
          <w:sz w:val="24"/>
          <w:szCs w:val="24"/>
        </w:rPr>
        <w:t>Northumbria University, UK</w:t>
      </w:r>
    </w:p>
    <w:p w:rsidR="006F41BA" w:rsidRDefault="00674FFD" w:rsidP="006F41BA">
      <w:pPr>
        <w:rPr>
          <w:rStyle w:val="Hyperlink"/>
          <w:rFonts w:ascii="Palatino Linotype" w:hAnsi="Palatino Linotype"/>
          <w:sz w:val="24"/>
          <w:szCs w:val="24"/>
        </w:rPr>
      </w:pPr>
      <w:hyperlink r:id="rId8" w:history="1">
        <w:r w:rsidR="006F41BA" w:rsidRPr="00935DD6">
          <w:rPr>
            <w:rStyle w:val="Hyperlink"/>
            <w:rFonts w:ascii="Palatino Linotype" w:hAnsi="Palatino Linotype"/>
            <w:sz w:val="24"/>
            <w:szCs w:val="24"/>
          </w:rPr>
          <w:t>Elaine.Hall@northumbria.ac.uk</w:t>
        </w:r>
      </w:hyperlink>
    </w:p>
    <w:p w:rsidR="009C594A" w:rsidRDefault="00666FF5" w:rsidP="006F41BA">
      <w:pPr>
        <w:spacing w:line="480" w:lineRule="auto"/>
        <w:jc w:val="both"/>
        <w:rPr>
          <w:rFonts w:ascii="Palatino Linotype" w:hAnsi="Palatino Linotype"/>
          <w:sz w:val="24"/>
          <w:szCs w:val="24"/>
        </w:rPr>
      </w:pPr>
      <w:r>
        <w:rPr>
          <w:rFonts w:ascii="Palatino Linotype" w:hAnsi="Palatino Linotype"/>
          <w:sz w:val="24"/>
          <w:szCs w:val="24"/>
        </w:rPr>
        <w:t>2016 has been a year ‘packed with incident’</w:t>
      </w:r>
      <w:r>
        <w:rPr>
          <w:rStyle w:val="FootnoteReference"/>
          <w:rFonts w:ascii="Palatino Linotype" w:hAnsi="Palatino Linotype"/>
          <w:sz w:val="24"/>
          <w:szCs w:val="24"/>
        </w:rPr>
        <w:footnoteReference w:id="1"/>
      </w:r>
      <w:r>
        <w:rPr>
          <w:rFonts w:ascii="Palatino Linotype" w:hAnsi="Palatino Linotype"/>
          <w:sz w:val="24"/>
          <w:szCs w:val="24"/>
        </w:rPr>
        <w:t>.  Despite – or because of? –this, here at the IJCLE</w:t>
      </w:r>
      <w:r w:rsidR="00455473">
        <w:rPr>
          <w:rFonts w:ascii="Palatino Linotype" w:hAnsi="Palatino Linotype"/>
          <w:sz w:val="24"/>
          <w:szCs w:val="24"/>
        </w:rPr>
        <w:t xml:space="preserve"> we </w:t>
      </w:r>
      <w:r w:rsidR="008F18C1">
        <w:rPr>
          <w:rFonts w:ascii="Palatino Linotype" w:hAnsi="Palatino Linotype"/>
          <w:sz w:val="24"/>
          <w:szCs w:val="24"/>
        </w:rPr>
        <w:t xml:space="preserve">have an embarrassment of riches in clinical scholarship </w:t>
      </w:r>
      <w:r>
        <w:rPr>
          <w:rFonts w:ascii="Palatino Linotype" w:hAnsi="Palatino Linotype"/>
          <w:sz w:val="24"/>
          <w:szCs w:val="24"/>
        </w:rPr>
        <w:t xml:space="preserve">with </w:t>
      </w:r>
      <w:r w:rsidR="008F18C1">
        <w:rPr>
          <w:rFonts w:ascii="Palatino Linotype" w:hAnsi="Palatino Linotype"/>
          <w:sz w:val="24"/>
          <w:szCs w:val="24"/>
        </w:rPr>
        <w:t>so many papers that an extra, festive, edition was needed!</w:t>
      </w:r>
      <w:r w:rsidR="007758AC">
        <w:rPr>
          <w:rFonts w:ascii="Palatino Linotype" w:hAnsi="Palatino Linotype"/>
          <w:sz w:val="24"/>
          <w:szCs w:val="24"/>
        </w:rPr>
        <w:t xml:space="preserve">  We are hoping to continue this level of publication in 2017, so please keep your papers coming.</w:t>
      </w:r>
    </w:p>
    <w:p w:rsidR="006B5B37" w:rsidRDefault="00455473" w:rsidP="006F41BA">
      <w:pPr>
        <w:spacing w:line="480" w:lineRule="auto"/>
        <w:jc w:val="both"/>
        <w:rPr>
          <w:rFonts w:ascii="Palatino Linotype" w:hAnsi="Palatino Linotype"/>
          <w:sz w:val="24"/>
          <w:szCs w:val="24"/>
        </w:rPr>
      </w:pPr>
      <w:r>
        <w:rPr>
          <w:rFonts w:ascii="Palatino Linotype" w:hAnsi="Palatino Linotype"/>
          <w:sz w:val="24"/>
          <w:szCs w:val="24"/>
        </w:rPr>
        <w:t xml:space="preserve">We begin with </w:t>
      </w:r>
      <w:r w:rsidR="006B5B37">
        <w:rPr>
          <w:rFonts w:ascii="Palatino Linotype" w:hAnsi="Palatino Linotype"/>
          <w:sz w:val="24"/>
          <w:szCs w:val="24"/>
        </w:rPr>
        <w:t xml:space="preserve">a paper </w:t>
      </w:r>
      <w:r w:rsidR="008F18C1">
        <w:rPr>
          <w:rFonts w:ascii="Palatino Linotype" w:hAnsi="Palatino Linotype"/>
          <w:sz w:val="24"/>
          <w:szCs w:val="24"/>
        </w:rPr>
        <w:t xml:space="preserve">developed from the opening keynote speech at the IJCLE/ACCLE conference in Toronto last July.  Sarah Buhler’s rousing and inspiring perspective on </w:t>
      </w:r>
      <w:r w:rsidR="008F18C1" w:rsidRPr="008F18C1">
        <w:rPr>
          <w:rFonts w:ascii="Palatino Linotype" w:hAnsi="Palatino Linotype"/>
          <w:i/>
          <w:sz w:val="24"/>
          <w:szCs w:val="24"/>
        </w:rPr>
        <w:t>Clinical Legal Education in a Dangerous Time</w:t>
      </w:r>
      <w:r w:rsidR="008F18C1">
        <w:rPr>
          <w:rFonts w:ascii="Palatino Linotype" w:hAnsi="Palatino Linotype"/>
          <w:sz w:val="24"/>
          <w:szCs w:val="24"/>
        </w:rPr>
        <w:t xml:space="preserve"> </w:t>
      </w:r>
      <w:r w:rsidR="000F17C3">
        <w:rPr>
          <w:rFonts w:ascii="Palatino Linotype" w:hAnsi="Palatino Linotype"/>
          <w:sz w:val="24"/>
          <w:szCs w:val="24"/>
        </w:rPr>
        <w:t>has become, if anything, more relevant in the intervening months.</w:t>
      </w:r>
      <w:r w:rsidR="008F18C1">
        <w:rPr>
          <w:rFonts w:ascii="Palatino Linotype" w:hAnsi="Palatino Linotype"/>
          <w:sz w:val="24"/>
          <w:szCs w:val="24"/>
        </w:rPr>
        <w:t xml:space="preserve"> </w:t>
      </w:r>
    </w:p>
    <w:p w:rsidR="009C594A" w:rsidRDefault="007758AC" w:rsidP="006F41BA">
      <w:pPr>
        <w:spacing w:line="480" w:lineRule="auto"/>
        <w:jc w:val="both"/>
        <w:rPr>
          <w:rFonts w:ascii="Palatino Linotype" w:hAnsi="Palatino Linotype"/>
          <w:sz w:val="24"/>
          <w:szCs w:val="24"/>
        </w:rPr>
      </w:pPr>
      <w:r>
        <w:rPr>
          <w:rFonts w:ascii="Palatino Linotype" w:hAnsi="Palatino Linotype"/>
          <w:sz w:val="24"/>
          <w:szCs w:val="24"/>
        </w:rPr>
        <w:t xml:space="preserve">Typifying the clinician’s resilience in the face of challenging circumstances, the integrating theme of our papers and practice reports is innovation.  Les </w:t>
      </w:r>
      <w:proofErr w:type="spellStart"/>
      <w:r>
        <w:rPr>
          <w:rFonts w:ascii="Palatino Linotype" w:hAnsi="Palatino Linotype"/>
          <w:sz w:val="24"/>
          <w:szCs w:val="24"/>
        </w:rPr>
        <w:t>McCrimmon</w:t>
      </w:r>
      <w:proofErr w:type="spellEnd"/>
      <w:r>
        <w:rPr>
          <w:rFonts w:ascii="Palatino Linotype" w:hAnsi="Palatino Linotype"/>
          <w:sz w:val="24"/>
          <w:szCs w:val="24"/>
        </w:rPr>
        <w:t xml:space="preserve">, Ros Vickers and Ken Parish offer a dissection of the emerging field of online legal education, with an overview of the field and a case example from Australia that raise a number of important pedagogical and practical questions.  Online legal study may </w:t>
      </w:r>
      <w:r>
        <w:rPr>
          <w:rFonts w:ascii="Palatino Linotype" w:hAnsi="Palatino Linotype"/>
          <w:sz w:val="24"/>
          <w:szCs w:val="24"/>
        </w:rPr>
        <w:lastRenderedPageBreak/>
        <w:t>be in its’ infancy, however this paper challenges us all to consider how it could develop.</w:t>
      </w:r>
    </w:p>
    <w:p w:rsidR="009C594A" w:rsidRDefault="007758AC" w:rsidP="006F41BA">
      <w:pPr>
        <w:spacing w:line="480" w:lineRule="auto"/>
        <w:jc w:val="both"/>
        <w:rPr>
          <w:rFonts w:ascii="Palatino Linotype" w:hAnsi="Palatino Linotype"/>
          <w:sz w:val="24"/>
          <w:szCs w:val="24"/>
        </w:rPr>
      </w:pPr>
      <w:r>
        <w:rPr>
          <w:rFonts w:ascii="Palatino Linotype" w:hAnsi="Palatino Linotype"/>
          <w:sz w:val="24"/>
          <w:szCs w:val="24"/>
        </w:rPr>
        <w:t>David Collins, Eric Klotz and Ben Robinson add to our growing body of work on business clinics</w:t>
      </w:r>
      <w:r>
        <w:rPr>
          <w:rStyle w:val="FootnoteReference"/>
          <w:rFonts w:ascii="Palatino Linotype" w:hAnsi="Palatino Linotype"/>
          <w:sz w:val="24"/>
          <w:szCs w:val="24"/>
        </w:rPr>
        <w:footnoteReference w:id="2"/>
      </w:r>
      <w:r>
        <w:rPr>
          <w:rFonts w:ascii="Palatino Linotype" w:hAnsi="Palatino Linotype"/>
          <w:sz w:val="24"/>
          <w:szCs w:val="24"/>
        </w:rPr>
        <w:t xml:space="preserve"> with their analysis of the role of law clinics in supporting innovation through advice to commercial start-ups</w:t>
      </w:r>
      <w:r w:rsidR="00BA6880">
        <w:rPr>
          <w:rFonts w:ascii="Palatino Linotype" w:hAnsi="Palatino Linotype"/>
          <w:sz w:val="24"/>
          <w:szCs w:val="24"/>
        </w:rPr>
        <w:t>.  This paper contains a very useful analysis drawn from the wealth of data the clinic collected from their clients, a fantastically useful model for us all in building our empirical research base.</w:t>
      </w:r>
    </w:p>
    <w:p w:rsidR="009C594A" w:rsidRDefault="00BA6880" w:rsidP="00455473">
      <w:pPr>
        <w:spacing w:line="480" w:lineRule="auto"/>
        <w:jc w:val="both"/>
        <w:rPr>
          <w:rFonts w:ascii="Palatino Linotype" w:hAnsi="Palatino Linotype"/>
          <w:sz w:val="24"/>
          <w:szCs w:val="24"/>
        </w:rPr>
      </w:pPr>
      <w:r>
        <w:rPr>
          <w:rFonts w:ascii="Palatino Linotype" w:hAnsi="Palatino Linotype"/>
          <w:sz w:val="24"/>
          <w:szCs w:val="24"/>
        </w:rPr>
        <w:t>O</w:t>
      </w:r>
      <w:r w:rsidR="003A15CC">
        <w:rPr>
          <w:rFonts w:ascii="Palatino Linotype" w:hAnsi="Palatino Linotype"/>
          <w:sz w:val="24"/>
          <w:szCs w:val="24"/>
        </w:rPr>
        <w:t xml:space="preserve">ur Practice Report from </w:t>
      </w:r>
      <w:r>
        <w:rPr>
          <w:rFonts w:ascii="Palatino Linotype" w:hAnsi="Palatino Linotype"/>
          <w:sz w:val="24"/>
          <w:szCs w:val="24"/>
        </w:rPr>
        <w:t>Kenya highlights the limitations that clinics operate within, particularly in terms of their relationships with Universities and calls for new structures to support development.</w:t>
      </w:r>
    </w:p>
    <w:p w:rsidR="00BA6880" w:rsidRDefault="00BA6880" w:rsidP="00455473">
      <w:pPr>
        <w:spacing w:line="480" w:lineRule="auto"/>
        <w:jc w:val="both"/>
        <w:rPr>
          <w:rFonts w:ascii="Palatino Linotype" w:eastAsia="Times New Roman Bold" w:hAnsi="Palatino Linotype" w:cs="Times New Roman"/>
          <w:sz w:val="24"/>
          <w:szCs w:val="24"/>
        </w:rPr>
      </w:pPr>
    </w:p>
    <w:p w:rsidR="00674FFD" w:rsidRDefault="00674FFD" w:rsidP="00455473">
      <w:pPr>
        <w:spacing w:line="480" w:lineRule="auto"/>
        <w:jc w:val="both"/>
        <w:rPr>
          <w:rFonts w:ascii="Palatino Linotype" w:eastAsia="Times New Roman Bold" w:hAnsi="Palatino Linotype" w:cs="Times New Roman"/>
          <w:sz w:val="24"/>
          <w:szCs w:val="24"/>
        </w:rPr>
      </w:pPr>
      <w:bookmarkStart w:id="0" w:name="_GoBack"/>
      <w:bookmarkEnd w:id="0"/>
    </w:p>
    <w:p w:rsidR="00674FFD" w:rsidRDefault="00674FFD" w:rsidP="00455473">
      <w:pPr>
        <w:spacing w:line="480" w:lineRule="auto"/>
        <w:jc w:val="both"/>
        <w:rPr>
          <w:rFonts w:ascii="Palatino Linotype" w:eastAsia="Times New Roman Bold" w:hAnsi="Palatino Linotype" w:cs="Times New Roman"/>
          <w:sz w:val="24"/>
          <w:szCs w:val="24"/>
        </w:rPr>
      </w:pPr>
    </w:p>
    <w:p w:rsidR="00674FFD" w:rsidRDefault="00674FFD" w:rsidP="00455473">
      <w:pPr>
        <w:spacing w:line="480" w:lineRule="auto"/>
        <w:jc w:val="both"/>
        <w:rPr>
          <w:rFonts w:ascii="Palatino Linotype" w:eastAsia="Times New Roman Bold" w:hAnsi="Palatino Linotype" w:cs="Times New Roman"/>
          <w:sz w:val="24"/>
          <w:szCs w:val="24"/>
        </w:rPr>
      </w:pPr>
    </w:p>
    <w:p w:rsidR="00674FFD" w:rsidRDefault="00674FFD" w:rsidP="00455473">
      <w:pPr>
        <w:spacing w:line="480" w:lineRule="auto"/>
        <w:jc w:val="both"/>
        <w:rPr>
          <w:rFonts w:ascii="Palatino Linotype" w:eastAsia="Times New Roman Bold" w:hAnsi="Palatino Linotype" w:cs="Times New Roman"/>
          <w:sz w:val="24"/>
          <w:szCs w:val="24"/>
        </w:rPr>
      </w:pPr>
    </w:p>
    <w:p w:rsidR="00674FFD" w:rsidRDefault="00674FFD" w:rsidP="00455473">
      <w:pPr>
        <w:spacing w:line="480" w:lineRule="auto"/>
        <w:jc w:val="both"/>
        <w:rPr>
          <w:rFonts w:ascii="Palatino Linotype" w:eastAsia="Times New Roman Bold" w:hAnsi="Palatino Linotype" w:cs="Times New Roman"/>
          <w:sz w:val="24"/>
          <w:szCs w:val="24"/>
        </w:rPr>
      </w:pPr>
    </w:p>
    <w:p w:rsidR="005E528E" w:rsidRDefault="00654323" w:rsidP="00667BEA">
      <w:pPr>
        <w:spacing w:line="480" w:lineRule="auto"/>
        <w:jc w:val="both"/>
        <w:rPr>
          <w:rFonts w:ascii="Palatino Linotype" w:hAnsi="Palatino Linotype"/>
          <w:sz w:val="24"/>
          <w:szCs w:val="24"/>
        </w:rPr>
      </w:pPr>
      <w:r>
        <w:rPr>
          <w:rFonts w:ascii="Palatino Linotype" w:hAnsi="Palatino Linotype"/>
          <w:sz w:val="24"/>
          <w:szCs w:val="24"/>
        </w:rPr>
        <w:t>A</w:t>
      </w:r>
      <w:r w:rsidR="009C594A">
        <w:rPr>
          <w:rFonts w:ascii="Palatino Linotype" w:hAnsi="Palatino Linotype"/>
          <w:sz w:val="24"/>
          <w:szCs w:val="24"/>
        </w:rPr>
        <w:t xml:space="preserve"> reminder that thre</w:t>
      </w:r>
      <w:r>
        <w:rPr>
          <w:rFonts w:ascii="Palatino Linotype" w:hAnsi="Palatino Linotype"/>
          <w:sz w:val="24"/>
          <w:szCs w:val="24"/>
        </w:rPr>
        <w:t>e organisations are coming together for the 2017 conference.</w:t>
      </w:r>
      <w:r w:rsidR="006F41BA">
        <w:rPr>
          <w:rFonts w:ascii="Palatino Linotype" w:hAnsi="Palatino Linotype"/>
          <w:sz w:val="24"/>
          <w:szCs w:val="24"/>
        </w:rPr>
        <w:t xml:space="preserve"> </w:t>
      </w:r>
      <w:r w:rsidR="00455473">
        <w:rPr>
          <w:rFonts w:ascii="Palatino Linotype" w:hAnsi="Palatino Linotype"/>
          <w:sz w:val="24"/>
          <w:szCs w:val="24"/>
        </w:rPr>
        <w:t>We look forward to welcoming you to Newcastle!</w:t>
      </w:r>
    </w:p>
    <w:p w:rsidR="00455473" w:rsidRPr="0017254C" w:rsidRDefault="00455473" w:rsidP="00455473">
      <w:pPr>
        <w:jc w:val="center"/>
        <w:rPr>
          <w:rFonts w:ascii="Palatino Linotype" w:hAnsi="Palatino Linotype"/>
          <w:b/>
          <w:sz w:val="44"/>
        </w:rPr>
      </w:pPr>
      <w:r w:rsidRPr="0017254C">
        <w:rPr>
          <w:rFonts w:ascii="Palatino Linotype" w:hAnsi="Palatino Linotype"/>
          <w:b/>
          <w:sz w:val="44"/>
        </w:rPr>
        <w:t>IJCLE – ENCLE - CLEO</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The </w:t>
      </w:r>
      <w:r w:rsidRPr="0017254C">
        <w:rPr>
          <w:rFonts w:ascii="Palatino Linotype" w:hAnsi="Palatino Linotype"/>
          <w:b/>
          <w:i/>
          <w:sz w:val="32"/>
        </w:rPr>
        <w:t>International Journal of Clinical Legal Education</w:t>
      </w:r>
      <w:r w:rsidRPr="0017254C">
        <w:rPr>
          <w:rFonts w:ascii="Palatino Linotype" w:hAnsi="Palatino Linotype"/>
          <w:sz w:val="32"/>
        </w:rPr>
        <w:t xml:space="preserve">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in association with the </w:t>
      </w:r>
    </w:p>
    <w:p w:rsidR="00455473" w:rsidRPr="0017254C" w:rsidRDefault="00455473" w:rsidP="00455473">
      <w:pPr>
        <w:jc w:val="center"/>
        <w:rPr>
          <w:rFonts w:ascii="Palatino Linotype" w:hAnsi="Palatino Linotype"/>
          <w:b/>
          <w:i/>
          <w:sz w:val="32"/>
        </w:rPr>
      </w:pPr>
      <w:r w:rsidRPr="0017254C">
        <w:rPr>
          <w:rFonts w:ascii="Palatino Linotype" w:hAnsi="Palatino Linotype"/>
          <w:b/>
          <w:i/>
          <w:sz w:val="32"/>
        </w:rPr>
        <w:t xml:space="preserve">European Network for Clinical Legal Education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t xml:space="preserve">and the </w:t>
      </w:r>
    </w:p>
    <w:p w:rsidR="00455473" w:rsidRPr="0017254C" w:rsidRDefault="00455473" w:rsidP="00455473">
      <w:pPr>
        <w:jc w:val="center"/>
        <w:rPr>
          <w:rFonts w:ascii="Palatino Linotype" w:hAnsi="Palatino Linotype"/>
          <w:sz w:val="32"/>
        </w:rPr>
      </w:pPr>
      <w:r w:rsidRPr="0017254C">
        <w:rPr>
          <w:rFonts w:ascii="Palatino Linotype" w:hAnsi="Palatino Linotype"/>
          <w:sz w:val="32"/>
        </w:rPr>
        <w:lastRenderedPageBreak/>
        <w:t xml:space="preserve">United Kingdom </w:t>
      </w:r>
      <w:r w:rsidRPr="0017254C">
        <w:rPr>
          <w:rFonts w:ascii="Palatino Linotype" w:hAnsi="Palatino Linotype"/>
          <w:b/>
          <w:i/>
          <w:sz w:val="32"/>
        </w:rPr>
        <w:t>Clinical Legal Education Organisation</w:t>
      </w:r>
      <w:r w:rsidRPr="0017254C">
        <w:rPr>
          <w:rFonts w:ascii="Palatino Linotype" w:hAnsi="Palatino Linotype"/>
          <w:sz w:val="32"/>
        </w:rPr>
        <w:t xml:space="preserve"> </w:t>
      </w:r>
    </w:p>
    <w:p w:rsidR="00455473" w:rsidRPr="0017254C" w:rsidRDefault="00455473" w:rsidP="00455473">
      <w:pPr>
        <w:jc w:val="center"/>
        <w:rPr>
          <w:rFonts w:ascii="Palatino Linotype" w:hAnsi="Palatino Linotype"/>
          <w:b/>
          <w:sz w:val="44"/>
        </w:rPr>
      </w:pPr>
      <w:r w:rsidRPr="0017254C">
        <w:rPr>
          <w:rFonts w:ascii="Palatino Linotype" w:hAnsi="Palatino Linotype"/>
          <w:b/>
          <w:sz w:val="44"/>
        </w:rPr>
        <w:t>CONFERENCE 3-5 JULY 2017</w:t>
      </w:r>
    </w:p>
    <w:p w:rsidR="00455473" w:rsidRPr="0017254C" w:rsidRDefault="00455473" w:rsidP="00455473">
      <w:pPr>
        <w:jc w:val="center"/>
        <w:rPr>
          <w:rFonts w:ascii="Palatino Linotype" w:hAnsi="Palatino Linotype"/>
          <w:sz w:val="28"/>
        </w:rPr>
      </w:pPr>
      <w:r w:rsidRPr="0017254C">
        <w:rPr>
          <w:rFonts w:ascii="Palatino Linotype" w:hAnsi="Palatino Linotype"/>
          <w:sz w:val="28"/>
        </w:rPr>
        <w:t>at the University of Northumbria, Newcastle upon Tyne, UK</w:t>
      </w:r>
    </w:p>
    <w:p w:rsidR="00455473" w:rsidRPr="0017254C" w:rsidRDefault="00455473" w:rsidP="00455473">
      <w:pPr>
        <w:rPr>
          <w:rFonts w:ascii="Palatino Linotype" w:hAnsi="Palatino Linotype"/>
          <w:sz w:val="18"/>
        </w:rPr>
      </w:pPr>
    </w:p>
    <w:p w:rsidR="00455473" w:rsidRPr="0017254C" w:rsidRDefault="00455473" w:rsidP="00455473">
      <w:pPr>
        <w:jc w:val="center"/>
        <w:rPr>
          <w:rFonts w:ascii="Palatino Linotype" w:hAnsi="Palatino Linotype"/>
          <w:b/>
          <w:i/>
          <w:sz w:val="32"/>
        </w:rPr>
      </w:pPr>
      <w:r w:rsidRPr="0017254C">
        <w:rPr>
          <w:rFonts w:ascii="Palatino Linotype" w:hAnsi="Palatino Linotype"/>
          <w:b/>
          <w:i/>
          <w:sz w:val="32"/>
        </w:rPr>
        <w:t>“Bringing It All Together: Clinical Legal Educators in the 21st Century University”</w:t>
      </w:r>
    </w:p>
    <w:p w:rsidR="00455473" w:rsidRDefault="00455473" w:rsidP="00455473">
      <w:pPr>
        <w:jc w:val="center"/>
      </w:pPr>
      <w:r>
        <w:rPr>
          <w:noProof/>
          <w:lang w:eastAsia="zh-CN"/>
        </w:rPr>
        <w:drawing>
          <wp:inline distT="0" distB="0" distL="0" distR="0" wp14:anchorId="4A4D6667" wp14:editId="165E4CD8">
            <wp:extent cx="4647565" cy="2691319"/>
            <wp:effectExtent l="0" t="0" r="0" b="0"/>
            <wp:docPr id="1" name="Picture 1" descr="cid:image001.png@01D22E00.BE28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1.png@01D22E00.BE2837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85379" cy="2713217"/>
                    </a:xfrm>
                    <a:prstGeom prst="rect">
                      <a:avLst/>
                    </a:prstGeom>
                    <a:noFill/>
                    <a:ln>
                      <a:noFill/>
                    </a:ln>
                  </pic:spPr>
                </pic:pic>
              </a:graphicData>
            </a:graphic>
          </wp:inline>
        </w:drawing>
      </w:r>
    </w:p>
    <w:p w:rsidR="00455473" w:rsidRDefault="00455473" w:rsidP="00455473"/>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Clinicians wear many hats: teacher, group facilitator, project manager, lawyer, researcher, mentor, activist, administrator, supervisor, academic, fund raiser, practice manager, collaborator, role model, counsellor…</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This year’s conference continues our exploration of the key, often overlapping, issues arising for clinical legal education in the 21</w:t>
      </w:r>
      <w:r w:rsidRPr="0017254C">
        <w:rPr>
          <w:rFonts w:ascii="Palatino Linotype" w:hAnsi="Palatino Linotype"/>
          <w:vertAlign w:val="superscript"/>
        </w:rPr>
        <w:t>st</w:t>
      </w:r>
      <w:r w:rsidRPr="0017254C">
        <w:rPr>
          <w:rFonts w:ascii="Palatino Linotype" w:hAnsi="Palatino Linotype"/>
        </w:rPr>
        <w:t xml:space="preserve"> century from the clinician’s perspective; juggling sometimes competing priorities and often making difficult choices.  Papers are invited which consider one or more of these </w:t>
      </w:r>
      <w:proofErr w:type="gramStart"/>
      <w:r w:rsidRPr="0017254C">
        <w:rPr>
          <w:rFonts w:ascii="Palatino Linotype" w:hAnsi="Palatino Linotype"/>
        </w:rPr>
        <w:t>themes  below</w:t>
      </w:r>
      <w:proofErr w:type="gramEnd"/>
      <w:r w:rsidRPr="0017254C">
        <w:rPr>
          <w:rFonts w:ascii="Palatino Linotype" w:hAnsi="Palatino Linotype"/>
        </w:rPr>
        <w:t xml:space="preserve">  while still encouraging participants to locate their papers either mainly in one of those areas or by exploring the overlaps. </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Themes:</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community needs</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research into the impact of clinic</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academic identity</w:t>
      </w:r>
    </w:p>
    <w:p w:rsidR="00455473" w:rsidRPr="0017254C" w:rsidRDefault="00455473" w:rsidP="0017254C">
      <w:pPr>
        <w:pStyle w:val="ListParagraph"/>
        <w:numPr>
          <w:ilvl w:val="0"/>
          <w:numId w:val="3"/>
        </w:numPr>
        <w:spacing w:line="480" w:lineRule="auto"/>
        <w:jc w:val="both"/>
        <w:rPr>
          <w:rFonts w:ascii="Palatino Linotype" w:hAnsi="Palatino Linotype"/>
        </w:rPr>
      </w:pPr>
      <w:r w:rsidRPr="0017254C">
        <w:rPr>
          <w:rFonts w:ascii="Palatino Linotype" w:hAnsi="Palatino Linotype"/>
        </w:rPr>
        <w:t>The clinician and curriculum and student learning</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In particular, we would like to encourage participants to include student and other partners’ voices in their presentations, ideally through collaborative writing and presentation in person or through video calling or recordings.</w:t>
      </w:r>
    </w:p>
    <w:p w:rsidR="00455473" w:rsidRPr="0017254C" w:rsidRDefault="00455473" w:rsidP="0017254C">
      <w:pPr>
        <w:spacing w:line="480" w:lineRule="auto"/>
        <w:jc w:val="both"/>
        <w:rPr>
          <w:rFonts w:ascii="Palatino Linotype" w:hAnsi="Palatino Linotype"/>
          <w:b/>
        </w:rPr>
      </w:pPr>
    </w:p>
    <w:p w:rsidR="00455473" w:rsidRPr="0017254C" w:rsidRDefault="00455473" w:rsidP="0017254C">
      <w:pPr>
        <w:spacing w:line="480" w:lineRule="auto"/>
        <w:jc w:val="both"/>
        <w:rPr>
          <w:rFonts w:ascii="Palatino Linotype" w:hAnsi="Palatino Linotype"/>
          <w:b/>
        </w:rPr>
      </w:pPr>
      <w:r w:rsidRPr="0017254C">
        <w:rPr>
          <w:rFonts w:ascii="Palatino Linotype" w:hAnsi="Palatino Linotype"/>
          <w:b/>
        </w:rPr>
        <w:t>Taking part</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 xml:space="preserve">Presentations at IJCLE/ENCLE/CLEO can take one of three formats, each with its own structured proposal application form: </w:t>
      </w:r>
    </w:p>
    <w:p w:rsidR="00455473" w:rsidRPr="0017254C" w:rsidRDefault="00455473" w:rsidP="0017254C">
      <w:pPr>
        <w:pStyle w:val="ListParagraph"/>
        <w:numPr>
          <w:ilvl w:val="0"/>
          <w:numId w:val="2"/>
        </w:numPr>
        <w:spacing w:line="480" w:lineRule="auto"/>
        <w:jc w:val="both"/>
        <w:rPr>
          <w:rFonts w:ascii="Palatino Linotype" w:hAnsi="Palatino Linotype"/>
        </w:rPr>
      </w:pPr>
      <w:r w:rsidRPr="0017254C">
        <w:rPr>
          <w:rFonts w:ascii="Palatino Linotype" w:hAnsi="Palatino Linotype"/>
        </w:rPr>
        <w:t>Paper presentation</w:t>
      </w:r>
    </w:p>
    <w:p w:rsidR="00455473" w:rsidRPr="0017254C" w:rsidRDefault="00455473" w:rsidP="0017254C">
      <w:pPr>
        <w:pStyle w:val="ListParagraph"/>
        <w:numPr>
          <w:ilvl w:val="1"/>
          <w:numId w:val="2"/>
        </w:numPr>
        <w:spacing w:line="480" w:lineRule="auto"/>
        <w:jc w:val="both"/>
        <w:rPr>
          <w:rFonts w:ascii="Palatino Linotype" w:hAnsi="Palatino Linotype"/>
        </w:rPr>
      </w:pPr>
      <w:r w:rsidRPr="0017254C">
        <w:rPr>
          <w:rFonts w:ascii="Palatino Linotype" w:hAnsi="Palatino Linotype"/>
        </w:rPr>
        <w:t xml:space="preserve">These will be in traditional conference paper format, with a </w:t>
      </w:r>
      <w:proofErr w:type="gramStart"/>
      <w:r w:rsidRPr="0017254C">
        <w:rPr>
          <w:rFonts w:ascii="Palatino Linotype" w:hAnsi="Palatino Linotype"/>
        </w:rPr>
        <w:t>twenty minute</w:t>
      </w:r>
      <w:proofErr w:type="gramEnd"/>
      <w:r w:rsidRPr="0017254C">
        <w:rPr>
          <w:rFonts w:ascii="Palatino Linotype" w:hAnsi="Palatino Linotype"/>
        </w:rPr>
        <w:t xml:space="preserve"> presentation followed by questions.  Participants will be invited to indicate if their paper falls into one or more of the four areas: Community Need; Curriculum and Students; Academic Identity; Research and Impact.</w:t>
      </w:r>
    </w:p>
    <w:p w:rsidR="00455473" w:rsidRPr="0017254C" w:rsidRDefault="00455473" w:rsidP="0017254C">
      <w:pPr>
        <w:pStyle w:val="ListParagraph"/>
        <w:numPr>
          <w:ilvl w:val="0"/>
          <w:numId w:val="2"/>
        </w:numPr>
        <w:spacing w:line="480" w:lineRule="auto"/>
        <w:jc w:val="both"/>
        <w:rPr>
          <w:rFonts w:ascii="Palatino Linotype" w:hAnsi="Palatino Linotype"/>
        </w:rPr>
      </w:pPr>
      <w:r w:rsidRPr="0017254C">
        <w:rPr>
          <w:rFonts w:ascii="Palatino Linotype" w:hAnsi="Palatino Linotype"/>
        </w:rPr>
        <w:t>Interactive seminar</w:t>
      </w:r>
    </w:p>
    <w:p w:rsidR="00455473" w:rsidRPr="0017254C" w:rsidRDefault="00455473" w:rsidP="0017254C">
      <w:pPr>
        <w:pStyle w:val="ListParagraph"/>
        <w:numPr>
          <w:ilvl w:val="1"/>
          <w:numId w:val="2"/>
        </w:numPr>
        <w:spacing w:line="480" w:lineRule="auto"/>
        <w:jc w:val="both"/>
        <w:rPr>
          <w:rFonts w:ascii="Palatino Linotype" w:hAnsi="Palatino Linotype"/>
        </w:rPr>
      </w:pPr>
      <w:r w:rsidRPr="0017254C">
        <w:rPr>
          <w:rFonts w:ascii="Palatino Linotype" w:hAnsi="Palatino Linotype"/>
        </w:rPr>
        <w:t xml:space="preserve">These sessions will be 90 minutes long, will involve active participation from the audience as well as input from the presenters and will be designed to generate discussion and new learning for the participants </w:t>
      </w:r>
      <w:r w:rsidRPr="0017254C">
        <w:rPr>
          <w:rFonts w:ascii="Palatino Linotype" w:hAnsi="Palatino Linotype"/>
          <w:b/>
          <w:i/>
        </w:rPr>
        <w:t>and</w:t>
      </w:r>
      <w:r w:rsidRPr="0017254C">
        <w:rPr>
          <w:rFonts w:ascii="Palatino Linotype" w:hAnsi="Palatino Linotype"/>
        </w:rPr>
        <w:t xml:space="preserve"> the convenors. Participants will be invited to indicate if their seminar falls into one or more of the four areas: Community Need; Curriculum and Students; Academic Identity; Research and Impact.</w:t>
      </w:r>
    </w:p>
    <w:p w:rsidR="00455473" w:rsidRPr="0017254C" w:rsidRDefault="00455473" w:rsidP="0017254C">
      <w:pPr>
        <w:pStyle w:val="ListParagraph"/>
        <w:numPr>
          <w:ilvl w:val="0"/>
          <w:numId w:val="2"/>
        </w:numPr>
        <w:spacing w:line="480" w:lineRule="auto"/>
        <w:jc w:val="both"/>
        <w:rPr>
          <w:rFonts w:ascii="Palatino Linotype" w:hAnsi="Palatino Linotype"/>
        </w:rPr>
      </w:pPr>
      <w:proofErr w:type="spellStart"/>
      <w:r w:rsidRPr="0017254C">
        <w:rPr>
          <w:rFonts w:ascii="Palatino Linotype" w:hAnsi="Palatino Linotype"/>
        </w:rPr>
        <w:t>PechaKucha</w:t>
      </w:r>
      <w:proofErr w:type="spellEnd"/>
    </w:p>
    <w:p w:rsidR="00455473" w:rsidRPr="0017254C" w:rsidRDefault="00455473" w:rsidP="0017254C">
      <w:pPr>
        <w:pStyle w:val="ListParagraph"/>
        <w:numPr>
          <w:ilvl w:val="1"/>
          <w:numId w:val="2"/>
        </w:numPr>
        <w:spacing w:line="480" w:lineRule="auto"/>
        <w:ind w:left="1434" w:hanging="357"/>
        <w:jc w:val="both"/>
        <w:rPr>
          <w:rFonts w:ascii="Palatino Linotype" w:hAnsi="Palatino Linotype"/>
        </w:rPr>
      </w:pPr>
      <w:r w:rsidRPr="0017254C">
        <w:rPr>
          <w:rFonts w:ascii="Palatino Linotype" w:hAnsi="Palatino Linotype"/>
        </w:rPr>
        <w:t xml:space="preserve">A </w:t>
      </w:r>
      <w:proofErr w:type="spellStart"/>
      <w:r w:rsidRPr="0017254C">
        <w:rPr>
          <w:rFonts w:ascii="Palatino Linotype" w:hAnsi="Palatino Linotype"/>
        </w:rPr>
        <w:t>PechaKucha</w:t>
      </w:r>
      <w:proofErr w:type="spellEnd"/>
      <w:r w:rsidRPr="0017254C">
        <w:rPr>
          <w:rFonts w:ascii="Palatino Linotype" w:hAnsi="Palatino Linotype"/>
        </w:rPr>
        <w:t xml:space="preserve"> consists of 20 slides timed to change every 20 seconds, so each presentation lasts 6 minutes and 40 seconds.  Each presenter in </w:t>
      </w:r>
      <w:proofErr w:type="spellStart"/>
      <w:r w:rsidRPr="0017254C">
        <w:rPr>
          <w:rFonts w:ascii="Palatino Linotype" w:hAnsi="Palatino Linotype"/>
        </w:rPr>
        <w:t>PechaKucha</w:t>
      </w:r>
      <w:proofErr w:type="spellEnd"/>
      <w:r w:rsidRPr="0017254C">
        <w:rPr>
          <w:rFonts w:ascii="Palatino Linotype" w:hAnsi="Palatino Linotype"/>
        </w:rPr>
        <w:t xml:space="preserve"> session will be assigned a </w:t>
      </w:r>
      <w:proofErr w:type="gramStart"/>
      <w:r w:rsidRPr="0017254C">
        <w:rPr>
          <w:rFonts w:ascii="Palatino Linotype" w:hAnsi="Palatino Linotype"/>
        </w:rPr>
        <w:t>10 minute</w:t>
      </w:r>
      <w:proofErr w:type="gramEnd"/>
      <w:r w:rsidRPr="0017254C">
        <w:rPr>
          <w:rFonts w:ascii="Palatino Linotype" w:hAnsi="Palatino Linotype"/>
        </w:rPr>
        <w:t xml:space="preserve"> slot to allow for a question to be posed.  We anticipate that </w:t>
      </w:r>
      <w:proofErr w:type="spellStart"/>
      <w:r w:rsidRPr="0017254C">
        <w:rPr>
          <w:rFonts w:ascii="Palatino Linotype" w:hAnsi="Palatino Linotype"/>
        </w:rPr>
        <w:t>PechaKuchas</w:t>
      </w:r>
      <w:proofErr w:type="spellEnd"/>
      <w:r w:rsidRPr="0017254C">
        <w:rPr>
          <w:rFonts w:ascii="Palatino Linotype" w:hAnsi="Palatino Linotype"/>
        </w:rPr>
        <w:t xml:space="preserve"> will consist of short introductions to new work, methodological innovations or insights from the field.  Please follow </w:t>
      </w:r>
      <w:hyperlink r:id="rId11" w:history="1">
        <w:r w:rsidRPr="0017254C">
          <w:rPr>
            <w:rStyle w:val="Hyperlink"/>
            <w:rFonts w:ascii="Palatino Linotype" w:hAnsi="Palatino Linotype"/>
          </w:rPr>
          <w:t>this link</w:t>
        </w:r>
      </w:hyperlink>
      <w:r w:rsidRPr="0017254C">
        <w:rPr>
          <w:rFonts w:ascii="Palatino Linotype" w:hAnsi="Palatino Linotype"/>
        </w:rPr>
        <w:t xml:space="preserve"> to learn more.  Participants are encouraged to offer </w:t>
      </w:r>
      <w:proofErr w:type="spellStart"/>
      <w:r w:rsidRPr="0017254C">
        <w:rPr>
          <w:rFonts w:ascii="Palatino Linotype" w:hAnsi="Palatino Linotype"/>
        </w:rPr>
        <w:t>PechaKuchas</w:t>
      </w:r>
      <w:proofErr w:type="spellEnd"/>
      <w:r w:rsidRPr="0017254C">
        <w:rPr>
          <w:rFonts w:ascii="Palatino Linotype" w:hAnsi="Palatino Linotype"/>
        </w:rPr>
        <w:t xml:space="preserve"> in addition to traditional papers.</w:t>
      </w:r>
    </w:p>
    <w:p w:rsidR="0017254C" w:rsidRDefault="0017254C" w:rsidP="0017254C">
      <w:pPr>
        <w:spacing w:line="480" w:lineRule="auto"/>
        <w:jc w:val="both"/>
        <w:rPr>
          <w:rFonts w:ascii="Palatino Linotype" w:hAnsi="Palatino Linotype"/>
          <w:b/>
        </w:rPr>
      </w:pPr>
    </w:p>
    <w:p w:rsidR="0017254C" w:rsidRDefault="0017254C" w:rsidP="0017254C">
      <w:pPr>
        <w:spacing w:line="480" w:lineRule="auto"/>
        <w:jc w:val="both"/>
        <w:rPr>
          <w:rFonts w:ascii="Palatino Linotype" w:hAnsi="Palatino Linotype"/>
          <w:b/>
        </w:rPr>
      </w:pPr>
    </w:p>
    <w:p w:rsidR="0017254C" w:rsidRDefault="0017254C" w:rsidP="0017254C">
      <w:pPr>
        <w:spacing w:line="480" w:lineRule="auto"/>
        <w:jc w:val="both"/>
        <w:rPr>
          <w:rFonts w:ascii="Palatino Linotype" w:hAnsi="Palatino Linotype"/>
          <w:b/>
        </w:rPr>
      </w:pPr>
    </w:p>
    <w:p w:rsidR="00455473" w:rsidRPr="0017254C" w:rsidRDefault="00455473" w:rsidP="0017254C">
      <w:pPr>
        <w:spacing w:line="480" w:lineRule="auto"/>
        <w:jc w:val="both"/>
        <w:rPr>
          <w:rFonts w:ascii="Palatino Linotype" w:hAnsi="Palatino Linotype"/>
          <w:b/>
        </w:rPr>
      </w:pPr>
      <w:r w:rsidRPr="0017254C">
        <w:rPr>
          <w:rFonts w:ascii="Palatino Linotype" w:hAnsi="Palatino Linotype"/>
          <w:b/>
        </w:rPr>
        <w:t>Key Dates</w:t>
      </w:r>
    </w:p>
    <w:p w:rsidR="00455473" w:rsidRPr="0017254C" w:rsidRDefault="00455473" w:rsidP="0017254C">
      <w:pPr>
        <w:spacing w:line="480" w:lineRule="auto"/>
        <w:ind w:left="720" w:hanging="720"/>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Call for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opens – November 21, 2016.  Please follow </w:t>
      </w:r>
      <w:hyperlink r:id="rId12" w:history="1">
        <w:r w:rsidRPr="0017254C">
          <w:rPr>
            <w:rStyle w:val="Hyperlink"/>
            <w:rFonts w:ascii="Palatino Linotype" w:hAnsi="Palatino Linotype"/>
          </w:rPr>
          <w:t>this link</w:t>
        </w:r>
      </w:hyperlink>
      <w:r w:rsidRPr="0017254C">
        <w:rPr>
          <w:rFonts w:ascii="Palatino Linotype" w:hAnsi="Palatino Linotype"/>
        </w:rPr>
        <w:t xml:space="preserve"> to submit and learn more.</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Call for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w:t>
      </w:r>
      <w:r w:rsidRPr="0017254C">
        <w:rPr>
          <w:rFonts w:ascii="Palatino Linotype" w:hAnsi="Palatino Linotype"/>
          <w:b/>
        </w:rPr>
        <w:t>closes</w:t>
      </w:r>
      <w:r w:rsidRPr="0017254C">
        <w:rPr>
          <w:rFonts w:ascii="Palatino Linotype" w:hAnsi="Palatino Linotype"/>
        </w:rPr>
        <w:t xml:space="preserve"> – January 31, 2017</w:t>
      </w:r>
    </w:p>
    <w:p w:rsidR="00455473" w:rsidRPr="0017254C" w:rsidRDefault="00455473" w:rsidP="0017254C">
      <w:pPr>
        <w:spacing w:line="480" w:lineRule="auto"/>
        <w:ind w:left="720" w:hanging="720"/>
        <w:jc w:val="both"/>
        <w:rPr>
          <w:rFonts w:ascii="Palatino Linotype" w:hAnsi="Palatino Linotype"/>
        </w:rPr>
      </w:pPr>
      <w:r w:rsidRPr="0017254C">
        <w:rPr>
          <w:rFonts w:ascii="Palatino Linotype" w:hAnsi="Palatino Linotype"/>
        </w:rPr>
        <w:t>•</w:t>
      </w:r>
      <w:r w:rsidRPr="0017254C">
        <w:rPr>
          <w:rFonts w:ascii="Palatino Linotype" w:hAnsi="Palatino Linotype"/>
        </w:rPr>
        <w:tab/>
        <w:t xml:space="preserve">Confirmation of papers, seminars and </w:t>
      </w:r>
      <w:proofErr w:type="spellStart"/>
      <w:r w:rsidRPr="0017254C">
        <w:rPr>
          <w:rFonts w:ascii="Palatino Linotype" w:hAnsi="Palatino Linotype"/>
        </w:rPr>
        <w:t>PechaKucha</w:t>
      </w:r>
      <w:proofErr w:type="spellEnd"/>
      <w:r w:rsidRPr="0017254C">
        <w:rPr>
          <w:rFonts w:ascii="Palatino Linotype" w:hAnsi="Palatino Linotype"/>
        </w:rPr>
        <w:t xml:space="preserve"> accepted for the conference – rolling through December and no later than February 10,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Registration opens – January 16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Early-bird registration closes – March 3, 2017</w:t>
      </w:r>
    </w:p>
    <w:p w:rsidR="00455473" w:rsidRPr="0017254C" w:rsidRDefault="00455473" w:rsidP="0017254C">
      <w:pPr>
        <w:spacing w:line="480" w:lineRule="auto"/>
        <w:jc w:val="both"/>
        <w:rPr>
          <w:rFonts w:ascii="Palatino Linotype" w:hAnsi="Palatino Linotype"/>
        </w:rPr>
      </w:pPr>
      <w:r w:rsidRPr="0017254C">
        <w:rPr>
          <w:rFonts w:ascii="Palatino Linotype" w:hAnsi="Palatino Linotype"/>
        </w:rPr>
        <w:t>•</w:t>
      </w:r>
      <w:r w:rsidRPr="0017254C">
        <w:rPr>
          <w:rFonts w:ascii="Palatino Linotype" w:hAnsi="Palatino Linotype"/>
        </w:rPr>
        <w:tab/>
        <w:t>Registration closes – June 2, 2017</w:t>
      </w:r>
    </w:p>
    <w:p w:rsidR="00455473" w:rsidRDefault="00455473" w:rsidP="0017254C">
      <w:pPr>
        <w:spacing w:line="480" w:lineRule="auto"/>
      </w:pPr>
      <w:r w:rsidRPr="0017254C">
        <w:rPr>
          <w:rFonts w:ascii="Palatino Linotype" w:hAnsi="Palatino Linotype"/>
        </w:rPr>
        <w:t>•</w:t>
      </w:r>
      <w:r w:rsidRPr="0017254C">
        <w:rPr>
          <w:rFonts w:ascii="Palatino Linotype" w:hAnsi="Palatino Linotype"/>
        </w:rPr>
        <w:tab/>
        <w:t>Deadline for submission of papers and outlines to website. – June 9, 2017</w:t>
      </w:r>
    </w:p>
    <w:p w:rsidR="00455473" w:rsidRDefault="00455473" w:rsidP="00667BEA">
      <w:pPr>
        <w:spacing w:line="480" w:lineRule="auto"/>
        <w:jc w:val="both"/>
      </w:pPr>
    </w:p>
    <w:sectPr w:rsidR="00455473">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BA" w:rsidRDefault="006F41BA" w:rsidP="006F41BA">
      <w:pPr>
        <w:spacing w:after="0" w:line="240" w:lineRule="auto"/>
      </w:pPr>
      <w:r>
        <w:separator/>
      </w:r>
    </w:p>
  </w:endnote>
  <w:endnote w:type="continuationSeparator" w:id="0">
    <w:p w:rsidR="006F41BA" w:rsidRDefault="006F41BA" w:rsidP="006F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New Roman Bold">
    <w:panose1 w:val="02020803070505020304"/>
    <w:charset w:val="00"/>
    <w:family w:val="roman"/>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19621"/>
      <w:docPartObj>
        <w:docPartGallery w:val="Page Numbers (Bottom of Page)"/>
        <w:docPartUnique/>
      </w:docPartObj>
    </w:sdtPr>
    <w:sdtEndPr>
      <w:rPr>
        <w:noProof/>
      </w:rPr>
    </w:sdtEndPr>
    <w:sdtContent>
      <w:p w:rsidR="00674FFD" w:rsidRDefault="00674FF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674FFD" w:rsidRDefault="00674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BA" w:rsidRDefault="006F41BA" w:rsidP="006F41BA">
      <w:pPr>
        <w:spacing w:after="0" w:line="240" w:lineRule="auto"/>
      </w:pPr>
      <w:r>
        <w:separator/>
      </w:r>
    </w:p>
  </w:footnote>
  <w:footnote w:type="continuationSeparator" w:id="0">
    <w:p w:rsidR="006F41BA" w:rsidRDefault="006F41BA" w:rsidP="006F41BA">
      <w:pPr>
        <w:spacing w:after="0" w:line="240" w:lineRule="auto"/>
      </w:pPr>
      <w:r>
        <w:continuationSeparator/>
      </w:r>
    </w:p>
  </w:footnote>
  <w:footnote w:id="1">
    <w:p w:rsidR="00666FF5" w:rsidRPr="00BA6880" w:rsidRDefault="00666FF5">
      <w:pPr>
        <w:pStyle w:val="FootnoteText"/>
        <w:rPr>
          <w:rFonts w:ascii="Palatino Linotype" w:hAnsi="Palatino Linotype"/>
        </w:rPr>
      </w:pPr>
      <w:r w:rsidRPr="00BA6880">
        <w:rPr>
          <w:rStyle w:val="FootnoteReference"/>
          <w:rFonts w:ascii="Palatino Linotype" w:hAnsi="Palatino Linotype"/>
        </w:rPr>
        <w:footnoteRef/>
      </w:r>
      <w:r w:rsidRPr="00BA6880">
        <w:rPr>
          <w:rFonts w:ascii="Palatino Linotype" w:hAnsi="Palatino Linotype"/>
        </w:rPr>
        <w:t xml:space="preserve"> A staggering understatement, but it was that or a very long rant.</w:t>
      </w:r>
    </w:p>
  </w:footnote>
  <w:footnote w:id="2">
    <w:p w:rsidR="007758AC" w:rsidRPr="00BA6880" w:rsidRDefault="007758AC">
      <w:pPr>
        <w:pStyle w:val="FootnoteText"/>
        <w:rPr>
          <w:rFonts w:ascii="Palatino Linotype" w:hAnsi="Palatino Linotype"/>
        </w:rPr>
      </w:pPr>
      <w:r w:rsidRPr="00BA6880">
        <w:rPr>
          <w:rStyle w:val="FootnoteReference"/>
          <w:rFonts w:ascii="Palatino Linotype" w:hAnsi="Palatino Linotype"/>
        </w:rPr>
        <w:footnoteRef/>
      </w:r>
      <w:r w:rsidRPr="00BA6880">
        <w:rPr>
          <w:rFonts w:ascii="Palatino Linotype" w:hAnsi="Palatino Linotype"/>
        </w:rPr>
        <w:t xml:space="preserve"> </w:t>
      </w:r>
      <w:r w:rsidR="00BA6880" w:rsidRPr="00BA6880">
        <w:rPr>
          <w:rFonts w:ascii="Palatino Linotype" w:hAnsi="Palatino Linotype"/>
        </w:rPr>
        <w:t>For example, Campbell, Elaine (2016) Recognizing the Social and Economic Value of Transactional Law Clinics: A View from the United Kingdom. Journal of Legal Education, 65 (3). pp. 580-596.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FD" w:rsidRDefault="00674FFD">
    <w:pPr>
      <w:pStyle w:val="Header"/>
      <w:jc w:val="center"/>
    </w:pPr>
  </w:p>
  <w:p w:rsidR="00674FFD" w:rsidRDefault="00674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84EDF"/>
    <w:multiLevelType w:val="hybridMultilevel"/>
    <w:tmpl w:val="1DBC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4C47C9"/>
    <w:multiLevelType w:val="hybridMultilevel"/>
    <w:tmpl w:val="69C8965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698A11A3"/>
    <w:multiLevelType w:val="hybridMultilevel"/>
    <w:tmpl w:val="9552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BA"/>
    <w:rsid w:val="00035317"/>
    <w:rsid w:val="000F17C3"/>
    <w:rsid w:val="0017254C"/>
    <w:rsid w:val="003A15CC"/>
    <w:rsid w:val="00455473"/>
    <w:rsid w:val="005E528E"/>
    <w:rsid w:val="00654323"/>
    <w:rsid w:val="00666FF5"/>
    <w:rsid w:val="00667BEA"/>
    <w:rsid w:val="00674FFD"/>
    <w:rsid w:val="006B5B37"/>
    <w:rsid w:val="006F41BA"/>
    <w:rsid w:val="00747FF6"/>
    <w:rsid w:val="007758AC"/>
    <w:rsid w:val="008F18C1"/>
    <w:rsid w:val="009C594A"/>
    <w:rsid w:val="00A74F9C"/>
    <w:rsid w:val="00BA6880"/>
    <w:rsid w:val="00E478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638B"/>
  <w15:chartTrackingRefBased/>
  <w15:docId w15:val="{803B5EE6-D5E6-40E1-A3F6-8C5C674F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1BA"/>
    <w:pPr>
      <w:spacing w:after="200" w:line="276" w:lineRule="auto"/>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1BA"/>
    <w:rPr>
      <w:color w:val="0563C1" w:themeColor="hyperlink"/>
      <w:u w:val="single"/>
    </w:rPr>
  </w:style>
  <w:style w:type="paragraph" w:styleId="FootnoteText">
    <w:name w:val="footnote text"/>
    <w:basedOn w:val="Normal"/>
    <w:link w:val="FootnoteTextChar"/>
    <w:uiPriority w:val="99"/>
    <w:semiHidden/>
    <w:unhideWhenUsed/>
    <w:rsid w:val="006F41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1BA"/>
    <w:rPr>
      <w:rFonts w:eastAsiaTheme="minorHAnsi"/>
      <w:sz w:val="20"/>
      <w:szCs w:val="20"/>
      <w:lang w:eastAsia="en-US"/>
    </w:rPr>
  </w:style>
  <w:style w:type="character" w:styleId="FootnoteReference">
    <w:name w:val="footnote reference"/>
    <w:basedOn w:val="DefaultParagraphFont"/>
    <w:uiPriority w:val="99"/>
    <w:semiHidden/>
    <w:unhideWhenUsed/>
    <w:rsid w:val="006F41BA"/>
    <w:rPr>
      <w:vertAlign w:val="superscript"/>
    </w:rPr>
  </w:style>
  <w:style w:type="paragraph" w:styleId="ListParagraph">
    <w:name w:val="List Paragraph"/>
    <w:basedOn w:val="Normal"/>
    <w:uiPriority w:val="34"/>
    <w:qFormat/>
    <w:rsid w:val="006F41BA"/>
    <w:pPr>
      <w:ind w:left="720"/>
      <w:contextualSpacing/>
    </w:pPr>
  </w:style>
  <w:style w:type="paragraph" w:styleId="Header">
    <w:name w:val="header"/>
    <w:basedOn w:val="Normal"/>
    <w:link w:val="HeaderChar"/>
    <w:uiPriority w:val="99"/>
    <w:unhideWhenUsed/>
    <w:rsid w:val="00674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FFD"/>
    <w:rPr>
      <w:rFonts w:eastAsiaTheme="minorHAnsi"/>
      <w:lang w:eastAsia="en-US"/>
    </w:rPr>
  </w:style>
  <w:style w:type="paragraph" w:styleId="Footer">
    <w:name w:val="footer"/>
    <w:basedOn w:val="Normal"/>
    <w:link w:val="FooterChar"/>
    <w:uiPriority w:val="99"/>
    <w:unhideWhenUsed/>
    <w:rsid w:val="00674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FFD"/>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ine.Hall@northumbria.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thumbria.ac.uk/about-us/news-events/events/2017/07/the-international-journal-of-clinical-legal-education-confer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chakuch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22E00.BE28373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871E-BE34-4C89-BF37-EB3C2E4B5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Hall</dc:creator>
  <cp:keywords/>
  <dc:description/>
  <cp:lastModifiedBy>Becky Skoyles</cp:lastModifiedBy>
  <cp:revision>3</cp:revision>
  <dcterms:created xsi:type="dcterms:W3CDTF">2016-12-16T09:13:00Z</dcterms:created>
  <dcterms:modified xsi:type="dcterms:W3CDTF">2016-12-16T09:19:00Z</dcterms:modified>
</cp:coreProperties>
</file>