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AA8" w:rsidRPr="00B07E71" w:rsidRDefault="00B07E71" w:rsidP="00B07E71">
      <w:pPr>
        <w:spacing w:line="480" w:lineRule="auto"/>
        <w:jc w:val="both"/>
        <w:rPr>
          <w:rFonts w:ascii="Palatino Linotype" w:hAnsi="Palatino Linotype" w:cs="Arial"/>
          <w:sz w:val="28"/>
          <w:szCs w:val="28"/>
        </w:rPr>
      </w:pPr>
      <w:r w:rsidRPr="00B07E71">
        <w:rPr>
          <w:rFonts w:ascii="Palatino Linotype" w:hAnsi="Palatino Linotype" w:cs="Arial"/>
          <w:sz w:val="28"/>
          <w:szCs w:val="28"/>
        </w:rPr>
        <w:t>ONLINE CLINICAL LEGAL EDUCATION: CHALLENGING THE TRADITIONAL MODEL</w:t>
      </w:r>
    </w:p>
    <w:p w:rsidR="00B07E71" w:rsidRDefault="00C26BC0" w:rsidP="00B07E71">
      <w:pPr>
        <w:jc w:val="both"/>
        <w:rPr>
          <w:rFonts w:ascii="Palatino Linotype" w:hAnsi="Palatino Linotype" w:cs="Arial"/>
          <w:b/>
          <w:sz w:val="24"/>
          <w:szCs w:val="24"/>
        </w:rPr>
      </w:pPr>
      <w:r w:rsidRPr="00B07E71">
        <w:rPr>
          <w:rFonts w:ascii="Palatino Linotype" w:hAnsi="Palatino Linotype" w:cs="Arial"/>
          <w:b/>
          <w:sz w:val="24"/>
          <w:szCs w:val="24"/>
        </w:rPr>
        <w:t xml:space="preserve">Les </w:t>
      </w:r>
      <w:proofErr w:type="spellStart"/>
      <w:r w:rsidRPr="00B07E71">
        <w:rPr>
          <w:rFonts w:ascii="Palatino Linotype" w:hAnsi="Palatino Linotype" w:cs="Arial"/>
          <w:b/>
          <w:sz w:val="24"/>
          <w:szCs w:val="24"/>
        </w:rPr>
        <w:t>McCrimmon</w:t>
      </w:r>
      <w:proofErr w:type="spellEnd"/>
      <w:r w:rsidRPr="00B07E71">
        <w:rPr>
          <w:rFonts w:ascii="Palatino Linotype" w:hAnsi="Palatino Linotype" w:cs="Arial"/>
          <w:b/>
          <w:sz w:val="24"/>
          <w:szCs w:val="24"/>
        </w:rPr>
        <w:t>*, Ros Vickers** and Ken Parish***</w:t>
      </w:r>
      <w:r w:rsidR="00B07E71">
        <w:rPr>
          <w:rFonts w:ascii="Palatino Linotype" w:hAnsi="Palatino Linotype" w:cs="Arial"/>
          <w:b/>
          <w:sz w:val="24"/>
          <w:szCs w:val="24"/>
        </w:rPr>
        <w:t xml:space="preserve">, </w:t>
      </w:r>
    </w:p>
    <w:p w:rsidR="00C26BC0" w:rsidRPr="00B07E71" w:rsidRDefault="00B07E71" w:rsidP="00B07E71">
      <w:pPr>
        <w:spacing w:after="0" w:line="480" w:lineRule="auto"/>
        <w:jc w:val="both"/>
        <w:rPr>
          <w:rFonts w:ascii="Palatino Linotype" w:hAnsi="Palatino Linotype" w:cs="Arial"/>
          <w:b/>
          <w:sz w:val="24"/>
          <w:szCs w:val="24"/>
        </w:rPr>
      </w:pPr>
      <w:r>
        <w:rPr>
          <w:rFonts w:ascii="Palatino Linotype" w:hAnsi="Palatino Linotype" w:cs="Arial"/>
          <w:b/>
          <w:sz w:val="24"/>
          <w:szCs w:val="24"/>
        </w:rPr>
        <w:t>Charles Darwin University, Australia</w:t>
      </w:r>
    </w:p>
    <w:p w:rsidR="00394209" w:rsidRPr="00B07E71" w:rsidRDefault="00402404" w:rsidP="00B07E71">
      <w:pPr>
        <w:spacing w:after="0" w:line="360" w:lineRule="auto"/>
        <w:jc w:val="both"/>
        <w:rPr>
          <w:rFonts w:ascii="Palatino Linotype" w:hAnsi="Palatino Linotype" w:cs="Arial"/>
          <w:i/>
          <w:sz w:val="24"/>
          <w:szCs w:val="24"/>
        </w:rPr>
      </w:pPr>
      <w:r w:rsidRPr="00B07E71">
        <w:rPr>
          <w:rFonts w:ascii="Palatino Linotype" w:hAnsi="Palatino Linotype" w:cs="Arial"/>
          <w:i/>
          <w:sz w:val="24"/>
          <w:szCs w:val="24"/>
        </w:rPr>
        <w:t>It has been suggested that</w:t>
      </w:r>
      <w:r w:rsidR="00625AC6" w:rsidRPr="00B07E71">
        <w:rPr>
          <w:rFonts w:ascii="Palatino Linotype" w:hAnsi="Palatino Linotype" w:cs="Arial"/>
          <w:i/>
          <w:sz w:val="24"/>
          <w:szCs w:val="24"/>
        </w:rPr>
        <w:t xml:space="preserve"> t</w:t>
      </w:r>
      <w:r w:rsidR="00F62ECD" w:rsidRPr="00B07E71">
        <w:rPr>
          <w:rFonts w:ascii="Palatino Linotype" w:hAnsi="Palatino Linotype" w:cs="Arial"/>
          <w:i/>
          <w:sz w:val="24"/>
          <w:szCs w:val="24"/>
        </w:rPr>
        <w:t xml:space="preserve">he </w:t>
      </w:r>
      <w:r w:rsidR="00625AC6" w:rsidRPr="00B07E71">
        <w:rPr>
          <w:rFonts w:ascii="Palatino Linotype" w:hAnsi="Palatino Linotype" w:cs="Arial"/>
          <w:i/>
          <w:sz w:val="24"/>
          <w:szCs w:val="24"/>
        </w:rPr>
        <w:t>“</w:t>
      </w:r>
      <w:r w:rsidR="00F62ECD" w:rsidRPr="00B07E71">
        <w:rPr>
          <w:rFonts w:ascii="Palatino Linotype" w:hAnsi="Palatino Linotype" w:cs="Arial"/>
          <w:i/>
          <w:sz w:val="24"/>
          <w:szCs w:val="24"/>
        </w:rPr>
        <w:t>Digital Age provides an opportunity to revitalize and modernize legal education and to make it more individualized, relevant, human, and accessible”.</w:t>
      </w:r>
      <w:r w:rsidR="00F62ECD" w:rsidRPr="00B07E71">
        <w:rPr>
          <w:rStyle w:val="FootnoteReference"/>
          <w:rFonts w:ascii="Palatino Linotype" w:hAnsi="Palatino Linotype" w:cs="Arial"/>
          <w:sz w:val="24"/>
          <w:szCs w:val="24"/>
        </w:rPr>
        <w:footnoteReference w:id="1"/>
      </w:r>
      <w:r w:rsidR="00333D29" w:rsidRPr="00B07E71">
        <w:rPr>
          <w:rFonts w:ascii="Palatino Linotype" w:hAnsi="Palatino Linotype" w:cs="Arial"/>
          <w:sz w:val="24"/>
          <w:szCs w:val="24"/>
        </w:rPr>
        <w:t xml:space="preserve"> </w:t>
      </w:r>
      <w:r w:rsidR="00333D29" w:rsidRPr="00B07E71">
        <w:rPr>
          <w:rFonts w:ascii="Palatino Linotype" w:hAnsi="Palatino Linotype" w:cs="Arial"/>
          <w:i/>
          <w:sz w:val="24"/>
          <w:szCs w:val="24"/>
        </w:rPr>
        <w:t>Delivery of</w:t>
      </w:r>
      <w:r w:rsidR="00625FAF" w:rsidRPr="00B07E71">
        <w:rPr>
          <w:rFonts w:ascii="Palatino Linotype" w:hAnsi="Palatino Linotype" w:cs="Arial"/>
          <w:i/>
          <w:sz w:val="24"/>
          <w:szCs w:val="24"/>
        </w:rPr>
        <w:t xml:space="preserve"> l</w:t>
      </w:r>
      <w:r w:rsidR="00625AC6" w:rsidRPr="00B07E71">
        <w:rPr>
          <w:rFonts w:ascii="Palatino Linotype" w:hAnsi="Palatino Linotype" w:cs="Arial"/>
          <w:i/>
          <w:sz w:val="24"/>
          <w:szCs w:val="24"/>
        </w:rPr>
        <w:t>aw degree programs</w:t>
      </w:r>
      <w:r w:rsidR="002126B6" w:rsidRPr="00B07E71">
        <w:rPr>
          <w:rFonts w:ascii="Palatino Linotype" w:hAnsi="Palatino Linotype" w:cs="Arial"/>
          <w:i/>
          <w:sz w:val="24"/>
          <w:szCs w:val="24"/>
        </w:rPr>
        <w:t xml:space="preserve"> f</w:t>
      </w:r>
      <w:r w:rsidR="00625AC6" w:rsidRPr="00B07E71">
        <w:rPr>
          <w:rFonts w:ascii="Palatino Linotype" w:hAnsi="Palatino Linotype" w:cs="Arial"/>
          <w:i/>
          <w:sz w:val="24"/>
          <w:szCs w:val="24"/>
        </w:rPr>
        <w:t>ully online</w:t>
      </w:r>
      <w:r w:rsidR="0093659D" w:rsidRPr="00B07E71">
        <w:rPr>
          <w:rFonts w:ascii="Palatino Linotype" w:hAnsi="Palatino Linotype" w:cs="Arial"/>
          <w:i/>
          <w:sz w:val="24"/>
          <w:szCs w:val="24"/>
        </w:rPr>
        <w:t xml:space="preserve"> is one </w:t>
      </w:r>
      <w:r w:rsidR="001A7AA8" w:rsidRPr="00B07E71">
        <w:rPr>
          <w:rFonts w:ascii="Palatino Linotype" w:hAnsi="Palatino Linotype" w:cs="Arial"/>
          <w:i/>
          <w:sz w:val="24"/>
          <w:szCs w:val="24"/>
        </w:rPr>
        <w:t>way the internet has begun to change, if not</w:t>
      </w:r>
      <w:r w:rsidR="00F129D2" w:rsidRPr="00B07E71">
        <w:rPr>
          <w:rFonts w:ascii="Palatino Linotype" w:hAnsi="Palatino Linotype" w:cs="Arial"/>
          <w:i/>
          <w:sz w:val="24"/>
          <w:szCs w:val="24"/>
        </w:rPr>
        <w:t xml:space="preserve"> (yet)</w:t>
      </w:r>
      <w:r w:rsidR="001A7AA8" w:rsidRPr="00B07E71">
        <w:rPr>
          <w:rFonts w:ascii="Palatino Linotype" w:hAnsi="Palatino Linotype" w:cs="Arial"/>
          <w:i/>
          <w:sz w:val="24"/>
          <w:szCs w:val="24"/>
        </w:rPr>
        <w:t xml:space="preserve"> revolutionise, legal education in the twenty-first century. </w:t>
      </w:r>
      <w:r w:rsidR="00151307" w:rsidRPr="00B07E71">
        <w:rPr>
          <w:rFonts w:ascii="Palatino Linotype" w:hAnsi="Palatino Linotype" w:cs="Arial"/>
          <w:i/>
          <w:sz w:val="24"/>
          <w:szCs w:val="24"/>
        </w:rPr>
        <w:t xml:space="preserve"> In Australia, law students have been able to obtain their law degree online f</w:t>
      </w:r>
      <w:r w:rsidR="001A7AA8" w:rsidRPr="00B07E71">
        <w:rPr>
          <w:rFonts w:ascii="Palatino Linotype" w:hAnsi="Palatino Linotype" w:cs="Arial"/>
          <w:i/>
          <w:sz w:val="24"/>
          <w:szCs w:val="24"/>
        </w:rPr>
        <w:t>or a number of years.</w:t>
      </w:r>
      <w:r w:rsidR="00625FAF" w:rsidRPr="00B07E71">
        <w:rPr>
          <w:rFonts w:ascii="Palatino Linotype" w:hAnsi="Palatino Linotype" w:cs="Arial"/>
          <w:i/>
          <w:sz w:val="24"/>
          <w:szCs w:val="24"/>
        </w:rPr>
        <w:t xml:space="preserve">  Online clinical </w:t>
      </w:r>
      <w:r w:rsidR="00151307" w:rsidRPr="00B07E71">
        <w:rPr>
          <w:rFonts w:ascii="Palatino Linotype" w:hAnsi="Palatino Linotype" w:cs="Arial"/>
          <w:i/>
          <w:sz w:val="24"/>
          <w:szCs w:val="24"/>
        </w:rPr>
        <w:t>legal education</w:t>
      </w:r>
      <w:r w:rsidR="002126B6" w:rsidRPr="00B07E71">
        <w:rPr>
          <w:rFonts w:ascii="Palatino Linotype" w:hAnsi="Palatino Linotype" w:cs="Arial"/>
          <w:i/>
          <w:sz w:val="24"/>
          <w:szCs w:val="24"/>
        </w:rPr>
        <w:t>, however,</w:t>
      </w:r>
      <w:r w:rsidR="00F129D2" w:rsidRPr="00B07E71">
        <w:rPr>
          <w:rFonts w:ascii="Palatino Linotype" w:hAnsi="Palatino Linotype" w:cs="Arial"/>
          <w:i/>
          <w:sz w:val="24"/>
          <w:szCs w:val="24"/>
        </w:rPr>
        <w:t xml:space="preserve"> is still in its infancy.</w:t>
      </w:r>
      <w:r w:rsidR="001A7AA8" w:rsidRPr="00B07E71">
        <w:rPr>
          <w:rFonts w:ascii="Palatino Linotype" w:hAnsi="Palatino Linotype" w:cs="Arial"/>
          <w:i/>
          <w:sz w:val="24"/>
          <w:szCs w:val="24"/>
        </w:rPr>
        <w:t xml:space="preserve"> </w:t>
      </w:r>
    </w:p>
    <w:p w:rsidR="00DD45FE" w:rsidRPr="00B07E71" w:rsidRDefault="00DD45FE" w:rsidP="00B07E71">
      <w:pPr>
        <w:spacing w:line="360" w:lineRule="auto"/>
        <w:jc w:val="both"/>
        <w:rPr>
          <w:rFonts w:ascii="Palatino Linotype" w:hAnsi="Palatino Linotype" w:cs="Arial"/>
          <w:i/>
          <w:sz w:val="24"/>
          <w:szCs w:val="24"/>
        </w:rPr>
      </w:pPr>
      <w:r w:rsidRPr="00B07E71">
        <w:rPr>
          <w:rFonts w:ascii="Palatino Linotype" w:hAnsi="Palatino Linotype" w:cs="Arial"/>
          <w:i/>
          <w:sz w:val="24"/>
          <w:szCs w:val="24"/>
        </w:rPr>
        <w:t xml:space="preserve">In this </w:t>
      </w:r>
      <w:r w:rsidR="00AA44CE" w:rsidRPr="00B07E71">
        <w:rPr>
          <w:rFonts w:ascii="Palatino Linotype" w:hAnsi="Palatino Linotype" w:cs="Arial"/>
          <w:i/>
          <w:sz w:val="24"/>
          <w:szCs w:val="24"/>
        </w:rPr>
        <w:t>article</w:t>
      </w:r>
      <w:r w:rsidRPr="00B07E71">
        <w:rPr>
          <w:rFonts w:ascii="Palatino Linotype" w:hAnsi="Palatino Linotype" w:cs="Arial"/>
          <w:i/>
          <w:sz w:val="24"/>
          <w:szCs w:val="24"/>
        </w:rPr>
        <w:t xml:space="preserve">, the authors argue that the greater use of technology in legal education is inevitable, and law schools offering degrees fully online will continue to increase, at least in Australia. </w:t>
      </w:r>
      <w:r w:rsidR="00132147" w:rsidRPr="00B07E71">
        <w:rPr>
          <w:rFonts w:ascii="Palatino Linotype" w:hAnsi="Palatino Linotype" w:cs="Arial"/>
          <w:i/>
          <w:sz w:val="24"/>
          <w:szCs w:val="24"/>
        </w:rPr>
        <w:t>The rewards and risks</w:t>
      </w:r>
      <w:r w:rsidR="009C3D41" w:rsidRPr="00B07E71">
        <w:rPr>
          <w:rFonts w:ascii="Palatino Linotype" w:hAnsi="Palatino Linotype" w:cs="Arial"/>
          <w:i/>
          <w:sz w:val="24"/>
          <w:szCs w:val="24"/>
        </w:rPr>
        <w:t xml:space="preserve"> of online legal education are considered from the perspective of a law school in which over 80% of its 855 students study law fully online. The development and implementation of clinical opportunities for students studying online </w:t>
      </w:r>
      <w:r w:rsidR="009E4C49" w:rsidRPr="00B07E71">
        <w:rPr>
          <w:rFonts w:ascii="Palatino Linotype" w:hAnsi="Palatino Linotype" w:cs="Arial"/>
          <w:i/>
          <w:sz w:val="24"/>
          <w:szCs w:val="24"/>
        </w:rPr>
        <w:t>also is discussed</w:t>
      </w:r>
      <w:r w:rsidR="009C3D41" w:rsidRPr="00B07E71">
        <w:rPr>
          <w:rFonts w:ascii="Palatino Linotype" w:hAnsi="Palatino Linotype" w:cs="Arial"/>
          <w:i/>
          <w:sz w:val="24"/>
          <w:szCs w:val="24"/>
        </w:rPr>
        <w:t>.</w:t>
      </w:r>
    </w:p>
    <w:p w:rsidR="00675BCE" w:rsidRPr="00B07E71" w:rsidRDefault="00B07E71" w:rsidP="00B07E71">
      <w:pPr>
        <w:spacing w:before="240" w:line="480" w:lineRule="auto"/>
        <w:jc w:val="both"/>
        <w:rPr>
          <w:rFonts w:ascii="Palatino Linotype" w:hAnsi="Palatino Linotype" w:cs="Arial"/>
          <w:sz w:val="24"/>
          <w:szCs w:val="24"/>
        </w:rPr>
      </w:pPr>
      <w:r w:rsidRPr="00B07E71">
        <w:rPr>
          <w:rFonts w:ascii="Palatino Linotype" w:hAnsi="Palatino Linotype" w:cs="Arial"/>
          <w:sz w:val="24"/>
          <w:szCs w:val="24"/>
        </w:rPr>
        <w:t>INTRODUCTION</w:t>
      </w:r>
    </w:p>
    <w:p w:rsidR="00ED5816" w:rsidRPr="00B07E71" w:rsidRDefault="00ED5816"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2000</w:t>
      </w:r>
      <w:r w:rsidR="00E55736" w:rsidRPr="00B07E71">
        <w:rPr>
          <w:rFonts w:ascii="Palatino Linotype" w:hAnsi="Palatino Linotype" w:cs="Arial"/>
          <w:sz w:val="24"/>
          <w:szCs w:val="24"/>
        </w:rPr>
        <w:t>, three respected A</w:t>
      </w:r>
      <w:r w:rsidRPr="00B07E71">
        <w:rPr>
          <w:rFonts w:ascii="Palatino Linotype" w:hAnsi="Palatino Linotype" w:cs="Arial"/>
          <w:sz w:val="24"/>
          <w:szCs w:val="24"/>
        </w:rPr>
        <w:t>merican clinicians</w:t>
      </w:r>
      <w:r w:rsidR="00E55736" w:rsidRPr="00B07E71">
        <w:rPr>
          <w:rFonts w:ascii="Palatino Linotype" w:hAnsi="Palatino Linotype" w:cs="Arial"/>
          <w:sz w:val="24"/>
          <w:szCs w:val="24"/>
        </w:rPr>
        <w:t xml:space="preserve"> were invited by the </w:t>
      </w:r>
      <w:r w:rsidR="00E55736" w:rsidRPr="00B07E71">
        <w:rPr>
          <w:rFonts w:ascii="Palatino Linotype" w:hAnsi="Palatino Linotype" w:cs="Arial"/>
          <w:i/>
          <w:sz w:val="24"/>
          <w:szCs w:val="24"/>
        </w:rPr>
        <w:t>Clinical Law Review</w:t>
      </w:r>
      <w:r w:rsidR="00C84998" w:rsidRPr="00B07E71">
        <w:rPr>
          <w:rFonts w:ascii="Palatino Linotype" w:hAnsi="Palatino Linotype" w:cs="Arial"/>
          <w:sz w:val="24"/>
          <w:szCs w:val="24"/>
        </w:rPr>
        <w:t xml:space="preserve"> to consider</w:t>
      </w:r>
      <w:r w:rsidRPr="00B07E71">
        <w:rPr>
          <w:rFonts w:ascii="Palatino Linotype" w:hAnsi="Palatino Linotype" w:cs="Arial"/>
          <w:sz w:val="24"/>
          <w:szCs w:val="24"/>
        </w:rPr>
        <w:t xml:space="preserve"> the issues they regarded as important to the future of clinical legal education. </w:t>
      </w:r>
      <w:r w:rsidRPr="00B07E71">
        <w:rPr>
          <w:rFonts w:ascii="Palatino Linotype" w:hAnsi="Palatino Linotype" w:cs="Arial"/>
          <w:sz w:val="24"/>
          <w:szCs w:val="24"/>
        </w:rPr>
        <w:lastRenderedPageBreak/>
        <w:t xml:space="preserve">In responding to this challenge, Martin Barry, </w:t>
      </w:r>
      <w:proofErr w:type="spellStart"/>
      <w:r w:rsidRPr="00B07E71">
        <w:rPr>
          <w:rFonts w:ascii="Palatino Linotype" w:hAnsi="Palatino Linotype" w:cs="Arial"/>
          <w:sz w:val="24"/>
          <w:szCs w:val="24"/>
        </w:rPr>
        <w:t>Dubin</w:t>
      </w:r>
      <w:proofErr w:type="spellEnd"/>
      <w:r w:rsidRPr="00B07E71">
        <w:rPr>
          <w:rFonts w:ascii="Palatino Linotype" w:hAnsi="Palatino Linotype" w:cs="Arial"/>
          <w:sz w:val="24"/>
          <w:szCs w:val="24"/>
        </w:rPr>
        <w:t xml:space="preserve"> and Joy, when considering how clinical legal education should adapt to the digital age, noted:</w:t>
      </w:r>
    </w:p>
    <w:p w:rsidR="00ED5816" w:rsidRPr="00B07E71" w:rsidRDefault="00ED5816"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Aside from influencing the place of clinical education in the new millennium, technological advances will affect the forms of clinical education by making possible new and different teaching and service opportunities and clinical models</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2"/>
      </w:r>
    </w:p>
    <w:p w:rsidR="00ED5816" w:rsidRPr="00B07E71" w:rsidRDefault="004A11B5"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While only an idea in 2000, the ability of law students to undertake a clinical unit while studying fully online has become a reality in at least one Australian law school; Charles Darwin University (‘CDU’). How this </w:t>
      </w:r>
      <w:r w:rsidR="006F3C15" w:rsidRPr="00B07E71">
        <w:rPr>
          <w:rFonts w:ascii="Palatino Linotype" w:hAnsi="Palatino Linotype" w:cs="Arial"/>
          <w:sz w:val="24"/>
          <w:szCs w:val="24"/>
        </w:rPr>
        <w:t xml:space="preserve">clinical </w:t>
      </w:r>
      <w:r w:rsidRPr="00B07E71">
        <w:rPr>
          <w:rFonts w:ascii="Palatino Linotype" w:hAnsi="Palatino Linotype" w:cs="Arial"/>
          <w:sz w:val="24"/>
          <w:szCs w:val="24"/>
        </w:rPr>
        <w:t xml:space="preserve">unit fits within the evolution of clinical legal education is discussed, as is the evolution of online legal education more broadly. </w:t>
      </w:r>
      <w:r w:rsidR="006B684E" w:rsidRPr="00B07E71">
        <w:rPr>
          <w:rFonts w:ascii="Palatino Linotype" w:hAnsi="Palatino Linotype" w:cs="Arial"/>
          <w:sz w:val="24"/>
          <w:szCs w:val="24"/>
        </w:rPr>
        <w:t>The risks and rewards of online legal education, and online clinical legal education in particular, are canvassed, and the structure of the CDU clinical unit is explained.</w:t>
      </w:r>
    </w:p>
    <w:p w:rsidR="00ED5816" w:rsidRPr="00B07E71" w:rsidRDefault="006B684E" w:rsidP="00B07E71">
      <w:pPr>
        <w:spacing w:line="480" w:lineRule="auto"/>
        <w:jc w:val="both"/>
        <w:rPr>
          <w:rFonts w:ascii="Palatino Linotype" w:hAnsi="Palatino Linotype" w:cs="Arial"/>
          <w:sz w:val="24"/>
          <w:szCs w:val="24"/>
        </w:rPr>
      </w:pPr>
      <w:proofErr w:type="spellStart"/>
      <w:r w:rsidRPr="00B07E71">
        <w:rPr>
          <w:rFonts w:ascii="Palatino Linotype" w:hAnsi="Palatino Linotype" w:cs="Arial"/>
          <w:sz w:val="24"/>
          <w:szCs w:val="24"/>
        </w:rPr>
        <w:t>Binford</w:t>
      </w:r>
      <w:proofErr w:type="spellEnd"/>
      <w:r w:rsidRPr="00B07E71">
        <w:rPr>
          <w:rFonts w:ascii="Palatino Linotype" w:hAnsi="Palatino Linotype" w:cs="Arial"/>
          <w:sz w:val="24"/>
          <w:szCs w:val="24"/>
        </w:rPr>
        <w:t xml:space="preserve"> has suggested that advances in digital technology have ushered in a new age in legal education.</w:t>
      </w:r>
      <w:r w:rsidRPr="00B07E71">
        <w:rPr>
          <w:rStyle w:val="FootnoteReference"/>
          <w:rFonts w:ascii="Palatino Linotype" w:hAnsi="Palatino Linotype" w:cs="Arial"/>
          <w:sz w:val="24"/>
          <w:szCs w:val="24"/>
        </w:rPr>
        <w:footnoteReference w:id="3"/>
      </w:r>
      <w:r w:rsidRPr="00B07E71">
        <w:rPr>
          <w:rFonts w:ascii="Palatino Linotype" w:hAnsi="Palatino Linotype" w:cs="Arial"/>
          <w:sz w:val="24"/>
          <w:szCs w:val="24"/>
        </w:rPr>
        <w:t xml:space="preserve"> </w:t>
      </w:r>
      <w:r w:rsidR="00B5523D" w:rsidRPr="00B07E71">
        <w:rPr>
          <w:rFonts w:ascii="Palatino Linotype" w:hAnsi="Palatino Linotype" w:cs="Arial"/>
          <w:sz w:val="24"/>
          <w:szCs w:val="24"/>
        </w:rPr>
        <w:t>We agree</w:t>
      </w:r>
      <w:r w:rsidR="006F3C15" w:rsidRPr="00B07E71">
        <w:rPr>
          <w:rFonts w:ascii="Palatino Linotype" w:hAnsi="Palatino Linotype" w:cs="Arial"/>
          <w:sz w:val="24"/>
          <w:szCs w:val="24"/>
        </w:rPr>
        <w:t xml:space="preserve"> </w:t>
      </w:r>
      <w:r w:rsidR="00B5523D" w:rsidRPr="00B07E71">
        <w:rPr>
          <w:rFonts w:ascii="Palatino Linotype" w:hAnsi="Palatino Linotype" w:cs="Arial"/>
          <w:sz w:val="24"/>
          <w:szCs w:val="24"/>
        </w:rPr>
        <w:t xml:space="preserve">and </w:t>
      </w:r>
      <w:r w:rsidRPr="00B07E71">
        <w:rPr>
          <w:rFonts w:ascii="Palatino Linotype" w:hAnsi="Palatino Linotype" w:cs="Arial"/>
          <w:sz w:val="24"/>
          <w:szCs w:val="24"/>
        </w:rPr>
        <w:t xml:space="preserve">it can be anticipated that </w:t>
      </w:r>
      <w:r w:rsidR="006F3C15" w:rsidRPr="00B07E71">
        <w:rPr>
          <w:rFonts w:ascii="Palatino Linotype" w:hAnsi="Palatino Linotype" w:cs="Arial"/>
          <w:sz w:val="24"/>
          <w:szCs w:val="24"/>
        </w:rPr>
        <w:t>clinical opportunities for those studying law fully online</w:t>
      </w:r>
      <w:r w:rsidRPr="00B07E71">
        <w:rPr>
          <w:rFonts w:ascii="Palatino Linotype" w:hAnsi="Palatino Linotype" w:cs="Arial"/>
          <w:sz w:val="24"/>
          <w:szCs w:val="24"/>
        </w:rPr>
        <w:t xml:space="preserve"> will continue to </w:t>
      </w:r>
      <w:r w:rsidR="006F3C15" w:rsidRPr="00B07E71">
        <w:rPr>
          <w:rFonts w:ascii="Palatino Linotype" w:hAnsi="Palatino Linotype" w:cs="Arial"/>
          <w:sz w:val="24"/>
          <w:szCs w:val="24"/>
        </w:rPr>
        <w:t>evolve</w:t>
      </w:r>
      <w:r w:rsidR="005E5A84" w:rsidRPr="00B07E71">
        <w:rPr>
          <w:rFonts w:ascii="Palatino Linotype" w:hAnsi="Palatino Linotype" w:cs="Arial"/>
          <w:sz w:val="24"/>
          <w:szCs w:val="24"/>
        </w:rPr>
        <w:t xml:space="preserve"> not only</w:t>
      </w:r>
      <w:r w:rsidRPr="00B07E71">
        <w:rPr>
          <w:rFonts w:ascii="Palatino Linotype" w:hAnsi="Palatino Linotype" w:cs="Arial"/>
          <w:sz w:val="24"/>
          <w:szCs w:val="24"/>
        </w:rPr>
        <w:t xml:space="preserve"> in Australia</w:t>
      </w:r>
      <w:r w:rsidR="00B5523D" w:rsidRPr="00B07E71">
        <w:rPr>
          <w:rFonts w:ascii="Palatino Linotype" w:hAnsi="Palatino Linotype" w:cs="Arial"/>
          <w:sz w:val="24"/>
          <w:szCs w:val="24"/>
        </w:rPr>
        <w:t>,</w:t>
      </w:r>
      <w:r w:rsidR="005E5A84" w:rsidRPr="00B07E71">
        <w:rPr>
          <w:rFonts w:ascii="Palatino Linotype" w:hAnsi="Palatino Linotype" w:cs="Arial"/>
          <w:sz w:val="24"/>
          <w:szCs w:val="24"/>
        </w:rPr>
        <w:t xml:space="preserve"> but also in other countries</w:t>
      </w:r>
      <w:r w:rsidRPr="00B07E71">
        <w:rPr>
          <w:rFonts w:ascii="Palatino Linotype" w:hAnsi="Palatino Linotype" w:cs="Arial"/>
          <w:sz w:val="24"/>
          <w:szCs w:val="24"/>
        </w:rPr>
        <w:t>.</w:t>
      </w:r>
      <w:r w:rsidR="006F3C15" w:rsidRPr="00B07E71">
        <w:rPr>
          <w:rFonts w:ascii="Palatino Linotype" w:hAnsi="Palatino Linotype" w:cs="Arial"/>
          <w:sz w:val="24"/>
          <w:szCs w:val="24"/>
        </w:rPr>
        <w:t xml:space="preserve"> It is hoped that the experiences of an early adopter of online clinical legal education will assist others considering a similar path.</w:t>
      </w:r>
    </w:p>
    <w:p w:rsidR="00B07E71" w:rsidRDefault="00B07E71" w:rsidP="00B07E71">
      <w:pPr>
        <w:spacing w:line="480" w:lineRule="auto"/>
        <w:jc w:val="both"/>
        <w:rPr>
          <w:rFonts w:ascii="Palatino Linotype" w:hAnsi="Palatino Linotype" w:cs="Arial"/>
          <w:b/>
          <w:sz w:val="24"/>
          <w:szCs w:val="24"/>
        </w:rPr>
      </w:pPr>
    </w:p>
    <w:p w:rsidR="00DB627B" w:rsidRPr="00B07E71" w:rsidRDefault="00DB627B" w:rsidP="00B07E71">
      <w:pPr>
        <w:spacing w:line="480" w:lineRule="auto"/>
        <w:jc w:val="both"/>
        <w:rPr>
          <w:rFonts w:ascii="Palatino Linotype" w:hAnsi="Palatino Linotype" w:cs="Arial"/>
          <w:b/>
          <w:sz w:val="24"/>
          <w:szCs w:val="24"/>
        </w:rPr>
      </w:pPr>
      <w:r w:rsidRPr="00B07E71">
        <w:rPr>
          <w:rFonts w:ascii="Palatino Linotype" w:hAnsi="Palatino Linotype" w:cs="Arial"/>
          <w:b/>
          <w:sz w:val="24"/>
          <w:szCs w:val="24"/>
        </w:rPr>
        <w:t>The evolution of clinical legal education</w:t>
      </w:r>
    </w:p>
    <w:p w:rsidR="00DB627B" w:rsidRPr="00B07E71" w:rsidRDefault="00DB627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role of communication and </w:t>
      </w:r>
      <w:r w:rsidR="009C717E" w:rsidRPr="00B07E71">
        <w:rPr>
          <w:rFonts w:ascii="Palatino Linotype" w:hAnsi="Palatino Linotype" w:cs="Arial"/>
          <w:sz w:val="24"/>
          <w:szCs w:val="24"/>
        </w:rPr>
        <w:t>information technologies</w:t>
      </w:r>
      <w:r w:rsidRPr="00B07E71">
        <w:rPr>
          <w:rFonts w:ascii="Palatino Linotype" w:hAnsi="Palatino Linotype" w:cs="Arial"/>
          <w:sz w:val="24"/>
          <w:szCs w:val="24"/>
        </w:rPr>
        <w:t xml:space="preserve"> in clinical legal education must be considered in the context of the evolution o</w:t>
      </w:r>
      <w:r w:rsidR="00707C94" w:rsidRPr="00B07E71">
        <w:rPr>
          <w:rFonts w:ascii="Palatino Linotype" w:hAnsi="Palatino Linotype" w:cs="Arial"/>
          <w:sz w:val="24"/>
          <w:szCs w:val="24"/>
        </w:rPr>
        <w:t>f clinical legal education. The latter</w:t>
      </w:r>
      <w:r w:rsidRPr="00B07E71">
        <w:rPr>
          <w:rFonts w:ascii="Palatino Linotype" w:hAnsi="Palatino Linotype" w:cs="Arial"/>
          <w:sz w:val="24"/>
          <w:szCs w:val="24"/>
        </w:rPr>
        <w:t xml:space="preserve"> is a well-trodden path and, therefore, the treatm</w:t>
      </w:r>
      <w:r w:rsidR="00C73268" w:rsidRPr="00B07E71">
        <w:rPr>
          <w:rFonts w:ascii="Palatino Linotype" w:hAnsi="Palatino Linotype" w:cs="Arial"/>
          <w:sz w:val="24"/>
          <w:szCs w:val="24"/>
        </w:rPr>
        <w:t>ent of the topic in this paper</w:t>
      </w:r>
      <w:r w:rsidRPr="00B07E71">
        <w:rPr>
          <w:rFonts w:ascii="Palatino Linotype" w:hAnsi="Palatino Linotype" w:cs="Arial"/>
          <w:sz w:val="24"/>
          <w:szCs w:val="24"/>
        </w:rPr>
        <w:t xml:space="preserve"> will be brief.</w:t>
      </w:r>
      <w:r w:rsidRPr="00B07E71">
        <w:rPr>
          <w:rStyle w:val="FootnoteReference"/>
          <w:rFonts w:ascii="Palatino Linotype" w:hAnsi="Palatino Linotype" w:cs="Arial"/>
          <w:sz w:val="24"/>
          <w:szCs w:val="24"/>
        </w:rPr>
        <w:footnoteReference w:id="4"/>
      </w:r>
      <w:r w:rsidRPr="00B07E71">
        <w:rPr>
          <w:rFonts w:ascii="Palatino Linotype" w:hAnsi="Palatino Linotype" w:cs="Arial"/>
          <w:sz w:val="24"/>
          <w:szCs w:val="24"/>
        </w:rPr>
        <w:t xml:space="preserve"> </w:t>
      </w:r>
    </w:p>
    <w:p w:rsidR="009F04EA" w:rsidRPr="00B07E71" w:rsidRDefault="008D63E5"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An early</w:t>
      </w:r>
      <w:r w:rsidR="00BB1FD5" w:rsidRPr="00B07E71">
        <w:rPr>
          <w:rFonts w:ascii="Palatino Linotype" w:hAnsi="Palatino Linotype" w:cs="Arial"/>
          <w:sz w:val="24"/>
          <w:szCs w:val="24"/>
        </w:rPr>
        <w:t xml:space="preserve"> iteration of clinical legal education was that conceptualised by </w:t>
      </w:r>
      <w:r w:rsidR="00882C74" w:rsidRPr="00B07E71">
        <w:rPr>
          <w:rFonts w:ascii="Palatino Linotype" w:hAnsi="Palatino Linotype" w:cs="Arial"/>
          <w:sz w:val="24"/>
          <w:szCs w:val="24"/>
        </w:rPr>
        <w:t>the American academic</w:t>
      </w:r>
      <w:r w:rsidR="004417EC" w:rsidRPr="00B07E71">
        <w:rPr>
          <w:rFonts w:ascii="Palatino Linotype" w:hAnsi="Palatino Linotype" w:cs="Arial"/>
          <w:sz w:val="24"/>
          <w:szCs w:val="24"/>
        </w:rPr>
        <w:t>, legal philosopher and jurist</w:t>
      </w:r>
      <w:r w:rsidR="00882C74" w:rsidRPr="00B07E71">
        <w:rPr>
          <w:rFonts w:ascii="Palatino Linotype" w:hAnsi="Palatino Linotype" w:cs="Arial"/>
          <w:sz w:val="24"/>
          <w:szCs w:val="24"/>
        </w:rPr>
        <w:t xml:space="preserve">, </w:t>
      </w:r>
      <w:r w:rsidR="00BB1FD5" w:rsidRPr="00B07E71">
        <w:rPr>
          <w:rFonts w:ascii="Palatino Linotype" w:hAnsi="Palatino Linotype" w:cs="Arial"/>
          <w:sz w:val="24"/>
          <w:szCs w:val="24"/>
        </w:rPr>
        <w:t>Jerome Frank</w:t>
      </w:r>
      <w:r w:rsidR="00882C74" w:rsidRPr="00B07E71">
        <w:rPr>
          <w:rFonts w:ascii="Palatino Linotype" w:hAnsi="Palatino Linotype" w:cs="Arial"/>
          <w:sz w:val="24"/>
          <w:szCs w:val="24"/>
        </w:rPr>
        <w:t>, in the 1930s.</w:t>
      </w:r>
      <w:r w:rsidR="00BB1FD5" w:rsidRPr="00B07E71">
        <w:rPr>
          <w:rStyle w:val="FootnoteReference"/>
          <w:rFonts w:ascii="Palatino Linotype" w:hAnsi="Palatino Linotype" w:cs="Arial"/>
          <w:sz w:val="24"/>
          <w:szCs w:val="24"/>
        </w:rPr>
        <w:footnoteReference w:id="5"/>
      </w:r>
      <w:r w:rsidR="00882C74" w:rsidRPr="00B07E71">
        <w:rPr>
          <w:rFonts w:ascii="Palatino Linotype" w:hAnsi="Palatino Linotype" w:cs="Arial"/>
          <w:sz w:val="24"/>
          <w:szCs w:val="24"/>
        </w:rPr>
        <w:t xml:space="preserve"> </w:t>
      </w:r>
      <w:r w:rsidR="005769B6" w:rsidRPr="00B07E71">
        <w:rPr>
          <w:rFonts w:ascii="Palatino Linotype" w:hAnsi="Palatino Linotype" w:cs="Arial"/>
          <w:sz w:val="24"/>
          <w:szCs w:val="24"/>
        </w:rPr>
        <w:t>While</w:t>
      </w:r>
      <w:r w:rsidR="009F04EA" w:rsidRPr="00B07E71">
        <w:rPr>
          <w:rFonts w:ascii="Palatino Linotype" w:hAnsi="Palatino Linotype" w:cs="Arial"/>
          <w:sz w:val="24"/>
          <w:szCs w:val="24"/>
        </w:rPr>
        <w:t xml:space="preserve"> not the first call for </w:t>
      </w:r>
      <w:r w:rsidR="00C73268" w:rsidRPr="00B07E71">
        <w:rPr>
          <w:rFonts w:ascii="Palatino Linotype" w:hAnsi="Palatino Linotype" w:cs="Arial"/>
          <w:sz w:val="24"/>
          <w:szCs w:val="24"/>
        </w:rPr>
        <w:t xml:space="preserve">a </w:t>
      </w:r>
      <w:r w:rsidR="009F04EA" w:rsidRPr="00B07E71">
        <w:rPr>
          <w:rFonts w:ascii="Palatino Linotype" w:hAnsi="Palatino Linotype" w:cs="Arial"/>
          <w:sz w:val="24"/>
          <w:szCs w:val="24"/>
        </w:rPr>
        <w:t>change to the</w:t>
      </w:r>
      <w:r w:rsidR="004417EC" w:rsidRPr="00B07E71">
        <w:rPr>
          <w:rFonts w:ascii="Palatino Linotype" w:hAnsi="Palatino Linotype" w:cs="Arial"/>
          <w:sz w:val="24"/>
          <w:szCs w:val="24"/>
        </w:rPr>
        <w:t xml:space="preserve"> way law was taught in American</w:t>
      </w:r>
      <w:r w:rsidR="009F04EA" w:rsidRPr="00B07E71">
        <w:rPr>
          <w:rFonts w:ascii="Palatino Linotype" w:hAnsi="Palatino Linotype" w:cs="Arial"/>
          <w:sz w:val="24"/>
          <w:szCs w:val="24"/>
        </w:rPr>
        <w:t xml:space="preserve"> law schools</w:t>
      </w:r>
      <w:r w:rsidR="004417EC" w:rsidRPr="00B07E71">
        <w:rPr>
          <w:rFonts w:ascii="Palatino Linotype" w:hAnsi="Palatino Linotype" w:cs="Arial"/>
          <w:sz w:val="24"/>
          <w:szCs w:val="24"/>
        </w:rPr>
        <w:t>,</w:t>
      </w:r>
      <w:r w:rsidR="00C72947" w:rsidRPr="00B07E71">
        <w:rPr>
          <w:rStyle w:val="FootnoteReference"/>
          <w:rFonts w:ascii="Palatino Linotype" w:hAnsi="Palatino Linotype" w:cs="Arial"/>
          <w:sz w:val="24"/>
          <w:szCs w:val="24"/>
        </w:rPr>
        <w:footnoteReference w:id="6"/>
      </w:r>
      <w:r w:rsidR="005769B6" w:rsidRPr="00B07E71">
        <w:rPr>
          <w:rFonts w:ascii="Palatino Linotype" w:hAnsi="Palatino Linotype" w:cs="Arial"/>
          <w:sz w:val="24"/>
          <w:szCs w:val="24"/>
        </w:rPr>
        <w:t xml:space="preserve"> Frank is recognised as a </w:t>
      </w:r>
      <w:r w:rsidR="00865F1A" w:rsidRPr="00B07E71">
        <w:rPr>
          <w:rFonts w:ascii="Palatino Linotype" w:hAnsi="Palatino Linotype" w:cs="Arial"/>
          <w:sz w:val="24"/>
          <w:szCs w:val="24"/>
        </w:rPr>
        <w:t>leader of the legal realist movement and a pioneer in</w:t>
      </w:r>
      <w:r w:rsidR="005769B6" w:rsidRPr="00B07E71">
        <w:rPr>
          <w:rFonts w:ascii="Palatino Linotype" w:hAnsi="Palatino Linotype" w:cs="Arial"/>
          <w:sz w:val="24"/>
          <w:szCs w:val="24"/>
        </w:rPr>
        <w:t xml:space="preserve"> the cause of clinical legal education</w:t>
      </w:r>
      <w:r w:rsidR="00C72947" w:rsidRPr="00B07E71">
        <w:rPr>
          <w:rFonts w:ascii="Palatino Linotype" w:hAnsi="Palatino Linotype" w:cs="Arial"/>
          <w:sz w:val="24"/>
          <w:szCs w:val="24"/>
        </w:rPr>
        <w:t>.</w:t>
      </w:r>
      <w:r w:rsidR="005769B6" w:rsidRPr="00B07E71">
        <w:rPr>
          <w:rStyle w:val="FootnoteReference"/>
          <w:rFonts w:ascii="Palatino Linotype" w:hAnsi="Palatino Linotype" w:cs="Arial"/>
          <w:sz w:val="24"/>
          <w:szCs w:val="24"/>
        </w:rPr>
        <w:footnoteReference w:id="7"/>
      </w:r>
    </w:p>
    <w:p w:rsidR="00E673D5" w:rsidRPr="00B07E71" w:rsidRDefault="00882C74"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Concerned about the prevalence of a ‘library law’ approach</w:t>
      </w:r>
      <w:r w:rsidR="00ED6F06" w:rsidRPr="00B07E71">
        <w:rPr>
          <w:rFonts w:ascii="Palatino Linotype" w:hAnsi="Palatino Linotype" w:cs="Arial"/>
          <w:sz w:val="24"/>
          <w:szCs w:val="24"/>
        </w:rPr>
        <w:t xml:space="preserve"> to legal education based on</w:t>
      </w:r>
      <w:r w:rsidRPr="00B07E71">
        <w:rPr>
          <w:rFonts w:ascii="Palatino Linotype" w:hAnsi="Palatino Linotype" w:cs="Arial"/>
          <w:sz w:val="24"/>
          <w:szCs w:val="24"/>
        </w:rPr>
        <w:t xml:space="preserve"> </w:t>
      </w:r>
      <w:r w:rsidR="008C28B9" w:rsidRPr="00B07E71">
        <w:rPr>
          <w:rFonts w:ascii="Palatino Linotype" w:hAnsi="Palatino Linotype" w:cs="Arial"/>
          <w:sz w:val="24"/>
          <w:szCs w:val="24"/>
        </w:rPr>
        <w:t xml:space="preserve">Dean Christopher Columbus </w:t>
      </w:r>
      <w:r w:rsidRPr="00B07E71">
        <w:rPr>
          <w:rFonts w:ascii="Palatino Linotype" w:hAnsi="Palatino Linotype" w:cs="Arial"/>
          <w:sz w:val="24"/>
          <w:szCs w:val="24"/>
        </w:rPr>
        <w:t>Langdell’s casebook method of law teaching,</w:t>
      </w:r>
      <w:r w:rsidRPr="00B07E71">
        <w:rPr>
          <w:rStyle w:val="FootnoteReference"/>
          <w:rFonts w:ascii="Palatino Linotype" w:hAnsi="Palatino Linotype" w:cs="Arial"/>
          <w:sz w:val="24"/>
          <w:szCs w:val="24"/>
        </w:rPr>
        <w:footnoteReference w:id="8"/>
      </w:r>
      <w:r w:rsidRPr="00B07E71">
        <w:rPr>
          <w:rFonts w:ascii="Palatino Linotype" w:hAnsi="Palatino Linotype" w:cs="Arial"/>
          <w:sz w:val="24"/>
          <w:szCs w:val="24"/>
        </w:rPr>
        <w:t xml:space="preserve"> Frank, influenced by the teaching method employed in medical schools,</w:t>
      </w:r>
      <w:r w:rsidR="00E673D5" w:rsidRPr="00B07E71">
        <w:rPr>
          <w:rStyle w:val="FootnoteReference"/>
          <w:rFonts w:ascii="Palatino Linotype" w:hAnsi="Palatino Linotype" w:cs="Arial"/>
          <w:sz w:val="24"/>
          <w:szCs w:val="24"/>
        </w:rPr>
        <w:footnoteReference w:id="9"/>
      </w:r>
      <w:r w:rsidRPr="00B07E71">
        <w:rPr>
          <w:rFonts w:ascii="Palatino Linotype" w:hAnsi="Palatino Linotype" w:cs="Arial"/>
          <w:sz w:val="24"/>
          <w:szCs w:val="24"/>
        </w:rPr>
        <w:t xml:space="preserve"> advocated </w:t>
      </w:r>
      <w:r w:rsidR="00E673D5" w:rsidRPr="00B07E71">
        <w:rPr>
          <w:rFonts w:ascii="Palatino Linotype" w:hAnsi="Palatino Linotype" w:cs="Arial"/>
          <w:sz w:val="24"/>
          <w:szCs w:val="24"/>
        </w:rPr>
        <w:t xml:space="preserve">for </w:t>
      </w:r>
      <w:r w:rsidR="0001224B" w:rsidRPr="00B07E71">
        <w:rPr>
          <w:rFonts w:ascii="Palatino Linotype" w:hAnsi="Palatino Linotype" w:cs="Arial"/>
          <w:sz w:val="24"/>
          <w:szCs w:val="24"/>
        </w:rPr>
        <w:t xml:space="preserve">the establishment of </w:t>
      </w:r>
      <w:r w:rsidR="00E673D5" w:rsidRPr="00B07E71">
        <w:rPr>
          <w:rFonts w:ascii="Palatino Linotype" w:hAnsi="Palatino Linotype" w:cs="Arial"/>
          <w:sz w:val="24"/>
          <w:szCs w:val="24"/>
        </w:rPr>
        <w:t>legal clinics in law schools run by academic staff and assisted by graduate students, undergraduate students, and leading members of the legal profession</w:t>
      </w:r>
      <w:r w:rsidRPr="00B07E71">
        <w:rPr>
          <w:rFonts w:ascii="Palatino Linotype" w:hAnsi="Palatino Linotype" w:cs="Arial"/>
          <w:sz w:val="24"/>
          <w:szCs w:val="24"/>
        </w:rPr>
        <w:t>.</w:t>
      </w:r>
      <w:r w:rsidR="00E673D5" w:rsidRPr="00B07E71">
        <w:rPr>
          <w:rFonts w:ascii="Palatino Linotype" w:hAnsi="Palatino Linotype" w:cs="Arial"/>
          <w:sz w:val="24"/>
          <w:szCs w:val="24"/>
        </w:rPr>
        <w:t xml:space="preserve"> Such clinics “would be done for little or no charge”,</w:t>
      </w:r>
      <w:r w:rsidR="00E673D5" w:rsidRPr="00B07E71">
        <w:rPr>
          <w:rStyle w:val="FootnoteReference"/>
          <w:rFonts w:ascii="Palatino Linotype" w:hAnsi="Palatino Linotype" w:cs="Arial"/>
          <w:sz w:val="24"/>
          <w:szCs w:val="24"/>
        </w:rPr>
        <w:footnoteReference w:id="10"/>
      </w:r>
      <w:r w:rsidR="00E673D5" w:rsidRPr="00B07E71">
        <w:rPr>
          <w:rFonts w:ascii="Palatino Linotype" w:hAnsi="Palatino Linotype" w:cs="Arial"/>
          <w:sz w:val="24"/>
          <w:szCs w:val="24"/>
        </w:rPr>
        <w:t xml:space="preserve"> and the “teacher-clinicians would devote their full time to their teaching, including such clinical work, and would not engage in private practice”.</w:t>
      </w:r>
      <w:r w:rsidR="00E673D5" w:rsidRPr="00B07E71">
        <w:rPr>
          <w:rStyle w:val="FootnoteReference"/>
          <w:rFonts w:ascii="Palatino Linotype" w:hAnsi="Palatino Linotype" w:cs="Arial"/>
          <w:sz w:val="24"/>
          <w:szCs w:val="24"/>
        </w:rPr>
        <w:footnoteReference w:id="11"/>
      </w:r>
    </w:p>
    <w:p w:rsidR="00726673" w:rsidRPr="00B07E71" w:rsidRDefault="00A14582"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It was not until the 1960s, and th</w:t>
      </w:r>
      <w:r w:rsidR="006B1E2A" w:rsidRPr="00B07E71">
        <w:rPr>
          <w:rFonts w:ascii="Palatino Linotype" w:hAnsi="Palatino Linotype" w:cs="Arial"/>
          <w:sz w:val="24"/>
          <w:szCs w:val="24"/>
        </w:rPr>
        <w:t>e establishment</w:t>
      </w:r>
      <w:r w:rsidRPr="00B07E71">
        <w:rPr>
          <w:rFonts w:ascii="Palatino Linotype" w:hAnsi="Palatino Linotype" w:cs="Arial"/>
          <w:sz w:val="24"/>
          <w:szCs w:val="24"/>
        </w:rPr>
        <w:t xml:space="preserve"> of the Council on Education in Professional Responsibility (COEPR), that</w:t>
      </w:r>
      <w:r w:rsidR="006B1E2A" w:rsidRPr="00B07E71">
        <w:rPr>
          <w:rFonts w:ascii="Palatino Linotype" w:hAnsi="Palatino Linotype" w:cs="Arial"/>
          <w:sz w:val="24"/>
          <w:szCs w:val="24"/>
        </w:rPr>
        <w:t xml:space="preserve"> “clinical legal education solidified and expanded its foothold in the academy”</w:t>
      </w:r>
      <w:r w:rsidRPr="00B07E71">
        <w:rPr>
          <w:rStyle w:val="FootnoteReference"/>
          <w:rFonts w:ascii="Palatino Linotype" w:hAnsi="Palatino Linotype" w:cs="Arial"/>
          <w:sz w:val="24"/>
          <w:szCs w:val="24"/>
        </w:rPr>
        <w:footnoteReference w:id="12"/>
      </w:r>
      <w:r w:rsidR="006B1E2A" w:rsidRPr="00B07E71">
        <w:rPr>
          <w:rFonts w:ascii="Palatino Linotype" w:hAnsi="Palatino Linotype" w:cs="Arial"/>
          <w:sz w:val="24"/>
          <w:szCs w:val="24"/>
        </w:rPr>
        <w:t xml:space="preserve"> through the “establishment of law clinics at a number of law schools”.</w:t>
      </w:r>
      <w:r w:rsidR="006B1E2A" w:rsidRPr="00B07E71">
        <w:rPr>
          <w:rStyle w:val="FootnoteReference"/>
          <w:rFonts w:ascii="Palatino Linotype" w:hAnsi="Palatino Linotype" w:cs="Arial"/>
          <w:sz w:val="24"/>
          <w:szCs w:val="24"/>
        </w:rPr>
        <w:footnoteReference w:id="13"/>
      </w:r>
      <w:r w:rsidR="0009428E" w:rsidRPr="00B07E71">
        <w:rPr>
          <w:rFonts w:ascii="Palatino Linotype" w:hAnsi="Palatino Linotype" w:cs="Arial"/>
          <w:sz w:val="24"/>
          <w:szCs w:val="24"/>
        </w:rPr>
        <w:t xml:space="preserve"> </w:t>
      </w:r>
      <w:r w:rsidR="00726673" w:rsidRPr="00B07E71">
        <w:rPr>
          <w:rFonts w:ascii="Palatino Linotype" w:hAnsi="Palatino Linotype" w:cs="Arial"/>
          <w:sz w:val="24"/>
          <w:szCs w:val="24"/>
        </w:rPr>
        <w:t xml:space="preserve">These early clinics focused on legal service delivery, usually to disadvantaged members of the community. </w:t>
      </w:r>
      <w:r w:rsidR="0009428E" w:rsidRPr="00B07E71">
        <w:rPr>
          <w:rFonts w:ascii="Palatino Linotype" w:hAnsi="Palatino Linotype" w:cs="Arial"/>
          <w:sz w:val="24"/>
          <w:szCs w:val="24"/>
        </w:rPr>
        <w:t>According to Grossman, community service, rather than educational benefit, was the main objective.</w:t>
      </w:r>
      <w:r w:rsidR="0009428E" w:rsidRPr="00B07E71">
        <w:rPr>
          <w:rStyle w:val="FootnoteReference"/>
          <w:rFonts w:ascii="Palatino Linotype" w:hAnsi="Palatino Linotype" w:cs="Arial"/>
          <w:sz w:val="24"/>
          <w:szCs w:val="24"/>
        </w:rPr>
        <w:footnoteReference w:id="14"/>
      </w:r>
    </w:p>
    <w:p w:rsidR="0009428E" w:rsidRPr="00B07E71" w:rsidRDefault="0009428E"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the early evolution of clinical legal education, the distinction between in-house clinics located in, or run by, the law school, and externships, was not pronounced.</w:t>
      </w:r>
      <w:r w:rsidR="00C8029D" w:rsidRPr="00B07E71">
        <w:rPr>
          <w:rFonts w:ascii="Palatino Linotype" w:hAnsi="Palatino Linotype" w:cs="Arial"/>
          <w:sz w:val="24"/>
          <w:szCs w:val="24"/>
        </w:rPr>
        <w:t xml:space="preserve"> Grossman, writing in 1974, noted:</w:t>
      </w:r>
    </w:p>
    <w:p w:rsidR="00C8029D" w:rsidRPr="00B07E71" w:rsidRDefault="0009428E"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 xml:space="preserve">The format of service-orientated clinical programs generally involves the farming out of students to various community law offices … At the law offices students work under the supervision of a staff attorney. A member of the law faculty or a clinical appointee </w:t>
      </w:r>
      <w:r w:rsidR="00C8029D" w:rsidRPr="00B07E71">
        <w:rPr>
          <w:rFonts w:ascii="Palatino Linotype" w:hAnsi="Palatino Linotype" w:cs="Arial"/>
          <w:i/>
          <w:sz w:val="24"/>
          <w:szCs w:val="24"/>
        </w:rPr>
        <w:t>is also responsible for supervision from the law school – at least on a part-time basis. A classroom component may be added to the program to orient students at the start and/or to take stock of their experiences during or after their field work</w:t>
      </w:r>
      <w:r w:rsidR="00C8029D" w:rsidRPr="00B07E71">
        <w:rPr>
          <w:rFonts w:ascii="Palatino Linotype" w:hAnsi="Palatino Linotype" w:cs="Arial"/>
          <w:sz w:val="24"/>
          <w:szCs w:val="24"/>
        </w:rPr>
        <w:t>.</w:t>
      </w:r>
      <w:r w:rsidR="00C8029D" w:rsidRPr="00B07E71">
        <w:rPr>
          <w:rStyle w:val="FootnoteReference"/>
          <w:rFonts w:ascii="Palatino Linotype" w:hAnsi="Palatino Linotype" w:cs="Arial"/>
          <w:sz w:val="24"/>
          <w:szCs w:val="24"/>
        </w:rPr>
        <w:footnoteReference w:id="15"/>
      </w:r>
    </w:p>
    <w:p w:rsidR="001B15DF" w:rsidRPr="00B07E71" w:rsidRDefault="00C8029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clinical legal education</w:t>
      </w:r>
      <w:r w:rsidR="0009428E" w:rsidRPr="00B07E71">
        <w:rPr>
          <w:rFonts w:ascii="Palatino Linotype" w:hAnsi="Palatino Linotype" w:cs="Arial"/>
          <w:sz w:val="24"/>
          <w:szCs w:val="24"/>
        </w:rPr>
        <w:t xml:space="preserve"> movement was not confined to the United States. As Giddings notes, “countries including Australia, Canada, Chile, England, India, South Africa, the United States and Zimbabwe saw the development of clinical programs in the 1960s and 1970s</w:t>
      </w:r>
      <w:r w:rsidR="001B15DF" w:rsidRPr="00B07E71">
        <w:rPr>
          <w:rFonts w:ascii="Palatino Linotype" w:hAnsi="Palatino Linotype" w:cs="Arial"/>
          <w:sz w:val="24"/>
          <w:szCs w:val="24"/>
        </w:rPr>
        <w:t>”</w:t>
      </w:r>
      <w:r w:rsidR="0009428E" w:rsidRPr="00B07E71">
        <w:rPr>
          <w:rFonts w:ascii="Palatino Linotype" w:hAnsi="Palatino Linotype" w:cs="Arial"/>
          <w:sz w:val="24"/>
          <w:szCs w:val="24"/>
        </w:rPr>
        <w:t>.</w:t>
      </w:r>
      <w:r w:rsidR="0009428E" w:rsidRPr="00B07E71">
        <w:rPr>
          <w:rStyle w:val="FootnoteReference"/>
          <w:rFonts w:ascii="Palatino Linotype" w:hAnsi="Palatino Linotype" w:cs="Arial"/>
          <w:sz w:val="24"/>
          <w:szCs w:val="24"/>
        </w:rPr>
        <w:footnoteReference w:id="16"/>
      </w:r>
      <w:r w:rsidRPr="00B07E71">
        <w:rPr>
          <w:rFonts w:ascii="Palatino Linotype" w:hAnsi="Palatino Linotype" w:cs="Arial"/>
          <w:sz w:val="24"/>
          <w:szCs w:val="24"/>
        </w:rPr>
        <w:t xml:space="preserve"> </w:t>
      </w:r>
      <w:r w:rsidR="001B15DF" w:rsidRPr="00B07E71">
        <w:rPr>
          <w:rFonts w:ascii="Palatino Linotype" w:hAnsi="Palatino Linotype" w:cs="Arial"/>
          <w:sz w:val="24"/>
          <w:szCs w:val="24"/>
        </w:rPr>
        <w:t xml:space="preserve">Whether in-house or ‘farmed out’, clinical legal education in the 1960s and 1970s focused on caseload management and service </w:t>
      </w:r>
      <w:r w:rsidR="00ED6F06" w:rsidRPr="00B07E71">
        <w:rPr>
          <w:rFonts w:ascii="Palatino Linotype" w:hAnsi="Palatino Linotype" w:cs="Arial"/>
          <w:sz w:val="24"/>
          <w:szCs w:val="24"/>
        </w:rPr>
        <w:t xml:space="preserve">delivery </w:t>
      </w:r>
      <w:r w:rsidR="001B15DF" w:rsidRPr="00B07E71">
        <w:rPr>
          <w:rFonts w:ascii="Palatino Linotype" w:hAnsi="Palatino Linotype" w:cs="Arial"/>
          <w:sz w:val="24"/>
          <w:szCs w:val="24"/>
        </w:rPr>
        <w:t>to real clients in a law office setting.</w:t>
      </w:r>
    </w:p>
    <w:p w:rsidR="00036121" w:rsidRPr="00B07E71" w:rsidRDefault="00277E8A"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Today,</w:t>
      </w:r>
      <w:r w:rsidR="000B2D90" w:rsidRPr="00B07E71">
        <w:rPr>
          <w:rFonts w:ascii="Palatino Linotype" w:hAnsi="Palatino Linotype" w:cs="Arial"/>
          <w:sz w:val="24"/>
          <w:szCs w:val="24"/>
        </w:rPr>
        <w:t xml:space="preserve"> clinical legal edu</w:t>
      </w:r>
      <w:r w:rsidR="00402404" w:rsidRPr="00B07E71">
        <w:rPr>
          <w:rFonts w:ascii="Palatino Linotype" w:hAnsi="Palatino Linotype" w:cs="Arial"/>
          <w:sz w:val="24"/>
          <w:szCs w:val="24"/>
        </w:rPr>
        <w:t>cation is truly global in</w:t>
      </w:r>
      <w:r w:rsidR="00E11D5B" w:rsidRPr="00B07E71">
        <w:rPr>
          <w:rFonts w:ascii="Palatino Linotype" w:hAnsi="Palatino Linotype" w:cs="Arial"/>
          <w:sz w:val="24"/>
          <w:szCs w:val="24"/>
        </w:rPr>
        <w:t xml:space="preserve"> scope,</w:t>
      </w:r>
      <w:r w:rsidR="00F65BDF" w:rsidRPr="00B07E71">
        <w:rPr>
          <w:rStyle w:val="FootnoteReference"/>
          <w:rFonts w:ascii="Palatino Linotype" w:hAnsi="Palatino Linotype" w:cs="Arial"/>
          <w:sz w:val="24"/>
          <w:szCs w:val="24"/>
        </w:rPr>
        <w:footnoteReference w:id="17"/>
      </w:r>
      <w:r w:rsidR="00E11D5B" w:rsidRPr="00B07E71">
        <w:rPr>
          <w:rFonts w:ascii="Palatino Linotype" w:hAnsi="Palatino Linotype" w:cs="Arial"/>
          <w:sz w:val="24"/>
          <w:szCs w:val="24"/>
        </w:rPr>
        <w:t xml:space="preserve"> and takes a variety of forms. In addition to real-client clinics, law students around the world are involved in raising community awareness of legal rights through Street Law programs,</w:t>
      </w:r>
      <w:r w:rsidR="00F65BDF" w:rsidRPr="00B07E71">
        <w:rPr>
          <w:rStyle w:val="FootnoteReference"/>
          <w:rFonts w:ascii="Palatino Linotype" w:hAnsi="Palatino Linotype" w:cs="Arial"/>
          <w:sz w:val="24"/>
          <w:szCs w:val="24"/>
        </w:rPr>
        <w:footnoteReference w:id="18"/>
      </w:r>
      <w:r w:rsidR="00E11D5B" w:rsidRPr="00B07E71">
        <w:rPr>
          <w:rFonts w:ascii="Palatino Linotype" w:hAnsi="Palatino Linotype" w:cs="Arial"/>
          <w:sz w:val="24"/>
          <w:szCs w:val="24"/>
        </w:rPr>
        <w:t xml:space="preserve"> legal policy formulation through </w:t>
      </w:r>
      <w:r w:rsidRPr="00B07E71">
        <w:rPr>
          <w:rFonts w:ascii="Palatino Linotype" w:hAnsi="Palatino Linotype" w:cs="Arial"/>
          <w:sz w:val="24"/>
          <w:szCs w:val="24"/>
        </w:rPr>
        <w:t>externships</w:t>
      </w:r>
      <w:r w:rsidR="00E11D5B" w:rsidRPr="00B07E71">
        <w:rPr>
          <w:rFonts w:ascii="Palatino Linotype" w:hAnsi="Palatino Linotype" w:cs="Arial"/>
          <w:sz w:val="24"/>
          <w:szCs w:val="24"/>
        </w:rPr>
        <w:t xml:space="preserve"> at law reform bodies and government agencies,</w:t>
      </w:r>
      <w:r w:rsidR="008C28B9" w:rsidRPr="00B07E71">
        <w:rPr>
          <w:rStyle w:val="FootnoteReference"/>
          <w:rFonts w:ascii="Palatino Linotype" w:hAnsi="Palatino Linotype" w:cs="Arial"/>
          <w:sz w:val="24"/>
          <w:szCs w:val="24"/>
        </w:rPr>
        <w:footnoteReference w:id="19"/>
      </w:r>
      <w:r w:rsidR="00E11D5B" w:rsidRPr="00B07E71">
        <w:rPr>
          <w:rFonts w:ascii="Palatino Linotype" w:hAnsi="Palatino Linotype" w:cs="Arial"/>
          <w:sz w:val="24"/>
          <w:szCs w:val="24"/>
        </w:rPr>
        <w:t xml:space="preserve"> and learning professional ethics and practice skills thorough simulations.</w:t>
      </w:r>
      <w:r w:rsidR="0034267F" w:rsidRPr="00B07E71">
        <w:rPr>
          <w:rStyle w:val="FootnoteReference"/>
          <w:rFonts w:ascii="Palatino Linotype" w:hAnsi="Palatino Linotype" w:cs="Arial"/>
          <w:sz w:val="24"/>
          <w:szCs w:val="24"/>
        </w:rPr>
        <w:footnoteReference w:id="20"/>
      </w:r>
      <w:r w:rsidR="00E11D5B" w:rsidRPr="00B07E71">
        <w:rPr>
          <w:rFonts w:ascii="Palatino Linotype" w:hAnsi="Palatino Linotype" w:cs="Arial"/>
          <w:sz w:val="24"/>
          <w:szCs w:val="24"/>
        </w:rPr>
        <w:t xml:space="preserve"> </w:t>
      </w:r>
      <w:r w:rsidR="00ED6F06" w:rsidRPr="00B07E71">
        <w:rPr>
          <w:rFonts w:ascii="Palatino Linotype" w:hAnsi="Palatino Linotype" w:cs="Arial"/>
          <w:sz w:val="24"/>
          <w:szCs w:val="24"/>
        </w:rPr>
        <w:t xml:space="preserve"> </w:t>
      </w:r>
    </w:p>
    <w:p w:rsidR="00DE48C4" w:rsidRPr="00B07E71" w:rsidRDefault="00F65BDF"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According to Milstein, </w:t>
      </w:r>
      <w:r w:rsidR="00E11D5B" w:rsidRPr="00B07E71">
        <w:rPr>
          <w:rFonts w:ascii="Palatino Linotype" w:hAnsi="Palatino Linotype" w:cs="Arial"/>
          <w:sz w:val="24"/>
          <w:szCs w:val="24"/>
        </w:rPr>
        <w:t xml:space="preserve">clinical legal education </w:t>
      </w:r>
      <w:r w:rsidRPr="00B07E71">
        <w:rPr>
          <w:rFonts w:ascii="Palatino Linotype" w:hAnsi="Palatino Linotype" w:cs="Arial"/>
          <w:sz w:val="24"/>
          <w:szCs w:val="24"/>
        </w:rPr>
        <w:t>is defined by</w:t>
      </w:r>
      <w:r w:rsidR="00E444EB" w:rsidRPr="00B07E71">
        <w:rPr>
          <w:rFonts w:ascii="Palatino Linotype" w:hAnsi="Palatino Linotype" w:cs="Arial"/>
          <w:sz w:val="24"/>
          <w:szCs w:val="24"/>
        </w:rPr>
        <w:t xml:space="preserve"> the educational outcome achieved, rather than</w:t>
      </w:r>
      <w:r w:rsidRPr="00B07E71">
        <w:rPr>
          <w:rFonts w:ascii="Palatino Linotype" w:hAnsi="Palatino Linotype" w:cs="Arial"/>
          <w:sz w:val="24"/>
          <w:szCs w:val="24"/>
        </w:rPr>
        <w:t xml:space="preserve"> </w:t>
      </w:r>
      <w:r w:rsidR="00A51256" w:rsidRPr="00B07E71">
        <w:rPr>
          <w:rFonts w:ascii="Palatino Linotype" w:hAnsi="Palatino Linotype" w:cs="Arial"/>
          <w:sz w:val="24"/>
          <w:szCs w:val="24"/>
        </w:rPr>
        <w:t>by the</w:t>
      </w:r>
      <w:r w:rsidRPr="00B07E71">
        <w:rPr>
          <w:rFonts w:ascii="Palatino Linotype" w:hAnsi="Palatino Linotype" w:cs="Arial"/>
          <w:sz w:val="24"/>
          <w:szCs w:val="24"/>
        </w:rPr>
        <w:t xml:space="preserve"> existence of a ‘client’</w:t>
      </w:r>
      <w:r w:rsidR="00A51256" w:rsidRPr="00B07E71">
        <w:rPr>
          <w:rFonts w:ascii="Palatino Linotype" w:hAnsi="Palatino Linotype" w:cs="Arial"/>
          <w:sz w:val="24"/>
          <w:szCs w:val="24"/>
        </w:rPr>
        <w:t xml:space="preserve"> in the process</w:t>
      </w:r>
      <w:r w:rsidR="00E444EB" w:rsidRPr="00B07E71">
        <w:rPr>
          <w:rFonts w:ascii="Palatino Linotype" w:hAnsi="Palatino Linotype" w:cs="Arial"/>
          <w:sz w:val="24"/>
          <w:szCs w:val="24"/>
        </w:rPr>
        <w:t>.</w:t>
      </w:r>
      <w:r w:rsidR="00ED6F06" w:rsidRPr="00B07E71">
        <w:rPr>
          <w:rFonts w:ascii="Palatino Linotype" w:hAnsi="Palatino Linotype" w:cs="Arial"/>
          <w:sz w:val="24"/>
          <w:szCs w:val="24"/>
        </w:rPr>
        <w:t xml:space="preserve"> He divides clinical legal education in</w:t>
      </w:r>
      <w:r w:rsidR="00A64338" w:rsidRPr="00B07E71">
        <w:rPr>
          <w:rFonts w:ascii="Palatino Linotype" w:hAnsi="Palatino Linotype" w:cs="Arial"/>
          <w:sz w:val="24"/>
          <w:szCs w:val="24"/>
        </w:rPr>
        <w:t>to three branches; in-house real</w:t>
      </w:r>
      <w:r w:rsidR="00ED6F06" w:rsidRPr="00B07E71">
        <w:rPr>
          <w:rFonts w:ascii="Palatino Linotype" w:hAnsi="Palatino Linotype" w:cs="Arial"/>
          <w:sz w:val="24"/>
          <w:szCs w:val="24"/>
        </w:rPr>
        <w:t>-client clinics,</w:t>
      </w:r>
      <w:r w:rsidR="00A64338" w:rsidRPr="00B07E71">
        <w:rPr>
          <w:rStyle w:val="FootnoteReference"/>
          <w:rFonts w:ascii="Palatino Linotype" w:hAnsi="Palatino Linotype" w:cs="Arial"/>
          <w:sz w:val="24"/>
          <w:szCs w:val="24"/>
        </w:rPr>
        <w:footnoteReference w:id="21"/>
      </w:r>
      <w:r w:rsidR="00ED6F06" w:rsidRPr="00B07E71">
        <w:rPr>
          <w:rFonts w:ascii="Palatino Linotype" w:hAnsi="Palatino Linotype" w:cs="Arial"/>
          <w:sz w:val="24"/>
          <w:szCs w:val="24"/>
        </w:rPr>
        <w:t xml:space="preserve"> externships, and simulations.</w:t>
      </w:r>
    </w:p>
    <w:p w:rsidR="00B30D1E" w:rsidRPr="00B07E71" w:rsidRDefault="00E444E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Not all would agree with Milstein’s </w:t>
      </w:r>
      <w:r w:rsidR="003B4E9B" w:rsidRPr="00B07E71">
        <w:rPr>
          <w:rFonts w:ascii="Palatino Linotype" w:hAnsi="Palatino Linotype" w:cs="Arial"/>
          <w:sz w:val="24"/>
          <w:szCs w:val="24"/>
        </w:rPr>
        <w:t>broad definition of clinical programs.</w:t>
      </w:r>
      <w:r w:rsidRPr="00B07E71">
        <w:rPr>
          <w:rFonts w:ascii="Palatino Linotype" w:hAnsi="Palatino Linotype" w:cs="Arial"/>
          <w:sz w:val="24"/>
          <w:szCs w:val="24"/>
        </w:rPr>
        <w:t xml:space="preserve"> Evans, for example, </w:t>
      </w:r>
      <w:r w:rsidR="003B4E9B" w:rsidRPr="00B07E71">
        <w:rPr>
          <w:rFonts w:ascii="Palatino Linotype" w:hAnsi="Palatino Linotype" w:cs="Arial"/>
          <w:sz w:val="24"/>
          <w:szCs w:val="24"/>
        </w:rPr>
        <w:t>takes a more traditional view when he describes a clinic as “supervised experiential encounters between clients and their legal advisors, in the interest of just case outcomes, the processes of law reform and political renewal”.</w:t>
      </w:r>
      <w:r w:rsidR="003B4E9B" w:rsidRPr="00B07E71">
        <w:rPr>
          <w:rStyle w:val="FootnoteReference"/>
          <w:rFonts w:ascii="Palatino Linotype" w:hAnsi="Palatino Linotype" w:cs="Arial"/>
          <w:sz w:val="24"/>
          <w:szCs w:val="24"/>
        </w:rPr>
        <w:footnoteReference w:id="22"/>
      </w:r>
      <w:r w:rsidR="00DB627B" w:rsidRPr="00B07E71">
        <w:rPr>
          <w:rFonts w:ascii="Palatino Linotype" w:hAnsi="Palatino Linotype" w:cs="Arial"/>
          <w:sz w:val="24"/>
          <w:szCs w:val="24"/>
        </w:rPr>
        <w:t xml:space="preserve">  </w:t>
      </w:r>
      <w:r w:rsidR="00B30D1E" w:rsidRPr="00B07E71">
        <w:rPr>
          <w:rFonts w:ascii="Palatino Linotype" w:hAnsi="Palatino Linotype" w:cs="Arial"/>
          <w:sz w:val="24"/>
          <w:szCs w:val="24"/>
        </w:rPr>
        <w:t>O</w:t>
      </w:r>
      <w:r w:rsidR="00931A6E" w:rsidRPr="00B07E71">
        <w:rPr>
          <w:rFonts w:ascii="Palatino Linotype" w:hAnsi="Palatino Linotype" w:cs="Arial"/>
          <w:sz w:val="24"/>
          <w:szCs w:val="24"/>
        </w:rPr>
        <w:t xml:space="preserve">ne of the authors of this </w:t>
      </w:r>
      <w:r w:rsidR="00AA44CE" w:rsidRPr="00B07E71">
        <w:rPr>
          <w:rFonts w:ascii="Palatino Linotype" w:hAnsi="Palatino Linotype" w:cs="Arial"/>
          <w:sz w:val="24"/>
          <w:szCs w:val="24"/>
        </w:rPr>
        <w:t>article</w:t>
      </w:r>
      <w:r w:rsidR="00B30D1E" w:rsidRPr="00B07E71">
        <w:rPr>
          <w:rFonts w:ascii="Palatino Linotype" w:hAnsi="Palatino Linotype" w:cs="Arial"/>
          <w:sz w:val="24"/>
          <w:szCs w:val="24"/>
        </w:rPr>
        <w:t xml:space="preserve">, relying on the work of Rice and </w:t>
      </w:r>
      <w:proofErr w:type="spellStart"/>
      <w:r w:rsidR="00B30D1E" w:rsidRPr="00B07E71">
        <w:rPr>
          <w:rFonts w:ascii="Palatino Linotype" w:hAnsi="Palatino Linotype" w:cs="Arial"/>
          <w:sz w:val="24"/>
          <w:szCs w:val="24"/>
        </w:rPr>
        <w:t>Coss</w:t>
      </w:r>
      <w:proofErr w:type="spellEnd"/>
      <w:r w:rsidR="00B30D1E" w:rsidRPr="00B07E71">
        <w:rPr>
          <w:rFonts w:ascii="Palatino Linotype" w:hAnsi="Palatino Linotype" w:cs="Arial"/>
          <w:sz w:val="24"/>
          <w:szCs w:val="24"/>
        </w:rPr>
        <w:t>,</w:t>
      </w:r>
      <w:r w:rsidR="00B30D1E" w:rsidRPr="00B07E71">
        <w:rPr>
          <w:rStyle w:val="FootnoteReference"/>
          <w:rFonts w:ascii="Palatino Linotype" w:hAnsi="Palatino Linotype" w:cs="Arial"/>
          <w:sz w:val="24"/>
          <w:szCs w:val="24"/>
        </w:rPr>
        <w:footnoteReference w:id="23"/>
      </w:r>
      <w:r w:rsidR="00B30D1E" w:rsidRPr="00B07E71">
        <w:rPr>
          <w:rFonts w:ascii="Palatino Linotype" w:hAnsi="Palatino Linotype" w:cs="Arial"/>
          <w:sz w:val="24"/>
          <w:szCs w:val="24"/>
        </w:rPr>
        <w:t xml:space="preserve"> previously distinguished clinical from other forms of legal education based on the following:</w:t>
      </w:r>
      <w:r w:rsidR="00401146" w:rsidRPr="00B07E71">
        <w:rPr>
          <w:rStyle w:val="FootnoteReference"/>
          <w:rFonts w:ascii="Palatino Linotype" w:hAnsi="Palatino Linotype" w:cs="Arial"/>
          <w:sz w:val="24"/>
          <w:szCs w:val="24"/>
        </w:rPr>
        <w:footnoteReference w:id="24"/>
      </w:r>
    </w:p>
    <w:p w:rsidR="00EA3C53" w:rsidRPr="00B07E71" w:rsidRDefault="00B30D1E"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i/>
          <w:sz w:val="24"/>
          <w:szCs w:val="24"/>
        </w:rPr>
        <w:t>the presence of a real client in the student’s activities</w:t>
      </w:r>
      <w:r w:rsidRPr="00B07E71">
        <w:rPr>
          <w:rFonts w:ascii="Palatino Linotype" w:hAnsi="Palatino Linotype" w:cs="Arial"/>
          <w:sz w:val="24"/>
          <w:szCs w:val="24"/>
        </w:rPr>
        <w:t>;</w:t>
      </w:r>
    </w:p>
    <w:p w:rsidR="00401146" w:rsidRPr="00B07E71" w:rsidRDefault="00B30D1E"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i/>
          <w:sz w:val="24"/>
          <w:szCs w:val="24"/>
        </w:rPr>
        <w:t>a focus on ethics and professionalism, social needs and the lawyer’s role in society, rather than development of legal skills competency</w:t>
      </w:r>
      <w:r w:rsidRPr="00B07E71">
        <w:rPr>
          <w:rFonts w:ascii="Palatino Linotype" w:hAnsi="Palatino Linotype" w:cs="Arial"/>
          <w:sz w:val="24"/>
          <w:szCs w:val="24"/>
        </w:rPr>
        <w:t>; and</w:t>
      </w:r>
    </w:p>
    <w:p w:rsidR="00EA3C53" w:rsidRPr="00B07E71" w:rsidRDefault="00B30D1E"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i/>
          <w:sz w:val="24"/>
          <w:szCs w:val="24"/>
        </w:rPr>
        <w:t>emphasis on community service to people with legal need but without the resources to address the need to a sufficient degree or at all</w:t>
      </w:r>
      <w:r w:rsidRPr="00B07E71">
        <w:rPr>
          <w:rFonts w:ascii="Palatino Linotype" w:hAnsi="Palatino Linotype" w:cs="Arial"/>
          <w:sz w:val="24"/>
          <w:szCs w:val="24"/>
        </w:rPr>
        <w:t>.</w:t>
      </w:r>
    </w:p>
    <w:p w:rsidR="00E444EB" w:rsidRPr="00B07E71" w:rsidRDefault="00DB627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Based on t</w:t>
      </w:r>
      <w:r w:rsidR="006B49AD" w:rsidRPr="00B07E71">
        <w:rPr>
          <w:rFonts w:ascii="Palatino Linotype" w:hAnsi="Palatino Linotype" w:cs="Arial"/>
          <w:sz w:val="24"/>
          <w:szCs w:val="24"/>
        </w:rPr>
        <w:t>he</w:t>
      </w:r>
      <w:r w:rsidRPr="00B07E71">
        <w:rPr>
          <w:rFonts w:ascii="Palatino Linotype" w:hAnsi="Palatino Linotype" w:cs="Arial"/>
          <w:sz w:val="24"/>
          <w:szCs w:val="24"/>
        </w:rPr>
        <w:t>s</w:t>
      </w:r>
      <w:r w:rsidR="006B49AD" w:rsidRPr="00B07E71">
        <w:rPr>
          <w:rFonts w:ascii="Palatino Linotype" w:hAnsi="Palatino Linotype" w:cs="Arial"/>
          <w:sz w:val="24"/>
          <w:szCs w:val="24"/>
        </w:rPr>
        <w:t>e criteria</w:t>
      </w:r>
      <w:r w:rsidRPr="00B07E71">
        <w:rPr>
          <w:rFonts w:ascii="Palatino Linotype" w:hAnsi="Palatino Linotype" w:cs="Arial"/>
          <w:sz w:val="24"/>
          <w:szCs w:val="24"/>
        </w:rPr>
        <w:t>, the absence of a client disqualifies a program from being described as</w:t>
      </w:r>
      <w:r w:rsidR="003B4E9B" w:rsidRPr="00B07E71">
        <w:rPr>
          <w:rFonts w:ascii="Palatino Linotype" w:hAnsi="Palatino Linotype" w:cs="Arial"/>
          <w:sz w:val="24"/>
          <w:szCs w:val="24"/>
        </w:rPr>
        <w:t xml:space="preserve"> ‘clinical’. Pro bono placements, simulations, and externships that do not involve </w:t>
      </w:r>
      <w:r w:rsidRPr="00B07E71">
        <w:rPr>
          <w:rFonts w:ascii="Palatino Linotype" w:hAnsi="Palatino Linotype" w:cs="Arial"/>
          <w:sz w:val="24"/>
          <w:szCs w:val="24"/>
        </w:rPr>
        <w:t xml:space="preserve">advice </w:t>
      </w:r>
      <w:r w:rsidR="000B2D90" w:rsidRPr="00B07E71">
        <w:rPr>
          <w:rFonts w:ascii="Palatino Linotype" w:hAnsi="Palatino Linotype" w:cs="Arial"/>
          <w:sz w:val="24"/>
          <w:szCs w:val="24"/>
        </w:rPr>
        <w:t xml:space="preserve">to, </w:t>
      </w:r>
      <w:r w:rsidRPr="00B07E71">
        <w:rPr>
          <w:rFonts w:ascii="Palatino Linotype" w:hAnsi="Palatino Linotype" w:cs="Arial"/>
          <w:sz w:val="24"/>
          <w:szCs w:val="24"/>
        </w:rPr>
        <w:t xml:space="preserve">and representation </w:t>
      </w:r>
      <w:r w:rsidR="000B2D90" w:rsidRPr="00B07E71">
        <w:rPr>
          <w:rFonts w:ascii="Palatino Linotype" w:hAnsi="Palatino Linotype" w:cs="Arial"/>
          <w:sz w:val="24"/>
          <w:szCs w:val="24"/>
        </w:rPr>
        <w:t>of,</w:t>
      </w:r>
      <w:r w:rsidR="00A51256" w:rsidRPr="00B07E71">
        <w:rPr>
          <w:rFonts w:ascii="Palatino Linotype" w:hAnsi="Palatino Linotype" w:cs="Arial"/>
          <w:sz w:val="24"/>
          <w:szCs w:val="24"/>
        </w:rPr>
        <w:t xml:space="preserve"> a real client</w:t>
      </w:r>
      <w:r w:rsidR="006B49AD" w:rsidRPr="00B07E71">
        <w:rPr>
          <w:rFonts w:ascii="Palatino Linotype" w:hAnsi="Palatino Linotype" w:cs="Arial"/>
          <w:sz w:val="24"/>
          <w:szCs w:val="24"/>
        </w:rPr>
        <w:t xml:space="preserve"> </w:t>
      </w:r>
      <w:r w:rsidR="00A51256" w:rsidRPr="00B07E71">
        <w:rPr>
          <w:rFonts w:ascii="Palatino Linotype" w:hAnsi="Palatino Linotype" w:cs="Arial"/>
          <w:sz w:val="24"/>
          <w:szCs w:val="24"/>
        </w:rPr>
        <w:t xml:space="preserve">would not </w:t>
      </w:r>
      <w:r w:rsidRPr="00B07E71">
        <w:rPr>
          <w:rFonts w:ascii="Palatino Linotype" w:hAnsi="Palatino Linotype" w:cs="Arial"/>
          <w:sz w:val="24"/>
          <w:szCs w:val="24"/>
        </w:rPr>
        <w:t>qualify as a clinical program.</w:t>
      </w:r>
    </w:p>
    <w:p w:rsidR="00EA3C53" w:rsidRPr="00B07E71" w:rsidRDefault="006B49A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While historically the existence of a client in the law student’s acti</w:t>
      </w:r>
      <w:r w:rsidR="00EA3C53" w:rsidRPr="00B07E71">
        <w:rPr>
          <w:rFonts w:ascii="Palatino Linotype" w:hAnsi="Palatino Linotype" w:cs="Arial"/>
          <w:sz w:val="24"/>
          <w:szCs w:val="24"/>
        </w:rPr>
        <w:t>vities was critical to a</w:t>
      </w:r>
      <w:r w:rsidRPr="00B07E71">
        <w:rPr>
          <w:rFonts w:ascii="Palatino Linotype" w:hAnsi="Palatino Linotype" w:cs="Arial"/>
          <w:sz w:val="24"/>
          <w:szCs w:val="24"/>
        </w:rPr>
        <w:t xml:space="preserve"> determination of whether the activity could be considered </w:t>
      </w:r>
      <w:r w:rsidR="00EA3C53" w:rsidRPr="00B07E71">
        <w:rPr>
          <w:rFonts w:ascii="Palatino Linotype" w:hAnsi="Palatino Linotype" w:cs="Arial"/>
          <w:sz w:val="24"/>
          <w:szCs w:val="24"/>
        </w:rPr>
        <w:t>‘</w:t>
      </w:r>
      <w:r w:rsidRPr="00B07E71">
        <w:rPr>
          <w:rFonts w:ascii="Palatino Linotype" w:hAnsi="Palatino Linotype" w:cs="Arial"/>
          <w:sz w:val="24"/>
          <w:szCs w:val="24"/>
        </w:rPr>
        <w:t>clinical</w:t>
      </w:r>
      <w:r w:rsidR="00EA3C53" w:rsidRPr="00B07E71">
        <w:rPr>
          <w:rFonts w:ascii="Palatino Linotype" w:hAnsi="Palatino Linotype" w:cs="Arial"/>
          <w:sz w:val="24"/>
          <w:szCs w:val="24"/>
        </w:rPr>
        <w:t>’</w:t>
      </w:r>
      <w:r w:rsidRPr="00B07E71">
        <w:rPr>
          <w:rFonts w:ascii="Palatino Linotype" w:hAnsi="Palatino Linotype" w:cs="Arial"/>
          <w:sz w:val="24"/>
          <w:szCs w:val="24"/>
        </w:rPr>
        <w:t xml:space="preserve">, </w:t>
      </w:r>
      <w:r w:rsidR="00935526" w:rsidRPr="00B07E71">
        <w:rPr>
          <w:rFonts w:ascii="Palatino Linotype" w:hAnsi="Palatino Linotype" w:cs="Arial"/>
          <w:sz w:val="24"/>
          <w:szCs w:val="24"/>
        </w:rPr>
        <w:t xml:space="preserve">the primary focus of </w:t>
      </w:r>
      <w:r w:rsidR="00EA3C53" w:rsidRPr="00B07E71">
        <w:rPr>
          <w:rFonts w:ascii="Palatino Linotype" w:hAnsi="Palatino Linotype" w:cs="Arial"/>
          <w:sz w:val="24"/>
          <w:szCs w:val="24"/>
        </w:rPr>
        <w:t>clinical legal education has shi</w:t>
      </w:r>
      <w:r w:rsidR="00935526" w:rsidRPr="00B07E71">
        <w:rPr>
          <w:rFonts w:ascii="Palatino Linotype" w:hAnsi="Palatino Linotype" w:cs="Arial"/>
          <w:sz w:val="24"/>
          <w:szCs w:val="24"/>
        </w:rPr>
        <w:t>fted to place a greater emphasis</w:t>
      </w:r>
      <w:r w:rsidR="00EA3C53" w:rsidRPr="00B07E71">
        <w:rPr>
          <w:rFonts w:ascii="Palatino Linotype" w:hAnsi="Palatino Linotype" w:cs="Arial"/>
          <w:sz w:val="24"/>
          <w:szCs w:val="24"/>
        </w:rPr>
        <w:t xml:space="preserve"> </w:t>
      </w:r>
      <w:r w:rsidRPr="00B07E71">
        <w:rPr>
          <w:rFonts w:ascii="Palatino Linotype" w:hAnsi="Palatino Linotype" w:cs="Arial"/>
          <w:sz w:val="24"/>
          <w:szCs w:val="24"/>
        </w:rPr>
        <w:t>on the student’s learning experience.</w:t>
      </w:r>
      <w:r w:rsidR="00165177" w:rsidRPr="00B07E71">
        <w:rPr>
          <w:rStyle w:val="FootnoteReference"/>
          <w:rFonts w:ascii="Palatino Linotype" w:hAnsi="Palatino Linotype" w:cs="Arial"/>
          <w:sz w:val="24"/>
          <w:szCs w:val="24"/>
        </w:rPr>
        <w:footnoteReference w:id="25"/>
      </w:r>
      <w:r w:rsidRPr="00B07E71">
        <w:rPr>
          <w:rFonts w:ascii="Palatino Linotype" w:hAnsi="Palatino Linotype" w:cs="Arial"/>
          <w:sz w:val="24"/>
          <w:szCs w:val="24"/>
        </w:rPr>
        <w:t xml:space="preserve"> </w:t>
      </w:r>
      <w:r w:rsidR="00475458" w:rsidRPr="00B07E71">
        <w:rPr>
          <w:rFonts w:ascii="Palatino Linotype" w:hAnsi="Palatino Linotype" w:cs="Arial"/>
          <w:sz w:val="24"/>
          <w:szCs w:val="24"/>
        </w:rPr>
        <w:t>While community service through assisting disadv</w:t>
      </w:r>
      <w:r w:rsidRPr="00B07E71">
        <w:rPr>
          <w:rFonts w:ascii="Palatino Linotype" w:hAnsi="Palatino Linotype" w:cs="Arial"/>
          <w:sz w:val="24"/>
          <w:szCs w:val="24"/>
        </w:rPr>
        <w:t>antaged members</w:t>
      </w:r>
      <w:r w:rsidR="00EA3C53" w:rsidRPr="00B07E71">
        <w:rPr>
          <w:rFonts w:ascii="Palatino Linotype" w:hAnsi="Palatino Linotype" w:cs="Arial"/>
          <w:sz w:val="24"/>
          <w:szCs w:val="24"/>
        </w:rPr>
        <w:t xml:space="preserve"> of society is</w:t>
      </w:r>
      <w:r w:rsidR="00475458" w:rsidRPr="00B07E71">
        <w:rPr>
          <w:rFonts w:ascii="Palatino Linotype" w:hAnsi="Palatino Linotype" w:cs="Arial"/>
          <w:sz w:val="24"/>
          <w:szCs w:val="24"/>
        </w:rPr>
        <w:t xml:space="preserve"> still </w:t>
      </w:r>
      <w:r w:rsidR="00EA3C53" w:rsidRPr="00B07E71">
        <w:rPr>
          <w:rFonts w:ascii="Palatino Linotype" w:hAnsi="Palatino Linotype" w:cs="Arial"/>
          <w:sz w:val="24"/>
          <w:szCs w:val="24"/>
        </w:rPr>
        <w:t>an important component</w:t>
      </w:r>
      <w:r w:rsidR="00475458" w:rsidRPr="00B07E71">
        <w:rPr>
          <w:rFonts w:ascii="Palatino Linotype" w:hAnsi="Palatino Linotype" w:cs="Arial"/>
          <w:sz w:val="24"/>
          <w:szCs w:val="24"/>
        </w:rPr>
        <w:t xml:space="preserve"> of most clinical programs, </w:t>
      </w:r>
      <w:r w:rsidR="00EA3C53" w:rsidRPr="00B07E71">
        <w:rPr>
          <w:rFonts w:ascii="Palatino Linotype" w:hAnsi="Palatino Linotype" w:cs="Arial"/>
          <w:sz w:val="24"/>
          <w:szCs w:val="24"/>
        </w:rPr>
        <w:t>we agree with Giddings that,</w:t>
      </w:r>
    </w:p>
    <w:p w:rsidR="00EA3C53" w:rsidRPr="00B07E71" w:rsidRDefault="00EA3C53"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 xml:space="preserve">clinical teaching can be usefully characterised by </w:t>
      </w:r>
      <w:r w:rsidR="00036121" w:rsidRPr="00B07E71">
        <w:rPr>
          <w:rFonts w:ascii="Palatino Linotype" w:hAnsi="Palatino Linotype" w:cs="Arial"/>
          <w:i/>
          <w:sz w:val="24"/>
          <w:szCs w:val="24"/>
        </w:rPr>
        <w:t>way of a clinical continuum which</w:t>
      </w:r>
      <w:r w:rsidRPr="00B07E71">
        <w:rPr>
          <w:rFonts w:ascii="Palatino Linotype" w:hAnsi="Palatino Linotype" w:cs="Arial"/>
          <w:i/>
          <w:sz w:val="24"/>
          <w:szCs w:val="24"/>
        </w:rPr>
        <w:t xml:space="preserve"> relates to the degree of control exercised over the teaching setting. The emphasis on critique and reflection is a constant while control over the environment varies</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26"/>
      </w:r>
    </w:p>
    <w:p w:rsidR="00EA3C53" w:rsidRPr="00B07E71" w:rsidRDefault="00935526"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While the clinical program at Charles Darwin University </w:t>
      </w:r>
      <w:r w:rsidR="00E2335C" w:rsidRPr="00B07E71">
        <w:rPr>
          <w:rFonts w:ascii="Palatino Linotype" w:hAnsi="Palatino Linotype" w:cs="Arial"/>
          <w:sz w:val="24"/>
          <w:szCs w:val="24"/>
        </w:rPr>
        <w:t xml:space="preserve">(‘CDU’) </w:t>
      </w:r>
      <w:r w:rsidRPr="00B07E71">
        <w:rPr>
          <w:rFonts w:ascii="Palatino Linotype" w:hAnsi="Palatino Linotype" w:cs="Arial"/>
          <w:sz w:val="24"/>
          <w:szCs w:val="24"/>
        </w:rPr>
        <w:t xml:space="preserve">does not include stand-alone legal skills units such as Trial Advocacy and Alternate Dispute Resolution within its definition of clinical offerings, we do apply a broader definition of ‘client’ than that used by Evans, Rice and </w:t>
      </w:r>
      <w:proofErr w:type="spellStart"/>
      <w:r w:rsidRPr="00B07E71">
        <w:rPr>
          <w:rFonts w:ascii="Palatino Linotype" w:hAnsi="Palatino Linotype" w:cs="Arial"/>
          <w:sz w:val="24"/>
          <w:szCs w:val="24"/>
        </w:rPr>
        <w:t>Coss</w:t>
      </w:r>
      <w:proofErr w:type="spellEnd"/>
      <w:r w:rsidRPr="00B07E71">
        <w:rPr>
          <w:rFonts w:ascii="Palatino Linotype" w:hAnsi="Palatino Linotype" w:cs="Arial"/>
          <w:sz w:val="24"/>
          <w:szCs w:val="24"/>
        </w:rPr>
        <w:t>. For example, a student externship at an independent law reform body whose notional ‘client’ is usually broadly defined a</w:t>
      </w:r>
      <w:r w:rsidR="003918B7" w:rsidRPr="00B07E71">
        <w:rPr>
          <w:rFonts w:ascii="Palatino Linotype" w:hAnsi="Palatino Linotype" w:cs="Arial"/>
          <w:sz w:val="24"/>
          <w:szCs w:val="24"/>
        </w:rPr>
        <w:t>s a state or federal government</w:t>
      </w:r>
      <w:r w:rsidRPr="00B07E71">
        <w:rPr>
          <w:rFonts w:ascii="Palatino Linotype" w:hAnsi="Palatino Linotype" w:cs="Arial"/>
          <w:sz w:val="24"/>
          <w:szCs w:val="24"/>
        </w:rPr>
        <w:t xml:space="preserve"> </w:t>
      </w:r>
      <w:r w:rsidR="003918B7" w:rsidRPr="00B07E71">
        <w:rPr>
          <w:rFonts w:ascii="Palatino Linotype" w:hAnsi="Palatino Linotype" w:cs="Arial"/>
          <w:sz w:val="24"/>
          <w:szCs w:val="24"/>
        </w:rPr>
        <w:t>would warrant the designation of</w:t>
      </w:r>
      <w:r w:rsidR="00036121" w:rsidRPr="00B07E71">
        <w:rPr>
          <w:rFonts w:ascii="Palatino Linotype" w:hAnsi="Palatino Linotype" w:cs="Arial"/>
          <w:sz w:val="24"/>
          <w:szCs w:val="24"/>
        </w:rPr>
        <w:t xml:space="preserve"> a</w:t>
      </w:r>
      <w:r w:rsidRPr="00B07E71">
        <w:rPr>
          <w:rFonts w:ascii="Palatino Linotype" w:hAnsi="Palatino Linotype" w:cs="Arial"/>
          <w:sz w:val="24"/>
          <w:szCs w:val="24"/>
        </w:rPr>
        <w:t xml:space="preserve"> ‘clinical</w:t>
      </w:r>
      <w:r w:rsidR="00F07CB3" w:rsidRPr="00B07E71">
        <w:rPr>
          <w:rFonts w:ascii="Palatino Linotype" w:hAnsi="Palatino Linotype" w:cs="Arial"/>
          <w:sz w:val="24"/>
          <w:szCs w:val="24"/>
        </w:rPr>
        <w:t xml:space="preserve"> placement’</w:t>
      </w:r>
      <w:r w:rsidRPr="00B07E71">
        <w:rPr>
          <w:rFonts w:ascii="Palatino Linotype" w:hAnsi="Palatino Linotype" w:cs="Arial"/>
          <w:sz w:val="24"/>
          <w:szCs w:val="24"/>
        </w:rPr>
        <w:t>. Further, if a student was placed in the legal policy unit of a community legal centre,</w:t>
      </w:r>
      <w:r w:rsidR="003918B7" w:rsidRPr="00B07E71">
        <w:rPr>
          <w:rStyle w:val="FootnoteReference"/>
          <w:rFonts w:ascii="Palatino Linotype" w:hAnsi="Palatino Linotype" w:cs="Arial"/>
          <w:sz w:val="24"/>
          <w:szCs w:val="24"/>
        </w:rPr>
        <w:footnoteReference w:id="27"/>
      </w:r>
      <w:r w:rsidR="00F07CB3" w:rsidRPr="00B07E71">
        <w:rPr>
          <w:rFonts w:ascii="Palatino Linotype" w:hAnsi="Palatino Linotype" w:cs="Arial"/>
          <w:sz w:val="24"/>
          <w:szCs w:val="24"/>
        </w:rPr>
        <w:t xml:space="preserve"> </w:t>
      </w:r>
      <w:r w:rsidRPr="00B07E71">
        <w:rPr>
          <w:rFonts w:ascii="Palatino Linotype" w:hAnsi="Palatino Linotype" w:cs="Arial"/>
          <w:sz w:val="24"/>
          <w:szCs w:val="24"/>
        </w:rPr>
        <w:t>such a placement would still be considered ‘clinical’ notwithstanding that the student would not interact directly with the centre’s clients.</w:t>
      </w:r>
      <w:r w:rsidR="00D51542" w:rsidRPr="00B07E71">
        <w:rPr>
          <w:rFonts w:ascii="Palatino Linotype" w:hAnsi="Palatino Linotype" w:cs="Arial"/>
          <w:sz w:val="24"/>
          <w:szCs w:val="24"/>
        </w:rPr>
        <w:t xml:space="preserve"> Finally, law students </w:t>
      </w:r>
      <w:r w:rsidR="0001224B" w:rsidRPr="00B07E71">
        <w:rPr>
          <w:rFonts w:ascii="Palatino Linotype" w:hAnsi="Palatino Linotype" w:cs="Arial"/>
          <w:sz w:val="24"/>
          <w:szCs w:val="24"/>
        </w:rPr>
        <w:t>involved in a Street Law unit</w:t>
      </w:r>
      <w:r w:rsidR="00D51542" w:rsidRPr="00B07E71">
        <w:rPr>
          <w:rFonts w:ascii="Palatino Linotype" w:hAnsi="Palatino Linotype" w:cs="Arial"/>
          <w:sz w:val="24"/>
          <w:szCs w:val="24"/>
        </w:rPr>
        <w:t xml:space="preserve"> would, at least as we apply the definition, be consider</w:t>
      </w:r>
      <w:r w:rsidR="00ED6F06" w:rsidRPr="00B07E71">
        <w:rPr>
          <w:rFonts w:ascii="Palatino Linotype" w:hAnsi="Palatino Linotype" w:cs="Arial"/>
          <w:sz w:val="24"/>
          <w:szCs w:val="24"/>
        </w:rPr>
        <w:t>ed</w:t>
      </w:r>
      <w:r w:rsidR="00D51542" w:rsidRPr="00B07E71">
        <w:rPr>
          <w:rFonts w:ascii="Palatino Linotype" w:hAnsi="Palatino Linotype" w:cs="Arial"/>
          <w:sz w:val="24"/>
          <w:szCs w:val="24"/>
        </w:rPr>
        <w:t xml:space="preserve"> a clinical legal education program.</w:t>
      </w:r>
      <w:r w:rsidR="00D466E2" w:rsidRPr="00B07E71">
        <w:rPr>
          <w:rStyle w:val="FootnoteReference"/>
          <w:rFonts w:ascii="Palatino Linotype" w:hAnsi="Palatino Linotype" w:cs="Arial"/>
          <w:sz w:val="24"/>
          <w:szCs w:val="24"/>
        </w:rPr>
        <w:footnoteReference w:id="28"/>
      </w:r>
    </w:p>
    <w:p w:rsidR="003F1948" w:rsidRPr="00B07E71" w:rsidRDefault="003F194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This broad definition of clinical legal education sits comfortably with the concept at a global level. The fact that clinical legal education can now be described as a global movement is evidenced by a number of sources, including:</w:t>
      </w:r>
    </w:p>
    <w:p w:rsidR="003F1948" w:rsidRPr="00B07E71" w:rsidRDefault="003F1948"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the large number of </w:t>
      </w:r>
      <w:r w:rsidR="00C75519" w:rsidRPr="00B07E71">
        <w:rPr>
          <w:rFonts w:ascii="Palatino Linotype" w:hAnsi="Palatino Linotype" w:cs="Arial"/>
          <w:sz w:val="24"/>
          <w:szCs w:val="24"/>
        </w:rPr>
        <w:t>transnational</w:t>
      </w:r>
      <w:r w:rsidRPr="00B07E71">
        <w:rPr>
          <w:rFonts w:ascii="Palatino Linotype" w:hAnsi="Palatino Linotype" w:cs="Arial"/>
          <w:sz w:val="24"/>
          <w:szCs w:val="24"/>
        </w:rPr>
        <w:t xml:space="preserve"> collaborations among clinicians from different parts of the world;</w:t>
      </w:r>
      <w:r w:rsidRPr="00B07E71">
        <w:rPr>
          <w:rStyle w:val="FootnoteReference"/>
          <w:rFonts w:ascii="Palatino Linotype" w:hAnsi="Palatino Linotype" w:cs="Arial"/>
          <w:sz w:val="24"/>
          <w:szCs w:val="24"/>
        </w:rPr>
        <w:footnoteReference w:id="29"/>
      </w:r>
    </w:p>
    <w:p w:rsidR="003F1948" w:rsidRPr="00B07E71" w:rsidRDefault="003F1948"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the existence of truly global organisations such as the Global Alliance for Justice Education (‘GAJE’)</w:t>
      </w:r>
      <w:r w:rsidR="00FF5A98" w:rsidRPr="00B07E71">
        <w:rPr>
          <w:rStyle w:val="FootnoteReference"/>
          <w:rFonts w:ascii="Palatino Linotype" w:hAnsi="Palatino Linotype" w:cs="Arial"/>
          <w:sz w:val="24"/>
          <w:szCs w:val="24"/>
        </w:rPr>
        <w:footnoteReference w:id="30"/>
      </w:r>
      <w:r w:rsidRPr="00B07E71">
        <w:rPr>
          <w:rFonts w:ascii="Palatino Linotype" w:hAnsi="Palatino Linotype" w:cs="Arial"/>
          <w:sz w:val="24"/>
          <w:szCs w:val="24"/>
        </w:rPr>
        <w:t xml:space="preserve"> which, at its 8</w:t>
      </w:r>
      <w:r w:rsidRPr="00B07E71">
        <w:rPr>
          <w:rFonts w:ascii="Palatino Linotype" w:hAnsi="Palatino Linotype" w:cs="Arial"/>
          <w:sz w:val="24"/>
          <w:szCs w:val="24"/>
          <w:vertAlign w:val="superscript"/>
        </w:rPr>
        <w:t>th</w:t>
      </w:r>
      <w:r w:rsidRPr="00B07E71">
        <w:rPr>
          <w:rFonts w:ascii="Palatino Linotype" w:hAnsi="Palatino Linotype" w:cs="Arial"/>
          <w:sz w:val="24"/>
          <w:szCs w:val="24"/>
        </w:rPr>
        <w:t xml:space="preserve"> Worldwide Conference held in </w:t>
      </w:r>
      <w:proofErr w:type="spellStart"/>
      <w:r w:rsidRPr="00B07E71">
        <w:rPr>
          <w:rFonts w:ascii="Palatino Linotype" w:hAnsi="Palatino Linotype" w:cs="Arial"/>
          <w:sz w:val="24"/>
          <w:szCs w:val="24"/>
        </w:rPr>
        <w:t>Eskişehir</w:t>
      </w:r>
      <w:proofErr w:type="spellEnd"/>
      <w:r w:rsidRPr="00B07E71">
        <w:rPr>
          <w:rFonts w:ascii="Palatino Linotype" w:hAnsi="Palatino Linotype" w:cs="Arial"/>
          <w:sz w:val="24"/>
          <w:szCs w:val="24"/>
        </w:rPr>
        <w:t>, Turkey in July 2015, attracted 350 delegates</w:t>
      </w:r>
      <w:r w:rsidRPr="00B07E71">
        <w:rPr>
          <w:rStyle w:val="FootnoteReference"/>
          <w:rFonts w:ascii="Palatino Linotype" w:hAnsi="Palatino Linotype" w:cs="Arial"/>
          <w:sz w:val="24"/>
          <w:szCs w:val="24"/>
        </w:rPr>
        <w:footnoteReference w:id="31"/>
      </w:r>
      <w:r w:rsidRPr="00B07E71">
        <w:rPr>
          <w:rFonts w:ascii="Palatino Linotype" w:hAnsi="Palatino Linotype" w:cs="Arial"/>
          <w:sz w:val="24"/>
          <w:szCs w:val="24"/>
        </w:rPr>
        <w:t xml:space="preserve"> (most of whom were clinicians) from all regions of the world;</w:t>
      </w:r>
    </w:p>
    <w:p w:rsidR="003F1948" w:rsidRPr="00B07E71" w:rsidRDefault="003F1948"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the ever-increasing incorporation of clinical teaching methodology in law school curricula worldwide;</w:t>
      </w:r>
      <w:r w:rsidRPr="00B07E71">
        <w:rPr>
          <w:rStyle w:val="FootnoteReference"/>
          <w:rFonts w:ascii="Palatino Linotype" w:hAnsi="Palatino Linotype" w:cs="Arial"/>
          <w:sz w:val="24"/>
          <w:szCs w:val="24"/>
        </w:rPr>
        <w:footnoteReference w:id="32"/>
      </w:r>
      <w:r w:rsidRPr="00B07E71">
        <w:rPr>
          <w:rFonts w:ascii="Palatino Linotype" w:hAnsi="Palatino Linotype" w:cs="Arial"/>
          <w:sz w:val="24"/>
          <w:szCs w:val="24"/>
        </w:rPr>
        <w:t xml:space="preserve"> and</w:t>
      </w:r>
    </w:p>
    <w:p w:rsidR="003F1948" w:rsidRPr="00B07E71" w:rsidRDefault="003F1948"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legal publications dedicated to fostering international clinical legal education, the most prominent being the </w:t>
      </w:r>
      <w:r w:rsidRPr="00B07E71">
        <w:rPr>
          <w:rFonts w:ascii="Palatino Linotype" w:hAnsi="Palatino Linotype" w:cs="Arial"/>
          <w:i/>
          <w:sz w:val="24"/>
          <w:szCs w:val="24"/>
        </w:rPr>
        <w:t xml:space="preserve">International Journal of Clinical Legal Education </w:t>
      </w:r>
      <w:r w:rsidRPr="00B07E71">
        <w:rPr>
          <w:rFonts w:ascii="Palatino Linotype" w:hAnsi="Palatino Linotype" w:cs="Arial"/>
          <w:sz w:val="24"/>
          <w:szCs w:val="24"/>
        </w:rPr>
        <w:t>published in the United Kingdom,</w:t>
      </w:r>
      <w:r w:rsidRPr="00B07E71">
        <w:rPr>
          <w:rStyle w:val="FootnoteReference"/>
          <w:rFonts w:ascii="Palatino Linotype" w:hAnsi="Palatino Linotype" w:cs="Arial"/>
          <w:sz w:val="24"/>
          <w:szCs w:val="24"/>
        </w:rPr>
        <w:footnoteReference w:id="33"/>
      </w:r>
      <w:r w:rsidRPr="00B07E71">
        <w:rPr>
          <w:rFonts w:ascii="Palatino Linotype" w:hAnsi="Palatino Linotype" w:cs="Arial"/>
          <w:sz w:val="24"/>
          <w:szCs w:val="24"/>
        </w:rPr>
        <w:t xml:space="preserve"> and the book,</w:t>
      </w:r>
      <w:r w:rsidRPr="00B07E71">
        <w:rPr>
          <w:rFonts w:ascii="Palatino Linotype" w:hAnsi="Palatino Linotype" w:cs="Arial"/>
          <w:i/>
          <w:sz w:val="24"/>
          <w:szCs w:val="24"/>
        </w:rPr>
        <w:t xml:space="preserve"> The Global Clinical Movement: Educating Lawyers for Social Justice </w:t>
      </w:r>
      <w:r w:rsidRPr="00B07E71">
        <w:rPr>
          <w:rFonts w:ascii="Palatino Linotype" w:hAnsi="Palatino Linotype" w:cs="Arial"/>
          <w:sz w:val="24"/>
          <w:szCs w:val="24"/>
        </w:rPr>
        <w:t>edited by Professor Frank Bloch (OUP, 2011).</w:t>
      </w:r>
    </w:p>
    <w:p w:rsidR="003F1948" w:rsidRPr="00B07E71" w:rsidRDefault="003F194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While the content of a clinical legal education program can differ between countries, and between universities within the same country, Bloch suggests that the clinical dimension of any program has common features.</w:t>
      </w:r>
    </w:p>
    <w:p w:rsidR="003F1948" w:rsidRPr="00B07E71" w:rsidRDefault="003F1948" w:rsidP="00B07E71">
      <w:pPr>
        <w:spacing w:line="360" w:lineRule="auto"/>
        <w:ind w:left="720"/>
        <w:jc w:val="both"/>
        <w:rPr>
          <w:rFonts w:ascii="Palatino Linotype" w:hAnsi="Palatino Linotype" w:cs="Arial"/>
          <w:sz w:val="24"/>
          <w:szCs w:val="24"/>
        </w:rPr>
      </w:pPr>
      <w:r w:rsidRPr="00B07E71">
        <w:rPr>
          <w:rFonts w:ascii="Palatino Linotype" w:hAnsi="Palatino Linotype" w:cs="Arial"/>
          <w:i/>
          <w:sz w:val="24"/>
          <w:szCs w:val="24"/>
        </w:rPr>
        <w:t>To begin, three elements stand out as constituting the most important commonly conceived notions of clinical legal education around the world: professional skills training, experiential learning, and instilling professional values of public responsibility and social justice. These three elements interact, with varying degrees of emphasis, to form the core of a global conception of clinical legal education. Although they can be described separately, they often are interdependent, and each can influence how the others are conceived and implemented</w:t>
      </w:r>
      <w:r w:rsidRPr="00B07E71">
        <w:rPr>
          <w:rFonts w:ascii="Palatino Linotype" w:hAnsi="Palatino Linotype" w:cs="Arial"/>
          <w:sz w:val="24"/>
          <w:szCs w:val="24"/>
        </w:rPr>
        <w:t>.</w:t>
      </w:r>
      <w:r w:rsidR="002E26CB" w:rsidRPr="00B07E71">
        <w:rPr>
          <w:rStyle w:val="FootnoteReference"/>
          <w:rFonts w:ascii="Palatino Linotype" w:hAnsi="Palatino Linotype" w:cs="Arial"/>
          <w:sz w:val="24"/>
          <w:szCs w:val="24"/>
        </w:rPr>
        <w:footnoteReference w:id="34"/>
      </w:r>
    </w:p>
    <w:p w:rsidR="003F1948" w:rsidRPr="00B07E71" w:rsidRDefault="003F194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It follows that, in a global context, the concept of clinical legal education is broader than that espoused by Evans and others, discussed above. The absence of a client in the process would not disqualify a program from being designated as ‘clinical’. Further, it is broader than that three branches of clinical legal education identified by Milstein;</w:t>
      </w:r>
      <w:r w:rsidRPr="00B07E71">
        <w:rPr>
          <w:rStyle w:val="FootnoteReference"/>
          <w:rFonts w:ascii="Palatino Linotype" w:hAnsi="Palatino Linotype" w:cs="Arial"/>
          <w:sz w:val="24"/>
          <w:szCs w:val="24"/>
        </w:rPr>
        <w:footnoteReference w:id="35"/>
      </w:r>
      <w:r w:rsidRPr="00B07E71">
        <w:rPr>
          <w:rFonts w:ascii="Palatino Linotype" w:hAnsi="Palatino Linotype" w:cs="Arial"/>
          <w:sz w:val="24"/>
          <w:szCs w:val="24"/>
        </w:rPr>
        <w:t xml:space="preserve"> in-house real-client clinics, externships, and simulations. </w:t>
      </w:r>
    </w:p>
    <w:p w:rsidR="003F1948" w:rsidRPr="00B07E71" w:rsidRDefault="003F194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particular, the involvement of law students in</w:t>
      </w:r>
      <w:r w:rsidR="0009118A" w:rsidRPr="00B07E71">
        <w:rPr>
          <w:rFonts w:ascii="Palatino Linotype" w:hAnsi="Palatino Linotype" w:cs="Arial"/>
          <w:sz w:val="24"/>
          <w:szCs w:val="24"/>
        </w:rPr>
        <w:t xml:space="preserve"> many</w:t>
      </w:r>
      <w:r w:rsidRPr="00B07E71">
        <w:rPr>
          <w:rFonts w:ascii="Palatino Linotype" w:hAnsi="Palatino Linotype" w:cs="Arial"/>
          <w:sz w:val="24"/>
          <w:szCs w:val="24"/>
        </w:rPr>
        <w:t xml:space="preserve"> Street Law programs, which are expanding rapidly in Central and South America, Eastern Europe, Africa, the Middle East and Asia,</w:t>
      </w:r>
      <w:r w:rsidRPr="00B07E71">
        <w:rPr>
          <w:rStyle w:val="FootnoteReference"/>
          <w:rFonts w:ascii="Palatino Linotype" w:hAnsi="Palatino Linotype" w:cs="Arial"/>
          <w:sz w:val="24"/>
          <w:szCs w:val="24"/>
        </w:rPr>
        <w:footnoteReference w:id="36"/>
      </w:r>
      <w:r w:rsidRPr="00B07E71">
        <w:rPr>
          <w:rFonts w:ascii="Palatino Linotype" w:hAnsi="Palatino Linotype" w:cs="Arial"/>
          <w:sz w:val="24"/>
          <w:szCs w:val="24"/>
        </w:rPr>
        <w:t xml:space="preserve"> would warrant designation as a clinical program. We agree with Bloch who has observed that the diversity of clinical programs has contributed to its richness worldwide.</w:t>
      </w:r>
      <w:r w:rsidRPr="00B07E71">
        <w:rPr>
          <w:rStyle w:val="FootnoteReference"/>
          <w:rFonts w:ascii="Palatino Linotype" w:hAnsi="Palatino Linotype" w:cs="Arial"/>
          <w:sz w:val="24"/>
          <w:szCs w:val="24"/>
        </w:rPr>
        <w:footnoteReference w:id="37"/>
      </w:r>
    </w:p>
    <w:p w:rsidR="00B07E71" w:rsidRDefault="00B07E71" w:rsidP="00B07E71">
      <w:pPr>
        <w:spacing w:line="480" w:lineRule="auto"/>
        <w:jc w:val="both"/>
        <w:rPr>
          <w:rFonts w:ascii="Palatino Linotype" w:hAnsi="Palatino Linotype" w:cs="Arial"/>
          <w:b/>
          <w:sz w:val="24"/>
          <w:szCs w:val="24"/>
        </w:rPr>
      </w:pPr>
    </w:p>
    <w:p w:rsidR="00CB3CF1" w:rsidRPr="00B07E71" w:rsidRDefault="009C717E" w:rsidP="00B07E71">
      <w:pPr>
        <w:spacing w:line="480" w:lineRule="auto"/>
        <w:jc w:val="both"/>
        <w:rPr>
          <w:rFonts w:ascii="Palatino Linotype" w:hAnsi="Palatino Linotype" w:cs="Arial"/>
          <w:b/>
          <w:sz w:val="24"/>
          <w:szCs w:val="24"/>
        </w:rPr>
      </w:pPr>
      <w:r w:rsidRPr="00B07E71">
        <w:rPr>
          <w:rFonts w:ascii="Palatino Linotype" w:hAnsi="Palatino Linotype" w:cs="Arial"/>
          <w:b/>
          <w:sz w:val="24"/>
          <w:szCs w:val="24"/>
        </w:rPr>
        <w:t>Online</w:t>
      </w:r>
      <w:r w:rsidR="00CB3CF1" w:rsidRPr="00B07E71">
        <w:rPr>
          <w:rFonts w:ascii="Palatino Linotype" w:hAnsi="Palatino Linotype" w:cs="Arial"/>
          <w:b/>
          <w:sz w:val="24"/>
          <w:szCs w:val="24"/>
        </w:rPr>
        <w:t xml:space="preserve"> </w:t>
      </w:r>
      <w:r w:rsidRPr="00B07E71">
        <w:rPr>
          <w:rFonts w:ascii="Palatino Linotype" w:hAnsi="Palatino Linotype" w:cs="Arial"/>
          <w:b/>
          <w:sz w:val="24"/>
          <w:szCs w:val="24"/>
        </w:rPr>
        <w:t xml:space="preserve">legal </w:t>
      </w:r>
      <w:r w:rsidR="00CB3CF1" w:rsidRPr="00B07E71">
        <w:rPr>
          <w:rFonts w:ascii="Palatino Linotype" w:hAnsi="Palatino Linotype" w:cs="Arial"/>
          <w:b/>
          <w:sz w:val="24"/>
          <w:szCs w:val="24"/>
        </w:rPr>
        <w:t>education</w:t>
      </w:r>
    </w:p>
    <w:p w:rsidR="00B51DDC" w:rsidRPr="00B07E71" w:rsidRDefault="00B51DDC" w:rsidP="00B07E71">
      <w:pPr>
        <w:pStyle w:val="ListParagraph"/>
        <w:spacing w:line="480" w:lineRule="auto"/>
        <w:ind w:left="567"/>
        <w:jc w:val="both"/>
        <w:rPr>
          <w:rFonts w:ascii="Palatino Linotype" w:hAnsi="Palatino Linotype" w:cs="Arial"/>
          <w:b/>
          <w:i/>
          <w:sz w:val="24"/>
          <w:szCs w:val="24"/>
        </w:rPr>
      </w:pPr>
      <w:r w:rsidRPr="00B07E71">
        <w:rPr>
          <w:rFonts w:ascii="Palatino Linotype" w:hAnsi="Palatino Linotype" w:cs="Arial"/>
          <w:b/>
          <w:i/>
          <w:sz w:val="24"/>
          <w:szCs w:val="24"/>
        </w:rPr>
        <w:t>Definitions</w:t>
      </w:r>
    </w:p>
    <w:p w:rsidR="00CB3CF1" w:rsidRPr="00B07E71" w:rsidRDefault="00F07CB3"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def</w:t>
      </w:r>
      <w:r w:rsidR="009C717E" w:rsidRPr="00B07E71">
        <w:rPr>
          <w:rFonts w:ascii="Palatino Linotype" w:hAnsi="Palatino Linotype" w:cs="Arial"/>
          <w:sz w:val="24"/>
          <w:szCs w:val="24"/>
        </w:rPr>
        <w:t>inition of online legal</w:t>
      </w:r>
      <w:r w:rsidRPr="00B07E71">
        <w:rPr>
          <w:rFonts w:ascii="Palatino Linotype" w:hAnsi="Palatino Linotype" w:cs="Arial"/>
          <w:sz w:val="24"/>
          <w:szCs w:val="24"/>
        </w:rPr>
        <w:t xml:space="preserve"> education, like clinical legal education more broadly, warrants consideration. What constitutes an online course varies, depending on the mode of distance learning used. The term ‘distance learning’ can be defined as “communication which connects instructors and students who are separated by geography and, often, time”.</w:t>
      </w:r>
      <w:r w:rsidRPr="00B07E71">
        <w:rPr>
          <w:rStyle w:val="FootnoteReference"/>
          <w:rFonts w:ascii="Palatino Linotype" w:hAnsi="Palatino Linotype" w:cs="Arial"/>
          <w:sz w:val="24"/>
          <w:szCs w:val="24"/>
        </w:rPr>
        <w:footnoteReference w:id="38"/>
      </w:r>
    </w:p>
    <w:p w:rsidR="00EB6B25" w:rsidRPr="00B07E71" w:rsidRDefault="00EB6B25"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As Twining reminds us, “distance learning or distance education are relatively new names for long-established practices that have gone by less enticing titles, such as correspondence courses and external degrees”.</w:t>
      </w:r>
      <w:r w:rsidRPr="00B07E71">
        <w:rPr>
          <w:rStyle w:val="FootnoteReference"/>
          <w:rFonts w:ascii="Palatino Linotype" w:hAnsi="Palatino Linotype" w:cs="Arial"/>
          <w:sz w:val="24"/>
          <w:szCs w:val="24"/>
        </w:rPr>
        <w:footnoteReference w:id="39"/>
      </w:r>
      <w:r w:rsidR="00E052D4" w:rsidRPr="00B07E71">
        <w:rPr>
          <w:rFonts w:ascii="Palatino Linotype" w:hAnsi="Palatino Linotype" w:cs="Arial"/>
          <w:sz w:val="24"/>
          <w:szCs w:val="24"/>
        </w:rPr>
        <w:t xml:space="preserve"> In the context of legal education, such programs can trace their roots to at least the mid-nineteenth century. The University of London External LLB, which is still offered,</w:t>
      </w:r>
      <w:r w:rsidR="00E052D4" w:rsidRPr="00B07E71">
        <w:rPr>
          <w:rStyle w:val="FootnoteReference"/>
          <w:rFonts w:ascii="Palatino Linotype" w:hAnsi="Palatino Linotype" w:cs="Arial"/>
          <w:sz w:val="24"/>
          <w:szCs w:val="24"/>
        </w:rPr>
        <w:footnoteReference w:id="40"/>
      </w:r>
      <w:r w:rsidR="00E052D4" w:rsidRPr="00B07E71">
        <w:rPr>
          <w:rFonts w:ascii="Palatino Linotype" w:hAnsi="Palatino Linotype" w:cs="Arial"/>
          <w:sz w:val="24"/>
          <w:szCs w:val="24"/>
        </w:rPr>
        <w:t xml:space="preserve"> started in 1850 and has been available to international students since 1858.</w:t>
      </w:r>
      <w:r w:rsidR="00E052D4" w:rsidRPr="00B07E71">
        <w:rPr>
          <w:rStyle w:val="FootnoteReference"/>
          <w:rFonts w:ascii="Palatino Linotype" w:hAnsi="Palatino Linotype" w:cs="Arial"/>
          <w:sz w:val="24"/>
          <w:szCs w:val="24"/>
        </w:rPr>
        <w:footnoteReference w:id="41"/>
      </w:r>
    </w:p>
    <w:p w:rsidR="00B47BE8" w:rsidRPr="00B07E71" w:rsidRDefault="003D047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concept of e-learning can be defined as “learning facilitated and supported through the use of information and communication technologies”.</w:t>
      </w:r>
      <w:r w:rsidRPr="00B07E71">
        <w:rPr>
          <w:rStyle w:val="FootnoteReference"/>
          <w:rFonts w:ascii="Palatino Linotype" w:hAnsi="Palatino Linotype" w:cs="Arial"/>
          <w:sz w:val="24"/>
          <w:szCs w:val="24"/>
        </w:rPr>
        <w:footnoteReference w:id="42"/>
      </w:r>
      <w:r w:rsidRPr="00B07E71">
        <w:rPr>
          <w:rFonts w:ascii="Palatino Linotype" w:hAnsi="Palatino Linotype" w:cs="Arial"/>
          <w:sz w:val="24"/>
          <w:szCs w:val="24"/>
        </w:rPr>
        <w:t xml:space="preserve"> Online, or e-learning</w:t>
      </w:r>
      <w:r w:rsidR="00B47BE8" w:rsidRPr="00B07E71">
        <w:rPr>
          <w:rFonts w:ascii="Palatino Linotype" w:hAnsi="Palatino Linotype" w:cs="Arial"/>
          <w:sz w:val="24"/>
          <w:szCs w:val="24"/>
        </w:rPr>
        <w:t>, legal education “involves the use of information, communication and instructional technologies to enhance students’ learning of the law and to provide law teachers with environments and tools for teaching the law”.</w:t>
      </w:r>
      <w:r w:rsidR="00B47BE8" w:rsidRPr="00B07E71">
        <w:rPr>
          <w:rStyle w:val="FootnoteReference"/>
          <w:rFonts w:ascii="Palatino Linotype" w:hAnsi="Palatino Linotype" w:cs="Arial"/>
          <w:sz w:val="24"/>
          <w:szCs w:val="24"/>
        </w:rPr>
        <w:footnoteReference w:id="43"/>
      </w:r>
      <w:r w:rsidR="00B47BE8" w:rsidRPr="00B07E71">
        <w:rPr>
          <w:rFonts w:ascii="Palatino Linotype" w:hAnsi="Palatino Linotype" w:cs="Arial"/>
          <w:sz w:val="24"/>
          <w:szCs w:val="24"/>
        </w:rPr>
        <w:t xml:space="preserve"> Through the use of </w:t>
      </w:r>
      <w:r w:rsidR="007F1F65" w:rsidRPr="00B07E71">
        <w:rPr>
          <w:rFonts w:ascii="Palatino Linotype" w:hAnsi="Palatino Linotype" w:cs="Arial"/>
          <w:sz w:val="24"/>
          <w:szCs w:val="24"/>
        </w:rPr>
        <w:t>online systems software</w:t>
      </w:r>
      <w:r w:rsidR="00B47BE8" w:rsidRPr="00B07E71">
        <w:rPr>
          <w:rFonts w:ascii="Palatino Linotype" w:hAnsi="Palatino Linotype" w:cs="Arial"/>
          <w:sz w:val="24"/>
          <w:szCs w:val="24"/>
        </w:rPr>
        <w:t xml:space="preserve"> such as Blackboard Learn</w:t>
      </w:r>
      <w:r w:rsidR="007F1F65" w:rsidRPr="00B07E71">
        <w:rPr>
          <w:rStyle w:val="FootnoteReference"/>
          <w:rFonts w:ascii="Palatino Linotype" w:hAnsi="Palatino Linotype" w:cs="Arial"/>
          <w:sz w:val="24"/>
          <w:szCs w:val="24"/>
        </w:rPr>
        <w:footnoteReference w:id="44"/>
      </w:r>
      <w:r w:rsidR="007F1F65" w:rsidRPr="00B07E71">
        <w:rPr>
          <w:rFonts w:ascii="Palatino Linotype" w:hAnsi="Palatino Linotype" w:cs="Arial"/>
          <w:sz w:val="24"/>
          <w:szCs w:val="24"/>
        </w:rPr>
        <w:t xml:space="preserve"> and </w:t>
      </w:r>
      <w:r w:rsidR="005B76F3" w:rsidRPr="00B07E71">
        <w:rPr>
          <w:rFonts w:ascii="Palatino Linotype" w:hAnsi="Palatino Linotype" w:cs="Arial"/>
          <w:sz w:val="24"/>
          <w:szCs w:val="24"/>
        </w:rPr>
        <w:t>Moodle</w:t>
      </w:r>
      <w:r w:rsidR="005B76F3" w:rsidRPr="00B07E71">
        <w:rPr>
          <w:rStyle w:val="FootnoteReference"/>
          <w:rFonts w:ascii="Palatino Linotype" w:hAnsi="Palatino Linotype" w:cs="Arial"/>
          <w:sz w:val="24"/>
          <w:szCs w:val="24"/>
        </w:rPr>
        <w:footnoteReference w:id="45"/>
      </w:r>
      <w:r w:rsidR="007F1F65" w:rsidRPr="00B07E71">
        <w:rPr>
          <w:rFonts w:ascii="Palatino Linotype" w:hAnsi="Palatino Linotype" w:cs="Arial"/>
          <w:sz w:val="24"/>
          <w:szCs w:val="24"/>
        </w:rPr>
        <w:t xml:space="preserve"> </w:t>
      </w:r>
      <w:r w:rsidR="0030618C" w:rsidRPr="00B07E71">
        <w:rPr>
          <w:rFonts w:ascii="Palatino Linotype" w:hAnsi="Palatino Linotype" w:cs="Arial"/>
          <w:sz w:val="24"/>
          <w:szCs w:val="24"/>
        </w:rPr>
        <w:t>(</w:t>
      </w:r>
      <w:r w:rsidR="007F1F65" w:rsidRPr="00B07E71">
        <w:rPr>
          <w:rFonts w:ascii="Palatino Linotype" w:hAnsi="Palatino Linotype" w:cs="Arial"/>
          <w:sz w:val="24"/>
          <w:szCs w:val="24"/>
        </w:rPr>
        <w:t>to name but two</w:t>
      </w:r>
      <w:r w:rsidR="0030618C" w:rsidRPr="00B07E71">
        <w:rPr>
          <w:rFonts w:ascii="Palatino Linotype" w:hAnsi="Palatino Linotype" w:cs="Arial"/>
          <w:sz w:val="24"/>
          <w:szCs w:val="24"/>
        </w:rPr>
        <w:t>)</w:t>
      </w:r>
      <w:r w:rsidR="007F1F65" w:rsidRPr="00B07E71">
        <w:rPr>
          <w:rFonts w:ascii="Palatino Linotype" w:hAnsi="Palatino Linotype" w:cs="Arial"/>
          <w:sz w:val="24"/>
          <w:szCs w:val="24"/>
        </w:rPr>
        <w:t xml:space="preserve">, </w:t>
      </w:r>
      <w:r w:rsidR="0030618C" w:rsidRPr="00B07E71">
        <w:rPr>
          <w:rFonts w:ascii="Palatino Linotype" w:hAnsi="Palatino Linotype" w:cs="Arial"/>
          <w:sz w:val="24"/>
          <w:szCs w:val="24"/>
        </w:rPr>
        <w:t>students can undertake degree programs without ever setting foot on a university campus.</w:t>
      </w:r>
    </w:p>
    <w:p w:rsidR="00067321" w:rsidRDefault="00A5770F"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Online learning can be either synchronous or asynchronous, or a combination of the two. Synchron</w:t>
      </w:r>
      <w:r w:rsidR="00B51DDC" w:rsidRPr="00B07E71">
        <w:rPr>
          <w:rFonts w:ascii="Palatino Linotype" w:hAnsi="Palatino Linotype" w:cs="Arial"/>
          <w:sz w:val="24"/>
          <w:szCs w:val="24"/>
        </w:rPr>
        <w:t xml:space="preserve">ous </w:t>
      </w:r>
      <w:r w:rsidR="003D0478" w:rsidRPr="00B07E71">
        <w:rPr>
          <w:rFonts w:ascii="Palatino Linotype" w:hAnsi="Palatino Linotype" w:cs="Arial"/>
          <w:sz w:val="24"/>
          <w:szCs w:val="24"/>
        </w:rPr>
        <w:t>e-</w:t>
      </w:r>
      <w:r w:rsidR="00B51DDC" w:rsidRPr="00B07E71">
        <w:rPr>
          <w:rFonts w:ascii="Palatino Linotype" w:hAnsi="Palatino Linotype" w:cs="Arial"/>
          <w:sz w:val="24"/>
          <w:szCs w:val="24"/>
        </w:rPr>
        <w:t>learning takes place</w:t>
      </w:r>
      <w:r w:rsidRPr="00B07E71">
        <w:rPr>
          <w:rFonts w:ascii="Palatino Linotype" w:hAnsi="Palatino Linotype" w:cs="Arial"/>
          <w:sz w:val="24"/>
          <w:szCs w:val="24"/>
        </w:rPr>
        <w:t xml:space="preserve"> </w:t>
      </w:r>
      <w:r w:rsidR="00506AA2" w:rsidRPr="00B07E71">
        <w:rPr>
          <w:rFonts w:ascii="Palatino Linotype" w:hAnsi="Palatino Linotype" w:cs="Arial"/>
          <w:sz w:val="24"/>
          <w:szCs w:val="24"/>
        </w:rPr>
        <w:t>when all participants are interacting at the same time, commonly supported by</w:t>
      </w:r>
      <w:r w:rsidR="00436004" w:rsidRPr="00B07E71">
        <w:rPr>
          <w:rFonts w:ascii="Palatino Linotype" w:hAnsi="Palatino Linotype" w:cs="Arial"/>
          <w:sz w:val="24"/>
          <w:szCs w:val="24"/>
        </w:rPr>
        <w:t xml:space="preserve"> audio and videoconferencing software such as Skype, virtual classrooms such as Blackboard Collaborate,</w:t>
      </w:r>
      <w:r w:rsidR="00B51DDC" w:rsidRPr="00B07E71">
        <w:rPr>
          <w:rStyle w:val="FootnoteReference"/>
          <w:rFonts w:ascii="Palatino Linotype" w:hAnsi="Palatino Linotype" w:cs="Arial"/>
          <w:sz w:val="24"/>
          <w:szCs w:val="24"/>
        </w:rPr>
        <w:footnoteReference w:id="46"/>
      </w:r>
      <w:r w:rsidR="00436004" w:rsidRPr="00B07E71">
        <w:rPr>
          <w:rFonts w:ascii="Palatino Linotype" w:hAnsi="Palatino Linotype" w:cs="Arial"/>
          <w:sz w:val="24"/>
          <w:szCs w:val="24"/>
        </w:rPr>
        <w:t xml:space="preserve"> and</w:t>
      </w:r>
      <w:r w:rsidR="00506AA2" w:rsidRPr="00B07E71">
        <w:rPr>
          <w:rFonts w:ascii="Palatino Linotype" w:hAnsi="Palatino Linotype" w:cs="Arial"/>
          <w:sz w:val="24"/>
          <w:szCs w:val="24"/>
        </w:rPr>
        <w:t xml:space="preserve"> chat facilities in the online systems software. Asynchronous </w:t>
      </w:r>
      <w:r w:rsidR="003D0478" w:rsidRPr="00B07E71">
        <w:rPr>
          <w:rFonts w:ascii="Palatino Linotype" w:hAnsi="Palatino Linotype" w:cs="Arial"/>
          <w:sz w:val="24"/>
          <w:szCs w:val="24"/>
        </w:rPr>
        <w:t>e-</w:t>
      </w:r>
      <w:r w:rsidR="00506AA2" w:rsidRPr="00B07E71">
        <w:rPr>
          <w:rFonts w:ascii="Palatino Linotype" w:hAnsi="Palatino Linotype" w:cs="Arial"/>
          <w:sz w:val="24"/>
          <w:szCs w:val="24"/>
        </w:rPr>
        <w:t xml:space="preserve">learning </w:t>
      </w:r>
      <w:r w:rsidR="00436004" w:rsidRPr="00B07E71">
        <w:rPr>
          <w:rFonts w:ascii="Palatino Linotype" w:hAnsi="Palatino Linotype" w:cs="Arial"/>
          <w:sz w:val="24"/>
          <w:szCs w:val="24"/>
        </w:rPr>
        <w:t>occurs when</w:t>
      </w:r>
      <w:r w:rsidR="00B51DDC" w:rsidRPr="00B07E71">
        <w:rPr>
          <w:rFonts w:ascii="Palatino Linotype" w:hAnsi="Palatino Linotype" w:cs="Arial"/>
          <w:sz w:val="24"/>
          <w:szCs w:val="24"/>
        </w:rPr>
        <w:t xml:space="preserve"> teachers and students are not</w:t>
      </w:r>
      <w:r w:rsidR="00436004" w:rsidRPr="00B07E71">
        <w:rPr>
          <w:rFonts w:ascii="Palatino Linotype" w:hAnsi="Palatino Linotype" w:cs="Arial"/>
          <w:sz w:val="24"/>
          <w:szCs w:val="24"/>
        </w:rPr>
        <w:t xml:space="preserve"> online at the same time, and is commonly supported by email, discussion boards, wikis, blogs, podcasts and audio recordings which students can access at a time that suits them.</w:t>
      </w:r>
      <w:r w:rsidR="00436004" w:rsidRPr="00B07E71">
        <w:rPr>
          <w:rStyle w:val="FootnoteReference"/>
          <w:rFonts w:ascii="Palatino Linotype" w:hAnsi="Palatino Linotype" w:cs="Arial"/>
          <w:sz w:val="24"/>
          <w:szCs w:val="24"/>
        </w:rPr>
        <w:footnoteReference w:id="47"/>
      </w:r>
    </w:p>
    <w:p w:rsidR="00047ADA" w:rsidRDefault="00047ADA" w:rsidP="00B07E71">
      <w:pPr>
        <w:spacing w:line="480" w:lineRule="auto"/>
        <w:jc w:val="both"/>
        <w:rPr>
          <w:rFonts w:ascii="Palatino Linotype" w:hAnsi="Palatino Linotype" w:cs="Arial"/>
          <w:sz w:val="24"/>
          <w:szCs w:val="24"/>
        </w:rPr>
      </w:pPr>
    </w:p>
    <w:p w:rsidR="00047ADA" w:rsidRPr="00B07E71" w:rsidRDefault="00047ADA" w:rsidP="00B07E71">
      <w:pPr>
        <w:spacing w:line="480" w:lineRule="auto"/>
        <w:jc w:val="both"/>
        <w:rPr>
          <w:rFonts w:ascii="Palatino Linotype" w:hAnsi="Palatino Linotype" w:cs="Arial"/>
          <w:sz w:val="24"/>
          <w:szCs w:val="24"/>
        </w:rPr>
      </w:pPr>
    </w:p>
    <w:p w:rsidR="00067321" w:rsidRPr="00B07E71" w:rsidRDefault="009C717E" w:rsidP="00B07E71">
      <w:pPr>
        <w:pStyle w:val="ListParagraph"/>
        <w:spacing w:line="480" w:lineRule="auto"/>
        <w:ind w:left="567"/>
        <w:jc w:val="both"/>
        <w:rPr>
          <w:rFonts w:ascii="Palatino Linotype" w:hAnsi="Palatino Linotype" w:cs="Arial"/>
          <w:b/>
          <w:i/>
          <w:sz w:val="24"/>
          <w:szCs w:val="24"/>
        </w:rPr>
      </w:pPr>
      <w:r w:rsidRPr="00B07E71">
        <w:rPr>
          <w:rFonts w:ascii="Palatino Linotype" w:hAnsi="Palatino Linotype" w:cs="Arial"/>
          <w:b/>
          <w:i/>
          <w:sz w:val="24"/>
          <w:szCs w:val="24"/>
        </w:rPr>
        <w:t>Why o</w:t>
      </w:r>
      <w:r w:rsidR="00067321" w:rsidRPr="00B07E71">
        <w:rPr>
          <w:rFonts w:ascii="Palatino Linotype" w:hAnsi="Palatino Linotype" w:cs="Arial"/>
          <w:b/>
          <w:i/>
          <w:sz w:val="24"/>
          <w:szCs w:val="24"/>
        </w:rPr>
        <w:t>nline legal education</w:t>
      </w:r>
      <w:r w:rsidRPr="00B07E71">
        <w:rPr>
          <w:rFonts w:ascii="Palatino Linotype" w:hAnsi="Palatino Linotype" w:cs="Arial"/>
          <w:b/>
          <w:i/>
          <w:sz w:val="24"/>
          <w:szCs w:val="24"/>
        </w:rPr>
        <w:t>?</w:t>
      </w:r>
    </w:p>
    <w:p w:rsidR="00C41B6A" w:rsidRPr="00B07E71" w:rsidRDefault="00EC3D3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As Noam </w:t>
      </w:r>
      <w:r w:rsidR="003F0C1E" w:rsidRPr="00B07E71">
        <w:rPr>
          <w:rFonts w:ascii="Palatino Linotype" w:hAnsi="Palatino Linotype" w:cs="Arial"/>
          <w:sz w:val="24"/>
          <w:szCs w:val="24"/>
        </w:rPr>
        <w:t>observes</w:t>
      </w:r>
      <w:r w:rsidRPr="00B07E71">
        <w:rPr>
          <w:rFonts w:ascii="Palatino Linotype" w:hAnsi="Palatino Linotype" w:cs="Arial"/>
          <w:sz w:val="24"/>
          <w:szCs w:val="24"/>
        </w:rPr>
        <w:t>, the lecture method of face-</w:t>
      </w:r>
      <w:r w:rsidR="003F0C1E" w:rsidRPr="00B07E71">
        <w:rPr>
          <w:rFonts w:ascii="Palatino Linotype" w:hAnsi="Palatino Linotype" w:cs="Arial"/>
          <w:sz w:val="24"/>
          <w:szCs w:val="24"/>
        </w:rPr>
        <w:t>to-face teaching, which requires</w:t>
      </w:r>
      <w:r w:rsidRPr="00B07E71">
        <w:rPr>
          <w:rFonts w:ascii="Palatino Linotype" w:hAnsi="Palatino Linotype" w:cs="Arial"/>
          <w:sz w:val="24"/>
          <w:szCs w:val="24"/>
        </w:rPr>
        <w:t xml:space="preserve"> the physical aggregation of students in one place, “remained remarkably stable for 2,500 years”.</w:t>
      </w:r>
      <w:r w:rsidRPr="00B07E71">
        <w:rPr>
          <w:rStyle w:val="FootnoteReference"/>
          <w:rFonts w:ascii="Palatino Linotype" w:hAnsi="Palatino Linotype" w:cs="Arial"/>
          <w:sz w:val="24"/>
          <w:szCs w:val="24"/>
        </w:rPr>
        <w:footnoteReference w:id="48"/>
      </w:r>
      <w:r w:rsidR="003F0C1E" w:rsidRPr="00B07E71">
        <w:rPr>
          <w:rFonts w:ascii="Palatino Linotype" w:hAnsi="Palatino Linotype" w:cs="Arial"/>
          <w:sz w:val="24"/>
          <w:szCs w:val="24"/>
        </w:rPr>
        <w:t xml:space="preserve"> Noam argues</w:t>
      </w:r>
      <w:r w:rsidR="00C41B6A" w:rsidRPr="00B07E71">
        <w:rPr>
          <w:rFonts w:ascii="Palatino Linotype" w:hAnsi="Palatino Linotype" w:cs="Arial"/>
          <w:sz w:val="24"/>
          <w:szCs w:val="24"/>
        </w:rPr>
        <w:t xml:space="preserve"> that, with the advent of information and communication technologies, the predominant paradigm is breaking down.</w:t>
      </w:r>
    </w:p>
    <w:p w:rsidR="00C41B6A" w:rsidRPr="00B07E71" w:rsidRDefault="00C41B6A"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The reason is not primarily technological. Technology simply enables change. The first fundamental reason is that the production of information has undermined the traditional university structure, making it ready to implode once alternatives to its function become possible</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49"/>
      </w:r>
    </w:p>
    <w:p w:rsidR="00704D6B" w:rsidRPr="00B07E71" w:rsidRDefault="00C41B6A"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Another factor placing strain on the traditional mode of face-to-face teaching is the </w:t>
      </w:r>
      <w:r w:rsidR="00704D6B" w:rsidRPr="00B07E71">
        <w:rPr>
          <w:rFonts w:ascii="Palatino Linotype" w:hAnsi="Palatino Linotype" w:cs="Arial"/>
          <w:sz w:val="24"/>
          <w:szCs w:val="24"/>
        </w:rPr>
        <w:t xml:space="preserve">increasing demand on </w:t>
      </w:r>
      <w:r w:rsidR="003F5E75" w:rsidRPr="00B07E71">
        <w:rPr>
          <w:rFonts w:ascii="Palatino Linotype" w:hAnsi="Palatino Linotype" w:cs="Arial"/>
          <w:sz w:val="24"/>
          <w:szCs w:val="24"/>
        </w:rPr>
        <w:t>a law</w:t>
      </w:r>
      <w:r w:rsidRPr="00B07E71">
        <w:rPr>
          <w:rFonts w:ascii="Palatino Linotype" w:hAnsi="Palatino Linotype" w:cs="Arial"/>
          <w:sz w:val="24"/>
          <w:szCs w:val="24"/>
        </w:rPr>
        <w:t xml:space="preserve"> student</w:t>
      </w:r>
      <w:r w:rsidR="00704D6B" w:rsidRPr="00B07E71">
        <w:rPr>
          <w:rFonts w:ascii="Palatino Linotype" w:hAnsi="Palatino Linotype" w:cs="Arial"/>
          <w:sz w:val="24"/>
          <w:szCs w:val="24"/>
        </w:rPr>
        <w:t>’</w:t>
      </w:r>
      <w:r w:rsidRPr="00B07E71">
        <w:rPr>
          <w:rFonts w:ascii="Palatino Linotype" w:hAnsi="Palatino Linotype" w:cs="Arial"/>
          <w:sz w:val="24"/>
          <w:szCs w:val="24"/>
        </w:rPr>
        <w:t>s</w:t>
      </w:r>
      <w:r w:rsidR="00704D6B" w:rsidRPr="00B07E71">
        <w:rPr>
          <w:rFonts w:ascii="Palatino Linotype" w:hAnsi="Palatino Linotype" w:cs="Arial"/>
          <w:sz w:val="24"/>
          <w:szCs w:val="24"/>
        </w:rPr>
        <w:t xml:space="preserve"> time</w:t>
      </w:r>
      <w:r w:rsidRPr="00B07E71">
        <w:rPr>
          <w:rFonts w:ascii="Palatino Linotype" w:hAnsi="Palatino Linotype" w:cs="Arial"/>
          <w:sz w:val="24"/>
          <w:szCs w:val="24"/>
        </w:rPr>
        <w:t>. Gone are the days</w:t>
      </w:r>
      <w:r w:rsidR="003F5E75" w:rsidRPr="00B07E71">
        <w:rPr>
          <w:rFonts w:ascii="Palatino Linotype" w:hAnsi="Palatino Linotype" w:cs="Arial"/>
          <w:sz w:val="24"/>
          <w:szCs w:val="24"/>
        </w:rPr>
        <w:t>, at least in Australia and we suspect elsewhere,</w:t>
      </w:r>
      <w:r w:rsidRPr="00B07E71">
        <w:rPr>
          <w:rFonts w:ascii="Palatino Linotype" w:hAnsi="Palatino Linotype" w:cs="Arial"/>
          <w:sz w:val="24"/>
          <w:szCs w:val="24"/>
        </w:rPr>
        <w:t xml:space="preserve"> when most </w:t>
      </w:r>
      <w:r w:rsidR="003F5E75" w:rsidRPr="00B07E71">
        <w:rPr>
          <w:rFonts w:ascii="Palatino Linotype" w:hAnsi="Palatino Linotype" w:cs="Arial"/>
          <w:sz w:val="24"/>
          <w:szCs w:val="24"/>
        </w:rPr>
        <w:t>law</w:t>
      </w:r>
      <w:r w:rsidR="00704D6B" w:rsidRPr="00B07E71">
        <w:rPr>
          <w:rFonts w:ascii="Palatino Linotype" w:hAnsi="Palatino Linotype" w:cs="Arial"/>
          <w:sz w:val="24"/>
          <w:szCs w:val="24"/>
        </w:rPr>
        <w:t xml:space="preserve"> </w:t>
      </w:r>
      <w:r w:rsidR="00B246B4" w:rsidRPr="00B07E71">
        <w:rPr>
          <w:rFonts w:ascii="Palatino Linotype" w:hAnsi="Palatino Linotype" w:cs="Arial"/>
          <w:sz w:val="24"/>
          <w:szCs w:val="24"/>
        </w:rPr>
        <w:t>students studied full-time</w:t>
      </w:r>
      <w:r w:rsidRPr="00B07E71">
        <w:rPr>
          <w:rFonts w:ascii="Palatino Linotype" w:hAnsi="Palatino Linotype" w:cs="Arial"/>
          <w:sz w:val="24"/>
          <w:szCs w:val="24"/>
        </w:rPr>
        <w:t xml:space="preserve"> and worked only in the university breaks. </w:t>
      </w:r>
      <w:r w:rsidR="00704D6B" w:rsidRPr="00B07E71">
        <w:rPr>
          <w:rFonts w:ascii="Palatino Linotype" w:hAnsi="Palatino Linotype" w:cs="Arial"/>
          <w:sz w:val="24"/>
          <w:szCs w:val="24"/>
        </w:rPr>
        <w:t>Today, students juggle a variety of commitments; work (often full-time), family and</w:t>
      </w:r>
      <w:r w:rsidR="001F76B2" w:rsidRPr="00B07E71">
        <w:rPr>
          <w:rFonts w:ascii="Palatino Linotype" w:hAnsi="Palatino Linotype" w:cs="Arial"/>
          <w:sz w:val="24"/>
          <w:szCs w:val="24"/>
        </w:rPr>
        <w:t xml:space="preserve"> social</w:t>
      </w:r>
      <w:r w:rsidR="00704D6B" w:rsidRPr="00B07E71">
        <w:rPr>
          <w:rFonts w:ascii="Palatino Linotype" w:hAnsi="Palatino Linotype" w:cs="Arial"/>
          <w:sz w:val="24"/>
          <w:szCs w:val="24"/>
        </w:rPr>
        <w:t xml:space="preserve">. An increasing number of students want to study at a time </w:t>
      </w:r>
      <w:r w:rsidR="003F5E75" w:rsidRPr="00B07E71">
        <w:rPr>
          <w:rFonts w:ascii="Palatino Linotype" w:hAnsi="Palatino Linotype" w:cs="Arial"/>
          <w:sz w:val="24"/>
          <w:szCs w:val="24"/>
        </w:rPr>
        <w:t xml:space="preserve">and in a place </w:t>
      </w:r>
      <w:r w:rsidR="00704D6B" w:rsidRPr="00B07E71">
        <w:rPr>
          <w:rFonts w:ascii="Palatino Linotype" w:hAnsi="Palatino Linotype" w:cs="Arial"/>
          <w:sz w:val="24"/>
          <w:szCs w:val="24"/>
        </w:rPr>
        <w:t xml:space="preserve">that suits them, not at a time </w:t>
      </w:r>
      <w:r w:rsidR="003F5E75" w:rsidRPr="00B07E71">
        <w:rPr>
          <w:rFonts w:ascii="Palatino Linotype" w:hAnsi="Palatino Linotype" w:cs="Arial"/>
          <w:sz w:val="24"/>
          <w:szCs w:val="24"/>
        </w:rPr>
        <w:t xml:space="preserve">and in a place </w:t>
      </w:r>
      <w:r w:rsidR="00704D6B" w:rsidRPr="00B07E71">
        <w:rPr>
          <w:rFonts w:ascii="Palatino Linotype" w:hAnsi="Palatino Linotype" w:cs="Arial"/>
          <w:sz w:val="24"/>
          <w:szCs w:val="24"/>
        </w:rPr>
        <w:t>mandated</w:t>
      </w:r>
      <w:r w:rsidR="003F5E75" w:rsidRPr="00B07E71">
        <w:rPr>
          <w:rFonts w:ascii="Palatino Linotype" w:hAnsi="Palatino Linotype" w:cs="Arial"/>
          <w:sz w:val="24"/>
          <w:szCs w:val="24"/>
        </w:rPr>
        <w:t xml:space="preserve"> by the university. </w:t>
      </w:r>
    </w:p>
    <w:p w:rsidR="00516D8B" w:rsidRPr="00B07E71" w:rsidRDefault="009F5410"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For students living in rural, remote and regional centres without a tertiary institution</w:t>
      </w:r>
      <w:r w:rsidR="00C534CF" w:rsidRPr="00B07E71">
        <w:rPr>
          <w:rFonts w:ascii="Palatino Linotype" w:hAnsi="Palatino Linotype" w:cs="Arial"/>
          <w:sz w:val="24"/>
          <w:szCs w:val="24"/>
        </w:rPr>
        <w:t>, undertaking a degree online</w:t>
      </w:r>
      <w:r w:rsidRPr="00B07E71">
        <w:rPr>
          <w:rFonts w:ascii="Palatino Linotype" w:hAnsi="Palatino Linotype" w:cs="Arial"/>
          <w:sz w:val="24"/>
          <w:szCs w:val="24"/>
        </w:rPr>
        <w:t xml:space="preserve"> is a viable, and often the only, way to attend university. In Australia, s</w:t>
      </w:r>
      <w:r w:rsidR="00516D8B" w:rsidRPr="00B07E71">
        <w:rPr>
          <w:rFonts w:ascii="Palatino Linotype" w:hAnsi="Palatino Linotype" w:cs="Arial"/>
          <w:sz w:val="24"/>
          <w:szCs w:val="24"/>
        </w:rPr>
        <w:t>tudents livin</w:t>
      </w:r>
      <w:r w:rsidRPr="00B07E71">
        <w:rPr>
          <w:rFonts w:ascii="Palatino Linotype" w:hAnsi="Palatino Linotype" w:cs="Arial"/>
          <w:sz w:val="24"/>
          <w:szCs w:val="24"/>
        </w:rPr>
        <w:t>g in such areas</w:t>
      </w:r>
      <w:r w:rsidR="00516D8B" w:rsidRPr="00B07E71">
        <w:rPr>
          <w:rFonts w:ascii="Palatino Linotype" w:hAnsi="Palatino Linotype" w:cs="Arial"/>
          <w:sz w:val="24"/>
          <w:szCs w:val="24"/>
        </w:rPr>
        <w:t xml:space="preserve"> are less likely to attend university than those living in larger cities.</w:t>
      </w:r>
      <w:r w:rsidR="004E1120" w:rsidRPr="00B07E71">
        <w:rPr>
          <w:rStyle w:val="FootnoteReference"/>
          <w:rFonts w:ascii="Palatino Linotype" w:hAnsi="Palatino Linotype" w:cs="Arial"/>
          <w:sz w:val="24"/>
          <w:szCs w:val="24"/>
        </w:rPr>
        <w:footnoteReference w:id="50"/>
      </w:r>
      <w:r w:rsidR="00516D8B" w:rsidRPr="00B07E71">
        <w:rPr>
          <w:rFonts w:ascii="Palatino Linotype" w:hAnsi="Palatino Linotype" w:cs="Arial"/>
          <w:sz w:val="24"/>
          <w:szCs w:val="24"/>
        </w:rPr>
        <w:t xml:space="preserve"> </w:t>
      </w:r>
      <w:r w:rsidRPr="00B07E71">
        <w:rPr>
          <w:rFonts w:ascii="Palatino Linotype" w:hAnsi="Palatino Linotype" w:cs="Arial"/>
          <w:sz w:val="24"/>
          <w:szCs w:val="24"/>
        </w:rPr>
        <w:t>T</w:t>
      </w:r>
      <w:r w:rsidR="00516D8B" w:rsidRPr="00B07E71">
        <w:rPr>
          <w:rFonts w:ascii="Palatino Linotype" w:hAnsi="Palatino Linotype" w:cs="Arial"/>
          <w:sz w:val="24"/>
          <w:szCs w:val="24"/>
        </w:rPr>
        <w:t>his is due to a number of factors, including the comparatively greater numb</w:t>
      </w:r>
      <w:r w:rsidR="00411D27" w:rsidRPr="00B07E71">
        <w:rPr>
          <w:rFonts w:ascii="Palatino Linotype" w:hAnsi="Palatino Linotype" w:cs="Arial"/>
          <w:sz w:val="24"/>
          <w:szCs w:val="24"/>
        </w:rPr>
        <w:t>er of students from low socio</w:t>
      </w:r>
      <w:r w:rsidR="00516D8B" w:rsidRPr="00B07E71">
        <w:rPr>
          <w:rFonts w:ascii="Palatino Linotype" w:hAnsi="Palatino Linotype" w:cs="Arial"/>
          <w:sz w:val="24"/>
          <w:szCs w:val="24"/>
        </w:rPr>
        <w:t>economic backgrounds in regional and remote areas,</w:t>
      </w:r>
      <w:r w:rsidR="004E1120" w:rsidRPr="00B07E71">
        <w:rPr>
          <w:rStyle w:val="FootnoteReference"/>
          <w:rFonts w:ascii="Palatino Linotype" w:hAnsi="Palatino Linotype" w:cs="Arial"/>
          <w:sz w:val="24"/>
          <w:szCs w:val="24"/>
        </w:rPr>
        <w:footnoteReference w:id="51"/>
      </w:r>
      <w:r w:rsidR="00516D8B" w:rsidRPr="00B07E71">
        <w:rPr>
          <w:rFonts w:ascii="Palatino Linotype" w:hAnsi="Palatino Linotype" w:cs="Arial"/>
          <w:sz w:val="24"/>
          <w:szCs w:val="24"/>
        </w:rPr>
        <w:t xml:space="preserve"> lower secondary school completion rates and lower university entrance scores. These factors make it more difficult for students from rural, remote and regional centres to move to large</w:t>
      </w:r>
      <w:r w:rsidRPr="00B07E71">
        <w:rPr>
          <w:rFonts w:ascii="Palatino Linotype" w:hAnsi="Palatino Linotype" w:cs="Arial"/>
          <w:sz w:val="24"/>
          <w:szCs w:val="24"/>
        </w:rPr>
        <w:t>r cities to attend university.</w:t>
      </w:r>
      <w:r w:rsidRPr="00B07E71">
        <w:rPr>
          <w:rStyle w:val="FootnoteReference"/>
          <w:rFonts w:ascii="Palatino Linotype" w:hAnsi="Palatino Linotype" w:cs="Arial"/>
          <w:sz w:val="24"/>
          <w:szCs w:val="24"/>
        </w:rPr>
        <w:footnoteReference w:id="52"/>
      </w:r>
      <w:r w:rsidRPr="00B07E71">
        <w:rPr>
          <w:rFonts w:ascii="Palatino Linotype" w:hAnsi="Palatino Linotype" w:cs="Arial"/>
          <w:sz w:val="24"/>
          <w:szCs w:val="24"/>
        </w:rPr>
        <w:t xml:space="preserve"> As </w:t>
      </w:r>
      <w:r w:rsidR="004E1120" w:rsidRPr="00B07E71">
        <w:rPr>
          <w:rFonts w:ascii="Palatino Linotype" w:hAnsi="Palatino Linotype" w:cs="Arial"/>
          <w:sz w:val="24"/>
          <w:szCs w:val="24"/>
        </w:rPr>
        <w:t>Kemp and Norton note</w:t>
      </w:r>
      <w:r w:rsidRPr="00B07E71">
        <w:rPr>
          <w:rFonts w:ascii="Palatino Linotype" w:hAnsi="Palatino Linotype" w:cs="Arial"/>
          <w:sz w:val="24"/>
          <w:szCs w:val="24"/>
        </w:rPr>
        <w:t>, “[l]</w:t>
      </w:r>
      <w:proofErr w:type="spellStart"/>
      <w:r w:rsidR="00516D8B" w:rsidRPr="00B07E71">
        <w:rPr>
          <w:rFonts w:ascii="Palatino Linotype" w:hAnsi="Palatino Linotype" w:cs="Arial"/>
          <w:sz w:val="24"/>
          <w:szCs w:val="24"/>
        </w:rPr>
        <w:t>ong</w:t>
      </w:r>
      <w:proofErr w:type="spellEnd"/>
      <w:r w:rsidR="00516D8B" w:rsidRPr="00B07E71">
        <w:rPr>
          <w:rFonts w:ascii="Palatino Linotype" w:hAnsi="Palatino Linotype" w:cs="Arial"/>
          <w:sz w:val="24"/>
          <w:szCs w:val="24"/>
        </w:rPr>
        <w:t xml:space="preserve"> distances to campuses create logistical problems in getting to a higher education provider for many people outside the major urban centres. Leaving home to study adds to the </w:t>
      </w:r>
      <w:r w:rsidRPr="00B07E71">
        <w:rPr>
          <w:rFonts w:ascii="Palatino Linotype" w:hAnsi="Palatino Linotype" w:cs="Arial"/>
          <w:sz w:val="24"/>
          <w:szCs w:val="24"/>
        </w:rPr>
        <w:t>total cost of education”.</w:t>
      </w:r>
      <w:r w:rsidRPr="00B07E71">
        <w:rPr>
          <w:rStyle w:val="FootnoteReference"/>
          <w:rFonts w:ascii="Palatino Linotype" w:hAnsi="Palatino Linotype" w:cs="Arial"/>
          <w:sz w:val="24"/>
          <w:szCs w:val="24"/>
        </w:rPr>
        <w:footnoteReference w:id="53"/>
      </w:r>
    </w:p>
    <w:p w:rsidR="00C41B6A" w:rsidRPr="00B07E71" w:rsidRDefault="00C534CF"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w:t>
      </w:r>
      <w:r w:rsidR="00704D6B" w:rsidRPr="00B07E71">
        <w:rPr>
          <w:rFonts w:ascii="Palatino Linotype" w:hAnsi="Palatino Linotype" w:cs="Arial"/>
          <w:sz w:val="24"/>
          <w:szCs w:val="24"/>
        </w:rPr>
        <w:t>he low tech</w:t>
      </w:r>
      <w:r w:rsidR="001F76B2" w:rsidRPr="00B07E71">
        <w:rPr>
          <w:rFonts w:ascii="Palatino Linotype" w:hAnsi="Palatino Linotype" w:cs="Arial"/>
          <w:sz w:val="24"/>
          <w:szCs w:val="24"/>
        </w:rPr>
        <w:t>, lecture based,</w:t>
      </w:r>
      <w:r w:rsidR="00704D6B" w:rsidRPr="00B07E71">
        <w:rPr>
          <w:rFonts w:ascii="Palatino Linotype" w:hAnsi="Palatino Linotype" w:cs="Arial"/>
          <w:sz w:val="24"/>
          <w:szCs w:val="24"/>
        </w:rPr>
        <w:t xml:space="preserve"> system of education </w:t>
      </w:r>
      <w:r w:rsidR="001F76B2" w:rsidRPr="00B07E71">
        <w:rPr>
          <w:rFonts w:ascii="Palatino Linotype" w:hAnsi="Palatino Linotype" w:cs="Arial"/>
          <w:sz w:val="24"/>
          <w:szCs w:val="24"/>
        </w:rPr>
        <w:t xml:space="preserve">often </w:t>
      </w:r>
      <w:r w:rsidR="00704D6B" w:rsidRPr="00B07E71">
        <w:rPr>
          <w:rFonts w:ascii="Palatino Linotype" w:hAnsi="Palatino Linotype" w:cs="Arial"/>
          <w:sz w:val="24"/>
          <w:szCs w:val="24"/>
        </w:rPr>
        <w:t>venerated by the baby-boomer generation</w:t>
      </w:r>
      <w:r w:rsidR="003F0C1E" w:rsidRPr="00B07E71">
        <w:rPr>
          <w:rStyle w:val="FootnoteReference"/>
          <w:rFonts w:ascii="Palatino Linotype" w:hAnsi="Palatino Linotype" w:cs="Arial"/>
          <w:sz w:val="24"/>
          <w:szCs w:val="24"/>
        </w:rPr>
        <w:footnoteReference w:id="54"/>
      </w:r>
      <w:r w:rsidR="00704D6B" w:rsidRPr="00B07E71">
        <w:rPr>
          <w:rFonts w:ascii="Palatino Linotype" w:hAnsi="Palatino Linotype" w:cs="Arial"/>
          <w:sz w:val="24"/>
          <w:szCs w:val="24"/>
        </w:rPr>
        <w:t xml:space="preserve"> </w:t>
      </w:r>
      <w:r w:rsidRPr="00B07E71">
        <w:rPr>
          <w:rFonts w:ascii="Palatino Linotype" w:hAnsi="Palatino Linotype" w:cs="Arial"/>
          <w:sz w:val="24"/>
          <w:szCs w:val="24"/>
        </w:rPr>
        <w:t xml:space="preserve">also </w:t>
      </w:r>
      <w:r w:rsidR="00704D6B" w:rsidRPr="00B07E71">
        <w:rPr>
          <w:rFonts w:ascii="Palatino Linotype" w:hAnsi="Palatino Linotype" w:cs="Arial"/>
          <w:sz w:val="24"/>
          <w:szCs w:val="24"/>
        </w:rPr>
        <w:t>no longer resonates with students in the Digital Age.</w:t>
      </w:r>
      <w:r w:rsidR="003F0C1E" w:rsidRPr="00B07E71">
        <w:rPr>
          <w:rStyle w:val="FootnoteReference"/>
          <w:rFonts w:ascii="Palatino Linotype" w:hAnsi="Palatino Linotype" w:cs="Arial"/>
          <w:sz w:val="24"/>
          <w:szCs w:val="24"/>
        </w:rPr>
        <w:footnoteReference w:id="55"/>
      </w:r>
      <w:r w:rsidR="00704D6B" w:rsidRPr="00B07E71">
        <w:rPr>
          <w:rFonts w:ascii="Palatino Linotype" w:hAnsi="Palatino Linotype" w:cs="Arial"/>
          <w:sz w:val="24"/>
          <w:szCs w:val="24"/>
        </w:rPr>
        <w:t xml:space="preserve"> </w:t>
      </w:r>
      <w:r w:rsidR="003F5E75" w:rsidRPr="00B07E71">
        <w:rPr>
          <w:rFonts w:ascii="Palatino Linotype" w:hAnsi="Palatino Linotype" w:cs="Arial"/>
          <w:sz w:val="24"/>
          <w:szCs w:val="24"/>
        </w:rPr>
        <w:t>As Rosenberg suggests:</w:t>
      </w:r>
    </w:p>
    <w:p w:rsidR="003F5E75" w:rsidRPr="00B07E71" w:rsidRDefault="003F5E75" w:rsidP="00B07E71">
      <w:pPr>
        <w:spacing w:line="360" w:lineRule="auto"/>
        <w:ind w:left="720"/>
        <w:jc w:val="both"/>
        <w:rPr>
          <w:rFonts w:ascii="Palatino Linotype" w:hAnsi="Palatino Linotype" w:cs="Arial"/>
          <w:sz w:val="24"/>
          <w:szCs w:val="24"/>
        </w:rPr>
      </w:pPr>
      <w:r w:rsidRPr="00B07E71">
        <w:rPr>
          <w:rFonts w:ascii="Palatino Linotype" w:hAnsi="Palatino Linotype" w:cs="Arial"/>
          <w:i/>
          <w:sz w:val="24"/>
          <w:szCs w:val="24"/>
        </w:rPr>
        <w:t>As the presence of technology becomes increasingly ubiquitous and user-friendly, and the lives of our students are inextricably linked with technology, we should embrace the potential of online learning to enhance the quality of our teaching, the learning experience of our students, and most importantly, how effectively we prepare students for the challenge of lawyering in the twenty-first century</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56"/>
      </w:r>
    </w:p>
    <w:p w:rsidR="003C288F" w:rsidRPr="00B07E71" w:rsidRDefault="005533D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transmission of information and ideas is not the exclusive purview of face-to-face teaching.</w:t>
      </w:r>
      <w:r w:rsidR="00AA175B" w:rsidRPr="00B07E71">
        <w:rPr>
          <w:rFonts w:ascii="Palatino Linotype" w:hAnsi="Palatino Linotype" w:cs="Arial"/>
          <w:sz w:val="24"/>
          <w:szCs w:val="24"/>
        </w:rPr>
        <w:t xml:space="preserve"> This can be </w:t>
      </w:r>
      <w:r w:rsidRPr="00B07E71">
        <w:rPr>
          <w:rFonts w:ascii="Palatino Linotype" w:hAnsi="Palatino Linotype" w:cs="Arial"/>
          <w:sz w:val="24"/>
          <w:szCs w:val="24"/>
        </w:rPr>
        <w:t>done as effectively online.</w:t>
      </w:r>
      <w:r w:rsidR="00AA175B" w:rsidRPr="00B07E71">
        <w:rPr>
          <w:rStyle w:val="FootnoteReference"/>
          <w:rFonts w:ascii="Palatino Linotype" w:hAnsi="Palatino Linotype" w:cs="Arial"/>
          <w:sz w:val="24"/>
          <w:szCs w:val="24"/>
        </w:rPr>
        <w:footnoteReference w:id="57"/>
      </w:r>
      <w:r w:rsidR="00AA175B" w:rsidRPr="00B07E71">
        <w:rPr>
          <w:rFonts w:ascii="Palatino Linotype" w:hAnsi="Palatino Linotype" w:cs="Arial"/>
          <w:sz w:val="24"/>
          <w:szCs w:val="24"/>
        </w:rPr>
        <w:t xml:space="preserve"> </w:t>
      </w:r>
      <w:r w:rsidRPr="00B07E71">
        <w:rPr>
          <w:rFonts w:ascii="Palatino Linotype" w:hAnsi="Palatino Linotype" w:cs="Arial"/>
          <w:sz w:val="24"/>
          <w:szCs w:val="24"/>
        </w:rPr>
        <w:t xml:space="preserve"> </w:t>
      </w:r>
      <w:r w:rsidR="007C3B5B" w:rsidRPr="00B07E71">
        <w:rPr>
          <w:rFonts w:ascii="Palatino Linotype" w:hAnsi="Palatino Linotype" w:cs="Arial"/>
          <w:sz w:val="24"/>
          <w:szCs w:val="24"/>
        </w:rPr>
        <w:t>Further, as e-</w:t>
      </w:r>
      <w:r w:rsidR="00AA175B" w:rsidRPr="00B07E71">
        <w:rPr>
          <w:rFonts w:ascii="Palatino Linotype" w:hAnsi="Palatino Linotype" w:cs="Arial"/>
          <w:sz w:val="24"/>
          <w:szCs w:val="24"/>
        </w:rPr>
        <w:t xml:space="preserve">learning systems software continues to improve the comparative advantage enjoyed by face-to-face law school instruction – namely, mentoring, teacher/student and student/student engagement, and skills training – diminishes. </w:t>
      </w:r>
      <w:r w:rsidR="009058FC" w:rsidRPr="00B07E71">
        <w:rPr>
          <w:rFonts w:ascii="Palatino Linotype" w:hAnsi="Palatino Linotype" w:cs="Arial"/>
          <w:sz w:val="24"/>
          <w:szCs w:val="24"/>
        </w:rPr>
        <w:t>For example, since 2010 law</w:t>
      </w:r>
      <w:r w:rsidR="00AA175B" w:rsidRPr="00B07E71">
        <w:rPr>
          <w:rFonts w:ascii="Palatino Linotype" w:hAnsi="Palatino Linotype" w:cs="Arial"/>
          <w:sz w:val="24"/>
          <w:szCs w:val="24"/>
        </w:rPr>
        <w:t xml:space="preserve"> students studying online at </w:t>
      </w:r>
      <w:r w:rsidR="00E2335C" w:rsidRPr="00B07E71">
        <w:rPr>
          <w:rFonts w:ascii="Palatino Linotype" w:hAnsi="Palatino Linotype" w:cs="Arial"/>
          <w:sz w:val="24"/>
          <w:szCs w:val="24"/>
        </w:rPr>
        <w:t>CDU</w:t>
      </w:r>
      <w:r w:rsidR="00AA175B" w:rsidRPr="00B07E71">
        <w:rPr>
          <w:rFonts w:ascii="Palatino Linotype" w:hAnsi="Palatino Linotype" w:cs="Arial"/>
          <w:sz w:val="24"/>
          <w:szCs w:val="24"/>
        </w:rPr>
        <w:t xml:space="preserve"> have been able to complete skills units such as trial advocacy and dispute resolution, and</w:t>
      </w:r>
      <w:r w:rsidR="004E6295" w:rsidRPr="00B07E71">
        <w:rPr>
          <w:rFonts w:ascii="Palatino Linotype" w:hAnsi="Palatino Linotype" w:cs="Arial"/>
          <w:sz w:val="24"/>
          <w:szCs w:val="24"/>
        </w:rPr>
        <w:t>,</w:t>
      </w:r>
      <w:r w:rsidR="00AA175B" w:rsidRPr="00B07E71">
        <w:rPr>
          <w:rFonts w:ascii="Palatino Linotype" w:hAnsi="Palatino Linotype" w:cs="Arial"/>
          <w:sz w:val="24"/>
          <w:szCs w:val="24"/>
        </w:rPr>
        <w:t xml:space="preserve"> through the use of B</w:t>
      </w:r>
      <w:r w:rsidR="009058FC" w:rsidRPr="00B07E71">
        <w:rPr>
          <w:rFonts w:ascii="Palatino Linotype" w:hAnsi="Palatino Linotype" w:cs="Arial"/>
          <w:sz w:val="24"/>
          <w:szCs w:val="24"/>
        </w:rPr>
        <w:t xml:space="preserve">lackboard Collaborate, </w:t>
      </w:r>
      <w:r w:rsidR="00AA175B" w:rsidRPr="00B07E71">
        <w:rPr>
          <w:rFonts w:ascii="Palatino Linotype" w:hAnsi="Palatino Linotype" w:cs="Arial"/>
          <w:sz w:val="24"/>
          <w:szCs w:val="24"/>
        </w:rPr>
        <w:t>can interact with staff and other students synchronously online.</w:t>
      </w:r>
      <w:r w:rsidR="003C288F" w:rsidRPr="00B07E71">
        <w:rPr>
          <w:rFonts w:ascii="Palatino Linotype" w:hAnsi="Palatino Linotype" w:cs="Arial"/>
          <w:sz w:val="24"/>
          <w:szCs w:val="24"/>
        </w:rPr>
        <w:t xml:space="preserve"> As </w:t>
      </w:r>
      <w:proofErr w:type="spellStart"/>
      <w:r w:rsidR="003C288F" w:rsidRPr="00B07E71">
        <w:rPr>
          <w:rFonts w:ascii="Palatino Linotype" w:hAnsi="Palatino Linotype" w:cs="Arial"/>
          <w:sz w:val="24"/>
          <w:szCs w:val="24"/>
        </w:rPr>
        <w:t>Binford</w:t>
      </w:r>
      <w:proofErr w:type="spellEnd"/>
      <w:r w:rsidR="003C288F" w:rsidRPr="00B07E71">
        <w:rPr>
          <w:rFonts w:ascii="Palatino Linotype" w:hAnsi="Palatino Linotype" w:cs="Arial"/>
          <w:sz w:val="24"/>
          <w:szCs w:val="24"/>
        </w:rPr>
        <w:t xml:space="preserve"> has noted:</w:t>
      </w:r>
    </w:p>
    <w:p w:rsidR="003C288F" w:rsidRPr="00B07E71" w:rsidRDefault="003C288F"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T</w:t>
      </w:r>
      <w:r w:rsidR="009058FC" w:rsidRPr="00B07E71">
        <w:rPr>
          <w:rFonts w:ascii="Palatino Linotype" w:hAnsi="Palatino Linotype" w:cs="Arial"/>
          <w:i/>
          <w:sz w:val="24"/>
          <w:szCs w:val="24"/>
        </w:rPr>
        <w:t>he world that twentieth century law professors know is no more. Fortunately, we stand at a crossroads where we have an opportunity to build a new one.</w:t>
      </w:r>
      <w:r w:rsidRPr="00B07E71">
        <w:rPr>
          <w:rFonts w:ascii="Palatino Linotype" w:hAnsi="Palatino Linotype" w:cs="Arial"/>
          <w:i/>
          <w:sz w:val="24"/>
          <w:szCs w:val="24"/>
        </w:rPr>
        <w:t xml:space="preserve"> This is our Gutenberg moment</w:t>
      </w:r>
      <w:r w:rsidRPr="00B07E71">
        <w:rPr>
          <w:rFonts w:ascii="Palatino Linotype" w:hAnsi="Palatino Linotype" w:cs="Arial"/>
          <w:sz w:val="24"/>
          <w:szCs w:val="24"/>
        </w:rPr>
        <w:t>.</w:t>
      </w:r>
      <w:r w:rsidR="009058FC" w:rsidRPr="00B07E71">
        <w:rPr>
          <w:rStyle w:val="FootnoteReference"/>
          <w:rFonts w:ascii="Palatino Linotype" w:hAnsi="Palatino Linotype" w:cs="Arial"/>
          <w:sz w:val="24"/>
          <w:szCs w:val="24"/>
        </w:rPr>
        <w:footnoteReference w:id="58"/>
      </w:r>
      <w:r w:rsidRPr="00B07E71">
        <w:rPr>
          <w:rFonts w:ascii="Palatino Linotype" w:hAnsi="Palatino Linotype" w:cs="Arial"/>
          <w:sz w:val="24"/>
          <w:szCs w:val="24"/>
        </w:rPr>
        <w:t xml:space="preserve"> </w:t>
      </w:r>
    </w:p>
    <w:p w:rsidR="00B14AB1" w:rsidRPr="00B07E71" w:rsidRDefault="006D2894"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reference to Gutenbe</w:t>
      </w:r>
      <w:r w:rsidR="00A336E4" w:rsidRPr="00B07E71">
        <w:rPr>
          <w:rFonts w:ascii="Palatino Linotype" w:hAnsi="Palatino Linotype" w:cs="Arial"/>
          <w:sz w:val="24"/>
          <w:szCs w:val="24"/>
        </w:rPr>
        <w:t>rg is inform</w:t>
      </w:r>
      <w:r w:rsidR="007419E5" w:rsidRPr="00B07E71">
        <w:rPr>
          <w:rFonts w:ascii="Palatino Linotype" w:hAnsi="Palatino Linotype" w:cs="Arial"/>
          <w:sz w:val="24"/>
          <w:szCs w:val="24"/>
        </w:rPr>
        <w:t>ative. A</w:t>
      </w:r>
      <w:r w:rsidR="00A336E4" w:rsidRPr="00B07E71">
        <w:rPr>
          <w:rFonts w:ascii="Palatino Linotype" w:hAnsi="Palatino Linotype" w:cs="Arial"/>
          <w:sz w:val="24"/>
          <w:szCs w:val="24"/>
        </w:rPr>
        <w:t xml:space="preserve"> technological</w:t>
      </w:r>
      <w:r w:rsidR="007419E5" w:rsidRPr="00B07E71">
        <w:rPr>
          <w:rFonts w:ascii="Palatino Linotype" w:hAnsi="Palatino Linotype" w:cs="Arial"/>
          <w:sz w:val="24"/>
          <w:szCs w:val="24"/>
        </w:rPr>
        <w:t xml:space="preserve"> </w:t>
      </w:r>
      <w:r w:rsidRPr="00B07E71">
        <w:rPr>
          <w:rFonts w:ascii="Palatino Linotype" w:hAnsi="Palatino Linotype" w:cs="Arial"/>
          <w:sz w:val="24"/>
          <w:szCs w:val="24"/>
        </w:rPr>
        <w:t xml:space="preserve">revolution </w:t>
      </w:r>
      <w:r w:rsidR="007419E5" w:rsidRPr="00B07E71">
        <w:rPr>
          <w:rFonts w:ascii="Palatino Linotype" w:hAnsi="Palatino Linotype" w:cs="Arial"/>
          <w:sz w:val="24"/>
          <w:szCs w:val="24"/>
        </w:rPr>
        <w:t xml:space="preserve">was </w:t>
      </w:r>
      <w:r w:rsidRPr="00B07E71">
        <w:rPr>
          <w:rFonts w:ascii="Palatino Linotype" w:hAnsi="Palatino Linotype" w:cs="Arial"/>
          <w:sz w:val="24"/>
          <w:szCs w:val="24"/>
        </w:rPr>
        <w:t>ushered in by Gutenberg’s invention of mechanical moveable type</w:t>
      </w:r>
      <w:r w:rsidR="007419E5" w:rsidRPr="00B07E71">
        <w:rPr>
          <w:rFonts w:ascii="Palatino Linotype" w:hAnsi="Palatino Linotype" w:cs="Arial"/>
          <w:sz w:val="24"/>
          <w:szCs w:val="24"/>
        </w:rPr>
        <w:t>.</w:t>
      </w:r>
      <w:r w:rsidR="007419E5" w:rsidRPr="00B07E71">
        <w:rPr>
          <w:rStyle w:val="FootnoteReference"/>
          <w:rFonts w:ascii="Palatino Linotype" w:hAnsi="Palatino Linotype" w:cs="Arial"/>
          <w:sz w:val="24"/>
          <w:szCs w:val="24"/>
        </w:rPr>
        <w:footnoteReference w:id="59"/>
      </w:r>
      <w:r w:rsidRPr="00B07E71">
        <w:rPr>
          <w:rFonts w:ascii="Palatino Linotype" w:hAnsi="Palatino Linotype" w:cs="Arial"/>
          <w:sz w:val="24"/>
          <w:szCs w:val="24"/>
        </w:rPr>
        <w:t xml:space="preserve"> </w:t>
      </w:r>
      <w:r w:rsidR="00F604E5" w:rsidRPr="00B07E71">
        <w:rPr>
          <w:rFonts w:ascii="Palatino Linotype" w:hAnsi="Palatino Linotype" w:cs="Arial"/>
          <w:sz w:val="24"/>
          <w:szCs w:val="24"/>
        </w:rPr>
        <w:t>In the words of</w:t>
      </w:r>
      <w:r w:rsidR="007419E5" w:rsidRPr="00B07E71">
        <w:rPr>
          <w:rFonts w:ascii="Palatino Linotype" w:hAnsi="Palatino Linotype" w:cs="Arial"/>
          <w:sz w:val="24"/>
          <w:szCs w:val="24"/>
        </w:rPr>
        <w:t xml:space="preserve"> McLuhan, “[t]he mechanical printed page was crossed with a new organic form that changed layout as it changed politics and society”.</w:t>
      </w:r>
      <w:r w:rsidR="007419E5" w:rsidRPr="00B07E71">
        <w:rPr>
          <w:rStyle w:val="FootnoteReference"/>
          <w:rFonts w:ascii="Palatino Linotype" w:hAnsi="Palatino Linotype" w:cs="Arial"/>
          <w:sz w:val="24"/>
          <w:szCs w:val="24"/>
        </w:rPr>
        <w:footnoteReference w:id="60"/>
      </w:r>
      <w:r w:rsidR="007419E5" w:rsidRPr="00B07E71">
        <w:rPr>
          <w:rFonts w:ascii="Palatino Linotype" w:hAnsi="Palatino Linotype" w:cs="Arial"/>
          <w:sz w:val="24"/>
          <w:szCs w:val="24"/>
        </w:rPr>
        <w:t xml:space="preserve"> Wh</w:t>
      </w:r>
      <w:r w:rsidR="006C40B1" w:rsidRPr="00B07E71">
        <w:rPr>
          <w:rFonts w:ascii="Palatino Linotype" w:hAnsi="Palatino Linotype" w:cs="Arial"/>
          <w:sz w:val="24"/>
          <w:szCs w:val="24"/>
        </w:rPr>
        <w:t>ile it is too early to ascertain</w:t>
      </w:r>
      <w:r w:rsidR="007419E5" w:rsidRPr="00B07E71">
        <w:rPr>
          <w:rFonts w:ascii="Palatino Linotype" w:hAnsi="Palatino Linotype" w:cs="Arial"/>
          <w:sz w:val="24"/>
          <w:szCs w:val="24"/>
        </w:rPr>
        <w:t xml:space="preserve"> wh</w:t>
      </w:r>
      <w:r w:rsidR="00F604E5" w:rsidRPr="00B07E71">
        <w:rPr>
          <w:rFonts w:ascii="Palatino Linotype" w:hAnsi="Palatino Linotype" w:cs="Arial"/>
          <w:sz w:val="24"/>
          <w:szCs w:val="24"/>
        </w:rPr>
        <w:t>ether the advent of the Digital age</w:t>
      </w:r>
      <w:r w:rsidR="007419E5" w:rsidRPr="00B07E71">
        <w:rPr>
          <w:rFonts w:ascii="Palatino Linotype" w:hAnsi="Palatino Linotype" w:cs="Arial"/>
          <w:sz w:val="24"/>
          <w:szCs w:val="24"/>
        </w:rPr>
        <w:t xml:space="preserve"> will mark a comparable milestone in human </w:t>
      </w:r>
      <w:r w:rsidR="006C40B1" w:rsidRPr="00B07E71">
        <w:rPr>
          <w:rFonts w:ascii="Palatino Linotype" w:hAnsi="Palatino Linotype" w:cs="Arial"/>
          <w:sz w:val="24"/>
          <w:szCs w:val="24"/>
        </w:rPr>
        <w:t xml:space="preserve">political and social </w:t>
      </w:r>
      <w:r w:rsidR="007419E5" w:rsidRPr="00B07E71">
        <w:rPr>
          <w:rFonts w:ascii="Palatino Linotype" w:hAnsi="Palatino Linotype" w:cs="Arial"/>
          <w:sz w:val="24"/>
          <w:szCs w:val="24"/>
        </w:rPr>
        <w:t>evolution</w:t>
      </w:r>
      <w:r w:rsidR="006C40B1" w:rsidRPr="00B07E71">
        <w:rPr>
          <w:rFonts w:ascii="Palatino Linotype" w:hAnsi="Palatino Linotype" w:cs="Arial"/>
          <w:sz w:val="24"/>
          <w:szCs w:val="24"/>
        </w:rPr>
        <w:t xml:space="preserve">, there are some interesting parallels </w:t>
      </w:r>
      <w:r w:rsidR="00474304" w:rsidRPr="00B07E71">
        <w:rPr>
          <w:rFonts w:ascii="Palatino Linotype" w:hAnsi="Palatino Linotype" w:cs="Arial"/>
          <w:sz w:val="24"/>
          <w:szCs w:val="24"/>
        </w:rPr>
        <w:t xml:space="preserve">between the advent of </w:t>
      </w:r>
      <w:r w:rsidR="007C7413" w:rsidRPr="00B07E71">
        <w:rPr>
          <w:rFonts w:ascii="Palatino Linotype" w:hAnsi="Palatino Linotype" w:cs="Arial"/>
          <w:sz w:val="24"/>
          <w:szCs w:val="24"/>
        </w:rPr>
        <w:t xml:space="preserve">the </w:t>
      </w:r>
      <w:r w:rsidR="00474304" w:rsidRPr="00B07E71">
        <w:rPr>
          <w:rFonts w:ascii="Palatino Linotype" w:hAnsi="Palatino Linotype" w:cs="Arial"/>
          <w:sz w:val="24"/>
          <w:szCs w:val="24"/>
        </w:rPr>
        <w:t>printing press</w:t>
      </w:r>
      <w:r w:rsidR="006C40B1" w:rsidRPr="00B07E71">
        <w:rPr>
          <w:rFonts w:ascii="Palatino Linotype" w:hAnsi="Palatino Linotype" w:cs="Arial"/>
          <w:sz w:val="24"/>
          <w:szCs w:val="24"/>
        </w:rPr>
        <w:t xml:space="preserve"> and the rapid development of </w:t>
      </w:r>
      <w:r w:rsidR="00F604E5" w:rsidRPr="00B07E71">
        <w:rPr>
          <w:rFonts w:ascii="Palatino Linotype" w:hAnsi="Palatino Linotype" w:cs="Arial"/>
          <w:sz w:val="24"/>
          <w:szCs w:val="24"/>
        </w:rPr>
        <w:t xml:space="preserve">the internet and its offshoot, </w:t>
      </w:r>
      <w:r w:rsidR="006C40B1" w:rsidRPr="00B07E71">
        <w:rPr>
          <w:rFonts w:ascii="Palatino Linotype" w:hAnsi="Palatino Linotype" w:cs="Arial"/>
          <w:sz w:val="24"/>
          <w:szCs w:val="24"/>
        </w:rPr>
        <w:t xml:space="preserve">online education.  Of particular note </w:t>
      </w:r>
      <w:r w:rsidR="00AF5446" w:rsidRPr="00B07E71">
        <w:rPr>
          <w:rFonts w:ascii="Palatino Linotype" w:hAnsi="Palatino Linotype" w:cs="Arial"/>
          <w:sz w:val="24"/>
          <w:szCs w:val="24"/>
        </w:rPr>
        <w:t xml:space="preserve">in the context of this article </w:t>
      </w:r>
      <w:r w:rsidR="003E78A0" w:rsidRPr="00B07E71">
        <w:rPr>
          <w:rFonts w:ascii="Palatino Linotype" w:hAnsi="Palatino Linotype" w:cs="Arial"/>
          <w:sz w:val="24"/>
          <w:szCs w:val="24"/>
        </w:rPr>
        <w:t>is the ongoing</w:t>
      </w:r>
      <w:r w:rsidR="003773E5" w:rsidRPr="00B07E71">
        <w:rPr>
          <w:rFonts w:ascii="Palatino Linotype" w:hAnsi="Palatino Linotype" w:cs="Arial"/>
          <w:sz w:val="24"/>
          <w:szCs w:val="24"/>
        </w:rPr>
        <w:t xml:space="preserve"> resistance of admissions bodies in recognising </w:t>
      </w:r>
      <w:r w:rsidR="003E78A0" w:rsidRPr="00B07E71">
        <w:rPr>
          <w:rFonts w:ascii="Palatino Linotype" w:hAnsi="Palatino Linotype" w:cs="Arial"/>
          <w:sz w:val="24"/>
          <w:szCs w:val="24"/>
        </w:rPr>
        <w:t>law degree programs offered fully online</w:t>
      </w:r>
      <w:r w:rsidR="003773E5" w:rsidRPr="00B07E71">
        <w:rPr>
          <w:rFonts w:ascii="Palatino Linotype" w:hAnsi="Palatino Linotype" w:cs="Arial"/>
          <w:sz w:val="24"/>
          <w:szCs w:val="24"/>
        </w:rPr>
        <w:t>, and of academics in engaging with digital technologies</w:t>
      </w:r>
      <w:r w:rsidR="006C40B1" w:rsidRPr="00B07E71">
        <w:rPr>
          <w:rFonts w:ascii="Palatino Linotype" w:hAnsi="Palatino Linotype" w:cs="Arial"/>
          <w:sz w:val="24"/>
          <w:szCs w:val="24"/>
        </w:rPr>
        <w:t>.</w:t>
      </w:r>
    </w:p>
    <w:p w:rsidR="006D2894" w:rsidRPr="00B07E71" w:rsidRDefault="00B14A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As Briggs and Burke note, “the </w:t>
      </w:r>
      <w:r w:rsidR="006C40B1" w:rsidRPr="00B07E71">
        <w:rPr>
          <w:rFonts w:ascii="Palatino Linotype" w:hAnsi="Palatino Linotype" w:cs="Arial"/>
          <w:sz w:val="24"/>
          <w:szCs w:val="24"/>
        </w:rPr>
        <w:t>triumphalist accounts of [Gutenbe</w:t>
      </w:r>
      <w:r w:rsidR="008F4CA5" w:rsidRPr="00B07E71">
        <w:rPr>
          <w:rFonts w:ascii="Palatino Linotype" w:hAnsi="Palatino Linotype" w:cs="Arial"/>
          <w:sz w:val="24"/>
          <w:szCs w:val="24"/>
        </w:rPr>
        <w:t>r</w:t>
      </w:r>
      <w:r w:rsidR="006C40B1" w:rsidRPr="00B07E71">
        <w:rPr>
          <w:rFonts w:ascii="Palatino Linotype" w:hAnsi="Palatino Linotype" w:cs="Arial"/>
          <w:sz w:val="24"/>
          <w:szCs w:val="24"/>
        </w:rPr>
        <w:t>g’s]</w:t>
      </w:r>
      <w:r w:rsidRPr="00B07E71">
        <w:rPr>
          <w:rFonts w:ascii="Palatino Linotype" w:hAnsi="Palatino Linotype" w:cs="Arial"/>
          <w:sz w:val="24"/>
          <w:szCs w:val="24"/>
        </w:rPr>
        <w:t xml:space="preserve"> invention were matched by what we might call catastrophist narratives”.</w:t>
      </w:r>
      <w:r w:rsidRPr="00B07E71">
        <w:rPr>
          <w:rStyle w:val="FootnoteReference"/>
          <w:rFonts w:ascii="Palatino Linotype" w:hAnsi="Palatino Linotype" w:cs="Arial"/>
          <w:sz w:val="24"/>
          <w:szCs w:val="24"/>
        </w:rPr>
        <w:footnoteReference w:id="61"/>
      </w:r>
      <w:r w:rsidRPr="00B07E71">
        <w:rPr>
          <w:rFonts w:ascii="Palatino Linotype" w:hAnsi="Palatino Linotype" w:cs="Arial"/>
          <w:sz w:val="24"/>
          <w:szCs w:val="24"/>
        </w:rPr>
        <w:t xml:space="preserve"> Those whose perceived self-interest was affected by the new technology – publishers of hand-written texts, and the churchman and wealthy who enjoyed a virtual monopoly on literacy – did not embrace the printing revolution.</w:t>
      </w:r>
      <w:r w:rsidRPr="00B07E71">
        <w:rPr>
          <w:rStyle w:val="FootnoteReference"/>
          <w:rFonts w:ascii="Palatino Linotype" w:hAnsi="Palatino Linotype" w:cs="Arial"/>
          <w:sz w:val="24"/>
          <w:szCs w:val="24"/>
        </w:rPr>
        <w:footnoteReference w:id="62"/>
      </w:r>
      <w:r w:rsidR="00FF3FE7" w:rsidRPr="00B07E71">
        <w:rPr>
          <w:rFonts w:ascii="Palatino Linotype" w:hAnsi="Palatino Linotype" w:cs="Arial"/>
          <w:sz w:val="24"/>
          <w:szCs w:val="24"/>
        </w:rPr>
        <w:t xml:space="preserve"> This notwithstanding, the gradual ubiquity of the printing press was a catalyst for change,</w:t>
      </w:r>
      <w:r w:rsidR="00380DDF" w:rsidRPr="00B07E71">
        <w:rPr>
          <w:rStyle w:val="FootnoteReference"/>
          <w:rFonts w:ascii="Palatino Linotype" w:hAnsi="Palatino Linotype" w:cs="Arial"/>
          <w:sz w:val="24"/>
          <w:szCs w:val="24"/>
        </w:rPr>
        <w:footnoteReference w:id="63"/>
      </w:r>
      <w:r w:rsidR="00FF3FE7" w:rsidRPr="00B07E71">
        <w:rPr>
          <w:rFonts w:ascii="Palatino Linotype" w:hAnsi="Palatino Linotype" w:cs="Arial"/>
          <w:sz w:val="24"/>
          <w:szCs w:val="24"/>
        </w:rPr>
        <w:t xml:space="preserve"> an</w:t>
      </w:r>
      <w:r w:rsidR="007C3B5B" w:rsidRPr="00B07E71">
        <w:rPr>
          <w:rFonts w:ascii="Palatino Linotype" w:hAnsi="Palatino Linotype" w:cs="Arial"/>
          <w:sz w:val="24"/>
          <w:szCs w:val="24"/>
        </w:rPr>
        <w:t>d it can be anticipated that</w:t>
      </w:r>
      <w:r w:rsidR="00FF3FE7" w:rsidRPr="00B07E71">
        <w:rPr>
          <w:rFonts w:ascii="Palatino Linotype" w:hAnsi="Palatino Linotype" w:cs="Arial"/>
          <w:sz w:val="24"/>
          <w:szCs w:val="24"/>
        </w:rPr>
        <w:t xml:space="preserve"> both the use of, and rapid advancements in, digital technology in the twenty-first century will </w:t>
      </w:r>
      <w:r w:rsidR="00380DDF" w:rsidRPr="00B07E71">
        <w:rPr>
          <w:rFonts w:ascii="Palatino Linotype" w:hAnsi="Palatino Linotype" w:cs="Arial"/>
          <w:sz w:val="24"/>
          <w:szCs w:val="24"/>
        </w:rPr>
        <w:t>result in significant changes both to the way law students are taught and to the way they learn.</w:t>
      </w:r>
      <w:r w:rsidR="000675EF" w:rsidRPr="00B07E71">
        <w:rPr>
          <w:rStyle w:val="FootnoteReference"/>
          <w:rFonts w:ascii="Palatino Linotype" w:hAnsi="Palatino Linotype" w:cs="Arial"/>
          <w:sz w:val="24"/>
          <w:szCs w:val="24"/>
        </w:rPr>
        <w:footnoteReference w:id="64"/>
      </w:r>
    </w:p>
    <w:p w:rsidR="006F233F" w:rsidRPr="00B07E71" w:rsidRDefault="00474304"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Further</w:t>
      </w:r>
      <w:r w:rsidR="00AF5446" w:rsidRPr="00B07E71">
        <w:rPr>
          <w:rFonts w:ascii="Palatino Linotype" w:hAnsi="Palatino Linotype" w:cs="Arial"/>
          <w:sz w:val="24"/>
          <w:szCs w:val="24"/>
        </w:rPr>
        <w:t xml:space="preserve"> </w:t>
      </w:r>
      <w:r w:rsidRPr="00B07E71">
        <w:rPr>
          <w:rFonts w:ascii="Palatino Linotype" w:hAnsi="Palatino Linotype" w:cs="Arial"/>
          <w:sz w:val="24"/>
          <w:szCs w:val="24"/>
        </w:rPr>
        <w:t>(</w:t>
      </w:r>
      <w:r w:rsidR="00AF5446" w:rsidRPr="00B07E71">
        <w:rPr>
          <w:rFonts w:ascii="Palatino Linotype" w:hAnsi="Palatino Linotype" w:cs="Arial"/>
          <w:sz w:val="24"/>
          <w:szCs w:val="24"/>
        </w:rPr>
        <w:t xml:space="preserve">as </w:t>
      </w:r>
      <w:r w:rsidR="003773E5" w:rsidRPr="00B07E71">
        <w:rPr>
          <w:rFonts w:ascii="Palatino Linotype" w:hAnsi="Palatino Linotype" w:cs="Arial"/>
          <w:sz w:val="24"/>
          <w:szCs w:val="24"/>
        </w:rPr>
        <w:t>occurred in the decades following</w:t>
      </w:r>
      <w:r w:rsidR="00732299" w:rsidRPr="00B07E71">
        <w:rPr>
          <w:rFonts w:ascii="Palatino Linotype" w:hAnsi="Palatino Linotype" w:cs="Arial"/>
          <w:sz w:val="24"/>
          <w:szCs w:val="24"/>
        </w:rPr>
        <w:t xml:space="preserve"> Gutenberg’</w:t>
      </w:r>
      <w:r w:rsidRPr="00B07E71">
        <w:rPr>
          <w:rFonts w:ascii="Palatino Linotype" w:hAnsi="Palatino Linotype" w:cs="Arial"/>
          <w:sz w:val="24"/>
          <w:szCs w:val="24"/>
        </w:rPr>
        <w:t>s invention</w:t>
      </w:r>
      <w:r w:rsidR="003773E5" w:rsidRPr="00B07E71">
        <w:rPr>
          <w:rStyle w:val="FootnoteReference"/>
          <w:rFonts w:ascii="Palatino Linotype" w:hAnsi="Palatino Linotype" w:cs="Arial"/>
          <w:sz w:val="24"/>
          <w:szCs w:val="24"/>
        </w:rPr>
        <w:footnoteReference w:id="65"/>
      </w:r>
      <w:r w:rsidRPr="00B07E71">
        <w:rPr>
          <w:rFonts w:ascii="Palatino Linotype" w:hAnsi="Palatino Linotype" w:cs="Arial"/>
          <w:sz w:val="24"/>
          <w:szCs w:val="24"/>
        </w:rPr>
        <w:t>),</w:t>
      </w:r>
      <w:r w:rsidR="00380DDF" w:rsidRPr="00B07E71">
        <w:rPr>
          <w:rFonts w:ascii="Palatino Linotype" w:hAnsi="Palatino Linotype" w:cs="Arial"/>
          <w:sz w:val="24"/>
          <w:szCs w:val="24"/>
        </w:rPr>
        <w:t xml:space="preserve"> </w:t>
      </w:r>
      <w:r w:rsidR="00FA4843" w:rsidRPr="00B07E71">
        <w:rPr>
          <w:rFonts w:ascii="Palatino Linotype" w:hAnsi="Palatino Linotype" w:cs="Arial"/>
          <w:sz w:val="24"/>
          <w:szCs w:val="24"/>
        </w:rPr>
        <w:t xml:space="preserve">today </w:t>
      </w:r>
      <w:r w:rsidR="00732299" w:rsidRPr="00B07E71">
        <w:rPr>
          <w:rFonts w:ascii="Palatino Linotype" w:hAnsi="Palatino Linotype" w:cs="Arial"/>
          <w:sz w:val="24"/>
          <w:szCs w:val="24"/>
        </w:rPr>
        <w:t>not everyone embraces the digital revolution in learning and teaching occurring at this early stage of the twen</w:t>
      </w:r>
      <w:r w:rsidR="00DC3F9B" w:rsidRPr="00B07E71">
        <w:rPr>
          <w:rFonts w:ascii="Palatino Linotype" w:hAnsi="Palatino Linotype" w:cs="Arial"/>
          <w:sz w:val="24"/>
          <w:szCs w:val="24"/>
        </w:rPr>
        <w:t>ty-first century. T</w:t>
      </w:r>
      <w:r w:rsidR="0030618C" w:rsidRPr="00B07E71">
        <w:rPr>
          <w:rFonts w:ascii="Palatino Linotype" w:hAnsi="Palatino Linotype" w:cs="Arial"/>
          <w:sz w:val="24"/>
          <w:szCs w:val="24"/>
        </w:rPr>
        <w:t>he ability of students to complete their undergraduate law degree fully online is actively discouraged in some jurisdictions. In</w:t>
      </w:r>
      <w:r w:rsidR="00732299" w:rsidRPr="00B07E71">
        <w:rPr>
          <w:rFonts w:ascii="Palatino Linotype" w:hAnsi="Palatino Linotype" w:cs="Arial"/>
          <w:sz w:val="24"/>
          <w:szCs w:val="24"/>
        </w:rPr>
        <w:t xml:space="preserve"> the United States,</w:t>
      </w:r>
      <w:r w:rsidR="0030618C" w:rsidRPr="00B07E71">
        <w:rPr>
          <w:rFonts w:ascii="Palatino Linotype" w:hAnsi="Palatino Linotype" w:cs="Arial"/>
          <w:sz w:val="24"/>
          <w:szCs w:val="24"/>
        </w:rPr>
        <w:t xml:space="preserve"> </w:t>
      </w:r>
      <w:r w:rsidR="005974F4" w:rsidRPr="00B07E71">
        <w:rPr>
          <w:rFonts w:ascii="Palatino Linotype" w:hAnsi="Palatino Linotype" w:cs="Arial"/>
          <w:sz w:val="24"/>
          <w:szCs w:val="24"/>
        </w:rPr>
        <w:t>for example, Standard </w:t>
      </w:r>
      <w:r w:rsidR="008F0DE5" w:rsidRPr="00B07E71">
        <w:rPr>
          <w:rFonts w:ascii="Palatino Linotype" w:hAnsi="Palatino Linotype" w:cs="Arial"/>
          <w:sz w:val="24"/>
          <w:szCs w:val="24"/>
        </w:rPr>
        <w:t xml:space="preserve">306 of the American Bar Association’s </w:t>
      </w:r>
      <w:r w:rsidR="006F233F" w:rsidRPr="00B07E71">
        <w:rPr>
          <w:rFonts w:ascii="Palatino Linotype" w:hAnsi="Palatino Linotype" w:cs="Arial"/>
          <w:sz w:val="24"/>
          <w:szCs w:val="24"/>
        </w:rPr>
        <w:t xml:space="preserve">(‘ABA’) </w:t>
      </w:r>
      <w:r w:rsidR="008F0DE5" w:rsidRPr="00B07E71">
        <w:rPr>
          <w:rFonts w:ascii="Palatino Linotype" w:hAnsi="Palatino Linotype" w:cs="Arial"/>
          <w:i/>
          <w:sz w:val="24"/>
          <w:szCs w:val="24"/>
        </w:rPr>
        <w:t>Standards and Rules for Approval of Law Schools</w:t>
      </w:r>
      <w:r w:rsidR="008F0DE5" w:rsidRPr="00B07E71">
        <w:rPr>
          <w:rFonts w:ascii="Palatino Linotype" w:hAnsi="Palatino Linotype" w:cs="Arial"/>
          <w:sz w:val="24"/>
          <w:szCs w:val="24"/>
        </w:rPr>
        <w:t xml:space="preserve"> denies accreditation to any law school that provides a Juris Doctor</w:t>
      </w:r>
      <w:r w:rsidR="00CC4BDE" w:rsidRPr="00B07E71">
        <w:rPr>
          <w:rFonts w:ascii="Palatino Linotype" w:hAnsi="Palatino Linotype" w:cs="Arial"/>
          <w:sz w:val="24"/>
          <w:szCs w:val="24"/>
        </w:rPr>
        <w:t> </w:t>
      </w:r>
      <w:r w:rsidR="008F0DE5" w:rsidRPr="00B07E71">
        <w:rPr>
          <w:rFonts w:ascii="Palatino Linotype" w:hAnsi="Palatino Linotype" w:cs="Arial"/>
          <w:sz w:val="24"/>
          <w:szCs w:val="24"/>
        </w:rPr>
        <w:t>(</w:t>
      </w:r>
      <w:r w:rsidR="005974F4" w:rsidRPr="00B07E71">
        <w:rPr>
          <w:rFonts w:ascii="Palatino Linotype" w:hAnsi="Palatino Linotype" w:cs="Arial"/>
          <w:sz w:val="24"/>
          <w:szCs w:val="24"/>
        </w:rPr>
        <w:t>‘</w:t>
      </w:r>
      <w:r w:rsidR="008F0DE5" w:rsidRPr="00B07E71">
        <w:rPr>
          <w:rFonts w:ascii="Palatino Linotype" w:hAnsi="Palatino Linotype" w:cs="Arial"/>
          <w:sz w:val="24"/>
          <w:szCs w:val="24"/>
        </w:rPr>
        <w:t>JD</w:t>
      </w:r>
      <w:r w:rsidR="005974F4" w:rsidRPr="00B07E71">
        <w:rPr>
          <w:rFonts w:ascii="Palatino Linotype" w:hAnsi="Palatino Linotype" w:cs="Arial"/>
          <w:sz w:val="24"/>
          <w:szCs w:val="24"/>
        </w:rPr>
        <w:t>’</w:t>
      </w:r>
      <w:r w:rsidR="008F0DE5" w:rsidRPr="00B07E71">
        <w:rPr>
          <w:rFonts w:ascii="Palatino Linotype" w:hAnsi="Palatino Linotype" w:cs="Arial"/>
          <w:sz w:val="24"/>
          <w:szCs w:val="24"/>
        </w:rPr>
        <w:t>) degree fully by distance education.</w:t>
      </w:r>
      <w:r w:rsidR="008F0DE5" w:rsidRPr="00B07E71">
        <w:rPr>
          <w:rStyle w:val="FootnoteReference"/>
          <w:rFonts w:ascii="Palatino Linotype" w:hAnsi="Palatino Linotype" w:cs="Arial"/>
          <w:sz w:val="24"/>
          <w:szCs w:val="24"/>
        </w:rPr>
        <w:footnoteReference w:id="66"/>
      </w:r>
      <w:r w:rsidR="006F233F" w:rsidRPr="00B07E71">
        <w:rPr>
          <w:rFonts w:ascii="Palatino Linotype" w:hAnsi="Palatino Linotype" w:cs="Arial"/>
          <w:sz w:val="24"/>
          <w:szCs w:val="24"/>
        </w:rPr>
        <w:t xml:space="preserve"> As the </w:t>
      </w:r>
      <w:r w:rsidR="003D0478" w:rsidRPr="00B07E71">
        <w:rPr>
          <w:rFonts w:ascii="Palatino Linotype" w:hAnsi="Palatino Linotype" w:cs="Arial"/>
          <w:sz w:val="24"/>
          <w:szCs w:val="24"/>
        </w:rPr>
        <w:t>ABA warns would-be lawyers</w:t>
      </w:r>
      <w:r w:rsidR="006F233F" w:rsidRPr="00B07E71">
        <w:rPr>
          <w:rFonts w:ascii="Palatino Linotype" w:hAnsi="Palatino Linotype" w:cs="Arial"/>
          <w:sz w:val="24"/>
          <w:szCs w:val="24"/>
        </w:rPr>
        <w:t xml:space="preserve"> on its website, “earning an education completely via distance education may drastically limit your ability to sit for the bar in many states”.</w:t>
      </w:r>
      <w:r w:rsidR="006F233F" w:rsidRPr="00B07E71">
        <w:rPr>
          <w:rStyle w:val="FootnoteReference"/>
          <w:rFonts w:ascii="Palatino Linotype" w:hAnsi="Palatino Linotype" w:cs="Arial"/>
          <w:sz w:val="24"/>
          <w:szCs w:val="24"/>
        </w:rPr>
        <w:footnoteReference w:id="67"/>
      </w:r>
      <w:r w:rsidR="006F233F" w:rsidRPr="00B07E71">
        <w:rPr>
          <w:rFonts w:ascii="Palatino Linotype" w:hAnsi="Palatino Linotype" w:cs="Arial"/>
          <w:sz w:val="24"/>
          <w:szCs w:val="24"/>
        </w:rPr>
        <w:t xml:space="preserve"> Despite such a significant deterrent, a number of unaccredited law schools offer online JD degrees, with graduates who wish to practice law sitting the bar exam in jurisdictions, such as California, which permit them to do so.</w:t>
      </w:r>
      <w:r w:rsidR="006F233F" w:rsidRPr="00B07E71">
        <w:rPr>
          <w:rStyle w:val="FootnoteReference"/>
          <w:rFonts w:ascii="Palatino Linotype" w:hAnsi="Palatino Linotype" w:cs="Arial"/>
          <w:sz w:val="24"/>
          <w:szCs w:val="24"/>
        </w:rPr>
        <w:footnoteReference w:id="68"/>
      </w:r>
    </w:p>
    <w:p w:rsidR="00E61AE3" w:rsidRPr="00B07E71" w:rsidRDefault="00004357"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resistance to online legal education from within law schools also cannot be underestimated. Many legal academics are</w:t>
      </w:r>
      <w:r w:rsidR="00F14325" w:rsidRPr="00B07E71">
        <w:rPr>
          <w:rFonts w:ascii="Palatino Linotype" w:hAnsi="Palatino Linotype" w:cs="Arial"/>
          <w:sz w:val="24"/>
          <w:szCs w:val="24"/>
        </w:rPr>
        <w:t xml:space="preserve"> reluctant to embrace new teaching approaches and methods. </w:t>
      </w:r>
      <w:r w:rsidRPr="00B07E71">
        <w:rPr>
          <w:rFonts w:ascii="Palatino Linotype" w:hAnsi="Palatino Linotype" w:cs="Arial"/>
          <w:sz w:val="24"/>
          <w:szCs w:val="24"/>
        </w:rPr>
        <w:t xml:space="preserve">As Martin Barry, </w:t>
      </w:r>
      <w:proofErr w:type="spellStart"/>
      <w:r w:rsidRPr="00B07E71">
        <w:rPr>
          <w:rFonts w:ascii="Palatino Linotype" w:hAnsi="Palatino Linotype" w:cs="Arial"/>
          <w:sz w:val="24"/>
          <w:szCs w:val="24"/>
        </w:rPr>
        <w:t>Dubin</w:t>
      </w:r>
      <w:proofErr w:type="spellEnd"/>
      <w:r w:rsidRPr="00B07E71">
        <w:rPr>
          <w:rFonts w:ascii="Palatino Linotype" w:hAnsi="Palatino Linotype" w:cs="Arial"/>
          <w:sz w:val="24"/>
          <w:szCs w:val="24"/>
        </w:rPr>
        <w:t xml:space="preserve"> and Joy noted, </w:t>
      </w:r>
      <w:r w:rsidR="00CC4BDE" w:rsidRPr="00B07E71">
        <w:rPr>
          <w:rFonts w:ascii="Palatino Linotype" w:hAnsi="Palatino Linotype" w:cs="Arial"/>
          <w:sz w:val="24"/>
          <w:szCs w:val="24"/>
        </w:rPr>
        <w:t>“</w:t>
      </w:r>
      <w:r w:rsidRPr="00B07E71">
        <w:rPr>
          <w:rFonts w:ascii="Palatino Linotype" w:hAnsi="Palatino Linotype" w:cs="Arial"/>
          <w:sz w:val="24"/>
          <w:szCs w:val="24"/>
        </w:rPr>
        <w:t>law faculty are extremely adept at resisting c</w:t>
      </w:r>
      <w:r w:rsidR="005974F4" w:rsidRPr="00B07E71">
        <w:rPr>
          <w:rFonts w:ascii="Palatino Linotype" w:hAnsi="Palatino Linotype" w:cs="Arial"/>
          <w:sz w:val="24"/>
          <w:szCs w:val="24"/>
        </w:rPr>
        <w:t>hanges in legal education that ‘</w:t>
      </w:r>
      <w:r w:rsidRPr="00B07E71">
        <w:rPr>
          <w:rFonts w:ascii="Palatino Linotype" w:hAnsi="Palatino Linotype" w:cs="Arial"/>
          <w:sz w:val="24"/>
          <w:szCs w:val="24"/>
        </w:rPr>
        <w:t>disrupt the comfort</w:t>
      </w:r>
      <w:r w:rsidR="005974F4" w:rsidRPr="00B07E71">
        <w:rPr>
          <w:rFonts w:ascii="Palatino Linotype" w:hAnsi="Palatino Linotype" w:cs="Arial"/>
          <w:sz w:val="24"/>
          <w:szCs w:val="24"/>
        </w:rPr>
        <w:t xml:space="preserve"> of life within the institution’</w:t>
      </w:r>
      <w:r w:rsidRPr="00B07E71">
        <w:rPr>
          <w:rFonts w:ascii="Palatino Linotype" w:hAnsi="Palatino Linotype" w:cs="Arial"/>
          <w:sz w:val="24"/>
          <w:szCs w:val="24"/>
        </w:rPr>
        <w:t xml:space="preserve"> or are otherwise contrary to self-interest</w:t>
      </w:r>
      <w:r w:rsidR="00CC4BDE" w:rsidRPr="00B07E71">
        <w:rPr>
          <w:rFonts w:ascii="Palatino Linotype" w:hAnsi="Palatino Linotype" w:cs="Arial"/>
          <w:sz w:val="24"/>
          <w:szCs w:val="24"/>
        </w:rPr>
        <w:t>”</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69"/>
      </w:r>
    </w:p>
    <w:p w:rsidR="00C36B18" w:rsidRPr="00B07E71" w:rsidRDefault="008A20E3"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Fortunately for proponents of online legal education and law students in Australia,</w:t>
      </w:r>
      <w:r w:rsidR="00EC3D3B" w:rsidRPr="00B07E71">
        <w:rPr>
          <w:rFonts w:ascii="Palatino Linotype" w:hAnsi="Palatino Linotype" w:cs="Arial"/>
          <w:sz w:val="24"/>
          <w:szCs w:val="24"/>
        </w:rPr>
        <w:t xml:space="preserve"> the governing admissions body,</w:t>
      </w:r>
      <w:r w:rsidRPr="00B07E71">
        <w:rPr>
          <w:rFonts w:ascii="Palatino Linotype" w:hAnsi="Palatino Linotype" w:cs="Arial"/>
          <w:sz w:val="24"/>
          <w:szCs w:val="24"/>
        </w:rPr>
        <w:t xml:space="preserve"> the Law Admissions Consultative Committee (‘LACC’)</w:t>
      </w:r>
      <w:r w:rsidR="00EC3D3B" w:rsidRPr="00B07E71">
        <w:rPr>
          <w:rFonts w:ascii="Palatino Linotype" w:hAnsi="Palatino Linotype" w:cs="Arial"/>
          <w:sz w:val="24"/>
          <w:szCs w:val="24"/>
        </w:rPr>
        <w:t>,</w:t>
      </w:r>
      <w:r w:rsidRPr="00B07E71">
        <w:rPr>
          <w:rFonts w:ascii="Palatino Linotype" w:hAnsi="Palatino Linotype" w:cs="Arial"/>
          <w:sz w:val="24"/>
          <w:szCs w:val="24"/>
        </w:rPr>
        <w:t xml:space="preserve"> has adopted a different, more enlightened, view. LACC</w:t>
      </w:r>
      <w:r w:rsidR="003D0478" w:rsidRPr="00B07E71">
        <w:rPr>
          <w:rFonts w:ascii="Palatino Linotype" w:hAnsi="Palatino Linotype" w:cs="Arial"/>
          <w:sz w:val="24"/>
          <w:szCs w:val="24"/>
        </w:rPr>
        <w:t xml:space="preserve"> </w:t>
      </w:r>
      <w:r w:rsidR="00E0719E" w:rsidRPr="00B07E71">
        <w:rPr>
          <w:rFonts w:ascii="Palatino Linotype" w:hAnsi="Palatino Linotype" w:cs="Arial"/>
          <w:sz w:val="24"/>
          <w:szCs w:val="24"/>
        </w:rPr>
        <w:t>is the national body which sets the academic requirements</w:t>
      </w:r>
      <w:r w:rsidR="003D0478" w:rsidRPr="00B07E71">
        <w:rPr>
          <w:rFonts w:ascii="Palatino Linotype" w:hAnsi="Palatino Linotype" w:cs="Arial"/>
          <w:sz w:val="24"/>
          <w:szCs w:val="24"/>
        </w:rPr>
        <w:t xml:space="preserve"> for </w:t>
      </w:r>
      <w:r w:rsidR="00E0719E" w:rsidRPr="00B07E71">
        <w:rPr>
          <w:rFonts w:ascii="Palatino Linotype" w:hAnsi="Palatino Linotype" w:cs="Arial"/>
          <w:sz w:val="24"/>
          <w:szCs w:val="24"/>
        </w:rPr>
        <w:t xml:space="preserve">the admission of </w:t>
      </w:r>
      <w:r w:rsidR="003D0478" w:rsidRPr="00B07E71">
        <w:rPr>
          <w:rFonts w:ascii="Palatino Linotype" w:hAnsi="Palatino Linotype" w:cs="Arial"/>
          <w:sz w:val="24"/>
          <w:szCs w:val="24"/>
        </w:rPr>
        <w:t>Australian lawyers, and</w:t>
      </w:r>
      <w:r w:rsidRPr="00B07E71">
        <w:rPr>
          <w:rFonts w:ascii="Palatino Linotype" w:hAnsi="Palatino Linotype" w:cs="Arial"/>
          <w:sz w:val="24"/>
          <w:szCs w:val="24"/>
        </w:rPr>
        <w:t xml:space="preserve"> is made up of representatives from the law admission authorities in each Australian jurisdiction, the Committee of Australian Law Deans, the Australian Professional Legal Education Council and the Law Council of Australia.</w:t>
      </w:r>
      <w:r w:rsidRPr="00B07E71">
        <w:rPr>
          <w:rStyle w:val="FootnoteReference"/>
          <w:rFonts w:ascii="Palatino Linotype" w:hAnsi="Palatino Linotype" w:cs="Arial"/>
          <w:sz w:val="24"/>
          <w:szCs w:val="24"/>
        </w:rPr>
        <w:footnoteReference w:id="70"/>
      </w:r>
      <w:r w:rsidR="00025DDB" w:rsidRPr="00B07E71">
        <w:rPr>
          <w:rFonts w:ascii="Palatino Linotype" w:hAnsi="Palatino Linotype" w:cs="Arial"/>
          <w:sz w:val="24"/>
          <w:szCs w:val="24"/>
        </w:rPr>
        <w:t xml:space="preserve"> </w:t>
      </w:r>
    </w:p>
    <w:p w:rsidR="008A20E3" w:rsidRPr="00B07E71" w:rsidRDefault="00C36B1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This is not to suggest that LACC </w:t>
      </w:r>
      <w:r w:rsidR="005E1D8C" w:rsidRPr="00B07E71">
        <w:rPr>
          <w:rFonts w:ascii="Palatino Linotype" w:hAnsi="Palatino Linotype" w:cs="Arial"/>
          <w:sz w:val="24"/>
          <w:szCs w:val="24"/>
        </w:rPr>
        <w:t>ha</w:t>
      </w:r>
      <w:r w:rsidRPr="00B07E71">
        <w:rPr>
          <w:rFonts w:ascii="Palatino Linotype" w:hAnsi="Palatino Linotype" w:cs="Arial"/>
          <w:sz w:val="24"/>
          <w:szCs w:val="24"/>
        </w:rPr>
        <w:t xml:space="preserve">s </w:t>
      </w:r>
      <w:r w:rsidR="005E1D8C" w:rsidRPr="00B07E71">
        <w:rPr>
          <w:rFonts w:ascii="Palatino Linotype" w:hAnsi="Palatino Linotype" w:cs="Arial"/>
          <w:sz w:val="24"/>
          <w:szCs w:val="24"/>
        </w:rPr>
        <w:t xml:space="preserve">been </w:t>
      </w:r>
      <w:r w:rsidRPr="00B07E71">
        <w:rPr>
          <w:rFonts w:ascii="Palatino Linotype" w:hAnsi="Palatino Linotype" w:cs="Arial"/>
          <w:sz w:val="24"/>
          <w:szCs w:val="24"/>
        </w:rPr>
        <w:t>unconcerned about the proliferation of online LLB and JD programs</w:t>
      </w:r>
      <w:r w:rsidR="00E0719E" w:rsidRPr="00B07E71">
        <w:rPr>
          <w:rFonts w:ascii="Palatino Linotype" w:hAnsi="Palatino Linotype" w:cs="Arial"/>
          <w:sz w:val="24"/>
          <w:szCs w:val="24"/>
        </w:rPr>
        <w:t xml:space="preserve"> offered by</w:t>
      </w:r>
      <w:r w:rsidRPr="00B07E71">
        <w:rPr>
          <w:rFonts w:ascii="Palatino Linotype" w:hAnsi="Palatino Linotype" w:cs="Arial"/>
          <w:sz w:val="24"/>
          <w:szCs w:val="24"/>
        </w:rPr>
        <w:t xml:space="preserve"> Australian universities.</w:t>
      </w:r>
      <w:r w:rsidR="00F411ED" w:rsidRPr="00B07E71">
        <w:rPr>
          <w:rFonts w:ascii="Palatino Linotype" w:hAnsi="Palatino Linotype" w:cs="Arial"/>
          <w:sz w:val="24"/>
          <w:szCs w:val="24"/>
        </w:rPr>
        <w:t xml:space="preserve"> To accept a change in the status quo, LACC had to be convinced that a fully online law degree program was not a diluted version of the standard law curriculum taught face-to-face.</w:t>
      </w:r>
      <w:r w:rsidR="005E1D8C" w:rsidRPr="00B07E71">
        <w:rPr>
          <w:rFonts w:ascii="Palatino Linotype" w:hAnsi="Palatino Linotype" w:cs="Arial"/>
          <w:sz w:val="24"/>
          <w:szCs w:val="24"/>
        </w:rPr>
        <w:t xml:space="preserve"> In February 2012, LACC invited Professor</w:t>
      </w:r>
      <w:r w:rsidRPr="00B07E71">
        <w:rPr>
          <w:rFonts w:ascii="Palatino Linotype" w:hAnsi="Palatino Linotype" w:cs="Arial"/>
          <w:sz w:val="24"/>
          <w:szCs w:val="24"/>
        </w:rPr>
        <w:t xml:space="preserve"> Les </w:t>
      </w:r>
      <w:proofErr w:type="spellStart"/>
      <w:r w:rsidRPr="00B07E71">
        <w:rPr>
          <w:rFonts w:ascii="Palatino Linotype" w:hAnsi="Palatino Linotype" w:cs="Arial"/>
          <w:sz w:val="24"/>
          <w:szCs w:val="24"/>
        </w:rPr>
        <w:t>McCrimmon</w:t>
      </w:r>
      <w:proofErr w:type="spellEnd"/>
      <w:r w:rsidRPr="00B07E71">
        <w:rPr>
          <w:rFonts w:ascii="Palatino Linotype" w:hAnsi="Palatino Linotype" w:cs="Arial"/>
          <w:sz w:val="24"/>
          <w:szCs w:val="24"/>
        </w:rPr>
        <w:t xml:space="preserve"> </w:t>
      </w:r>
      <w:r w:rsidR="005E1D8C" w:rsidRPr="00B07E71">
        <w:rPr>
          <w:rFonts w:ascii="Palatino Linotype" w:hAnsi="Palatino Linotype" w:cs="Arial"/>
          <w:sz w:val="24"/>
          <w:szCs w:val="24"/>
        </w:rPr>
        <w:t xml:space="preserve">from </w:t>
      </w:r>
      <w:r w:rsidR="00E2335C" w:rsidRPr="00B07E71">
        <w:rPr>
          <w:rFonts w:ascii="Palatino Linotype" w:hAnsi="Palatino Linotype" w:cs="Arial"/>
          <w:sz w:val="24"/>
          <w:szCs w:val="24"/>
        </w:rPr>
        <w:t>CDU</w:t>
      </w:r>
      <w:r w:rsidR="005E1D8C" w:rsidRPr="00B07E71">
        <w:rPr>
          <w:rFonts w:ascii="Palatino Linotype" w:hAnsi="Palatino Linotype" w:cs="Arial"/>
          <w:sz w:val="24"/>
          <w:szCs w:val="24"/>
        </w:rPr>
        <w:t xml:space="preserve"> </w:t>
      </w:r>
      <w:r w:rsidRPr="00B07E71">
        <w:rPr>
          <w:rFonts w:ascii="Palatino Linotype" w:hAnsi="Palatino Linotype" w:cs="Arial"/>
          <w:sz w:val="24"/>
          <w:szCs w:val="24"/>
        </w:rPr>
        <w:t xml:space="preserve">and </w:t>
      </w:r>
      <w:r w:rsidR="005E1D8C" w:rsidRPr="00B07E71">
        <w:rPr>
          <w:rFonts w:ascii="Palatino Linotype" w:hAnsi="Palatino Linotype" w:cs="Arial"/>
          <w:sz w:val="24"/>
          <w:szCs w:val="24"/>
        </w:rPr>
        <w:t xml:space="preserve">Professor Stephen </w:t>
      </w:r>
      <w:proofErr w:type="spellStart"/>
      <w:r w:rsidR="005E1D8C" w:rsidRPr="00B07E71">
        <w:rPr>
          <w:rFonts w:ascii="Palatino Linotype" w:hAnsi="Palatino Linotype" w:cs="Arial"/>
          <w:sz w:val="24"/>
          <w:szCs w:val="24"/>
        </w:rPr>
        <w:t>Colbran</w:t>
      </w:r>
      <w:proofErr w:type="spellEnd"/>
      <w:r w:rsidR="005E1D8C" w:rsidRPr="00B07E71">
        <w:rPr>
          <w:rFonts w:ascii="Palatino Linotype" w:hAnsi="Palatino Linotype" w:cs="Arial"/>
          <w:sz w:val="24"/>
          <w:szCs w:val="24"/>
        </w:rPr>
        <w:t xml:space="preserve">, then from the University of New England, to address committee members </w:t>
      </w:r>
      <w:r w:rsidRPr="00B07E71">
        <w:rPr>
          <w:rFonts w:ascii="Palatino Linotype" w:hAnsi="Palatino Linotype" w:cs="Arial"/>
          <w:sz w:val="24"/>
          <w:szCs w:val="24"/>
        </w:rPr>
        <w:t>on the teaching of law in th</w:t>
      </w:r>
      <w:r w:rsidR="005E1D8C" w:rsidRPr="00B07E71">
        <w:rPr>
          <w:rFonts w:ascii="Palatino Linotype" w:hAnsi="Palatino Linotype" w:cs="Arial"/>
          <w:sz w:val="24"/>
          <w:szCs w:val="24"/>
        </w:rPr>
        <w:t xml:space="preserve">e digital learning environment. Subsequently, </w:t>
      </w:r>
      <w:r w:rsidRPr="00B07E71">
        <w:rPr>
          <w:rFonts w:ascii="Palatino Linotype" w:hAnsi="Palatino Linotype" w:cs="Arial"/>
          <w:sz w:val="24"/>
          <w:szCs w:val="24"/>
        </w:rPr>
        <w:t xml:space="preserve">LACC was satisfied that the educational and professional standards it sets can be achieved through a fully online degree program. </w:t>
      </w:r>
      <w:r w:rsidR="00025DDB" w:rsidRPr="00B07E71">
        <w:rPr>
          <w:rFonts w:ascii="Palatino Linotype" w:hAnsi="Palatino Linotype" w:cs="Arial"/>
          <w:sz w:val="24"/>
          <w:szCs w:val="24"/>
        </w:rPr>
        <w:t>For the purposes of admission</w:t>
      </w:r>
      <w:r w:rsidRPr="00B07E71">
        <w:rPr>
          <w:rFonts w:ascii="Palatino Linotype" w:hAnsi="Palatino Linotype" w:cs="Arial"/>
          <w:sz w:val="24"/>
          <w:szCs w:val="24"/>
        </w:rPr>
        <w:t xml:space="preserve"> to legal practice in Australia</w:t>
      </w:r>
      <w:r w:rsidR="00025DDB" w:rsidRPr="00B07E71">
        <w:rPr>
          <w:rFonts w:ascii="Palatino Linotype" w:hAnsi="Palatino Linotype" w:cs="Arial"/>
          <w:sz w:val="24"/>
          <w:szCs w:val="24"/>
        </w:rPr>
        <w:t>,</w:t>
      </w:r>
      <w:r w:rsidRPr="00B07E71">
        <w:rPr>
          <w:rFonts w:ascii="Palatino Linotype" w:hAnsi="Palatino Linotype" w:cs="Arial"/>
          <w:sz w:val="24"/>
          <w:szCs w:val="24"/>
        </w:rPr>
        <w:t xml:space="preserve"> therefore,</w:t>
      </w:r>
      <w:r w:rsidR="00025DDB" w:rsidRPr="00B07E71">
        <w:rPr>
          <w:rFonts w:ascii="Palatino Linotype" w:hAnsi="Palatino Linotype" w:cs="Arial"/>
          <w:sz w:val="24"/>
          <w:szCs w:val="24"/>
        </w:rPr>
        <w:t xml:space="preserve"> no distinction is made by Australian admission authorities between students who have completed their law degree fully online and those who were taught on-campus.</w:t>
      </w:r>
    </w:p>
    <w:p w:rsidR="00034A2E" w:rsidRPr="00B07E71" w:rsidRDefault="002E23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2015, there were 36 law schools in Australia. A small, but increasing, number offer LLB and/or JD programs fully online.</w:t>
      </w:r>
      <w:r w:rsidRPr="00B07E71">
        <w:rPr>
          <w:rStyle w:val="FootnoteReference"/>
          <w:rFonts w:ascii="Palatino Linotype" w:hAnsi="Palatino Linotype" w:cs="Arial"/>
          <w:sz w:val="24"/>
          <w:szCs w:val="24"/>
        </w:rPr>
        <w:footnoteReference w:id="71"/>
      </w:r>
      <w:r w:rsidRPr="00B07E71">
        <w:rPr>
          <w:rFonts w:ascii="Palatino Linotype" w:hAnsi="Palatino Linotype" w:cs="Arial"/>
          <w:sz w:val="24"/>
          <w:szCs w:val="24"/>
        </w:rPr>
        <w:t xml:space="preserve"> </w:t>
      </w:r>
      <w:r w:rsidR="00415E0C" w:rsidRPr="00B07E71">
        <w:rPr>
          <w:rFonts w:ascii="Palatino Linotype" w:hAnsi="Palatino Linotype" w:cs="Arial"/>
          <w:sz w:val="24"/>
          <w:szCs w:val="24"/>
        </w:rPr>
        <w:t xml:space="preserve">Writing in 2013, Emeritus Professor David </w:t>
      </w:r>
      <w:proofErr w:type="spellStart"/>
      <w:r w:rsidR="00034A2E" w:rsidRPr="00B07E71">
        <w:rPr>
          <w:rFonts w:ascii="Palatino Linotype" w:hAnsi="Palatino Linotype" w:cs="Arial"/>
          <w:sz w:val="24"/>
          <w:szCs w:val="24"/>
        </w:rPr>
        <w:t>Wei</w:t>
      </w:r>
      <w:r w:rsidR="00415E0C" w:rsidRPr="00B07E71">
        <w:rPr>
          <w:rFonts w:ascii="Palatino Linotype" w:hAnsi="Palatino Linotype" w:cs="Arial"/>
          <w:sz w:val="24"/>
          <w:szCs w:val="24"/>
        </w:rPr>
        <w:t>s</w:t>
      </w:r>
      <w:r w:rsidR="00034A2E" w:rsidRPr="00B07E71">
        <w:rPr>
          <w:rFonts w:ascii="Palatino Linotype" w:hAnsi="Palatino Linotype" w:cs="Arial"/>
          <w:sz w:val="24"/>
          <w:szCs w:val="24"/>
        </w:rPr>
        <w:t>brot</w:t>
      </w:r>
      <w:proofErr w:type="spellEnd"/>
      <w:r w:rsidR="00034A2E" w:rsidRPr="00B07E71">
        <w:rPr>
          <w:rFonts w:ascii="Palatino Linotype" w:hAnsi="Palatino Linotype" w:cs="Arial"/>
          <w:sz w:val="24"/>
          <w:szCs w:val="24"/>
        </w:rPr>
        <w:t>, a former Dean o</w:t>
      </w:r>
      <w:r w:rsidR="00415E0C" w:rsidRPr="00B07E71">
        <w:rPr>
          <w:rFonts w:ascii="Palatino Linotype" w:hAnsi="Palatino Linotype" w:cs="Arial"/>
          <w:sz w:val="24"/>
          <w:szCs w:val="24"/>
        </w:rPr>
        <w:t>f Sydney University Law School</w:t>
      </w:r>
      <w:r w:rsidR="00034A2E" w:rsidRPr="00B07E71">
        <w:rPr>
          <w:rFonts w:ascii="Palatino Linotype" w:hAnsi="Palatino Linotype" w:cs="Arial"/>
          <w:sz w:val="24"/>
          <w:szCs w:val="24"/>
        </w:rPr>
        <w:t>, noted that:</w:t>
      </w:r>
    </w:p>
    <w:p w:rsidR="00415E0C" w:rsidRPr="00B07E71" w:rsidRDefault="00034A2E"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A generation ago, distance education was seen as the poor cousin … This has all changed enormously with the revolution in information and communications technology, which permits access to high-quality online materials, more regular contact and interactive discussions with staff and fellow students, and virtually limitless online access to legal and research materials</w:t>
      </w:r>
      <w:r w:rsidRPr="00B07E71">
        <w:rPr>
          <w:rFonts w:ascii="Palatino Linotype" w:hAnsi="Palatino Linotype" w:cs="Arial"/>
          <w:sz w:val="24"/>
          <w:szCs w:val="24"/>
        </w:rPr>
        <w:t>.</w:t>
      </w:r>
      <w:r w:rsidR="00415E0C" w:rsidRPr="00B07E71">
        <w:rPr>
          <w:rStyle w:val="FootnoteReference"/>
          <w:rFonts w:ascii="Palatino Linotype" w:hAnsi="Palatino Linotype" w:cs="Arial"/>
          <w:sz w:val="24"/>
          <w:szCs w:val="24"/>
        </w:rPr>
        <w:footnoteReference w:id="72"/>
      </w:r>
      <w:r w:rsidRPr="00B07E71">
        <w:rPr>
          <w:rFonts w:ascii="Palatino Linotype" w:hAnsi="Palatino Linotype" w:cs="Arial"/>
          <w:sz w:val="24"/>
          <w:szCs w:val="24"/>
        </w:rPr>
        <w:t xml:space="preserve"> </w:t>
      </w:r>
    </w:p>
    <w:p w:rsidR="00025DDB" w:rsidRPr="00B07E71" w:rsidRDefault="00E0719E"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While online</w:t>
      </w:r>
      <w:r w:rsidR="002E23B1" w:rsidRPr="00B07E71">
        <w:rPr>
          <w:rFonts w:ascii="Palatino Linotype" w:hAnsi="Palatino Linotype" w:cs="Arial"/>
          <w:sz w:val="24"/>
          <w:szCs w:val="24"/>
        </w:rPr>
        <w:t xml:space="preserve"> legal education is gaining in popularity in Australia</w:t>
      </w:r>
      <w:r w:rsidRPr="00B07E71">
        <w:rPr>
          <w:rFonts w:ascii="Palatino Linotype" w:hAnsi="Palatino Linotype" w:cs="Arial"/>
          <w:sz w:val="24"/>
          <w:szCs w:val="24"/>
        </w:rPr>
        <w:t>, the inclu</w:t>
      </w:r>
      <w:r w:rsidR="00415E0C" w:rsidRPr="00B07E71">
        <w:rPr>
          <w:rFonts w:ascii="Palatino Linotype" w:hAnsi="Palatino Linotype" w:cs="Arial"/>
          <w:sz w:val="24"/>
          <w:szCs w:val="24"/>
        </w:rPr>
        <w:t xml:space="preserve">sion of </w:t>
      </w:r>
      <w:r w:rsidR="00F9686C" w:rsidRPr="00B07E71">
        <w:rPr>
          <w:rFonts w:ascii="Palatino Linotype" w:hAnsi="Palatino Linotype" w:cs="Arial"/>
          <w:sz w:val="24"/>
          <w:szCs w:val="24"/>
        </w:rPr>
        <w:t xml:space="preserve">a </w:t>
      </w:r>
      <w:r w:rsidRPr="00B07E71">
        <w:rPr>
          <w:rFonts w:ascii="Palatino Linotype" w:hAnsi="Palatino Linotype" w:cs="Arial"/>
          <w:sz w:val="24"/>
          <w:szCs w:val="24"/>
        </w:rPr>
        <w:t>clinical legal ed</w:t>
      </w:r>
      <w:r w:rsidR="00415E0C" w:rsidRPr="00B07E71">
        <w:rPr>
          <w:rFonts w:ascii="Palatino Linotype" w:hAnsi="Palatino Linotype" w:cs="Arial"/>
          <w:sz w:val="24"/>
          <w:szCs w:val="24"/>
        </w:rPr>
        <w:t>ucation</w:t>
      </w:r>
      <w:r w:rsidR="00B93421" w:rsidRPr="00B07E71">
        <w:rPr>
          <w:rFonts w:ascii="Palatino Linotype" w:hAnsi="Palatino Linotype" w:cs="Arial"/>
          <w:sz w:val="24"/>
          <w:szCs w:val="24"/>
        </w:rPr>
        <w:t xml:space="preserve"> unit</w:t>
      </w:r>
      <w:r w:rsidRPr="00B07E71">
        <w:rPr>
          <w:rFonts w:ascii="Palatino Linotype" w:hAnsi="Palatino Linotype" w:cs="Arial"/>
          <w:sz w:val="24"/>
          <w:szCs w:val="24"/>
        </w:rPr>
        <w:t xml:space="preserve"> </w:t>
      </w:r>
      <w:r w:rsidR="00F9686C" w:rsidRPr="00B07E71">
        <w:rPr>
          <w:rFonts w:ascii="Palatino Linotype" w:hAnsi="Palatino Linotype" w:cs="Arial"/>
          <w:sz w:val="24"/>
          <w:szCs w:val="24"/>
        </w:rPr>
        <w:t>as part of</w:t>
      </w:r>
      <w:r w:rsidR="00415E0C" w:rsidRPr="00B07E71">
        <w:rPr>
          <w:rFonts w:ascii="Palatino Linotype" w:hAnsi="Palatino Linotype" w:cs="Arial"/>
          <w:sz w:val="24"/>
          <w:szCs w:val="24"/>
        </w:rPr>
        <w:t xml:space="preserve"> an online degree</w:t>
      </w:r>
      <w:r w:rsidRPr="00B07E71">
        <w:rPr>
          <w:rFonts w:ascii="Palatino Linotype" w:hAnsi="Palatino Linotype" w:cs="Arial"/>
          <w:sz w:val="24"/>
          <w:szCs w:val="24"/>
        </w:rPr>
        <w:t xml:space="preserve"> is still in its infancy.</w:t>
      </w:r>
      <w:r w:rsidR="00415E0C" w:rsidRPr="00B07E71">
        <w:rPr>
          <w:rFonts w:ascii="Palatino Linotype" w:hAnsi="Palatino Linotype" w:cs="Arial"/>
          <w:sz w:val="24"/>
          <w:szCs w:val="24"/>
        </w:rPr>
        <w:t xml:space="preserve"> Of the law schools offering a fully on-line law degree, only </w:t>
      </w:r>
      <w:r w:rsidR="003B23D8" w:rsidRPr="00B07E71">
        <w:rPr>
          <w:rFonts w:ascii="Palatino Linotype" w:hAnsi="Palatino Linotype" w:cs="Arial"/>
          <w:sz w:val="24"/>
          <w:szCs w:val="24"/>
        </w:rPr>
        <w:t xml:space="preserve">CDU </w:t>
      </w:r>
      <w:r w:rsidR="00B247AB" w:rsidRPr="00B07E71">
        <w:rPr>
          <w:rFonts w:ascii="Palatino Linotype" w:hAnsi="Palatino Linotype" w:cs="Arial"/>
          <w:sz w:val="24"/>
          <w:szCs w:val="24"/>
        </w:rPr>
        <w:t>offer</w:t>
      </w:r>
      <w:r w:rsidR="003B23D8" w:rsidRPr="00B07E71">
        <w:rPr>
          <w:rFonts w:ascii="Palatino Linotype" w:hAnsi="Palatino Linotype" w:cs="Arial"/>
          <w:sz w:val="24"/>
          <w:szCs w:val="24"/>
        </w:rPr>
        <w:t>s</w:t>
      </w:r>
      <w:r w:rsidR="005D228D" w:rsidRPr="00B07E71">
        <w:rPr>
          <w:rFonts w:ascii="Palatino Linotype" w:hAnsi="Palatino Linotype" w:cs="Arial"/>
          <w:sz w:val="24"/>
          <w:szCs w:val="24"/>
        </w:rPr>
        <w:t xml:space="preserve"> external</w:t>
      </w:r>
      <w:r w:rsidR="00415E0C" w:rsidRPr="00B07E71">
        <w:rPr>
          <w:rFonts w:ascii="Palatino Linotype" w:hAnsi="Palatino Linotype" w:cs="Arial"/>
          <w:sz w:val="24"/>
          <w:szCs w:val="24"/>
        </w:rPr>
        <w:t xml:space="preserve"> students the opportunity to undertake a clinical unit for credit.</w:t>
      </w:r>
      <w:r w:rsidR="00E61AE3" w:rsidRPr="00B07E71">
        <w:rPr>
          <w:rFonts w:ascii="Palatino Linotype" w:hAnsi="Palatino Linotype" w:cs="Arial"/>
          <w:sz w:val="24"/>
          <w:szCs w:val="24"/>
        </w:rPr>
        <w:t xml:space="preserve"> </w:t>
      </w:r>
      <w:r w:rsidR="003B23D8" w:rsidRPr="00B07E71">
        <w:rPr>
          <w:rFonts w:ascii="Palatino Linotype" w:hAnsi="Palatino Linotype" w:cs="Arial"/>
          <w:sz w:val="24"/>
          <w:szCs w:val="24"/>
        </w:rPr>
        <w:t>Another online law degree provider, Central Queensland University (‘CQU’),</w:t>
      </w:r>
      <w:r w:rsidR="00AA164D" w:rsidRPr="00B07E71">
        <w:rPr>
          <w:rFonts w:ascii="Palatino Linotype" w:hAnsi="Palatino Linotype" w:cs="Arial"/>
          <w:sz w:val="24"/>
          <w:szCs w:val="24"/>
        </w:rPr>
        <w:t xml:space="preserve"> </w:t>
      </w:r>
      <w:r w:rsidR="003B23D8" w:rsidRPr="00B07E71">
        <w:rPr>
          <w:rFonts w:ascii="Palatino Linotype" w:hAnsi="Palatino Linotype" w:cs="Arial"/>
          <w:sz w:val="24"/>
          <w:szCs w:val="24"/>
        </w:rPr>
        <w:t xml:space="preserve">is developing clinical opportunities for students, but as at the date of writing, this program </w:t>
      </w:r>
      <w:r w:rsidR="005D228D" w:rsidRPr="00B07E71">
        <w:rPr>
          <w:rFonts w:ascii="Palatino Linotype" w:hAnsi="Palatino Linotype" w:cs="Arial"/>
          <w:sz w:val="24"/>
          <w:szCs w:val="24"/>
        </w:rPr>
        <w:t>i</w:t>
      </w:r>
      <w:r w:rsidR="003B23D8" w:rsidRPr="00B07E71">
        <w:rPr>
          <w:rFonts w:ascii="Palatino Linotype" w:hAnsi="Palatino Linotype" w:cs="Arial"/>
          <w:sz w:val="24"/>
          <w:szCs w:val="24"/>
        </w:rPr>
        <w:t>s at a very early stage of development. Students enrolled in Civil Procedure and Employment Law at CQU ha</w:t>
      </w:r>
      <w:r w:rsidR="005D228D" w:rsidRPr="00B07E71">
        <w:rPr>
          <w:rFonts w:ascii="Palatino Linotype" w:hAnsi="Palatino Linotype" w:cs="Arial"/>
          <w:sz w:val="24"/>
          <w:szCs w:val="24"/>
        </w:rPr>
        <w:t>ve</w:t>
      </w:r>
      <w:r w:rsidR="003B23D8" w:rsidRPr="00B07E71">
        <w:rPr>
          <w:rFonts w:ascii="Palatino Linotype" w:hAnsi="Palatino Linotype" w:cs="Arial"/>
          <w:sz w:val="24"/>
          <w:szCs w:val="24"/>
        </w:rPr>
        <w:t xml:space="preserve"> the opportunity to log in via the Zoom </w:t>
      </w:r>
      <w:r w:rsidR="005D228D" w:rsidRPr="00B07E71">
        <w:rPr>
          <w:rFonts w:ascii="Palatino Linotype" w:hAnsi="Palatino Linotype" w:cs="Arial"/>
          <w:sz w:val="24"/>
          <w:szCs w:val="24"/>
        </w:rPr>
        <w:t>Web-conferencing Service</w:t>
      </w:r>
      <w:r w:rsidR="003B23D8" w:rsidRPr="00B07E71">
        <w:rPr>
          <w:rStyle w:val="FootnoteReference"/>
          <w:rFonts w:ascii="Palatino Linotype" w:hAnsi="Palatino Linotype" w:cs="Arial"/>
          <w:sz w:val="24"/>
          <w:szCs w:val="24"/>
        </w:rPr>
        <w:footnoteReference w:id="73"/>
      </w:r>
      <w:r w:rsidR="003B23D8" w:rsidRPr="00B07E71">
        <w:rPr>
          <w:rFonts w:ascii="Palatino Linotype" w:hAnsi="Palatino Linotype" w:cs="Arial"/>
          <w:sz w:val="24"/>
          <w:szCs w:val="24"/>
        </w:rPr>
        <w:t xml:space="preserve"> to observe online client interviews conducted by</w:t>
      </w:r>
      <w:r w:rsidR="005D228D" w:rsidRPr="00B07E71">
        <w:rPr>
          <w:rFonts w:ascii="Palatino Linotype" w:hAnsi="Palatino Linotype" w:cs="Arial"/>
          <w:sz w:val="24"/>
          <w:szCs w:val="24"/>
        </w:rPr>
        <w:t xml:space="preserve"> legal practitioners in</w:t>
      </w:r>
      <w:r w:rsidR="003B23D8" w:rsidRPr="00B07E71">
        <w:rPr>
          <w:rFonts w:ascii="Palatino Linotype" w:hAnsi="Palatino Linotype" w:cs="Arial"/>
          <w:sz w:val="24"/>
          <w:szCs w:val="24"/>
        </w:rPr>
        <w:t xml:space="preserve"> partner legal centres</w:t>
      </w:r>
      <w:r w:rsidR="005D228D" w:rsidRPr="00B07E71">
        <w:rPr>
          <w:rFonts w:ascii="Palatino Linotype" w:hAnsi="Palatino Linotype" w:cs="Arial"/>
          <w:sz w:val="24"/>
          <w:szCs w:val="24"/>
        </w:rPr>
        <w:t xml:space="preserve">, but </w:t>
      </w:r>
      <w:r w:rsidR="00AF5446" w:rsidRPr="00B07E71">
        <w:rPr>
          <w:rFonts w:ascii="Palatino Linotype" w:hAnsi="Palatino Linotype" w:cs="Arial"/>
          <w:sz w:val="24"/>
          <w:szCs w:val="24"/>
        </w:rPr>
        <w:t xml:space="preserve">CQU </w:t>
      </w:r>
      <w:r w:rsidR="005D228D" w:rsidRPr="00B07E71">
        <w:rPr>
          <w:rFonts w:ascii="Palatino Linotype" w:hAnsi="Palatino Linotype" w:cs="Arial"/>
          <w:sz w:val="24"/>
          <w:szCs w:val="24"/>
        </w:rPr>
        <w:t>is not yet at the stage of allowing students to provide legal advice under supervision</w:t>
      </w:r>
      <w:r w:rsidR="003B23D8" w:rsidRPr="00B07E71">
        <w:rPr>
          <w:rFonts w:ascii="Palatino Linotype" w:hAnsi="Palatino Linotype" w:cs="Arial"/>
          <w:sz w:val="24"/>
          <w:szCs w:val="24"/>
        </w:rPr>
        <w:t>.</w:t>
      </w:r>
      <w:r w:rsidR="00AA164D" w:rsidRPr="00B07E71">
        <w:rPr>
          <w:rFonts w:ascii="Palatino Linotype" w:hAnsi="Palatino Linotype" w:cs="Arial"/>
          <w:sz w:val="24"/>
          <w:szCs w:val="24"/>
        </w:rPr>
        <w:t xml:space="preserve"> Over the next five years, CQU plans to embed clinical opportunities for students into substantive law units, although such opportunities are still being developed.</w:t>
      </w:r>
    </w:p>
    <w:p w:rsidR="00E0719E" w:rsidRPr="00B07E71" w:rsidRDefault="00FF412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w:t>
      </w:r>
      <w:r w:rsidR="00F9686C" w:rsidRPr="00B07E71">
        <w:rPr>
          <w:rFonts w:ascii="Palatino Linotype" w:hAnsi="Palatino Linotype" w:cs="Arial"/>
          <w:sz w:val="24"/>
          <w:szCs w:val="24"/>
        </w:rPr>
        <w:t>s shall be discussed in greater deta</w:t>
      </w:r>
      <w:r w:rsidR="007C3B5B" w:rsidRPr="00B07E71">
        <w:rPr>
          <w:rFonts w:ascii="Palatino Linotype" w:hAnsi="Palatino Linotype" w:cs="Arial"/>
          <w:sz w:val="24"/>
          <w:szCs w:val="24"/>
        </w:rPr>
        <w:t>il below</w:t>
      </w:r>
      <w:r w:rsidR="00F9686C" w:rsidRPr="00B07E71">
        <w:rPr>
          <w:rFonts w:ascii="Palatino Linotype" w:hAnsi="Palatino Linotype" w:cs="Arial"/>
          <w:sz w:val="24"/>
          <w:szCs w:val="24"/>
        </w:rPr>
        <w:t xml:space="preserve">, </w:t>
      </w:r>
      <w:r w:rsidR="00185375" w:rsidRPr="00B07E71">
        <w:rPr>
          <w:rFonts w:ascii="Palatino Linotype" w:hAnsi="Palatino Linotype" w:cs="Arial"/>
          <w:sz w:val="24"/>
          <w:szCs w:val="24"/>
        </w:rPr>
        <w:t xml:space="preserve">an online component of a clinical legal education program changes the way in which students interact with clinical faculty, other students working on the same project, and </w:t>
      </w:r>
      <w:r w:rsidR="007C3B5B" w:rsidRPr="00B07E71">
        <w:rPr>
          <w:rFonts w:ascii="Palatino Linotype" w:hAnsi="Palatino Linotype" w:cs="Arial"/>
          <w:sz w:val="24"/>
          <w:szCs w:val="24"/>
        </w:rPr>
        <w:t>a client</w:t>
      </w:r>
      <w:r w:rsidR="00185375" w:rsidRPr="00B07E71">
        <w:rPr>
          <w:rFonts w:ascii="Palatino Linotype" w:hAnsi="Palatino Linotype" w:cs="Arial"/>
          <w:sz w:val="24"/>
          <w:szCs w:val="24"/>
        </w:rPr>
        <w:t xml:space="preserve"> (if there is one). Such interaction involves the use of information, communication and instructional technologies to facilitate the unit’s educational objectives; and in particular the process by which students reflect on their experiences. The way in which clinical faculty interact with site supervisors at the clinic or placement also is affected.</w:t>
      </w:r>
    </w:p>
    <w:p w:rsidR="00B07E71" w:rsidRDefault="00B07E71" w:rsidP="00B07E71">
      <w:pPr>
        <w:spacing w:line="480" w:lineRule="auto"/>
        <w:jc w:val="both"/>
        <w:rPr>
          <w:rFonts w:ascii="Palatino Linotype" w:hAnsi="Palatino Linotype" w:cs="Arial"/>
          <w:b/>
          <w:sz w:val="24"/>
          <w:szCs w:val="24"/>
        </w:rPr>
      </w:pPr>
    </w:p>
    <w:p w:rsidR="00185375" w:rsidRPr="00B07E71" w:rsidRDefault="00DC5FD0" w:rsidP="00B07E71">
      <w:pPr>
        <w:spacing w:line="480" w:lineRule="auto"/>
        <w:jc w:val="both"/>
        <w:rPr>
          <w:rFonts w:ascii="Palatino Linotype" w:hAnsi="Palatino Linotype" w:cs="Arial"/>
          <w:b/>
          <w:sz w:val="24"/>
          <w:szCs w:val="24"/>
        </w:rPr>
      </w:pPr>
      <w:r w:rsidRPr="00B07E71">
        <w:rPr>
          <w:rFonts w:ascii="Palatino Linotype" w:hAnsi="Palatino Linotype" w:cs="Arial"/>
          <w:b/>
          <w:sz w:val="24"/>
          <w:szCs w:val="24"/>
        </w:rPr>
        <w:t>Rewards and risks</w:t>
      </w:r>
      <w:r w:rsidR="00751C6C" w:rsidRPr="00B07E71">
        <w:rPr>
          <w:rFonts w:ascii="Palatino Linotype" w:hAnsi="Palatino Linotype" w:cs="Arial"/>
          <w:b/>
          <w:sz w:val="24"/>
          <w:szCs w:val="24"/>
        </w:rPr>
        <w:t xml:space="preserve"> of online</w:t>
      </w:r>
      <w:r w:rsidR="006449E1" w:rsidRPr="00B07E71">
        <w:rPr>
          <w:rFonts w:ascii="Palatino Linotype" w:hAnsi="Palatino Linotype" w:cs="Arial"/>
          <w:b/>
          <w:sz w:val="24"/>
          <w:szCs w:val="24"/>
        </w:rPr>
        <w:t xml:space="preserve"> education</w:t>
      </w:r>
    </w:p>
    <w:p w:rsidR="00CC4BDE" w:rsidRPr="00B07E71" w:rsidRDefault="00751C6C"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An assessment of t</w:t>
      </w:r>
      <w:r w:rsidR="00DC5FD0" w:rsidRPr="00B07E71">
        <w:rPr>
          <w:rFonts w:ascii="Palatino Linotype" w:hAnsi="Palatino Linotype" w:cs="Arial"/>
          <w:sz w:val="24"/>
          <w:szCs w:val="24"/>
        </w:rPr>
        <w:t>he rewards</w:t>
      </w:r>
      <w:r w:rsidRPr="00B07E71">
        <w:rPr>
          <w:rFonts w:ascii="Palatino Linotype" w:hAnsi="Palatino Linotype" w:cs="Arial"/>
          <w:sz w:val="24"/>
          <w:szCs w:val="24"/>
        </w:rPr>
        <w:t xml:space="preserve"> and</w:t>
      </w:r>
      <w:r w:rsidR="00DC5FD0" w:rsidRPr="00B07E71">
        <w:rPr>
          <w:rFonts w:ascii="Palatino Linotype" w:hAnsi="Palatino Linotype" w:cs="Arial"/>
          <w:sz w:val="24"/>
          <w:szCs w:val="24"/>
        </w:rPr>
        <w:t xml:space="preserve"> risks</w:t>
      </w:r>
      <w:r w:rsidRPr="00B07E71">
        <w:rPr>
          <w:rFonts w:ascii="Palatino Linotype" w:hAnsi="Palatino Linotype" w:cs="Arial"/>
          <w:sz w:val="24"/>
          <w:szCs w:val="24"/>
        </w:rPr>
        <w:t xml:space="preserve"> of any form of education is</w:t>
      </w:r>
      <w:r w:rsidR="00B84889" w:rsidRPr="00B07E71">
        <w:rPr>
          <w:rFonts w:ascii="Palatino Linotype" w:hAnsi="Palatino Linotype" w:cs="Arial"/>
          <w:sz w:val="24"/>
          <w:szCs w:val="24"/>
        </w:rPr>
        <w:t xml:space="preserve"> ofte</w:t>
      </w:r>
      <w:r w:rsidR="00B219AB" w:rsidRPr="00B07E71">
        <w:rPr>
          <w:rFonts w:ascii="Palatino Linotype" w:hAnsi="Palatino Linotype" w:cs="Arial"/>
          <w:sz w:val="24"/>
          <w:szCs w:val="24"/>
        </w:rPr>
        <w:t>n subjective, influenced significantly</w:t>
      </w:r>
      <w:r w:rsidR="00B84889" w:rsidRPr="00B07E71">
        <w:rPr>
          <w:rFonts w:ascii="Palatino Linotype" w:hAnsi="Palatino Linotype" w:cs="Arial"/>
          <w:sz w:val="24"/>
          <w:szCs w:val="24"/>
        </w:rPr>
        <w:t xml:space="preserve"> by the way </w:t>
      </w:r>
      <w:r w:rsidRPr="00B07E71">
        <w:rPr>
          <w:rFonts w:ascii="Palatino Linotype" w:hAnsi="Palatino Linotype" w:cs="Arial"/>
          <w:sz w:val="24"/>
          <w:szCs w:val="24"/>
        </w:rPr>
        <w:t>those making the assessment were taught, the stereotypes to which the assessor subscribes,</w:t>
      </w:r>
      <w:r w:rsidRPr="00B07E71">
        <w:rPr>
          <w:rStyle w:val="FootnoteReference"/>
          <w:rFonts w:ascii="Palatino Linotype" w:hAnsi="Palatino Linotype" w:cs="Arial"/>
          <w:sz w:val="24"/>
          <w:szCs w:val="24"/>
        </w:rPr>
        <w:footnoteReference w:id="74"/>
      </w:r>
      <w:r w:rsidRPr="00B07E71">
        <w:rPr>
          <w:rFonts w:ascii="Palatino Linotype" w:hAnsi="Palatino Linotype" w:cs="Arial"/>
          <w:sz w:val="24"/>
          <w:szCs w:val="24"/>
        </w:rPr>
        <w:t xml:space="preserve"> and </w:t>
      </w:r>
      <w:r w:rsidR="0023404E" w:rsidRPr="00B07E71">
        <w:rPr>
          <w:rFonts w:ascii="Palatino Linotype" w:hAnsi="Palatino Linotype" w:cs="Arial"/>
          <w:sz w:val="24"/>
          <w:szCs w:val="24"/>
        </w:rPr>
        <w:t xml:space="preserve">the </w:t>
      </w:r>
      <w:r w:rsidRPr="00B07E71">
        <w:rPr>
          <w:rFonts w:ascii="Palatino Linotype" w:hAnsi="Palatino Linotype" w:cs="Arial"/>
          <w:sz w:val="24"/>
          <w:szCs w:val="24"/>
        </w:rPr>
        <w:t>degree of self-interest involved in the assessment. Generally, h</w:t>
      </w:r>
      <w:r w:rsidR="00132147" w:rsidRPr="00B07E71">
        <w:rPr>
          <w:rFonts w:ascii="Palatino Linotype" w:hAnsi="Palatino Linotype" w:cs="Arial"/>
          <w:sz w:val="24"/>
          <w:szCs w:val="24"/>
        </w:rPr>
        <w:t>owever, the perceived rewards and risks</w:t>
      </w:r>
      <w:r w:rsidRPr="00B07E71">
        <w:rPr>
          <w:rFonts w:ascii="Palatino Linotype" w:hAnsi="Palatino Linotype" w:cs="Arial"/>
          <w:sz w:val="24"/>
          <w:szCs w:val="24"/>
        </w:rPr>
        <w:t xml:space="preserve"> of online education tend to be</w:t>
      </w:r>
      <w:r w:rsidR="0096260B" w:rsidRPr="00B07E71">
        <w:rPr>
          <w:rFonts w:ascii="Palatino Linotype" w:hAnsi="Palatino Linotype" w:cs="Arial"/>
          <w:sz w:val="24"/>
          <w:szCs w:val="24"/>
        </w:rPr>
        <w:t xml:space="preserve"> described</w:t>
      </w:r>
      <w:r w:rsidR="00BC02F9" w:rsidRPr="00B07E71">
        <w:rPr>
          <w:rFonts w:ascii="Palatino Linotype" w:hAnsi="Palatino Linotype" w:cs="Arial"/>
          <w:sz w:val="24"/>
          <w:szCs w:val="24"/>
        </w:rPr>
        <w:t xml:space="preserve"> as follows.</w:t>
      </w:r>
      <w:r w:rsidR="0096260B" w:rsidRPr="00B07E71">
        <w:rPr>
          <w:rStyle w:val="FootnoteReference"/>
          <w:rFonts w:ascii="Palatino Linotype" w:hAnsi="Palatino Linotype" w:cs="Arial"/>
          <w:sz w:val="24"/>
          <w:szCs w:val="24"/>
        </w:rPr>
        <w:footnoteReference w:id="75"/>
      </w:r>
    </w:p>
    <w:p w:rsidR="00751C6C" w:rsidRPr="00B07E71" w:rsidRDefault="00DC5FD0" w:rsidP="00B07E71">
      <w:pPr>
        <w:spacing w:after="0" w:line="480" w:lineRule="auto"/>
        <w:jc w:val="both"/>
        <w:rPr>
          <w:rFonts w:ascii="Palatino Linotype" w:hAnsi="Palatino Linotype" w:cs="Arial"/>
          <w:b/>
          <w:sz w:val="24"/>
          <w:szCs w:val="24"/>
        </w:rPr>
      </w:pPr>
      <w:r w:rsidRPr="00B07E71">
        <w:rPr>
          <w:rFonts w:ascii="Palatino Linotype" w:hAnsi="Palatino Linotype" w:cs="Arial"/>
          <w:b/>
          <w:sz w:val="24"/>
          <w:szCs w:val="24"/>
        </w:rPr>
        <w:t>Table 1 – Rewards and risks</w:t>
      </w:r>
      <w:r w:rsidR="00751C6C" w:rsidRPr="00B07E71">
        <w:rPr>
          <w:rFonts w:ascii="Palatino Linotype" w:hAnsi="Palatino Linotype" w:cs="Arial"/>
          <w:b/>
          <w:sz w:val="24"/>
          <w:szCs w:val="24"/>
        </w:rPr>
        <w:t xml:space="preserve"> of online learning</w:t>
      </w:r>
    </w:p>
    <w:tbl>
      <w:tblPr>
        <w:tblStyle w:val="TableGrid"/>
        <w:tblW w:w="0" w:type="auto"/>
        <w:tblLook w:val="04A0" w:firstRow="1" w:lastRow="0" w:firstColumn="1" w:lastColumn="0" w:noHBand="0" w:noVBand="1"/>
      </w:tblPr>
      <w:tblGrid>
        <w:gridCol w:w="4508"/>
        <w:gridCol w:w="4508"/>
      </w:tblGrid>
      <w:tr w:rsidR="00751C6C" w:rsidRPr="00B07E71" w:rsidTr="00751C6C">
        <w:tc>
          <w:tcPr>
            <w:tcW w:w="4621" w:type="dxa"/>
          </w:tcPr>
          <w:p w:rsidR="00751C6C" w:rsidRPr="00B07E71" w:rsidRDefault="00DC5FD0" w:rsidP="00B07E71">
            <w:pPr>
              <w:spacing w:line="360" w:lineRule="auto"/>
              <w:jc w:val="both"/>
              <w:rPr>
                <w:rFonts w:ascii="Palatino Linotype" w:hAnsi="Palatino Linotype" w:cs="Arial"/>
                <w:b/>
              </w:rPr>
            </w:pPr>
            <w:r w:rsidRPr="00B07E71">
              <w:rPr>
                <w:rFonts w:ascii="Palatino Linotype" w:hAnsi="Palatino Linotype" w:cs="Arial"/>
                <w:b/>
              </w:rPr>
              <w:t>Rewards</w:t>
            </w:r>
          </w:p>
        </w:tc>
        <w:tc>
          <w:tcPr>
            <w:tcW w:w="4621" w:type="dxa"/>
          </w:tcPr>
          <w:p w:rsidR="00751C6C" w:rsidRPr="00B07E71" w:rsidRDefault="00DC5FD0" w:rsidP="00B07E71">
            <w:pPr>
              <w:spacing w:line="360" w:lineRule="auto"/>
              <w:jc w:val="both"/>
              <w:rPr>
                <w:rFonts w:ascii="Palatino Linotype" w:hAnsi="Palatino Linotype" w:cs="Arial"/>
                <w:b/>
              </w:rPr>
            </w:pPr>
            <w:r w:rsidRPr="00B07E71">
              <w:rPr>
                <w:rFonts w:ascii="Palatino Linotype" w:hAnsi="Palatino Linotype" w:cs="Arial"/>
                <w:b/>
              </w:rPr>
              <w:t>Risks</w:t>
            </w:r>
          </w:p>
        </w:tc>
      </w:tr>
      <w:tr w:rsidR="00751C6C" w:rsidRPr="00B07E71" w:rsidTr="00751C6C">
        <w:tc>
          <w:tcPr>
            <w:tcW w:w="4621" w:type="dxa"/>
          </w:tcPr>
          <w:p w:rsidR="00751C6C" w:rsidRPr="00B07E71" w:rsidRDefault="006E73D0" w:rsidP="00B07E71">
            <w:pPr>
              <w:spacing w:line="360" w:lineRule="auto"/>
              <w:jc w:val="both"/>
              <w:rPr>
                <w:rFonts w:ascii="Palatino Linotype" w:hAnsi="Palatino Linotype" w:cs="Arial"/>
              </w:rPr>
            </w:pPr>
            <w:r w:rsidRPr="00B07E71">
              <w:rPr>
                <w:rFonts w:ascii="Palatino Linotype" w:hAnsi="Palatino Linotype" w:cs="Arial"/>
              </w:rPr>
              <w:t>Overcoming the constraints of space, time and distance.</w:t>
            </w:r>
          </w:p>
        </w:tc>
        <w:tc>
          <w:tcPr>
            <w:tcW w:w="4621" w:type="dxa"/>
          </w:tcPr>
          <w:p w:rsidR="0096260B" w:rsidRPr="00B07E71" w:rsidRDefault="0096260B" w:rsidP="00B07E71">
            <w:pPr>
              <w:spacing w:line="360" w:lineRule="auto"/>
              <w:jc w:val="both"/>
              <w:rPr>
                <w:rFonts w:ascii="Palatino Linotype" w:hAnsi="Palatino Linotype" w:cs="Arial"/>
              </w:rPr>
            </w:pPr>
            <w:r w:rsidRPr="00B07E71">
              <w:rPr>
                <w:rFonts w:ascii="Palatino Linotype" w:hAnsi="Palatino Linotype" w:cs="Arial"/>
              </w:rPr>
              <w:t>The impersonal nature of computer mediated communication leading to a feeling of isolation in both the student and the teacher.</w:t>
            </w:r>
          </w:p>
        </w:tc>
      </w:tr>
      <w:tr w:rsidR="00751C6C" w:rsidRPr="00B07E71" w:rsidTr="00751C6C">
        <w:tc>
          <w:tcPr>
            <w:tcW w:w="4621" w:type="dxa"/>
          </w:tcPr>
          <w:p w:rsidR="006E73D0" w:rsidRPr="00B07E71" w:rsidRDefault="006E73D0" w:rsidP="00B07E71">
            <w:pPr>
              <w:spacing w:line="360" w:lineRule="auto"/>
              <w:jc w:val="both"/>
              <w:rPr>
                <w:rFonts w:ascii="Palatino Linotype" w:hAnsi="Palatino Linotype" w:cs="Arial"/>
              </w:rPr>
            </w:pPr>
            <w:r w:rsidRPr="00B07E71">
              <w:rPr>
                <w:rFonts w:ascii="Palatino Linotype" w:hAnsi="Palatino Linotype" w:cs="Arial"/>
              </w:rPr>
              <w:t>Broadening access to higher education to those who, for a variety of reasons including cost, employment and family responsibilities, and where they live, cannot attend classes at a set time or place.</w:t>
            </w:r>
          </w:p>
        </w:tc>
        <w:tc>
          <w:tcPr>
            <w:tcW w:w="4621" w:type="dxa"/>
          </w:tcPr>
          <w:p w:rsidR="00751C6C" w:rsidRPr="00B07E71" w:rsidRDefault="0096260B" w:rsidP="00B07E71">
            <w:pPr>
              <w:spacing w:line="360" w:lineRule="auto"/>
              <w:jc w:val="both"/>
              <w:rPr>
                <w:rFonts w:ascii="Palatino Linotype" w:hAnsi="Palatino Linotype" w:cs="Arial"/>
              </w:rPr>
            </w:pPr>
            <w:r w:rsidRPr="00B07E71">
              <w:rPr>
                <w:rFonts w:ascii="Palatino Linotype" w:hAnsi="Palatino Linotype" w:cs="Arial"/>
              </w:rPr>
              <w:t>The cost in human and financial resources in establishing and maintaining online learning.</w:t>
            </w:r>
            <w:r w:rsidR="00CA68A5" w:rsidRPr="00B07E71">
              <w:rPr>
                <w:rStyle w:val="FootnoteReference"/>
                <w:rFonts w:ascii="Palatino Linotype" w:hAnsi="Palatino Linotype" w:cs="Arial"/>
              </w:rPr>
              <w:footnoteReference w:id="76"/>
            </w:r>
          </w:p>
          <w:p w:rsidR="0096260B" w:rsidRPr="00B07E71" w:rsidRDefault="0096260B" w:rsidP="00B07E71">
            <w:pPr>
              <w:spacing w:line="360" w:lineRule="auto"/>
              <w:jc w:val="both"/>
              <w:rPr>
                <w:rFonts w:ascii="Palatino Linotype" w:hAnsi="Palatino Linotype" w:cs="Arial"/>
              </w:rPr>
            </w:pPr>
          </w:p>
        </w:tc>
      </w:tr>
      <w:tr w:rsidR="00751C6C" w:rsidRPr="00B07E71" w:rsidTr="00751C6C">
        <w:tc>
          <w:tcPr>
            <w:tcW w:w="4621" w:type="dxa"/>
          </w:tcPr>
          <w:p w:rsidR="006E73D0" w:rsidRPr="00B07E71" w:rsidRDefault="006E73D0" w:rsidP="00B07E71">
            <w:pPr>
              <w:spacing w:line="360" w:lineRule="auto"/>
              <w:jc w:val="both"/>
              <w:rPr>
                <w:rFonts w:ascii="Palatino Linotype" w:hAnsi="Palatino Linotype" w:cs="Arial"/>
              </w:rPr>
            </w:pPr>
            <w:r w:rsidRPr="00B07E71">
              <w:rPr>
                <w:rFonts w:ascii="Palatino Linotype" w:hAnsi="Palatino Linotype" w:cs="Arial"/>
              </w:rPr>
              <w:t>Providing an environment where students, and in particular mature aged students, feel they belong.</w:t>
            </w:r>
          </w:p>
        </w:tc>
        <w:tc>
          <w:tcPr>
            <w:tcW w:w="4621" w:type="dxa"/>
          </w:tcPr>
          <w:p w:rsidR="00751C6C" w:rsidRPr="00B07E71" w:rsidRDefault="0096260B" w:rsidP="00B07E71">
            <w:pPr>
              <w:spacing w:line="360" w:lineRule="auto"/>
              <w:jc w:val="both"/>
              <w:rPr>
                <w:rFonts w:ascii="Palatino Linotype" w:hAnsi="Palatino Linotype" w:cs="Arial"/>
              </w:rPr>
            </w:pPr>
            <w:r w:rsidRPr="00B07E71">
              <w:rPr>
                <w:rFonts w:ascii="Palatino Linotype" w:hAnsi="Palatino Linotype" w:cs="Arial"/>
              </w:rPr>
              <w:t>The loss to the student of the ‘</w:t>
            </w:r>
            <w:r w:rsidR="00C40FDD" w:rsidRPr="00B07E71">
              <w:rPr>
                <w:rFonts w:ascii="Palatino Linotype" w:hAnsi="Palatino Linotype" w:cs="Arial"/>
              </w:rPr>
              <w:t>on-</w:t>
            </w:r>
            <w:r w:rsidRPr="00B07E71">
              <w:rPr>
                <w:rFonts w:ascii="Palatino Linotype" w:hAnsi="Palatino Linotype" w:cs="Arial"/>
              </w:rPr>
              <w:t>campus experience’.</w:t>
            </w:r>
            <w:r w:rsidRPr="00B07E71">
              <w:rPr>
                <w:rStyle w:val="FootnoteReference"/>
                <w:rFonts w:ascii="Palatino Linotype" w:hAnsi="Palatino Linotype" w:cs="Arial"/>
              </w:rPr>
              <w:footnoteReference w:id="77"/>
            </w:r>
          </w:p>
          <w:p w:rsidR="0096260B" w:rsidRPr="00B07E71" w:rsidRDefault="0096260B" w:rsidP="00B07E71">
            <w:pPr>
              <w:spacing w:line="360" w:lineRule="auto"/>
              <w:jc w:val="both"/>
              <w:rPr>
                <w:rFonts w:ascii="Palatino Linotype" w:hAnsi="Palatino Linotype" w:cs="Arial"/>
              </w:rPr>
            </w:pPr>
          </w:p>
        </w:tc>
      </w:tr>
      <w:tr w:rsidR="00751C6C" w:rsidRPr="00B07E71" w:rsidTr="00751C6C">
        <w:tc>
          <w:tcPr>
            <w:tcW w:w="4621" w:type="dxa"/>
          </w:tcPr>
          <w:p w:rsidR="00BC02F9" w:rsidRPr="00B07E71" w:rsidRDefault="00BC02F9" w:rsidP="00B07E71">
            <w:pPr>
              <w:spacing w:line="360" w:lineRule="auto"/>
              <w:jc w:val="both"/>
              <w:rPr>
                <w:rFonts w:ascii="Palatino Linotype" w:hAnsi="Palatino Linotype" w:cs="Arial"/>
              </w:rPr>
            </w:pPr>
            <w:r w:rsidRPr="00B07E71">
              <w:rPr>
                <w:rFonts w:ascii="Palatino Linotype" w:hAnsi="Palatino Linotype" w:cs="Arial"/>
              </w:rPr>
              <w:t xml:space="preserve">Encouraging innovation in the way students learn, and </w:t>
            </w:r>
            <w:r w:rsidR="00480A54" w:rsidRPr="00B07E71">
              <w:rPr>
                <w:rFonts w:ascii="Palatino Linotype" w:hAnsi="Palatino Linotype" w:cs="Arial"/>
              </w:rPr>
              <w:t xml:space="preserve">in the way </w:t>
            </w:r>
            <w:r w:rsidRPr="00B07E71">
              <w:rPr>
                <w:rFonts w:ascii="Palatino Linotype" w:hAnsi="Palatino Linotype" w:cs="Arial"/>
              </w:rPr>
              <w:t>academics teach, through the use of an ever increasing array of educational tools.</w:t>
            </w:r>
          </w:p>
        </w:tc>
        <w:tc>
          <w:tcPr>
            <w:tcW w:w="4621" w:type="dxa"/>
          </w:tcPr>
          <w:p w:rsidR="00751C6C" w:rsidRPr="00B07E71" w:rsidRDefault="006E73D0" w:rsidP="00B07E71">
            <w:pPr>
              <w:spacing w:line="360" w:lineRule="auto"/>
              <w:jc w:val="both"/>
              <w:rPr>
                <w:rFonts w:ascii="Palatino Linotype" w:hAnsi="Palatino Linotype" w:cs="Arial"/>
              </w:rPr>
            </w:pPr>
            <w:r w:rsidRPr="00B07E71">
              <w:rPr>
                <w:rFonts w:ascii="Palatino Linotype" w:hAnsi="Palatino Linotype" w:cs="Arial"/>
              </w:rPr>
              <w:t>The negative impact online learning has on the traditional paradigm of the classroom and the academy.</w:t>
            </w:r>
          </w:p>
          <w:p w:rsidR="006E73D0" w:rsidRPr="00B07E71" w:rsidRDefault="006E73D0" w:rsidP="00B07E71">
            <w:pPr>
              <w:spacing w:line="360" w:lineRule="auto"/>
              <w:jc w:val="both"/>
              <w:rPr>
                <w:rFonts w:ascii="Palatino Linotype" w:hAnsi="Palatino Linotype" w:cs="Arial"/>
              </w:rPr>
            </w:pPr>
          </w:p>
        </w:tc>
      </w:tr>
    </w:tbl>
    <w:p w:rsidR="00751C6C" w:rsidRPr="00B07E71" w:rsidRDefault="00751C6C" w:rsidP="00B07E71">
      <w:pPr>
        <w:spacing w:line="480" w:lineRule="auto"/>
        <w:jc w:val="both"/>
        <w:rPr>
          <w:rFonts w:ascii="Palatino Linotype" w:hAnsi="Palatino Linotype" w:cs="Arial"/>
          <w:sz w:val="24"/>
          <w:szCs w:val="24"/>
        </w:rPr>
      </w:pPr>
    </w:p>
    <w:p w:rsidR="00D42F17" w:rsidRPr="00B07E71" w:rsidRDefault="00D42F17"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As the following discussion illustrates</w:t>
      </w:r>
      <w:r w:rsidR="004A609F" w:rsidRPr="00B07E71">
        <w:rPr>
          <w:rFonts w:ascii="Palatino Linotype" w:hAnsi="Palatino Linotype" w:cs="Arial"/>
          <w:sz w:val="24"/>
          <w:szCs w:val="24"/>
        </w:rPr>
        <w:t>, most</w:t>
      </w:r>
      <w:r w:rsidR="00132147" w:rsidRPr="00B07E71">
        <w:rPr>
          <w:rFonts w:ascii="Palatino Linotype" w:hAnsi="Palatino Linotype" w:cs="Arial"/>
          <w:sz w:val="24"/>
          <w:szCs w:val="24"/>
        </w:rPr>
        <w:t xml:space="preserve"> of the above-noted rewards and risks</w:t>
      </w:r>
      <w:r w:rsidR="0023404E" w:rsidRPr="00B07E71">
        <w:rPr>
          <w:rFonts w:ascii="Palatino Linotype" w:hAnsi="Palatino Linotype" w:cs="Arial"/>
          <w:sz w:val="24"/>
          <w:szCs w:val="24"/>
        </w:rPr>
        <w:t xml:space="preserve"> of online teaching have merit</w:t>
      </w:r>
      <w:r w:rsidR="00BC02F9" w:rsidRPr="00B07E71">
        <w:rPr>
          <w:rFonts w:ascii="Palatino Linotype" w:hAnsi="Palatino Linotype" w:cs="Arial"/>
          <w:sz w:val="24"/>
          <w:szCs w:val="24"/>
        </w:rPr>
        <w:t>.</w:t>
      </w:r>
      <w:r w:rsidRPr="00B07E71">
        <w:rPr>
          <w:rFonts w:ascii="Palatino Linotype" w:hAnsi="Palatino Linotype" w:cs="Arial"/>
          <w:sz w:val="24"/>
          <w:szCs w:val="24"/>
        </w:rPr>
        <w:t xml:space="preserve"> Whether the advantages of implementing a fully online degree outweigh the disadvantages depends on a number of factors, perhaps the most important being the law school’s physical location. Generally, at least </w:t>
      </w:r>
      <w:r w:rsidR="00CC4BDE" w:rsidRPr="00B07E71">
        <w:rPr>
          <w:rFonts w:ascii="Palatino Linotype" w:hAnsi="Palatino Linotype" w:cs="Arial"/>
          <w:sz w:val="24"/>
          <w:szCs w:val="24"/>
        </w:rPr>
        <w:t xml:space="preserve">in Australia </w:t>
      </w:r>
      <w:r w:rsidRPr="00B07E71">
        <w:rPr>
          <w:rFonts w:ascii="Palatino Linotype" w:hAnsi="Palatino Linotype" w:cs="Arial"/>
          <w:sz w:val="24"/>
          <w:szCs w:val="24"/>
        </w:rPr>
        <w:t xml:space="preserve">at this early stage of the development of online legal education, law schools located in regional centres have more to gain </w:t>
      </w:r>
      <w:r w:rsidR="002A0AA2" w:rsidRPr="00B07E71">
        <w:rPr>
          <w:rFonts w:ascii="Palatino Linotype" w:hAnsi="Palatino Linotype" w:cs="Arial"/>
          <w:sz w:val="24"/>
          <w:szCs w:val="24"/>
        </w:rPr>
        <w:t>from implementing</w:t>
      </w:r>
      <w:r w:rsidRPr="00B07E71">
        <w:rPr>
          <w:rFonts w:ascii="Palatino Linotype" w:hAnsi="Palatino Linotype" w:cs="Arial"/>
          <w:sz w:val="24"/>
          <w:szCs w:val="24"/>
        </w:rPr>
        <w:t xml:space="preserve"> an online degree program than established law schools in major cities.</w:t>
      </w:r>
      <w:r w:rsidR="00BC02F9" w:rsidRPr="00B07E71">
        <w:rPr>
          <w:rFonts w:ascii="Palatino Linotype" w:hAnsi="Palatino Linotype" w:cs="Arial"/>
          <w:sz w:val="24"/>
          <w:szCs w:val="24"/>
        </w:rPr>
        <w:t xml:space="preserve"> </w:t>
      </w:r>
    </w:p>
    <w:p w:rsidR="00737A6C" w:rsidRPr="00B07E71" w:rsidRDefault="00D42F17"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t</w:t>
      </w:r>
      <w:r w:rsidR="00132147" w:rsidRPr="00B07E71">
        <w:rPr>
          <w:rFonts w:ascii="Palatino Linotype" w:hAnsi="Palatino Linotype" w:cs="Arial"/>
          <w:sz w:val="24"/>
          <w:szCs w:val="24"/>
        </w:rPr>
        <w:t>his assessment of the rewards and risks</w:t>
      </w:r>
      <w:r w:rsidRPr="00B07E71">
        <w:rPr>
          <w:rFonts w:ascii="Palatino Linotype" w:hAnsi="Palatino Linotype" w:cs="Arial"/>
          <w:sz w:val="24"/>
          <w:szCs w:val="24"/>
        </w:rPr>
        <w:t xml:space="preserve"> of online legal education</w:t>
      </w:r>
      <w:r w:rsidR="005B27E6" w:rsidRPr="00B07E71">
        <w:rPr>
          <w:rFonts w:ascii="Palatino Linotype" w:hAnsi="Palatino Linotype" w:cs="Arial"/>
          <w:sz w:val="24"/>
          <w:szCs w:val="24"/>
        </w:rPr>
        <w:t>, it is important to note that</w:t>
      </w:r>
      <w:r w:rsidR="002A0AA2" w:rsidRPr="00B07E71">
        <w:rPr>
          <w:rFonts w:ascii="Palatino Linotype" w:hAnsi="Palatino Linotype" w:cs="Arial"/>
          <w:sz w:val="24"/>
          <w:szCs w:val="24"/>
        </w:rPr>
        <w:t xml:space="preserve"> the </w:t>
      </w:r>
      <w:r w:rsidR="0023404E" w:rsidRPr="00B07E71">
        <w:rPr>
          <w:rFonts w:ascii="Palatino Linotype" w:hAnsi="Palatino Linotype" w:cs="Arial"/>
          <w:sz w:val="24"/>
          <w:szCs w:val="24"/>
        </w:rPr>
        <w:t>author</w:t>
      </w:r>
      <w:r w:rsidR="002A0AA2" w:rsidRPr="00B07E71">
        <w:rPr>
          <w:rFonts w:ascii="Palatino Linotype" w:hAnsi="Palatino Linotype" w:cs="Arial"/>
          <w:sz w:val="24"/>
          <w:szCs w:val="24"/>
        </w:rPr>
        <w:t xml:space="preserve">s of this </w:t>
      </w:r>
      <w:r w:rsidR="00AA44CE" w:rsidRPr="00B07E71">
        <w:rPr>
          <w:rFonts w:ascii="Palatino Linotype" w:hAnsi="Palatino Linotype" w:cs="Arial"/>
          <w:sz w:val="24"/>
          <w:szCs w:val="24"/>
        </w:rPr>
        <w:t>article</w:t>
      </w:r>
      <w:r w:rsidR="0023404E" w:rsidRPr="00B07E71">
        <w:rPr>
          <w:rFonts w:ascii="Palatino Linotype" w:hAnsi="Palatino Linotype" w:cs="Arial"/>
          <w:sz w:val="24"/>
          <w:szCs w:val="24"/>
        </w:rPr>
        <w:t xml:space="preserve"> ca</w:t>
      </w:r>
      <w:r w:rsidR="00AE5557" w:rsidRPr="00B07E71">
        <w:rPr>
          <w:rFonts w:ascii="Palatino Linotype" w:hAnsi="Palatino Linotype" w:cs="Arial"/>
          <w:sz w:val="24"/>
          <w:szCs w:val="24"/>
        </w:rPr>
        <w:t>n</w:t>
      </w:r>
      <w:r w:rsidR="005B27E6" w:rsidRPr="00B07E71">
        <w:rPr>
          <w:rFonts w:ascii="Palatino Linotype" w:hAnsi="Palatino Linotype" w:cs="Arial"/>
          <w:sz w:val="24"/>
          <w:szCs w:val="24"/>
        </w:rPr>
        <w:t xml:space="preserve">not be described as either </w:t>
      </w:r>
      <w:r w:rsidR="00AE5557" w:rsidRPr="00B07E71">
        <w:rPr>
          <w:rFonts w:ascii="Palatino Linotype" w:hAnsi="Palatino Linotype" w:cs="Arial"/>
          <w:sz w:val="24"/>
          <w:szCs w:val="24"/>
        </w:rPr>
        <w:t>‘enthusiast</w:t>
      </w:r>
      <w:r w:rsidR="005B27E6" w:rsidRPr="00B07E71">
        <w:rPr>
          <w:rFonts w:ascii="Palatino Linotype" w:hAnsi="Palatino Linotype" w:cs="Arial"/>
          <w:sz w:val="24"/>
          <w:szCs w:val="24"/>
        </w:rPr>
        <w:t>s</w:t>
      </w:r>
      <w:r w:rsidR="00AE5557" w:rsidRPr="00B07E71">
        <w:rPr>
          <w:rFonts w:ascii="Palatino Linotype" w:hAnsi="Palatino Linotype" w:cs="Arial"/>
          <w:sz w:val="24"/>
          <w:szCs w:val="24"/>
        </w:rPr>
        <w:t>’ or ‘naysayer</w:t>
      </w:r>
      <w:r w:rsidR="005B27E6" w:rsidRPr="00B07E71">
        <w:rPr>
          <w:rFonts w:ascii="Palatino Linotype" w:hAnsi="Palatino Linotype" w:cs="Arial"/>
          <w:sz w:val="24"/>
          <w:szCs w:val="24"/>
        </w:rPr>
        <w:t>s</w:t>
      </w:r>
      <w:r w:rsidR="00AE5557" w:rsidRPr="00B07E71">
        <w:rPr>
          <w:rFonts w:ascii="Palatino Linotype" w:hAnsi="Palatino Linotype" w:cs="Arial"/>
          <w:sz w:val="24"/>
          <w:szCs w:val="24"/>
        </w:rPr>
        <w:t>’ when it c</w:t>
      </w:r>
      <w:r w:rsidR="00737A6C" w:rsidRPr="00B07E71">
        <w:rPr>
          <w:rFonts w:ascii="Palatino Linotype" w:hAnsi="Palatino Linotype" w:cs="Arial"/>
          <w:sz w:val="24"/>
          <w:szCs w:val="24"/>
        </w:rPr>
        <w:t>omes to online legal education.</w:t>
      </w:r>
      <w:r w:rsidRPr="00B07E71">
        <w:rPr>
          <w:rFonts w:ascii="Palatino Linotype" w:hAnsi="Palatino Linotype" w:cs="Arial"/>
          <w:sz w:val="24"/>
          <w:szCs w:val="24"/>
        </w:rPr>
        <w:t xml:space="preserve"> </w:t>
      </w:r>
      <w:r w:rsidR="00AE5557" w:rsidRPr="00B07E71">
        <w:rPr>
          <w:rFonts w:ascii="Palatino Linotype" w:hAnsi="Palatino Linotype" w:cs="Arial"/>
          <w:sz w:val="24"/>
          <w:szCs w:val="24"/>
        </w:rPr>
        <w:t>According to Rosenberg, ‘enthusiasts’ are “true believers in technology, and they are certain the future has arrived with online classes, programs, and universities that promise, and deliver, a cure for much of what ails the modern education enterprise”.</w:t>
      </w:r>
      <w:r w:rsidR="00AE5557" w:rsidRPr="00B07E71">
        <w:rPr>
          <w:rStyle w:val="FootnoteReference"/>
          <w:rFonts w:ascii="Palatino Linotype" w:hAnsi="Palatino Linotype" w:cs="Arial"/>
          <w:sz w:val="24"/>
          <w:szCs w:val="24"/>
        </w:rPr>
        <w:footnoteReference w:id="78"/>
      </w:r>
      <w:r w:rsidR="00AE5557" w:rsidRPr="00B07E71">
        <w:rPr>
          <w:rFonts w:ascii="Palatino Linotype" w:hAnsi="Palatino Linotype" w:cs="Arial"/>
          <w:sz w:val="24"/>
          <w:szCs w:val="24"/>
        </w:rPr>
        <w:t xml:space="preserve"> ‘Naysayers’, by contrast, are “sceptical of any technology that interferes with face-to-face human interaction, and they worry about the danger of online learning”.</w:t>
      </w:r>
      <w:r w:rsidR="00AE5557" w:rsidRPr="00B07E71">
        <w:rPr>
          <w:rStyle w:val="FootnoteReference"/>
          <w:rFonts w:ascii="Palatino Linotype" w:hAnsi="Palatino Linotype" w:cs="Arial"/>
          <w:sz w:val="24"/>
          <w:szCs w:val="24"/>
        </w:rPr>
        <w:footnoteReference w:id="79"/>
      </w:r>
      <w:r w:rsidR="00AE5557" w:rsidRPr="00B07E71">
        <w:rPr>
          <w:rFonts w:ascii="Palatino Linotype" w:hAnsi="Palatino Linotype" w:cs="Arial"/>
          <w:sz w:val="24"/>
          <w:szCs w:val="24"/>
        </w:rPr>
        <w:t xml:space="preserve"> </w:t>
      </w:r>
    </w:p>
    <w:p w:rsidR="00AE5557" w:rsidRPr="00B07E71" w:rsidRDefault="00AE5557"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It is the authors’ view that greater use of technology </w:t>
      </w:r>
      <w:r w:rsidR="00737A6C" w:rsidRPr="00B07E71">
        <w:rPr>
          <w:rFonts w:ascii="Palatino Linotype" w:hAnsi="Palatino Linotype" w:cs="Arial"/>
          <w:sz w:val="24"/>
          <w:szCs w:val="24"/>
        </w:rPr>
        <w:t>in legal education is inevitable,</w:t>
      </w:r>
      <w:r w:rsidR="00C40FDD" w:rsidRPr="00B07E71">
        <w:rPr>
          <w:rStyle w:val="FootnoteReference"/>
          <w:rFonts w:ascii="Palatino Linotype" w:hAnsi="Palatino Linotype" w:cs="Arial"/>
          <w:sz w:val="24"/>
          <w:szCs w:val="24"/>
        </w:rPr>
        <w:footnoteReference w:id="80"/>
      </w:r>
      <w:r w:rsidR="00737A6C" w:rsidRPr="00B07E71">
        <w:rPr>
          <w:rFonts w:ascii="Palatino Linotype" w:hAnsi="Palatino Linotype" w:cs="Arial"/>
          <w:sz w:val="24"/>
          <w:szCs w:val="24"/>
        </w:rPr>
        <w:t xml:space="preserve"> but like Gutenberg’s printing ‘revolution’</w:t>
      </w:r>
      <w:r w:rsidR="00986B8F" w:rsidRPr="00B07E71">
        <w:rPr>
          <w:rFonts w:ascii="Palatino Linotype" w:hAnsi="Palatino Linotype" w:cs="Arial"/>
          <w:sz w:val="24"/>
          <w:szCs w:val="24"/>
        </w:rPr>
        <w:t>, t</w:t>
      </w:r>
      <w:r w:rsidR="00132147" w:rsidRPr="00B07E71">
        <w:rPr>
          <w:rFonts w:ascii="Palatino Linotype" w:hAnsi="Palatino Linotype" w:cs="Arial"/>
          <w:sz w:val="24"/>
          <w:szCs w:val="24"/>
        </w:rPr>
        <w:t>he realisation of the rewards</w:t>
      </w:r>
      <w:r w:rsidR="00986B8F" w:rsidRPr="00B07E71">
        <w:rPr>
          <w:rFonts w:ascii="Palatino Linotype" w:hAnsi="Palatino Linotype" w:cs="Arial"/>
          <w:sz w:val="24"/>
          <w:szCs w:val="24"/>
        </w:rPr>
        <w:t xml:space="preserve"> of online learning</w:t>
      </w:r>
      <w:r w:rsidR="00700DBE" w:rsidRPr="00B07E71">
        <w:rPr>
          <w:rFonts w:ascii="Palatino Linotype" w:hAnsi="Palatino Linotype" w:cs="Arial"/>
          <w:sz w:val="24"/>
          <w:szCs w:val="24"/>
        </w:rPr>
        <w:t xml:space="preserve"> will be more</w:t>
      </w:r>
      <w:r w:rsidR="00737A6C" w:rsidRPr="00B07E71">
        <w:rPr>
          <w:rFonts w:ascii="Palatino Linotype" w:hAnsi="Palatino Linotype" w:cs="Arial"/>
          <w:sz w:val="24"/>
          <w:szCs w:val="24"/>
        </w:rPr>
        <w:t xml:space="preserve"> </w:t>
      </w:r>
      <w:r w:rsidR="002A0AA2" w:rsidRPr="00B07E71">
        <w:rPr>
          <w:rFonts w:ascii="Palatino Linotype" w:hAnsi="Palatino Linotype" w:cs="Arial"/>
          <w:sz w:val="24"/>
          <w:szCs w:val="24"/>
        </w:rPr>
        <w:t xml:space="preserve">of </w:t>
      </w:r>
      <w:r w:rsidR="00737A6C" w:rsidRPr="00B07E71">
        <w:rPr>
          <w:rFonts w:ascii="Palatino Linotype" w:hAnsi="Palatino Linotype" w:cs="Arial"/>
          <w:sz w:val="24"/>
          <w:szCs w:val="24"/>
        </w:rPr>
        <w:t>an evolution than a revolution.</w:t>
      </w:r>
      <w:r w:rsidR="00986B8F" w:rsidRPr="00B07E71">
        <w:rPr>
          <w:rFonts w:ascii="Palatino Linotype" w:hAnsi="Palatino Linotype" w:cs="Arial"/>
          <w:sz w:val="24"/>
          <w:szCs w:val="24"/>
        </w:rPr>
        <w:t xml:space="preserve"> In particular</w:t>
      </w:r>
      <w:r w:rsidR="00737A6C" w:rsidRPr="00B07E71">
        <w:rPr>
          <w:rFonts w:ascii="Palatino Linotype" w:hAnsi="Palatino Linotype" w:cs="Arial"/>
          <w:sz w:val="24"/>
          <w:szCs w:val="24"/>
        </w:rPr>
        <w:t>, unless the movement to online learning is carefully managed, it simply will mimic online the standard, traditional</w:t>
      </w:r>
      <w:r w:rsidR="00982D06" w:rsidRPr="00B07E71">
        <w:rPr>
          <w:rFonts w:ascii="Palatino Linotype" w:hAnsi="Palatino Linotype" w:cs="Arial"/>
          <w:sz w:val="24"/>
          <w:szCs w:val="24"/>
        </w:rPr>
        <w:t>, practices</w:t>
      </w:r>
      <w:r w:rsidR="00737A6C" w:rsidRPr="00B07E71">
        <w:rPr>
          <w:rFonts w:ascii="Palatino Linotype" w:hAnsi="Palatino Linotype" w:cs="Arial"/>
          <w:sz w:val="24"/>
          <w:szCs w:val="24"/>
        </w:rPr>
        <w:t xml:space="preserve"> that have characterised</w:t>
      </w:r>
      <w:r w:rsidR="002A0AA2" w:rsidRPr="00B07E71">
        <w:rPr>
          <w:rFonts w:ascii="Palatino Linotype" w:hAnsi="Palatino Linotype" w:cs="Arial"/>
          <w:sz w:val="24"/>
          <w:szCs w:val="24"/>
        </w:rPr>
        <w:t xml:space="preserve"> the face-to-face teaching </w:t>
      </w:r>
      <w:r w:rsidR="00737A6C" w:rsidRPr="00B07E71">
        <w:rPr>
          <w:rFonts w:ascii="Palatino Linotype" w:hAnsi="Palatino Linotype" w:cs="Arial"/>
          <w:sz w:val="24"/>
          <w:szCs w:val="24"/>
        </w:rPr>
        <w:t>it replaced.</w:t>
      </w:r>
      <w:r w:rsidR="00737A6C" w:rsidRPr="00B07E71">
        <w:rPr>
          <w:rStyle w:val="FootnoteReference"/>
          <w:rFonts w:ascii="Palatino Linotype" w:hAnsi="Palatino Linotype" w:cs="Arial"/>
          <w:sz w:val="24"/>
          <w:szCs w:val="24"/>
        </w:rPr>
        <w:footnoteReference w:id="81"/>
      </w:r>
      <w:r w:rsidR="008E3D8D" w:rsidRPr="00B07E71">
        <w:rPr>
          <w:rFonts w:ascii="Palatino Linotype" w:hAnsi="Palatino Linotype" w:cs="Arial"/>
          <w:sz w:val="24"/>
          <w:szCs w:val="24"/>
        </w:rPr>
        <w:t xml:space="preserve">  </w:t>
      </w:r>
      <w:proofErr w:type="spellStart"/>
      <w:r w:rsidR="008E3D8D" w:rsidRPr="00B07E71">
        <w:rPr>
          <w:rFonts w:ascii="Palatino Linotype" w:hAnsi="Palatino Linotype" w:cs="Arial"/>
          <w:sz w:val="24"/>
          <w:szCs w:val="24"/>
        </w:rPr>
        <w:t>Maharg</w:t>
      </w:r>
      <w:proofErr w:type="spellEnd"/>
      <w:r w:rsidR="008E3D8D" w:rsidRPr="00B07E71">
        <w:rPr>
          <w:rFonts w:ascii="Palatino Linotype" w:hAnsi="Palatino Linotype" w:cs="Arial"/>
          <w:sz w:val="24"/>
          <w:szCs w:val="24"/>
        </w:rPr>
        <w:t xml:space="preserve"> and </w:t>
      </w:r>
      <w:proofErr w:type="spellStart"/>
      <w:r w:rsidR="008E3D8D" w:rsidRPr="00B07E71">
        <w:rPr>
          <w:rFonts w:ascii="Palatino Linotype" w:hAnsi="Palatino Linotype" w:cs="Arial"/>
          <w:sz w:val="24"/>
          <w:szCs w:val="24"/>
        </w:rPr>
        <w:t>Muntjewerff</w:t>
      </w:r>
      <w:proofErr w:type="spellEnd"/>
      <w:r w:rsidR="00080B53" w:rsidRPr="00B07E71">
        <w:rPr>
          <w:rFonts w:ascii="Palatino Linotype" w:hAnsi="Palatino Linotype" w:cs="Arial"/>
          <w:sz w:val="24"/>
          <w:szCs w:val="24"/>
        </w:rPr>
        <w:t xml:space="preserve"> describe this as ‘profoundly paradoxical’ because “technology is used by an institution to avoid change by allowing the institution to appear to embrace change through the introduction of new technology”.</w:t>
      </w:r>
      <w:r w:rsidR="00080B53" w:rsidRPr="00B07E71">
        <w:rPr>
          <w:rStyle w:val="FootnoteReference"/>
          <w:rFonts w:ascii="Palatino Linotype" w:hAnsi="Palatino Linotype" w:cs="Arial"/>
          <w:sz w:val="24"/>
          <w:szCs w:val="24"/>
        </w:rPr>
        <w:footnoteReference w:id="82"/>
      </w:r>
      <w:r w:rsidR="00986B8F" w:rsidRPr="00B07E71">
        <w:rPr>
          <w:rFonts w:ascii="Palatino Linotype" w:hAnsi="Palatino Linotype" w:cs="Arial"/>
          <w:sz w:val="24"/>
          <w:szCs w:val="24"/>
        </w:rPr>
        <w:t xml:space="preserve"> Given the movement of courses online, the ability to challenge the dominant paradigm then becomes more difficult.</w:t>
      </w:r>
      <w:r w:rsidR="00986B8F" w:rsidRPr="00B07E71">
        <w:rPr>
          <w:rStyle w:val="FootnoteReference"/>
          <w:rFonts w:ascii="Palatino Linotype" w:hAnsi="Palatino Linotype" w:cs="Arial"/>
          <w:sz w:val="24"/>
          <w:szCs w:val="24"/>
        </w:rPr>
        <w:footnoteReference w:id="83"/>
      </w:r>
    </w:p>
    <w:p w:rsidR="004810C1" w:rsidRPr="00B07E71" w:rsidRDefault="00080B53"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Insti</w:t>
      </w:r>
      <w:r w:rsidR="002A0AA2" w:rsidRPr="00B07E71">
        <w:rPr>
          <w:rFonts w:ascii="Palatino Linotype" w:hAnsi="Palatino Linotype" w:cs="Arial"/>
          <w:sz w:val="24"/>
          <w:szCs w:val="24"/>
        </w:rPr>
        <w:t>tutions are not the only catalysts</w:t>
      </w:r>
      <w:r w:rsidRPr="00B07E71">
        <w:rPr>
          <w:rFonts w:ascii="Palatino Linotype" w:hAnsi="Palatino Linotype" w:cs="Arial"/>
          <w:sz w:val="24"/>
          <w:szCs w:val="24"/>
        </w:rPr>
        <w:t xml:space="preserve"> of such a paradox. Legal academics may either consciously, or unwittingly, transfer online, and teach, units in the same way such</w:t>
      </w:r>
      <w:r w:rsidR="00EA60A0" w:rsidRPr="00B07E71">
        <w:rPr>
          <w:rFonts w:ascii="Palatino Linotype" w:hAnsi="Palatino Linotype" w:cs="Arial"/>
          <w:sz w:val="24"/>
          <w:szCs w:val="24"/>
        </w:rPr>
        <w:t xml:space="preserve"> units were taught face-to-face; particularly if the online learning software allows for synchronous delivery. </w:t>
      </w:r>
      <w:r w:rsidR="005B27E6" w:rsidRPr="00B07E71">
        <w:rPr>
          <w:rFonts w:ascii="Palatino Linotype" w:hAnsi="Palatino Linotype" w:cs="Arial"/>
          <w:sz w:val="24"/>
          <w:szCs w:val="24"/>
        </w:rPr>
        <w:t>For example,</w:t>
      </w:r>
      <w:r w:rsidR="004810C1" w:rsidRPr="00B07E71">
        <w:rPr>
          <w:rFonts w:ascii="Palatino Linotype" w:hAnsi="Palatino Linotype" w:cs="Arial"/>
          <w:sz w:val="24"/>
          <w:szCs w:val="24"/>
        </w:rPr>
        <w:t xml:space="preserve"> </w:t>
      </w:r>
      <w:r w:rsidR="006B0BFC" w:rsidRPr="00B07E71">
        <w:rPr>
          <w:rFonts w:ascii="Palatino Linotype" w:hAnsi="Palatino Linotype" w:cs="Arial"/>
          <w:sz w:val="24"/>
          <w:szCs w:val="24"/>
        </w:rPr>
        <w:t>an expository approach</w:t>
      </w:r>
      <w:r w:rsidR="005B27E6" w:rsidRPr="00B07E71">
        <w:rPr>
          <w:rFonts w:ascii="Palatino Linotype" w:hAnsi="Palatino Linotype" w:cs="Arial"/>
          <w:sz w:val="24"/>
          <w:szCs w:val="24"/>
        </w:rPr>
        <w:t xml:space="preserve"> may be adopted where content is transmitted through digital devices</w:t>
      </w:r>
      <w:r w:rsidR="004810C1" w:rsidRPr="00B07E71">
        <w:rPr>
          <w:rFonts w:ascii="Palatino Linotype" w:hAnsi="Palatino Linotype" w:cs="Arial"/>
          <w:sz w:val="24"/>
          <w:szCs w:val="24"/>
        </w:rPr>
        <w:t>. Lecturers</w:t>
      </w:r>
      <w:r w:rsidR="006B0BFC" w:rsidRPr="00B07E71">
        <w:rPr>
          <w:rFonts w:ascii="Palatino Linotype" w:hAnsi="Palatino Linotype" w:cs="Arial"/>
          <w:sz w:val="24"/>
          <w:szCs w:val="24"/>
        </w:rPr>
        <w:t xml:space="preserve"> upload online course materials – for example, links to case law and jou</w:t>
      </w:r>
      <w:r w:rsidR="00566003" w:rsidRPr="00B07E71">
        <w:rPr>
          <w:rFonts w:ascii="Palatino Linotype" w:hAnsi="Palatino Linotype" w:cs="Arial"/>
          <w:sz w:val="24"/>
          <w:szCs w:val="24"/>
        </w:rPr>
        <w:t>rnal articles,</w:t>
      </w:r>
      <w:r w:rsidR="006B0BFC" w:rsidRPr="00B07E71">
        <w:rPr>
          <w:rFonts w:ascii="Palatino Linotype" w:hAnsi="Palatino Linotype" w:cs="Arial"/>
          <w:sz w:val="24"/>
          <w:szCs w:val="24"/>
        </w:rPr>
        <w:t xml:space="preserve"> </w:t>
      </w:r>
      <w:proofErr w:type="spellStart"/>
      <w:r w:rsidR="006B0BFC" w:rsidRPr="00B07E71">
        <w:rPr>
          <w:rFonts w:ascii="Palatino Linotype" w:hAnsi="Palatino Linotype" w:cs="Arial"/>
          <w:sz w:val="24"/>
          <w:szCs w:val="24"/>
        </w:rPr>
        <w:t>etc</w:t>
      </w:r>
      <w:proofErr w:type="spellEnd"/>
      <w:r w:rsidR="006B0BFC" w:rsidRPr="00B07E71">
        <w:rPr>
          <w:rFonts w:ascii="Palatino Linotype" w:hAnsi="Palatino Linotype" w:cs="Arial"/>
          <w:sz w:val="24"/>
          <w:szCs w:val="24"/>
        </w:rPr>
        <w:t xml:space="preserve"> – </w:t>
      </w:r>
      <w:r w:rsidR="00566003" w:rsidRPr="00B07E71">
        <w:rPr>
          <w:rFonts w:ascii="Palatino Linotype" w:hAnsi="Palatino Linotype" w:cs="Arial"/>
          <w:sz w:val="24"/>
          <w:szCs w:val="24"/>
        </w:rPr>
        <w:t>and present lectures synchronous</w:t>
      </w:r>
      <w:r w:rsidR="007C7413" w:rsidRPr="00B07E71">
        <w:rPr>
          <w:rFonts w:ascii="Palatino Linotype" w:hAnsi="Palatino Linotype" w:cs="Arial"/>
          <w:sz w:val="24"/>
          <w:szCs w:val="24"/>
        </w:rPr>
        <w:t>ly through the online</w:t>
      </w:r>
      <w:r w:rsidR="00566003" w:rsidRPr="00B07E71">
        <w:rPr>
          <w:rFonts w:ascii="Palatino Linotype" w:hAnsi="Palatino Linotype" w:cs="Arial"/>
          <w:sz w:val="24"/>
          <w:szCs w:val="24"/>
        </w:rPr>
        <w:t xml:space="preserve"> platform. This results in</w:t>
      </w:r>
      <w:r w:rsidR="006B0BFC" w:rsidRPr="00B07E71">
        <w:rPr>
          <w:rFonts w:ascii="Palatino Linotype" w:hAnsi="Palatino Linotype" w:cs="Arial"/>
          <w:sz w:val="24"/>
          <w:szCs w:val="24"/>
        </w:rPr>
        <w:t xml:space="preserve"> little control being vested in the student. Student’s simply work their way through course materials in a set sequence, much as they did in a traditional face-to-face lecture.</w:t>
      </w:r>
      <w:r w:rsidR="006B0BFC" w:rsidRPr="00B07E71">
        <w:rPr>
          <w:rStyle w:val="FootnoteReference"/>
          <w:rFonts w:ascii="Palatino Linotype" w:hAnsi="Palatino Linotype" w:cs="Arial"/>
          <w:sz w:val="24"/>
          <w:szCs w:val="24"/>
        </w:rPr>
        <w:footnoteReference w:id="84"/>
      </w:r>
      <w:r w:rsidR="006B0BFC" w:rsidRPr="00B07E71">
        <w:rPr>
          <w:rFonts w:ascii="Palatino Linotype" w:hAnsi="Palatino Linotype" w:cs="Arial"/>
          <w:sz w:val="24"/>
          <w:szCs w:val="24"/>
        </w:rPr>
        <w:t xml:space="preserve"> </w:t>
      </w:r>
      <w:r w:rsidR="004810C1" w:rsidRPr="00B07E71">
        <w:rPr>
          <w:rFonts w:ascii="Palatino Linotype" w:hAnsi="Palatino Linotype" w:cs="Arial"/>
          <w:sz w:val="24"/>
          <w:szCs w:val="24"/>
        </w:rPr>
        <w:t>Such an approach can be contrasted with interactive</w:t>
      </w:r>
      <w:r w:rsidR="00F604E5" w:rsidRPr="00B07E71">
        <w:rPr>
          <w:rFonts w:ascii="Palatino Linotype" w:hAnsi="Palatino Linotype" w:cs="Arial"/>
          <w:sz w:val="24"/>
          <w:szCs w:val="24"/>
        </w:rPr>
        <w:t xml:space="preserve"> learning</w:t>
      </w:r>
      <w:r w:rsidR="004810C1" w:rsidRPr="00B07E71">
        <w:rPr>
          <w:rFonts w:ascii="Palatino Linotype" w:hAnsi="Palatino Linotype" w:cs="Arial"/>
          <w:sz w:val="24"/>
          <w:szCs w:val="24"/>
        </w:rPr>
        <w:t xml:space="preserve"> where students work together, either synchronously or asynchronously</w:t>
      </w:r>
      <w:r w:rsidR="007C7413" w:rsidRPr="00B07E71">
        <w:rPr>
          <w:rFonts w:ascii="Palatino Linotype" w:hAnsi="Palatino Linotype" w:cs="Arial"/>
          <w:sz w:val="24"/>
          <w:szCs w:val="24"/>
        </w:rPr>
        <w:t>,</w:t>
      </w:r>
      <w:r w:rsidR="004810C1" w:rsidRPr="00B07E71">
        <w:rPr>
          <w:rFonts w:ascii="Palatino Linotype" w:hAnsi="Palatino Linotype" w:cs="Arial"/>
          <w:sz w:val="24"/>
          <w:szCs w:val="24"/>
        </w:rPr>
        <w:t xml:space="preserve"> </w:t>
      </w:r>
      <w:r w:rsidR="00F604E5" w:rsidRPr="00B07E71">
        <w:rPr>
          <w:rFonts w:ascii="Palatino Linotype" w:hAnsi="Palatino Linotype" w:cs="Arial"/>
          <w:sz w:val="24"/>
          <w:szCs w:val="24"/>
        </w:rPr>
        <w:t>through group learning activities to explore information and solve problems.</w:t>
      </w:r>
      <w:r w:rsidR="00F604E5" w:rsidRPr="00B07E71">
        <w:rPr>
          <w:rStyle w:val="FootnoteReference"/>
          <w:rFonts w:ascii="Palatino Linotype" w:hAnsi="Palatino Linotype" w:cs="Arial"/>
          <w:sz w:val="24"/>
          <w:szCs w:val="24"/>
        </w:rPr>
        <w:footnoteReference w:id="85"/>
      </w:r>
      <w:r w:rsidR="00052563" w:rsidRPr="00B07E71">
        <w:rPr>
          <w:rFonts w:ascii="Palatino Linotype" w:hAnsi="Palatino Linotype" w:cs="Arial"/>
          <w:sz w:val="24"/>
          <w:szCs w:val="24"/>
        </w:rPr>
        <w:t xml:space="preserve"> For example, in the Indigenous Justice stream of CDU’s clinical unit, </w:t>
      </w:r>
      <w:r w:rsidR="00474304" w:rsidRPr="00B07E71">
        <w:rPr>
          <w:rFonts w:ascii="Palatino Linotype" w:hAnsi="Palatino Linotype" w:cs="Arial"/>
          <w:sz w:val="24"/>
          <w:szCs w:val="24"/>
        </w:rPr>
        <w:t xml:space="preserve">discussed below, </w:t>
      </w:r>
      <w:r w:rsidR="00052563" w:rsidRPr="00B07E71">
        <w:rPr>
          <w:rFonts w:ascii="Palatino Linotype" w:hAnsi="Palatino Linotype" w:cs="Arial"/>
          <w:sz w:val="24"/>
          <w:szCs w:val="24"/>
        </w:rPr>
        <w:t>students working on a tort class action collaborated synchronously in a wiki to draft documents, and communicated using both the text and chat functions in Blackboard Collaborate.</w:t>
      </w:r>
    </w:p>
    <w:p w:rsidR="00080B53" w:rsidRPr="00B07E71" w:rsidRDefault="00EA60A0"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Adopting a traditional approach to teaching</w:t>
      </w:r>
      <w:r w:rsidR="00080B53" w:rsidRPr="00B07E71">
        <w:rPr>
          <w:rFonts w:ascii="Palatino Linotype" w:hAnsi="Palatino Linotype" w:cs="Arial"/>
          <w:sz w:val="24"/>
          <w:szCs w:val="24"/>
        </w:rPr>
        <w:t xml:space="preserve"> may be the result of inadequate training in online course design,</w:t>
      </w:r>
      <w:r w:rsidR="00CA68A5" w:rsidRPr="00B07E71">
        <w:rPr>
          <w:rStyle w:val="FootnoteReference"/>
          <w:rFonts w:ascii="Palatino Linotype" w:hAnsi="Palatino Linotype" w:cs="Arial"/>
          <w:sz w:val="24"/>
          <w:szCs w:val="24"/>
        </w:rPr>
        <w:footnoteReference w:id="86"/>
      </w:r>
      <w:r w:rsidR="00080B53" w:rsidRPr="00B07E71">
        <w:rPr>
          <w:rFonts w:ascii="Palatino Linotype" w:hAnsi="Palatino Linotype" w:cs="Arial"/>
          <w:sz w:val="24"/>
          <w:szCs w:val="24"/>
        </w:rPr>
        <w:t xml:space="preserve"> or simply a desire to take the least arduous path to achieve </w:t>
      </w:r>
      <w:r w:rsidR="00986B8F" w:rsidRPr="00B07E71">
        <w:rPr>
          <w:rFonts w:ascii="Palatino Linotype" w:hAnsi="Palatino Linotype" w:cs="Arial"/>
          <w:sz w:val="24"/>
          <w:szCs w:val="24"/>
        </w:rPr>
        <w:t xml:space="preserve">an outcome (teaching) which, in many institutions, is still not valued as highly as other academic activities; in particular research. Whatever the cause, such an outcome will not result in the ‘cure’ to the pitfalls of traditional </w:t>
      </w:r>
      <w:r w:rsidR="001E55D3" w:rsidRPr="00B07E71">
        <w:rPr>
          <w:rFonts w:ascii="Palatino Linotype" w:hAnsi="Palatino Linotype" w:cs="Arial"/>
          <w:sz w:val="24"/>
          <w:szCs w:val="24"/>
        </w:rPr>
        <w:t>teaching practices</w:t>
      </w:r>
      <w:r w:rsidR="00986B8F" w:rsidRPr="00B07E71">
        <w:rPr>
          <w:rFonts w:ascii="Palatino Linotype" w:hAnsi="Palatino Linotype" w:cs="Arial"/>
          <w:sz w:val="24"/>
          <w:szCs w:val="24"/>
        </w:rPr>
        <w:t xml:space="preserve"> envisioned by the enthusiasts.</w:t>
      </w:r>
    </w:p>
    <w:p w:rsidR="002C02CF" w:rsidRPr="00B07E71" w:rsidRDefault="00EA60A0"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Fur</w:t>
      </w:r>
      <w:r w:rsidR="00295BFA" w:rsidRPr="00B07E71">
        <w:rPr>
          <w:rFonts w:ascii="Palatino Linotype" w:hAnsi="Palatino Linotype" w:cs="Arial"/>
          <w:sz w:val="24"/>
          <w:szCs w:val="24"/>
        </w:rPr>
        <w:t>ther, by definition</w:t>
      </w:r>
      <w:r w:rsidRPr="00B07E71">
        <w:rPr>
          <w:rFonts w:ascii="Palatino Linotype" w:hAnsi="Palatino Linotype" w:cs="Arial"/>
          <w:sz w:val="24"/>
          <w:szCs w:val="24"/>
        </w:rPr>
        <w:t xml:space="preserve"> undertaking a law degree fully online will not result in a student obtaining a ‘campus experience’. </w:t>
      </w:r>
      <w:r w:rsidR="00C40FDD" w:rsidRPr="00B07E71">
        <w:rPr>
          <w:rFonts w:ascii="Palatino Linotype" w:hAnsi="Palatino Linotype" w:cs="Arial"/>
          <w:sz w:val="24"/>
          <w:szCs w:val="24"/>
        </w:rPr>
        <w:t>Many law students, however, will have already had an on-campus experience in a prior undergraduate degree. This is particularly the case in jurisdictions, su</w:t>
      </w:r>
      <w:r w:rsidR="00295BFA" w:rsidRPr="00B07E71">
        <w:rPr>
          <w:rFonts w:ascii="Palatino Linotype" w:hAnsi="Palatino Linotype" w:cs="Arial"/>
          <w:sz w:val="24"/>
          <w:szCs w:val="24"/>
        </w:rPr>
        <w:t>ch as Canada and the United States</w:t>
      </w:r>
      <w:r w:rsidR="00C40FDD" w:rsidRPr="00B07E71">
        <w:rPr>
          <w:rFonts w:ascii="Palatino Linotype" w:hAnsi="Palatino Linotype" w:cs="Arial"/>
          <w:sz w:val="24"/>
          <w:szCs w:val="24"/>
        </w:rPr>
        <w:t xml:space="preserve">, where the first degree in law is preceded by an undergraduate degree in another discipline. </w:t>
      </w:r>
    </w:p>
    <w:p w:rsidR="00700DBE" w:rsidRPr="00B07E71" w:rsidRDefault="00B247A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addition</w:t>
      </w:r>
      <w:r w:rsidR="002C02CF" w:rsidRPr="00B07E71">
        <w:rPr>
          <w:rFonts w:ascii="Palatino Linotype" w:hAnsi="Palatino Linotype" w:cs="Arial"/>
          <w:sz w:val="24"/>
          <w:szCs w:val="24"/>
        </w:rPr>
        <w:t xml:space="preserve">, for mature age students, which </w:t>
      </w:r>
      <w:r w:rsidR="00C40FDD" w:rsidRPr="00B07E71">
        <w:rPr>
          <w:rFonts w:ascii="Palatino Linotype" w:hAnsi="Palatino Linotype" w:cs="Arial"/>
          <w:sz w:val="24"/>
          <w:szCs w:val="24"/>
        </w:rPr>
        <w:t>make up a significant percentage of those under</w:t>
      </w:r>
      <w:r w:rsidR="002C02CF" w:rsidRPr="00B07E71">
        <w:rPr>
          <w:rFonts w:ascii="Palatino Linotype" w:hAnsi="Palatino Linotype" w:cs="Arial"/>
          <w:sz w:val="24"/>
          <w:szCs w:val="24"/>
        </w:rPr>
        <w:t>taking fully online law degrees</w:t>
      </w:r>
      <w:r w:rsidR="00C40FDD" w:rsidRPr="00B07E71">
        <w:rPr>
          <w:rFonts w:ascii="Palatino Linotype" w:hAnsi="Palatino Linotype" w:cs="Arial"/>
          <w:sz w:val="24"/>
          <w:szCs w:val="24"/>
        </w:rPr>
        <w:t>, having an on-campus experience may not be as important as it is to a school leaver</w:t>
      </w:r>
      <w:r w:rsidR="002C02CF" w:rsidRPr="00B07E71">
        <w:rPr>
          <w:rStyle w:val="FootnoteReference"/>
          <w:rFonts w:ascii="Palatino Linotype" w:hAnsi="Palatino Linotype" w:cs="Arial"/>
          <w:sz w:val="24"/>
          <w:szCs w:val="24"/>
        </w:rPr>
        <w:footnoteReference w:id="87"/>
      </w:r>
      <w:r w:rsidR="00C40FDD" w:rsidRPr="00B07E71">
        <w:rPr>
          <w:rFonts w:ascii="Palatino Linotype" w:hAnsi="Palatino Linotype" w:cs="Arial"/>
          <w:sz w:val="24"/>
          <w:szCs w:val="24"/>
        </w:rPr>
        <w:t xml:space="preserve"> entering university for the first time.</w:t>
      </w:r>
      <w:r w:rsidR="002C02CF" w:rsidRPr="00B07E71">
        <w:rPr>
          <w:rFonts w:ascii="Palatino Linotype" w:hAnsi="Palatino Linotype" w:cs="Arial"/>
          <w:sz w:val="24"/>
          <w:szCs w:val="24"/>
        </w:rPr>
        <w:t xml:space="preserve"> At CDU, for example, of the 855 law students enrolled in CDU’</w:t>
      </w:r>
      <w:r w:rsidR="00E50A65" w:rsidRPr="00B07E71">
        <w:rPr>
          <w:rFonts w:ascii="Palatino Linotype" w:hAnsi="Palatino Linotype" w:cs="Arial"/>
          <w:sz w:val="24"/>
          <w:szCs w:val="24"/>
        </w:rPr>
        <w:t>s law</w:t>
      </w:r>
      <w:r w:rsidR="002C02CF" w:rsidRPr="00B07E71">
        <w:rPr>
          <w:rFonts w:ascii="Palatino Linotype" w:hAnsi="Palatino Linotype" w:cs="Arial"/>
          <w:sz w:val="24"/>
          <w:szCs w:val="24"/>
        </w:rPr>
        <w:t xml:space="preserve"> degree program</w:t>
      </w:r>
      <w:r w:rsidR="00577E43" w:rsidRPr="00B07E71">
        <w:rPr>
          <w:rFonts w:ascii="Palatino Linotype" w:hAnsi="Palatino Linotype" w:cs="Arial"/>
          <w:sz w:val="24"/>
          <w:szCs w:val="24"/>
        </w:rPr>
        <w:t xml:space="preserve"> in 2015</w:t>
      </w:r>
      <w:r w:rsidR="002C02CF" w:rsidRPr="00B07E71">
        <w:rPr>
          <w:rFonts w:ascii="Palatino Linotype" w:hAnsi="Palatino Linotype" w:cs="Arial"/>
          <w:sz w:val="24"/>
          <w:szCs w:val="24"/>
        </w:rPr>
        <w:t>,</w:t>
      </w:r>
      <w:r w:rsidR="002C02CF" w:rsidRPr="00B07E71">
        <w:rPr>
          <w:rStyle w:val="FootnoteReference"/>
          <w:rFonts w:ascii="Palatino Linotype" w:hAnsi="Palatino Linotype" w:cs="Arial"/>
          <w:sz w:val="24"/>
          <w:szCs w:val="24"/>
        </w:rPr>
        <w:footnoteReference w:id="88"/>
      </w:r>
      <w:r w:rsidR="00E50A65" w:rsidRPr="00B07E71">
        <w:rPr>
          <w:rFonts w:ascii="Palatino Linotype" w:hAnsi="Palatino Linotype" w:cs="Arial"/>
          <w:sz w:val="24"/>
          <w:szCs w:val="24"/>
        </w:rPr>
        <w:t xml:space="preserve"> 71.35% were</w:t>
      </w:r>
      <w:r w:rsidR="002C02CF" w:rsidRPr="00B07E71">
        <w:rPr>
          <w:rFonts w:ascii="Palatino Linotype" w:hAnsi="Palatino Linotype" w:cs="Arial"/>
          <w:sz w:val="24"/>
          <w:szCs w:val="24"/>
        </w:rPr>
        <w:t xml:space="preserve"> 25 years or over. Of the </w:t>
      </w:r>
      <w:r w:rsidR="00FC777C" w:rsidRPr="00B07E71">
        <w:rPr>
          <w:rFonts w:ascii="Palatino Linotype" w:hAnsi="Palatino Linotype" w:cs="Arial"/>
          <w:sz w:val="24"/>
          <w:szCs w:val="24"/>
        </w:rPr>
        <w:t>28.65% of law students under 25 </w:t>
      </w:r>
      <w:r w:rsidR="002C02CF" w:rsidRPr="00B07E71">
        <w:rPr>
          <w:rFonts w:ascii="Palatino Linotype" w:hAnsi="Palatino Linotype" w:cs="Arial"/>
          <w:sz w:val="24"/>
          <w:szCs w:val="24"/>
        </w:rPr>
        <w:t>years, only 3.16% enrolled as school leavers.</w:t>
      </w:r>
      <w:r w:rsidR="002C02CF" w:rsidRPr="00B07E71">
        <w:rPr>
          <w:rStyle w:val="FootnoteReference"/>
          <w:rFonts w:ascii="Palatino Linotype" w:hAnsi="Palatino Linotype" w:cs="Arial"/>
          <w:sz w:val="24"/>
          <w:szCs w:val="24"/>
        </w:rPr>
        <w:footnoteReference w:id="89"/>
      </w:r>
    </w:p>
    <w:p w:rsidR="009259D3" w:rsidRPr="00B07E71" w:rsidRDefault="00577E43"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These numbers compare to </w:t>
      </w:r>
      <w:r w:rsidR="002C604D" w:rsidRPr="00B07E71">
        <w:rPr>
          <w:rFonts w:ascii="Palatino Linotype" w:hAnsi="Palatino Linotype" w:cs="Arial"/>
          <w:sz w:val="24"/>
          <w:szCs w:val="24"/>
        </w:rPr>
        <w:t xml:space="preserve">at least one </w:t>
      </w:r>
      <w:r w:rsidRPr="00B07E71">
        <w:rPr>
          <w:rFonts w:ascii="Palatino Linotype" w:hAnsi="Palatino Linotype" w:cs="Arial"/>
          <w:sz w:val="24"/>
          <w:szCs w:val="24"/>
        </w:rPr>
        <w:t>other Australian regional un</w:t>
      </w:r>
      <w:r w:rsidR="002C604D" w:rsidRPr="00B07E71">
        <w:rPr>
          <w:rFonts w:ascii="Palatino Linotype" w:hAnsi="Palatino Linotype" w:cs="Arial"/>
          <w:sz w:val="24"/>
          <w:szCs w:val="24"/>
        </w:rPr>
        <w:t>iversity</w:t>
      </w:r>
      <w:r w:rsidRPr="00B07E71">
        <w:rPr>
          <w:rFonts w:ascii="Palatino Linotype" w:hAnsi="Palatino Linotype" w:cs="Arial"/>
          <w:sz w:val="24"/>
          <w:szCs w:val="24"/>
        </w:rPr>
        <w:t xml:space="preserve"> offering online law degree programs. While the data is somewhat dated, Collins noted that in </w:t>
      </w:r>
      <w:r w:rsidR="00E50A65" w:rsidRPr="00B07E71">
        <w:rPr>
          <w:rFonts w:ascii="Palatino Linotype" w:hAnsi="Palatino Linotype" w:cs="Arial"/>
          <w:sz w:val="24"/>
          <w:szCs w:val="24"/>
        </w:rPr>
        <w:t>2008 that</w:t>
      </w:r>
      <w:r w:rsidR="00B247AB" w:rsidRPr="00B07E71">
        <w:rPr>
          <w:rFonts w:ascii="Palatino Linotype" w:hAnsi="Palatino Linotype" w:cs="Arial"/>
          <w:sz w:val="24"/>
          <w:szCs w:val="24"/>
        </w:rPr>
        <w:t xml:space="preserve"> only</w:t>
      </w:r>
      <w:r w:rsidRPr="00B07E71">
        <w:rPr>
          <w:rFonts w:ascii="Palatino Linotype" w:hAnsi="Palatino Linotype" w:cs="Arial"/>
          <w:sz w:val="24"/>
          <w:szCs w:val="24"/>
        </w:rPr>
        <w:t xml:space="preserve"> 32% of the University of Southern Queensland students were under 25 years of age, and </w:t>
      </w:r>
      <w:r w:rsidR="00E50A65" w:rsidRPr="00B07E71">
        <w:rPr>
          <w:rFonts w:ascii="Palatino Linotype" w:hAnsi="Palatino Linotype" w:cs="Arial"/>
          <w:sz w:val="24"/>
          <w:szCs w:val="24"/>
        </w:rPr>
        <w:t xml:space="preserve">70% </w:t>
      </w:r>
      <w:r w:rsidR="00B247AB" w:rsidRPr="00B07E71">
        <w:rPr>
          <w:rFonts w:ascii="Palatino Linotype" w:hAnsi="Palatino Linotype" w:cs="Arial"/>
          <w:sz w:val="24"/>
          <w:szCs w:val="24"/>
        </w:rPr>
        <w:t xml:space="preserve">of students enrolled in the law degree program </w:t>
      </w:r>
      <w:r w:rsidR="00E50A65" w:rsidRPr="00B07E71">
        <w:rPr>
          <w:rFonts w:ascii="Palatino Linotype" w:hAnsi="Palatino Linotype" w:cs="Arial"/>
          <w:sz w:val="24"/>
          <w:szCs w:val="24"/>
        </w:rPr>
        <w:t>studied in a distance education mode</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90"/>
      </w:r>
      <w:r w:rsidR="009259D3" w:rsidRPr="00B07E71">
        <w:rPr>
          <w:rFonts w:ascii="Palatino Linotype" w:hAnsi="Palatino Linotype" w:cs="Arial"/>
          <w:sz w:val="24"/>
          <w:szCs w:val="24"/>
        </w:rPr>
        <w:t xml:space="preserve"> It appears that a similar trend is evident in at least one online law school in the United States, Concord Law School. </w:t>
      </w:r>
      <w:proofErr w:type="spellStart"/>
      <w:r w:rsidR="009259D3" w:rsidRPr="00B07E71">
        <w:rPr>
          <w:rFonts w:ascii="Palatino Linotype" w:hAnsi="Palatino Linotype" w:cs="Arial"/>
          <w:sz w:val="24"/>
          <w:szCs w:val="24"/>
        </w:rPr>
        <w:t>Cahak</w:t>
      </w:r>
      <w:proofErr w:type="spellEnd"/>
      <w:r w:rsidR="009259D3" w:rsidRPr="00B07E71">
        <w:rPr>
          <w:rFonts w:ascii="Palatino Linotype" w:hAnsi="Palatino Linotype" w:cs="Arial"/>
          <w:sz w:val="24"/>
          <w:szCs w:val="24"/>
        </w:rPr>
        <w:t xml:space="preserve"> notes that,</w:t>
      </w:r>
    </w:p>
    <w:p w:rsidR="009259D3" w:rsidRPr="00B07E71" w:rsidRDefault="009259D3"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sz w:val="24"/>
          <w:szCs w:val="24"/>
        </w:rPr>
        <w:t>[a]</w:t>
      </w:r>
      <w:proofErr w:type="spellStart"/>
      <w:r w:rsidRPr="00B07E71">
        <w:rPr>
          <w:rFonts w:ascii="Palatino Linotype" w:hAnsi="Palatino Linotype" w:cs="Arial"/>
          <w:i/>
          <w:sz w:val="24"/>
          <w:szCs w:val="24"/>
        </w:rPr>
        <w:t>lthough</w:t>
      </w:r>
      <w:proofErr w:type="spellEnd"/>
      <w:r w:rsidRPr="00B07E71">
        <w:rPr>
          <w:rFonts w:ascii="Palatino Linotype" w:hAnsi="Palatino Linotype" w:cs="Arial"/>
          <w:i/>
          <w:sz w:val="24"/>
          <w:szCs w:val="24"/>
        </w:rPr>
        <w:t xml:space="preserve"> nearly all applicants to brick-and-mortar law schools </w:t>
      </w:r>
      <w:r w:rsidR="004D4A2F" w:rsidRPr="00B07E71">
        <w:rPr>
          <w:rFonts w:ascii="Palatino Linotype" w:hAnsi="Palatino Linotype" w:cs="Arial"/>
          <w:sz w:val="24"/>
          <w:szCs w:val="24"/>
        </w:rPr>
        <w:t>[in the United States]</w:t>
      </w:r>
      <w:r w:rsidR="004D4A2F" w:rsidRPr="00B07E71">
        <w:rPr>
          <w:rFonts w:ascii="Palatino Linotype" w:hAnsi="Palatino Linotype" w:cs="Arial"/>
          <w:i/>
          <w:sz w:val="24"/>
          <w:szCs w:val="24"/>
        </w:rPr>
        <w:t xml:space="preserve"> </w:t>
      </w:r>
      <w:r w:rsidRPr="00B07E71">
        <w:rPr>
          <w:rFonts w:ascii="Palatino Linotype" w:hAnsi="Palatino Linotype" w:cs="Arial"/>
          <w:i/>
          <w:sz w:val="24"/>
          <w:szCs w:val="24"/>
        </w:rPr>
        <w:t>are under the age of thirty, the average Concord student is forty-three years old. Furthermore, 40% of Concord’s student body possess a previous graduate degree</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91"/>
      </w:r>
    </w:p>
    <w:p w:rsidR="00EA60A0" w:rsidRPr="00B07E71" w:rsidRDefault="00C40FD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Finally, given </w:t>
      </w:r>
      <w:r w:rsidR="00700DBE" w:rsidRPr="00B07E71">
        <w:rPr>
          <w:rFonts w:ascii="Palatino Linotype" w:hAnsi="Palatino Linotype" w:cs="Arial"/>
          <w:sz w:val="24"/>
          <w:szCs w:val="24"/>
        </w:rPr>
        <w:t>that “the lives of our students are inextricably linked with technology”,</w:t>
      </w:r>
      <w:r w:rsidR="00154C4F" w:rsidRPr="00B07E71">
        <w:rPr>
          <w:rStyle w:val="FootnoteReference"/>
          <w:rFonts w:ascii="Palatino Linotype" w:hAnsi="Palatino Linotype" w:cs="Arial"/>
          <w:sz w:val="24"/>
          <w:szCs w:val="24"/>
        </w:rPr>
        <w:footnoteReference w:id="92"/>
      </w:r>
      <w:r w:rsidR="00700DBE" w:rsidRPr="00B07E71">
        <w:rPr>
          <w:rFonts w:ascii="Palatino Linotype" w:hAnsi="Palatino Linotype" w:cs="Arial"/>
          <w:sz w:val="24"/>
          <w:szCs w:val="24"/>
        </w:rPr>
        <w:t xml:space="preserve"> the ‘on-campus experience’ many, particularly older, commentators envision is very different from the actual experience of our students. We are reminded of a café sign</w:t>
      </w:r>
      <w:r w:rsidR="002C604D" w:rsidRPr="00B07E71">
        <w:rPr>
          <w:rFonts w:ascii="Palatino Linotype" w:hAnsi="Palatino Linotype" w:cs="Arial"/>
          <w:sz w:val="24"/>
          <w:szCs w:val="24"/>
        </w:rPr>
        <w:t xml:space="preserve"> one of the authors saw in Bali</w:t>
      </w:r>
      <w:r w:rsidR="00700DBE" w:rsidRPr="00B07E71">
        <w:rPr>
          <w:rFonts w:ascii="Palatino Linotype" w:hAnsi="Palatino Linotype" w:cs="Arial"/>
          <w:sz w:val="24"/>
          <w:szCs w:val="24"/>
        </w:rPr>
        <w:t xml:space="preserve"> which read: “No, we do not have </w:t>
      </w:r>
      <w:proofErr w:type="spellStart"/>
      <w:r w:rsidR="00700DBE" w:rsidRPr="00B07E71">
        <w:rPr>
          <w:rFonts w:ascii="Palatino Linotype" w:hAnsi="Palatino Linotype" w:cs="Arial"/>
          <w:sz w:val="24"/>
          <w:szCs w:val="24"/>
        </w:rPr>
        <w:t>Wifi</w:t>
      </w:r>
      <w:proofErr w:type="spellEnd"/>
      <w:r w:rsidR="00700DBE" w:rsidRPr="00B07E71">
        <w:rPr>
          <w:rFonts w:ascii="Palatino Linotype" w:hAnsi="Palatino Linotype" w:cs="Arial"/>
          <w:sz w:val="24"/>
          <w:szCs w:val="24"/>
        </w:rPr>
        <w:t>. Try talking to each other.”</w:t>
      </w:r>
      <w:r w:rsidR="00E50A65" w:rsidRPr="00B07E71">
        <w:rPr>
          <w:rFonts w:ascii="Palatino Linotype" w:hAnsi="Palatino Linotype" w:cs="Arial"/>
          <w:sz w:val="24"/>
          <w:szCs w:val="24"/>
        </w:rPr>
        <w:t xml:space="preserve"> Those undertaking an online law degree generally have other priorities</w:t>
      </w:r>
      <w:r w:rsidR="002C604D" w:rsidRPr="00B07E71">
        <w:rPr>
          <w:rFonts w:ascii="Palatino Linotype" w:hAnsi="Palatino Linotype" w:cs="Arial"/>
          <w:sz w:val="24"/>
          <w:szCs w:val="24"/>
        </w:rPr>
        <w:t>, including where they live, cost</w:t>
      </w:r>
      <w:r w:rsidR="00E50A65" w:rsidRPr="00B07E71">
        <w:rPr>
          <w:rFonts w:ascii="Palatino Linotype" w:hAnsi="Palatino Linotype" w:cs="Arial"/>
          <w:sz w:val="24"/>
          <w:szCs w:val="24"/>
        </w:rPr>
        <w:t>, work and family commitments,</w:t>
      </w:r>
      <w:r w:rsidR="002C604D" w:rsidRPr="00B07E71">
        <w:rPr>
          <w:rFonts w:ascii="Palatino Linotype" w:hAnsi="Palatino Linotype" w:cs="Arial"/>
          <w:sz w:val="24"/>
          <w:szCs w:val="24"/>
        </w:rPr>
        <w:t xml:space="preserve"> and</w:t>
      </w:r>
      <w:r w:rsidR="00E50A65" w:rsidRPr="00B07E71">
        <w:rPr>
          <w:rFonts w:ascii="Palatino Linotype" w:hAnsi="Palatino Linotype" w:cs="Arial"/>
          <w:sz w:val="24"/>
          <w:szCs w:val="24"/>
        </w:rPr>
        <w:t xml:space="preserve"> desire for flexibility in the way they study</w:t>
      </w:r>
      <w:r w:rsidR="002C604D" w:rsidRPr="00B07E71">
        <w:rPr>
          <w:rFonts w:ascii="Palatino Linotype" w:hAnsi="Palatino Linotype" w:cs="Arial"/>
          <w:sz w:val="24"/>
          <w:szCs w:val="24"/>
        </w:rPr>
        <w:t>,</w:t>
      </w:r>
      <w:r w:rsidR="004D4A2F" w:rsidRPr="00B07E71">
        <w:rPr>
          <w:rFonts w:ascii="Palatino Linotype" w:hAnsi="Palatino Linotype" w:cs="Arial"/>
          <w:sz w:val="24"/>
          <w:szCs w:val="24"/>
        </w:rPr>
        <w:t xml:space="preserve"> which</w:t>
      </w:r>
      <w:r w:rsidR="002C604D" w:rsidRPr="00B07E71">
        <w:rPr>
          <w:rFonts w:ascii="Palatino Linotype" w:hAnsi="Palatino Linotype" w:cs="Arial"/>
          <w:sz w:val="24"/>
          <w:szCs w:val="24"/>
        </w:rPr>
        <w:t xml:space="preserve"> outweigh the need to study</w:t>
      </w:r>
      <w:r w:rsidR="00E50A65" w:rsidRPr="00B07E71">
        <w:rPr>
          <w:rFonts w:ascii="Palatino Linotype" w:hAnsi="Palatino Linotype" w:cs="Arial"/>
          <w:sz w:val="24"/>
          <w:szCs w:val="24"/>
        </w:rPr>
        <w:t xml:space="preserve"> on-campus.</w:t>
      </w:r>
    </w:p>
    <w:p w:rsidR="00806C5C" w:rsidRPr="00B07E71" w:rsidRDefault="00806C5C"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Feelings of isolation are p</w:t>
      </w:r>
      <w:r w:rsidR="00132147" w:rsidRPr="00B07E71">
        <w:rPr>
          <w:rFonts w:ascii="Palatino Linotype" w:hAnsi="Palatino Linotype" w:cs="Arial"/>
          <w:sz w:val="24"/>
          <w:szCs w:val="24"/>
        </w:rPr>
        <w:t>erhaps the greatest risk</w:t>
      </w:r>
      <w:r w:rsidRPr="00B07E71">
        <w:rPr>
          <w:rFonts w:ascii="Palatino Linotype" w:hAnsi="Palatino Linotype" w:cs="Arial"/>
          <w:sz w:val="24"/>
          <w:szCs w:val="24"/>
        </w:rPr>
        <w:t xml:space="preserve"> of online learning.</w:t>
      </w:r>
      <w:r w:rsidR="000623DD" w:rsidRPr="00B07E71">
        <w:rPr>
          <w:rStyle w:val="FootnoteReference"/>
          <w:rFonts w:ascii="Palatino Linotype" w:hAnsi="Palatino Linotype" w:cs="Arial"/>
          <w:sz w:val="24"/>
          <w:szCs w:val="24"/>
        </w:rPr>
        <w:footnoteReference w:id="93"/>
      </w:r>
      <w:r w:rsidRPr="00B07E71">
        <w:rPr>
          <w:rFonts w:ascii="Palatino Linotype" w:hAnsi="Palatino Linotype" w:cs="Arial"/>
          <w:sz w:val="24"/>
          <w:szCs w:val="24"/>
        </w:rPr>
        <w:t xml:space="preserve"> Computer mediated communication, be it audio, visual or written, is not the same as communicating face-to-face. </w:t>
      </w:r>
      <w:r w:rsidR="001D2B49" w:rsidRPr="00B07E71">
        <w:rPr>
          <w:rFonts w:ascii="Palatino Linotype" w:hAnsi="Palatino Linotype" w:cs="Arial"/>
          <w:sz w:val="24"/>
          <w:szCs w:val="24"/>
        </w:rPr>
        <w:t xml:space="preserve">It is generally acknowledged that non-verbal communication, consisting </w:t>
      </w:r>
      <w:r w:rsidR="008C0518" w:rsidRPr="00B07E71">
        <w:rPr>
          <w:rFonts w:ascii="Palatino Linotype" w:hAnsi="Palatino Linotype" w:cs="Arial"/>
          <w:sz w:val="24"/>
          <w:szCs w:val="24"/>
        </w:rPr>
        <w:t>of a person’s appearances, movements, expressions and body language, makes up a significant percentage of our communication.</w:t>
      </w:r>
      <w:r w:rsidR="008C0518" w:rsidRPr="00B07E71">
        <w:rPr>
          <w:rStyle w:val="FootnoteReference"/>
          <w:rFonts w:ascii="Palatino Linotype" w:hAnsi="Palatino Linotype" w:cs="Arial"/>
          <w:sz w:val="24"/>
          <w:szCs w:val="24"/>
        </w:rPr>
        <w:footnoteReference w:id="94"/>
      </w:r>
      <w:r w:rsidR="008C0518" w:rsidRPr="00B07E71">
        <w:rPr>
          <w:rFonts w:ascii="Palatino Linotype" w:hAnsi="Palatino Linotype" w:cs="Arial"/>
          <w:sz w:val="24"/>
          <w:szCs w:val="24"/>
        </w:rPr>
        <w:t xml:space="preserve"> While the use of audio and visual conferencing facilities available through online systems software can pick up some of the non-verba</w:t>
      </w:r>
      <w:r w:rsidR="001C1D5B" w:rsidRPr="00B07E71">
        <w:rPr>
          <w:rFonts w:ascii="Palatino Linotype" w:hAnsi="Palatino Linotype" w:cs="Arial"/>
          <w:sz w:val="24"/>
          <w:szCs w:val="24"/>
        </w:rPr>
        <w:t>l cues, many are missed. I</w:t>
      </w:r>
      <w:r w:rsidR="008C0518" w:rsidRPr="00B07E71">
        <w:rPr>
          <w:rFonts w:ascii="Palatino Linotype" w:hAnsi="Palatino Linotype" w:cs="Arial"/>
          <w:sz w:val="24"/>
          <w:szCs w:val="24"/>
        </w:rPr>
        <w:t xml:space="preserve">t can be anticipated that the software will continue to improve, </w:t>
      </w:r>
      <w:r w:rsidR="001C1D5B" w:rsidRPr="00B07E71">
        <w:rPr>
          <w:rFonts w:ascii="Palatino Linotype" w:hAnsi="Palatino Linotype" w:cs="Arial"/>
          <w:sz w:val="24"/>
          <w:szCs w:val="24"/>
        </w:rPr>
        <w:t xml:space="preserve">however, </w:t>
      </w:r>
      <w:r w:rsidR="008C0518" w:rsidRPr="00B07E71">
        <w:rPr>
          <w:rFonts w:ascii="Palatino Linotype" w:hAnsi="Palatino Linotype" w:cs="Arial"/>
          <w:sz w:val="24"/>
          <w:szCs w:val="24"/>
        </w:rPr>
        <w:t>we are not yet at the stage where such software can duplicate the face-to-face experience.</w:t>
      </w:r>
      <w:r w:rsidR="008C0518" w:rsidRPr="00B07E71">
        <w:rPr>
          <w:rStyle w:val="FootnoteReference"/>
          <w:rFonts w:ascii="Palatino Linotype" w:hAnsi="Palatino Linotype" w:cs="Arial"/>
          <w:sz w:val="24"/>
          <w:szCs w:val="24"/>
        </w:rPr>
        <w:footnoteReference w:id="95"/>
      </w:r>
      <w:r w:rsidR="00072A1E" w:rsidRPr="00B07E71">
        <w:rPr>
          <w:rFonts w:ascii="Palatino Linotype" w:hAnsi="Palatino Linotype" w:cs="Arial"/>
          <w:sz w:val="24"/>
          <w:szCs w:val="24"/>
        </w:rPr>
        <w:t xml:space="preserve"> </w:t>
      </w:r>
    </w:p>
    <w:p w:rsidR="00004089" w:rsidRPr="00B07E71" w:rsidRDefault="00FB599C"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Further, it goes without saying that sitting alone in front of a computer is a very different experience to physically </w:t>
      </w:r>
      <w:r w:rsidR="003377F1" w:rsidRPr="00B07E71">
        <w:rPr>
          <w:rFonts w:ascii="Palatino Linotype" w:hAnsi="Palatino Linotype" w:cs="Arial"/>
          <w:sz w:val="24"/>
          <w:szCs w:val="24"/>
        </w:rPr>
        <w:t>attending (or teaching)</w:t>
      </w:r>
      <w:r w:rsidRPr="00B07E71">
        <w:rPr>
          <w:rFonts w:ascii="Palatino Linotype" w:hAnsi="Palatino Linotype" w:cs="Arial"/>
          <w:sz w:val="24"/>
          <w:szCs w:val="24"/>
        </w:rPr>
        <w:t xml:space="preserve"> a class full of one’s peers </w:t>
      </w:r>
      <w:r w:rsidR="003377F1" w:rsidRPr="00B07E71">
        <w:rPr>
          <w:rFonts w:ascii="Palatino Linotype" w:hAnsi="Palatino Linotype" w:cs="Arial"/>
          <w:sz w:val="24"/>
          <w:szCs w:val="24"/>
        </w:rPr>
        <w:t>(</w:t>
      </w:r>
      <w:r w:rsidRPr="00B07E71">
        <w:rPr>
          <w:rFonts w:ascii="Palatino Linotype" w:hAnsi="Palatino Linotype" w:cs="Arial"/>
          <w:sz w:val="24"/>
          <w:szCs w:val="24"/>
        </w:rPr>
        <w:t>or students</w:t>
      </w:r>
      <w:r w:rsidR="003377F1" w:rsidRPr="00B07E71">
        <w:rPr>
          <w:rFonts w:ascii="Palatino Linotype" w:hAnsi="Palatino Linotype" w:cs="Arial"/>
          <w:sz w:val="24"/>
          <w:szCs w:val="24"/>
        </w:rPr>
        <w:t>)</w:t>
      </w:r>
      <w:r w:rsidRPr="00B07E71">
        <w:rPr>
          <w:rFonts w:ascii="Palatino Linotype" w:hAnsi="Palatino Linotype" w:cs="Arial"/>
          <w:sz w:val="24"/>
          <w:szCs w:val="24"/>
        </w:rPr>
        <w:t>. In the virtual classroom, interaction tends to be more stilted, although again advances in technology will continue to narrow the gap</w:t>
      </w:r>
      <w:r w:rsidR="003377F1" w:rsidRPr="00B07E71">
        <w:rPr>
          <w:rFonts w:ascii="Palatino Linotype" w:hAnsi="Palatino Linotype" w:cs="Arial"/>
          <w:sz w:val="24"/>
          <w:szCs w:val="24"/>
        </w:rPr>
        <w:t xml:space="preserve"> between online and face-to-face communication</w:t>
      </w:r>
      <w:r w:rsidRPr="00B07E71">
        <w:rPr>
          <w:rFonts w:ascii="Palatino Linotype" w:hAnsi="Palatino Linotype" w:cs="Arial"/>
          <w:sz w:val="24"/>
          <w:szCs w:val="24"/>
        </w:rPr>
        <w:t xml:space="preserve">. </w:t>
      </w:r>
      <w:r w:rsidR="00072A1E" w:rsidRPr="00B07E71">
        <w:rPr>
          <w:rFonts w:ascii="Palatino Linotype" w:hAnsi="Palatino Linotype" w:cs="Arial"/>
          <w:sz w:val="24"/>
          <w:szCs w:val="24"/>
        </w:rPr>
        <w:t>In particular, continued advancements in the integration of audio, video, whiteboard and chat facilities in online educational software will improve the students’ learning experience.</w:t>
      </w:r>
    </w:p>
    <w:p w:rsidR="00CA5BC9" w:rsidRPr="00B07E71" w:rsidRDefault="00EA272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Those teaching online</w:t>
      </w:r>
      <w:r w:rsidR="00F9695D" w:rsidRPr="00B07E71">
        <w:rPr>
          <w:rFonts w:ascii="Palatino Linotype" w:hAnsi="Palatino Linotype" w:cs="Arial"/>
          <w:sz w:val="24"/>
          <w:szCs w:val="24"/>
        </w:rPr>
        <w:t xml:space="preserve"> units</w:t>
      </w:r>
      <w:r w:rsidRPr="00B07E71">
        <w:rPr>
          <w:rFonts w:ascii="Palatino Linotype" w:hAnsi="Palatino Linotype" w:cs="Arial"/>
          <w:sz w:val="24"/>
          <w:szCs w:val="24"/>
        </w:rPr>
        <w:t xml:space="preserve"> need to think creatively about how to minimise the feelings of isolation that will arise from learni</w:t>
      </w:r>
      <w:r w:rsidR="00982D06" w:rsidRPr="00B07E71">
        <w:rPr>
          <w:rFonts w:ascii="Palatino Linotype" w:hAnsi="Palatino Linotype" w:cs="Arial"/>
          <w:sz w:val="24"/>
          <w:szCs w:val="24"/>
        </w:rPr>
        <w:t>ng online. T</w:t>
      </w:r>
      <w:r w:rsidRPr="00B07E71">
        <w:rPr>
          <w:rFonts w:ascii="Palatino Linotype" w:hAnsi="Palatino Linotype" w:cs="Arial"/>
          <w:sz w:val="24"/>
          <w:szCs w:val="24"/>
        </w:rPr>
        <w:t xml:space="preserve">his may involve a complete </w:t>
      </w:r>
      <w:r w:rsidR="002355DC" w:rsidRPr="00B07E71">
        <w:rPr>
          <w:rFonts w:ascii="Palatino Linotype" w:hAnsi="Palatino Linotype" w:cs="Arial"/>
          <w:sz w:val="24"/>
          <w:szCs w:val="24"/>
        </w:rPr>
        <w:t>re</w:t>
      </w:r>
      <w:r w:rsidR="00132147" w:rsidRPr="00B07E71">
        <w:rPr>
          <w:rFonts w:ascii="Palatino Linotype" w:hAnsi="Palatino Linotype" w:cs="Arial"/>
          <w:sz w:val="24"/>
          <w:szCs w:val="24"/>
        </w:rPr>
        <w:t>-</w:t>
      </w:r>
      <w:r w:rsidR="002355DC" w:rsidRPr="00B07E71">
        <w:rPr>
          <w:rFonts w:ascii="Palatino Linotype" w:hAnsi="Palatino Linotype" w:cs="Arial"/>
          <w:sz w:val="24"/>
          <w:szCs w:val="24"/>
        </w:rPr>
        <w:t>conceptualis</w:t>
      </w:r>
      <w:r w:rsidRPr="00B07E71">
        <w:rPr>
          <w:rFonts w:ascii="Palatino Linotype" w:hAnsi="Palatino Linotype" w:cs="Arial"/>
          <w:sz w:val="24"/>
          <w:szCs w:val="24"/>
        </w:rPr>
        <w:t xml:space="preserve">ation of what </w:t>
      </w:r>
      <w:r w:rsidR="00D55002" w:rsidRPr="00B07E71">
        <w:rPr>
          <w:rFonts w:ascii="Palatino Linotype" w:hAnsi="Palatino Linotype" w:cs="Arial"/>
          <w:sz w:val="24"/>
          <w:szCs w:val="24"/>
        </w:rPr>
        <w:t>learning tasks and activities constitute</w:t>
      </w:r>
      <w:r w:rsidRPr="00B07E71">
        <w:rPr>
          <w:rFonts w:ascii="Palatino Linotype" w:hAnsi="Palatino Linotype" w:cs="Arial"/>
          <w:sz w:val="24"/>
          <w:szCs w:val="24"/>
        </w:rPr>
        <w:t xml:space="preserve"> a</w:t>
      </w:r>
      <w:r w:rsidR="002355DC" w:rsidRPr="00B07E71">
        <w:rPr>
          <w:rFonts w:ascii="Palatino Linotype" w:hAnsi="Palatino Linotype" w:cs="Arial"/>
          <w:sz w:val="24"/>
          <w:szCs w:val="24"/>
        </w:rPr>
        <w:t>n online</w:t>
      </w:r>
      <w:r w:rsidRPr="00B07E71">
        <w:rPr>
          <w:rFonts w:ascii="Palatino Linotype" w:hAnsi="Palatino Linotype" w:cs="Arial"/>
          <w:sz w:val="24"/>
          <w:szCs w:val="24"/>
        </w:rPr>
        <w:t xml:space="preserve"> classroom experience.</w:t>
      </w:r>
      <w:r w:rsidR="007361AE" w:rsidRPr="00B07E71">
        <w:rPr>
          <w:rFonts w:ascii="Palatino Linotype" w:hAnsi="Palatino Linotype" w:cs="Arial"/>
          <w:sz w:val="24"/>
          <w:szCs w:val="24"/>
        </w:rPr>
        <w:t xml:space="preserve"> In particular, an interactive, rather than an </w:t>
      </w:r>
      <w:r w:rsidR="00F9695D" w:rsidRPr="00B07E71">
        <w:rPr>
          <w:rFonts w:ascii="Palatino Linotype" w:hAnsi="Palatino Linotype" w:cs="Arial"/>
          <w:sz w:val="24"/>
          <w:szCs w:val="24"/>
        </w:rPr>
        <w:t xml:space="preserve">expository, framework for online learning should be adopted. </w:t>
      </w:r>
      <w:r w:rsidR="00370F1C" w:rsidRPr="00B07E71">
        <w:rPr>
          <w:rFonts w:ascii="Palatino Linotype" w:hAnsi="Palatino Linotype" w:cs="Arial"/>
          <w:sz w:val="24"/>
          <w:szCs w:val="24"/>
        </w:rPr>
        <w:t>For example, increasing use of stu</w:t>
      </w:r>
      <w:r w:rsidR="00FC777C" w:rsidRPr="00B07E71">
        <w:rPr>
          <w:rFonts w:ascii="Palatino Linotype" w:hAnsi="Palatino Linotype" w:cs="Arial"/>
          <w:sz w:val="24"/>
          <w:szCs w:val="24"/>
        </w:rPr>
        <w:t>dent collaboration and teamwork</w:t>
      </w:r>
      <w:r w:rsidR="00370F1C" w:rsidRPr="00B07E71">
        <w:rPr>
          <w:rFonts w:ascii="Palatino Linotype" w:hAnsi="Palatino Linotype" w:cs="Arial"/>
          <w:sz w:val="24"/>
          <w:szCs w:val="24"/>
        </w:rPr>
        <w:t xml:space="preserve"> involving high levels of peer to peer communication,</w:t>
      </w:r>
      <w:r w:rsidR="00004089" w:rsidRPr="00B07E71">
        <w:rPr>
          <w:rStyle w:val="FootnoteReference"/>
          <w:rFonts w:ascii="Palatino Linotype" w:hAnsi="Palatino Linotype" w:cs="Arial"/>
          <w:sz w:val="24"/>
          <w:szCs w:val="24"/>
        </w:rPr>
        <w:footnoteReference w:id="96"/>
      </w:r>
      <w:r w:rsidR="00370F1C" w:rsidRPr="00B07E71">
        <w:rPr>
          <w:rFonts w:ascii="Palatino Linotype" w:hAnsi="Palatino Linotype" w:cs="Arial"/>
          <w:sz w:val="24"/>
          <w:szCs w:val="24"/>
        </w:rPr>
        <w:t xml:space="preserve"> </w:t>
      </w:r>
      <w:r w:rsidR="00004089" w:rsidRPr="00B07E71">
        <w:rPr>
          <w:rFonts w:ascii="Palatino Linotype" w:hAnsi="Palatino Linotype" w:cs="Arial"/>
          <w:sz w:val="24"/>
          <w:szCs w:val="24"/>
        </w:rPr>
        <w:t>increasingly sophisticated virtual learning environments,</w:t>
      </w:r>
      <w:r w:rsidR="00004089" w:rsidRPr="00B07E71">
        <w:rPr>
          <w:rStyle w:val="FootnoteReference"/>
          <w:rFonts w:ascii="Palatino Linotype" w:hAnsi="Palatino Linotype" w:cs="Arial"/>
          <w:sz w:val="24"/>
          <w:szCs w:val="24"/>
        </w:rPr>
        <w:footnoteReference w:id="97"/>
      </w:r>
      <w:r w:rsidR="00004089" w:rsidRPr="00B07E71">
        <w:rPr>
          <w:rFonts w:ascii="Palatino Linotype" w:hAnsi="Palatino Linotype" w:cs="Arial"/>
          <w:sz w:val="24"/>
          <w:szCs w:val="24"/>
        </w:rPr>
        <w:t xml:space="preserve"> and interactive simulator programs,</w:t>
      </w:r>
      <w:r w:rsidR="00CA5BC9" w:rsidRPr="00B07E71">
        <w:rPr>
          <w:rStyle w:val="FootnoteReference"/>
          <w:rFonts w:ascii="Palatino Linotype" w:hAnsi="Palatino Linotype" w:cs="Arial"/>
          <w:sz w:val="24"/>
          <w:szCs w:val="24"/>
        </w:rPr>
        <w:footnoteReference w:id="98"/>
      </w:r>
      <w:r w:rsidR="00004089" w:rsidRPr="00B07E71">
        <w:rPr>
          <w:rFonts w:ascii="Palatino Linotype" w:hAnsi="Palatino Linotype" w:cs="Arial"/>
          <w:sz w:val="24"/>
          <w:szCs w:val="24"/>
        </w:rPr>
        <w:t xml:space="preserve"> </w:t>
      </w:r>
      <w:r w:rsidR="00CA5BC9" w:rsidRPr="00B07E71">
        <w:rPr>
          <w:rFonts w:ascii="Palatino Linotype" w:hAnsi="Palatino Linotype" w:cs="Arial"/>
          <w:sz w:val="24"/>
          <w:szCs w:val="24"/>
        </w:rPr>
        <w:t>should become standard components of a well-designed online unit</w:t>
      </w:r>
      <w:r w:rsidR="00370F1C" w:rsidRPr="00B07E71">
        <w:rPr>
          <w:rFonts w:ascii="Palatino Linotype" w:hAnsi="Palatino Linotype" w:cs="Arial"/>
          <w:sz w:val="24"/>
          <w:szCs w:val="24"/>
        </w:rPr>
        <w:t>.</w:t>
      </w:r>
      <w:r w:rsidR="006D3954" w:rsidRPr="00B07E71">
        <w:rPr>
          <w:rStyle w:val="FootnoteReference"/>
          <w:rFonts w:ascii="Palatino Linotype" w:hAnsi="Palatino Linotype" w:cs="Arial"/>
          <w:sz w:val="24"/>
          <w:szCs w:val="24"/>
        </w:rPr>
        <w:footnoteReference w:id="99"/>
      </w:r>
      <w:r w:rsidR="00370F1C" w:rsidRPr="00B07E71">
        <w:rPr>
          <w:rFonts w:ascii="Palatino Linotype" w:hAnsi="Palatino Linotype" w:cs="Arial"/>
          <w:sz w:val="24"/>
          <w:szCs w:val="24"/>
        </w:rPr>
        <w:t xml:space="preserve"> </w:t>
      </w:r>
      <w:r w:rsidR="00CA5BC9" w:rsidRPr="00B07E71">
        <w:rPr>
          <w:rFonts w:ascii="Palatino Linotype" w:hAnsi="Palatino Linotype" w:cs="Arial"/>
          <w:sz w:val="24"/>
          <w:szCs w:val="24"/>
        </w:rPr>
        <w:t>The use of such tools and teaching methods will help to alleviate, but not eradicate, feelings of isolation.</w:t>
      </w:r>
    </w:p>
    <w:p w:rsidR="00CA5BC9" w:rsidRPr="00B07E71" w:rsidRDefault="00CA5BC9"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Admittedly, such methods and tools are not the exclusive purview of online instr</w:t>
      </w:r>
      <w:r w:rsidR="00E06587" w:rsidRPr="00B07E71">
        <w:rPr>
          <w:rFonts w:ascii="Palatino Linotype" w:hAnsi="Palatino Linotype" w:cs="Arial"/>
          <w:sz w:val="24"/>
          <w:szCs w:val="24"/>
        </w:rPr>
        <w:t>uction</w:t>
      </w:r>
      <w:r w:rsidR="00D55002" w:rsidRPr="00B07E71">
        <w:rPr>
          <w:rFonts w:ascii="Palatino Linotype" w:hAnsi="Palatino Linotype" w:cs="Arial"/>
          <w:sz w:val="24"/>
          <w:szCs w:val="24"/>
        </w:rPr>
        <w:t>. I</w:t>
      </w:r>
      <w:r w:rsidR="00E06587" w:rsidRPr="00B07E71">
        <w:rPr>
          <w:rFonts w:ascii="Palatino Linotype" w:hAnsi="Palatino Linotype" w:cs="Arial"/>
          <w:sz w:val="24"/>
          <w:szCs w:val="24"/>
        </w:rPr>
        <w:t xml:space="preserve">n the latter part of </w:t>
      </w:r>
      <w:r w:rsidR="00825C65" w:rsidRPr="00B07E71">
        <w:rPr>
          <w:rFonts w:ascii="Palatino Linotype" w:hAnsi="Palatino Linotype" w:cs="Arial"/>
          <w:sz w:val="24"/>
          <w:szCs w:val="24"/>
        </w:rPr>
        <w:t>th</w:t>
      </w:r>
      <w:r w:rsidR="00D55002" w:rsidRPr="00B07E71">
        <w:rPr>
          <w:rFonts w:ascii="Palatino Linotype" w:hAnsi="Palatino Linotype" w:cs="Arial"/>
          <w:sz w:val="24"/>
          <w:szCs w:val="24"/>
        </w:rPr>
        <w:t>e twentieth century, such methods and tools have been used increasingly by</w:t>
      </w:r>
      <w:r w:rsidR="00825C65" w:rsidRPr="00B07E71">
        <w:rPr>
          <w:rFonts w:ascii="Palatino Linotype" w:hAnsi="Palatino Linotype" w:cs="Arial"/>
          <w:sz w:val="24"/>
          <w:szCs w:val="24"/>
        </w:rPr>
        <w:t xml:space="preserve"> Australian legal educators</w:t>
      </w:r>
      <w:r w:rsidR="009963DF" w:rsidRPr="00B07E71">
        <w:rPr>
          <w:rFonts w:ascii="Palatino Linotype" w:hAnsi="Palatino Linotype" w:cs="Arial"/>
          <w:sz w:val="24"/>
          <w:szCs w:val="24"/>
        </w:rPr>
        <w:t xml:space="preserve"> teaching on-campus students</w:t>
      </w:r>
      <w:r w:rsidR="00E06587" w:rsidRPr="00B07E71">
        <w:rPr>
          <w:rFonts w:ascii="Palatino Linotype" w:hAnsi="Palatino Linotype" w:cs="Arial"/>
          <w:sz w:val="24"/>
          <w:szCs w:val="24"/>
        </w:rPr>
        <w:t>.</w:t>
      </w:r>
      <w:r w:rsidR="00BF7B86" w:rsidRPr="00B07E71">
        <w:rPr>
          <w:rStyle w:val="FootnoteReference"/>
          <w:rFonts w:ascii="Palatino Linotype" w:hAnsi="Palatino Linotype" w:cs="Arial"/>
          <w:sz w:val="24"/>
          <w:szCs w:val="24"/>
        </w:rPr>
        <w:footnoteReference w:id="100"/>
      </w:r>
      <w:r w:rsidR="00E06587" w:rsidRPr="00B07E71">
        <w:rPr>
          <w:rFonts w:ascii="Palatino Linotype" w:hAnsi="Palatino Linotype" w:cs="Arial"/>
          <w:sz w:val="24"/>
          <w:szCs w:val="24"/>
        </w:rPr>
        <w:t xml:space="preserve"> This trend </w:t>
      </w:r>
      <w:r w:rsidRPr="00B07E71">
        <w:rPr>
          <w:rFonts w:ascii="Palatino Linotype" w:hAnsi="Palatino Linotype" w:cs="Arial"/>
          <w:sz w:val="24"/>
          <w:szCs w:val="24"/>
        </w:rPr>
        <w:t>has con</w:t>
      </w:r>
      <w:r w:rsidR="00E06587" w:rsidRPr="00B07E71">
        <w:rPr>
          <w:rFonts w:ascii="Palatino Linotype" w:hAnsi="Palatino Linotype" w:cs="Arial"/>
          <w:sz w:val="24"/>
          <w:szCs w:val="24"/>
        </w:rPr>
        <w:t>tinued, however</w:t>
      </w:r>
      <w:r w:rsidR="00BF7B86" w:rsidRPr="00B07E71">
        <w:rPr>
          <w:rFonts w:ascii="Palatino Linotype" w:hAnsi="Palatino Linotype" w:cs="Arial"/>
          <w:sz w:val="24"/>
          <w:szCs w:val="24"/>
        </w:rPr>
        <w:t>,</w:t>
      </w:r>
      <w:r w:rsidR="00825C65" w:rsidRPr="00B07E71">
        <w:rPr>
          <w:rFonts w:ascii="Palatino Linotype" w:hAnsi="Palatino Linotype" w:cs="Arial"/>
          <w:sz w:val="24"/>
          <w:szCs w:val="24"/>
        </w:rPr>
        <w:t xml:space="preserve"> </w:t>
      </w:r>
      <w:r w:rsidR="009963DF" w:rsidRPr="00B07E71">
        <w:rPr>
          <w:rFonts w:ascii="Palatino Linotype" w:hAnsi="Palatino Linotype" w:cs="Arial"/>
          <w:sz w:val="24"/>
          <w:szCs w:val="24"/>
        </w:rPr>
        <w:t xml:space="preserve">as </w:t>
      </w:r>
      <w:proofErr w:type="spellStart"/>
      <w:r w:rsidR="009963DF" w:rsidRPr="00B07E71">
        <w:rPr>
          <w:rFonts w:ascii="Palatino Linotype" w:hAnsi="Palatino Linotype" w:cs="Arial"/>
          <w:sz w:val="24"/>
          <w:szCs w:val="24"/>
        </w:rPr>
        <w:t>Kift</w:t>
      </w:r>
      <w:proofErr w:type="spellEnd"/>
      <w:r w:rsidR="009963DF" w:rsidRPr="00B07E71">
        <w:rPr>
          <w:rFonts w:ascii="Palatino Linotype" w:hAnsi="Palatino Linotype" w:cs="Arial"/>
          <w:sz w:val="24"/>
          <w:szCs w:val="24"/>
        </w:rPr>
        <w:t xml:space="preserve"> noted</w:t>
      </w:r>
      <w:r w:rsidR="00825C65" w:rsidRPr="00B07E71">
        <w:rPr>
          <w:rFonts w:ascii="Palatino Linotype" w:hAnsi="Palatino Linotype" w:cs="Arial"/>
          <w:sz w:val="24"/>
          <w:szCs w:val="24"/>
        </w:rPr>
        <w:t xml:space="preserve"> in 2006, “the pace of change from the traditional model … has been glacially slow”</w:t>
      </w:r>
      <w:r w:rsidR="00E06587" w:rsidRPr="00B07E71">
        <w:rPr>
          <w:rFonts w:ascii="Palatino Linotype" w:hAnsi="Palatino Linotype" w:cs="Arial"/>
          <w:sz w:val="24"/>
          <w:szCs w:val="24"/>
        </w:rPr>
        <w:t>.</w:t>
      </w:r>
      <w:r w:rsidR="00825C65" w:rsidRPr="00B07E71">
        <w:rPr>
          <w:rStyle w:val="FootnoteReference"/>
          <w:rFonts w:ascii="Palatino Linotype" w:hAnsi="Palatino Linotype" w:cs="Arial"/>
          <w:sz w:val="24"/>
          <w:szCs w:val="24"/>
        </w:rPr>
        <w:footnoteReference w:id="101"/>
      </w:r>
      <w:r w:rsidR="009963DF" w:rsidRPr="00B07E71">
        <w:rPr>
          <w:rFonts w:ascii="Palatino Linotype" w:hAnsi="Palatino Linotype" w:cs="Arial"/>
          <w:sz w:val="24"/>
          <w:szCs w:val="24"/>
        </w:rPr>
        <w:t xml:space="preserve"> This observation continues to resonate a decade later.</w:t>
      </w:r>
    </w:p>
    <w:p w:rsidR="009844A2" w:rsidRPr="00B07E71" w:rsidRDefault="006661F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There is a cost in human and financial resources in establishing and maintaining online learning, however, to some extent this cost is inevitable in the Digital Age. Even law schools which do not offer online degrees have to invest a significant amount in the infrastructure of online learning – computers, fast internet connection, access to online research databases, and, of course, the technical expertise required to maintain such equipment. Further, increasingly law schools are implementing online learning software to facilitate staff/student interaction outside of</w:t>
      </w:r>
      <w:r w:rsidR="00D55002" w:rsidRPr="00B07E71">
        <w:rPr>
          <w:rFonts w:ascii="Palatino Linotype" w:hAnsi="Palatino Linotype" w:cs="Arial"/>
          <w:sz w:val="24"/>
          <w:szCs w:val="24"/>
        </w:rPr>
        <w:t xml:space="preserve"> on-campus</w:t>
      </w:r>
      <w:r w:rsidRPr="00B07E71">
        <w:rPr>
          <w:rFonts w:ascii="Palatino Linotype" w:hAnsi="Palatino Linotype" w:cs="Arial"/>
          <w:sz w:val="24"/>
          <w:szCs w:val="24"/>
        </w:rPr>
        <w:t xml:space="preserve"> lectures and tutorials, provide an online space for students to interact</w:t>
      </w:r>
      <w:r w:rsidR="00162754" w:rsidRPr="00B07E71">
        <w:rPr>
          <w:rFonts w:ascii="Palatino Linotype" w:hAnsi="Palatino Linotype" w:cs="Arial"/>
          <w:sz w:val="24"/>
          <w:szCs w:val="24"/>
        </w:rPr>
        <w:t>, and to facilitate the writing and submission</w:t>
      </w:r>
      <w:r w:rsidRPr="00B07E71">
        <w:rPr>
          <w:rFonts w:ascii="Palatino Linotype" w:hAnsi="Palatino Linotype" w:cs="Arial"/>
          <w:sz w:val="24"/>
          <w:szCs w:val="24"/>
        </w:rPr>
        <w:t xml:space="preserve"> of written work.</w:t>
      </w:r>
    </w:p>
    <w:p w:rsidR="000623DD" w:rsidRPr="00B07E71" w:rsidRDefault="000623D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On the ‘rewards’ side, however, it must be noted that there is </w:t>
      </w:r>
      <w:r w:rsidR="004C480E" w:rsidRPr="00B07E71">
        <w:rPr>
          <w:rFonts w:ascii="Palatino Linotype" w:hAnsi="Palatino Linotype" w:cs="Arial"/>
          <w:sz w:val="24"/>
          <w:szCs w:val="24"/>
        </w:rPr>
        <w:t>a cost-saving to students who undertake their studies online. In Australia, funding rates for Australian Government supported places do not differentiate between degrees taught online and degrees taught on campus. This means that the cost of the degree program generally will be the same regardless of the mode in which the degree is taught. As has been noted above, however, for students living in rem</w:t>
      </w:r>
      <w:r w:rsidR="00566003" w:rsidRPr="00B07E71">
        <w:rPr>
          <w:rFonts w:ascii="Palatino Linotype" w:hAnsi="Palatino Linotype" w:cs="Arial"/>
          <w:sz w:val="24"/>
          <w:szCs w:val="24"/>
        </w:rPr>
        <w:t>ote, rural and regional centres</w:t>
      </w:r>
      <w:r w:rsidR="00050CF9" w:rsidRPr="00B07E71">
        <w:rPr>
          <w:rFonts w:ascii="Palatino Linotype" w:hAnsi="Palatino Linotype" w:cs="Arial"/>
          <w:sz w:val="24"/>
          <w:szCs w:val="24"/>
        </w:rPr>
        <w:t xml:space="preserve"> </w:t>
      </w:r>
      <w:r w:rsidR="004C480E" w:rsidRPr="00B07E71">
        <w:rPr>
          <w:rFonts w:ascii="Palatino Linotype" w:hAnsi="Palatino Linotype" w:cs="Arial"/>
          <w:sz w:val="24"/>
          <w:szCs w:val="24"/>
        </w:rPr>
        <w:t>there are inherent cost savings</w:t>
      </w:r>
      <w:r w:rsidR="002B2199" w:rsidRPr="00B07E71">
        <w:rPr>
          <w:rFonts w:ascii="Palatino Linotype" w:hAnsi="Palatino Linotype" w:cs="Arial"/>
          <w:sz w:val="24"/>
          <w:szCs w:val="24"/>
        </w:rPr>
        <w:t xml:space="preserve"> in not having to move</w:t>
      </w:r>
      <w:r w:rsidR="004C480E" w:rsidRPr="00B07E71">
        <w:rPr>
          <w:rFonts w:ascii="Palatino Linotype" w:hAnsi="Palatino Linotype" w:cs="Arial"/>
          <w:sz w:val="24"/>
          <w:szCs w:val="24"/>
        </w:rPr>
        <w:t xml:space="preserve"> to a larger metropolitan centre to attend university</w:t>
      </w:r>
      <w:r w:rsidR="000213A4" w:rsidRPr="00B07E71">
        <w:rPr>
          <w:rFonts w:ascii="Palatino Linotype" w:hAnsi="Palatino Linotype" w:cs="Arial"/>
          <w:sz w:val="24"/>
          <w:szCs w:val="24"/>
        </w:rPr>
        <w:t>; which could include, for example, the cost of moving, renting accommodation and transportation</w:t>
      </w:r>
      <w:r w:rsidR="004C480E" w:rsidRPr="00B07E71">
        <w:rPr>
          <w:rFonts w:ascii="Palatino Linotype" w:hAnsi="Palatino Linotype" w:cs="Arial"/>
          <w:sz w:val="24"/>
          <w:szCs w:val="24"/>
        </w:rPr>
        <w:t>. Further, for</w:t>
      </w:r>
      <w:r w:rsidR="00050CF9" w:rsidRPr="00B07E71">
        <w:rPr>
          <w:rFonts w:ascii="Palatino Linotype" w:hAnsi="Palatino Linotype" w:cs="Arial"/>
          <w:sz w:val="24"/>
          <w:szCs w:val="24"/>
        </w:rPr>
        <w:t xml:space="preserve"> students with mobility issues</w:t>
      </w:r>
      <w:r w:rsidR="006B17BC" w:rsidRPr="00B07E71">
        <w:rPr>
          <w:rFonts w:ascii="Palatino Linotype" w:hAnsi="Palatino Linotype" w:cs="Arial"/>
          <w:sz w:val="24"/>
          <w:szCs w:val="24"/>
        </w:rPr>
        <w:t xml:space="preserve"> or </w:t>
      </w:r>
      <w:r w:rsidR="004C480E" w:rsidRPr="00B07E71">
        <w:rPr>
          <w:rFonts w:ascii="Palatino Linotype" w:hAnsi="Palatino Linotype" w:cs="Arial"/>
          <w:sz w:val="24"/>
          <w:szCs w:val="24"/>
        </w:rPr>
        <w:t>with child care respon</w:t>
      </w:r>
      <w:r w:rsidR="006B17BC" w:rsidRPr="00B07E71">
        <w:rPr>
          <w:rFonts w:ascii="Palatino Linotype" w:hAnsi="Palatino Linotype" w:cs="Arial"/>
          <w:sz w:val="24"/>
          <w:szCs w:val="24"/>
        </w:rPr>
        <w:t>sibilities, it is often more cost effective to stay at home while completing their degree</w:t>
      </w:r>
      <w:r w:rsidR="000213A4" w:rsidRPr="00B07E71">
        <w:rPr>
          <w:rFonts w:ascii="Palatino Linotype" w:hAnsi="Palatino Linotype" w:cs="Arial"/>
          <w:sz w:val="24"/>
          <w:szCs w:val="24"/>
        </w:rPr>
        <w:t>, thereby avoiding transportation and child-care expenses.</w:t>
      </w:r>
      <w:r w:rsidR="006B17BC" w:rsidRPr="00B07E71">
        <w:rPr>
          <w:rFonts w:ascii="Palatino Linotype" w:hAnsi="Palatino Linotype" w:cs="Arial"/>
          <w:sz w:val="24"/>
          <w:szCs w:val="24"/>
        </w:rPr>
        <w:t xml:space="preserve"> Finally, for those in full-time employment, undertaking a degree online provides the flexibility to complete the degree program without taking time off work to attend </w:t>
      </w:r>
      <w:r w:rsidR="002B2199" w:rsidRPr="00B07E71">
        <w:rPr>
          <w:rFonts w:ascii="Palatino Linotype" w:hAnsi="Palatino Linotype" w:cs="Arial"/>
          <w:sz w:val="24"/>
          <w:szCs w:val="24"/>
        </w:rPr>
        <w:t>on-</w:t>
      </w:r>
      <w:r w:rsidR="000213A4" w:rsidRPr="00B07E71">
        <w:rPr>
          <w:rFonts w:ascii="Palatino Linotype" w:hAnsi="Palatino Linotype" w:cs="Arial"/>
          <w:sz w:val="24"/>
          <w:szCs w:val="24"/>
        </w:rPr>
        <w:t xml:space="preserve">campus </w:t>
      </w:r>
      <w:r w:rsidR="006B17BC" w:rsidRPr="00B07E71">
        <w:rPr>
          <w:rFonts w:ascii="Palatino Linotype" w:hAnsi="Palatino Linotype" w:cs="Arial"/>
          <w:sz w:val="24"/>
          <w:szCs w:val="24"/>
        </w:rPr>
        <w:t>classes.</w:t>
      </w:r>
    </w:p>
    <w:p w:rsidR="004C131D" w:rsidRPr="00B07E71" w:rsidRDefault="006661F8"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Fo</w:t>
      </w:r>
      <w:r w:rsidR="00B0791A" w:rsidRPr="00B07E71">
        <w:rPr>
          <w:rFonts w:ascii="Palatino Linotype" w:hAnsi="Palatino Linotype" w:cs="Arial"/>
          <w:sz w:val="24"/>
          <w:szCs w:val="24"/>
        </w:rPr>
        <w:t xml:space="preserve">r </w:t>
      </w:r>
      <w:r w:rsidRPr="00B07E71">
        <w:rPr>
          <w:rFonts w:ascii="Palatino Linotype" w:hAnsi="Palatino Linotype" w:cs="Arial"/>
          <w:sz w:val="24"/>
          <w:szCs w:val="24"/>
        </w:rPr>
        <w:t xml:space="preserve">CDU, </w:t>
      </w:r>
      <w:r w:rsidR="00581346" w:rsidRPr="00B07E71">
        <w:rPr>
          <w:rFonts w:ascii="Palatino Linotype" w:hAnsi="Palatino Linotype" w:cs="Arial"/>
          <w:sz w:val="24"/>
          <w:szCs w:val="24"/>
        </w:rPr>
        <w:t xml:space="preserve">like many regional law schools in Australia, </w:t>
      </w:r>
      <w:r w:rsidR="00D55002" w:rsidRPr="00B07E71">
        <w:rPr>
          <w:rFonts w:ascii="Palatino Linotype" w:hAnsi="Palatino Linotype" w:cs="Arial"/>
          <w:sz w:val="24"/>
          <w:szCs w:val="24"/>
        </w:rPr>
        <w:t>investing in the establishment</w:t>
      </w:r>
      <w:r w:rsidRPr="00B07E71">
        <w:rPr>
          <w:rFonts w:ascii="Palatino Linotype" w:hAnsi="Palatino Linotype" w:cs="Arial"/>
          <w:sz w:val="24"/>
          <w:szCs w:val="24"/>
        </w:rPr>
        <w:t xml:space="preserve"> an</w:t>
      </w:r>
      <w:r w:rsidR="00D55002" w:rsidRPr="00B07E71">
        <w:rPr>
          <w:rFonts w:ascii="Palatino Linotype" w:hAnsi="Palatino Linotype" w:cs="Arial"/>
          <w:sz w:val="24"/>
          <w:szCs w:val="24"/>
        </w:rPr>
        <w:t>d maintenance of</w:t>
      </w:r>
      <w:r w:rsidR="00876296" w:rsidRPr="00B07E71">
        <w:rPr>
          <w:rFonts w:ascii="Palatino Linotype" w:hAnsi="Palatino Linotype" w:cs="Arial"/>
          <w:sz w:val="24"/>
          <w:szCs w:val="24"/>
        </w:rPr>
        <w:t xml:space="preserve"> online learning</w:t>
      </w:r>
      <w:r w:rsidR="00B0791A" w:rsidRPr="00B07E71">
        <w:rPr>
          <w:rFonts w:ascii="Palatino Linotype" w:hAnsi="Palatino Linotype" w:cs="Arial"/>
          <w:sz w:val="24"/>
          <w:szCs w:val="24"/>
        </w:rPr>
        <w:t xml:space="preserve"> </w:t>
      </w:r>
      <w:r w:rsidR="00D55002" w:rsidRPr="00B07E71">
        <w:rPr>
          <w:rFonts w:ascii="Palatino Linotype" w:hAnsi="Palatino Linotype" w:cs="Arial"/>
          <w:sz w:val="24"/>
          <w:szCs w:val="24"/>
        </w:rPr>
        <w:t>infrastructure is</w:t>
      </w:r>
      <w:r w:rsidR="00876296" w:rsidRPr="00B07E71">
        <w:rPr>
          <w:rFonts w:ascii="Palatino Linotype" w:hAnsi="Palatino Linotype" w:cs="Arial"/>
          <w:sz w:val="24"/>
          <w:szCs w:val="24"/>
        </w:rPr>
        <w:t xml:space="preserve"> critical to the law school’s survival.</w:t>
      </w:r>
      <w:r w:rsidR="00B0791A" w:rsidRPr="00B07E71">
        <w:rPr>
          <w:rFonts w:ascii="Palatino Linotype" w:hAnsi="Palatino Linotype" w:cs="Arial"/>
          <w:sz w:val="24"/>
          <w:szCs w:val="24"/>
        </w:rPr>
        <w:t xml:space="preserve"> The closest major centre to Darwin, where CDU law school is located, is Adelaide, which is over 3,000 km away. In fact, Darwin is closer to Jakarta, Indonesia (2,7</w:t>
      </w:r>
      <w:r w:rsidR="0088125C" w:rsidRPr="00B07E71">
        <w:rPr>
          <w:rFonts w:ascii="Palatino Linotype" w:hAnsi="Palatino Linotype" w:cs="Arial"/>
          <w:sz w:val="24"/>
          <w:szCs w:val="24"/>
        </w:rPr>
        <w:t>00km), than to any</w:t>
      </w:r>
      <w:r w:rsidR="00B0791A" w:rsidRPr="00B07E71">
        <w:rPr>
          <w:rFonts w:ascii="Palatino Linotype" w:hAnsi="Palatino Linotype" w:cs="Arial"/>
          <w:sz w:val="24"/>
          <w:szCs w:val="24"/>
        </w:rPr>
        <w:t xml:space="preserve"> Australian capital city. As at June 2015, the Northern Territory had population of 244,600,</w:t>
      </w:r>
      <w:r w:rsidR="00B0791A" w:rsidRPr="00B07E71">
        <w:rPr>
          <w:rStyle w:val="FootnoteReference"/>
          <w:rFonts w:ascii="Palatino Linotype" w:hAnsi="Palatino Linotype" w:cs="Arial"/>
          <w:sz w:val="24"/>
          <w:szCs w:val="24"/>
        </w:rPr>
        <w:footnoteReference w:id="102"/>
      </w:r>
      <w:r w:rsidR="00B0791A" w:rsidRPr="00B07E71">
        <w:rPr>
          <w:rFonts w:ascii="Palatino Linotype" w:hAnsi="Palatino Linotype" w:cs="Arial"/>
          <w:sz w:val="24"/>
          <w:szCs w:val="24"/>
        </w:rPr>
        <w:t xml:space="preserve"> of which over one-half (140,400) live in the greater Darwin area.</w:t>
      </w:r>
      <w:r w:rsidR="00B0791A" w:rsidRPr="00B07E71">
        <w:rPr>
          <w:rStyle w:val="FootnoteReference"/>
          <w:rFonts w:ascii="Palatino Linotype" w:hAnsi="Palatino Linotype" w:cs="Arial"/>
          <w:sz w:val="24"/>
          <w:szCs w:val="24"/>
        </w:rPr>
        <w:footnoteReference w:id="103"/>
      </w:r>
      <w:r w:rsidR="00B0791A" w:rsidRPr="00B07E71">
        <w:rPr>
          <w:rFonts w:ascii="Palatino Linotype" w:hAnsi="Palatino Linotype" w:cs="Arial"/>
          <w:sz w:val="24"/>
          <w:szCs w:val="24"/>
        </w:rPr>
        <w:t xml:space="preserve"> The catchment area </w:t>
      </w:r>
      <w:r w:rsidR="004C131D" w:rsidRPr="00B07E71">
        <w:rPr>
          <w:rFonts w:ascii="Palatino Linotype" w:hAnsi="Palatino Linotype" w:cs="Arial"/>
          <w:sz w:val="24"/>
          <w:szCs w:val="24"/>
        </w:rPr>
        <w:t xml:space="preserve">simply </w:t>
      </w:r>
      <w:r w:rsidR="00B0791A" w:rsidRPr="00B07E71">
        <w:rPr>
          <w:rFonts w:ascii="Palatino Linotype" w:hAnsi="Palatino Linotype" w:cs="Arial"/>
          <w:sz w:val="24"/>
          <w:szCs w:val="24"/>
        </w:rPr>
        <w:t>is too small to support an on-campus only law schoo</w:t>
      </w:r>
      <w:r w:rsidR="004C131D" w:rsidRPr="00B07E71">
        <w:rPr>
          <w:rFonts w:ascii="Palatino Linotype" w:hAnsi="Palatino Linotype" w:cs="Arial"/>
          <w:sz w:val="24"/>
          <w:szCs w:val="24"/>
        </w:rPr>
        <w:t>l, as evidenced by the fact</w:t>
      </w:r>
      <w:r w:rsidR="00876296" w:rsidRPr="00B07E71">
        <w:rPr>
          <w:rFonts w:ascii="Palatino Linotype" w:hAnsi="Palatino Linotype" w:cs="Arial"/>
          <w:sz w:val="24"/>
          <w:szCs w:val="24"/>
        </w:rPr>
        <w:t xml:space="preserve"> that only 19% of </w:t>
      </w:r>
      <w:r w:rsidR="004C131D" w:rsidRPr="00B07E71">
        <w:rPr>
          <w:rFonts w:ascii="Palatino Linotype" w:hAnsi="Palatino Linotype" w:cs="Arial"/>
          <w:sz w:val="24"/>
          <w:szCs w:val="24"/>
        </w:rPr>
        <w:t xml:space="preserve">CDU </w:t>
      </w:r>
      <w:r w:rsidR="00894978" w:rsidRPr="00B07E71">
        <w:rPr>
          <w:rFonts w:ascii="Palatino Linotype" w:hAnsi="Palatino Linotype" w:cs="Arial"/>
          <w:sz w:val="24"/>
          <w:szCs w:val="24"/>
        </w:rPr>
        <w:t xml:space="preserve">law </w:t>
      </w:r>
      <w:r w:rsidR="00876296" w:rsidRPr="00B07E71">
        <w:rPr>
          <w:rFonts w:ascii="Palatino Linotype" w:hAnsi="Palatino Linotype" w:cs="Arial"/>
          <w:sz w:val="24"/>
          <w:szCs w:val="24"/>
        </w:rPr>
        <w:t>students study on-campus or in mixed mode (both on-campus and online)</w:t>
      </w:r>
      <w:r w:rsidR="00581346" w:rsidRPr="00B07E71">
        <w:rPr>
          <w:rFonts w:ascii="Palatino Linotype" w:hAnsi="Palatino Linotype" w:cs="Arial"/>
          <w:sz w:val="24"/>
          <w:szCs w:val="24"/>
        </w:rPr>
        <w:t>, and 81.05% study fully online.</w:t>
      </w:r>
    </w:p>
    <w:p w:rsidR="006661F8" w:rsidRPr="00B07E71" w:rsidRDefault="004C131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size of the potential student catchment area, together with the large number of law schools per capita</w:t>
      </w:r>
      <w:r w:rsidRPr="00B07E71">
        <w:rPr>
          <w:rStyle w:val="FootnoteReference"/>
          <w:rFonts w:ascii="Palatino Linotype" w:hAnsi="Palatino Linotype" w:cs="Arial"/>
          <w:sz w:val="24"/>
          <w:szCs w:val="24"/>
        </w:rPr>
        <w:footnoteReference w:id="104"/>
      </w:r>
      <w:r w:rsidRPr="00B07E71">
        <w:rPr>
          <w:rFonts w:ascii="Palatino Linotype" w:hAnsi="Palatino Linotype" w:cs="Arial"/>
          <w:sz w:val="24"/>
          <w:szCs w:val="24"/>
        </w:rPr>
        <w:t xml:space="preserve"> and the fact that Australian students tend not to travel interstate to attend university, means that law schools in regional centres have had to embrace online learning. For many, including CDU, it was more a question of survival than choice.</w:t>
      </w:r>
    </w:p>
    <w:p w:rsidR="00B07E71" w:rsidRPr="00047ADA" w:rsidRDefault="00581346" w:rsidP="00047ADA">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provision of an online law degree program vastly expanded CDU’s ability to attract students. As at 2015, t</w:t>
      </w:r>
      <w:r w:rsidR="00E2335C" w:rsidRPr="00B07E71">
        <w:rPr>
          <w:rFonts w:ascii="Palatino Linotype" w:hAnsi="Palatino Linotype" w:cs="Arial"/>
          <w:sz w:val="24"/>
          <w:szCs w:val="24"/>
        </w:rPr>
        <w:t xml:space="preserve">he home location of CDU </w:t>
      </w:r>
      <w:r w:rsidR="00894978" w:rsidRPr="00B07E71">
        <w:rPr>
          <w:rFonts w:ascii="Palatino Linotype" w:hAnsi="Palatino Linotype" w:cs="Arial"/>
          <w:sz w:val="24"/>
          <w:szCs w:val="24"/>
        </w:rPr>
        <w:t xml:space="preserve">law </w:t>
      </w:r>
      <w:r w:rsidR="00E2335C" w:rsidRPr="00B07E71">
        <w:rPr>
          <w:rFonts w:ascii="Palatino Linotype" w:hAnsi="Palatino Linotype" w:cs="Arial"/>
          <w:sz w:val="24"/>
          <w:szCs w:val="24"/>
        </w:rPr>
        <w:t>students, as defined by the Australian Bureau of Statistics</w:t>
      </w:r>
      <w:r w:rsidR="003E2C33" w:rsidRPr="00B07E71">
        <w:rPr>
          <w:rFonts w:ascii="Palatino Linotype" w:hAnsi="Palatino Linotype" w:cs="Arial"/>
          <w:sz w:val="24"/>
          <w:szCs w:val="24"/>
        </w:rPr>
        <w:t>’</w:t>
      </w:r>
      <w:r w:rsidR="00E2335C" w:rsidRPr="00B07E71">
        <w:rPr>
          <w:rFonts w:ascii="Palatino Linotype" w:hAnsi="Palatino Linotype" w:cs="Arial"/>
          <w:sz w:val="24"/>
          <w:szCs w:val="24"/>
        </w:rPr>
        <w:t xml:space="preserve"> </w:t>
      </w:r>
      <w:r w:rsidR="00E2335C" w:rsidRPr="00B07E71">
        <w:rPr>
          <w:rFonts w:ascii="Palatino Linotype" w:hAnsi="Palatino Linotype" w:cs="Arial"/>
          <w:i/>
          <w:sz w:val="24"/>
          <w:szCs w:val="24"/>
        </w:rPr>
        <w:t>Australian Standard Geographical Classification</w:t>
      </w:r>
      <w:r w:rsidR="00E2335C" w:rsidRPr="00B07E71">
        <w:rPr>
          <w:rFonts w:ascii="Palatino Linotype" w:hAnsi="Palatino Linotype" w:cs="Arial"/>
          <w:sz w:val="24"/>
          <w:szCs w:val="24"/>
        </w:rPr>
        <w:t>,</w:t>
      </w:r>
      <w:r w:rsidR="003E2C33" w:rsidRPr="00B07E71">
        <w:rPr>
          <w:rStyle w:val="FootnoteReference"/>
          <w:rFonts w:ascii="Palatino Linotype" w:hAnsi="Palatino Linotype" w:cs="Arial"/>
          <w:sz w:val="24"/>
          <w:szCs w:val="24"/>
        </w:rPr>
        <w:footnoteReference w:id="105"/>
      </w:r>
      <w:r w:rsidR="00E2335C" w:rsidRPr="00B07E71">
        <w:rPr>
          <w:rFonts w:ascii="Palatino Linotype" w:hAnsi="Palatino Linotype" w:cs="Arial"/>
          <w:sz w:val="24"/>
          <w:szCs w:val="24"/>
        </w:rPr>
        <w:t xml:space="preserve"> </w:t>
      </w:r>
      <w:r w:rsidR="003E2C33" w:rsidRPr="00B07E71">
        <w:rPr>
          <w:rFonts w:ascii="Palatino Linotype" w:hAnsi="Palatino Linotype" w:cs="Arial"/>
          <w:sz w:val="24"/>
          <w:szCs w:val="24"/>
        </w:rPr>
        <w:t>was as follows:</w:t>
      </w:r>
      <w:bookmarkStart w:id="0" w:name="_GoBack"/>
      <w:bookmarkEnd w:id="0"/>
    </w:p>
    <w:p w:rsidR="003E2C33" w:rsidRPr="00B07E71" w:rsidRDefault="00702803" w:rsidP="00B07E71">
      <w:pPr>
        <w:pStyle w:val="ListParagraph"/>
        <w:spacing w:line="480" w:lineRule="auto"/>
        <w:ind w:left="567"/>
        <w:jc w:val="both"/>
        <w:rPr>
          <w:rFonts w:ascii="Palatino Linotype" w:hAnsi="Palatino Linotype" w:cs="Arial"/>
          <w:b/>
          <w:sz w:val="24"/>
          <w:szCs w:val="24"/>
        </w:rPr>
      </w:pPr>
      <w:r w:rsidRPr="00B07E71">
        <w:rPr>
          <w:rFonts w:ascii="Palatino Linotype" w:hAnsi="Palatino Linotype" w:cs="Arial"/>
          <w:b/>
          <w:sz w:val="24"/>
          <w:szCs w:val="24"/>
        </w:rPr>
        <w:t>Table 2</w:t>
      </w:r>
      <w:r w:rsidR="00B07E71">
        <w:rPr>
          <w:rFonts w:ascii="Palatino Linotype" w:hAnsi="Palatino Linotype" w:cs="Arial"/>
          <w:b/>
          <w:sz w:val="24"/>
          <w:szCs w:val="24"/>
        </w:rPr>
        <w:t xml:space="preserve">: </w:t>
      </w:r>
      <w:r w:rsidR="00894978" w:rsidRPr="00B07E71">
        <w:rPr>
          <w:rFonts w:ascii="Palatino Linotype" w:hAnsi="Palatino Linotype" w:cs="Arial"/>
          <w:b/>
          <w:sz w:val="24"/>
          <w:szCs w:val="24"/>
        </w:rPr>
        <w:t>CDU l</w:t>
      </w:r>
      <w:r w:rsidR="003E2C33" w:rsidRPr="00B07E71">
        <w:rPr>
          <w:rFonts w:ascii="Palatino Linotype" w:hAnsi="Palatino Linotype" w:cs="Arial"/>
          <w:b/>
          <w:sz w:val="24"/>
          <w:szCs w:val="24"/>
        </w:rPr>
        <w:t>aw student enrolments by home location remoteness (2015)</w:t>
      </w:r>
    </w:p>
    <w:tbl>
      <w:tblPr>
        <w:tblStyle w:val="TableGrid"/>
        <w:tblW w:w="0" w:type="auto"/>
        <w:tblInd w:w="1101" w:type="dxa"/>
        <w:tblLook w:val="04A0" w:firstRow="1" w:lastRow="0" w:firstColumn="1" w:lastColumn="0" w:noHBand="0" w:noVBand="1"/>
      </w:tblPr>
      <w:tblGrid>
        <w:gridCol w:w="3811"/>
        <w:gridCol w:w="3560"/>
      </w:tblGrid>
      <w:tr w:rsidR="003E2C33" w:rsidRPr="00B07E71" w:rsidTr="00B07E71">
        <w:tc>
          <w:tcPr>
            <w:tcW w:w="3811" w:type="dxa"/>
          </w:tcPr>
          <w:p w:rsidR="003E2C33" w:rsidRPr="00B07E71" w:rsidRDefault="00217178" w:rsidP="00B07E71">
            <w:pPr>
              <w:pStyle w:val="ListParagraph"/>
              <w:spacing w:line="480" w:lineRule="auto"/>
              <w:ind w:left="0"/>
              <w:jc w:val="both"/>
              <w:rPr>
                <w:rFonts w:ascii="Palatino Linotype" w:hAnsi="Palatino Linotype" w:cs="Arial"/>
                <w:b/>
              </w:rPr>
            </w:pPr>
            <w:r w:rsidRPr="00B07E71">
              <w:rPr>
                <w:rFonts w:ascii="Palatino Linotype" w:hAnsi="Palatino Linotype" w:cs="Arial"/>
                <w:b/>
              </w:rPr>
              <w:t>Home</w:t>
            </w:r>
            <w:r w:rsidR="003E2C33" w:rsidRPr="00B07E71">
              <w:rPr>
                <w:rFonts w:ascii="Palatino Linotype" w:hAnsi="Palatino Linotype" w:cs="Arial"/>
                <w:b/>
              </w:rPr>
              <w:t xml:space="preserve"> location</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b/>
              </w:rPr>
            </w:pPr>
            <w:r w:rsidRPr="00B07E71">
              <w:rPr>
                <w:rFonts w:ascii="Palatino Linotype" w:hAnsi="Palatino Linotype" w:cs="Arial"/>
                <w:b/>
              </w:rPr>
              <w:t>Enrolment percentage</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Major Cities of Australia</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76.14%</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Inner Regional Australia</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9.71%</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Outer Regional Australia</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7.72%</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Remote Australia</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3.39%</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Very Remote Australia</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0.82%</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rPr>
            </w:pPr>
            <w:r w:rsidRPr="00B07E71">
              <w:rPr>
                <w:rFonts w:ascii="Palatino Linotype" w:hAnsi="Palatino Linotype" w:cs="Arial"/>
              </w:rPr>
              <w:t>International</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rPr>
            </w:pPr>
            <w:r w:rsidRPr="00B07E71">
              <w:rPr>
                <w:rFonts w:ascii="Palatino Linotype" w:hAnsi="Palatino Linotype" w:cs="Arial"/>
              </w:rPr>
              <w:t>2.22%</w:t>
            </w:r>
          </w:p>
        </w:tc>
      </w:tr>
      <w:tr w:rsidR="003E2C33" w:rsidRPr="00B07E71" w:rsidTr="00B07E71">
        <w:tc>
          <w:tcPr>
            <w:tcW w:w="3811" w:type="dxa"/>
          </w:tcPr>
          <w:p w:rsidR="003E2C33" w:rsidRPr="00B07E71" w:rsidRDefault="003E2C33" w:rsidP="00B07E71">
            <w:pPr>
              <w:pStyle w:val="ListParagraph"/>
              <w:spacing w:line="480" w:lineRule="auto"/>
              <w:ind w:left="0"/>
              <w:jc w:val="both"/>
              <w:rPr>
                <w:rFonts w:ascii="Palatino Linotype" w:hAnsi="Palatino Linotype" w:cs="Arial"/>
                <w:b/>
              </w:rPr>
            </w:pPr>
            <w:r w:rsidRPr="00B07E71">
              <w:rPr>
                <w:rFonts w:ascii="Palatino Linotype" w:hAnsi="Palatino Linotype" w:cs="Arial"/>
                <w:b/>
              </w:rPr>
              <w:t>Total</w:t>
            </w:r>
          </w:p>
        </w:tc>
        <w:tc>
          <w:tcPr>
            <w:tcW w:w="3560" w:type="dxa"/>
          </w:tcPr>
          <w:p w:rsidR="003E2C33" w:rsidRPr="00B07E71" w:rsidRDefault="003E2C33" w:rsidP="00B07E71">
            <w:pPr>
              <w:pStyle w:val="ListParagraph"/>
              <w:spacing w:line="480" w:lineRule="auto"/>
              <w:ind w:left="0"/>
              <w:jc w:val="right"/>
              <w:rPr>
                <w:rFonts w:ascii="Palatino Linotype" w:hAnsi="Palatino Linotype" w:cs="Arial"/>
                <w:b/>
              </w:rPr>
            </w:pPr>
            <w:r w:rsidRPr="00B07E71">
              <w:rPr>
                <w:rFonts w:ascii="Palatino Linotype" w:hAnsi="Palatino Linotype" w:cs="Arial"/>
                <w:b/>
              </w:rPr>
              <w:t>100.00%</w:t>
            </w:r>
          </w:p>
        </w:tc>
      </w:tr>
    </w:tbl>
    <w:p w:rsidR="00581346" w:rsidRPr="00B07E71" w:rsidRDefault="00581346" w:rsidP="00B07E71">
      <w:pPr>
        <w:spacing w:before="240" w:line="480" w:lineRule="auto"/>
        <w:jc w:val="both"/>
        <w:rPr>
          <w:rFonts w:ascii="Palatino Linotype" w:hAnsi="Palatino Linotype" w:cs="Arial"/>
          <w:sz w:val="24"/>
          <w:szCs w:val="24"/>
        </w:rPr>
      </w:pPr>
      <w:r w:rsidRPr="00B07E71">
        <w:rPr>
          <w:rFonts w:ascii="Palatino Linotype" w:hAnsi="Palatino Linotype" w:cs="Arial"/>
          <w:sz w:val="24"/>
          <w:szCs w:val="24"/>
        </w:rPr>
        <w:t xml:space="preserve">Leaving </w:t>
      </w:r>
      <w:r w:rsidR="003E3187" w:rsidRPr="00B07E71">
        <w:rPr>
          <w:rFonts w:ascii="Palatino Linotype" w:hAnsi="Palatino Linotype" w:cs="Arial"/>
          <w:sz w:val="24"/>
          <w:szCs w:val="24"/>
        </w:rPr>
        <w:t xml:space="preserve">a law school’s </w:t>
      </w:r>
      <w:r w:rsidRPr="00B07E71">
        <w:rPr>
          <w:rFonts w:ascii="Palatino Linotype" w:hAnsi="Palatino Linotype" w:cs="Arial"/>
          <w:sz w:val="24"/>
          <w:szCs w:val="24"/>
        </w:rPr>
        <w:t xml:space="preserve">economic survival to one side, the provision of an online law degree also allowed 22%, or approximately </w:t>
      </w:r>
      <w:r w:rsidR="003E3187" w:rsidRPr="00B07E71">
        <w:rPr>
          <w:rFonts w:ascii="Palatino Linotype" w:hAnsi="Palatino Linotype" w:cs="Arial"/>
          <w:sz w:val="24"/>
          <w:szCs w:val="24"/>
        </w:rPr>
        <w:t>190 students, from regional Australia to undertake a law degree at CDU. Considering that CDU is but one Australian university offering a law degree fully online, the opportunity online education provides to those living in regional centres to undertake law studies is self-evident.</w:t>
      </w:r>
    </w:p>
    <w:p w:rsidR="003E3187" w:rsidRPr="00B07E71" w:rsidRDefault="005F24F9"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above discussion illustrates that </w:t>
      </w:r>
      <w:r w:rsidR="00894978" w:rsidRPr="00B07E71">
        <w:rPr>
          <w:rFonts w:ascii="Palatino Linotype" w:hAnsi="Palatino Linotype" w:cs="Arial"/>
          <w:sz w:val="24"/>
          <w:szCs w:val="24"/>
        </w:rPr>
        <w:t>it is fallacious to characterise</w:t>
      </w:r>
      <w:r w:rsidR="00895BF8" w:rsidRPr="00B07E71">
        <w:rPr>
          <w:rFonts w:ascii="Palatino Linotype" w:hAnsi="Palatino Linotype" w:cs="Arial"/>
          <w:sz w:val="24"/>
          <w:szCs w:val="24"/>
        </w:rPr>
        <w:t xml:space="preserve"> the economic cost </w:t>
      </w:r>
      <w:r w:rsidR="00894978" w:rsidRPr="00B07E71">
        <w:rPr>
          <w:rFonts w:ascii="Palatino Linotype" w:hAnsi="Palatino Linotype" w:cs="Arial"/>
          <w:sz w:val="24"/>
          <w:szCs w:val="24"/>
        </w:rPr>
        <w:t>of</w:t>
      </w:r>
      <w:r w:rsidRPr="00B07E71">
        <w:rPr>
          <w:rFonts w:ascii="Palatino Linotype" w:hAnsi="Palatino Linotype" w:cs="Arial"/>
          <w:sz w:val="24"/>
          <w:szCs w:val="24"/>
        </w:rPr>
        <w:t xml:space="preserve"> establishing and maintaining online learning </w:t>
      </w:r>
      <w:r w:rsidR="00132147" w:rsidRPr="00B07E71">
        <w:rPr>
          <w:rFonts w:ascii="Palatino Linotype" w:hAnsi="Palatino Linotype" w:cs="Arial"/>
          <w:sz w:val="24"/>
          <w:szCs w:val="24"/>
        </w:rPr>
        <w:t>as a risk</w:t>
      </w:r>
      <w:r w:rsidRPr="00B07E71">
        <w:rPr>
          <w:rFonts w:ascii="Palatino Linotype" w:hAnsi="Palatino Linotype" w:cs="Arial"/>
          <w:sz w:val="24"/>
          <w:szCs w:val="24"/>
        </w:rPr>
        <w:t>. T</w:t>
      </w:r>
      <w:r w:rsidR="00895BF8" w:rsidRPr="00B07E71">
        <w:rPr>
          <w:rFonts w:ascii="Palatino Linotype" w:hAnsi="Palatino Linotype" w:cs="Arial"/>
          <w:sz w:val="24"/>
          <w:szCs w:val="24"/>
        </w:rPr>
        <w:t xml:space="preserve">he well-known American </w:t>
      </w:r>
      <w:proofErr w:type="gramStart"/>
      <w:r w:rsidR="00895BF8" w:rsidRPr="00B07E71">
        <w:rPr>
          <w:rFonts w:ascii="Palatino Linotype" w:hAnsi="Palatino Linotype" w:cs="Arial"/>
          <w:sz w:val="24"/>
          <w:szCs w:val="24"/>
        </w:rPr>
        <w:t>economist</w:t>
      </w:r>
      <w:proofErr w:type="gramEnd"/>
      <w:r w:rsidR="00895BF8" w:rsidRPr="00B07E71">
        <w:rPr>
          <w:rFonts w:ascii="Palatino Linotype" w:hAnsi="Palatino Linotype" w:cs="Arial"/>
          <w:sz w:val="24"/>
          <w:szCs w:val="24"/>
        </w:rPr>
        <w:t xml:space="preserve"> Professor Eli Noam </w:t>
      </w:r>
      <w:r w:rsidRPr="00B07E71">
        <w:rPr>
          <w:rFonts w:ascii="Palatino Linotype" w:hAnsi="Palatino Linotype" w:cs="Arial"/>
          <w:sz w:val="24"/>
          <w:szCs w:val="24"/>
        </w:rPr>
        <w:t xml:space="preserve">correctly </w:t>
      </w:r>
      <w:r w:rsidR="00702803" w:rsidRPr="00B07E71">
        <w:rPr>
          <w:rFonts w:ascii="Palatino Linotype" w:hAnsi="Palatino Linotype" w:cs="Arial"/>
          <w:sz w:val="24"/>
          <w:szCs w:val="24"/>
        </w:rPr>
        <w:t>noted in his 2008 </w:t>
      </w:r>
      <w:r w:rsidR="00895BF8" w:rsidRPr="00B07E71">
        <w:rPr>
          <w:rFonts w:ascii="Palatino Linotype" w:hAnsi="Palatino Linotype" w:cs="Arial"/>
          <w:sz w:val="24"/>
          <w:szCs w:val="24"/>
        </w:rPr>
        <w:t xml:space="preserve">article, </w:t>
      </w:r>
      <w:r w:rsidR="00D42F17" w:rsidRPr="00B07E71">
        <w:rPr>
          <w:rFonts w:ascii="Palatino Linotype" w:hAnsi="Palatino Linotype" w:cs="Arial"/>
          <w:sz w:val="24"/>
          <w:szCs w:val="24"/>
        </w:rPr>
        <w:t>‘</w:t>
      </w:r>
      <w:r w:rsidR="00895BF8" w:rsidRPr="00B07E71">
        <w:rPr>
          <w:rFonts w:ascii="Palatino Linotype" w:hAnsi="Palatino Linotype" w:cs="Arial"/>
          <w:sz w:val="24"/>
          <w:szCs w:val="24"/>
        </w:rPr>
        <w:t>Electronics and the Future of Law Schools</w:t>
      </w:r>
      <w:r w:rsidR="00D42F17" w:rsidRPr="00B07E71">
        <w:rPr>
          <w:rFonts w:ascii="Palatino Linotype" w:hAnsi="Palatino Linotype" w:cs="Arial"/>
          <w:sz w:val="24"/>
          <w:szCs w:val="24"/>
        </w:rPr>
        <w:t>’</w:t>
      </w:r>
      <w:r w:rsidRPr="00B07E71">
        <w:rPr>
          <w:rFonts w:ascii="Palatino Linotype" w:hAnsi="Palatino Linotype" w:cs="Arial"/>
          <w:sz w:val="24"/>
          <w:szCs w:val="24"/>
        </w:rPr>
        <w:t>, that</w:t>
      </w:r>
      <w:r w:rsidR="00895BF8" w:rsidRPr="00B07E71">
        <w:rPr>
          <w:rFonts w:ascii="Palatino Linotype" w:hAnsi="Palatino Linotype" w:cs="Arial"/>
          <w:sz w:val="24"/>
          <w:szCs w:val="24"/>
        </w:rPr>
        <w:t>:</w:t>
      </w:r>
    </w:p>
    <w:p w:rsidR="00895BF8" w:rsidRPr="00B07E71" w:rsidRDefault="00895BF8" w:rsidP="00B07E71">
      <w:pPr>
        <w:spacing w:line="360" w:lineRule="auto"/>
        <w:ind w:left="720"/>
        <w:jc w:val="both"/>
        <w:rPr>
          <w:rFonts w:ascii="Palatino Linotype" w:hAnsi="Palatino Linotype" w:cs="Arial"/>
          <w:sz w:val="24"/>
          <w:szCs w:val="24"/>
        </w:rPr>
      </w:pPr>
      <w:r w:rsidRPr="00B07E71">
        <w:rPr>
          <w:rFonts w:ascii="Palatino Linotype" w:hAnsi="Palatino Linotype" w:cs="Arial"/>
          <w:i/>
          <w:sz w:val="24"/>
          <w:szCs w:val="24"/>
        </w:rPr>
        <w:t>The question is not whether universities and law schools are important to society, to knowledge, or to their members – they surely are – but rather whether the economic foundation of the present system can be maintained and sustained when electronic communication provides alternatives. These are the drivers of change. Research and teaching as activities will not be questioned – they will be more important than ever – but rather their present main instructional setting. We have come to equate legal education with traditional law schools. Not much longer</w:t>
      </w:r>
      <w:r w:rsidRPr="00B07E71">
        <w:rPr>
          <w:rFonts w:ascii="Palatino Linotype" w:hAnsi="Palatino Linotype" w:cs="Arial"/>
          <w:sz w:val="24"/>
          <w:szCs w:val="24"/>
        </w:rPr>
        <w:t>.</w:t>
      </w:r>
      <w:r w:rsidR="00D42F17" w:rsidRPr="00B07E71">
        <w:rPr>
          <w:rStyle w:val="FootnoteReference"/>
          <w:rFonts w:ascii="Palatino Linotype" w:hAnsi="Palatino Linotype" w:cs="Arial"/>
          <w:sz w:val="24"/>
          <w:szCs w:val="24"/>
        </w:rPr>
        <w:footnoteReference w:id="106"/>
      </w:r>
    </w:p>
    <w:p w:rsidR="00D42F17" w:rsidRPr="00B07E71" w:rsidRDefault="00BC704E"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For a law school perched at the top of Australia, the movement to an online law d</w:t>
      </w:r>
      <w:r w:rsidR="0008782E" w:rsidRPr="00B07E71">
        <w:rPr>
          <w:rFonts w:ascii="Palatino Linotype" w:hAnsi="Palatino Linotype" w:cs="Arial"/>
          <w:sz w:val="24"/>
          <w:szCs w:val="24"/>
        </w:rPr>
        <w:t>egree program was critical to the law school’s continued existence</w:t>
      </w:r>
      <w:r w:rsidRPr="00B07E71">
        <w:rPr>
          <w:rFonts w:ascii="Palatino Linotype" w:hAnsi="Palatino Linotype" w:cs="Arial"/>
          <w:sz w:val="24"/>
          <w:szCs w:val="24"/>
        </w:rPr>
        <w:t>. If the Northern Territory wanted its only university to have a law school, an online degree program had to be included in its suite of offerings.</w:t>
      </w:r>
    </w:p>
    <w:p w:rsidR="009C3D41" w:rsidRPr="00B07E71" w:rsidRDefault="009C3D41" w:rsidP="00B07E71">
      <w:pPr>
        <w:spacing w:line="480" w:lineRule="auto"/>
        <w:jc w:val="both"/>
        <w:rPr>
          <w:rFonts w:ascii="Palatino Linotype" w:hAnsi="Palatino Linotype" w:cs="Arial"/>
          <w:b/>
          <w:sz w:val="24"/>
          <w:szCs w:val="24"/>
        </w:rPr>
      </w:pPr>
      <w:r w:rsidRPr="00B07E71">
        <w:rPr>
          <w:rFonts w:ascii="Palatino Linotype" w:hAnsi="Palatino Linotype" w:cs="Arial"/>
          <w:b/>
          <w:sz w:val="24"/>
          <w:szCs w:val="24"/>
        </w:rPr>
        <w:t>Online clinical legal education at CDU</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As has been noted above, CDU has developed a legal clinic elective for online and on-campus stu</w:t>
      </w:r>
      <w:r w:rsidR="009E4C49" w:rsidRPr="00B07E71">
        <w:rPr>
          <w:rFonts w:ascii="Palatino Linotype" w:hAnsi="Palatino Linotype" w:cs="Arial"/>
          <w:sz w:val="24"/>
          <w:szCs w:val="24"/>
        </w:rPr>
        <w:t>dents.  In this section, we discuss</w:t>
      </w:r>
      <w:r w:rsidRPr="00B07E71">
        <w:rPr>
          <w:rFonts w:ascii="Palatino Linotype" w:hAnsi="Palatino Linotype" w:cs="Arial"/>
          <w:sz w:val="24"/>
          <w:szCs w:val="24"/>
        </w:rPr>
        <w:t xml:space="preserve"> the development of the unit, the assessment regime, the unit learning outcomes and the experiences of students undertaking the program.</w:t>
      </w:r>
      <w:r w:rsidR="009C2039" w:rsidRPr="00B07E71">
        <w:rPr>
          <w:rFonts w:ascii="Palatino Linotype" w:hAnsi="Palatino Linotype" w:cs="Arial"/>
          <w:sz w:val="24"/>
          <w:szCs w:val="24"/>
        </w:rPr>
        <w:t xml:space="preserve"> </w:t>
      </w:r>
    </w:p>
    <w:p w:rsidR="008644A2"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Approximately 75% of the students enrolled in the clinical unit have been, and in the future are expected to be, online students. The unit began as a placement program within an existing environmental law unit in 2014, and was expanded in 2015 to include placement o</w:t>
      </w:r>
      <w:r w:rsidR="002B2199" w:rsidRPr="00B07E71">
        <w:rPr>
          <w:rFonts w:ascii="Palatino Linotype" w:hAnsi="Palatino Linotype" w:cs="Arial"/>
          <w:sz w:val="24"/>
          <w:szCs w:val="24"/>
        </w:rPr>
        <w:t>pportunities in refugee law and Indigenous justice,</w:t>
      </w:r>
      <w:r w:rsidR="000F2C03" w:rsidRPr="00B07E71">
        <w:rPr>
          <w:rFonts w:ascii="Palatino Linotype" w:hAnsi="Palatino Linotype" w:cs="Arial"/>
          <w:sz w:val="24"/>
          <w:szCs w:val="24"/>
        </w:rPr>
        <w:t xml:space="preserve"> and with</w:t>
      </w:r>
      <w:r w:rsidRPr="00B07E71">
        <w:rPr>
          <w:rFonts w:ascii="Palatino Linotype" w:hAnsi="Palatino Linotype" w:cs="Arial"/>
          <w:sz w:val="24"/>
          <w:szCs w:val="24"/>
        </w:rPr>
        <w:t xml:space="preserve"> Reprieve Australia. In 2016, the pilot program became a f</w:t>
      </w:r>
      <w:r w:rsidR="00BF2A79" w:rsidRPr="00B07E71">
        <w:rPr>
          <w:rFonts w:ascii="Palatino Linotype" w:hAnsi="Palatino Linotype" w:cs="Arial"/>
          <w:sz w:val="24"/>
          <w:szCs w:val="24"/>
        </w:rPr>
        <w:t>ully accredited unit available to on-campus and online students</w:t>
      </w:r>
      <w:r w:rsidRPr="00B07E71">
        <w:rPr>
          <w:rFonts w:ascii="Palatino Linotype" w:hAnsi="Palatino Linotype" w:cs="Arial"/>
          <w:sz w:val="24"/>
          <w:szCs w:val="24"/>
        </w:rPr>
        <w:t xml:space="preserve"> entitled, somewhat unimaginatively, Legal Clinic.  The unit aims to</w:t>
      </w:r>
      <w:r w:rsidR="008644A2" w:rsidRPr="00B07E71">
        <w:rPr>
          <w:rFonts w:ascii="Palatino Linotype" w:hAnsi="Palatino Linotype" w:cs="Arial"/>
          <w:sz w:val="24"/>
          <w:szCs w:val="24"/>
        </w:rPr>
        <w:t>:</w:t>
      </w:r>
    </w:p>
    <w:p w:rsidR="008644A2" w:rsidRPr="00B07E71" w:rsidRDefault="00E110B1"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 improve students’ practical legal skills such as client interviewing, research, c</w:t>
      </w:r>
      <w:r w:rsidR="008644A2" w:rsidRPr="00B07E71">
        <w:rPr>
          <w:rFonts w:ascii="Palatino Linotype" w:hAnsi="Palatino Linotype" w:cs="Arial"/>
          <w:sz w:val="24"/>
          <w:szCs w:val="24"/>
        </w:rPr>
        <w:t>ommunication and legal drafting;</w:t>
      </w:r>
    </w:p>
    <w:p w:rsidR="008644A2" w:rsidRPr="00B07E71" w:rsidRDefault="00E110B1"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 </w:t>
      </w:r>
      <w:r w:rsidR="00BF2A79" w:rsidRPr="00B07E71">
        <w:rPr>
          <w:rFonts w:ascii="Palatino Linotype" w:hAnsi="Palatino Linotype" w:cs="Arial"/>
          <w:sz w:val="24"/>
          <w:szCs w:val="24"/>
        </w:rPr>
        <w:t>instil in students a sense of professional re</w:t>
      </w:r>
      <w:r w:rsidR="008644A2" w:rsidRPr="00B07E71">
        <w:rPr>
          <w:rFonts w:ascii="Palatino Linotype" w:hAnsi="Palatino Linotype" w:cs="Arial"/>
          <w:sz w:val="24"/>
          <w:szCs w:val="24"/>
        </w:rPr>
        <w:t>sponsibility and social justice;</w:t>
      </w:r>
    </w:p>
    <w:p w:rsidR="008644A2" w:rsidRPr="00B07E71" w:rsidRDefault="00BF2A79"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 </w:t>
      </w:r>
      <w:r w:rsidR="00E110B1" w:rsidRPr="00B07E71">
        <w:rPr>
          <w:rFonts w:ascii="Palatino Linotype" w:hAnsi="Palatino Linotype" w:cs="Arial"/>
          <w:sz w:val="24"/>
          <w:szCs w:val="24"/>
        </w:rPr>
        <w:t xml:space="preserve">promote </w:t>
      </w:r>
      <w:r w:rsidR="008644A2" w:rsidRPr="00B07E71">
        <w:rPr>
          <w:rFonts w:ascii="Palatino Linotype" w:hAnsi="Palatino Linotype" w:cs="Arial"/>
          <w:sz w:val="24"/>
          <w:szCs w:val="24"/>
        </w:rPr>
        <w:t xml:space="preserve">student participation in </w:t>
      </w:r>
      <w:r w:rsidR="00E110B1" w:rsidRPr="00B07E71">
        <w:rPr>
          <w:rFonts w:ascii="Palatino Linotype" w:hAnsi="Palatino Linotype" w:cs="Arial"/>
          <w:sz w:val="24"/>
          <w:szCs w:val="24"/>
        </w:rPr>
        <w:t>community and professional engagement</w:t>
      </w:r>
      <w:r w:rsidR="008644A2" w:rsidRPr="00B07E71">
        <w:rPr>
          <w:rFonts w:ascii="Palatino Linotype" w:hAnsi="Palatino Linotype" w:cs="Arial"/>
          <w:sz w:val="24"/>
          <w:szCs w:val="24"/>
        </w:rPr>
        <w:t>;</w:t>
      </w:r>
    </w:p>
    <w:p w:rsidR="000F2C03" w:rsidRPr="00B07E71" w:rsidRDefault="00E110B1"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 xml:space="preserve"> meet legal need</w:t>
      </w:r>
      <w:r w:rsidR="008644A2" w:rsidRPr="00B07E71">
        <w:rPr>
          <w:rFonts w:ascii="Palatino Linotype" w:hAnsi="Palatino Linotype" w:cs="Arial"/>
          <w:sz w:val="24"/>
          <w:szCs w:val="24"/>
        </w:rPr>
        <w:t xml:space="preserve"> amongst vulnerable and disadvantaged members of society</w:t>
      </w:r>
      <w:r w:rsidRPr="00B07E71">
        <w:rPr>
          <w:rFonts w:ascii="Palatino Linotype" w:hAnsi="Palatino Linotype" w:cs="Arial"/>
          <w:sz w:val="24"/>
          <w:szCs w:val="24"/>
        </w:rPr>
        <w:t xml:space="preserve"> in the Norther</w:t>
      </w:r>
      <w:r w:rsidR="000F2C03" w:rsidRPr="00B07E71">
        <w:rPr>
          <w:rFonts w:ascii="Palatino Linotype" w:hAnsi="Palatino Linotype" w:cs="Arial"/>
          <w:sz w:val="24"/>
          <w:szCs w:val="24"/>
        </w:rPr>
        <w:t>n Territory and internationally; and</w:t>
      </w:r>
    </w:p>
    <w:p w:rsidR="000F2C03" w:rsidRPr="00B07E71" w:rsidRDefault="000F2C03" w:rsidP="00B07E71">
      <w:pPr>
        <w:pStyle w:val="ListParagraph"/>
        <w:numPr>
          <w:ilvl w:val="1"/>
          <w:numId w:val="1"/>
        </w:numPr>
        <w:spacing w:line="360" w:lineRule="auto"/>
        <w:ind w:left="1418" w:hanging="851"/>
        <w:jc w:val="both"/>
        <w:rPr>
          <w:rFonts w:ascii="Palatino Linotype" w:hAnsi="Palatino Linotype" w:cs="Arial"/>
          <w:sz w:val="24"/>
          <w:szCs w:val="24"/>
        </w:rPr>
      </w:pPr>
      <w:r w:rsidRPr="00B07E71">
        <w:rPr>
          <w:rFonts w:ascii="Palatino Linotype" w:hAnsi="Palatino Linotype" w:cs="Arial"/>
          <w:sz w:val="24"/>
          <w:szCs w:val="24"/>
        </w:rPr>
        <w:t>foster students’ understanding of the global nature of legal practice.</w:t>
      </w:r>
    </w:p>
    <w:p w:rsidR="00E5640F" w:rsidRPr="00B07E71" w:rsidRDefault="000267E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Enrolment in the unit is limited based on the number of placement sites and the capacity of the particular site to accommodate students. S</w:t>
      </w:r>
      <w:r w:rsidR="00E110B1" w:rsidRPr="00B07E71">
        <w:rPr>
          <w:rFonts w:ascii="Palatino Linotype" w:hAnsi="Palatino Linotype" w:cs="Arial"/>
          <w:sz w:val="24"/>
          <w:szCs w:val="24"/>
        </w:rPr>
        <w:t xml:space="preserve">tudents apply for admission to the unit and </w:t>
      </w:r>
      <w:r w:rsidR="008644A2" w:rsidRPr="00B07E71">
        <w:rPr>
          <w:rFonts w:ascii="Palatino Linotype" w:hAnsi="Palatino Linotype" w:cs="Arial"/>
          <w:sz w:val="24"/>
          <w:szCs w:val="24"/>
        </w:rPr>
        <w:t xml:space="preserve">are required to </w:t>
      </w:r>
      <w:r w:rsidR="00E110B1" w:rsidRPr="00B07E71">
        <w:rPr>
          <w:rFonts w:ascii="Palatino Linotype" w:hAnsi="Palatino Linotype" w:cs="Arial"/>
          <w:sz w:val="24"/>
          <w:szCs w:val="24"/>
        </w:rPr>
        <w:t xml:space="preserve">submit an expression of interest outlining the aspects of legal practice in which they are interested, and why they wish to undertake Legal Clinic. If accepted into the unit, students are allocated to an organisation that matches as closely as possible their interest in a particular area of practice.  </w:t>
      </w:r>
      <w:r w:rsidR="00E5640F" w:rsidRPr="00B07E71">
        <w:rPr>
          <w:rFonts w:ascii="Palatino Linotype" w:hAnsi="Palatino Linotype" w:cs="Arial"/>
          <w:sz w:val="24"/>
          <w:szCs w:val="24"/>
        </w:rPr>
        <w:t>Further, students are required to sign a confidentiality agreement in a form approved both by CDU and the placement site. The ethical issues surrounding client confid</w:t>
      </w:r>
      <w:r w:rsidR="002B2199" w:rsidRPr="00B07E71">
        <w:rPr>
          <w:rFonts w:ascii="Palatino Linotype" w:hAnsi="Palatino Linotype" w:cs="Arial"/>
          <w:sz w:val="24"/>
          <w:szCs w:val="24"/>
        </w:rPr>
        <w:t>entialit</w:t>
      </w:r>
      <w:r w:rsidR="00823E5D" w:rsidRPr="00B07E71">
        <w:rPr>
          <w:rFonts w:ascii="Palatino Linotype" w:hAnsi="Palatino Linotype" w:cs="Arial"/>
          <w:sz w:val="24"/>
          <w:szCs w:val="24"/>
        </w:rPr>
        <w:t>y also are</w:t>
      </w:r>
      <w:r w:rsidR="00E5640F" w:rsidRPr="00B07E71">
        <w:rPr>
          <w:rFonts w:ascii="Palatino Linotype" w:hAnsi="Palatino Linotype" w:cs="Arial"/>
          <w:sz w:val="24"/>
          <w:szCs w:val="24"/>
        </w:rPr>
        <w:t xml:space="preserve"> explored in the first of the weekly legal skills</w:t>
      </w:r>
      <w:r w:rsidR="002B2199" w:rsidRPr="00B07E71">
        <w:rPr>
          <w:rFonts w:ascii="Palatino Linotype" w:hAnsi="Palatino Linotype" w:cs="Arial"/>
          <w:sz w:val="24"/>
          <w:szCs w:val="24"/>
        </w:rPr>
        <w:t xml:space="preserve"> workshops, discussed </w:t>
      </w:r>
      <w:r w:rsidR="00E5640F" w:rsidRPr="00B07E71">
        <w:rPr>
          <w:rFonts w:ascii="Palatino Linotype" w:hAnsi="Palatino Linotype" w:cs="Arial"/>
          <w:sz w:val="24"/>
          <w:szCs w:val="24"/>
        </w:rPr>
        <w:t xml:space="preserve">below. </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host organisations </w:t>
      </w:r>
      <w:r w:rsidR="008644A2" w:rsidRPr="00B07E71">
        <w:rPr>
          <w:rFonts w:ascii="Palatino Linotype" w:hAnsi="Palatino Linotype" w:cs="Arial"/>
          <w:sz w:val="24"/>
          <w:szCs w:val="24"/>
        </w:rPr>
        <w:t>include</w:t>
      </w:r>
      <w:r w:rsidRPr="00B07E71">
        <w:rPr>
          <w:rFonts w:ascii="Palatino Linotype" w:hAnsi="Palatino Linotype" w:cs="Arial"/>
          <w:sz w:val="24"/>
          <w:szCs w:val="24"/>
        </w:rPr>
        <w:t xml:space="preserve"> local Darwin</w:t>
      </w:r>
      <w:r w:rsidR="008644A2" w:rsidRPr="00B07E71">
        <w:rPr>
          <w:rFonts w:ascii="Palatino Linotype" w:hAnsi="Palatino Linotype" w:cs="Arial"/>
          <w:sz w:val="24"/>
          <w:szCs w:val="24"/>
        </w:rPr>
        <w:t xml:space="preserve"> law</w:t>
      </w:r>
      <w:r w:rsidRPr="00B07E71">
        <w:rPr>
          <w:rFonts w:ascii="Palatino Linotype" w:hAnsi="Palatino Linotype" w:cs="Arial"/>
          <w:sz w:val="24"/>
          <w:szCs w:val="24"/>
        </w:rPr>
        <w:t xml:space="preserve"> firms undertaking pro bono work</w:t>
      </w:r>
      <w:r w:rsidR="008644A2" w:rsidRPr="00B07E71">
        <w:rPr>
          <w:rFonts w:ascii="Palatino Linotype" w:hAnsi="Palatino Linotype" w:cs="Arial"/>
          <w:sz w:val="24"/>
          <w:szCs w:val="24"/>
        </w:rPr>
        <w:t xml:space="preserve">, </w:t>
      </w:r>
      <w:r w:rsidRPr="00B07E71">
        <w:rPr>
          <w:rFonts w:ascii="Palatino Linotype" w:hAnsi="Palatino Linotype" w:cs="Arial"/>
          <w:sz w:val="24"/>
          <w:szCs w:val="24"/>
        </w:rPr>
        <w:t>local legal non-governmental organisations (‘NGOs’)</w:t>
      </w:r>
      <w:r w:rsidR="008644A2" w:rsidRPr="00B07E71">
        <w:rPr>
          <w:rFonts w:ascii="Palatino Linotype" w:hAnsi="Palatino Linotype" w:cs="Arial"/>
          <w:sz w:val="24"/>
          <w:szCs w:val="24"/>
        </w:rPr>
        <w:t xml:space="preserve">, </w:t>
      </w:r>
      <w:r w:rsidRPr="00B07E71">
        <w:rPr>
          <w:rFonts w:ascii="Palatino Linotype" w:hAnsi="Palatino Linotype" w:cs="Arial"/>
          <w:sz w:val="24"/>
          <w:szCs w:val="24"/>
        </w:rPr>
        <w:t xml:space="preserve">community legal centres </w:t>
      </w:r>
      <w:r w:rsidR="008644A2" w:rsidRPr="00B07E71">
        <w:rPr>
          <w:rFonts w:ascii="Palatino Linotype" w:hAnsi="Palatino Linotype" w:cs="Arial"/>
          <w:sz w:val="24"/>
          <w:szCs w:val="24"/>
        </w:rPr>
        <w:t xml:space="preserve">interstate and </w:t>
      </w:r>
      <w:r w:rsidRPr="00B07E71">
        <w:rPr>
          <w:rFonts w:ascii="Palatino Linotype" w:hAnsi="Palatino Linotype" w:cs="Arial"/>
          <w:sz w:val="24"/>
          <w:szCs w:val="24"/>
        </w:rPr>
        <w:t>international organisations</w:t>
      </w:r>
      <w:r w:rsidR="008644A2" w:rsidRPr="00B07E71">
        <w:rPr>
          <w:rFonts w:ascii="Palatino Linotype" w:hAnsi="Palatino Linotype" w:cs="Arial"/>
          <w:sz w:val="24"/>
          <w:szCs w:val="24"/>
        </w:rPr>
        <w:t xml:space="preserve"> involved in pro bono legal assistance</w:t>
      </w:r>
      <w:r w:rsidRPr="00B07E71">
        <w:rPr>
          <w:rFonts w:ascii="Palatino Linotype" w:hAnsi="Palatino Linotype" w:cs="Arial"/>
          <w:sz w:val="24"/>
          <w:szCs w:val="24"/>
        </w:rPr>
        <w:t xml:space="preserve">.  </w:t>
      </w:r>
      <w:r w:rsidR="00BF4558" w:rsidRPr="00B07E71">
        <w:rPr>
          <w:rFonts w:ascii="Palatino Linotype" w:hAnsi="Palatino Linotype" w:cs="Arial"/>
          <w:sz w:val="24"/>
          <w:szCs w:val="24"/>
        </w:rPr>
        <w:t>B</w:t>
      </w:r>
      <w:r w:rsidR="000267ED" w:rsidRPr="00B07E71">
        <w:rPr>
          <w:rFonts w:ascii="Palatino Linotype" w:hAnsi="Palatino Linotype" w:cs="Arial"/>
          <w:sz w:val="24"/>
          <w:szCs w:val="24"/>
        </w:rPr>
        <w:t>oth online and internal students are accommodated at the placement site and, a</w:t>
      </w:r>
      <w:r w:rsidRPr="00B07E71">
        <w:rPr>
          <w:rFonts w:ascii="Palatino Linotype" w:hAnsi="Palatino Linotype" w:cs="Arial"/>
          <w:sz w:val="24"/>
          <w:szCs w:val="24"/>
        </w:rPr>
        <w:t>s is discussed below, online students have been accommod</w:t>
      </w:r>
      <w:r w:rsidR="008644A2" w:rsidRPr="00B07E71">
        <w:rPr>
          <w:rFonts w:ascii="Palatino Linotype" w:hAnsi="Palatino Linotype" w:cs="Arial"/>
          <w:sz w:val="24"/>
          <w:szCs w:val="24"/>
        </w:rPr>
        <w:t>ated in all but one placement site</w:t>
      </w:r>
      <w:r w:rsidRPr="00B07E71">
        <w:rPr>
          <w:rFonts w:ascii="Palatino Linotype" w:hAnsi="Palatino Linotype" w:cs="Arial"/>
          <w:sz w:val="24"/>
          <w:szCs w:val="24"/>
        </w:rPr>
        <w:t>.</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streams</w:t>
      </w:r>
      <w:r w:rsidR="008644A2" w:rsidRPr="00B07E71">
        <w:rPr>
          <w:rFonts w:ascii="Palatino Linotype" w:hAnsi="Palatino Linotype" w:cs="Arial"/>
          <w:sz w:val="24"/>
          <w:szCs w:val="24"/>
        </w:rPr>
        <w:t>, and the</w:t>
      </w:r>
      <w:r w:rsidRPr="00B07E71">
        <w:rPr>
          <w:rFonts w:ascii="Palatino Linotype" w:hAnsi="Palatino Linotype" w:cs="Arial"/>
          <w:sz w:val="24"/>
          <w:szCs w:val="24"/>
        </w:rPr>
        <w:t xml:space="preserve"> organ</w:t>
      </w:r>
      <w:r w:rsidR="008644A2" w:rsidRPr="00B07E71">
        <w:rPr>
          <w:rFonts w:ascii="Palatino Linotype" w:hAnsi="Palatino Linotype" w:cs="Arial"/>
          <w:sz w:val="24"/>
          <w:szCs w:val="24"/>
        </w:rPr>
        <w:t>isations that took part in the</w:t>
      </w:r>
      <w:r w:rsidRPr="00B07E71">
        <w:rPr>
          <w:rFonts w:ascii="Palatino Linotype" w:hAnsi="Palatino Linotype" w:cs="Arial"/>
          <w:sz w:val="24"/>
          <w:szCs w:val="24"/>
        </w:rPr>
        <w:t xml:space="preserve"> program in 2015</w:t>
      </w:r>
      <w:r w:rsidR="008644A2" w:rsidRPr="00B07E71">
        <w:rPr>
          <w:rFonts w:ascii="Palatino Linotype" w:hAnsi="Palatino Linotype" w:cs="Arial"/>
          <w:sz w:val="24"/>
          <w:szCs w:val="24"/>
        </w:rPr>
        <w:t>,</w:t>
      </w:r>
      <w:r w:rsidRPr="00B07E71">
        <w:rPr>
          <w:rFonts w:ascii="Palatino Linotype" w:hAnsi="Palatino Linotype" w:cs="Arial"/>
          <w:sz w:val="24"/>
          <w:szCs w:val="24"/>
        </w:rPr>
        <w:t xml:space="preserve"> are outlined below, together with a description of how online students participated in </w:t>
      </w:r>
      <w:r w:rsidR="00DC3F9B" w:rsidRPr="00B07E71">
        <w:rPr>
          <w:rFonts w:ascii="Palatino Linotype" w:hAnsi="Palatino Linotype" w:cs="Arial"/>
          <w:sz w:val="24"/>
          <w:szCs w:val="24"/>
        </w:rPr>
        <w:t xml:space="preserve">the program. These streams </w:t>
      </w:r>
      <w:r w:rsidRPr="00B07E71">
        <w:rPr>
          <w:rFonts w:ascii="Palatino Linotype" w:hAnsi="Palatino Linotype" w:cs="Arial"/>
          <w:sz w:val="24"/>
          <w:szCs w:val="24"/>
        </w:rPr>
        <w:t>const</w:t>
      </w:r>
      <w:r w:rsidR="00DC3F9B" w:rsidRPr="00B07E71">
        <w:rPr>
          <w:rFonts w:ascii="Palatino Linotype" w:hAnsi="Palatino Linotype" w:cs="Arial"/>
          <w:sz w:val="24"/>
          <w:szCs w:val="24"/>
        </w:rPr>
        <w:t>itute the Legal Clinic unit being offered</w:t>
      </w:r>
      <w:r w:rsidRPr="00B07E71">
        <w:rPr>
          <w:rFonts w:ascii="Palatino Linotype" w:hAnsi="Palatino Linotype" w:cs="Arial"/>
          <w:sz w:val="24"/>
          <w:szCs w:val="24"/>
        </w:rPr>
        <w:t xml:space="preserve"> in the first semester of 2016.</w:t>
      </w:r>
    </w:p>
    <w:p w:rsidR="00D03ABF" w:rsidRPr="00B07E71" w:rsidRDefault="00D03ABF" w:rsidP="00B07E71">
      <w:pPr>
        <w:spacing w:line="480" w:lineRule="auto"/>
        <w:ind w:left="567"/>
        <w:jc w:val="both"/>
        <w:rPr>
          <w:rFonts w:ascii="Palatino Linotype" w:hAnsi="Palatino Linotype" w:cs="Arial"/>
          <w:sz w:val="24"/>
          <w:szCs w:val="24"/>
        </w:rPr>
      </w:pPr>
      <w:r w:rsidRPr="00B07E71">
        <w:rPr>
          <w:rFonts w:ascii="Palatino Linotype" w:hAnsi="Palatino Linotype" w:cs="Arial"/>
          <w:b/>
          <w:i/>
          <w:sz w:val="24"/>
          <w:szCs w:val="24"/>
        </w:rPr>
        <w:t>Environmental law stream</w:t>
      </w:r>
      <w:r w:rsidR="00E110B1" w:rsidRPr="00B07E71">
        <w:rPr>
          <w:rFonts w:ascii="Palatino Linotype" w:hAnsi="Palatino Linotype" w:cs="Arial"/>
          <w:sz w:val="24"/>
          <w:szCs w:val="24"/>
        </w:rPr>
        <w:t xml:space="preserve"> </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Students have been placed with one of two organisations:</w:t>
      </w:r>
    </w:p>
    <w:p w:rsidR="002248FF" w:rsidRPr="00B07E71" w:rsidRDefault="00E110B1" w:rsidP="00B07E71">
      <w:pPr>
        <w:pStyle w:val="ListParagraph"/>
        <w:numPr>
          <w:ilvl w:val="0"/>
          <w:numId w:val="14"/>
        </w:numPr>
        <w:spacing w:line="360" w:lineRule="auto"/>
        <w:jc w:val="both"/>
        <w:rPr>
          <w:rFonts w:ascii="Palatino Linotype" w:hAnsi="Palatino Linotype" w:cs="Arial"/>
          <w:sz w:val="24"/>
          <w:szCs w:val="24"/>
        </w:rPr>
      </w:pPr>
      <w:r w:rsidRPr="00B07E71">
        <w:rPr>
          <w:rFonts w:ascii="Palatino Linotype" w:hAnsi="Palatino Linotype" w:cs="Arial"/>
          <w:sz w:val="24"/>
          <w:szCs w:val="24"/>
        </w:rPr>
        <w:t>the Legal Response Initiative, which is an international pro bono organisation that provides advice to developing countries on climate change obligations under the United Nations Framework on Climate Cha</w:t>
      </w:r>
      <w:r w:rsidR="00702803" w:rsidRPr="00B07E71">
        <w:rPr>
          <w:rFonts w:ascii="Palatino Linotype" w:hAnsi="Palatino Linotype" w:cs="Arial"/>
          <w:sz w:val="24"/>
          <w:szCs w:val="24"/>
        </w:rPr>
        <w:t>nge and working groups associated with the Climate Change Convention</w:t>
      </w:r>
      <w:r w:rsidRPr="00B07E71">
        <w:rPr>
          <w:rFonts w:ascii="Palatino Linotype" w:hAnsi="Palatino Linotype" w:cs="Arial"/>
          <w:sz w:val="24"/>
          <w:szCs w:val="24"/>
        </w:rPr>
        <w:t>; and</w:t>
      </w:r>
    </w:p>
    <w:p w:rsidR="00320A5F" w:rsidRPr="00B07E71" w:rsidRDefault="00E110B1" w:rsidP="00B07E71">
      <w:pPr>
        <w:pStyle w:val="ListParagraph"/>
        <w:numPr>
          <w:ilvl w:val="0"/>
          <w:numId w:val="14"/>
        </w:numPr>
        <w:spacing w:line="360" w:lineRule="auto"/>
        <w:jc w:val="both"/>
        <w:rPr>
          <w:rFonts w:ascii="Palatino Linotype" w:hAnsi="Palatino Linotype" w:cs="Arial"/>
          <w:sz w:val="24"/>
          <w:szCs w:val="24"/>
        </w:rPr>
      </w:pPr>
      <w:r w:rsidRPr="00B07E71">
        <w:rPr>
          <w:rFonts w:ascii="Palatino Linotype" w:hAnsi="Palatino Linotype" w:cs="Arial"/>
          <w:sz w:val="24"/>
          <w:szCs w:val="24"/>
        </w:rPr>
        <w:t xml:space="preserve">the Environment Defenders Office of the Northern Territory, </w:t>
      </w:r>
      <w:r w:rsidR="00320A5F" w:rsidRPr="00B07E71">
        <w:rPr>
          <w:rFonts w:ascii="Palatino Linotype" w:hAnsi="Palatino Linotype" w:cs="Arial"/>
          <w:sz w:val="24"/>
          <w:szCs w:val="24"/>
        </w:rPr>
        <w:t xml:space="preserve">which is </w:t>
      </w:r>
      <w:r w:rsidRPr="00B07E71">
        <w:rPr>
          <w:rFonts w:ascii="Palatino Linotype" w:hAnsi="Palatino Linotype" w:cs="Arial"/>
          <w:sz w:val="24"/>
          <w:szCs w:val="24"/>
        </w:rPr>
        <w:t xml:space="preserve">a </w:t>
      </w:r>
      <w:r w:rsidR="00320A5F" w:rsidRPr="00B07E71">
        <w:rPr>
          <w:rFonts w:ascii="Palatino Linotype" w:hAnsi="Palatino Linotype" w:cs="Arial"/>
          <w:sz w:val="24"/>
          <w:szCs w:val="24"/>
        </w:rPr>
        <w:t xml:space="preserve">Northern Territory based </w:t>
      </w:r>
      <w:r w:rsidRPr="00B07E71">
        <w:rPr>
          <w:rFonts w:ascii="Palatino Linotype" w:hAnsi="Palatino Linotype" w:cs="Arial"/>
          <w:sz w:val="24"/>
          <w:szCs w:val="24"/>
        </w:rPr>
        <w:t xml:space="preserve">community legal centre specialising in public interest environmental matters and access to justice.  </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Online students</w:t>
      </w:r>
      <w:r w:rsidR="00D03ABF" w:rsidRPr="00B07E71">
        <w:rPr>
          <w:rFonts w:ascii="Palatino Linotype" w:hAnsi="Palatino Linotype" w:cs="Arial"/>
          <w:sz w:val="24"/>
          <w:szCs w:val="24"/>
        </w:rPr>
        <w:t xml:space="preserve"> placed</w:t>
      </w:r>
      <w:r w:rsidRPr="00B07E71">
        <w:rPr>
          <w:rFonts w:ascii="Palatino Linotype" w:hAnsi="Palatino Linotype" w:cs="Arial"/>
          <w:sz w:val="24"/>
          <w:szCs w:val="24"/>
        </w:rPr>
        <w:t xml:space="preserve"> in both organisations communicated with their supervising lawyer via skype, email and telephone.  Documents were shared via email</w:t>
      </w:r>
      <w:r w:rsidR="00B935F3" w:rsidRPr="00B07E71">
        <w:rPr>
          <w:rFonts w:ascii="Palatino Linotype" w:hAnsi="Palatino Linotype" w:cs="Arial"/>
          <w:sz w:val="24"/>
          <w:szCs w:val="24"/>
        </w:rPr>
        <w:t xml:space="preserve"> in accordance with the site’s policies regarding client confidentiality</w:t>
      </w:r>
      <w:r w:rsidR="00304679" w:rsidRPr="00B07E71">
        <w:rPr>
          <w:rFonts w:ascii="Palatino Linotype" w:hAnsi="Palatino Linotype" w:cs="Arial"/>
          <w:sz w:val="24"/>
          <w:szCs w:val="24"/>
        </w:rPr>
        <w:t xml:space="preserve"> and secured document transfer</w:t>
      </w:r>
      <w:r w:rsidR="00702803" w:rsidRPr="00B07E71">
        <w:rPr>
          <w:rFonts w:ascii="Palatino Linotype" w:hAnsi="Palatino Linotype" w:cs="Arial"/>
          <w:sz w:val="24"/>
          <w:szCs w:val="24"/>
        </w:rPr>
        <w:t>,</w:t>
      </w:r>
      <w:r w:rsidRPr="00B07E71">
        <w:rPr>
          <w:rFonts w:ascii="Palatino Linotype" w:hAnsi="Palatino Linotype" w:cs="Arial"/>
          <w:sz w:val="24"/>
          <w:szCs w:val="24"/>
        </w:rPr>
        <w:t xml:space="preserve"> a</w:t>
      </w:r>
      <w:r w:rsidR="00702803" w:rsidRPr="00B07E71">
        <w:rPr>
          <w:rFonts w:ascii="Palatino Linotype" w:hAnsi="Palatino Linotype" w:cs="Arial"/>
          <w:sz w:val="24"/>
          <w:szCs w:val="24"/>
        </w:rPr>
        <w:t>nd online</w:t>
      </w:r>
      <w:r w:rsidRPr="00B07E71">
        <w:rPr>
          <w:rFonts w:ascii="Palatino Linotype" w:hAnsi="Palatino Linotype" w:cs="Arial"/>
          <w:sz w:val="24"/>
          <w:szCs w:val="24"/>
        </w:rPr>
        <w:t xml:space="preserve"> resources were used for research purposes.  Within the Environment Defenders Office, students had the opportunity to sit in on a client interview by phone (with the client’s permission).</w:t>
      </w:r>
    </w:p>
    <w:p w:rsidR="00D03ABF" w:rsidRPr="00B07E71" w:rsidRDefault="00D03ABF" w:rsidP="00B07E71">
      <w:pPr>
        <w:spacing w:line="480" w:lineRule="auto"/>
        <w:ind w:left="567"/>
        <w:jc w:val="both"/>
        <w:rPr>
          <w:rFonts w:ascii="Palatino Linotype" w:hAnsi="Palatino Linotype" w:cs="Arial"/>
          <w:b/>
          <w:i/>
          <w:sz w:val="24"/>
          <w:szCs w:val="24"/>
        </w:rPr>
      </w:pPr>
      <w:r w:rsidRPr="00B07E71">
        <w:rPr>
          <w:rFonts w:ascii="Palatino Linotype" w:hAnsi="Palatino Linotype" w:cs="Arial"/>
          <w:b/>
          <w:i/>
          <w:sz w:val="24"/>
          <w:szCs w:val="24"/>
        </w:rPr>
        <w:t>Refugee Law stream</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Students were placed with a local Darwin law firm within the </w:t>
      </w:r>
      <w:r w:rsidR="00320A5F" w:rsidRPr="00B07E71">
        <w:rPr>
          <w:rFonts w:ascii="Palatino Linotype" w:hAnsi="Palatino Linotype" w:cs="Arial"/>
          <w:sz w:val="24"/>
          <w:szCs w:val="24"/>
        </w:rPr>
        <w:t xml:space="preserve">firm’s </w:t>
      </w:r>
      <w:r w:rsidRPr="00B07E71">
        <w:rPr>
          <w:rFonts w:ascii="Palatino Linotype" w:hAnsi="Palatino Linotype" w:cs="Arial"/>
          <w:sz w:val="24"/>
          <w:szCs w:val="24"/>
        </w:rPr>
        <w:t>pro bono refugee law program.  The</w:t>
      </w:r>
      <w:r w:rsidR="00320A5F" w:rsidRPr="00B07E71">
        <w:rPr>
          <w:rFonts w:ascii="Palatino Linotype" w:hAnsi="Palatino Linotype" w:cs="Arial"/>
          <w:sz w:val="24"/>
          <w:szCs w:val="24"/>
        </w:rPr>
        <w:t xml:space="preserve"> placement site accommodated one</w:t>
      </w:r>
      <w:r w:rsidRPr="00B07E71">
        <w:rPr>
          <w:rFonts w:ascii="Palatino Linotype" w:hAnsi="Palatino Linotype" w:cs="Arial"/>
          <w:sz w:val="24"/>
          <w:szCs w:val="24"/>
        </w:rPr>
        <w:t xml:space="preserve"> online student</w:t>
      </w:r>
      <w:r w:rsidR="00320A5F" w:rsidRPr="00B07E71">
        <w:rPr>
          <w:rFonts w:ascii="Palatino Linotype" w:hAnsi="Palatino Linotype" w:cs="Arial"/>
          <w:sz w:val="24"/>
          <w:szCs w:val="24"/>
        </w:rPr>
        <w:t xml:space="preserve"> who was partnered with</w:t>
      </w:r>
      <w:r w:rsidRPr="00B07E71">
        <w:rPr>
          <w:rFonts w:ascii="Palatino Linotype" w:hAnsi="Palatino Linotype" w:cs="Arial"/>
          <w:sz w:val="24"/>
          <w:szCs w:val="24"/>
        </w:rPr>
        <w:t xml:space="preserve"> a local student</w:t>
      </w:r>
      <w:r w:rsidR="00924B5A" w:rsidRPr="00B07E71">
        <w:rPr>
          <w:rFonts w:ascii="Palatino Linotype" w:hAnsi="Palatino Linotype" w:cs="Arial"/>
          <w:sz w:val="24"/>
          <w:szCs w:val="24"/>
        </w:rPr>
        <w:t>. The student</w:t>
      </w:r>
      <w:r w:rsidR="005A762F" w:rsidRPr="00B07E71">
        <w:rPr>
          <w:rFonts w:ascii="Palatino Linotype" w:hAnsi="Palatino Linotype" w:cs="Arial"/>
          <w:sz w:val="24"/>
          <w:szCs w:val="24"/>
        </w:rPr>
        <w:t xml:space="preserve">s </w:t>
      </w:r>
      <w:r w:rsidR="00320A5F" w:rsidRPr="00B07E71">
        <w:rPr>
          <w:rFonts w:ascii="Palatino Linotype" w:hAnsi="Palatino Linotype" w:cs="Arial"/>
          <w:sz w:val="24"/>
          <w:szCs w:val="24"/>
        </w:rPr>
        <w:t>unde</w:t>
      </w:r>
      <w:r w:rsidR="005A762F" w:rsidRPr="00B07E71">
        <w:rPr>
          <w:rFonts w:ascii="Palatino Linotype" w:hAnsi="Palatino Linotype" w:cs="Arial"/>
          <w:sz w:val="24"/>
          <w:szCs w:val="24"/>
        </w:rPr>
        <w:t>rtook research on a current</w:t>
      </w:r>
      <w:r w:rsidR="00320A5F" w:rsidRPr="00B07E71">
        <w:rPr>
          <w:rFonts w:ascii="Palatino Linotype" w:hAnsi="Palatino Linotype" w:cs="Arial"/>
          <w:sz w:val="24"/>
          <w:szCs w:val="24"/>
        </w:rPr>
        <w:t xml:space="preserve"> case</w:t>
      </w:r>
      <w:r w:rsidR="005A762F" w:rsidRPr="00B07E71">
        <w:rPr>
          <w:rFonts w:ascii="Palatino Linotype" w:hAnsi="Palatino Linotype" w:cs="Arial"/>
          <w:sz w:val="24"/>
          <w:szCs w:val="24"/>
        </w:rPr>
        <w:t xml:space="preserve"> being handled by the firm, and observed the supervising lawyer in</w:t>
      </w:r>
      <w:r w:rsidR="00320A5F" w:rsidRPr="00B07E71">
        <w:rPr>
          <w:rFonts w:ascii="Palatino Linotype" w:hAnsi="Palatino Linotype" w:cs="Arial"/>
          <w:sz w:val="24"/>
          <w:szCs w:val="24"/>
        </w:rPr>
        <w:t xml:space="preserve"> court. The online student</w:t>
      </w:r>
      <w:r w:rsidRPr="00B07E71">
        <w:rPr>
          <w:rFonts w:ascii="Palatino Linotype" w:hAnsi="Palatino Linotype" w:cs="Arial"/>
          <w:sz w:val="24"/>
          <w:szCs w:val="24"/>
        </w:rPr>
        <w:t xml:space="preserve"> attended court hearing</w:t>
      </w:r>
      <w:r w:rsidR="00320A5F" w:rsidRPr="00B07E71">
        <w:rPr>
          <w:rFonts w:ascii="Palatino Linotype" w:hAnsi="Palatino Linotype" w:cs="Arial"/>
          <w:sz w:val="24"/>
          <w:szCs w:val="24"/>
        </w:rPr>
        <w:t>s</w:t>
      </w:r>
      <w:r w:rsidRPr="00B07E71">
        <w:rPr>
          <w:rFonts w:ascii="Palatino Linotype" w:hAnsi="Palatino Linotype" w:cs="Arial"/>
          <w:sz w:val="24"/>
          <w:szCs w:val="24"/>
        </w:rPr>
        <w:t xml:space="preserve"> online via the Federal Court’s video-link system.</w:t>
      </w:r>
      <w:r w:rsidR="00320A5F" w:rsidRPr="00B07E71">
        <w:rPr>
          <w:rFonts w:ascii="Palatino Linotype" w:hAnsi="Palatino Linotype" w:cs="Arial"/>
          <w:sz w:val="24"/>
          <w:szCs w:val="24"/>
        </w:rPr>
        <w:t xml:space="preserve"> The local, but not the</w:t>
      </w:r>
      <w:r w:rsidR="005A762F" w:rsidRPr="00B07E71">
        <w:rPr>
          <w:rFonts w:ascii="Palatino Linotype" w:hAnsi="Palatino Linotype" w:cs="Arial"/>
          <w:sz w:val="24"/>
          <w:szCs w:val="24"/>
        </w:rPr>
        <w:t xml:space="preserve"> online, student also </w:t>
      </w:r>
      <w:r w:rsidR="00320A5F" w:rsidRPr="00B07E71">
        <w:rPr>
          <w:rFonts w:ascii="Palatino Linotype" w:hAnsi="Palatino Linotype" w:cs="Arial"/>
          <w:sz w:val="24"/>
          <w:szCs w:val="24"/>
        </w:rPr>
        <w:t>observe</w:t>
      </w:r>
      <w:r w:rsidR="005A762F" w:rsidRPr="00B07E71">
        <w:rPr>
          <w:rFonts w:ascii="Palatino Linotype" w:hAnsi="Palatino Linotype" w:cs="Arial"/>
          <w:sz w:val="24"/>
          <w:szCs w:val="24"/>
        </w:rPr>
        <w:t>d c</w:t>
      </w:r>
      <w:r w:rsidR="00320A5F" w:rsidRPr="00B07E71">
        <w:rPr>
          <w:rFonts w:ascii="Palatino Linotype" w:hAnsi="Palatino Linotype" w:cs="Arial"/>
          <w:sz w:val="24"/>
          <w:szCs w:val="24"/>
        </w:rPr>
        <w:t>lient interviews.</w:t>
      </w:r>
    </w:p>
    <w:p w:rsidR="00815A4D" w:rsidRPr="00B07E71" w:rsidRDefault="00E110B1" w:rsidP="00B07E71">
      <w:pPr>
        <w:spacing w:line="480" w:lineRule="auto"/>
        <w:ind w:left="360" w:firstLine="360"/>
        <w:jc w:val="both"/>
        <w:rPr>
          <w:rFonts w:ascii="Palatino Linotype" w:hAnsi="Palatino Linotype" w:cs="Arial"/>
          <w:b/>
          <w:i/>
          <w:sz w:val="24"/>
          <w:szCs w:val="24"/>
        </w:rPr>
      </w:pPr>
      <w:r w:rsidRPr="00B07E71">
        <w:rPr>
          <w:rFonts w:ascii="Palatino Linotype" w:hAnsi="Palatino Linotype" w:cs="Arial"/>
          <w:b/>
          <w:i/>
          <w:sz w:val="24"/>
          <w:szCs w:val="24"/>
        </w:rPr>
        <w:t>Internship with Reprieve Australia</w:t>
      </w:r>
    </w:p>
    <w:p w:rsidR="00E110B1" w:rsidRPr="00B07E71" w:rsidRDefault="00815A4D"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w:t>
      </w:r>
      <w:r w:rsidR="00E110B1" w:rsidRPr="00B07E71">
        <w:rPr>
          <w:rFonts w:ascii="Palatino Linotype" w:hAnsi="Palatino Linotype" w:cs="Arial"/>
          <w:sz w:val="24"/>
          <w:szCs w:val="24"/>
        </w:rPr>
        <w:t xml:space="preserve">his placement site accommodated one online student who took part in researching and drafting a submission to the Joint Standing Committee on Foreign Affairs and Trade on the topic of Australia's advocacy </w:t>
      </w:r>
      <w:r w:rsidR="005A762F" w:rsidRPr="00B07E71">
        <w:rPr>
          <w:rFonts w:ascii="Palatino Linotype" w:hAnsi="Palatino Linotype" w:cs="Arial"/>
          <w:sz w:val="24"/>
          <w:szCs w:val="24"/>
        </w:rPr>
        <w:t xml:space="preserve">internationally </w:t>
      </w:r>
      <w:r w:rsidR="00E110B1" w:rsidRPr="00B07E71">
        <w:rPr>
          <w:rFonts w:ascii="Palatino Linotype" w:hAnsi="Palatino Linotype" w:cs="Arial"/>
          <w:sz w:val="24"/>
          <w:szCs w:val="24"/>
        </w:rPr>
        <w:t>for abolition of the death penalty. The student was supervised by a member of Reprieve Australia, and a CDU academic with experience in death penalty cases</w:t>
      </w:r>
      <w:r w:rsidR="00653782" w:rsidRPr="00B07E71">
        <w:rPr>
          <w:rFonts w:ascii="Palatino Linotype" w:hAnsi="Palatino Linotype" w:cs="Arial"/>
          <w:sz w:val="24"/>
          <w:szCs w:val="24"/>
        </w:rPr>
        <w:t xml:space="preserve">. </w:t>
      </w:r>
      <w:r w:rsidR="005A762F" w:rsidRPr="00B07E71">
        <w:rPr>
          <w:rFonts w:ascii="Palatino Linotype" w:hAnsi="Palatino Linotype" w:cs="Arial"/>
          <w:sz w:val="24"/>
          <w:szCs w:val="24"/>
        </w:rPr>
        <w:t xml:space="preserve">The student’s work </w:t>
      </w:r>
      <w:r w:rsidR="00E110B1" w:rsidRPr="00B07E71">
        <w:rPr>
          <w:rFonts w:ascii="Palatino Linotype" w:hAnsi="Palatino Linotype" w:cs="Arial"/>
          <w:sz w:val="24"/>
          <w:szCs w:val="24"/>
        </w:rPr>
        <w:t>reflect</w:t>
      </w:r>
      <w:r w:rsidR="005A762F" w:rsidRPr="00B07E71">
        <w:rPr>
          <w:rFonts w:ascii="Palatino Linotype" w:hAnsi="Palatino Linotype" w:cs="Arial"/>
          <w:sz w:val="24"/>
          <w:szCs w:val="24"/>
        </w:rPr>
        <w:t>ed as closely</w:t>
      </w:r>
      <w:r w:rsidR="00E110B1" w:rsidRPr="00B07E71">
        <w:rPr>
          <w:rFonts w:ascii="Palatino Linotype" w:hAnsi="Palatino Linotype" w:cs="Arial"/>
          <w:sz w:val="24"/>
          <w:szCs w:val="24"/>
        </w:rPr>
        <w:t xml:space="preserve"> as possible international l</w:t>
      </w:r>
      <w:r w:rsidR="005A762F" w:rsidRPr="00B07E71">
        <w:rPr>
          <w:rFonts w:ascii="Palatino Linotype" w:hAnsi="Palatino Linotype" w:cs="Arial"/>
          <w:sz w:val="24"/>
          <w:szCs w:val="24"/>
        </w:rPr>
        <w:t>egal practice involving the drafting of</w:t>
      </w:r>
      <w:r w:rsidR="00583CED" w:rsidRPr="00B07E71">
        <w:rPr>
          <w:rFonts w:ascii="Palatino Linotype" w:hAnsi="Palatino Linotype" w:cs="Arial"/>
          <w:sz w:val="24"/>
          <w:szCs w:val="24"/>
        </w:rPr>
        <w:t xml:space="preserve"> policy based </w:t>
      </w:r>
      <w:r w:rsidR="00E110B1" w:rsidRPr="00B07E71">
        <w:rPr>
          <w:rFonts w:ascii="Palatino Linotype" w:hAnsi="Palatino Linotype" w:cs="Arial"/>
          <w:sz w:val="24"/>
          <w:szCs w:val="24"/>
        </w:rPr>
        <w:t xml:space="preserve">reports and submissions.  </w:t>
      </w:r>
    </w:p>
    <w:p w:rsidR="005A762F" w:rsidRPr="00B07E71" w:rsidRDefault="00E110B1" w:rsidP="00B07E71">
      <w:pPr>
        <w:spacing w:line="480" w:lineRule="auto"/>
        <w:ind w:left="567"/>
        <w:jc w:val="both"/>
        <w:rPr>
          <w:rFonts w:ascii="Palatino Linotype" w:hAnsi="Palatino Linotype" w:cs="Arial"/>
          <w:b/>
          <w:i/>
          <w:sz w:val="24"/>
          <w:szCs w:val="24"/>
        </w:rPr>
      </w:pPr>
      <w:r w:rsidRPr="00B07E71">
        <w:rPr>
          <w:rFonts w:ascii="Palatino Linotype" w:hAnsi="Palatino Linotype" w:cs="Arial"/>
          <w:b/>
          <w:i/>
          <w:sz w:val="24"/>
          <w:szCs w:val="24"/>
        </w:rPr>
        <w:t>Indigenous Justice</w:t>
      </w:r>
      <w:r w:rsidR="005A762F" w:rsidRPr="00B07E71">
        <w:rPr>
          <w:rFonts w:ascii="Palatino Linotype" w:hAnsi="Palatino Linotype" w:cs="Arial"/>
          <w:b/>
          <w:i/>
          <w:sz w:val="24"/>
          <w:szCs w:val="24"/>
        </w:rPr>
        <w:t xml:space="preserve"> stream</w:t>
      </w:r>
      <w:r w:rsidR="00653782" w:rsidRPr="00B07E71">
        <w:rPr>
          <w:rFonts w:ascii="Palatino Linotype" w:hAnsi="Palatino Linotype" w:cs="Arial"/>
          <w:b/>
          <w:i/>
          <w:sz w:val="24"/>
          <w:szCs w:val="24"/>
        </w:rPr>
        <w:t xml:space="preserve"> </w:t>
      </w:r>
    </w:p>
    <w:p w:rsidR="005A762F" w:rsidRPr="00B07E71" w:rsidRDefault="00653782"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Indigenous Justice stream </w:t>
      </w:r>
      <w:r w:rsidR="00E110B1" w:rsidRPr="00B07E71">
        <w:rPr>
          <w:rFonts w:ascii="Palatino Linotype" w:hAnsi="Palatino Linotype" w:cs="Arial"/>
          <w:sz w:val="24"/>
          <w:szCs w:val="24"/>
        </w:rPr>
        <w:t>had three</w:t>
      </w:r>
      <w:r w:rsidR="005A762F" w:rsidRPr="00B07E71">
        <w:rPr>
          <w:rFonts w:ascii="Palatino Linotype" w:hAnsi="Palatino Linotype" w:cs="Arial"/>
          <w:sz w:val="24"/>
          <w:szCs w:val="24"/>
        </w:rPr>
        <w:t xml:space="preserve"> components:</w:t>
      </w:r>
    </w:p>
    <w:p w:rsidR="002248FF" w:rsidRPr="00B07E71" w:rsidRDefault="005A762F" w:rsidP="00B07E71">
      <w:pPr>
        <w:pStyle w:val="ListParagraph"/>
        <w:numPr>
          <w:ilvl w:val="0"/>
          <w:numId w:val="17"/>
        </w:numPr>
        <w:spacing w:line="480" w:lineRule="auto"/>
        <w:jc w:val="both"/>
        <w:rPr>
          <w:rFonts w:ascii="Palatino Linotype" w:hAnsi="Palatino Linotype" w:cs="Arial"/>
          <w:sz w:val="24"/>
          <w:szCs w:val="24"/>
        </w:rPr>
      </w:pPr>
      <w:r w:rsidRPr="00B07E71">
        <w:rPr>
          <w:rFonts w:ascii="Palatino Linotype" w:hAnsi="Palatino Linotype" w:cs="Arial"/>
          <w:sz w:val="24"/>
          <w:szCs w:val="24"/>
        </w:rPr>
        <w:t>a</w:t>
      </w:r>
      <w:r w:rsidR="00E110B1" w:rsidRPr="00B07E71">
        <w:rPr>
          <w:rFonts w:ascii="Palatino Linotype" w:hAnsi="Palatino Linotype" w:cs="Arial"/>
          <w:sz w:val="24"/>
          <w:szCs w:val="24"/>
        </w:rPr>
        <w:t xml:space="preserve"> placement with a Darwin law firm acting on behalf of Indigenous claimants in a tort class action relating to the sexual abuse</w:t>
      </w:r>
      <w:r w:rsidRPr="00B07E71">
        <w:rPr>
          <w:rFonts w:ascii="Palatino Linotype" w:hAnsi="Palatino Linotype" w:cs="Arial"/>
          <w:sz w:val="24"/>
          <w:szCs w:val="24"/>
        </w:rPr>
        <w:t xml:space="preserve"> of children</w:t>
      </w:r>
      <w:r w:rsidR="00E110B1" w:rsidRPr="00B07E71">
        <w:rPr>
          <w:rFonts w:ascii="Palatino Linotype" w:hAnsi="Palatino Linotype" w:cs="Arial"/>
          <w:sz w:val="24"/>
          <w:szCs w:val="24"/>
        </w:rPr>
        <w:t xml:space="preserve"> while resident at a children’s home in Darwin from 1947-1981. Darwin based and online students carried out legal research</w:t>
      </w:r>
      <w:r w:rsidR="006021AB" w:rsidRPr="00B07E71">
        <w:rPr>
          <w:rFonts w:ascii="Palatino Linotype" w:hAnsi="Palatino Linotype" w:cs="Arial"/>
          <w:sz w:val="24"/>
          <w:szCs w:val="24"/>
        </w:rPr>
        <w:t xml:space="preserve"> into both the substantive law relating to the abuse, and the procedural issues related to the running of a class action. They also attended client interviews,</w:t>
      </w:r>
      <w:r w:rsidR="00E110B1" w:rsidRPr="00B07E71">
        <w:rPr>
          <w:rFonts w:ascii="Palatino Linotype" w:hAnsi="Palatino Linotype" w:cs="Arial"/>
          <w:sz w:val="24"/>
          <w:szCs w:val="24"/>
        </w:rPr>
        <w:t xml:space="preserve"> took witness statements, </w:t>
      </w:r>
      <w:r w:rsidR="00052563" w:rsidRPr="00B07E71">
        <w:rPr>
          <w:rFonts w:ascii="Palatino Linotype" w:hAnsi="Palatino Linotype" w:cs="Arial"/>
          <w:sz w:val="24"/>
          <w:szCs w:val="24"/>
        </w:rPr>
        <w:t xml:space="preserve">drafted documents </w:t>
      </w:r>
      <w:r w:rsidR="00E110B1" w:rsidRPr="00B07E71">
        <w:rPr>
          <w:rFonts w:ascii="Palatino Linotype" w:hAnsi="Palatino Linotype" w:cs="Arial"/>
          <w:sz w:val="24"/>
          <w:szCs w:val="24"/>
        </w:rPr>
        <w:t>and accessed physical resources close to their home location such as government archival records.  Online students participated in interviews and meetin</w:t>
      </w:r>
      <w:r w:rsidR="00C507E7" w:rsidRPr="00B07E71">
        <w:rPr>
          <w:rFonts w:ascii="Palatino Linotype" w:hAnsi="Palatino Linotype" w:cs="Arial"/>
          <w:sz w:val="24"/>
          <w:szCs w:val="24"/>
        </w:rPr>
        <w:t>gs using Blackboard Collaborate and</w:t>
      </w:r>
      <w:r w:rsidR="00E110B1" w:rsidRPr="00B07E71">
        <w:rPr>
          <w:rFonts w:ascii="Palatino Linotype" w:hAnsi="Palatino Linotype" w:cs="Arial"/>
          <w:sz w:val="24"/>
          <w:szCs w:val="24"/>
        </w:rPr>
        <w:t xml:space="preserve"> </w:t>
      </w:r>
      <w:r w:rsidR="00653782" w:rsidRPr="00B07E71">
        <w:rPr>
          <w:rFonts w:ascii="Palatino Linotype" w:hAnsi="Palatino Linotype" w:cs="Arial"/>
          <w:sz w:val="24"/>
          <w:szCs w:val="24"/>
        </w:rPr>
        <w:t>tele</w:t>
      </w:r>
      <w:r w:rsidR="00C507E7" w:rsidRPr="00B07E71">
        <w:rPr>
          <w:rFonts w:ascii="Palatino Linotype" w:hAnsi="Palatino Linotype" w:cs="Arial"/>
          <w:sz w:val="24"/>
          <w:szCs w:val="24"/>
        </w:rPr>
        <w:t xml:space="preserve">phone. </w:t>
      </w:r>
      <w:r w:rsidR="00E110B1" w:rsidRPr="00B07E71">
        <w:rPr>
          <w:rFonts w:ascii="Palatino Linotype" w:hAnsi="Palatino Linotype" w:cs="Arial"/>
          <w:sz w:val="24"/>
          <w:szCs w:val="24"/>
        </w:rPr>
        <w:t>The supervising lawyers also met face to face with online students if the lawyers had occasion to travel to where the students were living.</w:t>
      </w:r>
    </w:p>
    <w:p w:rsidR="002248FF" w:rsidRPr="00B07E71" w:rsidRDefault="00957CE1" w:rsidP="00B07E71">
      <w:pPr>
        <w:pStyle w:val="ListParagraph"/>
        <w:numPr>
          <w:ilvl w:val="0"/>
          <w:numId w:val="17"/>
        </w:numPr>
        <w:spacing w:line="480" w:lineRule="auto"/>
        <w:jc w:val="both"/>
        <w:rPr>
          <w:rFonts w:ascii="Palatino Linotype" w:hAnsi="Palatino Linotype" w:cs="Arial"/>
          <w:sz w:val="24"/>
          <w:szCs w:val="24"/>
        </w:rPr>
      </w:pPr>
      <w:r w:rsidRPr="00B07E71">
        <w:rPr>
          <w:rFonts w:ascii="Palatino Linotype" w:hAnsi="Palatino Linotype" w:cs="Arial"/>
          <w:sz w:val="24"/>
          <w:szCs w:val="24"/>
        </w:rPr>
        <w:t>a</w:t>
      </w:r>
      <w:r w:rsidR="00E110B1" w:rsidRPr="00B07E71">
        <w:rPr>
          <w:rFonts w:ascii="Palatino Linotype" w:hAnsi="Palatino Linotype" w:cs="Arial"/>
          <w:sz w:val="24"/>
          <w:szCs w:val="24"/>
        </w:rPr>
        <w:t>n Indigenous Justice and Exoneration project which focused on freeing innocent persons who had been wrongly convicted.  Students</w:t>
      </w:r>
      <w:r w:rsidR="00815A4D" w:rsidRPr="00B07E71">
        <w:rPr>
          <w:rFonts w:ascii="Palatino Linotype" w:hAnsi="Palatino Linotype" w:cs="Arial"/>
          <w:sz w:val="24"/>
          <w:szCs w:val="24"/>
        </w:rPr>
        <w:t xml:space="preserve">, working under the supervision of a lawyer based in the state of Tasmania, </w:t>
      </w:r>
      <w:r w:rsidR="00E110B1" w:rsidRPr="00B07E71">
        <w:rPr>
          <w:rFonts w:ascii="Palatino Linotype" w:hAnsi="Palatino Linotype" w:cs="Arial"/>
          <w:sz w:val="24"/>
          <w:szCs w:val="24"/>
        </w:rPr>
        <w:t xml:space="preserve">researched relevant legal issues </w:t>
      </w:r>
      <w:r w:rsidR="00815A4D" w:rsidRPr="00B07E71">
        <w:rPr>
          <w:rFonts w:ascii="Palatino Linotype" w:hAnsi="Palatino Linotype" w:cs="Arial"/>
          <w:sz w:val="24"/>
          <w:szCs w:val="24"/>
        </w:rPr>
        <w:t xml:space="preserve">pertaining to an ongoing appeal for a conviction of murder </w:t>
      </w:r>
      <w:r w:rsidR="00E110B1" w:rsidRPr="00B07E71">
        <w:rPr>
          <w:rFonts w:ascii="Palatino Linotype" w:hAnsi="Palatino Linotype" w:cs="Arial"/>
          <w:sz w:val="24"/>
          <w:szCs w:val="24"/>
        </w:rPr>
        <w:t>and investigated whethe</w:t>
      </w:r>
      <w:r w:rsidR="0067650B" w:rsidRPr="00B07E71">
        <w:rPr>
          <w:rFonts w:ascii="Palatino Linotype" w:hAnsi="Palatino Linotype" w:cs="Arial"/>
          <w:sz w:val="24"/>
          <w:szCs w:val="24"/>
        </w:rPr>
        <w:t>r there was any admissible new</w:t>
      </w:r>
      <w:r w:rsidR="00E110B1" w:rsidRPr="00B07E71">
        <w:rPr>
          <w:rFonts w:ascii="Palatino Linotype" w:hAnsi="Palatino Linotype" w:cs="Arial"/>
          <w:sz w:val="24"/>
          <w:szCs w:val="24"/>
        </w:rPr>
        <w:t xml:space="preserve"> evidence. The students </w:t>
      </w:r>
      <w:r w:rsidR="00C507E7" w:rsidRPr="00B07E71">
        <w:rPr>
          <w:rFonts w:ascii="Palatino Linotype" w:hAnsi="Palatino Linotype" w:cs="Arial"/>
          <w:sz w:val="24"/>
          <w:szCs w:val="24"/>
        </w:rPr>
        <w:t xml:space="preserve">in this component </w:t>
      </w:r>
      <w:r w:rsidR="0091369D" w:rsidRPr="00B07E71">
        <w:rPr>
          <w:rFonts w:ascii="Palatino Linotype" w:hAnsi="Palatino Linotype" w:cs="Arial"/>
          <w:sz w:val="24"/>
          <w:szCs w:val="24"/>
        </w:rPr>
        <w:t xml:space="preserve">also </w:t>
      </w:r>
      <w:r w:rsidR="00815A4D" w:rsidRPr="00B07E71">
        <w:rPr>
          <w:rFonts w:ascii="Palatino Linotype" w:hAnsi="Palatino Linotype" w:cs="Arial"/>
          <w:sz w:val="24"/>
          <w:szCs w:val="24"/>
        </w:rPr>
        <w:t xml:space="preserve">researched and </w:t>
      </w:r>
      <w:r w:rsidR="00E110B1" w:rsidRPr="00B07E71">
        <w:rPr>
          <w:rFonts w:ascii="Palatino Linotype" w:hAnsi="Palatino Linotype" w:cs="Arial"/>
          <w:sz w:val="24"/>
          <w:szCs w:val="24"/>
        </w:rPr>
        <w:t xml:space="preserve">produced </w:t>
      </w:r>
      <w:r w:rsidR="0067650B" w:rsidRPr="00B07E71">
        <w:rPr>
          <w:rFonts w:ascii="Palatino Linotype" w:hAnsi="Palatino Linotype" w:cs="Arial"/>
          <w:sz w:val="24"/>
          <w:szCs w:val="24"/>
        </w:rPr>
        <w:t>for the United Kingdom based Advocates Gateway</w:t>
      </w:r>
      <w:r w:rsidR="0067650B" w:rsidRPr="00B07E71">
        <w:rPr>
          <w:rStyle w:val="FootnoteReference"/>
          <w:rFonts w:ascii="Palatino Linotype" w:hAnsi="Palatino Linotype" w:cs="Arial"/>
          <w:sz w:val="24"/>
          <w:szCs w:val="24"/>
        </w:rPr>
        <w:footnoteReference w:id="107"/>
      </w:r>
      <w:r w:rsidR="0067650B" w:rsidRPr="00B07E71">
        <w:rPr>
          <w:rFonts w:ascii="Palatino Linotype" w:hAnsi="Palatino Linotype" w:cs="Arial"/>
          <w:sz w:val="24"/>
          <w:szCs w:val="24"/>
        </w:rPr>
        <w:t xml:space="preserve"> </w:t>
      </w:r>
      <w:r w:rsidR="00815A4D" w:rsidRPr="00B07E71">
        <w:rPr>
          <w:rFonts w:ascii="Palatino Linotype" w:hAnsi="Palatino Linotype" w:cs="Arial"/>
          <w:sz w:val="24"/>
          <w:szCs w:val="24"/>
        </w:rPr>
        <w:t>an advocacy toolkit pertaining to the effective participation of Indigenous people in the justice system</w:t>
      </w:r>
      <w:r w:rsidR="0067650B" w:rsidRPr="00B07E71">
        <w:rPr>
          <w:rFonts w:ascii="Palatino Linotype" w:hAnsi="Palatino Linotype" w:cs="Arial"/>
          <w:sz w:val="24"/>
          <w:szCs w:val="24"/>
        </w:rPr>
        <w:t xml:space="preserve">. Students also produced policy documents and </w:t>
      </w:r>
      <w:r w:rsidR="0091369D" w:rsidRPr="00B07E71">
        <w:rPr>
          <w:rFonts w:ascii="Palatino Linotype" w:hAnsi="Palatino Linotype" w:cs="Arial"/>
          <w:sz w:val="24"/>
          <w:szCs w:val="24"/>
        </w:rPr>
        <w:t>reports</w:t>
      </w:r>
      <w:r w:rsidR="0067650B" w:rsidRPr="00B07E71">
        <w:rPr>
          <w:rFonts w:ascii="Palatino Linotype" w:hAnsi="Palatino Linotype" w:cs="Arial"/>
          <w:sz w:val="24"/>
          <w:szCs w:val="24"/>
        </w:rPr>
        <w:t xml:space="preserve"> requested by the Advocates Gateway Indigenous steering group</w:t>
      </w:r>
      <w:r w:rsidR="00E110B1" w:rsidRPr="00B07E71">
        <w:rPr>
          <w:rFonts w:ascii="Palatino Linotype" w:hAnsi="Palatino Linotype" w:cs="Arial"/>
          <w:sz w:val="24"/>
          <w:szCs w:val="24"/>
        </w:rPr>
        <w:t xml:space="preserve">. The placement simulated as </w:t>
      </w:r>
      <w:r w:rsidR="0067650B" w:rsidRPr="00B07E71">
        <w:rPr>
          <w:rFonts w:ascii="Palatino Linotype" w:hAnsi="Palatino Linotype" w:cs="Arial"/>
          <w:sz w:val="24"/>
          <w:szCs w:val="24"/>
        </w:rPr>
        <w:t>far as is possible an international</w:t>
      </w:r>
      <w:r w:rsidR="00E110B1" w:rsidRPr="00B07E71">
        <w:rPr>
          <w:rFonts w:ascii="Palatino Linotype" w:hAnsi="Palatino Linotype" w:cs="Arial"/>
          <w:sz w:val="24"/>
          <w:szCs w:val="24"/>
        </w:rPr>
        <w:t xml:space="preserve"> law firm as online students communicated with supervisors and each oth</w:t>
      </w:r>
      <w:r w:rsidR="0067650B" w:rsidRPr="00B07E71">
        <w:rPr>
          <w:rFonts w:ascii="Palatino Linotype" w:hAnsi="Palatino Linotype" w:cs="Arial"/>
          <w:sz w:val="24"/>
          <w:szCs w:val="24"/>
        </w:rPr>
        <w:t>er in person, using Blackboard Collaborate,</w:t>
      </w:r>
      <w:r w:rsidR="00041834" w:rsidRPr="00B07E71">
        <w:rPr>
          <w:rFonts w:ascii="Palatino Linotype" w:hAnsi="Palatino Linotype" w:cs="Arial"/>
          <w:sz w:val="24"/>
          <w:szCs w:val="24"/>
        </w:rPr>
        <w:t xml:space="preserve"> and </w:t>
      </w:r>
      <w:r w:rsidR="00BF3160" w:rsidRPr="00B07E71">
        <w:rPr>
          <w:rFonts w:ascii="Palatino Linotype" w:hAnsi="Palatino Linotype" w:cs="Arial"/>
          <w:sz w:val="24"/>
          <w:szCs w:val="24"/>
        </w:rPr>
        <w:t xml:space="preserve">by </w:t>
      </w:r>
      <w:r w:rsidR="00E110B1" w:rsidRPr="00B07E71">
        <w:rPr>
          <w:rFonts w:ascii="Palatino Linotype" w:hAnsi="Palatino Linotype" w:cs="Arial"/>
          <w:sz w:val="24"/>
          <w:szCs w:val="24"/>
        </w:rPr>
        <w:t>email.  All research was undertaken using online or digital resources.</w:t>
      </w:r>
    </w:p>
    <w:p w:rsidR="00E110B1" w:rsidRPr="00B07E71" w:rsidRDefault="00135662" w:rsidP="00B07E71">
      <w:pPr>
        <w:pStyle w:val="ListParagraph"/>
        <w:numPr>
          <w:ilvl w:val="0"/>
          <w:numId w:val="17"/>
        </w:numPr>
        <w:spacing w:line="480" w:lineRule="auto"/>
        <w:jc w:val="both"/>
        <w:rPr>
          <w:rFonts w:ascii="Palatino Linotype" w:hAnsi="Palatino Linotype" w:cs="Arial"/>
          <w:sz w:val="24"/>
          <w:szCs w:val="24"/>
        </w:rPr>
      </w:pPr>
      <w:r w:rsidRPr="00B07E71">
        <w:rPr>
          <w:rFonts w:ascii="Palatino Linotype" w:hAnsi="Palatino Linotype" w:cs="Arial"/>
          <w:sz w:val="24"/>
          <w:szCs w:val="24"/>
        </w:rPr>
        <w:t>a</w:t>
      </w:r>
      <w:r w:rsidR="00E110B1" w:rsidRPr="00B07E71">
        <w:rPr>
          <w:rFonts w:ascii="Palatino Linotype" w:hAnsi="Palatino Linotype" w:cs="Arial"/>
          <w:sz w:val="24"/>
          <w:szCs w:val="24"/>
        </w:rPr>
        <w:t xml:space="preserve"> placement at the North Australian Aboriginal Justice Agency (NAAJA),</w:t>
      </w:r>
      <w:r w:rsidR="00837A80" w:rsidRPr="00B07E71">
        <w:rPr>
          <w:rStyle w:val="FootnoteReference"/>
          <w:rFonts w:ascii="Palatino Linotype" w:hAnsi="Palatino Linotype" w:cs="Arial"/>
          <w:sz w:val="24"/>
          <w:szCs w:val="24"/>
        </w:rPr>
        <w:footnoteReference w:id="108"/>
      </w:r>
      <w:r w:rsidR="00E110B1" w:rsidRPr="00B07E71">
        <w:rPr>
          <w:rFonts w:ascii="Palatino Linotype" w:hAnsi="Palatino Linotype" w:cs="Arial"/>
          <w:sz w:val="24"/>
          <w:szCs w:val="24"/>
        </w:rPr>
        <w:t xml:space="preserve"> in the Local Court bail section, where students were actively involved in </w:t>
      </w:r>
      <w:r w:rsidR="00C507E7" w:rsidRPr="00B07E71">
        <w:rPr>
          <w:rFonts w:ascii="Palatino Linotype" w:hAnsi="Palatino Linotype" w:cs="Arial"/>
          <w:sz w:val="24"/>
          <w:szCs w:val="24"/>
        </w:rPr>
        <w:t xml:space="preserve">assisting their supervising lawyer in seeking </w:t>
      </w:r>
      <w:r w:rsidR="00E110B1" w:rsidRPr="00B07E71">
        <w:rPr>
          <w:rFonts w:ascii="Palatino Linotype" w:hAnsi="Palatino Linotype" w:cs="Arial"/>
          <w:sz w:val="24"/>
          <w:szCs w:val="24"/>
        </w:rPr>
        <w:t xml:space="preserve">bail for disadvantaged Indigenous clients.  </w:t>
      </w:r>
      <w:r w:rsidR="00C507E7" w:rsidRPr="00B07E71">
        <w:rPr>
          <w:rFonts w:ascii="Palatino Linotype" w:hAnsi="Palatino Linotype" w:cs="Arial"/>
          <w:sz w:val="24"/>
          <w:szCs w:val="24"/>
        </w:rPr>
        <w:t>Students interviewed clien</w:t>
      </w:r>
      <w:r w:rsidR="00583C4D" w:rsidRPr="00B07E71">
        <w:rPr>
          <w:rFonts w:ascii="Palatino Linotype" w:hAnsi="Palatino Linotype" w:cs="Arial"/>
          <w:sz w:val="24"/>
          <w:szCs w:val="24"/>
        </w:rPr>
        <w:t>ts and</w:t>
      </w:r>
      <w:r w:rsidR="00C507E7" w:rsidRPr="00B07E71">
        <w:rPr>
          <w:rFonts w:ascii="Palatino Linotype" w:hAnsi="Palatino Linotype" w:cs="Arial"/>
          <w:sz w:val="24"/>
          <w:szCs w:val="24"/>
        </w:rPr>
        <w:t xml:space="preserve"> made contact with family members on behalf of clients. </w:t>
      </w:r>
      <w:r w:rsidR="00E110B1" w:rsidRPr="00B07E71">
        <w:rPr>
          <w:rFonts w:ascii="Palatino Linotype" w:hAnsi="Palatino Linotype" w:cs="Arial"/>
          <w:sz w:val="24"/>
          <w:szCs w:val="24"/>
        </w:rPr>
        <w:t xml:space="preserve">Given the nature of the work done at the placement site, </w:t>
      </w:r>
      <w:r w:rsidR="00DC3F9B" w:rsidRPr="00B07E71">
        <w:rPr>
          <w:rFonts w:ascii="Palatino Linotype" w:hAnsi="Palatino Linotype" w:cs="Arial"/>
          <w:sz w:val="24"/>
          <w:szCs w:val="24"/>
        </w:rPr>
        <w:t>NAAJA requested</w:t>
      </w:r>
      <w:r w:rsidR="00583C4D" w:rsidRPr="00B07E71">
        <w:rPr>
          <w:rFonts w:ascii="Palatino Linotype" w:hAnsi="Palatino Linotype" w:cs="Arial"/>
          <w:sz w:val="24"/>
          <w:szCs w:val="24"/>
        </w:rPr>
        <w:t xml:space="preserve"> that o</w:t>
      </w:r>
      <w:r w:rsidR="00DC3F9B" w:rsidRPr="00B07E71">
        <w:rPr>
          <w:rFonts w:ascii="Palatino Linotype" w:hAnsi="Palatino Linotype" w:cs="Arial"/>
          <w:sz w:val="24"/>
          <w:szCs w:val="24"/>
        </w:rPr>
        <w:t xml:space="preserve">nly Darwin based students </w:t>
      </w:r>
      <w:r w:rsidR="00583C4D" w:rsidRPr="00B07E71">
        <w:rPr>
          <w:rFonts w:ascii="Palatino Linotype" w:hAnsi="Palatino Linotype" w:cs="Arial"/>
          <w:sz w:val="24"/>
          <w:szCs w:val="24"/>
        </w:rPr>
        <w:t>be placed with the organisation.</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As with traditional externship placements, s</w:t>
      </w:r>
      <w:r w:rsidR="00BA36BB" w:rsidRPr="00B07E71">
        <w:rPr>
          <w:rFonts w:ascii="Palatino Linotype" w:hAnsi="Palatino Linotype" w:cs="Arial"/>
          <w:sz w:val="24"/>
          <w:szCs w:val="24"/>
        </w:rPr>
        <w:t>tudents were</w:t>
      </w:r>
      <w:r w:rsidRPr="00B07E71">
        <w:rPr>
          <w:rFonts w:ascii="Palatino Linotype" w:hAnsi="Palatino Linotype" w:cs="Arial"/>
          <w:sz w:val="24"/>
          <w:szCs w:val="24"/>
        </w:rPr>
        <w:t xml:space="preserve"> supervised by a lawyer within the organisation</w:t>
      </w:r>
      <w:r w:rsidR="00583C4D" w:rsidRPr="00B07E71">
        <w:rPr>
          <w:rFonts w:ascii="Palatino Linotype" w:hAnsi="Palatino Linotype" w:cs="Arial"/>
          <w:sz w:val="24"/>
          <w:szCs w:val="24"/>
        </w:rPr>
        <w:t>s</w:t>
      </w:r>
      <w:r w:rsidRPr="00B07E71">
        <w:rPr>
          <w:rFonts w:ascii="Palatino Linotype" w:hAnsi="Palatino Linotype" w:cs="Arial"/>
          <w:sz w:val="24"/>
          <w:szCs w:val="24"/>
        </w:rPr>
        <w:t xml:space="preserve"> as well as by a CDU academic</w:t>
      </w:r>
      <w:r w:rsidR="00BA36BB" w:rsidRPr="00B07E71">
        <w:rPr>
          <w:rFonts w:ascii="Palatino Linotype" w:hAnsi="Palatino Linotype" w:cs="Arial"/>
          <w:sz w:val="24"/>
          <w:szCs w:val="24"/>
        </w:rPr>
        <w:t xml:space="preserve"> who me</w:t>
      </w:r>
      <w:r w:rsidRPr="00B07E71">
        <w:rPr>
          <w:rFonts w:ascii="Palatino Linotype" w:hAnsi="Palatino Linotype" w:cs="Arial"/>
          <w:sz w:val="24"/>
          <w:szCs w:val="24"/>
        </w:rPr>
        <w:t>t with the students, either face-to-face or online, regul</w:t>
      </w:r>
      <w:r w:rsidR="00BA36BB" w:rsidRPr="00B07E71">
        <w:rPr>
          <w:rFonts w:ascii="Palatino Linotype" w:hAnsi="Palatino Linotype" w:cs="Arial"/>
          <w:sz w:val="24"/>
          <w:szCs w:val="24"/>
        </w:rPr>
        <w:t xml:space="preserve">arly throughout the placement. </w:t>
      </w:r>
      <w:r w:rsidRPr="00B07E71">
        <w:rPr>
          <w:rFonts w:ascii="Palatino Linotype" w:hAnsi="Palatino Linotype" w:cs="Arial"/>
          <w:sz w:val="24"/>
          <w:szCs w:val="24"/>
        </w:rPr>
        <w:t xml:space="preserve">The students’ placement experience </w:t>
      </w:r>
      <w:r w:rsidR="00BA36BB" w:rsidRPr="00B07E71">
        <w:rPr>
          <w:rFonts w:ascii="Palatino Linotype" w:hAnsi="Palatino Linotype" w:cs="Arial"/>
          <w:sz w:val="24"/>
          <w:szCs w:val="24"/>
        </w:rPr>
        <w:t xml:space="preserve">also </w:t>
      </w:r>
      <w:r w:rsidRPr="00B07E71">
        <w:rPr>
          <w:rFonts w:ascii="Palatino Linotype" w:hAnsi="Palatino Linotype" w:cs="Arial"/>
          <w:sz w:val="24"/>
          <w:szCs w:val="24"/>
        </w:rPr>
        <w:t>was supplemented by weekly legal skills workshops. Such workshops were presented face</w:t>
      </w:r>
      <w:r w:rsidR="00583C4D" w:rsidRPr="00B07E71">
        <w:rPr>
          <w:rFonts w:ascii="Palatino Linotype" w:hAnsi="Palatino Linotype" w:cs="Arial"/>
          <w:sz w:val="24"/>
          <w:szCs w:val="24"/>
        </w:rPr>
        <w:t>-to-face for on-campus students</w:t>
      </w:r>
      <w:r w:rsidRPr="00B07E71">
        <w:rPr>
          <w:rFonts w:ascii="Palatino Linotype" w:hAnsi="Palatino Linotype" w:cs="Arial"/>
          <w:sz w:val="24"/>
          <w:szCs w:val="24"/>
        </w:rPr>
        <w:t xml:space="preserve"> and onlin</w:t>
      </w:r>
      <w:r w:rsidR="00135662" w:rsidRPr="00B07E71">
        <w:rPr>
          <w:rFonts w:ascii="Palatino Linotype" w:hAnsi="Palatino Linotype" w:cs="Arial"/>
          <w:sz w:val="24"/>
          <w:szCs w:val="24"/>
        </w:rPr>
        <w:t>e using Blackboard Collaborate for external students</w:t>
      </w:r>
      <w:r w:rsidRPr="00B07E71">
        <w:rPr>
          <w:rFonts w:ascii="Palatino Linotype" w:hAnsi="Palatino Linotype" w:cs="Arial"/>
          <w:sz w:val="24"/>
          <w:szCs w:val="24"/>
        </w:rPr>
        <w:t>. The workshops covered practical lawyering skills such as client interviewing, mediation, working with interpreters and legal research and writing skills.</w:t>
      </w:r>
      <w:r w:rsidRPr="00B07E71">
        <w:rPr>
          <w:rStyle w:val="FootnoteReference"/>
          <w:rFonts w:ascii="Palatino Linotype" w:hAnsi="Palatino Linotype" w:cs="Arial"/>
          <w:sz w:val="24"/>
          <w:szCs w:val="24"/>
        </w:rPr>
        <w:footnoteReference w:id="109"/>
      </w:r>
      <w:r w:rsidRPr="00B07E71">
        <w:rPr>
          <w:rFonts w:ascii="Palatino Linotype" w:hAnsi="Palatino Linotype" w:cs="Arial"/>
          <w:sz w:val="24"/>
          <w:szCs w:val="24"/>
        </w:rPr>
        <w:t xml:space="preserve">  </w:t>
      </w:r>
      <w:r w:rsidR="00BF3160" w:rsidRPr="00B07E71">
        <w:rPr>
          <w:rFonts w:ascii="Palatino Linotype" w:hAnsi="Palatino Linotype" w:cs="Arial"/>
          <w:sz w:val="24"/>
          <w:szCs w:val="24"/>
        </w:rPr>
        <w:t>Professional responsibility issues such as legal professional privilege and maintaining client confidentiality were addressed, and the workshops</w:t>
      </w:r>
      <w:r w:rsidR="00041834" w:rsidRPr="00B07E71">
        <w:rPr>
          <w:rFonts w:ascii="Palatino Linotype" w:hAnsi="Palatino Linotype" w:cs="Arial"/>
          <w:sz w:val="24"/>
          <w:szCs w:val="24"/>
        </w:rPr>
        <w:t xml:space="preserve"> also provided an opportunity for students to share with</w:t>
      </w:r>
      <w:r w:rsidR="00DC3F9B" w:rsidRPr="00B07E71">
        <w:rPr>
          <w:rFonts w:ascii="Palatino Linotype" w:hAnsi="Palatino Linotype" w:cs="Arial"/>
          <w:sz w:val="24"/>
          <w:szCs w:val="24"/>
        </w:rPr>
        <w:t xml:space="preserve"> each other their experiences at</w:t>
      </w:r>
      <w:r w:rsidR="00041834" w:rsidRPr="00B07E71">
        <w:rPr>
          <w:rFonts w:ascii="Palatino Linotype" w:hAnsi="Palatino Linotype" w:cs="Arial"/>
          <w:sz w:val="24"/>
          <w:szCs w:val="24"/>
        </w:rPr>
        <w:t xml:space="preserve"> various placement sites.</w:t>
      </w:r>
    </w:p>
    <w:p w:rsidR="00E110B1" w:rsidRPr="00B07E71" w:rsidRDefault="00041834" w:rsidP="00B07E71">
      <w:pPr>
        <w:pStyle w:val="ListParagraph"/>
        <w:spacing w:line="480" w:lineRule="auto"/>
        <w:ind w:left="567"/>
        <w:jc w:val="both"/>
        <w:rPr>
          <w:rFonts w:ascii="Palatino Linotype" w:hAnsi="Palatino Linotype" w:cs="Arial"/>
          <w:b/>
          <w:i/>
          <w:sz w:val="24"/>
          <w:szCs w:val="24"/>
        </w:rPr>
      </w:pPr>
      <w:r w:rsidRPr="00B07E71">
        <w:rPr>
          <w:rFonts w:ascii="Palatino Linotype" w:hAnsi="Palatino Linotype" w:cs="Arial"/>
          <w:b/>
          <w:i/>
          <w:sz w:val="24"/>
          <w:szCs w:val="24"/>
        </w:rPr>
        <w:t>Assessment</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assessment consisted of a reflective journal, worth 70% of the final mark, and an essay, worth 30%. The </w:t>
      </w:r>
      <w:r w:rsidR="00BB2121" w:rsidRPr="00B07E71">
        <w:rPr>
          <w:rFonts w:ascii="Palatino Linotype" w:hAnsi="Palatino Linotype" w:cs="Arial"/>
          <w:sz w:val="24"/>
          <w:szCs w:val="24"/>
        </w:rPr>
        <w:t xml:space="preserve">reflective journal was used to enable </w:t>
      </w:r>
      <w:r w:rsidR="00670CA9" w:rsidRPr="00B07E71">
        <w:rPr>
          <w:rFonts w:ascii="Palatino Linotype" w:hAnsi="Palatino Linotype" w:cs="Arial"/>
          <w:sz w:val="24"/>
          <w:szCs w:val="24"/>
        </w:rPr>
        <w:t>student</w:t>
      </w:r>
      <w:r w:rsidR="00BB2121" w:rsidRPr="00B07E71">
        <w:rPr>
          <w:rFonts w:ascii="Palatino Linotype" w:hAnsi="Palatino Linotype" w:cs="Arial"/>
          <w:sz w:val="24"/>
          <w:szCs w:val="24"/>
        </w:rPr>
        <w:t xml:space="preserve">s to </w:t>
      </w:r>
      <w:r w:rsidRPr="00B07E71">
        <w:rPr>
          <w:rFonts w:ascii="Palatino Linotype" w:hAnsi="Palatino Linotype" w:cs="Arial"/>
          <w:sz w:val="24"/>
          <w:szCs w:val="24"/>
        </w:rPr>
        <w:t xml:space="preserve">analyse </w:t>
      </w:r>
      <w:r w:rsidR="00670CA9" w:rsidRPr="00B07E71">
        <w:rPr>
          <w:rFonts w:ascii="Palatino Linotype" w:hAnsi="Palatino Linotype" w:cs="Arial"/>
          <w:sz w:val="24"/>
          <w:szCs w:val="24"/>
        </w:rPr>
        <w:t xml:space="preserve">critically </w:t>
      </w:r>
      <w:r w:rsidRPr="00B07E71">
        <w:rPr>
          <w:rFonts w:ascii="Palatino Linotype" w:hAnsi="Palatino Linotype" w:cs="Arial"/>
          <w:sz w:val="24"/>
          <w:szCs w:val="24"/>
        </w:rPr>
        <w:t>how knowledge and skills acquired through the study of law relate</w:t>
      </w:r>
      <w:r w:rsidR="00BB2121" w:rsidRPr="00B07E71">
        <w:rPr>
          <w:rFonts w:ascii="Palatino Linotype" w:hAnsi="Palatino Linotype" w:cs="Arial"/>
          <w:sz w:val="24"/>
          <w:szCs w:val="24"/>
        </w:rPr>
        <w:t>d to the</w:t>
      </w:r>
      <w:r w:rsidRPr="00B07E71">
        <w:rPr>
          <w:rFonts w:ascii="Palatino Linotype" w:hAnsi="Palatino Linotype" w:cs="Arial"/>
          <w:sz w:val="24"/>
          <w:szCs w:val="24"/>
        </w:rPr>
        <w:t xml:space="preserve"> legal practice setting</w:t>
      </w:r>
      <w:r w:rsidR="00BB2121" w:rsidRPr="00B07E71">
        <w:rPr>
          <w:rFonts w:ascii="Palatino Linotype" w:hAnsi="Palatino Linotype" w:cs="Arial"/>
          <w:sz w:val="24"/>
          <w:szCs w:val="24"/>
        </w:rPr>
        <w:t xml:space="preserve"> in which they were placed. In particular, students had the opportunity to reflect on how their legal knowledge and skills could be used to achieve social justice outcomes. The reflective journal also allowed students to reflect on </w:t>
      </w:r>
      <w:r w:rsidRPr="00B07E71">
        <w:rPr>
          <w:rFonts w:ascii="Palatino Linotype" w:hAnsi="Palatino Linotype" w:cs="Arial"/>
          <w:sz w:val="24"/>
          <w:szCs w:val="24"/>
        </w:rPr>
        <w:t>their personal motivation</w:t>
      </w:r>
      <w:r w:rsidR="00BB2121" w:rsidRPr="00B07E71">
        <w:rPr>
          <w:rFonts w:ascii="Palatino Linotype" w:hAnsi="Palatino Linotype" w:cs="Arial"/>
          <w:sz w:val="24"/>
          <w:szCs w:val="24"/>
        </w:rPr>
        <w:t>s</w:t>
      </w:r>
      <w:r w:rsidRPr="00B07E71">
        <w:rPr>
          <w:rFonts w:ascii="Palatino Linotype" w:hAnsi="Palatino Linotype" w:cs="Arial"/>
          <w:sz w:val="24"/>
          <w:szCs w:val="24"/>
        </w:rPr>
        <w:t xml:space="preserve"> for studying law,</w:t>
      </w:r>
      <w:r w:rsidR="00BB2121" w:rsidRPr="00B07E71">
        <w:rPr>
          <w:rFonts w:ascii="Palatino Linotype" w:hAnsi="Palatino Linotype" w:cs="Arial"/>
          <w:sz w:val="24"/>
          <w:szCs w:val="24"/>
        </w:rPr>
        <w:t xml:space="preserve"> and </w:t>
      </w:r>
      <w:r w:rsidRPr="00B07E71">
        <w:rPr>
          <w:rFonts w:ascii="Palatino Linotype" w:hAnsi="Palatino Linotype" w:cs="Arial"/>
          <w:sz w:val="24"/>
          <w:szCs w:val="24"/>
        </w:rPr>
        <w:t>their goals and career aspirations</w:t>
      </w:r>
      <w:r w:rsidR="00950045" w:rsidRPr="00B07E71">
        <w:rPr>
          <w:rFonts w:ascii="Palatino Linotype" w:hAnsi="Palatino Linotype" w:cs="Arial"/>
          <w:sz w:val="24"/>
          <w:szCs w:val="24"/>
        </w:rPr>
        <w:t xml:space="preserve">. Finally, it provided </w:t>
      </w:r>
      <w:r w:rsidR="00BB2121" w:rsidRPr="00B07E71">
        <w:rPr>
          <w:rFonts w:ascii="Palatino Linotype" w:hAnsi="Palatino Linotype" w:cs="Arial"/>
          <w:sz w:val="24"/>
          <w:szCs w:val="24"/>
        </w:rPr>
        <w:t>students with</w:t>
      </w:r>
      <w:r w:rsidRPr="00B07E71">
        <w:rPr>
          <w:rFonts w:ascii="Palatino Linotype" w:hAnsi="Palatino Linotype" w:cs="Arial"/>
          <w:sz w:val="24"/>
          <w:szCs w:val="24"/>
        </w:rPr>
        <w:t xml:space="preserve"> a record of </w:t>
      </w:r>
      <w:r w:rsidR="00BB2121" w:rsidRPr="00B07E71">
        <w:rPr>
          <w:rFonts w:ascii="Palatino Linotype" w:hAnsi="Palatino Linotype" w:cs="Arial"/>
          <w:sz w:val="24"/>
          <w:szCs w:val="24"/>
        </w:rPr>
        <w:t xml:space="preserve">their </w:t>
      </w:r>
      <w:r w:rsidRPr="00B07E71">
        <w:rPr>
          <w:rFonts w:ascii="Palatino Linotype" w:hAnsi="Palatino Linotype" w:cs="Arial"/>
          <w:sz w:val="24"/>
          <w:szCs w:val="24"/>
        </w:rPr>
        <w:t xml:space="preserve">personal and professional growth </w:t>
      </w:r>
      <w:r w:rsidR="00BB2121" w:rsidRPr="00B07E71">
        <w:rPr>
          <w:rFonts w:ascii="Palatino Linotype" w:hAnsi="Palatino Linotype" w:cs="Arial"/>
          <w:sz w:val="24"/>
          <w:szCs w:val="24"/>
        </w:rPr>
        <w:t>during the course of the placement, and</w:t>
      </w:r>
      <w:r w:rsidR="00583C4D" w:rsidRPr="00B07E71">
        <w:rPr>
          <w:rFonts w:ascii="Palatino Linotype" w:hAnsi="Palatino Linotype" w:cs="Arial"/>
          <w:sz w:val="24"/>
          <w:szCs w:val="24"/>
        </w:rPr>
        <w:t>, hopefully,</w:t>
      </w:r>
      <w:r w:rsidR="00BB2121" w:rsidRPr="00B07E71">
        <w:rPr>
          <w:rFonts w:ascii="Palatino Linotype" w:hAnsi="Palatino Linotype" w:cs="Arial"/>
          <w:sz w:val="24"/>
          <w:szCs w:val="24"/>
        </w:rPr>
        <w:t xml:space="preserve"> equipped them with the skills to be a self-reflective professional. </w:t>
      </w:r>
      <w:r w:rsidRPr="00B07E71">
        <w:rPr>
          <w:rFonts w:ascii="Palatino Linotype" w:hAnsi="Palatino Linotype" w:cs="Arial"/>
          <w:sz w:val="24"/>
          <w:szCs w:val="24"/>
        </w:rPr>
        <w:t xml:space="preserve"> </w:t>
      </w:r>
    </w:p>
    <w:p w:rsidR="009E4C49"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Once </w:t>
      </w:r>
      <w:r w:rsidR="00D72597" w:rsidRPr="00B07E71">
        <w:rPr>
          <w:rFonts w:ascii="Palatino Linotype" w:hAnsi="Palatino Linotype" w:cs="Arial"/>
          <w:sz w:val="24"/>
          <w:szCs w:val="24"/>
        </w:rPr>
        <w:t>the weekly entry in the student</w:t>
      </w:r>
      <w:r w:rsidRPr="00B07E71">
        <w:rPr>
          <w:rFonts w:ascii="Palatino Linotype" w:hAnsi="Palatino Linotype" w:cs="Arial"/>
          <w:sz w:val="24"/>
          <w:szCs w:val="24"/>
        </w:rPr>
        <w:t>s</w:t>
      </w:r>
      <w:r w:rsidR="00D72597" w:rsidRPr="00B07E71">
        <w:rPr>
          <w:rFonts w:ascii="Palatino Linotype" w:hAnsi="Palatino Linotype" w:cs="Arial"/>
          <w:sz w:val="24"/>
          <w:szCs w:val="24"/>
        </w:rPr>
        <w:t>’</w:t>
      </w:r>
      <w:r w:rsidRPr="00B07E71">
        <w:rPr>
          <w:rFonts w:ascii="Palatino Linotype" w:hAnsi="Palatino Linotype" w:cs="Arial"/>
          <w:sz w:val="24"/>
          <w:szCs w:val="24"/>
        </w:rPr>
        <w:t xml:space="preserve"> reflective journal</w:t>
      </w:r>
      <w:r w:rsidR="00D72597" w:rsidRPr="00B07E71">
        <w:rPr>
          <w:rFonts w:ascii="Palatino Linotype" w:hAnsi="Palatino Linotype" w:cs="Arial"/>
          <w:sz w:val="24"/>
          <w:szCs w:val="24"/>
        </w:rPr>
        <w:t>s</w:t>
      </w:r>
      <w:r w:rsidRPr="00B07E71">
        <w:rPr>
          <w:rFonts w:ascii="Palatino Linotype" w:hAnsi="Palatino Linotype" w:cs="Arial"/>
          <w:sz w:val="24"/>
          <w:szCs w:val="24"/>
        </w:rPr>
        <w:t xml:space="preserve"> </w:t>
      </w:r>
      <w:r w:rsidR="00D72597" w:rsidRPr="00B07E71">
        <w:rPr>
          <w:rFonts w:ascii="Palatino Linotype" w:hAnsi="Palatino Linotype" w:cs="Arial"/>
          <w:sz w:val="24"/>
          <w:szCs w:val="24"/>
        </w:rPr>
        <w:t>were</w:t>
      </w:r>
      <w:r w:rsidRPr="00B07E71">
        <w:rPr>
          <w:rFonts w:ascii="Palatino Linotype" w:hAnsi="Palatino Linotype" w:cs="Arial"/>
          <w:sz w:val="24"/>
          <w:szCs w:val="24"/>
        </w:rPr>
        <w:t xml:space="preserve"> complet</w:t>
      </w:r>
      <w:r w:rsidR="00D72597" w:rsidRPr="00B07E71">
        <w:rPr>
          <w:rFonts w:ascii="Palatino Linotype" w:hAnsi="Palatino Linotype" w:cs="Arial"/>
          <w:sz w:val="24"/>
          <w:szCs w:val="24"/>
        </w:rPr>
        <w:t>ed, they</w:t>
      </w:r>
      <w:r w:rsidR="007A35F0" w:rsidRPr="00B07E71">
        <w:rPr>
          <w:rFonts w:ascii="Palatino Linotype" w:hAnsi="Palatino Linotype" w:cs="Arial"/>
          <w:sz w:val="24"/>
          <w:szCs w:val="24"/>
        </w:rPr>
        <w:t xml:space="preserve"> were</w:t>
      </w:r>
      <w:r w:rsidR="00BB2121" w:rsidRPr="00B07E71">
        <w:rPr>
          <w:rFonts w:ascii="Palatino Linotype" w:hAnsi="Palatino Linotype" w:cs="Arial"/>
          <w:sz w:val="24"/>
          <w:szCs w:val="24"/>
        </w:rPr>
        <w:t xml:space="preserve"> submitted, either by</w:t>
      </w:r>
      <w:r w:rsidRPr="00B07E71">
        <w:rPr>
          <w:rFonts w:ascii="Palatino Linotype" w:hAnsi="Palatino Linotype" w:cs="Arial"/>
          <w:sz w:val="24"/>
          <w:szCs w:val="24"/>
        </w:rPr>
        <w:t xml:space="preserve"> email or through the submission function in Blackboard Collaborate, to the academic responsible for the stream. Students received weekly feed</w:t>
      </w:r>
      <w:r w:rsidR="009E4C49" w:rsidRPr="00B07E71">
        <w:rPr>
          <w:rFonts w:ascii="Palatino Linotype" w:hAnsi="Palatino Linotype" w:cs="Arial"/>
          <w:sz w:val="24"/>
          <w:szCs w:val="24"/>
        </w:rPr>
        <w:t>back on their journal entries. Further, t</w:t>
      </w:r>
      <w:r w:rsidRPr="00B07E71">
        <w:rPr>
          <w:rFonts w:ascii="Palatino Linotype" w:hAnsi="Palatino Linotype" w:cs="Arial"/>
          <w:sz w:val="24"/>
          <w:szCs w:val="24"/>
        </w:rPr>
        <w:t>he students’ well-being, skill development, placement experiences, and communications skills were monitored through their reflective journal entries.</w:t>
      </w:r>
      <w:r w:rsidR="00E33072" w:rsidRPr="00B07E71">
        <w:rPr>
          <w:rStyle w:val="FootnoteReference"/>
          <w:rFonts w:ascii="Palatino Linotype" w:hAnsi="Palatino Linotype" w:cs="Arial"/>
          <w:sz w:val="24"/>
          <w:szCs w:val="24"/>
        </w:rPr>
        <w:footnoteReference w:id="110"/>
      </w:r>
      <w:r w:rsidRPr="00B07E71">
        <w:rPr>
          <w:rFonts w:ascii="Palatino Linotype" w:hAnsi="Palatino Linotype" w:cs="Arial"/>
          <w:sz w:val="24"/>
          <w:szCs w:val="24"/>
        </w:rPr>
        <w:t xml:space="preserve"> </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That timely and relevant feedback enhances student learning and their learning experience is undisputed</w:t>
      </w:r>
      <w:r w:rsidR="005F78AA"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111"/>
      </w:r>
      <w:r w:rsidRPr="00B07E71">
        <w:rPr>
          <w:rFonts w:ascii="Palatino Linotype" w:hAnsi="Palatino Linotype" w:cs="Arial"/>
          <w:sz w:val="24"/>
          <w:szCs w:val="24"/>
        </w:rPr>
        <w:t xml:space="preserve"> however</w:t>
      </w:r>
      <w:r w:rsidR="005F78AA" w:rsidRPr="00B07E71">
        <w:rPr>
          <w:rFonts w:ascii="Palatino Linotype" w:hAnsi="Palatino Linotype" w:cs="Arial"/>
          <w:sz w:val="24"/>
          <w:szCs w:val="24"/>
        </w:rPr>
        <w:t>,</w:t>
      </w:r>
      <w:r w:rsidRPr="00B07E71">
        <w:rPr>
          <w:rFonts w:ascii="Palatino Linotype" w:hAnsi="Palatino Linotype" w:cs="Arial"/>
          <w:sz w:val="24"/>
          <w:szCs w:val="24"/>
        </w:rPr>
        <w:t xml:space="preserve"> a reflectiv</w:t>
      </w:r>
      <w:r w:rsidR="007A35F0" w:rsidRPr="00B07E71">
        <w:rPr>
          <w:rFonts w:ascii="Palatino Linotype" w:hAnsi="Palatino Linotype" w:cs="Arial"/>
          <w:sz w:val="24"/>
          <w:szCs w:val="24"/>
        </w:rPr>
        <w:t>e journal also assists students</w:t>
      </w:r>
      <w:r w:rsidRPr="00B07E71">
        <w:rPr>
          <w:rFonts w:ascii="Palatino Linotype" w:hAnsi="Palatino Linotype" w:cs="Arial"/>
          <w:sz w:val="24"/>
          <w:szCs w:val="24"/>
        </w:rPr>
        <w:t xml:space="preserve"> </w:t>
      </w:r>
      <w:r w:rsidR="009E4C49" w:rsidRPr="00B07E71">
        <w:rPr>
          <w:rFonts w:ascii="Palatino Linotype" w:hAnsi="Palatino Linotype" w:cs="Arial"/>
          <w:sz w:val="24"/>
          <w:szCs w:val="24"/>
        </w:rPr>
        <w:t xml:space="preserve">to </w:t>
      </w:r>
      <w:r w:rsidRPr="00B07E71">
        <w:rPr>
          <w:rFonts w:ascii="Palatino Linotype" w:hAnsi="Palatino Linotype" w:cs="Arial"/>
          <w:sz w:val="24"/>
          <w:szCs w:val="24"/>
        </w:rPr>
        <w:t>unde</w:t>
      </w:r>
      <w:r w:rsidR="009E4C49" w:rsidRPr="00B07E71">
        <w:rPr>
          <w:rFonts w:ascii="Palatino Linotype" w:hAnsi="Palatino Linotype" w:cs="Arial"/>
          <w:sz w:val="24"/>
          <w:szCs w:val="24"/>
        </w:rPr>
        <w:t>rstand</w:t>
      </w:r>
      <w:r w:rsidR="00651D0C" w:rsidRPr="00B07E71">
        <w:rPr>
          <w:rFonts w:ascii="Palatino Linotype" w:hAnsi="Palatino Linotype" w:cs="Arial"/>
          <w:sz w:val="24"/>
          <w:szCs w:val="24"/>
        </w:rPr>
        <w:t xml:space="preserve"> the subject matter,</w:t>
      </w:r>
      <w:r w:rsidRPr="00B07E71">
        <w:rPr>
          <w:rStyle w:val="FootnoteReference"/>
          <w:rFonts w:ascii="Palatino Linotype" w:hAnsi="Palatino Linotype" w:cs="Arial"/>
          <w:sz w:val="24"/>
          <w:szCs w:val="24"/>
        </w:rPr>
        <w:footnoteReference w:id="112"/>
      </w:r>
      <w:r w:rsidR="00651D0C" w:rsidRPr="00B07E71">
        <w:rPr>
          <w:rFonts w:ascii="Palatino Linotype" w:hAnsi="Palatino Linotype" w:cs="Arial"/>
          <w:sz w:val="24"/>
          <w:szCs w:val="24"/>
        </w:rPr>
        <w:t xml:space="preserve"> and develop their legal identity.</w:t>
      </w:r>
      <w:r w:rsidR="00651D0C" w:rsidRPr="00B07E71">
        <w:rPr>
          <w:rStyle w:val="FootnoteReference"/>
          <w:rFonts w:ascii="Palatino Linotype" w:hAnsi="Palatino Linotype" w:cs="Arial"/>
          <w:sz w:val="24"/>
          <w:szCs w:val="24"/>
        </w:rPr>
        <w:footnoteReference w:id="113"/>
      </w:r>
      <w:r w:rsidRPr="00B07E71">
        <w:rPr>
          <w:rFonts w:ascii="Palatino Linotype" w:hAnsi="Palatino Linotype" w:cs="Arial"/>
          <w:sz w:val="24"/>
          <w:szCs w:val="24"/>
        </w:rPr>
        <w:t xml:space="preserve">  </w:t>
      </w:r>
      <w:r w:rsidR="005F78AA" w:rsidRPr="00B07E71">
        <w:rPr>
          <w:rFonts w:ascii="Palatino Linotype" w:hAnsi="Palatino Linotype" w:cs="Arial"/>
          <w:sz w:val="24"/>
          <w:szCs w:val="24"/>
        </w:rPr>
        <w:t>Students had</w:t>
      </w:r>
      <w:r w:rsidRPr="00B07E71">
        <w:rPr>
          <w:rFonts w:ascii="Palatino Linotype" w:hAnsi="Palatino Linotype" w:cs="Arial"/>
          <w:sz w:val="24"/>
          <w:szCs w:val="24"/>
        </w:rPr>
        <w:t xml:space="preserve"> the opportunity to amend their journal entries after receiving feedback from the CDU ac</w:t>
      </w:r>
      <w:r w:rsidR="009E4C49" w:rsidRPr="00B07E71">
        <w:rPr>
          <w:rFonts w:ascii="Palatino Linotype" w:hAnsi="Palatino Linotype" w:cs="Arial"/>
          <w:sz w:val="24"/>
          <w:szCs w:val="24"/>
        </w:rPr>
        <w:t>ademic responsible for the unit. This was critical as the purpose of the reflective journal was both for formative and summative assessment.</w:t>
      </w:r>
      <w:r w:rsidR="009E4C49" w:rsidRPr="00B07E71">
        <w:rPr>
          <w:rStyle w:val="FootnoteReference"/>
          <w:rFonts w:ascii="Palatino Linotype" w:hAnsi="Palatino Linotype" w:cs="Arial"/>
          <w:sz w:val="24"/>
          <w:szCs w:val="24"/>
        </w:rPr>
        <w:footnoteReference w:id="114"/>
      </w:r>
      <w:r w:rsidR="009E4C49" w:rsidRPr="00B07E71">
        <w:rPr>
          <w:rFonts w:ascii="Palatino Linotype" w:hAnsi="Palatino Linotype" w:cs="Arial"/>
          <w:sz w:val="24"/>
          <w:szCs w:val="24"/>
        </w:rPr>
        <w:t xml:space="preserve"> The revised journal was graded at the end of the semester with input from the supervisor at the placement site. </w:t>
      </w:r>
      <w:r w:rsidRPr="00B07E71">
        <w:rPr>
          <w:rFonts w:ascii="Palatino Linotype" w:hAnsi="Palatino Linotype" w:cs="Arial"/>
          <w:sz w:val="24"/>
          <w:szCs w:val="24"/>
        </w:rPr>
        <w:t xml:space="preserve"> </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In addition to the reflective journal, </w:t>
      </w:r>
      <w:r w:rsidR="00D31C5E" w:rsidRPr="00B07E71">
        <w:rPr>
          <w:rFonts w:ascii="Palatino Linotype" w:hAnsi="Palatino Linotype" w:cs="Arial"/>
          <w:sz w:val="24"/>
          <w:szCs w:val="24"/>
        </w:rPr>
        <w:t xml:space="preserve">the individual </w:t>
      </w:r>
      <w:r w:rsidRPr="00B07E71">
        <w:rPr>
          <w:rFonts w:ascii="Palatino Linotype" w:hAnsi="Palatino Linotype" w:cs="Arial"/>
          <w:sz w:val="24"/>
          <w:szCs w:val="24"/>
        </w:rPr>
        <w:t>student</w:t>
      </w:r>
      <w:r w:rsidR="00D31C5E" w:rsidRPr="00B07E71">
        <w:rPr>
          <w:rFonts w:ascii="Palatino Linotype" w:hAnsi="Palatino Linotype" w:cs="Arial"/>
          <w:sz w:val="24"/>
          <w:szCs w:val="24"/>
        </w:rPr>
        <w:t>’s</w:t>
      </w:r>
      <w:r w:rsidRPr="00B07E71">
        <w:rPr>
          <w:rFonts w:ascii="Palatino Linotype" w:hAnsi="Palatino Linotype" w:cs="Arial"/>
          <w:sz w:val="24"/>
          <w:szCs w:val="24"/>
        </w:rPr>
        <w:t xml:space="preserve"> well-being </w:t>
      </w:r>
      <w:r w:rsidR="00041834" w:rsidRPr="00B07E71">
        <w:rPr>
          <w:rFonts w:ascii="Palatino Linotype" w:hAnsi="Palatino Linotype" w:cs="Arial"/>
          <w:sz w:val="24"/>
          <w:szCs w:val="24"/>
        </w:rPr>
        <w:t xml:space="preserve">and experiences at the </w:t>
      </w:r>
      <w:r w:rsidRPr="00B07E71">
        <w:rPr>
          <w:rFonts w:ascii="Palatino Linotype" w:hAnsi="Palatino Linotype" w:cs="Arial"/>
          <w:sz w:val="24"/>
          <w:szCs w:val="24"/>
        </w:rPr>
        <w:t>placement</w:t>
      </w:r>
      <w:r w:rsidR="00D31C5E" w:rsidRPr="00B07E71">
        <w:rPr>
          <w:rFonts w:ascii="Palatino Linotype" w:hAnsi="Palatino Linotype" w:cs="Arial"/>
          <w:sz w:val="24"/>
          <w:szCs w:val="24"/>
        </w:rPr>
        <w:t xml:space="preserve"> </w:t>
      </w:r>
      <w:r w:rsidR="00041834" w:rsidRPr="00B07E71">
        <w:rPr>
          <w:rFonts w:ascii="Palatino Linotype" w:hAnsi="Palatino Linotype" w:cs="Arial"/>
          <w:sz w:val="24"/>
          <w:szCs w:val="24"/>
        </w:rPr>
        <w:t xml:space="preserve">site </w:t>
      </w:r>
      <w:r w:rsidR="00D31C5E" w:rsidRPr="00B07E71">
        <w:rPr>
          <w:rFonts w:ascii="Palatino Linotype" w:hAnsi="Palatino Linotype" w:cs="Arial"/>
          <w:sz w:val="24"/>
          <w:szCs w:val="24"/>
        </w:rPr>
        <w:t>was monitored in</w:t>
      </w:r>
      <w:r w:rsidRPr="00B07E71">
        <w:rPr>
          <w:rFonts w:ascii="Palatino Linotype" w:hAnsi="Palatino Linotype" w:cs="Arial"/>
          <w:sz w:val="24"/>
          <w:szCs w:val="24"/>
        </w:rPr>
        <w:t xml:space="preserve"> regul</w:t>
      </w:r>
      <w:r w:rsidR="00950045" w:rsidRPr="00B07E71">
        <w:rPr>
          <w:rFonts w:ascii="Palatino Linotype" w:hAnsi="Palatino Linotype" w:cs="Arial"/>
          <w:sz w:val="24"/>
          <w:szCs w:val="24"/>
        </w:rPr>
        <w:t>ar meetings between the student</w:t>
      </w:r>
      <w:r w:rsidRPr="00B07E71">
        <w:rPr>
          <w:rFonts w:ascii="Palatino Linotype" w:hAnsi="Palatino Linotype" w:cs="Arial"/>
          <w:sz w:val="24"/>
          <w:szCs w:val="24"/>
        </w:rPr>
        <w:t xml:space="preserve"> and the CDU supervising academic. These meetings took place either by phone, in person (if possible), by Skype or through Blackboard Collaborate.</w:t>
      </w:r>
    </w:p>
    <w:p w:rsidR="00E110B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The assessment rubric and ‘prompt’ questions for completing the reflective jour</w:t>
      </w:r>
      <w:r w:rsidR="00651D0C" w:rsidRPr="00B07E71">
        <w:rPr>
          <w:rFonts w:ascii="Palatino Linotype" w:hAnsi="Palatino Linotype" w:cs="Arial"/>
          <w:sz w:val="24"/>
          <w:szCs w:val="24"/>
        </w:rPr>
        <w:t xml:space="preserve">nal, adapted from Burton </w:t>
      </w:r>
      <w:r w:rsidRPr="00B07E71">
        <w:rPr>
          <w:rFonts w:ascii="Palatino Linotype" w:hAnsi="Palatino Linotype" w:cs="Arial"/>
          <w:sz w:val="24"/>
          <w:szCs w:val="24"/>
        </w:rPr>
        <w:t xml:space="preserve">and McNamara’s article on assessing </w:t>
      </w:r>
      <w:r w:rsidR="00D31C5E" w:rsidRPr="00B07E71">
        <w:rPr>
          <w:rFonts w:ascii="Palatino Linotype" w:hAnsi="Palatino Linotype" w:cs="Arial"/>
          <w:sz w:val="24"/>
          <w:szCs w:val="24"/>
        </w:rPr>
        <w:t>the skills of reflection</w:t>
      </w:r>
      <w:r w:rsidRPr="00B07E71">
        <w:rPr>
          <w:rFonts w:ascii="Palatino Linotype" w:hAnsi="Palatino Linotype" w:cs="Arial"/>
          <w:sz w:val="24"/>
          <w:szCs w:val="24"/>
        </w:rPr>
        <w:t>,</w:t>
      </w:r>
      <w:r w:rsidRPr="00B07E71">
        <w:rPr>
          <w:rFonts w:ascii="Palatino Linotype" w:hAnsi="Palatino Linotype"/>
          <w:vertAlign w:val="superscript"/>
        </w:rPr>
        <w:footnoteReference w:id="115"/>
      </w:r>
      <w:r w:rsidRPr="00B07E71">
        <w:rPr>
          <w:rFonts w:ascii="Palatino Linotype" w:hAnsi="Palatino Linotype" w:cs="Arial"/>
          <w:sz w:val="24"/>
          <w:szCs w:val="24"/>
        </w:rPr>
        <w:t xml:space="preserve"> were provided to students at the beginning of the semester. Students also were given a guide which covered the purpose of reflective journals and instructions on how to complete the weekly entries. </w:t>
      </w:r>
    </w:p>
    <w:p w:rsidR="001140D3"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w:t>
      </w:r>
      <w:r w:rsidR="00D31C5E" w:rsidRPr="00B07E71">
        <w:rPr>
          <w:rFonts w:ascii="Palatino Linotype" w:hAnsi="Palatino Linotype" w:cs="Arial"/>
          <w:sz w:val="24"/>
          <w:szCs w:val="24"/>
        </w:rPr>
        <w:t xml:space="preserve">second component of the assessment tasks used in the unit was an essay question. The </w:t>
      </w:r>
      <w:r w:rsidRPr="00B07E71">
        <w:rPr>
          <w:rFonts w:ascii="Palatino Linotype" w:hAnsi="Palatino Linotype" w:cs="Arial"/>
          <w:sz w:val="24"/>
          <w:szCs w:val="24"/>
        </w:rPr>
        <w:t>essay questions were set in consultation with</w:t>
      </w:r>
      <w:r w:rsidR="00903D2D" w:rsidRPr="00B07E71">
        <w:rPr>
          <w:rFonts w:ascii="Palatino Linotype" w:hAnsi="Palatino Linotype" w:cs="Arial"/>
          <w:sz w:val="24"/>
          <w:szCs w:val="24"/>
        </w:rPr>
        <w:t xml:space="preserve"> the student</w:t>
      </w:r>
      <w:r w:rsidRPr="00B07E71">
        <w:rPr>
          <w:rFonts w:ascii="Palatino Linotype" w:hAnsi="Palatino Linotype" w:cs="Arial"/>
          <w:sz w:val="24"/>
          <w:szCs w:val="24"/>
        </w:rPr>
        <w:t>s</w:t>
      </w:r>
      <w:r w:rsidR="00903D2D" w:rsidRPr="00B07E71">
        <w:rPr>
          <w:rFonts w:ascii="Palatino Linotype" w:hAnsi="Palatino Linotype" w:cs="Arial"/>
          <w:sz w:val="24"/>
          <w:szCs w:val="24"/>
        </w:rPr>
        <w:t>’</w:t>
      </w:r>
      <w:r w:rsidRPr="00B07E71">
        <w:rPr>
          <w:rFonts w:ascii="Palatino Linotype" w:hAnsi="Palatino Linotype" w:cs="Arial"/>
          <w:sz w:val="24"/>
          <w:szCs w:val="24"/>
        </w:rPr>
        <w:t xml:space="preserve"> placement site and related</w:t>
      </w:r>
      <w:r w:rsidR="00903D2D" w:rsidRPr="00B07E71">
        <w:rPr>
          <w:rFonts w:ascii="Palatino Linotype" w:hAnsi="Palatino Linotype" w:cs="Arial"/>
          <w:sz w:val="24"/>
          <w:szCs w:val="24"/>
        </w:rPr>
        <w:t xml:space="preserve"> to a piece of </w:t>
      </w:r>
      <w:r w:rsidRPr="00B07E71">
        <w:rPr>
          <w:rFonts w:ascii="Palatino Linotype" w:hAnsi="Palatino Linotype" w:cs="Arial"/>
          <w:sz w:val="24"/>
          <w:szCs w:val="24"/>
        </w:rPr>
        <w:t>work that the student was expected to undertake during the placement.</w:t>
      </w:r>
      <w:r w:rsidR="001140D3" w:rsidRPr="00B07E71">
        <w:rPr>
          <w:rFonts w:ascii="Palatino Linotype" w:hAnsi="Palatino Linotype" w:cs="Arial"/>
          <w:sz w:val="24"/>
          <w:szCs w:val="24"/>
        </w:rPr>
        <w:t xml:space="preserve"> </w:t>
      </w:r>
      <w:r w:rsidR="00D72597" w:rsidRPr="00B07E71">
        <w:rPr>
          <w:rFonts w:ascii="Palatino Linotype" w:hAnsi="Palatino Linotype" w:cs="Arial"/>
          <w:sz w:val="24"/>
          <w:szCs w:val="24"/>
        </w:rPr>
        <w:t>The essay question</w:t>
      </w:r>
      <w:r w:rsidR="009E4C49" w:rsidRPr="00B07E71">
        <w:rPr>
          <w:rFonts w:ascii="Palatino Linotype" w:hAnsi="Palatino Linotype" w:cs="Arial"/>
          <w:sz w:val="24"/>
          <w:szCs w:val="24"/>
        </w:rPr>
        <w:t xml:space="preserve"> </w:t>
      </w:r>
      <w:r w:rsidRPr="00B07E71">
        <w:rPr>
          <w:rFonts w:ascii="Palatino Linotype" w:hAnsi="Palatino Linotype" w:cs="Arial"/>
          <w:sz w:val="24"/>
          <w:szCs w:val="24"/>
        </w:rPr>
        <w:t>was designed to assist students to gain a better understanding of the conce</w:t>
      </w:r>
      <w:r w:rsidR="009E4C49" w:rsidRPr="00B07E71">
        <w:rPr>
          <w:rFonts w:ascii="Palatino Linotype" w:hAnsi="Palatino Linotype" w:cs="Arial"/>
          <w:sz w:val="24"/>
          <w:szCs w:val="24"/>
        </w:rPr>
        <w:t>pt of social justice, in addition</w:t>
      </w:r>
      <w:r w:rsidRPr="00B07E71">
        <w:rPr>
          <w:rFonts w:ascii="Palatino Linotype" w:hAnsi="Palatino Linotype" w:cs="Arial"/>
          <w:sz w:val="24"/>
          <w:szCs w:val="24"/>
        </w:rPr>
        <w:t xml:space="preserve"> </w:t>
      </w:r>
      <w:r w:rsidR="00D31C5E" w:rsidRPr="00B07E71">
        <w:rPr>
          <w:rFonts w:ascii="Palatino Linotype" w:hAnsi="Palatino Linotype" w:cs="Arial"/>
          <w:sz w:val="24"/>
          <w:szCs w:val="24"/>
        </w:rPr>
        <w:t xml:space="preserve">to </w:t>
      </w:r>
      <w:r w:rsidRPr="00B07E71">
        <w:rPr>
          <w:rFonts w:ascii="Palatino Linotype" w:hAnsi="Palatino Linotype" w:cs="Arial"/>
          <w:sz w:val="24"/>
          <w:szCs w:val="24"/>
        </w:rPr>
        <w:t>be</w:t>
      </w:r>
      <w:r w:rsidR="00D72597" w:rsidRPr="00B07E71">
        <w:rPr>
          <w:rFonts w:ascii="Palatino Linotype" w:hAnsi="Palatino Linotype" w:cs="Arial"/>
          <w:sz w:val="24"/>
          <w:szCs w:val="24"/>
        </w:rPr>
        <w:t>ing</w:t>
      </w:r>
      <w:r w:rsidRPr="00B07E71">
        <w:rPr>
          <w:rFonts w:ascii="Palatino Linotype" w:hAnsi="Palatino Linotype" w:cs="Arial"/>
          <w:sz w:val="24"/>
          <w:szCs w:val="24"/>
        </w:rPr>
        <w:t xml:space="preserve"> o</w:t>
      </w:r>
      <w:r w:rsidR="001140D3" w:rsidRPr="00B07E71">
        <w:rPr>
          <w:rFonts w:ascii="Palatino Linotype" w:hAnsi="Palatino Linotype" w:cs="Arial"/>
          <w:sz w:val="24"/>
          <w:szCs w:val="24"/>
        </w:rPr>
        <w:t>f benefit to the placement site.</w:t>
      </w:r>
      <w:r w:rsidRPr="00B07E71">
        <w:rPr>
          <w:rStyle w:val="FootnoteReference"/>
          <w:rFonts w:ascii="Palatino Linotype" w:hAnsi="Palatino Linotype" w:cs="Arial"/>
          <w:sz w:val="24"/>
          <w:szCs w:val="24"/>
        </w:rPr>
        <w:footnoteReference w:id="116"/>
      </w:r>
      <w:r w:rsidRPr="00B07E71">
        <w:rPr>
          <w:rFonts w:ascii="Palatino Linotype" w:hAnsi="Palatino Linotype" w:cs="Arial"/>
          <w:sz w:val="24"/>
          <w:szCs w:val="24"/>
        </w:rPr>
        <w:t xml:space="preserve">  </w:t>
      </w:r>
    </w:p>
    <w:p w:rsidR="001140D3" w:rsidRPr="00B07E71" w:rsidRDefault="00E110B1" w:rsidP="00B07E71">
      <w:pPr>
        <w:pStyle w:val="ListParagraph"/>
        <w:spacing w:line="480" w:lineRule="auto"/>
        <w:ind w:left="360"/>
        <w:jc w:val="both"/>
        <w:rPr>
          <w:rFonts w:ascii="Palatino Linotype" w:hAnsi="Palatino Linotype" w:cs="Arial"/>
          <w:b/>
          <w:i/>
          <w:sz w:val="24"/>
          <w:szCs w:val="24"/>
        </w:rPr>
      </w:pPr>
      <w:r w:rsidRPr="00B07E71">
        <w:rPr>
          <w:rFonts w:ascii="Palatino Linotype" w:hAnsi="Palatino Linotype" w:cs="Arial"/>
          <w:b/>
          <w:i/>
          <w:sz w:val="24"/>
          <w:szCs w:val="24"/>
        </w:rPr>
        <w:t>Feedback from the pilot unit</w:t>
      </w:r>
    </w:p>
    <w:p w:rsidR="001140D3"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At the conclusion of each semester, informal verbal feedback and formal written feedback was sought from the students, </w:t>
      </w:r>
      <w:r w:rsidR="001140D3" w:rsidRPr="00B07E71">
        <w:rPr>
          <w:rFonts w:ascii="Palatino Linotype" w:hAnsi="Palatino Linotype" w:cs="Arial"/>
          <w:sz w:val="24"/>
          <w:szCs w:val="24"/>
        </w:rPr>
        <w:t xml:space="preserve">site </w:t>
      </w:r>
      <w:r w:rsidRPr="00B07E71">
        <w:rPr>
          <w:rFonts w:ascii="Palatino Linotype" w:hAnsi="Palatino Linotype" w:cs="Arial"/>
          <w:sz w:val="24"/>
          <w:szCs w:val="24"/>
        </w:rPr>
        <w:t>supervis</w:t>
      </w:r>
      <w:r w:rsidR="001140D3" w:rsidRPr="00B07E71">
        <w:rPr>
          <w:rFonts w:ascii="Palatino Linotype" w:hAnsi="Palatino Linotype" w:cs="Arial"/>
          <w:sz w:val="24"/>
          <w:szCs w:val="24"/>
        </w:rPr>
        <w:t>ors</w:t>
      </w:r>
      <w:r w:rsidRPr="00B07E71">
        <w:rPr>
          <w:rFonts w:ascii="Palatino Linotype" w:hAnsi="Palatino Linotype" w:cs="Arial"/>
          <w:sz w:val="24"/>
          <w:szCs w:val="24"/>
        </w:rPr>
        <w:t>, and CDU academics w</w:t>
      </w:r>
      <w:r w:rsidR="00B7453B" w:rsidRPr="00B07E71">
        <w:rPr>
          <w:rFonts w:ascii="Palatino Linotype" w:hAnsi="Palatino Linotype" w:cs="Arial"/>
          <w:sz w:val="24"/>
          <w:szCs w:val="24"/>
        </w:rPr>
        <w:t xml:space="preserve">ho participated in the program. </w:t>
      </w:r>
      <w:r w:rsidR="00D31C5E" w:rsidRPr="00B07E71">
        <w:rPr>
          <w:rFonts w:ascii="Palatino Linotype" w:hAnsi="Palatino Linotype" w:cs="Arial"/>
          <w:sz w:val="24"/>
          <w:szCs w:val="24"/>
        </w:rPr>
        <w:t>Of particular note wa</w:t>
      </w:r>
      <w:r w:rsidRPr="00B07E71">
        <w:rPr>
          <w:rFonts w:ascii="Palatino Linotype" w:hAnsi="Palatino Linotype" w:cs="Arial"/>
          <w:sz w:val="24"/>
          <w:szCs w:val="24"/>
        </w:rPr>
        <w:t>s the difference in the stud</w:t>
      </w:r>
      <w:r w:rsidR="001140D3" w:rsidRPr="00B07E71">
        <w:rPr>
          <w:rFonts w:ascii="Palatino Linotype" w:hAnsi="Palatino Linotype" w:cs="Arial"/>
          <w:sz w:val="24"/>
          <w:szCs w:val="24"/>
        </w:rPr>
        <w:t>ent</w:t>
      </w:r>
      <w:r w:rsidR="00D31C5E" w:rsidRPr="00B07E71">
        <w:rPr>
          <w:rFonts w:ascii="Palatino Linotype" w:hAnsi="Palatino Linotype" w:cs="Arial"/>
          <w:sz w:val="24"/>
          <w:szCs w:val="24"/>
        </w:rPr>
        <w:t>s’</w:t>
      </w:r>
      <w:r w:rsidR="001140D3" w:rsidRPr="00B07E71">
        <w:rPr>
          <w:rFonts w:ascii="Palatino Linotype" w:hAnsi="Palatino Linotype" w:cs="Arial"/>
          <w:sz w:val="24"/>
          <w:szCs w:val="24"/>
        </w:rPr>
        <w:t xml:space="preserve"> experience of the program. </w:t>
      </w:r>
    </w:p>
    <w:p w:rsidR="00DC6858" w:rsidRPr="00B07E71" w:rsidRDefault="00474304"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While it was</w:t>
      </w:r>
      <w:r w:rsidR="00F62616" w:rsidRPr="00B07E71">
        <w:rPr>
          <w:rFonts w:ascii="Palatino Linotype" w:hAnsi="Palatino Linotype" w:cs="Arial"/>
          <w:sz w:val="24"/>
          <w:szCs w:val="24"/>
        </w:rPr>
        <w:t xml:space="preserve"> anticipated</w:t>
      </w:r>
      <w:r w:rsidR="00DC6858" w:rsidRPr="00B07E71">
        <w:rPr>
          <w:rFonts w:ascii="Palatino Linotype" w:hAnsi="Palatino Linotype" w:cs="Arial"/>
          <w:sz w:val="24"/>
          <w:szCs w:val="24"/>
        </w:rPr>
        <w:t xml:space="preserve"> that experiences would differ depending on whether the student was a local or online, such a difference was not reflected in the feedback. Rather, student satisfaction was influence</w:t>
      </w:r>
      <w:r w:rsidR="00A352D9" w:rsidRPr="00B07E71">
        <w:rPr>
          <w:rFonts w:ascii="Palatino Linotype" w:hAnsi="Palatino Linotype" w:cs="Arial"/>
          <w:sz w:val="24"/>
          <w:szCs w:val="24"/>
        </w:rPr>
        <w:t>d by such factors as: the ability to work collaboratively with other students</w:t>
      </w:r>
      <w:r w:rsidR="00DC6858" w:rsidRPr="00B07E71">
        <w:rPr>
          <w:rFonts w:ascii="Palatino Linotype" w:hAnsi="Palatino Linotype" w:cs="Arial"/>
          <w:sz w:val="24"/>
          <w:szCs w:val="24"/>
        </w:rPr>
        <w:t xml:space="preserve">, whether online or local; the allocation </w:t>
      </w:r>
      <w:r w:rsidR="005346AF" w:rsidRPr="00B07E71">
        <w:rPr>
          <w:rFonts w:ascii="Palatino Linotype" w:hAnsi="Palatino Linotype" w:cs="Arial"/>
          <w:sz w:val="24"/>
          <w:szCs w:val="24"/>
        </w:rPr>
        <w:t xml:space="preserve">and explanation </w:t>
      </w:r>
      <w:r w:rsidR="00DC6858" w:rsidRPr="00B07E71">
        <w:rPr>
          <w:rFonts w:ascii="Palatino Linotype" w:hAnsi="Palatino Linotype" w:cs="Arial"/>
          <w:sz w:val="24"/>
          <w:szCs w:val="24"/>
        </w:rPr>
        <w:t xml:space="preserve">of set tasks by site supervisors; and the receipt of timely feedback from site supervisors and academic advisors.  </w:t>
      </w:r>
      <w:r w:rsidR="005346AF" w:rsidRPr="00B07E71">
        <w:rPr>
          <w:rFonts w:ascii="Palatino Linotype" w:hAnsi="Palatino Linotype" w:cs="Arial"/>
          <w:sz w:val="24"/>
          <w:szCs w:val="24"/>
        </w:rPr>
        <w:t>In this regard, the feedback received was no</w:t>
      </w:r>
      <w:r w:rsidR="004B2742" w:rsidRPr="00B07E71">
        <w:rPr>
          <w:rFonts w:ascii="Palatino Linotype" w:hAnsi="Palatino Linotype" w:cs="Arial"/>
          <w:sz w:val="24"/>
          <w:szCs w:val="24"/>
        </w:rPr>
        <w:t xml:space="preserve"> different than what</w:t>
      </w:r>
      <w:r w:rsidR="00876DC0" w:rsidRPr="00B07E71">
        <w:rPr>
          <w:rFonts w:ascii="Palatino Linotype" w:hAnsi="Palatino Linotype" w:cs="Arial"/>
          <w:sz w:val="24"/>
          <w:szCs w:val="24"/>
        </w:rPr>
        <w:t xml:space="preserve"> </w:t>
      </w:r>
      <w:r w:rsidR="004B2742" w:rsidRPr="00B07E71">
        <w:rPr>
          <w:rFonts w:ascii="Palatino Linotype" w:hAnsi="Palatino Linotype" w:cs="Arial"/>
          <w:sz w:val="24"/>
          <w:szCs w:val="24"/>
        </w:rPr>
        <w:t xml:space="preserve">might be expected from an </w:t>
      </w:r>
      <w:r w:rsidR="005346AF" w:rsidRPr="00B07E71">
        <w:rPr>
          <w:rFonts w:ascii="Palatino Linotype" w:hAnsi="Palatino Linotype" w:cs="Arial"/>
          <w:sz w:val="24"/>
          <w:szCs w:val="24"/>
        </w:rPr>
        <w:t>externship unit</w:t>
      </w:r>
      <w:r w:rsidR="004B2742" w:rsidRPr="00B07E71">
        <w:rPr>
          <w:rFonts w:ascii="Palatino Linotype" w:hAnsi="Palatino Linotype" w:cs="Arial"/>
          <w:sz w:val="24"/>
          <w:szCs w:val="24"/>
        </w:rPr>
        <w:t xml:space="preserve"> </w:t>
      </w:r>
      <w:r w:rsidR="00950045" w:rsidRPr="00B07E71">
        <w:rPr>
          <w:rFonts w:ascii="Palatino Linotype" w:hAnsi="Palatino Linotype" w:cs="Arial"/>
          <w:sz w:val="24"/>
          <w:szCs w:val="24"/>
        </w:rPr>
        <w:t>that did not accommodate</w:t>
      </w:r>
      <w:r w:rsidR="004B2742" w:rsidRPr="00B07E71">
        <w:rPr>
          <w:rFonts w:ascii="Palatino Linotype" w:hAnsi="Palatino Linotype" w:cs="Arial"/>
          <w:sz w:val="24"/>
          <w:szCs w:val="24"/>
        </w:rPr>
        <w:t xml:space="preserve"> online students</w:t>
      </w:r>
      <w:r w:rsidR="005346AF" w:rsidRPr="00B07E71">
        <w:rPr>
          <w:rFonts w:ascii="Palatino Linotype" w:hAnsi="Palatino Linotype" w:cs="Arial"/>
          <w:sz w:val="24"/>
          <w:szCs w:val="24"/>
        </w:rPr>
        <w:t>.</w:t>
      </w:r>
      <w:r w:rsidR="005346AF" w:rsidRPr="00B07E71">
        <w:rPr>
          <w:rStyle w:val="FootnoteReference"/>
          <w:rFonts w:ascii="Palatino Linotype" w:hAnsi="Palatino Linotype" w:cs="Arial"/>
          <w:sz w:val="24"/>
          <w:szCs w:val="24"/>
        </w:rPr>
        <w:footnoteReference w:id="117"/>
      </w:r>
    </w:p>
    <w:p w:rsidR="00D11073" w:rsidRPr="00B07E71" w:rsidRDefault="003253EC"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Local and online</w:t>
      </w:r>
      <w:r w:rsidR="00E110B1" w:rsidRPr="00B07E71">
        <w:rPr>
          <w:rFonts w:ascii="Palatino Linotype" w:hAnsi="Palatino Linotype" w:cs="Arial"/>
          <w:sz w:val="24"/>
          <w:szCs w:val="24"/>
        </w:rPr>
        <w:t xml:space="preserve"> s</w:t>
      </w:r>
      <w:r w:rsidR="00752EFD" w:rsidRPr="00B07E71">
        <w:rPr>
          <w:rFonts w:ascii="Palatino Linotype" w:hAnsi="Palatino Linotype" w:cs="Arial"/>
          <w:sz w:val="24"/>
          <w:szCs w:val="24"/>
        </w:rPr>
        <w:t>tudents who</w:t>
      </w:r>
      <w:r w:rsidR="00B7453B" w:rsidRPr="00B07E71">
        <w:rPr>
          <w:rFonts w:ascii="Palatino Linotype" w:hAnsi="Palatino Linotype" w:cs="Arial"/>
          <w:sz w:val="24"/>
          <w:szCs w:val="24"/>
        </w:rPr>
        <w:t xml:space="preserve"> were allocated a placement site as part of a student </w:t>
      </w:r>
      <w:r w:rsidR="00E110B1" w:rsidRPr="00B07E71">
        <w:rPr>
          <w:rFonts w:ascii="Palatino Linotype" w:hAnsi="Palatino Linotype" w:cs="Arial"/>
          <w:sz w:val="24"/>
          <w:szCs w:val="24"/>
        </w:rPr>
        <w:t>group</w:t>
      </w:r>
      <w:r w:rsidR="00B7453B" w:rsidRPr="00B07E71">
        <w:rPr>
          <w:rFonts w:ascii="Palatino Linotype" w:hAnsi="Palatino Linotype" w:cs="Arial"/>
          <w:sz w:val="24"/>
          <w:szCs w:val="24"/>
        </w:rPr>
        <w:t>,</w:t>
      </w:r>
      <w:r w:rsidR="00E110B1" w:rsidRPr="00B07E71">
        <w:rPr>
          <w:rFonts w:ascii="Palatino Linotype" w:hAnsi="Palatino Linotype" w:cs="Arial"/>
          <w:sz w:val="24"/>
          <w:szCs w:val="24"/>
        </w:rPr>
        <w:t xml:space="preserve"> and given set roles within that group, reported the highest levels of </w:t>
      </w:r>
      <w:r w:rsidR="00B7453B" w:rsidRPr="00B07E71">
        <w:rPr>
          <w:rFonts w:ascii="Palatino Linotype" w:hAnsi="Palatino Linotype" w:cs="Arial"/>
          <w:sz w:val="24"/>
          <w:szCs w:val="24"/>
        </w:rPr>
        <w:t>satisfaction with the program</w:t>
      </w:r>
      <w:r w:rsidR="00954ACF" w:rsidRPr="00B07E71">
        <w:rPr>
          <w:rFonts w:ascii="Palatino Linotype" w:hAnsi="Palatino Linotype" w:cs="Arial"/>
          <w:sz w:val="24"/>
          <w:szCs w:val="24"/>
        </w:rPr>
        <w:t xml:space="preserve">. </w:t>
      </w:r>
      <w:r w:rsidR="00E110B1" w:rsidRPr="00B07E71">
        <w:rPr>
          <w:rFonts w:ascii="Palatino Linotype" w:hAnsi="Palatino Linotype" w:cs="Arial"/>
          <w:sz w:val="24"/>
          <w:szCs w:val="24"/>
        </w:rPr>
        <w:t xml:space="preserve">Conversely, those students who were placed </w:t>
      </w:r>
      <w:r w:rsidR="00D11073" w:rsidRPr="00B07E71">
        <w:rPr>
          <w:rFonts w:ascii="Palatino Linotype" w:hAnsi="Palatino Linotype" w:cs="Arial"/>
          <w:sz w:val="24"/>
          <w:szCs w:val="24"/>
        </w:rPr>
        <w:t xml:space="preserve">individually </w:t>
      </w:r>
      <w:r w:rsidR="00E110B1" w:rsidRPr="00B07E71">
        <w:rPr>
          <w:rFonts w:ascii="Palatino Linotype" w:hAnsi="Palatino Linotype" w:cs="Arial"/>
          <w:sz w:val="24"/>
          <w:szCs w:val="24"/>
        </w:rPr>
        <w:t>with an organisation</w:t>
      </w:r>
      <w:r w:rsidRPr="00B07E71">
        <w:rPr>
          <w:rFonts w:ascii="Palatino Linotype" w:hAnsi="Palatino Linotype" w:cs="Arial"/>
          <w:sz w:val="24"/>
          <w:szCs w:val="24"/>
        </w:rPr>
        <w:t>, either locally or</w:t>
      </w:r>
      <w:r w:rsidR="00E110B1" w:rsidRPr="00B07E71">
        <w:rPr>
          <w:rFonts w:ascii="Palatino Linotype" w:hAnsi="Palatino Linotype" w:cs="Arial"/>
          <w:sz w:val="24"/>
          <w:szCs w:val="24"/>
        </w:rPr>
        <w:t xml:space="preserve"> in an online ext</w:t>
      </w:r>
      <w:r w:rsidRPr="00B07E71">
        <w:rPr>
          <w:rFonts w:ascii="Palatino Linotype" w:hAnsi="Palatino Linotype" w:cs="Arial"/>
          <w:sz w:val="24"/>
          <w:szCs w:val="24"/>
        </w:rPr>
        <w:t>ernship,</w:t>
      </w:r>
      <w:r w:rsidR="00E110B1" w:rsidRPr="00B07E71">
        <w:rPr>
          <w:rFonts w:ascii="Palatino Linotype" w:hAnsi="Palatino Linotype" w:cs="Arial"/>
          <w:sz w:val="24"/>
          <w:szCs w:val="24"/>
        </w:rPr>
        <w:t xml:space="preserve"> reported feeling isolated and unsure of their supervisors’ </w:t>
      </w:r>
      <w:r w:rsidR="00D11073" w:rsidRPr="00B07E71">
        <w:rPr>
          <w:rFonts w:ascii="Palatino Linotype" w:hAnsi="Palatino Linotype" w:cs="Arial"/>
          <w:sz w:val="24"/>
          <w:szCs w:val="24"/>
        </w:rPr>
        <w:t>expectations.</w:t>
      </w:r>
      <w:r w:rsidR="001140D3" w:rsidRPr="00B07E71">
        <w:rPr>
          <w:rFonts w:ascii="Palatino Linotype" w:hAnsi="Palatino Linotype" w:cs="Arial"/>
          <w:sz w:val="24"/>
          <w:szCs w:val="24"/>
        </w:rPr>
        <w:t xml:space="preserve"> </w:t>
      </w:r>
    </w:p>
    <w:p w:rsidR="003253EC" w:rsidRPr="00B07E71" w:rsidRDefault="00B7453B"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Strategies used to address feelings of</w:t>
      </w:r>
      <w:r w:rsidR="00E110B1" w:rsidRPr="00B07E71">
        <w:rPr>
          <w:rFonts w:ascii="Palatino Linotype" w:hAnsi="Palatino Linotype" w:cs="Arial"/>
          <w:sz w:val="24"/>
          <w:szCs w:val="24"/>
        </w:rPr>
        <w:t xml:space="preserve"> isolation included increased CDU academic monitoring of the students, and</w:t>
      </w:r>
      <w:r w:rsidR="00D11073" w:rsidRPr="00B07E71">
        <w:rPr>
          <w:rFonts w:ascii="Palatino Linotype" w:hAnsi="Palatino Linotype" w:cs="Arial"/>
          <w:sz w:val="24"/>
          <w:szCs w:val="24"/>
        </w:rPr>
        <w:t xml:space="preserve"> facilitating student</w:t>
      </w:r>
      <w:r w:rsidR="00E110B1" w:rsidRPr="00B07E71">
        <w:rPr>
          <w:rFonts w:ascii="Palatino Linotype" w:hAnsi="Palatino Linotype" w:cs="Arial"/>
          <w:sz w:val="24"/>
          <w:szCs w:val="24"/>
        </w:rPr>
        <w:t xml:space="preserve"> </w:t>
      </w:r>
      <w:r w:rsidR="00D11073" w:rsidRPr="00B07E71">
        <w:rPr>
          <w:rFonts w:ascii="Palatino Linotype" w:hAnsi="Palatino Linotype" w:cs="Arial"/>
          <w:sz w:val="24"/>
          <w:szCs w:val="24"/>
        </w:rPr>
        <w:t xml:space="preserve">discussion </w:t>
      </w:r>
      <w:r w:rsidR="003253EC" w:rsidRPr="00B07E71">
        <w:rPr>
          <w:rFonts w:ascii="Palatino Linotype" w:hAnsi="Palatino Linotype" w:cs="Arial"/>
          <w:sz w:val="24"/>
          <w:szCs w:val="24"/>
        </w:rPr>
        <w:t>of their experiences at the</w:t>
      </w:r>
      <w:r w:rsidR="00D11073" w:rsidRPr="00B07E71">
        <w:rPr>
          <w:rFonts w:ascii="Palatino Linotype" w:hAnsi="Palatino Linotype" w:cs="Arial"/>
          <w:sz w:val="24"/>
          <w:szCs w:val="24"/>
        </w:rPr>
        <w:t xml:space="preserve"> </w:t>
      </w:r>
      <w:r w:rsidR="00E110B1" w:rsidRPr="00B07E71">
        <w:rPr>
          <w:rFonts w:ascii="Palatino Linotype" w:hAnsi="Palatino Linotype" w:cs="Arial"/>
          <w:sz w:val="24"/>
          <w:szCs w:val="24"/>
        </w:rPr>
        <w:t>pla</w:t>
      </w:r>
      <w:r w:rsidR="00D11073" w:rsidRPr="00B07E71">
        <w:rPr>
          <w:rFonts w:ascii="Palatino Linotype" w:hAnsi="Palatino Linotype" w:cs="Arial"/>
          <w:sz w:val="24"/>
          <w:szCs w:val="24"/>
        </w:rPr>
        <w:t>cement site</w:t>
      </w:r>
      <w:r w:rsidR="00B46D81" w:rsidRPr="00B07E71">
        <w:rPr>
          <w:rFonts w:ascii="Palatino Linotype" w:hAnsi="Palatino Linotype" w:cs="Arial"/>
          <w:sz w:val="24"/>
          <w:szCs w:val="24"/>
        </w:rPr>
        <w:t xml:space="preserve"> as part of the weekly workshops</w:t>
      </w:r>
      <w:r w:rsidRPr="00B07E71">
        <w:rPr>
          <w:rFonts w:ascii="Palatino Linotype" w:hAnsi="Palatino Linotype" w:cs="Arial"/>
          <w:sz w:val="24"/>
          <w:szCs w:val="24"/>
        </w:rPr>
        <w:t xml:space="preserve">. </w:t>
      </w:r>
      <w:r w:rsidR="003253EC" w:rsidRPr="00B07E71">
        <w:rPr>
          <w:rFonts w:ascii="Palatino Linotype" w:hAnsi="Palatino Linotype" w:cs="Arial"/>
          <w:sz w:val="24"/>
          <w:szCs w:val="24"/>
        </w:rPr>
        <w:t>As a result of these strategies, students</w:t>
      </w:r>
      <w:r w:rsidR="00E110B1" w:rsidRPr="00B07E71">
        <w:rPr>
          <w:rFonts w:ascii="Palatino Linotype" w:hAnsi="Palatino Linotype" w:cs="Arial"/>
          <w:sz w:val="24"/>
          <w:szCs w:val="24"/>
        </w:rPr>
        <w:t xml:space="preserve"> reported </w:t>
      </w:r>
      <w:r w:rsidR="003253EC" w:rsidRPr="00B07E71">
        <w:rPr>
          <w:rFonts w:ascii="Palatino Linotype" w:hAnsi="Palatino Linotype" w:cs="Arial"/>
          <w:sz w:val="24"/>
          <w:szCs w:val="24"/>
        </w:rPr>
        <w:t>decreased feelings of isolation, and increased fee</w:t>
      </w:r>
      <w:r w:rsidR="003F2912" w:rsidRPr="00B07E71">
        <w:rPr>
          <w:rFonts w:ascii="Palatino Linotype" w:hAnsi="Palatino Linotype" w:cs="Arial"/>
          <w:sz w:val="24"/>
          <w:szCs w:val="24"/>
        </w:rPr>
        <w:t xml:space="preserve">lings of being a part of a common endeavour. </w:t>
      </w:r>
      <w:r w:rsidR="006A7ACD" w:rsidRPr="00B07E71">
        <w:rPr>
          <w:rFonts w:ascii="Palatino Linotype" w:hAnsi="Palatino Linotype" w:cs="Arial"/>
          <w:sz w:val="24"/>
          <w:szCs w:val="24"/>
        </w:rPr>
        <w:t xml:space="preserve">Further, </w:t>
      </w:r>
      <w:r w:rsidR="003F2912" w:rsidRPr="00B07E71">
        <w:rPr>
          <w:rFonts w:ascii="Palatino Linotype" w:hAnsi="Palatino Linotype" w:cs="Arial"/>
          <w:sz w:val="24"/>
          <w:szCs w:val="24"/>
        </w:rPr>
        <w:t xml:space="preserve">those </w:t>
      </w:r>
      <w:r w:rsidR="003253EC" w:rsidRPr="00B07E71">
        <w:rPr>
          <w:rFonts w:ascii="Palatino Linotype" w:hAnsi="Palatino Linotype" w:cs="Arial"/>
          <w:sz w:val="24"/>
          <w:szCs w:val="24"/>
        </w:rPr>
        <w:t>studen</w:t>
      </w:r>
      <w:r w:rsidR="003F2912" w:rsidRPr="00B07E71">
        <w:rPr>
          <w:rFonts w:ascii="Palatino Linotype" w:hAnsi="Palatino Linotype" w:cs="Arial"/>
          <w:sz w:val="24"/>
          <w:szCs w:val="24"/>
        </w:rPr>
        <w:t>ts who were not placed at a site as part of a group</w:t>
      </w:r>
      <w:r w:rsidR="003253EC" w:rsidRPr="00B07E71">
        <w:rPr>
          <w:rFonts w:ascii="Palatino Linotype" w:hAnsi="Palatino Linotype" w:cs="Arial"/>
          <w:sz w:val="24"/>
          <w:szCs w:val="24"/>
        </w:rPr>
        <w:t xml:space="preserve"> also made efforts to continue </w:t>
      </w:r>
      <w:r w:rsidR="006A7ACD" w:rsidRPr="00B07E71">
        <w:rPr>
          <w:rFonts w:ascii="Palatino Linotype" w:hAnsi="Palatino Linotype" w:cs="Arial"/>
          <w:sz w:val="24"/>
          <w:szCs w:val="24"/>
        </w:rPr>
        <w:t>contact with</w:t>
      </w:r>
      <w:r w:rsidR="003253EC" w:rsidRPr="00B07E71">
        <w:rPr>
          <w:rFonts w:ascii="Palatino Linotype" w:hAnsi="Palatino Linotype" w:cs="Arial"/>
          <w:sz w:val="24"/>
          <w:szCs w:val="24"/>
        </w:rPr>
        <w:t xml:space="preserve"> other students placed alone. </w:t>
      </w:r>
    </w:p>
    <w:p w:rsidR="00E110B1" w:rsidRPr="00B07E71" w:rsidRDefault="003253EC"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Finally, t</w:t>
      </w:r>
      <w:r w:rsidR="00E110B1" w:rsidRPr="00B07E71">
        <w:rPr>
          <w:rFonts w:ascii="Palatino Linotype" w:hAnsi="Palatino Linotype" w:cs="Arial"/>
          <w:sz w:val="24"/>
          <w:szCs w:val="24"/>
        </w:rPr>
        <w:t>he students reported high levels of satisfaction with the primarily online communication methods, subject to tim</w:t>
      </w:r>
      <w:r w:rsidR="00954ACF" w:rsidRPr="00B07E71">
        <w:rPr>
          <w:rFonts w:ascii="Palatino Linotype" w:hAnsi="Palatino Linotype" w:cs="Arial"/>
          <w:sz w:val="24"/>
          <w:szCs w:val="24"/>
        </w:rPr>
        <w:t>ely feedback from supervisors. Students living in rural</w:t>
      </w:r>
      <w:r w:rsidR="0067650B" w:rsidRPr="00B07E71">
        <w:rPr>
          <w:rFonts w:ascii="Palatino Linotype" w:hAnsi="Palatino Linotype" w:cs="Arial"/>
          <w:sz w:val="24"/>
          <w:szCs w:val="24"/>
        </w:rPr>
        <w:t xml:space="preserve"> and remote</w:t>
      </w:r>
      <w:r w:rsidR="00954ACF" w:rsidRPr="00B07E71">
        <w:rPr>
          <w:rFonts w:ascii="Palatino Linotype" w:hAnsi="Palatino Linotype" w:cs="Arial"/>
          <w:sz w:val="24"/>
          <w:szCs w:val="24"/>
        </w:rPr>
        <w:t xml:space="preserve"> areas</w:t>
      </w:r>
      <w:r w:rsidR="00E110B1" w:rsidRPr="00B07E71">
        <w:rPr>
          <w:rFonts w:ascii="Palatino Linotype" w:hAnsi="Palatino Linotype" w:cs="Arial"/>
          <w:sz w:val="24"/>
          <w:szCs w:val="24"/>
        </w:rPr>
        <w:t xml:space="preserve"> were particularly satisfied with online communication and online placements. </w:t>
      </w:r>
    </w:p>
    <w:p w:rsidR="00B46D81" w:rsidRPr="00B07E71" w:rsidRDefault="00E110B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Supervisors </w:t>
      </w:r>
      <w:r w:rsidR="003F2912" w:rsidRPr="00B07E71">
        <w:rPr>
          <w:rFonts w:ascii="Palatino Linotype" w:hAnsi="Palatino Linotype" w:cs="Arial"/>
          <w:sz w:val="24"/>
          <w:szCs w:val="24"/>
        </w:rPr>
        <w:t xml:space="preserve">generally </w:t>
      </w:r>
      <w:r w:rsidRPr="00B07E71">
        <w:rPr>
          <w:rFonts w:ascii="Palatino Linotype" w:hAnsi="Palatino Linotype" w:cs="Arial"/>
          <w:sz w:val="24"/>
          <w:szCs w:val="24"/>
        </w:rPr>
        <w:t xml:space="preserve">were happy with the </w:t>
      </w:r>
      <w:r w:rsidR="00954ACF" w:rsidRPr="00B07E71">
        <w:rPr>
          <w:rFonts w:ascii="Palatino Linotype" w:hAnsi="Palatino Linotype" w:cs="Arial"/>
          <w:sz w:val="24"/>
          <w:szCs w:val="24"/>
        </w:rPr>
        <w:t>provision of online supervision</w:t>
      </w:r>
      <w:r w:rsidR="00052563" w:rsidRPr="00B07E71">
        <w:rPr>
          <w:rFonts w:ascii="Palatino Linotype" w:hAnsi="Palatino Linotype" w:cs="Arial"/>
          <w:sz w:val="24"/>
          <w:szCs w:val="24"/>
        </w:rPr>
        <w:t xml:space="preserve">, </w:t>
      </w:r>
      <w:r w:rsidR="00A15F1A" w:rsidRPr="00B07E71">
        <w:rPr>
          <w:rFonts w:ascii="Palatino Linotype" w:hAnsi="Palatino Linotype" w:cs="Arial"/>
          <w:sz w:val="24"/>
          <w:szCs w:val="24"/>
        </w:rPr>
        <w:t>although the CDU</w:t>
      </w:r>
      <w:r w:rsidR="001D0D70" w:rsidRPr="00B07E71">
        <w:rPr>
          <w:rFonts w:ascii="Palatino Linotype" w:hAnsi="Palatino Linotype" w:cs="Arial"/>
          <w:sz w:val="24"/>
          <w:szCs w:val="24"/>
        </w:rPr>
        <w:t xml:space="preserve"> staff</w:t>
      </w:r>
      <w:r w:rsidR="00052563" w:rsidRPr="00B07E71">
        <w:rPr>
          <w:rFonts w:ascii="Palatino Linotype" w:hAnsi="Palatino Linotype" w:cs="Arial"/>
          <w:sz w:val="24"/>
          <w:szCs w:val="24"/>
        </w:rPr>
        <w:t xml:space="preserve"> responsible for the unit had to work closely with site supervisors to explain how the online platforms worked</w:t>
      </w:r>
      <w:r w:rsidR="00954ACF" w:rsidRPr="00B07E71">
        <w:rPr>
          <w:rFonts w:ascii="Palatino Linotype" w:hAnsi="Palatino Linotype" w:cs="Arial"/>
          <w:sz w:val="24"/>
          <w:szCs w:val="24"/>
        </w:rPr>
        <w:t>. S</w:t>
      </w:r>
      <w:r w:rsidRPr="00B07E71">
        <w:rPr>
          <w:rFonts w:ascii="Palatino Linotype" w:hAnsi="Palatino Linotype" w:cs="Arial"/>
          <w:sz w:val="24"/>
          <w:szCs w:val="24"/>
        </w:rPr>
        <w:t xml:space="preserve">ome of the </w:t>
      </w:r>
      <w:r w:rsidR="001D0D70" w:rsidRPr="00B07E71">
        <w:rPr>
          <w:rFonts w:ascii="Palatino Linotype" w:hAnsi="Palatino Linotype" w:cs="Arial"/>
          <w:sz w:val="24"/>
          <w:szCs w:val="24"/>
        </w:rPr>
        <w:t xml:space="preserve">other </w:t>
      </w:r>
      <w:r w:rsidRPr="00B07E71">
        <w:rPr>
          <w:rFonts w:ascii="Palatino Linotype" w:hAnsi="Palatino Linotype" w:cs="Arial"/>
          <w:sz w:val="24"/>
          <w:szCs w:val="24"/>
        </w:rPr>
        <w:t xml:space="preserve">initial issues </w:t>
      </w:r>
      <w:r w:rsidR="00954ACF" w:rsidRPr="00B07E71">
        <w:rPr>
          <w:rFonts w:ascii="Palatino Linotype" w:hAnsi="Palatino Linotype" w:cs="Arial"/>
          <w:sz w:val="24"/>
          <w:szCs w:val="24"/>
        </w:rPr>
        <w:t>that needed to be addressed included ensuring</w:t>
      </w:r>
      <w:r w:rsidRPr="00B07E71">
        <w:rPr>
          <w:rFonts w:ascii="Palatino Linotype" w:hAnsi="Palatino Linotype" w:cs="Arial"/>
          <w:sz w:val="24"/>
          <w:szCs w:val="24"/>
        </w:rPr>
        <w:t xml:space="preserve"> confidentiality, softwa</w:t>
      </w:r>
      <w:r w:rsidR="003F2912" w:rsidRPr="00B07E71">
        <w:rPr>
          <w:rFonts w:ascii="Palatino Linotype" w:hAnsi="Palatino Linotype" w:cs="Arial"/>
          <w:sz w:val="24"/>
          <w:szCs w:val="24"/>
        </w:rPr>
        <w:t xml:space="preserve">re compatibility, internet connectivity </w:t>
      </w:r>
      <w:r w:rsidRPr="00B07E71">
        <w:rPr>
          <w:rFonts w:ascii="Palatino Linotype" w:hAnsi="Palatino Linotype" w:cs="Arial"/>
          <w:sz w:val="24"/>
          <w:szCs w:val="24"/>
        </w:rPr>
        <w:t xml:space="preserve">and scepticism </w:t>
      </w:r>
      <w:r w:rsidR="003F2912" w:rsidRPr="00B07E71">
        <w:rPr>
          <w:rFonts w:ascii="Palatino Linotype" w:hAnsi="Palatino Linotype" w:cs="Arial"/>
          <w:sz w:val="24"/>
          <w:szCs w:val="24"/>
        </w:rPr>
        <w:t>arising from the supervision of</w:t>
      </w:r>
      <w:r w:rsidRPr="00B07E71">
        <w:rPr>
          <w:rFonts w:ascii="Palatino Linotype" w:hAnsi="Palatino Linotype" w:cs="Arial"/>
          <w:sz w:val="24"/>
          <w:szCs w:val="24"/>
        </w:rPr>
        <w:t xml:space="preserve"> students </w:t>
      </w:r>
      <w:r w:rsidR="003F2912" w:rsidRPr="00B07E71">
        <w:rPr>
          <w:rFonts w:ascii="Palatino Linotype" w:hAnsi="Palatino Linotype" w:cs="Arial"/>
          <w:sz w:val="24"/>
          <w:szCs w:val="24"/>
        </w:rPr>
        <w:t xml:space="preserve">that </w:t>
      </w:r>
      <w:r w:rsidR="00D72597" w:rsidRPr="00B07E71">
        <w:rPr>
          <w:rFonts w:ascii="Palatino Linotype" w:hAnsi="Palatino Linotype" w:cs="Arial"/>
          <w:sz w:val="24"/>
          <w:szCs w:val="24"/>
        </w:rPr>
        <w:t>the supervisor</w:t>
      </w:r>
      <w:r w:rsidRPr="00B07E71">
        <w:rPr>
          <w:rFonts w:ascii="Palatino Linotype" w:hAnsi="Palatino Linotype" w:cs="Arial"/>
          <w:sz w:val="24"/>
          <w:szCs w:val="24"/>
        </w:rPr>
        <w:t xml:space="preserve"> had never met in person.  </w:t>
      </w:r>
      <w:r w:rsidR="001D0D70" w:rsidRPr="00B07E71">
        <w:rPr>
          <w:rFonts w:ascii="Palatino Linotype" w:hAnsi="Palatino Linotype" w:cs="Arial"/>
          <w:sz w:val="24"/>
          <w:szCs w:val="24"/>
        </w:rPr>
        <w:t>Once the supervisor’s unfamiliarity with the technology was addressed, however, and the supervisor met the online student using</w:t>
      </w:r>
      <w:r w:rsidR="00A15F1A" w:rsidRPr="00B07E71">
        <w:rPr>
          <w:rFonts w:ascii="Palatino Linotype" w:hAnsi="Palatino Linotype" w:cs="Arial"/>
          <w:sz w:val="24"/>
          <w:szCs w:val="24"/>
        </w:rPr>
        <w:t xml:space="preserve"> the video-conferencing facilities</w:t>
      </w:r>
      <w:r w:rsidR="001D0D70" w:rsidRPr="00B07E71">
        <w:rPr>
          <w:rFonts w:ascii="Palatino Linotype" w:hAnsi="Palatino Linotype" w:cs="Arial"/>
          <w:sz w:val="24"/>
          <w:szCs w:val="24"/>
        </w:rPr>
        <w:t>, such initial reluctance was overcome.</w:t>
      </w:r>
      <w:r w:rsidR="003A28E0" w:rsidRPr="00B07E71">
        <w:rPr>
          <w:rStyle w:val="FootnoteReference"/>
          <w:rFonts w:ascii="Palatino Linotype" w:hAnsi="Palatino Linotype" w:cs="Arial"/>
          <w:sz w:val="24"/>
          <w:szCs w:val="24"/>
        </w:rPr>
        <w:footnoteReference w:id="118"/>
      </w:r>
      <w:r w:rsidR="001D0D70" w:rsidRPr="00B07E71">
        <w:rPr>
          <w:rFonts w:ascii="Palatino Linotype" w:hAnsi="Palatino Linotype" w:cs="Arial"/>
          <w:sz w:val="24"/>
          <w:szCs w:val="24"/>
        </w:rPr>
        <w:t xml:space="preserve"> </w:t>
      </w:r>
    </w:p>
    <w:p w:rsidR="00304679" w:rsidRPr="00B07E71" w:rsidRDefault="00B46D8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To take but one</w:t>
      </w:r>
      <w:r w:rsidR="00304679" w:rsidRPr="00B07E71">
        <w:rPr>
          <w:rFonts w:ascii="Palatino Linotype" w:hAnsi="Palatino Linotype" w:cs="Arial"/>
          <w:sz w:val="24"/>
          <w:szCs w:val="24"/>
        </w:rPr>
        <w:t xml:space="preserve"> example, in the Indigenous Justice stream</w:t>
      </w:r>
      <w:r w:rsidR="00950045" w:rsidRPr="00B07E71">
        <w:rPr>
          <w:rFonts w:ascii="Palatino Linotype" w:hAnsi="Palatino Linotype" w:cs="Arial"/>
          <w:sz w:val="24"/>
          <w:szCs w:val="24"/>
        </w:rPr>
        <w:t xml:space="preserve"> the supervising lawyer</w:t>
      </w:r>
      <w:r w:rsidR="00304679" w:rsidRPr="00B07E71">
        <w:rPr>
          <w:rFonts w:ascii="Palatino Linotype" w:hAnsi="Palatino Linotype" w:cs="Arial"/>
          <w:sz w:val="24"/>
          <w:szCs w:val="24"/>
        </w:rPr>
        <w:t xml:space="preserve"> in the tort class action case took part in the first online </w:t>
      </w:r>
      <w:r w:rsidRPr="00B07E71">
        <w:rPr>
          <w:rFonts w:ascii="Palatino Linotype" w:hAnsi="Palatino Linotype" w:cs="Arial"/>
          <w:sz w:val="24"/>
          <w:szCs w:val="24"/>
        </w:rPr>
        <w:t xml:space="preserve">Blackboard </w:t>
      </w:r>
      <w:r w:rsidR="00304679" w:rsidRPr="00B07E71">
        <w:rPr>
          <w:rFonts w:ascii="Palatino Linotype" w:hAnsi="Palatino Linotype" w:cs="Arial"/>
          <w:sz w:val="24"/>
          <w:szCs w:val="24"/>
        </w:rPr>
        <w:t>Collaborate workshop session with students</w:t>
      </w:r>
      <w:r w:rsidR="000B2C03" w:rsidRPr="00B07E71">
        <w:rPr>
          <w:rFonts w:ascii="Palatino Linotype" w:hAnsi="Palatino Linotype" w:cs="Arial"/>
          <w:sz w:val="24"/>
          <w:szCs w:val="24"/>
        </w:rPr>
        <w:t>. Such participation demonstrated t</w:t>
      </w:r>
      <w:r w:rsidRPr="00B07E71">
        <w:rPr>
          <w:rFonts w:ascii="Palatino Linotype" w:hAnsi="Palatino Linotype" w:cs="Arial"/>
          <w:sz w:val="24"/>
          <w:szCs w:val="24"/>
        </w:rPr>
        <w:t>o the lawyer</w:t>
      </w:r>
      <w:r w:rsidR="000B2C03" w:rsidRPr="00B07E71">
        <w:rPr>
          <w:rFonts w:ascii="Palatino Linotype" w:hAnsi="Palatino Linotype" w:cs="Arial"/>
          <w:sz w:val="24"/>
          <w:szCs w:val="24"/>
        </w:rPr>
        <w:t xml:space="preserve"> the </w:t>
      </w:r>
      <w:r w:rsidR="003A28E0" w:rsidRPr="00B07E71">
        <w:rPr>
          <w:rFonts w:ascii="Palatino Linotype" w:hAnsi="Palatino Linotype" w:cs="Arial"/>
          <w:sz w:val="24"/>
          <w:szCs w:val="24"/>
        </w:rPr>
        <w:t>capacity for synchronous</w:t>
      </w:r>
      <w:r w:rsidR="000B2C03" w:rsidRPr="00B07E71">
        <w:rPr>
          <w:rFonts w:ascii="Palatino Linotype" w:hAnsi="Palatino Linotype" w:cs="Arial"/>
          <w:sz w:val="24"/>
          <w:szCs w:val="24"/>
        </w:rPr>
        <w:t xml:space="preserve"> engagement with students through the use of </w:t>
      </w:r>
      <w:proofErr w:type="spellStart"/>
      <w:r w:rsidR="003A28E0" w:rsidRPr="00B07E71">
        <w:rPr>
          <w:rFonts w:ascii="Palatino Linotype" w:hAnsi="Palatino Linotype" w:cs="Arial"/>
          <w:sz w:val="24"/>
          <w:szCs w:val="24"/>
        </w:rPr>
        <w:t>Collaborate’s</w:t>
      </w:r>
      <w:proofErr w:type="spellEnd"/>
      <w:r w:rsidR="003A28E0" w:rsidRPr="00B07E71">
        <w:rPr>
          <w:rFonts w:ascii="Palatino Linotype" w:hAnsi="Palatino Linotype" w:cs="Arial"/>
          <w:sz w:val="24"/>
          <w:szCs w:val="24"/>
        </w:rPr>
        <w:t xml:space="preserve"> </w:t>
      </w:r>
      <w:r w:rsidR="000B2C03" w:rsidRPr="00B07E71">
        <w:rPr>
          <w:rFonts w:ascii="Palatino Linotype" w:hAnsi="Palatino Linotype" w:cs="Arial"/>
          <w:sz w:val="24"/>
          <w:szCs w:val="24"/>
        </w:rPr>
        <w:t xml:space="preserve">audio, video and chat facilities. Subsequently, </w:t>
      </w:r>
      <w:r w:rsidRPr="00B07E71">
        <w:rPr>
          <w:rFonts w:ascii="Palatino Linotype" w:hAnsi="Palatino Linotype" w:cs="Arial"/>
          <w:sz w:val="24"/>
          <w:szCs w:val="24"/>
        </w:rPr>
        <w:t>the lawyer</w:t>
      </w:r>
      <w:r w:rsidR="000B2C03" w:rsidRPr="00B07E71">
        <w:rPr>
          <w:rFonts w:ascii="Palatino Linotype" w:hAnsi="Palatino Linotype" w:cs="Arial"/>
          <w:sz w:val="24"/>
          <w:szCs w:val="24"/>
        </w:rPr>
        <w:t xml:space="preserve"> was able to interact both synchronously and asynchronously with both local and online students using phone, email and Collaborate. He also </w:t>
      </w:r>
      <w:r w:rsidR="003A28E0" w:rsidRPr="00B07E71">
        <w:rPr>
          <w:rFonts w:ascii="Palatino Linotype" w:hAnsi="Palatino Linotype" w:cs="Arial"/>
          <w:sz w:val="24"/>
          <w:szCs w:val="24"/>
        </w:rPr>
        <w:t xml:space="preserve">was able to monitor the work done by students, and the student-to-student interaction, on the </w:t>
      </w:r>
      <w:proofErr w:type="spellStart"/>
      <w:r w:rsidR="003A28E0" w:rsidRPr="00B07E71">
        <w:rPr>
          <w:rFonts w:ascii="Palatino Linotype" w:hAnsi="Palatino Linotype" w:cs="Arial"/>
          <w:sz w:val="24"/>
          <w:szCs w:val="24"/>
        </w:rPr>
        <w:t>Smartsheet</w:t>
      </w:r>
      <w:proofErr w:type="spellEnd"/>
      <w:r w:rsidR="003A28E0" w:rsidRPr="00B07E71">
        <w:rPr>
          <w:rFonts w:ascii="Palatino Linotype" w:hAnsi="Palatino Linotype" w:cs="Arial"/>
          <w:sz w:val="24"/>
          <w:szCs w:val="24"/>
        </w:rPr>
        <w:t xml:space="preserve"> data entry system</w:t>
      </w:r>
      <w:r w:rsidR="003A28E0" w:rsidRPr="00B07E71">
        <w:rPr>
          <w:rStyle w:val="FootnoteReference"/>
          <w:rFonts w:ascii="Palatino Linotype" w:hAnsi="Palatino Linotype" w:cs="Arial"/>
          <w:sz w:val="24"/>
          <w:szCs w:val="24"/>
        </w:rPr>
        <w:footnoteReference w:id="119"/>
      </w:r>
      <w:r w:rsidR="003A28E0" w:rsidRPr="00B07E71">
        <w:rPr>
          <w:rFonts w:ascii="Palatino Linotype" w:hAnsi="Palatino Linotype" w:cs="Arial"/>
          <w:sz w:val="24"/>
          <w:szCs w:val="24"/>
        </w:rPr>
        <w:t xml:space="preserve"> used to organise the voluminous documents pertaining to the case.</w:t>
      </w:r>
    </w:p>
    <w:p w:rsidR="00C066E1" w:rsidRPr="00B07E71" w:rsidRDefault="00C066E1" w:rsidP="00B07E71">
      <w:pPr>
        <w:spacing w:line="480" w:lineRule="auto"/>
        <w:ind w:left="720"/>
        <w:jc w:val="both"/>
        <w:rPr>
          <w:rFonts w:ascii="Palatino Linotype" w:hAnsi="Palatino Linotype" w:cs="Arial"/>
          <w:b/>
          <w:i/>
          <w:sz w:val="24"/>
          <w:szCs w:val="24"/>
        </w:rPr>
      </w:pPr>
      <w:r w:rsidRPr="00B07E71">
        <w:rPr>
          <w:rFonts w:ascii="Palatino Linotype" w:hAnsi="Palatino Linotype" w:cs="Arial"/>
          <w:b/>
          <w:i/>
          <w:sz w:val="24"/>
          <w:szCs w:val="24"/>
        </w:rPr>
        <w:t xml:space="preserve">Lessons </w:t>
      </w:r>
      <w:r w:rsidR="00166055" w:rsidRPr="00B07E71">
        <w:rPr>
          <w:rFonts w:ascii="Palatino Linotype" w:hAnsi="Palatino Linotype" w:cs="Arial"/>
          <w:b/>
          <w:i/>
          <w:sz w:val="24"/>
          <w:szCs w:val="24"/>
        </w:rPr>
        <w:t xml:space="preserve">learned </w:t>
      </w:r>
      <w:r w:rsidRPr="00B07E71">
        <w:rPr>
          <w:rFonts w:ascii="Palatino Linotype" w:hAnsi="Palatino Linotype" w:cs="Arial"/>
          <w:b/>
          <w:i/>
          <w:sz w:val="24"/>
          <w:szCs w:val="24"/>
        </w:rPr>
        <w:t>and possible refinements</w:t>
      </w:r>
    </w:p>
    <w:p w:rsidR="00C066E1" w:rsidRPr="00B07E71" w:rsidRDefault="00194744"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While</w:t>
      </w:r>
      <w:r w:rsidR="00C066E1" w:rsidRPr="00B07E71">
        <w:rPr>
          <w:rFonts w:ascii="Palatino Linotype" w:hAnsi="Palatino Linotype" w:cs="Arial"/>
          <w:sz w:val="24"/>
          <w:szCs w:val="24"/>
        </w:rPr>
        <w:t xml:space="preserve"> student feedback indicate</w:t>
      </w:r>
      <w:r w:rsidR="00B46D81" w:rsidRPr="00B07E71">
        <w:rPr>
          <w:rFonts w:ascii="Palatino Linotype" w:hAnsi="Palatino Linotype" w:cs="Arial"/>
          <w:sz w:val="24"/>
          <w:szCs w:val="24"/>
        </w:rPr>
        <w:t>d</w:t>
      </w:r>
      <w:r w:rsidR="00166055" w:rsidRPr="00B07E71">
        <w:rPr>
          <w:rFonts w:ascii="Palatino Linotype" w:hAnsi="Palatino Linotype" w:cs="Arial"/>
          <w:sz w:val="24"/>
          <w:szCs w:val="24"/>
        </w:rPr>
        <w:t xml:space="preserve"> tha</w:t>
      </w:r>
      <w:r w:rsidRPr="00B07E71">
        <w:rPr>
          <w:rFonts w:ascii="Palatino Linotype" w:hAnsi="Palatino Linotype" w:cs="Arial"/>
          <w:sz w:val="24"/>
          <w:szCs w:val="24"/>
        </w:rPr>
        <w:t xml:space="preserve">t </w:t>
      </w:r>
      <w:r w:rsidR="00166055" w:rsidRPr="00B07E71">
        <w:rPr>
          <w:rFonts w:ascii="Palatino Linotype" w:hAnsi="Palatino Linotype" w:cs="Arial"/>
          <w:sz w:val="24"/>
          <w:szCs w:val="24"/>
        </w:rPr>
        <w:t xml:space="preserve">students </w:t>
      </w:r>
      <w:r w:rsidR="0004302C" w:rsidRPr="00B07E71">
        <w:rPr>
          <w:rFonts w:ascii="Palatino Linotype" w:hAnsi="Palatino Linotype" w:cs="Arial"/>
          <w:sz w:val="24"/>
          <w:szCs w:val="24"/>
        </w:rPr>
        <w:t xml:space="preserve">generally </w:t>
      </w:r>
      <w:r w:rsidR="00B46D81" w:rsidRPr="00B07E71">
        <w:rPr>
          <w:rFonts w:ascii="Palatino Linotype" w:hAnsi="Palatino Linotype" w:cs="Arial"/>
          <w:sz w:val="24"/>
          <w:szCs w:val="24"/>
        </w:rPr>
        <w:t>were</w:t>
      </w:r>
      <w:r w:rsidR="00166055" w:rsidRPr="00B07E71">
        <w:rPr>
          <w:rFonts w:ascii="Palatino Linotype" w:hAnsi="Palatino Linotype" w:cs="Arial"/>
          <w:sz w:val="24"/>
          <w:szCs w:val="24"/>
        </w:rPr>
        <w:t xml:space="preserve"> satisfied </w:t>
      </w:r>
      <w:r w:rsidR="0004302C" w:rsidRPr="00B07E71">
        <w:rPr>
          <w:rFonts w:ascii="Palatino Linotype" w:hAnsi="Palatino Linotype" w:cs="Arial"/>
          <w:sz w:val="24"/>
          <w:szCs w:val="24"/>
        </w:rPr>
        <w:t xml:space="preserve">with their experience at the placement site </w:t>
      </w:r>
      <w:r w:rsidR="00166055" w:rsidRPr="00B07E71">
        <w:rPr>
          <w:rFonts w:ascii="Palatino Linotype" w:hAnsi="Palatino Linotype" w:cs="Arial"/>
          <w:sz w:val="24"/>
          <w:szCs w:val="24"/>
        </w:rPr>
        <w:t>even</w:t>
      </w:r>
      <w:r w:rsidR="00C066E1" w:rsidRPr="00B07E71">
        <w:rPr>
          <w:rFonts w:ascii="Palatino Linotype" w:hAnsi="Palatino Linotype" w:cs="Arial"/>
          <w:sz w:val="24"/>
          <w:szCs w:val="24"/>
        </w:rPr>
        <w:t xml:space="preserve"> if they are unable to experience immediate interacti</w:t>
      </w:r>
      <w:r w:rsidRPr="00B07E71">
        <w:rPr>
          <w:rFonts w:ascii="Palatino Linotype" w:hAnsi="Palatino Linotype" w:cs="Arial"/>
          <w:sz w:val="24"/>
          <w:szCs w:val="24"/>
        </w:rPr>
        <w:t>on with clients, increasing</w:t>
      </w:r>
      <w:r w:rsidR="00166055" w:rsidRPr="00B07E71">
        <w:rPr>
          <w:rFonts w:ascii="Palatino Linotype" w:hAnsi="Palatino Linotype" w:cs="Arial"/>
          <w:sz w:val="24"/>
          <w:szCs w:val="24"/>
        </w:rPr>
        <w:t xml:space="preserve"> opportunities for </w:t>
      </w:r>
      <w:r w:rsidRPr="00B07E71">
        <w:rPr>
          <w:rFonts w:ascii="Palatino Linotype" w:hAnsi="Palatino Linotype" w:cs="Arial"/>
          <w:sz w:val="24"/>
          <w:szCs w:val="24"/>
        </w:rPr>
        <w:t xml:space="preserve">such </w:t>
      </w:r>
      <w:r w:rsidR="0004302C" w:rsidRPr="00B07E71">
        <w:rPr>
          <w:rFonts w:ascii="Palatino Linotype" w:hAnsi="Palatino Linotype" w:cs="Arial"/>
          <w:sz w:val="24"/>
          <w:szCs w:val="24"/>
        </w:rPr>
        <w:t>real client interacti</w:t>
      </w:r>
      <w:r w:rsidR="00B46D81" w:rsidRPr="00B07E71">
        <w:rPr>
          <w:rFonts w:ascii="Palatino Linotype" w:hAnsi="Palatino Linotype" w:cs="Arial"/>
          <w:sz w:val="24"/>
          <w:szCs w:val="24"/>
        </w:rPr>
        <w:t>on wa</w:t>
      </w:r>
      <w:r w:rsidR="0004302C" w:rsidRPr="00B07E71">
        <w:rPr>
          <w:rFonts w:ascii="Palatino Linotype" w:hAnsi="Palatino Linotype" w:cs="Arial"/>
          <w:sz w:val="24"/>
          <w:szCs w:val="24"/>
        </w:rPr>
        <w:t xml:space="preserve">s one refinement that has been identified </w:t>
      </w:r>
      <w:r w:rsidR="00B46D81" w:rsidRPr="00B07E71">
        <w:rPr>
          <w:rFonts w:ascii="Palatino Linotype" w:hAnsi="Palatino Linotype" w:cs="Arial"/>
          <w:sz w:val="24"/>
          <w:szCs w:val="24"/>
        </w:rPr>
        <w:t>as a worthwhile goal by CDU staff involved in the various streams</w:t>
      </w:r>
      <w:r w:rsidR="0004302C" w:rsidRPr="00B07E71">
        <w:rPr>
          <w:rFonts w:ascii="Palatino Linotype" w:hAnsi="Palatino Linotype" w:cs="Arial"/>
          <w:sz w:val="24"/>
          <w:szCs w:val="24"/>
        </w:rPr>
        <w:t xml:space="preserve">. Consequently, </w:t>
      </w:r>
      <w:r w:rsidR="00013697" w:rsidRPr="00B07E71">
        <w:rPr>
          <w:rFonts w:ascii="Palatino Linotype" w:hAnsi="Palatino Linotype" w:cs="Arial"/>
          <w:sz w:val="24"/>
          <w:szCs w:val="24"/>
        </w:rPr>
        <w:t>ways</w:t>
      </w:r>
      <w:r w:rsidR="00C066E1" w:rsidRPr="00B07E71">
        <w:rPr>
          <w:rFonts w:ascii="Palatino Linotype" w:hAnsi="Palatino Linotype" w:cs="Arial"/>
          <w:sz w:val="24"/>
          <w:szCs w:val="24"/>
        </w:rPr>
        <w:t xml:space="preserve"> to</w:t>
      </w:r>
      <w:r w:rsidR="00E13A7D" w:rsidRPr="00B07E71">
        <w:rPr>
          <w:rFonts w:ascii="Palatino Linotype" w:hAnsi="Palatino Linotype" w:cs="Arial"/>
          <w:sz w:val="24"/>
          <w:szCs w:val="24"/>
        </w:rPr>
        <w:t xml:space="preserve"> expand Legal Clinic to</w:t>
      </w:r>
      <w:r w:rsidR="00C066E1" w:rsidRPr="00B07E71">
        <w:rPr>
          <w:rFonts w:ascii="Palatino Linotype" w:hAnsi="Palatino Linotype" w:cs="Arial"/>
          <w:sz w:val="24"/>
          <w:szCs w:val="24"/>
        </w:rPr>
        <w:t xml:space="preserve"> increase external st</w:t>
      </w:r>
      <w:r w:rsidR="00013697" w:rsidRPr="00B07E71">
        <w:rPr>
          <w:rFonts w:ascii="Palatino Linotype" w:hAnsi="Palatino Linotype" w:cs="Arial"/>
          <w:sz w:val="24"/>
          <w:szCs w:val="24"/>
        </w:rPr>
        <w:t>udents’ opportunities to interact with clients</w:t>
      </w:r>
      <w:r w:rsidR="002B1EBC" w:rsidRPr="00B07E71">
        <w:rPr>
          <w:rFonts w:ascii="Palatino Linotype" w:hAnsi="Palatino Linotype" w:cs="Arial"/>
          <w:sz w:val="24"/>
          <w:szCs w:val="24"/>
        </w:rPr>
        <w:t xml:space="preserve"> are being explored</w:t>
      </w:r>
      <w:r w:rsidR="00013697" w:rsidRPr="00B07E71">
        <w:rPr>
          <w:rFonts w:ascii="Palatino Linotype" w:hAnsi="Palatino Linotype" w:cs="Arial"/>
          <w:sz w:val="24"/>
          <w:szCs w:val="24"/>
        </w:rPr>
        <w:t>, including</w:t>
      </w:r>
      <w:r w:rsidR="00C066E1" w:rsidRPr="00B07E71">
        <w:rPr>
          <w:rFonts w:ascii="Palatino Linotype" w:hAnsi="Palatino Linotype" w:cs="Arial"/>
          <w:sz w:val="24"/>
          <w:szCs w:val="24"/>
        </w:rPr>
        <w:t>:</w:t>
      </w:r>
    </w:p>
    <w:p w:rsidR="00C066E1" w:rsidRPr="00B07E71" w:rsidRDefault="00C066E1" w:rsidP="00B07E71">
      <w:pPr>
        <w:pStyle w:val="ListParagraph"/>
        <w:numPr>
          <w:ilvl w:val="0"/>
          <w:numId w:val="18"/>
        </w:numPr>
        <w:spacing w:after="160" w:line="480" w:lineRule="auto"/>
        <w:jc w:val="both"/>
        <w:rPr>
          <w:rFonts w:ascii="Palatino Linotype" w:hAnsi="Palatino Linotype" w:cs="Arial"/>
          <w:sz w:val="24"/>
          <w:szCs w:val="24"/>
        </w:rPr>
      </w:pPr>
      <w:r w:rsidRPr="00B07E71">
        <w:rPr>
          <w:rFonts w:ascii="Palatino Linotype" w:hAnsi="Palatino Linotype" w:cs="Arial"/>
          <w:sz w:val="24"/>
          <w:szCs w:val="24"/>
        </w:rPr>
        <w:t>developing relationships with host organisations in other cities (especially those with significant external enrolments such as Adelaide and Melbourne);</w:t>
      </w:r>
    </w:p>
    <w:p w:rsidR="00C066E1" w:rsidRPr="00B07E71" w:rsidRDefault="00C066E1" w:rsidP="00B07E71">
      <w:pPr>
        <w:pStyle w:val="ListParagraph"/>
        <w:numPr>
          <w:ilvl w:val="0"/>
          <w:numId w:val="18"/>
        </w:numPr>
        <w:spacing w:after="160" w:line="480" w:lineRule="auto"/>
        <w:jc w:val="both"/>
        <w:rPr>
          <w:rFonts w:ascii="Palatino Linotype" w:hAnsi="Palatino Linotype" w:cs="Arial"/>
          <w:sz w:val="24"/>
          <w:szCs w:val="24"/>
        </w:rPr>
      </w:pPr>
      <w:r w:rsidRPr="00B07E71">
        <w:rPr>
          <w:rFonts w:ascii="Palatino Linotype" w:hAnsi="Palatino Linotype" w:cs="Arial"/>
          <w:sz w:val="24"/>
          <w:szCs w:val="24"/>
        </w:rPr>
        <w:t>offering external students the opportunity to travel to Darwin (hopefully with a travel subsidy) to undertake intensive placement with a Darwin host organisation</w:t>
      </w:r>
      <w:r w:rsidR="002B1EBC" w:rsidRPr="00B07E71">
        <w:rPr>
          <w:rFonts w:ascii="Palatino Linotype" w:hAnsi="Palatino Linotype" w:cs="Arial"/>
          <w:sz w:val="24"/>
          <w:szCs w:val="24"/>
        </w:rPr>
        <w:t>;</w:t>
      </w:r>
      <w:r w:rsidR="0004302C" w:rsidRPr="00B07E71">
        <w:rPr>
          <w:rStyle w:val="FootnoteReference"/>
          <w:rFonts w:ascii="Palatino Linotype" w:hAnsi="Palatino Linotype" w:cs="Arial"/>
          <w:sz w:val="24"/>
          <w:szCs w:val="24"/>
        </w:rPr>
        <w:footnoteReference w:id="120"/>
      </w:r>
      <w:r w:rsidR="000A71AF" w:rsidRPr="00B07E71">
        <w:rPr>
          <w:rFonts w:ascii="Palatino Linotype" w:hAnsi="Palatino Linotype" w:cs="Arial"/>
          <w:sz w:val="24"/>
          <w:szCs w:val="24"/>
        </w:rPr>
        <w:t xml:space="preserve"> and</w:t>
      </w:r>
    </w:p>
    <w:p w:rsidR="00C066E1" w:rsidRPr="00B07E71" w:rsidRDefault="00870606" w:rsidP="00B07E71">
      <w:pPr>
        <w:pStyle w:val="ListParagraph"/>
        <w:numPr>
          <w:ilvl w:val="0"/>
          <w:numId w:val="18"/>
        </w:numPr>
        <w:spacing w:after="160" w:line="480" w:lineRule="auto"/>
        <w:jc w:val="both"/>
        <w:rPr>
          <w:rFonts w:ascii="Palatino Linotype" w:hAnsi="Palatino Linotype" w:cs="Arial"/>
          <w:sz w:val="24"/>
          <w:szCs w:val="24"/>
        </w:rPr>
      </w:pPr>
      <w:r w:rsidRPr="00B07E71">
        <w:rPr>
          <w:rFonts w:ascii="Palatino Linotype" w:hAnsi="Palatino Linotype" w:cs="Arial"/>
          <w:sz w:val="24"/>
          <w:szCs w:val="24"/>
        </w:rPr>
        <w:t xml:space="preserve">offering online </w:t>
      </w:r>
      <w:r w:rsidR="00194744" w:rsidRPr="00B07E71">
        <w:rPr>
          <w:rFonts w:ascii="Palatino Linotype" w:hAnsi="Palatino Linotype" w:cs="Arial"/>
          <w:sz w:val="24"/>
          <w:szCs w:val="24"/>
        </w:rPr>
        <w:t xml:space="preserve">(and internal) </w:t>
      </w:r>
      <w:r w:rsidRPr="00B07E71">
        <w:rPr>
          <w:rFonts w:ascii="Palatino Linotype" w:hAnsi="Palatino Linotype" w:cs="Arial"/>
          <w:sz w:val="24"/>
          <w:szCs w:val="24"/>
        </w:rPr>
        <w:t>students the opportunity to work more closely with the courts. In this regard, j</w:t>
      </w:r>
      <w:r w:rsidR="00C066E1" w:rsidRPr="00B07E71">
        <w:rPr>
          <w:rFonts w:ascii="Palatino Linotype" w:hAnsi="Palatino Linotype" w:cs="Arial"/>
          <w:sz w:val="24"/>
          <w:szCs w:val="24"/>
        </w:rPr>
        <w:t>udges of the</w:t>
      </w:r>
      <w:r w:rsidR="0004302C" w:rsidRPr="00B07E71">
        <w:rPr>
          <w:rFonts w:ascii="Palatino Linotype" w:hAnsi="Palatino Linotype" w:cs="Arial"/>
          <w:sz w:val="24"/>
          <w:szCs w:val="24"/>
        </w:rPr>
        <w:t xml:space="preserve"> Northern Territory</w:t>
      </w:r>
      <w:r w:rsidR="00C066E1" w:rsidRPr="00B07E71">
        <w:rPr>
          <w:rFonts w:ascii="Palatino Linotype" w:hAnsi="Palatino Linotype" w:cs="Arial"/>
          <w:sz w:val="24"/>
          <w:szCs w:val="24"/>
        </w:rPr>
        <w:t xml:space="preserve"> Local Court in Darwin </w:t>
      </w:r>
      <w:r w:rsidRPr="00B07E71">
        <w:rPr>
          <w:rFonts w:ascii="Palatino Linotype" w:hAnsi="Palatino Linotype" w:cs="Arial"/>
          <w:sz w:val="24"/>
          <w:szCs w:val="24"/>
        </w:rPr>
        <w:t xml:space="preserve">have </w:t>
      </w:r>
      <w:r w:rsidR="00C066E1" w:rsidRPr="00B07E71">
        <w:rPr>
          <w:rFonts w:ascii="Palatino Linotype" w:hAnsi="Palatino Linotype" w:cs="Arial"/>
          <w:sz w:val="24"/>
          <w:szCs w:val="24"/>
        </w:rPr>
        <w:t>expressed interest in hos</w:t>
      </w:r>
      <w:r w:rsidR="002B1EBC" w:rsidRPr="00B07E71">
        <w:rPr>
          <w:rFonts w:ascii="Palatino Linotype" w:hAnsi="Palatino Linotype" w:cs="Arial"/>
          <w:sz w:val="24"/>
          <w:szCs w:val="24"/>
        </w:rPr>
        <w:t>ting both online and local</w:t>
      </w:r>
      <w:r w:rsidR="00C066E1" w:rsidRPr="00B07E71">
        <w:rPr>
          <w:rFonts w:ascii="Palatino Linotype" w:hAnsi="Palatino Linotype" w:cs="Arial"/>
          <w:sz w:val="24"/>
          <w:szCs w:val="24"/>
        </w:rPr>
        <w:t xml:space="preserve"> students as quasi-associates on</w:t>
      </w:r>
      <w:r w:rsidRPr="00B07E71">
        <w:rPr>
          <w:rFonts w:ascii="Palatino Linotype" w:hAnsi="Palatino Linotype" w:cs="Arial"/>
          <w:sz w:val="24"/>
          <w:szCs w:val="24"/>
        </w:rPr>
        <w:t xml:space="preserve"> an</w:t>
      </w:r>
      <w:r w:rsidR="00C066E1" w:rsidRPr="00B07E71">
        <w:rPr>
          <w:rFonts w:ascii="Palatino Linotype" w:hAnsi="Palatino Linotype" w:cs="Arial"/>
          <w:sz w:val="24"/>
          <w:szCs w:val="24"/>
        </w:rPr>
        <w:t xml:space="preserve"> intensive placement.  This would give external students further opportunities for real-time interaction with both civil litigants and criminal defendants before the Court. </w:t>
      </w:r>
    </w:p>
    <w:p w:rsidR="00C44FC5" w:rsidRPr="00B07E71" w:rsidRDefault="00870606"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Student workload is a</w:t>
      </w:r>
      <w:r w:rsidR="00244784" w:rsidRPr="00B07E71">
        <w:rPr>
          <w:rFonts w:ascii="Palatino Linotype" w:hAnsi="Palatino Linotype" w:cs="Arial"/>
          <w:sz w:val="24"/>
          <w:szCs w:val="24"/>
        </w:rPr>
        <w:t>nother aspect of</w:t>
      </w:r>
      <w:r w:rsidRPr="00B07E71">
        <w:rPr>
          <w:rFonts w:ascii="Palatino Linotype" w:hAnsi="Palatino Linotype" w:cs="Arial"/>
          <w:sz w:val="24"/>
          <w:szCs w:val="24"/>
        </w:rPr>
        <w:t xml:space="preserve"> the </w:t>
      </w:r>
      <w:r w:rsidR="000A133C" w:rsidRPr="00B07E71">
        <w:rPr>
          <w:rFonts w:ascii="Palatino Linotype" w:hAnsi="Palatino Linotype" w:cs="Arial"/>
          <w:sz w:val="24"/>
          <w:szCs w:val="24"/>
        </w:rPr>
        <w:t xml:space="preserve">Legal Clinic unit </w:t>
      </w:r>
      <w:r w:rsidR="002B1EBC" w:rsidRPr="00B07E71">
        <w:rPr>
          <w:rFonts w:ascii="Palatino Linotype" w:hAnsi="Palatino Linotype" w:cs="Arial"/>
          <w:sz w:val="24"/>
          <w:szCs w:val="24"/>
        </w:rPr>
        <w:t xml:space="preserve">currently </w:t>
      </w:r>
      <w:r w:rsidR="000A133C" w:rsidRPr="00B07E71">
        <w:rPr>
          <w:rFonts w:ascii="Palatino Linotype" w:hAnsi="Palatino Linotype" w:cs="Arial"/>
          <w:sz w:val="24"/>
          <w:szCs w:val="24"/>
        </w:rPr>
        <w:t>under</w:t>
      </w:r>
      <w:r w:rsidRPr="00B07E71">
        <w:rPr>
          <w:rFonts w:ascii="Palatino Linotype" w:hAnsi="Palatino Linotype" w:cs="Arial"/>
          <w:sz w:val="24"/>
          <w:szCs w:val="24"/>
        </w:rPr>
        <w:t xml:space="preserve"> review</w:t>
      </w:r>
      <w:r w:rsidR="00C066E1" w:rsidRPr="00B07E71">
        <w:rPr>
          <w:rFonts w:ascii="Palatino Linotype" w:hAnsi="Palatino Linotype" w:cs="Arial"/>
          <w:sz w:val="24"/>
          <w:szCs w:val="24"/>
        </w:rPr>
        <w:t>. Generally</w:t>
      </w:r>
      <w:r w:rsidRPr="00B07E71">
        <w:rPr>
          <w:rFonts w:ascii="Palatino Linotype" w:hAnsi="Palatino Linotype" w:cs="Arial"/>
          <w:sz w:val="24"/>
          <w:szCs w:val="24"/>
        </w:rPr>
        <w:t>,</w:t>
      </w:r>
      <w:r w:rsidR="00C066E1" w:rsidRPr="00B07E71">
        <w:rPr>
          <w:rFonts w:ascii="Palatino Linotype" w:hAnsi="Palatino Linotype" w:cs="Arial"/>
          <w:sz w:val="24"/>
          <w:szCs w:val="24"/>
        </w:rPr>
        <w:t xml:space="preserve"> </w:t>
      </w:r>
      <w:r w:rsidR="00194744" w:rsidRPr="00B07E71">
        <w:rPr>
          <w:rFonts w:ascii="Palatino Linotype" w:hAnsi="Palatino Linotype" w:cs="Arial"/>
          <w:sz w:val="24"/>
          <w:szCs w:val="24"/>
        </w:rPr>
        <w:t xml:space="preserve">over the </w:t>
      </w:r>
      <w:proofErr w:type="gramStart"/>
      <w:r w:rsidR="00194744" w:rsidRPr="00B07E71">
        <w:rPr>
          <w:rFonts w:ascii="Palatino Linotype" w:hAnsi="Palatino Linotype" w:cs="Arial"/>
          <w:sz w:val="24"/>
          <w:szCs w:val="24"/>
        </w:rPr>
        <w:t>12 week</w:t>
      </w:r>
      <w:proofErr w:type="gramEnd"/>
      <w:r w:rsidR="00194744" w:rsidRPr="00B07E71">
        <w:rPr>
          <w:rFonts w:ascii="Palatino Linotype" w:hAnsi="Palatino Linotype" w:cs="Arial"/>
          <w:sz w:val="24"/>
          <w:szCs w:val="24"/>
        </w:rPr>
        <w:t xml:space="preserve"> semester, </w:t>
      </w:r>
      <w:r w:rsidR="00C066E1" w:rsidRPr="00B07E71">
        <w:rPr>
          <w:rFonts w:ascii="Palatino Linotype" w:hAnsi="Palatino Linotype" w:cs="Arial"/>
          <w:sz w:val="24"/>
          <w:szCs w:val="24"/>
        </w:rPr>
        <w:t>students are expected to</w:t>
      </w:r>
      <w:r w:rsidR="000A133C" w:rsidRPr="00B07E71">
        <w:rPr>
          <w:rFonts w:ascii="Palatino Linotype" w:hAnsi="Palatino Linotype" w:cs="Arial"/>
          <w:sz w:val="24"/>
          <w:szCs w:val="24"/>
        </w:rPr>
        <w:t xml:space="preserve"> devote 6-8 hours per</w:t>
      </w:r>
      <w:r w:rsidR="00C066E1" w:rsidRPr="00B07E71">
        <w:rPr>
          <w:rFonts w:ascii="Palatino Linotype" w:hAnsi="Palatino Linotype" w:cs="Arial"/>
          <w:sz w:val="24"/>
          <w:szCs w:val="24"/>
        </w:rPr>
        <w:t xml:space="preserve"> week</w:t>
      </w:r>
      <w:r w:rsidR="00053D9B" w:rsidRPr="00B07E71">
        <w:rPr>
          <w:rFonts w:ascii="Palatino Linotype" w:hAnsi="Palatino Linotype" w:cs="Arial"/>
          <w:sz w:val="24"/>
          <w:szCs w:val="24"/>
        </w:rPr>
        <w:t xml:space="preserve"> to</w:t>
      </w:r>
      <w:r w:rsidR="000A133C" w:rsidRPr="00B07E71">
        <w:rPr>
          <w:rFonts w:ascii="Palatino Linotype" w:hAnsi="Palatino Linotype" w:cs="Arial"/>
          <w:sz w:val="24"/>
          <w:szCs w:val="24"/>
        </w:rPr>
        <w:t xml:space="preserve"> placement site work</w:t>
      </w:r>
      <w:r w:rsidR="002B1EBC" w:rsidRPr="00B07E71">
        <w:rPr>
          <w:rFonts w:ascii="Palatino Linotype" w:hAnsi="Palatino Linotype" w:cs="Arial"/>
          <w:sz w:val="24"/>
          <w:szCs w:val="24"/>
        </w:rPr>
        <w:t>, attend a two hour workshop</w:t>
      </w:r>
      <w:r w:rsidR="00C066E1" w:rsidRPr="00B07E71">
        <w:rPr>
          <w:rFonts w:ascii="Palatino Linotype" w:hAnsi="Palatino Linotype" w:cs="Arial"/>
          <w:sz w:val="24"/>
          <w:szCs w:val="24"/>
        </w:rPr>
        <w:t xml:space="preserve"> each week, and complete both a 2000 word research essay and a 3000 word reflective journal. Whatever the o</w:t>
      </w:r>
      <w:r w:rsidR="000A133C" w:rsidRPr="00B07E71">
        <w:rPr>
          <w:rFonts w:ascii="Palatino Linotype" w:hAnsi="Palatino Linotype" w:cs="Arial"/>
          <w:sz w:val="24"/>
          <w:szCs w:val="24"/>
        </w:rPr>
        <w:t>bjective reality,</w:t>
      </w:r>
      <w:r w:rsidR="00C066E1" w:rsidRPr="00B07E71">
        <w:rPr>
          <w:rFonts w:ascii="Palatino Linotype" w:hAnsi="Palatino Linotype" w:cs="Arial"/>
          <w:sz w:val="24"/>
          <w:szCs w:val="24"/>
        </w:rPr>
        <w:t xml:space="preserve"> there is a perception</w:t>
      </w:r>
      <w:r w:rsidR="000A133C" w:rsidRPr="00B07E71">
        <w:rPr>
          <w:rFonts w:ascii="Palatino Linotype" w:hAnsi="Palatino Linotype" w:cs="Arial"/>
          <w:sz w:val="24"/>
          <w:szCs w:val="24"/>
        </w:rPr>
        <w:t xml:space="preserve"> among students</w:t>
      </w:r>
      <w:r w:rsidR="00C066E1" w:rsidRPr="00B07E71">
        <w:rPr>
          <w:rFonts w:ascii="Palatino Linotype" w:hAnsi="Palatino Linotype" w:cs="Arial"/>
          <w:sz w:val="24"/>
          <w:szCs w:val="24"/>
        </w:rPr>
        <w:t xml:space="preserve"> that the workload and time demands of the Legal Clinic a</w:t>
      </w:r>
      <w:r w:rsidR="00C44FC5" w:rsidRPr="00B07E71">
        <w:rPr>
          <w:rFonts w:ascii="Palatino Linotype" w:hAnsi="Palatino Linotype" w:cs="Arial"/>
          <w:sz w:val="24"/>
          <w:szCs w:val="24"/>
        </w:rPr>
        <w:t>re excessive</w:t>
      </w:r>
      <w:r w:rsidR="00053D9B" w:rsidRPr="00B07E71">
        <w:rPr>
          <w:rFonts w:ascii="Palatino Linotype" w:hAnsi="Palatino Linotype" w:cs="Arial"/>
          <w:sz w:val="24"/>
          <w:szCs w:val="24"/>
        </w:rPr>
        <w:t xml:space="preserve"> compared to </w:t>
      </w:r>
      <w:r w:rsidR="00C066E1" w:rsidRPr="00B07E71">
        <w:rPr>
          <w:rFonts w:ascii="Palatino Linotype" w:hAnsi="Palatino Linotype" w:cs="Arial"/>
          <w:sz w:val="24"/>
          <w:szCs w:val="24"/>
        </w:rPr>
        <w:t xml:space="preserve">other elective units.  </w:t>
      </w:r>
      <w:r w:rsidR="00D02854" w:rsidRPr="00B07E71">
        <w:rPr>
          <w:rFonts w:ascii="Palatino Linotype" w:hAnsi="Palatino Linotype" w:cs="Arial"/>
          <w:sz w:val="24"/>
          <w:szCs w:val="24"/>
        </w:rPr>
        <w:t xml:space="preserve">While clinical units generally require a substantial commitment on the part of students, there is scope to </w:t>
      </w:r>
      <w:r w:rsidR="000A71AF" w:rsidRPr="00B07E71">
        <w:rPr>
          <w:rFonts w:ascii="Palatino Linotype" w:hAnsi="Palatino Linotype" w:cs="Arial"/>
          <w:sz w:val="24"/>
          <w:szCs w:val="24"/>
        </w:rPr>
        <w:t xml:space="preserve">address workload issues while still achieving the unit’s educational objectives. </w:t>
      </w:r>
    </w:p>
    <w:p w:rsidR="00C066E1" w:rsidRPr="00B07E71" w:rsidRDefault="000A71AF"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In particular,</w:t>
      </w:r>
      <w:r w:rsidR="00D02854" w:rsidRPr="00B07E71">
        <w:rPr>
          <w:rFonts w:ascii="Palatino Linotype" w:hAnsi="Palatino Linotype" w:cs="Arial"/>
          <w:sz w:val="24"/>
          <w:szCs w:val="24"/>
        </w:rPr>
        <w:t xml:space="preserve"> </w:t>
      </w:r>
      <w:r w:rsidR="00C066E1" w:rsidRPr="00B07E71">
        <w:rPr>
          <w:rFonts w:ascii="Palatino Linotype" w:hAnsi="Palatino Linotype" w:cs="Arial"/>
          <w:sz w:val="24"/>
          <w:szCs w:val="24"/>
        </w:rPr>
        <w:t>changes to the u</w:t>
      </w:r>
      <w:r w:rsidR="000A133C" w:rsidRPr="00B07E71">
        <w:rPr>
          <w:rFonts w:ascii="Palatino Linotype" w:hAnsi="Palatino Linotype" w:cs="Arial"/>
          <w:sz w:val="24"/>
          <w:szCs w:val="24"/>
        </w:rPr>
        <w:t>nit delivery structure under</w:t>
      </w:r>
      <w:r w:rsidRPr="00B07E71">
        <w:rPr>
          <w:rFonts w:ascii="Palatino Linotype" w:hAnsi="Palatino Linotype" w:cs="Arial"/>
          <w:sz w:val="24"/>
          <w:szCs w:val="24"/>
        </w:rPr>
        <w:t xml:space="preserve"> consideration include </w:t>
      </w:r>
      <w:r w:rsidR="000A133C" w:rsidRPr="00B07E71">
        <w:rPr>
          <w:rFonts w:ascii="Palatino Linotype" w:hAnsi="Palatino Linotype" w:cs="Arial"/>
          <w:sz w:val="24"/>
          <w:szCs w:val="24"/>
        </w:rPr>
        <w:t>replacing</w:t>
      </w:r>
      <w:r w:rsidR="00C066E1" w:rsidRPr="00B07E71">
        <w:rPr>
          <w:rFonts w:ascii="Palatino Linotype" w:hAnsi="Palatino Linotype" w:cs="Arial"/>
          <w:sz w:val="24"/>
          <w:szCs w:val="24"/>
        </w:rPr>
        <w:t xml:space="preserve"> </w:t>
      </w:r>
      <w:r w:rsidR="000A133C" w:rsidRPr="00B07E71">
        <w:rPr>
          <w:rFonts w:ascii="Palatino Linotype" w:hAnsi="Palatino Linotype" w:cs="Arial"/>
          <w:sz w:val="24"/>
          <w:szCs w:val="24"/>
        </w:rPr>
        <w:t xml:space="preserve">the </w:t>
      </w:r>
      <w:r w:rsidR="002B1EBC" w:rsidRPr="00B07E71">
        <w:rPr>
          <w:rFonts w:ascii="Palatino Linotype" w:hAnsi="Palatino Linotype" w:cs="Arial"/>
          <w:sz w:val="24"/>
          <w:szCs w:val="24"/>
        </w:rPr>
        <w:t>weekly workshops</w:t>
      </w:r>
      <w:r w:rsidR="000A133C" w:rsidRPr="00B07E71">
        <w:rPr>
          <w:rFonts w:ascii="Palatino Linotype" w:hAnsi="Palatino Linotype" w:cs="Arial"/>
          <w:sz w:val="24"/>
          <w:szCs w:val="24"/>
        </w:rPr>
        <w:t xml:space="preserve"> with</w:t>
      </w:r>
      <w:r w:rsidR="00053D9B" w:rsidRPr="00B07E71">
        <w:rPr>
          <w:rFonts w:ascii="Palatino Linotype" w:hAnsi="Palatino Linotype" w:cs="Arial"/>
          <w:sz w:val="24"/>
          <w:szCs w:val="24"/>
        </w:rPr>
        <w:t xml:space="preserve"> </w:t>
      </w:r>
      <w:r w:rsidR="000A133C" w:rsidRPr="00B07E71">
        <w:rPr>
          <w:rFonts w:ascii="Palatino Linotype" w:hAnsi="Palatino Linotype" w:cs="Arial"/>
          <w:sz w:val="24"/>
          <w:szCs w:val="24"/>
        </w:rPr>
        <w:t>an</w:t>
      </w:r>
      <w:r w:rsidR="00C066E1" w:rsidRPr="00B07E71">
        <w:rPr>
          <w:rFonts w:ascii="Palatino Linotype" w:hAnsi="Palatino Linotype" w:cs="Arial"/>
          <w:sz w:val="24"/>
          <w:szCs w:val="24"/>
        </w:rPr>
        <w:t xml:space="preserve"> intensive weekend seminar at the beginnin</w:t>
      </w:r>
      <w:r w:rsidR="000A133C" w:rsidRPr="00B07E71">
        <w:rPr>
          <w:rFonts w:ascii="Palatino Linotype" w:hAnsi="Palatino Linotype" w:cs="Arial"/>
          <w:sz w:val="24"/>
          <w:szCs w:val="24"/>
        </w:rPr>
        <w:t>g of each teaching semester.  The intensive seminar</w:t>
      </w:r>
      <w:r w:rsidR="00C066E1" w:rsidRPr="00B07E71">
        <w:rPr>
          <w:rFonts w:ascii="Palatino Linotype" w:hAnsi="Palatino Linotype" w:cs="Arial"/>
          <w:sz w:val="24"/>
          <w:szCs w:val="24"/>
        </w:rPr>
        <w:t xml:space="preserve"> would include the key content curr</w:t>
      </w:r>
      <w:r w:rsidR="002B1EBC" w:rsidRPr="00B07E71">
        <w:rPr>
          <w:rFonts w:ascii="Palatino Linotype" w:hAnsi="Palatino Linotype" w:cs="Arial"/>
          <w:sz w:val="24"/>
          <w:szCs w:val="24"/>
        </w:rPr>
        <w:t>ently covered in</w:t>
      </w:r>
      <w:r w:rsidR="00053D9B" w:rsidRPr="00B07E71">
        <w:rPr>
          <w:rFonts w:ascii="Palatino Linotype" w:hAnsi="Palatino Linotype" w:cs="Arial"/>
          <w:sz w:val="24"/>
          <w:szCs w:val="24"/>
        </w:rPr>
        <w:t xml:space="preserve"> the</w:t>
      </w:r>
      <w:r w:rsidR="002B1EBC" w:rsidRPr="00B07E71">
        <w:rPr>
          <w:rFonts w:ascii="Palatino Linotype" w:hAnsi="Palatino Linotype" w:cs="Arial"/>
          <w:sz w:val="24"/>
          <w:szCs w:val="24"/>
        </w:rPr>
        <w:t xml:space="preserve"> weekly workshops</w:t>
      </w:r>
      <w:r w:rsidR="00053D9B" w:rsidRPr="00B07E71">
        <w:rPr>
          <w:rFonts w:ascii="Palatino Linotype" w:hAnsi="Palatino Linotype" w:cs="Arial"/>
          <w:sz w:val="24"/>
          <w:szCs w:val="24"/>
        </w:rPr>
        <w:t>, together</w:t>
      </w:r>
      <w:r w:rsidR="00C066E1" w:rsidRPr="00B07E71">
        <w:rPr>
          <w:rFonts w:ascii="Palatino Linotype" w:hAnsi="Palatino Linotype" w:cs="Arial"/>
          <w:sz w:val="24"/>
          <w:szCs w:val="24"/>
        </w:rPr>
        <w:t xml:space="preserve"> with </w:t>
      </w:r>
      <w:r w:rsidR="002B1EBC" w:rsidRPr="00B07E71">
        <w:rPr>
          <w:rFonts w:ascii="Palatino Linotype" w:hAnsi="Palatino Linotype" w:cs="Arial"/>
          <w:sz w:val="24"/>
          <w:szCs w:val="24"/>
        </w:rPr>
        <w:t xml:space="preserve">simulated </w:t>
      </w:r>
      <w:r w:rsidR="00C066E1" w:rsidRPr="00B07E71">
        <w:rPr>
          <w:rFonts w:ascii="Palatino Linotype" w:hAnsi="Palatino Linotype" w:cs="Arial"/>
          <w:sz w:val="24"/>
          <w:szCs w:val="24"/>
        </w:rPr>
        <w:t>client interview</w:t>
      </w:r>
      <w:r w:rsidR="002B1EBC" w:rsidRPr="00B07E71">
        <w:rPr>
          <w:rFonts w:ascii="Palatino Linotype" w:hAnsi="Palatino Linotype" w:cs="Arial"/>
          <w:sz w:val="24"/>
          <w:szCs w:val="24"/>
        </w:rPr>
        <w:t>s</w:t>
      </w:r>
      <w:r w:rsidR="00C066E1" w:rsidRPr="00B07E71">
        <w:rPr>
          <w:rFonts w:ascii="Palatino Linotype" w:hAnsi="Palatino Linotype" w:cs="Arial"/>
          <w:sz w:val="24"/>
          <w:szCs w:val="24"/>
        </w:rPr>
        <w:t xml:space="preserve"> and other role plays to prepare students</w:t>
      </w:r>
      <w:r w:rsidRPr="00B07E71">
        <w:rPr>
          <w:rFonts w:ascii="Palatino Linotype" w:hAnsi="Palatino Linotype" w:cs="Arial"/>
          <w:sz w:val="24"/>
          <w:szCs w:val="24"/>
        </w:rPr>
        <w:t xml:space="preserve"> better</w:t>
      </w:r>
      <w:r w:rsidR="00C066E1" w:rsidRPr="00B07E71">
        <w:rPr>
          <w:rFonts w:ascii="Palatino Linotype" w:hAnsi="Palatino Linotype" w:cs="Arial"/>
          <w:sz w:val="24"/>
          <w:szCs w:val="24"/>
        </w:rPr>
        <w:t xml:space="preserve"> for </w:t>
      </w:r>
      <w:r w:rsidR="002B1EBC" w:rsidRPr="00B07E71">
        <w:rPr>
          <w:rFonts w:ascii="Palatino Linotype" w:hAnsi="Palatino Linotype" w:cs="Arial"/>
          <w:sz w:val="24"/>
          <w:szCs w:val="24"/>
        </w:rPr>
        <w:t xml:space="preserve">real </w:t>
      </w:r>
      <w:r w:rsidR="00C44FC5" w:rsidRPr="00B07E71">
        <w:rPr>
          <w:rFonts w:ascii="Palatino Linotype" w:hAnsi="Palatino Linotype" w:cs="Arial"/>
          <w:sz w:val="24"/>
          <w:szCs w:val="24"/>
        </w:rPr>
        <w:t xml:space="preserve">client interaction. In addition to the intensive seminar, students would attend </w:t>
      </w:r>
      <w:r w:rsidRPr="00B07E71">
        <w:rPr>
          <w:rFonts w:ascii="Palatino Linotype" w:hAnsi="Palatino Linotype" w:cs="Arial"/>
          <w:sz w:val="24"/>
          <w:szCs w:val="24"/>
        </w:rPr>
        <w:t xml:space="preserve">a fortnightly online </w:t>
      </w:r>
      <w:r w:rsidR="00C44FC5" w:rsidRPr="00B07E71">
        <w:rPr>
          <w:rFonts w:ascii="Palatino Linotype" w:hAnsi="Palatino Linotype" w:cs="Arial"/>
          <w:sz w:val="24"/>
          <w:szCs w:val="24"/>
        </w:rPr>
        <w:t>meeting with the stream academic supervisor. In the meetings,</w:t>
      </w:r>
      <w:r w:rsidRPr="00B07E71">
        <w:rPr>
          <w:rFonts w:ascii="Palatino Linotype" w:hAnsi="Palatino Linotype" w:cs="Arial"/>
          <w:sz w:val="24"/>
          <w:szCs w:val="24"/>
        </w:rPr>
        <w:t xml:space="preserve"> exper</w:t>
      </w:r>
      <w:r w:rsidR="00C44FC5" w:rsidRPr="00B07E71">
        <w:rPr>
          <w:rFonts w:ascii="Palatino Linotype" w:hAnsi="Palatino Linotype" w:cs="Arial"/>
          <w:sz w:val="24"/>
          <w:szCs w:val="24"/>
        </w:rPr>
        <w:t>iences at the placement site could</w:t>
      </w:r>
      <w:r w:rsidRPr="00B07E71">
        <w:rPr>
          <w:rFonts w:ascii="Palatino Linotype" w:hAnsi="Palatino Linotype" w:cs="Arial"/>
          <w:sz w:val="24"/>
          <w:szCs w:val="24"/>
        </w:rPr>
        <w:t xml:space="preserve"> be discussed, and any issues with the placement identified.</w:t>
      </w:r>
    </w:p>
    <w:p w:rsidR="00B07E71" w:rsidRDefault="00B07E71" w:rsidP="00B07E71">
      <w:pPr>
        <w:spacing w:line="480" w:lineRule="auto"/>
        <w:jc w:val="both"/>
        <w:rPr>
          <w:rFonts w:ascii="Palatino Linotype" w:hAnsi="Palatino Linotype" w:cs="Arial"/>
          <w:b/>
          <w:sz w:val="24"/>
          <w:szCs w:val="24"/>
        </w:rPr>
      </w:pPr>
    </w:p>
    <w:p w:rsidR="009C3D41" w:rsidRPr="00B07E71" w:rsidRDefault="00B07E7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CONCLUSION</w:t>
      </w:r>
    </w:p>
    <w:p w:rsidR="001F413B" w:rsidRPr="00B07E71" w:rsidRDefault="00A71911" w:rsidP="00B07E71">
      <w:pPr>
        <w:spacing w:line="360" w:lineRule="auto"/>
        <w:jc w:val="both"/>
        <w:rPr>
          <w:rFonts w:ascii="Palatino Linotype" w:hAnsi="Palatino Linotype" w:cs="Arial"/>
          <w:sz w:val="24"/>
          <w:szCs w:val="24"/>
        </w:rPr>
      </w:pPr>
      <w:r w:rsidRPr="00B07E71">
        <w:rPr>
          <w:rFonts w:ascii="Palatino Linotype" w:hAnsi="Palatino Linotype" w:cs="Arial"/>
          <w:sz w:val="24"/>
          <w:szCs w:val="24"/>
        </w:rPr>
        <w:t>With advances in digital</w:t>
      </w:r>
      <w:r w:rsidR="006810C0" w:rsidRPr="00B07E71">
        <w:rPr>
          <w:rFonts w:ascii="Palatino Linotype" w:hAnsi="Palatino Linotype" w:cs="Arial"/>
          <w:sz w:val="24"/>
          <w:szCs w:val="24"/>
        </w:rPr>
        <w:t xml:space="preserve"> technology, the next major advance</w:t>
      </w:r>
      <w:r w:rsidRPr="00B07E71">
        <w:rPr>
          <w:rFonts w:ascii="Palatino Linotype" w:hAnsi="Palatino Linotype" w:cs="Arial"/>
          <w:sz w:val="24"/>
          <w:szCs w:val="24"/>
        </w:rPr>
        <w:t xml:space="preserve"> in the evolution of clinical legal education </w:t>
      </w:r>
      <w:r w:rsidR="001315D8" w:rsidRPr="00B07E71">
        <w:rPr>
          <w:rFonts w:ascii="Palatino Linotype" w:hAnsi="Palatino Linotype" w:cs="Arial"/>
          <w:sz w:val="24"/>
          <w:szCs w:val="24"/>
        </w:rPr>
        <w:t>is upon us</w:t>
      </w:r>
      <w:r w:rsidRPr="00B07E71">
        <w:rPr>
          <w:rFonts w:ascii="Palatino Linotype" w:hAnsi="Palatino Linotype" w:cs="Arial"/>
          <w:sz w:val="24"/>
          <w:szCs w:val="24"/>
        </w:rPr>
        <w:t>.</w:t>
      </w:r>
      <w:r w:rsidR="00AA46D5" w:rsidRPr="00B07E71">
        <w:rPr>
          <w:rFonts w:ascii="Palatino Linotype" w:hAnsi="Palatino Linotype" w:cs="Arial"/>
          <w:sz w:val="24"/>
          <w:szCs w:val="24"/>
        </w:rPr>
        <w:t xml:space="preserve"> </w:t>
      </w:r>
      <w:r w:rsidR="001F413B" w:rsidRPr="00B07E71">
        <w:rPr>
          <w:rFonts w:ascii="Palatino Linotype" w:hAnsi="Palatino Linotype" w:cs="Arial"/>
          <w:sz w:val="24"/>
          <w:szCs w:val="24"/>
        </w:rPr>
        <w:t xml:space="preserve">In 2000, when envisioning the impact of technology on clinical legal education, Martin Barry, </w:t>
      </w:r>
      <w:proofErr w:type="spellStart"/>
      <w:r w:rsidR="001F413B" w:rsidRPr="00B07E71">
        <w:rPr>
          <w:rFonts w:ascii="Palatino Linotype" w:hAnsi="Palatino Linotype" w:cs="Arial"/>
          <w:sz w:val="24"/>
          <w:szCs w:val="24"/>
        </w:rPr>
        <w:t>Dubin</w:t>
      </w:r>
      <w:proofErr w:type="spellEnd"/>
      <w:r w:rsidR="001F413B" w:rsidRPr="00B07E71">
        <w:rPr>
          <w:rFonts w:ascii="Palatino Linotype" w:hAnsi="Palatino Linotype" w:cs="Arial"/>
          <w:sz w:val="24"/>
          <w:szCs w:val="24"/>
        </w:rPr>
        <w:t xml:space="preserve"> and Joy noted:</w:t>
      </w:r>
    </w:p>
    <w:p w:rsidR="001F413B" w:rsidRPr="00B07E71" w:rsidRDefault="001F413B" w:rsidP="00B07E71">
      <w:pPr>
        <w:pStyle w:val="ListParagraph"/>
        <w:spacing w:line="360" w:lineRule="auto"/>
        <w:jc w:val="both"/>
        <w:rPr>
          <w:rFonts w:ascii="Palatino Linotype" w:hAnsi="Palatino Linotype" w:cs="Arial"/>
          <w:sz w:val="24"/>
          <w:szCs w:val="24"/>
        </w:rPr>
      </w:pPr>
      <w:r w:rsidRPr="00B07E71">
        <w:rPr>
          <w:rFonts w:ascii="Palatino Linotype" w:hAnsi="Palatino Linotype" w:cs="Arial"/>
          <w:i/>
          <w:sz w:val="24"/>
          <w:szCs w:val="24"/>
        </w:rPr>
        <w:t xml:space="preserve">Improvements and cost reductions in distance learning and video conferencing technologies will provide greater opportunities for clinical work across local, state and national borders and permit more </w:t>
      </w:r>
      <w:proofErr w:type="spellStart"/>
      <w:r w:rsidRPr="00B07E71">
        <w:rPr>
          <w:rFonts w:ascii="Palatino Linotype" w:hAnsi="Palatino Linotype" w:cs="Arial"/>
          <w:i/>
          <w:sz w:val="24"/>
          <w:szCs w:val="24"/>
        </w:rPr>
        <w:t>mult</w:t>
      </w:r>
      <w:proofErr w:type="spellEnd"/>
      <w:r w:rsidRPr="00B07E71">
        <w:rPr>
          <w:rFonts w:ascii="Palatino Linotype" w:hAnsi="Palatino Linotype" w:cs="Arial"/>
          <w:i/>
          <w:sz w:val="24"/>
          <w:szCs w:val="24"/>
        </w:rPr>
        <w:t>-school, multi-venue collaborations. This technology will be particularly u</w:t>
      </w:r>
      <w:r w:rsidR="009C04BE" w:rsidRPr="00B07E71">
        <w:rPr>
          <w:rFonts w:ascii="Palatino Linotype" w:hAnsi="Palatino Linotype" w:cs="Arial"/>
          <w:i/>
          <w:sz w:val="24"/>
          <w:szCs w:val="24"/>
        </w:rPr>
        <w:t xml:space="preserve">seful in expanding </w:t>
      </w:r>
      <w:r w:rsidRPr="00B07E71">
        <w:rPr>
          <w:rFonts w:ascii="Palatino Linotype" w:hAnsi="Palatino Linotype" w:cs="Arial"/>
          <w:i/>
          <w:sz w:val="24"/>
          <w:szCs w:val="24"/>
        </w:rPr>
        <w:t>externship offerings and increasingly their sophistication</w:t>
      </w:r>
      <w:r w:rsidRPr="00B07E71">
        <w:rPr>
          <w:rFonts w:ascii="Palatino Linotype" w:hAnsi="Palatino Linotype" w:cs="Arial"/>
          <w:sz w:val="24"/>
          <w:szCs w:val="24"/>
        </w:rPr>
        <w:t>.</w:t>
      </w:r>
      <w:r w:rsidRPr="00B07E71">
        <w:rPr>
          <w:rStyle w:val="FootnoteReference"/>
          <w:rFonts w:ascii="Palatino Linotype" w:hAnsi="Palatino Linotype" w:cs="Arial"/>
          <w:sz w:val="24"/>
          <w:szCs w:val="24"/>
        </w:rPr>
        <w:footnoteReference w:id="121"/>
      </w:r>
    </w:p>
    <w:p w:rsidR="001F413B" w:rsidRPr="00B07E71" w:rsidRDefault="007B67BE"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What was speculation in 2000 has now been realised, a</w:t>
      </w:r>
      <w:r w:rsidR="001F413B" w:rsidRPr="00B07E71">
        <w:rPr>
          <w:rFonts w:ascii="Palatino Linotype" w:hAnsi="Palatino Linotype" w:cs="Arial"/>
          <w:sz w:val="24"/>
          <w:szCs w:val="24"/>
        </w:rPr>
        <w:t xml:space="preserve">t </w:t>
      </w:r>
      <w:r w:rsidRPr="00B07E71">
        <w:rPr>
          <w:rFonts w:ascii="Palatino Linotype" w:hAnsi="Palatino Linotype" w:cs="Arial"/>
          <w:sz w:val="24"/>
          <w:szCs w:val="24"/>
        </w:rPr>
        <w:t>least at CDU. O</w:t>
      </w:r>
      <w:r w:rsidR="001F413B" w:rsidRPr="00B07E71">
        <w:rPr>
          <w:rFonts w:ascii="Palatino Linotype" w:hAnsi="Palatino Linotype" w:cs="Arial"/>
          <w:sz w:val="24"/>
          <w:szCs w:val="24"/>
        </w:rPr>
        <w:t xml:space="preserve">nline students undertaking </w:t>
      </w:r>
      <w:r w:rsidRPr="00B07E71">
        <w:rPr>
          <w:rFonts w:ascii="Palatino Linotype" w:hAnsi="Palatino Linotype" w:cs="Arial"/>
          <w:sz w:val="24"/>
          <w:szCs w:val="24"/>
        </w:rPr>
        <w:t xml:space="preserve">CDU’s </w:t>
      </w:r>
      <w:r w:rsidR="001F413B" w:rsidRPr="00B07E71">
        <w:rPr>
          <w:rFonts w:ascii="Palatino Linotype" w:hAnsi="Palatino Linotype" w:cs="Arial"/>
          <w:sz w:val="24"/>
          <w:szCs w:val="24"/>
        </w:rPr>
        <w:t xml:space="preserve">Legal Clinic in 2016 have the opportunity to work with Darwin-based, national and international organisations in a wide variety of public interest placements. Further, CDU clinicians, through their own networks and global networks such as </w:t>
      </w:r>
      <w:r w:rsidR="00492289" w:rsidRPr="00B07E71">
        <w:rPr>
          <w:rFonts w:ascii="Palatino Linotype" w:hAnsi="Palatino Linotype" w:cs="Arial"/>
          <w:sz w:val="24"/>
          <w:szCs w:val="24"/>
        </w:rPr>
        <w:t>GAJE, can work with like-minded colleagues in Asia and elsewhere to improve clinical offerings and maximise the rewards digital technologies provide.</w:t>
      </w:r>
    </w:p>
    <w:p w:rsidR="00492289" w:rsidRPr="00B07E71" w:rsidRDefault="00492289"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For clinicians dedicated to instilling in our students the skills, both practical and ethical,</w:t>
      </w:r>
      <w:r w:rsidR="00163AE1" w:rsidRPr="00B07E71">
        <w:rPr>
          <w:rFonts w:ascii="Palatino Linotype" w:hAnsi="Palatino Linotype" w:cs="Arial"/>
          <w:sz w:val="24"/>
          <w:szCs w:val="24"/>
        </w:rPr>
        <w:t xml:space="preserve"> that</w:t>
      </w:r>
      <w:r w:rsidRPr="00B07E71">
        <w:rPr>
          <w:rFonts w:ascii="Palatino Linotype" w:hAnsi="Palatino Linotype" w:cs="Arial"/>
          <w:sz w:val="24"/>
          <w:szCs w:val="24"/>
        </w:rPr>
        <w:t xml:space="preserve"> they will need to practice</w:t>
      </w:r>
      <w:r w:rsidR="00E4010A" w:rsidRPr="00B07E71">
        <w:rPr>
          <w:rFonts w:ascii="Palatino Linotype" w:hAnsi="Palatino Linotype" w:cs="Arial"/>
          <w:sz w:val="24"/>
          <w:szCs w:val="24"/>
        </w:rPr>
        <w:t xml:space="preserve"> law</w:t>
      </w:r>
      <w:r w:rsidRPr="00B07E71">
        <w:rPr>
          <w:rFonts w:ascii="Palatino Linotype" w:hAnsi="Palatino Linotype" w:cs="Arial"/>
          <w:sz w:val="24"/>
          <w:szCs w:val="24"/>
        </w:rPr>
        <w:t>, the advent of digital tech</w:t>
      </w:r>
      <w:r w:rsidR="005C52F1" w:rsidRPr="00B07E71">
        <w:rPr>
          <w:rFonts w:ascii="Palatino Linotype" w:hAnsi="Palatino Linotype" w:cs="Arial"/>
          <w:sz w:val="24"/>
          <w:szCs w:val="24"/>
        </w:rPr>
        <w:t>nologies has indeed provided us with a</w:t>
      </w:r>
      <w:r w:rsidRPr="00B07E71">
        <w:rPr>
          <w:rFonts w:ascii="Palatino Linotype" w:hAnsi="Palatino Linotype" w:cs="Arial"/>
          <w:sz w:val="24"/>
          <w:szCs w:val="24"/>
        </w:rPr>
        <w:t xml:space="preserve"> Gutenberg moment. Through advances in communications technology, a placement site </w:t>
      </w:r>
      <w:r w:rsidR="005C52F1" w:rsidRPr="00B07E71">
        <w:rPr>
          <w:rFonts w:ascii="Palatino Linotype" w:hAnsi="Palatino Linotype" w:cs="Arial"/>
          <w:sz w:val="24"/>
          <w:szCs w:val="24"/>
        </w:rPr>
        <w:t xml:space="preserve">now </w:t>
      </w:r>
      <w:r w:rsidRPr="00B07E71">
        <w:rPr>
          <w:rFonts w:ascii="Palatino Linotype" w:hAnsi="Palatino Linotype" w:cs="Arial"/>
          <w:sz w:val="24"/>
          <w:szCs w:val="24"/>
        </w:rPr>
        <w:t xml:space="preserve">can be located anywhere in the world. Through advances in video technology, a student </w:t>
      </w:r>
      <w:r w:rsidR="005C52F1" w:rsidRPr="00B07E71">
        <w:rPr>
          <w:rFonts w:ascii="Palatino Linotype" w:hAnsi="Palatino Linotype" w:cs="Arial"/>
          <w:sz w:val="24"/>
          <w:szCs w:val="24"/>
        </w:rPr>
        <w:t>now can</w:t>
      </w:r>
      <w:r w:rsidRPr="00B07E71">
        <w:rPr>
          <w:rFonts w:ascii="Palatino Linotype" w:hAnsi="Palatino Linotype" w:cs="Arial"/>
          <w:sz w:val="24"/>
          <w:szCs w:val="24"/>
        </w:rPr>
        <w:t xml:space="preserve"> conduct an interview with a cl</w:t>
      </w:r>
      <w:r w:rsidR="005C52F1" w:rsidRPr="00B07E71">
        <w:rPr>
          <w:rFonts w:ascii="Palatino Linotype" w:hAnsi="Palatino Linotype" w:cs="Arial"/>
          <w:sz w:val="24"/>
          <w:szCs w:val="24"/>
        </w:rPr>
        <w:t>ient located in another city</w:t>
      </w:r>
      <w:r w:rsidR="00D72597" w:rsidRPr="00B07E71">
        <w:rPr>
          <w:rFonts w:ascii="Palatino Linotype" w:hAnsi="Palatino Linotype" w:cs="Arial"/>
          <w:sz w:val="24"/>
          <w:szCs w:val="24"/>
        </w:rPr>
        <w:t>, state or country</w:t>
      </w:r>
      <w:r w:rsidRPr="00B07E71">
        <w:rPr>
          <w:rFonts w:ascii="Palatino Linotype" w:hAnsi="Palatino Linotype" w:cs="Arial"/>
          <w:sz w:val="24"/>
          <w:szCs w:val="24"/>
        </w:rPr>
        <w:t xml:space="preserve">. </w:t>
      </w:r>
      <w:r w:rsidR="00FD0A55" w:rsidRPr="00B07E71">
        <w:rPr>
          <w:rFonts w:ascii="Palatino Linotype" w:hAnsi="Palatino Linotype" w:cs="Arial"/>
          <w:sz w:val="24"/>
          <w:szCs w:val="24"/>
        </w:rPr>
        <w:t>In the future it can be envisioned that, s</w:t>
      </w:r>
      <w:r w:rsidR="005C52F1" w:rsidRPr="00B07E71">
        <w:rPr>
          <w:rFonts w:ascii="Palatino Linotype" w:hAnsi="Palatino Linotype" w:cs="Arial"/>
          <w:sz w:val="24"/>
          <w:szCs w:val="24"/>
        </w:rPr>
        <w:t>ubject to local student practice rules</w:t>
      </w:r>
      <w:r w:rsidR="000267ED" w:rsidRPr="00B07E71">
        <w:rPr>
          <w:rFonts w:ascii="Palatino Linotype" w:hAnsi="Palatino Linotype" w:cs="Arial"/>
          <w:sz w:val="24"/>
          <w:szCs w:val="24"/>
        </w:rPr>
        <w:t>, the provision of adequate supervision by site supervisors</w:t>
      </w:r>
      <w:r w:rsidR="005C52F1" w:rsidRPr="00B07E71">
        <w:rPr>
          <w:rFonts w:ascii="Palatino Linotype" w:hAnsi="Palatino Linotype" w:cs="Arial"/>
          <w:sz w:val="24"/>
          <w:szCs w:val="24"/>
        </w:rPr>
        <w:t xml:space="preserve"> and the technical capability of individual courts, a student in a re</w:t>
      </w:r>
      <w:r w:rsidR="009C04BE" w:rsidRPr="00B07E71">
        <w:rPr>
          <w:rFonts w:ascii="Palatino Linotype" w:hAnsi="Palatino Linotype" w:cs="Arial"/>
          <w:sz w:val="24"/>
          <w:szCs w:val="24"/>
        </w:rPr>
        <w:t>mote regio</w:t>
      </w:r>
      <w:r w:rsidR="00FD0A55" w:rsidRPr="00B07E71">
        <w:rPr>
          <w:rFonts w:ascii="Palatino Linotype" w:hAnsi="Palatino Linotype" w:cs="Arial"/>
          <w:sz w:val="24"/>
          <w:szCs w:val="24"/>
        </w:rPr>
        <w:t>n of Australia could</w:t>
      </w:r>
      <w:r w:rsidR="005C52F1" w:rsidRPr="00B07E71">
        <w:rPr>
          <w:rFonts w:ascii="Palatino Linotype" w:hAnsi="Palatino Linotype" w:cs="Arial"/>
          <w:sz w:val="24"/>
          <w:szCs w:val="24"/>
        </w:rPr>
        <w:t xml:space="preserve"> appear in a court </w:t>
      </w:r>
      <w:r w:rsidR="009C04BE" w:rsidRPr="00B07E71">
        <w:rPr>
          <w:rFonts w:ascii="Palatino Linotype" w:hAnsi="Palatino Linotype" w:cs="Arial"/>
          <w:sz w:val="24"/>
          <w:szCs w:val="24"/>
        </w:rPr>
        <w:t xml:space="preserve">in any Australian </w:t>
      </w:r>
      <w:r w:rsidR="005C52F1" w:rsidRPr="00B07E71">
        <w:rPr>
          <w:rFonts w:ascii="Palatino Linotype" w:hAnsi="Palatino Linotype" w:cs="Arial"/>
          <w:sz w:val="24"/>
          <w:szCs w:val="24"/>
        </w:rPr>
        <w:t>city.</w:t>
      </w:r>
    </w:p>
    <w:p w:rsidR="00A71911" w:rsidRPr="00B07E71" w:rsidRDefault="005C52F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In Australia, it can be anticipated that law schools situated in regional areas will pioneer the use of technology to change the way our students learn, and the way </w:t>
      </w:r>
      <w:r w:rsidR="00163AE1" w:rsidRPr="00B07E71">
        <w:rPr>
          <w:rFonts w:ascii="Palatino Linotype" w:hAnsi="Palatino Linotype" w:cs="Arial"/>
          <w:sz w:val="24"/>
          <w:szCs w:val="24"/>
        </w:rPr>
        <w:t xml:space="preserve">in which </w:t>
      </w:r>
      <w:r w:rsidRPr="00B07E71">
        <w:rPr>
          <w:rFonts w:ascii="Palatino Linotype" w:hAnsi="Palatino Linotype" w:cs="Arial"/>
          <w:sz w:val="24"/>
          <w:szCs w:val="24"/>
        </w:rPr>
        <w:t xml:space="preserve">we as legal educators teach. </w:t>
      </w:r>
      <w:r w:rsidR="005417DF" w:rsidRPr="00B07E71">
        <w:rPr>
          <w:rFonts w:ascii="Palatino Linotype" w:hAnsi="Palatino Linotype" w:cs="Arial"/>
          <w:sz w:val="24"/>
          <w:szCs w:val="24"/>
        </w:rPr>
        <w:t>The challenge for any law school incorporating technology into its clinical offerings is to ensure that the rewards are maximised and the inevitable risks minimised.</w:t>
      </w:r>
      <w:r w:rsidR="00A71911" w:rsidRPr="00B07E71">
        <w:rPr>
          <w:rFonts w:ascii="Palatino Linotype" w:hAnsi="Palatino Linotype" w:cs="Arial"/>
          <w:sz w:val="24"/>
          <w:szCs w:val="24"/>
        </w:rPr>
        <w:t xml:space="preserve"> In particular, great care must be taken to ensure that a student’s feelings of isolation, which is an inhe</w:t>
      </w:r>
      <w:r w:rsidR="004F0B18" w:rsidRPr="00B07E71">
        <w:rPr>
          <w:rFonts w:ascii="Palatino Linotype" w:hAnsi="Palatino Linotype" w:cs="Arial"/>
          <w:sz w:val="24"/>
          <w:szCs w:val="24"/>
        </w:rPr>
        <w:t>rent risk of online learning, are</w:t>
      </w:r>
      <w:r w:rsidR="00A71911" w:rsidRPr="00B07E71">
        <w:rPr>
          <w:rFonts w:ascii="Palatino Linotype" w:hAnsi="Palatino Linotype" w:cs="Arial"/>
          <w:sz w:val="24"/>
          <w:szCs w:val="24"/>
        </w:rPr>
        <w:t xml:space="preserve"> minimised.</w:t>
      </w:r>
      <w:r w:rsidR="005417DF" w:rsidRPr="00B07E71">
        <w:rPr>
          <w:rFonts w:ascii="Palatino Linotype" w:hAnsi="Palatino Linotype" w:cs="Arial"/>
          <w:sz w:val="24"/>
          <w:szCs w:val="24"/>
        </w:rPr>
        <w:t xml:space="preserve"> </w:t>
      </w:r>
    </w:p>
    <w:p w:rsidR="005C52F1" w:rsidRPr="00B07E71" w:rsidRDefault="00A71911" w:rsidP="00B07E71">
      <w:pPr>
        <w:spacing w:line="480" w:lineRule="auto"/>
        <w:jc w:val="both"/>
        <w:rPr>
          <w:rFonts w:ascii="Palatino Linotype" w:hAnsi="Palatino Linotype" w:cs="Arial"/>
          <w:sz w:val="24"/>
          <w:szCs w:val="24"/>
        </w:rPr>
      </w:pPr>
      <w:r w:rsidRPr="00B07E71">
        <w:rPr>
          <w:rFonts w:ascii="Palatino Linotype" w:hAnsi="Palatino Linotype" w:cs="Arial"/>
          <w:sz w:val="24"/>
          <w:szCs w:val="24"/>
        </w:rPr>
        <w:t xml:space="preserve">The greater use of technology in legal education is inevitable, and it makes sense to harness the benefits such technology provides to expand the scope and content of, and student participation in, a law school’s clinical offerings. </w:t>
      </w:r>
      <w:r w:rsidR="005E5A84" w:rsidRPr="00B07E71">
        <w:rPr>
          <w:rFonts w:ascii="Palatino Linotype" w:hAnsi="Palatino Linotype" w:cs="Arial"/>
          <w:sz w:val="24"/>
          <w:szCs w:val="24"/>
        </w:rPr>
        <w:t xml:space="preserve">While this article has focused on developments in Australia, clinical legal education is a global movement and the inherent benefits of online clinical legal education are not defined by national borders. </w:t>
      </w:r>
      <w:r w:rsidR="00197651" w:rsidRPr="00B07E71">
        <w:rPr>
          <w:rFonts w:ascii="Palatino Linotype" w:hAnsi="Palatino Linotype" w:cs="Arial"/>
          <w:sz w:val="24"/>
          <w:szCs w:val="24"/>
        </w:rPr>
        <w:t>While each country faces unique challenges in terms of accreditation of online degrees, access to a fast and reliable network, and access to the resources necessary to implement online degree programs</w:t>
      </w:r>
      <w:r w:rsidR="00274FF2" w:rsidRPr="00B07E71">
        <w:rPr>
          <w:rFonts w:ascii="Palatino Linotype" w:hAnsi="Palatino Linotype" w:cs="Arial"/>
          <w:sz w:val="24"/>
          <w:szCs w:val="24"/>
        </w:rPr>
        <w:t>, it is our hope</w:t>
      </w:r>
      <w:r w:rsidR="00197651" w:rsidRPr="00B07E71">
        <w:rPr>
          <w:rFonts w:ascii="Palatino Linotype" w:hAnsi="Palatino Linotype" w:cs="Arial"/>
          <w:sz w:val="24"/>
          <w:szCs w:val="24"/>
        </w:rPr>
        <w:t xml:space="preserve"> that CDU’s experience will assist others considering the implementation of </w:t>
      </w:r>
      <w:r w:rsidR="00274FF2" w:rsidRPr="00B07E71">
        <w:rPr>
          <w:rFonts w:ascii="Palatino Linotype" w:hAnsi="Palatino Linotype" w:cs="Arial"/>
          <w:sz w:val="24"/>
          <w:szCs w:val="24"/>
        </w:rPr>
        <w:t xml:space="preserve">online </w:t>
      </w:r>
      <w:r w:rsidR="00197651" w:rsidRPr="00B07E71">
        <w:rPr>
          <w:rFonts w:ascii="Palatino Linotype" w:hAnsi="Palatino Linotype" w:cs="Arial"/>
          <w:sz w:val="24"/>
          <w:szCs w:val="24"/>
        </w:rPr>
        <w:t xml:space="preserve">clinical opportunities for law students. </w:t>
      </w:r>
      <w:r w:rsidR="006B02DD" w:rsidRPr="00B07E71">
        <w:rPr>
          <w:rFonts w:ascii="Palatino Linotype" w:hAnsi="Palatino Linotype" w:cs="Arial"/>
          <w:sz w:val="24"/>
          <w:szCs w:val="24"/>
        </w:rPr>
        <w:t xml:space="preserve">How such </w:t>
      </w:r>
      <w:r w:rsidR="001F36E9" w:rsidRPr="00B07E71">
        <w:rPr>
          <w:rFonts w:ascii="Palatino Linotype" w:hAnsi="Palatino Linotype" w:cs="Arial"/>
          <w:sz w:val="24"/>
          <w:szCs w:val="24"/>
        </w:rPr>
        <w:t xml:space="preserve">a </w:t>
      </w:r>
      <w:r w:rsidR="006B02DD" w:rsidRPr="00B07E71">
        <w:rPr>
          <w:rFonts w:ascii="Palatino Linotype" w:hAnsi="Palatino Linotype" w:cs="Arial"/>
          <w:sz w:val="24"/>
          <w:szCs w:val="24"/>
        </w:rPr>
        <w:t xml:space="preserve">change is effected will be both a significant challenge, and </w:t>
      </w:r>
      <w:r w:rsidR="001315D8" w:rsidRPr="00B07E71">
        <w:rPr>
          <w:rFonts w:ascii="Palatino Linotype" w:hAnsi="Palatino Linotype" w:cs="Arial"/>
          <w:sz w:val="24"/>
          <w:szCs w:val="24"/>
        </w:rPr>
        <w:t xml:space="preserve">an </w:t>
      </w:r>
      <w:r w:rsidR="006B02DD" w:rsidRPr="00B07E71">
        <w:rPr>
          <w:rFonts w:ascii="Palatino Linotype" w:hAnsi="Palatino Linotype" w:cs="Arial"/>
          <w:sz w:val="24"/>
          <w:szCs w:val="24"/>
        </w:rPr>
        <w:t>exciting opportunity, facing</w:t>
      </w:r>
      <w:r w:rsidR="001315D8" w:rsidRPr="00B07E71">
        <w:rPr>
          <w:rFonts w:ascii="Palatino Linotype" w:hAnsi="Palatino Linotype" w:cs="Arial"/>
          <w:sz w:val="24"/>
          <w:szCs w:val="24"/>
        </w:rPr>
        <w:t xml:space="preserve"> clinical legal educators</w:t>
      </w:r>
      <w:r w:rsidR="006B02DD" w:rsidRPr="00B07E71">
        <w:rPr>
          <w:rFonts w:ascii="Palatino Linotype" w:hAnsi="Palatino Linotype" w:cs="Arial"/>
          <w:sz w:val="24"/>
          <w:szCs w:val="24"/>
        </w:rPr>
        <w:t xml:space="preserve"> in the twenty-first century.</w:t>
      </w:r>
    </w:p>
    <w:p w:rsidR="00EA3C53" w:rsidRPr="00B07E71" w:rsidRDefault="00EA3C53" w:rsidP="00B07E71">
      <w:pPr>
        <w:spacing w:line="480" w:lineRule="auto"/>
        <w:jc w:val="both"/>
        <w:rPr>
          <w:rFonts w:ascii="Palatino Linotype" w:hAnsi="Palatino Linotype" w:cs="Arial"/>
          <w:sz w:val="24"/>
          <w:szCs w:val="24"/>
        </w:rPr>
      </w:pPr>
    </w:p>
    <w:sectPr w:rsidR="00EA3C53" w:rsidRPr="00B07E71" w:rsidSect="00047ADA">
      <w:headerReference w:type="default" r:id="rId8"/>
      <w:footerReference w:type="default" r:id="rId9"/>
      <w:pgSz w:w="11906" w:h="16838"/>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62" w:rsidRDefault="00764362" w:rsidP="00F62ECD">
      <w:pPr>
        <w:spacing w:after="0" w:line="240" w:lineRule="auto"/>
      </w:pPr>
      <w:r>
        <w:separator/>
      </w:r>
    </w:p>
  </w:endnote>
  <w:endnote w:type="continuationSeparator" w:id="0">
    <w:p w:rsidR="00764362" w:rsidRDefault="00764362" w:rsidP="00F6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379116"/>
      <w:docPartObj>
        <w:docPartGallery w:val="Page Numbers (Bottom of Page)"/>
        <w:docPartUnique/>
      </w:docPartObj>
    </w:sdtPr>
    <w:sdtEndPr>
      <w:rPr>
        <w:noProof/>
      </w:rPr>
    </w:sdtEndPr>
    <w:sdtContent>
      <w:p w:rsidR="00047ADA" w:rsidRDefault="00047ADA">
        <w:pPr>
          <w:pStyle w:val="Footer"/>
          <w:jc w:val="center"/>
        </w:pPr>
        <w:r>
          <w:fldChar w:fldCharType="begin"/>
        </w:r>
        <w:r>
          <w:instrText xml:space="preserve"> PAGE   \* MERGEFORMAT </w:instrText>
        </w:r>
        <w:r>
          <w:fldChar w:fldCharType="separate"/>
        </w:r>
        <w:r>
          <w:rPr>
            <w:noProof/>
          </w:rPr>
          <w:t>79</w:t>
        </w:r>
        <w:r>
          <w:rPr>
            <w:noProof/>
          </w:rPr>
          <w:fldChar w:fldCharType="end"/>
        </w:r>
      </w:p>
    </w:sdtContent>
  </w:sdt>
  <w:p w:rsidR="003773E5" w:rsidRDefault="0037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62" w:rsidRDefault="00764362" w:rsidP="00F62ECD">
      <w:pPr>
        <w:spacing w:after="0" w:line="240" w:lineRule="auto"/>
      </w:pPr>
      <w:r>
        <w:separator/>
      </w:r>
    </w:p>
  </w:footnote>
  <w:footnote w:type="continuationSeparator" w:id="0">
    <w:p w:rsidR="00764362" w:rsidRDefault="00764362" w:rsidP="00F62ECD">
      <w:pPr>
        <w:spacing w:after="0" w:line="240" w:lineRule="auto"/>
      </w:pPr>
      <w:r>
        <w:continuationSeparator/>
      </w:r>
    </w:p>
  </w:footnote>
  <w:footnote w:id="1">
    <w:p w:rsidR="00C26BC0" w:rsidRPr="00B07E71" w:rsidRDefault="00C26BC0" w:rsidP="00C26BC0">
      <w:pPr>
        <w:pStyle w:val="FootnoteText"/>
        <w:rPr>
          <w:rFonts w:ascii="Palatino Linotype" w:hAnsi="Palatino Linotype" w:cs="Arial"/>
        </w:rPr>
      </w:pPr>
      <w:r w:rsidRPr="00B07E71">
        <w:rPr>
          <w:rFonts w:ascii="Palatino Linotype" w:hAnsi="Palatino Linotype" w:cs="Arial"/>
        </w:rPr>
        <w:t xml:space="preserve">*Les </w:t>
      </w:r>
      <w:proofErr w:type="spellStart"/>
      <w:r w:rsidRPr="00B07E71">
        <w:rPr>
          <w:rFonts w:ascii="Palatino Linotype" w:hAnsi="Palatino Linotype" w:cs="Arial"/>
        </w:rPr>
        <w:t>McCrimmon</w:t>
      </w:r>
      <w:proofErr w:type="spellEnd"/>
      <w:r w:rsidRPr="00B07E71">
        <w:rPr>
          <w:rFonts w:ascii="Palatino Linotype" w:hAnsi="Palatino Linotype" w:cs="Arial"/>
        </w:rPr>
        <w:t xml:space="preserve"> is Professor of Law at Charles Darwin University and a Fellow of the Australian Academy of Law. He was formerly a full-time Commissioner with the Australian Law Reform Commission, and the Director of Clinical Programs at the University of Sydney. He also served on the International Steering Committee of the Global Alliance for Justice Education for six years.</w:t>
      </w:r>
    </w:p>
    <w:p w:rsidR="00C26BC0" w:rsidRPr="00B07E71" w:rsidRDefault="00C26BC0" w:rsidP="00C26BC0">
      <w:pPr>
        <w:pStyle w:val="FootnoteText"/>
        <w:rPr>
          <w:rFonts w:ascii="Palatino Linotype" w:hAnsi="Palatino Linotype" w:cs="Arial"/>
        </w:rPr>
      </w:pPr>
      <w:r w:rsidRPr="00B07E71">
        <w:rPr>
          <w:rFonts w:ascii="Palatino Linotype" w:hAnsi="Palatino Linotype" w:cs="Arial"/>
        </w:rPr>
        <w:t xml:space="preserve">**Ros Vickers is a Lecturer of Law at Charles Darwin University. She is the Northern Territory editor of the </w:t>
      </w:r>
      <w:r w:rsidRPr="00B07E71">
        <w:rPr>
          <w:rFonts w:ascii="Palatino Linotype" w:hAnsi="Palatino Linotype" w:cs="Arial"/>
          <w:i/>
        </w:rPr>
        <w:t>Australian Environmental Law Review</w:t>
      </w:r>
      <w:r w:rsidRPr="00B07E71">
        <w:rPr>
          <w:rFonts w:ascii="Palatino Linotype" w:hAnsi="Palatino Linotype" w:cs="Arial"/>
        </w:rPr>
        <w:t>.</w:t>
      </w:r>
    </w:p>
    <w:p w:rsidR="00C26BC0" w:rsidRPr="00B07E71" w:rsidRDefault="00C26BC0" w:rsidP="00E65F86">
      <w:pPr>
        <w:pStyle w:val="FootnoteText"/>
        <w:rPr>
          <w:rFonts w:ascii="Palatino Linotype" w:hAnsi="Palatino Linotype" w:cs="Arial"/>
        </w:rPr>
      </w:pPr>
      <w:r w:rsidRPr="00B07E71">
        <w:rPr>
          <w:rFonts w:ascii="Palatino Linotype" w:hAnsi="Palatino Linotype" w:cs="Arial"/>
        </w:rPr>
        <w:t>***Ken Parish is a Senior Lecturer of Law at Charles Darwin University. He pioneered and oversaw the implementation and development of CDU’s online law degree program starting in 2003.</w:t>
      </w:r>
    </w:p>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 </w:t>
      </w:r>
      <w:proofErr w:type="spellStart"/>
      <w:r w:rsidRPr="00B07E71">
        <w:rPr>
          <w:rFonts w:ascii="Palatino Linotype" w:hAnsi="Palatino Linotype" w:cs="Arial"/>
        </w:rPr>
        <w:t>Binford</w:t>
      </w:r>
      <w:proofErr w:type="spellEnd"/>
      <w:r w:rsidRPr="00B07E71">
        <w:rPr>
          <w:rFonts w:ascii="Palatino Linotype" w:hAnsi="Palatino Linotype" w:cs="Arial"/>
        </w:rPr>
        <w:t xml:space="preserve">, ‘Envisioning a Twenty-First Century Legal Education’, (2013) 43 </w:t>
      </w:r>
      <w:proofErr w:type="spellStart"/>
      <w:r w:rsidRPr="00B07E71">
        <w:rPr>
          <w:rFonts w:ascii="Palatino Linotype" w:hAnsi="Palatino Linotype" w:cs="Arial"/>
          <w:i/>
        </w:rPr>
        <w:t>UJL&amp;Pik’y</w:t>
      </w:r>
      <w:proofErr w:type="spellEnd"/>
      <w:r w:rsidRPr="00B07E71">
        <w:rPr>
          <w:rFonts w:ascii="Palatino Linotype" w:hAnsi="Palatino Linotype" w:cs="Arial"/>
        </w:rPr>
        <w:t xml:space="preserve"> 157.</w:t>
      </w:r>
    </w:p>
  </w:footnote>
  <w:footnote w:id="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53.</w:t>
      </w:r>
    </w:p>
  </w:footnote>
  <w:footnote w:id="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 </w:t>
      </w:r>
      <w:proofErr w:type="spellStart"/>
      <w:r w:rsidRPr="00B07E71">
        <w:rPr>
          <w:rFonts w:ascii="Palatino Linotype" w:hAnsi="Palatino Linotype" w:cs="Arial"/>
        </w:rPr>
        <w:t>Binford</w:t>
      </w:r>
      <w:proofErr w:type="spellEnd"/>
      <w:r w:rsidRPr="00B07E71">
        <w:rPr>
          <w:rFonts w:ascii="Palatino Linotype" w:hAnsi="Palatino Linotype" w:cs="Arial"/>
        </w:rPr>
        <w:t xml:space="preserve">, ‘Envisioning a Twenty-First Century Legal Education’, (2013) 43 </w:t>
      </w:r>
      <w:proofErr w:type="spellStart"/>
      <w:r w:rsidRPr="00B07E71">
        <w:rPr>
          <w:rFonts w:ascii="Palatino Linotype" w:hAnsi="Palatino Linotype" w:cs="Arial"/>
          <w:i/>
        </w:rPr>
        <w:t>UJL&amp;Pik’y</w:t>
      </w:r>
      <w:proofErr w:type="spellEnd"/>
      <w:r w:rsidRPr="00B07E71">
        <w:rPr>
          <w:rFonts w:ascii="Palatino Linotype" w:hAnsi="Palatino Linotype" w:cs="Arial"/>
        </w:rPr>
        <w:t xml:space="preserve"> 157 at 180.</w:t>
      </w:r>
    </w:p>
  </w:footnote>
  <w:footnote w:id="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Generally, see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J Giddings, ‘Contemplating the Future of Clinical Legal Education’ (2008) 17 </w:t>
      </w:r>
      <w:r w:rsidRPr="00B07E71">
        <w:rPr>
          <w:rFonts w:ascii="Palatino Linotype" w:hAnsi="Palatino Linotype" w:cs="Arial"/>
          <w:i/>
        </w:rPr>
        <w:t>Griffith L Rev</w:t>
      </w:r>
      <w:r w:rsidRPr="00B07E71">
        <w:rPr>
          <w:rFonts w:ascii="Palatino Linotype" w:hAnsi="Palatino Linotype" w:cs="Arial"/>
        </w:rPr>
        <w:t xml:space="preserve"> 1;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J Giddings, R </w:t>
      </w:r>
      <w:proofErr w:type="spellStart"/>
      <w:r w:rsidRPr="00B07E71">
        <w:rPr>
          <w:rFonts w:ascii="Palatino Linotype" w:hAnsi="Palatino Linotype" w:cs="Arial"/>
        </w:rPr>
        <w:t>Burridge</w:t>
      </w:r>
      <w:proofErr w:type="spellEnd"/>
      <w:r w:rsidRPr="00B07E71">
        <w:rPr>
          <w:rFonts w:ascii="Palatino Linotype" w:hAnsi="Palatino Linotype" w:cs="Arial"/>
        </w:rPr>
        <w:t xml:space="preserve">, S </w:t>
      </w:r>
      <w:proofErr w:type="spellStart"/>
      <w:r w:rsidRPr="00B07E71">
        <w:rPr>
          <w:rFonts w:ascii="Palatino Linotype" w:hAnsi="Palatino Linotype" w:cs="Arial"/>
        </w:rPr>
        <w:t>Gavigan</w:t>
      </w:r>
      <w:proofErr w:type="spellEnd"/>
      <w:r w:rsidRPr="00B07E71">
        <w:rPr>
          <w:rFonts w:ascii="Palatino Linotype" w:hAnsi="Palatino Linotype" w:cs="Arial"/>
        </w:rPr>
        <w:t xml:space="preserve">, C Klein, ‘The First Wave of Modern Clinical Legal Education: The United States, Britain, Canada and Australia’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w:t>
      </w:r>
    </w:p>
  </w:footnote>
  <w:footnote w:id="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at 917-918. See also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at 169.</w:t>
      </w:r>
    </w:p>
  </w:footnote>
  <w:footnote w:id="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Martin Barry,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and Joy note that as early as 1917, William Rowe “advocated “law school based clinical legal education as the best way to train law students to become competent lawyers”: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6. See also W Rowe, ‘Legal Clinics and Better Trained Lawyers – A Necessity’ (1917) 11 </w:t>
      </w:r>
      <w:r w:rsidRPr="00B07E71">
        <w:rPr>
          <w:rFonts w:ascii="Palatino Linotype" w:hAnsi="Palatino Linotype" w:cs="Arial"/>
          <w:i/>
        </w:rPr>
        <w:t>Ill L Rev</w:t>
      </w:r>
      <w:r w:rsidRPr="00B07E71">
        <w:rPr>
          <w:rFonts w:ascii="Palatino Linotype" w:hAnsi="Palatino Linotype" w:cs="Arial"/>
        </w:rPr>
        <w:t xml:space="preserve"> 591. In Russia, the call for change sounded 16 years earlier. Wilson notes that “as early as 1901 clinical legal education was proposed by a Russian professor, Alexander </w:t>
      </w:r>
      <w:proofErr w:type="spellStart"/>
      <w:r w:rsidRPr="00B07E71">
        <w:rPr>
          <w:rFonts w:ascii="Palatino Linotype" w:hAnsi="Palatino Linotype" w:cs="Arial"/>
        </w:rPr>
        <w:t>Lyublinsky</w:t>
      </w:r>
      <w:proofErr w:type="spellEnd"/>
      <w:r w:rsidRPr="00B07E71">
        <w:rPr>
          <w:rFonts w:ascii="Palatino Linotype" w:hAnsi="Palatino Linotype" w:cs="Arial"/>
        </w:rPr>
        <w:t xml:space="preserve">, who believed that a law school clinical component could be modelled on medical training”: R Wilson, ‘Training for Justice: </w:t>
      </w:r>
      <w:proofErr w:type="gramStart"/>
      <w:r w:rsidRPr="00B07E71">
        <w:rPr>
          <w:rFonts w:ascii="Palatino Linotype" w:hAnsi="Palatino Linotype" w:cs="Arial"/>
        </w:rPr>
        <w:t>the</w:t>
      </w:r>
      <w:proofErr w:type="gramEnd"/>
      <w:r w:rsidRPr="00B07E71">
        <w:rPr>
          <w:rFonts w:ascii="Palatino Linotype" w:hAnsi="Palatino Linotype" w:cs="Arial"/>
        </w:rPr>
        <w:t xml:space="preserve"> Global Reach of Clinical Legal Education’ (2004) 22 </w:t>
      </w:r>
      <w:r w:rsidRPr="00B07E71">
        <w:rPr>
          <w:rFonts w:ascii="Palatino Linotype" w:hAnsi="Palatino Linotype" w:cs="Arial"/>
          <w:i/>
        </w:rPr>
        <w:t>Penn St Int’l L Rev</w:t>
      </w:r>
      <w:r w:rsidRPr="00B07E71">
        <w:rPr>
          <w:rFonts w:ascii="Palatino Linotype" w:hAnsi="Palatino Linotype" w:cs="Arial"/>
        </w:rPr>
        <w:t xml:space="preserve"> 421.</w:t>
      </w:r>
    </w:p>
  </w:footnote>
  <w:footnote w:id="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8;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at 168-169. </w:t>
      </w:r>
    </w:p>
  </w:footnote>
  <w:footnote w:id="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at 908.</w:t>
      </w:r>
    </w:p>
  </w:footnote>
  <w:footnote w:id="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at 917.</w:t>
      </w:r>
    </w:p>
  </w:footnote>
  <w:footnote w:id="1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at 917.</w:t>
      </w:r>
    </w:p>
  </w:footnote>
  <w:footnote w:id="1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Frank, ‘Why Not a Clinical Law School?’ (1933) 81 </w:t>
      </w:r>
      <w:r w:rsidRPr="00B07E71">
        <w:rPr>
          <w:rFonts w:ascii="Palatino Linotype" w:hAnsi="Palatino Linotype" w:cs="Arial"/>
          <w:i/>
        </w:rPr>
        <w:t>U Pa L Rev</w:t>
      </w:r>
      <w:r w:rsidRPr="00B07E71">
        <w:rPr>
          <w:rFonts w:ascii="Palatino Linotype" w:hAnsi="Palatino Linotype" w:cs="Arial"/>
        </w:rPr>
        <w:t xml:space="preserve"> 907 at 917.</w:t>
      </w:r>
    </w:p>
  </w:footnote>
  <w:footnote w:id="1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12. </w:t>
      </w:r>
    </w:p>
  </w:footnote>
  <w:footnote w:id="1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at 172-173.</w:t>
      </w:r>
    </w:p>
  </w:footnote>
  <w:footnote w:id="1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at 174.</w:t>
      </w:r>
    </w:p>
  </w:footnote>
  <w:footnote w:id="1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G Grossman, ‘Clinical Legal Education: History and Diagnosis’ (1974) 26 </w:t>
      </w:r>
      <w:r w:rsidRPr="00B07E71">
        <w:rPr>
          <w:rFonts w:ascii="Palatino Linotype" w:hAnsi="Palatino Linotype" w:cs="Arial"/>
          <w:i/>
        </w:rPr>
        <w:t>J Leg Ed</w:t>
      </w:r>
      <w:r w:rsidRPr="00B07E71">
        <w:rPr>
          <w:rFonts w:ascii="Palatino Linotype" w:hAnsi="Palatino Linotype" w:cs="Arial"/>
        </w:rPr>
        <w:t xml:space="preserve"> 162 at 175.</w:t>
      </w:r>
    </w:p>
  </w:footnote>
  <w:footnote w:id="1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Giddings, ‘Contemplating the Future of Clinical Legal Education’ (2008) 17 Griffith L Rev 1 at 2. See also R Wilson, ‘Training for Justice: </w:t>
      </w:r>
      <w:proofErr w:type="gramStart"/>
      <w:r w:rsidRPr="00B07E71">
        <w:rPr>
          <w:rFonts w:ascii="Palatino Linotype" w:hAnsi="Palatino Linotype" w:cs="Arial"/>
        </w:rPr>
        <w:t>the</w:t>
      </w:r>
      <w:proofErr w:type="gramEnd"/>
      <w:r w:rsidRPr="00B07E71">
        <w:rPr>
          <w:rFonts w:ascii="Palatino Linotype" w:hAnsi="Palatino Linotype" w:cs="Arial"/>
        </w:rPr>
        <w:t xml:space="preserve"> Global Reach of Clinical Legal Education’ (2004) 22 </w:t>
      </w:r>
      <w:r w:rsidRPr="00B07E71">
        <w:rPr>
          <w:rFonts w:ascii="Palatino Linotype" w:hAnsi="Palatino Linotype" w:cs="Arial"/>
          <w:i/>
        </w:rPr>
        <w:t>Penn St Int’l L Rev</w:t>
      </w:r>
      <w:r w:rsidRPr="00B07E71">
        <w:rPr>
          <w:rFonts w:ascii="Palatino Linotype" w:hAnsi="Palatino Linotype" w:cs="Arial"/>
        </w:rPr>
        <w:t xml:space="preserve"> 421 at 421-422; J Giddings, R </w:t>
      </w:r>
      <w:proofErr w:type="spellStart"/>
      <w:r w:rsidRPr="00B07E71">
        <w:rPr>
          <w:rFonts w:ascii="Palatino Linotype" w:hAnsi="Palatino Linotype" w:cs="Arial"/>
        </w:rPr>
        <w:t>Burridge</w:t>
      </w:r>
      <w:proofErr w:type="spellEnd"/>
      <w:r w:rsidRPr="00B07E71">
        <w:rPr>
          <w:rFonts w:ascii="Palatino Linotype" w:hAnsi="Palatino Linotype" w:cs="Arial"/>
        </w:rPr>
        <w:t xml:space="preserve">, S </w:t>
      </w:r>
      <w:proofErr w:type="spellStart"/>
      <w:r w:rsidRPr="00B07E71">
        <w:rPr>
          <w:rFonts w:ascii="Palatino Linotype" w:hAnsi="Palatino Linotype" w:cs="Arial"/>
        </w:rPr>
        <w:t>Gavigan</w:t>
      </w:r>
      <w:proofErr w:type="spellEnd"/>
      <w:r w:rsidRPr="00B07E71">
        <w:rPr>
          <w:rFonts w:ascii="Palatino Linotype" w:hAnsi="Palatino Linotype" w:cs="Arial"/>
        </w:rPr>
        <w:t xml:space="preserve">, C Klein, ‘The First Wave of Modern Clinical Legal Education: The United States, Britain, Canada and Australia’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w:t>
      </w:r>
    </w:p>
  </w:footnote>
  <w:footnote w:id="1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As evidenced by organisations such as the Global Alliance for Justice Education (</w:t>
      </w:r>
      <w:r w:rsidRPr="00B07E71">
        <w:rPr>
          <w:rStyle w:val="HTMLCite"/>
          <w:rFonts w:ascii="Palatino Linotype" w:hAnsi="Palatino Linotype" w:cs="Arial"/>
          <w:i w:val="0"/>
        </w:rPr>
        <w:t>www.</w:t>
      </w:r>
      <w:hyperlink r:id="rId1" w:history="1">
        <w:r w:rsidRPr="00B07E71">
          <w:rPr>
            <w:rStyle w:val="HTMLCite"/>
            <w:rFonts w:ascii="Palatino Linotype" w:hAnsi="Palatino Linotype" w:cs="Arial"/>
            <w:i w:val="0"/>
          </w:rPr>
          <w:t>gaje.org</w:t>
        </w:r>
      </w:hyperlink>
      <w:r w:rsidRPr="00B07E71">
        <w:rPr>
          <w:rStyle w:val="HTMLCite"/>
          <w:rFonts w:ascii="Palatino Linotype" w:hAnsi="Palatino Linotype" w:cs="Arial"/>
          <w:i w:val="0"/>
        </w:rPr>
        <w:t>),</w:t>
      </w:r>
      <w:r w:rsidRPr="00B07E71">
        <w:rPr>
          <w:rFonts w:ascii="Palatino Linotype" w:hAnsi="Palatino Linotype" w:cs="Arial"/>
        </w:rPr>
        <w:t xml:space="preserve"> and the International Journal of Clinical Legal Education (</w:t>
      </w:r>
      <w:hyperlink r:id="rId2" w:history="1">
        <w:r w:rsidRPr="00B07E71">
          <w:rPr>
            <w:rStyle w:val="Hyperlink"/>
            <w:rFonts w:ascii="Palatino Linotype" w:hAnsi="Palatino Linotype" w:cs="Arial"/>
          </w:rPr>
          <w:t>www.ijcle.com</w:t>
        </w:r>
      </w:hyperlink>
      <w:r w:rsidRPr="00B07E71">
        <w:rPr>
          <w:rStyle w:val="HTMLCite"/>
          <w:rFonts w:ascii="Palatino Linotype" w:hAnsi="Palatino Linotype" w:cs="Arial"/>
          <w:i w:val="0"/>
        </w:rPr>
        <w:t xml:space="preserve">). </w:t>
      </w:r>
      <w:proofErr w:type="gramStart"/>
      <w:r w:rsidRPr="00B07E71">
        <w:rPr>
          <w:rStyle w:val="HTMLCite"/>
          <w:rFonts w:ascii="Palatino Linotype" w:hAnsi="Palatino Linotype" w:cs="Arial"/>
          <w:i w:val="0"/>
        </w:rPr>
        <w:t>Generally</w:t>
      </w:r>
      <w:proofErr w:type="gramEnd"/>
      <w:r w:rsidRPr="00B07E71">
        <w:rPr>
          <w:rStyle w:val="HTMLCite"/>
          <w:rFonts w:ascii="Palatino Linotype" w:hAnsi="Palatino Linotype" w:cs="Arial"/>
          <w:i w:val="0"/>
        </w:rPr>
        <w:t xml:space="preserve"> see F Bloch, ‘Access to Justice and the Global Clinical Movement’ (2008) 28 </w:t>
      </w:r>
      <w:r w:rsidRPr="00B07E71">
        <w:rPr>
          <w:rStyle w:val="HTMLCite"/>
          <w:rFonts w:ascii="Palatino Linotype" w:hAnsi="Palatino Linotype" w:cs="Arial"/>
        </w:rPr>
        <w:t xml:space="preserve">Wash U J L &amp; </w:t>
      </w:r>
      <w:proofErr w:type="spellStart"/>
      <w:r w:rsidRPr="00B07E71">
        <w:rPr>
          <w:rStyle w:val="HTMLCite"/>
          <w:rFonts w:ascii="Palatino Linotype" w:hAnsi="Palatino Linotype" w:cs="Arial"/>
        </w:rPr>
        <w:t>Pol’y</w:t>
      </w:r>
      <w:proofErr w:type="spellEnd"/>
      <w:r w:rsidRPr="00B07E71">
        <w:rPr>
          <w:rStyle w:val="HTMLCite"/>
          <w:rFonts w:ascii="Palatino Linotype" w:hAnsi="Palatino Linotype" w:cs="Arial"/>
          <w:i w:val="0"/>
        </w:rPr>
        <w:t xml:space="preserve"> 111;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OUP, 2011) Pt 1.</w:t>
      </w:r>
    </w:p>
  </w:footnote>
  <w:footnote w:id="1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description of Street Law, see </w:t>
      </w:r>
      <w:hyperlink r:id="rId3" w:history="1">
        <w:r w:rsidRPr="00B07E71">
          <w:rPr>
            <w:rStyle w:val="Hyperlink"/>
            <w:rFonts w:ascii="Palatino Linotype" w:hAnsi="Palatino Linotype" w:cs="Arial"/>
          </w:rPr>
          <w:t>www.streetlaw.org</w:t>
        </w:r>
      </w:hyperlink>
      <w:r w:rsidRPr="00B07E71">
        <w:rPr>
          <w:rFonts w:ascii="Palatino Linotype" w:hAnsi="Palatino Linotype" w:cs="Arial"/>
        </w:rPr>
        <w:t xml:space="preserve">. See also R Grimes, D McQuoid-Mason, E O’Brien, J Zimmer, ‘Street Law and Social Justice Education’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15.</w:t>
      </w:r>
    </w:p>
  </w:footnote>
  <w:footnote w:id="1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L </w:t>
      </w:r>
      <w:proofErr w:type="spellStart"/>
      <w:r w:rsidRPr="00B07E71">
        <w:rPr>
          <w:rFonts w:ascii="Palatino Linotype" w:hAnsi="Palatino Linotype" w:cs="Arial"/>
        </w:rPr>
        <w:t>McCrimmon</w:t>
      </w:r>
      <w:proofErr w:type="spellEnd"/>
      <w:r w:rsidRPr="00B07E71">
        <w:rPr>
          <w:rFonts w:ascii="Palatino Linotype" w:hAnsi="Palatino Linotype" w:cs="Arial"/>
        </w:rPr>
        <w:t xml:space="preserve">, E </w:t>
      </w:r>
      <w:proofErr w:type="spellStart"/>
      <w:r w:rsidRPr="00B07E71">
        <w:rPr>
          <w:rFonts w:ascii="Palatino Linotype" w:hAnsi="Palatino Linotype" w:cs="Arial"/>
        </w:rPr>
        <w:t>Santow</w:t>
      </w:r>
      <w:proofErr w:type="spellEnd"/>
      <w:r w:rsidRPr="00B07E71">
        <w:rPr>
          <w:rFonts w:ascii="Palatino Linotype" w:hAnsi="Palatino Linotype" w:cs="Arial"/>
        </w:rPr>
        <w:t xml:space="preserve">, ‘Justice Education, Law Reform, and the Clinical Method’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14.</w:t>
      </w:r>
    </w:p>
  </w:footnote>
  <w:footnote w:id="2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N Duncan, S Kay, ‘Addressing Lawyer Competence, Ethics, and Professionalism’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12.</w:t>
      </w:r>
    </w:p>
  </w:footnote>
  <w:footnote w:id="2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We prefer the term ‘real-client’ rather than ‘live-client’ when describing the nature of an in-house clinic.</w:t>
      </w:r>
    </w:p>
  </w:footnote>
  <w:footnote w:id="2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proofErr w:type="gramStart"/>
      <w:r w:rsidRPr="00B07E71">
        <w:rPr>
          <w:rFonts w:ascii="Palatino Linotype" w:hAnsi="Palatino Linotype" w:cs="Arial"/>
        </w:rPr>
        <w:t>A</w:t>
      </w:r>
      <w:proofErr w:type="gramEnd"/>
      <w:r w:rsidRPr="00B07E71">
        <w:rPr>
          <w:rFonts w:ascii="Palatino Linotype" w:hAnsi="Palatino Linotype" w:cs="Arial"/>
        </w:rPr>
        <w:t xml:space="preserve"> Evans, ‘Global Agendas, Cultural Capital, and Self-assessment of Clinical Legal Education Programs’ (2012) 38 </w:t>
      </w:r>
      <w:r w:rsidRPr="00B07E71">
        <w:rPr>
          <w:rFonts w:ascii="Palatino Linotype" w:hAnsi="Palatino Linotype" w:cs="Arial"/>
          <w:i/>
        </w:rPr>
        <w:t>Monash U L Rev</w:t>
      </w:r>
      <w:r w:rsidRPr="00B07E71">
        <w:rPr>
          <w:rFonts w:ascii="Palatino Linotype" w:hAnsi="Palatino Linotype" w:cs="Arial"/>
        </w:rPr>
        <w:t xml:space="preserve"> 55 at 59. See also R Wilson, ‘Training for Justice: </w:t>
      </w:r>
      <w:proofErr w:type="gramStart"/>
      <w:r w:rsidRPr="00B07E71">
        <w:rPr>
          <w:rFonts w:ascii="Palatino Linotype" w:hAnsi="Palatino Linotype" w:cs="Arial"/>
        </w:rPr>
        <w:t>the</w:t>
      </w:r>
      <w:proofErr w:type="gramEnd"/>
      <w:r w:rsidRPr="00B07E71">
        <w:rPr>
          <w:rFonts w:ascii="Palatino Linotype" w:hAnsi="Palatino Linotype" w:cs="Arial"/>
        </w:rPr>
        <w:t xml:space="preserve"> Global Reach of Clinical Legal Education’ (2004) 22 </w:t>
      </w:r>
      <w:r w:rsidRPr="00B07E71">
        <w:rPr>
          <w:rFonts w:ascii="Palatino Linotype" w:hAnsi="Palatino Linotype" w:cs="Arial"/>
          <w:i/>
        </w:rPr>
        <w:t>Penn St Int’l L Rev</w:t>
      </w:r>
      <w:r w:rsidRPr="00B07E71">
        <w:rPr>
          <w:rFonts w:ascii="Palatino Linotype" w:hAnsi="Palatino Linotype" w:cs="Arial"/>
        </w:rPr>
        <w:t xml:space="preserve"> 421 at 422-423.</w:t>
      </w:r>
    </w:p>
  </w:footnote>
  <w:footnote w:id="2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 Rice, G </w:t>
      </w:r>
      <w:proofErr w:type="spellStart"/>
      <w:r w:rsidRPr="00B07E71">
        <w:rPr>
          <w:rFonts w:ascii="Palatino Linotype" w:hAnsi="Palatino Linotype" w:cs="Arial"/>
        </w:rPr>
        <w:t>Coss</w:t>
      </w:r>
      <w:proofErr w:type="spellEnd"/>
      <w:r w:rsidRPr="00B07E71">
        <w:rPr>
          <w:rFonts w:ascii="Palatino Linotype" w:hAnsi="Palatino Linotype" w:cs="Arial"/>
        </w:rPr>
        <w:t xml:space="preserve">, </w:t>
      </w:r>
      <w:r w:rsidRPr="00B07E71">
        <w:rPr>
          <w:rFonts w:ascii="Palatino Linotype" w:hAnsi="Palatino Linotype" w:cs="Arial"/>
          <w:i/>
        </w:rPr>
        <w:t>A Guide to Implementing Clinical Teaching Method in the Law School Curriculum</w:t>
      </w:r>
      <w:r w:rsidRPr="00B07E71">
        <w:rPr>
          <w:rFonts w:ascii="Palatino Linotype" w:hAnsi="Palatino Linotype" w:cs="Arial"/>
        </w:rPr>
        <w:t xml:space="preserve"> (Sydney, Centre for Legal Education, 1996).</w:t>
      </w:r>
    </w:p>
  </w:footnote>
  <w:footnote w:id="2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00B5523D" w:rsidRPr="00B07E71">
        <w:rPr>
          <w:rFonts w:ascii="Palatino Linotype" w:hAnsi="Palatino Linotype" w:cs="Arial"/>
        </w:rPr>
        <w:t xml:space="preserve"> L </w:t>
      </w:r>
      <w:proofErr w:type="spellStart"/>
      <w:r w:rsidR="00B5523D" w:rsidRPr="00B07E71">
        <w:rPr>
          <w:rFonts w:ascii="Palatino Linotype" w:hAnsi="Palatino Linotype" w:cs="Arial"/>
        </w:rPr>
        <w:t>McCrimmon</w:t>
      </w:r>
      <w:proofErr w:type="spellEnd"/>
      <w:r w:rsidRPr="00B07E71">
        <w:rPr>
          <w:rFonts w:ascii="Palatino Linotype" w:hAnsi="Palatino Linotype" w:cs="Arial"/>
        </w:rPr>
        <w:t xml:space="preserve">, Mandating a Culture of Service: Pro Bono in the Law School Curriculum (2003-2004) 14 </w:t>
      </w:r>
      <w:r w:rsidRPr="00B07E71">
        <w:rPr>
          <w:rFonts w:ascii="Palatino Linotype" w:hAnsi="Palatino Linotype" w:cs="Arial"/>
          <w:i/>
        </w:rPr>
        <w:t>Legal Ed Rev</w:t>
      </w:r>
      <w:r w:rsidRPr="00B07E71">
        <w:rPr>
          <w:rFonts w:ascii="Palatino Linotype" w:hAnsi="Palatino Linotype" w:cs="Arial"/>
        </w:rPr>
        <w:t xml:space="preserve"> 53 at 57.</w:t>
      </w:r>
    </w:p>
  </w:footnote>
  <w:footnote w:id="2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w:t>
      </w:r>
      <w:proofErr w:type="gramStart"/>
      <w:r w:rsidRPr="00B07E71">
        <w:rPr>
          <w:rFonts w:ascii="Palatino Linotype" w:hAnsi="Palatino Linotype" w:cs="Arial"/>
        </w:rPr>
        <w:t>example</w:t>
      </w:r>
      <w:proofErr w:type="gramEnd"/>
      <w:r w:rsidRPr="00B07E71">
        <w:rPr>
          <w:rFonts w:ascii="Palatino Linotype" w:hAnsi="Palatino Linotype" w:cs="Arial"/>
        </w:rPr>
        <w:t xml:space="preserve"> see R Wilson, ‘Training for Justice: the Global Reach of Clinical Legal Education’ (2004) 22 </w:t>
      </w:r>
      <w:r w:rsidRPr="00B07E71">
        <w:rPr>
          <w:rFonts w:ascii="Palatino Linotype" w:hAnsi="Palatino Linotype" w:cs="Arial"/>
          <w:i/>
        </w:rPr>
        <w:t>Penn St Int’l L Rev</w:t>
      </w:r>
      <w:r w:rsidRPr="00B07E71">
        <w:rPr>
          <w:rFonts w:ascii="Palatino Linotype" w:hAnsi="Palatino Linotype" w:cs="Arial"/>
        </w:rPr>
        <w:t xml:space="preserve"> 421 at 424.</w:t>
      </w:r>
    </w:p>
  </w:footnote>
  <w:footnote w:id="2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Giddings, ‘A Circle Game: Issues in Australian Clinical Legal Education’ (1999) 10 </w:t>
      </w:r>
      <w:r w:rsidRPr="00B07E71">
        <w:rPr>
          <w:rFonts w:ascii="Palatino Linotype" w:hAnsi="Palatino Linotype" w:cs="Arial"/>
          <w:i/>
        </w:rPr>
        <w:t>Legal Ed Rev</w:t>
      </w:r>
      <w:r w:rsidRPr="00B07E71">
        <w:rPr>
          <w:rFonts w:ascii="Palatino Linotype" w:hAnsi="Palatino Linotype" w:cs="Arial"/>
        </w:rPr>
        <w:t xml:space="preserve"> 33 at 35.</w:t>
      </w:r>
    </w:p>
  </w:footnote>
  <w:footnote w:id="2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ability of community legal centres to engage in policy work has decreased significantly in Australia since 1 July 2014 as a result of the actions of the Commonwealth government prohibiting legal centres receiving Commonwealth government funding from using such funds for law reform projects: see </w:t>
      </w:r>
      <w:hyperlink r:id="rId4" w:history="1">
        <w:r w:rsidRPr="00B07E71">
          <w:rPr>
            <w:rStyle w:val="Hyperlink"/>
            <w:rFonts w:ascii="Palatino Linotype" w:hAnsi="Palatino Linotype" w:cs="Arial"/>
          </w:rPr>
          <w:t>http://www.lawyersweekly.com.au/news/15506-ala-slams-ban-on-clc-advocacy</w:t>
        </w:r>
      </w:hyperlink>
      <w:r w:rsidR="00FA4843" w:rsidRPr="00B07E71">
        <w:rPr>
          <w:rFonts w:ascii="Palatino Linotype" w:hAnsi="Palatino Linotype" w:cs="Arial"/>
        </w:rPr>
        <w:t xml:space="preserve"> (accessed 27 September 2016</w:t>
      </w:r>
      <w:r w:rsidRPr="00B07E71">
        <w:rPr>
          <w:rFonts w:ascii="Palatino Linotype" w:hAnsi="Palatino Linotype" w:cs="Arial"/>
        </w:rPr>
        <w:t xml:space="preserve">). </w:t>
      </w:r>
    </w:p>
  </w:footnote>
  <w:footnote w:id="28">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description of Street Law, see </w:t>
      </w:r>
      <w:hyperlink r:id="rId5" w:history="1">
        <w:r w:rsidRPr="00B07E71">
          <w:rPr>
            <w:rStyle w:val="Hyperlink"/>
            <w:rFonts w:ascii="Palatino Linotype" w:hAnsi="Palatino Linotype" w:cs="Arial"/>
          </w:rPr>
          <w:t>www.streetlaw.org</w:t>
        </w:r>
      </w:hyperlink>
      <w:r w:rsidRPr="00B07E71">
        <w:rPr>
          <w:rFonts w:ascii="Palatino Linotype" w:hAnsi="Palatino Linotype" w:cs="Arial"/>
        </w:rPr>
        <w:t xml:space="preserve">. See also R Grimes, D McQuoid-Mason, E O’Brien, J Zimmer, ‘Street Law and Social Justice Education’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15.</w:t>
      </w:r>
    </w:p>
  </w:footnote>
  <w:footnote w:id="2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Pr="00B07E71">
        <w:rPr>
          <w:rFonts w:ascii="Palatino Linotype" w:hAnsi="Palatino Linotype" w:cs="Arial"/>
          <w:i/>
        </w:rPr>
        <w:t>The Global Clinical Movement: Educating Lawyers for Social Justice</w:t>
      </w:r>
      <w:r w:rsidRPr="00B07E71">
        <w:rPr>
          <w:rFonts w:ascii="Palatino Linotype" w:hAnsi="Palatino Linotype" w:cs="Arial"/>
        </w:rPr>
        <w:t xml:space="preserve"> (F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Pt I; F Bloch, ‘Access to Justice and the Global Clinical Movement’ (2008) 28 </w:t>
      </w:r>
      <w:r w:rsidRPr="00B07E71">
        <w:rPr>
          <w:rFonts w:ascii="Palatino Linotype" w:hAnsi="Palatino Linotype" w:cs="Arial"/>
          <w:i/>
        </w:rPr>
        <w:t xml:space="preserve">Wash U J L &amp; </w:t>
      </w:r>
      <w:proofErr w:type="spellStart"/>
      <w:r w:rsidRPr="00B07E71">
        <w:rPr>
          <w:rFonts w:ascii="Palatino Linotype" w:hAnsi="Palatino Linotype" w:cs="Arial"/>
          <w:i/>
        </w:rPr>
        <w:t>Pol’y</w:t>
      </w:r>
      <w:proofErr w:type="spellEnd"/>
      <w:r w:rsidRPr="00B07E71">
        <w:rPr>
          <w:rFonts w:ascii="Palatino Linotype" w:hAnsi="Palatino Linotype" w:cs="Arial"/>
        </w:rPr>
        <w:t xml:space="preserve"> 111 at 116.</w:t>
      </w:r>
    </w:p>
  </w:footnote>
  <w:footnote w:id="3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discussion of the history of GAJE see E </w:t>
      </w:r>
      <w:proofErr w:type="spellStart"/>
      <w:r w:rsidRPr="00B07E71">
        <w:rPr>
          <w:rFonts w:ascii="Palatino Linotype" w:hAnsi="Palatino Linotype" w:cs="Arial"/>
        </w:rPr>
        <w:t>Santow</w:t>
      </w:r>
      <w:proofErr w:type="spellEnd"/>
      <w:r w:rsidRPr="00B07E71">
        <w:rPr>
          <w:rFonts w:ascii="Palatino Linotype" w:hAnsi="Palatino Linotype" w:cs="Arial"/>
        </w:rPr>
        <w:t xml:space="preserve">, G </w:t>
      </w:r>
      <w:proofErr w:type="spellStart"/>
      <w:r w:rsidRPr="00B07E71">
        <w:rPr>
          <w:rFonts w:ascii="Palatino Linotype" w:hAnsi="Palatino Linotype" w:cs="Arial"/>
        </w:rPr>
        <w:t>Mukundi</w:t>
      </w:r>
      <w:proofErr w:type="spellEnd"/>
      <w:r w:rsidRPr="00B07E71">
        <w:rPr>
          <w:rFonts w:ascii="Palatino Linotype" w:hAnsi="Palatino Linotype" w:cs="Arial"/>
        </w:rPr>
        <w:t xml:space="preserve"> </w:t>
      </w:r>
      <w:proofErr w:type="spellStart"/>
      <w:r w:rsidRPr="00B07E71">
        <w:rPr>
          <w:rFonts w:ascii="Palatino Linotype" w:hAnsi="Palatino Linotype" w:cs="Arial"/>
        </w:rPr>
        <w:t>Wachira</w:t>
      </w:r>
      <w:proofErr w:type="spellEnd"/>
      <w:r w:rsidRPr="00B07E71">
        <w:rPr>
          <w:rFonts w:ascii="Palatino Linotype" w:hAnsi="Palatino Linotype" w:cs="Arial"/>
        </w:rPr>
        <w:t xml:space="preserve">, ‘The Global Alliance for Justice Education’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25.</w:t>
      </w:r>
    </w:p>
  </w:footnote>
  <w:footnote w:id="3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number of delegates had to be capped at 350 due to venue capacity.</w:t>
      </w:r>
    </w:p>
  </w:footnote>
  <w:footnote w:id="3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example see </w:t>
      </w:r>
      <w:r w:rsidRPr="00B07E71">
        <w:rPr>
          <w:rFonts w:ascii="Palatino Linotype" w:hAnsi="Palatino Linotype" w:cs="Arial"/>
          <w:i/>
        </w:rPr>
        <w:t>The Global Clinical Movement: Educating Lawyers for Social Justice</w:t>
      </w:r>
      <w:r w:rsidRPr="00B07E71">
        <w:rPr>
          <w:rFonts w:ascii="Palatino Linotype" w:hAnsi="Palatino Linotype" w:cs="Arial"/>
        </w:rPr>
        <w:t xml:space="preserve"> (F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Pt I; F Bloch, ‘Access to Justice and the Global Clinical Movement’ (2008) 28 </w:t>
      </w:r>
      <w:r w:rsidRPr="00B07E71">
        <w:rPr>
          <w:rFonts w:ascii="Palatino Linotype" w:hAnsi="Palatino Linotype" w:cs="Arial"/>
          <w:i/>
        </w:rPr>
        <w:t xml:space="preserve">Wash U J L &amp; </w:t>
      </w:r>
      <w:proofErr w:type="spellStart"/>
      <w:r w:rsidRPr="00B07E71">
        <w:rPr>
          <w:rFonts w:ascii="Palatino Linotype" w:hAnsi="Palatino Linotype" w:cs="Arial"/>
          <w:i/>
        </w:rPr>
        <w:t>Pol’y</w:t>
      </w:r>
      <w:proofErr w:type="spellEnd"/>
      <w:r w:rsidRPr="00B07E71">
        <w:rPr>
          <w:rFonts w:ascii="Palatino Linotype" w:hAnsi="Palatino Linotype" w:cs="Arial"/>
        </w:rPr>
        <w:t xml:space="preserve"> 111; Y </w:t>
      </w:r>
      <w:proofErr w:type="spellStart"/>
      <w:r w:rsidRPr="00B07E71">
        <w:rPr>
          <w:rFonts w:ascii="Palatino Linotype" w:hAnsi="Palatino Linotype" w:cs="Arial"/>
        </w:rPr>
        <w:t>Cai</w:t>
      </w:r>
      <w:proofErr w:type="spellEnd"/>
      <w:r w:rsidRPr="00B07E71">
        <w:rPr>
          <w:rFonts w:ascii="Palatino Linotype" w:hAnsi="Palatino Linotype" w:cs="Arial"/>
        </w:rPr>
        <w:t xml:space="preserve">, ‘Global Clinical Legal Education and International Partnerships: A Chinese Legal Educator’s Perspective’ (2011) 26 </w:t>
      </w:r>
      <w:proofErr w:type="spellStart"/>
      <w:r w:rsidRPr="00B07E71">
        <w:rPr>
          <w:rFonts w:ascii="Palatino Linotype" w:hAnsi="Palatino Linotype" w:cs="Arial"/>
          <w:i/>
        </w:rPr>
        <w:t>Md</w:t>
      </w:r>
      <w:proofErr w:type="spellEnd"/>
      <w:r w:rsidRPr="00B07E71">
        <w:rPr>
          <w:rFonts w:ascii="Palatino Linotype" w:hAnsi="Palatino Linotype" w:cs="Arial"/>
          <w:i/>
        </w:rPr>
        <w:t xml:space="preserve"> J Int’l L</w:t>
      </w:r>
      <w:r w:rsidRPr="00B07E71">
        <w:rPr>
          <w:rFonts w:ascii="Palatino Linotype" w:hAnsi="Palatino Linotype" w:cs="Arial"/>
        </w:rPr>
        <w:t xml:space="preserve"> 159; S Rosenbaum, ‘The Legal Clinic is More Than a Sign on the Door: Transforming Law School Education in Revolutionary Egypt’ (2012) 5 </w:t>
      </w:r>
      <w:r w:rsidRPr="00B07E71">
        <w:rPr>
          <w:rFonts w:ascii="Palatino Linotype" w:hAnsi="Palatino Linotype" w:cs="Arial"/>
          <w:i/>
        </w:rPr>
        <w:t>Berkley J Middle E &amp; Islamic L</w:t>
      </w:r>
      <w:r w:rsidRPr="00B07E71">
        <w:rPr>
          <w:rFonts w:ascii="Palatino Linotype" w:hAnsi="Palatino Linotype" w:cs="Arial"/>
        </w:rPr>
        <w:t xml:space="preserve"> 39; B </w:t>
      </w:r>
      <w:proofErr w:type="spellStart"/>
      <w:r w:rsidRPr="00B07E71">
        <w:rPr>
          <w:rFonts w:ascii="Palatino Linotype" w:hAnsi="Palatino Linotype" w:cs="Arial"/>
        </w:rPr>
        <w:t>Lasky</w:t>
      </w:r>
      <w:proofErr w:type="spellEnd"/>
      <w:r w:rsidRPr="00B07E71">
        <w:rPr>
          <w:rFonts w:ascii="Palatino Linotype" w:hAnsi="Palatino Linotype" w:cs="Arial"/>
        </w:rPr>
        <w:t xml:space="preserve">, N </w:t>
      </w:r>
      <w:proofErr w:type="spellStart"/>
      <w:r w:rsidRPr="00B07E71">
        <w:rPr>
          <w:rFonts w:ascii="Palatino Linotype" w:hAnsi="Palatino Linotype" w:cs="Arial"/>
        </w:rPr>
        <w:t>Nazeri</w:t>
      </w:r>
      <w:proofErr w:type="spellEnd"/>
      <w:r w:rsidRPr="00B07E71">
        <w:rPr>
          <w:rFonts w:ascii="Palatino Linotype" w:hAnsi="Palatino Linotype" w:cs="Arial"/>
        </w:rPr>
        <w:t xml:space="preserve">, ‘the Development and Expansion of University-based Community/Clinical Legal Education Programs in Malaysia: Means, Methods, Strategies’ (2011) 16 </w:t>
      </w:r>
      <w:r w:rsidRPr="00B07E71">
        <w:rPr>
          <w:rFonts w:ascii="Palatino Linotype" w:hAnsi="Palatino Linotype" w:cs="Arial"/>
          <w:i/>
        </w:rPr>
        <w:t xml:space="preserve">Int’l J Clinical Legal </w:t>
      </w:r>
      <w:proofErr w:type="spellStart"/>
      <w:r w:rsidRPr="00B07E71">
        <w:rPr>
          <w:rFonts w:ascii="Palatino Linotype" w:hAnsi="Palatino Linotype" w:cs="Arial"/>
          <w:i/>
        </w:rPr>
        <w:t>Educ</w:t>
      </w:r>
      <w:proofErr w:type="spellEnd"/>
      <w:r w:rsidRPr="00B07E71">
        <w:rPr>
          <w:rFonts w:ascii="Palatino Linotype" w:hAnsi="Palatino Linotype" w:cs="Arial"/>
        </w:rPr>
        <w:t xml:space="preserve"> 59.</w:t>
      </w:r>
    </w:p>
  </w:footnote>
  <w:footnote w:id="3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w:t>
      </w:r>
      <w:hyperlink r:id="rId6" w:history="1">
        <w:r w:rsidRPr="00B07E71">
          <w:rPr>
            <w:rStyle w:val="Hyperlink"/>
            <w:rFonts w:ascii="Palatino Linotype" w:hAnsi="Palatino Linotype" w:cs="Arial"/>
          </w:rPr>
          <w:t>www.northumbriajournals.co.uk/index.php/ijcle</w:t>
        </w:r>
      </w:hyperlink>
      <w:r w:rsidR="00FA4843" w:rsidRPr="00B07E71">
        <w:rPr>
          <w:rFonts w:ascii="Palatino Linotype" w:hAnsi="Palatino Linotype" w:cs="Arial"/>
        </w:rPr>
        <w:t xml:space="preserve"> (accessed 27 September 2016</w:t>
      </w:r>
      <w:r w:rsidRPr="00B07E71">
        <w:rPr>
          <w:rFonts w:ascii="Palatino Linotype" w:hAnsi="Palatino Linotype" w:cs="Arial"/>
        </w:rPr>
        <w:t>).</w:t>
      </w:r>
    </w:p>
  </w:footnote>
  <w:footnote w:id="3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 Bloch, ‘Access to Justice and the Global Clinical Movement’ (2008) 28 </w:t>
      </w:r>
      <w:r w:rsidRPr="00B07E71">
        <w:rPr>
          <w:rFonts w:ascii="Palatino Linotype" w:hAnsi="Palatino Linotype" w:cs="Arial"/>
          <w:i/>
        </w:rPr>
        <w:t xml:space="preserve">Wash U J L &amp; </w:t>
      </w:r>
      <w:proofErr w:type="spellStart"/>
      <w:r w:rsidRPr="00B07E71">
        <w:rPr>
          <w:rFonts w:ascii="Palatino Linotype" w:hAnsi="Palatino Linotype" w:cs="Arial"/>
          <w:i/>
        </w:rPr>
        <w:t>Pol’y</w:t>
      </w:r>
      <w:proofErr w:type="spellEnd"/>
      <w:r w:rsidRPr="00B07E71">
        <w:rPr>
          <w:rFonts w:ascii="Palatino Linotype" w:hAnsi="Palatino Linotype" w:cs="Arial"/>
        </w:rPr>
        <w:t xml:space="preserve"> 111 at 121.</w:t>
      </w:r>
    </w:p>
  </w:footnote>
  <w:footnote w:id="3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Milstein, ‘Clinical Legal Education in the United States: In-House Clinics, Externships, and Simulations’ (2001) 51 </w:t>
      </w:r>
      <w:r w:rsidRPr="00B07E71">
        <w:rPr>
          <w:rFonts w:ascii="Palatino Linotype" w:hAnsi="Palatino Linotype" w:cs="Arial"/>
          <w:i/>
        </w:rPr>
        <w:t xml:space="preserve">J Legal </w:t>
      </w:r>
      <w:proofErr w:type="spellStart"/>
      <w:r w:rsidRPr="00B07E71">
        <w:rPr>
          <w:rFonts w:ascii="Palatino Linotype" w:hAnsi="Palatino Linotype" w:cs="Arial"/>
          <w:i/>
        </w:rPr>
        <w:t>Educ</w:t>
      </w:r>
      <w:proofErr w:type="spellEnd"/>
      <w:r w:rsidRPr="00B07E71">
        <w:rPr>
          <w:rFonts w:ascii="Palatino Linotype" w:hAnsi="Palatino Linotype" w:cs="Arial"/>
        </w:rPr>
        <w:t xml:space="preserve"> 375 at 376.</w:t>
      </w:r>
    </w:p>
  </w:footnote>
  <w:footnote w:id="3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example see B </w:t>
      </w:r>
      <w:proofErr w:type="spellStart"/>
      <w:r w:rsidRPr="00B07E71">
        <w:rPr>
          <w:rFonts w:ascii="Palatino Linotype" w:hAnsi="Palatino Linotype" w:cs="Arial"/>
        </w:rPr>
        <w:t>Lasky</w:t>
      </w:r>
      <w:proofErr w:type="spellEnd"/>
      <w:r w:rsidRPr="00B07E71">
        <w:rPr>
          <w:rFonts w:ascii="Palatino Linotype" w:hAnsi="Palatino Linotype" w:cs="Arial"/>
        </w:rPr>
        <w:t xml:space="preserve">, N </w:t>
      </w:r>
      <w:proofErr w:type="spellStart"/>
      <w:r w:rsidRPr="00B07E71">
        <w:rPr>
          <w:rFonts w:ascii="Palatino Linotype" w:hAnsi="Palatino Linotype" w:cs="Arial"/>
        </w:rPr>
        <w:t>Nazeri</w:t>
      </w:r>
      <w:proofErr w:type="spellEnd"/>
      <w:r w:rsidRPr="00B07E71">
        <w:rPr>
          <w:rFonts w:ascii="Palatino Linotype" w:hAnsi="Palatino Linotype" w:cs="Arial"/>
        </w:rPr>
        <w:t xml:space="preserve">, ‘the Development and Expansion of University-based Community/Clinical Legal Education Programs in Malaysia: Means, Methods, Strategies’ (2011) 16 </w:t>
      </w:r>
      <w:r w:rsidRPr="00B07E71">
        <w:rPr>
          <w:rFonts w:ascii="Palatino Linotype" w:hAnsi="Palatino Linotype" w:cs="Arial"/>
          <w:i/>
        </w:rPr>
        <w:t xml:space="preserve">Int’l J Clinical Legal </w:t>
      </w:r>
      <w:proofErr w:type="spellStart"/>
      <w:r w:rsidRPr="00B07E71">
        <w:rPr>
          <w:rFonts w:ascii="Palatino Linotype" w:hAnsi="Palatino Linotype" w:cs="Arial"/>
          <w:i/>
        </w:rPr>
        <w:t>Educ</w:t>
      </w:r>
      <w:proofErr w:type="spellEnd"/>
      <w:r w:rsidRPr="00B07E71">
        <w:rPr>
          <w:rFonts w:ascii="Palatino Linotype" w:hAnsi="Palatino Linotype" w:cs="Arial"/>
        </w:rPr>
        <w:t xml:space="preserve"> 59 at 63; R Grimes, D McQuoid-Mason, E O’Brien, J Zimmer, ‘Street Law and Social Justice Education’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15; A Pandey, S </w:t>
      </w:r>
      <w:proofErr w:type="spellStart"/>
      <w:r w:rsidRPr="00B07E71">
        <w:rPr>
          <w:rFonts w:ascii="Palatino Linotype" w:hAnsi="Palatino Linotype" w:cs="Arial"/>
        </w:rPr>
        <w:t>Shukkur</w:t>
      </w:r>
      <w:proofErr w:type="spellEnd"/>
      <w:r w:rsidRPr="00B07E71">
        <w:rPr>
          <w:rFonts w:ascii="Palatino Linotype" w:hAnsi="Palatino Linotype" w:cs="Arial"/>
        </w:rPr>
        <w:t xml:space="preserve">, ‘Legal Literacy Projects: Clinical Experience of Empowering the Poor in India’ in </w:t>
      </w:r>
      <w:r w:rsidRPr="00B07E71">
        <w:rPr>
          <w:rFonts w:ascii="Palatino Linotype" w:hAnsi="Palatino Linotype" w:cs="Arial"/>
          <w:i/>
        </w:rPr>
        <w:t xml:space="preserve">The Global Clinical Movement: Educating Lawyers for Social Justice </w:t>
      </w:r>
      <w:r w:rsidRPr="00B07E71">
        <w:rPr>
          <w:rFonts w:ascii="Palatino Linotype" w:hAnsi="Palatino Linotype" w:cs="Arial"/>
        </w:rPr>
        <w:t xml:space="preserve">(F Bloch </w:t>
      </w:r>
      <w:proofErr w:type="spellStart"/>
      <w:r w:rsidRPr="00B07E71">
        <w:rPr>
          <w:rFonts w:ascii="Palatino Linotype" w:hAnsi="Palatino Linotype" w:cs="Arial"/>
        </w:rPr>
        <w:t>ed</w:t>
      </w:r>
      <w:proofErr w:type="spellEnd"/>
      <w:r w:rsidRPr="00B07E71">
        <w:rPr>
          <w:rFonts w:ascii="Palatino Linotype" w:hAnsi="Palatino Linotype" w:cs="Arial"/>
        </w:rPr>
        <w:t xml:space="preserve">, OUP, 2011) </w:t>
      </w:r>
      <w:proofErr w:type="spellStart"/>
      <w:r w:rsidRPr="00B07E71">
        <w:rPr>
          <w:rFonts w:ascii="Palatino Linotype" w:hAnsi="Palatino Linotype" w:cs="Arial"/>
        </w:rPr>
        <w:t>Ch</w:t>
      </w:r>
      <w:proofErr w:type="spellEnd"/>
      <w:r w:rsidRPr="00B07E71">
        <w:rPr>
          <w:rFonts w:ascii="Palatino Linotype" w:hAnsi="Palatino Linotype" w:cs="Arial"/>
        </w:rPr>
        <w:t xml:space="preserve"> 16.</w:t>
      </w:r>
    </w:p>
  </w:footnote>
  <w:footnote w:id="3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Bloch, ‘Access to Justice and the Global Clinical Movement’ (2008) 28 </w:t>
      </w:r>
      <w:r w:rsidRPr="00B07E71">
        <w:rPr>
          <w:rFonts w:ascii="Palatino Linotype" w:hAnsi="Palatino Linotype" w:cs="Arial"/>
          <w:i/>
        </w:rPr>
        <w:t xml:space="preserve">Wash U J L &amp; </w:t>
      </w:r>
      <w:proofErr w:type="spellStart"/>
      <w:r w:rsidRPr="00B07E71">
        <w:rPr>
          <w:rFonts w:ascii="Palatino Linotype" w:hAnsi="Palatino Linotype" w:cs="Arial"/>
          <w:i/>
        </w:rPr>
        <w:t>Pol’y</w:t>
      </w:r>
      <w:proofErr w:type="spellEnd"/>
      <w:r w:rsidRPr="00B07E71">
        <w:rPr>
          <w:rFonts w:ascii="Palatino Linotype" w:hAnsi="Palatino Linotype" w:cs="Arial"/>
        </w:rPr>
        <w:t xml:space="preserve"> 111 at 115.</w:t>
      </w:r>
    </w:p>
  </w:footnote>
  <w:footnote w:id="3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H </w:t>
      </w:r>
      <w:proofErr w:type="spellStart"/>
      <w:r w:rsidRPr="00B07E71">
        <w:rPr>
          <w:rFonts w:ascii="Palatino Linotype" w:hAnsi="Palatino Linotype" w:cs="Arial"/>
        </w:rPr>
        <w:t>Leskovac</w:t>
      </w:r>
      <w:proofErr w:type="spellEnd"/>
      <w:r w:rsidRPr="00B07E71">
        <w:rPr>
          <w:rFonts w:ascii="Palatino Linotype" w:hAnsi="Palatino Linotype" w:cs="Arial"/>
        </w:rPr>
        <w:t>, ‘Distance Learning in Legal Education: Implications of Frame Relay Videoconferencing’ (1998) 8 </w:t>
      </w:r>
      <w:r w:rsidRPr="00B07E71">
        <w:rPr>
          <w:rFonts w:ascii="Palatino Linotype" w:hAnsi="Palatino Linotype" w:cs="Arial"/>
          <w:i/>
        </w:rPr>
        <w:t xml:space="preserve">Alb L J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w:t>
      </w:r>
      <w:r w:rsidRPr="00B07E71">
        <w:rPr>
          <w:rFonts w:ascii="Palatino Linotype" w:hAnsi="Palatino Linotype" w:cs="Arial"/>
        </w:rPr>
        <w:t xml:space="preserve"> 305 at 309. See also M </w:t>
      </w:r>
      <w:proofErr w:type="spellStart"/>
      <w:r w:rsidRPr="00B07E71">
        <w:rPr>
          <w:rFonts w:ascii="Palatino Linotype" w:hAnsi="Palatino Linotype" w:cs="Arial"/>
        </w:rPr>
        <w:t>Perlin</w:t>
      </w:r>
      <w:proofErr w:type="spellEnd"/>
      <w:r w:rsidRPr="00B07E71">
        <w:rPr>
          <w:rFonts w:ascii="Palatino Linotype" w:hAnsi="Palatino Linotype" w:cs="Arial"/>
        </w:rPr>
        <w:t xml:space="preserve">, ‘An Internet-Based Mental Disability Law Program: Implications for Social Change in Nations with Developing Economies’ (2006-2007) 30 </w:t>
      </w:r>
      <w:r w:rsidRPr="00B07E71">
        <w:rPr>
          <w:rFonts w:ascii="Palatino Linotype" w:hAnsi="Palatino Linotype" w:cs="Arial"/>
          <w:i/>
        </w:rPr>
        <w:t>Fordham Int’l L J</w:t>
      </w:r>
      <w:r w:rsidRPr="00B07E71">
        <w:rPr>
          <w:rFonts w:ascii="Palatino Linotype" w:hAnsi="Palatino Linotype" w:cs="Arial"/>
        </w:rPr>
        <w:t xml:space="preserve"> 435 at 439.</w:t>
      </w:r>
    </w:p>
  </w:footnote>
  <w:footnote w:id="3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 Twining, ‘Developments in Legal Education: Beyond the Primary School Model’ (1990-1991) 2 </w:t>
      </w:r>
      <w:r w:rsidRPr="00B07E71">
        <w:rPr>
          <w:rFonts w:ascii="Palatino Linotype" w:hAnsi="Palatino Linotype" w:cs="Arial"/>
          <w:i/>
        </w:rPr>
        <w:t xml:space="preserve">Legal Ed Rev </w:t>
      </w:r>
      <w:r w:rsidRPr="00B07E71">
        <w:rPr>
          <w:rFonts w:ascii="Palatino Linotype" w:hAnsi="Palatino Linotype" w:cs="Arial"/>
        </w:rPr>
        <w:t>35 at 45.</w:t>
      </w:r>
    </w:p>
  </w:footnote>
  <w:footnote w:id="4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w:t>
      </w:r>
      <w:hyperlink r:id="rId7" w:history="1">
        <w:r w:rsidRPr="00B07E71">
          <w:rPr>
            <w:rStyle w:val="Hyperlink"/>
            <w:rFonts w:ascii="Palatino Linotype" w:hAnsi="Palatino Linotype" w:cs="Arial"/>
          </w:rPr>
          <w:t>www.londoninternational.ac.uk/llb</w:t>
        </w:r>
      </w:hyperlink>
      <w:r w:rsidR="00FA4843" w:rsidRPr="00B07E71">
        <w:rPr>
          <w:rFonts w:ascii="Palatino Linotype" w:hAnsi="Palatino Linotype" w:cs="Arial"/>
        </w:rPr>
        <w:t xml:space="preserve"> (accessed 27 September 2016</w:t>
      </w:r>
      <w:r w:rsidRPr="00B07E71">
        <w:rPr>
          <w:rFonts w:ascii="Palatino Linotype" w:hAnsi="Palatino Linotype" w:cs="Arial"/>
        </w:rPr>
        <w:t>).</w:t>
      </w:r>
    </w:p>
  </w:footnote>
  <w:footnote w:id="4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 Twining, ‘Developments in Legal Education: Beyond the Primary School Model’ (1990-1991) 2 </w:t>
      </w:r>
      <w:r w:rsidRPr="00B07E71">
        <w:rPr>
          <w:rFonts w:ascii="Palatino Linotype" w:hAnsi="Palatino Linotype" w:cs="Arial"/>
          <w:i/>
        </w:rPr>
        <w:t xml:space="preserve">Legal Ed Rev </w:t>
      </w:r>
      <w:r w:rsidRPr="00B07E71">
        <w:rPr>
          <w:rFonts w:ascii="Palatino Linotype" w:hAnsi="Palatino Linotype" w:cs="Arial"/>
        </w:rPr>
        <w:t>35 at 45.</w:t>
      </w:r>
    </w:p>
  </w:footnote>
  <w:footnote w:id="4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 </w:t>
      </w:r>
      <w:proofErr w:type="spellStart"/>
      <w:r w:rsidRPr="00B07E71">
        <w:rPr>
          <w:rFonts w:ascii="Palatino Linotype" w:hAnsi="Palatino Linotype" w:cs="Arial"/>
        </w:rPr>
        <w:t>Bloxham</w:t>
      </w:r>
      <w:proofErr w:type="spellEnd"/>
      <w:r w:rsidRPr="00B07E71">
        <w:rPr>
          <w:rFonts w:ascii="Palatino Linotype" w:hAnsi="Palatino Linotype" w:cs="Arial"/>
        </w:rPr>
        <w:t xml:space="preserve">, ‘Widening Access and the Use of ICT in Legal Education’ (2005) 39 </w:t>
      </w:r>
      <w:r w:rsidRPr="00B07E71">
        <w:rPr>
          <w:rFonts w:ascii="Palatino Linotype" w:hAnsi="Palatino Linotype" w:cs="Arial"/>
          <w:i/>
        </w:rPr>
        <w:t>Law Teacher</w:t>
      </w:r>
      <w:r w:rsidRPr="00B07E71">
        <w:rPr>
          <w:rFonts w:ascii="Palatino Linotype" w:hAnsi="Palatino Linotype" w:cs="Arial"/>
        </w:rPr>
        <w:t xml:space="preserve"> 93 at 99.</w:t>
      </w:r>
    </w:p>
  </w:footnote>
  <w:footnote w:id="4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P </w:t>
      </w:r>
      <w:proofErr w:type="spellStart"/>
      <w:r w:rsidRPr="00B07E71">
        <w:rPr>
          <w:rFonts w:ascii="Palatino Linotype" w:hAnsi="Palatino Linotype" w:cs="Arial"/>
        </w:rPr>
        <w:t>Maharg</w:t>
      </w:r>
      <w:proofErr w:type="spellEnd"/>
      <w:r w:rsidRPr="00B07E71">
        <w:rPr>
          <w:rFonts w:ascii="Palatino Linotype" w:hAnsi="Palatino Linotype" w:cs="Arial"/>
        </w:rPr>
        <w:t xml:space="preserve">, A </w:t>
      </w:r>
      <w:proofErr w:type="spellStart"/>
      <w:r w:rsidRPr="00B07E71">
        <w:rPr>
          <w:rFonts w:ascii="Palatino Linotype" w:hAnsi="Palatino Linotype" w:cs="Arial"/>
        </w:rPr>
        <w:t>Muntjewerff</w:t>
      </w:r>
      <w:proofErr w:type="spellEnd"/>
      <w:r w:rsidRPr="00B07E71">
        <w:rPr>
          <w:rFonts w:ascii="Palatino Linotype" w:hAnsi="Palatino Linotype" w:cs="Arial"/>
        </w:rPr>
        <w:t>, ‘Through a Screen Darkly; Electronic Legal Education in Europe’ (2002) 36</w:t>
      </w:r>
      <w:r w:rsidRPr="00B07E71">
        <w:rPr>
          <w:rFonts w:ascii="Palatino Linotype" w:hAnsi="Palatino Linotype" w:cs="Arial"/>
          <w:i/>
        </w:rPr>
        <w:t xml:space="preserve"> Law Teacher</w:t>
      </w:r>
      <w:r w:rsidRPr="00B07E71">
        <w:rPr>
          <w:rFonts w:ascii="Palatino Linotype" w:hAnsi="Palatino Linotype" w:cs="Arial"/>
        </w:rPr>
        <w:t xml:space="preserve"> 307.</w:t>
      </w:r>
    </w:p>
  </w:footnote>
  <w:footnote w:id="4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Blackboard Learn is a virtual learning environment and course management system developed by Blackboard Inc. As at the date of writing this article, it was the most widely used Leaning Management System used by law schools in Australia. For a general discussion of Blackboard Learn, see </w:t>
      </w:r>
      <w:hyperlink r:id="rId8" w:history="1">
        <w:r w:rsidRPr="00B07E71">
          <w:rPr>
            <w:rStyle w:val="Hyperlink"/>
            <w:rFonts w:ascii="Palatino Linotype" w:hAnsi="Palatino Linotype" w:cs="Arial"/>
          </w:rPr>
          <w:t>www.blackboard.com/learning-management-system/blackboard-learn.aspx</w:t>
        </w:r>
      </w:hyperlink>
      <w:r w:rsidR="00FA4843" w:rsidRPr="00B07E71">
        <w:rPr>
          <w:rFonts w:ascii="Palatino Linotype" w:hAnsi="Palatino Linotype" w:cs="Arial"/>
        </w:rPr>
        <w:t xml:space="preserve"> (accessed 27 September 2016</w:t>
      </w:r>
      <w:r w:rsidRPr="00B07E71">
        <w:rPr>
          <w:rFonts w:ascii="Palatino Linotype" w:hAnsi="Palatino Linotype" w:cs="Arial"/>
        </w:rPr>
        <w:t xml:space="preserve">), or </w:t>
      </w:r>
      <w:hyperlink r:id="rId9" w:history="1">
        <w:r w:rsidRPr="00B07E71">
          <w:rPr>
            <w:rStyle w:val="Hyperlink"/>
            <w:rFonts w:ascii="Palatino Linotype" w:hAnsi="Palatino Linotype" w:cs="Arial"/>
          </w:rPr>
          <w:t>en.wikipedia.org/wiki/</w:t>
        </w:r>
        <w:proofErr w:type="spellStart"/>
        <w:r w:rsidRPr="00B07E71">
          <w:rPr>
            <w:rStyle w:val="Hyperlink"/>
            <w:rFonts w:ascii="Palatino Linotype" w:hAnsi="Palatino Linotype" w:cs="Arial"/>
          </w:rPr>
          <w:t>Blackboard_Learn</w:t>
        </w:r>
        <w:proofErr w:type="spellEnd"/>
      </w:hyperlink>
      <w:r w:rsidR="00FA4843" w:rsidRPr="00B07E71">
        <w:rPr>
          <w:rFonts w:ascii="Palatino Linotype" w:hAnsi="Palatino Linotype" w:cs="Arial"/>
        </w:rPr>
        <w:t xml:space="preserve"> (accessed 27 September 2016</w:t>
      </w:r>
      <w:r w:rsidRPr="00B07E71">
        <w:rPr>
          <w:rFonts w:ascii="Palatino Linotype" w:hAnsi="Palatino Linotype" w:cs="Arial"/>
        </w:rPr>
        <w:t>).</w:t>
      </w:r>
    </w:p>
  </w:footnote>
  <w:footnote w:id="4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Moodle is a free, open source, Learning M</w:t>
      </w:r>
      <w:r w:rsidR="003842E2" w:rsidRPr="00B07E71">
        <w:rPr>
          <w:rFonts w:ascii="Palatino Linotype" w:hAnsi="Palatino Linotype" w:cs="Arial"/>
        </w:rPr>
        <w:t xml:space="preserve">anagement System. </w:t>
      </w:r>
      <w:proofErr w:type="gramStart"/>
      <w:r w:rsidR="003842E2" w:rsidRPr="00B07E71">
        <w:rPr>
          <w:rFonts w:ascii="Palatino Linotype" w:hAnsi="Palatino Linotype" w:cs="Arial"/>
        </w:rPr>
        <w:t>Generally</w:t>
      </w:r>
      <w:proofErr w:type="gramEnd"/>
      <w:r w:rsidR="003842E2" w:rsidRPr="00B07E71">
        <w:rPr>
          <w:rFonts w:ascii="Palatino Linotype" w:hAnsi="Palatino Linotype" w:cs="Arial"/>
        </w:rPr>
        <w:t xml:space="preserve"> see https://moodle.org</w:t>
      </w:r>
      <w:r w:rsidR="00FA4843" w:rsidRPr="00B07E71">
        <w:rPr>
          <w:rFonts w:ascii="Palatino Linotype" w:hAnsi="Palatino Linotype" w:cs="Arial"/>
        </w:rPr>
        <w:t xml:space="preserve"> (accessed 27 September 2016</w:t>
      </w:r>
      <w:r w:rsidRPr="00B07E71">
        <w:rPr>
          <w:rFonts w:ascii="Palatino Linotype" w:hAnsi="Palatino Linotype" w:cs="Arial"/>
        </w:rPr>
        <w:t>); en.wikipedia.org/wiki</w:t>
      </w:r>
      <w:r w:rsidR="003842E2" w:rsidRPr="00B07E71">
        <w:rPr>
          <w:rFonts w:ascii="Palatino Linotype" w:hAnsi="Palatino Linotype" w:cs="Arial"/>
        </w:rPr>
        <w:t>/Moodle (accessed 27 September 2016</w:t>
      </w:r>
      <w:r w:rsidRPr="00B07E71">
        <w:rPr>
          <w:rFonts w:ascii="Palatino Linotype" w:hAnsi="Palatino Linotype" w:cs="Arial"/>
        </w:rPr>
        <w:t xml:space="preserve">). Moodle was originally an acronym for “modular object-orientated dynamic learning environment”: </w:t>
      </w:r>
      <w:hyperlink r:id="rId10" w:history="1">
        <w:r w:rsidRPr="00B07E71">
          <w:rPr>
            <w:rStyle w:val="Hyperlink"/>
            <w:rFonts w:ascii="Palatino Linotype" w:hAnsi="Palatino Linotype" w:cs="Arial"/>
          </w:rPr>
          <w:t>https://en.wikipedia.org/wiki/Moodle</w:t>
        </w:r>
      </w:hyperlink>
      <w:r w:rsidRPr="00B07E71">
        <w:rPr>
          <w:rFonts w:ascii="Palatino Linotype" w:hAnsi="Palatino Linotype" w:cs="Arial"/>
        </w:rPr>
        <w:t xml:space="preserve"> (accessed 7 January 2016).</w:t>
      </w:r>
    </w:p>
  </w:footnote>
  <w:footnote w:id="4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description of Blackboard Collaborate see </w:t>
      </w:r>
      <w:hyperlink r:id="rId11" w:history="1">
        <w:r w:rsidRPr="00B07E71">
          <w:rPr>
            <w:rStyle w:val="Hyperlink"/>
            <w:rFonts w:ascii="Palatino Linotype" w:hAnsi="Palatino Linotype" w:cs="Arial"/>
          </w:rPr>
          <w:t>www.blackboard.com/online-collaborative-learning/index.aspx</w:t>
        </w:r>
      </w:hyperlink>
      <w:r w:rsidR="003842E2" w:rsidRPr="00B07E71">
        <w:rPr>
          <w:rFonts w:ascii="Palatino Linotype" w:hAnsi="Palatino Linotype" w:cs="Arial"/>
        </w:rPr>
        <w:t xml:space="preserve"> (accessed 27 September 2016</w:t>
      </w:r>
      <w:r w:rsidRPr="00B07E71">
        <w:rPr>
          <w:rFonts w:ascii="Palatino Linotype" w:hAnsi="Palatino Linotype" w:cs="Arial"/>
        </w:rPr>
        <w:t>).</w:t>
      </w:r>
    </w:p>
  </w:footnote>
  <w:footnote w:id="4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proofErr w:type="gramStart"/>
      <w:r w:rsidRPr="00B07E71">
        <w:rPr>
          <w:rFonts w:ascii="Palatino Linotype" w:hAnsi="Palatino Linotype" w:cs="Arial"/>
        </w:rPr>
        <w:t>Generally</w:t>
      </w:r>
      <w:proofErr w:type="gramEnd"/>
      <w:r w:rsidRPr="00B07E71">
        <w:rPr>
          <w:rFonts w:ascii="Palatino Linotype" w:hAnsi="Palatino Linotype" w:cs="Arial"/>
        </w:rPr>
        <w:t xml:space="preserve"> see S </w:t>
      </w:r>
      <w:proofErr w:type="spellStart"/>
      <w:r w:rsidRPr="00B07E71">
        <w:rPr>
          <w:rFonts w:ascii="Palatino Linotype" w:hAnsi="Palatino Linotype" w:cs="Arial"/>
        </w:rPr>
        <w:t>Hrastinski</w:t>
      </w:r>
      <w:proofErr w:type="spellEnd"/>
      <w:r w:rsidRPr="00B07E71">
        <w:rPr>
          <w:rFonts w:ascii="Palatino Linotype" w:hAnsi="Palatino Linotype" w:cs="Arial"/>
        </w:rPr>
        <w:t xml:space="preserve">, ’Asynchronous &amp; Synchronous E-Learning’ (2008, No 4) </w:t>
      </w:r>
      <w:proofErr w:type="spellStart"/>
      <w:r w:rsidRPr="00B07E71">
        <w:rPr>
          <w:rFonts w:ascii="Palatino Linotype" w:hAnsi="Palatino Linotype" w:cs="Arial"/>
          <w:i/>
        </w:rPr>
        <w:t>Educause</w:t>
      </w:r>
      <w:proofErr w:type="spellEnd"/>
      <w:r w:rsidRPr="00B07E71">
        <w:rPr>
          <w:rFonts w:ascii="Palatino Linotype" w:hAnsi="Palatino Linotype" w:cs="Arial"/>
          <w:i/>
        </w:rPr>
        <w:t xml:space="preserve"> Quarterly</w:t>
      </w:r>
      <w:r w:rsidRPr="00B07E71">
        <w:rPr>
          <w:rFonts w:ascii="Palatino Linotype" w:hAnsi="Palatino Linotype" w:cs="Arial"/>
        </w:rPr>
        <w:t xml:space="preserve"> 51 at 51-52; </w:t>
      </w:r>
      <w:r w:rsidR="003842E2" w:rsidRPr="00B07E71">
        <w:rPr>
          <w:rFonts w:ascii="Palatino Linotype" w:hAnsi="Palatino Linotype" w:cs="Arial"/>
        </w:rPr>
        <w:t xml:space="preserve">https://en.wikipedia.org/wiki/Educational_technology </w:t>
      </w:r>
      <w:r w:rsidRPr="00B07E71">
        <w:rPr>
          <w:rFonts w:ascii="Palatino Linotype" w:hAnsi="Palatino Linotype" w:cs="Arial"/>
        </w:rPr>
        <w:t>(</w:t>
      </w:r>
      <w:r w:rsidR="003842E2" w:rsidRPr="00B07E71">
        <w:rPr>
          <w:rFonts w:ascii="Palatino Linotype" w:hAnsi="Palatino Linotype" w:cs="Arial"/>
        </w:rPr>
        <w:t>accessed 27 September 2016</w:t>
      </w:r>
      <w:r w:rsidRPr="00B07E71">
        <w:rPr>
          <w:rFonts w:ascii="Palatino Linotype" w:hAnsi="Palatino Linotype" w:cs="Arial"/>
        </w:rPr>
        <w:t xml:space="preserve">); </w:t>
      </w:r>
      <w:r w:rsidRPr="00B07E71">
        <w:rPr>
          <w:rFonts w:ascii="Palatino Linotype" w:hAnsi="Palatino Linotype" w:cs="Arial"/>
          <w:i/>
        </w:rPr>
        <w:t>Evaluation of Evidence-Based Practices in Online Learning: A Meta-Analysis and Review of Online Learning Studies</w:t>
      </w:r>
      <w:r w:rsidRPr="00B07E71">
        <w:rPr>
          <w:rFonts w:ascii="Palatino Linotype" w:hAnsi="Palatino Linotype" w:cs="Arial"/>
        </w:rPr>
        <w:t xml:space="preserve"> (US Department of Education Office of Planning, Evaluation, and Policy Development Policy and Program Studies Service, September 2010) at 4.</w:t>
      </w:r>
    </w:p>
  </w:footnote>
  <w:footnote w:id="48">
    <w:p w:rsidR="003773E5" w:rsidRPr="00B07E71" w:rsidRDefault="003773E5" w:rsidP="00C62C55">
      <w:pPr>
        <w:spacing w:after="0"/>
        <w:rPr>
          <w:rFonts w:ascii="Palatino Linotype" w:hAnsi="Palatino Linotype" w:cs="Arial"/>
          <w:b/>
          <w:sz w:val="20"/>
          <w:szCs w:val="20"/>
        </w:rPr>
      </w:pPr>
      <w:r w:rsidRPr="00B07E71">
        <w:rPr>
          <w:rFonts w:ascii="Palatino Linotype" w:hAnsi="Palatino Linotype" w:cs="Arial"/>
          <w:sz w:val="20"/>
          <w:szCs w:val="20"/>
        </w:rPr>
        <w:footnoteRef/>
      </w:r>
      <w:r w:rsidRPr="00B07E71">
        <w:rPr>
          <w:rFonts w:ascii="Palatino Linotype" w:hAnsi="Palatino Linotype" w:cs="Arial"/>
          <w:sz w:val="20"/>
          <w:szCs w:val="20"/>
        </w:rPr>
        <w:t xml:space="preserve"> E Noam, ‘Electronics and the Future of Law Schools’ (2008) 17 J </w:t>
      </w:r>
      <w:proofErr w:type="spellStart"/>
      <w:r w:rsidRPr="00B07E71">
        <w:rPr>
          <w:rFonts w:ascii="Palatino Linotype" w:hAnsi="Palatino Linotype" w:cs="Arial"/>
          <w:i/>
          <w:sz w:val="20"/>
          <w:szCs w:val="20"/>
        </w:rPr>
        <w:t>Contemp</w:t>
      </w:r>
      <w:proofErr w:type="spellEnd"/>
      <w:r w:rsidRPr="00B07E71">
        <w:rPr>
          <w:rFonts w:ascii="Palatino Linotype" w:hAnsi="Palatino Linotype" w:cs="Arial"/>
          <w:i/>
          <w:sz w:val="20"/>
          <w:szCs w:val="20"/>
        </w:rPr>
        <w:t xml:space="preserve"> Legal Issues</w:t>
      </w:r>
      <w:r w:rsidRPr="00B07E71">
        <w:rPr>
          <w:rFonts w:ascii="Palatino Linotype" w:hAnsi="Palatino Linotype" w:cs="Arial"/>
          <w:sz w:val="20"/>
          <w:szCs w:val="20"/>
        </w:rPr>
        <w:t xml:space="preserve"> 51 at 52-53.</w:t>
      </w:r>
    </w:p>
  </w:footnote>
  <w:footnote w:id="4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51 at 53.</w:t>
      </w:r>
    </w:p>
  </w:footnote>
  <w:footnote w:id="50">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D Kemp, A Norton, </w:t>
      </w:r>
      <w:r w:rsidRPr="00B07E71">
        <w:rPr>
          <w:rFonts w:ascii="Palatino Linotype" w:hAnsi="Palatino Linotype" w:cs="Arial"/>
          <w:i/>
        </w:rPr>
        <w:t>Review of the Demand Driven Funding System</w:t>
      </w:r>
      <w:r w:rsidRPr="00B07E71">
        <w:rPr>
          <w:rFonts w:ascii="Palatino Linotype" w:hAnsi="Palatino Linotype" w:cs="Arial"/>
        </w:rPr>
        <w:t xml:space="preserve"> (Australian Government, 2014</w:t>
      </w:r>
      <w:r w:rsidR="008567B0" w:rsidRPr="00B07E71">
        <w:rPr>
          <w:rFonts w:ascii="Palatino Linotype" w:hAnsi="Palatino Linotype" w:cs="Arial"/>
        </w:rPr>
        <w:t>)</w:t>
      </w:r>
      <w:r w:rsidRPr="00B07E71">
        <w:rPr>
          <w:rFonts w:ascii="Palatino Linotype" w:hAnsi="Palatino Linotype" w:cs="Arial"/>
        </w:rPr>
        <w:t xml:space="preserve"> at [4.4].</w:t>
      </w:r>
    </w:p>
  </w:footnote>
  <w:footnote w:id="51">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Australian Government Department of Education, Employment and Workplace Relations, </w:t>
      </w:r>
      <w:r w:rsidRPr="00B07E71">
        <w:rPr>
          <w:rFonts w:ascii="Palatino Linotype" w:hAnsi="Palatino Linotype" w:cs="Arial"/>
          <w:i/>
        </w:rPr>
        <w:t>Regional Participation: The Role of Socioeconomic Status and Access</w:t>
      </w:r>
      <w:r w:rsidRPr="00B07E71">
        <w:rPr>
          <w:rFonts w:ascii="Palatino Linotype" w:hAnsi="Palatino Linotype" w:cs="Arial"/>
        </w:rPr>
        <w:t xml:space="preserve"> (Commonwealth of Australia, 2010) at 4.</w:t>
      </w:r>
    </w:p>
  </w:footnote>
  <w:footnote w:id="52">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D Kemp, A Norton, </w:t>
      </w:r>
      <w:r w:rsidRPr="00B07E71">
        <w:rPr>
          <w:rFonts w:ascii="Palatino Linotype" w:hAnsi="Palatino Linotype" w:cs="Arial"/>
          <w:i/>
        </w:rPr>
        <w:t>Review of the Demand Driven Funding System</w:t>
      </w:r>
      <w:r w:rsidRPr="00B07E71">
        <w:rPr>
          <w:rFonts w:ascii="Palatino Linotype" w:hAnsi="Palatino Linotype" w:cs="Arial"/>
        </w:rPr>
        <w:t xml:space="preserve"> (Australian Government, 2014</w:t>
      </w:r>
      <w:r w:rsidR="008567B0" w:rsidRPr="00B07E71">
        <w:rPr>
          <w:rFonts w:ascii="Palatino Linotype" w:hAnsi="Palatino Linotype" w:cs="Arial"/>
        </w:rPr>
        <w:t>)</w:t>
      </w:r>
      <w:r w:rsidRPr="00B07E71">
        <w:rPr>
          <w:rFonts w:ascii="Palatino Linotype" w:hAnsi="Palatino Linotype" w:cs="Arial"/>
        </w:rPr>
        <w:t xml:space="preserve"> at [4.4].</w:t>
      </w:r>
    </w:p>
  </w:footnote>
  <w:footnote w:id="53">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D Kemp, A Norton, </w:t>
      </w:r>
      <w:r w:rsidRPr="00B07E71">
        <w:rPr>
          <w:rFonts w:ascii="Palatino Linotype" w:hAnsi="Palatino Linotype" w:cs="Arial"/>
          <w:i/>
        </w:rPr>
        <w:t>Review of the Demand Driven Funding System</w:t>
      </w:r>
      <w:r w:rsidR="008567B0" w:rsidRPr="00B07E71">
        <w:rPr>
          <w:rFonts w:ascii="Palatino Linotype" w:hAnsi="Palatino Linotype" w:cs="Arial"/>
        </w:rPr>
        <w:t xml:space="preserve"> (Australian Government, 2014)</w:t>
      </w:r>
      <w:r w:rsidRPr="00B07E71">
        <w:rPr>
          <w:rFonts w:ascii="Palatino Linotype" w:hAnsi="Palatino Linotype" w:cs="Arial"/>
        </w:rPr>
        <w:t xml:space="preserve"> at [4.4]. See also, Australian Government Department of Education, Employment and Workplace Relations, </w:t>
      </w:r>
      <w:r w:rsidRPr="00B07E71">
        <w:rPr>
          <w:rFonts w:ascii="Palatino Linotype" w:hAnsi="Palatino Linotype" w:cs="Arial"/>
          <w:i/>
        </w:rPr>
        <w:t>Regional Participation: The Role of Socioeconomic Status and Access</w:t>
      </w:r>
      <w:r w:rsidRPr="00B07E71">
        <w:rPr>
          <w:rFonts w:ascii="Palatino Linotype" w:hAnsi="Palatino Linotype" w:cs="Arial"/>
        </w:rPr>
        <w:t xml:space="preserve"> (Commonwealth of Australia, 2010) at 6.</w:t>
      </w:r>
    </w:p>
  </w:footnote>
  <w:footnote w:id="5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term ‘baby boomer generation’ in an Australian context refers to people born post-World War II approximately between the years 1946 and 1965, giving an age range between 50 and 70 as of 2016: ABS Newsletter 4914.0.55.001 at </w:t>
      </w:r>
      <w:hyperlink r:id="rId12" w:history="1">
        <w:r w:rsidRPr="00B07E71">
          <w:rPr>
            <w:rStyle w:val="Hyperlink"/>
            <w:rFonts w:ascii="Palatino Linotype" w:hAnsi="Palatino Linotype" w:cs="Arial"/>
          </w:rPr>
          <w:t>www.abs.gov.au</w:t>
        </w:r>
      </w:hyperlink>
      <w:r w:rsidR="00C62C55" w:rsidRPr="00B07E71">
        <w:rPr>
          <w:rFonts w:ascii="Palatino Linotype" w:hAnsi="Palatino Linotype" w:cs="Arial"/>
        </w:rPr>
        <w:t xml:space="preserve"> (accessed 27 September 2016</w:t>
      </w:r>
      <w:r w:rsidRPr="00B07E71">
        <w:rPr>
          <w:rFonts w:ascii="Palatino Linotype" w:hAnsi="Palatino Linotype" w:cs="Arial"/>
        </w:rPr>
        <w:t xml:space="preserve">);  </w:t>
      </w:r>
      <w:r w:rsidRPr="00B07E71">
        <w:rPr>
          <w:rFonts w:ascii="Palatino Linotype" w:hAnsi="Palatino Linotype" w:cs="Arial"/>
          <w:i/>
        </w:rPr>
        <w:t>Macquarie Concise Dictionary</w:t>
      </w:r>
      <w:r w:rsidRPr="00B07E71">
        <w:rPr>
          <w:rFonts w:ascii="Palatino Linotype" w:hAnsi="Palatino Linotype" w:cs="Arial"/>
        </w:rPr>
        <w:t xml:space="preserve"> (4</w:t>
      </w:r>
      <w:r w:rsidRPr="00B07E71">
        <w:rPr>
          <w:rFonts w:ascii="Palatino Linotype" w:hAnsi="Palatino Linotype" w:cs="Arial"/>
          <w:vertAlign w:val="superscript"/>
        </w:rPr>
        <w:t>th</w:t>
      </w:r>
      <w:r w:rsidRPr="00B07E71">
        <w:rPr>
          <w:rFonts w:ascii="Palatino Linotype" w:hAnsi="Palatino Linotype" w:cs="Arial"/>
        </w:rPr>
        <w:t> </w:t>
      </w:r>
      <w:proofErr w:type="spellStart"/>
      <w:r w:rsidRPr="00B07E71">
        <w:rPr>
          <w:rFonts w:ascii="Palatino Linotype" w:hAnsi="Palatino Linotype" w:cs="Arial"/>
        </w:rPr>
        <w:t>ed</w:t>
      </w:r>
      <w:proofErr w:type="spellEnd"/>
      <w:r w:rsidRPr="00B07E71">
        <w:rPr>
          <w:rFonts w:ascii="Palatino Linotype" w:hAnsi="Palatino Linotype" w:cs="Arial"/>
        </w:rPr>
        <w:t>, 2006) at 76.</w:t>
      </w:r>
    </w:p>
  </w:footnote>
  <w:footnote w:id="5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‘Digital Age’ is “defined as the time period starting in the 1970s with the introduction of the personal computer with subsequent technology introduced providing the ability to transfer information freely and quickly”: see </w:t>
      </w:r>
      <w:hyperlink r:id="rId13" w:history="1">
        <w:r w:rsidRPr="00B07E71">
          <w:rPr>
            <w:rStyle w:val="Hyperlink"/>
            <w:rFonts w:ascii="Palatino Linotype" w:hAnsi="Palatino Linotype" w:cs="Arial"/>
          </w:rPr>
          <w:t>www.yourdictionary.com/digital-age</w:t>
        </w:r>
      </w:hyperlink>
      <w:r w:rsidR="00C62C55" w:rsidRPr="00B07E71">
        <w:rPr>
          <w:rFonts w:ascii="Palatino Linotype" w:hAnsi="Palatino Linotype" w:cs="Arial"/>
        </w:rPr>
        <w:t xml:space="preserve"> (accessed 27 September 2016</w:t>
      </w:r>
      <w:r w:rsidRPr="00B07E71">
        <w:rPr>
          <w:rFonts w:ascii="Palatino Linotype" w:hAnsi="Palatino Linotype" w:cs="Arial"/>
        </w:rPr>
        <w:t xml:space="preserve">). See also Cambridge Dictionary online at: </w:t>
      </w:r>
      <w:hyperlink r:id="rId14" w:history="1">
        <w:r w:rsidRPr="00B07E71">
          <w:rPr>
            <w:rStyle w:val="Hyperlink"/>
            <w:rFonts w:ascii="Palatino Linotype" w:hAnsi="Palatino Linotype" w:cs="Arial"/>
          </w:rPr>
          <w:t>www.dictionary.cambridge.org/dictionary/english/digital-age</w:t>
        </w:r>
      </w:hyperlink>
      <w:r w:rsidR="00C62C55" w:rsidRPr="00B07E71">
        <w:rPr>
          <w:rFonts w:ascii="Palatino Linotype" w:hAnsi="Palatino Linotype" w:cs="Arial"/>
        </w:rPr>
        <w:t xml:space="preserve"> (accessed 27 September 2016</w:t>
      </w:r>
      <w:r w:rsidRPr="00B07E71">
        <w:rPr>
          <w:rFonts w:ascii="Palatino Linotype" w:hAnsi="Palatino Linotype" w:cs="Arial"/>
        </w:rPr>
        <w:t>).</w:t>
      </w:r>
    </w:p>
  </w:footnote>
  <w:footnote w:id="5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Rosenberg, ‘Confronting </w:t>
      </w:r>
      <w:proofErr w:type="spellStart"/>
      <w:r w:rsidRPr="00B07E71">
        <w:rPr>
          <w:rFonts w:ascii="Palatino Linotype" w:hAnsi="Palatino Linotype" w:cs="Arial"/>
        </w:rPr>
        <w:t>Cliches</w:t>
      </w:r>
      <w:proofErr w:type="spellEnd"/>
      <w:r w:rsidRPr="00B07E71">
        <w:rPr>
          <w:rFonts w:ascii="Palatino Linotype" w:hAnsi="Palatino Linotype" w:cs="Arial"/>
        </w:rPr>
        <w:t xml:space="preserve"> in Online Instruction: Using a Hybrid Model to Teach Lawyering Skills’ (2008-2009) 12 </w:t>
      </w:r>
      <w:r w:rsidRPr="00B07E71">
        <w:rPr>
          <w:rFonts w:ascii="Palatino Linotype" w:hAnsi="Palatino Linotype" w:cs="Arial"/>
          <w:i/>
        </w:rPr>
        <w:t xml:space="preserve">SMU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 L Rev</w:t>
      </w:r>
      <w:r w:rsidRPr="00B07E71">
        <w:rPr>
          <w:rFonts w:ascii="Palatino Linotype" w:hAnsi="Palatino Linotype" w:cs="Arial"/>
        </w:rPr>
        <w:t xml:space="preserve"> 19 at 82.</w:t>
      </w:r>
    </w:p>
  </w:footnote>
  <w:footnote w:id="5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 xml:space="preserve">51 at 61-62; </w:t>
      </w:r>
      <w:r w:rsidRPr="00B07E71">
        <w:rPr>
          <w:rFonts w:ascii="Palatino Linotype" w:hAnsi="Palatino Linotype" w:cs="Arial"/>
          <w:i/>
        </w:rPr>
        <w:t>Evaluation of Evidence-Based Practices in Online Learning: A Meta-Analysis and Review of Online Learning Studies</w:t>
      </w:r>
      <w:r w:rsidRPr="00B07E71">
        <w:rPr>
          <w:rFonts w:ascii="Palatino Linotype" w:hAnsi="Palatino Linotype" w:cs="Arial"/>
        </w:rPr>
        <w:t xml:space="preserve"> (US Department of Education Office of Planning, Evaluation, and Policy Development Policy and Program Studies Service, September 2010) at xviii.</w:t>
      </w:r>
    </w:p>
  </w:footnote>
  <w:footnote w:id="5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 </w:t>
      </w:r>
      <w:proofErr w:type="spellStart"/>
      <w:r w:rsidRPr="00B07E71">
        <w:rPr>
          <w:rFonts w:ascii="Palatino Linotype" w:hAnsi="Palatino Linotype" w:cs="Arial"/>
        </w:rPr>
        <w:t>W</w:t>
      </w:r>
      <w:proofErr w:type="spellEnd"/>
      <w:r w:rsidRPr="00B07E71">
        <w:rPr>
          <w:rFonts w:ascii="Palatino Linotype" w:hAnsi="Palatino Linotype" w:cs="Arial"/>
        </w:rPr>
        <w:t xml:space="preserve"> </w:t>
      </w:r>
      <w:proofErr w:type="spellStart"/>
      <w:r w:rsidRPr="00B07E71">
        <w:rPr>
          <w:rFonts w:ascii="Palatino Linotype" w:hAnsi="Palatino Linotype" w:cs="Arial"/>
        </w:rPr>
        <w:t>Binford</w:t>
      </w:r>
      <w:proofErr w:type="spellEnd"/>
      <w:r w:rsidRPr="00B07E71">
        <w:rPr>
          <w:rFonts w:ascii="Palatino Linotype" w:hAnsi="Palatino Linotype" w:cs="Arial"/>
        </w:rPr>
        <w:t xml:space="preserve">, ‘Envisioning a Twenty-first Century Legal Education’ (2013) 43 </w:t>
      </w:r>
      <w:r w:rsidRPr="00B07E71">
        <w:rPr>
          <w:rFonts w:ascii="Palatino Linotype" w:hAnsi="Palatino Linotype" w:cs="Arial"/>
          <w:i/>
        </w:rPr>
        <w:t>Wash U J L &amp; Policy</w:t>
      </w:r>
      <w:r w:rsidRPr="00B07E71">
        <w:rPr>
          <w:rFonts w:ascii="Palatino Linotype" w:hAnsi="Palatino Linotype" w:cs="Arial"/>
        </w:rPr>
        <w:t xml:space="preserve"> 157 at 180.</w:t>
      </w:r>
    </w:p>
  </w:footnote>
  <w:footnote w:id="59">
    <w:p w:rsidR="003773E5" w:rsidRPr="00B07E71" w:rsidRDefault="003773E5" w:rsidP="007419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Whether Gutenberg invented movable type is questionable. As Briggs and Burke note: “In the early fifteenth century … the Koreans invented a form of movable type with what has been described by the French scholar Henri-Jean Martin as ‘an almost hallucinatory similarity to Gutenberg’s’”: A Briggs, P Burke, </w:t>
      </w:r>
      <w:r w:rsidRPr="00B07E71">
        <w:rPr>
          <w:rFonts w:ascii="Palatino Linotype" w:hAnsi="Palatino Linotype" w:cs="Arial"/>
          <w:i/>
        </w:rPr>
        <w:t>A Social History of the Media: From Gutenberg to the Internet</w:t>
      </w:r>
      <w:r w:rsidRPr="00B07E71">
        <w:rPr>
          <w:rFonts w:ascii="Palatino Linotype" w:hAnsi="Palatino Linotype" w:cs="Arial"/>
        </w:rPr>
        <w:t>, (Polity Press, 2002) at 15.</w:t>
      </w:r>
    </w:p>
  </w:footnote>
  <w:footnote w:id="60">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 McLuhan, </w:t>
      </w:r>
      <w:r w:rsidRPr="00B07E71">
        <w:rPr>
          <w:rFonts w:ascii="Palatino Linotype" w:hAnsi="Palatino Linotype" w:cs="Arial"/>
          <w:i/>
        </w:rPr>
        <w:t xml:space="preserve">The Guttenberg Galaxy </w:t>
      </w:r>
      <w:r w:rsidRPr="00B07E71">
        <w:rPr>
          <w:rFonts w:ascii="Palatino Linotype" w:hAnsi="Palatino Linotype" w:cs="Arial"/>
        </w:rPr>
        <w:t xml:space="preserve">(10th </w:t>
      </w:r>
      <w:proofErr w:type="spellStart"/>
      <w:r w:rsidRPr="00B07E71">
        <w:rPr>
          <w:rFonts w:ascii="Palatino Linotype" w:hAnsi="Palatino Linotype" w:cs="Arial"/>
        </w:rPr>
        <w:t>ed</w:t>
      </w:r>
      <w:proofErr w:type="spellEnd"/>
      <w:r w:rsidRPr="00B07E71">
        <w:rPr>
          <w:rFonts w:ascii="Palatino Linotype" w:hAnsi="Palatino Linotype" w:cs="Arial"/>
        </w:rPr>
        <w:t xml:space="preserve">, 2010, University of Toronto Press) at 129. </w:t>
      </w:r>
    </w:p>
  </w:footnote>
  <w:footnote w:id="6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 Briggs, P Burke, </w:t>
      </w:r>
      <w:r w:rsidRPr="00B07E71">
        <w:rPr>
          <w:rFonts w:ascii="Palatino Linotype" w:hAnsi="Palatino Linotype" w:cs="Arial"/>
          <w:i/>
        </w:rPr>
        <w:t>A Social History of the Media: From Gutenberg to the Internet</w:t>
      </w:r>
      <w:r w:rsidRPr="00B07E71">
        <w:rPr>
          <w:rFonts w:ascii="Palatino Linotype" w:hAnsi="Palatino Linotype" w:cs="Arial"/>
        </w:rPr>
        <w:t>, (Polity Press, 2002) at 17.</w:t>
      </w:r>
    </w:p>
  </w:footnote>
  <w:footnote w:id="6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 Briggs, P Burke, </w:t>
      </w:r>
      <w:r w:rsidRPr="00B07E71">
        <w:rPr>
          <w:rFonts w:ascii="Palatino Linotype" w:hAnsi="Palatino Linotype" w:cs="Arial"/>
          <w:i/>
        </w:rPr>
        <w:t>A Social History of the Media: From Gutenberg to the Internet</w:t>
      </w:r>
      <w:r w:rsidRPr="00B07E71">
        <w:rPr>
          <w:rFonts w:ascii="Palatino Linotype" w:hAnsi="Palatino Linotype" w:cs="Arial"/>
        </w:rPr>
        <w:t>, (Polity Press, 2002) at 17-18.</w:t>
      </w:r>
    </w:p>
  </w:footnote>
  <w:footnote w:id="6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Briggs and Burke noted that adaption of the new print medium was gradual, and posited whether “a revolution which is not rapid can be regarded as a revolution at all”: A Briggs, P Burke, </w:t>
      </w:r>
      <w:r w:rsidRPr="00B07E71">
        <w:rPr>
          <w:rFonts w:ascii="Palatino Linotype" w:hAnsi="Palatino Linotype" w:cs="Arial"/>
          <w:i/>
        </w:rPr>
        <w:t>A Social History of the Media: From Gutenberg to the Internet</w:t>
      </w:r>
      <w:r w:rsidRPr="00B07E71">
        <w:rPr>
          <w:rFonts w:ascii="Palatino Linotype" w:hAnsi="Palatino Linotype" w:cs="Arial"/>
        </w:rPr>
        <w:t>, (Polity Press, 2002) at 22.</w:t>
      </w:r>
    </w:p>
  </w:footnote>
  <w:footnote w:id="6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Flood opines that technology will have a profound </w:t>
      </w:r>
      <w:proofErr w:type="gramStart"/>
      <w:r w:rsidRPr="00B07E71">
        <w:rPr>
          <w:rFonts w:ascii="Palatino Linotype" w:hAnsi="Palatino Linotype" w:cs="Arial"/>
        </w:rPr>
        <w:t>effect  on</w:t>
      </w:r>
      <w:proofErr w:type="gramEnd"/>
      <w:r w:rsidRPr="00B07E71">
        <w:rPr>
          <w:rFonts w:ascii="Palatino Linotype" w:hAnsi="Palatino Linotype" w:cs="Arial"/>
        </w:rPr>
        <w:t xml:space="preserve"> legal education, but goes on to note that “it has not occurred yet”: J Flood, ‘Global Challenges for Legal Education: Competing for the World’s Law Students’ (2015) 24 </w:t>
      </w:r>
      <w:r w:rsidRPr="00B07E71">
        <w:rPr>
          <w:rFonts w:ascii="Palatino Linotype" w:hAnsi="Palatino Linotype" w:cs="Arial"/>
          <w:i/>
        </w:rPr>
        <w:t>Nottingham L J</w:t>
      </w:r>
      <w:r w:rsidRPr="00B07E71">
        <w:rPr>
          <w:rFonts w:ascii="Palatino Linotype" w:hAnsi="Palatino Linotype" w:cs="Arial"/>
        </w:rPr>
        <w:t xml:space="preserve"> 79 at 87.</w:t>
      </w:r>
    </w:p>
  </w:footnote>
  <w:footnote w:id="65">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00474304" w:rsidRPr="00B07E71">
        <w:rPr>
          <w:rFonts w:ascii="Palatino Linotype" w:hAnsi="Palatino Linotype" w:cs="Arial"/>
        </w:rPr>
        <w:t>While the printing press</w:t>
      </w:r>
      <w:r w:rsidRPr="00B07E71">
        <w:rPr>
          <w:rFonts w:ascii="Palatino Linotype" w:hAnsi="Palatino Linotype" w:cs="Arial"/>
        </w:rPr>
        <w:t xml:space="preserve"> was embraced by Europeans, the Orthodox Christian and Muslim worlds resisted the new technology: A Briggs, P Burke, </w:t>
      </w:r>
      <w:r w:rsidRPr="00B07E71">
        <w:rPr>
          <w:rFonts w:ascii="Palatino Linotype" w:hAnsi="Palatino Linotype" w:cs="Arial"/>
          <w:i/>
        </w:rPr>
        <w:t>A Social History of the Media: From Gutenberg to the Internet</w:t>
      </w:r>
      <w:r w:rsidRPr="00B07E71">
        <w:rPr>
          <w:rFonts w:ascii="Palatino Linotype" w:hAnsi="Palatino Linotype" w:cs="Arial"/>
        </w:rPr>
        <w:t>, (Polity Press, 2002) at 16-17.</w:t>
      </w:r>
    </w:p>
  </w:footnote>
  <w:footnote w:id="6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proofErr w:type="gramStart"/>
      <w:r w:rsidRPr="00B07E71">
        <w:rPr>
          <w:rFonts w:ascii="Palatino Linotype" w:hAnsi="Palatino Linotype" w:cs="Arial"/>
        </w:rPr>
        <w:t>Generally</w:t>
      </w:r>
      <w:proofErr w:type="gramEnd"/>
      <w:r w:rsidRPr="00B07E71">
        <w:rPr>
          <w:rFonts w:ascii="Palatino Linotype" w:hAnsi="Palatino Linotype" w:cs="Arial"/>
        </w:rPr>
        <w:t xml:space="preserve"> see </w:t>
      </w:r>
      <w:r w:rsidR="00C62C55" w:rsidRPr="00B07E71">
        <w:rPr>
          <w:rFonts w:ascii="Palatino Linotype" w:hAnsi="Palatino Linotype" w:cs="Arial"/>
        </w:rPr>
        <w:t xml:space="preserve">http://www.americanbar.org/groups/legal_education/resources/distance_education.html </w:t>
      </w:r>
      <w:r w:rsidRPr="00B07E71">
        <w:rPr>
          <w:rFonts w:ascii="Palatino Linotype" w:hAnsi="Palatino Linotype" w:cs="Arial"/>
        </w:rPr>
        <w:t xml:space="preserve">(accessed </w:t>
      </w:r>
      <w:r w:rsidR="00C62C55" w:rsidRPr="00B07E71">
        <w:rPr>
          <w:rFonts w:ascii="Palatino Linotype" w:hAnsi="Palatino Linotype" w:cs="Arial"/>
        </w:rPr>
        <w:t>27 September</w:t>
      </w:r>
      <w:r w:rsidRPr="00B07E71">
        <w:rPr>
          <w:rFonts w:ascii="Palatino Linotype" w:hAnsi="Palatino Linotype" w:cs="Arial"/>
        </w:rPr>
        <w:t xml:space="preserve"> 2016).</w:t>
      </w:r>
    </w:p>
  </w:footnote>
  <w:footnote w:id="6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hyperlink r:id="rId15" w:history="1">
        <w:r w:rsidRPr="00B07E71">
          <w:rPr>
            <w:rStyle w:val="Hyperlink"/>
            <w:rFonts w:ascii="Palatino Linotype" w:hAnsi="Palatino Linotype" w:cs="Arial"/>
          </w:rPr>
          <w:t>www.americanbar.org/groups/legal_education/resources/distance_education.html</w:t>
        </w:r>
      </w:hyperlink>
      <w:r w:rsidR="00487588" w:rsidRPr="00B07E71">
        <w:rPr>
          <w:rFonts w:ascii="Palatino Linotype" w:hAnsi="Palatino Linotype" w:cs="Arial"/>
        </w:rPr>
        <w:t xml:space="preserve"> (accessed 27 September 2016</w:t>
      </w:r>
      <w:r w:rsidRPr="00B07E71">
        <w:rPr>
          <w:rFonts w:ascii="Palatino Linotype" w:hAnsi="Palatino Linotype" w:cs="Arial"/>
        </w:rPr>
        <w:t>).</w:t>
      </w:r>
    </w:p>
  </w:footnote>
  <w:footnote w:id="6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 Bennett, ‘Distance Learning in Law’ (2014) 38 </w:t>
      </w:r>
      <w:r w:rsidRPr="00B07E71">
        <w:rPr>
          <w:rFonts w:ascii="Palatino Linotype" w:hAnsi="Palatino Linotype" w:cs="Arial"/>
          <w:i/>
        </w:rPr>
        <w:t xml:space="preserve">Seaton Hall </w:t>
      </w:r>
      <w:proofErr w:type="spellStart"/>
      <w:r w:rsidRPr="00B07E71">
        <w:rPr>
          <w:rFonts w:ascii="Palatino Linotype" w:hAnsi="Palatino Linotype" w:cs="Arial"/>
          <w:i/>
        </w:rPr>
        <w:t>Legis</w:t>
      </w:r>
      <w:proofErr w:type="spellEnd"/>
      <w:r w:rsidRPr="00B07E71">
        <w:rPr>
          <w:rFonts w:ascii="Palatino Linotype" w:hAnsi="Palatino Linotype" w:cs="Arial"/>
          <w:i/>
        </w:rPr>
        <w:t xml:space="preserve"> J</w:t>
      </w:r>
      <w:r w:rsidRPr="00B07E71">
        <w:rPr>
          <w:rFonts w:ascii="Palatino Linotype" w:hAnsi="Palatino Linotype" w:cs="Arial"/>
        </w:rPr>
        <w:t xml:space="preserve"> 1 at 3.</w:t>
      </w:r>
    </w:p>
  </w:footnote>
  <w:footnote w:id="6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52, quoting from R </w:t>
      </w:r>
      <w:proofErr w:type="spellStart"/>
      <w:r w:rsidRPr="00B07E71">
        <w:rPr>
          <w:rFonts w:ascii="Palatino Linotype" w:hAnsi="Palatino Linotype" w:cs="Arial"/>
        </w:rPr>
        <w:t>Uphoff</w:t>
      </w:r>
      <w:proofErr w:type="spellEnd"/>
      <w:r w:rsidRPr="00B07E71">
        <w:rPr>
          <w:rFonts w:ascii="Palatino Linotype" w:hAnsi="Palatino Linotype" w:cs="Arial"/>
        </w:rPr>
        <w:t xml:space="preserve">, J Clark, E </w:t>
      </w:r>
      <w:proofErr w:type="spellStart"/>
      <w:r w:rsidRPr="00B07E71">
        <w:rPr>
          <w:rFonts w:ascii="Palatino Linotype" w:hAnsi="Palatino Linotype" w:cs="Arial"/>
        </w:rPr>
        <w:t>Monhan</w:t>
      </w:r>
      <w:proofErr w:type="spellEnd"/>
      <w:r w:rsidRPr="00B07E71">
        <w:rPr>
          <w:rFonts w:ascii="Palatino Linotype" w:hAnsi="Palatino Linotype" w:cs="Arial"/>
        </w:rPr>
        <w:t xml:space="preserve">, ‘Preparing the New Law Graduate to Practice Law: A View </w:t>
      </w:r>
      <w:proofErr w:type="gramStart"/>
      <w:r w:rsidRPr="00B07E71">
        <w:rPr>
          <w:rFonts w:ascii="Palatino Linotype" w:hAnsi="Palatino Linotype" w:cs="Arial"/>
        </w:rPr>
        <w:t>From</w:t>
      </w:r>
      <w:proofErr w:type="gramEnd"/>
      <w:r w:rsidRPr="00B07E71">
        <w:rPr>
          <w:rFonts w:ascii="Palatino Linotype" w:hAnsi="Palatino Linotype" w:cs="Arial"/>
        </w:rPr>
        <w:t xml:space="preserve"> the Trenches’ (1997) 65 </w:t>
      </w:r>
      <w:r w:rsidRPr="00B07E71">
        <w:rPr>
          <w:rFonts w:ascii="Palatino Linotype" w:hAnsi="Palatino Linotype" w:cs="Arial"/>
          <w:i/>
        </w:rPr>
        <w:t xml:space="preserve">U </w:t>
      </w:r>
      <w:proofErr w:type="spellStart"/>
      <w:r w:rsidRPr="00B07E71">
        <w:rPr>
          <w:rFonts w:ascii="Palatino Linotype" w:hAnsi="Palatino Linotype" w:cs="Arial"/>
          <w:i/>
        </w:rPr>
        <w:t>Cin</w:t>
      </w:r>
      <w:proofErr w:type="spellEnd"/>
      <w:r w:rsidRPr="00B07E71">
        <w:rPr>
          <w:rFonts w:ascii="Palatino Linotype" w:hAnsi="Palatino Linotype" w:cs="Arial"/>
          <w:i/>
        </w:rPr>
        <w:t xml:space="preserve"> L Rev</w:t>
      </w:r>
      <w:r w:rsidRPr="00B07E71">
        <w:rPr>
          <w:rFonts w:ascii="Palatino Linotype" w:hAnsi="Palatino Linotype" w:cs="Arial"/>
        </w:rPr>
        <w:t xml:space="preserve"> 381 at 421.</w:t>
      </w:r>
    </w:p>
  </w:footnote>
  <w:footnote w:id="7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00487588" w:rsidRPr="00B07E71">
        <w:rPr>
          <w:rFonts w:ascii="Palatino Linotype" w:hAnsi="Palatino Linotype" w:cs="Arial"/>
        </w:rPr>
        <w:t xml:space="preserve"> </w:t>
      </w:r>
      <w:proofErr w:type="gramStart"/>
      <w:r w:rsidR="00487588" w:rsidRPr="00B07E71">
        <w:rPr>
          <w:rFonts w:ascii="Palatino Linotype" w:hAnsi="Palatino Linotype" w:cs="Arial"/>
        </w:rPr>
        <w:t>Generally</w:t>
      </w:r>
      <w:proofErr w:type="gramEnd"/>
      <w:r w:rsidR="00487588" w:rsidRPr="00B07E71">
        <w:rPr>
          <w:rFonts w:ascii="Palatino Linotype" w:hAnsi="Palatino Linotype" w:cs="Arial"/>
        </w:rPr>
        <w:t xml:space="preserve"> see www</w:t>
      </w:r>
      <w:r w:rsidRPr="00B07E71">
        <w:rPr>
          <w:rFonts w:ascii="Palatino Linotype" w:hAnsi="Palatino Linotype" w:cs="Arial"/>
        </w:rPr>
        <w:t>.lawcouncil.asn.</w:t>
      </w:r>
      <w:r w:rsidR="00487588" w:rsidRPr="00B07E71">
        <w:rPr>
          <w:rFonts w:ascii="Palatino Linotype" w:hAnsi="Palatino Linotype" w:cs="Arial"/>
        </w:rPr>
        <w:t>au/LACC (accessed 27 September 2016</w:t>
      </w:r>
      <w:r w:rsidRPr="00B07E71">
        <w:rPr>
          <w:rFonts w:ascii="Palatino Linotype" w:hAnsi="Palatino Linotype" w:cs="Arial"/>
        </w:rPr>
        <w:t xml:space="preserve">). </w:t>
      </w:r>
    </w:p>
  </w:footnote>
  <w:footnote w:id="7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As at the end of 2015, an LLB or JD could be obtained fully online at 7 Australian universities: Charles Darwin University, University of New England, Southern Cross University, University of Southern Queensland, Central Queensland University, Edith Cowan University, RMIT (through Open Universities Australia).</w:t>
      </w:r>
    </w:p>
  </w:footnote>
  <w:footnote w:id="7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D </w:t>
      </w:r>
      <w:proofErr w:type="spellStart"/>
      <w:r w:rsidRPr="00B07E71">
        <w:rPr>
          <w:rFonts w:ascii="Palatino Linotype" w:hAnsi="Palatino Linotype" w:cs="Arial"/>
        </w:rPr>
        <w:t>Weisbrot</w:t>
      </w:r>
      <w:proofErr w:type="spellEnd"/>
      <w:r w:rsidRPr="00B07E71">
        <w:rPr>
          <w:rFonts w:ascii="Palatino Linotype" w:hAnsi="Palatino Linotype" w:cs="Arial"/>
        </w:rPr>
        <w:t xml:space="preserve">, </w:t>
      </w:r>
      <w:r w:rsidRPr="00B07E71">
        <w:rPr>
          <w:rFonts w:ascii="Palatino Linotype" w:hAnsi="Palatino Linotype" w:cs="Arial"/>
          <w:i/>
        </w:rPr>
        <w:t>So You Want to be a Lawyer</w:t>
      </w:r>
      <w:r w:rsidRPr="00B07E71">
        <w:rPr>
          <w:rFonts w:ascii="Palatino Linotype" w:hAnsi="Palatino Linotype" w:cs="Arial"/>
        </w:rPr>
        <w:t xml:space="preserve"> (Acer Press, 2013) at 49.</w:t>
      </w:r>
    </w:p>
  </w:footnote>
  <w:footnote w:id="73">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discussion of the Zoom Web Conferencing Service see: https://zoom.us.</w:t>
      </w:r>
    </w:p>
  </w:footnote>
  <w:footnote w:id="7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51 at 61.</w:t>
      </w:r>
    </w:p>
  </w:footnote>
  <w:footnote w:id="7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proofErr w:type="gramStart"/>
      <w:r w:rsidRPr="00B07E71">
        <w:rPr>
          <w:rFonts w:ascii="Palatino Linotype" w:hAnsi="Palatino Linotype" w:cs="Arial"/>
        </w:rPr>
        <w:t>Generally</w:t>
      </w:r>
      <w:proofErr w:type="gramEnd"/>
      <w:r w:rsidRPr="00B07E71">
        <w:rPr>
          <w:rFonts w:ascii="Palatino Linotype" w:hAnsi="Palatino Linotype" w:cs="Arial"/>
        </w:rPr>
        <w:t xml:space="preserve"> see: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 xml:space="preserve">51 at 61-62; J Rosenberg, ‘Confronting </w:t>
      </w:r>
      <w:proofErr w:type="spellStart"/>
      <w:r w:rsidRPr="00B07E71">
        <w:rPr>
          <w:rFonts w:ascii="Palatino Linotype" w:hAnsi="Palatino Linotype" w:cs="Arial"/>
        </w:rPr>
        <w:t>Cliches</w:t>
      </w:r>
      <w:proofErr w:type="spellEnd"/>
      <w:r w:rsidRPr="00B07E71">
        <w:rPr>
          <w:rFonts w:ascii="Palatino Linotype" w:hAnsi="Palatino Linotype" w:cs="Arial"/>
        </w:rPr>
        <w:t xml:space="preserve"> in Online Instruction: Using a Hybrid Model to Teach Lawyering Skills’ (2008-2009) 12 </w:t>
      </w:r>
      <w:r w:rsidRPr="00B07E71">
        <w:rPr>
          <w:rFonts w:ascii="Palatino Linotype" w:hAnsi="Palatino Linotype" w:cs="Arial"/>
          <w:i/>
        </w:rPr>
        <w:t xml:space="preserve">SMU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 L Rev</w:t>
      </w:r>
      <w:r w:rsidRPr="00B07E71">
        <w:rPr>
          <w:rFonts w:ascii="Palatino Linotype" w:hAnsi="Palatino Linotype" w:cs="Arial"/>
        </w:rPr>
        <w:t xml:space="preserve"> 19 at 19-21.</w:t>
      </w:r>
    </w:p>
  </w:footnote>
  <w:footnote w:id="7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example, see J Flood, ‘Global Challenges for Legal Education: Competing for the World’s Law Students’ (2015) 24 </w:t>
      </w:r>
      <w:r w:rsidRPr="00B07E71">
        <w:rPr>
          <w:rFonts w:ascii="Palatino Linotype" w:hAnsi="Palatino Linotype" w:cs="Arial"/>
          <w:i/>
        </w:rPr>
        <w:t>Nottingham L J</w:t>
      </w:r>
      <w:r w:rsidRPr="00B07E71">
        <w:rPr>
          <w:rFonts w:ascii="Palatino Linotype" w:hAnsi="Palatino Linotype" w:cs="Arial"/>
        </w:rPr>
        <w:t xml:space="preserve"> 79 at 86.</w:t>
      </w:r>
    </w:p>
  </w:footnote>
  <w:footnote w:id="7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While everyone’s ‘campus experience’ is different, this includes such things as discussion on academic subjects both in and outside of class, involvement in law school and campus activities such as clubs and sporting events, and, through face-to-face interaction making new, and sometimes life-long, friends.</w:t>
      </w:r>
    </w:p>
  </w:footnote>
  <w:footnote w:id="7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Rosenberg, ‘Confronting </w:t>
      </w:r>
      <w:proofErr w:type="spellStart"/>
      <w:r w:rsidRPr="00B07E71">
        <w:rPr>
          <w:rFonts w:ascii="Palatino Linotype" w:hAnsi="Palatino Linotype" w:cs="Arial"/>
        </w:rPr>
        <w:t>Cliches</w:t>
      </w:r>
      <w:proofErr w:type="spellEnd"/>
      <w:r w:rsidRPr="00B07E71">
        <w:rPr>
          <w:rFonts w:ascii="Palatino Linotype" w:hAnsi="Palatino Linotype" w:cs="Arial"/>
        </w:rPr>
        <w:t xml:space="preserve"> in Online Instruction: Using a Hybrid Model to Teach Lawyering Skills’ (2008-2009) 12 </w:t>
      </w:r>
      <w:r w:rsidRPr="00B07E71">
        <w:rPr>
          <w:rFonts w:ascii="Palatino Linotype" w:hAnsi="Palatino Linotype" w:cs="Arial"/>
          <w:i/>
        </w:rPr>
        <w:t xml:space="preserve">SMU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 L Rev</w:t>
      </w:r>
      <w:r w:rsidRPr="00B07E71">
        <w:rPr>
          <w:rFonts w:ascii="Palatino Linotype" w:hAnsi="Palatino Linotype" w:cs="Arial"/>
        </w:rPr>
        <w:t xml:space="preserve"> 19 at 20.</w:t>
      </w:r>
    </w:p>
  </w:footnote>
  <w:footnote w:id="7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Rosenberg, ‘Confronting </w:t>
      </w:r>
      <w:proofErr w:type="spellStart"/>
      <w:r w:rsidRPr="00B07E71">
        <w:rPr>
          <w:rFonts w:ascii="Palatino Linotype" w:hAnsi="Palatino Linotype" w:cs="Arial"/>
        </w:rPr>
        <w:t>Cliches</w:t>
      </w:r>
      <w:proofErr w:type="spellEnd"/>
      <w:r w:rsidRPr="00B07E71">
        <w:rPr>
          <w:rFonts w:ascii="Palatino Linotype" w:hAnsi="Palatino Linotype" w:cs="Arial"/>
        </w:rPr>
        <w:t xml:space="preserve"> in Online Instruction: Using a Hybrid Model to Teach Lawyering Skills’ (2008-2009) 12 </w:t>
      </w:r>
      <w:r w:rsidRPr="00B07E71">
        <w:rPr>
          <w:rFonts w:ascii="Palatino Linotype" w:hAnsi="Palatino Linotype" w:cs="Arial"/>
          <w:i/>
        </w:rPr>
        <w:t xml:space="preserve">SMU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 L Rev</w:t>
      </w:r>
      <w:r w:rsidRPr="00B07E71">
        <w:rPr>
          <w:rFonts w:ascii="Palatino Linotype" w:hAnsi="Palatino Linotype" w:cs="Arial"/>
        </w:rPr>
        <w:t xml:space="preserve"> 19 at 20.</w:t>
      </w:r>
    </w:p>
  </w:footnote>
  <w:footnote w:id="8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In this we agree with </w:t>
      </w:r>
      <w:proofErr w:type="spellStart"/>
      <w:r w:rsidRPr="00B07E71">
        <w:rPr>
          <w:rFonts w:ascii="Palatino Linotype" w:hAnsi="Palatino Linotype" w:cs="Arial"/>
        </w:rPr>
        <w:t>Binford</w:t>
      </w:r>
      <w:proofErr w:type="spellEnd"/>
      <w:r w:rsidRPr="00B07E71">
        <w:rPr>
          <w:rFonts w:ascii="Palatino Linotype" w:hAnsi="Palatino Linotype" w:cs="Arial"/>
        </w:rPr>
        <w:t xml:space="preserve"> who noted that “the emerging omnipresence of digital technologies in legal education is inescapable”: W </w:t>
      </w:r>
      <w:proofErr w:type="spellStart"/>
      <w:r w:rsidRPr="00B07E71">
        <w:rPr>
          <w:rFonts w:ascii="Palatino Linotype" w:hAnsi="Palatino Linotype" w:cs="Arial"/>
        </w:rPr>
        <w:t>W</w:t>
      </w:r>
      <w:proofErr w:type="spellEnd"/>
      <w:r w:rsidRPr="00B07E71">
        <w:rPr>
          <w:rFonts w:ascii="Palatino Linotype" w:hAnsi="Palatino Linotype" w:cs="Arial"/>
        </w:rPr>
        <w:t xml:space="preserve"> </w:t>
      </w:r>
      <w:proofErr w:type="spellStart"/>
      <w:r w:rsidRPr="00B07E71">
        <w:rPr>
          <w:rFonts w:ascii="Palatino Linotype" w:hAnsi="Palatino Linotype" w:cs="Arial"/>
        </w:rPr>
        <w:t>Binford</w:t>
      </w:r>
      <w:proofErr w:type="spellEnd"/>
      <w:r w:rsidRPr="00B07E71">
        <w:rPr>
          <w:rFonts w:ascii="Palatino Linotype" w:hAnsi="Palatino Linotype" w:cs="Arial"/>
        </w:rPr>
        <w:t xml:space="preserve">, ‘Envisioning a Twenty-first Century Legal Education’ (2013) 43 </w:t>
      </w:r>
      <w:r w:rsidRPr="00B07E71">
        <w:rPr>
          <w:rFonts w:ascii="Palatino Linotype" w:hAnsi="Palatino Linotype" w:cs="Arial"/>
          <w:i/>
        </w:rPr>
        <w:t>Wash U J L &amp; Policy</w:t>
      </w:r>
      <w:r w:rsidRPr="00B07E71">
        <w:rPr>
          <w:rFonts w:ascii="Palatino Linotype" w:hAnsi="Palatino Linotype" w:cs="Arial"/>
        </w:rPr>
        <w:t xml:space="preserve"> 157 at 158. See also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51 at 63.</w:t>
      </w:r>
    </w:p>
  </w:footnote>
  <w:footnote w:id="8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P </w:t>
      </w:r>
      <w:proofErr w:type="spellStart"/>
      <w:r w:rsidRPr="00B07E71">
        <w:rPr>
          <w:rFonts w:ascii="Palatino Linotype" w:hAnsi="Palatino Linotype" w:cs="Arial"/>
        </w:rPr>
        <w:t>Maharg</w:t>
      </w:r>
      <w:proofErr w:type="spellEnd"/>
      <w:r w:rsidRPr="00B07E71">
        <w:rPr>
          <w:rFonts w:ascii="Palatino Linotype" w:hAnsi="Palatino Linotype" w:cs="Arial"/>
        </w:rPr>
        <w:t xml:space="preserve">, A </w:t>
      </w:r>
      <w:proofErr w:type="spellStart"/>
      <w:r w:rsidRPr="00B07E71">
        <w:rPr>
          <w:rFonts w:ascii="Palatino Linotype" w:hAnsi="Palatino Linotype" w:cs="Arial"/>
        </w:rPr>
        <w:t>Muntjewerff</w:t>
      </w:r>
      <w:proofErr w:type="spellEnd"/>
      <w:r w:rsidRPr="00B07E71">
        <w:rPr>
          <w:rFonts w:ascii="Palatino Linotype" w:hAnsi="Palatino Linotype" w:cs="Arial"/>
        </w:rPr>
        <w:t>, ‘Through a Screen Darkly: Electronic Legal Education in Europe’ Europe’ (2002) 36 </w:t>
      </w:r>
      <w:r w:rsidRPr="00B07E71">
        <w:rPr>
          <w:rFonts w:ascii="Palatino Linotype" w:hAnsi="Palatino Linotype" w:cs="Arial"/>
          <w:i/>
        </w:rPr>
        <w:t>Law Teacher</w:t>
      </w:r>
      <w:r w:rsidRPr="00B07E71">
        <w:rPr>
          <w:rFonts w:ascii="Palatino Linotype" w:hAnsi="Palatino Linotype" w:cs="Arial"/>
        </w:rPr>
        <w:t xml:space="preserve"> 307 at 311.</w:t>
      </w:r>
    </w:p>
  </w:footnote>
  <w:footnote w:id="8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P </w:t>
      </w:r>
      <w:proofErr w:type="spellStart"/>
      <w:r w:rsidRPr="00B07E71">
        <w:rPr>
          <w:rFonts w:ascii="Palatino Linotype" w:hAnsi="Palatino Linotype" w:cs="Arial"/>
        </w:rPr>
        <w:t>Maharg</w:t>
      </w:r>
      <w:proofErr w:type="spellEnd"/>
      <w:r w:rsidRPr="00B07E71">
        <w:rPr>
          <w:rFonts w:ascii="Palatino Linotype" w:hAnsi="Palatino Linotype" w:cs="Arial"/>
        </w:rPr>
        <w:t xml:space="preserve">, A </w:t>
      </w:r>
      <w:proofErr w:type="spellStart"/>
      <w:r w:rsidRPr="00B07E71">
        <w:rPr>
          <w:rFonts w:ascii="Palatino Linotype" w:hAnsi="Palatino Linotype" w:cs="Arial"/>
        </w:rPr>
        <w:t>Muntjewerff</w:t>
      </w:r>
      <w:proofErr w:type="spellEnd"/>
      <w:r w:rsidRPr="00B07E71">
        <w:rPr>
          <w:rFonts w:ascii="Palatino Linotype" w:hAnsi="Palatino Linotype" w:cs="Arial"/>
        </w:rPr>
        <w:t>, ‘Through a Screen Darkly: Electronic Legal Education in Europe’ Europe’ (2002) 36 </w:t>
      </w:r>
      <w:r w:rsidRPr="00B07E71">
        <w:rPr>
          <w:rFonts w:ascii="Palatino Linotype" w:hAnsi="Palatino Linotype" w:cs="Arial"/>
          <w:i/>
        </w:rPr>
        <w:t>Law Teacher</w:t>
      </w:r>
      <w:r w:rsidRPr="00B07E71">
        <w:rPr>
          <w:rFonts w:ascii="Palatino Linotype" w:hAnsi="Palatino Linotype" w:cs="Arial"/>
        </w:rPr>
        <w:t xml:space="preserve"> 307 at 311.</w:t>
      </w:r>
    </w:p>
  </w:footnote>
  <w:footnote w:id="8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P </w:t>
      </w:r>
      <w:proofErr w:type="spellStart"/>
      <w:r w:rsidRPr="00B07E71">
        <w:rPr>
          <w:rFonts w:ascii="Palatino Linotype" w:hAnsi="Palatino Linotype" w:cs="Arial"/>
        </w:rPr>
        <w:t>Maharg</w:t>
      </w:r>
      <w:proofErr w:type="spellEnd"/>
      <w:r w:rsidRPr="00B07E71">
        <w:rPr>
          <w:rFonts w:ascii="Palatino Linotype" w:hAnsi="Palatino Linotype" w:cs="Arial"/>
        </w:rPr>
        <w:t xml:space="preserve">, A </w:t>
      </w:r>
      <w:proofErr w:type="spellStart"/>
      <w:r w:rsidRPr="00B07E71">
        <w:rPr>
          <w:rFonts w:ascii="Palatino Linotype" w:hAnsi="Palatino Linotype" w:cs="Arial"/>
        </w:rPr>
        <w:t>Muntjewerff</w:t>
      </w:r>
      <w:proofErr w:type="spellEnd"/>
      <w:r w:rsidRPr="00B07E71">
        <w:rPr>
          <w:rFonts w:ascii="Palatino Linotype" w:hAnsi="Palatino Linotype" w:cs="Arial"/>
        </w:rPr>
        <w:t>, ‘Through a Screen Darkly: Electronic Legal Education in Europe’ Europe’ (2002) 36 </w:t>
      </w:r>
      <w:r w:rsidRPr="00B07E71">
        <w:rPr>
          <w:rFonts w:ascii="Palatino Linotype" w:hAnsi="Palatino Linotype" w:cs="Arial"/>
          <w:i/>
        </w:rPr>
        <w:t>Law Teacher</w:t>
      </w:r>
      <w:r w:rsidRPr="00B07E71">
        <w:rPr>
          <w:rFonts w:ascii="Palatino Linotype" w:hAnsi="Palatino Linotype" w:cs="Arial"/>
        </w:rPr>
        <w:t xml:space="preserve"> 307 at 311.</w:t>
      </w:r>
    </w:p>
  </w:footnote>
  <w:footnote w:id="84">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Pr="00B07E71">
        <w:rPr>
          <w:rFonts w:ascii="Palatino Linotype" w:hAnsi="Palatino Linotype" w:cs="Arial"/>
          <w:i/>
        </w:rPr>
        <w:t>Evaluation of Evidence-Based Practices in Online Learning: A Meta-analysis and Review of Online Learning Studies</w:t>
      </w:r>
      <w:r w:rsidRPr="00B07E71">
        <w:rPr>
          <w:rFonts w:ascii="Palatino Linotype" w:hAnsi="Palatino Linotype" w:cs="Arial"/>
        </w:rPr>
        <w:t xml:space="preserve"> (US Department of Education Office of Planning, Evaluation, and Policy Development Policy and Program Studies Service, 2010) at 4-5.</w:t>
      </w:r>
    </w:p>
  </w:footnote>
  <w:footnote w:id="85">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Pr="00B07E71">
        <w:rPr>
          <w:rFonts w:ascii="Palatino Linotype" w:hAnsi="Palatino Linotype" w:cs="Arial"/>
          <w:i/>
        </w:rPr>
        <w:t>Evaluation of Evidence-Based Practices in Online Learning: A Meta-analysis and Review of Online Learning Studies</w:t>
      </w:r>
      <w:r w:rsidRPr="00B07E71">
        <w:rPr>
          <w:rFonts w:ascii="Palatino Linotype" w:hAnsi="Palatino Linotype" w:cs="Arial"/>
        </w:rPr>
        <w:t xml:space="preserve"> (US Department of Education Office of Planning, Evaluation, and Policy Development Policy and Program Studies Service, 2010) at 4-5.</w:t>
      </w:r>
    </w:p>
  </w:footnote>
  <w:footnote w:id="8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As Flood, writing in 2015, noted, “Law faculty have not fully embraced the varieties of e-learning available to them nor have they been trained in their use”: J Flood, ‘Global Challenges for Legal Education: Competing for the World’s Law Students’ (2015) 24 </w:t>
      </w:r>
      <w:r w:rsidRPr="00B07E71">
        <w:rPr>
          <w:rFonts w:ascii="Palatino Linotype" w:hAnsi="Palatino Linotype" w:cs="Arial"/>
          <w:i/>
        </w:rPr>
        <w:t>Nottingham L J</w:t>
      </w:r>
      <w:r w:rsidRPr="00B07E71">
        <w:rPr>
          <w:rFonts w:ascii="Palatino Linotype" w:hAnsi="Palatino Linotype" w:cs="Arial"/>
        </w:rPr>
        <w:t xml:space="preserve"> 79 at 86.</w:t>
      </w:r>
    </w:p>
  </w:footnote>
  <w:footnote w:id="8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‘School leaver’, as that term is used at CDU, means a commencing student whose highest educational attainment before commencement of their course enrolment was a completed final year of secondary education in the academic year or two years prior.</w:t>
      </w:r>
    </w:p>
  </w:footnote>
  <w:footnote w:id="8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Of the total of 855 students, 302 (41.29%) studied full-time and 502 (58.71%) studied part-time.</w:t>
      </w:r>
    </w:p>
  </w:footnote>
  <w:footnote w:id="8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In almost all Australian law schools, students can commence their law degree program immediately after completing their secondary education. The exception is Melbourne University Law School, which offers only a JD degree taught at a graduate level.</w:t>
      </w:r>
    </w:p>
  </w:footnote>
  <w:footnote w:id="9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P Collins, ‘Inclusive team assessment of off-campus and on-campus first year law students using instantaneous communication technology’ (2010) 44 </w:t>
      </w:r>
      <w:r w:rsidRPr="00B07E71">
        <w:rPr>
          <w:rFonts w:ascii="Palatino Linotype" w:hAnsi="Palatino Linotype" w:cs="Arial"/>
          <w:i/>
        </w:rPr>
        <w:t>Law Teacher</w:t>
      </w:r>
      <w:r w:rsidRPr="00B07E71">
        <w:rPr>
          <w:rFonts w:ascii="Palatino Linotype" w:hAnsi="Palatino Linotype" w:cs="Arial"/>
        </w:rPr>
        <w:t xml:space="preserve"> 309 at 312. </w:t>
      </w:r>
    </w:p>
  </w:footnote>
  <w:footnote w:id="9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 </w:t>
      </w:r>
      <w:proofErr w:type="spellStart"/>
      <w:r w:rsidRPr="00B07E71">
        <w:rPr>
          <w:rFonts w:ascii="Palatino Linotype" w:hAnsi="Palatino Linotype" w:cs="Arial"/>
        </w:rPr>
        <w:t>Cahak</w:t>
      </w:r>
      <w:proofErr w:type="spellEnd"/>
      <w:r w:rsidRPr="00B07E71">
        <w:rPr>
          <w:rFonts w:ascii="Palatino Linotype" w:hAnsi="Palatino Linotype" w:cs="Arial"/>
        </w:rPr>
        <w:t xml:space="preserve">, ‘Beyond Brick-and-Mortar: How (Cautiously) Embracing Internet Law Schools Can Help Bridge the Legal Access Gap’ [2012] </w:t>
      </w:r>
      <w:r w:rsidRPr="00B07E71">
        <w:rPr>
          <w:rFonts w:ascii="Palatino Linotype" w:hAnsi="Palatino Linotype" w:cs="Arial"/>
          <w:i/>
        </w:rPr>
        <w:t>U Ill J L Tech &amp; Policy</w:t>
      </w:r>
      <w:r w:rsidRPr="00B07E71">
        <w:rPr>
          <w:rFonts w:ascii="Palatino Linotype" w:hAnsi="Palatino Linotype" w:cs="Arial"/>
        </w:rPr>
        <w:t xml:space="preserve"> 495 at 502. As has been noted above, students in the United States cannot enrol in a law degree without a prior degree in another discipline, therefore, the age of law students is generally higher than in Australia.</w:t>
      </w:r>
    </w:p>
  </w:footnote>
  <w:footnote w:id="9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Rosenberg, ‘Confronting </w:t>
      </w:r>
      <w:proofErr w:type="spellStart"/>
      <w:r w:rsidRPr="00B07E71">
        <w:rPr>
          <w:rFonts w:ascii="Palatino Linotype" w:hAnsi="Palatino Linotype" w:cs="Arial"/>
        </w:rPr>
        <w:t>Cliches</w:t>
      </w:r>
      <w:proofErr w:type="spellEnd"/>
      <w:r w:rsidRPr="00B07E71">
        <w:rPr>
          <w:rFonts w:ascii="Palatino Linotype" w:hAnsi="Palatino Linotype" w:cs="Arial"/>
        </w:rPr>
        <w:t xml:space="preserve"> in Online Instruction: Using a Hybrid Model to Teach Lawyering Skills’ (2008-2009) 12 </w:t>
      </w:r>
      <w:r w:rsidRPr="00B07E71">
        <w:rPr>
          <w:rFonts w:ascii="Palatino Linotype" w:hAnsi="Palatino Linotype" w:cs="Arial"/>
          <w:i/>
        </w:rPr>
        <w:t xml:space="preserve">SMU </w:t>
      </w:r>
      <w:proofErr w:type="spellStart"/>
      <w:r w:rsidRPr="00B07E71">
        <w:rPr>
          <w:rFonts w:ascii="Palatino Linotype" w:hAnsi="Palatino Linotype" w:cs="Arial"/>
          <w:i/>
        </w:rPr>
        <w:t>Sci</w:t>
      </w:r>
      <w:proofErr w:type="spellEnd"/>
      <w:r w:rsidRPr="00B07E71">
        <w:rPr>
          <w:rFonts w:ascii="Palatino Linotype" w:hAnsi="Palatino Linotype" w:cs="Arial"/>
          <w:i/>
        </w:rPr>
        <w:t xml:space="preserve"> &amp; Tech L Rev</w:t>
      </w:r>
      <w:r w:rsidRPr="00B07E71">
        <w:rPr>
          <w:rFonts w:ascii="Palatino Linotype" w:hAnsi="Palatino Linotype" w:cs="Arial"/>
        </w:rPr>
        <w:t xml:space="preserve"> 19 at 82.</w:t>
      </w:r>
    </w:p>
  </w:footnote>
  <w:footnote w:id="93">
    <w:p w:rsidR="003773E5" w:rsidRPr="00B07E71" w:rsidRDefault="003773E5" w:rsidP="000623DD">
      <w:pPr>
        <w:spacing w:after="0"/>
        <w:rPr>
          <w:rFonts w:ascii="Palatino Linotype" w:hAnsi="Palatino Linotype" w:cs="Arial"/>
          <w:b/>
          <w:color w:val="000000"/>
          <w:sz w:val="20"/>
          <w:szCs w:val="20"/>
        </w:rPr>
      </w:pPr>
      <w:r w:rsidRPr="00B07E71">
        <w:rPr>
          <w:rStyle w:val="FootnoteReference"/>
          <w:rFonts w:ascii="Palatino Linotype" w:hAnsi="Palatino Linotype" w:cs="Arial"/>
          <w:sz w:val="20"/>
          <w:szCs w:val="20"/>
        </w:rPr>
        <w:footnoteRef/>
      </w:r>
      <w:r w:rsidRPr="00B07E71">
        <w:rPr>
          <w:rFonts w:ascii="Palatino Linotype" w:hAnsi="Palatino Linotype" w:cs="Arial"/>
          <w:sz w:val="20"/>
          <w:szCs w:val="20"/>
        </w:rPr>
        <w:t xml:space="preserve"> Not all would agree with that online education can be an isolating experience. For </w:t>
      </w:r>
      <w:proofErr w:type="gramStart"/>
      <w:r w:rsidRPr="00B07E71">
        <w:rPr>
          <w:rFonts w:ascii="Palatino Linotype" w:hAnsi="Palatino Linotype" w:cs="Arial"/>
          <w:sz w:val="20"/>
          <w:szCs w:val="20"/>
        </w:rPr>
        <w:t>example</w:t>
      </w:r>
      <w:proofErr w:type="gramEnd"/>
      <w:r w:rsidRPr="00B07E71">
        <w:rPr>
          <w:rFonts w:ascii="Palatino Linotype" w:hAnsi="Palatino Linotype" w:cs="Arial"/>
          <w:sz w:val="20"/>
          <w:szCs w:val="20"/>
        </w:rPr>
        <w:t xml:space="preserve"> see, </w:t>
      </w:r>
      <w:r w:rsidR="00474304" w:rsidRPr="00B07E71">
        <w:rPr>
          <w:rFonts w:ascii="Palatino Linotype" w:hAnsi="Palatino Linotype" w:cs="Arial"/>
          <w:color w:val="000000"/>
          <w:sz w:val="20"/>
          <w:szCs w:val="20"/>
        </w:rPr>
        <w:t>E </w:t>
      </w:r>
      <w:proofErr w:type="spellStart"/>
      <w:r w:rsidRPr="00B07E71">
        <w:rPr>
          <w:rFonts w:ascii="Palatino Linotype" w:hAnsi="Palatino Linotype" w:cs="Arial"/>
          <w:color w:val="000000"/>
          <w:sz w:val="20"/>
          <w:szCs w:val="20"/>
        </w:rPr>
        <w:t>Fredericksen</w:t>
      </w:r>
      <w:proofErr w:type="spellEnd"/>
      <w:r w:rsidRPr="00B07E71">
        <w:rPr>
          <w:rFonts w:ascii="Palatino Linotype" w:hAnsi="Palatino Linotype" w:cs="Arial"/>
          <w:color w:val="000000"/>
          <w:sz w:val="20"/>
          <w:szCs w:val="20"/>
        </w:rPr>
        <w:t>, ‘Is online education good or bad? And is this really the right question?’ (</w:t>
      </w:r>
      <w:r w:rsidRPr="00B07E71">
        <w:rPr>
          <w:rFonts w:ascii="Palatino Linotype" w:hAnsi="Palatino Linotype" w:cs="Arial"/>
          <w:i/>
          <w:color w:val="000000"/>
          <w:sz w:val="20"/>
          <w:szCs w:val="20"/>
        </w:rPr>
        <w:t>The Conversation</w:t>
      </w:r>
      <w:r w:rsidRPr="00B07E71">
        <w:rPr>
          <w:rFonts w:ascii="Palatino Linotype" w:hAnsi="Palatino Linotype" w:cs="Arial"/>
          <w:color w:val="000000"/>
          <w:sz w:val="20"/>
          <w:szCs w:val="20"/>
        </w:rPr>
        <w:t xml:space="preserve">, 4 February 2015): </w:t>
      </w:r>
      <w:hyperlink r:id="rId16" w:history="1">
        <w:r w:rsidR="00566003" w:rsidRPr="00B07E71">
          <w:rPr>
            <w:rStyle w:val="Hyperlink"/>
            <w:rFonts w:ascii="Palatino Linotype" w:hAnsi="Palatino Linotype" w:cs="Arial"/>
            <w:sz w:val="20"/>
            <w:szCs w:val="20"/>
          </w:rPr>
          <w:t>https://theconversation.com/is-online-education-good-or-bad-and-is-this-really-the-right-question-35949</w:t>
        </w:r>
      </w:hyperlink>
      <w:r w:rsidR="00566003" w:rsidRPr="00B07E71">
        <w:rPr>
          <w:rFonts w:ascii="Palatino Linotype" w:hAnsi="Palatino Linotype" w:cs="Arial"/>
          <w:color w:val="000000"/>
          <w:sz w:val="20"/>
          <w:szCs w:val="20"/>
        </w:rPr>
        <w:t xml:space="preserve"> (accessed 11 October 2016)</w:t>
      </w:r>
      <w:r w:rsidRPr="00B07E71">
        <w:rPr>
          <w:rFonts w:ascii="Palatino Linotype" w:hAnsi="Palatino Linotype" w:cs="Arial"/>
          <w:color w:val="000000"/>
          <w:sz w:val="20"/>
          <w:szCs w:val="20"/>
        </w:rPr>
        <w:t>.</w:t>
      </w:r>
    </w:p>
  </w:footnote>
  <w:footnote w:id="94">
    <w:p w:rsidR="003773E5" w:rsidRPr="00B07E71" w:rsidRDefault="003773E5" w:rsidP="000623DD">
      <w:pPr>
        <w:pStyle w:val="FootnoteText"/>
        <w:spacing w:line="276" w:lineRule="auto"/>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P Peters, ‘Gaining Compliance Through Non-Verbal Communication’ (2007) 7 </w:t>
      </w:r>
      <w:proofErr w:type="spellStart"/>
      <w:r w:rsidRPr="00B07E71">
        <w:rPr>
          <w:rFonts w:ascii="Palatino Linotype" w:hAnsi="Palatino Linotype" w:cs="Arial"/>
          <w:i/>
        </w:rPr>
        <w:t>Pepp</w:t>
      </w:r>
      <w:proofErr w:type="spellEnd"/>
      <w:r w:rsidRPr="00B07E71">
        <w:rPr>
          <w:rFonts w:ascii="Palatino Linotype" w:hAnsi="Palatino Linotype" w:cs="Arial"/>
          <w:i/>
        </w:rPr>
        <w:t xml:space="preserve"> </w:t>
      </w:r>
      <w:proofErr w:type="spellStart"/>
      <w:r w:rsidRPr="00B07E71">
        <w:rPr>
          <w:rFonts w:ascii="Palatino Linotype" w:hAnsi="Palatino Linotype" w:cs="Arial"/>
          <w:i/>
        </w:rPr>
        <w:t>Disp</w:t>
      </w:r>
      <w:proofErr w:type="spellEnd"/>
      <w:r w:rsidRPr="00B07E71">
        <w:rPr>
          <w:rFonts w:ascii="Palatino Linotype" w:hAnsi="Palatino Linotype" w:cs="Arial"/>
          <w:i/>
        </w:rPr>
        <w:t xml:space="preserve"> </w:t>
      </w:r>
      <w:proofErr w:type="spellStart"/>
      <w:r w:rsidRPr="00B07E71">
        <w:rPr>
          <w:rFonts w:ascii="Palatino Linotype" w:hAnsi="Palatino Linotype" w:cs="Arial"/>
          <w:i/>
        </w:rPr>
        <w:t>Resol</w:t>
      </w:r>
      <w:proofErr w:type="spellEnd"/>
      <w:r w:rsidRPr="00B07E71">
        <w:rPr>
          <w:rFonts w:ascii="Palatino Linotype" w:hAnsi="Palatino Linotype" w:cs="Arial"/>
          <w:i/>
        </w:rPr>
        <w:t xml:space="preserve"> L J </w:t>
      </w:r>
      <w:r w:rsidRPr="00B07E71">
        <w:rPr>
          <w:rFonts w:ascii="Palatino Linotype" w:hAnsi="Palatino Linotype" w:cs="Arial"/>
        </w:rPr>
        <w:t xml:space="preserve">87. Peters, relying on the studies cited in </w:t>
      </w:r>
      <w:proofErr w:type="spellStart"/>
      <w:r w:rsidRPr="00B07E71">
        <w:rPr>
          <w:rFonts w:ascii="Palatino Linotype" w:hAnsi="Palatino Linotype" w:cs="Arial"/>
        </w:rPr>
        <w:t>fn</w:t>
      </w:r>
      <w:proofErr w:type="spellEnd"/>
      <w:r w:rsidRPr="00B07E71">
        <w:rPr>
          <w:rFonts w:ascii="Palatino Linotype" w:hAnsi="Palatino Linotype" w:cs="Arial"/>
        </w:rPr>
        <w:t xml:space="preserve"> 1 of her article, maintains that such non-verbal communication constitutes 55% of our communication.</w:t>
      </w:r>
    </w:p>
  </w:footnote>
  <w:footnote w:id="9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an interesting discussion of real as compared to virtual spaces, see L Gibbons, ‘Law and the Emotive Avatar’ (2009) 11 </w:t>
      </w:r>
      <w:proofErr w:type="spellStart"/>
      <w:r w:rsidRPr="00B07E71">
        <w:rPr>
          <w:rFonts w:ascii="Palatino Linotype" w:hAnsi="Palatino Linotype" w:cs="Arial"/>
          <w:i/>
        </w:rPr>
        <w:t>Vand</w:t>
      </w:r>
      <w:proofErr w:type="spellEnd"/>
      <w:r w:rsidRPr="00B07E71">
        <w:rPr>
          <w:rFonts w:ascii="Palatino Linotype" w:hAnsi="Palatino Linotype" w:cs="Arial"/>
          <w:i/>
        </w:rPr>
        <w:t xml:space="preserve"> J Ent &amp; Tech L</w:t>
      </w:r>
      <w:r w:rsidRPr="00B07E71">
        <w:rPr>
          <w:rFonts w:ascii="Palatino Linotype" w:hAnsi="Palatino Linotype" w:cs="Arial"/>
        </w:rPr>
        <w:t xml:space="preserve"> 899. For a discussion of the use of non-verbal communication in the courtroom, see L </w:t>
      </w:r>
      <w:proofErr w:type="spellStart"/>
      <w:r w:rsidRPr="00B07E71">
        <w:rPr>
          <w:rFonts w:ascii="Palatino Linotype" w:hAnsi="Palatino Linotype" w:cs="Arial"/>
        </w:rPr>
        <w:t>McCrimmon</w:t>
      </w:r>
      <w:proofErr w:type="spellEnd"/>
      <w:r w:rsidRPr="00B07E71">
        <w:rPr>
          <w:rFonts w:ascii="Palatino Linotype" w:hAnsi="Palatino Linotype" w:cs="Arial"/>
        </w:rPr>
        <w:t xml:space="preserve">, I Maxwell, ‘Teaching Trial Advocacy: Inviting the Thespian into Blackstone’s Tower’ (1999) 33 </w:t>
      </w:r>
      <w:r w:rsidRPr="00B07E71">
        <w:rPr>
          <w:rFonts w:ascii="Palatino Linotype" w:hAnsi="Palatino Linotype" w:cs="Arial"/>
          <w:i/>
        </w:rPr>
        <w:t>Law Teacher</w:t>
      </w:r>
      <w:r w:rsidRPr="00B07E71">
        <w:rPr>
          <w:rFonts w:ascii="Palatino Linotype" w:hAnsi="Palatino Linotype" w:cs="Arial"/>
        </w:rPr>
        <w:t xml:space="preserve"> 31.</w:t>
      </w:r>
    </w:p>
  </w:footnote>
  <w:footnote w:id="9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Flood, ‘Global Challenges for Legal Education: Competing for the World’s Law Students’ (2015) 24 </w:t>
      </w:r>
      <w:r w:rsidRPr="00B07E71">
        <w:rPr>
          <w:rFonts w:ascii="Palatino Linotype" w:hAnsi="Palatino Linotype" w:cs="Arial"/>
          <w:i/>
        </w:rPr>
        <w:t>Nottingham L J</w:t>
      </w:r>
      <w:r w:rsidRPr="00B07E71">
        <w:rPr>
          <w:rFonts w:ascii="Palatino Linotype" w:hAnsi="Palatino Linotype" w:cs="Arial"/>
        </w:rPr>
        <w:t xml:space="preserve"> 79 at 87. For a discussion of the use of teamwork in an online law unit, see P Collins, ‘Inclusive team assessment of off-campus and on-campus first year law students using instantaneous communication technology’ (2010) 44 </w:t>
      </w:r>
      <w:r w:rsidRPr="00B07E71">
        <w:rPr>
          <w:rFonts w:ascii="Palatino Linotype" w:hAnsi="Palatino Linotype" w:cs="Arial"/>
          <w:i/>
        </w:rPr>
        <w:t>Law Teacher</w:t>
      </w:r>
      <w:r w:rsidRPr="00B07E71">
        <w:rPr>
          <w:rFonts w:ascii="Palatino Linotype" w:hAnsi="Palatino Linotype" w:cs="Arial"/>
        </w:rPr>
        <w:t xml:space="preserve"> 309.</w:t>
      </w:r>
    </w:p>
  </w:footnote>
  <w:footnote w:id="97">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example, see P McKellar, P </w:t>
      </w:r>
      <w:proofErr w:type="spellStart"/>
      <w:r w:rsidRPr="00B07E71">
        <w:rPr>
          <w:rFonts w:ascii="Palatino Linotype" w:hAnsi="Palatino Linotype" w:cs="Arial"/>
        </w:rPr>
        <w:t>Maharg</w:t>
      </w:r>
      <w:proofErr w:type="spellEnd"/>
      <w:r w:rsidRPr="00B07E71">
        <w:rPr>
          <w:rFonts w:ascii="Palatino Linotype" w:hAnsi="Palatino Linotype" w:cs="Arial"/>
        </w:rPr>
        <w:t xml:space="preserve">, ‘Virtual Learning Environments: The Alternative to the Box Under the Bed’ (2005) 39 </w:t>
      </w:r>
      <w:r w:rsidRPr="00B07E71">
        <w:rPr>
          <w:rFonts w:ascii="Palatino Linotype" w:hAnsi="Palatino Linotype" w:cs="Arial"/>
          <w:i/>
        </w:rPr>
        <w:t>Law Teacher</w:t>
      </w:r>
      <w:r w:rsidRPr="00B07E71">
        <w:rPr>
          <w:rFonts w:ascii="Palatino Linotype" w:hAnsi="Palatino Linotype" w:cs="Arial"/>
        </w:rPr>
        <w:t xml:space="preserve"> 43.</w:t>
      </w:r>
    </w:p>
  </w:footnote>
  <w:footnote w:id="9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51 at 59-60.</w:t>
      </w:r>
    </w:p>
  </w:footnote>
  <w:footnote w:id="9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See also C Dunham, S </w:t>
      </w:r>
      <w:proofErr w:type="spellStart"/>
      <w:r w:rsidRPr="00B07E71">
        <w:rPr>
          <w:rFonts w:ascii="Palatino Linotype" w:hAnsi="Palatino Linotype" w:cs="Arial"/>
        </w:rPr>
        <w:t>Friedland</w:t>
      </w:r>
      <w:proofErr w:type="spellEnd"/>
      <w:r w:rsidRPr="00B07E71">
        <w:rPr>
          <w:rFonts w:ascii="Palatino Linotype" w:hAnsi="Palatino Linotype" w:cs="Arial"/>
        </w:rPr>
        <w:t>, ‘Portable Learning for the 21</w:t>
      </w:r>
      <w:r w:rsidRPr="00B07E71">
        <w:rPr>
          <w:rFonts w:ascii="Palatino Linotype" w:hAnsi="Palatino Linotype" w:cs="Arial"/>
          <w:vertAlign w:val="superscript"/>
        </w:rPr>
        <w:t>st</w:t>
      </w:r>
      <w:r w:rsidRPr="00B07E71">
        <w:rPr>
          <w:rFonts w:ascii="Palatino Linotype" w:hAnsi="Palatino Linotype" w:cs="Arial"/>
        </w:rPr>
        <w:t xml:space="preserve"> Century Law School: Designing a New Pedagogy for the Modern Global Context’ (2009) 26 </w:t>
      </w:r>
      <w:r w:rsidRPr="00B07E71">
        <w:rPr>
          <w:rFonts w:ascii="Palatino Linotype" w:hAnsi="Palatino Linotype" w:cs="Arial"/>
          <w:i/>
        </w:rPr>
        <w:t xml:space="preserve">J Marshall J Computer &amp; Info L </w:t>
      </w:r>
      <w:r w:rsidRPr="00B07E71">
        <w:rPr>
          <w:rFonts w:ascii="Palatino Linotype" w:hAnsi="Palatino Linotype" w:cs="Arial"/>
        </w:rPr>
        <w:t>371.</w:t>
      </w:r>
    </w:p>
  </w:footnote>
  <w:footnote w:id="10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latter part of the twentieth century in Australia saw the advent of ALTA Law Teaching Workshop (in 1988), and the publication of influential texts on learning in higher education; the two most influential being: M Le </w:t>
      </w:r>
      <w:proofErr w:type="spellStart"/>
      <w:r w:rsidRPr="00B07E71">
        <w:rPr>
          <w:rFonts w:ascii="Palatino Linotype" w:hAnsi="Palatino Linotype" w:cs="Arial"/>
        </w:rPr>
        <w:t>Brun</w:t>
      </w:r>
      <w:proofErr w:type="spellEnd"/>
      <w:r w:rsidRPr="00B07E71">
        <w:rPr>
          <w:rFonts w:ascii="Palatino Linotype" w:hAnsi="Palatino Linotype" w:cs="Arial"/>
        </w:rPr>
        <w:t xml:space="preserve">, R Johnstone, </w:t>
      </w:r>
      <w:r w:rsidRPr="00B07E71">
        <w:rPr>
          <w:rFonts w:ascii="Palatino Linotype" w:hAnsi="Palatino Linotype" w:cs="Arial"/>
          <w:i/>
        </w:rPr>
        <w:t>The Quiet Revolution</w:t>
      </w:r>
      <w:r w:rsidRPr="00B07E71">
        <w:rPr>
          <w:rFonts w:ascii="Palatino Linotype" w:hAnsi="Palatino Linotype" w:cs="Arial"/>
        </w:rPr>
        <w:t xml:space="preserve"> (The Law Book Company, 1994), and P </w:t>
      </w:r>
      <w:proofErr w:type="spellStart"/>
      <w:r w:rsidRPr="00B07E71">
        <w:rPr>
          <w:rFonts w:ascii="Palatino Linotype" w:hAnsi="Palatino Linotype" w:cs="Arial"/>
        </w:rPr>
        <w:t>Ramsden</w:t>
      </w:r>
      <w:proofErr w:type="spellEnd"/>
      <w:r w:rsidRPr="00B07E71">
        <w:rPr>
          <w:rFonts w:ascii="Palatino Linotype" w:hAnsi="Palatino Linotype" w:cs="Arial"/>
        </w:rPr>
        <w:t xml:space="preserve">, </w:t>
      </w:r>
      <w:proofErr w:type="gramStart"/>
      <w:r w:rsidRPr="00B07E71">
        <w:rPr>
          <w:rFonts w:ascii="Palatino Linotype" w:hAnsi="Palatino Linotype" w:cs="Arial"/>
          <w:i/>
        </w:rPr>
        <w:t>Learning</w:t>
      </w:r>
      <w:proofErr w:type="gramEnd"/>
      <w:r w:rsidRPr="00B07E71">
        <w:rPr>
          <w:rFonts w:ascii="Palatino Linotype" w:hAnsi="Palatino Linotype" w:cs="Arial"/>
          <w:i/>
        </w:rPr>
        <w:t xml:space="preserve"> to Teach in Higher Education</w:t>
      </w:r>
      <w:r w:rsidRPr="00B07E71">
        <w:rPr>
          <w:rFonts w:ascii="Palatino Linotype" w:hAnsi="Palatino Linotype" w:cs="Arial"/>
        </w:rPr>
        <w:t xml:space="preserve"> (Routledge, 1992).</w:t>
      </w:r>
    </w:p>
  </w:footnote>
  <w:footnote w:id="10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 </w:t>
      </w:r>
      <w:proofErr w:type="spellStart"/>
      <w:r w:rsidRPr="00B07E71">
        <w:rPr>
          <w:rFonts w:ascii="Palatino Linotype" w:hAnsi="Palatino Linotype" w:cs="Arial"/>
        </w:rPr>
        <w:t>Kift</w:t>
      </w:r>
      <w:proofErr w:type="spellEnd"/>
      <w:r w:rsidRPr="00B07E71">
        <w:rPr>
          <w:rFonts w:ascii="Palatino Linotype" w:hAnsi="Palatino Linotype" w:cs="Arial"/>
        </w:rPr>
        <w:t xml:space="preserve">, ‘My Law School – Then and Now’ (2006) 9 </w:t>
      </w:r>
      <w:r w:rsidRPr="00B07E71">
        <w:rPr>
          <w:rFonts w:ascii="Palatino Linotype" w:hAnsi="Palatino Linotype" w:cs="Arial"/>
          <w:i/>
        </w:rPr>
        <w:t>Newcastle L Rev</w:t>
      </w:r>
      <w:r w:rsidRPr="00B07E71">
        <w:rPr>
          <w:rFonts w:ascii="Palatino Linotype" w:hAnsi="Palatino Linotype" w:cs="Arial"/>
        </w:rPr>
        <w:t xml:space="preserve"> 1 at 10.</w:t>
      </w:r>
    </w:p>
  </w:footnote>
  <w:footnote w:id="10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ABS, Australian Demographic Statistics, Jun 2015: </w:t>
      </w:r>
      <w:hyperlink r:id="rId17" w:history="1">
        <w:r w:rsidRPr="00B07E71">
          <w:rPr>
            <w:rStyle w:val="Hyperlink"/>
            <w:rFonts w:ascii="Palatino Linotype" w:hAnsi="Palatino Linotype" w:cs="Arial"/>
          </w:rPr>
          <w:t>www.abs.gov.au/ausstats/abs@.nsf/mf/3101.0</w:t>
        </w:r>
      </w:hyperlink>
      <w:r w:rsidR="00487588" w:rsidRPr="00B07E71">
        <w:rPr>
          <w:rFonts w:ascii="Palatino Linotype" w:hAnsi="Palatino Linotype" w:cs="Arial"/>
        </w:rPr>
        <w:t xml:space="preserve"> (accessed 27 September 2016</w:t>
      </w:r>
      <w:r w:rsidRPr="00B07E71">
        <w:rPr>
          <w:rFonts w:ascii="Palatino Linotype" w:hAnsi="Palatino Linotype" w:cs="Arial"/>
        </w:rPr>
        <w:t>).</w:t>
      </w:r>
    </w:p>
  </w:footnote>
  <w:footnote w:id="103">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hyperlink r:id="rId18" w:history="1">
        <w:r w:rsidRPr="00B07E71">
          <w:rPr>
            <w:rStyle w:val="Hyperlink"/>
            <w:rFonts w:ascii="Palatino Linotype" w:hAnsi="Palatino Linotype" w:cs="Arial"/>
          </w:rPr>
          <w:t>www.abs.gov.au/ausstats/abs@.nsf/mf/3218.0</w:t>
        </w:r>
      </w:hyperlink>
      <w:r w:rsidR="00487588" w:rsidRPr="00B07E71">
        <w:rPr>
          <w:rFonts w:ascii="Palatino Linotype" w:hAnsi="Palatino Linotype" w:cs="Arial"/>
        </w:rPr>
        <w:t xml:space="preserve"> (accessed 27 September 2016</w:t>
      </w:r>
      <w:r w:rsidRPr="00B07E71">
        <w:rPr>
          <w:rFonts w:ascii="Palatino Linotype" w:hAnsi="Palatino Linotype" w:cs="Arial"/>
        </w:rPr>
        <w:t>).</w:t>
      </w:r>
    </w:p>
  </w:footnote>
  <w:footnote w:id="104">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As has been noted above, Australia has 36 law schools servicing a domestic population of 24 million people. By comparison, Canada has just under 36 million people and only 18 law schools teaching common law. For population figures see: </w:t>
      </w:r>
      <w:hyperlink r:id="rId19" w:history="1">
        <w:r w:rsidRPr="00B07E71">
          <w:rPr>
            <w:rStyle w:val="Hyperlink"/>
            <w:rFonts w:ascii="Palatino Linotype" w:hAnsi="Palatino Linotype" w:cs="Arial"/>
          </w:rPr>
          <w:t>www.countrymeters.info</w:t>
        </w:r>
      </w:hyperlink>
      <w:r w:rsidR="00487588" w:rsidRPr="00B07E71">
        <w:rPr>
          <w:rFonts w:ascii="Palatino Linotype" w:hAnsi="Palatino Linotype" w:cs="Arial"/>
        </w:rPr>
        <w:t xml:space="preserve"> (accessed 27 September 2016</w:t>
      </w:r>
      <w:r w:rsidRPr="00B07E71">
        <w:rPr>
          <w:rFonts w:ascii="Palatino Linotype" w:hAnsi="Palatino Linotype" w:cs="Arial"/>
        </w:rPr>
        <w:t xml:space="preserve">). </w:t>
      </w:r>
    </w:p>
  </w:footnote>
  <w:footnote w:id="10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Available at </w:t>
      </w:r>
      <w:hyperlink r:id="rId20" w:history="1">
        <w:r w:rsidRPr="00B07E71">
          <w:rPr>
            <w:rStyle w:val="Hyperlink"/>
            <w:rFonts w:ascii="Palatino Linotype" w:hAnsi="Palatino Linotype" w:cs="Arial"/>
          </w:rPr>
          <w:t>www.abs.gov.au</w:t>
        </w:r>
      </w:hyperlink>
      <w:r w:rsidR="00487588" w:rsidRPr="00B07E71">
        <w:rPr>
          <w:rFonts w:ascii="Palatino Linotype" w:hAnsi="Palatino Linotype" w:cs="Arial"/>
        </w:rPr>
        <w:t xml:space="preserve"> (accessed 27 September 2016</w:t>
      </w:r>
      <w:r w:rsidRPr="00B07E71">
        <w:rPr>
          <w:rFonts w:ascii="Palatino Linotype" w:hAnsi="Palatino Linotype" w:cs="Arial"/>
        </w:rPr>
        <w:t>).</w:t>
      </w:r>
    </w:p>
  </w:footnote>
  <w:footnote w:id="106">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E Noam, ‘Electronics and the Future of Law Schools’ (2008) 17 </w:t>
      </w:r>
      <w:r w:rsidRPr="00B07E71">
        <w:rPr>
          <w:rFonts w:ascii="Palatino Linotype" w:hAnsi="Palatino Linotype" w:cs="Arial"/>
          <w:i/>
        </w:rPr>
        <w:t xml:space="preserve">J </w:t>
      </w:r>
      <w:proofErr w:type="spellStart"/>
      <w:r w:rsidRPr="00B07E71">
        <w:rPr>
          <w:rFonts w:ascii="Palatino Linotype" w:hAnsi="Palatino Linotype" w:cs="Arial"/>
          <w:i/>
        </w:rPr>
        <w:t>Contemp</w:t>
      </w:r>
      <w:proofErr w:type="spellEnd"/>
      <w:r w:rsidRPr="00B07E71">
        <w:rPr>
          <w:rFonts w:ascii="Palatino Linotype" w:hAnsi="Palatino Linotype" w:cs="Arial"/>
          <w:i/>
        </w:rPr>
        <w:t xml:space="preserve"> Legal Issues </w:t>
      </w:r>
      <w:r w:rsidRPr="00B07E71">
        <w:rPr>
          <w:rFonts w:ascii="Palatino Linotype" w:hAnsi="Palatino Linotype" w:cs="Arial"/>
        </w:rPr>
        <w:t>51 at 63.</w:t>
      </w:r>
    </w:p>
    <w:p w:rsidR="003773E5" w:rsidRPr="00B07E71" w:rsidRDefault="003773E5" w:rsidP="00E65F86">
      <w:pPr>
        <w:pStyle w:val="FootnoteText"/>
        <w:rPr>
          <w:rFonts w:ascii="Palatino Linotype" w:hAnsi="Palatino Linotype" w:cs="Arial"/>
        </w:rPr>
      </w:pPr>
    </w:p>
  </w:footnote>
  <w:footnote w:id="107">
    <w:p w:rsidR="003773E5" w:rsidRPr="00B07E71" w:rsidRDefault="003773E5" w:rsidP="0067650B">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The Advocates Gateway is a United Kingdom based organisation set up to help address communication needs in the justice system. See </w:t>
      </w:r>
      <w:hyperlink r:id="rId21" w:history="1">
        <w:r w:rsidRPr="00B07E71">
          <w:rPr>
            <w:rStyle w:val="Hyperlink"/>
            <w:rFonts w:ascii="Palatino Linotype" w:hAnsi="Palatino Linotype" w:cs="Arial"/>
          </w:rPr>
          <w:t>www.theadvocatesgateway.org</w:t>
        </w:r>
      </w:hyperlink>
      <w:r w:rsidRPr="00B07E71">
        <w:rPr>
          <w:rFonts w:ascii="Palatino Linotype" w:hAnsi="Palatino Linotype" w:cs="Arial"/>
        </w:rPr>
        <w:t xml:space="preserve"> (accessed 16 February 2016).</w:t>
      </w:r>
    </w:p>
  </w:footnote>
  <w:footnote w:id="108">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NAAJA is an aboriginal legal service which addressed the legal need of disadvantaged Indigenous Australians living in the northern part of the Northern Territory.</w:t>
      </w:r>
    </w:p>
  </w:footnote>
  <w:footnote w:id="109">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If a particular need was not covered in the workshop program, then additional skills workshops were scheduled. For example, the need for further skills training was identified often in the students’ reflective journals.  </w:t>
      </w:r>
    </w:p>
  </w:footnote>
  <w:footnote w:id="110">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It is widely agreed that a reflective practice enhances learning, promotes wellbeing and psychological health and is useful for professional development for work and life. For </w:t>
      </w:r>
      <w:proofErr w:type="gramStart"/>
      <w:r w:rsidRPr="00B07E71">
        <w:rPr>
          <w:rFonts w:ascii="Palatino Linotype" w:hAnsi="Palatino Linotype" w:cs="Arial"/>
        </w:rPr>
        <w:t>example</w:t>
      </w:r>
      <w:proofErr w:type="gramEnd"/>
      <w:r w:rsidRPr="00B07E71">
        <w:rPr>
          <w:rFonts w:ascii="Palatino Linotype" w:hAnsi="Palatino Linotype" w:cs="Arial"/>
        </w:rPr>
        <w:t xml:space="preserve"> see J McNamara, T Cockburn, C Campbell, </w:t>
      </w:r>
      <w:r w:rsidRPr="00B07E71">
        <w:rPr>
          <w:rFonts w:ascii="Palatino Linotype" w:hAnsi="Palatino Linotype" w:cs="Arial"/>
          <w:i/>
        </w:rPr>
        <w:t>Good Practice Guide (Bachelor of Laws): Reflective Practice</w:t>
      </w:r>
      <w:r w:rsidRPr="00B07E71">
        <w:rPr>
          <w:rFonts w:ascii="Palatino Linotype" w:hAnsi="Palatino Linotype" w:cs="Arial"/>
        </w:rPr>
        <w:t xml:space="preserve"> (Australian Learning and Teaching Council, 2011) at 11. </w:t>
      </w:r>
    </w:p>
  </w:footnote>
  <w:footnote w:id="111">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Stuckey, R et al, </w:t>
      </w:r>
      <w:r w:rsidRPr="00B07E71">
        <w:rPr>
          <w:rFonts w:ascii="Palatino Linotype" w:hAnsi="Palatino Linotype" w:cs="Arial"/>
          <w:i/>
        </w:rPr>
        <w:t>Best Practices for Legal Education: A vision and a Road Map</w:t>
      </w:r>
      <w:r w:rsidRPr="00B07E71">
        <w:rPr>
          <w:rFonts w:ascii="Palatino Linotype" w:hAnsi="Palatino Linotype" w:cs="Arial"/>
        </w:rPr>
        <w:t>, (Clinical Legal Education Association, 2007) at 174-177.</w:t>
      </w:r>
    </w:p>
  </w:footnote>
  <w:footnote w:id="112">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J McNamara, T Cockburn, C Campbell, </w:t>
      </w:r>
      <w:r w:rsidRPr="00B07E71">
        <w:rPr>
          <w:rFonts w:ascii="Palatino Linotype" w:hAnsi="Palatino Linotype" w:cs="Arial"/>
          <w:i/>
        </w:rPr>
        <w:t>Good Practice Guide (Bachelor of Laws): Reflective Practice</w:t>
      </w:r>
      <w:r w:rsidRPr="00B07E71">
        <w:rPr>
          <w:rFonts w:ascii="Palatino Linotype" w:hAnsi="Palatino Linotype" w:cs="Arial"/>
        </w:rPr>
        <w:t xml:space="preserve"> (Australian Learning and Teaching Council, 2011) at 11</w:t>
      </w:r>
    </w:p>
  </w:footnote>
  <w:footnote w:id="113">
    <w:p w:rsidR="003773E5" w:rsidRPr="00B07E71" w:rsidRDefault="003773E5">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L Barron, ‘Learning how to Learn: Carnegie’s Third Apprenticeship’ (2011) 18 </w:t>
      </w:r>
      <w:r w:rsidRPr="00B07E71">
        <w:rPr>
          <w:rFonts w:ascii="Palatino Linotype" w:hAnsi="Palatino Linotype" w:cs="Arial"/>
          <w:i/>
        </w:rPr>
        <w:t>Clinical Law Review</w:t>
      </w:r>
      <w:r w:rsidRPr="00B07E71">
        <w:rPr>
          <w:rFonts w:ascii="Palatino Linotype" w:hAnsi="Palatino Linotype" w:cs="Arial"/>
        </w:rPr>
        <w:t xml:space="preserve"> 101 at 101-103.</w:t>
      </w:r>
    </w:p>
  </w:footnote>
  <w:footnote w:id="114">
    <w:p w:rsidR="003773E5" w:rsidRPr="00B07E71" w:rsidRDefault="003773E5" w:rsidP="009E4C49">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discussion of formative and summative assessment see M Le </w:t>
      </w:r>
      <w:proofErr w:type="spellStart"/>
      <w:r w:rsidRPr="00B07E71">
        <w:rPr>
          <w:rFonts w:ascii="Palatino Linotype" w:hAnsi="Palatino Linotype" w:cs="Arial"/>
        </w:rPr>
        <w:t>Brun</w:t>
      </w:r>
      <w:proofErr w:type="spellEnd"/>
      <w:r w:rsidRPr="00B07E71">
        <w:rPr>
          <w:rFonts w:ascii="Palatino Linotype" w:hAnsi="Palatino Linotype" w:cs="Arial"/>
        </w:rPr>
        <w:t>, R Johnstone</w:t>
      </w:r>
      <w:r w:rsidRPr="00B07E71">
        <w:rPr>
          <w:rFonts w:ascii="Palatino Linotype" w:hAnsi="Palatino Linotype" w:cs="Arial"/>
          <w:i/>
        </w:rPr>
        <w:t>, The Quiet Revolution: Improving Student Learning in Law</w:t>
      </w:r>
      <w:r w:rsidRPr="00B07E71">
        <w:rPr>
          <w:rFonts w:ascii="Palatino Linotype" w:hAnsi="Palatino Linotype" w:cs="Arial"/>
        </w:rPr>
        <w:t xml:space="preserve"> (Law Book Co, 1994) at 181-182; J McNamara, T Cockburn, C Campbell, </w:t>
      </w:r>
      <w:r w:rsidRPr="00B07E71">
        <w:rPr>
          <w:rFonts w:ascii="Palatino Linotype" w:hAnsi="Palatino Linotype" w:cs="Arial"/>
          <w:i/>
        </w:rPr>
        <w:t>Good Practice Guide (Bachelor of Laws): Reflective Practice</w:t>
      </w:r>
      <w:r w:rsidRPr="00B07E71">
        <w:rPr>
          <w:rFonts w:ascii="Palatino Linotype" w:hAnsi="Palatino Linotype" w:cs="Arial"/>
        </w:rPr>
        <w:t xml:space="preserve"> (Australian Learning and Teaching Council, 2011).</w:t>
      </w:r>
    </w:p>
  </w:footnote>
  <w:footnote w:id="115">
    <w:p w:rsidR="003773E5" w:rsidRPr="00B07E71" w:rsidRDefault="003773E5" w:rsidP="00E65F86">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K Burton, J McNamara, ‘Assessing reflection skills in law using criterion-referenced assessment’. (2009) 19 </w:t>
      </w:r>
      <w:r w:rsidRPr="00B07E71">
        <w:rPr>
          <w:rFonts w:ascii="Palatino Linotype" w:hAnsi="Palatino Linotype" w:cs="Arial"/>
          <w:i/>
        </w:rPr>
        <w:t>Legal Ed Rev</w:t>
      </w:r>
      <w:r w:rsidRPr="00B07E71">
        <w:rPr>
          <w:rFonts w:ascii="Palatino Linotype" w:hAnsi="Palatino Linotype" w:cs="Arial"/>
        </w:rPr>
        <w:t xml:space="preserve"> (2009) 171 at 184.</w:t>
      </w:r>
      <w:r w:rsidRPr="00B07E71">
        <w:rPr>
          <w:rFonts w:ascii="Palatino Linotype" w:hAnsi="Palatino Linotype" w:cs="Arial"/>
          <w:lang w:eastAsia="en-AU"/>
        </w:rPr>
        <w:t xml:space="preserve"> </w:t>
      </w:r>
    </w:p>
  </w:footnote>
  <w:footnote w:id="116">
    <w:p w:rsidR="003773E5" w:rsidRPr="00B07E71" w:rsidRDefault="003773E5" w:rsidP="005346AF">
      <w:pPr>
        <w:spacing w:after="0" w:line="240" w:lineRule="auto"/>
        <w:rPr>
          <w:rFonts w:ascii="Palatino Linotype" w:hAnsi="Palatino Linotype" w:cs="Arial"/>
          <w:sz w:val="20"/>
          <w:szCs w:val="20"/>
        </w:rPr>
      </w:pPr>
      <w:r w:rsidRPr="00B07E71">
        <w:rPr>
          <w:rStyle w:val="FootnoteReference"/>
          <w:rFonts w:ascii="Palatino Linotype" w:hAnsi="Palatino Linotype" w:cs="Arial"/>
          <w:sz w:val="20"/>
          <w:szCs w:val="20"/>
        </w:rPr>
        <w:footnoteRef/>
      </w:r>
      <w:r w:rsidRPr="00B07E71">
        <w:rPr>
          <w:rFonts w:ascii="Palatino Linotype" w:hAnsi="Palatino Linotype" w:cs="Arial"/>
          <w:sz w:val="20"/>
          <w:szCs w:val="20"/>
        </w:rPr>
        <w:t xml:space="preserve"> For example, the question set in consultation with the Legal Response Initiative was: “Inequities in wealth and resources can lead to inequitable outcomes, particularly on the world negotiating stage. Discuss a strategy developed and used under the United Nations Climate Change Framework that aims to address the inequities between negotiating States and evaluate whether it addresses an inequity meaningfully.” This related to the students’ specific research for the placement site, which concerned developing nations’ obligations and abilities to access funding under the United Nations Climate Change Framework.</w:t>
      </w:r>
    </w:p>
  </w:footnote>
  <w:footnote w:id="117">
    <w:p w:rsidR="003773E5" w:rsidRPr="00B07E71" w:rsidRDefault="003773E5" w:rsidP="005346AF">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00A352D9" w:rsidRPr="00B07E71">
        <w:rPr>
          <w:rFonts w:ascii="Palatino Linotype" w:hAnsi="Palatino Linotype" w:cs="Arial"/>
        </w:rPr>
        <w:t xml:space="preserve">L Ryan Cole, L </w:t>
      </w:r>
      <w:proofErr w:type="spellStart"/>
      <w:r w:rsidR="00A352D9" w:rsidRPr="00B07E71">
        <w:rPr>
          <w:rFonts w:ascii="Palatino Linotype" w:hAnsi="Palatino Linotype" w:cs="Arial"/>
        </w:rPr>
        <w:t>Wortham</w:t>
      </w:r>
      <w:proofErr w:type="spellEnd"/>
      <w:r w:rsidR="00A352D9" w:rsidRPr="00B07E71">
        <w:rPr>
          <w:rFonts w:ascii="Palatino Linotype" w:hAnsi="Palatino Linotype" w:cs="Arial"/>
        </w:rPr>
        <w:t xml:space="preserve">, “Learning from Supervision’ (in L </w:t>
      </w:r>
      <w:proofErr w:type="spellStart"/>
      <w:r w:rsidR="00A352D9" w:rsidRPr="00B07E71">
        <w:rPr>
          <w:rFonts w:ascii="Palatino Linotype" w:hAnsi="Palatino Linotype" w:cs="Arial"/>
        </w:rPr>
        <w:t>Wortham</w:t>
      </w:r>
      <w:proofErr w:type="spellEnd"/>
      <w:r w:rsidR="00A352D9" w:rsidRPr="00B07E71">
        <w:rPr>
          <w:rFonts w:ascii="Palatino Linotype" w:hAnsi="Palatino Linotype" w:cs="Arial"/>
        </w:rPr>
        <w:t xml:space="preserve">, A </w:t>
      </w:r>
      <w:proofErr w:type="spellStart"/>
      <w:r w:rsidR="00A352D9" w:rsidRPr="00B07E71">
        <w:rPr>
          <w:rFonts w:ascii="Palatino Linotype" w:hAnsi="Palatino Linotype" w:cs="Arial"/>
        </w:rPr>
        <w:t>Scherr</w:t>
      </w:r>
      <w:proofErr w:type="spellEnd"/>
      <w:r w:rsidR="00A352D9" w:rsidRPr="00B07E71">
        <w:rPr>
          <w:rFonts w:ascii="Palatino Linotype" w:hAnsi="Palatino Linotype" w:cs="Arial"/>
        </w:rPr>
        <w:t xml:space="preserve">, N Maurer, S Brooks </w:t>
      </w:r>
      <w:proofErr w:type="spellStart"/>
      <w:r w:rsidR="00A352D9" w:rsidRPr="00B07E71">
        <w:rPr>
          <w:rFonts w:ascii="Palatino Linotype" w:hAnsi="Palatino Linotype" w:cs="Arial"/>
        </w:rPr>
        <w:t>eds</w:t>
      </w:r>
      <w:proofErr w:type="spellEnd"/>
      <w:r w:rsidR="00A352D9" w:rsidRPr="00B07E71">
        <w:rPr>
          <w:rFonts w:ascii="Palatino Linotype" w:hAnsi="Palatino Linotype" w:cs="Arial"/>
        </w:rPr>
        <w:t xml:space="preserve">, </w:t>
      </w:r>
      <w:proofErr w:type="gramStart"/>
      <w:r w:rsidR="00A352D9" w:rsidRPr="00B07E71">
        <w:rPr>
          <w:rFonts w:ascii="Palatino Linotype" w:hAnsi="Palatino Linotype" w:cs="Arial"/>
          <w:i/>
        </w:rPr>
        <w:t>Learning</w:t>
      </w:r>
      <w:proofErr w:type="gramEnd"/>
      <w:r w:rsidR="00A352D9" w:rsidRPr="00B07E71">
        <w:rPr>
          <w:rFonts w:ascii="Palatino Linotype" w:hAnsi="Palatino Linotype" w:cs="Arial"/>
          <w:i/>
        </w:rPr>
        <w:t xml:space="preserve"> from Practice: A Text for Experiential Legal Education</w:t>
      </w:r>
      <w:r w:rsidR="00A352D9" w:rsidRPr="00B07E71">
        <w:rPr>
          <w:rFonts w:ascii="Palatino Linotype" w:hAnsi="Palatino Linotype" w:cs="Arial"/>
        </w:rPr>
        <w:t xml:space="preserve"> (West Academic Publishi</w:t>
      </w:r>
      <w:r w:rsidR="004B2742" w:rsidRPr="00B07E71">
        <w:rPr>
          <w:rFonts w:ascii="Palatino Linotype" w:hAnsi="Palatino Linotype" w:cs="Arial"/>
        </w:rPr>
        <w:t xml:space="preserve">ng, 2016)) </w:t>
      </w:r>
      <w:r w:rsidR="00A352D9" w:rsidRPr="00B07E71">
        <w:rPr>
          <w:rFonts w:ascii="Palatino Linotype" w:hAnsi="Palatino Linotype" w:cs="Arial"/>
        </w:rPr>
        <w:t>at 33-34; S </w:t>
      </w:r>
      <w:r w:rsidRPr="00B07E71">
        <w:rPr>
          <w:rFonts w:ascii="Palatino Linotype" w:hAnsi="Palatino Linotype" w:cs="Arial"/>
        </w:rPr>
        <w:t xml:space="preserve">McClellan, ‘Externships for Millennial Generation Law Students: Bridging the Generation Gap’ (2009) 15 </w:t>
      </w:r>
      <w:r w:rsidRPr="00B07E71">
        <w:rPr>
          <w:rFonts w:ascii="Palatino Linotype" w:hAnsi="Palatino Linotype" w:cs="Arial"/>
          <w:i/>
        </w:rPr>
        <w:t>Clinical Law Rev</w:t>
      </w:r>
      <w:r w:rsidRPr="00B07E71">
        <w:rPr>
          <w:rFonts w:ascii="Palatino Linotype" w:hAnsi="Palatino Linotype" w:cs="Arial"/>
        </w:rPr>
        <w:t xml:space="preserve"> 255 at 272-274, 276-278.</w:t>
      </w:r>
    </w:p>
  </w:footnote>
  <w:footnote w:id="118">
    <w:p w:rsidR="003A28E0" w:rsidRPr="00B07E71" w:rsidRDefault="003A28E0">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It should be noted that some organisations, such as the Legal Response Initiative based in the United Kingdom, did not have any concerns with supervising students remotely as such supervision was routinely done at that organisation.  </w:t>
      </w:r>
    </w:p>
  </w:footnote>
  <w:footnote w:id="119">
    <w:p w:rsidR="003A28E0" w:rsidRPr="00B07E71" w:rsidRDefault="003A28E0">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For a discussion of the </w:t>
      </w:r>
      <w:proofErr w:type="spellStart"/>
      <w:r w:rsidRPr="00B07E71">
        <w:rPr>
          <w:rFonts w:ascii="Palatino Linotype" w:hAnsi="Palatino Linotype" w:cs="Arial"/>
        </w:rPr>
        <w:t>Smartsheet</w:t>
      </w:r>
      <w:proofErr w:type="spellEnd"/>
      <w:r w:rsidRPr="00B07E71">
        <w:rPr>
          <w:rFonts w:ascii="Palatino Linotype" w:hAnsi="Palatino Linotype" w:cs="Arial"/>
        </w:rPr>
        <w:t xml:space="preserve"> data entry system</w:t>
      </w:r>
      <w:r w:rsidR="0004302C" w:rsidRPr="00B07E71">
        <w:rPr>
          <w:rFonts w:ascii="Palatino Linotype" w:hAnsi="Palatino Linotype" w:cs="Arial"/>
        </w:rPr>
        <w:t>,</w:t>
      </w:r>
      <w:r w:rsidRPr="00B07E71">
        <w:rPr>
          <w:rFonts w:ascii="Palatino Linotype" w:hAnsi="Palatino Linotype" w:cs="Arial"/>
        </w:rPr>
        <w:t xml:space="preserve"> see: </w:t>
      </w:r>
      <w:hyperlink r:id="rId22" w:history="1">
        <w:r w:rsidRPr="00B07E71">
          <w:rPr>
            <w:rStyle w:val="Hyperlink"/>
            <w:rFonts w:ascii="Palatino Linotype" w:hAnsi="Palatino Linotype" w:cs="Arial"/>
          </w:rPr>
          <w:t>www.smartsheet.com</w:t>
        </w:r>
      </w:hyperlink>
      <w:r w:rsidRPr="00B07E71">
        <w:rPr>
          <w:rFonts w:ascii="Palatino Linotype" w:hAnsi="Palatino Linotype" w:cs="Arial"/>
        </w:rPr>
        <w:t xml:space="preserve"> </w:t>
      </w:r>
      <w:r w:rsidR="00B46D81" w:rsidRPr="00B07E71">
        <w:rPr>
          <w:rFonts w:ascii="Palatino Linotype" w:hAnsi="Palatino Linotype" w:cs="Arial"/>
        </w:rPr>
        <w:t>(accessed 11 </w:t>
      </w:r>
      <w:r w:rsidRPr="00B07E71">
        <w:rPr>
          <w:rFonts w:ascii="Palatino Linotype" w:hAnsi="Palatino Linotype" w:cs="Arial"/>
        </w:rPr>
        <w:t>October 2016).</w:t>
      </w:r>
    </w:p>
  </w:footnote>
  <w:footnote w:id="120">
    <w:p w:rsidR="0004302C" w:rsidRPr="00B07E71" w:rsidRDefault="0004302C">
      <w:pPr>
        <w:pStyle w:val="FootnoteText"/>
        <w:rPr>
          <w:rFonts w:ascii="Palatino Linotype" w:hAnsi="Palatino Linotype" w:cs="Arial"/>
        </w:rPr>
      </w:pPr>
      <w:r w:rsidRPr="00B07E71">
        <w:rPr>
          <w:rStyle w:val="FootnoteReference"/>
          <w:rFonts w:ascii="Palatino Linotype" w:hAnsi="Palatino Linotype" w:cs="Arial"/>
        </w:rPr>
        <w:footnoteRef/>
      </w:r>
      <w:r w:rsidRPr="00B07E71">
        <w:rPr>
          <w:rFonts w:ascii="Palatino Linotype" w:hAnsi="Palatino Linotype" w:cs="Arial"/>
        </w:rPr>
        <w:t xml:space="preserve"> </w:t>
      </w:r>
      <w:r w:rsidR="008766FF" w:rsidRPr="00B07E71">
        <w:rPr>
          <w:rFonts w:ascii="Palatino Linotype" w:hAnsi="Palatino Linotype" w:cs="Arial"/>
        </w:rPr>
        <w:t xml:space="preserve">Research suggests that a blend of online and face-to-face instruction provides the most effective learning environment: </w:t>
      </w:r>
      <w:r w:rsidR="008766FF" w:rsidRPr="00B07E71">
        <w:rPr>
          <w:rFonts w:ascii="Palatino Linotype" w:hAnsi="Palatino Linotype" w:cs="Arial"/>
          <w:i/>
        </w:rPr>
        <w:t>Evaluation of Evidence-Based Practices in Online Learning: A Meta-Analysis and Review of Online Learning Studies</w:t>
      </w:r>
      <w:r w:rsidR="008766FF" w:rsidRPr="00B07E71">
        <w:rPr>
          <w:rFonts w:ascii="Palatino Linotype" w:hAnsi="Palatino Linotype" w:cs="Arial"/>
        </w:rPr>
        <w:t xml:space="preserve"> (US Department of Education Office of Planning, Evaluation, and Policy Development Policy and Program Studies Service, September 2010) at xviii.</w:t>
      </w:r>
    </w:p>
  </w:footnote>
  <w:footnote w:id="121">
    <w:p w:rsidR="003773E5" w:rsidRPr="00B07E71" w:rsidRDefault="003773E5" w:rsidP="00E65F86">
      <w:pPr>
        <w:pStyle w:val="FootnoteText"/>
        <w:rPr>
          <w:rFonts w:ascii="Palatino Linotype" w:hAnsi="Palatino Linotype"/>
        </w:rPr>
      </w:pPr>
      <w:r w:rsidRPr="00B07E71">
        <w:rPr>
          <w:rStyle w:val="FootnoteReference"/>
          <w:rFonts w:ascii="Palatino Linotype" w:hAnsi="Palatino Linotype" w:cs="Arial"/>
        </w:rPr>
        <w:footnoteRef/>
      </w:r>
      <w:r w:rsidRPr="00B07E71">
        <w:rPr>
          <w:rFonts w:ascii="Palatino Linotype" w:hAnsi="Palatino Linotype" w:cs="Arial"/>
        </w:rPr>
        <w:t xml:space="preserve"> M Martin Barry, J </w:t>
      </w:r>
      <w:proofErr w:type="spellStart"/>
      <w:r w:rsidRPr="00B07E71">
        <w:rPr>
          <w:rFonts w:ascii="Palatino Linotype" w:hAnsi="Palatino Linotype" w:cs="Arial"/>
        </w:rPr>
        <w:t>Dubin</w:t>
      </w:r>
      <w:proofErr w:type="spellEnd"/>
      <w:r w:rsidRPr="00B07E71">
        <w:rPr>
          <w:rFonts w:ascii="Palatino Linotype" w:hAnsi="Palatino Linotype" w:cs="Arial"/>
        </w:rPr>
        <w:t xml:space="preserve">, P Joy, ‘Clinical Education for this Millennium: The Third Wave’ (2001) 7 </w:t>
      </w:r>
      <w:r w:rsidRPr="00B07E71">
        <w:rPr>
          <w:rFonts w:ascii="Palatino Linotype" w:hAnsi="Palatino Linotype" w:cs="Arial"/>
          <w:i/>
        </w:rPr>
        <w:t>Clinical L Rev</w:t>
      </w:r>
      <w:r w:rsidRPr="00B07E71">
        <w:rPr>
          <w:rFonts w:ascii="Palatino Linotype" w:hAnsi="Palatino Linotype" w:cs="Arial"/>
        </w:rPr>
        <w:t xml:space="preserve"> 1 at 53-54.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3E5" w:rsidRPr="00B07E71" w:rsidRDefault="00B07E71">
    <w:pPr>
      <w:pStyle w:val="Header"/>
      <w:rPr>
        <w:rFonts w:ascii="Palatino Linotype" w:hAnsi="Palatino Linotype"/>
        <w:i/>
        <w:sz w:val="24"/>
        <w:szCs w:val="24"/>
        <w:lang w:val="en-GB"/>
      </w:rPr>
    </w:pPr>
    <w:r w:rsidRPr="00B07E71">
      <w:rPr>
        <w:rFonts w:ascii="Palatino Linotype" w:hAnsi="Palatino Linotype"/>
        <w:i/>
        <w:sz w:val="24"/>
        <w:szCs w:val="24"/>
        <w:lang w:val="en-GB"/>
      </w:rPr>
      <w:t>Reviewed Article: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DCC"/>
    <w:multiLevelType w:val="hybridMultilevel"/>
    <w:tmpl w:val="E87A0D7A"/>
    <w:lvl w:ilvl="0" w:tplc="B23C2AB6">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14E6690C"/>
    <w:multiLevelType w:val="hybridMultilevel"/>
    <w:tmpl w:val="74C66C3C"/>
    <w:lvl w:ilvl="0" w:tplc="5798D5B8">
      <w:start w:val="1"/>
      <w:numFmt w:val="lowerRoman"/>
      <w:lvlText w:val="(%1)"/>
      <w:lvlJc w:val="left"/>
      <w:pPr>
        <w:ind w:left="1647" w:hanging="72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 w15:restartNumberingAfterBreak="0">
    <w:nsid w:val="174C6AE3"/>
    <w:multiLevelType w:val="hybridMultilevel"/>
    <w:tmpl w:val="6DEC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40A3E"/>
    <w:multiLevelType w:val="hybridMultilevel"/>
    <w:tmpl w:val="25B62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F1E30"/>
    <w:multiLevelType w:val="hybridMultilevel"/>
    <w:tmpl w:val="779E89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020522"/>
    <w:multiLevelType w:val="multilevel"/>
    <w:tmpl w:val="8DF6B37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38357D1E"/>
    <w:multiLevelType w:val="multilevel"/>
    <w:tmpl w:val="5280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F557A"/>
    <w:multiLevelType w:val="multilevel"/>
    <w:tmpl w:val="4E3CD2A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C0855"/>
    <w:multiLevelType w:val="multilevel"/>
    <w:tmpl w:val="8DF6B37C"/>
    <w:lvl w:ilvl="0">
      <w:start w:val="1"/>
      <w:numFmt w:val="bullet"/>
      <w:lvlText w:val=""/>
      <w:lvlJc w:val="left"/>
      <w:pPr>
        <w:ind w:left="1778" w:hanging="360"/>
      </w:pPr>
      <w:rPr>
        <w:rFonts w:ascii="Symbol" w:hAnsi="Symbol" w:hint="default"/>
      </w:rPr>
    </w:lvl>
    <w:lvl w:ilvl="1">
      <w:start w:val="1"/>
      <w:numFmt w:val="bullet"/>
      <w:lvlText w:val=""/>
      <w:lvlJc w:val="left"/>
      <w:pPr>
        <w:ind w:left="2210" w:hanging="432"/>
      </w:pPr>
      <w:rPr>
        <w:rFonts w:ascii="Symbol" w:hAnsi="Symbol" w:hint="default"/>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9" w15:restartNumberingAfterBreak="0">
    <w:nsid w:val="45CC56B0"/>
    <w:multiLevelType w:val="multilevel"/>
    <w:tmpl w:val="240C670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CA6D1F"/>
    <w:multiLevelType w:val="multilevel"/>
    <w:tmpl w:val="240C670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175DE5"/>
    <w:multiLevelType w:val="hybridMultilevel"/>
    <w:tmpl w:val="93E2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F6EA6"/>
    <w:multiLevelType w:val="hybridMultilevel"/>
    <w:tmpl w:val="D624CFF8"/>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51B26800"/>
    <w:multiLevelType w:val="hybridMultilevel"/>
    <w:tmpl w:val="0F52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15488E"/>
    <w:multiLevelType w:val="hybridMultilevel"/>
    <w:tmpl w:val="87CAE08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5" w15:restartNumberingAfterBreak="0">
    <w:nsid w:val="59C46F6F"/>
    <w:multiLevelType w:val="hybridMultilevel"/>
    <w:tmpl w:val="89C0174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5EF34FBE"/>
    <w:multiLevelType w:val="hybridMultilevel"/>
    <w:tmpl w:val="0480E9A2"/>
    <w:lvl w:ilvl="0" w:tplc="0C090001">
      <w:start w:val="1"/>
      <w:numFmt w:val="bullet"/>
      <w:lvlText w:val=""/>
      <w:lvlJc w:val="left"/>
      <w:pPr>
        <w:ind w:left="2203" w:hanging="360"/>
      </w:pPr>
      <w:rPr>
        <w:rFonts w:ascii="Symbol" w:hAnsi="Symbol" w:hint="default"/>
      </w:rPr>
    </w:lvl>
    <w:lvl w:ilvl="1" w:tplc="0C090003" w:tentative="1">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7" w15:restartNumberingAfterBreak="0">
    <w:nsid w:val="78A703EF"/>
    <w:multiLevelType w:val="multilevel"/>
    <w:tmpl w:val="8DF6B37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7E833F08"/>
    <w:multiLevelType w:val="hybridMultilevel"/>
    <w:tmpl w:val="11FA06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18"/>
  </w:num>
  <w:num w:numId="4">
    <w:abstractNumId w:val="2"/>
  </w:num>
  <w:num w:numId="5">
    <w:abstractNumId w:val="12"/>
  </w:num>
  <w:num w:numId="6">
    <w:abstractNumId w:val="0"/>
  </w:num>
  <w:num w:numId="7">
    <w:abstractNumId w:val="6"/>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7"/>
  </w:num>
  <w:num w:numId="14">
    <w:abstractNumId w:val="4"/>
  </w:num>
  <w:num w:numId="15">
    <w:abstractNumId w:val="5"/>
  </w:num>
  <w:num w:numId="16">
    <w:abstractNumId w:val="8"/>
  </w:num>
  <w:num w:numId="17">
    <w:abstractNumId w:val="3"/>
  </w:num>
  <w:num w:numId="18">
    <w:abstractNumId w:val="14"/>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A1"/>
    <w:rsid w:val="00004089"/>
    <w:rsid w:val="00004357"/>
    <w:rsid w:val="0001224B"/>
    <w:rsid w:val="00013697"/>
    <w:rsid w:val="000213A4"/>
    <w:rsid w:val="00025DDB"/>
    <w:rsid w:val="000267ED"/>
    <w:rsid w:val="00033238"/>
    <w:rsid w:val="00034A2E"/>
    <w:rsid w:val="00036121"/>
    <w:rsid w:val="00041834"/>
    <w:rsid w:val="0004302C"/>
    <w:rsid w:val="00047ADA"/>
    <w:rsid w:val="00050CF9"/>
    <w:rsid w:val="000514BD"/>
    <w:rsid w:val="00052563"/>
    <w:rsid w:val="00053D9B"/>
    <w:rsid w:val="000623DD"/>
    <w:rsid w:val="00067321"/>
    <w:rsid w:val="000675EF"/>
    <w:rsid w:val="0007163A"/>
    <w:rsid w:val="00072A1E"/>
    <w:rsid w:val="00080B53"/>
    <w:rsid w:val="0008782E"/>
    <w:rsid w:val="0009118A"/>
    <w:rsid w:val="0009428E"/>
    <w:rsid w:val="000A133C"/>
    <w:rsid w:val="000A71AF"/>
    <w:rsid w:val="000A7C02"/>
    <w:rsid w:val="000B2C03"/>
    <w:rsid w:val="000B2D90"/>
    <w:rsid w:val="000B3861"/>
    <w:rsid w:val="000C6A30"/>
    <w:rsid w:val="000D42F4"/>
    <w:rsid w:val="000F2C03"/>
    <w:rsid w:val="001015AC"/>
    <w:rsid w:val="00110291"/>
    <w:rsid w:val="001140D3"/>
    <w:rsid w:val="00121DFF"/>
    <w:rsid w:val="00126970"/>
    <w:rsid w:val="001315D8"/>
    <w:rsid w:val="00132147"/>
    <w:rsid w:val="00135662"/>
    <w:rsid w:val="0014292E"/>
    <w:rsid w:val="00151307"/>
    <w:rsid w:val="00154C4F"/>
    <w:rsid w:val="00160DE6"/>
    <w:rsid w:val="00162754"/>
    <w:rsid w:val="00163AE1"/>
    <w:rsid w:val="00165177"/>
    <w:rsid w:val="00166055"/>
    <w:rsid w:val="001746EB"/>
    <w:rsid w:val="00185375"/>
    <w:rsid w:val="00194744"/>
    <w:rsid w:val="00197651"/>
    <w:rsid w:val="001A7AA8"/>
    <w:rsid w:val="001B15DF"/>
    <w:rsid w:val="001B722C"/>
    <w:rsid w:val="001B7CB8"/>
    <w:rsid w:val="001C1D5B"/>
    <w:rsid w:val="001D0D70"/>
    <w:rsid w:val="001D2B49"/>
    <w:rsid w:val="001E55D3"/>
    <w:rsid w:val="001F36E9"/>
    <w:rsid w:val="001F413B"/>
    <w:rsid w:val="001F76B2"/>
    <w:rsid w:val="002026C5"/>
    <w:rsid w:val="00206342"/>
    <w:rsid w:val="002126B6"/>
    <w:rsid w:val="00217178"/>
    <w:rsid w:val="002248FF"/>
    <w:rsid w:val="0022584B"/>
    <w:rsid w:val="0023404E"/>
    <w:rsid w:val="002355DC"/>
    <w:rsid w:val="00244784"/>
    <w:rsid w:val="002468BA"/>
    <w:rsid w:val="00271D84"/>
    <w:rsid w:val="00274FF2"/>
    <w:rsid w:val="00277E8A"/>
    <w:rsid w:val="00295BFA"/>
    <w:rsid w:val="002A0AA2"/>
    <w:rsid w:val="002A1553"/>
    <w:rsid w:val="002B095A"/>
    <w:rsid w:val="002B1EBC"/>
    <w:rsid w:val="002B2199"/>
    <w:rsid w:val="002C02CF"/>
    <w:rsid w:val="002C1CB9"/>
    <w:rsid w:val="002C408A"/>
    <w:rsid w:val="002C5B45"/>
    <w:rsid w:val="002C604D"/>
    <w:rsid w:val="002E23B1"/>
    <w:rsid w:val="002E26CB"/>
    <w:rsid w:val="002F125C"/>
    <w:rsid w:val="00304679"/>
    <w:rsid w:val="0030618C"/>
    <w:rsid w:val="00320A5F"/>
    <w:rsid w:val="003253EC"/>
    <w:rsid w:val="003338AC"/>
    <w:rsid w:val="00333D29"/>
    <w:rsid w:val="00334340"/>
    <w:rsid w:val="003377F1"/>
    <w:rsid w:val="0034267F"/>
    <w:rsid w:val="00352B32"/>
    <w:rsid w:val="00357383"/>
    <w:rsid w:val="00370F1C"/>
    <w:rsid w:val="003773E5"/>
    <w:rsid w:val="00380DDF"/>
    <w:rsid w:val="003842E2"/>
    <w:rsid w:val="003918B7"/>
    <w:rsid w:val="00394209"/>
    <w:rsid w:val="003A28E0"/>
    <w:rsid w:val="003A4EBF"/>
    <w:rsid w:val="003A64A1"/>
    <w:rsid w:val="003A671D"/>
    <w:rsid w:val="003B23D8"/>
    <w:rsid w:val="003B4E9B"/>
    <w:rsid w:val="003C288F"/>
    <w:rsid w:val="003D0478"/>
    <w:rsid w:val="003E2C33"/>
    <w:rsid w:val="003E3187"/>
    <w:rsid w:val="003E78A0"/>
    <w:rsid w:val="003F0C1E"/>
    <w:rsid w:val="003F1948"/>
    <w:rsid w:val="003F2912"/>
    <w:rsid w:val="003F5E75"/>
    <w:rsid w:val="00401146"/>
    <w:rsid w:val="00402404"/>
    <w:rsid w:val="00411D27"/>
    <w:rsid w:val="00415E0C"/>
    <w:rsid w:val="00436004"/>
    <w:rsid w:val="004417EC"/>
    <w:rsid w:val="00452D98"/>
    <w:rsid w:val="004704F7"/>
    <w:rsid w:val="00474304"/>
    <w:rsid w:val="00475458"/>
    <w:rsid w:val="00480A54"/>
    <w:rsid w:val="004810C1"/>
    <w:rsid w:val="00487588"/>
    <w:rsid w:val="00492289"/>
    <w:rsid w:val="00496CEE"/>
    <w:rsid w:val="004A11B5"/>
    <w:rsid w:val="004A609F"/>
    <w:rsid w:val="004B2742"/>
    <w:rsid w:val="004C131D"/>
    <w:rsid w:val="004C480E"/>
    <w:rsid w:val="004C5FE5"/>
    <w:rsid w:val="004C6C37"/>
    <w:rsid w:val="004D4A2F"/>
    <w:rsid w:val="004E1120"/>
    <w:rsid w:val="004E6295"/>
    <w:rsid w:val="004F0B18"/>
    <w:rsid w:val="00506AA2"/>
    <w:rsid w:val="00516D8B"/>
    <w:rsid w:val="00524892"/>
    <w:rsid w:val="005346AF"/>
    <w:rsid w:val="005417DF"/>
    <w:rsid w:val="0055027F"/>
    <w:rsid w:val="005533DD"/>
    <w:rsid w:val="00566003"/>
    <w:rsid w:val="005769B6"/>
    <w:rsid w:val="00577E43"/>
    <w:rsid w:val="00581346"/>
    <w:rsid w:val="00583C4D"/>
    <w:rsid w:val="00583CED"/>
    <w:rsid w:val="005974F4"/>
    <w:rsid w:val="005A762F"/>
    <w:rsid w:val="005B27E6"/>
    <w:rsid w:val="005B76F3"/>
    <w:rsid w:val="005C52F1"/>
    <w:rsid w:val="005C757E"/>
    <w:rsid w:val="005D228D"/>
    <w:rsid w:val="005E1D8C"/>
    <w:rsid w:val="005E5A84"/>
    <w:rsid w:val="005F24F9"/>
    <w:rsid w:val="005F2590"/>
    <w:rsid w:val="005F78AA"/>
    <w:rsid w:val="00601991"/>
    <w:rsid w:val="006021AB"/>
    <w:rsid w:val="006035BE"/>
    <w:rsid w:val="00625AC6"/>
    <w:rsid w:val="00625FAF"/>
    <w:rsid w:val="006449E1"/>
    <w:rsid w:val="00651D0C"/>
    <w:rsid w:val="00653782"/>
    <w:rsid w:val="006661F8"/>
    <w:rsid w:val="00670CA9"/>
    <w:rsid w:val="00675BCE"/>
    <w:rsid w:val="0067650B"/>
    <w:rsid w:val="006810C0"/>
    <w:rsid w:val="006972DB"/>
    <w:rsid w:val="006A7ACD"/>
    <w:rsid w:val="006B02DD"/>
    <w:rsid w:val="006B0BFC"/>
    <w:rsid w:val="006B17BC"/>
    <w:rsid w:val="006B1E2A"/>
    <w:rsid w:val="006B49AD"/>
    <w:rsid w:val="006B684E"/>
    <w:rsid w:val="006B7C93"/>
    <w:rsid w:val="006C40B1"/>
    <w:rsid w:val="006D2894"/>
    <w:rsid w:val="006D3954"/>
    <w:rsid w:val="006D7110"/>
    <w:rsid w:val="006E73D0"/>
    <w:rsid w:val="006E7B99"/>
    <w:rsid w:val="006F233F"/>
    <w:rsid w:val="006F3C15"/>
    <w:rsid w:val="00700DBE"/>
    <w:rsid w:val="00702803"/>
    <w:rsid w:val="00704D6B"/>
    <w:rsid w:val="00707C94"/>
    <w:rsid w:val="00726673"/>
    <w:rsid w:val="00732299"/>
    <w:rsid w:val="007361AE"/>
    <w:rsid w:val="00737A6C"/>
    <w:rsid w:val="007419E5"/>
    <w:rsid w:val="00751C6C"/>
    <w:rsid w:val="00752EFD"/>
    <w:rsid w:val="00764362"/>
    <w:rsid w:val="00775A98"/>
    <w:rsid w:val="0077681D"/>
    <w:rsid w:val="007A3217"/>
    <w:rsid w:val="007A35F0"/>
    <w:rsid w:val="007B67BE"/>
    <w:rsid w:val="007C3B5B"/>
    <w:rsid w:val="007C7413"/>
    <w:rsid w:val="007D47AB"/>
    <w:rsid w:val="007F1F65"/>
    <w:rsid w:val="007F71AB"/>
    <w:rsid w:val="00806C5C"/>
    <w:rsid w:val="00815A4D"/>
    <w:rsid w:val="00823E5D"/>
    <w:rsid w:val="00825C65"/>
    <w:rsid w:val="0083100E"/>
    <w:rsid w:val="00835E02"/>
    <w:rsid w:val="00837A80"/>
    <w:rsid w:val="008567B0"/>
    <w:rsid w:val="008644A2"/>
    <w:rsid w:val="00865F1A"/>
    <w:rsid w:val="00867069"/>
    <w:rsid w:val="00870606"/>
    <w:rsid w:val="00874F11"/>
    <w:rsid w:val="00876296"/>
    <w:rsid w:val="008766FF"/>
    <w:rsid w:val="00876DC0"/>
    <w:rsid w:val="0088125C"/>
    <w:rsid w:val="00882C74"/>
    <w:rsid w:val="00894978"/>
    <w:rsid w:val="00895BF8"/>
    <w:rsid w:val="008A20E3"/>
    <w:rsid w:val="008C0518"/>
    <w:rsid w:val="008C28B9"/>
    <w:rsid w:val="008D63E5"/>
    <w:rsid w:val="008E3D8D"/>
    <w:rsid w:val="008F0DE5"/>
    <w:rsid w:val="008F4CA5"/>
    <w:rsid w:val="0090026D"/>
    <w:rsid w:val="00903D2D"/>
    <w:rsid w:val="00905425"/>
    <w:rsid w:val="009058FC"/>
    <w:rsid w:val="0091369D"/>
    <w:rsid w:val="009169EE"/>
    <w:rsid w:val="009246AB"/>
    <w:rsid w:val="00924B5A"/>
    <w:rsid w:val="009259D3"/>
    <w:rsid w:val="00931A6E"/>
    <w:rsid w:val="00935526"/>
    <w:rsid w:val="0093659D"/>
    <w:rsid w:val="00950045"/>
    <w:rsid w:val="00950644"/>
    <w:rsid w:val="009543FD"/>
    <w:rsid w:val="00954ACF"/>
    <w:rsid w:val="00957CE1"/>
    <w:rsid w:val="0096260B"/>
    <w:rsid w:val="00963E38"/>
    <w:rsid w:val="009804C3"/>
    <w:rsid w:val="00982D06"/>
    <w:rsid w:val="009844A2"/>
    <w:rsid w:val="00986B8F"/>
    <w:rsid w:val="00991DB5"/>
    <w:rsid w:val="009963DF"/>
    <w:rsid w:val="009A2577"/>
    <w:rsid w:val="009C04BE"/>
    <w:rsid w:val="009C2039"/>
    <w:rsid w:val="009C3D41"/>
    <w:rsid w:val="009C717E"/>
    <w:rsid w:val="009E3731"/>
    <w:rsid w:val="009E4C49"/>
    <w:rsid w:val="009E569C"/>
    <w:rsid w:val="009F04EA"/>
    <w:rsid w:val="009F0F9C"/>
    <w:rsid w:val="009F5410"/>
    <w:rsid w:val="00A065DC"/>
    <w:rsid w:val="00A14582"/>
    <w:rsid w:val="00A15F1A"/>
    <w:rsid w:val="00A336E4"/>
    <w:rsid w:val="00A352D9"/>
    <w:rsid w:val="00A51098"/>
    <w:rsid w:val="00A51256"/>
    <w:rsid w:val="00A5770F"/>
    <w:rsid w:val="00A64338"/>
    <w:rsid w:val="00A67382"/>
    <w:rsid w:val="00A71911"/>
    <w:rsid w:val="00A90D45"/>
    <w:rsid w:val="00AA164D"/>
    <w:rsid w:val="00AA175B"/>
    <w:rsid w:val="00AA44CE"/>
    <w:rsid w:val="00AA46D5"/>
    <w:rsid w:val="00AC779D"/>
    <w:rsid w:val="00AD0606"/>
    <w:rsid w:val="00AE5557"/>
    <w:rsid w:val="00AF5446"/>
    <w:rsid w:val="00B0791A"/>
    <w:rsid w:val="00B07E71"/>
    <w:rsid w:val="00B12BA5"/>
    <w:rsid w:val="00B14AB1"/>
    <w:rsid w:val="00B17F19"/>
    <w:rsid w:val="00B219AB"/>
    <w:rsid w:val="00B22160"/>
    <w:rsid w:val="00B234E7"/>
    <w:rsid w:val="00B246B4"/>
    <w:rsid w:val="00B247AB"/>
    <w:rsid w:val="00B30D1E"/>
    <w:rsid w:val="00B40818"/>
    <w:rsid w:val="00B46D81"/>
    <w:rsid w:val="00B47BE8"/>
    <w:rsid w:val="00B51DDC"/>
    <w:rsid w:val="00B5523D"/>
    <w:rsid w:val="00B7453B"/>
    <w:rsid w:val="00B84889"/>
    <w:rsid w:val="00B93421"/>
    <w:rsid w:val="00B935F3"/>
    <w:rsid w:val="00BA36BB"/>
    <w:rsid w:val="00BB1FD5"/>
    <w:rsid w:val="00BB2121"/>
    <w:rsid w:val="00BC02F9"/>
    <w:rsid w:val="00BC5F0A"/>
    <w:rsid w:val="00BC704E"/>
    <w:rsid w:val="00BD2AB9"/>
    <w:rsid w:val="00BF2A79"/>
    <w:rsid w:val="00BF3160"/>
    <w:rsid w:val="00BF4558"/>
    <w:rsid w:val="00BF7B86"/>
    <w:rsid w:val="00C01861"/>
    <w:rsid w:val="00C04B68"/>
    <w:rsid w:val="00C066E1"/>
    <w:rsid w:val="00C15A78"/>
    <w:rsid w:val="00C220B5"/>
    <w:rsid w:val="00C26BC0"/>
    <w:rsid w:val="00C36B18"/>
    <w:rsid w:val="00C40FDD"/>
    <w:rsid w:val="00C41B6A"/>
    <w:rsid w:val="00C44FC5"/>
    <w:rsid w:val="00C507E7"/>
    <w:rsid w:val="00C534CF"/>
    <w:rsid w:val="00C62C55"/>
    <w:rsid w:val="00C70E76"/>
    <w:rsid w:val="00C72947"/>
    <w:rsid w:val="00C73268"/>
    <w:rsid w:val="00C75519"/>
    <w:rsid w:val="00C8029D"/>
    <w:rsid w:val="00C84998"/>
    <w:rsid w:val="00C94E7A"/>
    <w:rsid w:val="00CA5BC9"/>
    <w:rsid w:val="00CA68A5"/>
    <w:rsid w:val="00CA6DB1"/>
    <w:rsid w:val="00CB0A65"/>
    <w:rsid w:val="00CB3CF1"/>
    <w:rsid w:val="00CC4B91"/>
    <w:rsid w:val="00CC4BDE"/>
    <w:rsid w:val="00D00611"/>
    <w:rsid w:val="00D02854"/>
    <w:rsid w:val="00D03ABF"/>
    <w:rsid w:val="00D11073"/>
    <w:rsid w:val="00D22728"/>
    <w:rsid w:val="00D31C5E"/>
    <w:rsid w:val="00D42F17"/>
    <w:rsid w:val="00D466E2"/>
    <w:rsid w:val="00D47404"/>
    <w:rsid w:val="00D51542"/>
    <w:rsid w:val="00D51683"/>
    <w:rsid w:val="00D55002"/>
    <w:rsid w:val="00D72597"/>
    <w:rsid w:val="00D731BB"/>
    <w:rsid w:val="00D87141"/>
    <w:rsid w:val="00D93822"/>
    <w:rsid w:val="00DB627B"/>
    <w:rsid w:val="00DC3F9B"/>
    <w:rsid w:val="00DC5FD0"/>
    <w:rsid w:val="00DC6858"/>
    <w:rsid w:val="00DD45FE"/>
    <w:rsid w:val="00DE48C4"/>
    <w:rsid w:val="00DF2DA2"/>
    <w:rsid w:val="00E052D4"/>
    <w:rsid w:val="00E06587"/>
    <w:rsid w:val="00E06A95"/>
    <w:rsid w:val="00E0719E"/>
    <w:rsid w:val="00E110B1"/>
    <w:rsid w:val="00E11D5B"/>
    <w:rsid w:val="00E13A7D"/>
    <w:rsid w:val="00E2335C"/>
    <w:rsid w:val="00E33072"/>
    <w:rsid w:val="00E4010A"/>
    <w:rsid w:val="00E444EB"/>
    <w:rsid w:val="00E50A65"/>
    <w:rsid w:val="00E52547"/>
    <w:rsid w:val="00E55736"/>
    <w:rsid w:val="00E5640F"/>
    <w:rsid w:val="00E61AE3"/>
    <w:rsid w:val="00E65F86"/>
    <w:rsid w:val="00E673D5"/>
    <w:rsid w:val="00E742C6"/>
    <w:rsid w:val="00E7608F"/>
    <w:rsid w:val="00EA2728"/>
    <w:rsid w:val="00EA3C53"/>
    <w:rsid w:val="00EA409A"/>
    <w:rsid w:val="00EA60A0"/>
    <w:rsid w:val="00EB6B25"/>
    <w:rsid w:val="00EC3D3B"/>
    <w:rsid w:val="00EC4A28"/>
    <w:rsid w:val="00ED5816"/>
    <w:rsid w:val="00ED6F06"/>
    <w:rsid w:val="00EF3932"/>
    <w:rsid w:val="00F07CB3"/>
    <w:rsid w:val="00F129D2"/>
    <w:rsid w:val="00F138D9"/>
    <w:rsid w:val="00F14325"/>
    <w:rsid w:val="00F1686D"/>
    <w:rsid w:val="00F411ED"/>
    <w:rsid w:val="00F47B24"/>
    <w:rsid w:val="00F604E5"/>
    <w:rsid w:val="00F62616"/>
    <w:rsid w:val="00F62ECD"/>
    <w:rsid w:val="00F65BDF"/>
    <w:rsid w:val="00F81E95"/>
    <w:rsid w:val="00F91B3A"/>
    <w:rsid w:val="00F944BB"/>
    <w:rsid w:val="00F9686C"/>
    <w:rsid w:val="00F9695D"/>
    <w:rsid w:val="00FA4843"/>
    <w:rsid w:val="00FB599C"/>
    <w:rsid w:val="00FC777C"/>
    <w:rsid w:val="00FD0A55"/>
    <w:rsid w:val="00FE5885"/>
    <w:rsid w:val="00FF3FE7"/>
    <w:rsid w:val="00FF4121"/>
    <w:rsid w:val="00FF5A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C53349"/>
  <w15:docId w15:val="{C1943098-E981-4E44-A328-43529EBF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2ECD"/>
    <w:pPr>
      <w:spacing w:after="0" w:line="240" w:lineRule="auto"/>
    </w:pPr>
    <w:rPr>
      <w:sz w:val="20"/>
      <w:szCs w:val="20"/>
    </w:rPr>
  </w:style>
  <w:style w:type="character" w:customStyle="1" w:styleId="FootnoteTextChar">
    <w:name w:val="Footnote Text Char"/>
    <w:basedOn w:val="DefaultParagraphFont"/>
    <w:link w:val="FootnoteText"/>
    <w:uiPriority w:val="99"/>
    <w:rsid w:val="00F62ECD"/>
    <w:rPr>
      <w:sz w:val="20"/>
      <w:szCs w:val="20"/>
    </w:rPr>
  </w:style>
  <w:style w:type="character" w:styleId="FootnoteReference">
    <w:name w:val="footnote reference"/>
    <w:basedOn w:val="DefaultParagraphFont"/>
    <w:uiPriority w:val="99"/>
    <w:unhideWhenUsed/>
    <w:rsid w:val="00F62ECD"/>
    <w:rPr>
      <w:vertAlign w:val="superscript"/>
    </w:rPr>
  </w:style>
  <w:style w:type="paragraph" w:styleId="ListParagraph">
    <w:name w:val="List Paragraph"/>
    <w:basedOn w:val="Normal"/>
    <w:uiPriority w:val="34"/>
    <w:qFormat/>
    <w:rsid w:val="00675BCE"/>
    <w:pPr>
      <w:ind w:left="720"/>
      <w:contextualSpacing/>
    </w:pPr>
  </w:style>
  <w:style w:type="paragraph" w:styleId="Header">
    <w:name w:val="header"/>
    <w:basedOn w:val="Normal"/>
    <w:link w:val="HeaderChar"/>
    <w:uiPriority w:val="99"/>
    <w:unhideWhenUsed/>
    <w:rsid w:val="00675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BCE"/>
  </w:style>
  <w:style w:type="paragraph" w:styleId="Footer">
    <w:name w:val="footer"/>
    <w:basedOn w:val="Normal"/>
    <w:link w:val="FooterChar"/>
    <w:uiPriority w:val="99"/>
    <w:unhideWhenUsed/>
    <w:rsid w:val="00675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BCE"/>
  </w:style>
  <w:style w:type="character" w:styleId="Hyperlink">
    <w:name w:val="Hyperlink"/>
    <w:basedOn w:val="DefaultParagraphFont"/>
    <w:uiPriority w:val="99"/>
    <w:unhideWhenUsed/>
    <w:rsid w:val="00F65BDF"/>
    <w:rPr>
      <w:color w:val="0000FF" w:themeColor="hyperlink"/>
      <w:u w:val="single"/>
    </w:rPr>
  </w:style>
  <w:style w:type="character" w:styleId="HTMLCite">
    <w:name w:val="HTML Cite"/>
    <w:basedOn w:val="DefaultParagraphFont"/>
    <w:uiPriority w:val="99"/>
    <w:semiHidden/>
    <w:unhideWhenUsed/>
    <w:rsid w:val="00F65BDF"/>
    <w:rPr>
      <w:i/>
      <w:iCs/>
    </w:rPr>
  </w:style>
  <w:style w:type="character" w:styleId="FollowedHyperlink">
    <w:name w:val="FollowedHyperlink"/>
    <w:basedOn w:val="DefaultParagraphFont"/>
    <w:uiPriority w:val="99"/>
    <w:semiHidden/>
    <w:unhideWhenUsed/>
    <w:rsid w:val="005B76F3"/>
    <w:rPr>
      <w:color w:val="800080" w:themeColor="followedHyperlink"/>
      <w:u w:val="single"/>
    </w:rPr>
  </w:style>
  <w:style w:type="paragraph" w:styleId="BalloonText">
    <w:name w:val="Balloon Text"/>
    <w:basedOn w:val="Normal"/>
    <w:link w:val="BalloonTextChar"/>
    <w:uiPriority w:val="99"/>
    <w:semiHidden/>
    <w:unhideWhenUsed/>
    <w:rsid w:val="00ED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F06"/>
    <w:rPr>
      <w:rFonts w:ascii="Tahoma" w:hAnsi="Tahoma" w:cs="Tahoma"/>
      <w:sz w:val="16"/>
      <w:szCs w:val="16"/>
    </w:rPr>
  </w:style>
  <w:style w:type="table" w:styleId="TableGrid">
    <w:name w:val="Table Grid"/>
    <w:basedOn w:val="TableNormal"/>
    <w:uiPriority w:val="59"/>
    <w:rsid w:val="0075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7608F"/>
    <w:rPr>
      <w:i/>
      <w:iCs/>
      <w:color w:val="808080" w:themeColor="text1" w:themeTint="7F"/>
    </w:rPr>
  </w:style>
  <w:style w:type="character" w:styleId="CommentReference">
    <w:name w:val="annotation reference"/>
    <w:basedOn w:val="DefaultParagraphFont"/>
    <w:uiPriority w:val="99"/>
    <w:semiHidden/>
    <w:unhideWhenUsed/>
    <w:rsid w:val="00C04B68"/>
    <w:rPr>
      <w:sz w:val="16"/>
      <w:szCs w:val="16"/>
    </w:rPr>
  </w:style>
  <w:style w:type="paragraph" w:styleId="CommentText">
    <w:name w:val="annotation text"/>
    <w:basedOn w:val="Normal"/>
    <w:link w:val="CommentTextChar"/>
    <w:uiPriority w:val="99"/>
    <w:semiHidden/>
    <w:unhideWhenUsed/>
    <w:rsid w:val="00C04B68"/>
    <w:pPr>
      <w:spacing w:line="240" w:lineRule="auto"/>
    </w:pPr>
    <w:rPr>
      <w:sz w:val="20"/>
      <w:szCs w:val="20"/>
    </w:rPr>
  </w:style>
  <w:style w:type="character" w:customStyle="1" w:styleId="CommentTextChar">
    <w:name w:val="Comment Text Char"/>
    <w:basedOn w:val="DefaultParagraphFont"/>
    <w:link w:val="CommentText"/>
    <w:uiPriority w:val="99"/>
    <w:semiHidden/>
    <w:rsid w:val="00C04B68"/>
    <w:rPr>
      <w:sz w:val="20"/>
      <w:szCs w:val="20"/>
    </w:rPr>
  </w:style>
  <w:style w:type="paragraph" w:styleId="CommentSubject">
    <w:name w:val="annotation subject"/>
    <w:basedOn w:val="CommentText"/>
    <w:next w:val="CommentText"/>
    <w:link w:val="CommentSubjectChar"/>
    <w:uiPriority w:val="99"/>
    <w:semiHidden/>
    <w:unhideWhenUsed/>
    <w:rsid w:val="00C04B68"/>
    <w:rPr>
      <w:b/>
      <w:bCs/>
    </w:rPr>
  </w:style>
  <w:style w:type="character" w:customStyle="1" w:styleId="CommentSubjectChar">
    <w:name w:val="Comment Subject Char"/>
    <w:basedOn w:val="CommentTextChar"/>
    <w:link w:val="CommentSubject"/>
    <w:uiPriority w:val="99"/>
    <w:semiHidden/>
    <w:rsid w:val="00C04B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9341">
      <w:bodyDiv w:val="1"/>
      <w:marLeft w:val="0"/>
      <w:marRight w:val="0"/>
      <w:marTop w:val="0"/>
      <w:marBottom w:val="0"/>
      <w:divBdr>
        <w:top w:val="none" w:sz="0" w:space="0" w:color="auto"/>
        <w:left w:val="none" w:sz="0" w:space="0" w:color="auto"/>
        <w:bottom w:val="none" w:sz="0" w:space="0" w:color="auto"/>
        <w:right w:val="none" w:sz="0" w:space="0" w:color="auto"/>
      </w:divBdr>
    </w:div>
    <w:div w:id="226189060">
      <w:bodyDiv w:val="1"/>
      <w:marLeft w:val="0"/>
      <w:marRight w:val="0"/>
      <w:marTop w:val="0"/>
      <w:marBottom w:val="0"/>
      <w:divBdr>
        <w:top w:val="none" w:sz="0" w:space="0" w:color="auto"/>
        <w:left w:val="none" w:sz="0" w:space="0" w:color="auto"/>
        <w:bottom w:val="none" w:sz="0" w:space="0" w:color="auto"/>
        <w:right w:val="none" w:sz="0" w:space="0" w:color="auto"/>
      </w:divBdr>
    </w:div>
    <w:div w:id="173520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lackboard.com/learning-management-system/blackboard-learn.aspx" TargetMode="External"/><Relationship Id="rId13" Type="http://schemas.openxmlformats.org/officeDocument/2006/relationships/hyperlink" Target="http://www.yourdictionary.com/digital-age" TargetMode="External"/><Relationship Id="rId18" Type="http://schemas.openxmlformats.org/officeDocument/2006/relationships/hyperlink" Target="http://www.abs.gov.au/ausstats/abs@.nsf/mf/3218.0" TargetMode="External"/><Relationship Id="rId3" Type="http://schemas.openxmlformats.org/officeDocument/2006/relationships/hyperlink" Target="http://www.streetlaw.org" TargetMode="External"/><Relationship Id="rId21" Type="http://schemas.openxmlformats.org/officeDocument/2006/relationships/hyperlink" Target="http://www.theadvocatesgateway.org" TargetMode="External"/><Relationship Id="rId7" Type="http://schemas.openxmlformats.org/officeDocument/2006/relationships/hyperlink" Target="http://www.londoninternational.ac.uk/llb" TargetMode="External"/><Relationship Id="rId12" Type="http://schemas.openxmlformats.org/officeDocument/2006/relationships/hyperlink" Target="http://www.abs.gov.au" TargetMode="External"/><Relationship Id="rId17" Type="http://schemas.openxmlformats.org/officeDocument/2006/relationships/hyperlink" Target="http://www.abs.gov.au/ausstats/abs@.nsf/mf/3101.0" TargetMode="External"/><Relationship Id="rId2" Type="http://schemas.openxmlformats.org/officeDocument/2006/relationships/hyperlink" Target="http://www.ijcle.com" TargetMode="External"/><Relationship Id="rId16" Type="http://schemas.openxmlformats.org/officeDocument/2006/relationships/hyperlink" Target="https://theconversation.com/is-online-education-good-or-bad-and-is-this-really-the-right-question-35949" TargetMode="External"/><Relationship Id="rId20" Type="http://schemas.openxmlformats.org/officeDocument/2006/relationships/hyperlink" Target="http://www.abs.gov.au" TargetMode="External"/><Relationship Id="rId1" Type="http://schemas.openxmlformats.org/officeDocument/2006/relationships/hyperlink" Target="http://gaje.org" TargetMode="External"/><Relationship Id="rId6" Type="http://schemas.openxmlformats.org/officeDocument/2006/relationships/hyperlink" Target="http://www.northumbriajournals.co.uk/index.php/ijcle" TargetMode="External"/><Relationship Id="rId11" Type="http://schemas.openxmlformats.org/officeDocument/2006/relationships/hyperlink" Target="http://www.blackboard.com/online-collaborative-learning/index.aspx" TargetMode="External"/><Relationship Id="rId5" Type="http://schemas.openxmlformats.org/officeDocument/2006/relationships/hyperlink" Target="http://www.streetlaw.org" TargetMode="External"/><Relationship Id="rId15" Type="http://schemas.openxmlformats.org/officeDocument/2006/relationships/hyperlink" Target="http://www.americanbar.org/groups/legal_education/resources/distance_education.html" TargetMode="External"/><Relationship Id="rId10" Type="http://schemas.openxmlformats.org/officeDocument/2006/relationships/hyperlink" Target="https://en.wikipedia.org/wiki/Moodle" TargetMode="External"/><Relationship Id="rId19" Type="http://schemas.openxmlformats.org/officeDocument/2006/relationships/hyperlink" Target="http://www.countrymeters.info" TargetMode="External"/><Relationship Id="rId4" Type="http://schemas.openxmlformats.org/officeDocument/2006/relationships/hyperlink" Target="http://www.lawyersweekly.com.au/news/15506-ala-slams-ban-on-clc-advocacy" TargetMode="External"/><Relationship Id="rId9" Type="http://schemas.openxmlformats.org/officeDocument/2006/relationships/hyperlink" Target="https://en.wikipedia.org/wiki/Blackboard_Learn" TargetMode="External"/><Relationship Id="rId14" Type="http://schemas.openxmlformats.org/officeDocument/2006/relationships/hyperlink" Target="http://www.dictionary.cambridge.org/dictionary/english/digital-age" TargetMode="External"/><Relationship Id="rId22" Type="http://schemas.openxmlformats.org/officeDocument/2006/relationships/hyperlink" Target="http://www.smartshe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F943-CC8F-4268-A674-491A543B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8869</Words>
  <Characters>49696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Becky Skoyles</cp:lastModifiedBy>
  <cp:revision>3</cp:revision>
  <cp:lastPrinted>2016-10-20T01:27:00Z</cp:lastPrinted>
  <dcterms:created xsi:type="dcterms:W3CDTF">2016-12-16T09:15:00Z</dcterms:created>
  <dcterms:modified xsi:type="dcterms:W3CDTF">2016-12-16T09:26:00Z</dcterms:modified>
</cp:coreProperties>
</file>