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738" w:rsidRPr="00613946" w:rsidRDefault="00022738" w:rsidP="00022738">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022738" w:rsidRPr="00613946" w:rsidRDefault="00022738" w:rsidP="00022738">
      <w:pPr>
        <w:rPr>
          <w:rFonts w:ascii="Palatino Linotype" w:hAnsi="Palatino Linotype"/>
          <w:b/>
          <w:sz w:val="28"/>
          <w:szCs w:val="28"/>
        </w:rPr>
      </w:pPr>
      <w:r>
        <w:rPr>
          <w:rFonts w:ascii="Palatino Linotype" w:hAnsi="Palatino Linotype"/>
          <w:b/>
          <w:sz w:val="28"/>
          <w:szCs w:val="28"/>
        </w:rPr>
        <w:t>What have you all been reading?</w:t>
      </w:r>
    </w:p>
    <w:p w:rsidR="00022738" w:rsidRDefault="00022738" w:rsidP="00022738">
      <w:pPr>
        <w:rPr>
          <w:rFonts w:ascii="Palatino Linotype" w:hAnsi="Palatino Linotype"/>
          <w:sz w:val="24"/>
          <w:szCs w:val="24"/>
        </w:rPr>
      </w:pPr>
      <w:r>
        <w:rPr>
          <w:rFonts w:ascii="Palatino Linotype" w:hAnsi="Palatino Linotype"/>
          <w:sz w:val="24"/>
          <w:szCs w:val="24"/>
        </w:rPr>
        <w:t>Elaine Hall</w:t>
      </w:r>
    </w:p>
    <w:p w:rsidR="00022738" w:rsidRDefault="00022738" w:rsidP="00022738">
      <w:pPr>
        <w:rPr>
          <w:rFonts w:ascii="Palatino Linotype" w:hAnsi="Palatino Linotype"/>
          <w:sz w:val="24"/>
          <w:szCs w:val="24"/>
        </w:rPr>
      </w:pPr>
      <w:r>
        <w:rPr>
          <w:rFonts w:ascii="Palatino Linotype" w:hAnsi="Palatino Linotype"/>
          <w:sz w:val="24"/>
          <w:szCs w:val="24"/>
        </w:rPr>
        <w:t>Northumbria University, UK</w:t>
      </w:r>
    </w:p>
    <w:p w:rsidR="00022738" w:rsidRDefault="00F84B18" w:rsidP="00022738">
      <w:pPr>
        <w:rPr>
          <w:rStyle w:val="Hyperlink"/>
          <w:rFonts w:ascii="Palatino Linotype" w:hAnsi="Palatino Linotype"/>
          <w:sz w:val="24"/>
          <w:szCs w:val="24"/>
        </w:rPr>
      </w:pPr>
      <w:hyperlink r:id="rId8" w:history="1">
        <w:r w:rsidR="00022738" w:rsidRPr="00935DD6">
          <w:rPr>
            <w:rStyle w:val="Hyperlink"/>
            <w:rFonts w:ascii="Palatino Linotype" w:hAnsi="Palatino Linotype"/>
            <w:sz w:val="24"/>
            <w:szCs w:val="24"/>
          </w:rPr>
          <w:t>Elaine.Hall@northumbria.ac.uk</w:t>
        </w:r>
      </w:hyperlink>
    </w:p>
    <w:p w:rsidR="00022738" w:rsidRDefault="00022738" w:rsidP="00022738">
      <w:pPr>
        <w:spacing w:line="480" w:lineRule="auto"/>
        <w:jc w:val="both"/>
        <w:rPr>
          <w:rFonts w:ascii="Palatino Linotype" w:hAnsi="Palatino Linotype"/>
          <w:sz w:val="24"/>
          <w:szCs w:val="24"/>
        </w:rPr>
      </w:pPr>
      <w:r>
        <w:rPr>
          <w:rFonts w:ascii="Palatino Linotype" w:hAnsi="Palatino Linotype"/>
          <w:sz w:val="24"/>
          <w:szCs w:val="24"/>
        </w:rPr>
        <w:t xml:space="preserve">I would like to start this Editorial with a couple of apologies.  The first is the lateness of this edition, planned for February and delayed by me taking ages to work out how to embed video.  The second is that I misjudged you, dear clinical scholars. I thought </w:t>
      </w:r>
      <w:r w:rsidR="00BA79AF">
        <w:rPr>
          <w:rFonts w:ascii="Palatino Linotype" w:hAnsi="Palatino Linotype"/>
          <w:sz w:val="24"/>
          <w:szCs w:val="24"/>
        </w:rPr>
        <w:t xml:space="preserve">that </w:t>
      </w:r>
      <w:r>
        <w:rPr>
          <w:rFonts w:ascii="Palatino Linotype" w:hAnsi="Palatino Linotype"/>
          <w:sz w:val="24"/>
          <w:szCs w:val="24"/>
        </w:rPr>
        <w:t xml:space="preserve">you went straight to the ‘meat’ and </w:t>
      </w:r>
      <w:proofErr w:type="gramStart"/>
      <w:r>
        <w:rPr>
          <w:rFonts w:ascii="Palatino Linotype" w:hAnsi="Palatino Linotype"/>
          <w:sz w:val="24"/>
          <w:szCs w:val="24"/>
        </w:rPr>
        <w:t>didn’t</w:t>
      </w:r>
      <w:proofErr w:type="gramEnd"/>
      <w:r>
        <w:rPr>
          <w:rFonts w:ascii="Palatino Linotype" w:hAnsi="Palatino Linotype"/>
          <w:sz w:val="24"/>
          <w:szCs w:val="24"/>
        </w:rPr>
        <w:t xml:space="preserve"> </w:t>
      </w:r>
      <w:r w:rsidR="00BA79AF">
        <w:rPr>
          <w:rFonts w:ascii="Palatino Linotype" w:hAnsi="Palatino Linotype"/>
          <w:sz w:val="24"/>
          <w:szCs w:val="24"/>
        </w:rPr>
        <w:t xml:space="preserve">pause to </w:t>
      </w:r>
      <w:r>
        <w:rPr>
          <w:rFonts w:ascii="Palatino Linotype" w:hAnsi="Palatino Linotype"/>
          <w:sz w:val="24"/>
          <w:szCs w:val="24"/>
        </w:rPr>
        <w:t xml:space="preserve">read these editorial </w:t>
      </w:r>
      <w:r w:rsidRPr="00022738">
        <w:rPr>
          <w:rFonts w:ascii="Palatino Linotype" w:hAnsi="Palatino Linotype"/>
          <w:i/>
          <w:sz w:val="24"/>
          <w:szCs w:val="24"/>
        </w:rPr>
        <w:t>amuse-</w:t>
      </w:r>
      <w:proofErr w:type="spellStart"/>
      <w:r w:rsidRPr="00022738">
        <w:rPr>
          <w:rFonts w:ascii="Palatino Linotype" w:hAnsi="Palatino Linotype"/>
          <w:i/>
          <w:sz w:val="24"/>
          <w:szCs w:val="24"/>
        </w:rPr>
        <w:t>bouches</w:t>
      </w:r>
      <w:proofErr w:type="spellEnd"/>
      <w:r>
        <w:rPr>
          <w:rFonts w:ascii="Palatino Linotype" w:hAnsi="Palatino Linotype"/>
          <w:i/>
          <w:sz w:val="24"/>
          <w:szCs w:val="24"/>
        </w:rPr>
        <w:t xml:space="preserve">.  </w:t>
      </w:r>
      <w:r>
        <w:rPr>
          <w:rFonts w:ascii="Palatino Linotype" w:hAnsi="Palatino Linotype"/>
          <w:sz w:val="24"/>
          <w:szCs w:val="24"/>
        </w:rPr>
        <w:t>However, while studying the download reports for the journal I realised that some of you do</w:t>
      </w:r>
      <w:r w:rsidR="00BA79AF">
        <w:rPr>
          <w:rFonts w:ascii="Palatino Linotype" w:hAnsi="Palatino Linotype"/>
          <w:sz w:val="24"/>
          <w:szCs w:val="24"/>
        </w:rPr>
        <w:t xml:space="preserve"> and from now on, I will make extra effort to include something nutritious.</w:t>
      </w:r>
    </w:p>
    <w:p w:rsidR="00BA79AF" w:rsidRDefault="00BA79AF" w:rsidP="00022738">
      <w:pPr>
        <w:spacing w:line="480" w:lineRule="auto"/>
        <w:jc w:val="both"/>
        <w:rPr>
          <w:rFonts w:ascii="Palatino Linotype" w:hAnsi="Palatino Linotype"/>
          <w:sz w:val="24"/>
          <w:szCs w:val="24"/>
        </w:rPr>
      </w:pPr>
      <w:r>
        <w:rPr>
          <w:rFonts w:ascii="Palatino Linotype" w:hAnsi="Palatino Linotype"/>
          <w:sz w:val="24"/>
          <w:szCs w:val="24"/>
        </w:rPr>
        <w:t xml:space="preserve">The IJCLE has been online since 2014 and in that time, more than 20,000 papers </w:t>
      </w:r>
      <w:proofErr w:type="gramStart"/>
      <w:r>
        <w:rPr>
          <w:rFonts w:ascii="Palatino Linotype" w:hAnsi="Palatino Linotype"/>
          <w:sz w:val="24"/>
          <w:szCs w:val="24"/>
        </w:rPr>
        <w:t>have been downloaded</w:t>
      </w:r>
      <w:proofErr w:type="gramEnd"/>
      <w:r>
        <w:rPr>
          <w:rFonts w:ascii="Palatino Linotype" w:hAnsi="Palatino Linotype"/>
          <w:sz w:val="24"/>
          <w:szCs w:val="24"/>
        </w:rPr>
        <w:t>.  A quick analysis of the data gives some interesting messages: the ten ‘digital age’ issues have an impressive performance</w:t>
      </w:r>
      <w:r w:rsidR="00D56240">
        <w:rPr>
          <w:rFonts w:ascii="Palatino Linotype" w:hAnsi="Palatino Linotype"/>
          <w:sz w:val="24"/>
          <w:szCs w:val="24"/>
        </w:rPr>
        <w:t xml:space="preserve"> in bringing clinical scholarship to a wider audience</w:t>
      </w:r>
      <w:r>
        <w:rPr>
          <w:rFonts w:ascii="Palatino Linotype" w:hAnsi="Palatino Linotype"/>
          <w:sz w:val="24"/>
          <w:szCs w:val="24"/>
        </w:rPr>
        <w:t xml:space="preserve">, over 10,000 downloads and an average of </w:t>
      </w:r>
      <w:r w:rsidR="00D56240">
        <w:rPr>
          <w:rFonts w:ascii="Palatino Linotype" w:hAnsi="Palatino Linotype"/>
          <w:sz w:val="24"/>
          <w:szCs w:val="24"/>
        </w:rPr>
        <w:t>over 300</w:t>
      </w:r>
      <w:r>
        <w:rPr>
          <w:rFonts w:ascii="Palatino Linotype" w:hAnsi="Palatino Linotype"/>
          <w:sz w:val="24"/>
          <w:szCs w:val="24"/>
        </w:rPr>
        <w:t xml:space="preserve"> per paper</w:t>
      </w:r>
      <w:r w:rsidR="00D56240">
        <w:rPr>
          <w:rFonts w:ascii="Palatino Linotype" w:hAnsi="Palatino Linotype"/>
          <w:sz w:val="24"/>
          <w:szCs w:val="24"/>
        </w:rPr>
        <w:t xml:space="preserve">, which is on a par with established journals like the </w:t>
      </w:r>
      <w:r w:rsidR="00D56240" w:rsidRPr="00D56240">
        <w:rPr>
          <w:rFonts w:ascii="Palatino Linotype" w:hAnsi="Palatino Linotype"/>
          <w:i/>
          <w:sz w:val="24"/>
          <w:szCs w:val="24"/>
        </w:rPr>
        <w:t>Law Teacher</w:t>
      </w:r>
      <w:r w:rsidR="00D56240">
        <w:rPr>
          <w:rFonts w:ascii="Palatino Linotype" w:hAnsi="Palatino Linotype"/>
          <w:sz w:val="24"/>
          <w:szCs w:val="24"/>
        </w:rPr>
        <w:t>.  The Special Issue on Assessment attracted the most attention</w:t>
      </w:r>
      <w:r w:rsidR="009B163B">
        <w:rPr>
          <w:rFonts w:ascii="Palatino Linotype" w:hAnsi="Palatino Linotype"/>
          <w:sz w:val="24"/>
          <w:szCs w:val="24"/>
        </w:rPr>
        <w:t xml:space="preserve"> as a collection of papers – so please send your ideas for special issues to me</w:t>
      </w:r>
      <w:proofErr w:type="gramStart"/>
      <w:r w:rsidR="009B163B">
        <w:rPr>
          <w:rFonts w:ascii="Palatino Linotype" w:hAnsi="Palatino Linotype"/>
          <w:sz w:val="24"/>
          <w:szCs w:val="24"/>
        </w:rPr>
        <w:t>!-</w:t>
      </w:r>
      <w:proofErr w:type="gramEnd"/>
      <w:r w:rsidR="009B163B">
        <w:rPr>
          <w:rFonts w:ascii="Palatino Linotype" w:hAnsi="Palatino Linotype"/>
          <w:sz w:val="24"/>
          <w:szCs w:val="24"/>
        </w:rPr>
        <w:t xml:space="preserve"> </w:t>
      </w:r>
      <w:r w:rsidR="00D56240">
        <w:rPr>
          <w:rFonts w:ascii="Palatino Linotype" w:hAnsi="Palatino Linotype"/>
          <w:sz w:val="24"/>
          <w:szCs w:val="24"/>
        </w:rPr>
        <w:t xml:space="preserve"> and currently the most popular paper is Paul </w:t>
      </w:r>
      <w:proofErr w:type="spellStart"/>
      <w:r w:rsidR="00D56240">
        <w:rPr>
          <w:rFonts w:ascii="Palatino Linotype" w:hAnsi="Palatino Linotype"/>
          <w:sz w:val="24"/>
          <w:szCs w:val="24"/>
        </w:rPr>
        <w:t>McKeown’s</w:t>
      </w:r>
      <w:proofErr w:type="spellEnd"/>
      <w:r w:rsidR="00D56240">
        <w:rPr>
          <w:rFonts w:ascii="Palatino Linotype" w:hAnsi="Palatino Linotype"/>
          <w:sz w:val="24"/>
          <w:szCs w:val="24"/>
        </w:rPr>
        <w:t xml:space="preserve"> </w:t>
      </w:r>
      <w:hyperlink r:id="rId9" w:history="1">
        <w:r w:rsidR="00D56240" w:rsidRPr="00D56240">
          <w:rPr>
            <w:rStyle w:val="Hyperlink"/>
            <w:rFonts w:ascii="Palatino Linotype" w:hAnsi="Palatino Linotype"/>
            <w:i/>
            <w:sz w:val="24"/>
            <w:szCs w:val="24"/>
          </w:rPr>
          <w:t>Law Students’ attitudes towards Pro Bono</w:t>
        </w:r>
      </w:hyperlink>
      <w:r w:rsidR="00D56240">
        <w:rPr>
          <w:rFonts w:ascii="Palatino Linotype" w:hAnsi="Palatino Linotype"/>
          <w:i/>
          <w:sz w:val="24"/>
          <w:szCs w:val="24"/>
        </w:rPr>
        <w:t xml:space="preserve">.  </w:t>
      </w:r>
      <w:r w:rsidR="00D56240">
        <w:rPr>
          <w:rFonts w:ascii="Palatino Linotype" w:hAnsi="Palatino Linotype"/>
          <w:sz w:val="24"/>
          <w:szCs w:val="24"/>
        </w:rPr>
        <w:t>This seems likely to change</w:t>
      </w:r>
      <w:r w:rsidR="0058731C">
        <w:rPr>
          <w:rFonts w:ascii="Palatino Linotype" w:hAnsi="Palatino Linotype"/>
          <w:sz w:val="24"/>
          <w:szCs w:val="24"/>
        </w:rPr>
        <w:t xml:space="preserve"> (sorry Paul!) not only as new papers are published </w:t>
      </w:r>
      <w:proofErr w:type="gramStart"/>
      <w:r w:rsidR="0058731C">
        <w:rPr>
          <w:rFonts w:ascii="Palatino Linotype" w:hAnsi="Palatino Linotype"/>
          <w:sz w:val="24"/>
          <w:szCs w:val="24"/>
        </w:rPr>
        <w:t>but</w:t>
      </w:r>
      <w:proofErr w:type="gramEnd"/>
      <w:r w:rsidR="00D56240">
        <w:rPr>
          <w:rFonts w:ascii="Palatino Linotype" w:hAnsi="Palatino Linotype"/>
          <w:sz w:val="24"/>
          <w:szCs w:val="24"/>
        </w:rPr>
        <w:t xml:space="preserve"> as the </w:t>
      </w:r>
      <w:r w:rsidR="0058731C">
        <w:rPr>
          <w:rFonts w:ascii="Palatino Linotype" w:hAnsi="Palatino Linotype"/>
          <w:sz w:val="24"/>
          <w:szCs w:val="24"/>
        </w:rPr>
        <w:t xml:space="preserve">visibility and use </w:t>
      </w:r>
      <w:r w:rsidR="00D56240">
        <w:rPr>
          <w:rFonts w:ascii="Palatino Linotype" w:hAnsi="Palatino Linotype"/>
          <w:sz w:val="24"/>
          <w:szCs w:val="24"/>
        </w:rPr>
        <w:t xml:space="preserve">of </w:t>
      </w:r>
      <w:r w:rsidR="00D56240">
        <w:rPr>
          <w:rFonts w:ascii="Palatino Linotype" w:hAnsi="Palatino Linotype"/>
          <w:sz w:val="24"/>
          <w:szCs w:val="24"/>
        </w:rPr>
        <w:lastRenderedPageBreak/>
        <w:t>papers in the archive</w:t>
      </w:r>
      <w:r w:rsidR="0058731C">
        <w:rPr>
          <w:rFonts w:ascii="Palatino Linotype" w:hAnsi="Palatino Linotype"/>
          <w:sz w:val="24"/>
          <w:szCs w:val="24"/>
        </w:rPr>
        <w:t xml:space="preserve"> continues to build.  As the numerate amongst you will already have noticed, half of all downloads are from the ‘pre-digital’ editions, despite many of these being available via </w:t>
      </w:r>
      <w:proofErr w:type="spellStart"/>
      <w:r w:rsidR="0058731C">
        <w:rPr>
          <w:rFonts w:ascii="Palatino Linotype" w:hAnsi="Palatino Linotype"/>
          <w:sz w:val="24"/>
          <w:szCs w:val="24"/>
        </w:rPr>
        <w:t>HeinOnline</w:t>
      </w:r>
      <w:proofErr w:type="spellEnd"/>
      <w:r w:rsidR="0058731C">
        <w:rPr>
          <w:rFonts w:ascii="Palatino Linotype" w:hAnsi="Palatino Linotype"/>
          <w:sz w:val="24"/>
          <w:szCs w:val="24"/>
        </w:rPr>
        <w:t>.  This data cheers me enormously for at least two reasons:</w:t>
      </w:r>
    </w:p>
    <w:p w:rsidR="0058731C" w:rsidRDefault="0058731C" w:rsidP="0058731C">
      <w:pPr>
        <w:pStyle w:val="ListParagraph"/>
        <w:numPr>
          <w:ilvl w:val="0"/>
          <w:numId w:val="3"/>
        </w:numPr>
        <w:spacing w:line="480" w:lineRule="auto"/>
        <w:jc w:val="both"/>
        <w:rPr>
          <w:rFonts w:ascii="Palatino Linotype" w:hAnsi="Palatino Linotype"/>
          <w:sz w:val="24"/>
          <w:szCs w:val="24"/>
        </w:rPr>
      </w:pPr>
      <w:r>
        <w:rPr>
          <w:rFonts w:ascii="Palatino Linotype" w:hAnsi="Palatino Linotype"/>
          <w:sz w:val="24"/>
          <w:szCs w:val="24"/>
        </w:rPr>
        <w:t xml:space="preserve">We can demonstrate the impact of clinical scholarship and the vitality of the audience for the IJCLE: it is worth sending your papers here.  They </w:t>
      </w:r>
      <w:proofErr w:type="gramStart"/>
      <w:r>
        <w:rPr>
          <w:rFonts w:ascii="Palatino Linotype" w:hAnsi="Palatino Linotype"/>
          <w:sz w:val="24"/>
          <w:szCs w:val="24"/>
        </w:rPr>
        <w:t>will be read</w:t>
      </w:r>
      <w:proofErr w:type="gramEnd"/>
      <w:r>
        <w:rPr>
          <w:rFonts w:ascii="Palatino Linotype" w:hAnsi="Palatino Linotype"/>
          <w:sz w:val="24"/>
          <w:szCs w:val="24"/>
        </w:rPr>
        <w:t>, challenged and contribute to the clinical discourse.</w:t>
      </w:r>
    </w:p>
    <w:p w:rsidR="0058731C" w:rsidRPr="0058731C" w:rsidRDefault="0058731C" w:rsidP="0058731C">
      <w:pPr>
        <w:pStyle w:val="ListParagraph"/>
        <w:numPr>
          <w:ilvl w:val="0"/>
          <w:numId w:val="3"/>
        </w:numPr>
        <w:spacing w:line="480" w:lineRule="auto"/>
        <w:jc w:val="both"/>
        <w:rPr>
          <w:rFonts w:ascii="Palatino Linotype" w:hAnsi="Palatino Linotype"/>
          <w:sz w:val="24"/>
          <w:szCs w:val="24"/>
        </w:rPr>
      </w:pPr>
      <w:r>
        <w:rPr>
          <w:rFonts w:ascii="Palatino Linotype" w:hAnsi="Palatino Linotype"/>
          <w:sz w:val="24"/>
          <w:szCs w:val="24"/>
        </w:rPr>
        <w:t>Clinical scholars are heeding the messages from recent systematic reviews</w:t>
      </w:r>
      <w:r>
        <w:rPr>
          <w:rStyle w:val="FootnoteReference"/>
          <w:rFonts w:ascii="Palatino Linotype" w:hAnsi="Palatino Linotype"/>
          <w:sz w:val="24"/>
          <w:szCs w:val="24"/>
        </w:rPr>
        <w:footnoteReference w:id="1"/>
      </w:r>
      <w:r>
        <w:rPr>
          <w:rFonts w:ascii="Palatino Linotype" w:hAnsi="Palatino Linotype"/>
          <w:sz w:val="24"/>
          <w:szCs w:val="24"/>
        </w:rPr>
        <w:t xml:space="preserve"> and heading back into our history to elicit the lessons buried there.  We are becoming more critical and sophisticated in using our traditions, as well as engaging beyond our disciplinary boundaries.</w:t>
      </w:r>
    </w:p>
    <w:p w:rsidR="00022738" w:rsidRDefault="009B163B" w:rsidP="00022738">
      <w:pPr>
        <w:spacing w:line="480" w:lineRule="auto"/>
        <w:jc w:val="both"/>
        <w:rPr>
          <w:rFonts w:ascii="Palatino Linotype" w:hAnsi="Palatino Linotype"/>
          <w:sz w:val="24"/>
          <w:szCs w:val="24"/>
        </w:rPr>
      </w:pPr>
      <w:r>
        <w:rPr>
          <w:rFonts w:ascii="Palatino Linotype" w:hAnsi="Palatino Linotype"/>
          <w:sz w:val="24"/>
          <w:szCs w:val="24"/>
        </w:rPr>
        <w:t xml:space="preserve">To add a degree of randomness or serendipity to this process, </w:t>
      </w:r>
      <w:proofErr w:type="gramStart"/>
      <w:r>
        <w:rPr>
          <w:rFonts w:ascii="Palatino Linotype" w:hAnsi="Palatino Linotype"/>
          <w:sz w:val="24"/>
          <w:szCs w:val="24"/>
        </w:rPr>
        <w:t>I’m</w:t>
      </w:r>
      <w:proofErr w:type="gramEnd"/>
      <w:r>
        <w:rPr>
          <w:rFonts w:ascii="Palatino Linotype" w:hAnsi="Palatino Linotype"/>
          <w:sz w:val="24"/>
          <w:szCs w:val="24"/>
        </w:rPr>
        <w:t xml:space="preserve"> instituting an idea from my favourite food blog, </w:t>
      </w:r>
      <w:hyperlink r:id="rId10" w:history="1">
        <w:r w:rsidRPr="009B163B">
          <w:rPr>
            <w:rStyle w:val="Hyperlink"/>
            <w:rFonts w:ascii="Palatino Linotype" w:hAnsi="Palatino Linotype"/>
            <w:sz w:val="24"/>
            <w:szCs w:val="24"/>
          </w:rPr>
          <w:t>smitten kitchen</w:t>
        </w:r>
      </w:hyperlink>
      <w:r>
        <w:rPr>
          <w:rFonts w:ascii="Palatino Linotype" w:hAnsi="Palatino Linotype"/>
          <w:sz w:val="24"/>
          <w:szCs w:val="24"/>
        </w:rPr>
        <w:t xml:space="preserve"> – the Archive Dive.  </w:t>
      </w:r>
      <w:proofErr w:type="gramStart"/>
      <w:r>
        <w:rPr>
          <w:rFonts w:ascii="Palatino Linotype" w:hAnsi="Palatino Linotype"/>
          <w:sz w:val="24"/>
          <w:szCs w:val="24"/>
        </w:rPr>
        <w:t>Therefore</w:t>
      </w:r>
      <w:proofErr w:type="gramEnd"/>
      <w:r>
        <w:rPr>
          <w:rFonts w:ascii="Palatino Linotype" w:hAnsi="Palatino Linotype"/>
          <w:sz w:val="24"/>
          <w:szCs w:val="24"/>
        </w:rPr>
        <w:t xml:space="preserve"> from this issue we direct your attention back to </w:t>
      </w:r>
      <w:hyperlink r:id="rId11" w:history="1">
        <w:r w:rsidRPr="009B163B">
          <w:rPr>
            <w:rStyle w:val="Hyperlink"/>
            <w:rFonts w:ascii="Palatino Linotype" w:hAnsi="Palatino Linotype"/>
            <w:sz w:val="24"/>
            <w:szCs w:val="24"/>
          </w:rPr>
          <w:t>Volume 11</w:t>
        </w:r>
      </w:hyperlink>
      <w:r>
        <w:rPr>
          <w:rFonts w:ascii="Palatino Linotype" w:hAnsi="Palatino Linotype"/>
          <w:sz w:val="24"/>
          <w:szCs w:val="24"/>
        </w:rPr>
        <w:t xml:space="preserve"> where you’ll find papers on multicultural (Ada </w:t>
      </w:r>
      <w:proofErr w:type="spellStart"/>
      <w:r>
        <w:rPr>
          <w:rFonts w:ascii="Palatino Linotype" w:hAnsi="Palatino Linotype"/>
          <w:sz w:val="24"/>
          <w:szCs w:val="24"/>
        </w:rPr>
        <w:t>Okoye</w:t>
      </w:r>
      <w:proofErr w:type="spellEnd"/>
      <w:r>
        <w:rPr>
          <w:rFonts w:ascii="Palatino Linotype" w:hAnsi="Palatino Linotype"/>
          <w:sz w:val="24"/>
          <w:szCs w:val="24"/>
        </w:rPr>
        <w:t xml:space="preserve"> </w:t>
      </w:r>
      <w:proofErr w:type="spellStart"/>
      <w:r>
        <w:rPr>
          <w:rFonts w:ascii="Palatino Linotype" w:hAnsi="Palatino Linotype"/>
          <w:sz w:val="24"/>
          <w:szCs w:val="24"/>
        </w:rPr>
        <w:t>Ordor</w:t>
      </w:r>
      <w:proofErr w:type="spellEnd"/>
      <w:r>
        <w:rPr>
          <w:rFonts w:ascii="Palatino Linotype" w:hAnsi="Palatino Linotype"/>
          <w:sz w:val="24"/>
          <w:szCs w:val="24"/>
        </w:rPr>
        <w:t xml:space="preserve">) and indigenous (Anna Cody and Sue Green) perspectives, an overview of CLE within Law (Margaret Barry) and a paper on ethics (Kevin Kerrigan).  These are still hot topics and </w:t>
      </w:r>
      <w:proofErr w:type="gramStart"/>
      <w:r>
        <w:rPr>
          <w:rFonts w:ascii="Palatino Linotype" w:hAnsi="Palatino Linotype"/>
          <w:sz w:val="24"/>
          <w:szCs w:val="24"/>
        </w:rPr>
        <w:t>I’m</w:t>
      </w:r>
      <w:proofErr w:type="gramEnd"/>
      <w:r>
        <w:rPr>
          <w:rFonts w:ascii="Palatino Linotype" w:hAnsi="Palatino Linotype"/>
          <w:sz w:val="24"/>
          <w:szCs w:val="24"/>
        </w:rPr>
        <w:t xml:space="preserve"> delighted to say that you can catch some of these clinicians at the IJCLE, ENCLE and CLEO conference in July this year – more details below.</w:t>
      </w:r>
    </w:p>
    <w:p w:rsidR="00022738" w:rsidRDefault="009B163B" w:rsidP="00022738">
      <w:pPr>
        <w:spacing w:line="480" w:lineRule="auto"/>
        <w:jc w:val="both"/>
        <w:rPr>
          <w:rFonts w:ascii="Palatino Linotype" w:hAnsi="Palatino Linotype"/>
          <w:sz w:val="24"/>
          <w:szCs w:val="24"/>
        </w:rPr>
      </w:pPr>
      <w:r>
        <w:rPr>
          <w:rFonts w:ascii="Palatino Linotype" w:hAnsi="Palatino Linotype"/>
          <w:sz w:val="24"/>
          <w:szCs w:val="24"/>
        </w:rPr>
        <w:lastRenderedPageBreak/>
        <w:t>Meanwhile, i</w:t>
      </w:r>
      <w:r w:rsidR="00022738">
        <w:rPr>
          <w:rFonts w:ascii="Palatino Linotype" w:hAnsi="Palatino Linotype"/>
          <w:sz w:val="24"/>
          <w:szCs w:val="24"/>
        </w:rPr>
        <w:t xml:space="preserve">n this edition, we have </w:t>
      </w:r>
      <w:r>
        <w:rPr>
          <w:rFonts w:ascii="Palatino Linotype" w:hAnsi="Palatino Linotype"/>
          <w:sz w:val="24"/>
          <w:szCs w:val="24"/>
        </w:rPr>
        <w:t xml:space="preserve">an important paper on </w:t>
      </w:r>
      <w:r w:rsidR="00D2319D">
        <w:rPr>
          <w:rFonts w:ascii="Palatino Linotype" w:hAnsi="Palatino Linotype"/>
          <w:sz w:val="24"/>
          <w:szCs w:val="24"/>
        </w:rPr>
        <w:t xml:space="preserve">research methods to investigate the impact of clinic from Lisa Bliss, Sylvia Caley and Leslie Wolf, crystallising the learning from their intensive programme of investigation at Georgia State University.  Many of you who have been able to take part </w:t>
      </w:r>
      <w:proofErr w:type="gramStart"/>
      <w:r w:rsidR="00D2319D">
        <w:rPr>
          <w:rFonts w:ascii="Palatino Linotype" w:hAnsi="Palatino Linotype"/>
          <w:sz w:val="24"/>
          <w:szCs w:val="24"/>
        </w:rPr>
        <w:t xml:space="preserve">in their interactive seminars at GAJE/IJCLE </w:t>
      </w:r>
      <w:r w:rsidR="00D2319D" w:rsidRPr="00D2319D">
        <w:rPr>
          <w:rFonts w:ascii="Palatino Linotype" w:hAnsi="Palatino Linotype"/>
          <w:sz w:val="24"/>
          <w:szCs w:val="24"/>
        </w:rPr>
        <w:t xml:space="preserve">at </w:t>
      </w:r>
      <w:proofErr w:type="spellStart"/>
      <w:r w:rsidR="00D2319D" w:rsidRPr="00D2319D">
        <w:rPr>
          <w:rFonts w:ascii="Palatino Linotype" w:hAnsi="Palatino Linotype"/>
          <w:sz w:val="24"/>
          <w:szCs w:val="24"/>
        </w:rPr>
        <w:t>Anadolu</w:t>
      </w:r>
      <w:proofErr w:type="spellEnd"/>
      <w:r w:rsidR="00D2319D" w:rsidRPr="00D2319D">
        <w:rPr>
          <w:rFonts w:ascii="Palatino Linotype" w:hAnsi="Palatino Linotype"/>
          <w:sz w:val="24"/>
          <w:szCs w:val="24"/>
        </w:rPr>
        <w:t xml:space="preserve"> </w:t>
      </w:r>
      <w:r w:rsidR="00D2319D">
        <w:rPr>
          <w:rFonts w:ascii="Palatino Linotype" w:hAnsi="Palatino Linotype"/>
          <w:sz w:val="24"/>
          <w:szCs w:val="24"/>
        </w:rPr>
        <w:t>University in Eskisehir, Turkey</w:t>
      </w:r>
      <w:proofErr w:type="gramEnd"/>
      <w:r w:rsidR="00D2319D">
        <w:rPr>
          <w:rFonts w:ascii="Palatino Linotype" w:hAnsi="Palatino Linotype"/>
          <w:sz w:val="24"/>
          <w:szCs w:val="24"/>
        </w:rPr>
        <w:t xml:space="preserve"> in 2015 and IJCLE/ACCLE at the University of Toronto in 2016 have been asking for more and we are delighted to be able to provide this paper.</w:t>
      </w:r>
    </w:p>
    <w:p w:rsidR="00D2319D" w:rsidRDefault="00D2319D" w:rsidP="00022738">
      <w:pPr>
        <w:spacing w:line="480" w:lineRule="auto"/>
        <w:jc w:val="both"/>
        <w:rPr>
          <w:rFonts w:ascii="Palatino Linotype" w:hAnsi="Palatino Linotype"/>
          <w:sz w:val="24"/>
          <w:szCs w:val="24"/>
        </w:rPr>
      </w:pPr>
      <w:r>
        <w:rPr>
          <w:rFonts w:ascii="Palatino Linotype" w:hAnsi="Palatino Linotype"/>
          <w:sz w:val="24"/>
          <w:szCs w:val="24"/>
        </w:rPr>
        <w:t xml:space="preserve">We return to the debate around assessment and the value of clinical education for students with the first of our practice reports from Patrick Koroma and </w:t>
      </w:r>
      <w:r w:rsidR="005D2558">
        <w:rPr>
          <w:rFonts w:ascii="Palatino Linotype" w:hAnsi="Palatino Linotype"/>
          <w:sz w:val="24"/>
          <w:szCs w:val="24"/>
        </w:rPr>
        <w:t xml:space="preserve">Nicola </w:t>
      </w:r>
      <w:proofErr w:type="gramStart"/>
      <w:r w:rsidR="005D2558">
        <w:rPr>
          <w:rFonts w:ascii="Palatino Linotype" w:hAnsi="Palatino Linotype"/>
          <w:sz w:val="24"/>
          <w:szCs w:val="24"/>
        </w:rPr>
        <w:t>Antoniou</w:t>
      </w:r>
      <w:r w:rsidR="000515FE">
        <w:rPr>
          <w:rFonts w:ascii="Palatino Linotype" w:hAnsi="Palatino Linotype"/>
          <w:sz w:val="24"/>
          <w:szCs w:val="24"/>
        </w:rPr>
        <w:t xml:space="preserve"> which</w:t>
      </w:r>
      <w:proofErr w:type="gramEnd"/>
      <w:r w:rsidR="000515FE">
        <w:rPr>
          <w:rFonts w:ascii="Palatino Linotype" w:hAnsi="Palatino Linotype"/>
          <w:sz w:val="24"/>
          <w:szCs w:val="24"/>
        </w:rPr>
        <w:t xml:space="preserve"> looks at the perceived benefits of CLE.  </w:t>
      </w:r>
      <w:proofErr w:type="gramStart"/>
      <w:r w:rsidR="000515FE">
        <w:rPr>
          <w:rFonts w:ascii="Palatino Linotype" w:hAnsi="Palatino Linotype"/>
          <w:sz w:val="24"/>
          <w:szCs w:val="24"/>
        </w:rPr>
        <w:t>Do our students value their clinical experience and can they parlay that into employment?</w:t>
      </w:r>
      <w:proofErr w:type="gramEnd"/>
      <w:r w:rsidR="000515FE">
        <w:rPr>
          <w:rFonts w:ascii="Palatino Linotype" w:hAnsi="Palatino Linotype"/>
          <w:sz w:val="24"/>
          <w:szCs w:val="24"/>
        </w:rPr>
        <w:t xml:space="preserve"> If these things are not simple and linear, is that in part due to what we as academics appear to value, in part due to the values of the profession and in part due to issues of </w:t>
      </w:r>
      <w:proofErr w:type="gramStart"/>
      <w:r w:rsidR="000515FE">
        <w:rPr>
          <w:rFonts w:ascii="Palatino Linotype" w:hAnsi="Palatino Linotype"/>
          <w:sz w:val="24"/>
          <w:szCs w:val="24"/>
        </w:rPr>
        <w:t>translation?</w:t>
      </w:r>
      <w:proofErr w:type="gramEnd"/>
    </w:p>
    <w:p w:rsidR="005D2558" w:rsidRDefault="005D2558" w:rsidP="00022738">
      <w:pPr>
        <w:spacing w:line="480" w:lineRule="auto"/>
        <w:jc w:val="both"/>
        <w:rPr>
          <w:rFonts w:ascii="Palatino Linotype" w:hAnsi="Palatino Linotype"/>
          <w:sz w:val="24"/>
          <w:szCs w:val="24"/>
        </w:rPr>
      </w:pPr>
      <w:r>
        <w:rPr>
          <w:rFonts w:ascii="Palatino Linotype" w:hAnsi="Palatino Linotype"/>
          <w:sz w:val="24"/>
          <w:szCs w:val="24"/>
        </w:rPr>
        <w:t>In the second practice report, we bring you the artefacts from a very exciting day conference held at London South Bank University on the 11</w:t>
      </w:r>
      <w:r w:rsidRPr="005D2558">
        <w:rPr>
          <w:rFonts w:ascii="Palatino Linotype" w:hAnsi="Palatino Linotype"/>
          <w:sz w:val="24"/>
          <w:szCs w:val="24"/>
          <w:vertAlign w:val="superscript"/>
        </w:rPr>
        <w:t>th</w:t>
      </w:r>
      <w:r>
        <w:rPr>
          <w:rFonts w:ascii="Palatino Linotype" w:hAnsi="Palatino Linotype"/>
          <w:sz w:val="24"/>
          <w:szCs w:val="24"/>
        </w:rPr>
        <w:t xml:space="preserve"> November 2016.  The report contains the material shared by the participants before the event and videos of the clinicians describing their work and answering questions – click on the pictures on the</w:t>
      </w:r>
      <w:r w:rsidR="00F84B18">
        <w:rPr>
          <w:rFonts w:ascii="Palatino Linotype" w:hAnsi="Palatino Linotype"/>
          <w:sz w:val="24"/>
          <w:szCs w:val="24"/>
        </w:rPr>
        <w:t xml:space="preserve"> last page to access the videos, you may need to right click then select ‘Open hyperlink’.</w:t>
      </w:r>
      <w:bookmarkStart w:id="0" w:name="_GoBack"/>
      <w:bookmarkEnd w:id="0"/>
    </w:p>
    <w:p w:rsidR="00022738" w:rsidRDefault="00022738">
      <w:pPr>
        <w:spacing w:after="160" w:line="259" w:lineRule="auto"/>
        <w:rPr>
          <w:rFonts w:ascii="Palatino Linotype" w:hAnsi="Palatino Linotype"/>
          <w:sz w:val="24"/>
          <w:szCs w:val="24"/>
        </w:rPr>
      </w:pPr>
      <w:r>
        <w:rPr>
          <w:rFonts w:ascii="Palatino Linotype" w:hAnsi="Palatino Linotype"/>
          <w:sz w:val="24"/>
          <w:szCs w:val="24"/>
        </w:rPr>
        <w:br w:type="page"/>
      </w:r>
    </w:p>
    <w:p w:rsidR="00022738" w:rsidRDefault="00022738" w:rsidP="00022738">
      <w:pPr>
        <w:spacing w:line="480" w:lineRule="auto"/>
        <w:jc w:val="both"/>
        <w:rPr>
          <w:rFonts w:ascii="Palatino Linotype" w:hAnsi="Palatino Linotype"/>
          <w:sz w:val="24"/>
          <w:szCs w:val="24"/>
        </w:rPr>
      </w:pPr>
      <w:proofErr w:type="gramStart"/>
      <w:r>
        <w:rPr>
          <w:rFonts w:ascii="Palatino Linotype" w:hAnsi="Palatino Linotype"/>
          <w:sz w:val="24"/>
          <w:szCs w:val="24"/>
        </w:rPr>
        <w:t>A</w:t>
      </w:r>
      <w:r w:rsidR="000515FE">
        <w:rPr>
          <w:rFonts w:ascii="Palatino Linotype" w:hAnsi="Palatino Linotype"/>
          <w:sz w:val="24"/>
          <w:szCs w:val="24"/>
        </w:rPr>
        <w:t>nd finally</w:t>
      </w:r>
      <w:proofErr w:type="gramEnd"/>
      <w:r w:rsidR="000515FE">
        <w:rPr>
          <w:rFonts w:ascii="Palatino Linotype" w:hAnsi="Palatino Linotype"/>
          <w:sz w:val="24"/>
          <w:szCs w:val="24"/>
        </w:rPr>
        <w:t>, the inevitable</w:t>
      </w:r>
      <w:r>
        <w:rPr>
          <w:rFonts w:ascii="Palatino Linotype" w:hAnsi="Palatino Linotype"/>
          <w:sz w:val="24"/>
          <w:szCs w:val="24"/>
        </w:rPr>
        <w:t xml:space="preserve"> reminder that three organisations are coming together for the 2017 conference. </w:t>
      </w:r>
      <w:r w:rsidR="000515FE">
        <w:rPr>
          <w:rFonts w:ascii="Palatino Linotype" w:hAnsi="Palatino Linotype"/>
          <w:sz w:val="24"/>
          <w:szCs w:val="24"/>
        </w:rPr>
        <w:t>Registration is open and w</w:t>
      </w:r>
      <w:r>
        <w:rPr>
          <w:rFonts w:ascii="Palatino Linotype" w:hAnsi="Palatino Linotype"/>
          <w:sz w:val="24"/>
          <w:szCs w:val="24"/>
        </w:rPr>
        <w:t>e look forward to welcoming you to Newcastle!</w:t>
      </w:r>
    </w:p>
    <w:p w:rsidR="00022738" w:rsidRPr="0017254C" w:rsidRDefault="00022738" w:rsidP="00022738">
      <w:pPr>
        <w:jc w:val="center"/>
        <w:rPr>
          <w:rFonts w:ascii="Palatino Linotype" w:hAnsi="Palatino Linotype"/>
          <w:b/>
          <w:sz w:val="44"/>
        </w:rPr>
      </w:pPr>
      <w:r w:rsidRPr="0017254C">
        <w:rPr>
          <w:rFonts w:ascii="Palatino Linotype" w:hAnsi="Palatino Linotype"/>
          <w:b/>
          <w:sz w:val="44"/>
        </w:rPr>
        <w:t>IJCLE – ENCLE - CLEO</w:t>
      </w:r>
    </w:p>
    <w:p w:rsidR="00022738" w:rsidRPr="0017254C" w:rsidRDefault="00022738" w:rsidP="00022738">
      <w:pPr>
        <w:jc w:val="center"/>
        <w:rPr>
          <w:rFonts w:ascii="Palatino Linotype" w:hAnsi="Palatino Linotype"/>
          <w:sz w:val="32"/>
        </w:rPr>
      </w:pPr>
      <w:r w:rsidRPr="0017254C">
        <w:rPr>
          <w:rFonts w:ascii="Palatino Linotype" w:hAnsi="Palatino Linotype"/>
          <w:sz w:val="32"/>
        </w:rPr>
        <w:t xml:space="preserve">The </w:t>
      </w:r>
      <w:r w:rsidRPr="0017254C">
        <w:rPr>
          <w:rFonts w:ascii="Palatino Linotype" w:hAnsi="Palatino Linotype"/>
          <w:b/>
          <w:i/>
          <w:sz w:val="32"/>
        </w:rPr>
        <w:t>International Journal of Clinical Legal Education</w:t>
      </w:r>
      <w:r w:rsidRPr="0017254C">
        <w:rPr>
          <w:rFonts w:ascii="Palatino Linotype" w:hAnsi="Palatino Linotype"/>
          <w:sz w:val="32"/>
        </w:rPr>
        <w:t xml:space="preserve"> </w:t>
      </w:r>
    </w:p>
    <w:p w:rsidR="00022738" w:rsidRPr="0017254C" w:rsidRDefault="00022738" w:rsidP="00022738">
      <w:pPr>
        <w:jc w:val="center"/>
        <w:rPr>
          <w:rFonts w:ascii="Palatino Linotype" w:hAnsi="Palatino Linotype"/>
          <w:sz w:val="32"/>
        </w:rPr>
      </w:pPr>
      <w:proofErr w:type="gramStart"/>
      <w:r w:rsidRPr="0017254C">
        <w:rPr>
          <w:rFonts w:ascii="Palatino Linotype" w:hAnsi="Palatino Linotype"/>
          <w:sz w:val="32"/>
        </w:rPr>
        <w:t>in</w:t>
      </w:r>
      <w:proofErr w:type="gramEnd"/>
      <w:r w:rsidRPr="0017254C">
        <w:rPr>
          <w:rFonts w:ascii="Palatino Linotype" w:hAnsi="Palatino Linotype"/>
          <w:sz w:val="32"/>
        </w:rPr>
        <w:t xml:space="preserve"> association with the </w:t>
      </w:r>
    </w:p>
    <w:p w:rsidR="00022738" w:rsidRPr="0017254C" w:rsidRDefault="00022738" w:rsidP="00022738">
      <w:pPr>
        <w:jc w:val="center"/>
        <w:rPr>
          <w:rFonts w:ascii="Palatino Linotype" w:hAnsi="Palatino Linotype"/>
          <w:b/>
          <w:i/>
          <w:sz w:val="32"/>
        </w:rPr>
      </w:pPr>
      <w:r w:rsidRPr="0017254C">
        <w:rPr>
          <w:rFonts w:ascii="Palatino Linotype" w:hAnsi="Palatino Linotype"/>
          <w:b/>
          <w:i/>
          <w:sz w:val="32"/>
        </w:rPr>
        <w:t xml:space="preserve">European Network for Clinical Legal Education </w:t>
      </w:r>
    </w:p>
    <w:p w:rsidR="00022738" w:rsidRPr="0017254C" w:rsidRDefault="00022738" w:rsidP="00022738">
      <w:pPr>
        <w:jc w:val="center"/>
        <w:rPr>
          <w:rFonts w:ascii="Palatino Linotype" w:hAnsi="Palatino Linotype"/>
          <w:sz w:val="32"/>
        </w:rPr>
      </w:pPr>
      <w:proofErr w:type="gramStart"/>
      <w:r w:rsidRPr="0017254C">
        <w:rPr>
          <w:rFonts w:ascii="Palatino Linotype" w:hAnsi="Palatino Linotype"/>
          <w:sz w:val="32"/>
        </w:rPr>
        <w:t>and</w:t>
      </w:r>
      <w:proofErr w:type="gramEnd"/>
      <w:r w:rsidRPr="0017254C">
        <w:rPr>
          <w:rFonts w:ascii="Palatino Linotype" w:hAnsi="Palatino Linotype"/>
          <w:sz w:val="32"/>
        </w:rPr>
        <w:t xml:space="preserve"> the </w:t>
      </w:r>
    </w:p>
    <w:p w:rsidR="00022738" w:rsidRPr="0017254C" w:rsidRDefault="00022738" w:rsidP="00022738">
      <w:pPr>
        <w:jc w:val="center"/>
        <w:rPr>
          <w:rFonts w:ascii="Palatino Linotype" w:hAnsi="Palatino Linotype"/>
          <w:sz w:val="32"/>
        </w:rPr>
      </w:pPr>
      <w:r w:rsidRPr="0017254C">
        <w:rPr>
          <w:rFonts w:ascii="Palatino Linotype" w:hAnsi="Palatino Linotype"/>
          <w:sz w:val="32"/>
        </w:rPr>
        <w:t xml:space="preserve">United Kingdom </w:t>
      </w:r>
      <w:r w:rsidRPr="0017254C">
        <w:rPr>
          <w:rFonts w:ascii="Palatino Linotype" w:hAnsi="Palatino Linotype"/>
          <w:b/>
          <w:i/>
          <w:sz w:val="32"/>
        </w:rPr>
        <w:t>Clinical Legal Education Organisation</w:t>
      </w:r>
      <w:r w:rsidRPr="0017254C">
        <w:rPr>
          <w:rFonts w:ascii="Palatino Linotype" w:hAnsi="Palatino Linotype"/>
          <w:sz w:val="32"/>
        </w:rPr>
        <w:t xml:space="preserve"> </w:t>
      </w:r>
    </w:p>
    <w:p w:rsidR="00022738" w:rsidRPr="0017254C" w:rsidRDefault="00F84B18" w:rsidP="00022738">
      <w:pPr>
        <w:jc w:val="center"/>
        <w:rPr>
          <w:rFonts w:ascii="Palatino Linotype" w:hAnsi="Palatino Linotype"/>
          <w:b/>
          <w:sz w:val="44"/>
        </w:rPr>
      </w:pPr>
      <w:hyperlink r:id="rId12" w:history="1">
        <w:r w:rsidR="00022738" w:rsidRPr="000515FE">
          <w:rPr>
            <w:rStyle w:val="Hyperlink"/>
            <w:rFonts w:ascii="Palatino Linotype" w:hAnsi="Palatino Linotype"/>
            <w:b/>
            <w:sz w:val="44"/>
          </w:rPr>
          <w:t>CONFERENCE 3-5 JULY 2017</w:t>
        </w:r>
      </w:hyperlink>
    </w:p>
    <w:p w:rsidR="00022738" w:rsidRPr="0017254C" w:rsidRDefault="00022738" w:rsidP="00022738">
      <w:pPr>
        <w:jc w:val="center"/>
        <w:rPr>
          <w:rFonts w:ascii="Palatino Linotype" w:hAnsi="Palatino Linotype"/>
          <w:sz w:val="28"/>
        </w:rPr>
      </w:pPr>
      <w:proofErr w:type="gramStart"/>
      <w:r w:rsidRPr="0017254C">
        <w:rPr>
          <w:rFonts w:ascii="Palatino Linotype" w:hAnsi="Palatino Linotype"/>
          <w:sz w:val="28"/>
        </w:rPr>
        <w:t>at</w:t>
      </w:r>
      <w:proofErr w:type="gramEnd"/>
      <w:r w:rsidRPr="0017254C">
        <w:rPr>
          <w:rFonts w:ascii="Palatino Linotype" w:hAnsi="Palatino Linotype"/>
          <w:sz w:val="28"/>
        </w:rPr>
        <w:t xml:space="preserve"> the University of Northumbria, Newcastle upon Tyne, UK</w:t>
      </w:r>
    </w:p>
    <w:p w:rsidR="00022738" w:rsidRPr="0017254C" w:rsidRDefault="00022738" w:rsidP="00022738">
      <w:pPr>
        <w:rPr>
          <w:rFonts w:ascii="Palatino Linotype" w:hAnsi="Palatino Linotype"/>
          <w:sz w:val="18"/>
        </w:rPr>
      </w:pPr>
    </w:p>
    <w:p w:rsidR="00022738" w:rsidRPr="0017254C" w:rsidRDefault="00022738" w:rsidP="00022738">
      <w:pPr>
        <w:jc w:val="center"/>
        <w:rPr>
          <w:rFonts w:ascii="Palatino Linotype" w:hAnsi="Palatino Linotype"/>
          <w:b/>
          <w:i/>
          <w:sz w:val="32"/>
        </w:rPr>
      </w:pPr>
      <w:r w:rsidRPr="0017254C">
        <w:rPr>
          <w:rFonts w:ascii="Palatino Linotype" w:hAnsi="Palatino Linotype"/>
          <w:b/>
          <w:i/>
          <w:sz w:val="32"/>
        </w:rPr>
        <w:t>“Bringing It All Together: Clinical Legal Educators in the 21st Century University”</w:t>
      </w:r>
    </w:p>
    <w:p w:rsidR="00022738" w:rsidRDefault="00022738" w:rsidP="00022738">
      <w:pPr>
        <w:jc w:val="center"/>
      </w:pPr>
      <w:r>
        <w:rPr>
          <w:noProof/>
          <w:lang w:eastAsia="zh-CN"/>
        </w:rPr>
        <w:drawing>
          <wp:inline distT="0" distB="0" distL="0" distR="0" wp14:anchorId="3B640AC3" wp14:editId="07FD9CA1">
            <wp:extent cx="4243702" cy="2457450"/>
            <wp:effectExtent l="0" t="0" r="0" b="0"/>
            <wp:docPr id="1" name="Picture 1" descr="cid:image001.png@01D22E00.BE28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D22E00.BE2837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84446" cy="2481044"/>
                    </a:xfrm>
                    <a:prstGeom prst="rect">
                      <a:avLst/>
                    </a:prstGeom>
                    <a:noFill/>
                    <a:ln>
                      <a:noFill/>
                    </a:ln>
                  </pic:spPr>
                </pic:pic>
              </a:graphicData>
            </a:graphic>
          </wp:inline>
        </w:drawing>
      </w:r>
    </w:p>
    <w:p w:rsidR="00022738" w:rsidRDefault="00022738" w:rsidP="00022738"/>
    <w:p w:rsidR="00022738" w:rsidRPr="0017254C" w:rsidRDefault="00022738" w:rsidP="00022738">
      <w:pPr>
        <w:spacing w:line="480" w:lineRule="auto"/>
        <w:jc w:val="both"/>
        <w:rPr>
          <w:rFonts w:ascii="Palatino Linotype" w:hAnsi="Palatino Linotype"/>
        </w:rPr>
      </w:pPr>
      <w:r w:rsidRPr="0017254C">
        <w:rPr>
          <w:rFonts w:ascii="Palatino Linotype" w:hAnsi="Palatino Linotype"/>
        </w:rPr>
        <w:t xml:space="preserve">Clinicians wear many hats: teacher, group facilitator, project manager, lawyer, researcher, mentor, activist, administrator, supervisor, academic, </w:t>
      </w:r>
      <w:proofErr w:type="gramStart"/>
      <w:r w:rsidRPr="0017254C">
        <w:rPr>
          <w:rFonts w:ascii="Palatino Linotype" w:hAnsi="Palatino Linotype"/>
        </w:rPr>
        <w:t>fund raiser</w:t>
      </w:r>
      <w:proofErr w:type="gramEnd"/>
      <w:r w:rsidRPr="0017254C">
        <w:rPr>
          <w:rFonts w:ascii="Palatino Linotype" w:hAnsi="Palatino Linotype"/>
        </w:rPr>
        <w:t>, practice manager, collaborator, role model, counsellor…</w:t>
      </w:r>
    </w:p>
    <w:p w:rsidR="00022738" w:rsidRPr="000515FE" w:rsidRDefault="00022738" w:rsidP="000515FE">
      <w:pPr>
        <w:spacing w:line="480" w:lineRule="auto"/>
        <w:jc w:val="both"/>
        <w:rPr>
          <w:rFonts w:ascii="Palatino Linotype" w:hAnsi="Palatino Linotype"/>
        </w:rPr>
      </w:pPr>
      <w:r w:rsidRPr="0017254C">
        <w:rPr>
          <w:rFonts w:ascii="Palatino Linotype" w:hAnsi="Palatino Linotype"/>
        </w:rPr>
        <w:t>This year’s conference continues our exploration of the key, often overlapping, issues arising for clinical legal education in the 21</w:t>
      </w:r>
      <w:r w:rsidRPr="0017254C">
        <w:rPr>
          <w:rFonts w:ascii="Palatino Linotype" w:hAnsi="Palatino Linotype"/>
          <w:vertAlign w:val="superscript"/>
        </w:rPr>
        <w:t>st</w:t>
      </w:r>
      <w:r w:rsidRPr="0017254C">
        <w:rPr>
          <w:rFonts w:ascii="Palatino Linotype" w:hAnsi="Palatino Linotype"/>
        </w:rPr>
        <w:t xml:space="preserve"> century from the clinician’s perspective; juggling </w:t>
      </w:r>
      <w:proofErr w:type="gramStart"/>
      <w:r w:rsidRPr="0017254C">
        <w:rPr>
          <w:rFonts w:ascii="Palatino Linotype" w:hAnsi="Palatino Linotype"/>
        </w:rPr>
        <w:t>sometimes competing</w:t>
      </w:r>
      <w:proofErr w:type="gramEnd"/>
      <w:r w:rsidRPr="0017254C">
        <w:rPr>
          <w:rFonts w:ascii="Palatino Linotype" w:hAnsi="Palatino Linotype"/>
        </w:rPr>
        <w:t xml:space="preserve"> priorities and often making difficult choices.  </w:t>
      </w:r>
      <w:proofErr w:type="gramStart"/>
      <w:r w:rsidR="000515FE">
        <w:rPr>
          <w:rFonts w:ascii="Palatino Linotype" w:hAnsi="Palatino Linotype"/>
        </w:rPr>
        <w:t>These will be explored by our Keynote panel</w:t>
      </w:r>
      <w:proofErr w:type="gramEnd"/>
      <w:r w:rsidR="000515FE">
        <w:rPr>
          <w:rFonts w:ascii="Palatino Linotype" w:hAnsi="Palatino Linotype"/>
        </w:rPr>
        <w:t xml:space="preserve">: Lisa Bliss, Mary Anne </w:t>
      </w:r>
      <w:proofErr w:type="spellStart"/>
      <w:r w:rsidR="000515FE">
        <w:rPr>
          <w:rFonts w:ascii="Palatino Linotype" w:hAnsi="Palatino Linotype"/>
        </w:rPr>
        <w:t>Noone</w:t>
      </w:r>
      <w:proofErr w:type="spellEnd"/>
      <w:r w:rsidR="000515FE">
        <w:rPr>
          <w:rFonts w:ascii="Palatino Linotype" w:hAnsi="Palatino Linotype"/>
        </w:rPr>
        <w:t xml:space="preserve">, </w:t>
      </w:r>
      <w:proofErr w:type="spellStart"/>
      <w:r w:rsidR="000515FE">
        <w:rPr>
          <w:rFonts w:ascii="Palatino Linotype" w:hAnsi="Palatino Linotype"/>
        </w:rPr>
        <w:t>Shuvro</w:t>
      </w:r>
      <w:proofErr w:type="spellEnd"/>
      <w:r w:rsidR="000515FE">
        <w:rPr>
          <w:rFonts w:ascii="Palatino Linotype" w:hAnsi="Palatino Linotype"/>
        </w:rPr>
        <w:t xml:space="preserve"> </w:t>
      </w:r>
      <w:proofErr w:type="spellStart"/>
      <w:r w:rsidR="000515FE">
        <w:rPr>
          <w:rFonts w:ascii="Palatino Linotype" w:hAnsi="Palatino Linotype"/>
        </w:rPr>
        <w:t>Sarker</w:t>
      </w:r>
      <w:proofErr w:type="spellEnd"/>
      <w:r w:rsidR="000515FE">
        <w:rPr>
          <w:rFonts w:ascii="Palatino Linotype" w:hAnsi="Palatino Linotype"/>
        </w:rPr>
        <w:t xml:space="preserve"> and </w:t>
      </w:r>
      <w:proofErr w:type="spellStart"/>
      <w:r w:rsidR="000515FE">
        <w:rPr>
          <w:rFonts w:ascii="Palatino Linotype" w:hAnsi="Palatino Linotype"/>
        </w:rPr>
        <w:t>Veronika</w:t>
      </w:r>
      <w:proofErr w:type="spellEnd"/>
      <w:r w:rsidR="000515FE">
        <w:rPr>
          <w:rFonts w:ascii="Palatino Linotype" w:hAnsi="Palatino Linotype"/>
        </w:rPr>
        <w:t xml:space="preserve"> </w:t>
      </w:r>
      <w:proofErr w:type="spellStart"/>
      <w:r w:rsidR="000515FE">
        <w:rPr>
          <w:rFonts w:ascii="Palatino Linotype" w:hAnsi="Palatino Linotype"/>
        </w:rPr>
        <w:t>Tomoskova</w:t>
      </w:r>
      <w:proofErr w:type="spellEnd"/>
      <w:r w:rsidR="000515FE">
        <w:rPr>
          <w:rFonts w:ascii="Palatino Linotype" w:hAnsi="Palatino Linotype"/>
        </w:rPr>
        <w:t>.</w:t>
      </w:r>
    </w:p>
    <w:p w:rsidR="000515FE" w:rsidRDefault="000515FE">
      <w:pPr>
        <w:rPr>
          <w:rFonts w:ascii="Palatino Linotype" w:hAnsi="Palatino Linotype"/>
        </w:rPr>
      </w:pPr>
      <w:r w:rsidRPr="000515FE">
        <w:rPr>
          <w:rFonts w:ascii="Palatino Linotype" w:hAnsi="Palatino Linotype"/>
        </w:rPr>
        <w:t>Our welcome</w:t>
      </w:r>
      <w:r>
        <w:rPr>
          <w:rFonts w:ascii="Palatino Linotype" w:hAnsi="Palatino Linotype"/>
        </w:rPr>
        <w:t xml:space="preserve"> keynote comes from Professor Kevin Kerrigan: </w:t>
      </w:r>
    </w:p>
    <w:p w:rsidR="00A3581B" w:rsidRPr="00A3581B" w:rsidRDefault="00A3581B" w:rsidP="00A3581B">
      <w:pPr>
        <w:jc w:val="center"/>
        <w:rPr>
          <w:rFonts w:ascii="Palatino Linotype" w:hAnsi="Palatino Linotype"/>
        </w:rPr>
      </w:pPr>
      <w:r w:rsidRPr="00A3581B">
        <w:rPr>
          <w:rFonts w:ascii="Palatino Linotype" w:hAnsi="Palatino Linotype"/>
        </w:rPr>
        <w:t>"If I ruled the world - can clinic be required in every discipline?"</w:t>
      </w:r>
    </w:p>
    <w:p w:rsidR="00A3581B" w:rsidRPr="00A3581B" w:rsidRDefault="00A3581B" w:rsidP="00A3581B">
      <w:pPr>
        <w:rPr>
          <w:rFonts w:ascii="Palatino Linotype" w:hAnsi="Palatino Linotype"/>
        </w:rPr>
      </w:pPr>
      <w:r w:rsidRPr="00A3581B">
        <w:rPr>
          <w:rFonts w:ascii="Palatino Linotype" w:hAnsi="Palatino Linotype"/>
        </w:rPr>
        <w:t xml:space="preserve">"Such happiness as life is capable of comes from the full participation of all our powers in the </w:t>
      </w:r>
      <w:proofErr w:type="spellStart"/>
      <w:r w:rsidRPr="00A3581B">
        <w:rPr>
          <w:rFonts w:ascii="Palatino Linotype" w:hAnsi="Palatino Linotype"/>
        </w:rPr>
        <w:t>endeavor</w:t>
      </w:r>
      <w:proofErr w:type="spellEnd"/>
      <w:r w:rsidRPr="00A3581B">
        <w:rPr>
          <w:rFonts w:ascii="Palatino Linotype" w:hAnsi="Palatino Linotype"/>
        </w:rPr>
        <w:t xml:space="preserve"> to wrest from each changing situation of experience its own full and unique meaning."</w:t>
      </w:r>
    </w:p>
    <w:p w:rsidR="00A3581B" w:rsidRPr="00A3581B" w:rsidRDefault="00A3581B" w:rsidP="00A3581B">
      <w:pPr>
        <w:rPr>
          <w:rFonts w:ascii="Palatino Linotype" w:hAnsi="Palatino Linotype"/>
        </w:rPr>
      </w:pPr>
      <w:r w:rsidRPr="00A3581B">
        <w:rPr>
          <w:rFonts w:ascii="Palatino Linotype" w:hAnsi="Palatino Linotype"/>
        </w:rPr>
        <w:t>John Dewey, the granddaddy of experiential learning, was not referring here to the discipline of law. His was a broad pedagogic philosophy that was not discipline-specific.</w:t>
      </w:r>
    </w:p>
    <w:p w:rsidR="00A3581B" w:rsidRPr="00A3581B" w:rsidRDefault="00A3581B" w:rsidP="00A3581B">
      <w:pPr>
        <w:rPr>
          <w:rFonts w:ascii="Palatino Linotype" w:hAnsi="Palatino Linotype"/>
        </w:rPr>
      </w:pPr>
      <w:r w:rsidRPr="00A3581B">
        <w:rPr>
          <w:rFonts w:ascii="Palatino Linotype" w:hAnsi="Palatino Linotype"/>
        </w:rPr>
        <w:t xml:space="preserve">It is well known (although not always acknowledged) that clinical education was not invented by lawyers and although clinical legal education has developed into a distinctive and highly successful strand of experiential learning, it remains a methodology that is at least potentially applicable right across the academy. Where university education </w:t>
      </w:r>
      <w:proofErr w:type="gramStart"/>
      <w:r w:rsidRPr="00A3581B">
        <w:rPr>
          <w:rFonts w:ascii="Palatino Linotype" w:hAnsi="Palatino Linotype"/>
        </w:rPr>
        <w:t>is closely linked</w:t>
      </w:r>
      <w:proofErr w:type="gramEnd"/>
      <w:r w:rsidRPr="00A3581B">
        <w:rPr>
          <w:rFonts w:ascii="Palatino Linotype" w:hAnsi="Palatino Linotype"/>
        </w:rPr>
        <w:t xml:space="preserve"> to professional training or development, there is often a motivation to deploy a clinical approach but it is much more challenging to envisage a clinical approach right across the subject spectrum. I am unaware of any institution that has attempted to deliver a comprehensive suite of academic programmes via meaningful clinical engagement.</w:t>
      </w:r>
    </w:p>
    <w:p w:rsidR="00A3581B" w:rsidRPr="00A3581B" w:rsidRDefault="00A3581B" w:rsidP="00A3581B">
      <w:pPr>
        <w:rPr>
          <w:rFonts w:ascii="Palatino Linotype" w:hAnsi="Palatino Linotype"/>
        </w:rPr>
      </w:pPr>
      <w:r w:rsidRPr="00A3581B">
        <w:rPr>
          <w:rFonts w:ascii="Palatino Linotype" w:hAnsi="Palatino Linotype"/>
        </w:rPr>
        <w:t xml:space="preserve">During the selection process for my current </w:t>
      </w:r>
      <w:proofErr w:type="gramStart"/>
      <w:r w:rsidRPr="00A3581B">
        <w:rPr>
          <w:rFonts w:ascii="Palatino Linotype" w:hAnsi="Palatino Linotype"/>
        </w:rPr>
        <w:t>role</w:t>
      </w:r>
      <w:proofErr w:type="gramEnd"/>
      <w:r w:rsidRPr="00A3581B">
        <w:rPr>
          <w:rFonts w:ascii="Palatino Linotype" w:hAnsi="Palatino Linotype"/>
        </w:rPr>
        <w:t xml:space="preserve"> I pitched the idea that we could develop a live client clinical approach right across the undergraduate curriculum. The good news was I got the job. The bad news was that they took my idea seriously.</w:t>
      </w:r>
    </w:p>
    <w:p w:rsidR="00A3581B" w:rsidRPr="00A3581B" w:rsidRDefault="00A3581B" w:rsidP="00A3581B">
      <w:pPr>
        <w:rPr>
          <w:rFonts w:ascii="Palatino Linotype" w:hAnsi="Palatino Linotype"/>
        </w:rPr>
      </w:pPr>
      <w:r w:rsidRPr="00A3581B">
        <w:rPr>
          <w:rFonts w:ascii="Palatino Linotype" w:hAnsi="Palatino Linotype"/>
        </w:rPr>
        <w:t>So, can clinic be required in every discipline? Even if it can, does it make educational sense?</w:t>
      </w:r>
    </w:p>
    <w:p w:rsidR="00737452" w:rsidRPr="000515FE" w:rsidRDefault="00A3581B" w:rsidP="00A3581B">
      <w:pPr>
        <w:rPr>
          <w:rFonts w:ascii="Palatino Linotype" w:hAnsi="Palatino Linotype"/>
        </w:rPr>
      </w:pPr>
      <w:r w:rsidRPr="00A3581B">
        <w:rPr>
          <w:rFonts w:ascii="Palatino Linotype" w:hAnsi="Palatino Linotype"/>
        </w:rPr>
        <w:t>Maths clinic</w:t>
      </w:r>
      <w:r>
        <w:rPr>
          <w:rFonts w:ascii="Palatino Linotype" w:hAnsi="Palatino Linotype"/>
        </w:rPr>
        <w:t xml:space="preserve"> anyone?</w:t>
      </w:r>
      <w:r w:rsidR="000515FE" w:rsidRPr="000515FE">
        <w:rPr>
          <w:rFonts w:ascii="Palatino Linotype" w:hAnsi="Palatino Linotype"/>
        </w:rPr>
        <w:t xml:space="preserve"> </w:t>
      </w:r>
    </w:p>
    <w:sectPr w:rsidR="00737452" w:rsidRPr="000515F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38" w:rsidRDefault="00022738" w:rsidP="00022738">
      <w:pPr>
        <w:spacing w:after="0" w:line="240" w:lineRule="auto"/>
      </w:pPr>
      <w:r>
        <w:separator/>
      </w:r>
    </w:p>
  </w:endnote>
  <w:endnote w:type="continuationSeparator" w:id="0">
    <w:p w:rsidR="00022738" w:rsidRDefault="00022738" w:rsidP="0002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251567"/>
      <w:docPartObj>
        <w:docPartGallery w:val="Page Numbers (Bottom of Page)"/>
        <w:docPartUnique/>
      </w:docPartObj>
    </w:sdtPr>
    <w:sdtEndPr>
      <w:rPr>
        <w:noProof/>
      </w:rPr>
    </w:sdtEndPr>
    <w:sdtContent>
      <w:p w:rsidR="00C2661F" w:rsidRDefault="00C2661F">
        <w:pPr>
          <w:pStyle w:val="Footer"/>
          <w:jc w:val="center"/>
        </w:pPr>
        <w:r>
          <w:fldChar w:fldCharType="begin"/>
        </w:r>
        <w:r>
          <w:instrText xml:space="preserve"> PAGE   \* MERGEFORMAT </w:instrText>
        </w:r>
        <w:r>
          <w:fldChar w:fldCharType="separate"/>
        </w:r>
        <w:r w:rsidR="00F84B18">
          <w:rPr>
            <w:noProof/>
          </w:rPr>
          <w:t>4</w:t>
        </w:r>
        <w:r>
          <w:rPr>
            <w:noProof/>
          </w:rPr>
          <w:fldChar w:fldCharType="end"/>
        </w:r>
      </w:p>
    </w:sdtContent>
  </w:sdt>
  <w:p w:rsidR="00C2661F" w:rsidRDefault="00C26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38" w:rsidRDefault="00022738" w:rsidP="00022738">
      <w:pPr>
        <w:spacing w:after="0" w:line="240" w:lineRule="auto"/>
      </w:pPr>
      <w:r>
        <w:separator/>
      </w:r>
    </w:p>
  </w:footnote>
  <w:footnote w:type="continuationSeparator" w:id="0">
    <w:p w:rsidR="00022738" w:rsidRDefault="00022738" w:rsidP="00022738">
      <w:pPr>
        <w:spacing w:after="0" w:line="240" w:lineRule="auto"/>
      </w:pPr>
      <w:r>
        <w:continuationSeparator/>
      </w:r>
    </w:p>
  </w:footnote>
  <w:footnote w:id="1">
    <w:p w:rsidR="0058731C" w:rsidRDefault="0058731C">
      <w:pPr>
        <w:pStyle w:val="FootnoteText"/>
      </w:pPr>
      <w:r>
        <w:rPr>
          <w:rStyle w:val="FootnoteReference"/>
        </w:rPr>
        <w:footnoteRef/>
      </w:r>
      <w:r>
        <w:t xml:space="preserve"> </w:t>
      </w:r>
      <w:proofErr w:type="spellStart"/>
      <w:r>
        <w:t>Mkwebu</w:t>
      </w:r>
      <w:proofErr w:type="spellEnd"/>
      <w:r>
        <w:t>, T IJCLE 22, 3, 2015; Dunn IJCLE 24, forthcoming.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4EDF"/>
    <w:multiLevelType w:val="hybridMultilevel"/>
    <w:tmpl w:val="1DBC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A11A3"/>
    <w:multiLevelType w:val="hybridMultilevel"/>
    <w:tmpl w:val="955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BF1EA8"/>
    <w:multiLevelType w:val="hybridMultilevel"/>
    <w:tmpl w:val="7750B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38"/>
    <w:rsid w:val="00022738"/>
    <w:rsid w:val="000515FE"/>
    <w:rsid w:val="0058731C"/>
    <w:rsid w:val="005D2558"/>
    <w:rsid w:val="00737452"/>
    <w:rsid w:val="009B163B"/>
    <w:rsid w:val="00A3581B"/>
    <w:rsid w:val="00A96DF2"/>
    <w:rsid w:val="00BA79AF"/>
    <w:rsid w:val="00BD0E77"/>
    <w:rsid w:val="00C2661F"/>
    <w:rsid w:val="00D2319D"/>
    <w:rsid w:val="00D56240"/>
    <w:rsid w:val="00F84B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DADB"/>
  <w15:chartTrackingRefBased/>
  <w15:docId w15:val="{90FB6B04-F341-4CD0-9620-B58A646F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738"/>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738"/>
    <w:rPr>
      <w:color w:val="0563C1" w:themeColor="hyperlink"/>
      <w:u w:val="single"/>
    </w:rPr>
  </w:style>
  <w:style w:type="paragraph" w:styleId="FootnoteText">
    <w:name w:val="footnote text"/>
    <w:basedOn w:val="Normal"/>
    <w:link w:val="FootnoteTextChar"/>
    <w:uiPriority w:val="99"/>
    <w:semiHidden/>
    <w:unhideWhenUsed/>
    <w:rsid w:val="000227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738"/>
    <w:rPr>
      <w:rFonts w:eastAsiaTheme="minorHAnsi"/>
      <w:sz w:val="20"/>
      <w:szCs w:val="20"/>
      <w:lang w:eastAsia="en-US"/>
    </w:rPr>
  </w:style>
  <w:style w:type="character" w:styleId="FootnoteReference">
    <w:name w:val="footnote reference"/>
    <w:basedOn w:val="DefaultParagraphFont"/>
    <w:uiPriority w:val="99"/>
    <w:semiHidden/>
    <w:unhideWhenUsed/>
    <w:rsid w:val="00022738"/>
    <w:rPr>
      <w:vertAlign w:val="superscript"/>
    </w:rPr>
  </w:style>
  <w:style w:type="paragraph" w:styleId="ListParagraph">
    <w:name w:val="List Paragraph"/>
    <w:basedOn w:val="Normal"/>
    <w:uiPriority w:val="34"/>
    <w:qFormat/>
    <w:rsid w:val="00022738"/>
    <w:pPr>
      <w:ind w:left="720"/>
      <w:contextualSpacing/>
    </w:pPr>
  </w:style>
  <w:style w:type="character" w:styleId="FollowedHyperlink">
    <w:name w:val="FollowedHyperlink"/>
    <w:basedOn w:val="DefaultParagraphFont"/>
    <w:uiPriority w:val="99"/>
    <w:semiHidden/>
    <w:unhideWhenUsed/>
    <w:rsid w:val="009B163B"/>
    <w:rPr>
      <w:color w:val="954F72" w:themeColor="followedHyperlink"/>
      <w:u w:val="single"/>
    </w:rPr>
  </w:style>
  <w:style w:type="paragraph" w:styleId="Header">
    <w:name w:val="header"/>
    <w:basedOn w:val="Normal"/>
    <w:link w:val="HeaderChar"/>
    <w:uiPriority w:val="99"/>
    <w:unhideWhenUsed/>
    <w:rsid w:val="00C26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61F"/>
    <w:rPr>
      <w:rFonts w:eastAsiaTheme="minorHAnsi"/>
      <w:lang w:eastAsia="en-US"/>
    </w:rPr>
  </w:style>
  <w:style w:type="paragraph" w:styleId="Footer">
    <w:name w:val="footer"/>
    <w:basedOn w:val="Normal"/>
    <w:link w:val="FooterChar"/>
    <w:uiPriority w:val="99"/>
    <w:unhideWhenUsed/>
    <w:rsid w:val="00C26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61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Hall@northumbria.ac.u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umbria.ac.uk/media/28386450/ijclebrochure-201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umbriajournals.co.uk/index.php/ijcle/issue/view/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mittenkitchen.com" TargetMode="External"/><Relationship Id="rId4" Type="http://schemas.openxmlformats.org/officeDocument/2006/relationships/settings" Target="settings.xml"/><Relationship Id="rId9" Type="http://schemas.openxmlformats.org/officeDocument/2006/relationships/hyperlink" Target="http://www.northumbriajournals.co.uk/index.php/ijcle/article/view/407" TargetMode="External"/><Relationship Id="rId14" Type="http://schemas.openxmlformats.org/officeDocument/2006/relationships/image" Target="cid:image001.png@01D22E00.BE283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ED3D-B673-483F-8B80-ECD8E44B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Becky Skoyles</cp:lastModifiedBy>
  <cp:revision>4</cp:revision>
  <cp:lastPrinted>2017-03-21T10:59:00Z</cp:lastPrinted>
  <dcterms:created xsi:type="dcterms:W3CDTF">2017-03-21T10:59:00Z</dcterms:created>
  <dcterms:modified xsi:type="dcterms:W3CDTF">2017-03-21T12:52:00Z</dcterms:modified>
</cp:coreProperties>
</file>