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470" w:rsidRPr="00EC1BE0" w:rsidRDefault="00EC1BE0" w:rsidP="00EC1BE0">
      <w:pPr>
        <w:spacing w:line="480" w:lineRule="auto"/>
        <w:jc w:val="both"/>
        <w:rPr>
          <w:rFonts w:ascii="Palatino Linotype" w:hAnsi="Palatino Linotype" w:cs="Times New Roman"/>
          <w:sz w:val="28"/>
          <w:szCs w:val="28"/>
        </w:rPr>
      </w:pPr>
      <w:r w:rsidRPr="00EC1BE0">
        <w:rPr>
          <w:rFonts w:ascii="Palatino Linotype" w:hAnsi="Palatino Linotype" w:cs="Times New Roman"/>
          <w:sz w:val="28"/>
          <w:szCs w:val="28"/>
        </w:rPr>
        <w:t>PRO BONO: WHAT’S IN IT FOR LAW STUDENTS? THE STUDENTS’ PERSPECTIVE</w:t>
      </w:r>
    </w:p>
    <w:p w:rsidR="004C6470" w:rsidRPr="00EC1BE0" w:rsidRDefault="004C6470" w:rsidP="00EC1BE0">
      <w:pPr>
        <w:pStyle w:val="NoSpacing"/>
        <w:spacing w:line="480" w:lineRule="auto"/>
        <w:jc w:val="both"/>
        <w:rPr>
          <w:rFonts w:ascii="Palatino Linotype" w:hAnsi="Palatino Linotype" w:cs="Times New Roman"/>
          <w:b/>
          <w:sz w:val="24"/>
          <w:szCs w:val="24"/>
        </w:rPr>
      </w:pPr>
      <w:r w:rsidRPr="00EC1BE0">
        <w:rPr>
          <w:rFonts w:ascii="Palatino Linotype" w:hAnsi="Palatino Linotype" w:cs="Times New Roman"/>
          <w:b/>
          <w:sz w:val="24"/>
          <w:szCs w:val="24"/>
        </w:rPr>
        <w:t xml:space="preserve">Paul </w:t>
      </w:r>
      <w:proofErr w:type="spellStart"/>
      <w:r w:rsidRPr="00EC1BE0">
        <w:rPr>
          <w:rFonts w:ascii="Palatino Linotype" w:hAnsi="Palatino Linotype" w:cs="Times New Roman"/>
          <w:b/>
          <w:sz w:val="24"/>
          <w:szCs w:val="24"/>
        </w:rPr>
        <w:t>McKeown</w:t>
      </w:r>
      <w:proofErr w:type="spellEnd"/>
      <w:r w:rsidR="00534A51" w:rsidRPr="00EC1BE0">
        <w:rPr>
          <w:rStyle w:val="FootnoteReference"/>
          <w:rFonts w:ascii="Palatino Linotype" w:hAnsi="Palatino Linotype" w:cs="Times New Roman"/>
          <w:b/>
          <w:sz w:val="24"/>
          <w:szCs w:val="24"/>
        </w:rPr>
        <w:footnoteReference w:id="1"/>
      </w:r>
      <w:r w:rsidRPr="00EC1BE0">
        <w:rPr>
          <w:rFonts w:ascii="Palatino Linotype" w:hAnsi="Palatino Linotype" w:cs="Times New Roman"/>
          <w:b/>
          <w:sz w:val="24"/>
          <w:szCs w:val="24"/>
        </w:rPr>
        <w:t xml:space="preserve"> </w:t>
      </w:r>
    </w:p>
    <w:p w:rsidR="008A7F1D" w:rsidRPr="00EC1BE0" w:rsidRDefault="00EC1BE0" w:rsidP="00EC1BE0">
      <w:pPr>
        <w:pStyle w:val="NoSpacing"/>
        <w:spacing w:line="480" w:lineRule="auto"/>
        <w:jc w:val="both"/>
        <w:rPr>
          <w:rFonts w:ascii="Palatino Linotype" w:hAnsi="Palatino Linotype" w:cs="Times New Roman"/>
          <w:b/>
          <w:sz w:val="24"/>
          <w:szCs w:val="24"/>
        </w:rPr>
      </w:pPr>
      <w:r>
        <w:rPr>
          <w:rFonts w:ascii="Palatino Linotype" w:hAnsi="Palatino Linotype" w:cs="Times New Roman"/>
          <w:b/>
          <w:sz w:val="24"/>
          <w:szCs w:val="24"/>
        </w:rPr>
        <w:t>Northumbria University, UK</w:t>
      </w:r>
    </w:p>
    <w:p w:rsidR="004C6470" w:rsidRPr="00EC1BE0" w:rsidRDefault="004C6470" w:rsidP="00EC1BE0">
      <w:pPr>
        <w:pStyle w:val="NoSpacing"/>
        <w:spacing w:line="480" w:lineRule="auto"/>
        <w:jc w:val="both"/>
        <w:rPr>
          <w:rFonts w:ascii="Palatino Linotype" w:hAnsi="Palatino Linotype" w:cs="Times New Roman"/>
          <w:b/>
          <w:sz w:val="24"/>
          <w:szCs w:val="24"/>
        </w:rPr>
      </w:pPr>
      <w:r w:rsidRPr="00EC1BE0">
        <w:rPr>
          <w:rFonts w:ascii="Palatino Linotype" w:hAnsi="Palatino Linotype" w:cs="Times New Roman"/>
          <w:b/>
          <w:sz w:val="24"/>
          <w:szCs w:val="24"/>
        </w:rPr>
        <w:t>Abstract</w:t>
      </w:r>
    </w:p>
    <w:p w:rsidR="00DA0F87" w:rsidRPr="00EC1BE0" w:rsidRDefault="00DA0F87" w:rsidP="00EC1BE0">
      <w:pPr>
        <w:pStyle w:val="NoSpacing"/>
        <w:spacing w:line="360" w:lineRule="auto"/>
        <w:jc w:val="both"/>
        <w:rPr>
          <w:rFonts w:ascii="Palatino Linotype" w:hAnsi="Palatino Linotype" w:cs="Times New Roman"/>
          <w:sz w:val="24"/>
          <w:szCs w:val="24"/>
        </w:rPr>
      </w:pPr>
      <w:r w:rsidRPr="00EC1BE0">
        <w:rPr>
          <w:rFonts w:ascii="Palatino Linotype" w:hAnsi="Palatino Linotype" w:cs="Times New Roman"/>
          <w:sz w:val="24"/>
          <w:szCs w:val="24"/>
        </w:rPr>
        <w:t>In England and Wales, there is an increasing need for the provision of pro bono legal services.  Law students may be a resource that can help fill the access to justice gap, whilst at university and onwards in their future careers.  Whilst some students are intrinsically motivated towards altruistic behaviour, many are not.  This article will consider what motivates students to undertake pro bono work whilst at law school.</w:t>
      </w:r>
    </w:p>
    <w:p w:rsidR="00732F46" w:rsidRPr="00EC1BE0" w:rsidRDefault="00DA0F87" w:rsidP="00EC1BE0">
      <w:pPr>
        <w:pStyle w:val="NoSpacing"/>
        <w:spacing w:line="360" w:lineRule="auto"/>
        <w:jc w:val="both"/>
        <w:rPr>
          <w:rFonts w:ascii="Palatino Linotype" w:hAnsi="Palatino Linotype" w:cs="Times New Roman"/>
          <w:sz w:val="24"/>
          <w:szCs w:val="24"/>
        </w:rPr>
      </w:pPr>
      <w:r w:rsidRPr="00EC1BE0">
        <w:rPr>
          <w:rFonts w:ascii="Palatino Linotype" w:hAnsi="Palatino Linotype" w:cs="Times New Roman"/>
          <w:sz w:val="24"/>
          <w:szCs w:val="24"/>
        </w:rPr>
        <w:t>The article will explore the range of intrinsic and extrinsic motivating factors for student participation in pro bono programme</w:t>
      </w:r>
      <w:r w:rsidR="004143D4" w:rsidRPr="00EC1BE0">
        <w:rPr>
          <w:rFonts w:ascii="Palatino Linotype" w:hAnsi="Palatino Linotype" w:cs="Times New Roman"/>
          <w:sz w:val="24"/>
          <w:szCs w:val="24"/>
        </w:rPr>
        <w:t>s</w:t>
      </w:r>
      <w:r w:rsidRPr="00EC1BE0">
        <w:rPr>
          <w:rFonts w:ascii="Palatino Linotype" w:hAnsi="Palatino Linotype" w:cs="Times New Roman"/>
          <w:sz w:val="24"/>
          <w:szCs w:val="24"/>
        </w:rPr>
        <w:t xml:space="preserve"> and consider how students </w:t>
      </w:r>
      <w:r w:rsidR="00732F46" w:rsidRPr="00EC1BE0">
        <w:rPr>
          <w:rFonts w:ascii="Palatino Linotype" w:hAnsi="Palatino Linotype" w:cs="Times New Roman"/>
          <w:sz w:val="24"/>
          <w:szCs w:val="24"/>
        </w:rPr>
        <w:t xml:space="preserve">can be </w:t>
      </w:r>
      <w:bookmarkStart w:id="0" w:name="_GoBack"/>
      <w:bookmarkEnd w:id="0"/>
      <w:r w:rsidR="00732F46" w:rsidRPr="00EC1BE0">
        <w:rPr>
          <w:rFonts w:ascii="Palatino Linotype" w:hAnsi="Palatino Linotype" w:cs="Times New Roman"/>
          <w:sz w:val="24"/>
          <w:szCs w:val="24"/>
        </w:rPr>
        <w:t>encouraged to engage in such activities.  The article will also consider whether exposure to pro bono experience can instil a public service ethos in students.</w:t>
      </w:r>
    </w:p>
    <w:p w:rsidR="00BD50CE" w:rsidRPr="00EC1BE0" w:rsidRDefault="00732F46" w:rsidP="00EC1BE0">
      <w:pPr>
        <w:pStyle w:val="NoSpacing"/>
        <w:spacing w:line="360" w:lineRule="auto"/>
        <w:jc w:val="both"/>
        <w:rPr>
          <w:rFonts w:ascii="Palatino Linotype" w:hAnsi="Palatino Linotype" w:cs="Times New Roman"/>
          <w:sz w:val="24"/>
          <w:szCs w:val="24"/>
        </w:rPr>
      </w:pPr>
      <w:r w:rsidRPr="00EC1BE0">
        <w:rPr>
          <w:rFonts w:ascii="Palatino Linotype" w:hAnsi="Palatino Linotype" w:cs="Times New Roman"/>
          <w:sz w:val="24"/>
          <w:szCs w:val="24"/>
        </w:rPr>
        <w:t>In conclusion, the article will highlight experience as an influential factor in encouraging initial participation in pro bono work but also instilling a willingness to undertake pro bono work in the future.</w:t>
      </w:r>
      <w:r w:rsidR="00DA0F87" w:rsidRPr="00EC1BE0">
        <w:rPr>
          <w:rFonts w:ascii="Palatino Linotype" w:hAnsi="Palatino Linotype" w:cs="Times New Roman"/>
          <w:sz w:val="24"/>
          <w:szCs w:val="24"/>
        </w:rPr>
        <w:t xml:space="preserve"> </w:t>
      </w:r>
    </w:p>
    <w:p w:rsidR="00BD50CE" w:rsidRPr="00EC1BE0" w:rsidRDefault="00BD50CE" w:rsidP="00EC1BE0">
      <w:pPr>
        <w:pStyle w:val="NoSpacing"/>
        <w:spacing w:line="480" w:lineRule="auto"/>
        <w:jc w:val="both"/>
        <w:rPr>
          <w:rFonts w:ascii="Palatino Linotype" w:hAnsi="Palatino Linotype" w:cs="Times New Roman"/>
          <w:b/>
          <w:sz w:val="24"/>
          <w:szCs w:val="24"/>
        </w:rPr>
      </w:pPr>
    </w:p>
    <w:p w:rsidR="008A7F1D" w:rsidRPr="00EC1BE0" w:rsidRDefault="004C6470" w:rsidP="00EC1BE0">
      <w:pPr>
        <w:pStyle w:val="NoSpacing"/>
        <w:spacing w:line="480" w:lineRule="auto"/>
        <w:jc w:val="both"/>
        <w:rPr>
          <w:rFonts w:ascii="Palatino Linotype" w:hAnsi="Palatino Linotype" w:cs="Times New Roman"/>
          <w:b/>
          <w:sz w:val="24"/>
          <w:szCs w:val="24"/>
        </w:rPr>
      </w:pPr>
      <w:r w:rsidRPr="00EC1BE0">
        <w:rPr>
          <w:rFonts w:ascii="Palatino Linotype" w:hAnsi="Palatino Linotype" w:cs="Times New Roman"/>
          <w:b/>
          <w:sz w:val="24"/>
          <w:szCs w:val="24"/>
        </w:rPr>
        <w:t>Introduction</w:t>
      </w:r>
    </w:p>
    <w:p w:rsidR="006513A8" w:rsidRPr="00EC1BE0" w:rsidRDefault="000C0185"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 xml:space="preserve">Many </w:t>
      </w:r>
      <w:r w:rsidR="00A51EF7" w:rsidRPr="00EC1BE0">
        <w:rPr>
          <w:rFonts w:ascii="Palatino Linotype" w:hAnsi="Palatino Linotype" w:cs="Times New Roman"/>
          <w:sz w:val="24"/>
          <w:szCs w:val="24"/>
        </w:rPr>
        <w:t>would argue</w:t>
      </w:r>
      <w:r w:rsidR="00B6016E" w:rsidRPr="00EC1BE0">
        <w:rPr>
          <w:rFonts w:ascii="Palatino Linotype" w:hAnsi="Palatino Linotype" w:cs="Times New Roman"/>
          <w:sz w:val="24"/>
          <w:szCs w:val="24"/>
        </w:rPr>
        <w:t xml:space="preserve"> that lawyers have a moral obligation to promote access to justice</w:t>
      </w:r>
      <w:r w:rsidR="00146380" w:rsidRPr="00EC1BE0">
        <w:rPr>
          <w:rFonts w:ascii="Palatino Linotype" w:hAnsi="Palatino Linotype" w:cs="Times New Roman"/>
          <w:sz w:val="24"/>
          <w:szCs w:val="24"/>
        </w:rPr>
        <w:t>.</w:t>
      </w:r>
      <w:r w:rsidR="002703E6" w:rsidRPr="00EC1BE0">
        <w:rPr>
          <w:rStyle w:val="FootnoteReference"/>
          <w:rFonts w:ascii="Palatino Linotype" w:hAnsi="Palatino Linotype" w:cs="Times New Roman"/>
          <w:sz w:val="24"/>
          <w:szCs w:val="24"/>
        </w:rPr>
        <w:footnoteReference w:id="2"/>
      </w:r>
      <w:r w:rsidR="00146380" w:rsidRPr="00EC1BE0">
        <w:rPr>
          <w:rFonts w:ascii="Palatino Linotype" w:hAnsi="Palatino Linotype" w:cs="Times New Roman"/>
          <w:sz w:val="24"/>
          <w:szCs w:val="24"/>
        </w:rPr>
        <w:t xml:space="preserve">  </w:t>
      </w:r>
      <w:r w:rsidR="00D2249F" w:rsidRPr="00EC1BE0">
        <w:rPr>
          <w:rFonts w:ascii="Palatino Linotype" w:hAnsi="Palatino Linotype" w:cs="Times New Roman"/>
          <w:sz w:val="24"/>
          <w:szCs w:val="24"/>
        </w:rPr>
        <w:t xml:space="preserve">It is also arguable that it is more than a moral obligation and is in fact a professional </w:t>
      </w:r>
      <w:r w:rsidR="00D2249F" w:rsidRPr="00EC1BE0">
        <w:rPr>
          <w:rFonts w:ascii="Palatino Linotype" w:hAnsi="Palatino Linotype" w:cs="Times New Roman"/>
          <w:sz w:val="24"/>
          <w:szCs w:val="24"/>
        </w:rPr>
        <w:lastRenderedPageBreak/>
        <w:t>obligation.  T</w:t>
      </w:r>
      <w:r w:rsidR="00A51EF7" w:rsidRPr="00EC1BE0">
        <w:rPr>
          <w:rFonts w:ascii="Palatino Linotype" w:hAnsi="Palatino Linotype" w:cs="Times New Roman"/>
          <w:sz w:val="24"/>
          <w:szCs w:val="24"/>
        </w:rPr>
        <w:t>he International Bar Association state</w:t>
      </w:r>
      <w:r w:rsidR="000F62CA" w:rsidRPr="00EC1BE0">
        <w:rPr>
          <w:rFonts w:ascii="Palatino Linotype" w:hAnsi="Palatino Linotype" w:cs="Times New Roman"/>
          <w:sz w:val="24"/>
          <w:szCs w:val="24"/>
        </w:rPr>
        <w:t>s</w:t>
      </w:r>
      <w:r w:rsidR="00A51EF7" w:rsidRPr="00EC1BE0">
        <w:rPr>
          <w:rFonts w:ascii="Palatino Linotype" w:hAnsi="Palatino Linotype" w:cs="Times New Roman"/>
          <w:sz w:val="24"/>
          <w:szCs w:val="24"/>
        </w:rPr>
        <w:t xml:space="preserve"> that a lawyer is ‘an indispensable participant in the fair administration of justice.’</w:t>
      </w:r>
      <w:r w:rsidR="000F62CA" w:rsidRPr="00EC1BE0">
        <w:rPr>
          <w:rStyle w:val="FootnoteReference"/>
          <w:rFonts w:ascii="Palatino Linotype" w:hAnsi="Palatino Linotype" w:cs="Times New Roman"/>
          <w:sz w:val="24"/>
          <w:szCs w:val="24"/>
        </w:rPr>
        <w:footnoteReference w:id="3"/>
      </w:r>
      <w:r w:rsidR="000F62CA" w:rsidRPr="00EC1BE0">
        <w:rPr>
          <w:rFonts w:ascii="Palatino Linotype" w:hAnsi="Palatino Linotype" w:cs="Times New Roman"/>
          <w:sz w:val="24"/>
          <w:szCs w:val="24"/>
        </w:rPr>
        <w:t xml:space="preserve"> </w:t>
      </w:r>
      <w:r w:rsidR="00D2249F" w:rsidRPr="00EC1BE0">
        <w:rPr>
          <w:rFonts w:ascii="Palatino Linotype" w:hAnsi="Palatino Linotype" w:cs="Times New Roman"/>
          <w:sz w:val="24"/>
          <w:szCs w:val="24"/>
        </w:rPr>
        <w:t>Further, t</w:t>
      </w:r>
      <w:r w:rsidR="000F62CA" w:rsidRPr="00EC1BE0">
        <w:rPr>
          <w:rFonts w:ascii="Palatino Linotype" w:hAnsi="Palatino Linotype" w:cs="Times New Roman"/>
          <w:sz w:val="24"/>
          <w:szCs w:val="24"/>
        </w:rPr>
        <w:t xml:space="preserve">he United Nations </w:t>
      </w:r>
      <w:r w:rsidR="00D2249F" w:rsidRPr="00EC1BE0">
        <w:rPr>
          <w:rFonts w:ascii="Palatino Linotype" w:hAnsi="Palatino Linotype" w:cs="Times New Roman"/>
          <w:sz w:val="24"/>
          <w:szCs w:val="24"/>
        </w:rPr>
        <w:t xml:space="preserve">also recognise this duty </w:t>
      </w:r>
      <w:r w:rsidR="000F62CA" w:rsidRPr="00EC1BE0">
        <w:rPr>
          <w:rFonts w:ascii="Palatino Linotype" w:hAnsi="Palatino Linotype" w:cs="Times New Roman"/>
          <w:sz w:val="24"/>
          <w:szCs w:val="24"/>
        </w:rPr>
        <w:t>stating that ‘[l]</w:t>
      </w:r>
      <w:proofErr w:type="spellStart"/>
      <w:r w:rsidR="000F62CA" w:rsidRPr="00EC1BE0">
        <w:rPr>
          <w:rFonts w:ascii="Palatino Linotype" w:hAnsi="Palatino Linotype" w:cs="Times New Roman"/>
          <w:sz w:val="24"/>
          <w:szCs w:val="24"/>
        </w:rPr>
        <w:t>awyers</w:t>
      </w:r>
      <w:proofErr w:type="spellEnd"/>
      <w:r w:rsidR="000F62CA" w:rsidRPr="00EC1BE0">
        <w:rPr>
          <w:rFonts w:ascii="Palatino Linotype" w:hAnsi="Palatino Linotype" w:cs="Times New Roman"/>
          <w:sz w:val="24"/>
          <w:szCs w:val="24"/>
        </w:rPr>
        <w:t xml:space="preserve"> shall at all times maintain the honour and dignity of their profession as essential agents of the administration of justice.’</w:t>
      </w:r>
      <w:r w:rsidR="000F62CA" w:rsidRPr="00EC1BE0">
        <w:rPr>
          <w:rStyle w:val="FootnoteReference"/>
          <w:rFonts w:ascii="Palatino Linotype" w:hAnsi="Palatino Linotype" w:cs="Times New Roman"/>
          <w:sz w:val="24"/>
          <w:szCs w:val="24"/>
        </w:rPr>
        <w:footnoteReference w:id="4"/>
      </w:r>
      <w:r w:rsidR="000F62CA" w:rsidRPr="00EC1BE0">
        <w:rPr>
          <w:rFonts w:ascii="Palatino Linotype" w:hAnsi="Palatino Linotype" w:cs="Times New Roman"/>
          <w:sz w:val="24"/>
          <w:szCs w:val="24"/>
        </w:rPr>
        <w:t xml:space="preserve"> </w:t>
      </w:r>
      <w:r w:rsidR="00146380" w:rsidRPr="00EC1BE0">
        <w:rPr>
          <w:rFonts w:ascii="Palatino Linotype" w:hAnsi="Palatino Linotype" w:cs="Times New Roman"/>
          <w:sz w:val="24"/>
          <w:szCs w:val="24"/>
        </w:rPr>
        <w:t xml:space="preserve">Pro bono work </w:t>
      </w:r>
      <w:r w:rsidRPr="00EC1BE0">
        <w:rPr>
          <w:rFonts w:ascii="Palatino Linotype" w:hAnsi="Palatino Linotype" w:cs="Times New Roman"/>
          <w:sz w:val="24"/>
          <w:szCs w:val="24"/>
        </w:rPr>
        <w:t>may be considered</w:t>
      </w:r>
      <w:r w:rsidR="00146380" w:rsidRPr="00EC1BE0">
        <w:rPr>
          <w:rFonts w:ascii="Palatino Linotype" w:hAnsi="Palatino Linotype" w:cs="Times New Roman"/>
          <w:sz w:val="24"/>
          <w:szCs w:val="24"/>
        </w:rPr>
        <w:t xml:space="preserve"> as </w:t>
      </w:r>
      <w:r w:rsidRPr="00EC1BE0">
        <w:rPr>
          <w:rFonts w:ascii="Palatino Linotype" w:hAnsi="Palatino Linotype" w:cs="Times New Roman"/>
          <w:sz w:val="24"/>
          <w:szCs w:val="24"/>
        </w:rPr>
        <w:t xml:space="preserve">one of </w:t>
      </w:r>
      <w:r w:rsidR="00146380" w:rsidRPr="00EC1BE0">
        <w:rPr>
          <w:rFonts w:ascii="Palatino Linotype" w:hAnsi="Palatino Linotype" w:cs="Times New Roman"/>
          <w:sz w:val="24"/>
          <w:szCs w:val="24"/>
        </w:rPr>
        <w:t>the method</w:t>
      </w:r>
      <w:r w:rsidRPr="00EC1BE0">
        <w:rPr>
          <w:rFonts w:ascii="Palatino Linotype" w:hAnsi="Palatino Linotype" w:cs="Times New Roman"/>
          <w:sz w:val="24"/>
          <w:szCs w:val="24"/>
        </w:rPr>
        <w:t>s</w:t>
      </w:r>
      <w:r w:rsidR="00146380" w:rsidRPr="00EC1BE0">
        <w:rPr>
          <w:rFonts w:ascii="Palatino Linotype" w:hAnsi="Palatino Linotype" w:cs="Times New Roman"/>
          <w:sz w:val="24"/>
          <w:szCs w:val="24"/>
        </w:rPr>
        <w:t xml:space="preserve"> for fulfilling this obligation.</w:t>
      </w:r>
      <w:r w:rsidR="0071598D" w:rsidRPr="00EC1BE0">
        <w:rPr>
          <w:rStyle w:val="FootnoteReference"/>
          <w:rFonts w:ascii="Palatino Linotype" w:hAnsi="Palatino Linotype" w:cs="Times New Roman"/>
          <w:sz w:val="24"/>
          <w:szCs w:val="24"/>
        </w:rPr>
        <w:footnoteReference w:id="5"/>
      </w:r>
    </w:p>
    <w:p w:rsidR="00146380" w:rsidRPr="00EC1BE0" w:rsidRDefault="00146380"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 xml:space="preserve">The Law Society of England and Wales reports that </w:t>
      </w:r>
      <w:r w:rsidR="00D14CC4" w:rsidRPr="00EC1BE0">
        <w:rPr>
          <w:rFonts w:ascii="Palatino Linotype" w:hAnsi="Palatino Linotype" w:cs="Times New Roman"/>
          <w:sz w:val="24"/>
          <w:szCs w:val="24"/>
        </w:rPr>
        <w:t>63</w:t>
      </w:r>
      <w:r w:rsidRPr="00EC1BE0">
        <w:rPr>
          <w:rFonts w:ascii="Palatino Linotype" w:hAnsi="Palatino Linotype" w:cs="Times New Roman"/>
          <w:sz w:val="24"/>
          <w:szCs w:val="24"/>
        </w:rPr>
        <w:t xml:space="preserve">% of solicitors had </w:t>
      </w:r>
      <w:r w:rsidR="00D14CC4" w:rsidRPr="00EC1BE0">
        <w:rPr>
          <w:rFonts w:ascii="Palatino Linotype" w:hAnsi="Palatino Linotype" w:cs="Times New Roman"/>
          <w:sz w:val="24"/>
          <w:szCs w:val="24"/>
        </w:rPr>
        <w:t>conducted</w:t>
      </w:r>
      <w:r w:rsidRPr="00EC1BE0">
        <w:rPr>
          <w:rFonts w:ascii="Palatino Linotype" w:hAnsi="Palatino Linotype" w:cs="Times New Roman"/>
          <w:sz w:val="24"/>
          <w:szCs w:val="24"/>
        </w:rPr>
        <w:t xml:space="preserve"> pro bono </w:t>
      </w:r>
      <w:r w:rsidR="00D14CC4" w:rsidRPr="00EC1BE0">
        <w:rPr>
          <w:rFonts w:ascii="Palatino Linotype" w:hAnsi="Palatino Linotype" w:cs="Times New Roman"/>
          <w:sz w:val="24"/>
          <w:szCs w:val="24"/>
        </w:rPr>
        <w:t>work (undefined</w:t>
      </w:r>
      <w:r w:rsidR="006D4ED4" w:rsidRPr="00EC1BE0">
        <w:rPr>
          <w:rStyle w:val="FootnoteReference"/>
          <w:rFonts w:ascii="Palatino Linotype" w:hAnsi="Palatino Linotype" w:cs="Times New Roman"/>
          <w:sz w:val="24"/>
          <w:szCs w:val="24"/>
        </w:rPr>
        <w:footnoteReference w:id="6"/>
      </w:r>
      <w:r w:rsidR="00D14CC4" w:rsidRPr="00EC1BE0">
        <w:rPr>
          <w:rFonts w:ascii="Palatino Linotype" w:hAnsi="Palatino Linotype" w:cs="Times New Roman"/>
          <w:sz w:val="24"/>
          <w:szCs w:val="24"/>
        </w:rPr>
        <w:t>) at some point in their career.</w:t>
      </w:r>
      <w:r w:rsidRPr="00EC1BE0">
        <w:rPr>
          <w:rStyle w:val="FootnoteReference"/>
          <w:rFonts w:ascii="Palatino Linotype" w:hAnsi="Palatino Linotype" w:cs="Times New Roman"/>
          <w:sz w:val="24"/>
          <w:szCs w:val="24"/>
        </w:rPr>
        <w:footnoteReference w:id="7"/>
      </w:r>
      <w:r w:rsidR="00D14CC4" w:rsidRPr="00EC1BE0">
        <w:rPr>
          <w:rFonts w:ascii="Palatino Linotype" w:hAnsi="Palatino Linotype" w:cs="Times New Roman"/>
          <w:sz w:val="24"/>
          <w:szCs w:val="24"/>
        </w:rPr>
        <w:t xml:space="preserve">  In 2015, 37% of solicitors reported that they had undertaken at least one hour of pro bono work </w:t>
      </w:r>
      <w:r w:rsidR="0046628A" w:rsidRPr="00EC1BE0">
        <w:rPr>
          <w:rFonts w:ascii="Palatino Linotype" w:hAnsi="Palatino Linotype" w:cs="Times New Roman"/>
          <w:sz w:val="24"/>
          <w:szCs w:val="24"/>
        </w:rPr>
        <w:t xml:space="preserve">(as defined by </w:t>
      </w:r>
      <w:r w:rsidR="00EC1BE0">
        <w:rPr>
          <w:rFonts w:ascii="Palatino Linotype" w:hAnsi="Palatino Linotype" w:cs="Times New Roman"/>
          <w:sz w:val="24"/>
          <w:szCs w:val="24"/>
        </w:rPr>
        <w:t>t</w:t>
      </w:r>
      <w:r w:rsidR="0046628A" w:rsidRPr="00EC1BE0">
        <w:rPr>
          <w:rFonts w:ascii="Palatino Linotype" w:hAnsi="Palatino Linotype" w:cs="Times New Roman"/>
          <w:sz w:val="24"/>
          <w:szCs w:val="24"/>
        </w:rPr>
        <w:t>he Pro Bono Protocol</w:t>
      </w:r>
      <w:r w:rsidR="00A8584B" w:rsidRPr="00EC1BE0">
        <w:rPr>
          <w:rStyle w:val="FootnoteReference"/>
          <w:rFonts w:ascii="Palatino Linotype" w:hAnsi="Palatino Linotype" w:cs="Times New Roman"/>
          <w:sz w:val="24"/>
          <w:szCs w:val="24"/>
        </w:rPr>
        <w:footnoteReference w:id="8"/>
      </w:r>
      <w:r w:rsidR="0046628A" w:rsidRPr="00EC1BE0">
        <w:rPr>
          <w:rFonts w:ascii="Palatino Linotype" w:hAnsi="Palatino Linotype" w:cs="Times New Roman"/>
          <w:sz w:val="24"/>
          <w:szCs w:val="24"/>
        </w:rPr>
        <w:t xml:space="preserve">) </w:t>
      </w:r>
      <w:r w:rsidR="00D14CC4" w:rsidRPr="00EC1BE0">
        <w:rPr>
          <w:rFonts w:ascii="Palatino Linotype" w:hAnsi="Palatino Linotype" w:cs="Times New Roman"/>
          <w:sz w:val="24"/>
          <w:szCs w:val="24"/>
        </w:rPr>
        <w:t>in the preceding 12 months.</w:t>
      </w:r>
      <w:r w:rsidR="00D14CC4" w:rsidRPr="00EC1BE0">
        <w:rPr>
          <w:rStyle w:val="FootnoteReference"/>
          <w:rFonts w:ascii="Palatino Linotype" w:hAnsi="Palatino Linotype" w:cs="Times New Roman"/>
          <w:sz w:val="24"/>
          <w:szCs w:val="24"/>
        </w:rPr>
        <w:footnoteReference w:id="9"/>
      </w:r>
      <w:r w:rsidR="00D14CC4" w:rsidRPr="00EC1BE0">
        <w:rPr>
          <w:rFonts w:ascii="Palatino Linotype" w:hAnsi="Palatino Linotype" w:cs="Times New Roman"/>
          <w:sz w:val="24"/>
          <w:szCs w:val="24"/>
        </w:rPr>
        <w:t xml:space="preserve"> </w:t>
      </w:r>
      <w:r w:rsidR="0046628A" w:rsidRPr="00EC1BE0">
        <w:rPr>
          <w:rFonts w:ascii="Palatino Linotype" w:hAnsi="Palatino Linotype" w:cs="Times New Roman"/>
          <w:sz w:val="24"/>
          <w:szCs w:val="24"/>
        </w:rPr>
        <w:t xml:space="preserve"> This is a statistically significant decline on the 42% reported in the 2014 survey.</w:t>
      </w:r>
      <w:r w:rsidR="0046628A" w:rsidRPr="00EC1BE0">
        <w:rPr>
          <w:rStyle w:val="FootnoteReference"/>
          <w:rFonts w:ascii="Palatino Linotype" w:hAnsi="Palatino Linotype" w:cs="Times New Roman"/>
          <w:sz w:val="24"/>
          <w:szCs w:val="24"/>
        </w:rPr>
        <w:footnoteReference w:id="10"/>
      </w:r>
      <w:r w:rsidR="0046628A" w:rsidRPr="00EC1BE0">
        <w:rPr>
          <w:rFonts w:ascii="Palatino Linotype" w:hAnsi="Palatino Linotype" w:cs="Times New Roman"/>
          <w:sz w:val="24"/>
          <w:szCs w:val="24"/>
        </w:rPr>
        <w:t xml:space="preserve">  Interestingly, 43% of solicitors who did not provide pro bono services suggested that there were not adequate opportunities to do so.</w:t>
      </w:r>
      <w:r w:rsidR="0046628A" w:rsidRPr="00EC1BE0">
        <w:rPr>
          <w:rStyle w:val="FootnoteReference"/>
          <w:rFonts w:ascii="Palatino Linotype" w:hAnsi="Palatino Linotype" w:cs="Times New Roman"/>
          <w:sz w:val="24"/>
          <w:szCs w:val="24"/>
        </w:rPr>
        <w:footnoteReference w:id="11"/>
      </w:r>
      <w:r w:rsidR="00246778" w:rsidRPr="00EC1BE0">
        <w:rPr>
          <w:rFonts w:ascii="Palatino Linotype" w:hAnsi="Palatino Linotype" w:cs="Times New Roman"/>
          <w:sz w:val="24"/>
          <w:szCs w:val="24"/>
        </w:rPr>
        <w:t xml:space="preserve">  Unfortunately, it is not clear what is meant by the lack of opportunities.</w:t>
      </w:r>
      <w:r w:rsidR="005D0A92" w:rsidRPr="00EC1BE0">
        <w:rPr>
          <w:rFonts w:ascii="Palatino Linotype" w:hAnsi="Palatino Linotype" w:cs="Times New Roman"/>
          <w:sz w:val="24"/>
          <w:szCs w:val="24"/>
        </w:rPr>
        <w:t xml:space="preserve">  This phrase could be interpreted to mean that solicitors did not believe there was a need for pro bono work which seems unlikely.  An alternative interpretation for this phrase is that their firm did not support pro bono opportunities.  </w:t>
      </w:r>
      <w:r w:rsidR="005E1F73" w:rsidRPr="00EC1BE0">
        <w:rPr>
          <w:rFonts w:ascii="Palatino Linotype" w:hAnsi="Palatino Linotype" w:cs="Times New Roman"/>
          <w:sz w:val="24"/>
          <w:szCs w:val="24"/>
        </w:rPr>
        <w:t>Reasons cited for not undertaking pro bono work include transactional lawyers stating that they are not litigators, lack of time, cost to the firm in terms of time and money, lack of knowledge in relation to relevant laws affecting the indigent, and not knowing how to get involved in an area of pro bono that interests the individual.</w:t>
      </w:r>
      <w:r w:rsidR="005E1F73" w:rsidRPr="00EC1BE0">
        <w:rPr>
          <w:rStyle w:val="FootnoteReference"/>
          <w:rFonts w:ascii="Palatino Linotype" w:hAnsi="Palatino Linotype" w:cs="Times New Roman"/>
          <w:sz w:val="24"/>
          <w:szCs w:val="24"/>
        </w:rPr>
        <w:footnoteReference w:id="12"/>
      </w:r>
      <w:r w:rsidR="005E1F73" w:rsidRPr="00EC1BE0">
        <w:rPr>
          <w:rFonts w:ascii="Palatino Linotype" w:hAnsi="Palatino Linotype" w:cs="Times New Roman"/>
          <w:sz w:val="24"/>
          <w:szCs w:val="24"/>
        </w:rPr>
        <w:t xml:space="preserve">  </w:t>
      </w:r>
      <w:r w:rsidR="00023C57" w:rsidRPr="00EC1BE0">
        <w:rPr>
          <w:rFonts w:ascii="Palatino Linotype" w:hAnsi="Palatino Linotype" w:cs="Times New Roman"/>
          <w:sz w:val="24"/>
          <w:szCs w:val="24"/>
        </w:rPr>
        <w:t>Some lawyers also express concern about a perceived conflict of interest.</w:t>
      </w:r>
      <w:r w:rsidR="00023C57" w:rsidRPr="00EC1BE0">
        <w:rPr>
          <w:rStyle w:val="FootnoteReference"/>
          <w:rFonts w:ascii="Palatino Linotype" w:hAnsi="Palatino Linotype" w:cs="Times New Roman"/>
          <w:sz w:val="24"/>
          <w:szCs w:val="24"/>
        </w:rPr>
        <w:footnoteReference w:id="13"/>
      </w:r>
      <w:r w:rsidR="00023C57" w:rsidRPr="00EC1BE0">
        <w:rPr>
          <w:rFonts w:ascii="Palatino Linotype" w:hAnsi="Palatino Linotype" w:cs="Times New Roman"/>
          <w:sz w:val="24"/>
          <w:szCs w:val="24"/>
        </w:rPr>
        <w:t xml:space="preserve">  All these reasons have been recognised as barriers to solicitors undertaking pro bono in England and Wales.</w:t>
      </w:r>
      <w:r w:rsidR="00023C57" w:rsidRPr="00EC1BE0">
        <w:rPr>
          <w:rStyle w:val="FootnoteReference"/>
          <w:rFonts w:ascii="Palatino Linotype" w:hAnsi="Palatino Linotype" w:cs="Times New Roman"/>
          <w:sz w:val="24"/>
          <w:szCs w:val="24"/>
        </w:rPr>
        <w:footnoteReference w:id="14"/>
      </w:r>
      <w:r w:rsidR="00023C57" w:rsidRPr="00EC1BE0">
        <w:rPr>
          <w:rFonts w:ascii="Palatino Linotype" w:hAnsi="Palatino Linotype" w:cs="Times New Roman"/>
          <w:sz w:val="24"/>
          <w:szCs w:val="24"/>
        </w:rPr>
        <w:t xml:space="preserve">  </w:t>
      </w:r>
      <w:proofErr w:type="spellStart"/>
      <w:r w:rsidR="005D0A92" w:rsidRPr="00EC1BE0">
        <w:rPr>
          <w:rFonts w:ascii="Palatino Linotype" w:hAnsi="Palatino Linotype" w:cs="Times New Roman"/>
          <w:sz w:val="24"/>
          <w:szCs w:val="24"/>
        </w:rPr>
        <w:t>Kutik</w:t>
      </w:r>
      <w:proofErr w:type="spellEnd"/>
      <w:r w:rsidR="005D0A92" w:rsidRPr="00EC1BE0">
        <w:rPr>
          <w:rFonts w:ascii="Palatino Linotype" w:hAnsi="Palatino Linotype" w:cs="Times New Roman"/>
          <w:sz w:val="24"/>
          <w:szCs w:val="24"/>
        </w:rPr>
        <w:t xml:space="preserve"> however identifies one of the biggest barriers preventing pro bono work as ‘inertia’</w:t>
      </w:r>
      <w:r w:rsidR="006423B9" w:rsidRPr="00EC1BE0">
        <w:rPr>
          <w:rFonts w:ascii="Palatino Linotype" w:hAnsi="Palatino Linotype" w:cs="Times New Roman"/>
          <w:sz w:val="24"/>
          <w:szCs w:val="24"/>
        </w:rPr>
        <w:t>, explaining that lawyers ‘haven’t done it, [they] don’t know how to do it, and [they] won’t make the effort to learn</w:t>
      </w:r>
      <w:r w:rsidR="005D0A92" w:rsidRPr="00EC1BE0">
        <w:rPr>
          <w:rFonts w:ascii="Palatino Linotype" w:hAnsi="Palatino Linotype" w:cs="Times New Roman"/>
          <w:sz w:val="24"/>
          <w:szCs w:val="24"/>
        </w:rPr>
        <w:t>.</w:t>
      </w:r>
      <w:r w:rsidR="006423B9" w:rsidRPr="00EC1BE0">
        <w:rPr>
          <w:rFonts w:ascii="Palatino Linotype" w:hAnsi="Palatino Linotype" w:cs="Times New Roman"/>
          <w:sz w:val="24"/>
          <w:szCs w:val="24"/>
        </w:rPr>
        <w:t>’</w:t>
      </w:r>
      <w:r w:rsidR="005D0A92" w:rsidRPr="00EC1BE0">
        <w:rPr>
          <w:rStyle w:val="FootnoteReference"/>
          <w:rFonts w:ascii="Palatino Linotype" w:hAnsi="Palatino Linotype" w:cs="Times New Roman"/>
          <w:sz w:val="24"/>
          <w:szCs w:val="24"/>
        </w:rPr>
        <w:footnoteReference w:id="15"/>
      </w:r>
      <w:r w:rsidR="006423B9" w:rsidRPr="00EC1BE0">
        <w:rPr>
          <w:rFonts w:ascii="Palatino Linotype" w:hAnsi="Palatino Linotype" w:cs="Times New Roman"/>
          <w:sz w:val="24"/>
          <w:szCs w:val="24"/>
        </w:rPr>
        <w:t xml:space="preserve">  </w:t>
      </w:r>
      <w:r w:rsidR="005D0A92" w:rsidRPr="00EC1BE0">
        <w:rPr>
          <w:rFonts w:ascii="Palatino Linotype" w:hAnsi="Palatino Linotype" w:cs="Times New Roman"/>
          <w:sz w:val="24"/>
          <w:szCs w:val="24"/>
        </w:rPr>
        <w:t xml:space="preserve"> </w:t>
      </w:r>
    </w:p>
    <w:p w:rsidR="00750730" w:rsidRPr="00EC1BE0" w:rsidRDefault="007F22DF"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Part 1 of the</w:t>
      </w:r>
      <w:r w:rsidR="0046628A" w:rsidRPr="00EC1BE0">
        <w:rPr>
          <w:rFonts w:ascii="Palatino Linotype" w:hAnsi="Palatino Linotype" w:cs="Times New Roman"/>
          <w:sz w:val="24"/>
          <w:szCs w:val="24"/>
        </w:rPr>
        <w:t xml:space="preserve"> Legal Aid, Sentencing and Punishment of </w:t>
      </w:r>
      <w:r w:rsidRPr="00EC1BE0">
        <w:rPr>
          <w:rFonts w:ascii="Palatino Linotype" w:hAnsi="Palatino Linotype" w:cs="Times New Roman"/>
          <w:sz w:val="24"/>
          <w:szCs w:val="24"/>
        </w:rPr>
        <w:t xml:space="preserve">Offenders Act 2012 made significant cuts to the scope of legal aid </w:t>
      </w:r>
      <w:r w:rsidR="00246778" w:rsidRPr="00EC1BE0">
        <w:rPr>
          <w:rFonts w:ascii="Palatino Linotype" w:hAnsi="Palatino Linotype" w:cs="Times New Roman"/>
          <w:sz w:val="24"/>
          <w:szCs w:val="24"/>
        </w:rPr>
        <w:t xml:space="preserve">in England and Wales </w:t>
      </w:r>
      <w:r w:rsidRPr="00EC1BE0">
        <w:rPr>
          <w:rFonts w:ascii="Palatino Linotype" w:hAnsi="Palatino Linotype" w:cs="Times New Roman"/>
          <w:sz w:val="24"/>
          <w:szCs w:val="24"/>
        </w:rPr>
        <w:t>as of 1 April 2013.</w:t>
      </w:r>
      <w:r w:rsidR="008A29B9" w:rsidRPr="00EC1BE0">
        <w:rPr>
          <w:rFonts w:ascii="Palatino Linotype" w:hAnsi="Palatino Linotype" w:cs="Times New Roman"/>
          <w:sz w:val="24"/>
          <w:szCs w:val="24"/>
        </w:rPr>
        <w:t xml:space="preserve">  As a consequence of these cuts, the number of unrepresented individuals </w:t>
      </w:r>
      <w:r w:rsidR="004956BB" w:rsidRPr="00EC1BE0">
        <w:rPr>
          <w:rFonts w:ascii="Palatino Linotype" w:hAnsi="Palatino Linotype" w:cs="Times New Roman"/>
          <w:sz w:val="24"/>
          <w:szCs w:val="24"/>
        </w:rPr>
        <w:t>in</w:t>
      </w:r>
      <w:r w:rsidR="008A29B9" w:rsidRPr="00EC1BE0">
        <w:rPr>
          <w:rFonts w:ascii="Palatino Linotype" w:hAnsi="Palatino Linotype" w:cs="Times New Roman"/>
          <w:sz w:val="24"/>
          <w:szCs w:val="24"/>
        </w:rPr>
        <w:t xml:space="preserve"> the </w:t>
      </w:r>
      <w:r w:rsidR="004956BB" w:rsidRPr="00EC1BE0">
        <w:rPr>
          <w:rFonts w:ascii="Palatino Linotype" w:hAnsi="Palatino Linotype" w:cs="Times New Roman"/>
          <w:sz w:val="24"/>
          <w:szCs w:val="24"/>
        </w:rPr>
        <w:t xml:space="preserve">family courts </w:t>
      </w:r>
      <w:r w:rsidR="008A29B9" w:rsidRPr="00EC1BE0">
        <w:rPr>
          <w:rFonts w:ascii="Palatino Linotype" w:hAnsi="Palatino Linotype" w:cs="Times New Roman"/>
          <w:sz w:val="24"/>
          <w:szCs w:val="24"/>
        </w:rPr>
        <w:t>has increased</w:t>
      </w:r>
      <w:r w:rsidR="004956BB" w:rsidRPr="00EC1BE0">
        <w:rPr>
          <w:rFonts w:ascii="Palatino Linotype" w:hAnsi="Palatino Linotype" w:cs="Times New Roman"/>
          <w:sz w:val="24"/>
          <w:szCs w:val="24"/>
        </w:rPr>
        <w:t>.  The National Audit Office reports an increase of 30% of family court cases in which neither party had legal representation in 2013-14 compared with 2012-13.</w:t>
      </w:r>
      <w:r w:rsidR="004956BB" w:rsidRPr="00EC1BE0">
        <w:rPr>
          <w:rStyle w:val="FootnoteReference"/>
          <w:rFonts w:ascii="Palatino Linotype" w:hAnsi="Palatino Linotype" w:cs="Times New Roman"/>
          <w:sz w:val="24"/>
          <w:szCs w:val="24"/>
        </w:rPr>
        <w:footnoteReference w:id="16"/>
      </w:r>
      <w:r w:rsidR="008A29B9" w:rsidRPr="00EC1BE0">
        <w:rPr>
          <w:rFonts w:ascii="Palatino Linotype" w:hAnsi="Palatino Linotype" w:cs="Times New Roman"/>
          <w:sz w:val="24"/>
          <w:szCs w:val="24"/>
        </w:rPr>
        <w:t xml:space="preserve"> </w:t>
      </w:r>
      <w:r w:rsidRPr="00EC1BE0">
        <w:rPr>
          <w:rFonts w:ascii="Palatino Linotype" w:hAnsi="Palatino Linotype" w:cs="Times New Roman"/>
          <w:sz w:val="24"/>
          <w:szCs w:val="24"/>
        </w:rPr>
        <w:t xml:space="preserve"> </w:t>
      </w:r>
      <w:r w:rsidR="00750730" w:rsidRPr="00EC1BE0">
        <w:rPr>
          <w:rFonts w:ascii="Palatino Linotype" w:hAnsi="Palatino Linotype" w:cs="Times New Roman"/>
          <w:sz w:val="24"/>
          <w:szCs w:val="24"/>
        </w:rPr>
        <w:t>The number of litigants in person appearing before the civil court</w:t>
      </w:r>
      <w:r w:rsidR="00D2249F" w:rsidRPr="00EC1BE0">
        <w:rPr>
          <w:rFonts w:ascii="Palatino Linotype" w:hAnsi="Palatino Linotype" w:cs="Times New Roman"/>
          <w:sz w:val="24"/>
          <w:szCs w:val="24"/>
        </w:rPr>
        <w:t>s</w:t>
      </w:r>
      <w:r w:rsidR="00750730" w:rsidRPr="00EC1BE0">
        <w:rPr>
          <w:rFonts w:ascii="Palatino Linotype" w:hAnsi="Palatino Linotype" w:cs="Times New Roman"/>
          <w:sz w:val="24"/>
          <w:szCs w:val="24"/>
        </w:rPr>
        <w:t xml:space="preserve"> is also likely to have increased but there is not sufficient data in relation to this.</w:t>
      </w:r>
      <w:r w:rsidR="00750730" w:rsidRPr="00EC1BE0">
        <w:rPr>
          <w:rStyle w:val="FootnoteReference"/>
          <w:rFonts w:ascii="Palatino Linotype" w:hAnsi="Palatino Linotype" w:cs="Times New Roman"/>
          <w:sz w:val="24"/>
          <w:szCs w:val="24"/>
        </w:rPr>
        <w:footnoteReference w:id="17"/>
      </w:r>
      <w:r w:rsidR="00750730" w:rsidRPr="00EC1BE0">
        <w:rPr>
          <w:rFonts w:ascii="Palatino Linotype" w:hAnsi="Palatino Linotype" w:cs="Times New Roman"/>
          <w:sz w:val="24"/>
          <w:szCs w:val="24"/>
        </w:rPr>
        <w:t xml:space="preserve">  The Master of the Rolls, Lord Dyson, in giving evidence to the </w:t>
      </w:r>
      <w:r w:rsidR="008D504B" w:rsidRPr="00EC1BE0">
        <w:rPr>
          <w:rFonts w:ascii="Palatino Linotype" w:hAnsi="Palatino Linotype" w:cs="Times New Roman"/>
          <w:sz w:val="24"/>
          <w:szCs w:val="24"/>
        </w:rPr>
        <w:t xml:space="preserve">House of Commons </w:t>
      </w:r>
      <w:r w:rsidR="00750730" w:rsidRPr="00EC1BE0">
        <w:rPr>
          <w:rFonts w:ascii="Palatino Linotype" w:hAnsi="Palatino Linotype" w:cs="Times New Roman"/>
          <w:sz w:val="24"/>
          <w:szCs w:val="24"/>
        </w:rPr>
        <w:t>Justice Committee summed up the issue stating</w:t>
      </w:r>
      <w:r w:rsidR="008D504B" w:rsidRPr="00EC1BE0">
        <w:rPr>
          <w:rFonts w:ascii="Palatino Linotype" w:hAnsi="Palatino Linotype" w:cs="Times New Roman"/>
          <w:sz w:val="24"/>
          <w:szCs w:val="24"/>
        </w:rPr>
        <w:t>:</w:t>
      </w:r>
      <w:r w:rsidR="00750730" w:rsidRPr="00EC1BE0">
        <w:rPr>
          <w:rFonts w:ascii="Palatino Linotype" w:hAnsi="Palatino Linotype" w:cs="Times New Roman"/>
          <w:sz w:val="24"/>
          <w:szCs w:val="24"/>
        </w:rPr>
        <w:t xml:space="preserve"> </w:t>
      </w:r>
    </w:p>
    <w:p w:rsidR="0046628A" w:rsidRPr="00EC1BE0" w:rsidRDefault="00750730" w:rsidP="00EC1BE0">
      <w:pPr>
        <w:pStyle w:val="NoSpacing"/>
        <w:spacing w:line="480" w:lineRule="auto"/>
        <w:ind w:left="720"/>
        <w:jc w:val="both"/>
        <w:rPr>
          <w:rFonts w:ascii="Palatino Linotype" w:hAnsi="Palatino Linotype" w:cs="Times New Roman"/>
          <w:sz w:val="24"/>
          <w:szCs w:val="24"/>
        </w:rPr>
      </w:pPr>
      <w:r w:rsidRPr="00EC1BE0">
        <w:rPr>
          <w:rFonts w:ascii="Palatino Linotype" w:hAnsi="Palatino Linotype" w:cs="Times New Roman"/>
          <w:i/>
          <w:sz w:val="24"/>
          <w:szCs w:val="24"/>
        </w:rPr>
        <w:t>“It is impossible to prove but it would be extraordinary, frankly, if there were not some cases that are decided adversely to a litigant in person which would have been decided the other way had that litigant in person been repre</w:t>
      </w:r>
      <w:r w:rsidR="008D504B" w:rsidRPr="00EC1BE0">
        <w:rPr>
          <w:rFonts w:ascii="Palatino Linotype" w:hAnsi="Palatino Linotype" w:cs="Times New Roman"/>
          <w:i/>
          <w:sz w:val="24"/>
          <w:szCs w:val="24"/>
        </w:rPr>
        <w:t>se</w:t>
      </w:r>
      <w:r w:rsidRPr="00EC1BE0">
        <w:rPr>
          <w:rFonts w:ascii="Palatino Linotype" w:hAnsi="Palatino Linotype" w:cs="Times New Roman"/>
          <w:i/>
          <w:sz w:val="24"/>
          <w:szCs w:val="24"/>
        </w:rPr>
        <w:t>nted by a competent lawyer</w:t>
      </w:r>
      <w:r w:rsidR="008D504B" w:rsidRPr="00EC1BE0">
        <w:rPr>
          <w:rFonts w:ascii="Palatino Linotype" w:hAnsi="Palatino Linotype" w:cs="Times New Roman"/>
          <w:i/>
          <w:sz w:val="24"/>
          <w:szCs w:val="24"/>
        </w:rPr>
        <w:t>.  It is inevitable.”</w:t>
      </w:r>
      <w:r w:rsidR="008D504B" w:rsidRPr="00EC1BE0">
        <w:rPr>
          <w:rStyle w:val="FootnoteReference"/>
          <w:rFonts w:ascii="Palatino Linotype" w:hAnsi="Palatino Linotype" w:cs="Times New Roman"/>
          <w:i/>
          <w:sz w:val="24"/>
          <w:szCs w:val="24"/>
        </w:rPr>
        <w:footnoteReference w:id="18"/>
      </w:r>
    </w:p>
    <w:p w:rsidR="008D504B" w:rsidRPr="00EC1BE0" w:rsidRDefault="008D504B"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A further issue, as noted by Steven Matthews of the Magistrates’ Association, was:</w:t>
      </w:r>
    </w:p>
    <w:p w:rsidR="008D504B" w:rsidRPr="00EC1BE0" w:rsidRDefault="008D504B" w:rsidP="00EC1BE0">
      <w:pPr>
        <w:pStyle w:val="NoSpacing"/>
        <w:spacing w:line="480" w:lineRule="auto"/>
        <w:ind w:left="720"/>
        <w:jc w:val="both"/>
        <w:rPr>
          <w:rFonts w:ascii="Palatino Linotype" w:hAnsi="Palatino Linotype" w:cs="Times New Roman"/>
          <w:i/>
          <w:sz w:val="24"/>
          <w:szCs w:val="24"/>
        </w:rPr>
      </w:pPr>
      <w:r w:rsidRPr="00EC1BE0">
        <w:rPr>
          <w:rFonts w:ascii="Palatino Linotype" w:hAnsi="Palatino Linotype" w:cs="Times New Roman"/>
          <w:i/>
          <w:sz w:val="24"/>
          <w:szCs w:val="24"/>
        </w:rPr>
        <w:t xml:space="preserve">“[individuals would be] put off making what may be a legitimate application because of the fact that </w:t>
      </w:r>
      <w:r w:rsidR="00680453" w:rsidRPr="00EC1BE0">
        <w:rPr>
          <w:rFonts w:ascii="Palatino Linotype" w:hAnsi="Palatino Linotype" w:cs="Times New Roman"/>
          <w:i/>
          <w:sz w:val="24"/>
          <w:szCs w:val="24"/>
        </w:rPr>
        <w:t>they cannot get legal representation, have been unable to get advice and are put off by the forms and the process and so on.”</w:t>
      </w:r>
      <w:r w:rsidR="00680453" w:rsidRPr="00EC1BE0">
        <w:rPr>
          <w:rStyle w:val="FootnoteReference"/>
          <w:rFonts w:ascii="Palatino Linotype" w:hAnsi="Palatino Linotype" w:cs="Times New Roman"/>
          <w:i/>
          <w:sz w:val="24"/>
          <w:szCs w:val="24"/>
        </w:rPr>
        <w:footnoteReference w:id="19"/>
      </w:r>
    </w:p>
    <w:p w:rsidR="00C204EC" w:rsidRPr="00EC1BE0" w:rsidRDefault="00C204EC"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It is difficult to quantify the numbers of individuals who decide not to pursue a legitimate legal claim because they are put off by the process.  However, one Australian report estimated that not knowing what to do was cited as the reason for inaction in 30% of substantial civil legal problems not acted upon in 2008.</w:t>
      </w:r>
      <w:r w:rsidRPr="00EC1BE0">
        <w:rPr>
          <w:rStyle w:val="FootnoteReference"/>
          <w:rFonts w:ascii="Palatino Linotype" w:hAnsi="Palatino Linotype" w:cs="Times New Roman"/>
          <w:sz w:val="24"/>
          <w:szCs w:val="24"/>
        </w:rPr>
        <w:footnoteReference w:id="20"/>
      </w:r>
    </w:p>
    <w:p w:rsidR="00680453" w:rsidRPr="00EC1BE0" w:rsidRDefault="00680453"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A depressing picture is therefore emerging that at a time when demand</w:t>
      </w:r>
      <w:r w:rsidR="00CA5B28" w:rsidRPr="00EC1BE0">
        <w:rPr>
          <w:rFonts w:ascii="Palatino Linotype" w:hAnsi="Palatino Linotype" w:cs="Times New Roman"/>
          <w:sz w:val="24"/>
          <w:szCs w:val="24"/>
        </w:rPr>
        <w:t>, or at least a need,</w:t>
      </w:r>
      <w:r w:rsidRPr="00EC1BE0">
        <w:rPr>
          <w:rFonts w:ascii="Palatino Linotype" w:hAnsi="Palatino Linotype" w:cs="Times New Roman"/>
          <w:sz w:val="24"/>
          <w:szCs w:val="24"/>
        </w:rPr>
        <w:t xml:space="preserve"> for pro bono legal services is increasing, the percentage of solicitors providing such services is decreasing</w:t>
      </w:r>
      <w:r w:rsidR="00A8584B" w:rsidRPr="00EC1BE0">
        <w:rPr>
          <w:rFonts w:ascii="Palatino Linotype" w:hAnsi="Palatino Linotype" w:cs="Times New Roman"/>
          <w:sz w:val="24"/>
          <w:szCs w:val="24"/>
        </w:rPr>
        <w:t>.</w:t>
      </w:r>
      <w:r w:rsidR="00CA5B28" w:rsidRPr="00EC1BE0">
        <w:rPr>
          <w:rFonts w:ascii="Palatino Linotype" w:hAnsi="Palatino Linotype" w:cs="Times New Roman"/>
          <w:sz w:val="24"/>
          <w:szCs w:val="24"/>
        </w:rPr>
        <w:t xml:space="preserve">  There is perhaps a need to consider what steps can be taken to increase the provision of pro bono services by the legal profession</w:t>
      </w:r>
      <w:r w:rsidR="00DD4FCA" w:rsidRPr="00EC1BE0">
        <w:rPr>
          <w:rFonts w:ascii="Palatino Linotype" w:hAnsi="Palatino Linotype" w:cs="Times New Roman"/>
          <w:sz w:val="24"/>
          <w:szCs w:val="24"/>
        </w:rPr>
        <w:t>, or indeed whether the provision of pro bono should be increased</w:t>
      </w:r>
      <w:r w:rsidR="00CA5B28" w:rsidRPr="00EC1BE0">
        <w:rPr>
          <w:rFonts w:ascii="Palatino Linotype" w:hAnsi="Palatino Linotype" w:cs="Times New Roman"/>
          <w:sz w:val="24"/>
          <w:szCs w:val="24"/>
        </w:rPr>
        <w:t xml:space="preserve">.  </w:t>
      </w:r>
      <w:r w:rsidR="00DD4FCA" w:rsidRPr="00EC1BE0">
        <w:rPr>
          <w:rFonts w:ascii="Palatino Linotype" w:hAnsi="Palatino Linotype" w:cs="Times New Roman"/>
          <w:sz w:val="24"/>
          <w:szCs w:val="24"/>
        </w:rPr>
        <w:t>It has been argued that increasing the provision of pro bono encourages more legal aid cuts.</w:t>
      </w:r>
      <w:r w:rsidR="00DD0FC4" w:rsidRPr="00EC1BE0">
        <w:rPr>
          <w:rStyle w:val="FootnoteReference"/>
          <w:rFonts w:ascii="Palatino Linotype" w:hAnsi="Palatino Linotype" w:cs="Times New Roman"/>
          <w:sz w:val="24"/>
          <w:szCs w:val="24"/>
        </w:rPr>
        <w:footnoteReference w:id="21"/>
      </w:r>
      <w:r w:rsidR="00DD4FCA" w:rsidRPr="00EC1BE0">
        <w:rPr>
          <w:rFonts w:ascii="Palatino Linotype" w:hAnsi="Palatino Linotype" w:cs="Times New Roman"/>
          <w:sz w:val="24"/>
          <w:szCs w:val="24"/>
        </w:rPr>
        <w:t xml:space="preserve">  </w:t>
      </w:r>
      <w:r w:rsidR="00CA5B28" w:rsidRPr="00EC1BE0">
        <w:rPr>
          <w:rFonts w:ascii="Palatino Linotype" w:hAnsi="Palatino Linotype" w:cs="Times New Roman"/>
          <w:sz w:val="24"/>
          <w:szCs w:val="24"/>
        </w:rPr>
        <w:t>However, th</w:t>
      </w:r>
      <w:r w:rsidR="00DD4FCA" w:rsidRPr="00EC1BE0">
        <w:rPr>
          <w:rFonts w:ascii="Palatino Linotype" w:hAnsi="Palatino Linotype" w:cs="Times New Roman"/>
          <w:sz w:val="24"/>
          <w:szCs w:val="24"/>
        </w:rPr>
        <w:t>e</w:t>
      </w:r>
      <w:r w:rsidR="00CA5B28" w:rsidRPr="00EC1BE0">
        <w:rPr>
          <w:rFonts w:ascii="Palatino Linotype" w:hAnsi="Palatino Linotype" w:cs="Times New Roman"/>
          <w:sz w:val="24"/>
          <w:szCs w:val="24"/>
        </w:rPr>
        <w:t>s</w:t>
      </w:r>
      <w:r w:rsidR="00DD4FCA" w:rsidRPr="00EC1BE0">
        <w:rPr>
          <w:rFonts w:ascii="Palatino Linotype" w:hAnsi="Palatino Linotype" w:cs="Times New Roman"/>
          <w:sz w:val="24"/>
          <w:szCs w:val="24"/>
        </w:rPr>
        <w:t>e</w:t>
      </w:r>
      <w:r w:rsidR="00CA5B28" w:rsidRPr="00EC1BE0">
        <w:rPr>
          <w:rFonts w:ascii="Palatino Linotype" w:hAnsi="Palatino Linotype" w:cs="Times New Roman"/>
          <w:sz w:val="24"/>
          <w:szCs w:val="24"/>
        </w:rPr>
        <w:t xml:space="preserve"> </w:t>
      </w:r>
      <w:r w:rsidR="00DD4FCA" w:rsidRPr="00EC1BE0">
        <w:rPr>
          <w:rFonts w:ascii="Palatino Linotype" w:hAnsi="Palatino Linotype" w:cs="Times New Roman"/>
          <w:sz w:val="24"/>
          <w:szCs w:val="24"/>
        </w:rPr>
        <w:t>issues are</w:t>
      </w:r>
      <w:r w:rsidR="00CA5B28" w:rsidRPr="00EC1BE0">
        <w:rPr>
          <w:rFonts w:ascii="Palatino Linotype" w:hAnsi="Palatino Linotype" w:cs="Times New Roman"/>
          <w:sz w:val="24"/>
          <w:szCs w:val="24"/>
        </w:rPr>
        <w:t xml:space="preserve"> beyond the scope of this article which will focus upon the provision of pro bono services by law students.</w:t>
      </w:r>
    </w:p>
    <w:p w:rsidR="00CA5B28" w:rsidRPr="00EC1BE0" w:rsidRDefault="006D6778"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The opportunities for students to undertake pro bono work at law school in the UK is good with at least 70% of all law schools offering pro bono opportunities to their students.</w:t>
      </w:r>
      <w:r w:rsidRPr="00EC1BE0">
        <w:rPr>
          <w:rStyle w:val="FootnoteReference"/>
          <w:rFonts w:ascii="Palatino Linotype" w:hAnsi="Palatino Linotype" w:cs="Times New Roman"/>
          <w:sz w:val="24"/>
          <w:szCs w:val="24"/>
        </w:rPr>
        <w:footnoteReference w:id="22"/>
      </w:r>
      <w:r w:rsidRPr="00EC1BE0">
        <w:rPr>
          <w:rFonts w:ascii="Palatino Linotype" w:hAnsi="Palatino Linotype" w:cs="Times New Roman"/>
          <w:sz w:val="24"/>
          <w:szCs w:val="24"/>
        </w:rPr>
        <w:t xml:space="preserve">  </w:t>
      </w:r>
      <w:r w:rsidR="00DF0711" w:rsidRPr="00EC1BE0">
        <w:rPr>
          <w:rFonts w:ascii="Palatino Linotype" w:hAnsi="Palatino Linotype" w:cs="Times New Roman"/>
          <w:sz w:val="24"/>
          <w:szCs w:val="24"/>
        </w:rPr>
        <w:t xml:space="preserve">However, the evidence as to whether participation in pro bono programmes impacts upon a student’s desire to undertake public service work in their future career is somewhat mixed.  </w:t>
      </w:r>
      <w:r w:rsidR="00302124" w:rsidRPr="00EC1BE0">
        <w:rPr>
          <w:rFonts w:ascii="Palatino Linotype" w:hAnsi="Palatino Linotype" w:cs="Times New Roman"/>
          <w:sz w:val="24"/>
          <w:szCs w:val="24"/>
        </w:rPr>
        <w:t>Some quantitative studies show little or no impact of clinical and pro bono programmes on students’ desire to continue in pro bono/public service w</w:t>
      </w:r>
      <w:r w:rsidR="00A70648" w:rsidRPr="00EC1BE0">
        <w:rPr>
          <w:rFonts w:ascii="Palatino Linotype" w:hAnsi="Palatino Linotype" w:cs="Times New Roman"/>
          <w:sz w:val="24"/>
          <w:szCs w:val="24"/>
        </w:rPr>
        <w:t>ork in their future careers</w:t>
      </w:r>
      <w:r w:rsidR="00302124" w:rsidRPr="00EC1BE0">
        <w:rPr>
          <w:rStyle w:val="FootnoteReference"/>
          <w:rFonts w:ascii="Palatino Linotype" w:hAnsi="Palatino Linotype" w:cs="Times New Roman"/>
          <w:sz w:val="24"/>
          <w:szCs w:val="24"/>
        </w:rPr>
        <w:footnoteReference w:id="23"/>
      </w:r>
      <w:r w:rsidR="00302124" w:rsidRPr="00EC1BE0">
        <w:rPr>
          <w:rFonts w:ascii="Palatino Linotype" w:hAnsi="Palatino Linotype" w:cs="Times New Roman"/>
          <w:sz w:val="24"/>
          <w:szCs w:val="24"/>
        </w:rPr>
        <w:t xml:space="preserve"> </w:t>
      </w:r>
      <w:r w:rsidR="00B755DF" w:rsidRPr="00EC1BE0">
        <w:rPr>
          <w:rFonts w:ascii="Palatino Linotype" w:hAnsi="Palatino Linotype" w:cs="Times New Roman"/>
          <w:sz w:val="24"/>
          <w:szCs w:val="24"/>
        </w:rPr>
        <w:t>whilst other s</w:t>
      </w:r>
      <w:r w:rsidR="009E06E6" w:rsidRPr="00EC1BE0">
        <w:rPr>
          <w:rFonts w:ascii="Palatino Linotype" w:hAnsi="Palatino Linotype" w:cs="Times New Roman"/>
          <w:sz w:val="24"/>
          <w:szCs w:val="24"/>
        </w:rPr>
        <w:t>tudie</w:t>
      </w:r>
      <w:r w:rsidR="00B755DF" w:rsidRPr="00EC1BE0">
        <w:rPr>
          <w:rFonts w:ascii="Palatino Linotype" w:hAnsi="Palatino Linotype" w:cs="Times New Roman"/>
          <w:sz w:val="24"/>
          <w:szCs w:val="24"/>
        </w:rPr>
        <w:t>s</w:t>
      </w:r>
      <w:r w:rsidR="00A70648" w:rsidRPr="00EC1BE0">
        <w:rPr>
          <w:rFonts w:ascii="Palatino Linotype" w:hAnsi="Palatino Linotype" w:cs="Times New Roman"/>
          <w:sz w:val="24"/>
          <w:szCs w:val="24"/>
        </w:rPr>
        <w:t xml:space="preserve"> suggest clinical legal education and pro bono work can have a positive impact upon students and their willingness to undertake public service work.</w:t>
      </w:r>
      <w:r w:rsidR="00A70648" w:rsidRPr="00EC1BE0">
        <w:rPr>
          <w:rStyle w:val="FootnoteReference"/>
          <w:rFonts w:ascii="Palatino Linotype" w:hAnsi="Palatino Linotype" w:cs="Times New Roman"/>
          <w:sz w:val="24"/>
          <w:szCs w:val="24"/>
        </w:rPr>
        <w:footnoteReference w:id="24"/>
      </w:r>
      <w:r w:rsidR="00302124" w:rsidRPr="00EC1BE0">
        <w:rPr>
          <w:rFonts w:ascii="Palatino Linotype" w:hAnsi="Palatino Linotype" w:cs="Times New Roman"/>
          <w:sz w:val="24"/>
          <w:szCs w:val="24"/>
        </w:rPr>
        <w:t xml:space="preserve"> </w:t>
      </w:r>
      <w:r w:rsidR="00DF0711" w:rsidRPr="00EC1BE0">
        <w:rPr>
          <w:rFonts w:ascii="Palatino Linotype" w:hAnsi="Palatino Linotype" w:cs="Times New Roman"/>
          <w:sz w:val="24"/>
          <w:szCs w:val="24"/>
        </w:rPr>
        <w:t xml:space="preserve">   </w:t>
      </w:r>
    </w:p>
    <w:p w:rsidR="00680453" w:rsidRPr="00EC1BE0" w:rsidRDefault="00680453" w:rsidP="00EC1BE0">
      <w:pPr>
        <w:pStyle w:val="NoSpacing"/>
        <w:spacing w:line="480" w:lineRule="auto"/>
        <w:jc w:val="both"/>
        <w:rPr>
          <w:rFonts w:ascii="Palatino Linotype" w:hAnsi="Palatino Linotype" w:cs="Times New Roman"/>
          <w:b/>
          <w:sz w:val="24"/>
          <w:szCs w:val="24"/>
        </w:rPr>
      </w:pPr>
    </w:p>
    <w:p w:rsidR="006513A8" w:rsidRPr="00EC1BE0" w:rsidRDefault="006513A8" w:rsidP="00EC1BE0">
      <w:pPr>
        <w:pStyle w:val="NoSpacing"/>
        <w:spacing w:line="480" w:lineRule="auto"/>
        <w:jc w:val="both"/>
        <w:rPr>
          <w:rFonts w:ascii="Palatino Linotype" w:hAnsi="Palatino Linotype" w:cs="Times New Roman"/>
          <w:b/>
          <w:sz w:val="24"/>
          <w:szCs w:val="24"/>
        </w:rPr>
      </w:pPr>
      <w:r w:rsidRPr="00EC1BE0">
        <w:rPr>
          <w:rFonts w:ascii="Palatino Linotype" w:hAnsi="Palatino Linotype" w:cs="Times New Roman"/>
          <w:b/>
          <w:sz w:val="24"/>
          <w:szCs w:val="24"/>
        </w:rPr>
        <w:t>Why Should Students do Pro Bono?</w:t>
      </w:r>
    </w:p>
    <w:p w:rsidR="0070261D" w:rsidRPr="00EC1BE0" w:rsidRDefault="00B63706"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If a law student were to carry out a</w:t>
      </w:r>
      <w:r w:rsidR="002408F7" w:rsidRPr="00EC1BE0">
        <w:rPr>
          <w:rFonts w:ascii="Palatino Linotype" w:hAnsi="Palatino Linotype" w:cs="Times New Roman"/>
          <w:sz w:val="24"/>
          <w:szCs w:val="24"/>
        </w:rPr>
        <w:t xml:space="preserve"> simple Google search asking ‘Why should students do pro bono’ </w:t>
      </w:r>
      <w:r w:rsidR="0033006D" w:rsidRPr="00EC1BE0">
        <w:rPr>
          <w:rFonts w:ascii="Palatino Linotype" w:hAnsi="Palatino Linotype" w:cs="Times New Roman"/>
          <w:sz w:val="24"/>
          <w:szCs w:val="24"/>
        </w:rPr>
        <w:t xml:space="preserve">it </w:t>
      </w:r>
      <w:r w:rsidR="002408F7" w:rsidRPr="00EC1BE0">
        <w:rPr>
          <w:rFonts w:ascii="Palatino Linotype" w:hAnsi="Palatino Linotype" w:cs="Times New Roman"/>
          <w:sz w:val="24"/>
          <w:szCs w:val="24"/>
        </w:rPr>
        <w:t xml:space="preserve">elicits pages of results from various professional bodies, universities and the </w:t>
      </w:r>
      <w:r w:rsidR="006214A3" w:rsidRPr="00EC1BE0">
        <w:rPr>
          <w:rFonts w:ascii="Palatino Linotype" w:hAnsi="Palatino Linotype" w:cs="Times New Roman"/>
          <w:sz w:val="24"/>
          <w:szCs w:val="24"/>
        </w:rPr>
        <w:t xml:space="preserve">wider </w:t>
      </w:r>
      <w:r w:rsidR="002408F7" w:rsidRPr="00EC1BE0">
        <w:rPr>
          <w:rFonts w:ascii="Palatino Linotype" w:hAnsi="Palatino Linotype" w:cs="Times New Roman"/>
          <w:sz w:val="24"/>
          <w:szCs w:val="24"/>
        </w:rPr>
        <w:t xml:space="preserve">media extoling the benefits of such work.  </w:t>
      </w:r>
      <w:r w:rsidR="00976EFE" w:rsidRPr="00EC1BE0">
        <w:rPr>
          <w:rFonts w:ascii="Palatino Linotype" w:hAnsi="Palatino Linotype" w:cs="Times New Roman"/>
          <w:sz w:val="24"/>
          <w:szCs w:val="24"/>
        </w:rPr>
        <w:t>Academic literature addressing this issue tends to encompass conceptual articles citing reasons why the authors believe students should engage in pro bono activities.</w:t>
      </w:r>
      <w:r w:rsidR="00976EFE" w:rsidRPr="00EC1BE0">
        <w:rPr>
          <w:rStyle w:val="FootnoteReference"/>
          <w:rFonts w:ascii="Palatino Linotype" w:hAnsi="Palatino Linotype" w:cs="Times New Roman"/>
          <w:sz w:val="24"/>
          <w:szCs w:val="24"/>
        </w:rPr>
        <w:footnoteReference w:id="25"/>
      </w:r>
      <w:r w:rsidR="00976EFE" w:rsidRPr="00EC1BE0">
        <w:rPr>
          <w:rFonts w:ascii="Palatino Linotype" w:hAnsi="Palatino Linotype" w:cs="Times New Roman"/>
          <w:sz w:val="24"/>
          <w:szCs w:val="24"/>
        </w:rPr>
        <w:t xml:space="preserve">  </w:t>
      </w:r>
      <w:r w:rsidR="0070261D" w:rsidRPr="00EC1BE0">
        <w:rPr>
          <w:rFonts w:ascii="Palatino Linotype" w:hAnsi="Palatino Linotype" w:cs="Times New Roman"/>
          <w:sz w:val="24"/>
          <w:szCs w:val="24"/>
        </w:rPr>
        <w:t xml:space="preserve">Surprisingly there has been little empirical research reporting the reasons students </w:t>
      </w:r>
      <w:r w:rsidR="006513A8" w:rsidRPr="00EC1BE0">
        <w:rPr>
          <w:rFonts w:ascii="Palatino Linotype" w:hAnsi="Palatino Linotype" w:cs="Times New Roman"/>
          <w:sz w:val="24"/>
          <w:szCs w:val="24"/>
        </w:rPr>
        <w:t>cite as</w:t>
      </w:r>
      <w:r w:rsidR="0070261D" w:rsidRPr="00EC1BE0">
        <w:rPr>
          <w:rFonts w:ascii="Palatino Linotype" w:hAnsi="Palatino Linotype" w:cs="Times New Roman"/>
          <w:sz w:val="24"/>
          <w:szCs w:val="24"/>
        </w:rPr>
        <w:t xml:space="preserve"> motivat</w:t>
      </w:r>
      <w:r w:rsidR="006513A8" w:rsidRPr="00EC1BE0">
        <w:rPr>
          <w:rFonts w:ascii="Palatino Linotype" w:hAnsi="Palatino Linotype" w:cs="Times New Roman"/>
          <w:sz w:val="24"/>
          <w:szCs w:val="24"/>
        </w:rPr>
        <w:t>ing</w:t>
      </w:r>
      <w:r w:rsidR="0070261D" w:rsidRPr="00EC1BE0">
        <w:rPr>
          <w:rFonts w:ascii="Palatino Linotype" w:hAnsi="Palatino Linotype" w:cs="Times New Roman"/>
          <w:sz w:val="24"/>
          <w:szCs w:val="24"/>
        </w:rPr>
        <w:t xml:space="preserve"> them into carrying out pro bono work.  </w:t>
      </w:r>
    </w:p>
    <w:p w:rsidR="002408F7" w:rsidRPr="00EC1BE0" w:rsidRDefault="002408F7"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The reasons for undertaking pro bono work can broadly be categorised as practical, tactical and ethical.</w:t>
      </w:r>
      <w:r w:rsidRPr="00EC1BE0">
        <w:rPr>
          <w:rStyle w:val="FootnoteReference"/>
          <w:rFonts w:ascii="Palatino Linotype" w:hAnsi="Palatino Linotype" w:cs="Times New Roman"/>
          <w:sz w:val="24"/>
          <w:szCs w:val="24"/>
        </w:rPr>
        <w:footnoteReference w:id="26"/>
      </w:r>
      <w:r w:rsidR="0095089F" w:rsidRPr="00EC1BE0">
        <w:rPr>
          <w:rFonts w:ascii="Palatino Linotype" w:hAnsi="Palatino Linotype" w:cs="Times New Roman"/>
          <w:sz w:val="24"/>
          <w:szCs w:val="24"/>
        </w:rPr>
        <w:t xml:space="preserve">  Practical r</w:t>
      </w:r>
      <w:r w:rsidR="008B4EEC" w:rsidRPr="00EC1BE0">
        <w:rPr>
          <w:rFonts w:ascii="Palatino Linotype" w:hAnsi="Palatino Linotype" w:cs="Times New Roman"/>
          <w:sz w:val="24"/>
          <w:szCs w:val="24"/>
        </w:rPr>
        <w:t>easons include enhanced legal skills, broader legal knowledge</w:t>
      </w:r>
      <w:r w:rsidR="006513A8" w:rsidRPr="00EC1BE0">
        <w:rPr>
          <w:rFonts w:ascii="Palatino Linotype" w:hAnsi="Palatino Linotype" w:cs="Times New Roman"/>
          <w:sz w:val="24"/>
          <w:szCs w:val="24"/>
        </w:rPr>
        <w:t>, experience, employability and</w:t>
      </w:r>
      <w:r w:rsidR="008B4EEC" w:rsidRPr="00EC1BE0">
        <w:rPr>
          <w:rFonts w:ascii="Palatino Linotype" w:hAnsi="Palatino Linotype" w:cs="Times New Roman"/>
          <w:sz w:val="24"/>
          <w:szCs w:val="24"/>
        </w:rPr>
        <w:t xml:space="preserve"> increased job satisfaction.  Tactical reasons include promoting the image of </w:t>
      </w:r>
      <w:r w:rsidR="0070261D" w:rsidRPr="00EC1BE0">
        <w:rPr>
          <w:rFonts w:ascii="Palatino Linotype" w:hAnsi="Palatino Linotype" w:cs="Times New Roman"/>
          <w:sz w:val="24"/>
          <w:szCs w:val="24"/>
        </w:rPr>
        <w:t>the individual, the organisation and the legal profession as a whole.</w:t>
      </w:r>
      <w:r w:rsidR="00EF636C" w:rsidRPr="00EC1BE0">
        <w:rPr>
          <w:rFonts w:ascii="Palatino Linotype" w:hAnsi="Palatino Linotype" w:cs="Times New Roman"/>
          <w:sz w:val="24"/>
          <w:szCs w:val="24"/>
        </w:rPr>
        <w:t xml:space="preserve">  From an ethical perspective, it has been argued that lawyers should undertake pro bono work because they are under a moral obligation to do so due to the privileged position the legal profession occupies in society.</w:t>
      </w:r>
      <w:r w:rsidR="00EF636C" w:rsidRPr="00EC1BE0">
        <w:rPr>
          <w:rStyle w:val="FootnoteReference"/>
          <w:rFonts w:ascii="Palatino Linotype" w:hAnsi="Palatino Linotype" w:cs="Times New Roman"/>
          <w:sz w:val="24"/>
          <w:szCs w:val="24"/>
        </w:rPr>
        <w:footnoteReference w:id="27"/>
      </w:r>
      <w:r w:rsidRPr="00EC1BE0">
        <w:rPr>
          <w:rFonts w:ascii="Palatino Linotype" w:hAnsi="Palatino Linotype" w:cs="Times New Roman"/>
          <w:sz w:val="24"/>
          <w:szCs w:val="24"/>
        </w:rPr>
        <w:t xml:space="preserve"> </w:t>
      </w:r>
    </w:p>
    <w:p w:rsidR="00790012" w:rsidRPr="00EC1BE0" w:rsidRDefault="00790012"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 xml:space="preserve">Further, the motivating factors to undertake pro bono work </w:t>
      </w:r>
      <w:r w:rsidR="00C96122" w:rsidRPr="00EC1BE0">
        <w:rPr>
          <w:rFonts w:ascii="Palatino Linotype" w:hAnsi="Palatino Linotype" w:cs="Times New Roman"/>
          <w:sz w:val="24"/>
          <w:szCs w:val="24"/>
        </w:rPr>
        <w:t>may also be categorised as intrinsic or extrinsic</w:t>
      </w:r>
      <w:r w:rsidR="0004307E" w:rsidRPr="00EC1BE0">
        <w:rPr>
          <w:rFonts w:ascii="Palatino Linotype" w:hAnsi="Palatino Linotype" w:cs="Times New Roman"/>
          <w:sz w:val="24"/>
          <w:szCs w:val="24"/>
        </w:rPr>
        <w:t>.  Intrinsic motivation can ‘be defined as the doing an activity for its inherent satisfactions rather than for some separable consequence.’</w:t>
      </w:r>
      <w:r w:rsidR="0004307E" w:rsidRPr="00EC1BE0">
        <w:rPr>
          <w:rStyle w:val="FootnoteReference"/>
          <w:rFonts w:ascii="Palatino Linotype" w:hAnsi="Palatino Linotype" w:cs="Times New Roman"/>
          <w:sz w:val="24"/>
          <w:szCs w:val="24"/>
        </w:rPr>
        <w:footnoteReference w:id="28"/>
      </w:r>
      <w:r w:rsidR="0004307E" w:rsidRPr="00EC1BE0">
        <w:rPr>
          <w:rFonts w:ascii="Palatino Linotype" w:hAnsi="Palatino Linotype" w:cs="Times New Roman"/>
          <w:sz w:val="24"/>
          <w:szCs w:val="24"/>
        </w:rPr>
        <w:t xml:space="preserve">  Within the context of pro bono work, those who undertake such work due to their own ‘personal characteristics, values and attitudes’</w:t>
      </w:r>
      <w:r w:rsidR="00AC68EF" w:rsidRPr="00EC1BE0">
        <w:rPr>
          <w:rStyle w:val="FootnoteReference"/>
          <w:rFonts w:ascii="Palatino Linotype" w:hAnsi="Palatino Linotype" w:cs="Times New Roman"/>
          <w:sz w:val="24"/>
          <w:szCs w:val="24"/>
        </w:rPr>
        <w:footnoteReference w:id="29"/>
      </w:r>
      <w:r w:rsidR="0004307E" w:rsidRPr="00EC1BE0">
        <w:rPr>
          <w:rFonts w:ascii="Palatino Linotype" w:hAnsi="Palatino Linotype" w:cs="Times New Roman"/>
          <w:sz w:val="24"/>
          <w:szCs w:val="24"/>
        </w:rPr>
        <w:t xml:space="preserve"> are intrinsically motivated.  Extrinsic motivation ‘is a construct that pertains whenever an activity is done in order to attain some separable outcome.’</w:t>
      </w:r>
      <w:r w:rsidR="0004307E" w:rsidRPr="00EC1BE0">
        <w:rPr>
          <w:rStyle w:val="FootnoteReference"/>
          <w:rFonts w:ascii="Palatino Linotype" w:hAnsi="Palatino Linotype" w:cs="Times New Roman"/>
          <w:sz w:val="24"/>
          <w:szCs w:val="24"/>
        </w:rPr>
        <w:footnoteReference w:id="30"/>
      </w:r>
      <w:r w:rsidR="0004307E" w:rsidRPr="00EC1BE0">
        <w:rPr>
          <w:rFonts w:ascii="Palatino Linotype" w:hAnsi="Palatino Linotype" w:cs="Times New Roman"/>
          <w:sz w:val="24"/>
          <w:szCs w:val="24"/>
        </w:rPr>
        <w:t xml:space="preserve"> </w:t>
      </w:r>
      <w:r w:rsidR="00C96122" w:rsidRPr="00EC1BE0">
        <w:rPr>
          <w:rFonts w:ascii="Palatino Linotype" w:hAnsi="Palatino Linotype" w:cs="Times New Roman"/>
          <w:sz w:val="24"/>
          <w:szCs w:val="24"/>
        </w:rPr>
        <w:t xml:space="preserve"> </w:t>
      </w:r>
      <w:r w:rsidR="0004307E" w:rsidRPr="00EC1BE0">
        <w:rPr>
          <w:rFonts w:ascii="Palatino Linotype" w:hAnsi="Palatino Linotype" w:cs="Times New Roman"/>
          <w:sz w:val="24"/>
          <w:szCs w:val="24"/>
        </w:rPr>
        <w:t>If pro bono work is carried out to impr</w:t>
      </w:r>
      <w:r w:rsidR="00165F29" w:rsidRPr="00EC1BE0">
        <w:rPr>
          <w:rFonts w:ascii="Palatino Linotype" w:hAnsi="Palatino Linotype" w:cs="Times New Roman"/>
          <w:sz w:val="24"/>
          <w:szCs w:val="24"/>
        </w:rPr>
        <w:t>ove</w:t>
      </w:r>
      <w:r w:rsidR="00AC68EF" w:rsidRPr="00EC1BE0">
        <w:rPr>
          <w:rFonts w:ascii="Palatino Linotype" w:hAnsi="Palatino Linotype" w:cs="Times New Roman"/>
          <w:sz w:val="24"/>
          <w:szCs w:val="24"/>
        </w:rPr>
        <w:t xml:space="preserve"> skills, enhance reputation or for some other reward, this is extrinsically motivated behaviour.  Alternatively, extrinsic motivation also encompasses behaviour motivated to avoid adverse consequences such as failing a programme of study if a pro bono requirement is mandated.</w:t>
      </w:r>
    </w:p>
    <w:p w:rsidR="00AC68EF" w:rsidRPr="00EC1BE0" w:rsidRDefault="00E52315"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 xml:space="preserve">Extrinsic motivation has been criticised </w:t>
      </w:r>
      <w:r w:rsidR="0055546B" w:rsidRPr="00EC1BE0">
        <w:rPr>
          <w:rFonts w:ascii="Palatino Linotype" w:hAnsi="Palatino Linotype" w:cs="Times New Roman"/>
          <w:sz w:val="24"/>
          <w:szCs w:val="24"/>
        </w:rPr>
        <w:t>within education as:</w:t>
      </w:r>
    </w:p>
    <w:p w:rsidR="00E52315" w:rsidRPr="00EC1BE0" w:rsidRDefault="00E52315" w:rsidP="00EC1BE0">
      <w:pPr>
        <w:pStyle w:val="NoSpacing"/>
        <w:spacing w:line="480" w:lineRule="auto"/>
        <w:ind w:left="720"/>
        <w:jc w:val="both"/>
        <w:rPr>
          <w:rFonts w:ascii="Palatino Linotype" w:hAnsi="Palatino Linotype" w:cs="Times New Roman"/>
          <w:sz w:val="24"/>
          <w:szCs w:val="24"/>
        </w:rPr>
      </w:pPr>
      <w:r w:rsidRPr="00EC1BE0">
        <w:rPr>
          <w:rFonts w:ascii="Palatino Linotype" w:hAnsi="Palatino Linotype" w:cs="Times New Roman"/>
          <w:sz w:val="24"/>
          <w:szCs w:val="24"/>
        </w:rPr>
        <w:t>‘the more we reward people for doing something, the more likely they are to lose interest in whatever they had to do to get the reward.  Extrinsic motivation, in other words, is not only quite different from intrinsic motivation but actually tends to erode it.’</w:t>
      </w:r>
      <w:r w:rsidRPr="00EC1BE0">
        <w:rPr>
          <w:rStyle w:val="FootnoteReference"/>
          <w:rFonts w:ascii="Palatino Linotype" w:hAnsi="Palatino Linotype" w:cs="Times New Roman"/>
          <w:sz w:val="24"/>
          <w:szCs w:val="24"/>
        </w:rPr>
        <w:footnoteReference w:id="31"/>
      </w:r>
    </w:p>
    <w:p w:rsidR="00A76A5E" w:rsidRPr="00EC1BE0" w:rsidRDefault="0055546B"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 xml:space="preserve">Within clinical legal education it has been argued that extrinsic motivation is </w:t>
      </w:r>
      <w:r w:rsidR="000B1504" w:rsidRPr="00EC1BE0">
        <w:rPr>
          <w:rFonts w:ascii="Palatino Linotype" w:hAnsi="Palatino Linotype" w:cs="Times New Roman"/>
          <w:sz w:val="24"/>
          <w:szCs w:val="24"/>
        </w:rPr>
        <w:t>‘</w:t>
      </w:r>
      <w:r w:rsidRPr="00EC1BE0">
        <w:rPr>
          <w:rFonts w:ascii="Palatino Linotype" w:hAnsi="Palatino Linotype" w:cs="Times New Roman"/>
          <w:sz w:val="24"/>
          <w:szCs w:val="24"/>
        </w:rPr>
        <w:t xml:space="preserve">less effective than, and </w:t>
      </w:r>
      <w:proofErr w:type="gramStart"/>
      <w:r w:rsidRPr="00EC1BE0">
        <w:rPr>
          <w:rFonts w:ascii="Palatino Linotype" w:hAnsi="Palatino Linotype" w:cs="Times New Roman"/>
          <w:sz w:val="24"/>
          <w:szCs w:val="24"/>
        </w:rPr>
        <w:t>may</w:t>
      </w:r>
      <w:proofErr w:type="gramEnd"/>
      <w:r w:rsidRPr="00EC1BE0">
        <w:rPr>
          <w:rFonts w:ascii="Palatino Linotype" w:hAnsi="Palatino Linotype" w:cs="Times New Roman"/>
          <w:sz w:val="24"/>
          <w:szCs w:val="24"/>
        </w:rPr>
        <w:t xml:space="preserve"> actually erode, intrinsic motivation.’</w:t>
      </w:r>
      <w:r w:rsidR="000B1504" w:rsidRPr="00EC1BE0">
        <w:rPr>
          <w:rStyle w:val="FootnoteReference"/>
          <w:rFonts w:ascii="Palatino Linotype" w:hAnsi="Palatino Linotype" w:cs="Times New Roman"/>
          <w:sz w:val="24"/>
          <w:szCs w:val="24"/>
        </w:rPr>
        <w:footnoteReference w:id="32"/>
      </w:r>
      <w:r w:rsidR="000B1504" w:rsidRPr="00EC1BE0">
        <w:rPr>
          <w:rFonts w:ascii="Palatino Linotype" w:hAnsi="Palatino Linotype" w:cs="Times New Roman"/>
          <w:sz w:val="24"/>
          <w:szCs w:val="24"/>
        </w:rPr>
        <w:t xml:space="preserve">  However, the fundamental problem is that ‘intrinsic motivation will occur only for activities that hold intrinsic interest for an individual’</w:t>
      </w:r>
      <w:r w:rsidR="000B1504" w:rsidRPr="00EC1BE0">
        <w:rPr>
          <w:rStyle w:val="FootnoteReference"/>
          <w:rFonts w:ascii="Palatino Linotype" w:hAnsi="Palatino Linotype" w:cs="Times New Roman"/>
          <w:sz w:val="24"/>
          <w:szCs w:val="24"/>
        </w:rPr>
        <w:footnoteReference w:id="33"/>
      </w:r>
      <w:r w:rsidR="000B1504" w:rsidRPr="00EC1BE0">
        <w:rPr>
          <w:rFonts w:ascii="Palatino Linotype" w:hAnsi="Palatino Linotype" w:cs="Times New Roman"/>
          <w:sz w:val="24"/>
          <w:szCs w:val="24"/>
        </w:rPr>
        <w:t xml:space="preserve"> </w:t>
      </w:r>
      <w:r w:rsidR="00717331" w:rsidRPr="00EC1BE0">
        <w:rPr>
          <w:rFonts w:ascii="Palatino Linotype" w:hAnsi="Palatino Linotype" w:cs="Times New Roman"/>
          <w:sz w:val="24"/>
          <w:szCs w:val="24"/>
        </w:rPr>
        <w:t xml:space="preserve">and therefore if a </w:t>
      </w:r>
      <w:r w:rsidR="00E226FC" w:rsidRPr="00EC1BE0">
        <w:rPr>
          <w:rFonts w:ascii="Palatino Linotype" w:hAnsi="Palatino Linotype" w:cs="Times New Roman"/>
          <w:sz w:val="24"/>
          <w:szCs w:val="24"/>
        </w:rPr>
        <w:t xml:space="preserve">student </w:t>
      </w:r>
      <w:r w:rsidR="00717331" w:rsidRPr="00EC1BE0">
        <w:rPr>
          <w:rFonts w:ascii="Palatino Linotype" w:hAnsi="Palatino Linotype" w:cs="Times New Roman"/>
          <w:sz w:val="24"/>
          <w:szCs w:val="24"/>
        </w:rPr>
        <w:t>has not previously experienced any form of voluntary work, they may hold no interest in the subject matter.</w:t>
      </w:r>
      <w:r w:rsidR="00A76A5E" w:rsidRPr="00EC1BE0">
        <w:rPr>
          <w:rFonts w:ascii="Palatino Linotype" w:hAnsi="Palatino Linotype" w:cs="Times New Roman"/>
          <w:sz w:val="24"/>
          <w:szCs w:val="24"/>
        </w:rPr>
        <w:t xml:space="preserve">  </w:t>
      </w:r>
      <w:r w:rsidR="00E949BB" w:rsidRPr="00EC1BE0">
        <w:rPr>
          <w:rFonts w:ascii="Palatino Linotype" w:hAnsi="Palatino Linotype" w:cs="Times New Roman"/>
          <w:sz w:val="24"/>
          <w:szCs w:val="24"/>
        </w:rPr>
        <w:t>I</w:t>
      </w:r>
      <w:r w:rsidR="00A76A5E" w:rsidRPr="00EC1BE0">
        <w:rPr>
          <w:rFonts w:ascii="Palatino Linotype" w:hAnsi="Palatino Linotype" w:cs="Times New Roman"/>
          <w:sz w:val="24"/>
          <w:szCs w:val="24"/>
        </w:rPr>
        <w:t>f it is envisaged that law schools can inst</w:t>
      </w:r>
      <w:r w:rsidR="00165F29" w:rsidRPr="00EC1BE0">
        <w:rPr>
          <w:rFonts w:ascii="Palatino Linotype" w:hAnsi="Palatino Linotype" w:cs="Times New Roman"/>
          <w:sz w:val="24"/>
          <w:szCs w:val="24"/>
        </w:rPr>
        <w:t>il a pro bono ethos in students</w:t>
      </w:r>
      <w:r w:rsidR="00A76A5E" w:rsidRPr="00EC1BE0">
        <w:rPr>
          <w:rFonts w:ascii="Palatino Linotype" w:hAnsi="Palatino Linotype" w:cs="Times New Roman"/>
          <w:sz w:val="24"/>
          <w:szCs w:val="24"/>
        </w:rPr>
        <w:t xml:space="preserve"> then it is necessary to look beyond intrinsic and towards extrinsic motivation to attract and encourage students to participate and value the activity.</w:t>
      </w:r>
    </w:p>
    <w:p w:rsidR="0055546B" w:rsidRPr="00EC1BE0" w:rsidRDefault="00004043"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 xml:space="preserve">Ryan and </w:t>
      </w:r>
      <w:proofErr w:type="spellStart"/>
      <w:r w:rsidRPr="00EC1BE0">
        <w:rPr>
          <w:rFonts w:ascii="Palatino Linotype" w:hAnsi="Palatino Linotype" w:cs="Times New Roman"/>
          <w:sz w:val="24"/>
          <w:szCs w:val="24"/>
        </w:rPr>
        <w:t>Deci</w:t>
      </w:r>
      <w:proofErr w:type="spellEnd"/>
      <w:r w:rsidRPr="00EC1BE0">
        <w:rPr>
          <w:rFonts w:ascii="Palatino Linotype" w:hAnsi="Palatino Linotype" w:cs="Times New Roman"/>
          <w:sz w:val="24"/>
          <w:szCs w:val="24"/>
        </w:rPr>
        <w:t xml:space="preserve"> posit that ‘[t]his problem is described within [Self-Determination Theory (SDT)] in terms of fostering the </w:t>
      </w:r>
      <w:r w:rsidR="00444BC6" w:rsidRPr="00EC1BE0">
        <w:rPr>
          <w:rFonts w:ascii="Palatino Linotype" w:hAnsi="Palatino Linotype" w:cs="Times New Roman"/>
          <w:i/>
          <w:sz w:val="24"/>
          <w:szCs w:val="24"/>
        </w:rPr>
        <w:t>[</w:t>
      </w:r>
      <w:r w:rsidRPr="00EC1BE0">
        <w:rPr>
          <w:rFonts w:ascii="Palatino Linotype" w:hAnsi="Palatino Linotype" w:cs="Times New Roman"/>
          <w:i/>
          <w:sz w:val="24"/>
          <w:szCs w:val="24"/>
        </w:rPr>
        <w:t>internali</w:t>
      </w:r>
      <w:r w:rsidR="00444BC6" w:rsidRPr="00EC1BE0">
        <w:rPr>
          <w:rFonts w:ascii="Palatino Linotype" w:hAnsi="Palatino Linotype" w:cs="Times New Roman"/>
          <w:i/>
          <w:sz w:val="24"/>
          <w:szCs w:val="24"/>
        </w:rPr>
        <w:t>s</w:t>
      </w:r>
      <w:r w:rsidRPr="00EC1BE0">
        <w:rPr>
          <w:rFonts w:ascii="Palatino Linotype" w:hAnsi="Palatino Linotype" w:cs="Times New Roman"/>
          <w:i/>
          <w:sz w:val="24"/>
          <w:szCs w:val="24"/>
        </w:rPr>
        <w:t>ation</w:t>
      </w:r>
      <w:r w:rsidR="00444BC6" w:rsidRPr="00EC1BE0">
        <w:rPr>
          <w:rFonts w:ascii="Palatino Linotype" w:hAnsi="Palatino Linotype" w:cs="Times New Roman"/>
          <w:i/>
          <w:sz w:val="24"/>
          <w:szCs w:val="24"/>
        </w:rPr>
        <w:t>]</w:t>
      </w:r>
      <w:r w:rsidRPr="00EC1BE0">
        <w:rPr>
          <w:rFonts w:ascii="Palatino Linotype" w:hAnsi="Palatino Linotype" w:cs="Times New Roman"/>
          <w:i/>
          <w:sz w:val="24"/>
          <w:szCs w:val="24"/>
        </w:rPr>
        <w:t xml:space="preserve"> and integration</w:t>
      </w:r>
      <w:r w:rsidRPr="00EC1BE0">
        <w:rPr>
          <w:rFonts w:ascii="Palatino Linotype" w:hAnsi="Palatino Linotype" w:cs="Times New Roman"/>
          <w:sz w:val="24"/>
          <w:szCs w:val="24"/>
        </w:rPr>
        <w:t xml:space="preserve"> of values and behavioural regulations.’</w:t>
      </w:r>
      <w:r w:rsidRPr="00EC1BE0">
        <w:rPr>
          <w:rStyle w:val="FootnoteReference"/>
          <w:rFonts w:ascii="Palatino Linotype" w:hAnsi="Palatino Linotype" w:cs="Times New Roman"/>
          <w:sz w:val="24"/>
          <w:szCs w:val="24"/>
        </w:rPr>
        <w:footnoteReference w:id="34"/>
      </w:r>
      <w:r w:rsidRPr="00EC1BE0">
        <w:rPr>
          <w:rFonts w:ascii="Palatino Linotype" w:hAnsi="Palatino Linotype" w:cs="Times New Roman"/>
          <w:sz w:val="24"/>
          <w:szCs w:val="24"/>
        </w:rPr>
        <w:t xml:space="preserve"> [</w:t>
      </w:r>
      <w:proofErr w:type="gramStart"/>
      <w:r w:rsidRPr="00EC1BE0">
        <w:rPr>
          <w:rFonts w:ascii="Palatino Linotype" w:hAnsi="Palatino Linotype" w:cs="Times New Roman"/>
          <w:sz w:val="24"/>
          <w:szCs w:val="24"/>
        </w:rPr>
        <w:t>original</w:t>
      </w:r>
      <w:proofErr w:type="gramEnd"/>
      <w:r w:rsidRPr="00EC1BE0">
        <w:rPr>
          <w:rFonts w:ascii="Palatino Linotype" w:hAnsi="Palatino Linotype" w:cs="Times New Roman"/>
          <w:sz w:val="24"/>
          <w:szCs w:val="24"/>
        </w:rPr>
        <w:t xml:space="preserve"> emphasis]  Organismic Integration Theory, a sub-theory of SDT, was ‘introduced to detail the different forms of extrinsic motivation and the contextual factors that either promote or hinder </w:t>
      </w:r>
      <w:r w:rsidR="00444BC6" w:rsidRPr="00EC1BE0">
        <w:rPr>
          <w:rFonts w:ascii="Palatino Linotype" w:hAnsi="Palatino Linotype" w:cs="Times New Roman"/>
          <w:sz w:val="24"/>
          <w:szCs w:val="24"/>
        </w:rPr>
        <w:t>[</w:t>
      </w:r>
      <w:r w:rsidRPr="00EC1BE0">
        <w:rPr>
          <w:rFonts w:ascii="Palatino Linotype" w:hAnsi="Palatino Linotype" w:cs="Times New Roman"/>
          <w:sz w:val="24"/>
          <w:szCs w:val="24"/>
        </w:rPr>
        <w:t>internali</w:t>
      </w:r>
      <w:r w:rsidR="00444BC6" w:rsidRPr="00EC1BE0">
        <w:rPr>
          <w:rFonts w:ascii="Palatino Linotype" w:hAnsi="Palatino Linotype" w:cs="Times New Roman"/>
          <w:sz w:val="24"/>
          <w:szCs w:val="24"/>
        </w:rPr>
        <w:t>s</w:t>
      </w:r>
      <w:r w:rsidRPr="00EC1BE0">
        <w:rPr>
          <w:rFonts w:ascii="Palatino Linotype" w:hAnsi="Palatino Linotype" w:cs="Times New Roman"/>
          <w:sz w:val="24"/>
          <w:szCs w:val="24"/>
        </w:rPr>
        <w:t>ation</w:t>
      </w:r>
      <w:r w:rsidR="00444BC6" w:rsidRPr="00EC1BE0">
        <w:rPr>
          <w:rFonts w:ascii="Palatino Linotype" w:hAnsi="Palatino Linotype" w:cs="Times New Roman"/>
          <w:sz w:val="24"/>
          <w:szCs w:val="24"/>
        </w:rPr>
        <w:t>]</w:t>
      </w:r>
      <w:r w:rsidRPr="00EC1BE0">
        <w:rPr>
          <w:rFonts w:ascii="Palatino Linotype" w:hAnsi="Palatino Linotype" w:cs="Times New Roman"/>
          <w:sz w:val="24"/>
          <w:szCs w:val="24"/>
        </w:rPr>
        <w:t xml:space="preserve"> and integration</w:t>
      </w:r>
      <w:r w:rsidR="00444BC6" w:rsidRPr="00EC1BE0">
        <w:rPr>
          <w:rFonts w:ascii="Palatino Linotype" w:hAnsi="Palatino Linotype" w:cs="Times New Roman"/>
          <w:sz w:val="24"/>
          <w:szCs w:val="24"/>
        </w:rPr>
        <w:t xml:space="preserve"> of the regulation for these [behaviours].’</w:t>
      </w:r>
      <w:r w:rsidR="00444BC6" w:rsidRPr="00EC1BE0">
        <w:rPr>
          <w:rStyle w:val="FootnoteReference"/>
          <w:rFonts w:ascii="Palatino Linotype" w:hAnsi="Palatino Linotype" w:cs="Times New Roman"/>
          <w:sz w:val="24"/>
          <w:szCs w:val="24"/>
        </w:rPr>
        <w:footnoteReference w:id="35"/>
      </w:r>
      <w:r w:rsidR="00444BC6" w:rsidRPr="00EC1BE0">
        <w:rPr>
          <w:rFonts w:ascii="Palatino Linotype" w:hAnsi="Palatino Linotype" w:cs="Times New Roman"/>
          <w:sz w:val="24"/>
          <w:szCs w:val="24"/>
        </w:rPr>
        <w:t xml:space="preserve">  The OIT taxonomy can be visualised at </w:t>
      </w:r>
      <w:r w:rsidR="00FC040F" w:rsidRPr="00EC1BE0">
        <w:rPr>
          <w:rFonts w:ascii="Palatino Linotype" w:hAnsi="Palatino Linotype" w:cs="Times New Roman"/>
          <w:i/>
          <w:sz w:val="24"/>
          <w:szCs w:val="24"/>
        </w:rPr>
        <w:t>F</w:t>
      </w:r>
      <w:r w:rsidR="00444BC6" w:rsidRPr="00EC1BE0">
        <w:rPr>
          <w:rFonts w:ascii="Palatino Linotype" w:hAnsi="Palatino Linotype" w:cs="Times New Roman"/>
          <w:i/>
          <w:sz w:val="24"/>
          <w:szCs w:val="24"/>
        </w:rPr>
        <w:t>ig.1</w:t>
      </w:r>
      <w:r w:rsidRPr="00EC1BE0">
        <w:rPr>
          <w:rFonts w:ascii="Palatino Linotype" w:hAnsi="Palatino Linotype" w:cs="Times New Roman"/>
          <w:sz w:val="24"/>
          <w:szCs w:val="24"/>
        </w:rPr>
        <w:t xml:space="preserve"> </w:t>
      </w:r>
      <w:r w:rsidR="00444BC6" w:rsidRPr="00EC1BE0">
        <w:rPr>
          <w:rFonts w:ascii="Palatino Linotype" w:hAnsi="Palatino Linotype" w:cs="Times New Roman"/>
          <w:sz w:val="24"/>
          <w:szCs w:val="24"/>
        </w:rPr>
        <w:t xml:space="preserve">below. </w:t>
      </w:r>
    </w:p>
    <w:p w:rsidR="000B36F6" w:rsidRPr="00EC1BE0" w:rsidRDefault="00FC040F"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i/>
          <w:sz w:val="24"/>
          <w:szCs w:val="24"/>
        </w:rPr>
        <w:t>F</w:t>
      </w:r>
      <w:r w:rsidR="00820427" w:rsidRPr="00EC1BE0">
        <w:rPr>
          <w:rFonts w:ascii="Palatino Linotype" w:hAnsi="Palatino Linotype" w:cs="Times New Roman"/>
          <w:i/>
          <w:sz w:val="24"/>
          <w:szCs w:val="24"/>
        </w:rPr>
        <w:t>ig.1</w:t>
      </w:r>
      <w:r w:rsidR="00820427" w:rsidRPr="00EC1BE0">
        <w:rPr>
          <w:rFonts w:ascii="Palatino Linotype" w:hAnsi="Palatino Linotype" w:cs="Times New Roman"/>
          <w:sz w:val="24"/>
          <w:szCs w:val="24"/>
        </w:rPr>
        <w:t xml:space="preserve"> </w:t>
      </w:r>
      <w:r w:rsidR="00820427" w:rsidRPr="00EC1BE0">
        <w:rPr>
          <w:rFonts w:ascii="Palatino Linotype" w:hAnsi="Palatino Linotype" w:cs="Times New Roman"/>
          <w:sz w:val="24"/>
          <w:szCs w:val="24"/>
        </w:rPr>
        <w:tab/>
        <w:t>A taxonomy of human motivations</w:t>
      </w:r>
      <w:r w:rsidR="00820427" w:rsidRPr="00EC1BE0">
        <w:rPr>
          <w:rStyle w:val="FootnoteReference"/>
          <w:rFonts w:ascii="Palatino Linotype" w:hAnsi="Palatino Linotype" w:cs="Times New Roman"/>
          <w:sz w:val="24"/>
          <w:szCs w:val="24"/>
        </w:rPr>
        <w:footnoteReference w:id="36"/>
      </w:r>
    </w:p>
    <w:p w:rsidR="00384DC1" w:rsidRPr="00EC1BE0" w:rsidRDefault="00B35EF9" w:rsidP="00EC1BE0">
      <w:pPr>
        <w:pStyle w:val="NoSpacing"/>
        <w:spacing w:line="480" w:lineRule="auto"/>
        <w:jc w:val="both"/>
        <w:rPr>
          <w:rFonts w:ascii="Palatino Linotype" w:hAnsi="Palatino Linotype" w:cs="Times New Roman"/>
          <w:b/>
          <w:sz w:val="24"/>
          <w:szCs w:val="24"/>
        </w:rPr>
      </w:pPr>
      <w:r w:rsidRPr="00EC1BE0">
        <w:rPr>
          <w:rFonts w:ascii="Palatino Linotype" w:hAnsi="Palatino Linotype" w:cs="Times New Roman"/>
          <w:b/>
          <w:noProof/>
          <w:sz w:val="24"/>
          <w:szCs w:val="24"/>
          <w:lang w:eastAsia="zh-CN"/>
        </w:rPr>
        <w:drawing>
          <wp:inline distT="0" distB="0" distL="0" distR="0" wp14:anchorId="4C272026" wp14:editId="14093E01">
            <wp:extent cx="5486400" cy="3200400"/>
            <wp:effectExtent l="0" t="0" r="3810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44BC6" w:rsidRPr="00EC1BE0" w:rsidRDefault="00444BC6"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Extrinsic motivation can be categorised as:</w:t>
      </w:r>
    </w:p>
    <w:p w:rsidR="00444BC6" w:rsidRPr="00EC1BE0" w:rsidRDefault="00444BC6" w:rsidP="00EC1BE0">
      <w:pPr>
        <w:pStyle w:val="NoSpacing"/>
        <w:numPr>
          <w:ilvl w:val="0"/>
          <w:numId w:val="2"/>
        </w:numPr>
        <w:spacing w:line="360" w:lineRule="auto"/>
        <w:jc w:val="both"/>
        <w:rPr>
          <w:rFonts w:ascii="Palatino Linotype" w:hAnsi="Palatino Linotype" w:cs="Times New Roman"/>
          <w:i/>
          <w:sz w:val="24"/>
          <w:szCs w:val="24"/>
        </w:rPr>
      </w:pPr>
      <w:r w:rsidRPr="00EC1BE0">
        <w:rPr>
          <w:rFonts w:ascii="Palatino Linotype" w:hAnsi="Palatino Linotype" w:cs="Times New Roman"/>
          <w:i/>
          <w:sz w:val="24"/>
          <w:szCs w:val="24"/>
        </w:rPr>
        <w:t>External regulation</w:t>
      </w:r>
    </w:p>
    <w:p w:rsidR="001C3B3C" w:rsidRPr="00EC1BE0" w:rsidRDefault="000B6FF0" w:rsidP="00EC1BE0">
      <w:pPr>
        <w:pStyle w:val="NoSpacing"/>
        <w:spacing w:line="360" w:lineRule="auto"/>
        <w:ind w:left="720"/>
        <w:jc w:val="both"/>
        <w:rPr>
          <w:rFonts w:ascii="Palatino Linotype" w:hAnsi="Palatino Linotype" w:cs="Times New Roman"/>
          <w:sz w:val="24"/>
          <w:szCs w:val="24"/>
        </w:rPr>
      </w:pPr>
      <w:r w:rsidRPr="00EC1BE0">
        <w:rPr>
          <w:rFonts w:ascii="Palatino Linotype" w:hAnsi="Palatino Linotype" w:cs="Times New Roman"/>
          <w:sz w:val="24"/>
          <w:szCs w:val="24"/>
        </w:rPr>
        <w:t>Action</w:t>
      </w:r>
      <w:r w:rsidR="001C3B3C" w:rsidRPr="00EC1BE0">
        <w:rPr>
          <w:rFonts w:ascii="Palatino Linotype" w:hAnsi="Palatino Linotype" w:cs="Times New Roman"/>
          <w:sz w:val="24"/>
          <w:szCs w:val="24"/>
        </w:rPr>
        <w:t xml:space="preserve"> performed </w:t>
      </w:r>
      <w:r w:rsidRPr="00EC1BE0">
        <w:rPr>
          <w:rFonts w:ascii="Palatino Linotype" w:hAnsi="Palatino Linotype" w:cs="Times New Roman"/>
          <w:sz w:val="24"/>
          <w:szCs w:val="24"/>
        </w:rPr>
        <w:t>due to an</w:t>
      </w:r>
      <w:r w:rsidR="001C3B3C" w:rsidRPr="00EC1BE0">
        <w:rPr>
          <w:rFonts w:ascii="Palatino Linotype" w:hAnsi="Palatino Linotype" w:cs="Times New Roman"/>
          <w:sz w:val="24"/>
          <w:szCs w:val="24"/>
        </w:rPr>
        <w:t xml:space="preserve"> external demand or </w:t>
      </w:r>
      <w:r w:rsidRPr="00EC1BE0">
        <w:rPr>
          <w:rFonts w:ascii="Palatino Linotype" w:hAnsi="Palatino Linotype" w:cs="Times New Roman"/>
          <w:sz w:val="24"/>
          <w:szCs w:val="24"/>
        </w:rPr>
        <w:t xml:space="preserve">to </w:t>
      </w:r>
      <w:r w:rsidR="001C3B3C" w:rsidRPr="00EC1BE0">
        <w:rPr>
          <w:rFonts w:ascii="Palatino Linotype" w:hAnsi="Palatino Linotype" w:cs="Times New Roman"/>
          <w:sz w:val="24"/>
          <w:szCs w:val="24"/>
        </w:rPr>
        <w:t xml:space="preserve">obtain an external </w:t>
      </w:r>
      <w:r w:rsidRPr="00EC1BE0">
        <w:rPr>
          <w:rFonts w:ascii="Palatino Linotype" w:hAnsi="Palatino Linotype" w:cs="Times New Roman"/>
          <w:sz w:val="24"/>
          <w:szCs w:val="24"/>
        </w:rPr>
        <w:t>reward</w:t>
      </w:r>
      <w:r w:rsidR="001C3B3C" w:rsidRPr="00EC1BE0">
        <w:rPr>
          <w:rStyle w:val="FootnoteReference"/>
          <w:rFonts w:ascii="Palatino Linotype" w:hAnsi="Palatino Linotype" w:cs="Times New Roman"/>
          <w:sz w:val="24"/>
          <w:szCs w:val="24"/>
        </w:rPr>
        <w:footnoteReference w:id="37"/>
      </w:r>
    </w:p>
    <w:p w:rsidR="00444BC6" w:rsidRPr="00EC1BE0" w:rsidRDefault="001C3B3C" w:rsidP="00EC1BE0">
      <w:pPr>
        <w:pStyle w:val="NoSpacing"/>
        <w:numPr>
          <w:ilvl w:val="0"/>
          <w:numId w:val="2"/>
        </w:numPr>
        <w:spacing w:line="360" w:lineRule="auto"/>
        <w:jc w:val="both"/>
        <w:rPr>
          <w:rFonts w:ascii="Palatino Linotype" w:hAnsi="Palatino Linotype" w:cs="Times New Roman"/>
          <w:i/>
          <w:sz w:val="24"/>
          <w:szCs w:val="24"/>
        </w:rPr>
      </w:pPr>
      <w:proofErr w:type="spellStart"/>
      <w:r w:rsidRPr="00EC1BE0">
        <w:rPr>
          <w:rFonts w:ascii="Palatino Linotype" w:hAnsi="Palatino Linotype" w:cs="Times New Roman"/>
          <w:i/>
          <w:sz w:val="24"/>
          <w:szCs w:val="24"/>
        </w:rPr>
        <w:t>Introjected</w:t>
      </w:r>
      <w:proofErr w:type="spellEnd"/>
      <w:r w:rsidRPr="00EC1BE0">
        <w:rPr>
          <w:rFonts w:ascii="Palatino Linotype" w:hAnsi="Palatino Linotype" w:cs="Times New Roman"/>
          <w:i/>
          <w:sz w:val="24"/>
          <w:szCs w:val="24"/>
        </w:rPr>
        <w:t xml:space="preserve"> regulation</w:t>
      </w:r>
    </w:p>
    <w:p w:rsidR="00957224" w:rsidRPr="00EC1BE0" w:rsidRDefault="00957224" w:rsidP="00EC1BE0">
      <w:pPr>
        <w:pStyle w:val="NoSpacing"/>
        <w:spacing w:line="360" w:lineRule="auto"/>
        <w:ind w:left="720"/>
        <w:jc w:val="both"/>
        <w:rPr>
          <w:rFonts w:ascii="Palatino Linotype" w:hAnsi="Palatino Linotype" w:cs="Times New Roman"/>
          <w:sz w:val="24"/>
          <w:szCs w:val="24"/>
        </w:rPr>
      </w:pPr>
      <w:r w:rsidRPr="00EC1BE0">
        <w:rPr>
          <w:rFonts w:ascii="Palatino Linotype" w:hAnsi="Palatino Linotype" w:cs="Times New Roman"/>
          <w:sz w:val="24"/>
          <w:szCs w:val="24"/>
        </w:rPr>
        <w:t>Actions performed with a feeling of pressure in order to avoid guilt or anxiety or to attain ego-enhancements or pride</w:t>
      </w:r>
      <w:r w:rsidRPr="00EC1BE0">
        <w:rPr>
          <w:rStyle w:val="FootnoteReference"/>
          <w:rFonts w:ascii="Palatino Linotype" w:hAnsi="Palatino Linotype" w:cs="Times New Roman"/>
          <w:sz w:val="24"/>
          <w:szCs w:val="24"/>
        </w:rPr>
        <w:footnoteReference w:id="38"/>
      </w:r>
    </w:p>
    <w:p w:rsidR="00444BC6" w:rsidRPr="00EC1BE0" w:rsidRDefault="00444BC6" w:rsidP="00EC1BE0">
      <w:pPr>
        <w:pStyle w:val="NoSpacing"/>
        <w:numPr>
          <w:ilvl w:val="0"/>
          <w:numId w:val="2"/>
        </w:numPr>
        <w:spacing w:line="360" w:lineRule="auto"/>
        <w:jc w:val="both"/>
        <w:rPr>
          <w:rFonts w:ascii="Palatino Linotype" w:hAnsi="Palatino Linotype" w:cs="Times New Roman"/>
          <w:i/>
          <w:sz w:val="24"/>
          <w:szCs w:val="24"/>
        </w:rPr>
      </w:pPr>
      <w:r w:rsidRPr="00EC1BE0">
        <w:rPr>
          <w:rFonts w:ascii="Palatino Linotype" w:hAnsi="Palatino Linotype" w:cs="Times New Roman"/>
          <w:i/>
          <w:sz w:val="24"/>
          <w:szCs w:val="24"/>
        </w:rPr>
        <w:t>Identification</w:t>
      </w:r>
    </w:p>
    <w:p w:rsidR="00957224" w:rsidRPr="00EC1BE0" w:rsidRDefault="00957224" w:rsidP="00EC1BE0">
      <w:pPr>
        <w:pStyle w:val="NoSpacing"/>
        <w:spacing w:line="360" w:lineRule="auto"/>
        <w:ind w:left="720"/>
        <w:jc w:val="both"/>
        <w:rPr>
          <w:rFonts w:ascii="Palatino Linotype" w:hAnsi="Palatino Linotype" w:cs="Times New Roman"/>
          <w:sz w:val="24"/>
          <w:szCs w:val="24"/>
        </w:rPr>
      </w:pPr>
      <w:r w:rsidRPr="00EC1BE0">
        <w:rPr>
          <w:rFonts w:ascii="Palatino Linotype" w:hAnsi="Palatino Linotype" w:cs="Times New Roman"/>
          <w:sz w:val="24"/>
          <w:szCs w:val="24"/>
        </w:rPr>
        <w:t>Person identifies the personal importance of the regulation and therefore accepts it as their own</w:t>
      </w:r>
      <w:r w:rsidRPr="00EC1BE0">
        <w:rPr>
          <w:rStyle w:val="FootnoteReference"/>
          <w:rFonts w:ascii="Palatino Linotype" w:hAnsi="Palatino Linotype" w:cs="Times New Roman"/>
          <w:sz w:val="24"/>
          <w:szCs w:val="24"/>
        </w:rPr>
        <w:footnoteReference w:id="39"/>
      </w:r>
    </w:p>
    <w:p w:rsidR="00444BC6" w:rsidRPr="00EC1BE0" w:rsidRDefault="00957224" w:rsidP="00EC1BE0">
      <w:pPr>
        <w:pStyle w:val="NoSpacing"/>
        <w:numPr>
          <w:ilvl w:val="0"/>
          <w:numId w:val="2"/>
        </w:numPr>
        <w:spacing w:line="360" w:lineRule="auto"/>
        <w:jc w:val="both"/>
        <w:rPr>
          <w:rFonts w:ascii="Palatino Linotype" w:hAnsi="Palatino Linotype" w:cs="Times New Roman"/>
          <w:i/>
          <w:sz w:val="24"/>
          <w:szCs w:val="24"/>
        </w:rPr>
      </w:pPr>
      <w:r w:rsidRPr="00EC1BE0">
        <w:rPr>
          <w:rFonts w:ascii="Palatino Linotype" w:hAnsi="Palatino Linotype" w:cs="Times New Roman"/>
          <w:i/>
          <w:sz w:val="24"/>
          <w:szCs w:val="24"/>
        </w:rPr>
        <w:t>Integrated regulation</w:t>
      </w:r>
    </w:p>
    <w:p w:rsidR="00957224" w:rsidRPr="00EC1BE0" w:rsidRDefault="00957224" w:rsidP="00EC1BE0">
      <w:pPr>
        <w:pStyle w:val="NoSpacing"/>
        <w:spacing w:line="360" w:lineRule="auto"/>
        <w:ind w:left="720"/>
        <w:jc w:val="both"/>
        <w:rPr>
          <w:rFonts w:ascii="Palatino Linotype" w:hAnsi="Palatino Linotype" w:cs="Times New Roman"/>
          <w:sz w:val="24"/>
          <w:szCs w:val="24"/>
        </w:rPr>
      </w:pPr>
      <w:r w:rsidRPr="00EC1BE0">
        <w:rPr>
          <w:rFonts w:ascii="Palatino Linotype" w:hAnsi="Palatino Linotype" w:cs="Times New Roman"/>
          <w:sz w:val="24"/>
          <w:szCs w:val="24"/>
        </w:rPr>
        <w:t>Fully assimilate identified regulations to the self through self-examination and alignment with other values and needs</w:t>
      </w:r>
      <w:r w:rsidRPr="00EC1BE0">
        <w:rPr>
          <w:rStyle w:val="FootnoteReference"/>
          <w:rFonts w:ascii="Palatino Linotype" w:hAnsi="Palatino Linotype" w:cs="Times New Roman"/>
          <w:sz w:val="24"/>
          <w:szCs w:val="24"/>
        </w:rPr>
        <w:footnoteReference w:id="40"/>
      </w:r>
      <w:r w:rsidRPr="00EC1BE0">
        <w:rPr>
          <w:rFonts w:ascii="Palatino Linotype" w:hAnsi="Palatino Linotype" w:cs="Times New Roman"/>
          <w:sz w:val="24"/>
          <w:szCs w:val="24"/>
        </w:rPr>
        <w:t xml:space="preserve"> </w:t>
      </w:r>
    </w:p>
    <w:p w:rsidR="005E03C3" w:rsidRPr="00EC1BE0" w:rsidRDefault="003E2BE1"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Within the context of pro bono work, as identified earlier, students may be motivated to undertake such work for a variety of reasons.  If students conduct mandatory pro bono work, or if the work is performed for assessment purposes, this is an example of external regulation</w:t>
      </w:r>
      <w:r w:rsidR="009E15B9" w:rsidRPr="00EC1BE0">
        <w:rPr>
          <w:rFonts w:ascii="Palatino Linotype" w:hAnsi="Palatino Linotype" w:cs="Times New Roman"/>
          <w:sz w:val="24"/>
          <w:szCs w:val="24"/>
        </w:rPr>
        <w:t xml:space="preserve"> and therefore the behaviour is perceived as controlled and lacking autonomy.  However, if students engage in pro bono work because they recognise it will enhance their legal skills and improve their employability, they will identify with the value of the activity in relation to their own career objectives.  If this is taken a step further, and through reflection, the value of pro bono work is brought into congruence with the student’s other values and needs, then the pro bono work becomes assimilated and extrinsically motivated actions become autonomous and self-determined.  Whilst the student may </w:t>
      </w:r>
      <w:r w:rsidR="003C2A78" w:rsidRPr="00EC1BE0">
        <w:rPr>
          <w:rFonts w:ascii="Palatino Linotype" w:hAnsi="Palatino Linotype" w:cs="Times New Roman"/>
          <w:sz w:val="24"/>
          <w:szCs w:val="24"/>
        </w:rPr>
        <w:t xml:space="preserve">originally become exposed to pro bono work because it is mandated, or they wish to achieve a good grade, they may then experience the intrinsic value of the work in itself thus shifting their own values.  </w:t>
      </w:r>
      <w:r w:rsidR="005E03C3" w:rsidRPr="00EC1BE0">
        <w:rPr>
          <w:rFonts w:ascii="Palatino Linotype" w:hAnsi="Palatino Linotype" w:cs="Times New Roman"/>
          <w:sz w:val="24"/>
          <w:szCs w:val="24"/>
        </w:rPr>
        <w:t xml:space="preserve">For example, </w:t>
      </w:r>
      <w:r w:rsidR="003C2A78" w:rsidRPr="00EC1BE0">
        <w:rPr>
          <w:rFonts w:ascii="Palatino Linotype" w:hAnsi="Palatino Linotype" w:cs="Times New Roman"/>
          <w:sz w:val="24"/>
          <w:szCs w:val="24"/>
        </w:rPr>
        <w:t>Quigley</w:t>
      </w:r>
      <w:r w:rsidR="00983267" w:rsidRPr="00EC1BE0">
        <w:rPr>
          <w:rFonts w:ascii="Palatino Linotype" w:hAnsi="Palatino Linotype" w:cs="Times New Roman"/>
          <w:sz w:val="24"/>
          <w:szCs w:val="24"/>
        </w:rPr>
        <w:t xml:space="preserve">, drawing upon the work of </w:t>
      </w:r>
      <w:proofErr w:type="spellStart"/>
      <w:r w:rsidR="00983267" w:rsidRPr="00EC1BE0">
        <w:rPr>
          <w:rFonts w:ascii="Palatino Linotype" w:hAnsi="Palatino Linotype" w:cs="Times New Roman"/>
          <w:sz w:val="24"/>
          <w:szCs w:val="24"/>
        </w:rPr>
        <w:t>Mezirow</w:t>
      </w:r>
      <w:proofErr w:type="spellEnd"/>
      <w:r w:rsidR="00983267" w:rsidRPr="00EC1BE0">
        <w:rPr>
          <w:rFonts w:ascii="Palatino Linotype" w:hAnsi="Palatino Linotype" w:cs="Times New Roman"/>
          <w:sz w:val="24"/>
          <w:szCs w:val="24"/>
        </w:rPr>
        <w:t>, posits that educators can utilise the phenomenon known as the ‘disorientating moment’ where the student is exposed to a disorientating or disturbing experience to transform their ‘societal and personal beliefs, values and norms.’</w:t>
      </w:r>
      <w:r w:rsidR="00983267" w:rsidRPr="00EC1BE0">
        <w:rPr>
          <w:rStyle w:val="FootnoteReference"/>
          <w:rFonts w:ascii="Palatino Linotype" w:hAnsi="Palatino Linotype" w:cs="Times New Roman"/>
          <w:sz w:val="24"/>
          <w:szCs w:val="24"/>
        </w:rPr>
        <w:footnoteReference w:id="41"/>
      </w:r>
    </w:p>
    <w:p w:rsidR="00444BC6" w:rsidRPr="00EC1BE0" w:rsidRDefault="00283064"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There are very few reported empirical studies ask</w:t>
      </w:r>
      <w:r w:rsidR="00FC040F" w:rsidRPr="00EC1BE0">
        <w:rPr>
          <w:rFonts w:ascii="Palatino Linotype" w:hAnsi="Palatino Linotype" w:cs="Times New Roman"/>
          <w:sz w:val="24"/>
          <w:szCs w:val="24"/>
        </w:rPr>
        <w:t>ing students what motivates them</w:t>
      </w:r>
      <w:r w:rsidRPr="00EC1BE0">
        <w:rPr>
          <w:rFonts w:ascii="Palatino Linotype" w:hAnsi="Palatino Linotype" w:cs="Times New Roman"/>
          <w:sz w:val="24"/>
          <w:szCs w:val="24"/>
        </w:rPr>
        <w:t xml:space="preserve"> to conduct pro bono.  Combe, with reference to the Aberdeen Law Project, reports that ‘[t]he highest ranking reason for joining was for experience, followed by social justice and skills development…social justice was not the primary factor in their joining the volunteer activity.’</w:t>
      </w:r>
      <w:r w:rsidRPr="00EC1BE0">
        <w:rPr>
          <w:rStyle w:val="FootnoteReference"/>
          <w:rFonts w:ascii="Palatino Linotype" w:hAnsi="Palatino Linotype" w:cs="Times New Roman"/>
          <w:sz w:val="24"/>
          <w:szCs w:val="24"/>
        </w:rPr>
        <w:footnoteReference w:id="42"/>
      </w:r>
      <w:r w:rsidR="009F4580" w:rsidRPr="00EC1BE0">
        <w:rPr>
          <w:rFonts w:ascii="Palatino Linotype" w:hAnsi="Palatino Linotype" w:cs="Times New Roman"/>
          <w:sz w:val="24"/>
          <w:szCs w:val="24"/>
        </w:rPr>
        <w:t xml:space="preserve">  Nicolson, with reference to the Law Clinic at the University of </w:t>
      </w:r>
      <w:r w:rsidR="002A6C77" w:rsidRPr="00EC1BE0">
        <w:rPr>
          <w:rFonts w:ascii="Palatino Linotype" w:hAnsi="Palatino Linotype" w:cs="Times New Roman"/>
          <w:sz w:val="24"/>
          <w:szCs w:val="24"/>
        </w:rPr>
        <w:t>Strathclyde</w:t>
      </w:r>
      <w:r w:rsidR="009F4580" w:rsidRPr="00EC1BE0">
        <w:rPr>
          <w:rFonts w:ascii="Palatino Linotype" w:hAnsi="Palatino Linotype" w:cs="Times New Roman"/>
          <w:sz w:val="24"/>
          <w:szCs w:val="24"/>
        </w:rPr>
        <w:t xml:space="preserve">, reports that ‘self-centred reasons’ (‘To gain useful skills’ and ‘To put into practice theoretical knowledge’) ranked higher than </w:t>
      </w:r>
      <w:r w:rsidR="001C6B47" w:rsidRPr="00EC1BE0">
        <w:rPr>
          <w:rFonts w:ascii="Palatino Linotype" w:hAnsi="Palatino Linotype" w:cs="Times New Roman"/>
          <w:sz w:val="24"/>
          <w:szCs w:val="24"/>
        </w:rPr>
        <w:t>‘altruistic reasons’ (‘To help others’ and ‘To increase access to justice’) as the reason for wanting to join the clinic.</w:t>
      </w:r>
      <w:r w:rsidR="001C6B47" w:rsidRPr="00EC1BE0">
        <w:rPr>
          <w:rStyle w:val="FootnoteReference"/>
          <w:rFonts w:ascii="Palatino Linotype" w:hAnsi="Palatino Linotype" w:cs="Times New Roman"/>
          <w:sz w:val="24"/>
          <w:szCs w:val="24"/>
        </w:rPr>
        <w:footnoteReference w:id="43"/>
      </w:r>
      <w:r w:rsidR="001C6B47" w:rsidRPr="00EC1BE0">
        <w:rPr>
          <w:rFonts w:ascii="Palatino Linotype" w:hAnsi="Palatino Linotype" w:cs="Times New Roman"/>
          <w:sz w:val="24"/>
          <w:szCs w:val="24"/>
        </w:rPr>
        <w:t xml:space="preserve">  However, those students ‘who successfully completed the rigorous selection process seemed far more motivated by altruism in their decision to apply for membership compared to general Clinic applicants.’</w:t>
      </w:r>
      <w:r w:rsidR="001C6B47" w:rsidRPr="00EC1BE0">
        <w:rPr>
          <w:rStyle w:val="FootnoteReference"/>
          <w:rFonts w:ascii="Palatino Linotype" w:hAnsi="Palatino Linotype" w:cs="Times New Roman"/>
          <w:sz w:val="24"/>
          <w:szCs w:val="24"/>
        </w:rPr>
        <w:footnoteReference w:id="44"/>
      </w:r>
      <w:r w:rsidR="007A4489" w:rsidRPr="00EC1BE0">
        <w:rPr>
          <w:rFonts w:ascii="Palatino Linotype" w:hAnsi="Palatino Linotype" w:cs="Times New Roman"/>
          <w:sz w:val="24"/>
          <w:szCs w:val="24"/>
        </w:rPr>
        <w:t xml:space="preserve">  This is probably explained by the fact students are selected on </w:t>
      </w:r>
      <w:r w:rsidR="00622246" w:rsidRPr="00EC1BE0">
        <w:rPr>
          <w:rFonts w:ascii="Palatino Linotype" w:hAnsi="Palatino Linotype" w:cs="Times New Roman"/>
          <w:sz w:val="24"/>
          <w:szCs w:val="24"/>
        </w:rPr>
        <w:t xml:space="preserve">the basis of </w:t>
      </w:r>
      <w:r w:rsidR="007A4489" w:rsidRPr="00EC1BE0">
        <w:rPr>
          <w:rFonts w:ascii="Palatino Linotype" w:hAnsi="Palatino Linotype" w:cs="Times New Roman"/>
          <w:sz w:val="24"/>
          <w:szCs w:val="24"/>
        </w:rPr>
        <w:t>their commitment to social justice.</w:t>
      </w:r>
      <w:r w:rsidR="007A4489" w:rsidRPr="00EC1BE0">
        <w:rPr>
          <w:rStyle w:val="FootnoteReference"/>
          <w:rFonts w:ascii="Palatino Linotype" w:hAnsi="Palatino Linotype" w:cs="Times New Roman"/>
          <w:sz w:val="24"/>
          <w:szCs w:val="24"/>
        </w:rPr>
        <w:footnoteReference w:id="45"/>
      </w:r>
      <w:r w:rsidR="001C6B47" w:rsidRPr="00EC1BE0">
        <w:rPr>
          <w:rFonts w:ascii="Palatino Linotype" w:hAnsi="Palatino Linotype" w:cs="Times New Roman"/>
          <w:sz w:val="24"/>
          <w:szCs w:val="24"/>
        </w:rPr>
        <w:t xml:space="preserve">  </w:t>
      </w:r>
    </w:p>
    <w:p w:rsidR="005655B9" w:rsidRPr="00EC1BE0" w:rsidRDefault="005655B9"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A study by Evans and Palermo into Australian lawyers’ values considered pro bono in the context of professional responsibility.</w:t>
      </w:r>
      <w:r w:rsidRPr="00EC1BE0">
        <w:rPr>
          <w:rStyle w:val="FootnoteReference"/>
          <w:rFonts w:ascii="Palatino Linotype" w:hAnsi="Palatino Linotype" w:cs="Times New Roman"/>
          <w:sz w:val="24"/>
          <w:szCs w:val="24"/>
        </w:rPr>
        <w:footnoteReference w:id="46"/>
      </w:r>
      <w:r w:rsidRPr="00EC1BE0">
        <w:rPr>
          <w:rFonts w:ascii="Palatino Linotype" w:hAnsi="Palatino Linotype" w:cs="Times New Roman"/>
          <w:sz w:val="24"/>
          <w:szCs w:val="24"/>
        </w:rPr>
        <w:t xml:space="preserve">  Respondents were fairly equally divided as to whether they would agree to pursue a hypothetical pro bono case</w:t>
      </w:r>
      <w:r w:rsidR="000C1611" w:rsidRPr="00EC1BE0">
        <w:rPr>
          <w:rFonts w:ascii="Palatino Linotype" w:hAnsi="Palatino Linotype" w:cs="Times New Roman"/>
          <w:sz w:val="24"/>
          <w:szCs w:val="24"/>
        </w:rPr>
        <w:t>.</w:t>
      </w:r>
      <w:r w:rsidR="000C1611" w:rsidRPr="00EC1BE0">
        <w:rPr>
          <w:rStyle w:val="FootnoteReference"/>
          <w:rFonts w:ascii="Palatino Linotype" w:hAnsi="Palatino Linotype" w:cs="Times New Roman"/>
          <w:sz w:val="24"/>
          <w:szCs w:val="24"/>
        </w:rPr>
        <w:footnoteReference w:id="47"/>
      </w:r>
      <w:r w:rsidR="000C1611" w:rsidRPr="00EC1BE0">
        <w:rPr>
          <w:rFonts w:ascii="Palatino Linotype" w:hAnsi="Palatino Linotype" w:cs="Times New Roman"/>
          <w:sz w:val="24"/>
          <w:szCs w:val="24"/>
        </w:rPr>
        <w:t xml:space="preserve">  Of those respondent</w:t>
      </w:r>
      <w:r w:rsidR="006214A3" w:rsidRPr="00EC1BE0">
        <w:rPr>
          <w:rFonts w:ascii="Palatino Linotype" w:hAnsi="Palatino Linotype" w:cs="Times New Roman"/>
          <w:sz w:val="24"/>
          <w:szCs w:val="24"/>
        </w:rPr>
        <w:t>s</w:t>
      </w:r>
      <w:r w:rsidR="000C1611" w:rsidRPr="00EC1BE0">
        <w:rPr>
          <w:rFonts w:ascii="Palatino Linotype" w:hAnsi="Palatino Linotype" w:cs="Times New Roman"/>
          <w:sz w:val="24"/>
          <w:szCs w:val="24"/>
        </w:rPr>
        <w:t xml:space="preserve"> who would accept the pro bono case, access to justice was ranked as the most important motivating factor for taking on the case.  However, this is qualified as ‘participants clearly expressed this issue in relation to personal interests and desires rather than mentioning any professional ethics’.</w:t>
      </w:r>
      <w:r w:rsidR="000C1611" w:rsidRPr="00EC1BE0">
        <w:rPr>
          <w:rStyle w:val="FootnoteReference"/>
          <w:rFonts w:ascii="Palatino Linotype" w:hAnsi="Palatino Linotype" w:cs="Times New Roman"/>
          <w:sz w:val="24"/>
          <w:szCs w:val="24"/>
        </w:rPr>
        <w:footnoteReference w:id="48"/>
      </w:r>
      <w:r w:rsidR="000C1611" w:rsidRPr="00EC1BE0">
        <w:rPr>
          <w:rFonts w:ascii="Palatino Linotype" w:hAnsi="Palatino Linotype" w:cs="Times New Roman"/>
          <w:sz w:val="24"/>
          <w:szCs w:val="24"/>
        </w:rPr>
        <w:t xml:space="preserve">  Other motivating factors determining how respondents would act include professional ambition (</w:t>
      </w:r>
      <w:r w:rsidR="006214A3" w:rsidRPr="00EC1BE0">
        <w:rPr>
          <w:rFonts w:ascii="Palatino Linotype" w:hAnsi="Palatino Linotype" w:cs="Times New Roman"/>
          <w:sz w:val="24"/>
          <w:szCs w:val="24"/>
        </w:rPr>
        <w:t>relating to the high profile nature of the case), employer loyalty (prioritise work for employer) and employment security (if they pursued a case against the will of their employer).</w:t>
      </w:r>
      <w:r w:rsidR="006214A3" w:rsidRPr="00EC1BE0">
        <w:rPr>
          <w:rStyle w:val="FootnoteReference"/>
          <w:rFonts w:ascii="Palatino Linotype" w:hAnsi="Palatino Linotype" w:cs="Times New Roman"/>
          <w:sz w:val="24"/>
          <w:szCs w:val="24"/>
        </w:rPr>
        <w:footnoteReference w:id="49"/>
      </w:r>
    </w:p>
    <w:p w:rsidR="007A4489" w:rsidRPr="00EC1BE0" w:rsidRDefault="008E626B"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 xml:space="preserve">An interesting qualitative study was conduct by </w:t>
      </w:r>
      <w:proofErr w:type="spellStart"/>
      <w:r w:rsidRPr="00EC1BE0">
        <w:rPr>
          <w:rFonts w:ascii="Palatino Linotype" w:hAnsi="Palatino Linotype" w:cs="Times New Roman"/>
          <w:sz w:val="24"/>
          <w:szCs w:val="24"/>
        </w:rPr>
        <w:t>Behre</w:t>
      </w:r>
      <w:proofErr w:type="spellEnd"/>
      <w:r w:rsidRPr="00EC1BE0">
        <w:rPr>
          <w:rFonts w:ascii="Palatino Linotype" w:hAnsi="Palatino Linotype" w:cs="Times New Roman"/>
          <w:sz w:val="24"/>
          <w:szCs w:val="24"/>
        </w:rPr>
        <w:t xml:space="preserve"> into student motivations for pro bono following a tornado that devastated Tuscaloosa, Alabama in April 2011.</w:t>
      </w:r>
      <w:r w:rsidRPr="00EC1BE0">
        <w:rPr>
          <w:rStyle w:val="FootnoteReference"/>
          <w:rFonts w:ascii="Palatino Linotype" w:hAnsi="Palatino Linotype" w:cs="Times New Roman"/>
          <w:sz w:val="24"/>
          <w:szCs w:val="24"/>
        </w:rPr>
        <w:footnoteReference w:id="50"/>
      </w:r>
      <w:r w:rsidR="001E2121" w:rsidRPr="00EC1BE0">
        <w:rPr>
          <w:rFonts w:ascii="Palatino Linotype" w:hAnsi="Palatino Linotype" w:cs="Times New Roman"/>
          <w:sz w:val="24"/>
          <w:szCs w:val="24"/>
        </w:rPr>
        <w:t xml:space="preserve">  Whilst the circumstances of this study are very specific to the events at the time, the findings are useful.  </w:t>
      </w:r>
      <w:proofErr w:type="spellStart"/>
      <w:r w:rsidR="001E2121" w:rsidRPr="00EC1BE0">
        <w:rPr>
          <w:rFonts w:ascii="Palatino Linotype" w:hAnsi="Palatino Linotype" w:cs="Times New Roman"/>
          <w:sz w:val="24"/>
          <w:szCs w:val="24"/>
        </w:rPr>
        <w:t>Behre</w:t>
      </w:r>
      <w:proofErr w:type="spellEnd"/>
      <w:r w:rsidR="001E2121" w:rsidRPr="00EC1BE0">
        <w:rPr>
          <w:rFonts w:ascii="Palatino Linotype" w:hAnsi="Palatino Linotype" w:cs="Times New Roman"/>
          <w:sz w:val="24"/>
          <w:szCs w:val="24"/>
        </w:rPr>
        <w:t xml:space="preserve"> reports that students were initially motivated through the ‘need to help’ and ‘as a natural response to the shock of witnessing the tornado’s destruction.’</w:t>
      </w:r>
      <w:r w:rsidR="001E2121" w:rsidRPr="00EC1BE0">
        <w:rPr>
          <w:rStyle w:val="FootnoteReference"/>
          <w:rFonts w:ascii="Palatino Linotype" w:hAnsi="Palatino Linotype" w:cs="Times New Roman"/>
          <w:sz w:val="24"/>
          <w:szCs w:val="24"/>
        </w:rPr>
        <w:footnoteReference w:id="51"/>
      </w:r>
      <w:r w:rsidR="001E2121" w:rsidRPr="00EC1BE0">
        <w:rPr>
          <w:rFonts w:ascii="Palatino Linotype" w:hAnsi="Palatino Linotype" w:cs="Times New Roman"/>
          <w:sz w:val="24"/>
          <w:szCs w:val="24"/>
        </w:rPr>
        <w:t xml:space="preserve">  ‘[S]</w:t>
      </w:r>
      <w:proofErr w:type="spellStart"/>
      <w:r w:rsidR="001E2121" w:rsidRPr="00EC1BE0">
        <w:rPr>
          <w:rFonts w:ascii="Palatino Linotype" w:hAnsi="Palatino Linotype" w:cs="Times New Roman"/>
          <w:sz w:val="24"/>
          <w:szCs w:val="24"/>
        </w:rPr>
        <w:t>urvivor</w:t>
      </w:r>
      <w:proofErr w:type="spellEnd"/>
      <w:r w:rsidR="001E2121" w:rsidRPr="00EC1BE0">
        <w:rPr>
          <w:rFonts w:ascii="Palatino Linotype" w:hAnsi="Palatino Linotype" w:cs="Times New Roman"/>
          <w:sz w:val="24"/>
          <w:szCs w:val="24"/>
        </w:rPr>
        <w:t xml:space="preserve"> guilt’ and the ‘need to give back to the community’ were also cited as initial motivating factors to volunteering.</w:t>
      </w:r>
      <w:r w:rsidR="00705967" w:rsidRPr="00EC1BE0">
        <w:rPr>
          <w:rStyle w:val="FootnoteReference"/>
          <w:rFonts w:ascii="Palatino Linotype" w:hAnsi="Palatino Linotype" w:cs="Times New Roman"/>
          <w:sz w:val="24"/>
          <w:szCs w:val="24"/>
        </w:rPr>
        <w:footnoteReference w:id="52"/>
      </w:r>
      <w:r w:rsidR="00705967" w:rsidRPr="00EC1BE0">
        <w:rPr>
          <w:rFonts w:ascii="Palatino Linotype" w:hAnsi="Palatino Linotype" w:cs="Times New Roman"/>
          <w:sz w:val="24"/>
          <w:szCs w:val="24"/>
        </w:rPr>
        <w:t xml:space="preserve">  These motivating factors are intrinsic and ‘as a direct response to witnessing a natural disaster.’</w:t>
      </w:r>
      <w:r w:rsidR="00705967" w:rsidRPr="00EC1BE0">
        <w:rPr>
          <w:rStyle w:val="FootnoteReference"/>
          <w:rFonts w:ascii="Palatino Linotype" w:hAnsi="Palatino Linotype" w:cs="Times New Roman"/>
          <w:sz w:val="24"/>
          <w:szCs w:val="24"/>
        </w:rPr>
        <w:footnoteReference w:id="53"/>
      </w:r>
      <w:r w:rsidR="001E2121" w:rsidRPr="00EC1BE0">
        <w:rPr>
          <w:rFonts w:ascii="Palatino Linotype" w:hAnsi="Palatino Linotype" w:cs="Times New Roman"/>
          <w:sz w:val="24"/>
          <w:szCs w:val="24"/>
        </w:rPr>
        <w:t xml:space="preserve"> </w:t>
      </w:r>
      <w:r w:rsidR="00705967" w:rsidRPr="00EC1BE0">
        <w:rPr>
          <w:rFonts w:ascii="Palatino Linotype" w:hAnsi="Palatino Linotype" w:cs="Times New Roman"/>
          <w:sz w:val="24"/>
          <w:szCs w:val="24"/>
        </w:rPr>
        <w:t xml:space="preserve"> However, the student’s rationale for their continued volunteer effort provides a good level of insight into student motivation.  </w:t>
      </w:r>
      <w:r w:rsidR="00AC0E07" w:rsidRPr="00EC1BE0">
        <w:rPr>
          <w:rFonts w:ascii="Palatino Linotype" w:hAnsi="Palatino Linotype" w:cs="Times New Roman"/>
          <w:sz w:val="24"/>
          <w:szCs w:val="24"/>
        </w:rPr>
        <w:t>‘Meaningful volunteer experiences’</w:t>
      </w:r>
      <w:r w:rsidR="00550702" w:rsidRPr="00EC1BE0">
        <w:rPr>
          <w:rFonts w:ascii="Palatino Linotype" w:hAnsi="Palatino Linotype" w:cs="Times New Roman"/>
          <w:sz w:val="24"/>
          <w:szCs w:val="24"/>
        </w:rPr>
        <w:t xml:space="preserve"> such as ‘personal, meaningful interaction with strangers’,</w:t>
      </w:r>
      <w:r w:rsidR="00550702" w:rsidRPr="00EC1BE0">
        <w:rPr>
          <w:rStyle w:val="FootnoteReference"/>
          <w:rFonts w:ascii="Palatino Linotype" w:hAnsi="Palatino Linotype" w:cs="Times New Roman"/>
          <w:sz w:val="24"/>
          <w:szCs w:val="24"/>
        </w:rPr>
        <w:footnoteReference w:id="54"/>
      </w:r>
      <w:r w:rsidR="00550702" w:rsidRPr="00EC1BE0">
        <w:rPr>
          <w:rFonts w:ascii="Palatino Linotype" w:hAnsi="Palatino Linotype" w:cs="Times New Roman"/>
          <w:sz w:val="24"/>
          <w:szCs w:val="24"/>
        </w:rPr>
        <w:t xml:space="preserve"> organisation,</w:t>
      </w:r>
      <w:r w:rsidR="00550702" w:rsidRPr="00EC1BE0">
        <w:rPr>
          <w:rStyle w:val="FootnoteReference"/>
          <w:rFonts w:ascii="Palatino Linotype" w:hAnsi="Palatino Linotype" w:cs="Times New Roman"/>
          <w:sz w:val="24"/>
          <w:szCs w:val="24"/>
        </w:rPr>
        <w:footnoteReference w:id="55"/>
      </w:r>
      <w:r w:rsidR="00550702" w:rsidRPr="00EC1BE0">
        <w:rPr>
          <w:rFonts w:ascii="Palatino Linotype" w:hAnsi="Palatino Linotype" w:cs="Times New Roman"/>
          <w:sz w:val="24"/>
          <w:szCs w:val="24"/>
        </w:rPr>
        <w:t xml:space="preserve"> ‘opportunities for students to use their professional training’,</w:t>
      </w:r>
      <w:r w:rsidR="00550702" w:rsidRPr="00EC1BE0">
        <w:rPr>
          <w:rStyle w:val="FootnoteReference"/>
          <w:rFonts w:ascii="Palatino Linotype" w:hAnsi="Palatino Linotype" w:cs="Times New Roman"/>
          <w:sz w:val="24"/>
          <w:szCs w:val="24"/>
        </w:rPr>
        <w:footnoteReference w:id="56"/>
      </w:r>
      <w:r w:rsidR="00550702" w:rsidRPr="00EC1BE0">
        <w:rPr>
          <w:rFonts w:ascii="Palatino Linotype" w:hAnsi="Palatino Linotype" w:cs="Times New Roman"/>
          <w:sz w:val="24"/>
          <w:szCs w:val="24"/>
        </w:rPr>
        <w:t xml:space="preserve"> and the opportunity to gain ‘new legal knowledge and skills’</w:t>
      </w:r>
      <w:r w:rsidR="00550702" w:rsidRPr="00EC1BE0">
        <w:rPr>
          <w:rStyle w:val="FootnoteReference"/>
          <w:rFonts w:ascii="Palatino Linotype" w:hAnsi="Palatino Linotype" w:cs="Times New Roman"/>
          <w:sz w:val="24"/>
          <w:szCs w:val="24"/>
        </w:rPr>
        <w:footnoteReference w:id="57"/>
      </w:r>
      <w:r w:rsidR="00550702" w:rsidRPr="00EC1BE0">
        <w:rPr>
          <w:rFonts w:ascii="Palatino Linotype" w:hAnsi="Palatino Linotype" w:cs="Times New Roman"/>
          <w:sz w:val="24"/>
          <w:szCs w:val="24"/>
        </w:rPr>
        <w:t xml:space="preserve"> were all cited as motivating factors.  </w:t>
      </w:r>
      <w:proofErr w:type="spellStart"/>
      <w:r w:rsidR="00550702" w:rsidRPr="00EC1BE0">
        <w:rPr>
          <w:rFonts w:ascii="Palatino Linotype" w:hAnsi="Palatino Linotype" w:cs="Times New Roman"/>
          <w:sz w:val="24"/>
          <w:szCs w:val="24"/>
        </w:rPr>
        <w:t>Behre</w:t>
      </w:r>
      <w:proofErr w:type="spellEnd"/>
      <w:r w:rsidR="00550702" w:rsidRPr="00EC1BE0">
        <w:rPr>
          <w:rFonts w:ascii="Palatino Linotype" w:hAnsi="Palatino Linotype" w:cs="Times New Roman"/>
          <w:sz w:val="24"/>
          <w:szCs w:val="24"/>
        </w:rPr>
        <w:t xml:space="preserve"> however notes that ‘[s]</w:t>
      </w:r>
      <w:proofErr w:type="spellStart"/>
      <w:r w:rsidR="00550702" w:rsidRPr="00EC1BE0">
        <w:rPr>
          <w:rFonts w:ascii="Palatino Linotype" w:hAnsi="Palatino Linotype" w:cs="Times New Roman"/>
          <w:sz w:val="24"/>
          <w:szCs w:val="24"/>
        </w:rPr>
        <w:t>tudents</w:t>
      </w:r>
      <w:proofErr w:type="spellEnd"/>
      <w:r w:rsidR="00550702" w:rsidRPr="00EC1BE0">
        <w:rPr>
          <w:rFonts w:ascii="Palatino Linotype" w:hAnsi="Palatino Linotype" w:cs="Times New Roman"/>
          <w:sz w:val="24"/>
          <w:szCs w:val="24"/>
        </w:rPr>
        <w:t xml:space="preserve"> in general were more concerned about how they could help people and less concerned about how the experience would benefit them.’</w:t>
      </w:r>
      <w:r w:rsidR="00550702" w:rsidRPr="00EC1BE0">
        <w:rPr>
          <w:rStyle w:val="FootnoteReference"/>
          <w:rFonts w:ascii="Palatino Linotype" w:hAnsi="Palatino Linotype" w:cs="Times New Roman"/>
          <w:sz w:val="24"/>
          <w:szCs w:val="24"/>
        </w:rPr>
        <w:footnoteReference w:id="58"/>
      </w:r>
      <w:r w:rsidR="00DF630B" w:rsidRPr="00EC1BE0">
        <w:rPr>
          <w:rFonts w:ascii="Palatino Linotype" w:hAnsi="Palatino Linotype" w:cs="Times New Roman"/>
          <w:sz w:val="24"/>
          <w:szCs w:val="24"/>
        </w:rPr>
        <w:t xml:space="preserve">  Finally, ‘membership in the community’ was also cited as a motivating factor for volunteering and the students ‘valued the experiences they had connecting to people from diverse backgrounds.’</w:t>
      </w:r>
      <w:r w:rsidR="00DF630B" w:rsidRPr="00EC1BE0">
        <w:rPr>
          <w:rStyle w:val="FootnoteReference"/>
          <w:rFonts w:ascii="Palatino Linotype" w:hAnsi="Palatino Linotype" w:cs="Times New Roman"/>
          <w:sz w:val="24"/>
          <w:szCs w:val="24"/>
        </w:rPr>
        <w:footnoteReference w:id="59"/>
      </w:r>
    </w:p>
    <w:p w:rsidR="007A4489" w:rsidRPr="00EC1BE0" w:rsidRDefault="007A4489" w:rsidP="00EC1BE0">
      <w:pPr>
        <w:pStyle w:val="NoSpacing"/>
        <w:spacing w:line="480" w:lineRule="auto"/>
        <w:jc w:val="both"/>
        <w:rPr>
          <w:rFonts w:ascii="Palatino Linotype" w:hAnsi="Palatino Linotype" w:cs="Times New Roman"/>
          <w:sz w:val="24"/>
          <w:szCs w:val="24"/>
        </w:rPr>
      </w:pPr>
    </w:p>
    <w:p w:rsidR="004C6470" w:rsidRPr="00EC1BE0" w:rsidRDefault="004C6470" w:rsidP="00EC1BE0">
      <w:pPr>
        <w:pStyle w:val="NoSpacing"/>
        <w:spacing w:line="480" w:lineRule="auto"/>
        <w:jc w:val="both"/>
        <w:rPr>
          <w:rFonts w:ascii="Palatino Linotype" w:hAnsi="Palatino Linotype" w:cs="Times New Roman"/>
          <w:b/>
          <w:sz w:val="24"/>
          <w:szCs w:val="24"/>
        </w:rPr>
      </w:pPr>
      <w:r w:rsidRPr="00EC1BE0">
        <w:rPr>
          <w:rFonts w:ascii="Palatino Linotype" w:hAnsi="Palatino Linotype" w:cs="Times New Roman"/>
          <w:b/>
          <w:sz w:val="24"/>
          <w:szCs w:val="24"/>
        </w:rPr>
        <w:t>Methodology</w:t>
      </w:r>
    </w:p>
    <w:p w:rsidR="007C0CC0" w:rsidRPr="00EC1BE0" w:rsidRDefault="00B94562"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Law s</w:t>
      </w:r>
      <w:r w:rsidR="00E90380" w:rsidRPr="00EC1BE0">
        <w:rPr>
          <w:rFonts w:ascii="Palatino Linotype" w:hAnsi="Palatino Linotype" w:cs="Times New Roman"/>
          <w:sz w:val="24"/>
          <w:szCs w:val="24"/>
        </w:rPr>
        <w:t>tudents</w:t>
      </w:r>
      <w:r w:rsidRPr="00EC1BE0">
        <w:rPr>
          <w:rFonts w:ascii="Palatino Linotype" w:hAnsi="Palatino Linotype" w:cs="Times New Roman"/>
          <w:sz w:val="24"/>
          <w:szCs w:val="24"/>
        </w:rPr>
        <w:t xml:space="preserve"> at Northumbria University</w:t>
      </w:r>
      <w:r w:rsidR="00E90380" w:rsidRPr="00EC1BE0">
        <w:rPr>
          <w:rFonts w:ascii="Palatino Linotype" w:hAnsi="Palatino Linotype" w:cs="Times New Roman"/>
          <w:sz w:val="24"/>
          <w:szCs w:val="24"/>
        </w:rPr>
        <w:t xml:space="preserve"> were invited to enter an essay competition entitled ‘Pro Bono: What’s in it for law students?’  The writer of the winning essay was awarded £125 voucher and the publication of their essay in the International Journal of Clinical Legal Education.</w:t>
      </w:r>
      <w:r w:rsidR="00E90380" w:rsidRPr="00EC1BE0">
        <w:rPr>
          <w:rStyle w:val="FootnoteReference"/>
          <w:rFonts w:ascii="Palatino Linotype" w:hAnsi="Palatino Linotype" w:cs="Times New Roman"/>
          <w:sz w:val="24"/>
          <w:szCs w:val="24"/>
        </w:rPr>
        <w:footnoteReference w:id="60"/>
      </w:r>
      <w:r w:rsidR="00E418DD" w:rsidRPr="00EC1BE0">
        <w:rPr>
          <w:rFonts w:ascii="Palatino Linotype" w:hAnsi="Palatino Linotype" w:cs="Times New Roman"/>
          <w:sz w:val="24"/>
          <w:szCs w:val="24"/>
        </w:rPr>
        <w:t xml:space="preserve">  </w:t>
      </w:r>
      <w:r w:rsidR="00570276" w:rsidRPr="00EC1BE0">
        <w:rPr>
          <w:rFonts w:ascii="Palatino Linotype" w:hAnsi="Palatino Linotype" w:cs="Times New Roman"/>
          <w:sz w:val="24"/>
          <w:szCs w:val="24"/>
        </w:rPr>
        <w:t>A representative of the International Journal of Clinical Legal Education adjudicated the competition</w:t>
      </w:r>
      <w:r w:rsidR="00E418DD" w:rsidRPr="00EC1BE0">
        <w:rPr>
          <w:rFonts w:ascii="Palatino Linotype" w:hAnsi="Palatino Linotype" w:cs="Times New Roman"/>
          <w:sz w:val="24"/>
          <w:szCs w:val="24"/>
        </w:rPr>
        <w:t>.  The students were not provided with any guidance as to the definition of ‘pro bono’</w:t>
      </w:r>
      <w:r w:rsidR="007C0CC0" w:rsidRPr="00EC1BE0">
        <w:rPr>
          <w:rFonts w:ascii="Palatino Linotype" w:hAnsi="Palatino Linotype" w:cs="Times New Roman"/>
          <w:sz w:val="24"/>
          <w:szCs w:val="24"/>
        </w:rPr>
        <w:t xml:space="preserve"> and therefore the essays reflect the students’ own interpretation of this term.</w:t>
      </w:r>
      <w:r w:rsidRPr="00EC1BE0">
        <w:rPr>
          <w:rFonts w:ascii="Palatino Linotype" w:hAnsi="Palatino Linotype" w:cs="Times New Roman"/>
          <w:sz w:val="24"/>
          <w:szCs w:val="24"/>
        </w:rPr>
        <w:t xml:space="preserve">  </w:t>
      </w:r>
      <w:r w:rsidR="001E08C4" w:rsidRPr="00EC1BE0">
        <w:rPr>
          <w:rFonts w:ascii="Palatino Linotype" w:hAnsi="Palatino Linotype" w:cs="Times New Roman"/>
          <w:sz w:val="24"/>
          <w:szCs w:val="24"/>
        </w:rPr>
        <w:t xml:space="preserve">Further, the competition was open to all law students at Northumbria University regardless of whether they had any pro bono or clinical legal education experience.  This is not a comparative study, merely a study considering the student perspective.  </w:t>
      </w:r>
      <w:r w:rsidRPr="00EC1BE0">
        <w:rPr>
          <w:rFonts w:ascii="Palatino Linotype" w:hAnsi="Palatino Linotype" w:cs="Times New Roman"/>
          <w:sz w:val="24"/>
          <w:szCs w:val="24"/>
        </w:rPr>
        <w:t xml:space="preserve">The essays were analysed using </w:t>
      </w:r>
      <w:proofErr w:type="spellStart"/>
      <w:r w:rsidRPr="00EC1BE0">
        <w:rPr>
          <w:rFonts w:ascii="Palatino Linotype" w:hAnsi="Palatino Linotype" w:cs="Times New Roman"/>
          <w:sz w:val="24"/>
          <w:szCs w:val="24"/>
        </w:rPr>
        <w:t>NVivo</w:t>
      </w:r>
      <w:proofErr w:type="spellEnd"/>
      <w:r w:rsidRPr="00EC1BE0">
        <w:rPr>
          <w:rFonts w:ascii="Palatino Linotype" w:hAnsi="Palatino Linotype" w:cs="Times New Roman"/>
          <w:sz w:val="24"/>
          <w:szCs w:val="24"/>
        </w:rPr>
        <w:t xml:space="preserve"> software.</w:t>
      </w:r>
    </w:p>
    <w:p w:rsidR="006749E4" w:rsidRPr="00EC1BE0" w:rsidRDefault="006749E4"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 xml:space="preserve">The competition was arguably subjective; no criteria was set to determine the winning </w:t>
      </w:r>
      <w:r w:rsidR="0083318C" w:rsidRPr="00EC1BE0">
        <w:rPr>
          <w:rFonts w:ascii="Palatino Linotype" w:hAnsi="Palatino Linotype" w:cs="Times New Roman"/>
          <w:sz w:val="24"/>
          <w:szCs w:val="24"/>
        </w:rPr>
        <w:t xml:space="preserve">essay.  This was deliberate </w:t>
      </w:r>
      <w:r w:rsidRPr="00EC1BE0">
        <w:rPr>
          <w:rFonts w:ascii="Palatino Linotype" w:hAnsi="Palatino Linotype" w:cs="Times New Roman"/>
          <w:sz w:val="24"/>
          <w:szCs w:val="24"/>
        </w:rPr>
        <w:t xml:space="preserve">to encourage honest views as to the motivating factor for undertaking pro bono work.  </w:t>
      </w:r>
      <w:r w:rsidR="00C6005F" w:rsidRPr="00EC1BE0">
        <w:rPr>
          <w:rFonts w:ascii="Palatino Linotype" w:hAnsi="Palatino Linotype" w:cs="Times New Roman"/>
          <w:sz w:val="24"/>
          <w:szCs w:val="24"/>
        </w:rPr>
        <w:t xml:space="preserve">The decision was taken to avoid pre-defined criteria </w:t>
      </w:r>
      <w:r w:rsidRPr="00EC1BE0">
        <w:rPr>
          <w:rFonts w:ascii="Palatino Linotype" w:hAnsi="Palatino Linotype" w:cs="Times New Roman"/>
          <w:sz w:val="24"/>
          <w:szCs w:val="24"/>
        </w:rPr>
        <w:t xml:space="preserve">as this may have resulted in essays becoming formulaic.  </w:t>
      </w:r>
    </w:p>
    <w:p w:rsidR="00C6005F" w:rsidRPr="00EC1BE0" w:rsidRDefault="00C6005F" w:rsidP="00EC1BE0">
      <w:pPr>
        <w:pStyle w:val="NoSpacing"/>
        <w:spacing w:line="480" w:lineRule="auto"/>
        <w:jc w:val="both"/>
        <w:rPr>
          <w:rFonts w:ascii="Palatino Linotype" w:hAnsi="Palatino Linotype" w:cs="Times New Roman"/>
          <w:sz w:val="24"/>
          <w:szCs w:val="24"/>
        </w:rPr>
      </w:pPr>
    </w:p>
    <w:p w:rsidR="004C6470" w:rsidRPr="00EC1BE0" w:rsidRDefault="00B879D8" w:rsidP="00EC1BE0">
      <w:pPr>
        <w:pStyle w:val="NoSpacing"/>
        <w:spacing w:line="480" w:lineRule="auto"/>
        <w:jc w:val="both"/>
        <w:rPr>
          <w:rFonts w:ascii="Palatino Linotype" w:hAnsi="Palatino Linotype" w:cs="Times New Roman"/>
          <w:b/>
          <w:sz w:val="24"/>
          <w:szCs w:val="24"/>
        </w:rPr>
      </w:pPr>
      <w:r w:rsidRPr="00EC1BE0">
        <w:rPr>
          <w:rFonts w:ascii="Palatino Linotype" w:hAnsi="Palatino Linotype" w:cs="Times New Roman"/>
          <w:b/>
          <w:sz w:val="24"/>
          <w:szCs w:val="24"/>
        </w:rPr>
        <w:t>What the students say:</w:t>
      </w:r>
    </w:p>
    <w:p w:rsidR="0095280A" w:rsidRPr="00EC1BE0" w:rsidRDefault="00CC6142"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The essays reveal tha</w:t>
      </w:r>
      <w:r w:rsidR="00EF7B72" w:rsidRPr="00EC1BE0">
        <w:rPr>
          <w:rFonts w:ascii="Palatino Linotype" w:hAnsi="Palatino Linotype" w:cs="Times New Roman"/>
          <w:sz w:val="24"/>
          <w:szCs w:val="24"/>
        </w:rPr>
        <w:t>t the reasons students believe they should under</w:t>
      </w:r>
      <w:r w:rsidR="00FF7896" w:rsidRPr="00EC1BE0">
        <w:rPr>
          <w:rFonts w:ascii="Palatino Linotype" w:hAnsi="Palatino Linotype" w:cs="Times New Roman"/>
          <w:sz w:val="24"/>
          <w:szCs w:val="24"/>
        </w:rPr>
        <w:t>take pro bono work are varied.</w:t>
      </w:r>
    </w:p>
    <w:p w:rsidR="0095280A" w:rsidRPr="00EC1BE0" w:rsidRDefault="0095280A"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The article will explore the various reasons and motivations for undertaking pro bono work in more detail below.  Before these reasons and motivations are considered, I will first look at the students’ understanding of pro bono.</w:t>
      </w:r>
      <w:r w:rsidR="00EF7B72" w:rsidRPr="00EC1BE0">
        <w:rPr>
          <w:rFonts w:ascii="Palatino Linotype" w:hAnsi="Palatino Linotype" w:cs="Times New Roman"/>
          <w:sz w:val="24"/>
          <w:szCs w:val="24"/>
        </w:rPr>
        <w:t xml:space="preserve"> </w:t>
      </w:r>
    </w:p>
    <w:p w:rsidR="008A7F1D" w:rsidRPr="00EC1BE0" w:rsidRDefault="008A7F1D" w:rsidP="00EC1BE0">
      <w:pPr>
        <w:pStyle w:val="NoSpacing"/>
        <w:spacing w:line="480" w:lineRule="auto"/>
        <w:jc w:val="both"/>
        <w:rPr>
          <w:rFonts w:ascii="Palatino Linotype" w:hAnsi="Palatino Linotype" w:cs="Times New Roman"/>
          <w:b/>
          <w:sz w:val="24"/>
          <w:szCs w:val="24"/>
        </w:rPr>
      </w:pPr>
    </w:p>
    <w:p w:rsidR="00B866BF" w:rsidRPr="00EC1BE0" w:rsidRDefault="00235BED" w:rsidP="00EC1BE0">
      <w:pPr>
        <w:pStyle w:val="NoSpacing"/>
        <w:spacing w:line="480" w:lineRule="auto"/>
        <w:jc w:val="both"/>
        <w:rPr>
          <w:rFonts w:ascii="Palatino Linotype" w:hAnsi="Palatino Linotype" w:cs="Times New Roman"/>
          <w:i/>
          <w:sz w:val="24"/>
          <w:szCs w:val="24"/>
        </w:rPr>
      </w:pPr>
      <w:r w:rsidRPr="00EC1BE0">
        <w:rPr>
          <w:rFonts w:ascii="Palatino Linotype" w:hAnsi="Palatino Linotype" w:cs="Times New Roman"/>
          <w:i/>
          <w:sz w:val="24"/>
          <w:szCs w:val="24"/>
        </w:rPr>
        <w:t>Understanding Pro Bono</w:t>
      </w:r>
    </w:p>
    <w:p w:rsidR="004B19AF" w:rsidRPr="00EC1BE0" w:rsidRDefault="00652F08"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As stated above, t</w:t>
      </w:r>
      <w:r w:rsidR="00B866BF" w:rsidRPr="00EC1BE0">
        <w:rPr>
          <w:rFonts w:ascii="Palatino Linotype" w:hAnsi="Palatino Linotype" w:cs="Times New Roman"/>
          <w:sz w:val="24"/>
          <w:szCs w:val="24"/>
        </w:rPr>
        <w:t>here is no settled definition of pro bono work</w:t>
      </w:r>
      <w:r w:rsidR="00C6005F" w:rsidRPr="00EC1BE0">
        <w:rPr>
          <w:rFonts w:ascii="Palatino Linotype" w:hAnsi="Palatino Linotype" w:cs="Times New Roman"/>
          <w:sz w:val="24"/>
          <w:szCs w:val="24"/>
        </w:rPr>
        <w:t xml:space="preserve"> and this article is not intended to consider what type of work should or should not be included</w:t>
      </w:r>
      <w:r w:rsidR="008472C6" w:rsidRPr="00EC1BE0">
        <w:rPr>
          <w:rFonts w:ascii="Palatino Linotype" w:hAnsi="Palatino Linotype" w:cs="Times New Roman"/>
          <w:sz w:val="24"/>
          <w:szCs w:val="24"/>
        </w:rPr>
        <w:t xml:space="preserve">.  </w:t>
      </w:r>
      <w:r w:rsidR="00EC691B" w:rsidRPr="00EC1BE0">
        <w:rPr>
          <w:rFonts w:ascii="Palatino Linotype" w:hAnsi="Palatino Linotype" w:cs="Times New Roman"/>
          <w:sz w:val="24"/>
          <w:szCs w:val="24"/>
        </w:rPr>
        <w:t xml:space="preserve">Further, it is beyond the scope of this article to consider whether clinical type activities fall within the definition.  </w:t>
      </w:r>
      <w:r w:rsidR="008472C6" w:rsidRPr="00EC1BE0">
        <w:rPr>
          <w:rFonts w:ascii="Palatino Linotype" w:hAnsi="Palatino Linotype" w:cs="Times New Roman"/>
          <w:sz w:val="24"/>
          <w:szCs w:val="24"/>
        </w:rPr>
        <w:t xml:space="preserve">Pro bono is shortened from the Latin term ‘pro bono </w:t>
      </w:r>
      <w:proofErr w:type="spellStart"/>
      <w:r w:rsidR="008472C6" w:rsidRPr="00EC1BE0">
        <w:rPr>
          <w:rFonts w:ascii="Palatino Linotype" w:hAnsi="Palatino Linotype" w:cs="Times New Roman"/>
          <w:sz w:val="24"/>
          <w:szCs w:val="24"/>
        </w:rPr>
        <w:t>publico</w:t>
      </w:r>
      <w:proofErr w:type="spellEnd"/>
      <w:r w:rsidR="008472C6" w:rsidRPr="00EC1BE0">
        <w:rPr>
          <w:rFonts w:ascii="Palatino Linotype" w:hAnsi="Palatino Linotype" w:cs="Times New Roman"/>
          <w:sz w:val="24"/>
          <w:szCs w:val="24"/>
        </w:rPr>
        <w:t>’ meaning ‘for the public good’.  There is no requirement, at face value, for the work to be carried out for a particular group or individual, or indeed without charge, for it to be classi</w:t>
      </w:r>
      <w:r w:rsidR="00BA079B" w:rsidRPr="00EC1BE0">
        <w:rPr>
          <w:rFonts w:ascii="Palatino Linotype" w:hAnsi="Palatino Linotype" w:cs="Times New Roman"/>
          <w:sz w:val="24"/>
          <w:szCs w:val="24"/>
        </w:rPr>
        <w:t>fied as pro bono.</w:t>
      </w:r>
      <w:r w:rsidR="004B19AF" w:rsidRPr="00EC1BE0">
        <w:rPr>
          <w:rFonts w:ascii="Palatino Linotype" w:hAnsi="Palatino Linotype" w:cs="Times New Roman"/>
          <w:sz w:val="24"/>
          <w:szCs w:val="24"/>
        </w:rPr>
        <w:t xml:space="preserve">  However, it is typically expected that work will only qualify as pro bono work if it is carried out for free and on behalf of individuals, charities and community groups who cannot afford to pay for advice and </w:t>
      </w:r>
      <w:r w:rsidR="00D85290" w:rsidRPr="00EC1BE0">
        <w:rPr>
          <w:rFonts w:ascii="Palatino Linotype" w:hAnsi="Palatino Linotype" w:cs="Times New Roman"/>
          <w:sz w:val="24"/>
          <w:szCs w:val="24"/>
        </w:rPr>
        <w:t>representation.</w:t>
      </w:r>
      <w:r w:rsidR="00D85290" w:rsidRPr="00EC1BE0">
        <w:rPr>
          <w:rStyle w:val="FootnoteReference"/>
          <w:rFonts w:ascii="Palatino Linotype" w:hAnsi="Palatino Linotype" w:cs="Times New Roman"/>
          <w:sz w:val="24"/>
          <w:szCs w:val="24"/>
        </w:rPr>
        <w:footnoteReference w:id="61"/>
      </w:r>
      <w:r w:rsidR="00BA079B" w:rsidRPr="00EC1BE0">
        <w:rPr>
          <w:rFonts w:ascii="Palatino Linotype" w:hAnsi="Palatino Linotype" w:cs="Times New Roman"/>
          <w:sz w:val="24"/>
          <w:szCs w:val="24"/>
        </w:rPr>
        <w:t xml:space="preserve">  </w:t>
      </w:r>
    </w:p>
    <w:p w:rsidR="0072160C" w:rsidRPr="00EC1BE0" w:rsidRDefault="0072160C"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 xml:space="preserve">The consensus </w:t>
      </w:r>
      <w:r w:rsidR="008A7F1D" w:rsidRPr="00EC1BE0">
        <w:rPr>
          <w:rFonts w:ascii="Palatino Linotype" w:hAnsi="Palatino Linotype" w:cs="Times New Roman"/>
          <w:sz w:val="24"/>
          <w:szCs w:val="24"/>
        </w:rPr>
        <w:t xml:space="preserve">amongst the students is </w:t>
      </w:r>
      <w:r w:rsidR="00274A7D" w:rsidRPr="00EC1BE0">
        <w:rPr>
          <w:rFonts w:ascii="Palatino Linotype" w:hAnsi="Palatino Linotype" w:cs="Times New Roman"/>
          <w:sz w:val="24"/>
          <w:szCs w:val="24"/>
        </w:rPr>
        <w:t xml:space="preserve">that pro bono work </w:t>
      </w:r>
      <w:r w:rsidR="00570276" w:rsidRPr="00EC1BE0">
        <w:rPr>
          <w:rFonts w:ascii="Palatino Linotype" w:hAnsi="Palatino Linotype" w:cs="Times New Roman"/>
          <w:sz w:val="24"/>
          <w:szCs w:val="24"/>
        </w:rPr>
        <w:t>should be</w:t>
      </w:r>
      <w:r w:rsidR="00274A7D" w:rsidRPr="00EC1BE0">
        <w:rPr>
          <w:rFonts w:ascii="Palatino Linotype" w:hAnsi="Palatino Linotype" w:cs="Times New Roman"/>
          <w:sz w:val="24"/>
          <w:szCs w:val="24"/>
        </w:rPr>
        <w:t xml:space="preserve"> carried out for low income and vulnerable members of society with statement</w:t>
      </w:r>
      <w:r w:rsidR="00570276" w:rsidRPr="00EC1BE0">
        <w:rPr>
          <w:rFonts w:ascii="Palatino Linotype" w:hAnsi="Palatino Linotype" w:cs="Times New Roman"/>
          <w:sz w:val="24"/>
          <w:szCs w:val="24"/>
        </w:rPr>
        <w:t>s</w:t>
      </w:r>
      <w:r w:rsidR="00274A7D" w:rsidRPr="00EC1BE0">
        <w:rPr>
          <w:rFonts w:ascii="Palatino Linotype" w:hAnsi="Palatino Linotype" w:cs="Times New Roman"/>
          <w:sz w:val="24"/>
          <w:szCs w:val="24"/>
        </w:rPr>
        <w:t xml:space="preserve"> such as</w:t>
      </w:r>
      <w:r w:rsidR="008A7F1D" w:rsidRPr="00EC1BE0">
        <w:rPr>
          <w:rFonts w:ascii="Palatino Linotype" w:hAnsi="Palatino Linotype" w:cs="Times New Roman"/>
          <w:sz w:val="24"/>
          <w:szCs w:val="24"/>
        </w:rPr>
        <w:t>:</w:t>
      </w:r>
    </w:p>
    <w:p w:rsidR="0072160C" w:rsidRPr="00EC1BE0" w:rsidRDefault="0072160C" w:rsidP="00EC1BE0">
      <w:pPr>
        <w:pStyle w:val="NoSpacing"/>
        <w:spacing w:line="480" w:lineRule="auto"/>
        <w:ind w:left="283" w:right="283"/>
        <w:jc w:val="both"/>
        <w:rPr>
          <w:rFonts w:ascii="Palatino Linotype" w:hAnsi="Palatino Linotype" w:cs="Times New Roman"/>
          <w:i/>
          <w:sz w:val="24"/>
          <w:szCs w:val="24"/>
        </w:rPr>
      </w:pPr>
      <w:r w:rsidRPr="00EC1BE0">
        <w:rPr>
          <w:rFonts w:ascii="Palatino Linotype" w:hAnsi="Palatino Linotype" w:cs="Times New Roman"/>
          <w:i/>
          <w:sz w:val="24"/>
          <w:szCs w:val="24"/>
        </w:rPr>
        <w:t>“</w:t>
      </w:r>
      <w:proofErr w:type="gramStart"/>
      <w:r w:rsidRPr="00EC1BE0">
        <w:rPr>
          <w:rFonts w:ascii="Palatino Linotype" w:hAnsi="Palatino Linotype" w:cs="Times New Roman"/>
          <w:i/>
          <w:sz w:val="24"/>
          <w:szCs w:val="24"/>
        </w:rPr>
        <w:t>at</w:t>
      </w:r>
      <w:proofErr w:type="gramEnd"/>
      <w:r w:rsidRPr="00EC1BE0">
        <w:rPr>
          <w:rFonts w:ascii="Palatino Linotype" w:hAnsi="Palatino Linotype" w:cs="Times New Roman"/>
          <w:i/>
          <w:sz w:val="24"/>
          <w:szCs w:val="24"/>
        </w:rPr>
        <w:t xml:space="preserve"> its most primal level pro bono work protects those who do not have the financial means to benefit from the legal system.”</w:t>
      </w:r>
      <w:r w:rsidRPr="00EC1BE0">
        <w:rPr>
          <w:rStyle w:val="FootnoteReference"/>
          <w:rFonts w:ascii="Palatino Linotype" w:hAnsi="Palatino Linotype" w:cs="Times New Roman"/>
          <w:i/>
          <w:sz w:val="24"/>
          <w:szCs w:val="24"/>
        </w:rPr>
        <w:footnoteReference w:id="62"/>
      </w:r>
    </w:p>
    <w:p w:rsidR="008A7F1D" w:rsidRPr="00EC1BE0" w:rsidRDefault="008A7F1D" w:rsidP="00EC1BE0">
      <w:pPr>
        <w:pStyle w:val="NoSpacing"/>
        <w:spacing w:line="480" w:lineRule="auto"/>
        <w:jc w:val="both"/>
        <w:rPr>
          <w:rFonts w:ascii="Palatino Linotype" w:hAnsi="Palatino Linotype" w:cs="Times New Roman"/>
          <w:sz w:val="24"/>
          <w:szCs w:val="24"/>
        </w:rPr>
      </w:pPr>
      <w:proofErr w:type="gramStart"/>
      <w:r w:rsidRPr="00EC1BE0">
        <w:rPr>
          <w:rFonts w:ascii="Palatino Linotype" w:hAnsi="Palatino Linotype" w:cs="Times New Roman"/>
          <w:sz w:val="24"/>
          <w:szCs w:val="24"/>
        </w:rPr>
        <w:t>and</w:t>
      </w:r>
      <w:proofErr w:type="gramEnd"/>
    </w:p>
    <w:p w:rsidR="00B866BF" w:rsidRPr="00EC1BE0" w:rsidRDefault="006C737F" w:rsidP="00EC1BE0">
      <w:pPr>
        <w:pStyle w:val="NoSpacing"/>
        <w:spacing w:line="480" w:lineRule="auto"/>
        <w:ind w:left="283" w:right="283"/>
        <w:jc w:val="both"/>
        <w:rPr>
          <w:rFonts w:ascii="Palatino Linotype" w:hAnsi="Palatino Linotype" w:cs="Times New Roman"/>
          <w:i/>
          <w:sz w:val="24"/>
          <w:szCs w:val="24"/>
        </w:rPr>
      </w:pPr>
      <w:r w:rsidRPr="00EC1BE0">
        <w:rPr>
          <w:rFonts w:ascii="Palatino Linotype" w:hAnsi="Palatino Linotype" w:cs="Times New Roman"/>
          <w:i/>
          <w:sz w:val="24"/>
          <w:szCs w:val="24"/>
        </w:rPr>
        <w:t>“[p]</w:t>
      </w:r>
      <w:proofErr w:type="spellStart"/>
      <w:r w:rsidRPr="00EC1BE0">
        <w:rPr>
          <w:rFonts w:ascii="Palatino Linotype" w:hAnsi="Palatino Linotype" w:cs="Times New Roman"/>
          <w:i/>
          <w:sz w:val="24"/>
          <w:szCs w:val="24"/>
        </w:rPr>
        <w:t>ro</w:t>
      </w:r>
      <w:proofErr w:type="spellEnd"/>
      <w:r w:rsidRPr="00EC1BE0">
        <w:rPr>
          <w:rFonts w:ascii="Palatino Linotype" w:hAnsi="Palatino Linotype" w:cs="Times New Roman"/>
          <w:i/>
          <w:sz w:val="24"/>
          <w:szCs w:val="24"/>
        </w:rPr>
        <w:t xml:space="preserve"> bono operates with the aim of protecting those who are most vulnerable in society, whom are in need of legal representation and cannot afford it.”</w:t>
      </w:r>
      <w:r w:rsidRPr="00EC1BE0">
        <w:rPr>
          <w:rFonts w:ascii="Palatino Linotype" w:hAnsi="Palatino Linotype" w:cs="Times New Roman"/>
          <w:i/>
          <w:sz w:val="24"/>
          <w:szCs w:val="24"/>
          <w:vertAlign w:val="superscript"/>
        </w:rPr>
        <w:footnoteReference w:id="63"/>
      </w:r>
      <w:r w:rsidR="004B19AF" w:rsidRPr="00EC1BE0">
        <w:rPr>
          <w:rFonts w:ascii="Palatino Linotype" w:hAnsi="Palatino Linotype" w:cs="Times New Roman"/>
          <w:i/>
          <w:sz w:val="24"/>
          <w:szCs w:val="24"/>
        </w:rPr>
        <w:t xml:space="preserve"> </w:t>
      </w:r>
    </w:p>
    <w:p w:rsidR="00816C69" w:rsidRPr="00EC1BE0" w:rsidRDefault="006C737F"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Further, it is also apparent that the students recognise pro bono work as an innate part of the legal profession</w:t>
      </w:r>
      <w:r w:rsidR="00816C69" w:rsidRPr="00EC1BE0">
        <w:rPr>
          <w:rFonts w:ascii="Palatino Linotype" w:hAnsi="Palatino Linotype" w:cs="Times New Roman"/>
          <w:sz w:val="24"/>
          <w:szCs w:val="24"/>
        </w:rPr>
        <w:t xml:space="preserve"> stating:</w:t>
      </w:r>
    </w:p>
    <w:p w:rsidR="006C737F" w:rsidRPr="00EC1BE0" w:rsidRDefault="00816C69" w:rsidP="00EC1BE0">
      <w:pPr>
        <w:pStyle w:val="NoSpacing"/>
        <w:spacing w:line="480" w:lineRule="auto"/>
        <w:ind w:left="283" w:right="283"/>
        <w:jc w:val="both"/>
        <w:rPr>
          <w:rFonts w:ascii="Palatino Linotype" w:hAnsi="Palatino Linotype" w:cs="Times New Roman"/>
          <w:i/>
          <w:sz w:val="24"/>
          <w:szCs w:val="24"/>
        </w:rPr>
      </w:pPr>
      <w:r w:rsidRPr="00EC1BE0">
        <w:rPr>
          <w:rFonts w:ascii="Palatino Linotype" w:hAnsi="Palatino Linotype" w:cs="Times New Roman"/>
          <w:i/>
          <w:sz w:val="24"/>
          <w:szCs w:val="24"/>
        </w:rPr>
        <w:t>“As future custodians of the legal profession, law students should embark on pro bono as it reflects the core values of justice.”</w:t>
      </w:r>
      <w:r w:rsidRPr="00EC1BE0">
        <w:rPr>
          <w:rStyle w:val="FootnoteReference"/>
          <w:rFonts w:ascii="Palatino Linotype" w:hAnsi="Palatino Linotype" w:cs="Times New Roman"/>
          <w:i/>
          <w:sz w:val="24"/>
          <w:szCs w:val="24"/>
        </w:rPr>
        <w:footnoteReference w:id="64"/>
      </w:r>
      <w:r w:rsidR="006C737F" w:rsidRPr="00EC1BE0">
        <w:rPr>
          <w:rFonts w:ascii="Palatino Linotype" w:hAnsi="Palatino Linotype" w:cs="Times New Roman"/>
          <w:i/>
          <w:sz w:val="24"/>
          <w:szCs w:val="24"/>
        </w:rPr>
        <w:t xml:space="preserve"> </w:t>
      </w:r>
    </w:p>
    <w:p w:rsidR="00816C69" w:rsidRPr="00EC1BE0" w:rsidRDefault="00816C69"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One student however recognised that there is a conflict within the legal pro</w:t>
      </w:r>
      <w:r w:rsidR="00EC691B" w:rsidRPr="00EC1BE0">
        <w:rPr>
          <w:rFonts w:ascii="Palatino Linotype" w:hAnsi="Palatino Linotype" w:cs="Times New Roman"/>
          <w:sz w:val="24"/>
          <w:szCs w:val="24"/>
        </w:rPr>
        <w:t>fession between the Government</w:t>
      </w:r>
      <w:r w:rsidRPr="00EC1BE0">
        <w:rPr>
          <w:rFonts w:ascii="Palatino Linotype" w:hAnsi="Palatino Linotype" w:cs="Times New Roman"/>
          <w:sz w:val="24"/>
          <w:szCs w:val="24"/>
        </w:rPr>
        <w:t xml:space="preserve"> </w:t>
      </w:r>
      <w:r w:rsidR="00EC691B" w:rsidRPr="00EC1BE0">
        <w:rPr>
          <w:rFonts w:ascii="Palatino Linotype" w:hAnsi="Palatino Linotype" w:cs="Times New Roman"/>
          <w:sz w:val="24"/>
          <w:szCs w:val="24"/>
        </w:rPr>
        <w:t>(</w:t>
      </w:r>
      <w:proofErr w:type="gramStart"/>
      <w:r w:rsidR="00EC691B" w:rsidRPr="00EC1BE0">
        <w:rPr>
          <w:rFonts w:ascii="Palatino Linotype" w:hAnsi="Palatino Linotype" w:cs="Times New Roman"/>
          <w:sz w:val="24"/>
          <w:szCs w:val="24"/>
        </w:rPr>
        <w:t>or</w:t>
      </w:r>
      <w:proofErr w:type="gramEnd"/>
      <w:r w:rsidR="00EC691B" w:rsidRPr="00EC1BE0">
        <w:rPr>
          <w:rFonts w:ascii="Palatino Linotype" w:hAnsi="Palatino Linotype" w:cs="Times New Roman"/>
          <w:sz w:val="24"/>
          <w:szCs w:val="24"/>
        </w:rPr>
        <w:t xml:space="preserve"> the State) </w:t>
      </w:r>
      <w:r w:rsidRPr="00EC1BE0">
        <w:rPr>
          <w:rFonts w:ascii="Palatino Linotype" w:hAnsi="Palatino Linotype" w:cs="Times New Roman"/>
          <w:sz w:val="24"/>
          <w:szCs w:val="24"/>
        </w:rPr>
        <w:t>and the profession’s responsibility to ensure access to justice stating:</w:t>
      </w:r>
    </w:p>
    <w:p w:rsidR="00816C69" w:rsidRPr="00EC1BE0" w:rsidRDefault="00816C69" w:rsidP="00EC1BE0">
      <w:pPr>
        <w:pStyle w:val="NoSpacing"/>
        <w:spacing w:line="480" w:lineRule="auto"/>
        <w:ind w:left="283" w:right="283"/>
        <w:jc w:val="both"/>
        <w:rPr>
          <w:rFonts w:ascii="Palatino Linotype" w:hAnsi="Palatino Linotype" w:cs="Times New Roman"/>
          <w:i/>
          <w:sz w:val="24"/>
          <w:szCs w:val="24"/>
        </w:rPr>
      </w:pPr>
      <w:r w:rsidRPr="00EC1BE0">
        <w:rPr>
          <w:rFonts w:ascii="Palatino Linotype" w:hAnsi="Palatino Linotype" w:cs="Times New Roman"/>
          <w:i/>
          <w:sz w:val="24"/>
          <w:szCs w:val="24"/>
        </w:rPr>
        <w:t>“</w:t>
      </w:r>
      <w:proofErr w:type="gramStart"/>
      <w:r w:rsidRPr="00EC1BE0">
        <w:rPr>
          <w:rFonts w:ascii="Palatino Linotype" w:hAnsi="Palatino Linotype" w:cs="Times New Roman"/>
          <w:i/>
          <w:sz w:val="24"/>
          <w:szCs w:val="24"/>
        </w:rPr>
        <w:t>the</w:t>
      </w:r>
      <w:proofErr w:type="gramEnd"/>
      <w:r w:rsidRPr="00EC1BE0">
        <w:rPr>
          <w:rFonts w:ascii="Palatino Linotype" w:hAnsi="Palatino Linotype" w:cs="Times New Roman"/>
          <w:i/>
          <w:sz w:val="24"/>
          <w:szCs w:val="24"/>
        </w:rPr>
        <w:t xml:space="preserve"> Government proposed that pro bono could fill the void left by the withdrawal of funding. Many in the profession attacked this notion as fanciful. However, to ignore such a notion would be ultimately unwise. It is clear there is mounting pressure on all entering the profession to complete their fair share of pro bono work.”</w:t>
      </w:r>
      <w:r w:rsidRPr="00EC1BE0">
        <w:rPr>
          <w:rStyle w:val="FootnoteReference"/>
          <w:rFonts w:ascii="Palatino Linotype" w:hAnsi="Palatino Linotype" w:cs="Times New Roman"/>
          <w:i/>
          <w:sz w:val="24"/>
          <w:szCs w:val="24"/>
        </w:rPr>
        <w:footnoteReference w:id="65"/>
      </w:r>
    </w:p>
    <w:p w:rsidR="00BC5E5C" w:rsidRPr="00EC1BE0" w:rsidRDefault="00EC2E7C"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 xml:space="preserve">There is also explicit recognition that pro bono work is carried out for reputational advantage, in other words, for tactical reasons.  </w:t>
      </w:r>
    </w:p>
    <w:p w:rsidR="00EC2E7C" w:rsidRPr="00EC1BE0" w:rsidRDefault="00EC2E7C" w:rsidP="00EC1BE0">
      <w:pPr>
        <w:pStyle w:val="NoSpacing"/>
        <w:spacing w:line="480" w:lineRule="auto"/>
        <w:ind w:left="283" w:right="283"/>
        <w:jc w:val="both"/>
        <w:rPr>
          <w:rFonts w:ascii="Palatino Linotype" w:hAnsi="Palatino Linotype" w:cs="Times New Roman"/>
          <w:i/>
          <w:sz w:val="24"/>
          <w:szCs w:val="24"/>
        </w:rPr>
      </w:pPr>
      <w:r w:rsidRPr="00EC1BE0">
        <w:rPr>
          <w:rFonts w:ascii="Palatino Linotype" w:hAnsi="Palatino Linotype" w:cs="Times New Roman"/>
          <w:i/>
          <w:sz w:val="24"/>
          <w:szCs w:val="24"/>
        </w:rPr>
        <w:t xml:space="preserve">“[Pro bono] also operates to support the reputation of the profession overall. Lawyers are required to uphold public confidence in the </w:t>
      </w:r>
      <w:r w:rsidR="00570276" w:rsidRPr="00EC1BE0">
        <w:rPr>
          <w:rFonts w:ascii="Palatino Linotype" w:hAnsi="Palatino Linotype" w:cs="Times New Roman"/>
          <w:i/>
          <w:sz w:val="24"/>
          <w:szCs w:val="24"/>
        </w:rPr>
        <w:t>[</w:t>
      </w:r>
      <w:r w:rsidRPr="00EC1BE0">
        <w:rPr>
          <w:rFonts w:ascii="Palatino Linotype" w:hAnsi="Palatino Linotype" w:cs="Times New Roman"/>
          <w:i/>
          <w:sz w:val="24"/>
          <w:szCs w:val="24"/>
        </w:rPr>
        <w:t>profession</w:t>
      </w:r>
      <w:r w:rsidR="00570276" w:rsidRPr="00EC1BE0">
        <w:rPr>
          <w:rFonts w:ascii="Palatino Linotype" w:hAnsi="Palatino Linotype" w:cs="Times New Roman"/>
          <w:i/>
          <w:sz w:val="24"/>
          <w:szCs w:val="24"/>
        </w:rPr>
        <w:t>]</w:t>
      </w:r>
      <w:r w:rsidRPr="00EC1BE0">
        <w:rPr>
          <w:rFonts w:ascii="Palatino Linotype" w:hAnsi="Palatino Linotype" w:cs="Times New Roman"/>
          <w:i/>
          <w:sz w:val="24"/>
          <w:szCs w:val="24"/>
        </w:rPr>
        <w:t xml:space="preserve"> and pro bono work works to dispel the stereotypes which plague lawyers. It promotes the idea that </w:t>
      </w:r>
      <w:r w:rsidR="004454CF" w:rsidRPr="00EC1BE0">
        <w:rPr>
          <w:rFonts w:ascii="Palatino Linotype" w:hAnsi="Palatino Linotype" w:cs="Times New Roman"/>
          <w:i/>
          <w:sz w:val="24"/>
          <w:szCs w:val="24"/>
        </w:rPr>
        <w:t>[</w:t>
      </w:r>
      <w:r w:rsidRPr="00EC1BE0">
        <w:rPr>
          <w:rFonts w:ascii="Palatino Linotype" w:hAnsi="Palatino Linotype" w:cs="Times New Roman"/>
          <w:i/>
          <w:sz w:val="24"/>
          <w:szCs w:val="24"/>
        </w:rPr>
        <w:t>law</w:t>
      </w:r>
      <w:r w:rsidR="004454CF" w:rsidRPr="00EC1BE0">
        <w:rPr>
          <w:rFonts w:ascii="Palatino Linotype" w:hAnsi="Palatino Linotype" w:cs="Times New Roman"/>
          <w:i/>
          <w:sz w:val="24"/>
          <w:szCs w:val="24"/>
        </w:rPr>
        <w:t>y</w:t>
      </w:r>
      <w:r w:rsidRPr="00EC1BE0">
        <w:rPr>
          <w:rFonts w:ascii="Palatino Linotype" w:hAnsi="Palatino Linotype" w:cs="Times New Roman"/>
          <w:i/>
          <w:sz w:val="24"/>
          <w:szCs w:val="24"/>
        </w:rPr>
        <w:t>ers</w:t>
      </w:r>
      <w:r w:rsidR="004454CF" w:rsidRPr="00EC1BE0">
        <w:rPr>
          <w:rFonts w:ascii="Palatino Linotype" w:hAnsi="Palatino Linotype" w:cs="Times New Roman"/>
          <w:i/>
          <w:sz w:val="24"/>
          <w:szCs w:val="24"/>
        </w:rPr>
        <w:t>]</w:t>
      </w:r>
      <w:r w:rsidR="00ED2F28" w:rsidRPr="00EC1BE0">
        <w:rPr>
          <w:rFonts w:ascii="Palatino Linotype" w:hAnsi="Palatino Linotype" w:cs="Times New Roman"/>
          <w:i/>
          <w:sz w:val="24"/>
          <w:szCs w:val="24"/>
        </w:rPr>
        <w:t xml:space="preserve"> </w:t>
      </w:r>
      <w:r w:rsidRPr="00EC1BE0">
        <w:rPr>
          <w:rFonts w:ascii="Palatino Linotype" w:hAnsi="Palatino Linotype" w:cs="Times New Roman"/>
          <w:i/>
          <w:sz w:val="24"/>
          <w:szCs w:val="24"/>
        </w:rPr>
        <w:t>are not here to charge extortionate fees, but are actually here to provide a public service. Pro bono work shows a clear dedication to the law for the right reasons, a desire to help people and an interest in the law, regardless of the time or effort they may have to expel in the process.”</w:t>
      </w:r>
      <w:r w:rsidR="00ED2F28" w:rsidRPr="00EC1BE0">
        <w:rPr>
          <w:rStyle w:val="FootnoteReference"/>
          <w:rFonts w:ascii="Palatino Linotype" w:hAnsi="Palatino Linotype" w:cs="Times New Roman"/>
          <w:i/>
          <w:sz w:val="24"/>
          <w:szCs w:val="24"/>
        </w:rPr>
        <w:footnoteReference w:id="66"/>
      </w:r>
    </w:p>
    <w:p w:rsidR="00235BED" w:rsidRPr="00EC1BE0" w:rsidRDefault="00235BED"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The essays suggest that students understand pro bono to be an important aspect of the legal profession and further, it involves working for the benefit of vulnerable and indigent clients thus supporting access to justice.</w:t>
      </w:r>
      <w:r w:rsidR="00ED2F28" w:rsidRPr="00EC1BE0">
        <w:rPr>
          <w:rFonts w:ascii="Palatino Linotype" w:hAnsi="Palatino Linotype" w:cs="Times New Roman"/>
          <w:sz w:val="24"/>
          <w:szCs w:val="24"/>
        </w:rPr>
        <w:t xml:space="preserve">  The students demonstrate that whilst there are conflicts arising as to where the responsibility lies for ensuring access to justice, there is recognition that the legal profession shares that responsibility.  Further, the legal profession as a whole </w:t>
      </w:r>
      <w:r w:rsidR="00F9558E" w:rsidRPr="00EC1BE0">
        <w:rPr>
          <w:rFonts w:ascii="Palatino Linotype" w:hAnsi="Palatino Linotype" w:cs="Times New Roman"/>
          <w:sz w:val="24"/>
          <w:szCs w:val="24"/>
        </w:rPr>
        <w:t xml:space="preserve">benefits from pro bono work due </w:t>
      </w:r>
      <w:r w:rsidR="0010037A" w:rsidRPr="00EC1BE0">
        <w:rPr>
          <w:rFonts w:ascii="Palatino Linotype" w:hAnsi="Palatino Linotype" w:cs="Times New Roman"/>
          <w:sz w:val="24"/>
          <w:szCs w:val="24"/>
        </w:rPr>
        <w:t>to the positive image it portrays.</w:t>
      </w:r>
      <w:r w:rsidR="0010037A" w:rsidRPr="00EC1BE0">
        <w:rPr>
          <w:rStyle w:val="FootnoteReference"/>
          <w:rFonts w:ascii="Palatino Linotype" w:hAnsi="Palatino Linotype" w:cs="Times New Roman"/>
          <w:sz w:val="24"/>
          <w:szCs w:val="24"/>
        </w:rPr>
        <w:footnoteReference w:id="67"/>
      </w:r>
      <w:r w:rsidRPr="00EC1BE0">
        <w:rPr>
          <w:rFonts w:ascii="Palatino Linotype" w:hAnsi="Palatino Linotype" w:cs="Times New Roman"/>
          <w:sz w:val="24"/>
          <w:szCs w:val="24"/>
        </w:rPr>
        <w:t xml:space="preserve"> </w:t>
      </w:r>
    </w:p>
    <w:p w:rsidR="00ED2F28" w:rsidRPr="00EC1BE0" w:rsidRDefault="00ED2F28" w:rsidP="00EC1BE0">
      <w:pPr>
        <w:pStyle w:val="NoSpacing"/>
        <w:spacing w:line="480" w:lineRule="auto"/>
        <w:jc w:val="both"/>
        <w:rPr>
          <w:rFonts w:ascii="Palatino Linotype" w:hAnsi="Palatino Linotype" w:cs="Times New Roman"/>
          <w:i/>
          <w:sz w:val="24"/>
          <w:szCs w:val="24"/>
        </w:rPr>
      </w:pPr>
    </w:p>
    <w:p w:rsidR="00966C88" w:rsidRPr="00EC1BE0" w:rsidRDefault="00966C88" w:rsidP="00EC1BE0">
      <w:pPr>
        <w:pStyle w:val="NoSpacing"/>
        <w:spacing w:line="480" w:lineRule="auto"/>
        <w:jc w:val="both"/>
        <w:rPr>
          <w:rFonts w:ascii="Palatino Linotype" w:hAnsi="Palatino Linotype" w:cs="Times New Roman"/>
          <w:i/>
          <w:sz w:val="24"/>
          <w:szCs w:val="24"/>
        </w:rPr>
      </w:pPr>
      <w:r w:rsidRPr="00EC1BE0">
        <w:rPr>
          <w:rFonts w:ascii="Palatino Linotype" w:hAnsi="Palatino Linotype" w:cs="Times New Roman"/>
          <w:i/>
          <w:sz w:val="24"/>
          <w:szCs w:val="24"/>
        </w:rPr>
        <w:t>Why should students undertake pro bono?</w:t>
      </w:r>
    </w:p>
    <w:p w:rsidR="00ED2F28" w:rsidRPr="00EC1BE0" w:rsidRDefault="005D686C"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 xml:space="preserve">We can </w:t>
      </w:r>
      <w:r w:rsidR="00045E7A" w:rsidRPr="00EC1BE0">
        <w:rPr>
          <w:rFonts w:ascii="Palatino Linotype" w:hAnsi="Palatino Linotype" w:cs="Times New Roman"/>
          <w:sz w:val="24"/>
          <w:szCs w:val="24"/>
        </w:rPr>
        <w:t>broadly categorise</w:t>
      </w:r>
      <w:r w:rsidRPr="00EC1BE0">
        <w:rPr>
          <w:rFonts w:ascii="Palatino Linotype" w:hAnsi="Palatino Linotype" w:cs="Times New Roman"/>
          <w:sz w:val="24"/>
          <w:szCs w:val="24"/>
        </w:rPr>
        <w:t xml:space="preserve"> the </w:t>
      </w:r>
      <w:r w:rsidR="00ED2F28" w:rsidRPr="00EC1BE0">
        <w:rPr>
          <w:rFonts w:ascii="Palatino Linotype" w:hAnsi="Palatino Linotype" w:cs="Times New Roman"/>
          <w:sz w:val="24"/>
          <w:szCs w:val="24"/>
        </w:rPr>
        <w:t>reasons cited by the students for undertaking pro bono as:</w:t>
      </w:r>
    </w:p>
    <w:p w:rsidR="00ED2F28" w:rsidRPr="00EC1BE0" w:rsidRDefault="00ED2F28" w:rsidP="00EC1BE0">
      <w:pPr>
        <w:pStyle w:val="NoSpacing"/>
        <w:numPr>
          <w:ilvl w:val="0"/>
          <w:numId w:val="1"/>
        </w:numPr>
        <w:spacing w:line="360" w:lineRule="auto"/>
        <w:jc w:val="both"/>
        <w:rPr>
          <w:rFonts w:ascii="Palatino Linotype" w:hAnsi="Palatino Linotype" w:cs="Times New Roman"/>
          <w:sz w:val="24"/>
          <w:szCs w:val="24"/>
        </w:rPr>
      </w:pPr>
      <w:r w:rsidRPr="00EC1BE0">
        <w:rPr>
          <w:rFonts w:ascii="Palatino Linotype" w:hAnsi="Palatino Linotype" w:cs="Times New Roman"/>
          <w:sz w:val="24"/>
          <w:szCs w:val="24"/>
        </w:rPr>
        <w:t>Public service</w:t>
      </w:r>
    </w:p>
    <w:p w:rsidR="00ED2F28" w:rsidRPr="00EC1BE0" w:rsidRDefault="00ED2F28" w:rsidP="00EC1BE0">
      <w:pPr>
        <w:pStyle w:val="NoSpacing"/>
        <w:numPr>
          <w:ilvl w:val="0"/>
          <w:numId w:val="1"/>
        </w:numPr>
        <w:spacing w:line="360" w:lineRule="auto"/>
        <w:jc w:val="both"/>
        <w:rPr>
          <w:rFonts w:ascii="Palatino Linotype" w:hAnsi="Palatino Linotype" w:cs="Times New Roman"/>
          <w:sz w:val="24"/>
          <w:szCs w:val="24"/>
        </w:rPr>
      </w:pPr>
      <w:r w:rsidRPr="00EC1BE0">
        <w:rPr>
          <w:rFonts w:ascii="Palatino Linotype" w:hAnsi="Palatino Linotype" w:cs="Times New Roman"/>
          <w:sz w:val="24"/>
          <w:szCs w:val="24"/>
        </w:rPr>
        <w:t>Skills</w:t>
      </w:r>
    </w:p>
    <w:p w:rsidR="00ED2F28" w:rsidRPr="00EC1BE0" w:rsidRDefault="00ED2F28" w:rsidP="00EC1BE0">
      <w:pPr>
        <w:pStyle w:val="NoSpacing"/>
        <w:numPr>
          <w:ilvl w:val="0"/>
          <w:numId w:val="1"/>
        </w:numPr>
        <w:spacing w:line="360" w:lineRule="auto"/>
        <w:jc w:val="both"/>
        <w:rPr>
          <w:rFonts w:ascii="Palatino Linotype" w:hAnsi="Palatino Linotype" w:cs="Times New Roman"/>
          <w:sz w:val="24"/>
          <w:szCs w:val="24"/>
        </w:rPr>
      </w:pPr>
      <w:r w:rsidRPr="00EC1BE0">
        <w:rPr>
          <w:rFonts w:ascii="Palatino Linotype" w:hAnsi="Palatino Linotype" w:cs="Times New Roman"/>
          <w:sz w:val="24"/>
          <w:szCs w:val="24"/>
        </w:rPr>
        <w:t>Employability</w:t>
      </w:r>
    </w:p>
    <w:p w:rsidR="00ED2F28" w:rsidRPr="00EC1BE0" w:rsidRDefault="00ED2F28" w:rsidP="00EC1BE0">
      <w:pPr>
        <w:pStyle w:val="NoSpacing"/>
        <w:numPr>
          <w:ilvl w:val="0"/>
          <w:numId w:val="1"/>
        </w:numPr>
        <w:spacing w:line="360" w:lineRule="auto"/>
        <w:jc w:val="both"/>
        <w:rPr>
          <w:rFonts w:ascii="Palatino Linotype" w:hAnsi="Palatino Linotype" w:cs="Times New Roman"/>
          <w:sz w:val="24"/>
          <w:szCs w:val="24"/>
        </w:rPr>
      </w:pPr>
      <w:r w:rsidRPr="00EC1BE0">
        <w:rPr>
          <w:rFonts w:ascii="Palatino Linotype" w:hAnsi="Palatino Linotype" w:cs="Times New Roman"/>
          <w:sz w:val="24"/>
          <w:szCs w:val="24"/>
        </w:rPr>
        <w:t>Networking</w:t>
      </w:r>
    </w:p>
    <w:p w:rsidR="00ED2F28" w:rsidRPr="00EC1BE0" w:rsidRDefault="00ED2F28" w:rsidP="00EC1BE0">
      <w:pPr>
        <w:pStyle w:val="NoSpacing"/>
        <w:numPr>
          <w:ilvl w:val="0"/>
          <w:numId w:val="1"/>
        </w:numPr>
        <w:spacing w:line="360" w:lineRule="auto"/>
        <w:jc w:val="both"/>
        <w:rPr>
          <w:rFonts w:ascii="Palatino Linotype" w:hAnsi="Palatino Linotype" w:cs="Times New Roman"/>
          <w:sz w:val="24"/>
          <w:szCs w:val="24"/>
        </w:rPr>
      </w:pPr>
      <w:r w:rsidRPr="00EC1BE0">
        <w:rPr>
          <w:rFonts w:ascii="Palatino Linotype" w:hAnsi="Palatino Linotype" w:cs="Times New Roman"/>
          <w:sz w:val="24"/>
          <w:szCs w:val="24"/>
        </w:rPr>
        <w:t>Experience</w:t>
      </w:r>
    </w:p>
    <w:p w:rsidR="00ED2F28" w:rsidRPr="00EC1BE0" w:rsidRDefault="00ED2F28" w:rsidP="00EC1BE0">
      <w:pPr>
        <w:pStyle w:val="NoSpacing"/>
        <w:numPr>
          <w:ilvl w:val="0"/>
          <w:numId w:val="1"/>
        </w:numPr>
        <w:spacing w:after="240" w:line="360" w:lineRule="auto"/>
        <w:jc w:val="both"/>
        <w:rPr>
          <w:rFonts w:ascii="Palatino Linotype" w:hAnsi="Palatino Linotype" w:cs="Times New Roman"/>
          <w:sz w:val="24"/>
          <w:szCs w:val="24"/>
        </w:rPr>
      </w:pPr>
      <w:r w:rsidRPr="00EC1BE0">
        <w:rPr>
          <w:rFonts w:ascii="Palatino Linotype" w:hAnsi="Palatino Linotype" w:cs="Times New Roman"/>
          <w:sz w:val="24"/>
          <w:szCs w:val="24"/>
        </w:rPr>
        <w:t>Satisfaction</w:t>
      </w:r>
      <w:r w:rsidR="00BC7A93" w:rsidRPr="00EC1BE0">
        <w:rPr>
          <w:rStyle w:val="FootnoteReference"/>
          <w:rFonts w:ascii="Palatino Linotype" w:hAnsi="Palatino Linotype" w:cs="Times New Roman"/>
          <w:sz w:val="24"/>
          <w:szCs w:val="24"/>
        </w:rPr>
        <w:footnoteReference w:id="68"/>
      </w:r>
    </w:p>
    <w:p w:rsidR="00ED2F28" w:rsidRPr="00EC1BE0" w:rsidRDefault="00ED2F28" w:rsidP="00EC1BE0">
      <w:pPr>
        <w:pStyle w:val="NoSpacing"/>
        <w:spacing w:line="480" w:lineRule="auto"/>
        <w:jc w:val="both"/>
        <w:rPr>
          <w:rFonts w:ascii="Palatino Linotype" w:hAnsi="Palatino Linotype" w:cs="Times New Roman"/>
          <w:i/>
          <w:sz w:val="24"/>
          <w:szCs w:val="24"/>
        </w:rPr>
      </w:pPr>
      <w:r w:rsidRPr="00EC1BE0">
        <w:rPr>
          <w:rFonts w:ascii="Palatino Linotype" w:hAnsi="Palatino Linotype" w:cs="Times New Roman"/>
          <w:sz w:val="24"/>
          <w:szCs w:val="24"/>
        </w:rPr>
        <w:t xml:space="preserve">There are areas of </w:t>
      </w:r>
      <w:r w:rsidR="00BC7A93" w:rsidRPr="00EC1BE0">
        <w:rPr>
          <w:rFonts w:ascii="Palatino Linotype" w:hAnsi="Palatino Linotype" w:cs="Times New Roman"/>
          <w:sz w:val="24"/>
          <w:szCs w:val="24"/>
        </w:rPr>
        <w:t xml:space="preserve">natural </w:t>
      </w:r>
      <w:r w:rsidRPr="00EC1BE0">
        <w:rPr>
          <w:rFonts w:ascii="Palatino Linotype" w:hAnsi="Palatino Linotype" w:cs="Times New Roman"/>
          <w:sz w:val="24"/>
          <w:szCs w:val="24"/>
        </w:rPr>
        <w:t xml:space="preserve">overlap </w:t>
      </w:r>
      <w:r w:rsidR="00BC7A93" w:rsidRPr="00EC1BE0">
        <w:rPr>
          <w:rFonts w:ascii="Palatino Linotype" w:hAnsi="Palatino Linotype" w:cs="Times New Roman"/>
          <w:sz w:val="24"/>
          <w:szCs w:val="24"/>
        </w:rPr>
        <w:t xml:space="preserve">in the reasons cited by the student.  For example, </w:t>
      </w:r>
      <w:r w:rsidRPr="00EC1BE0">
        <w:rPr>
          <w:rFonts w:ascii="Palatino Linotype" w:hAnsi="Palatino Linotype" w:cs="Times New Roman"/>
          <w:sz w:val="24"/>
          <w:szCs w:val="24"/>
        </w:rPr>
        <w:t>enhancing skills and expe</w:t>
      </w:r>
      <w:r w:rsidR="00BC7A93" w:rsidRPr="00EC1BE0">
        <w:rPr>
          <w:rFonts w:ascii="Palatino Linotype" w:hAnsi="Palatino Linotype" w:cs="Times New Roman"/>
          <w:sz w:val="24"/>
          <w:szCs w:val="24"/>
        </w:rPr>
        <w:t>rience are likely to improve employability.</w:t>
      </w:r>
      <w:r w:rsidR="00C12C26" w:rsidRPr="00EC1BE0">
        <w:rPr>
          <w:rFonts w:ascii="Palatino Linotype" w:hAnsi="Palatino Linotype" w:cs="Times New Roman"/>
          <w:sz w:val="24"/>
          <w:szCs w:val="24"/>
        </w:rPr>
        <w:t xml:space="preserve">  However, within the analysis, the focus has been on the primary motivating factor.</w:t>
      </w:r>
    </w:p>
    <w:p w:rsidR="004206ED" w:rsidRPr="00EC1BE0" w:rsidRDefault="004206ED" w:rsidP="00EC1BE0">
      <w:pPr>
        <w:pStyle w:val="NoSpacing"/>
        <w:spacing w:line="480" w:lineRule="auto"/>
        <w:jc w:val="both"/>
        <w:rPr>
          <w:rFonts w:ascii="Palatino Linotype" w:hAnsi="Palatino Linotype" w:cs="Times New Roman"/>
          <w:i/>
          <w:sz w:val="24"/>
          <w:szCs w:val="24"/>
        </w:rPr>
      </w:pPr>
    </w:p>
    <w:p w:rsidR="004066F4" w:rsidRPr="00EC1BE0" w:rsidRDefault="004066F4" w:rsidP="00EC1BE0">
      <w:pPr>
        <w:pStyle w:val="NoSpacing"/>
        <w:numPr>
          <w:ilvl w:val="0"/>
          <w:numId w:val="5"/>
        </w:numPr>
        <w:spacing w:line="480" w:lineRule="auto"/>
        <w:jc w:val="both"/>
        <w:rPr>
          <w:rFonts w:ascii="Palatino Linotype" w:hAnsi="Palatino Linotype" w:cs="Times New Roman"/>
          <w:i/>
          <w:sz w:val="24"/>
          <w:szCs w:val="24"/>
        </w:rPr>
      </w:pPr>
      <w:r w:rsidRPr="00EC1BE0">
        <w:rPr>
          <w:rFonts w:ascii="Palatino Linotype" w:hAnsi="Palatino Linotype" w:cs="Times New Roman"/>
          <w:i/>
          <w:sz w:val="24"/>
          <w:szCs w:val="24"/>
        </w:rPr>
        <w:t>Public Service</w:t>
      </w:r>
    </w:p>
    <w:p w:rsidR="004066F4" w:rsidRPr="00EC1BE0" w:rsidRDefault="004066F4"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 xml:space="preserve">Public service was the only reason </w:t>
      </w:r>
      <w:r w:rsidR="00CA7827" w:rsidRPr="00EC1BE0">
        <w:rPr>
          <w:rFonts w:ascii="Palatino Linotype" w:hAnsi="Palatino Linotype" w:cs="Times New Roman"/>
          <w:sz w:val="24"/>
          <w:szCs w:val="24"/>
        </w:rPr>
        <w:t>cited</w:t>
      </w:r>
      <w:r w:rsidRPr="00EC1BE0">
        <w:rPr>
          <w:rFonts w:ascii="Palatino Linotype" w:hAnsi="Palatino Linotype" w:cs="Times New Roman"/>
          <w:sz w:val="24"/>
          <w:szCs w:val="24"/>
        </w:rPr>
        <w:t xml:space="preserve"> by every student as a reason to undertake pro bono work.  However the weight given to public service among the essays varied considerably.  Whilst one student devoted over half the</w:t>
      </w:r>
      <w:r w:rsidR="000F0C53" w:rsidRPr="00EC1BE0">
        <w:rPr>
          <w:rFonts w:ascii="Palatino Linotype" w:hAnsi="Palatino Linotype" w:cs="Times New Roman"/>
          <w:sz w:val="24"/>
          <w:szCs w:val="24"/>
        </w:rPr>
        <w:t>ir</w:t>
      </w:r>
      <w:r w:rsidRPr="00EC1BE0">
        <w:rPr>
          <w:rFonts w:ascii="Palatino Linotype" w:hAnsi="Palatino Linotype" w:cs="Times New Roman"/>
          <w:sz w:val="24"/>
          <w:szCs w:val="24"/>
        </w:rPr>
        <w:t xml:space="preserve"> essay to public service, other student</w:t>
      </w:r>
      <w:r w:rsidR="008775E0" w:rsidRPr="00EC1BE0">
        <w:rPr>
          <w:rFonts w:ascii="Palatino Linotype" w:hAnsi="Palatino Linotype" w:cs="Times New Roman"/>
          <w:sz w:val="24"/>
          <w:szCs w:val="24"/>
        </w:rPr>
        <w:t>s</w:t>
      </w:r>
      <w:r w:rsidRPr="00EC1BE0">
        <w:rPr>
          <w:rFonts w:ascii="Palatino Linotype" w:hAnsi="Palatino Linotype" w:cs="Times New Roman"/>
          <w:sz w:val="24"/>
          <w:szCs w:val="24"/>
        </w:rPr>
        <w:t xml:space="preserve"> </w:t>
      </w:r>
      <w:r w:rsidR="000F0C53" w:rsidRPr="00EC1BE0">
        <w:rPr>
          <w:rFonts w:ascii="Palatino Linotype" w:hAnsi="Palatino Linotype" w:cs="Times New Roman"/>
          <w:sz w:val="24"/>
          <w:szCs w:val="24"/>
        </w:rPr>
        <w:t xml:space="preserve">merely acknowledges the public service ethos and instead concentrates </w:t>
      </w:r>
      <w:r w:rsidR="00966C88" w:rsidRPr="00EC1BE0">
        <w:rPr>
          <w:rFonts w:ascii="Palatino Linotype" w:hAnsi="Palatino Linotype" w:cs="Times New Roman"/>
          <w:sz w:val="24"/>
          <w:szCs w:val="24"/>
        </w:rPr>
        <w:t>their</w:t>
      </w:r>
      <w:r w:rsidR="000F0C53" w:rsidRPr="00EC1BE0">
        <w:rPr>
          <w:rFonts w:ascii="Palatino Linotype" w:hAnsi="Palatino Linotype" w:cs="Times New Roman"/>
          <w:sz w:val="24"/>
          <w:szCs w:val="24"/>
        </w:rPr>
        <w:t xml:space="preserve"> essay o</w:t>
      </w:r>
      <w:r w:rsidR="00966C88" w:rsidRPr="00EC1BE0">
        <w:rPr>
          <w:rFonts w:ascii="Palatino Linotype" w:hAnsi="Palatino Linotype" w:cs="Times New Roman"/>
          <w:sz w:val="24"/>
          <w:szCs w:val="24"/>
        </w:rPr>
        <w:t>n</w:t>
      </w:r>
      <w:r w:rsidR="000F0C53" w:rsidRPr="00EC1BE0">
        <w:rPr>
          <w:rFonts w:ascii="Palatino Linotype" w:hAnsi="Palatino Linotype" w:cs="Times New Roman"/>
          <w:sz w:val="24"/>
          <w:szCs w:val="24"/>
        </w:rPr>
        <w:t xml:space="preserve"> the benefits to the individual:</w:t>
      </w:r>
    </w:p>
    <w:p w:rsidR="000F0C53" w:rsidRPr="00EC1BE0" w:rsidRDefault="000F0C53" w:rsidP="00EC1BE0">
      <w:pPr>
        <w:pStyle w:val="NoSpacing"/>
        <w:spacing w:line="480" w:lineRule="auto"/>
        <w:ind w:left="283" w:right="283"/>
        <w:jc w:val="both"/>
        <w:rPr>
          <w:rFonts w:ascii="Palatino Linotype" w:hAnsi="Palatino Linotype" w:cs="Times New Roman"/>
          <w:sz w:val="24"/>
          <w:szCs w:val="24"/>
        </w:rPr>
      </w:pPr>
      <w:r w:rsidRPr="00EC1BE0">
        <w:rPr>
          <w:rFonts w:ascii="Palatino Linotype" w:hAnsi="Palatino Linotype" w:cs="Times New Roman"/>
          <w:i/>
          <w:sz w:val="24"/>
          <w:szCs w:val="24"/>
        </w:rPr>
        <w:t>“Whilst the case for the utility of pro bono for the aggrieved has been made extensively, this essay considers how the volunteers may benefit themselves in the process.”</w:t>
      </w:r>
      <w:r w:rsidR="002B5049" w:rsidRPr="00EC1BE0">
        <w:rPr>
          <w:rStyle w:val="FootnoteReference"/>
          <w:rFonts w:ascii="Palatino Linotype" w:hAnsi="Palatino Linotype" w:cs="Times New Roman"/>
          <w:i/>
          <w:sz w:val="24"/>
          <w:szCs w:val="24"/>
        </w:rPr>
        <w:footnoteReference w:id="69"/>
      </w:r>
    </w:p>
    <w:p w:rsidR="00E325FB" w:rsidRPr="00EC1BE0" w:rsidRDefault="00E325FB"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 xml:space="preserve">The essays </w:t>
      </w:r>
      <w:r w:rsidR="00A8207D" w:rsidRPr="00EC1BE0">
        <w:rPr>
          <w:rFonts w:ascii="Palatino Linotype" w:hAnsi="Palatino Linotype" w:cs="Times New Roman"/>
          <w:sz w:val="24"/>
          <w:szCs w:val="24"/>
        </w:rPr>
        <w:t>support the notion</w:t>
      </w:r>
      <w:r w:rsidRPr="00EC1BE0">
        <w:rPr>
          <w:rFonts w:ascii="Palatino Linotype" w:hAnsi="Palatino Linotype" w:cs="Times New Roman"/>
          <w:sz w:val="24"/>
          <w:szCs w:val="24"/>
        </w:rPr>
        <w:t xml:space="preserve"> that law students see themselves as part of the wider community saying</w:t>
      </w:r>
      <w:r w:rsidR="00A8207D" w:rsidRPr="00EC1BE0">
        <w:rPr>
          <w:rFonts w:ascii="Palatino Linotype" w:hAnsi="Palatino Linotype" w:cs="Times New Roman"/>
          <w:sz w:val="24"/>
          <w:szCs w:val="24"/>
        </w:rPr>
        <w:t>, for example,</w:t>
      </w:r>
      <w:r w:rsidRPr="00EC1BE0">
        <w:rPr>
          <w:rFonts w:ascii="Palatino Linotype" w:hAnsi="Palatino Linotype" w:cs="Times New Roman"/>
          <w:sz w:val="24"/>
          <w:szCs w:val="24"/>
        </w:rPr>
        <w:t xml:space="preserve"> that:</w:t>
      </w:r>
    </w:p>
    <w:p w:rsidR="00A272FA" w:rsidRPr="00EC1BE0" w:rsidRDefault="00021CD4" w:rsidP="00EC1BE0">
      <w:pPr>
        <w:pStyle w:val="NoSpacing"/>
        <w:spacing w:line="480" w:lineRule="auto"/>
        <w:ind w:left="283" w:right="283"/>
        <w:jc w:val="both"/>
        <w:rPr>
          <w:rFonts w:ascii="Palatino Linotype" w:hAnsi="Palatino Linotype" w:cs="Times New Roman"/>
          <w:i/>
          <w:sz w:val="24"/>
          <w:szCs w:val="24"/>
        </w:rPr>
      </w:pPr>
      <w:r w:rsidRPr="00EC1BE0">
        <w:rPr>
          <w:rFonts w:ascii="Palatino Linotype" w:hAnsi="Palatino Linotype" w:cs="Times New Roman"/>
          <w:i/>
          <w:sz w:val="24"/>
          <w:szCs w:val="24"/>
        </w:rPr>
        <w:t>“</w:t>
      </w:r>
      <w:proofErr w:type="gramStart"/>
      <w:r w:rsidRPr="00EC1BE0">
        <w:rPr>
          <w:rFonts w:ascii="Palatino Linotype" w:hAnsi="Palatino Linotype" w:cs="Times New Roman"/>
          <w:i/>
          <w:sz w:val="24"/>
          <w:szCs w:val="24"/>
        </w:rPr>
        <w:t>by</w:t>
      </w:r>
      <w:proofErr w:type="gramEnd"/>
      <w:r w:rsidRPr="00EC1BE0">
        <w:rPr>
          <w:rFonts w:ascii="Palatino Linotype" w:hAnsi="Palatino Linotype" w:cs="Times New Roman"/>
          <w:i/>
          <w:sz w:val="24"/>
          <w:szCs w:val="24"/>
        </w:rPr>
        <w:t xml:space="preserve"> participating in pro bono work, law students contribute constructively to the community around them in a most unique way.”</w:t>
      </w:r>
      <w:r w:rsidRPr="00EC1BE0">
        <w:rPr>
          <w:rStyle w:val="FootnoteReference"/>
          <w:rFonts w:ascii="Palatino Linotype" w:hAnsi="Palatino Linotype" w:cs="Times New Roman"/>
          <w:i/>
          <w:sz w:val="24"/>
          <w:szCs w:val="24"/>
        </w:rPr>
        <w:footnoteReference w:id="70"/>
      </w:r>
    </w:p>
    <w:p w:rsidR="009B1703" w:rsidRPr="00EC1BE0" w:rsidRDefault="008775E0"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 xml:space="preserve">It may be questioned as to how engagement with the wider community is a benefit to the student.  </w:t>
      </w:r>
      <w:r w:rsidR="008F7DE3" w:rsidRPr="00EC1BE0">
        <w:rPr>
          <w:rFonts w:ascii="Palatino Linotype" w:hAnsi="Palatino Linotype" w:cs="Times New Roman"/>
          <w:sz w:val="24"/>
          <w:szCs w:val="24"/>
        </w:rPr>
        <w:t xml:space="preserve">In response to this question, the law school is about more than teaching students’ knowledge and </w:t>
      </w:r>
      <w:r w:rsidR="009B1703" w:rsidRPr="00EC1BE0">
        <w:rPr>
          <w:rFonts w:ascii="Palatino Linotype" w:hAnsi="Palatino Linotype" w:cs="Times New Roman"/>
          <w:sz w:val="24"/>
          <w:szCs w:val="24"/>
        </w:rPr>
        <w:t>skills;</w:t>
      </w:r>
      <w:r w:rsidR="008F7DE3" w:rsidRPr="00EC1BE0">
        <w:rPr>
          <w:rFonts w:ascii="Palatino Linotype" w:hAnsi="Palatino Linotype" w:cs="Times New Roman"/>
          <w:sz w:val="24"/>
          <w:szCs w:val="24"/>
        </w:rPr>
        <w:t xml:space="preserve"> indeed it is a ‘professional socialization experience’.</w:t>
      </w:r>
      <w:r w:rsidR="008F7DE3" w:rsidRPr="00EC1BE0">
        <w:rPr>
          <w:rStyle w:val="FootnoteReference"/>
          <w:rFonts w:ascii="Palatino Linotype" w:hAnsi="Palatino Linotype" w:cs="Times New Roman"/>
          <w:sz w:val="24"/>
          <w:szCs w:val="24"/>
        </w:rPr>
        <w:footnoteReference w:id="71"/>
      </w:r>
      <w:r w:rsidR="008F7DE3" w:rsidRPr="00EC1BE0">
        <w:rPr>
          <w:rFonts w:ascii="Palatino Linotype" w:hAnsi="Palatino Linotype" w:cs="Times New Roman"/>
          <w:sz w:val="24"/>
          <w:szCs w:val="24"/>
        </w:rPr>
        <w:t xml:space="preserve">  </w:t>
      </w:r>
      <w:r w:rsidR="00082EE2" w:rsidRPr="00EC1BE0">
        <w:rPr>
          <w:rFonts w:ascii="Palatino Linotype" w:hAnsi="Palatino Linotype" w:cs="Times New Roman"/>
          <w:sz w:val="24"/>
          <w:szCs w:val="24"/>
        </w:rPr>
        <w:t xml:space="preserve">This wider role is </w:t>
      </w:r>
      <w:r w:rsidR="009B1703" w:rsidRPr="00EC1BE0">
        <w:rPr>
          <w:rFonts w:ascii="Palatino Linotype" w:hAnsi="Palatino Linotype" w:cs="Times New Roman"/>
          <w:sz w:val="24"/>
          <w:szCs w:val="24"/>
        </w:rPr>
        <w:t xml:space="preserve">also </w:t>
      </w:r>
      <w:r w:rsidR="00082EE2" w:rsidRPr="00EC1BE0">
        <w:rPr>
          <w:rFonts w:ascii="Palatino Linotype" w:hAnsi="Palatino Linotype" w:cs="Times New Roman"/>
          <w:sz w:val="24"/>
          <w:szCs w:val="24"/>
        </w:rPr>
        <w:t xml:space="preserve">recognised by </w:t>
      </w:r>
      <w:r w:rsidR="00A137AD" w:rsidRPr="00EC1BE0">
        <w:rPr>
          <w:rFonts w:ascii="Palatino Linotype" w:hAnsi="Palatino Linotype" w:cs="Times New Roman"/>
          <w:sz w:val="24"/>
          <w:szCs w:val="24"/>
        </w:rPr>
        <w:t xml:space="preserve">The Quality Assurance Agency for Higher Education </w:t>
      </w:r>
      <w:r w:rsidR="00082EE2" w:rsidRPr="00EC1BE0">
        <w:rPr>
          <w:rFonts w:ascii="Palatino Linotype" w:hAnsi="Palatino Linotype" w:cs="Times New Roman"/>
          <w:sz w:val="24"/>
          <w:szCs w:val="24"/>
        </w:rPr>
        <w:t xml:space="preserve">(QAA) in the United Kingdom in </w:t>
      </w:r>
      <w:r w:rsidR="00A137AD" w:rsidRPr="00EC1BE0">
        <w:rPr>
          <w:rFonts w:ascii="Palatino Linotype" w:hAnsi="Palatino Linotype" w:cs="Times New Roman"/>
          <w:sz w:val="24"/>
          <w:szCs w:val="24"/>
        </w:rPr>
        <w:t>set</w:t>
      </w:r>
      <w:r w:rsidR="00082EE2" w:rsidRPr="00EC1BE0">
        <w:rPr>
          <w:rFonts w:ascii="Palatino Linotype" w:hAnsi="Palatino Linotype" w:cs="Times New Roman"/>
          <w:sz w:val="24"/>
          <w:szCs w:val="24"/>
        </w:rPr>
        <w:t>ting</w:t>
      </w:r>
      <w:r w:rsidR="00A137AD" w:rsidRPr="00EC1BE0">
        <w:rPr>
          <w:rFonts w:ascii="Palatino Linotype" w:hAnsi="Palatino Linotype" w:cs="Times New Roman"/>
          <w:sz w:val="24"/>
          <w:szCs w:val="24"/>
        </w:rPr>
        <w:t xml:space="preserve"> out benchmark standards </w:t>
      </w:r>
      <w:r w:rsidR="00082EE2" w:rsidRPr="00EC1BE0">
        <w:rPr>
          <w:rFonts w:ascii="Palatino Linotype" w:hAnsi="Palatino Linotype" w:cs="Times New Roman"/>
          <w:sz w:val="24"/>
          <w:szCs w:val="24"/>
        </w:rPr>
        <w:t xml:space="preserve">to </w:t>
      </w:r>
      <w:r w:rsidR="00A137AD" w:rsidRPr="00EC1BE0">
        <w:rPr>
          <w:rFonts w:ascii="Palatino Linotype" w:hAnsi="Palatino Linotype" w:cs="Times New Roman"/>
          <w:sz w:val="24"/>
          <w:szCs w:val="24"/>
        </w:rPr>
        <w:t>describ</w:t>
      </w:r>
      <w:r w:rsidR="00082EE2" w:rsidRPr="00EC1BE0">
        <w:rPr>
          <w:rFonts w:ascii="Palatino Linotype" w:hAnsi="Palatino Linotype" w:cs="Times New Roman"/>
          <w:sz w:val="24"/>
          <w:szCs w:val="24"/>
        </w:rPr>
        <w:t>e</w:t>
      </w:r>
      <w:r w:rsidR="00A137AD" w:rsidRPr="00EC1BE0">
        <w:rPr>
          <w:rFonts w:ascii="Palatino Linotype" w:hAnsi="Palatino Linotype" w:cs="Times New Roman"/>
          <w:sz w:val="24"/>
          <w:szCs w:val="24"/>
        </w:rPr>
        <w:t xml:space="preserve"> a law student’s skills and qualities of mind.  </w:t>
      </w:r>
      <w:r w:rsidR="00082EE2" w:rsidRPr="00EC1BE0">
        <w:rPr>
          <w:rFonts w:ascii="Palatino Linotype" w:hAnsi="Palatino Linotype" w:cs="Times New Roman"/>
          <w:sz w:val="24"/>
          <w:szCs w:val="24"/>
        </w:rPr>
        <w:t>The QAA states that a</w:t>
      </w:r>
      <w:r w:rsidR="00A137AD" w:rsidRPr="00EC1BE0">
        <w:rPr>
          <w:rFonts w:ascii="Palatino Linotype" w:hAnsi="Palatino Linotype" w:cs="Times New Roman"/>
          <w:sz w:val="24"/>
          <w:szCs w:val="24"/>
        </w:rPr>
        <w:t xml:space="preserve"> graduate of law with honours is expected to have demonstrated, amongst other things, an ‘awareness of principles and values of law a</w:t>
      </w:r>
      <w:r w:rsidR="009B1703" w:rsidRPr="00EC1BE0">
        <w:rPr>
          <w:rFonts w:ascii="Palatino Linotype" w:hAnsi="Palatino Linotype" w:cs="Times New Roman"/>
          <w:sz w:val="24"/>
          <w:szCs w:val="24"/>
        </w:rPr>
        <w:t xml:space="preserve">nd justice, and of ethics’ and </w:t>
      </w:r>
      <w:r w:rsidR="00A00B25" w:rsidRPr="00EC1BE0">
        <w:rPr>
          <w:rFonts w:ascii="Palatino Linotype" w:hAnsi="Palatino Linotype" w:cs="Times New Roman"/>
          <w:sz w:val="24"/>
          <w:szCs w:val="24"/>
        </w:rPr>
        <w:t xml:space="preserve">a </w:t>
      </w:r>
      <w:r w:rsidR="009B1703" w:rsidRPr="00EC1BE0">
        <w:rPr>
          <w:rFonts w:ascii="Palatino Linotype" w:hAnsi="Palatino Linotype" w:cs="Times New Roman"/>
          <w:sz w:val="24"/>
          <w:szCs w:val="24"/>
        </w:rPr>
        <w:t>‘</w:t>
      </w:r>
      <w:r w:rsidR="00A137AD" w:rsidRPr="00EC1BE0">
        <w:rPr>
          <w:rFonts w:ascii="Palatino Linotype" w:hAnsi="Palatino Linotype" w:cs="Times New Roman"/>
          <w:sz w:val="24"/>
          <w:szCs w:val="24"/>
        </w:rPr>
        <w:t xml:space="preserve">knowledge and understanding of theories, concepts, values, </w:t>
      </w:r>
      <w:r w:rsidR="00584863" w:rsidRPr="00EC1BE0">
        <w:rPr>
          <w:rFonts w:ascii="Palatino Linotype" w:hAnsi="Palatino Linotype" w:cs="Times New Roman"/>
          <w:sz w:val="24"/>
          <w:szCs w:val="24"/>
        </w:rPr>
        <w:t>principles</w:t>
      </w:r>
      <w:r w:rsidR="00A137AD" w:rsidRPr="00EC1BE0">
        <w:rPr>
          <w:rFonts w:ascii="Palatino Linotype" w:hAnsi="Palatino Linotype" w:cs="Times New Roman"/>
          <w:sz w:val="24"/>
          <w:szCs w:val="24"/>
        </w:rPr>
        <w:t xml:space="preserve"> and rules of public and private laws within an institutional, social, national and global context’</w:t>
      </w:r>
      <w:r w:rsidR="009B1703" w:rsidRPr="00EC1BE0">
        <w:rPr>
          <w:rFonts w:ascii="Palatino Linotype" w:hAnsi="Palatino Linotype" w:cs="Times New Roman"/>
          <w:sz w:val="24"/>
          <w:szCs w:val="24"/>
        </w:rPr>
        <w:t>.</w:t>
      </w:r>
      <w:r w:rsidR="009B1703" w:rsidRPr="00EC1BE0">
        <w:rPr>
          <w:rStyle w:val="FootnoteReference"/>
          <w:rFonts w:ascii="Palatino Linotype" w:hAnsi="Palatino Linotype" w:cs="Times New Roman"/>
          <w:sz w:val="24"/>
          <w:szCs w:val="24"/>
        </w:rPr>
        <w:footnoteReference w:id="72"/>
      </w:r>
      <w:r w:rsidR="00584863" w:rsidRPr="00EC1BE0">
        <w:rPr>
          <w:rFonts w:ascii="Palatino Linotype" w:hAnsi="Palatino Linotype" w:cs="Times New Roman"/>
          <w:sz w:val="24"/>
          <w:szCs w:val="24"/>
        </w:rPr>
        <w:t xml:space="preserve">  </w:t>
      </w:r>
      <w:r w:rsidR="009B1703" w:rsidRPr="00EC1BE0">
        <w:rPr>
          <w:rFonts w:ascii="Palatino Linotype" w:hAnsi="Palatino Linotype" w:cs="Times New Roman"/>
          <w:sz w:val="24"/>
          <w:szCs w:val="24"/>
        </w:rPr>
        <w:t xml:space="preserve">Engagement with the wider community fulfils this wider role for the law school by providing the student with a ‘professional socialization experience’ and </w:t>
      </w:r>
      <w:r w:rsidR="00AC12A3" w:rsidRPr="00EC1BE0">
        <w:rPr>
          <w:rFonts w:ascii="Palatino Linotype" w:hAnsi="Palatino Linotype" w:cs="Times New Roman"/>
          <w:sz w:val="24"/>
          <w:szCs w:val="24"/>
        </w:rPr>
        <w:t>facilitating</w:t>
      </w:r>
      <w:r w:rsidR="009B1703" w:rsidRPr="00EC1BE0">
        <w:rPr>
          <w:rFonts w:ascii="Palatino Linotype" w:hAnsi="Palatino Linotype" w:cs="Times New Roman"/>
          <w:sz w:val="24"/>
          <w:szCs w:val="24"/>
        </w:rPr>
        <w:t xml:space="preserve"> their understanding of the role of law within the ‘institutional, social, national and global context’.</w:t>
      </w:r>
    </w:p>
    <w:p w:rsidR="00E325FB" w:rsidRPr="00EC1BE0" w:rsidRDefault="009B1703"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T</w:t>
      </w:r>
      <w:r w:rsidR="008775E0" w:rsidRPr="00EC1BE0">
        <w:rPr>
          <w:rFonts w:ascii="Palatino Linotype" w:hAnsi="Palatino Linotype" w:cs="Times New Roman"/>
          <w:sz w:val="24"/>
          <w:szCs w:val="24"/>
        </w:rPr>
        <w:t xml:space="preserve">hrough exposure to </w:t>
      </w:r>
      <w:r w:rsidRPr="00EC1BE0">
        <w:rPr>
          <w:rFonts w:ascii="Palatino Linotype" w:hAnsi="Palatino Linotype" w:cs="Times New Roman"/>
          <w:sz w:val="24"/>
          <w:szCs w:val="24"/>
        </w:rPr>
        <w:t xml:space="preserve">a wide variety of </w:t>
      </w:r>
      <w:r w:rsidR="008775E0" w:rsidRPr="00EC1BE0">
        <w:rPr>
          <w:rFonts w:ascii="Palatino Linotype" w:hAnsi="Palatino Linotype" w:cs="Times New Roman"/>
          <w:sz w:val="24"/>
          <w:szCs w:val="24"/>
        </w:rPr>
        <w:t>people</w:t>
      </w:r>
      <w:r w:rsidRPr="00EC1BE0">
        <w:rPr>
          <w:rFonts w:ascii="Palatino Linotype" w:hAnsi="Palatino Linotype" w:cs="Times New Roman"/>
          <w:sz w:val="24"/>
          <w:szCs w:val="24"/>
        </w:rPr>
        <w:t xml:space="preserve">, especially those from backgrounds </w:t>
      </w:r>
      <w:r w:rsidR="008775E0" w:rsidRPr="00EC1BE0">
        <w:rPr>
          <w:rFonts w:ascii="Palatino Linotype" w:hAnsi="Palatino Linotype" w:cs="Times New Roman"/>
          <w:sz w:val="24"/>
          <w:szCs w:val="24"/>
        </w:rPr>
        <w:t>that the student</w:t>
      </w:r>
      <w:r w:rsidR="00A8207D" w:rsidRPr="00EC1BE0">
        <w:rPr>
          <w:rFonts w:ascii="Palatino Linotype" w:hAnsi="Palatino Linotype" w:cs="Times New Roman"/>
          <w:sz w:val="24"/>
          <w:szCs w:val="24"/>
        </w:rPr>
        <w:t>s</w:t>
      </w:r>
      <w:r w:rsidR="008775E0" w:rsidRPr="00EC1BE0">
        <w:rPr>
          <w:rFonts w:ascii="Palatino Linotype" w:hAnsi="Palatino Linotype" w:cs="Times New Roman"/>
          <w:sz w:val="24"/>
          <w:szCs w:val="24"/>
        </w:rPr>
        <w:t xml:space="preserve"> may not have ordinarily </w:t>
      </w:r>
      <w:r w:rsidR="00A8207D" w:rsidRPr="00EC1BE0">
        <w:rPr>
          <w:rFonts w:ascii="Palatino Linotype" w:hAnsi="Palatino Linotype" w:cs="Times New Roman"/>
          <w:sz w:val="24"/>
          <w:szCs w:val="24"/>
        </w:rPr>
        <w:t>been exposed to,</w:t>
      </w:r>
      <w:r w:rsidR="008775E0" w:rsidRPr="00EC1BE0">
        <w:rPr>
          <w:rFonts w:ascii="Palatino Linotype" w:hAnsi="Palatino Linotype" w:cs="Times New Roman"/>
          <w:sz w:val="24"/>
          <w:szCs w:val="24"/>
        </w:rPr>
        <w:t xml:space="preserve"> </w:t>
      </w:r>
      <w:r w:rsidR="00B41B1D" w:rsidRPr="00EC1BE0">
        <w:rPr>
          <w:rFonts w:ascii="Palatino Linotype" w:hAnsi="Palatino Linotype" w:cs="Times New Roman"/>
          <w:sz w:val="24"/>
          <w:szCs w:val="24"/>
        </w:rPr>
        <w:t>the student becomes a more rounded individual and thus develops</w:t>
      </w:r>
      <w:r w:rsidR="008775E0" w:rsidRPr="00EC1BE0">
        <w:rPr>
          <w:rFonts w:ascii="Palatino Linotype" w:hAnsi="Palatino Linotype" w:cs="Times New Roman"/>
          <w:sz w:val="24"/>
          <w:szCs w:val="24"/>
        </w:rPr>
        <w:t xml:space="preserve"> as a professional.  This is explained by one student as follows:</w:t>
      </w:r>
    </w:p>
    <w:p w:rsidR="00E325FB" w:rsidRPr="00EC1BE0" w:rsidRDefault="00E325FB" w:rsidP="00EC1BE0">
      <w:pPr>
        <w:pStyle w:val="NoSpacing"/>
        <w:spacing w:line="480" w:lineRule="auto"/>
        <w:ind w:left="283" w:right="283"/>
        <w:jc w:val="both"/>
        <w:rPr>
          <w:rFonts w:ascii="Palatino Linotype" w:hAnsi="Palatino Linotype" w:cs="Times New Roman"/>
          <w:i/>
          <w:sz w:val="24"/>
          <w:szCs w:val="24"/>
        </w:rPr>
      </w:pPr>
      <w:r w:rsidRPr="00EC1BE0">
        <w:rPr>
          <w:rFonts w:ascii="Palatino Linotype" w:hAnsi="Palatino Linotype" w:cs="Times New Roman"/>
          <w:i/>
          <w:sz w:val="24"/>
          <w:szCs w:val="24"/>
        </w:rPr>
        <w:t>“Clien</w:t>
      </w:r>
      <w:r w:rsidR="00641251" w:rsidRPr="00EC1BE0">
        <w:rPr>
          <w:rFonts w:ascii="Palatino Linotype" w:hAnsi="Palatino Linotype" w:cs="Times New Roman"/>
          <w:i/>
          <w:sz w:val="24"/>
          <w:szCs w:val="24"/>
        </w:rPr>
        <w:t>ts that students experience in [p]</w:t>
      </w:r>
      <w:proofErr w:type="spellStart"/>
      <w:r w:rsidRPr="00EC1BE0">
        <w:rPr>
          <w:rFonts w:ascii="Palatino Linotype" w:hAnsi="Palatino Linotype" w:cs="Times New Roman"/>
          <w:i/>
          <w:sz w:val="24"/>
          <w:szCs w:val="24"/>
        </w:rPr>
        <w:t>ro</w:t>
      </w:r>
      <w:proofErr w:type="spellEnd"/>
      <w:r w:rsidRPr="00EC1BE0">
        <w:rPr>
          <w:rFonts w:ascii="Palatino Linotype" w:hAnsi="Palatino Linotype" w:cs="Times New Roman"/>
          <w:i/>
          <w:sz w:val="24"/>
          <w:szCs w:val="24"/>
        </w:rPr>
        <w:t xml:space="preserve"> </w:t>
      </w:r>
      <w:r w:rsidR="00641251" w:rsidRPr="00EC1BE0">
        <w:rPr>
          <w:rFonts w:ascii="Palatino Linotype" w:hAnsi="Palatino Linotype" w:cs="Times New Roman"/>
          <w:i/>
          <w:sz w:val="24"/>
          <w:szCs w:val="24"/>
        </w:rPr>
        <w:t>[b]</w:t>
      </w:r>
      <w:r w:rsidRPr="00EC1BE0">
        <w:rPr>
          <w:rFonts w:ascii="Palatino Linotype" w:hAnsi="Palatino Linotype" w:cs="Times New Roman"/>
          <w:i/>
          <w:sz w:val="24"/>
          <w:szCs w:val="24"/>
        </w:rPr>
        <w:t xml:space="preserve">ono work tend to come from </w:t>
      </w:r>
      <w:r w:rsidR="00641251" w:rsidRPr="00EC1BE0">
        <w:rPr>
          <w:rFonts w:ascii="Palatino Linotype" w:hAnsi="Palatino Linotype" w:cs="Times New Roman"/>
          <w:i/>
          <w:sz w:val="24"/>
          <w:szCs w:val="24"/>
        </w:rPr>
        <w:t>a variety of social backgrounds.</w:t>
      </w:r>
      <w:r w:rsidRPr="00EC1BE0">
        <w:rPr>
          <w:rFonts w:ascii="Palatino Linotype" w:hAnsi="Palatino Linotype" w:cs="Times New Roman"/>
          <w:i/>
          <w:sz w:val="24"/>
          <w:szCs w:val="24"/>
        </w:rPr>
        <w:t xml:space="preserve"> This helps to break down any unconscious social bias they may have, to ensure that in practice they approach each case with an open mind and with the necessary social awareness and empathy re</w:t>
      </w:r>
      <w:r w:rsidR="00A8207D" w:rsidRPr="00EC1BE0">
        <w:rPr>
          <w:rFonts w:ascii="Palatino Linotype" w:hAnsi="Palatino Linotype" w:cs="Times New Roman"/>
          <w:i/>
          <w:sz w:val="24"/>
          <w:szCs w:val="24"/>
        </w:rPr>
        <w:t xml:space="preserve">quired </w:t>
      </w:r>
      <w:r w:rsidR="004454CF" w:rsidRPr="00EC1BE0">
        <w:rPr>
          <w:rFonts w:ascii="Palatino Linotype" w:hAnsi="Palatino Linotype" w:cs="Times New Roman"/>
          <w:i/>
          <w:sz w:val="24"/>
          <w:szCs w:val="24"/>
        </w:rPr>
        <w:t>of a lawyer. Working in [p]</w:t>
      </w:r>
      <w:proofErr w:type="spellStart"/>
      <w:r w:rsidR="004454CF" w:rsidRPr="00EC1BE0">
        <w:rPr>
          <w:rFonts w:ascii="Palatino Linotype" w:hAnsi="Palatino Linotype" w:cs="Times New Roman"/>
          <w:i/>
          <w:sz w:val="24"/>
          <w:szCs w:val="24"/>
        </w:rPr>
        <w:t>ro</w:t>
      </w:r>
      <w:proofErr w:type="spellEnd"/>
      <w:r w:rsidR="004454CF" w:rsidRPr="00EC1BE0">
        <w:rPr>
          <w:rFonts w:ascii="Palatino Linotype" w:hAnsi="Palatino Linotype" w:cs="Times New Roman"/>
          <w:i/>
          <w:sz w:val="24"/>
          <w:szCs w:val="24"/>
        </w:rPr>
        <w:t xml:space="preserve"> [b</w:t>
      </w:r>
      <w:r w:rsidR="00A8207D" w:rsidRPr="00EC1BE0">
        <w:rPr>
          <w:rFonts w:ascii="Palatino Linotype" w:hAnsi="Palatino Linotype" w:cs="Times New Roman"/>
          <w:i/>
          <w:sz w:val="24"/>
          <w:szCs w:val="24"/>
        </w:rPr>
        <w:t>]</w:t>
      </w:r>
      <w:r w:rsidRPr="00EC1BE0">
        <w:rPr>
          <w:rFonts w:ascii="Palatino Linotype" w:hAnsi="Palatino Linotype" w:cs="Times New Roman"/>
          <w:i/>
          <w:sz w:val="24"/>
          <w:szCs w:val="24"/>
        </w:rPr>
        <w:t>ono work prior to going in</w:t>
      </w:r>
      <w:r w:rsidR="00A8207D" w:rsidRPr="00EC1BE0">
        <w:rPr>
          <w:rFonts w:ascii="Palatino Linotype" w:hAnsi="Palatino Linotype" w:cs="Times New Roman"/>
          <w:i/>
          <w:sz w:val="24"/>
          <w:szCs w:val="24"/>
        </w:rPr>
        <w:t>[to]</w:t>
      </w:r>
      <w:r w:rsidRPr="00EC1BE0">
        <w:rPr>
          <w:rFonts w:ascii="Palatino Linotype" w:hAnsi="Palatino Linotype" w:cs="Times New Roman"/>
          <w:i/>
          <w:sz w:val="24"/>
          <w:szCs w:val="24"/>
        </w:rPr>
        <w:t xml:space="preserve"> practice helps students to develop as lawyers whose primary concern is to help their clients rather than being purely motivated by money and career advancement.”</w:t>
      </w:r>
      <w:r w:rsidRPr="00EC1BE0">
        <w:rPr>
          <w:rStyle w:val="FootnoteReference"/>
          <w:rFonts w:ascii="Palatino Linotype" w:hAnsi="Palatino Linotype" w:cs="Times New Roman"/>
          <w:i/>
          <w:sz w:val="24"/>
          <w:szCs w:val="24"/>
        </w:rPr>
        <w:footnoteReference w:id="73"/>
      </w:r>
    </w:p>
    <w:p w:rsidR="00A8207D" w:rsidRPr="00EC1BE0" w:rsidRDefault="00A8207D"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There is further recognition within the essays that this engagement with the community can place the law into context for the student</w:t>
      </w:r>
      <w:r w:rsidR="004C14CC" w:rsidRPr="00EC1BE0">
        <w:rPr>
          <w:rFonts w:ascii="Palatino Linotype" w:hAnsi="Palatino Linotype" w:cs="Times New Roman"/>
          <w:sz w:val="24"/>
          <w:szCs w:val="24"/>
        </w:rPr>
        <w:t xml:space="preserve"> and add perspective to their aspirations as a lawyer that </w:t>
      </w:r>
      <w:r w:rsidR="004454CF" w:rsidRPr="00EC1BE0">
        <w:rPr>
          <w:rFonts w:ascii="Palatino Linotype" w:hAnsi="Palatino Linotype" w:cs="Times New Roman"/>
          <w:sz w:val="24"/>
          <w:szCs w:val="24"/>
        </w:rPr>
        <w:t xml:space="preserve">is </w:t>
      </w:r>
      <w:r w:rsidR="004C14CC" w:rsidRPr="00EC1BE0">
        <w:rPr>
          <w:rFonts w:ascii="Palatino Linotype" w:hAnsi="Palatino Linotype" w:cs="Times New Roman"/>
          <w:sz w:val="24"/>
          <w:szCs w:val="24"/>
        </w:rPr>
        <w:t xml:space="preserve">unachievable in the classroom environment.  </w:t>
      </w:r>
      <w:r w:rsidR="007A3C1B" w:rsidRPr="00EC1BE0">
        <w:rPr>
          <w:rFonts w:ascii="Palatino Linotype" w:hAnsi="Palatino Linotype" w:cs="Times New Roman"/>
          <w:sz w:val="24"/>
          <w:szCs w:val="24"/>
        </w:rPr>
        <w:t>For example, Baillie and Bernstein-Baker considered a number of studies and concluded that merely including discussions on the need for pro bono in a classroom setting would not have an effect on student attitudes.</w:t>
      </w:r>
      <w:r w:rsidR="007A3C1B" w:rsidRPr="00EC1BE0">
        <w:rPr>
          <w:rStyle w:val="FootnoteReference"/>
          <w:rFonts w:ascii="Palatino Linotype" w:hAnsi="Palatino Linotype" w:cs="Times New Roman"/>
          <w:sz w:val="24"/>
          <w:szCs w:val="24"/>
        </w:rPr>
        <w:footnoteReference w:id="74"/>
      </w:r>
      <w:r w:rsidR="007A3C1B" w:rsidRPr="00EC1BE0">
        <w:rPr>
          <w:rFonts w:ascii="Palatino Linotype" w:hAnsi="Palatino Linotype" w:cs="Times New Roman"/>
          <w:sz w:val="24"/>
          <w:szCs w:val="24"/>
        </w:rPr>
        <w:t xml:space="preserve">  It is therefore important for s</w:t>
      </w:r>
      <w:r w:rsidR="004C14CC" w:rsidRPr="00EC1BE0">
        <w:rPr>
          <w:rFonts w:ascii="Palatino Linotype" w:hAnsi="Palatino Linotype" w:cs="Times New Roman"/>
          <w:sz w:val="24"/>
          <w:szCs w:val="24"/>
        </w:rPr>
        <w:t xml:space="preserve">tudents </w:t>
      </w:r>
      <w:r w:rsidR="007A3C1B" w:rsidRPr="00EC1BE0">
        <w:rPr>
          <w:rFonts w:ascii="Palatino Linotype" w:hAnsi="Palatino Linotype" w:cs="Times New Roman"/>
          <w:sz w:val="24"/>
          <w:szCs w:val="24"/>
        </w:rPr>
        <w:t xml:space="preserve">to experience pro bono so they </w:t>
      </w:r>
      <w:r w:rsidR="004C14CC" w:rsidRPr="00EC1BE0">
        <w:rPr>
          <w:rFonts w:ascii="Palatino Linotype" w:hAnsi="Palatino Linotype" w:cs="Times New Roman"/>
          <w:sz w:val="24"/>
          <w:szCs w:val="24"/>
        </w:rPr>
        <w:t>can therefore feel the intrinsic benefit of pro bono work, a notion summarised as follows:</w:t>
      </w:r>
      <w:r w:rsidRPr="00EC1BE0">
        <w:rPr>
          <w:rFonts w:ascii="Palatino Linotype" w:hAnsi="Palatino Linotype" w:cs="Times New Roman"/>
          <w:sz w:val="24"/>
          <w:szCs w:val="24"/>
        </w:rPr>
        <w:t xml:space="preserve"> </w:t>
      </w:r>
    </w:p>
    <w:p w:rsidR="002B5049" w:rsidRPr="00EC1BE0" w:rsidRDefault="002B5049" w:rsidP="00EC1BE0">
      <w:pPr>
        <w:pStyle w:val="NoSpacing"/>
        <w:spacing w:line="480" w:lineRule="auto"/>
        <w:ind w:left="283" w:right="283"/>
        <w:jc w:val="both"/>
        <w:rPr>
          <w:rFonts w:ascii="Palatino Linotype" w:hAnsi="Palatino Linotype" w:cs="Times New Roman"/>
          <w:i/>
          <w:sz w:val="24"/>
          <w:szCs w:val="24"/>
        </w:rPr>
      </w:pPr>
      <w:r w:rsidRPr="00EC1BE0">
        <w:rPr>
          <w:rFonts w:ascii="Palatino Linotype" w:hAnsi="Palatino Linotype" w:cs="Times New Roman"/>
          <w:i/>
          <w:sz w:val="24"/>
          <w:szCs w:val="24"/>
        </w:rPr>
        <w:t xml:space="preserve">“It is imperative to understand that the benefits of </w:t>
      </w:r>
      <w:r w:rsidR="00A8207D" w:rsidRPr="00EC1BE0">
        <w:rPr>
          <w:rFonts w:ascii="Palatino Linotype" w:hAnsi="Palatino Linotype" w:cs="Times New Roman"/>
          <w:i/>
          <w:sz w:val="24"/>
          <w:szCs w:val="24"/>
        </w:rPr>
        <w:t>[p]</w:t>
      </w:r>
      <w:proofErr w:type="spellStart"/>
      <w:r w:rsidRPr="00EC1BE0">
        <w:rPr>
          <w:rFonts w:ascii="Palatino Linotype" w:hAnsi="Palatino Linotype" w:cs="Times New Roman"/>
          <w:i/>
          <w:sz w:val="24"/>
          <w:szCs w:val="24"/>
        </w:rPr>
        <w:t>ro</w:t>
      </w:r>
      <w:proofErr w:type="spellEnd"/>
      <w:r w:rsidRPr="00EC1BE0">
        <w:rPr>
          <w:rFonts w:ascii="Palatino Linotype" w:hAnsi="Palatino Linotype" w:cs="Times New Roman"/>
          <w:i/>
          <w:sz w:val="24"/>
          <w:szCs w:val="24"/>
        </w:rPr>
        <w:t xml:space="preserve"> </w:t>
      </w:r>
      <w:r w:rsidR="00A8207D" w:rsidRPr="00EC1BE0">
        <w:rPr>
          <w:rFonts w:ascii="Palatino Linotype" w:hAnsi="Palatino Linotype" w:cs="Times New Roman"/>
          <w:i/>
          <w:sz w:val="24"/>
          <w:szCs w:val="24"/>
        </w:rPr>
        <w:t>[b]</w:t>
      </w:r>
      <w:r w:rsidRPr="00EC1BE0">
        <w:rPr>
          <w:rFonts w:ascii="Palatino Linotype" w:hAnsi="Palatino Linotype" w:cs="Times New Roman"/>
          <w:i/>
          <w:sz w:val="24"/>
          <w:szCs w:val="24"/>
        </w:rPr>
        <w:t xml:space="preserve">ono are not limited to professional applications; legal involvement within the community allows one to make meaningful contributions to those in need, and in doing so allows the student to appreciate the “vital role the law plays.”  Legal </w:t>
      </w:r>
      <w:r w:rsidR="00A8207D" w:rsidRPr="00EC1BE0">
        <w:rPr>
          <w:rFonts w:ascii="Palatino Linotype" w:hAnsi="Palatino Linotype" w:cs="Times New Roman"/>
          <w:i/>
          <w:sz w:val="24"/>
          <w:szCs w:val="24"/>
        </w:rPr>
        <w:t>[s]</w:t>
      </w:r>
      <w:proofErr w:type="spellStart"/>
      <w:r w:rsidRPr="00EC1BE0">
        <w:rPr>
          <w:rFonts w:ascii="Palatino Linotype" w:hAnsi="Palatino Linotype" w:cs="Times New Roman"/>
          <w:i/>
          <w:sz w:val="24"/>
          <w:szCs w:val="24"/>
        </w:rPr>
        <w:t>ervice</w:t>
      </w:r>
      <w:proofErr w:type="spellEnd"/>
      <w:r w:rsidRPr="00EC1BE0">
        <w:rPr>
          <w:rFonts w:ascii="Palatino Linotype" w:hAnsi="Palatino Linotype" w:cs="Times New Roman"/>
          <w:i/>
          <w:sz w:val="24"/>
          <w:szCs w:val="24"/>
        </w:rPr>
        <w:t xml:space="preserve"> has been denoted as being “unaffordable and out of reach.”  The common view held is that “one of the most perplexing facts about our perplexing legal market is its failure to provide affordable services for just about anyone but the rich and corporations.” Thus, by providing legal aid to those who lack financial stability, the student is able to experience “intrinsic morale” and self-worth, something that all lawyers must be familiar with, and something that extends beyond the walls of the classroom.”</w:t>
      </w:r>
      <w:r w:rsidRPr="00EC1BE0">
        <w:rPr>
          <w:rStyle w:val="FootnoteReference"/>
          <w:rFonts w:ascii="Palatino Linotype" w:hAnsi="Palatino Linotype" w:cs="Times New Roman"/>
          <w:i/>
          <w:sz w:val="24"/>
          <w:szCs w:val="24"/>
        </w:rPr>
        <w:footnoteReference w:id="75"/>
      </w:r>
    </w:p>
    <w:p w:rsidR="00245FF4" w:rsidRPr="00EC1BE0" w:rsidRDefault="00245FF4"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 xml:space="preserve">The </w:t>
      </w:r>
      <w:r w:rsidR="002A6C77" w:rsidRPr="00EC1BE0">
        <w:rPr>
          <w:rFonts w:ascii="Palatino Linotype" w:hAnsi="Palatino Linotype" w:cs="Times New Roman"/>
          <w:sz w:val="24"/>
          <w:szCs w:val="24"/>
        </w:rPr>
        <w:t>students’</w:t>
      </w:r>
      <w:r w:rsidRPr="00EC1BE0">
        <w:rPr>
          <w:rFonts w:ascii="Palatino Linotype" w:hAnsi="Palatino Linotype" w:cs="Times New Roman"/>
          <w:sz w:val="24"/>
          <w:szCs w:val="24"/>
        </w:rPr>
        <w:t xml:space="preserve"> a</w:t>
      </w:r>
      <w:r w:rsidR="00F454D3" w:rsidRPr="00EC1BE0">
        <w:rPr>
          <w:rFonts w:ascii="Palatino Linotype" w:hAnsi="Palatino Linotype" w:cs="Times New Roman"/>
          <w:sz w:val="24"/>
          <w:szCs w:val="24"/>
        </w:rPr>
        <w:t xml:space="preserve">lso demonstrated awareness that the altruistic value of pro bono work also improved the </w:t>
      </w:r>
      <w:r w:rsidR="00314B15" w:rsidRPr="00EC1BE0">
        <w:rPr>
          <w:rFonts w:ascii="Palatino Linotype" w:hAnsi="Palatino Linotype" w:cs="Times New Roman"/>
          <w:sz w:val="24"/>
          <w:szCs w:val="24"/>
        </w:rPr>
        <w:t>often-tarnished</w:t>
      </w:r>
      <w:r w:rsidR="00F454D3" w:rsidRPr="00EC1BE0">
        <w:rPr>
          <w:rFonts w:ascii="Palatino Linotype" w:hAnsi="Palatino Linotype" w:cs="Times New Roman"/>
          <w:sz w:val="24"/>
          <w:szCs w:val="24"/>
        </w:rPr>
        <w:t xml:space="preserve"> reputation of lawyers </w:t>
      </w:r>
      <w:r w:rsidR="00314B15" w:rsidRPr="00EC1BE0">
        <w:rPr>
          <w:rFonts w:ascii="Palatino Linotype" w:hAnsi="Palatino Linotype" w:cs="Times New Roman"/>
          <w:sz w:val="24"/>
          <w:szCs w:val="24"/>
        </w:rPr>
        <w:t>and therefore whilst the work is of benefit to the wider community, it is also of benefit to the legal profession as a whole.</w:t>
      </w:r>
      <w:r w:rsidR="00486232" w:rsidRPr="00EC1BE0">
        <w:rPr>
          <w:rStyle w:val="FootnoteReference"/>
          <w:rFonts w:ascii="Palatino Linotype" w:hAnsi="Palatino Linotype" w:cs="Times New Roman"/>
          <w:sz w:val="24"/>
          <w:szCs w:val="24"/>
        </w:rPr>
        <w:footnoteReference w:id="76"/>
      </w:r>
      <w:r w:rsidR="00314B15" w:rsidRPr="00EC1BE0">
        <w:rPr>
          <w:rFonts w:ascii="Palatino Linotype" w:hAnsi="Palatino Linotype" w:cs="Times New Roman"/>
          <w:sz w:val="24"/>
          <w:szCs w:val="24"/>
        </w:rPr>
        <w:t xml:space="preserve">  This is illustrated as follows:</w:t>
      </w:r>
      <w:r w:rsidR="00F454D3" w:rsidRPr="00EC1BE0">
        <w:rPr>
          <w:rFonts w:ascii="Palatino Linotype" w:hAnsi="Palatino Linotype" w:cs="Times New Roman"/>
          <w:sz w:val="24"/>
          <w:szCs w:val="24"/>
        </w:rPr>
        <w:t xml:space="preserve"> </w:t>
      </w:r>
    </w:p>
    <w:p w:rsidR="00D9384D" w:rsidRPr="00EC1BE0" w:rsidRDefault="00A272FA" w:rsidP="00EC1BE0">
      <w:pPr>
        <w:pStyle w:val="NoSpacing"/>
        <w:spacing w:line="480" w:lineRule="auto"/>
        <w:ind w:left="283" w:right="283"/>
        <w:jc w:val="both"/>
        <w:rPr>
          <w:rFonts w:ascii="Palatino Linotype" w:hAnsi="Palatino Linotype" w:cs="Times New Roman"/>
          <w:i/>
          <w:sz w:val="24"/>
          <w:szCs w:val="24"/>
        </w:rPr>
      </w:pPr>
      <w:r w:rsidRPr="00EC1BE0">
        <w:rPr>
          <w:rFonts w:ascii="Palatino Linotype" w:hAnsi="Palatino Linotype" w:cs="Times New Roman"/>
          <w:i/>
          <w:sz w:val="24"/>
          <w:szCs w:val="24"/>
        </w:rPr>
        <w:t>“Lawyers are often branded with a reputation of arrogance and elitism. However, this does not stead well when those who are in need of leg</w:t>
      </w:r>
      <w:r w:rsidR="00245FF4" w:rsidRPr="00EC1BE0">
        <w:rPr>
          <w:rFonts w:ascii="Palatino Linotype" w:hAnsi="Palatino Linotype" w:cs="Times New Roman"/>
          <w:i/>
          <w:sz w:val="24"/>
          <w:szCs w:val="24"/>
        </w:rPr>
        <w:t>al help cannot access it, when [l]</w:t>
      </w:r>
      <w:proofErr w:type="spellStart"/>
      <w:r w:rsidRPr="00EC1BE0">
        <w:rPr>
          <w:rFonts w:ascii="Palatino Linotype" w:hAnsi="Palatino Linotype" w:cs="Times New Roman"/>
          <w:i/>
          <w:sz w:val="24"/>
          <w:szCs w:val="24"/>
        </w:rPr>
        <w:t>egal</w:t>
      </w:r>
      <w:proofErr w:type="spellEnd"/>
      <w:r w:rsidRPr="00EC1BE0">
        <w:rPr>
          <w:rFonts w:ascii="Palatino Linotype" w:hAnsi="Palatino Linotype" w:cs="Times New Roman"/>
          <w:i/>
          <w:sz w:val="24"/>
          <w:szCs w:val="24"/>
        </w:rPr>
        <w:t xml:space="preserve"> </w:t>
      </w:r>
      <w:r w:rsidR="00245FF4" w:rsidRPr="00EC1BE0">
        <w:rPr>
          <w:rFonts w:ascii="Palatino Linotype" w:hAnsi="Palatino Linotype" w:cs="Times New Roman"/>
          <w:i/>
          <w:sz w:val="24"/>
          <w:szCs w:val="24"/>
        </w:rPr>
        <w:t>[a]</w:t>
      </w:r>
      <w:r w:rsidRPr="00EC1BE0">
        <w:rPr>
          <w:rFonts w:ascii="Palatino Linotype" w:hAnsi="Palatino Linotype" w:cs="Times New Roman"/>
          <w:i/>
          <w:sz w:val="24"/>
          <w:szCs w:val="24"/>
        </w:rPr>
        <w:t xml:space="preserve">id has been cut so drastically in the last 3 years. Therefore, the English </w:t>
      </w:r>
      <w:r w:rsidR="00245FF4" w:rsidRPr="00EC1BE0">
        <w:rPr>
          <w:rFonts w:ascii="Palatino Linotype" w:hAnsi="Palatino Linotype" w:cs="Times New Roman"/>
          <w:i/>
          <w:sz w:val="24"/>
          <w:szCs w:val="24"/>
        </w:rPr>
        <w:t>[l]</w:t>
      </w:r>
      <w:proofErr w:type="spellStart"/>
      <w:r w:rsidRPr="00EC1BE0">
        <w:rPr>
          <w:rFonts w:ascii="Palatino Linotype" w:hAnsi="Palatino Linotype" w:cs="Times New Roman"/>
          <w:i/>
          <w:sz w:val="24"/>
          <w:szCs w:val="24"/>
        </w:rPr>
        <w:t>egal</w:t>
      </w:r>
      <w:proofErr w:type="spellEnd"/>
      <w:r w:rsidR="00245FF4" w:rsidRPr="00EC1BE0">
        <w:rPr>
          <w:rFonts w:ascii="Palatino Linotype" w:hAnsi="Palatino Linotype" w:cs="Times New Roman"/>
          <w:i/>
          <w:sz w:val="24"/>
          <w:szCs w:val="24"/>
        </w:rPr>
        <w:t>[s]</w:t>
      </w:r>
      <w:proofErr w:type="spellStart"/>
      <w:r w:rsidRPr="00EC1BE0">
        <w:rPr>
          <w:rFonts w:ascii="Palatino Linotype" w:hAnsi="Palatino Linotype" w:cs="Times New Roman"/>
          <w:i/>
          <w:sz w:val="24"/>
          <w:szCs w:val="24"/>
        </w:rPr>
        <w:t>ystem</w:t>
      </w:r>
      <w:proofErr w:type="spellEnd"/>
      <w:r w:rsidRPr="00EC1BE0">
        <w:rPr>
          <w:rFonts w:ascii="Palatino Linotype" w:hAnsi="Palatino Linotype" w:cs="Times New Roman"/>
          <w:i/>
          <w:sz w:val="24"/>
          <w:szCs w:val="24"/>
        </w:rPr>
        <w:t xml:space="preserve"> relies upon </w:t>
      </w:r>
      <w:r w:rsidR="00F454D3" w:rsidRPr="00EC1BE0">
        <w:rPr>
          <w:rFonts w:ascii="Palatino Linotype" w:hAnsi="Palatino Linotype" w:cs="Times New Roman"/>
          <w:i/>
          <w:sz w:val="24"/>
          <w:szCs w:val="24"/>
        </w:rPr>
        <w:t>[</w:t>
      </w:r>
      <w:r w:rsidRPr="00EC1BE0">
        <w:rPr>
          <w:rFonts w:ascii="Palatino Linotype" w:hAnsi="Palatino Linotype" w:cs="Times New Roman"/>
          <w:i/>
          <w:sz w:val="24"/>
          <w:szCs w:val="24"/>
        </w:rPr>
        <w:t>pro</w:t>
      </w:r>
      <w:r w:rsidR="00245FF4" w:rsidRPr="00EC1BE0">
        <w:rPr>
          <w:rFonts w:ascii="Palatino Linotype" w:hAnsi="Palatino Linotype" w:cs="Times New Roman"/>
          <w:i/>
          <w:sz w:val="24"/>
          <w:szCs w:val="24"/>
        </w:rPr>
        <w:t xml:space="preserve"> </w:t>
      </w:r>
      <w:r w:rsidRPr="00EC1BE0">
        <w:rPr>
          <w:rFonts w:ascii="Palatino Linotype" w:hAnsi="Palatino Linotype" w:cs="Times New Roman"/>
          <w:i/>
          <w:sz w:val="24"/>
          <w:szCs w:val="24"/>
        </w:rPr>
        <w:t>bono</w:t>
      </w:r>
      <w:r w:rsidR="00F454D3" w:rsidRPr="00EC1BE0">
        <w:rPr>
          <w:rFonts w:ascii="Palatino Linotype" w:hAnsi="Palatino Linotype" w:cs="Times New Roman"/>
          <w:i/>
          <w:sz w:val="24"/>
          <w:szCs w:val="24"/>
        </w:rPr>
        <w:t>]</w:t>
      </w:r>
      <w:r w:rsidRPr="00EC1BE0">
        <w:rPr>
          <w:rFonts w:ascii="Palatino Linotype" w:hAnsi="Palatino Linotype" w:cs="Times New Roman"/>
          <w:i/>
          <w:sz w:val="24"/>
          <w:szCs w:val="24"/>
        </w:rPr>
        <w:t xml:space="preserve"> work to not only erode this stereotype, but to show that lawyers and law students alike, can show compassion by working on cases for free.”</w:t>
      </w:r>
      <w:r w:rsidRPr="00EC1BE0">
        <w:rPr>
          <w:rStyle w:val="FootnoteReference"/>
          <w:rFonts w:ascii="Palatino Linotype" w:hAnsi="Palatino Linotype" w:cs="Times New Roman"/>
          <w:i/>
          <w:sz w:val="24"/>
          <w:szCs w:val="24"/>
        </w:rPr>
        <w:footnoteReference w:id="77"/>
      </w:r>
    </w:p>
    <w:p w:rsidR="00D9384D" w:rsidRPr="00EC1BE0" w:rsidRDefault="00D9384D" w:rsidP="00EC1BE0">
      <w:pPr>
        <w:pStyle w:val="NoSpacing"/>
        <w:spacing w:line="480" w:lineRule="auto"/>
        <w:jc w:val="both"/>
        <w:rPr>
          <w:rFonts w:ascii="Palatino Linotype" w:hAnsi="Palatino Linotype" w:cs="Times New Roman"/>
          <w:b/>
          <w:sz w:val="24"/>
          <w:szCs w:val="24"/>
        </w:rPr>
      </w:pPr>
    </w:p>
    <w:p w:rsidR="00390082" w:rsidRPr="00EC1BE0" w:rsidRDefault="00390082" w:rsidP="00EC1BE0">
      <w:pPr>
        <w:pStyle w:val="NoSpacing"/>
        <w:numPr>
          <w:ilvl w:val="0"/>
          <w:numId w:val="5"/>
        </w:numPr>
        <w:spacing w:line="480" w:lineRule="auto"/>
        <w:jc w:val="both"/>
        <w:rPr>
          <w:rFonts w:ascii="Palatino Linotype" w:hAnsi="Palatino Linotype" w:cs="Times New Roman"/>
          <w:i/>
          <w:sz w:val="24"/>
          <w:szCs w:val="24"/>
        </w:rPr>
      </w:pPr>
      <w:r w:rsidRPr="00EC1BE0">
        <w:rPr>
          <w:rFonts w:ascii="Palatino Linotype" w:hAnsi="Palatino Linotype" w:cs="Times New Roman"/>
          <w:i/>
          <w:sz w:val="24"/>
          <w:szCs w:val="24"/>
        </w:rPr>
        <w:t>Skills</w:t>
      </w:r>
    </w:p>
    <w:p w:rsidR="00390082" w:rsidRPr="00EC1BE0" w:rsidRDefault="00641251"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Ten of the students referred to s</w:t>
      </w:r>
      <w:r w:rsidR="00390082" w:rsidRPr="00EC1BE0">
        <w:rPr>
          <w:rFonts w:ascii="Palatino Linotype" w:hAnsi="Palatino Linotype" w:cs="Times New Roman"/>
          <w:sz w:val="24"/>
          <w:szCs w:val="24"/>
        </w:rPr>
        <w:t xml:space="preserve">kills development </w:t>
      </w:r>
      <w:r w:rsidR="001F5B22" w:rsidRPr="00EC1BE0">
        <w:rPr>
          <w:rFonts w:ascii="Palatino Linotype" w:hAnsi="Palatino Linotype" w:cs="Times New Roman"/>
          <w:sz w:val="24"/>
          <w:szCs w:val="24"/>
        </w:rPr>
        <w:t>within their</w:t>
      </w:r>
      <w:r w:rsidR="00390082" w:rsidRPr="00EC1BE0">
        <w:rPr>
          <w:rFonts w:ascii="Palatino Linotype" w:hAnsi="Palatino Linotype" w:cs="Times New Roman"/>
          <w:sz w:val="24"/>
          <w:szCs w:val="24"/>
        </w:rPr>
        <w:t xml:space="preserve"> essays as a reason to undertake pro bono work.</w:t>
      </w:r>
      <w:r w:rsidR="00D237C3" w:rsidRPr="00EC1BE0">
        <w:rPr>
          <w:rStyle w:val="FootnoteReference"/>
          <w:rFonts w:ascii="Palatino Linotype" w:hAnsi="Palatino Linotype" w:cs="Times New Roman"/>
          <w:sz w:val="24"/>
          <w:szCs w:val="24"/>
        </w:rPr>
        <w:footnoteReference w:id="78"/>
      </w:r>
      <w:r w:rsidR="000A7339" w:rsidRPr="00EC1BE0">
        <w:rPr>
          <w:rFonts w:ascii="Palatino Linotype" w:hAnsi="Palatino Linotype" w:cs="Times New Roman"/>
          <w:sz w:val="24"/>
          <w:szCs w:val="24"/>
        </w:rPr>
        <w:t xml:space="preserve">  Both legal and personal skills can be developed as summarised below:</w:t>
      </w:r>
    </w:p>
    <w:p w:rsidR="000A7339" w:rsidRPr="00EC1BE0" w:rsidRDefault="000A7339" w:rsidP="00EC1BE0">
      <w:pPr>
        <w:pStyle w:val="NoSpacing"/>
        <w:spacing w:line="480" w:lineRule="auto"/>
        <w:ind w:left="283" w:right="283"/>
        <w:jc w:val="both"/>
        <w:rPr>
          <w:rFonts w:ascii="Palatino Linotype" w:hAnsi="Palatino Linotype" w:cs="Times New Roman"/>
          <w:i/>
          <w:sz w:val="24"/>
          <w:szCs w:val="24"/>
        </w:rPr>
      </w:pPr>
      <w:r w:rsidRPr="00EC1BE0">
        <w:rPr>
          <w:rFonts w:ascii="Palatino Linotype" w:hAnsi="Palatino Linotype" w:cs="Times New Roman"/>
          <w:i/>
          <w:sz w:val="24"/>
          <w:szCs w:val="24"/>
        </w:rPr>
        <w:t xml:space="preserve">“It allows </w:t>
      </w:r>
      <w:r w:rsidR="001F5B22" w:rsidRPr="00EC1BE0">
        <w:rPr>
          <w:rFonts w:ascii="Palatino Linotype" w:hAnsi="Palatino Linotype" w:cs="Times New Roman"/>
          <w:i/>
          <w:sz w:val="24"/>
          <w:szCs w:val="24"/>
        </w:rPr>
        <w:t>[students]</w:t>
      </w:r>
      <w:r w:rsidRPr="00EC1BE0">
        <w:rPr>
          <w:rFonts w:ascii="Palatino Linotype" w:hAnsi="Palatino Linotype" w:cs="Times New Roman"/>
          <w:i/>
          <w:sz w:val="24"/>
          <w:szCs w:val="24"/>
        </w:rPr>
        <w:t xml:space="preserve"> to develop vital, practical legal skills (</w:t>
      </w:r>
      <w:proofErr w:type="spellStart"/>
      <w:r w:rsidRPr="00EC1BE0">
        <w:rPr>
          <w:rFonts w:ascii="Palatino Linotype" w:hAnsi="Palatino Linotype" w:cs="Times New Roman"/>
          <w:i/>
          <w:sz w:val="24"/>
          <w:szCs w:val="24"/>
        </w:rPr>
        <w:t>eg</w:t>
      </w:r>
      <w:proofErr w:type="spellEnd"/>
      <w:r w:rsidRPr="00EC1BE0">
        <w:rPr>
          <w:rFonts w:ascii="Palatino Linotype" w:hAnsi="Palatino Linotype" w:cs="Times New Roman"/>
          <w:i/>
          <w:sz w:val="24"/>
          <w:szCs w:val="24"/>
        </w:rPr>
        <w:t>. advocacy, legal research, interviewing), as well as other relevant ones such as personal organisation, presentation and teamwork (useful in a legal working environment)”</w:t>
      </w:r>
      <w:r w:rsidRPr="00EC1BE0">
        <w:rPr>
          <w:rStyle w:val="FootnoteReference"/>
          <w:rFonts w:ascii="Palatino Linotype" w:hAnsi="Palatino Linotype" w:cs="Times New Roman"/>
          <w:i/>
          <w:sz w:val="24"/>
          <w:szCs w:val="24"/>
        </w:rPr>
        <w:footnoteReference w:id="79"/>
      </w:r>
    </w:p>
    <w:p w:rsidR="003D6B01" w:rsidRPr="00EC1BE0" w:rsidRDefault="003D6B01"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There is also a distinct overlap between the development of skills through pro bono work and other motivating factors.  Through the utilisation of lawyering skills, students are able to experience what it is like to work as a lawyer in practice,</w:t>
      </w:r>
      <w:r w:rsidR="00964301" w:rsidRPr="00EC1BE0">
        <w:rPr>
          <w:rStyle w:val="FootnoteReference"/>
          <w:rFonts w:ascii="Palatino Linotype" w:hAnsi="Palatino Linotype" w:cs="Times New Roman"/>
          <w:sz w:val="24"/>
          <w:szCs w:val="24"/>
        </w:rPr>
        <w:footnoteReference w:id="80"/>
      </w:r>
      <w:r w:rsidRPr="00EC1BE0">
        <w:rPr>
          <w:rFonts w:ascii="Palatino Linotype" w:hAnsi="Palatino Linotype" w:cs="Times New Roman"/>
          <w:sz w:val="24"/>
          <w:szCs w:val="24"/>
        </w:rPr>
        <w:t xml:space="preserve"> to gain confidence that they have the requisite ability and provided validation for their chosen career path:</w:t>
      </w:r>
    </w:p>
    <w:p w:rsidR="00314B15" w:rsidRPr="00EC1BE0" w:rsidRDefault="00314B15" w:rsidP="00EC1BE0">
      <w:pPr>
        <w:pStyle w:val="NoSpacing"/>
        <w:spacing w:line="480" w:lineRule="auto"/>
        <w:ind w:left="283" w:right="283"/>
        <w:jc w:val="both"/>
        <w:rPr>
          <w:rFonts w:ascii="Palatino Linotype" w:hAnsi="Palatino Linotype" w:cs="Times New Roman"/>
          <w:i/>
          <w:sz w:val="24"/>
          <w:szCs w:val="24"/>
        </w:rPr>
      </w:pPr>
      <w:r w:rsidRPr="00EC1BE0">
        <w:rPr>
          <w:rFonts w:ascii="Palatino Linotype" w:hAnsi="Palatino Linotype" w:cs="Times New Roman"/>
          <w:i/>
          <w:sz w:val="24"/>
          <w:szCs w:val="24"/>
        </w:rPr>
        <w:t>“The skills developed in [p]</w:t>
      </w:r>
      <w:proofErr w:type="spellStart"/>
      <w:r w:rsidRPr="00EC1BE0">
        <w:rPr>
          <w:rFonts w:ascii="Palatino Linotype" w:hAnsi="Palatino Linotype" w:cs="Times New Roman"/>
          <w:i/>
          <w:sz w:val="24"/>
          <w:szCs w:val="24"/>
        </w:rPr>
        <w:t>ro</w:t>
      </w:r>
      <w:proofErr w:type="spellEnd"/>
      <w:r w:rsidRPr="00EC1BE0">
        <w:rPr>
          <w:rFonts w:ascii="Palatino Linotype" w:hAnsi="Palatino Linotype" w:cs="Times New Roman"/>
          <w:i/>
          <w:sz w:val="24"/>
          <w:szCs w:val="24"/>
        </w:rPr>
        <w:t xml:space="preserve"> [b]ono legal practice are invaluable to the pursuit of a career as a practicing lawyer. Almost every role within the front line services of the legal profession requires basic abilities in client and case management. The focus on techniques such as interviewing, legal writing, organisation, and management of the expectations of client qualify students perfectly to move forward in their legal career. Not only does the development of such skills help undoubtedly benefit students going into practice, but in my own experience provides the confidence to embark on that course. I for one can say </w:t>
      </w:r>
      <w:r w:rsidR="003D6B01" w:rsidRPr="00EC1BE0">
        <w:rPr>
          <w:rFonts w:ascii="Palatino Linotype" w:hAnsi="Palatino Linotype" w:cs="Times New Roman"/>
          <w:i/>
          <w:sz w:val="24"/>
          <w:szCs w:val="24"/>
        </w:rPr>
        <w:t>that prior to my experience in [p]</w:t>
      </w:r>
      <w:proofErr w:type="spellStart"/>
      <w:r w:rsidRPr="00EC1BE0">
        <w:rPr>
          <w:rFonts w:ascii="Palatino Linotype" w:hAnsi="Palatino Linotype" w:cs="Times New Roman"/>
          <w:i/>
          <w:sz w:val="24"/>
          <w:szCs w:val="24"/>
        </w:rPr>
        <w:t>ro</w:t>
      </w:r>
      <w:proofErr w:type="spellEnd"/>
      <w:r w:rsidRPr="00EC1BE0">
        <w:rPr>
          <w:rFonts w:ascii="Palatino Linotype" w:hAnsi="Palatino Linotype" w:cs="Times New Roman"/>
          <w:i/>
          <w:sz w:val="24"/>
          <w:szCs w:val="24"/>
        </w:rPr>
        <w:t xml:space="preserve"> </w:t>
      </w:r>
      <w:r w:rsidR="003D6B01" w:rsidRPr="00EC1BE0">
        <w:rPr>
          <w:rFonts w:ascii="Palatino Linotype" w:hAnsi="Palatino Linotype" w:cs="Times New Roman"/>
          <w:i/>
          <w:sz w:val="24"/>
          <w:szCs w:val="24"/>
        </w:rPr>
        <w:t>[b]</w:t>
      </w:r>
      <w:r w:rsidRPr="00EC1BE0">
        <w:rPr>
          <w:rFonts w:ascii="Palatino Linotype" w:hAnsi="Palatino Linotype" w:cs="Times New Roman"/>
          <w:i/>
          <w:sz w:val="24"/>
          <w:szCs w:val="24"/>
        </w:rPr>
        <w:t xml:space="preserve">ono legal work </w:t>
      </w:r>
      <w:r w:rsidR="003D6B01" w:rsidRPr="00EC1BE0">
        <w:rPr>
          <w:rFonts w:ascii="Palatino Linotype" w:hAnsi="Palatino Linotype" w:cs="Times New Roman"/>
          <w:i/>
          <w:sz w:val="24"/>
          <w:szCs w:val="24"/>
        </w:rPr>
        <w:t xml:space="preserve">[I] </w:t>
      </w:r>
      <w:r w:rsidRPr="00EC1BE0">
        <w:rPr>
          <w:rFonts w:ascii="Palatino Linotype" w:hAnsi="Palatino Linotype" w:cs="Times New Roman"/>
          <w:i/>
          <w:sz w:val="24"/>
          <w:szCs w:val="24"/>
        </w:rPr>
        <w:t xml:space="preserve">certainly </w:t>
      </w:r>
      <w:r w:rsidR="003D6B01" w:rsidRPr="00EC1BE0">
        <w:rPr>
          <w:rFonts w:ascii="Palatino Linotype" w:hAnsi="Palatino Linotype" w:cs="Times New Roman"/>
          <w:i/>
          <w:sz w:val="24"/>
          <w:szCs w:val="24"/>
        </w:rPr>
        <w:t>[</w:t>
      </w:r>
      <w:r w:rsidRPr="00EC1BE0">
        <w:rPr>
          <w:rFonts w:ascii="Palatino Linotype" w:hAnsi="Palatino Linotype" w:cs="Times New Roman"/>
          <w:i/>
          <w:sz w:val="24"/>
          <w:szCs w:val="24"/>
        </w:rPr>
        <w:t>was</w:t>
      </w:r>
      <w:r w:rsidR="003D6B01" w:rsidRPr="00EC1BE0">
        <w:rPr>
          <w:rFonts w:ascii="Palatino Linotype" w:hAnsi="Palatino Linotype" w:cs="Times New Roman"/>
          <w:i/>
          <w:sz w:val="24"/>
          <w:szCs w:val="24"/>
        </w:rPr>
        <w:t xml:space="preserve"> not]</w:t>
      </w:r>
      <w:r w:rsidRPr="00EC1BE0">
        <w:rPr>
          <w:rFonts w:ascii="Palatino Linotype" w:hAnsi="Palatino Linotype" w:cs="Times New Roman"/>
          <w:i/>
          <w:sz w:val="24"/>
          <w:szCs w:val="24"/>
        </w:rPr>
        <w:t xml:space="preserve"> confident in pursuing a career as a lawyer. However in developing these skills and co</w:t>
      </w:r>
      <w:r w:rsidR="003D6B01" w:rsidRPr="00EC1BE0">
        <w:rPr>
          <w:rFonts w:ascii="Palatino Linotype" w:hAnsi="Palatino Linotype" w:cs="Times New Roman"/>
          <w:i/>
          <w:sz w:val="24"/>
          <w:szCs w:val="24"/>
        </w:rPr>
        <w:t>nfidence, and engaging in [first-</w:t>
      </w:r>
      <w:r w:rsidRPr="00EC1BE0">
        <w:rPr>
          <w:rFonts w:ascii="Palatino Linotype" w:hAnsi="Palatino Linotype" w:cs="Times New Roman"/>
          <w:i/>
          <w:sz w:val="24"/>
          <w:szCs w:val="24"/>
        </w:rPr>
        <w:t>hand</w:t>
      </w:r>
      <w:r w:rsidR="003D6B01" w:rsidRPr="00EC1BE0">
        <w:rPr>
          <w:rFonts w:ascii="Palatino Linotype" w:hAnsi="Palatino Linotype" w:cs="Times New Roman"/>
          <w:i/>
          <w:sz w:val="24"/>
          <w:szCs w:val="24"/>
        </w:rPr>
        <w:t>]</w:t>
      </w:r>
      <w:r w:rsidRPr="00EC1BE0">
        <w:rPr>
          <w:rFonts w:ascii="Palatino Linotype" w:hAnsi="Palatino Linotype" w:cs="Times New Roman"/>
          <w:i/>
          <w:sz w:val="24"/>
          <w:szCs w:val="24"/>
        </w:rPr>
        <w:t xml:space="preserve"> experience working as a trainee solicitor, albeit in a </w:t>
      </w:r>
      <w:r w:rsidR="003D6B01" w:rsidRPr="00EC1BE0">
        <w:rPr>
          <w:rFonts w:ascii="Palatino Linotype" w:hAnsi="Palatino Linotype" w:cs="Times New Roman"/>
          <w:i/>
          <w:sz w:val="24"/>
          <w:szCs w:val="24"/>
        </w:rPr>
        <w:t>[p]</w:t>
      </w:r>
      <w:proofErr w:type="spellStart"/>
      <w:r w:rsidR="003D6B01" w:rsidRPr="00EC1BE0">
        <w:rPr>
          <w:rFonts w:ascii="Palatino Linotype" w:hAnsi="Palatino Linotype" w:cs="Times New Roman"/>
          <w:i/>
          <w:sz w:val="24"/>
          <w:szCs w:val="24"/>
        </w:rPr>
        <w:t>ro</w:t>
      </w:r>
      <w:proofErr w:type="spellEnd"/>
      <w:r w:rsidR="003D6B01" w:rsidRPr="00EC1BE0">
        <w:rPr>
          <w:rFonts w:ascii="Palatino Linotype" w:hAnsi="Palatino Linotype" w:cs="Times New Roman"/>
          <w:i/>
          <w:sz w:val="24"/>
          <w:szCs w:val="24"/>
        </w:rPr>
        <w:t xml:space="preserve"> [b]</w:t>
      </w:r>
      <w:r w:rsidRPr="00EC1BE0">
        <w:rPr>
          <w:rFonts w:ascii="Palatino Linotype" w:hAnsi="Palatino Linotype" w:cs="Times New Roman"/>
          <w:i/>
          <w:sz w:val="24"/>
          <w:szCs w:val="24"/>
        </w:rPr>
        <w:t>ono setting, verified the enjoyable and exciting nature a career as a lawyer presents.”</w:t>
      </w:r>
      <w:r w:rsidR="003D6B01" w:rsidRPr="00EC1BE0">
        <w:rPr>
          <w:rStyle w:val="FootnoteReference"/>
          <w:rFonts w:ascii="Palatino Linotype" w:hAnsi="Palatino Linotype" w:cs="Times New Roman"/>
          <w:i/>
          <w:sz w:val="24"/>
          <w:szCs w:val="24"/>
        </w:rPr>
        <w:footnoteReference w:id="81"/>
      </w:r>
    </w:p>
    <w:p w:rsidR="00D30BB7" w:rsidRPr="00EC1BE0" w:rsidRDefault="003D6B01"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 xml:space="preserve">It is important that we do not under-estimate the </w:t>
      </w:r>
      <w:r w:rsidR="00E63C73" w:rsidRPr="00EC1BE0">
        <w:rPr>
          <w:rFonts w:ascii="Palatino Linotype" w:hAnsi="Palatino Linotype" w:cs="Times New Roman"/>
          <w:sz w:val="24"/>
          <w:szCs w:val="24"/>
        </w:rPr>
        <w:t>role of</w:t>
      </w:r>
      <w:r w:rsidRPr="00EC1BE0">
        <w:rPr>
          <w:rFonts w:ascii="Palatino Linotype" w:hAnsi="Palatino Linotype" w:cs="Times New Roman"/>
          <w:sz w:val="24"/>
          <w:szCs w:val="24"/>
        </w:rPr>
        <w:t xml:space="preserve"> the supervisor</w:t>
      </w:r>
      <w:r w:rsidR="008057DC" w:rsidRPr="00EC1BE0">
        <w:rPr>
          <w:rFonts w:ascii="Palatino Linotype" w:hAnsi="Palatino Linotype" w:cs="Times New Roman"/>
          <w:sz w:val="24"/>
          <w:szCs w:val="24"/>
        </w:rPr>
        <w:t xml:space="preserve"> within the learning process</w:t>
      </w:r>
      <w:r w:rsidR="00917C70" w:rsidRPr="00EC1BE0">
        <w:rPr>
          <w:rFonts w:ascii="Palatino Linotype" w:hAnsi="Palatino Linotype" w:cs="Times New Roman"/>
          <w:sz w:val="24"/>
          <w:szCs w:val="24"/>
        </w:rPr>
        <w:t>.  Within the context of clinical legal education, Cozens states that the ‘supervisor</w:t>
      </w:r>
      <w:r w:rsidR="00E63C73" w:rsidRPr="00EC1BE0">
        <w:rPr>
          <w:rFonts w:ascii="Palatino Linotype" w:hAnsi="Palatino Linotype" w:cs="Times New Roman"/>
          <w:sz w:val="24"/>
          <w:szCs w:val="24"/>
        </w:rPr>
        <w:t xml:space="preserve"> </w:t>
      </w:r>
      <w:r w:rsidR="00917C70" w:rsidRPr="00EC1BE0">
        <w:rPr>
          <w:rFonts w:ascii="Palatino Linotype" w:hAnsi="Palatino Linotype" w:cs="Times New Roman"/>
          <w:sz w:val="24"/>
          <w:szCs w:val="24"/>
        </w:rPr>
        <w:t>is possessed with the ability to place the student’s experiences into a coherent learning structure so that they make sense to the student.’</w:t>
      </w:r>
      <w:r w:rsidR="00917C70" w:rsidRPr="00EC1BE0">
        <w:rPr>
          <w:rStyle w:val="FootnoteReference"/>
          <w:rFonts w:ascii="Palatino Linotype" w:hAnsi="Palatino Linotype" w:cs="Times New Roman"/>
          <w:sz w:val="24"/>
          <w:szCs w:val="24"/>
        </w:rPr>
        <w:footnoteReference w:id="82"/>
      </w:r>
      <w:r w:rsidR="00917C70" w:rsidRPr="00EC1BE0">
        <w:rPr>
          <w:rFonts w:ascii="Palatino Linotype" w:hAnsi="Palatino Linotype" w:cs="Times New Roman"/>
          <w:sz w:val="24"/>
          <w:szCs w:val="24"/>
        </w:rPr>
        <w:t xml:space="preserve">  </w:t>
      </w:r>
      <w:r w:rsidR="008057DC" w:rsidRPr="00EC1BE0">
        <w:rPr>
          <w:rFonts w:ascii="Palatino Linotype" w:hAnsi="Palatino Linotype" w:cs="Times New Roman"/>
          <w:sz w:val="24"/>
          <w:szCs w:val="24"/>
        </w:rPr>
        <w:t>T</w:t>
      </w:r>
      <w:r w:rsidR="00E63C73" w:rsidRPr="00EC1BE0">
        <w:rPr>
          <w:rFonts w:ascii="Palatino Linotype" w:hAnsi="Palatino Linotype" w:cs="Times New Roman"/>
          <w:sz w:val="24"/>
          <w:szCs w:val="24"/>
        </w:rPr>
        <w:t>here is an appreciation of this from one student who states:</w:t>
      </w:r>
    </w:p>
    <w:p w:rsidR="00E63C73" w:rsidRPr="00EC1BE0" w:rsidRDefault="00D30BB7" w:rsidP="00EC1BE0">
      <w:pPr>
        <w:pStyle w:val="NoSpacing"/>
        <w:spacing w:line="480" w:lineRule="auto"/>
        <w:ind w:left="283" w:right="283"/>
        <w:jc w:val="both"/>
        <w:rPr>
          <w:rFonts w:ascii="Palatino Linotype" w:hAnsi="Palatino Linotype" w:cs="Times New Roman"/>
          <w:i/>
          <w:sz w:val="24"/>
          <w:szCs w:val="24"/>
        </w:rPr>
      </w:pPr>
      <w:r w:rsidRPr="00EC1BE0">
        <w:rPr>
          <w:rFonts w:ascii="Palatino Linotype" w:hAnsi="Palatino Linotype" w:cs="Times New Roman"/>
          <w:i/>
          <w:sz w:val="24"/>
          <w:szCs w:val="24"/>
        </w:rPr>
        <w:t xml:space="preserve"> “Pro bono volunteers are generally supported and supervised throughout their volunteering enabling them to receive feedback for self-development.”</w:t>
      </w:r>
      <w:r w:rsidRPr="00EC1BE0">
        <w:rPr>
          <w:rStyle w:val="FootnoteReference"/>
          <w:rFonts w:ascii="Palatino Linotype" w:hAnsi="Palatino Linotype" w:cs="Times New Roman"/>
          <w:i/>
          <w:sz w:val="24"/>
          <w:szCs w:val="24"/>
        </w:rPr>
        <w:footnoteReference w:id="83"/>
      </w:r>
    </w:p>
    <w:p w:rsidR="00D30BB7" w:rsidRPr="00EC1BE0" w:rsidRDefault="00E63C73"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This is further supported through students</w:t>
      </w:r>
      <w:r w:rsidR="00D30BB7" w:rsidRPr="00EC1BE0">
        <w:rPr>
          <w:rFonts w:ascii="Palatino Linotype" w:hAnsi="Palatino Linotype" w:cs="Times New Roman"/>
          <w:sz w:val="24"/>
          <w:szCs w:val="24"/>
        </w:rPr>
        <w:t xml:space="preserve"> reflectin</w:t>
      </w:r>
      <w:r w:rsidRPr="00EC1BE0">
        <w:rPr>
          <w:rFonts w:ascii="Palatino Linotype" w:hAnsi="Palatino Linotype" w:cs="Times New Roman"/>
          <w:sz w:val="24"/>
          <w:szCs w:val="24"/>
        </w:rPr>
        <w:t>g</w:t>
      </w:r>
      <w:r w:rsidR="00D30BB7" w:rsidRPr="00EC1BE0">
        <w:rPr>
          <w:rFonts w:ascii="Palatino Linotype" w:hAnsi="Palatino Linotype" w:cs="Times New Roman"/>
          <w:sz w:val="24"/>
          <w:szCs w:val="24"/>
        </w:rPr>
        <w:t xml:space="preserve"> as an important part of this development:</w:t>
      </w:r>
    </w:p>
    <w:p w:rsidR="00D30BB7" w:rsidRPr="00EC1BE0" w:rsidRDefault="00D30BB7" w:rsidP="00EC1BE0">
      <w:pPr>
        <w:pStyle w:val="NoSpacing"/>
        <w:spacing w:line="480" w:lineRule="auto"/>
        <w:ind w:left="283" w:right="283"/>
        <w:jc w:val="both"/>
        <w:rPr>
          <w:rFonts w:ascii="Palatino Linotype" w:hAnsi="Palatino Linotype" w:cs="Times New Roman"/>
          <w:i/>
          <w:sz w:val="24"/>
          <w:szCs w:val="24"/>
        </w:rPr>
      </w:pPr>
      <w:r w:rsidRPr="00EC1BE0">
        <w:rPr>
          <w:rFonts w:ascii="Palatino Linotype" w:hAnsi="Palatino Linotype" w:cs="Times New Roman"/>
          <w:i/>
          <w:sz w:val="24"/>
          <w:szCs w:val="24"/>
        </w:rPr>
        <w:t>“[U]</w:t>
      </w:r>
      <w:proofErr w:type="spellStart"/>
      <w:r w:rsidRPr="00EC1BE0">
        <w:rPr>
          <w:rFonts w:ascii="Palatino Linotype" w:hAnsi="Palatino Linotype" w:cs="Times New Roman"/>
          <w:i/>
          <w:sz w:val="24"/>
          <w:szCs w:val="24"/>
        </w:rPr>
        <w:t>ltimately</w:t>
      </w:r>
      <w:proofErr w:type="spellEnd"/>
      <w:r w:rsidRPr="00EC1BE0">
        <w:rPr>
          <w:rFonts w:ascii="Palatino Linotype" w:hAnsi="Palatino Linotype" w:cs="Times New Roman"/>
          <w:i/>
          <w:sz w:val="24"/>
          <w:szCs w:val="24"/>
        </w:rPr>
        <w:t xml:space="preserve"> it provides an opportunity for students of law to reflect upon their own weaknesses and strengths, to better their own legal skills, to engage with real clients”</w:t>
      </w:r>
      <w:r w:rsidRPr="00EC1BE0">
        <w:rPr>
          <w:rStyle w:val="FootnoteReference"/>
          <w:rFonts w:ascii="Palatino Linotype" w:hAnsi="Palatino Linotype" w:cs="Times New Roman"/>
          <w:i/>
          <w:sz w:val="24"/>
          <w:szCs w:val="24"/>
        </w:rPr>
        <w:footnoteReference w:id="84"/>
      </w:r>
    </w:p>
    <w:p w:rsidR="004C6603" w:rsidRPr="00EC1BE0" w:rsidRDefault="004C6603"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In enabling this self-development, there must be clear boundaries as to the role of the supervisor.</w:t>
      </w:r>
      <w:r w:rsidR="0004330F" w:rsidRPr="00EC1BE0">
        <w:rPr>
          <w:rFonts w:ascii="Palatino Linotype" w:hAnsi="Palatino Linotype" w:cs="Times New Roman"/>
          <w:sz w:val="24"/>
          <w:szCs w:val="24"/>
        </w:rPr>
        <w:t xml:space="preserve">  Cozens sets out two levels of supervisor intervention; the first is guidance thus allowing the student to act in the role of the lawyer and accept responsibility for that role; the second is direct intervention whereby the supervisor will replace the student’s control of the situation.</w:t>
      </w:r>
      <w:r w:rsidR="0004330F" w:rsidRPr="00EC1BE0">
        <w:rPr>
          <w:rStyle w:val="FootnoteReference"/>
          <w:rFonts w:ascii="Palatino Linotype" w:hAnsi="Palatino Linotype" w:cs="Times New Roman"/>
          <w:sz w:val="24"/>
          <w:szCs w:val="24"/>
        </w:rPr>
        <w:footnoteReference w:id="85"/>
      </w:r>
      <w:r w:rsidR="0004330F" w:rsidRPr="00EC1BE0">
        <w:rPr>
          <w:rFonts w:ascii="Palatino Linotype" w:hAnsi="Palatino Linotype" w:cs="Times New Roman"/>
          <w:sz w:val="24"/>
          <w:szCs w:val="24"/>
        </w:rPr>
        <w:t xml:space="preserve">  The latter intervention meant there is little educational value in the experience.</w:t>
      </w:r>
      <w:r w:rsidR="0004330F" w:rsidRPr="00EC1BE0">
        <w:rPr>
          <w:rStyle w:val="FootnoteReference"/>
          <w:rFonts w:ascii="Palatino Linotype" w:hAnsi="Palatino Linotype" w:cs="Times New Roman"/>
          <w:sz w:val="24"/>
          <w:szCs w:val="24"/>
        </w:rPr>
        <w:footnoteReference w:id="86"/>
      </w:r>
      <w:r w:rsidR="0004330F" w:rsidRPr="00EC1BE0">
        <w:rPr>
          <w:rFonts w:ascii="Palatino Linotype" w:hAnsi="Palatino Linotype" w:cs="Times New Roman"/>
          <w:sz w:val="24"/>
          <w:szCs w:val="24"/>
        </w:rPr>
        <w:t xml:space="preserve">  Whilst the supervisor is important within the student’s educational development, the student must assume responsibility for their own learning.</w:t>
      </w:r>
    </w:p>
    <w:p w:rsidR="004C6603" w:rsidRDefault="004C6603" w:rsidP="00EC1BE0">
      <w:pPr>
        <w:pStyle w:val="NoSpacing"/>
        <w:spacing w:line="480" w:lineRule="auto"/>
        <w:jc w:val="both"/>
        <w:rPr>
          <w:rFonts w:ascii="Palatino Linotype" w:hAnsi="Palatino Linotype" w:cs="Times New Roman"/>
          <w:b/>
          <w:sz w:val="24"/>
          <w:szCs w:val="24"/>
        </w:rPr>
      </w:pPr>
    </w:p>
    <w:p w:rsidR="008C087B" w:rsidRPr="00EC1BE0" w:rsidRDefault="008C087B" w:rsidP="00EC1BE0">
      <w:pPr>
        <w:pStyle w:val="NoSpacing"/>
        <w:spacing w:line="480" w:lineRule="auto"/>
        <w:jc w:val="both"/>
        <w:rPr>
          <w:rFonts w:ascii="Palatino Linotype" w:hAnsi="Palatino Linotype" w:cs="Times New Roman"/>
          <w:b/>
          <w:sz w:val="24"/>
          <w:szCs w:val="24"/>
        </w:rPr>
      </w:pPr>
    </w:p>
    <w:p w:rsidR="00D30BB7" w:rsidRPr="00EC1BE0" w:rsidRDefault="00D30BB7" w:rsidP="00EC1BE0">
      <w:pPr>
        <w:pStyle w:val="NoSpacing"/>
        <w:numPr>
          <w:ilvl w:val="0"/>
          <w:numId w:val="5"/>
        </w:numPr>
        <w:spacing w:line="480" w:lineRule="auto"/>
        <w:jc w:val="both"/>
        <w:rPr>
          <w:rFonts w:ascii="Palatino Linotype" w:hAnsi="Palatino Linotype" w:cs="Times New Roman"/>
          <w:i/>
          <w:sz w:val="24"/>
          <w:szCs w:val="24"/>
        </w:rPr>
      </w:pPr>
      <w:r w:rsidRPr="00EC1BE0">
        <w:rPr>
          <w:rFonts w:ascii="Palatino Linotype" w:hAnsi="Palatino Linotype" w:cs="Times New Roman"/>
          <w:i/>
          <w:sz w:val="24"/>
          <w:szCs w:val="24"/>
        </w:rPr>
        <w:t>Experience</w:t>
      </w:r>
    </w:p>
    <w:p w:rsidR="0008363F" w:rsidRPr="00EC1BE0" w:rsidRDefault="0008363F"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As cited earlier, a significant motivating factor to undertake pro bono work is the experience of practise.</w:t>
      </w:r>
      <w:r w:rsidRPr="00EC1BE0">
        <w:rPr>
          <w:rStyle w:val="FootnoteReference"/>
          <w:rFonts w:ascii="Palatino Linotype" w:hAnsi="Palatino Linotype" w:cs="Times New Roman"/>
          <w:sz w:val="24"/>
          <w:szCs w:val="24"/>
        </w:rPr>
        <w:footnoteReference w:id="87"/>
      </w:r>
    </w:p>
    <w:p w:rsidR="00D30BB7" w:rsidRPr="00EC1BE0" w:rsidRDefault="00286029" w:rsidP="00EC1BE0">
      <w:pPr>
        <w:pStyle w:val="NoSpacing"/>
        <w:spacing w:line="480" w:lineRule="auto"/>
        <w:ind w:left="283" w:right="283"/>
        <w:jc w:val="both"/>
        <w:rPr>
          <w:rFonts w:ascii="Palatino Linotype" w:hAnsi="Palatino Linotype" w:cs="Times New Roman"/>
          <w:i/>
          <w:sz w:val="24"/>
          <w:szCs w:val="24"/>
        </w:rPr>
      </w:pPr>
      <w:r w:rsidRPr="00EC1BE0">
        <w:rPr>
          <w:rFonts w:ascii="Palatino Linotype" w:hAnsi="Palatino Linotype" w:cs="Times New Roman"/>
          <w:i/>
          <w:sz w:val="24"/>
          <w:szCs w:val="24"/>
        </w:rPr>
        <w:t>“The ideals of [pro bono] give students the fundamental opportunity to experience the expectations of a prospective lawyer”</w:t>
      </w:r>
      <w:r w:rsidRPr="00EC1BE0">
        <w:rPr>
          <w:rStyle w:val="FootnoteReference"/>
          <w:rFonts w:ascii="Palatino Linotype" w:hAnsi="Palatino Linotype" w:cs="Times New Roman"/>
          <w:i/>
          <w:sz w:val="24"/>
          <w:szCs w:val="24"/>
        </w:rPr>
        <w:footnoteReference w:id="88"/>
      </w:r>
    </w:p>
    <w:p w:rsidR="00A524D9" w:rsidRPr="00EC1BE0" w:rsidRDefault="00A524D9" w:rsidP="00EC1BE0">
      <w:pPr>
        <w:pStyle w:val="NoSpacing"/>
        <w:spacing w:line="480" w:lineRule="auto"/>
        <w:jc w:val="both"/>
        <w:rPr>
          <w:rFonts w:ascii="Palatino Linotype" w:eastAsia="Times New Roman" w:hAnsi="Palatino Linotype"/>
          <w:sz w:val="24"/>
          <w:szCs w:val="24"/>
        </w:rPr>
      </w:pPr>
      <w:r w:rsidRPr="00EC1BE0">
        <w:rPr>
          <w:rFonts w:ascii="Palatino Linotype" w:eastAsia="Times New Roman" w:hAnsi="Palatino Linotype"/>
          <w:sz w:val="24"/>
          <w:szCs w:val="24"/>
        </w:rPr>
        <w:t>There is also a perception that the experience afforded by pro bono work is different to any other experience a law student may have through their</w:t>
      </w:r>
      <w:r w:rsidR="0008363F" w:rsidRPr="00EC1BE0">
        <w:rPr>
          <w:rFonts w:ascii="Palatino Linotype" w:eastAsia="Times New Roman" w:hAnsi="Palatino Linotype"/>
          <w:sz w:val="24"/>
          <w:szCs w:val="24"/>
        </w:rPr>
        <w:t xml:space="preserve"> university career.  The students stated that the practis</w:t>
      </w:r>
      <w:r w:rsidRPr="00EC1BE0">
        <w:rPr>
          <w:rFonts w:ascii="Palatino Linotype" w:eastAsia="Times New Roman" w:hAnsi="Palatino Linotype"/>
          <w:sz w:val="24"/>
          <w:szCs w:val="24"/>
        </w:rPr>
        <w:t xml:space="preserve">e of law is </w:t>
      </w:r>
      <w:r w:rsidR="00D23864" w:rsidRPr="00EC1BE0">
        <w:rPr>
          <w:rFonts w:ascii="Palatino Linotype" w:eastAsia="Times New Roman" w:hAnsi="Palatino Linotype"/>
          <w:sz w:val="24"/>
          <w:szCs w:val="24"/>
        </w:rPr>
        <w:t xml:space="preserve">different </w:t>
      </w:r>
      <w:r w:rsidRPr="00EC1BE0">
        <w:rPr>
          <w:rFonts w:ascii="Palatino Linotype" w:eastAsia="Times New Roman" w:hAnsi="Palatino Linotype"/>
          <w:sz w:val="24"/>
          <w:szCs w:val="24"/>
        </w:rPr>
        <w:t xml:space="preserve">to how it is taught in the classroom.  Further, the experience is more beneficial than work experience </w:t>
      </w:r>
      <w:r w:rsidR="0008363F" w:rsidRPr="00EC1BE0">
        <w:rPr>
          <w:rFonts w:ascii="Palatino Linotype" w:eastAsia="Times New Roman" w:hAnsi="Palatino Linotype"/>
          <w:sz w:val="24"/>
          <w:szCs w:val="24"/>
        </w:rPr>
        <w:t xml:space="preserve">within a law firm </w:t>
      </w:r>
      <w:r w:rsidRPr="00EC1BE0">
        <w:rPr>
          <w:rFonts w:ascii="Palatino Linotype" w:eastAsia="Times New Roman" w:hAnsi="Palatino Linotype"/>
          <w:sz w:val="24"/>
          <w:szCs w:val="24"/>
        </w:rPr>
        <w:t>as it is hands on.</w:t>
      </w:r>
    </w:p>
    <w:p w:rsidR="00286029" w:rsidRPr="00EC1BE0" w:rsidRDefault="00286029" w:rsidP="00EC1BE0">
      <w:pPr>
        <w:pStyle w:val="NoSpacing"/>
        <w:spacing w:line="480" w:lineRule="auto"/>
        <w:ind w:left="283" w:right="283"/>
        <w:jc w:val="both"/>
        <w:rPr>
          <w:rFonts w:ascii="Palatino Linotype" w:hAnsi="Palatino Linotype" w:cs="Times New Roman"/>
          <w:b/>
          <w:i/>
          <w:sz w:val="24"/>
          <w:szCs w:val="24"/>
        </w:rPr>
      </w:pPr>
      <w:r w:rsidRPr="00EC1BE0">
        <w:rPr>
          <w:rFonts w:ascii="Palatino Linotype" w:eastAsia="Times New Roman" w:hAnsi="Palatino Linotype"/>
          <w:i/>
          <w:sz w:val="24"/>
          <w:szCs w:val="24"/>
        </w:rPr>
        <w:t xml:space="preserve">“There is a definitive difference between being taught the law and practicing the law. Any opportunity in which you can use the knowledge you have been taught, and putting this in to practice, will always be beneficial. Working on a </w:t>
      </w:r>
      <w:r w:rsidR="00E312D1" w:rsidRPr="00EC1BE0">
        <w:rPr>
          <w:rFonts w:ascii="Palatino Linotype" w:eastAsia="Times New Roman" w:hAnsi="Palatino Linotype"/>
          <w:i/>
          <w:sz w:val="24"/>
          <w:szCs w:val="24"/>
        </w:rPr>
        <w:t>[</w:t>
      </w:r>
      <w:r w:rsidRPr="00EC1BE0">
        <w:rPr>
          <w:rFonts w:ascii="Palatino Linotype" w:eastAsia="Times New Roman" w:hAnsi="Palatino Linotype"/>
          <w:i/>
          <w:sz w:val="24"/>
          <w:szCs w:val="24"/>
        </w:rPr>
        <w:t>pro</w:t>
      </w:r>
      <w:r w:rsidR="00E312D1" w:rsidRPr="00EC1BE0">
        <w:rPr>
          <w:rFonts w:ascii="Palatino Linotype" w:eastAsia="Times New Roman" w:hAnsi="Palatino Linotype"/>
          <w:i/>
          <w:sz w:val="24"/>
          <w:szCs w:val="24"/>
        </w:rPr>
        <w:t xml:space="preserve"> </w:t>
      </w:r>
      <w:r w:rsidRPr="00EC1BE0">
        <w:rPr>
          <w:rFonts w:ascii="Palatino Linotype" w:eastAsia="Times New Roman" w:hAnsi="Palatino Linotype"/>
          <w:i/>
          <w:sz w:val="24"/>
          <w:szCs w:val="24"/>
        </w:rPr>
        <w:t>bono</w:t>
      </w:r>
      <w:r w:rsidR="00E312D1" w:rsidRPr="00EC1BE0">
        <w:rPr>
          <w:rFonts w:ascii="Palatino Linotype" w:eastAsia="Times New Roman" w:hAnsi="Palatino Linotype"/>
          <w:i/>
          <w:sz w:val="24"/>
          <w:szCs w:val="24"/>
        </w:rPr>
        <w:t>]</w:t>
      </w:r>
      <w:r w:rsidRPr="00EC1BE0">
        <w:rPr>
          <w:rFonts w:ascii="Palatino Linotype" w:eastAsia="Times New Roman" w:hAnsi="Palatino Linotype"/>
          <w:i/>
          <w:sz w:val="24"/>
          <w:szCs w:val="24"/>
        </w:rPr>
        <w:t xml:space="preserve"> basis is unlike any mini-pupillage or vacation scheme. You are not pushed aside and left to shadow the lawyers that are working on the case, but you yourself are involved. You have a legal duty to your client. You are responsible for your client. Working a case on a </w:t>
      </w:r>
      <w:r w:rsidR="00D23864" w:rsidRPr="00EC1BE0">
        <w:rPr>
          <w:rFonts w:ascii="Palatino Linotype" w:eastAsia="Times New Roman" w:hAnsi="Palatino Linotype"/>
          <w:i/>
          <w:sz w:val="24"/>
          <w:szCs w:val="24"/>
        </w:rPr>
        <w:t>[</w:t>
      </w:r>
      <w:r w:rsidRPr="00EC1BE0">
        <w:rPr>
          <w:rFonts w:ascii="Palatino Linotype" w:eastAsia="Times New Roman" w:hAnsi="Palatino Linotype"/>
          <w:i/>
          <w:sz w:val="24"/>
          <w:szCs w:val="24"/>
        </w:rPr>
        <w:t>pro</w:t>
      </w:r>
      <w:r w:rsidR="00D23864" w:rsidRPr="00EC1BE0">
        <w:rPr>
          <w:rFonts w:ascii="Palatino Linotype" w:eastAsia="Times New Roman" w:hAnsi="Palatino Linotype"/>
          <w:i/>
          <w:sz w:val="24"/>
          <w:szCs w:val="24"/>
        </w:rPr>
        <w:t xml:space="preserve"> </w:t>
      </w:r>
      <w:r w:rsidRPr="00EC1BE0">
        <w:rPr>
          <w:rFonts w:ascii="Palatino Linotype" w:eastAsia="Times New Roman" w:hAnsi="Palatino Linotype"/>
          <w:i/>
          <w:sz w:val="24"/>
          <w:szCs w:val="24"/>
        </w:rPr>
        <w:t>bono</w:t>
      </w:r>
      <w:r w:rsidR="00D23864" w:rsidRPr="00EC1BE0">
        <w:rPr>
          <w:rFonts w:ascii="Palatino Linotype" w:eastAsia="Times New Roman" w:hAnsi="Palatino Linotype"/>
          <w:i/>
          <w:sz w:val="24"/>
          <w:szCs w:val="24"/>
        </w:rPr>
        <w:t>]</w:t>
      </w:r>
      <w:r w:rsidRPr="00EC1BE0">
        <w:rPr>
          <w:rFonts w:ascii="Palatino Linotype" w:eastAsia="Times New Roman" w:hAnsi="Palatino Linotype"/>
          <w:i/>
          <w:sz w:val="24"/>
          <w:szCs w:val="24"/>
        </w:rPr>
        <w:t xml:space="preserve"> basis creates a strong platform for a future legal career.”</w:t>
      </w:r>
      <w:r w:rsidR="00A524D9" w:rsidRPr="00EC1BE0">
        <w:rPr>
          <w:rStyle w:val="FootnoteReference"/>
          <w:rFonts w:ascii="Palatino Linotype" w:eastAsia="Times New Roman" w:hAnsi="Palatino Linotype"/>
          <w:i/>
          <w:sz w:val="24"/>
          <w:szCs w:val="24"/>
        </w:rPr>
        <w:footnoteReference w:id="89"/>
      </w:r>
    </w:p>
    <w:p w:rsidR="00A524D9" w:rsidRPr="00EC1BE0" w:rsidRDefault="00A524D9" w:rsidP="00EC1BE0">
      <w:pPr>
        <w:pStyle w:val="NoSpacing"/>
        <w:spacing w:line="480" w:lineRule="auto"/>
        <w:ind w:left="283" w:right="283"/>
        <w:jc w:val="both"/>
        <w:rPr>
          <w:rFonts w:ascii="Palatino Linotype" w:hAnsi="Palatino Linotype" w:cs="Times New Roman"/>
          <w:i/>
          <w:sz w:val="24"/>
          <w:szCs w:val="24"/>
        </w:rPr>
      </w:pPr>
    </w:p>
    <w:p w:rsidR="008531FB" w:rsidRPr="00EC1BE0" w:rsidRDefault="008531FB" w:rsidP="00EC1BE0">
      <w:pPr>
        <w:pStyle w:val="NoSpacing"/>
        <w:spacing w:line="480" w:lineRule="auto"/>
        <w:ind w:left="283" w:right="283"/>
        <w:jc w:val="both"/>
        <w:rPr>
          <w:rFonts w:ascii="Palatino Linotype" w:hAnsi="Palatino Linotype" w:cs="Times New Roman"/>
          <w:b/>
          <w:i/>
          <w:sz w:val="24"/>
          <w:szCs w:val="24"/>
        </w:rPr>
      </w:pPr>
      <w:r w:rsidRPr="00EC1BE0">
        <w:rPr>
          <w:rFonts w:ascii="Palatino Linotype" w:hAnsi="Palatino Linotype" w:cs="Times New Roman"/>
          <w:i/>
          <w:sz w:val="24"/>
          <w:szCs w:val="24"/>
        </w:rPr>
        <w:t>“The bridge between the way the law is taught at an academic level and the way the law works in reality is a very important distinction for students. Pro bono provides a degree of realism that no work experience can replicate, and is arguably a better introduc</w:t>
      </w:r>
      <w:r w:rsidR="00E312D1" w:rsidRPr="00EC1BE0">
        <w:rPr>
          <w:rFonts w:ascii="Palatino Linotype" w:hAnsi="Palatino Linotype" w:cs="Times New Roman"/>
          <w:i/>
          <w:sz w:val="24"/>
          <w:szCs w:val="24"/>
        </w:rPr>
        <w:t>tion than anything preceding a [t]</w:t>
      </w:r>
      <w:r w:rsidRPr="00EC1BE0">
        <w:rPr>
          <w:rFonts w:ascii="Palatino Linotype" w:hAnsi="Palatino Linotype" w:cs="Times New Roman"/>
          <w:i/>
          <w:sz w:val="24"/>
          <w:szCs w:val="24"/>
        </w:rPr>
        <w:t xml:space="preserve">raining </w:t>
      </w:r>
      <w:r w:rsidR="00E312D1" w:rsidRPr="00EC1BE0">
        <w:rPr>
          <w:rFonts w:ascii="Palatino Linotype" w:hAnsi="Palatino Linotype" w:cs="Times New Roman"/>
          <w:i/>
          <w:sz w:val="24"/>
          <w:szCs w:val="24"/>
        </w:rPr>
        <w:t>[c]</w:t>
      </w:r>
      <w:proofErr w:type="spellStart"/>
      <w:r w:rsidRPr="00EC1BE0">
        <w:rPr>
          <w:rFonts w:ascii="Palatino Linotype" w:hAnsi="Palatino Linotype" w:cs="Times New Roman"/>
          <w:i/>
          <w:sz w:val="24"/>
          <w:szCs w:val="24"/>
        </w:rPr>
        <w:t>ontract</w:t>
      </w:r>
      <w:proofErr w:type="spellEnd"/>
      <w:r w:rsidRPr="00EC1BE0">
        <w:rPr>
          <w:rFonts w:ascii="Palatino Linotype" w:hAnsi="Palatino Linotype" w:cs="Times New Roman"/>
          <w:i/>
          <w:sz w:val="24"/>
          <w:szCs w:val="24"/>
        </w:rPr>
        <w:t xml:space="preserve"> or </w:t>
      </w:r>
      <w:r w:rsidR="00E312D1" w:rsidRPr="00EC1BE0">
        <w:rPr>
          <w:rFonts w:ascii="Palatino Linotype" w:hAnsi="Palatino Linotype" w:cs="Times New Roman"/>
          <w:i/>
          <w:sz w:val="24"/>
          <w:szCs w:val="24"/>
        </w:rPr>
        <w:t>[p]</w:t>
      </w:r>
      <w:proofErr w:type="spellStart"/>
      <w:r w:rsidRPr="00EC1BE0">
        <w:rPr>
          <w:rFonts w:ascii="Palatino Linotype" w:hAnsi="Palatino Linotype" w:cs="Times New Roman"/>
          <w:i/>
          <w:sz w:val="24"/>
          <w:szCs w:val="24"/>
        </w:rPr>
        <w:t>upillage</w:t>
      </w:r>
      <w:proofErr w:type="spellEnd"/>
      <w:r w:rsidRPr="00EC1BE0">
        <w:rPr>
          <w:rFonts w:ascii="Palatino Linotype" w:hAnsi="Palatino Linotype" w:cs="Times New Roman"/>
          <w:i/>
          <w:sz w:val="24"/>
          <w:szCs w:val="24"/>
        </w:rPr>
        <w:t>.”</w:t>
      </w:r>
      <w:r w:rsidR="00A524D9" w:rsidRPr="00EC1BE0">
        <w:rPr>
          <w:rStyle w:val="FootnoteReference"/>
          <w:rFonts w:ascii="Palatino Linotype" w:hAnsi="Palatino Linotype" w:cs="Times New Roman"/>
          <w:i/>
          <w:sz w:val="24"/>
          <w:szCs w:val="24"/>
        </w:rPr>
        <w:footnoteReference w:id="90"/>
      </w:r>
    </w:p>
    <w:p w:rsidR="00054302" w:rsidRPr="00EC1BE0" w:rsidRDefault="00A524D9"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Further, the students also perceive that pro bono work will help them stand out from the crowd.</w:t>
      </w:r>
    </w:p>
    <w:p w:rsidR="00054302" w:rsidRPr="00EC1BE0" w:rsidRDefault="00054302" w:rsidP="00EC1BE0">
      <w:pPr>
        <w:pStyle w:val="NoSpacing"/>
        <w:spacing w:line="480" w:lineRule="auto"/>
        <w:ind w:left="283" w:right="283"/>
        <w:jc w:val="both"/>
        <w:rPr>
          <w:rFonts w:ascii="Palatino Linotype" w:hAnsi="Palatino Linotype" w:cs="Times New Roman"/>
          <w:i/>
          <w:sz w:val="24"/>
          <w:szCs w:val="24"/>
        </w:rPr>
      </w:pPr>
      <w:r w:rsidRPr="00EC1BE0">
        <w:rPr>
          <w:rFonts w:ascii="Palatino Linotype" w:hAnsi="Palatino Linotype" w:cs="Times New Roman"/>
          <w:i/>
          <w:sz w:val="24"/>
          <w:szCs w:val="24"/>
        </w:rPr>
        <w:t xml:space="preserve">“To the careerist, it offers necessary work experience to compliment applications for training contracts and pupillages.  With attrition rates for career progression being as </w:t>
      </w:r>
      <w:r w:rsidR="002A6C77" w:rsidRPr="00EC1BE0">
        <w:rPr>
          <w:rFonts w:ascii="Palatino Linotype" w:hAnsi="Palatino Linotype" w:cs="Times New Roman"/>
          <w:i/>
          <w:sz w:val="24"/>
          <w:szCs w:val="24"/>
        </w:rPr>
        <w:t>gruelling</w:t>
      </w:r>
      <w:r w:rsidRPr="00EC1BE0">
        <w:rPr>
          <w:rFonts w:ascii="Palatino Linotype" w:hAnsi="Palatino Linotype" w:cs="Times New Roman"/>
          <w:i/>
          <w:sz w:val="24"/>
          <w:szCs w:val="24"/>
        </w:rPr>
        <w:t xml:space="preserve"> as ever (most notably in the case of the bar), pro bono work offers the aspiring lawyer a chance to apply their academics to real problems. In the current recruitment climate, work experience and a commitment to the legal profession has become a pre-requisite, not a bonus. Fortunately, pro bono work offers both, and is a valuable asset to any pragmatic law student.”</w:t>
      </w:r>
      <w:r w:rsidRPr="00EC1BE0">
        <w:rPr>
          <w:rStyle w:val="FootnoteReference"/>
          <w:rFonts w:ascii="Palatino Linotype" w:hAnsi="Palatino Linotype" w:cs="Times New Roman"/>
          <w:i/>
          <w:sz w:val="24"/>
          <w:szCs w:val="24"/>
        </w:rPr>
        <w:footnoteReference w:id="91"/>
      </w:r>
    </w:p>
    <w:p w:rsidR="00E312D1" w:rsidRPr="00EC1BE0" w:rsidRDefault="00E312D1"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On a final note regarding experience, some of the students cited personal experience of engaging in pro bono work and the effect it has had on them.  For example, one student stated:</w:t>
      </w:r>
    </w:p>
    <w:p w:rsidR="00E312D1" w:rsidRPr="00EC1BE0" w:rsidRDefault="00E312D1" w:rsidP="00EC1BE0">
      <w:pPr>
        <w:pStyle w:val="NoSpacing"/>
        <w:spacing w:line="480" w:lineRule="auto"/>
        <w:ind w:left="283" w:right="283"/>
        <w:jc w:val="both"/>
        <w:rPr>
          <w:rFonts w:ascii="Palatino Linotype" w:hAnsi="Palatino Linotype" w:cs="Times New Roman"/>
          <w:sz w:val="24"/>
          <w:szCs w:val="24"/>
        </w:rPr>
      </w:pPr>
      <w:r w:rsidRPr="00EC1BE0">
        <w:rPr>
          <w:rFonts w:ascii="Palatino Linotype" w:hAnsi="Palatino Linotype" w:cs="Times New Roman"/>
          <w:sz w:val="24"/>
          <w:szCs w:val="24"/>
        </w:rPr>
        <w:t xml:space="preserve"> </w:t>
      </w:r>
      <w:r w:rsidRPr="00EC1BE0">
        <w:rPr>
          <w:rFonts w:ascii="Palatino Linotype" w:hAnsi="Palatino Linotype" w:cs="Times New Roman"/>
          <w:i/>
          <w:sz w:val="24"/>
          <w:szCs w:val="24"/>
        </w:rPr>
        <w:t>“</w:t>
      </w:r>
      <w:proofErr w:type="gramStart"/>
      <w:r w:rsidRPr="00EC1BE0">
        <w:rPr>
          <w:rFonts w:ascii="Palatino Linotype" w:hAnsi="Palatino Linotype" w:cs="Times New Roman"/>
          <w:i/>
          <w:sz w:val="24"/>
          <w:szCs w:val="24"/>
        </w:rPr>
        <w:t>having</w:t>
      </w:r>
      <w:proofErr w:type="gramEnd"/>
      <w:r w:rsidRPr="00EC1BE0">
        <w:rPr>
          <w:rFonts w:ascii="Palatino Linotype" w:hAnsi="Palatino Linotype" w:cs="Times New Roman"/>
          <w:i/>
          <w:sz w:val="24"/>
          <w:szCs w:val="24"/>
        </w:rPr>
        <w:t xml:space="preserve"> engaged with my [University’s] [pro bono] clinic…alongside volunteering at the Citizens Advice Bureau, the importance and value of [pro bono] work for the modern day law student cannot be stressed enough. The benefits are two-fold, first and foremost, the wealth of experience that a student can gain through practical work is incomparable to that of regular modular studies, secondly, engaging with [pro bono] work whether through a clinic or indeed volunteering, not only has the ability to give a law student a humbling experience, but also an appreciation for the legal sector and perhaps further motivation for the students own career.”</w:t>
      </w:r>
      <w:r w:rsidRPr="00EC1BE0">
        <w:rPr>
          <w:rStyle w:val="FootnoteReference"/>
          <w:rFonts w:ascii="Palatino Linotype" w:hAnsi="Palatino Linotype" w:cs="Times New Roman"/>
          <w:i/>
          <w:sz w:val="24"/>
          <w:szCs w:val="24"/>
        </w:rPr>
        <w:footnoteReference w:id="92"/>
      </w:r>
    </w:p>
    <w:p w:rsidR="00F66737" w:rsidRPr="00EC1BE0" w:rsidRDefault="00F66737"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The student goes on to state:</w:t>
      </w:r>
    </w:p>
    <w:p w:rsidR="00E312D1" w:rsidRPr="00EC1BE0" w:rsidRDefault="00E312D1" w:rsidP="00EC1BE0">
      <w:pPr>
        <w:pStyle w:val="NoSpacing"/>
        <w:spacing w:line="480" w:lineRule="auto"/>
        <w:ind w:left="283" w:right="283"/>
        <w:jc w:val="both"/>
        <w:rPr>
          <w:rFonts w:ascii="Palatino Linotype" w:hAnsi="Palatino Linotype" w:cs="Times New Roman"/>
          <w:i/>
          <w:sz w:val="24"/>
          <w:szCs w:val="24"/>
        </w:rPr>
      </w:pPr>
      <w:r w:rsidRPr="00EC1BE0">
        <w:rPr>
          <w:rFonts w:ascii="Palatino Linotype" w:hAnsi="Palatino Linotype" w:cs="Times New Roman"/>
          <w:i/>
          <w:sz w:val="24"/>
          <w:szCs w:val="24"/>
        </w:rPr>
        <w:t xml:space="preserve">“Aside from the practical experience that </w:t>
      </w:r>
      <w:r w:rsidR="00F66737" w:rsidRPr="00EC1BE0">
        <w:rPr>
          <w:rFonts w:ascii="Palatino Linotype" w:hAnsi="Palatino Linotype" w:cs="Times New Roman"/>
          <w:i/>
          <w:sz w:val="24"/>
          <w:szCs w:val="24"/>
        </w:rPr>
        <w:t>[</w:t>
      </w:r>
      <w:r w:rsidRPr="00EC1BE0">
        <w:rPr>
          <w:rFonts w:ascii="Palatino Linotype" w:hAnsi="Palatino Linotype" w:cs="Times New Roman"/>
          <w:i/>
          <w:sz w:val="24"/>
          <w:szCs w:val="24"/>
        </w:rPr>
        <w:t>pro</w:t>
      </w:r>
      <w:r w:rsidR="00F66737" w:rsidRPr="00EC1BE0">
        <w:rPr>
          <w:rFonts w:ascii="Palatino Linotype" w:hAnsi="Palatino Linotype" w:cs="Times New Roman"/>
          <w:i/>
          <w:sz w:val="24"/>
          <w:szCs w:val="24"/>
        </w:rPr>
        <w:t xml:space="preserve"> </w:t>
      </w:r>
      <w:r w:rsidRPr="00EC1BE0">
        <w:rPr>
          <w:rFonts w:ascii="Palatino Linotype" w:hAnsi="Palatino Linotype" w:cs="Times New Roman"/>
          <w:i/>
          <w:sz w:val="24"/>
          <w:szCs w:val="24"/>
        </w:rPr>
        <w:t>bono</w:t>
      </w:r>
      <w:r w:rsidR="00F66737" w:rsidRPr="00EC1BE0">
        <w:rPr>
          <w:rFonts w:ascii="Palatino Linotype" w:hAnsi="Palatino Linotype" w:cs="Times New Roman"/>
          <w:i/>
          <w:sz w:val="24"/>
          <w:szCs w:val="24"/>
        </w:rPr>
        <w:t>]</w:t>
      </w:r>
      <w:r w:rsidRPr="00EC1BE0">
        <w:rPr>
          <w:rFonts w:ascii="Palatino Linotype" w:hAnsi="Palatino Linotype" w:cs="Times New Roman"/>
          <w:i/>
          <w:sz w:val="24"/>
          <w:szCs w:val="24"/>
        </w:rPr>
        <w:t xml:space="preserve"> work can provide, I believe it a great way in which to instil a sense of ethics and appreciation of the client-solicitor relationship from an early stage. Both the [pro bono] clinic and the Citizens Advice Bureau allowed me to engage with those who would not normally be able to receive legal advice and as a result, I was fortunate enough to experience the appreciation projected from those that I was helping.”</w:t>
      </w:r>
      <w:r w:rsidRPr="00EC1BE0">
        <w:rPr>
          <w:rFonts w:ascii="Palatino Linotype" w:hAnsi="Palatino Linotype" w:cs="Times New Roman"/>
          <w:i/>
          <w:sz w:val="24"/>
          <w:szCs w:val="24"/>
          <w:vertAlign w:val="superscript"/>
        </w:rPr>
        <w:footnoteReference w:id="93"/>
      </w:r>
    </w:p>
    <w:p w:rsidR="00F66737" w:rsidRPr="00EC1BE0" w:rsidRDefault="00F66737" w:rsidP="00EC1BE0">
      <w:pPr>
        <w:pStyle w:val="NoSpacing"/>
        <w:spacing w:line="480" w:lineRule="auto"/>
        <w:jc w:val="both"/>
        <w:rPr>
          <w:rFonts w:ascii="Palatino Linotype" w:hAnsi="Palatino Linotype" w:cs="Times New Roman"/>
          <w:i/>
          <w:sz w:val="24"/>
          <w:szCs w:val="24"/>
        </w:rPr>
      </w:pPr>
      <w:r w:rsidRPr="00EC1BE0">
        <w:rPr>
          <w:rFonts w:ascii="Palatino Linotype" w:hAnsi="Palatino Linotype" w:cs="Times New Roman"/>
          <w:sz w:val="24"/>
          <w:szCs w:val="24"/>
        </w:rPr>
        <w:t xml:space="preserve">It is </w:t>
      </w:r>
      <w:r w:rsidR="00091BA5" w:rsidRPr="00EC1BE0">
        <w:rPr>
          <w:rFonts w:ascii="Palatino Linotype" w:hAnsi="Palatino Linotype" w:cs="Times New Roman"/>
          <w:sz w:val="24"/>
          <w:szCs w:val="24"/>
        </w:rPr>
        <w:t xml:space="preserve">possible that this experience can be </w:t>
      </w:r>
      <w:r w:rsidRPr="00EC1BE0">
        <w:rPr>
          <w:rFonts w:ascii="Palatino Linotype" w:hAnsi="Palatino Linotype" w:cs="Times New Roman"/>
          <w:sz w:val="24"/>
          <w:szCs w:val="24"/>
        </w:rPr>
        <w:t>created through the provision of a university based law clinic</w:t>
      </w:r>
      <w:r w:rsidR="00091BA5" w:rsidRPr="00EC1BE0">
        <w:rPr>
          <w:rFonts w:ascii="Palatino Linotype" w:hAnsi="Palatino Linotype" w:cs="Times New Roman"/>
          <w:sz w:val="24"/>
          <w:szCs w:val="24"/>
        </w:rPr>
        <w:t xml:space="preserve"> as summarised by another student:</w:t>
      </w:r>
    </w:p>
    <w:p w:rsidR="00091BA5" w:rsidRPr="00EC1BE0" w:rsidRDefault="00E312D1" w:rsidP="00EC1BE0">
      <w:pPr>
        <w:pStyle w:val="NoSpacing"/>
        <w:spacing w:line="480" w:lineRule="auto"/>
        <w:ind w:left="283" w:right="283"/>
        <w:jc w:val="both"/>
        <w:rPr>
          <w:rFonts w:ascii="Palatino Linotype" w:eastAsia="Times New Roman" w:hAnsi="Palatino Linotype" w:cs="Times New Roman"/>
          <w:i/>
          <w:sz w:val="24"/>
          <w:szCs w:val="24"/>
        </w:rPr>
      </w:pPr>
      <w:r w:rsidRPr="00EC1BE0">
        <w:rPr>
          <w:rFonts w:ascii="Palatino Linotype" w:eastAsia="Times New Roman" w:hAnsi="Palatino Linotype" w:cs="Times New Roman"/>
          <w:i/>
          <w:sz w:val="24"/>
          <w:szCs w:val="24"/>
        </w:rPr>
        <w:t>“Speaking as a product of Northumbria University’s Exempting Law Degree and [having] worked in their prestigious Student Law Office the benefits of [p]</w:t>
      </w:r>
      <w:proofErr w:type="spellStart"/>
      <w:r w:rsidRPr="00EC1BE0">
        <w:rPr>
          <w:rFonts w:ascii="Palatino Linotype" w:eastAsia="Times New Roman" w:hAnsi="Palatino Linotype" w:cs="Times New Roman"/>
          <w:i/>
          <w:sz w:val="24"/>
          <w:szCs w:val="24"/>
        </w:rPr>
        <w:t>ro</w:t>
      </w:r>
      <w:proofErr w:type="spellEnd"/>
      <w:r w:rsidRPr="00EC1BE0">
        <w:rPr>
          <w:rFonts w:ascii="Palatino Linotype" w:eastAsia="Times New Roman" w:hAnsi="Palatino Linotype" w:cs="Times New Roman"/>
          <w:i/>
          <w:sz w:val="24"/>
          <w:szCs w:val="24"/>
        </w:rPr>
        <w:t xml:space="preserve"> [b]ono are benefits that I have experienced personally. My resounding support for [p]</w:t>
      </w:r>
      <w:proofErr w:type="spellStart"/>
      <w:r w:rsidRPr="00EC1BE0">
        <w:rPr>
          <w:rFonts w:ascii="Palatino Linotype" w:eastAsia="Times New Roman" w:hAnsi="Palatino Linotype" w:cs="Times New Roman"/>
          <w:i/>
          <w:sz w:val="24"/>
          <w:szCs w:val="24"/>
        </w:rPr>
        <w:t>ro</w:t>
      </w:r>
      <w:proofErr w:type="spellEnd"/>
      <w:r w:rsidRPr="00EC1BE0">
        <w:rPr>
          <w:rFonts w:ascii="Palatino Linotype" w:eastAsia="Times New Roman" w:hAnsi="Palatino Linotype" w:cs="Times New Roman"/>
          <w:i/>
          <w:sz w:val="24"/>
          <w:szCs w:val="24"/>
        </w:rPr>
        <w:t xml:space="preserve"> [b]ono legal work therefore comes from experience.”</w:t>
      </w:r>
      <w:r w:rsidRPr="00EC1BE0">
        <w:rPr>
          <w:rStyle w:val="FootnoteReference"/>
          <w:rFonts w:ascii="Palatino Linotype" w:eastAsia="Times New Roman" w:hAnsi="Palatino Linotype" w:cs="Times New Roman"/>
          <w:i/>
          <w:sz w:val="24"/>
          <w:szCs w:val="24"/>
        </w:rPr>
        <w:footnoteReference w:id="94"/>
      </w:r>
    </w:p>
    <w:p w:rsidR="00091BA5" w:rsidRDefault="00091BA5" w:rsidP="00EC1BE0">
      <w:pPr>
        <w:pStyle w:val="NoSpacing"/>
        <w:spacing w:line="480" w:lineRule="auto"/>
        <w:jc w:val="both"/>
        <w:rPr>
          <w:rFonts w:ascii="Palatino Linotype" w:eastAsia="Times New Roman" w:hAnsi="Palatino Linotype" w:cs="Times New Roman"/>
          <w:sz w:val="24"/>
          <w:szCs w:val="24"/>
        </w:rPr>
      </w:pPr>
    </w:p>
    <w:p w:rsidR="008C087B" w:rsidRPr="00EC1BE0" w:rsidRDefault="008C087B" w:rsidP="00EC1BE0">
      <w:pPr>
        <w:pStyle w:val="NoSpacing"/>
        <w:spacing w:line="480" w:lineRule="auto"/>
        <w:jc w:val="both"/>
        <w:rPr>
          <w:rFonts w:ascii="Palatino Linotype" w:eastAsia="Times New Roman" w:hAnsi="Palatino Linotype" w:cs="Times New Roman"/>
          <w:sz w:val="24"/>
          <w:szCs w:val="24"/>
        </w:rPr>
      </w:pPr>
    </w:p>
    <w:p w:rsidR="00F24179" w:rsidRPr="00EC1BE0" w:rsidRDefault="00F24179" w:rsidP="00EC1BE0">
      <w:pPr>
        <w:pStyle w:val="NoSpacing"/>
        <w:numPr>
          <w:ilvl w:val="0"/>
          <w:numId w:val="5"/>
        </w:numPr>
        <w:spacing w:line="480" w:lineRule="auto"/>
        <w:jc w:val="both"/>
        <w:rPr>
          <w:rFonts w:ascii="Palatino Linotype" w:hAnsi="Palatino Linotype" w:cs="Times New Roman"/>
          <w:i/>
          <w:sz w:val="24"/>
          <w:szCs w:val="24"/>
        </w:rPr>
      </w:pPr>
      <w:r w:rsidRPr="00EC1BE0">
        <w:rPr>
          <w:rFonts w:ascii="Palatino Linotype" w:hAnsi="Palatino Linotype" w:cs="Times New Roman"/>
          <w:i/>
          <w:sz w:val="24"/>
          <w:szCs w:val="24"/>
        </w:rPr>
        <w:t>Employability</w:t>
      </w:r>
    </w:p>
    <w:p w:rsidR="00F24179" w:rsidRPr="00EC1BE0" w:rsidRDefault="00F24179"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As discussed above, experience through pro bono work can also enhance employability.</w:t>
      </w:r>
      <w:r w:rsidR="00582782" w:rsidRPr="00EC1BE0">
        <w:rPr>
          <w:rFonts w:ascii="Palatino Linotype" w:hAnsi="Palatino Linotype" w:cs="Times New Roman"/>
          <w:sz w:val="24"/>
          <w:szCs w:val="24"/>
        </w:rPr>
        <w:t xml:space="preserve">  Students made frequent references to the opportunity to build their CV:</w:t>
      </w:r>
    </w:p>
    <w:p w:rsidR="00F24179" w:rsidRPr="00EC1BE0" w:rsidRDefault="00F24179" w:rsidP="00EC1BE0">
      <w:pPr>
        <w:pStyle w:val="NoSpacing"/>
        <w:spacing w:line="480" w:lineRule="auto"/>
        <w:ind w:left="283" w:right="283"/>
        <w:jc w:val="both"/>
        <w:rPr>
          <w:rFonts w:ascii="Palatino Linotype" w:hAnsi="Palatino Linotype" w:cs="Times New Roman"/>
          <w:i/>
          <w:sz w:val="24"/>
          <w:szCs w:val="24"/>
        </w:rPr>
      </w:pPr>
      <w:r w:rsidRPr="00EC1BE0">
        <w:rPr>
          <w:rFonts w:ascii="Palatino Linotype" w:hAnsi="Palatino Linotype" w:cs="Times New Roman"/>
          <w:i/>
          <w:sz w:val="24"/>
          <w:szCs w:val="24"/>
        </w:rPr>
        <w:t>“Pro bono work is invaluable to the CV of any law student, and is quickly becoming a necessity rather than an addition. It is not difficult to see why. Pro bono work provides hands-on experience with real life clients, cases and legal processes. If a candidate can demonstrate a proven ability for the kind of tasks which would be assigned to them during employment, then half the battle is already won.”</w:t>
      </w:r>
      <w:r w:rsidRPr="00EC1BE0">
        <w:rPr>
          <w:rStyle w:val="FootnoteReference"/>
          <w:rFonts w:ascii="Palatino Linotype" w:hAnsi="Palatino Linotype" w:cs="Times New Roman"/>
          <w:i/>
          <w:sz w:val="24"/>
          <w:szCs w:val="24"/>
        </w:rPr>
        <w:footnoteReference w:id="95"/>
      </w:r>
    </w:p>
    <w:p w:rsidR="00582782" w:rsidRPr="00EC1BE0" w:rsidRDefault="00582782"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Further, another student considered the issue of pro bono from the perspective of potential employers and satisfying their own pro bono initiatives:</w:t>
      </w:r>
    </w:p>
    <w:p w:rsidR="00F24179" w:rsidRPr="00EC1BE0" w:rsidRDefault="00F24179" w:rsidP="00EC1BE0">
      <w:pPr>
        <w:pStyle w:val="NoSpacing"/>
        <w:spacing w:line="480" w:lineRule="auto"/>
        <w:ind w:left="283" w:right="283"/>
        <w:jc w:val="both"/>
        <w:rPr>
          <w:rFonts w:ascii="Palatino Linotype" w:hAnsi="Palatino Linotype" w:cs="Times New Roman"/>
          <w:i/>
          <w:sz w:val="24"/>
          <w:szCs w:val="24"/>
        </w:rPr>
      </w:pPr>
      <w:r w:rsidRPr="00EC1BE0">
        <w:rPr>
          <w:rFonts w:ascii="Palatino Linotype" w:hAnsi="Palatino Linotype" w:cs="Times New Roman"/>
          <w:i/>
          <w:sz w:val="24"/>
          <w:szCs w:val="24"/>
        </w:rPr>
        <w:t>“More and more law firms see the need for pro bono work and expect their lawyers to contribute. Why wait until it’s expected of you? Impress them by having made a start on your own initiative”</w:t>
      </w:r>
    </w:p>
    <w:p w:rsidR="00F63FAC" w:rsidRPr="00EC1BE0" w:rsidRDefault="00B16E1D"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Whilst the students suggest that pro bono will assist them in securing employment, interestingly, graduate recruitment is also cited as a reason for law firms to have pro bono programmes</w:t>
      </w:r>
      <w:r w:rsidR="00F63FAC" w:rsidRPr="00EC1BE0">
        <w:rPr>
          <w:rFonts w:ascii="Palatino Linotype" w:hAnsi="Palatino Linotype" w:cs="Times New Roman"/>
          <w:sz w:val="24"/>
          <w:szCs w:val="24"/>
        </w:rPr>
        <w:t xml:space="preserve">.  The Law Society of England and Wales </w:t>
      </w:r>
      <w:r w:rsidR="0052767D" w:rsidRPr="00EC1BE0">
        <w:rPr>
          <w:rFonts w:ascii="Palatino Linotype" w:hAnsi="Palatino Linotype" w:cs="Times New Roman"/>
          <w:sz w:val="24"/>
          <w:szCs w:val="24"/>
        </w:rPr>
        <w:t>report that</w:t>
      </w:r>
      <w:r w:rsidR="00F63FAC" w:rsidRPr="00EC1BE0">
        <w:rPr>
          <w:rFonts w:ascii="Palatino Linotype" w:hAnsi="Palatino Linotype" w:cs="Times New Roman"/>
          <w:sz w:val="24"/>
          <w:szCs w:val="24"/>
        </w:rPr>
        <w:t xml:space="preserve">: </w:t>
      </w:r>
    </w:p>
    <w:p w:rsidR="00F24179" w:rsidRPr="00EC1BE0" w:rsidRDefault="00F63FAC" w:rsidP="00EC1BE0">
      <w:pPr>
        <w:pStyle w:val="NoSpacing"/>
        <w:spacing w:line="480" w:lineRule="auto"/>
        <w:ind w:left="284" w:right="237"/>
        <w:jc w:val="both"/>
        <w:rPr>
          <w:rFonts w:ascii="Palatino Linotype" w:hAnsi="Palatino Linotype" w:cs="Times New Roman"/>
          <w:i/>
          <w:sz w:val="24"/>
          <w:szCs w:val="24"/>
        </w:rPr>
      </w:pPr>
      <w:r w:rsidRPr="00EC1BE0">
        <w:rPr>
          <w:rFonts w:ascii="Palatino Linotype" w:hAnsi="Palatino Linotype" w:cs="Times New Roman"/>
          <w:i/>
          <w:sz w:val="24"/>
          <w:szCs w:val="24"/>
        </w:rPr>
        <w:t>‘New graduates expect much more than just a healthy remuneration package and good career prospects; many law firms report that students being interviewed for vacation schemes ask detailed questions about their firm’s pro bono programme and the opportunities available to them.’</w:t>
      </w:r>
      <w:r w:rsidRPr="00EC1BE0">
        <w:rPr>
          <w:rStyle w:val="FootnoteReference"/>
          <w:rFonts w:ascii="Palatino Linotype" w:hAnsi="Palatino Linotype" w:cs="Times New Roman"/>
          <w:i/>
          <w:sz w:val="24"/>
          <w:szCs w:val="24"/>
        </w:rPr>
        <w:footnoteReference w:id="96"/>
      </w:r>
    </w:p>
    <w:p w:rsidR="00F63FAC" w:rsidRPr="00EC1BE0" w:rsidRDefault="0052767D" w:rsidP="00EC1BE0">
      <w:pPr>
        <w:pStyle w:val="NoSpacing"/>
        <w:spacing w:line="480" w:lineRule="auto"/>
        <w:ind w:right="-22"/>
        <w:jc w:val="both"/>
        <w:rPr>
          <w:rFonts w:ascii="Palatino Linotype" w:hAnsi="Palatino Linotype" w:cs="Times New Roman"/>
          <w:sz w:val="24"/>
          <w:szCs w:val="24"/>
        </w:rPr>
      </w:pPr>
      <w:r w:rsidRPr="00EC1BE0">
        <w:rPr>
          <w:rFonts w:ascii="Palatino Linotype" w:hAnsi="Palatino Linotype" w:cs="Times New Roman"/>
          <w:sz w:val="24"/>
          <w:szCs w:val="24"/>
        </w:rPr>
        <w:t>It appears that law firms, in part, will offer a pro bono programme to attract high-calibre graduates while students will undertake pro bono opportunities to secure employment.  This suggests that pro bono capacity is potentially increased by both law firms and students desire to stand out to each other.</w:t>
      </w:r>
    </w:p>
    <w:p w:rsidR="0052767D" w:rsidRPr="00EC1BE0" w:rsidRDefault="0052767D" w:rsidP="00EC1BE0">
      <w:pPr>
        <w:pStyle w:val="NoSpacing"/>
        <w:spacing w:line="480" w:lineRule="auto"/>
        <w:ind w:right="-22"/>
        <w:jc w:val="both"/>
        <w:rPr>
          <w:rFonts w:ascii="Palatino Linotype" w:hAnsi="Palatino Linotype" w:cs="Times New Roman"/>
          <w:sz w:val="24"/>
          <w:szCs w:val="24"/>
        </w:rPr>
      </w:pPr>
    </w:p>
    <w:p w:rsidR="00AC2253" w:rsidRPr="00EC1BE0" w:rsidRDefault="00AC2253" w:rsidP="00EC1BE0">
      <w:pPr>
        <w:pStyle w:val="NoSpacing"/>
        <w:numPr>
          <w:ilvl w:val="0"/>
          <w:numId w:val="5"/>
        </w:numPr>
        <w:spacing w:line="480" w:lineRule="auto"/>
        <w:jc w:val="both"/>
        <w:rPr>
          <w:rFonts w:ascii="Palatino Linotype" w:hAnsi="Palatino Linotype" w:cs="Times New Roman"/>
          <w:i/>
          <w:sz w:val="24"/>
          <w:szCs w:val="24"/>
        </w:rPr>
      </w:pPr>
      <w:r w:rsidRPr="00EC1BE0">
        <w:rPr>
          <w:rFonts w:ascii="Palatino Linotype" w:hAnsi="Palatino Linotype" w:cs="Times New Roman"/>
          <w:i/>
          <w:sz w:val="24"/>
          <w:szCs w:val="24"/>
        </w:rPr>
        <w:t>Academic</w:t>
      </w:r>
    </w:p>
    <w:p w:rsidR="00F24179" w:rsidRPr="00EC1BE0" w:rsidRDefault="002F1C16"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 xml:space="preserve">Four of the students </w:t>
      </w:r>
      <w:r w:rsidR="002A6C77" w:rsidRPr="00EC1BE0">
        <w:rPr>
          <w:rFonts w:ascii="Palatino Linotype" w:hAnsi="Palatino Linotype" w:cs="Times New Roman"/>
          <w:sz w:val="24"/>
          <w:szCs w:val="24"/>
        </w:rPr>
        <w:t>identified</w:t>
      </w:r>
      <w:r w:rsidRPr="00EC1BE0">
        <w:rPr>
          <w:rFonts w:ascii="Palatino Linotype" w:hAnsi="Palatino Linotype" w:cs="Times New Roman"/>
          <w:sz w:val="24"/>
          <w:szCs w:val="24"/>
        </w:rPr>
        <w:t xml:space="preserve"> enhancing a student’s academic understanding of the law as a motivating factor to undertake pro bono work.</w:t>
      </w:r>
      <w:r w:rsidR="0052767D" w:rsidRPr="00EC1BE0">
        <w:rPr>
          <w:rStyle w:val="FootnoteReference"/>
          <w:rFonts w:ascii="Palatino Linotype" w:hAnsi="Palatino Linotype" w:cs="Times New Roman"/>
          <w:sz w:val="24"/>
          <w:szCs w:val="24"/>
        </w:rPr>
        <w:footnoteReference w:id="97"/>
      </w:r>
      <w:r w:rsidRPr="00EC1BE0">
        <w:rPr>
          <w:rFonts w:ascii="Palatino Linotype" w:hAnsi="Palatino Linotype" w:cs="Times New Roman"/>
          <w:sz w:val="24"/>
          <w:szCs w:val="24"/>
        </w:rPr>
        <w:t xml:space="preserve">  The theme of this motivation is that p</w:t>
      </w:r>
      <w:r w:rsidR="00AC2253" w:rsidRPr="00EC1BE0">
        <w:rPr>
          <w:rFonts w:ascii="Palatino Linotype" w:hAnsi="Palatino Linotype" w:cs="Times New Roman"/>
          <w:sz w:val="24"/>
          <w:szCs w:val="24"/>
        </w:rPr>
        <w:t xml:space="preserve">ro bono </w:t>
      </w:r>
      <w:r w:rsidRPr="00EC1BE0">
        <w:rPr>
          <w:rFonts w:ascii="Palatino Linotype" w:hAnsi="Palatino Linotype" w:cs="Times New Roman"/>
          <w:sz w:val="24"/>
          <w:szCs w:val="24"/>
        </w:rPr>
        <w:t xml:space="preserve">work </w:t>
      </w:r>
      <w:r w:rsidR="00AC2253" w:rsidRPr="00EC1BE0">
        <w:rPr>
          <w:rFonts w:ascii="Palatino Linotype" w:hAnsi="Palatino Linotype" w:cs="Times New Roman"/>
          <w:sz w:val="24"/>
          <w:szCs w:val="24"/>
        </w:rPr>
        <w:t xml:space="preserve">improves </w:t>
      </w:r>
      <w:r w:rsidRPr="00EC1BE0">
        <w:rPr>
          <w:rFonts w:ascii="Palatino Linotype" w:hAnsi="Palatino Linotype" w:cs="Times New Roman"/>
          <w:sz w:val="24"/>
          <w:szCs w:val="24"/>
        </w:rPr>
        <w:t xml:space="preserve">their </w:t>
      </w:r>
      <w:r w:rsidR="00AC2253" w:rsidRPr="00EC1BE0">
        <w:rPr>
          <w:rFonts w:ascii="Palatino Linotype" w:hAnsi="Palatino Linotype" w:cs="Times New Roman"/>
          <w:sz w:val="24"/>
          <w:szCs w:val="24"/>
        </w:rPr>
        <w:t>academic understanding of the law by placing it into context</w:t>
      </w:r>
      <w:r w:rsidRPr="00EC1BE0">
        <w:rPr>
          <w:rFonts w:ascii="Palatino Linotype" w:hAnsi="Palatino Linotype" w:cs="Times New Roman"/>
          <w:sz w:val="24"/>
          <w:szCs w:val="24"/>
        </w:rPr>
        <w:t xml:space="preserve"> as shown in the quote below:</w:t>
      </w:r>
    </w:p>
    <w:p w:rsidR="00AC2253" w:rsidRPr="00EC1BE0" w:rsidRDefault="00AC2253" w:rsidP="00EC1BE0">
      <w:pPr>
        <w:pStyle w:val="NoSpacing"/>
        <w:spacing w:line="480" w:lineRule="auto"/>
        <w:ind w:left="283" w:right="283"/>
        <w:jc w:val="both"/>
        <w:rPr>
          <w:rFonts w:ascii="Palatino Linotype" w:hAnsi="Palatino Linotype" w:cs="Times New Roman"/>
          <w:i/>
          <w:sz w:val="24"/>
          <w:szCs w:val="24"/>
        </w:rPr>
      </w:pPr>
      <w:r w:rsidRPr="00EC1BE0">
        <w:rPr>
          <w:rFonts w:ascii="Palatino Linotype" w:hAnsi="Palatino Linotype" w:cs="Times New Roman"/>
          <w:i/>
          <w:sz w:val="24"/>
          <w:szCs w:val="24"/>
        </w:rPr>
        <w:t xml:space="preserve">“Academics have long discussed the ramifications of graduates that are technically sound in knowledge of the law itself and the procedural steps that accompany statute, but could not begin to understand the effects on a client of the application of said statute. For example, you may understand that an application can be made under Section 33 of the Family Law Act 1996 for an Occupation Order but until you have met the client who happens to be a victim of domestic violence, who fears for the safety of her children and understood how this application will affect this whole </w:t>
      </w:r>
      <w:r w:rsidR="00495ABF" w:rsidRPr="00EC1BE0">
        <w:rPr>
          <w:rFonts w:ascii="Palatino Linotype" w:hAnsi="Palatino Linotype" w:cs="Times New Roman"/>
          <w:i/>
          <w:sz w:val="24"/>
          <w:szCs w:val="24"/>
        </w:rPr>
        <w:t>[</w:t>
      </w:r>
      <w:r w:rsidR="00310F9D" w:rsidRPr="00EC1BE0">
        <w:rPr>
          <w:rFonts w:ascii="Palatino Linotype" w:hAnsi="Palatino Linotype" w:cs="Times New Roman"/>
          <w:i/>
          <w:sz w:val="24"/>
          <w:szCs w:val="24"/>
        </w:rPr>
        <w:t>family’</w:t>
      </w:r>
      <w:r w:rsidRPr="00EC1BE0">
        <w:rPr>
          <w:rFonts w:ascii="Palatino Linotype" w:hAnsi="Palatino Linotype" w:cs="Times New Roman"/>
          <w:i/>
          <w:sz w:val="24"/>
          <w:szCs w:val="24"/>
        </w:rPr>
        <w:t>s</w:t>
      </w:r>
      <w:r w:rsidR="00495ABF" w:rsidRPr="00EC1BE0">
        <w:rPr>
          <w:rFonts w:ascii="Palatino Linotype" w:hAnsi="Palatino Linotype" w:cs="Times New Roman"/>
          <w:i/>
          <w:sz w:val="24"/>
          <w:szCs w:val="24"/>
        </w:rPr>
        <w:t>]</w:t>
      </w:r>
      <w:r w:rsidR="00342F23" w:rsidRPr="00EC1BE0">
        <w:rPr>
          <w:rFonts w:ascii="Palatino Linotype" w:hAnsi="Palatino Linotype" w:cs="Times New Roman"/>
          <w:i/>
          <w:sz w:val="24"/>
          <w:szCs w:val="24"/>
        </w:rPr>
        <w:t xml:space="preserve"> </w:t>
      </w:r>
      <w:r w:rsidRPr="00EC1BE0">
        <w:rPr>
          <w:rFonts w:ascii="Palatino Linotype" w:hAnsi="Palatino Linotype" w:cs="Times New Roman"/>
          <w:i/>
          <w:sz w:val="24"/>
          <w:szCs w:val="24"/>
        </w:rPr>
        <w:t>life you cannot truly believe yourself to be educated in that area of law.”</w:t>
      </w:r>
      <w:r w:rsidRPr="00EC1BE0">
        <w:rPr>
          <w:rStyle w:val="FootnoteReference"/>
          <w:rFonts w:ascii="Palatino Linotype" w:hAnsi="Palatino Linotype" w:cs="Times New Roman"/>
          <w:i/>
          <w:sz w:val="24"/>
          <w:szCs w:val="24"/>
        </w:rPr>
        <w:footnoteReference w:id="98"/>
      </w:r>
    </w:p>
    <w:p w:rsidR="002F1C16" w:rsidRPr="00EC1BE0" w:rsidRDefault="002F1C16"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There was also an appreciation from</w:t>
      </w:r>
      <w:r w:rsidR="00495ABF" w:rsidRPr="00EC1BE0">
        <w:rPr>
          <w:rFonts w:ascii="Palatino Linotype" w:hAnsi="Palatino Linotype" w:cs="Times New Roman"/>
          <w:sz w:val="24"/>
          <w:szCs w:val="24"/>
        </w:rPr>
        <w:t xml:space="preserve"> these students that the academic law can be different to the practical law with one student stating:</w:t>
      </w:r>
    </w:p>
    <w:p w:rsidR="00495ABF" w:rsidRPr="00EC1BE0" w:rsidRDefault="00495ABF" w:rsidP="00EC1BE0">
      <w:pPr>
        <w:pStyle w:val="NoSpacing"/>
        <w:spacing w:line="480" w:lineRule="auto"/>
        <w:ind w:left="283" w:right="283"/>
        <w:jc w:val="both"/>
        <w:rPr>
          <w:rFonts w:ascii="Palatino Linotype" w:hAnsi="Palatino Linotype" w:cs="Times New Roman"/>
          <w:i/>
          <w:sz w:val="24"/>
          <w:szCs w:val="24"/>
        </w:rPr>
      </w:pPr>
      <w:r w:rsidRPr="00EC1BE0">
        <w:rPr>
          <w:rFonts w:ascii="Palatino Linotype" w:hAnsi="Palatino Linotype" w:cs="Times New Roman"/>
          <w:i/>
          <w:sz w:val="24"/>
          <w:szCs w:val="24"/>
        </w:rPr>
        <w:t>“[Although] it’s easy to get lost in the intricacies of implied terms and the construction of contracts, practical law is often very different to academic law. Therefore, for the enthusiast, exposure to real cases and the ability to assist and advise both collaboratively and autonomously is an excellent learning tool and will invariably help cement essential legal principles in the context of tangible problems.”</w:t>
      </w:r>
      <w:r w:rsidRPr="00EC1BE0">
        <w:rPr>
          <w:rStyle w:val="FootnoteReference"/>
          <w:rFonts w:ascii="Palatino Linotype" w:hAnsi="Palatino Linotype" w:cs="Times New Roman"/>
          <w:i/>
          <w:sz w:val="24"/>
          <w:szCs w:val="24"/>
        </w:rPr>
        <w:footnoteReference w:id="99"/>
      </w:r>
    </w:p>
    <w:p w:rsidR="00495ABF" w:rsidRPr="00EC1BE0" w:rsidRDefault="00495ABF" w:rsidP="00EC1BE0">
      <w:pPr>
        <w:pStyle w:val="NoSpacing"/>
        <w:spacing w:line="480" w:lineRule="auto"/>
        <w:jc w:val="both"/>
        <w:rPr>
          <w:rFonts w:ascii="Palatino Linotype" w:hAnsi="Palatino Linotype" w:cs="Times New Roman"/>
          <w:sz w:val="24"/>
          <w:szCs w:val="24"/>
        </w:rPr>
      </w:pPr>
    </w:p>
    <w:p w:rsidR="00342F23" w:rsidRPr="00EC1BE0" w:rsidRDefault="00342F23" w:rsidP="00EC1BE0">
      <w:pPr>
        <w:pStyle w:val="NoSpacing"/>
        <w:numPr>
          <w:ilvl w:val="0"/>
          <w:numId w:val="5"/>
        </w:numPr>
        <w:spacing w:line="480" w:lineRule="auto"/>
        <w:jc w:val="both"/>
        <w:rPr>
          <w:rFonts w:ascii="Palatino Linotype" w:hAnsi="Palatino Linotype" w:cs="Times New Roman"/>
          <w:i/>
          <w:sz w:val="24"/>
          <w:szCs w:val="24"/>
        </w:rPr>
      </w:pPr>
      <w:r w:rsidRPr="00EC1BE0">
        <w:rPr>
          <w:rFonts w:ascii="Palatino Linotype" w:hAnsi="Palatino Linotype" w:cs="Times New Roman"/>
          <w:i/>
          <w:sz w:val="24"/>
          <w:szCs w:val="24"/>
        </w:rPr>
        <w:t>Satisfaction</w:t>
      </w:r>
    </w:p>
    <w:p w:rsidR="00D83928" w:rsidRPr="00EC1BE0" w:rsidRDefault="006D3BFC"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 xml:space="preserve">Personal and job satisfaction is often cited as a reason to undertake pro bono work.  </w:t>
      </w:r>
      <w:r w:rsidR="00AA13B3" w:rsidRPr="00EC1BE0">
        <w:rPr>
          <w:rFonts w:ascii="Palatino Linotype" w:hAnsi="Palatino Linotype" w:cs="Times New Roman"/>
          <w:sz w:val="24"/>
          <w:szCs w:val="24"/>
        </w:rPr>
        <w:t xml:space="preserve">There is an inherent satisfaction in doing a good deed and doing a good job for someone. </w:t>
      </w:r>
      <w:r w:rsidR="009A564C" w:rsidRPr="00EC1BE0">
        <w:rPr>
          <w:rFonts w:ascii="Palatino Linotype" w:hAnsi="Palatino Linotype" w:cs="Times New Roman"/>
          <w:sz w:val="24"/>
          <w:szCs w:val="24"/>
        </w:rPr>
        <w:t xml:space="preserve"> </w:t>
      </w:r>
      <w:proofErr w:type="spellStart"/>
      <w:r w:rsidR="00D83928" w:rsidRPr="00EC1BE0">
        <w:rPr>
          <w:rFonts w:ascii="Palatino Linotype" w:hAnsi="Palatino Linotype" w:cs="Times New Roman"/>
          <w:sz w:val="24"/>
          <w:szCs w:val="24"/>
        </w:rPr>
        <w:t>Dinovitzer</w:t>
      </w:r>
      <w:proofErr w:type="spellEnd"/>
      <w:r w:rsidR="00D83928" w:rsidRPr="00EC1BE0">
        <w:rPr>
          <w:rFonts w:ascii="Palatino Linotype" w:hAnsi="Palatino Linotype" w:cs="Times New Roman"/>
          <w:sz w:val="24"/>
          <w:szCs w:val="24"/>
        </w:rPr>
        <w:t xml:space="preserve"> and Garth</w:t>
      </w:r>
      <w:r w:rsidR="0057200D" w:rsidRPr="00EC1BE0">
        <w:rPr>
          <w:rFonts w:ascii="Palatino Linotype" w:hAnsi="Palatino Linotype" w:cs="Times New Roman"/>
          <w:sz w:val="24"/>
          <w:szCs w:val="24"/>
        </w:rPr>
        <w:t xml:space="preserve"> report that engaging in</w:t>
      </w:r>
      <w:r w:rsidR="009A564C" w:rsidRPr="00EC1BE0">
        <w:rPr>
          <w:rFonts w:ascii="Palatino Linotype" w:hAnsi="Palatino Linotype" w:cs="Times New Roman"/>
          <w:sz w:val="24"/>
          <w:szCs w:val="24"/>
        </w:rPr>
        <w:t xml:space="preserve"> some pro bono work provided a sense of satisfaction for respondents although more pro bono hours significantly decreased satisfaction.</w:t>
      </w:r>
      <w:r w:rsidR="009A564C" w:rsidRPr="00EC1BE0">
        <w:rPr>
          <w:rStyle w:val="FootnoteReference"/>
          <w:rFonts w:ascii="Palatino Linotype" w:hAnsi="Palatino Linotype" w:cs="Times New Roman"/>
          <w:sz w:val="24"/>
          <w:szCs w:val="24"/>
        </w:rPr>
        <w:footnoteReference w:id="100"/>
      </w:r>
      <w:r w:rsidR="009A564C" w:rsidRPr="00EC1BE0">
        <w:rPr>
          <w:rFonts w:ascii="Palatino Linotype" w:hAnsi="Palatino Linotype" w:cs="Times New Roman"/>
          <w:sz w:val="24"/>
          <w:szCs w:val="24"/>
        </w:rPr>
        <w:t xml:space="preserve">  </w:t>
      </w:r>
      <w:r w:rsidR="00D83928" w:rsidRPr="00EC1BE0">
        <w:rPr>
          <w:rFonts w:ascii="Palatino Linotype" w:hAnsi="Palatino Linotype" w:cs="Times New Roman"/>
          <w:sz w:val="24"/>
          <w:szCs w:val="24"/>
        </w:rPr>
        <w:t>This supports the notion that doing some altruistic work is beneficial but doing too much may have a negative impact on the individual.  It is suggested that this negative impact may be as a result of too little paying work within the law firm or a ‘lack of fit’ between the pro bono and the business.</w:t>
      </w:r>
      <w:r w:rsidR="00D83928" w:rsidRPr="00EC1BE0">
        <w:rPr>
          <w:rStyle w:val="FootnoteReference"/>
          <w:rFonts w:ascii="Palatino Linotype" w:hAnsi="Palatino Linotype" w:cs="Times New Roman"/>
          <w:sz w:val="24"/>
          <w:szCs w:val="24"/>
        </w:rPr>
        <w:footnoteReference w:id="101"/>
      </w:r>
      <w:r w:rsidR="00D83928" w:rsidRPr="00EC1BE0">
        <w:rPr>
          <w:rFonts w:ascii="Palatino Linotype" w:hAnsi="Palatino Linotype" w:cs="Times New Roman"/>
          <w:sz w:val="24"/>
          <w:szCs w:val="24"/>
        </w:rPr>
        <w:t xml:space="preserve"> </w:t>
      </w:r>
    </w:p>
    <w:p w:rsidR="00AA13B3" w:rsidRPr="00EC1BE0" w:rsidRDefault="00D83928"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Satisfaction was also cited and appeared to be</w:t>
      </w:r>
      <w:r w:rsidR="00AA13B3" w:rsidRPr="00EC1BE0">
        <w:rPr>
          <w:rFonts w:ascii="Palatino Linotype" w:hAnsi="Palatino Linotype" w:cs="Times New Roman"/>
          <w:sz w:val="24"/>
          <w:szCs w:val="24"/>
        </w:rPr>
        <w:t xml:space="preserve"> a strong motivating factor by six </w:t>
      </w:r>
      <w:r w:rsidR="004F0B4C" w:rsidRPr="00EC1BE0">
        <w:rPr>
          <w:rFonts w:ascii="Palatino Linotype" w:hAnsi="Palatino Linotype" w:cs="Times New Roman"/>
          <w:sz w:val="24"/>
          <w:szCs w:val="24"/>
        </w:rPr>
        <w:t>of the students in their essays with one student saying:</w:t>
      </w:r>
    </w:p>
    <w:p w:rsidR="00342F23" w:rsidRPr="00EC1BE0" w:rsidRDefault="00342F23" w:rsidP="00EC1BE0">
      <w:pPr>
        <w:pStyle w:val="NoSpacing"/>
        <w:spacing w:line="480" w:lineRule="auto"/>
        <w:ind w:left="283" w:right="283"/>
        <w:jc w:val="both"/>
        <w:rPr>
          <w:rFonts w:ascii="Palatino Linotype" w:hAnsi="Palatino Linotype" w:cs="Times New Roman"/>
          <w:i/>
          <w:sz w:val="24"/>
          <w:szCs w:val="24"/>
        </w:rPr>
      </w:pPr>
      <w:r w:rsidRPr="00EC1BE0">
        <w:rPr>
          <w:rFonts w:ascii="Palatino Linotype" w:hAnsi="Palatino Linotype" w:cs="Times New Roman"/>
          <w:i/>
          <w:sz w:val="24"/>
          <w:szCs w:val="24"/>
        </w:rPr>
        <w:t xml:space="preserve">“Law students are rewarded and paid in the sense of job satisfaction. The payment is the feeling you get knowing that you have been able to help someone. Knowing that you are able to put what you have learnt in to practice. Knowing that if you can successfully handle a </w:t>
      </w:r>
      <w:r w:rsidR="00310F9D" w:rsidRPr="00EC1BE0">
        <w:rPr>
          <w:rFonts w:ascii="Palatino Linotype" w:hAnsi="Palatino Linotype" w:cs="Times New Roman"/>
          <w:i/>
          <w:sz w:val="24"/>
          <w:szCs w:val="24"/>
        </w:rPr>
        <w:t>[</w:t>
      </w:r>
      <w:r w:rsidRPr="00EC1BE0">
        <w:rPr>
          <w:rFonts w:ascii="Palatino Linotype" w:hAnsi="Palatino Linotype" w:cs="Times New Roman"/>
          <w:i/>
          <w:sz w:val="24"/>
          <w:szCs w:val="24"/>
        </w:rPr>
        <w:t>pro</w:t>
      </w:r>
      <w:r w:rsidR="00310F9D" w:rsidRPr="00EC1BE0">
        <w:rPr>
          <w:rFonts w:ascii="Palatino Linotype" w:hAnsi="Palatino Linotype" w:cs="Times New Roman"/>
          <w:i/>
          <w:sz w:val="24"/>
          <w:szCs w:val="24"/>
        </w:rPr>
        <w:t xml:space="preserve"> </w:t>
      </w:r>
      <w:r w:rsidRPr="00EC1BE0">
        <w:rPr>
          <w:rFonts w:ascii="Palatino Linotype" w:hAnsi="Palatino Linotype" w:cs="Times New Roman"/>
          <w:i/>
          <w:sz w:val="24"/>
          <w:szCs w:val="24"/>
        </w:rPr>
        <w:t>bono</w:t>
      </w:r>
      <w:r w:rsidR="00310F9D" w:rsidRPr="00EC1BE0">
        <w:rPr>
          <w:rFonts w:ascii="Palatino Linotype" w:hAnsi="Palatino Linotype" w:cs="Times New Roman"/>
          <w:i/>
          <w:sz w:val="24"/>
          <w:szCs w:val="24"/>
        </w:rPr>
        <w:t>]</w:t>
      </w:r>
      <w:r w:rsidRPr="00EC1BE0">
        <w:rPr>
          <w:rFonts w:ascii="Palatino Linotype" w:hAnsi="Palatino Linotype" w:cs="Times New Roman"/>
          <w:i/>
          <w:sz w:val="24"/>
          <w:szCs w:val="24"/>
        </w:rPr>
        <w:t xml:space="preserve"> case, you can be successful when you graduate”</w:t>
      </w:r>
      <w:r w:rsidRPr="00EC1BE0">
        <w:rPr>
          <w:rStyle w:val="FootnoteReference"/>
          <w:rFonts w:ascii="Palatino Linotype" w:hAnsi="Palatino Linotype" w:cs="Times New Roman"/>
          <w:i/>
          <w:sz w:val="24"/>
          <w:szCs w:val="24"/>
        </w:rPr>
        <w:footnoteReference w:id="102"/>
      </w:r>
    </w:p>
    <w:p w:rsidR="004F0B4C" w:rsidRPr="00EC1BE0" w:rsidRDefault="004F0B4C"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Further, one student reflects upon the often-perceived burden of pro bono work and the hardships faced by law students stating:</w:t>
      </w:r>
    </w:p>
    <w:p w:rsidR="00342F23" w:rsidRPr="00EC1BE0" w:rsidRDefault="00342F23" w:rsidP="00EC1BE0">
      <w:pPr>
        <w:pStyle w:val="NoSpacing"/>
        <w:spacing w:line="480" w:lineRule="auto"/>
        <w:ind w:left="283" w:right="283"/>
        <w:jc w:val="both"/>
        <w:rPr>
          <w:rFonts w:ascii="Palatino Linotype" w:hAnsi="Palatino Linotype" w:cs="Times New Roman"/>
          <w:i/>
          <w:sz w:val="24"/>
          <w:szCs w:val="24"/>
        </w:rPr>
      </w:pPr>
      <w:r w:rsidRPr="00EC1BE0">
        <w:rPr>
          <w:rFonts w:ascii="Palatino Linotype" w:hAnsi="Palatino Linotype" w:cs="Times New Roman"/>
          <w:i/>
          <w:sz w:val="24"/>
          <w:szCs w:val="24"/>
        </w:rPr>
        <w:t>“For those that live and love the law, pro bono does not burden the volunteer with having to work; it gifts them with getting to work. It allows the long hours spent in the library, the years of debt following extortionate professional qualification fees, and the mountain of extra-curricular obligations required to succeed as a lawyer to be mere afterthoughts for the student.”</w:t>
      </w:r>
      <w:r w:rsidRPr="00EC1BE0">
        <w:rPr>
          <w:rStyle w:val="FootnoteReference"/>
          <w:rFonts w:ascii="Palatino Linotype" w:hAnsi="Palatino Linotype" w:cs="Times New Roman"/>
          <w:i/>
          <w:sz w:val="24"/>
          <w:szCs w:val="24"/>
        </w:rPr>
        <w:footnoteReference w:id="103"/>
      </w:r>
    </w:p>
    <w:p w:rsidR="00D83928" w:rsidRPr="00EC1BE0" w:rsidRDefault="00D83928"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Whilst personal satisfaction may be a highly influential factor motiving students to undertake pro bono, the impact of the work must also be borne in mind.  It must be remembered that students have other commitments</w:t>
      </w:r>
      <w:r w:rsidR="008357CB" w:rsidRPr="00EC1BE0">
        <w:rPr>
          <w:rFonts w:ascii="Palatino Linotype" w:hAnsi="Palatino Linotype" w:cs="Times New Roman"/>
          <w:sz w:val="24"/>
          <w:szCs w:val="24"/>
        </w:rPr>
        <w:t>, whether this be on their programme of study or outside of the university.  Further, any pro bono programme to complement the students’ studies and thus provide a fit and therefore maintain anticipated satisfaction.</w:t>
      </w:r>
      <w:r w:rsidRPr="00EC1BE0">
        <w:rPr>
          <w:rFonts w:ascii="Palatino Linotype" w:hAnsi="Palatino Linotype" w:cs="Times New Roman"/>
          <w:sz w:val="24"/>
          <w:szCs w:val="24"/>
        </w:rPr>
        <w:t xml:space="preserve">  </w:t>
      </w:r>
    </w:p>
    <w:p w:rsidR="00D83928" w:rsidRPr="00EC1BE0" w:rsidRDefault="00D83928" w:rsidP="00EC1BE0">
      <w:pPr>
        <w:pStyle w:val="NoSpacing"/>
        <w:spacing w:line="480" w:lineRule="auto"/>
        <w:jc w:val="both"/>
        <w:rPr>
          <w:rFonts w:ascii="Palatino Linotype" w:hAnsi="Palatino Linotype" w:cs="Times New Roman"/>
          <w:b/>
          <w:sz w:val="24"/>
          <w:szCs w:val="24"/>
        </w:rPr>
      </w:pPr>
    </w:p>
    <w:p w:rsidR="003F6CE7" w:rsidRPr="00EC1BE0" w:rsidRDefault="007913EC" w:rsidP="00EC1BE0">
      <w:pPr>
        <w:pStyle w:val="NoSpacing"/>
        <w:numPr>
          <w:ilvl w:val="0"/>
          <w:numId w:val="5"/>
        </w:numPr>
        <w:spacing w:line="480" w:lineRule="auto"/>
        <w:jc w:val="both"/>
        <w:rPr>
          <w:rFonts w:ascii="Palatino Linotype" w:hAnsi="Palatino Linotype" w:cs="Times New Roman"/>
          <w:i/>
          <w:sz w:val="24"/>
          <w:szCs w:val="24"/>
        </w:rPr>
      </w:pPr>
      <w:r w:rsidRPr="00EC1BE0">
        <w:rPr>
          <w:rFonts w:ascii="Palatino Linotype" w:hAnsi="Palatino Linotype" w:cs="Times New Roman"/>
          <w:i/>
          <w:sz w:val="24"/>
          <w:szCs w:val="24"/>
        </w:rPr>
        <w:t>Networking/</w:t>
      </w:r>
      <w:r w:rsidR="003F6CE7" w:rsidRPr="00EC1BE0">
        <w:rPr>
          <w:rFonts w:ascii="Palatino Linotype" w:hAnsi="Palatino Linotype" w:cs="Times New Roman"/>
          <w:i/>
          <w:sz w:val="24"/>
          <w:szCs w:val="24"/>
        </w:rPr>
        <w:t>Professional Relationships</w:t>
      </w:r>
    </w:p>
    <w:p w:rsidR="00DD120C" w:rsidRPr="00EC1BE0" w:rsidRDefault="008357CB"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Pro bono programmes will often bring students into contact with other members of the legal profession.</w:t>
      </w:r>
      <w:r w:rsidR="00385C6D" w:rsidRPr="00EC1BE0">
        <w:rPr>
          <w:rFonts w:ascii="Palatino Linotype" w:hAnsi="Palatino Linotype" w:cs="Times New Roman"/>
          <w:sz w:val="24"/>
          <w:szCs w:val="24"/>
        </w:rPr>
        <w:t xml:space="preserve">  This contact can be categorised as a benefit to the student.</w:t>
      </w:r>
      <w:r w:rsidR="00385C6D" w:rsidRPr="00EC1BE0">
        <w:rPr>
          <w:rStyle w:val="FootnoteReference"/>
          <w:rFonts w:ascii="Palatino Linotype" w:hAnsi="Palatino Linotype" w:cs="Times New Roman"/>
          <w:sz w:val="24"/>
          <w:szCs w:val="24"/>
        </w:rPr>
        <w:footnoteReference w:id="104"/>
      </w:r>
      <w:r w:rsidRPr="00EC1BE0">
        <w:rPr>
          <w:rFonts w:ascii="Palatino Linotype" w:hAnsi="Palatino Linotype" w:cs="Times New Roman"/>
          <w:sz w:val="24"/>
          <w:szCs w:val="24"/>
        </w:rPr>
        <w:t xml:space="preserve">  This may be due to collaboration between the university and an external law firm.  Alternatively, students may liaise with opposing lawyers in relation to their case.  </w:t>
      </w:r>
      <w:r w:rsidR="00951C57" w:rsidRPr="00EC1BE0">
        <w:rPr>
          <w:rFonts w:ascii="Palatino Linotype" w:hAnsi="Palatino Linotype" w:cs="Times New Roman"/>
          <w:sz w:val="24"/>
          <w:szCs w:val="24"/>
        </w:rPr>
        <w:t>Two students highlighted that pro bono work can result in the development of professional relationships although the perception was be of personal benefit to the student.  Whilst not explicit in the comment below, it is likely to mean that the student can utilise the</w:t>
      </w:r>
      <w:r w:rsidR="005D686C" w:rsidRPr="00EC1BE0">
        <w:rPr>
          <w:rFonts w:ascii="Palatino Linotype" w:hAnsi="Palatino Linotype" w:cs="Times New Roman"/>
          <w:sz w:val="24"/>
          <w:szCs w:val="24"/>
        </w:rPr>
        <w:t xml:space="preserve"> contact to enhance future employment prospects for example:</w:t>
      </w:r>
      <w:r w:rsidR="00951C57" w:rsidRPr="00EC1BE0">
        <w:rPr>
          <w:rFonts w:ascii="Palatino Linotype" w:hAnsi="Palatino Linotype" w:cs="Times New Roman"/>
          <w:sz w:val="24"/>
          <w:szCs w:val="24"/>
        </w:rPr>
        <w:t xml:space="preserve"> </w:t>
      </w:r>
    </w:p>
    <w:p w:rsidR="003F6CE7" w:rsidRPr="00EC1BE0" w:rsidRDefault="003F6CE7" w:rsidP="00EC1BE0">
      <w:pPr>
        <w:pStyle w:val="NoSpacing"/>
        <w:spacing w:line="480" w:lineRule="auto"/>
        <w:ind w:left="283" w:right="283"/>
        <w:jc w:val="both"/>
        <w:rPr>
          <w:rFonts w:ascii="Palatino Linotype" w:hAnsi="Palatino Linotype" w:cs="Times New Roman"/>
          <w:i/>
          <w:sz w:val="24"/>
          <w:szCs w:val="24"/>
        </w:rPr>
      </w:pPr>
      <w:r w:rsidRPr="00EC1BE0">
        <w:rPr>
          <w:rFonts w:ascii="Palatino Linotype" w:hAnsi="Palatino Linotype" w:cs="Times New Roman"/>
          <w:i/>
          <w:sz w:val="24"/>
          <w:szCs w:val="24"/>
        </w:rPr>
        <w:t>“</w:t>
      </w:r>
      <w:r w:rsidR="005D686C" w:rsidRPr="00EC1BE0">
        <w:rPr>
          <w:rFonts w:ascii="Palatino Linotype" w:hAnsi="Palatino Linotype" w:cs="Times New Roman"/>
          <w:i/>
          <w:sz w:val="24"/>
          <w:szCs w:val="24"/>
        </w:rPr>
        <w:t>[L]</w:t>
      </w:r>
      <w:r w:rsidRPr="00EC1BE0">
        <w:rPr>
          <w:rFonts w:ascii="Palatino Linotype" w:hAnsi="Palatino Linotype" w:cs="Times New Roman"/>
          <w:i/>
          <w:sz w:val="24"/>
          <w:szCs w:val="24"/>
        </w:rPr>
        <w:t>inks can be established with important legal organisations. As a law student, it is important to establish as many contacts as possible and pro bono work provides a fantastic opportunity to create meaningful relationships which may prove useful in the future.”</w:t>
      </w:r>
      <w:r w:rsidRPr="00EC1BE0">
        <w:rPr>
          <w:rStyle w:val="FootnoteReference"/>
          <w:rFonts w:ascii="Palatino Linotype" w:hAnsi="Palatino Linotype" w:cs="Times New Roman"/>
          <w:i/>
          <w:sz w:val="24"/>
          <w:szCs w:val="24"/>
        </w:rPr>
        <w:footnoteReference w:id="105"/>
      </w:r>
    </w:p>
    <w:p w:rsidR="00FB2F5E" w:rsidRPr="00EC1BE0" w:rsidRDefault="00FB2F5E" w:rsidP="00EC1BE0">
      <w:pPr>
        <w:pStyle w:val="NoSpacing"/>
        <w:spacing w:line="480" w:lineRule="auto"/>
        <w:jc w:val="both"/>
        <w:rPr>
          <w:rFonts w:ascii="Palatino Linotype" w:hAnsi="Palatino Linotype" w:cs="Times New Roman"/>
          <w:b/>
          <w:sz w:val="24"/>
          <w:szCs w:val="24"/>
        </w:rPr>
      </w:pPr>
    </w:p>
    <w:p w:rsidR="008C087B" w:rsidRDefault="008C087B">
      <w:pPr>
        <w:rPr>
          <w:rFonts w:ascii="Palatino Linotype" w:hAnsi="Palatino Linotype" w:cs="Times New Roman"/>
          <w:b/>
          <w:sz w:val="24"/>
          <w:szCs w:val="24"/>
        </w:rPr>
      </w:pPr>
      <w:r>
        <w:rPr>
          <w:rFonts w:ascii="Palatino Linotype" w:hAnsi="Palatino Linotype" w:cs="Times New Roman"/>
          <w:b/>
          <w:sz w:val="24"/>
          <w:szCs w:val="24"/>
        </w:rPr>
        <w:br w:type="page"/>
      </w:r>
    </w:p>
    <w:p w:rsidR="004C6470" w:rsidRPr="00EC1BE0" w:rsidRDefault="00387FB8" w:rsidP="00EC1BE0">
      <w:pPr>
        <w:pStyle w:val="NoSpacing"/>
        <w:spacing w:line="480" w:lineRule="auto"/>
        <w:jc w:val="both"/>
        <w:rPr>
          <w:rFonts w:ascii="Palatino Linotype" w:hAnsi="Palatino Linotype" w:cs="Times New Roman"/>
          <w:b/>
          <w:sz w:val="24"/>
          <w:szCs w:val="24"/>
        </w:rPr>
      </w:pPr>
      <w:r w:rsidRPr="00EC1BE0">
        <w:rPr>
          <w:rFonts w:ascii="Palatino Linotype" w:hAnsi="Palatino Linotype" w:cs="Times New Roman"/>
          <w:b/>
          <w:sz w:val="24"/>
          <w:szCs w:val="24"/>
        </w:rPr>
        <w:t>Discussion</w:t>
      </w:r>
    </w:p>
    <w:p w:rsidR="00045E7A" w:rsidRPr="00EC1BE0" w:rsidRDefault="007E4ED5" w:rsidP="00EC1BE0">
      <w:pPr>
        <w:pStyle w:val="NoSpacing"/>
        <w:spacing w:line="480" w:lineRule="auto"/>
        <w:jc w:val="both"/>
        <w:rPr>
          <w:rFonts w:ascii="Palatino Linotype" w:hAnsi="Palatino Linotype" w:cs="Times New Roman"/>
          <w:i/>
          <w:sz w:val="24"/>
          <w:szCs w:val="24"/>
        </w:rPr>
      </w:pPr>
      <w:r w:rsidRPr="00EC1BE0">
        <w:rPr>
          <w:rFonts w:ascii="Palatino Linotype" w:hAnsi="Palatino Linotype" w:cs="Times New Roman"/>
          <w:i/>
          <w:sz w:val="24"/>
          <w:szCs w:val="24"/>
        </w:rPr>
        <w:t>Limitations</w:t>
      </w:r>
    </w:p>
    <w:p w:rsidR="00713651" w:rsidRPr="00EC1BE0" w:rsidRDefault="00713651"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 xml:space="preserve">As with all studies, the conclusions of this study are subject to its limitations.  In particular, this was a small-scale study considering the opinions of students based at a one university.  It is likely that the students who participated in the study had </w:t>
      </w:r>
      <w:r w:rsidR="0006732F" w:rsidRPr="00EC1BE0">
        <w:rPr>
          <w:rFonts w:ascii="Palatino Linotype" w:hAnsi="Palatino Linotype" w:cs="Times New Roman"/>
          <w:sz w:val="24"/>
          <w:szCs w:val="24"/>
        </w:rPr>
        <w:t xml:space="preserve">a predisposition to pro bono and altruistic behaviour, thus were interested in the subject matter of the study.  However, the incentive of a prize may have mitigated this factor and attracted the views of those individuals who are more extrinsically motivated.  However, I suggest we can learn from the students and assist in the development of future pro bono programmes.  </w:t>
      </w:r>
    </w:p>
    <w:p w:rsidR="007E4ED5" w:rsidRPr="00EC1BE0" w:rsidRDefault="007E4ED5" w:rsidP="00EC1BE0">
      <w:pPr>
        <w:pStyle w:val="NoSpacing"/>
        <w:spacing w:line="480" w:lineRule="auto"/>
        <w:jc w:val="both"/>
        <w:rPr>
          <w:rFonts w:ascii="Palatino Linotype" w:hAnsi="Palatino Linotype" w:cs="Times New Roman"/>
          <w:i/>
          <w:sz w:val="24"/>
          <w:szCs w:val="24"/>
        </w:rPr>
      </w:pPr>
    </w:p>
    <w:p w:rsidR="00713651" w:rsidRPr="00EC1BE0" w:rsidRDefault="007E4ED5" w:rsidP="00EC1BE0">
      <w:pPr>
        <w:pStyle w:val="NoSpacing"/>
        <w:spacing w:line="480" w:lineRule="auto"/>
        <w:jc w:val="both"/>
        <w:rPr>
          <w:rFonts w:ascii="Palatino Linotype" w:hAnsi="Palatino Linotype" w:cs="Times New Roman"/>
          <w:i/>
          <w:sz w:val="24"/>
          <w:szCs w:val="24"/>
        </w:rPr>
      </w:pPr>
      <w:r w:rsidRPr="00EC1BE0">
        <w:rPr>
          <w:rFonts w:ascii="Palatino Linotype" w:hAnsi="Palatino Linotype" w:cs="Times New Roman"/>
          <w:i/>
          <w:sz w:val="24"/>
          <w:szCs w:val="24"/>
        </w:rPr>
        <w:t>Student Motivations</w:t>
      </w:r>
    </w:p>
    <w:p w:rsidR="00045E7A" w:rsidRPr="00EC1BE0" w:rsidRDefault="00045E7A" w:rsidP="00EC1BE0">
      <w:pPr>
        <w:pStyle w:val="NoSpacing"/>
        <w:spacing w:line="480" w:lineRule="auto"/>
        <w:jc w:val="both"/>
        <w:rPr>
          <w:rFonts w:ascii="Palatino Linotype" w:hAnsi="Palatino Linotype" w:cs="Times New Roman"/>
          <w:b/>
          <w:sz w:val="24"/>
          <w:szCs w:val="24"/>
        </w:rPr>
      </w:pPr>
      <w:r w:rsidRPr="00EC1BE0">
        <w:rPr>
          <w:rFonts w:ascii="Palatino Linotype" w:hAnsi="Palatino Linotype" w:cs="Times New Roman"/>
          <w:sz w:val="24"/>
          <w:szCs w:val="24"/>
        </w:rPr>
        <w:t>The students who participated in this study clearly demonstrated mixed motivations for undertaking pro bono work.  Whilst many of the motivations were for personal benefit such as enhancing their skills, knowledge and employability</w:t>
      </w:r>
      <w:r w:rsidR="001912EC" w:rsidRPr="00EC1BE0">
        <w:rPr>
          <w:rFonts w:ascii="Palatino Linotype" w:hAnsi="Palatino Linotype" w:cs="Times New Roman"/>
          <w:sz w:val="24"/>
          <w:szCs w:val="24"/>
        </w:rPr>
        <w:t xml:space="preserve">, there was also recognition amongst all the students that pro bono work has wider social benefits including the promotion of access to justice and enhancing the community in which they live.  </w:t>
      </w:r>
      <w:r w:rsidR="00713651" w:rsidRPr="00EC1BE0">
        <w:rPr>
          <w:rFonts w:ascii="Palatino Linotype" w:hAnsi="Palatino Linotype" w:cs="Times New Roman"/>
          <w:sz w:val="24"/>
          <w:szCs w:val="24"/>
        </w:rPr>
        <w:t>One student expressed this</w:t>
      </w:r>
      <w:r w:rsidR="001912EC" w:rsidRPr="00EC1BE0">
        <w:rPr>
          <w:rFonts w:ascii="Palatino Linotype" w:hAnsi="Palatino Linotype" w:cs="Times New Roman"/>
          <w:sz w:val="24"/>
          <w:szCs w:val="24"/>
        </w:rPr>
        <w:t xml:space="preserve"> as follows:</w:t>
      </w:r>
    </w:p>
    <w:p w:rsidR="004C14CC" w:rsidRPr="00EC1BE0" w:rsidRDefault="004C14CC" w:rsidP="00EC1BE0">
      <w:pPr>
        <w:pStyle w:val="NoSpacing"/>
        <w:spacing w:line="480" w:lineRule="auto"/>
        <w:ind w:left="283" w:right="283"/>
        <w:jc w:val="both"/>
        <w:rPr>
          <w:rFonts w:ascii="Palatino Linotype" w:hAnsi="Palatino Linotype" w:cs="Times New Roman"/>
          <w:i/>
          <w:sz w:val="24"/>
          <w:szCs w:val="24"/>
        </w:rPr>
      </w:pPr>
      <w:r w:rsidRPr="00EC1BE0">
        <w:rPr>
          <w:rFonts w:ascii="Palatino Linotype" w:hAnsi="Palatino Linotype" w:cs="Times New Roman"/>
          <w:i/>
          <w:sz w:val="24"/>
          <w:szCs w:val="24"/>
        </w:rPr>
        <w:t>“Pro Bono work operates to defend the vulnerable in society…[t]his alone means pro bono is well worth the time and effort for students, regardless of the useful personal skills and confidence they will also develop in the process.”</w:t>
      </w:r>
      <w:r w:rsidRPr="00EC1BE0">
        <w:rPr>
          <w:rFonts w:ascii="Palatino Linotype" w:hAnsi="Palatino Linotype" w:cs="Times New Roman"/>
          <w:i/>
          <w:sz w:val="24"/>
          <w:szCs w:val="24"/>
          <w:vertAlign w:val="superscript"/>
        </w:rPr>
        <w:footnoteReference w:id="106"/>
      </w:r>
    </w:p>
    <w:p w:rsidR="00713651" w:rsidRPr="00EC1BE0" w:rsidRDefault="00713651"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Whilst another student stated:</w:t>
      </w:r>
    </w:p>
    <w:p w:rsidR="004C14CC" w:rsidRPr="00EC1BE0" w:rsidRDefault="004C14CC" w:rsidP="00EC1BE0">
      <w:pPr>
        <w:pStyle w:val="NoSpacing"/>
        <w:spacing w:line="480" w:lineRule="auto"/>
        <w:ind w:left="283" w:right="283"/>
        <w:jc w:val="both"/>
        <w:rPr>
          <w:rFonts w:ascii="Palatino Linotype" w:hAnsi="Palatino Linotype" w:cs="Times New Roman"/>
          <w:i/>
          <w:sz w:val="24"/>
          <w:szCs w:val="24"/>
        </w:rPr>
      </w:pPr>
      <w:r w:rsidRPr="00EC1BE0">
        <w:rPr>
          <w:rFonts w:ascii="Palatino Linotype" w:hAnsi="Palatino Linotype" w:cs="Times New Roman"/>
          <w:i/>
          <w:sz w:val="24"/>
          <w:szCs w:val="24"/>
        </w:rPr>
        <w:t>“You may be able to do some good, and that will be of benefit to you as well as society: we all have to play in social responsibility”</w:t>
      </w:r>
      <w:r w:rsidRPr="00EC1BE0">
        <w:rPr>
          <w:rFonts w:ascii="Palatino Linotype" w:hAnsi="Palatino Linotype" w:cs="Times New Roman"/>
          <w:i/>
          <w:sz w:val="24"/>
          <w:szCs w:val="24"/>
          <w:vertAlign w:val="superscript"/>
        </w:rPr>
        <w:footnoteReference w:id="107"/>
      </w:r>
    </w:p>
    <w:p w:rsidR="007E4ED5" w:rsidRPr="00EC1BE0" w:rsidRDefault="007E4ED5"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 xml:space="preserve">There is a link between the students cited motivations for undertaking pro bono work and Adult Learning Theory.  As such, there is a theoretical basis as to why the provision of pro bono opportunities in law schools will enhance student skills, legal knowledge and consequentially, employability.  Pro bono work is therefore an educational experience for the students.  </w:t>
      </w:r>
    </w:p>
    <w:p w:rsidR="007E4ED5" w:rsidRPr="00EC1BE0" w:rsidRDefault="007E4ED5"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 xml:space="preserve">Firstly, it is necessary to engage the students in the culture of pro bono work, recognising that the motivation for each student will be different.  As such, perhaps there we should not isolate individual motivators but instead recognise the holistic nature of motivation.  The </w:t>
      </w:r>
      <w:proofErr w:type="spellStart"/>
      <w:r w:rsidRPr="00EC1BE0">
        <w:rPr>
          <w:rFonts w:ascii="Palatino Linotype" w:hAnsi="Palatino Linotype" w:cs="Times New Roman"/>
          <w:sz w:val="24"/>
          <w:szCs w:val="24"/>
        </w:rPr>
        <w:t>Andragogical</w:t>
      </w:r>
      <w:proofErr w:type="spellEnd"/>
      <w:r w:rsidRPr="00EC1BE0">
        <w:rPr>
          <w:rFonts w:ascii="Palatino Linotype" w:hAnsi="Palatino Linotype" w:cs="Times New Roman"/>
          <w:sz w:val="24"/>
          <w:szCs w:val="24"/>
        </w:rPr>
        <w:t xml:space="preserve"> Model assumes that adults, when undertaking to learn something on their own, will invest considerable time into investigating the benefits of the activity.</w:t>
      </w:r>
      <w:r w:rsidRPr="00EC1BE0">
        <w:rPr>
          <w:rFonts w:ascii="Palatino Linotype" w:hAnsi="Palatino Linotype" w:cs="Times New Roman"/>
          <w:sz w:val="24"/>
          <w:szCs w:val="24"/>
          <w:vertAlign w:val="superscript"/>
        </w:rPr>
        <w:footnoteReference w:id="108"/>
      </w:r>
      <w:r w:rsidRPr="00EC1BE0">
        <w:rPr>
          <w:rFonts w:ascii="Palatino Linotype" w:hAnsi="Palatino Linotype" w:cs="Times New Roman"/>
          <w:sz w:val="24"/>
          <w:szCs w:val="24"/>
        </w:rPr>
        <w:t xml:space="preserve">  As educators, we can draw the student’s attention to an array of benefits that they can evaluate and align with their own objectives.  Further, if a student opts to undertake pro bono work, they will feel a sense of autonomy thus aligning with the notion of ‘self-concept’.</w:t>
      </w:r>
      <w:r w:rsidRPr="00EC1BE0">
        <w:rPr>
          <w:rFonts w:ascii="Palatino Linotype" w:hAnsi="Palatino Linotype" w:cs="Times New Roman"/>
          <w:sz w:val="24"/>
          <w:szCs w:val="24"/>
          <w:vertAlign w:val="superscript"/>
        </w:rPr>
        <w:footnoteReference w:id="109"/>
      </w:r>
      <w:r w:rsidRPr="00EC1BE0">
        <w:rPr>
          <w:rFonts w:ascii="Palatino Linotype" w:hAnsi="Palatino Linotype" w:cs="Times New Roman"/>
          <w:sz w:val="24"/>
          <w:szCs w:val="24"/>
        </w:rPr>
        <w:t xml:space="preserve">  Knowles at al. state that ‘[t]he minute adults walk into an activity labelled “education,” “training,” or anything synonymous, they hark back to their conditioning in their previous school experience, put on their dunce hats of dependency, fold their arms, sit back, and say “teach me.”’</w:t>
      </w:r>
      <w:r w:rsidRPr="00EC1BE0">
        <w:rPr>
          <w:rFonts w:ascii="Palatino Linotype" w:hAnsi="Palatino Linotype" w:cs="Times New Roman"/>
          <w:sz w:val="24"/>
          <w:szCs w:val="24"/>
          <w:vertAlign w:val="superscript"/>
        </w:rPr>
        <w:footnoteReference w:id="110"/>
      </w:r>
      <w:r w:rsidRPr="00EC1BE0">
        <w:rPr>
          <w:rFonts w:ascii="Palatino Linotype" w:hAnsi="Palatino Linotype" w:cs="Times New Roman"/>
          <w:sz w:val="24"/>
          <w:szCs w:val="24"/>
        </w:rPr>
        <w:t xml:space="preserve">  Through engagement in pro bono activity, students are engaged in self-directed learning and less likely to resent or resist the learning activity.</w:t>
      </w:r>
    </w:p>
    <w:p w:rsidR="007E4ED5" w:rsidRPr="00EC1BE0" w:rsidRDefault="007E4ED5"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 xml:space="preserve">The pro bono experience in itself aligns with the </w:t>
      </w:r>
      <w:proofErr w:type="spellStart"/>
      <w:r w:rsidRPr="00EC1BE0">
        <w:rPr>
          <w:rFonts w:ascii="Palatino Linotype" w:hAnsi="Palatino Linotype" w:cs="Times New Roman"/>
          <w:sz w:val="24"/>
          <w:szCs w:val="24"/>
        </w:rPr>
        <w:t>Androgogical</w:t>
      </w:r>
      <w:proofErr w:type="spellEnd"/>
      <w:r w:rsidRPr="00EC1BE0">
        <w:rPr>
          <w:rFonts w:ascii="Palatino Linotype" w:hAnsi="Palatino Linotype" w:cs="Times New Roman"/>
          <w:sz w:val="24"/>
          <w:szCs w:val="24"/>
        </w:rPr>
        <w:t xml:space="preserve"> Model as the emphasis ‘is on experiential techniques – techniques that tap into the experience of the learners.’</w:t>
      </w:r>
      <w:r w:rsidRPr="00EC1BE0">
        <w:rPr>
          <w:rFonts w:ascii="Palatino Linotype" w:hAnsi="Palatino Linotype" w:cs="Times New Roman"/>
          <w:sz w:val="24"/>
          <w:szCs w:val="24"/>
          <w:vertAlign w:val="superscript"/>
        </w:rPr>
        <w:footnoteReference w:id="111"/>
      </w:r>
      <w:r w:rsidRPr="00EC1BE0">
        <w:rPr>
          <w:rFonts w:ascii="Palatino Linotype" w:hAnsi="Palatino Linotype" w:cs="Times New Roman"/>
          <w:sz w:val="24"/>
          <w:szCs w:val="24"/>
        </w:rPr>
        <w:t xml:space="preserve">  Students also develop a ‘readiness to learn’</w:t>
      </w:r>
      <w:r w:rsidRPr="00EC1BE0">
        <w:rPr>
          <w:rFonts w:ascii="Palatino Linotype" w:hAnsi="Palatino Linotype" w:cs="Times New Roman"/>
          <w:sz w:val="24"/>
          <w:szCs w:val="24"/>
          <w:vertAlign w:val="superscript"/>
        </w:rPr>
        <w:footnoteReference w:id="112"/>
      </w:r>
      <w:r w:rsidRPr="00EC1BE0">
        <w:rPr>
          <w:rFonts w:ascii="Palatino Linotype" w:hAnsi="Palatino Linotype" w:cs="Times New Roman"/>
          <w:sz w:val="24"/>
          <w:szCs w:val="24"/>
        </w:rPr>
        <w:t xml:space="preserve"> because they are dealing with real life legal problems that require them to seek out and assimilate the relevant knowledge and skills.</w:t>
      </w:r>
    </w:p>
    <w:p w:rsidR="007E4ED5" w:rsidRPr="00EC1BE0" w:rsidRDefault="007E4ED5"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Adults also have a life-centred orientation to learning and therefore learn ‘new knowledge, understanding, skills, values and attitudes most effectively when they are presented in the context of application to real-life situations.’</w:t>
      </w:r>
      <w:r w:rsidRPr="00EC1BE0">
        <w:rPr>
          <w:rFonts w:ascii="Palatino Linotype" w:hAnsi="Palatino Linotype" w:cs="Times New Roman"/>
          <w:sz w:val="24"/>
          <w:szCs w:val="24"/>
          <w:vertAlign w:val="superscript"/>
        </w:rPr>
        <w:footnoteReference w:id="113"/>
      </w:r>
      <w:r w:rsidRPr="00EC1BE0">
        <w:rPr>
          <w:rFonts w:ascii="Palatino Linotype" w:hAnsi="Palatino Linotype" w:cs="Times New Roman"/>
          <w:sz w:val="24"/>
          <w:szCs w:val="24"/>
        </w:rPr>
        <w:t xml:space="preserve">  Assisting a pro bono client with a real legal problem will therefore assist student in acquiring legal knowledge and skill but also will influence their values and attitudes</w:t>
      </w:r>
      <w:r w:rsidR="00AC12A3" w:rsidRPr="00EC1BE0">
        <w:rPr>
          <w:rFonts w:ascii="Palatino Linotype" w:hAnsi="Palatino Linotype" w:cs="Times New Roman"/>
          <w:sz w:val="24"/>
          <w:szCs w:val="24"/>
        </w:rPr>
        <w:t xml:space="preserve"> through exposure to new people and situations</w:t>
      </w:r>
      <w:r w:rsidRPr="00EC1BE0">
        <w:rPr>
          <w:rFonts w:ascii="Palatino Linotype" w:hAnsi="Palatino Linotype" w:cs="Times New Roman"/>
          <w:sz w:val="24"/>
          <w:szCs w:val="24"/>
        </w:rPr>
        <w:t>.</w:t>
      </w:r>
      <w:r w:rsidR="00AC12A3" w:rsidRPr="00EC1BE0">
        <w:rPr>
          <w:rStyle w:val="FootnoteReference"/>
          <w:rFonts w:ascii="Palatino Linotype" w:hAnsi="Palatino Linotype" w:cs="Times New Roman"/>
          <w:sz w:val="24"/>
          <w:szCs w:val="24"/>
        </w:rPr>
        <w:footnoteReference w:id="114"/>
      </w:r>
      <w:r w:rsidRPr="00EC1BE0">
        <w:rPr>
          <w:rFonts w:ascii="Palatino Linotype" w:hAnsi="Palatino Linotype" w:cs="Times New Roman"/>
          <w:sz w:val="24"/>
          <w:szCs w:val="24"/>
        </w:rPr>
        <w:t xml:space="preserve">  </w:t>
      </w:r>
    </w:p>
    <w:p w:rsidR="007E4ED5" w:rsidRPr="00EC1BE0" w:rsidRDefault="007E4ED5"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Finally, the most important motivators for adult learning are ‘internal pressures’ such as a desire for increased job satisfaction and self-esteem.</w:t>
      </w:r>
      <w:r w:rsidRPr="00EC1BE0">
        <w:rPr>
          <w:rFonts w:ascii="Palatino Linotype" w:hAnsi="Palatino Linotype" w:cs="Times New Roman"/>
          <w:sz w:val="24"/>
          <w:szCs w:val="24"/>
          <w:vertAlign w:val="superscript"/>
        </w:rPr>
        <w:footnoteReference w:id="115"/>
      </w:r>
      <w:r w:rsidRPr="00EC1BE0">
        <w:rPr>
          <w:rFonts w:ascii="Palatino Linotype" w:hAnsi="Palatino Linotype" w:cs="Times New Roman"/>
          <w:sz w:val="24"/>
          <w:szCs w:val="24"/>
        </w:rPr>
        <w:t xml:space="preserve">  We can see that the students are exhibiting such motivation.</w:t>
      </w:r>
      <w:r w:rsidR="00430151" w:rsidRPr="00EC1BE0">
        <w:rPr>
          <w:rStyle w:val="FootnoteReference"/>
          <w:rFonts w:ascii="Palatino Linotype" w:hAnsi="Palatino Linotype" w:cs="Times New Roman"/>
          <w:sz w:val="24"/>
          <w:szCs w:val="24"/>
        </w:rPr>
        <w:footnoteReference w:id="116"/>
      </w:r>
      <w:r w:rsidR="00430151" w:rsidRPr="00EC1BE0">
        <w:rPr>
          <w:rFonts w:ascii="Palatino Linotype" w:hAnsi="Palatino Linotype" w:cs="Times New Roman"/>
          <w:sz w:val="24"/>
          <w:szCs w:val="24"/>
        </w:rPr>
        <w:t xml:space="preserve"> </w:t>
      </w:r>
    </w:p>
    <w:p w:rsidR="00430151" w:rsidRPr="00EC1BE0" w:rsidRDefault="00430151"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The question then becomes how we capitalise on these motivations to instil a culture of pro bono and volunteering within the law school whilst providing a rewarding educational experience for the students.</w:t>
      </w:r>
    </w:p>
    <w:p w:rsidR="00430151" w:rsidRPr="00EC1BE0" w:rsidRDefault="00430151" w:rsidP="00EC1BE0">
      <w:pPr>
        <w:pStyle w:val="NoSpacing"/>
        <w:spacing w:line="480" w:lineRule="auto"/>
        <w:jc w:val="both"/>
        <w:rPr>
          <w:rFonts w:ascii="Palatino Linotype" w:hAnsi="Palatino Linotype" w:cs="Times New Roman"/>
          <w:sz w:val="24"/>
          <w:szCs w:val="24"/>
        </w:rPr>
      </w:pPr>
    </w:p>
    <w:p w:rsidR="004E1A7A" w:rsidRPr="00EC1BE0" w:rsidRDefault="004E1A7A" w:rsidP="00EC1BE0">
      <w:pPr>
        <w:pStyle w:val="NoSpacing"/>
        <w:spacing w:line="480" w:lineRule="auto"/>
        <w:jc w:val="both"/>
        <w:rPr>
          <w:rFonts w:ascii="Palatino Linotype" w:hAnsi="Palatino Linotype" w:cs="Times New Roman"/>
          <w:i/>
          <w:sz w:val="24"/>
          <w:szCs w:val="24"/>
        </w:rPr>
      </w:pPr>
      <w:r w:rsidRPr="00EC1BE0">
        <w:rPr>
          <w:rFonts w:ascii="Palatino Linotype" w:hAnsi="Palatino Linotype" w:cs="Times New Roman"/>
          <w:i/>
          <w:sz w:val="24"/>
          <w:szCs w:val="24"/>
        </w:rPr>
        <w:t>Pro bono in law school</w:t>
      </w:r>
    </w:p>
    <w:p w:rsidR="004E1A7A" w:rsidRPr="00EC1BE0" w:rsidRDefault="004E1A7A"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As outlined above, Adult Learning Theory means there is an educational basis for incorporating pro bono programmes in law schools.  However, it is important that such programmes are well designed to engage students and achieve the desired outcomes.</w:t>
      </w:r>
    </w:p>
    <w:p w:rsidR="00225217" w:rsidRPr="00EC1BE0" w:rsidRDefault="00225217"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Extrinsic motivation means that students are likely to engage with the programme</w:t>
      </w:r>
      <w:r w:rsidR="00DC0B1A" w:rsidRPr="00EC1BE0">
        <w:rPr>
          <w:rFonts w:ascii="Palatino Linotype" w:hAnsi="Palatino Linotype" w:cs="Times New Roman"/>
          <w:sz w:val="24"/>
          <w:szCs w:val="24"/>
        </w:rPr>
        <w:t>s</w:t>
      </w:r>
      <w:r w:rsidRPr="00EC1BE0">
        <w:rPr>
          <w:rFonts w:ascii="Palatino Linotype" w:hAnsi="Palatino Linotype" w:cs="Times New Roman"/>
          <w:sz w:val="24"/>
          <w:szCs w:val="24"/>
        </w:rPr>
        <w:t>.  The students value the skills development, the experience that they will acquire and, as a consequence the enhanced employability.  The supervision of the programme and the students are important to ensure that students achieve the learning outcomes, and do not become merely observers but are responsible within the role of a lawyer</w:t>
      </w:r>
      <w:r w:rsidR="001B1084" w:rsidRPr="00EC1BE0">
        <w:rPr>
          <w:rFonts w:ascii="Palatino Linotype" w:hAnsi="Palatino Linotype" w:cs="Times New Roman"/>
          <w:sz w:val="24"/>
          <w:szCs w:val="24"/>
        </w:rPr>
        <w:t xml:space="preserve"> creating an environment of autonomy and self-directed learning</w:t>
      </w:r>
      <w:r w:rsidRPr="00EC1BE0">
        <w:rPr>
          <w:rFonts w:ascii="Palatino Linotype" w:hAnsi="Palatino Linotype" w:cs="Times New Roman"/>
          <w:sz w:val="24"/>
          <w:szCs w:val="24"/>
        </w:rPr>
        <w:t>.</w:t>
      </w:r>
    </w:p>
    <w:p w:rsidR="00225217" w:rsidRPr="00EC1BE0" w:rsidRDefault="00225217"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 xml:space="preserve">It is also important that pro bono programmes expose students to new people from different backgrounds.  Intrinsically, students </w:t>
      </w:r>
      <w:r w:rsidR="00D37764" w:rsidRPr="00EC1BE0">
        <w:rPr>
          <w:rFonts w:ascii="Palatino Linotype" w:hAnsi="Palatino Linotype" w:cs="Times New Roman"/>
          <w:sz w:val="24"/>
          <w:szCs w:val="24"/>
        </w:rPr>
        <w:t xml:space="preserve">often </w:t>
      </w:r>
      <w:r w:rsidRPr="00EC1BE0">
        <w:rPr>
          <w:rFonts w:ascii="Palatino Linotype" w:hAnsi="Palatino Linotype" w:cs="Times New Roman"/>
          <w:sz w:val="24"/>
          <w:szCs w:val="24"/>
        </w:rPr>
        <w:t>value meeting</w:t>
      </w:r>
      <w:r w:rsidR="00D37764" w:rsidRPr="00EC1BE0">
        <w:rPr>
          <w:rFonts w:ascii="Palatino Linotype" w:hAnsi="Palatino Linotype" w:cs="Times New Roman"/>
          <w:sz w:val="24"/>
          <w:szCs w:val="24"/>
        </w:rPr>
        <w:t xml:space="preserve"> strangers and this has the potential to create the ‘disorientating moment’.  Again, through guidance from their supervisor</w:t>
      </w:r>
      <w:r w:rsidR="00DC0B1A" w:rsidRPr="00EC1BE0">
        <w:rPr>
          <w:rFonts w:ascii="Palatino Linotype" w:hAnsi="Palatino Linotype" w:cs="Times New Roman"/>
          <w:sz w:val="24"/>
          <w:szCs w:val="24"/>
        </w:rPr>
        <w:t>, students</w:t>
      </w:r>
      <w:r w:rsidR="00D37764" w:rsidRPr="00EC1BE0">
        <w:rPr>
          <w:rFonts w:ascii="Palatino Linotype" w:hAnsi="Palatino Linotype" w:cs="Times New Roman"/>
          <w:sz w:val="24"/>
          <w:szCs w:val="24"/>
        </w:rPr>
        <w:t xml:space="preserve"> can reflect upon the situation, challenging their own perceptions of the world.  Through such self-examination, students can achieve ‘integration’ on the ‘taxonomy of human motivation’ and internalis</w:t>
      </w:r>
      <w:r w:rsidR="00DC0B1A" w:rsidRPr="00EC1BE0">
        <w:rPr>
          <w:rFonts w:ascii="Palatino Linotype" w:hAnsi="Palatino Linotype" w:cs="Times New Roman"/>
          <w:sz w:val="24"/>
          <w:szCs w:val="24"/>
        </w:rPr>
        <w:t>e thus an extrinsically motivated experience will hold intrinsic interest.</w:t>
      </w:r>
      <w:r w:rsidR="00D37764" w:rsidRPr="00EC1BE0">
        <w:rPr>
          <w:rFonts w:ascii="Palatino Linotype" w:hAnsi="Palatino Linotype" w:cs="Times New Roman"/>
          <w:sz w:val="24"/>
          <w:szCs w:val="24"/>
        </w:rPr>
        <w:t xml:space="preserve"> </w:t>
      </w:r>
      <w:r w:rsidRPr="00EC1BE0">
        <w:rPr>
          <w:rFonts w:ascii="Palatino Linotype" w:hAnsi="Palatino Linotype" w:cs="Times New Roman"/>
          <w:sz w:val="24"/>
          <w:szCs w:val="24"/>
        </w:rPr>
        <w:t xml:space="preserve"> </w:t>
      </w:r>
    </w:p>
    <w:p w:rsidR="00225217" w:rsidRPr="00EC1BE0" w:rsidRDefault="00225217" w:rsidP="00EC1BE0">
      <w:pPr>
        <w:pStyle w:val="NoSpacing"/>
        <w:spacing w:line="480" w:lineRule="auto"/>
        <w:jc w:val="both"/>
        <w:rPr>
          <w:rFonts w:ascii="Palatino Linotype" w:hAnsi="Palatino Linotype" w:cs="Times New Roman"/>
          <w:sz w:val="24"/>
          <w:szCs w:val="24"/>
        </w:rPr>
      </w:pPr>
    </w:p>
    <w:p w:rsidR="00065A20" w:rsidRPr="00EC1BE0" w:rsidRDefault="00065A20" w:rsidP="00EC1BE0">
      <w:pPr>
        <w:pStyle w:val="NoSpacing"/>
        <w:spacing w:line="480" w:lineRule="auto"/>
        <w:jc w:val="both"/>
        <w:rPr>
          <w:rFonts w:ascii="Palatino Linotype" w:hAnsi="Palatino Linotype" w:cs="Times New Roman"/>
          <w:b/>
          <w:sz w:val="24"/>
          <w:szCs w:val="24"/>
        </w:rPr>
      </w:pPr>
      <w:r w:rsidRPr="00EC1BE0">
        <w:rPr>
          <w:rFonts w:ascii="Palatino Linotype" w:hAnsi="Palatino Linotype" w:cs="Times New Roman"/>
          <w:b/>
          <w:sz w:val="24"/>
          <w:szCs w:val="24"/>
        </w:rPr>
        <w:t>Conclusion</w:t>
      </w:r>
    </w:p>
    <w:p w:rsidR="007E4ED5" w:rsidRPr="00EC1BE0" w:rsidRDefault="00065A20"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W</w:t>
      </w:r>
      <w:r w:rsidR="007E4ED5" w:rsidRPr="00EC1BE0">
        <w:rPr>
          <w:rFonts w:ascii="Palatino Linotype" w:hAnsi="Palatino Linotype" w:cs="Times New Roman"/>
          <w:sz w:val="24"/>
          <w:szCs w:val="24"/>
        </w:rPr>
        <w:t>e do not have the necessary evidence to draw any conclusions</w:t>
      </w:r>
      <w:r w:rsidRPr="00EC1BE0">
        <w:rPr>
          <w:rFonts w:ascii="Palatino Linotype" w:hAnsi="Palatino Linotype" w:cs="Times New Roman"/>
          <w:sz w:val="24"/>
          <w:szCs w:val="24"/>
        </w:rPr>
        <w:t xml:space="preserve"> as to whether students will become intrinsically motivated to engage in public service after university</w:t>
      </w:r>
      <w:r w:rsidR="007E4ED5" w:rsidRPr="00EC1BE0">
        <w:rPr>
          <w:rFonts w:ascii="Palatino Linotype" w:hAnsi="Palatino Linotype" w:cs="Times New Roman"/>
          <w:sz w:val="24"/>
          <w:szCs w:val="24"/>
        </w:rPr>
        <w:t xml:space="preserve"> as a longitudinal study would be required.  However, on a theoretical basis, there is evidence to suggest that students can be extrinsically motivated to engage.  Through mere experience, some students may experience the inherent satisfaction of pro bono activity and therefore wish to continue.  Others however may ‘identify’ the personal importance of the activity through an appreciation of its application to their own life and career goals, thus beginning the process of internalisation.  As educators we can guide our students through the reflective process, help them make sense of their experiences and integrate the pro bono experience with their sense of self.  Whilst the students are still extrinsically motivated, the perceived locus of causality will become more internalised thus, hopefully, instilling a continuing commitment to pro bono work in the future. </w:t>
      </w:r>
    </w:p>
    <w:p w:rsidR="00C535F6" w:rsidRPr="00EC1BE0" w:rsidRDefault="00BD50CE"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There are numerous reasons why students may wish to undertake pro bono work whilst at law school.  Of these, e</w:t>
      </w:r>
      <w:r w:rsidR="00FD6A8D" w:rsidRPr="00EC1BE0">
        <w:rPr>
          <w:rFonts w:ascii="Palatino Linotype" w:hAnsi="Palatino Linotype" w:cs="Times New Roman"/>
          <w:sz w:val="24"/>
          <w:szCs w:val="24"/>
        </w:rPr>
        <w:t xml:space="preserve">xperience is a highly influential factor </w:t>
      </w:r>
      <w:r w:rsidRPr="00EC1BE0">
        <w:rPr>
          <w:rFonts w:ascii="Palatino Linotype" w:hAnsi="Palatino Linotype" w:cs="Times New Roman"/>
          <w:sz w:val="24"/>
          <w:szCs w:val="24"/>
        </w:rPr>
        <w:t>as</w:t>
      </w:r>
      <w:r w:rsidR="00FD6A8D" w:rsidRPr="00EC1BE0">
        <w:rPr>
          <w:rFonts w:ascii="Palatino Linotype" w:hAnsi="Palatino Linotype" w:cs="Times New Roman"/>
          <w:sz w:val="24"/>
          <w:szCs w:val="24"/>
        </w:rPr>
        <w:t xml:space="preserve"> </w:t>
      </w:r>
      <w:r w:rsidRPr="00EC1BE0">
        <w:rPr>
          <w:rFonts w:ascii="Palatino Linotype" w:hAnsi="Palatino Linotype" w:cs="Times New Roman"/>
          <w:sz w:val="24"/>
          <w:szCs w:val="24"/>
        </w:rPr>
        <w:t>i</w:t>
      </w:r>
      <w:r w:rsidR="00FD6A8D" w:rsidRPr="00EC1BE0">
        <w:rPr>
          <w:rFonts w:ascii="Palatino Linotype" w:hAnsi="Palatino Linotype" w:cs="Times New Roman"/>
          <w:sz w:val="24"/>
          <w:szCs w:val="24"/>
        </w:rPr>
        <w:t>t not only provides a strong extrinsic motivation to participate in pro bono work</w:t>
      </w:r>
      <w:r w:rsidRPr="00EC1BE0">
        <w:rPr>
          <w:rFonts w:ascii="Palatino Linotype" w:hAnsi="Palatino Linotype" w:cs="Times New Roman"/>
          <w:sz w:val="24"/>
          <w:szCs w:val="24"/>
        </w:rPr>
        <w:t xml:space="preserve"> initially</w:t>
      </w:r>
      <w:r w:rsidR="00FD6A8D" w:rsidRPr="00EC1BE0">
        <w:rPr>
          <w:rFonts w:ascii="Palatino Linotype" w:hAnsi="Palatino Linotype" w:cs="Times New Roman"/>
          <w:sz w:val="24"/>
          <w:szCs w:val="24"/>
        </w:rPr>
        <w:t xml:space="preserve">, but the pro bono experience may also facilitate a deep intrinsic motivation to continue with the work into the future.  Through experience, students can develop skills and improve their employability but they can also </w:t>
      </w:r>
      <w:r w:rsidR="00C535F6" w:rsidRPr="00EC1BE0">
        <w:rPr>
          <w:rFonts w:ascii="Palatino Linotype" w:hAnsi="Palatino Linotype" w:cs="Times New Roman"/>
          <w:sz w:val="24"/>
          <w:szCs w:val="24"/>
        </w:rPr>
        <w:t xml:space="preserve">feel the inherent satisfaction of helping others and making a difference.  </w:t>
      </w:r>
    </w:p>
    <w:p w:rsidR="00B0233F" w:rsidRPr="00EC1BE0" w:rsidRDefault="00C535F6" w:rsidP="00EC1BE0">
      <w:pPr>
        <w:pStyle w:val="NoSpacing"/>
        <w:spacing w:line="480" w:lineRule="auto"/>
        <w:jc w:val="both"/>
        <w:rPr>
          <w:rFonts w:ascii="Palatino Linotype" w:hAnsi="Palatino Linotype" w:cs="Times New Roman"/>
          <w:sz w:val="24"/>
          <w:szCs w:val="24"/>
        </w:rPr>
      </w:pPr>
      <w:r w:rsidRPr="00EC1BE0">
        <w:rPr>
          <w:rFonts w:ascii="Palatino Linotype" w:hAnsi="Palatino Linotype" w:cs="Times New Roman"/>
          <w:sz w:val="24"/>
          <w:szCs w:val="24"/>
        </w:rPr>
        <w:t xml:space="preserve">The development of pro bono initiatives in law schools benefits students personally and </w:t>
      </w:r>
      <w:r w:rsidR="00B0233F" w:rsidRPr="00EC1BE0">
        <w:rPr>
          <w:rFonts w:ascii="Palatino Linotype" w:hAnsi="Palatino Linotype" w:cs="Times New Roman"/>
          <w:sz w:val="24"/>
          <w:szCs w:val="24"/>
        </w:rPr>
        <w:t>the students recognise this</w:t>
      </w:r>
      <w:r w:rsidRPr="00EC1BE0">
        <w:rPr>
          <w:rFonts w:ascii="Palatino Linotype" w:hAnsi="Palatino Linotype" w:cs="Times New Roman"/>
          <w:sz w:val="24"/>
          <w:szCs w:val="24"/>
        </w:rPr>
        <w:t>.</w:t>
      </w:r>
      <w:r w:rsidR="00B0233F" w:rsidRPr="00EC1BE0">
        <w:rPr>
          <w:rFonts w:ascii="Palatino Linotype" w:hAnsi="Palatino Linotype" w:cs="Times New Roman"/>
          <w:sz w:val="24"/>
          <w:szCs w:val="24"/>
        </w:rPr>
        <w:t xml:space="preserve">  Pro bono schemes will also benefit the community through the assistance offered by the students whilst engaging in the programme.  As such, the University may also benefit from an enhanced reputation amongst the student body and the wider community.</w:t>
      </w:r>
    </w:p>
    <w:p w:rsidR="000476A4" w:rsidRPr="00EC1BE0" w:rsidRDefault="00B0233F" w:rsidP="00EC1BE0">
      <w:pPr>
        <w:pStyle w:val="NoSpacing"/>
        <w:spacing w:line="480" w:lineRule="auto"/>
        <w:jc w:val="both"/>
        <w:rPr>
          <w:rFonts w:ascii="Palatino Linotype" w:hAnsi="Palatino Linotype" w:cs="Times New Roman"/>
          <w:sz w:val="24"/>
          <w:szCs w:val="24"/>
          <w:lang w:val="en-US"/>
        </w:rPr>
      </w:pPr>
      <w:r w:rsidRPr="00EC1BE0">
        <w:rPr>
          <w:rFonts w:ascii="Palatino Linotype" w:hAnsi="Palatino Linotype" w:cs="Times New Roman"/>
          <w:sz w:val="24"/>
          <w:szCs w:val="24"/>
        </w:rPr>
        <w:t>As a consequence of providing pro bono programme</w:t>
      </w:r>
      <w:r w:rsidR="00631EDB" w:rsidRPr="00EC1BE0">
        <w:rPr>
          <w:rFonts w:ascii="Palatino Linotype" w:hAnsi="Palatino Linotype" w:cs="Times New Roman"/>
          <w:sz w:val="24"/>
          <w:szCs w:val="24"/>
        </w:rPr>
        <w:t>s</w:t>
      </w:r>
      <w:r w:rsidRPr="00EC1BE0">
        <w:rPr>
          <w:rFonts w:ascii="Palatino Linotype" w:hAnsi="Palatino Linotype" w:cs="Times New Roman"/>
          <w:sz w:val="24"/>
          <w:szCs w:val="24"/>
        </w:rPr>
        <w:t>, students may reflect upon their experience and assess their own values and attitudes towards society, which may have a transformative impact upon their lives and their continuing participation in such as activity.</w:t>
      </w:r>
      <w:r w:rsidR="00C535F6" w:rsidRPr="00EC1BE0">
        <w:rPr>
          <w:rFonts w:ascii="Palatino Linotype" w:hAnsi="Palatino Linotype" w:cs="Times New Roman"/>
          <w:sz w:val="24"/>
          <w:szCs w:val="24"/>
        </w:rPr>
        <w:t xml:space="preserve">  </w:t>
      </w:r>
      <w:r w:rsidRPr="00EC1BE0">
        <w:rPr>
          <w:rFonts w:ascii="Palatino Linotype" w:hAnsi="Palatino Linotype" w:cs="Times New Roman"/>
          <w:sz w:val="24"/>
          <w:szCs w:val="24"/>
        </w:rPr>
        <w:t>However, to achieve this, the students must be provided with not only the experience but also the ability to reflect upon that experience.</w:t>
      </w:r>
      <w:r w:rsidR="00FD6A8D" w:rsidRPr="00EC1BE0">
        <w:rPr>
          <w:rFonts w:ascii="Palatino Linotype" w:hAnsi="Palatino Linotype" w:cs="Times New Roman"/>
          <w:sz w:val="24"/>
          <w:szCs w:val="24"/>
        </w:rPr>
        <w:t xml:space="preserve"> </w:t>
      </w:r>
      <w:r w:rsidR="000476A4" w:rsidRPr="00EC1BE0">
        <w:rPr>
          <w:rFonts w:ascii="Palatino Linotype" w:hAnsi="Palatino Linotype" w:cs="Times New Roman"/>
          <w:sz w:val="24"/>
          <w:szCs w:val="24"/>
        </w:rPr>
        <w:t xml:space="preserve"> </w:t>
      </w:r>
    </w:p>
    <w:sectPr w:rsidR="000476A4" w:rsidRPr="00EC1BE0" w:rsidSect="009D08B5">
      <w:headerReference w:type="default" r:id="rId13"/>
      <w:footerReference w:type="default" r:id="rId14"/>
      <w:pgSz w:w="11906" w:h="16838"/>
      <w:pgMar w:top="1440" w:right="1416" w:bottom="1440" w:left="1440" w:header="708" w:footer="708" w:gutter="0"/>
      <w:pgNumType w:start="4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147" w:rsidRDefault="00DC4147" w:rsidP="00E90380">
      <w:pPr>
        <w:spacing w:after="0" w:line="240" w:lineRule="auto"/>
      </w:pPr>
      <w:r>
        <w:separator/>
      </w:r>
    </w:p>
  </w:endnote>
  <w:endnote w:type="continuationSeparator" w:id="0">
    <w:p w:rsidR="00DC4147" w:rsidRDefault="00DC4147" w:rsidP="00E9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67026"/>
      <w:docPartObj>
        <w:docPartGallery w:val="Page Numbers (Bottom of Page)"/>
        <w:docPartUnique/>
      </w:docPartObj>
    </w:sdtPr>
    <w:sdtEndPr>
      <w:rPr>
        <w:noProof/>
      </w:rPr>
    </w:sdtEndPr>
    <w:sdtContent>
      <w:p w:rsidR="009D08B5" w:rsidRDefault="009D08B5">
        <w:pPr>
          <w:pStyle w:val="Footer"/>
          <w:jc w:val="center"/>
        </w:pPr>
        <w:r>
          <w:fldChar w:fldCharType="begin"/>
        </w:r>
        <w:r>
          <w:instrText xml:space="preserve"> PAGE   \* MERGEFORMAT </w:instrText>
        </w:r>
        <w:r>
          <w:fldChar w:fldCharType="separate"/>
        </w:r>
        <w:r>
          <w:rPr>
            <w:noProof/>
          </w:rPr>
          <w:t>80</w:t>
        </w:r>
        <w:r>
          <w:rPr>
            <w:noProof/>
          </w:rPr>
          <w:fldChar w:fldCharType="end"/>
        </w:r>
      </w:p>
    </w:sdtContent>
  </w:sdt>
  <w:p w:rsidR="009D08B5" w:rsidRDefault="009D0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147" w:rsidRDefault="00DC4147" w:rsidP="00E90380">
      <w:pPr>
        <w:spacing w:after="0" w:line="240" w:lineRule="auto"/>
      </w:pPr>
      <w:r>
        <w:separator/>
      </w:r>
    </w:p>
  </w:footnote>
  <w:footnote w:type="continuationSeparator" w:id="0">
    <w:p w:rsidR="00DC4147" w:rsidRDefault="00DC4147" w:rsidP="00E90380">
      <w:pPr>
        <w:spacing w:after="0" w:line="240" w:lineRule="auto"/>
      </w:pPr>
      <w:r>
        <w:continuationSeparator/>
      </w:r>
    </w:p>
  </w:footnote>
  <w:footnote w:id="1">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Paul </w:t>
      </w:r>
      <w:proofErr w:type="spellStart"/>
      <w:r w:rsidRPr="00EC1BE0">
        <w:rPr>
          <w:rFonts w:ascii="Palatino Linotype" w:hAnsi="Palatino Linotype"/>
        </w:rPr>
        <w:t>McKeown</w:t>
      </w:r>
      <w:proofErr w:type="spellEnd"/>
      <w:r w:rsidRPr="00EC1BE0">
        <w:rPr>
          <w:rFonts w:ascii="Palatino Linotype" w:hAnsi="Palatino Linotype"/>
        </w:rPr>
        <w:t xml:space="preserve"> is an Associate Professor and the Director of the Student Law Office at Northumbria University, Newcastle upon Tyne, UK</w:t>
      </w:r>
    </w:p>
  </w:footnote>
  <w:footnote w:id="2">
    <w:p w:rsidR="00964301" w:rsidRPr="00EC1BE0" w:rsidRDefault="00964301" w:rsidP="00EC1BE0">
      <w:pPr>
        <w:pStyle w:val="FootnoteText"/>
        <w:spacing w:line="276" w:lineRule="auto"/>
        <w:jc w:val="both"/>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For discussion on the role of lawyers in promoting access to justice, see Alice Woolley, ‘</w:t>
      </w:r>
      <w:r w:rsidRPr="00EC1BE0">
        <w:rPr>
          <w:rFonts w:ascii="Palatino Linotype" w:hAnsi="Palatino Linotype"/>
          <w:i/>
          <w:iCs/>
        </w:rPr>
        <w:t>Imperfect Duty: Lawyers' Obligation to Foster Access to Justice’</w:t>
      </w:r>
      <w:r w:rsidRPr="00EC1BE0">
        <w:rPr>
          <w:rFonts w:ascii="Palatino Linotype" w:hAnsi="Palatino Linotype"/>
        </w:rPr>
        <w:t xml:space="preserve"> (2008) 45:5 Alberta Law Review 107</w:t>
      </w:r>
    </w:p>
  </w:footnote>
  <w:footnote w:id="3">
    <w:p w:rsidR="00964301" w:rsidRPr="00EC1BE0" w:rsidRDefault="00964301" w:rsidP="00EC1BE0">
      <w:pPr>
        <w:pStyle w:val="FootnoteText"/>
        <w:spacing w:line="276" w:lineRule="auto"/>
        <w:jc w:val="both"/>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International Bar Association, ‘International Principles on Conduct for the Legal Profession’ (2011) Available at </w:t>
      </w:r>
      <w:hyperlink r:id="rId1" w:history="1">
        <w:r w:rsidRPr="00EC1BE0">
          <w:rPr>
            <w:rStyle w:val="Hyperlink"/>
            <w:rFonts w:ascii="Palatino Linotype" w:hAnsi="Palatino Linotype"/>
          </w:rPr>
          <w:t>file:///C:/Users/intel_000/Downloads/IBA_International_Principles_on_Conduct_for_the_legal_prof%20(4).pdf</w:t>
        </w:r>
      </w:hyperlink>
      <w:r w:rsidRPr="00EC1BE0">
        <w:rPr>
          <w:rFonts w:ascii="Palatino Linotype" w:hAnsi="Palatino Linotype"/>
        </w:rPr>
        <w:t xml:space="preserve"> (accessed 10 October 2016)</w:t>
      </w:r>
    </w:p>
  </w:footnote>
  <w:footnote w:id="4">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OHCHR, ‘Basic Principles on the Role of Lawyers’ (1990) Available at </w:t>
      </w:r>
      <w:hyperlink r:id="rId2" w:history="1">
        <w:r w:rsidRPr="00EC1BE0">
          <w:rPr>
            <w:rStyle w:val="Hyperlink"/>
            <w:rFonts w:ascii="Palatino Linotype" w:hAnsi="Palatino Linotype"/>
          </w:rPr>
          <w:t>http://www.ohchr.org/EN/ProfessionalInterest/Pages/RoleOfLawyers.aspx</w:t>
        </w:r>
      </w:hyperlink>
      <w:r w:rsidRPr="00EC1BE0">
        <w:rPr>
          <w:rFonts w:ascii="Palatino Linotype" w:hAnsi="Palatino Linotype"/>
        </w:rPr>
        <w:t xml:space="preserve"> (accessed 10 October 2016) </w:t>
      </w:r>
    </w:p>
  </w:footnote>
  <w:footnote w:id="5">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See Debra D. Burke; George W. </w:t>
      </w:r>
      <w:proofErr w:type="spellStart"/>
      <w:r w:rsidRPr="00EC1BE0">
        <w:rPr>
          <w:rFonts w:ascii="Palatino Linotype" w:hAnsi="Palatino Linotype"/>
        </w:rPr>
        <w:t>Mechling</w:t>
      </w:r>
      <w:proofErr w:type="spellEnd"/>
      <w:r w:rsidRPr="00EC1BE0">
        <w:rPr>
          <w:rFonts w:ascii="Palatino Linotype" w:hAnsi="Palatino Linotype"/>
        </w:rPr>
        <w:t>; James W. Pearce, ‘</w:t>
      </w:r>
      <w:r w:rsidRPr="00EC1BE0">
        <w:rPr>
          <w:rFonts w:ascii="Palatino Linotype" w:hAnsi="Palatino Linotype"/>
          <w:i/>
          <w:iCs/>
        </w:rPr>
        <w:t>Mandatory Pro Bono: Cui Bono’</w:t>
      </w:r>
      <w:r w:rsidRPr="00EC1BE0">
        <w:rPr>
          <w:rFonts w:ascii="Palatino Linotype" w:hAnsi="Palatino Linotype"/>
        </w:rPr>
        <w:t xml:space="preserve"> (1996) 25:4 Stetson Law Review 983; Deborah L. Rhode, ‘The Pro Bono Responsibilities of Lawyers and Law Students’ (2000) 27:2 William Mitchell Law Review 1201; Douglas L. Colbert, ‘Clinical Professors' Professional Responsibility: Preparing Law Students to Embrace Pro Bono’ (2011) 18:3 Georgetown Journal on Poverty Law and Policy 309   </w:t>
      </w:r>
    </w:p>
  </w:footnote>
  <w:footnote w:id="6">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There is no universally accepted definition of ‘pro bono’.  Evans highlights that ‘some lawyers consider work done for legal aid as pro bono because of the low level of remuneration, while other would also include matters in which that have substantially reduced, but not waived, their fees.’ (Adrian Evans, ‘Recognising the Conditional Nature of Pro Bono Motivation: Avoiding ‘Aspirational’ Compulsion and Developing an Appropriate Pro Bono Ethic in New Lawyers’ Available at </w:t>
      </w:r>
      <w:hyperlink r:id="rId3" w:history="1">
        <w:r w:rsidRPr="00EC1BE0">
          <w:rPr>
            <w:rStyle w:val="Hyperlink"/>
            <w:rFonts w:ascii="Palatino Linotype" w:hAnsi="Palatino Linotype"/>
          </w:rPr>
          <w:t>http://www.nationalprobono.org.au/conference/pdf/2003_papers/3a_evans.pdf</w:t>
        </w:r>
      </w:hyperlink>
      <w:r w:rsidRPr="00EC1BE0">
        <w:rPr>
          <w:rFonts w:ascii="Palatino Linotype" w:hAnsi="Palatino Linotype"/>
        </w:rPr>
        <w:t xml:space="preserve"> (accessed 23 September 2016))   </w:t>
      </w:r>
    </w:p>
  </w:footnote>
  <w:footnote w:id="7">
    <w:p w:rsidR="00964301" w:rsidRPr="00EC1BE0" w:rsidRDefault="00964301" w:rsidP="00EC1BE0">
      <w:pPr>
        <w:pStyle w:val="FootnoteText"/>
        <w:spacing w:line="276" w:lineRule="auto"/>
        <w:jc w:val="both"/>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The Law Society</w:t>
      </w:r>
      <w:r w:rsidR="00065A20" w:rsidRPr="00EC1BE0">
        <w:rPr>
          <w:rFonts w:ascii="Palatino Linotype" w:hAnsi="Palatino Linotype"/>
        </w:rPr>
        <w:t xml:space="preserve"> of England and Wales</w:t>
      </w:r>
      <w:r w:rsidRPr="00EC1BE0">
        <w:rPr>
          <w:rFonts w:ascii="Palatino Linotype" w:hAnsi="Palatino Linotype"/>
        </w:rPr>
        <w:t xml:space="preserve">, ‘The pro bono work of solicitors: PC Holder Survey 2015’ Available at </w:t>
      </w:r>
      <w:hyperlink r:id="rId4" w:history="1">
        <w:r w:rsidRPr="00EC1BE0">
          <w:rPr>
            <w:rStyle w:val="Hyperlink"/>
            <w:rFonts w:ascii="Palatino Linotype" w:hAnsi="Palatino Linotype"/>
          </w:rPr>
          <w:t>http://www.lawsociety.org.uk/support-services/research-trends/solicitors-pro-bono-work-2015/</w:t>
        </w:r>
      </w:hyperlink>
      <w:r w:rsidRPr="00EC1BE0">
        <w:rPr>
          <w:rFonts w:ascii="Palatino Linotype" w:hAnsi="Palatino Linotype"/>
        </w:rPr>
        <w:t xml:space="preserve"> (accessed 23 September 2016)</w:t>
      </w:r>
    </w:p>
  </w:footnote>
  <w:footnote w:id="8">
    <w:p w:rsidR="00964301" w:rsidRPr="00EC1BE0" w:rsidRDefault="00964301" w:rsidP="00EC1BE0">
      <w:pPr>
        <w:pStyle w:val="FootnoteText"/>
        <w:spacing w:line="276" w:lineRule="auto"/>
        <w:jc w:val="both"/>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The Pro Bono Protocol defines pro bono as ‘legal advice or representation provided by lawyers in the public interest including to individuals, charities and community groups who cannot afford to pay for that advice or representation and where public and alternative means of funding are not available.’  Further, ‘[l]</w:t>
      </w:r>
      <w:proofErr w:type="spellStart"/>
      <w:r w:rsidRPr="00EC1BE0">
        <w:rPr>
          <w:rFonts w:ascii="Palatino Linotype" w:hAnsi="Palatino Linotype"/>
        </w:rPr>
        <w:t>egal</w:t>
      </w:r>
      <w:proofErr w:type="spellEnd"/>
      <w:r w:rsidRPr="00EC1BE0">
        <w:rPr>
          <w:rFonts w:ascii="Palatino Linotype" w:hAnsi="Palatino Linotype"/>
        </w:rPr>
        <w:t xml:space="preserve"> work is pro bono legal work only if it is free to the client, without payment to the lawyer or law firm (regardless of the outcome) and provided voluntarily either by the lawyer or his or her firm.’ The Joint Pro Bono Protocol for Legal Work available at </w:t>
      </w:r>
      <w:hyperlink r:id="rId5" w:history="1">
        <w:r w:rsidRPr="00EC1BE0">
          <w:rPr>
            <w:rStyle w:val="Hyperlink"/>
            <w:rFonts w:ascii="Palatino Linotype" w:hAnsi="Palatino Linotype"/>
          </w:rPr>
          <w:t>http://www.lawsociety.org.uk/Support-services/Practice-management/Pro-bono/The-pro-bono-protocol/</w:t>
        </w:r>
      </w:hyperlink>
      <w:r w:rsidRPr="00EC1BE0">
        <w:rPr>
          <w:rFonts w:ascii="Palatino Linotype" w:hAnsi="Palatino Linotype"/>
        </w:rPr>
        <w:t xml:space="preserve"> (accessed 23 September 2016)  </w:t>
      </w:r>
    </w:p>
  </w:footnote>
  <w:footnote w:id="9">
    <w:p w:rsidR="00964301" w:rsidRPr="00EC1BE0" w:rsidRDefault="00964301" w:rsidP="00EC1BE0">
      <w:pPr>
        <w:pStyle w:val="FootnoteText"/>
        <w:spacing w:line="276" w:lineRule="auto"/>
        <w:jc w:val="both"/>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Ibid</w:t>
      </w:r>
    </w:p>
  </w:footnote>
  <w:footnote w:id="10">
    <w:p w:rsidR="00964301" w:rsidRPr="00EC1BE0" w:rsidRDefault="00964301" w:rsidP="00EC1BE0">
      <w:pPr>
        <w:pStyle w:val="FootnoteText"/>
        <w:spacing w:line="276" w:lineRule="auto"/>
        <w:jc w:val="both"/>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Ibid</w:t>
      </w:r>
    </w:p>
  </w:footnote>
  <w:footnote w:id="11">
    <w:p w:rsidR="00964301" w:rsidRPr="00EC1BE0" w:rsidRDefault="00964301" w:rsidP="00EC1BE0">
      <w:pPr>
        <w:pStyle w:val="FootnoteText"/>
        <w:spacing w:line="276" w:lineRule="auto"/>
        <w:jc w:val="both"/>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Ibid</w:t>
      </w:r>
    </w:p>
  </w:footnote>
  <w:footnote w:id="12">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Robert S. Gerber, ‘The Top Five Excuses for Not Doing Pro Bono Work, and Why They’re All Bad’ San Diego Daily Transcript 4 May 2005 Available at </w:t>
      </w:r>
      <w:hyperlink r:id="rId6" w:history="1">
        <w:r w:rsidRPr="00EC1BE0">
          <w:rPr>
            <w:rStyle w:val="Hyperlink"/>
            <w:rFonts w:ascii="Palatino Linotype" w:hAnsi="Palatino Linotype"/>
          </w:rPr>
          <w:t>https://www.sheppardmullin.com/media/article/324_pub388.pdf</w:t>
        </w:r>
      </w:hyperlink>
      <w:r w:rsidRPr="00EC1BE0">
        <w:rPr>
          <w:rFonts w:ascii="Palatino Linotype" w:hAnsi="Palatino Linotype"/>
        </w:rPr>
        <w:t xml:space="preserve"> (accessed 2 December 2016) </w:t>
      </w:r>
    </w:p>
  </w:footnote>
  <w:footnote w:id="13">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For example, see Elisabeth Wentworth, ‘</w:t>
      </w:r>
      <w:r w:rsidRPr="00EC1BE0">
        <w:rPr>
          <w:rFonts w:ascii="Palatino Linotype" w:hAnsi="Palatino Linotype"/>
          <w:i/>
          <w:iCs/>
        </w:rPr>
        <w:t>Barriers to Pro Bono: Commercial Conflicts of Interest Reconsidered’ (2001)</w:t>
      </w:r>
      <w:r w:rsidRPr="00EC1BE0">
        <w:rPr>
          <w:rFonts w:ascii="Palatino Linotype" w:hAnsi="Palatino Linotype"/>
        </w:rPr>
        <w:t xml:space="preserve"> 19 Law in Context: A Socio-Legal Journal 166</w:t>
      </w:r>
    </w:p>
  </w:footnote>
  <w:footnote w:id="14">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w:t>
      </w:r>
      <w:proofErr w:type="spellStart"/>
      <w:r w:rsidRPr="00EC1BE0">
        <w:rPr>
          <w:rFonts w:ascii="Palatino Linotype" w:hAnsi="Palatino Linotype"/>
        </w:rPr>
        <w:t>LawWorks</w:t>
      </w:r>
      <w:proofErr w:type="spellEnd"/>
      <w:r w:rsidRPr="00EC1BE0">
        <w:rPr>
          <w:rFonts w:ascii="Palatino Linotype" w:hAnsi="Palatino Linotype"/>
        </w:rPr>
        <w:t xml:space="preserve">, ‘The Case for Pro Bono and Getting Started’ Available at </w:t>
      </w:r>
      <w:hyperlink r:id="rId7" w:history="1">
        <w:r w:rsidRPr="00EC1BE0">
          <w:rPr>
            <w:rStyle w:val="Hyperlink"/>
            <w:rFonts w:ascii="Palatino Linotype" w:hAnsi="Palatino Linotype"/>
          </w:rPr>
          <w:t>file:///C:/Users/intel/Downloads/lawworks-pro-bono-mini-guide-the-case-for-pro-bono-and-getting-started.pdf</w:t>
        </w:r>
      </w:hyperlink>
      <w:r w:rsidRPr="00EC1BE0">
        <w:rPr>
          <w:rFonts w:ascii="Palatino Linotype" w:hAnsi="Palatino Linotype"/>
        </w:rPr>
        <w:t xml:space="preserve"> (accessed 2 December 2016)</w:t>
      </w:r>
    </w:p>
  </w:footnote>
  <w:footnote w:id="15">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David A. </w:t>
      </w:r>
      <w:proofErr w:type="spellStart"/>
      <w:r w:rsidRPr="00EC1BE0">
        <w:rPr>
          <w:rFonts w:ascii="Palatino Linotype" w:hAnsi="Palatino Linotype"/>
        </w:rPr>
        <w:t>Kutik</w:t>
      </w:r>
      <w:proofErr w:type="spellEnd"/>
      <w:r w:rsidRPr="00EC1BE0">
        <w:rPr>
          <w:rFonts w:ascii="Palatino Linotype" w:hAnsi="Palatino Linotype"/>
        </w:rPr>
        <w:t>, ‘</w:t>
      </w:r>
      <w:r w:rsidRPr="00EC1BE0">
        <w:rPr>
          <w:rFonts w:ascii="Palatino Linotype" w:hAnsi="Palatino Linotype"/>
          <w:i/>
          <w:iCs/>
        </w:rPr>
        <w:t>Pro Bono: Why Bother’(2005)</w:t>
      </w:r>
      <w:r w:rsidRPr="00EC1BE0">
        <w:rPr>
          <w:rFonts w:ascii="Palatino Linotype" w:hAnsi="Palatino Linotype"/>
        </w:rPr>
        <w:t xml:space="preserve"> 22:7 </w:t>
      </w:r>
      <w:proofErr w:type="spellStart"/>
      <w:r w:rsidRPr="00EC1BE0">
        <w:rPr>
          <w:rFonts w:ascii="Palatino Linotype" w:hAnsi="Palatino Linotype"/>
        </w:rPr>
        <w:t>GPSolo</w:t>
      </w:r>
      <w:proofErr w:type="spellEnd"/>
      <w:r w:rsidRPr="00EC1BE0">
        <w:rPr>
          <w:rFonts w:ascii="Palatino Linotype" w:hAnsi="Palatino Linotype"/>
        </w:rPr>
        <w:t xml:space="preserve"> 44, 46  </w:t>
      </w:r>
    </w:p>
  </w:footnote>
  <w:footnote w:id="16">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National Audit Office, ‘Implementing reforms to civil legal aid’ (2014) HC 784, Session 14-15 para. 1.25 Available at </w:t>
      </w:r>
      <w:hyperlink r:id="rId8" w:history="1">
        <w:r w:rsidRPr="00EC1BE0">
          <w:rPr>
            <w:rStyle w:val="Hyperlink"/>
            <w:rFonts w:ascii="Palatino Linotype" w:hAnsi="Palatino Linotype"/>
          </w:rPr>
          <w:t>https://www.nao.org.uk/wp-content/uploads/2014/11/Implementing-reforms-to-civil-legal-aid1.pdf</w:t>
        </w:r>
      </w:hyperlink>
      <w:r w:rsidRPr="00EC1BE0">
        <w:rPr>
          <w:rFonts w:ascii="Palatino Linotype" w:hAnsi="Palatino Linotype"/>
        </w:rPr>
        <w:t xml:space="preserve"> (accessed 23 September 2016)</w:t>
      </w:r>
    </w:p>
  </w:footnote>
  <w:footnote w:id="17">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Ibid, para. 1.24</w:t>
      </w:r>
    </w:p>
  </w:footnote>
  <w:footnote w:id="18">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House of Commons Justice Committee, ‘Eighth Report of Session 2014-15, 4 March 2015: Impact of the changes to civil legal aid under Part 1 of the Legal Aid, Sentencing and Punishment of Offenders Act 2012’, para.137 Available at </w:t>
      </w:r>
      <w:hyperlink r:id="rId9" w:history="1">
        <w:r w:rsidRPr="00EC1BE0">
          <w:rPr>
            <w:rStyle w:val="Hyperlink"/>
            <w:rFonts w:ascii="Palatino Linotype" w:hAnsi="Palatino Linotype"/>
          </w:rPr>
          <w:t>http://www.publications.parliament.uk/pa/cm201415/cmselect/cmjust/311/31102.htm</w:t>
        </w:r>
      </w:hyperlink>
      <w:r w:rsidRPr="00EC1BE0">
        <w:rPr>
          <w:rFonts w:ascii="Palatino Linotype" w:hAnsi="Palatino Linotype"/>
        </w:rPr>
        <w:t xml:space="preserve">  (accessed 23 September 2016)</w:t>
      </w:r>
    </w:p>
  </w:footnote>
  <w:footnote w:id="19">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Ibid</w:t>
      </w:r>
    </w:p>
  </w:footnote>
  <w:footnote w:id="20">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Productivity Commission, ‘Access to Justice Arrangements’ Volume 1, 133</w:t>
      </w:r>
      <w:r w:rsidR="005C25C2" w:rsidRPr="00EC1BE0">
        <w:rPr>
          <w:rFonts w:ascii="Palatino Linotype" w:hAnsi="Palatino Linotype"/>
        </w:rPr>
        <w:t xml:space="preserve"> Available at </w:t>
      </w:r>
      <w:hyperlink r:id="rId10" w:history="1">
        <w:r w:rsidR="005C25C2" w:rsidRPr="00EC1BE0">
          <w:rPr>
            <w:rStyle w:val="Hyperlink"/>
            <w:rFonts w:ascii="Palatino Linotype" w:hAnsi="Palatino Linotype"/>
          </w:rPr>
          <w:t>http://www.pc.gov.au/inquiries/completed/access-justice/report/access-justice-volume1.pdf</w:t>
        </w:r>
      </w:hyperlink>
      <w:r w:rsidR="005C25C2" w:rsidRPr="00EC1BE0">
        <w:rPr>
          <w:rFonts w:ascii="Palatino Linotype" w:hAnsi="Palatino Linotype"/>
        </w:rPr>
        <w:t xml:space="preserve"> (accessed 29 June 2017)  </w:t>
      </w:r>
    </w:p>
  </w:footnote>
  <w:footnote w:id="21">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For example, Michael Gove MP stated that ‘[w]</w:t>
      </w:r>
      <w:proofErr w:type="spellStart"/>
      <w:r w:rsidRPr="00EC1BE0">
        <w:rPr>
          <w:rFonts w:ascii="Palatino Linotype" w:hAnsi="Palatino Linotype"/>
        </w:rPr>
        <w:t>hen</w:t>
      </w:r>
      <w:proofErr w:type="spellEnd"/>
      <w:r w:rsidRPr="00EC1BE0">
        <w:rPr>
          <w:rFonts w:ascii="Palatino Linotype" w:hAnsi="Palatino Linotype"/>
        </w:rPr>
        <w:t xml:space="preserve"> it comes to investing in access to justice then it is clear to me that it is fairer to ask our most successful legal professionals to contribute a little more rather than taking more rather than taking more in tax from someone on the minimum wage.’ (The </w:t>
      </w:r>
      <w:proofErr w:type="spellStart"/>
      <w:r w:rsidRPr="00EC1BE0">
        <w:rPr>
          <w:rFonts w:ascii="Palatino Linotype" w:hAnsi="Palatino Linotype"/>
        </w:rPr>
        <w:t>Rt</w:t>
      </w:r>
      <w:proofErr w:type="spellEnd"/>
      <w:r w:rsidRPr="00EC1BE0">
        <w:rPr>
          <w:rFonts w:ascii="Palatino Linotype" w:hAnsi="Palatino Linotype"/>
        </w:rPr>
        <w:t xml:space="preserve"> Hon Michael Gove MP, ‘</w:t>
      </w:r>
      <w:proofErr w:type="gramStart"/>
      <w:r w:rsidRPr="00EC1BE0">
        <w:rPr>
          <w:rFonts w:ascii="Palatino Linotype" w:hAnsi="Palatino Linotype"/>
        </w:rPr>
        <w:t>What</w:t>
      </w:r>
      <w:proofErr w:type="gramEnd"/>
      <w:r w:rsidRPr="00EC1BE0">
        <w:rPr>
          <w:rFonts w:ascii="Palatino Linotype" w:hAnsi="Palatino Linotype"/>
        </w:rPr>
        <w:t xml:space="preserve"> does a one nation justice policy look like? 23 June 2015 Available at </w:t>
      </w:r>
      <w:hyperlink r:id="rId11" w:history="1">
        <w:r w:rsidRPr="00EC1BE0">
          <w:rPr>
            <w:rStyle w:val="Hyperlink"/>
            <w:rFonts w:ascii="Palatino Linotype" w:hAnsi="Palatino Linotype"/>
          </w:rPr>
          <w:t>https://www.gov.uk/government/speeches/what-does-a-one-nation-justice-policy-look-like</w:t>
        </w:r>
      </w:hyperlink>
      <w:r w:rsidRPr="00EC1BE0">
        <w:rPr>
          <w:rFonts w:ascii="Palatino Linotype" w:hAnsi="Palatino Linotype"/>
        </w:rPr>
        <w:t xml:space="preserve"> (accessed 6 March 2017)).  The Law Society of England and Wales maintains that  ‘pro bono is never a substitute for a properly funded system of legal aid, which needs skilled and experienced solicitors to provide expert legal advice to those who need it.’ (The Law Society, ‘Law Society statement on ‘one nation justice system’ 23 June 2015 Available at </w:t>
      </w:r>
      <w:hyperlink r:id="rId12" w:history="1">
        <w:r w:rsidRPr="00EC1BE0">
          <w:rPr>
            <w:rStyle w:val="Hyperlink"/>
            <w:rFonts w:ascii="Palatino Linotype" w:hAnsi="Palatino Linotype"/>
          </w:rPr>
          <w:t>http://www.lawsociety.org.uk/news/press-releases/law-society-statement-on-one-nation-justice-system/</w:t>
        </w:r>
      </w:hyperlink>
      <w:r w:rsidRPr="00EC1BE0">
        <w:rPr>
          <w:rFonts w:ascii="Palatino Linotype" w:hAnsi="Palatino Linotype"/>
        </w:rPr>
        <w:t xml:space="preserve"> (accessed 6 March 2017)).  See also Richard Abel, ‘The Paradoxes of Pro Bono’ (2010) 78:5 Fordham Law Review 2443   </w:t>
      </w:r>
    </w:p>
  </w:footnote>
  <w:footnote w:id="22">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Damian Carney, Frank </w:t>
      </w:r>
      <w:proofErr w:type="spellStart"/>
      <w:r w:rsidRPr="00EC1BE0">
        <w:rPr>
          <w:rFonts w:ascii="Palatino Linotype" w:hAnsi="Palatino Linotype"/>
        </w:rPr>
        <w:t>Dignan</w:t>
      </w:r>
      <w:proofErr w:type="spellEnd"/>
      <w:r w:rsidRPr="00EC1BE0">
        <w:rPr>
          <w:rFonts w:ascii="Palatino Linotype" w:hAnsi="Palatino Linotype"/>
        </w:rPr>
        <w:t xml:space="preserve">, Richard Grimes, Grace Kelly and Rebecca Parker, ‘The </w:t>
      </w:r>
      <w:proofErr w:type="spellStart"/>
      <w:r w:rsidRPr="00EC1BE0">
        <w:rPr>
          <w:rFonts w:ascii="Palatino Linotype" w:hAnsi="Palatino Linotype"/>
        </w:rPr>
        <w:t>LawWorks</w:t>
      </w:r>
      <w:proofErr w:type="spellEnd"/>
      <w:r w:rsidRPr="00EC1BE0">
        <w:rPr>
          <w:rFonts w:ascii="Palatino Linotype" w:hAnsi="Palatino Linotype"/>
        </w:rPr>
        <w:t xml:space="preserve"> Law School Pro Bono and Clinic Report 2014’ Available at </w:t>
      </w:r>
      <w:hyperlink r:id="rId13" w:history="1">
        <w:r w:rsidRPr="00EC1BE0">
          <w:rPr>
            <w:rStyle w:val="Hyperlink"/>
            <w:rFonts w:ascii="Palatino Linotype" w:hAnsi="Palatino Linotype"/>
          </w:rPr>
          <w:t>https://www.lawworks.org.uk/sites/default/files/LawWorks-student-pro-bono-report%202014.pdf</w:t>
        </w:r>
      </w:hyperlink>
      <w:r w:rsidRPr="00EC1BE0">
        <w:rPr>
          <w:rFonts w:ascii="Palatino Linotype" w:hAnsi="Palatino Linotype"/>
        </w:rPr>
        <w:t xml:space="preserve"> (accessed 23 September 2016).  It should be noted that ‘pro bono work’ was defined as ‘an activity organised and/or delivered by a law school that provides a legal service to an individual, group or organisation without charge’.  This is a wide definition and encompasses mandatory and voluntary activities as well as credit and non-credit bearing activities.  There has been discussion as to what work is included within the meaning of ‘student pro bono’ (for example, Dina R. Merrell, ‘Pro Bono, Pro You’ (2001) 29:7 Student Law. 39; Tracey Booth, ‘Student Pro Bono’ (2004) 29:6 Alternative L.J. 280).  For a general discussion on the definition of ‘pro bono’ and ‘clinical legal education’ see Kevin Kerrigan, ‘What is Clinical Legal Education and Pro Bono?’ in </w:t>
      </w:r>
      <w:r w:rsidRPr="00EC1BE0">
        <w:rPr>
          <w:rFonts w:ascii="Palatino Linotype" w:hAnsi="Palatino Linotype"/>
          <w:i/>
        </w:rPr>
        <w:t>A Student Guide to Clinical Legal Education and Pro Bono</w:t>
      </w:r>
      <w:r w:rsidRPr="00EC1BE0">
        <w:rPr>
          <w:rFonts w:ascii="Palatino Linotype" w:hAnsi="Palatino Linotype"/>
        </w:rPr>
        <w:t xml:space="preserve"> (Kevin Kerrigan and Victoria Murray eds. 2011)  </w:t>
      </w:r>
    </w:p>
  </w:footnote>
  <w:footnote w:id="23">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See Deborah L. Rhode, ‘Pro Bono in Principle and in Practice’ (2003) 53:3 Journal of Legal Education 413; Robert </w:t>
      </w:r>
      <w:proofErr w:type="spellStart"/>
      <w:r w:rsidRPr="00EC1BE0">
        <w:rPr>
          <w:rFonts w:ascii="Palatino Linotype" w:hAnsi="Palatino Linotype"/>
        </w:rPr>
        <w:t>Granfield</w:t>
      </w:r>
      <w:proofErr w:type="spellEnd"/>
      <w:r w:rsidRPr="00EC1BE0">
        <w:rPr>
          <w:rFonts w:ascii="Palatino Linotype" w:hAnsi="Palatino Linotype"/>
        </w:rPr>
        <w:t>, ‘</w:t>
      </w:r>
      <w:r w:rsidRPr="00EC1BE0">
        <w:rPr>
          <w:rFonts w:ascii="Palatino Linotype" w:hAnsi="Palatino Linotype"/>
          <w:iCs/>
        </w:rPr>
        <w:t>Institutionalizing Public Service in Law School: Results on the Impact of Mandatory Pro Bono Programs</w:t>
      </w:r>
      <w:r w:rsidRPr="00EC1BE0">
        <w:rPr>
          <w:rFonts w:ascii="Palatino Linotype" w:hAnsi="Palatino Linotype"/>
        </w:rPr>
        <w:t xml:space="preserve">’ (2007) 54 Buffalo Law Review 1355; Paul </w:t>
      </w:r>
      <w:proofErr w:type="spellStart"/>
      <w:r w:rsidRPr="00EC1BE0">
        <w:rPr>
          <w:rFonts w:ascii="Palatino Linotype" w:hAnsi="Palatino Linotype"/>
        </w:rPr>
        <w:t>McKeown</w:t>
      </w:r>
      <w:proofErr w:type="spellEnd"/>
      <w:r w:rsidRPr="00EC1BE0">
        <w:rPr>
          <w:rFonts w:ascii="Palatino Linotype" w:hAnsi="Palatino Linotype"/>
        </w:rPr>
        <w:t>, ‘Law Student Attitudes towards Pro Bono and Voluntary Work: The Experience at Northumbria University’ (2015) 22:1 International Journal of Clinical Legal Education [vi]</w:t>
      </w:r>
    </w:p>
  </w:footnote>
  <w:footnote w:id="24">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See Sally </w:t>
      </w:r>
      <w:proofErr w:type="spellStart"/>
      <w:r w:rsidRPr="00EC1BE0">
        <w:rPr>
          <w:rFonts w:ascii="Palatino Linotype" w:hAnsi="Palatino Linotype"/>
        </w:rPr>
        <w:t>Maresh</w:t>
      </w:r>
      <w:proofErr w:type="spellEnd"/>
      <w:r w:rsidRPr="00EC1BE0">
        <w:rPr>
          <w:rFonts w:ascii="Palatino Linotype" w:hAnsi="Palatino Linotype"/>
        </w:rPr>
        <w:t xml:space="preserve">, ‘The Impact of Clinical Legal Education on Decisions of Law Students to Practice Public Interest Law’ in </w:t>
      </w:r>
      <w:r w:rsidRPr="00EC1BE0">
        <w:rPr>
          <w:rFonts w:ascii="Palatino Linotype" w:hAnsi="Palatino Linotype"/>
          <w:i/>
        </w:rPr>
        <w:t>Educating for Justice: Social Values and Legal Education</w:t>
      </w:r>
      <w:r w:rsidRPr="00EC1BE0">
        <w:rPr>
          <w:rFonts w:ascii="Palatino Linotype" w:hAnsi="Palatino Linotype"/>
        </w:rPr>
        <w:t xml:space="preserve"> (Jeremy Cooper and Louise G. </w:t>
      </w:r>
      <w:proofErr w:type="spellStart"/>
      <w:r w:rsidRPr="00EC1BE0">
        <w:rPr>
          <w:rFonts w:ascii="Palatino Linotype" w:hAnsi="Palatino Linotype"/>
        </w:rPr>
        <w:t>Trubek</w:t>
      </w:r>
      <w:proofErr w:type="spellEnd"/>
      <w:r w:rsidRPr="00EC1BE0">
        <w:rPr>
          <w:rFonts w:ascii="Palatino Linotype" w:hAnsi="Palatino Linotype"/>
        </w:rPr>
        <w:t xml:space="preserve"> eds. 1997); Deborah A. </w:t>
      </w:r>
      <w:proofErr w:type="spellStart"/>
      <w:r w:rsidRPr="00EC1BE0">
        <w:rPr>
          <w:rFonts w:ascii="Palatino Linotype" w:hAnsi="Palatino Linotype"/>
        </w:rPr>
        <w:t>Schmedemann</w:t>
      </w:r>
      <w:proofErr w:type="spellEnd"/>
      <w:r w:rsidRPr="00EC1BE0">
        <w:rPr>
          <w:rFonts w:ascii="Palatino Linotype" w:hAnsi="Palatino Linotype"/>
        </w:rPr>
        <w:t xml:space="preserve">, ‘Priming for Pro Bono </w:t>
      </w:r>
      <w:proofErr w:type="spellStart"/>
      <w:r w:rsidRPr="00EC1BE0">
        <w:rPr>
          <w:rFonts w:ascii="Palatino Linotype" w:hAnsi="Palatino Linotype"/>
        </w:rPr>
        <w:t>Publico</w:t>
      </w:r>
      <w:proofErr w:type="spellEnd"/>
      <w:r w:rsidRPr="00EC1BE0">
        <w:rPr>
          <w:rFonts w:ascii="Palatino Linotype" w:hAnsi="Palatino Linotype"/>
        </w:rPr>
        <w:t xml:space="preserve">: The Impact of the Law School on Pro Bono Participation in Practice’, in </w:t>
      </w:r>
      <w:r w:rsidRPr="00EC1BE0">
        <w:rPr>
          <w:rFonts w:ascii="Palatino Linotype" w:hAnsi="Palatino Linotype"/>
          <w:i/>
        </w:rPr>
        <w:t>Private Lawyers and the Public Interest: The Evolving Role of Pro Bono in the Legal Profession</w:t>
      </w:r>
      <w:r w:rsidRPr="00EC1BE0">
        <w:rPr>
          <w:rFonts w:ascii="Palatino Linotype" w:hAnsi="Palatino Linotype"/>
        </w:rPr>
        <w:t xml:space="preserve"> (Robert </w:t>
      </w:r>
      <w:proofErr w:type="spellStart"/>
      <w:r w:rsidRPr="00EC1BE0">
        <w:rPr>
          <w:rFonts w:ascii="Palatino Linotype" w:hAnsi="Palatino Linotype"/>
        </w:rPr>
        <w:t>Granfield</w:t>
      </w:r>
      <w:proofErr w:type="spellEnd"/>
      <w:r w:rsidRPr="00EC1BE0">
        <w:rPr>
          <w:rFonts w:ascii="Palatino Linotype" w:hAnsi="Palatino Linotype"/>
        </w:rPr>
        <w:t xml:space="preserve"> and Lynn Mather eds. 2009) </w:t>
      </w:r>
    </w:p>
  </w:footnote>
  <w:footnote w:id="25">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For example, Howard </w:t>
      </w:r>
      <w:proofErr w:type="spellStart"/>
      <w:r w:rsidRPr="00EC1BE0">
        <w:rPr>
          <w:rFonts w:ascii="Palatino Linotype" w:hAnsi="Palatino Linotype"/>
        </w:rPr>
        <w:t>Lesnick</w:t>
      </w:r>
      <w:proofErr w:type="spellEnd"/>
      <w:r w:rsidRPr="00EC1BE0">
        <w:rPr>
          <w:rFonts w:ascii="Palatino Linotype" w:hAnsi="Palatino Linotype"/>
        </w:rPr>
        <w:t xml:space="preserve">, ‘Why Pro Bono in Law Schools’ (1994) 13:1 Law and Inequality 25; Di Mari Ricker, ‘Pro Bono Pays’ (1997) 26:3 Student Law 30; Deborah L. Rhode, ‘The Pro Bono Responsibilities of Lawyers and Law Students’ (2000) 27:2 William Mitchell Law Review 1201; Craig Linder, ‘Student-Lawyer Partnerships for Pro Bono’ (2007) 35:7 Student Law 29   </w:t>
      </w:r>
    </w:p>
  </w:footnote>
  <w:footnote w:id="26">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Stephen Parker, ‘Why Lawyers Should Do Pro Bono Work’ (2001) 19 Law in Context: A Socio-Legal Journal 5</w:t>
      </w:r>
    </w:p>
  </w:footnote>
  <w:footnote w:id="27">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00065A20" w:rsidRPr="00EC1BE0">
        <w:rPr>
          <w:rFonts w:ascii="Palatino Linotype" w:hAnsi="Palatino Linotype"/>
        </w:rPr>
        <w:t xml:space="preserve"> See Parker n.26</w:t>
      </w:r>
      <w:r w:rsidRPr="00EC1BE0">
        <w:rPr>
          <w:rFonts w:ascii="Palatino Linotype" w:hAnsi="Palatino Linotype"/>
        </w:rPr>
        <w:t>; Deborah Rhode, ‘Cultures of Commitment: Pro Bono for Lawyers and Law Students’ (1999) 67 Fordham Law Review 2415, 2419</w:t>
      </w:r>
    </w:p>
  </w:footnote>
  <w:footnote w:id="28">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Richard M Ryan and Edward L </w:t>
      </w:r>
      <w:proofErr w:type="spellStart"/>
      <w:r w:rsidRPr="00EC1BE0">
        <w:rPr>
          <w:rFonts w:ascii="Palatino Linotype" w:hAnsi="Palatino Linotype"/>
        </w:rPr>
        <w:t>Deci</w:t>
      </w:r>
      <w:proofErr w:type="spellEnd"/>
      <w:r w:rsidRPr="00EC1BE0">
        <w:rPr>
          <w:rFonts w:ascii="Palatino Linotype" w:hAnsi="Palatino Linotype"/>
        </w:rPr>
        <w:t>, ‘Intrinsic and Extrinsic Motivations: Classic Definitions and New Directions’ (2000) Contemporary Educational Psychology 54, 56</w:t>
      </w:r>
    </w:p>
  </w:footnote>
  <w:footnote w:id="29">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Rhode, n.</w:t>
      </w:r>
      <w:r w:rsidR="00065A20" w:rsidRPr="00EC1BE0">
        <w:rPr>
          <w:rFonts w:ascii="Palatino Linotype" w:hAnsi="Palatino Linotype"/>
        </w:rPr>
        <w:t>27</w:t>
      </w:r>
      <w:r w:rsidRPr="00EC1BE0">
        <w:rPr>
          <w:rFonts w:ascii="Palatino Linotype" w:hAnsi="Palatino Linotype"/>
        </w:rPr>
        <w:t>, 2427</w:t>
      </w:r>
    </w:p>
  </w:footnote>
  <w:footnote w:id="30">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Ibid. 60</w:t>
      </w:r>
    </w:p>
  </w:footnote>
  <w:footnote w:id="31">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Alfie Kohn, ‘How Not to Teach Values: A Critical Look at Character Education’ (1997) Phi Delta </w:t>
      </w:r>
      <w:proofErr w:type="spellStart"/>
      <w:r w:rsidRPr="00EC1BE0">
        <w:rPr>
          <w:rFonts w:ascii="Palatino Linotype" w:hAnsi="Palatino Linotype"/>
        </w:rPr>
        <w:t>Kappan</w:t>
      </w:r>
      <w:proofErr w:type="spellEnd"/>
      <w:r w:rsidRPr="00EC1BE0">
        <w:rPr>
          <w:rFonts w:ascii="Palatino Linotype" w:hAnsi="Palatino Linotype"/>
        </w:rPr>
        <w:t xml:space="preserve"> Available at </w:t>
      </w:r>
      <w:hyperlink r:id="rId14" w:history="1">
        <w:r w:rsidRPr="00EC1BE0">
          <w:rPr>
            <w:rStyle w:val="Hyperlink"/>
            <w:rFonts w:ascii="Palatino Linotype" w:hAnsi="Palatino Linotype"/>
          </w:rPr>
          <w:t>http://www.alfiekohn.org/article/teach-values/?print=pdf</w:t>
        </w:r>
      </w:hyperlink>
      <w:r w:rsidRPr="00EC1BE0">
        <w:rPr>
          <w:rFonts w:ascii="Palatino Linotype" w:hAnsi="Palatino Linotype"/>
        </w:rPr>
        <w:t xml:space="preserve"> </w:t>
      </w:r>
    </w:p>
  </w:footnote>
  <w:footnote w:id="32">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Donald Nicolson, ‘Education, Education, Education: Legal, Moral and Clinical’ (2008) 42:2 Law Teacher 145, 154</w:t>
      </w:r>
    </w:p>
  </w:footnote>
  <w:footnote w:id="33">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Ryan and </w:t>
      </w:r>
      <w:proofErr w:type="spellStart"/>
      <w:r w:rsidRPr="00EC1BE0">
        <w:rPr>
          <w:rFonts w:ascii="Palatino Linotype" w:hAnsi="Palatino Linotype"/>
        </w:rPr>
        <w:t>Deci</w:t>
      </w:r>
      <w:proofErr w:type="spellEnd"/>
      <w:r w:rsidRPr="00EC1BE0">
        <w:rPr>
          <w:rFonts w:ascii="Palatino Linotype" w:hAnsi="Palatino Linotype"/>
        </w:rPr>
        <w:t>, n.</w:t>
      </w:r>
      <w:r w:rsidR="00065A20" w:rsidRPr="00EC1BE0">
        <w:rPr>
          <w:rFonts w:ascii="Palatino Linotype" w:hAnsi="Palatino Linotype"/>
        </w:rPr>
        <w:t>28</w:t>
      </w:r>
      <w:r w:rsidRPr="00EC1BE0">
        <w:rPr>
          <w:rFonts w:ascii="Palatino Linotype" w:hAnsi="Palatino Linotype"/>
        </w:rPr>
        <w:t>, 59</w:t>
      </w:r>
    </w:p>
  </w:footnote>
  <w:footnote w:id="34">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Ibid, 60</w:t>
      </w:r>
    </w:p>
  </w:footnote>
  <w:footnote w:id="35">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Ibid, 61</w:t>
      </w:r>
    </w:p>
  </w:footnote>
  <w:footnote w:id="36">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Drawn from Ryan and </w:t>
      </w:r>
      <w:proofErr w:type="spellStart"/>
      <w:r w:rsidRPr="00EC1BE0">
        <w:rPr>
          <w:rFonts w:ascii="Palatino Linotype" w:hAnsi="Palatino Linotype"/>
        </w:rPr>
        <w:t>Deci</w:t>
      </w:r>
      <w:proofErr w:type="spellEnd"/>
      <w:r w:rsidRPr="00EC1BE0">
        <w:rPr>
          <w:rFonts w:ascii="Palatino Linotype" w:hAnsi="Palatino Linotype"/>
        </w:rPr>
        <w:t>, n.</w:t>
      </w:r>
      <w:r w:rsidR="00065A20" w:rsidRPr="00EC1BE0">
        <w:rPr>
          <w:rFonts w:ascii="Palatino Linotype" w:hAnsi="Palatino Linotype"/>
        </w:rPr>
        <w:t>28</w:t>
      </w:r>
      <w:r w:rsidRPr="00EC1BE0">
        <w:rPr>
          <w:rFonts w:ascii="Palatino Linotype" w:hAnsi="Palatino Linotype"/>
        </w:rPr>
        <w:t>, 61</w:t>
      </w:r>
    </w:p>
  </w:footnote>
  <w:footnote w:id="37">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Ryan and </w:t>
      </w:r>
      <w:proofErr w:type="spellStart"/>
      <w:r w:rsidRPr="00EC1BE0">
        <w:rPr>
          <w:rFonts w:ascii="Palatino Linotype" w:hAnsi="Palatino Linotype"/>
        </w:rPr>
        <w:t>Deci</w:t>
      </w:r>
      <w:proofErr w:type="spellEnd"/>
      <w:r w:rsidRPr="00EC1BE0">
        <w:rPr>
          <w:rFonts w:ascii="Palatino Linotype" w:hAnsi="Palatino Linotype"/>
        </w:rPr>
        <w:t>, n.</w:t>
      </w:r>
      <w:r w:rsidR="00065A20" w:rsidRPr="00EC1BE0">
        <w:rPr>
          <w:rFonts w:ascii="Palatino Linotype" w:hAnsi="Palatino Linotype"/>
        </w:rPr>
        <w:t>28</w:t>
      </w:r>
      <w:r w:rsidRPr="00EC1BE0">
        <w:rPr>
          <w:rFonts w:ascii="Palatino Linotype" w:hAnsi="Palatino Linotype"/>
        </w:rPr>
        <w:t>, 61</w:t>
      </w:r>
    </w:p>
  </w:footnote>
  <w:footnote w:id="38">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Ibid, 62</w:t>
      </w:r>
    </w:p>
  </w:footnote>
  <w:footnote w:id="39">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Ibid</w:t>
      </w:r>
    </w:p>
  </w:footnote>
  <w:footnote w:id="40">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Ibid</w:t>
      </w:r>
    </w:p>
  </w:footnote>
  <w:footnote w:id="41">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Fran Quigley, ‘Seizing the Disorientating Moment: Adult Learning Theory and Teaching Social Justice in Law School Clinics’ (1995) 2 Clinical Law Review 37, 51-56</w:t>
      </w:r>
    </w:p>
  </w:footnote>
  <w:footnote w:id="42">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Malcolm M. Combe, ‘Selling intra-curricular clinical legal education’ (2014) 48:3 The Law Teacher 281, 290 DOI: 10.1080/03069400.2014.965950; See also ‘</w:t>
      </w:r>
      <w:r w:rsidRPr="00EC1BE0">
        <w:rPr>
          <w:rFonts w:ascii="Palatino Linotype" w:hAnsi="Palatino Linotype"/>
          <w:bCs/>
        </w:rPr>
        <w:t xml:space="preserve">Student Attitudes to Clinical Legal Education’ Available at </w:t>
      </w:r>
      <w:hyperlink r:id="rId15" w:history="1">
        <w:r w:rsidRPr="00EC1BE0">
          <w:rPr>
            <w:rStyle w:val="Hyperlink"/>
            <w:rFonts w:ascii="Palatino Linotype" w:hAnsi="Palatino Linotype"/>
            <w:bCs/>
            <w:color w:val="auto"/>
          </w:rPr>
          <w:t>https://basedrones.wordpress.com/student-attitudes-to-clinical-legal-education/</w:t>
        </w:r>
      </w:hyperlink>
      <w:r w:rsidRPr="00EC1BE0">
        <w:rPr>
          <w:rFonts w:ascii="Palatino Linotype" w:hAnsi="Palatino Linotype"/>
          <w:bCs/>
        </w:rPr>
        <w:t xml:space="preserve"> (accessed 22 September 2016) </w:t>
      </w:r>
    </w:p>
  </w:footnote>
  <w:footnote w:id="43">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Donald Nicolson, ‘Calling, Character and Clinical Legal Education: A Cradle to Grave Approach to Inculcating a Love for Justice’ (2013) 16:1 Legal Ethics 36, 43</w:t>
      </w:r>
    </w:p>
  </w:footnote>
  <w:footnote w:id="44">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Ibid</w:t>
      </w:r>
    </w:p>
  </w:footnote>
  <w:footnote w:id="45">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Donald Nicolson, ‘”Our roots began in (South) Africa”: Modelling law clinics to maximise social justice ends’ (2016) 23:3 International Journal of Clinical Legal Education 87, 106</w:t>
      </w:r>
    </w:p>
  </w:footnote>
  <w:footnote w:id="46">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Adrian Evans and Josephine Palermo, ‘Zero Impact: Are Lawyers’ Values Affected by Law School’ (2005) 8:2 Legal Ethics 240</w:t>
      </w:r>
    </w:p>
  </w:footnote>
  <w:footnote w:id="47">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Ibid, 249</w:t>
      </w:r>
    </w:p>
  </w:footnote>
  <w:footnote w:id="48">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Ibid, 250</w:t>
      </w:r>
    </w:p>
  </w:footnote>
  <w:footnote w:id="49">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Ibid</w:t>
      </w:r>
    </w:p>
  </w:footnote>
  <w:footnote w:id="50">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Kelly Alison </w:t>
      </w:r>
      <w:proofErr w:type="spellStart"/>
      <w:r w:rsidRPr="00EC1BE0">
        <w:rPr>
          <w:rFonts w:ascii="Palatino Linotype" w:hAnsi="Palatino Linotype"/>
        </w:rPr>
        <w:t>Behre</w:t>
      </w:r>
      <w:proofErr w:type="spellEnd"/>
      <w:r w:rsidRPr="00EC1BE0">
        <w:rPr>
          <w:rFonts w:ascii="Palatino Linotype" w:hAnsi="Palatino Linotype"/>
        </w:rPr>
        <w:t xml:space="preserve">, ‘Motivations for Law Student Pro Bono: Lessons Learned from the Tuscaloosa Tornado’ (2012-2013) 31 Buffalo Public Interest Law Journal 1 </w:t>
      </w:r>
    </w:p>
  </w:footnote>
  <w:footnote w:id="51">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Ibid, 28</w:t>
      </w:r>
    </w:p>
  </w:footnote>
  <w:footnote w:id="52">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Ibid, 29</w:t>
      </w:r>
    </w:p>
  </w:footnote>
  <w:footnote w:id="53">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Ibid</w:t>
      </w:r>
    </w:p>
  </w:footnote>
  <w:footnote w:id="54">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Ibid, 30</w:t>
      </w:r>
    </w:p>
  </w:footnote>
  <w:footnote w:id="55">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Ibid, 31</w:t>
      </w:r>
    </w:p>
  </w:footnote>
  <w:footnote w:id="56">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Ibid, 34</w:t>
      </w:r>
    </w:p>
  </w:footnote>
  <w:footnote w:id="57">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Ibid</w:t>
      </w:r>
    </w:p>
  </w:footnote>
  <w:footnote w:id="58">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Ibid</w:t>
      </w:r>
    </w:p>
  </w:footnote>
  <w:footnote w:id="59">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Ibid, 34-38</w:t>
      </w:r>
    </w:p>
  </w:footnote>
  <w:footnote w:id="60">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The decision was also taken to publish three High Commended essays at the conclusion of the competition.  The writers of these essays also received a voucher to the value of £25.</w:t>
      </w:r>
    </w:p>
  </w:footnote>
  <w:footnote w:id="61">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See for example The Law Society, The Joint Pro Bono Protocol for Legal Work Available at </w:t>
      </w:r>
      <w:hyperlink r:id="rId16" w:history="1">
        <w:r w:rsidRPr="00EC1BE0">
          <w:rPr>
            <w:rStyle w:val="Hyperlink"/>
            <w:rFonts w:ascii="Palatino Linotype" w:hAnsi="Palatino Linotype"/>
          </w:rPr>
          <w:t>http://www.lawsociety.org.uk/support-services/practice-management/pro-bono/the-pro-bono-protocol/</w:t>
        </w:r>
      </w:hyperlink>
      <w:r w:rsidRPr="00EC1BE0">
        <w:rPr>
          <w:rFonts w:ascii="Palatino Linotype" w:hAnsi="Palatino Linotype"/>
        </w:rPr>
        <w:t xml:space="preserve"> (accessed 15 September 2016); </w:t>
      </w:r>
      <w:r w:rsidRPr="00EC1BE0">
        <w:rPr>
          <w:rFonts w:ascii="Palatino Linotype" w:hAnsi="Palatino Linotype"/>
          <w:vertAlign w:val="superscript"/>
        </w:rPr>
        <w:footnoteRef/>
      </w:r>
      <w:r w:rsidRPr="00EC1BE0">
        <w:rPr>
          <w:rFonts w:ascii="Palatino Linotype" w:hAnsi="Palatino Linotype"/>
        </w:rPr>
        <w:t xml:space="preserve"> American Bar Association, ABA Model Rule 6.1 Available at </w:t>
      </w:r>
      <w:hyperlink r:id="rId17" w:history="1">
        <w:r w:rsidRPr="00EC1BE0">
          <w:rPr>
            <w:rStyle w:val="Hyperlink"/>
            <w:rFonts w:ascii="Palatino Linotype" w:hAnsi="Palatino Linotype"/>
          </w:rPr>
          <w:t>http://www.americanbar.org/groups/probono_public_service/policy/aba_model_rule_6_1.html</w:t>
        </w:r>
      </w:hyperlink>
      <w:r w:rsidRPr="00EC1BE0">
        <w:rPr>
          <w:rFonts w:ascii="Palatino Linotype" w:hAnsi="Palatino Linotype"/>
        </w:rPr>
        <w:t xml:space="preserve"> (accessed 15 September 2016)</w:t>
      </w:r>
    </w:p>
  </w:footnote>
  <w:footnote w:id="62">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Essay 4</w:t>
      </w:r>
    </w:p>
  </w:footnote>
  <w:footnote w:id="63">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Essay 2</w:t>
      </w:r>
    </w:p>
  </w:footnote>
  <w:footnote w:id="64">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Essay 5</w:t>
      </w:r>
    </w:p>
  </w:footnote>
  <w:footnote w:id="65">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Essay 4</w:t>
      </w:r>
    </w:p>
  </w:footnote>
  <w:footnote w:id="66">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Essay 6</w:t>
      </w:r>
    </w:p>
  </w:footnote>
  <w:footnote w:id="67">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Although see Gary A. </w:t>
      </w:r>
      <w:proofErr w:type="spellStart"/>
      <w:r w:rsidRPr="00EC1BE0">
        <w:rPr>
          <w:rFonts w:ascii="Palatino Linotype" w:hAnsi="Palatino Linotype"/>
        </w:rPr>
        <w:t>Hengstler</w:t>
      </w:r>
      <w:proofErr w:type="spellEnd"/>
      <w:r w:rsidRPr="00EC1BE0">
        <w:rPr>
          <w:rFonts w:ascii="Palatino Linotype" w:hAnsi="Palatino Linotype"/>
        </w:rPr>
        <w:t>, ‘</w:t>
      </w:r>
      <w:proofErr w:type="spellStart"/>
      <w:r w:rsidRPr="00EC1BE0">
        <w:rPr>
          <w:rFonts w:ascii="Palatino Linotype" w:hAnsi="Palatino Linotype"/>
        </w:rPr>
        <w:t>Vox</w:t>
      </w:r>
      <w:proofErr w:type="spellEnd"/>
      <w:r w:rsidRPr="00EC1BE0">
        <w:rPr>
          <w:rFonts w:ascii="Palatino Linotype" w:hAnsi="Palatino Linotype"/>
        </w:rPr>
        <w:t xml:space="preserve"> </w:t>
      </w:r>
      <w:proofErr w:type="spellStart"/>
      <w:r w:rsidRPr="00EC1BE0">
        <w:rPr>
          <w:rFonts w:ascii="Palatino Linotype" w:hAnsi="Palatino Linotype"/>
        </w:rPr>
        <w:t>Populi</w:t>
      </w:r>
      <w:proofErr w:type="spellEnd"/>
      <w:r w:rsidRPr="00EC1BE0">
        <w:rPr>
          <w:rFonts w:ascii="Palatino Linotype" w:hAnsi="Palatino Linotype"/>
        </w:rPr>
        <w:t xml:space="preserve"> - The Public Perception of Lawyers: ABA Poll’ (1993) 79 A.B.A. Journal 60, 62 which reports that ‘minorities, the unemployed, members of low-income households, and adults under 30 were the most likely to feel favourably towards lawyers’</w:t>
      </w:r>
    </w:p>
  </w:footnote>
  <w:footnote w:id="68">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The reasons cited by the students for undertaking pro bono work accord with rea</w:t>
      </w:r>
      <w:r w:rsidR="002A6C77" w:rsidRPr="00EC1BE0">
        <w:rPr>
          <w:rFonts w:ascii="Palatino Linotype" w:hAnsi="Palatino Linotype"/>
        </w:rPr>
        <w:t>sons cited by Parker.  See n.</w:t>
      </w:r>
      <w:r w:rsidRPr="00EC1BE0">
        <w:rPr>
          <w:rFonts w:ascii="Palatino Linotype" w:hAnsi="Palatino Linotype"/>
        </w:rPr>
        <w:t>2</w:t>
      </w:r>
      <w:r w:rsidR="002A6C77" w:rsidRPr="00EC1BE0">
        <w:rPr>
          <w:rFonts w:ascii="Palatino Linotype" w:hAnsi="Palatino Linotype"/>
        </w:rPr>
        <w:t>6</w:t>
      </w:r>
    </w:p>
  </w:footnote>
  <w:footnote w:id="69">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Essay 8</w:t>
      </w:r>
    </w:p>
  </w:footnote>
  <w:footnote w:id="70">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Essay 4</w:t>
      </w:r>
    </w:p>
  </w:footnote>
  <w:footnote w:id="71">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James L. Baillie and Judith Bernstein-Baker, ‘In the Spirit of Public Service: Model Rule 6.1, the Profession and Legal Education’ (1995) 13:1 Law &amp; Inequality 51, 67</w:t>
      </w:r>
    </w:p>
  </w:footnote>
  <w:footnote w:id="72">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QAA, ‘Subject Benchmark Statement: Law’ (2015) Available at </w:t>
      </w:r>
      <w:hyperlink r:id="rId18" w:history="1">
        <w:r w:rsidRPr="00EC1BE0">
          <w:rPr>
            <w:rStyle w:val="Hyperlink"/>
            <w:rFonts w:ascii="Palatino Linotype" w:hAnsi="Palatino Linotype"/>
          </w:rPr>
          <w:t>http://www.qaa.ac.uk/en/Publications/Documents/SBS-Law-15.pdf</w:t>
        </w:r>
      </w:hyperlink>
      <w:r w:rsidRPr="00EC1BE0">
        <w:rPr>
          <w:rFonts w:ascii="Palatino Linotype" w:hAnsi="Palatino Linotype"/>
        </w:rPr>
        <w:t xml:space="preserve"> (accessed 28 June 2017)</w:t>
      </w:r>
    </w:p>
  </w:footnote>
  <w:footnote w:id="73">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Essay 12</w:t>
      </w:r>
    </w:p>
  </w:footnote>
  <w:footnote w:id="74">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Baillie and Bernstein-Baker, n.71, 64</w:t>
      </w:r>
    </w:p>
  </w:footnote>
  <w:footnote w:id="75">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Essay 11</w:t>
      </w:r>
    </w:p>
  </w:footnote>
  <w:footnote w:id="76">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For example, the Australian Pro Bono Manual explicitly cites ‘reputation’ as a benefit of pro bono work. (Australian Pro Bono Centre and Victoria Law Foundation, ‘The Australian Pro Bono Manual’ (2005) 1.4</w:t>
      </w:r>
      <w:r w:rsidR="00F63FAC" w:rsidRPr="00EC1BE0">
        <w:rPr>
          <w:rFonts w:ascii="Palatino Linotype" w:hAnsi="Palatino Linotype"/>
        </w:rPr>
        <w:t>)</w:t>
      </w:r>
    </w:p>
  </w:footnote>
  <w:footnote w:id="77">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Essay 2</w:t>
      </w:r>
    </w:p>
  </w:footnote>
  <w:footnote w:id="78">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Earlier research suggests that students valued the personal benefits of pro bono such as skills development. See </w:t>
      </w:r>
      <w:proofErr w:type="spellStart"/>
      <w:r w:rsidRPr="00EC1BE0">
        <w:rPr>
          <w:rFonts w:ascii="Palatino Linotype" w:hAnsi="Palatino Linotype"/>
        </w:rPr>
        <w:t>McKeown</w:t>
      </w:r>
      <w:proofErr w:type="spellEnd"/>
      <w:r w:rsidRPr="00EC1BE0">
        <w:rPr>
          <w:rFonts w:ascii="Palatino Linotype" w:hAnsi="Palatino Linotype"/>
        </w:rPr>
        <w:t>, n.23, xxvii</w:t>
      </w:r>
    </w:p>
  </w:footnote>
  <w:footnote w:id="79">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Essay 3</w:t>
      </w:r>
    </w:p>
  </w:footnote>
  <w:footnote w:id="80">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See also Pam Feinstein, ‘</w:t>
      </w:r>
      <w:r w:rsidRPr="00EC1BE0">
        <w:rPr>
          <w:rFonts w:ascii="Palatino Linotype" w:hAnsi="Palatino Linotype"/>
          <w:i/>
          <w:iCs/>
        </w:rPr>
        <w:t>Gain Experience through Pro Bono’</w:t>
      </w:r>
      <w:r w:rsidRPr="00EC1BE0">
        <w:rPr>
          <w:rFonts w:ascii="Palatino Linotype" w:hAnsi="Palatino Linotype"/>
        </w:rPr>
        <w:t xml:space="preserve"> (2012) 29:1 </w:t>
      </w:r>
      <w:proofErr w:type="spellStart"/>
      <w:r w:rsidRPr="00EC1BE0">
        <w:rPr>
          <w:rFonts w:ascii="Palatino Linotype" w:hAnsi="Palatino Linotype"/>
        </w:rPr>
        <w:t>GPSolo</w:t>
      </w:r>
      <w:proofErr w:type="spellEnd"/>
      <w:r w:rsidRPr="00EC1BE0">
        <w:rPr>
          <w:rFonts w:ascii="Palatino Linotype" w:hAnsi="Palatino Linotype"/>
        </w:rPr>
        <w:t xml:space="preserve"> 17; Dina R. Merrell, ‘</w:t>
      </w:r>
      <w:r w:rsidRPr="00EC1BE0">
        <w:rPr>
          <w:rFonts w:ascii="Palatino Linotype" w:hAnsi="Palatino Linotype"/>
          <w:i/>
          <w:iCs/>
        </w:rPr>
        <w:t>Pro Bono, Pro You’</w:t>
      </w:r>
      <w:r w:rsidRPr="00EC1BE0">
        <w:rPr>
          <w:rFonts w:ascii="Palatino Linotype" w:hAnsi="Palatino Linotype"/>
        </w:rPr>
        <w:t xml:space="preserve"> (2001) 29:7 Student Lawyer 39</w:t>
      </w:r>
    </w:p>
  </w:footnote>
  <w:footnote w:id="81">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Essay 12</w:t>
      </w:r>
    </w:p>
  </w:footnote>
  <w:footnote w:id="82">
    <w:p w:rsidR="00917C70" w:rsidRPr="00EC1BE0" w:rsidRDefault="00917C70"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Michael Cozens, ‘</w:t>
      </w:r>
      <w:r w:rsidRPr="00EC1BE0">
        <w:rPr>
          <w:rFonts w:ascii="Palatino Linotype" w:hAnsi="Palatino Linotype"/>
          <w:i/>
          <w:iCs/>
        </w:rPr>
        <w:t>Clinical Legal Education: A Student Perspective’</w:t>
      </w:r>
      <w:r w:rsidRPr="00EC1BE0">
        <w:rPr>
          <w:rFonts w:ascii="Palatino Linotype" w:hAnsi="Palatino Linotype"/>
        </w:rPr>
        <w:t xml:space="preserve"> (1993) 2 </w:t>
      </w:r>
      <w:proofErr w:type="spellStart"/>
      <w:r w:rsidRPr="00EC1BE0">
        <w:rPr>
          <w:rFonts w:ascii="Palatino Linotype" w:hAnsi="Palatino Linotype"/>
          <w:iCs/>
        </w:rPr>
        <w:t>Dalhouise</w:t>
      </w:r>
      <w:proofErr w:type="spellEnd"/>
      <w:r w:rsidRPr="00EC1BE0">
        <w:rPr>
          <w:rFonts w:ascii="Palatino Linotype" w:hAnsi="Palatino Linotype"/>
          <w:iCs/>
        </w:rPr>
        <w:t xml:space="preserve"> Journal of Legal Studies</w:t>
      </w:r>
      <w:r w:rsidR="008057DC" w:rsidRPr="00EC1BE0">
        <w:rPr>
          <w:rFonts w:ascii="Palatino Linotype" w:hAnsi="Palatino Linotype"/>
        </w:rPr>
        <w:t xml:space="preserve"> 201, 226</w:t>
      </w:r>
    </w:p>
  </w:footnote>
  <w:footnote w:id="83">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Essay 5</w:t>
      </w:r>
    </w:p>
  </w:footnote>
  <w:footnote w:id="84">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Essay 9</w:t>
      </w:r>
    </w:p>
  </w:footnote>
  <w:footnote w:id="85">
    <w:p w:rsidR="0004330F" w:rsidRPr="00EC1BE0" w:rsidRDefault="0004330F"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Cozens, n.82, 231-232</w:t>
      </w:r>
    </w:p>
  </w:footnote>
  <w:footnote w:id="86">
    <w:p w:rsidR="0004330F" w:rsidRPr="00EC1BE0" w:rsidRDefault="0004330F"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Ibid, 233</w:t>
      </w:r>
    </w:p>
  </w:footnote>
  <w:footnote w:id="87">
    <w:p w:rsidR="0008363F" w:rsidRPr="00EC1BE0" w:rsidRDefault="0008363F"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See n.80</w:t>
      </w:r>
    </w:p>
  </w:footnote>
  <w:footnote w:id="88">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Essay 11</w:t>
      </w:r>
    </w:p>
  </w:footnote>
  <w:footnote w:id="89">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Essay 2</w:t>
      </w:r>
    </w:p>
  </w:footnote>
  <w:footnote w:id="90">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Essay 6</w:t>
      </w:r>
    </w:p>
  </w:footnote>
  <w:footnote w:id="91">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Essay 8</w:t>
      </w:r>
    </w:p>
  </w:footnote>
  <w:footnote w:id="92">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Essay 9</w:t>
      </w:r>
    </w:p>
  </w:footnote>
  <w:footnote w:id="93">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Essay 9</w:t>
      </w:r>
    </w:p>
  </w:footnote>
  <w:footnote w:id="94">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Essay 10</w:t>
      </w:r>
    </w:p>
  </w:footnote>
  <w:footnote w:id="95">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Essay 1</w:t>
      </w:r>
    </w:p>
  </w:footnote>
  <w:footnote w:id="96">
    <w:p w:rsidR="00F63FAC" w:rsidRPr="00EC1BE0" w:rsidRDefault="00F63FAC"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The Law Society of England and Wales, ‘Pro Bono Manual: A practical guide and resource kit for solicitors’</w:t>
      </w:r>
      <w:r w:rsidR="009A564C" w:rsidRPr="00EC1BE0">
        <w:rPr>
          <w:rFonts w:ascii="Palatino Linotype" w:hAnsi="Palatino Linotype"/>
        </w:rPr>
        <w:t xml:space="preserve"> (2016)</w:t>
      </w:r>
      <w:r w:rsidRPr="00EC1BE0">
        <w:rPr>
          <w:rFonts w:ascii="Palatino Linotype" w:hAnsi="Palatino Linotype"/>
        </w:rPr>
        <w:t xml:space="preserve">; See also Australian Pro Bono Centre, n.76 </w:t>
      </w:r>
    </w:p>
  </w:footnote>
  <w:footnote w:id="97">
    <w:p w:rsidR="0052767D" w:rsidRPr="00EC1BE0" w:rsidRDefault="0052767D"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See </w:t>
      </w:r>
      <w:proofErr w:type="spellStart"/>
      <w:r w:rsidRPr="00EC1BE0">
        <w:rPr>
          <w:rFonts w:ascii="Palatino Linotype" w:hAnsi="Palatino Linotype"/>
        </w:rPr>
        <w:t>McKeown</w:t>
      </w:r>
      <w:proofErr w:type="spellEnd"/>
      <w:r w:rsidRPr="00EC1BE0">
        <w:rPr>
          <w:rFonts w:ascii="Palatino Linotype" w:hAnsi="Palatino Linotype"/>
        </w:rPr>
        <w:t>, n.23, xxix.  Students also reported benefiting from a better academic understanding of the law</w:t>
      </w:r>
    </w:p>
  </w:footnote>
  <w:footnote w:id="98">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Essay 10</w:t>
      </w:r>
    </w:p>
  </w:footnote>
  <w:footnote w:id="99">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Essay 8</w:t>
      </w:r>
    </w:p>
  </w:footnote>
  <w:footnote w:id="100">
    <w:p w:rsidR="009A564C" w:rsidRPr="00EC1BE0" w:rsidRDefault="009A564C"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w:t>
      </w:r>
      <w:proofErr w:type="spellStart"/>
      <w:r w:rsidRPr="00EC1BE0">
        <w:rPr>
          <w:rFonts w:ascii="Palatino Linotype" w:hAnsi="Palatino Linotype"/>
        </w:rPr>
        <w:t>Ronit</w:t>
      </w:r>
      <w:proofErr w:type="spellEnd"/>
      <w:r w:rsidRPr="00EC1BE0">
        <w:rPr>
          <w:rFonts w:ascii="Palatino Linotype" w:hAnsi="Palatino Linotype"/>
        </w:rPr>
        <w:t xml:space="preserve"> </w:t>
      </w:r>
      <w:proofErr w:type="spellStart"/>
      <w:r w:rsidRPr="00EC1BE0">
        <w:rPr>
          <w:rFonts w:ascii="Palatino Linotype" w:hAnsi="Palatino Linotype"/>
        </w:rPr>
        <w:t>Dinovitzer</w:t>
      </w:r>
      <w:proofErr w:type="spellEnd"/>
      <w:r w:rsidRPr="00EC1BE0">
        <w:rPr>
          <w:rFonts w:ascii="Palatino Linotype" w:hAnsi="Palatino Linotype"/>
        </w:rPr>
        <w:t xml:space="preserve"> and Bryant G. Garth, ‘Pro Bono as an Elite Strategy in Early Lawyer Careers’ in Private Lawyers and the Public Interest: The evolving role of pro bono in the legal profession (Robert </w:t>
      </w:r>
      <w:proofErr w:type="spellStart"/>
      <w:r w:rsidRPr="00EC1BE0">
        <w:rPr>
          <w:rFonts w:ascii="Palatino Linotype" w:hAnsi="Palatino Linotype"/>
        </w:rPr>
        <w:t>Granfield</w:t>
      </w:r>
      <w:proofErr w:type="spellEnd"/>
      <w:r w:rsidRPr="00EC1BE0">
        <w:rPr>
          <w:rFonts w:ascii="Palatino Linotype" w:hAnsi="Palatino Linotype"/>
        </w:rPr>
        <w:t xml:space="preserve"> and Lynn Mather eds. 2009)</w:t>
      </w:r>
      <w:r w:rsidR="00D83928" w:rsidRPr="00EC1BE0">
        <w:rPr>
          <w:rFonts w:ascii="Palatino Linotype" w:hAnsi="Palatino Linotype"/>
        </w:rPr>
        <w:t>,</w:t>
      </w:r>
    </w:p>
  </w:footnote>
  <w:footnote w:id="101">
    <w:p w:rsidR="00D83928" w:rsidRPr="00EC1BE0" w:rsidRDefault="00D83928"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Ibid</w:t>
      </w:r>
    </w:p>
  </w:footnote>
  <w:footnote w:id="102">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Essay 2</w:t>
      </w:r>
    </w:p>
  </w:footnote>
  <w:footnote w:id="103">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Essay 8</w:t>
      </w:r>
    </w:p>
  </w:footnote>
  <w:footnote w:id="104">
    <w:p w:rsidR="00385C6D" w:rsidRPr="00EC1BE0" w:rsidRDefault="00385C6D"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Harry S. Margolis, ‘</w:t>
      </w:r>
      <w:r w:rsidRPr="00EC1BE0">
        <w:rPr>
          <w:rFonts w:ascii="Palatino Linotype" w:hAnsi="Palatino Linotype"/>
          <w:i/>
        </w:rPr>
        <w:t>The Elder Law Clinic</w:t>
      </w:r>
      <w:r w:rsidRPr="00EC1BE0">
        <w:rPr>
          <w:rFonts w:ascii="Palatino Linotype" w:hAnsi="Palatino Linotype"/>
        </w:rPr>
        <w:t xml:space="preserve">’ in </w:t>
      </w:r>
      <w:proofErr w:type="gramStart"/>
      <w:r w:rsidRPr="00EC1BE0">
        <w:rPr>
          <w:rFonts w:ascii="Palatino Linotype" w:hAnsi="Palatino Linotype"/>
        </w:rPr>
        <w:t>The</w:t>
      </w:r>
      <w:proofErr w:type="gramEnd"/>
      <w:r w:rsidRPr="00EC1BE0">
        <w:rPr>
          <w:rFonts w:ascii="Palatino Linotype" w:hAnsi="Palatino Linotype"/>
        </w:rPr>
        <w:t xml:space="preserve"> </w:t>
      </w:r>
      <w:proofErr w:type="spellStart"/>
      <w:r w:rsidRPr="00EC1BE0">
        <w:rPr>
          <w:rFonts w:ascii="Palatino Linotype" w:hAnsi="Palatino Linotype"/>
        </w:rPr>
        <w:t>ElderLaw</w:t>
      </w:r>
      <w:proofErr w:type="spellEnd"/>
      <w:r w:rsidRPr="00EC1BE0">
        <w:rPr>
          <w:rFonts w:ascii="Palatino Linotype" w:hAnsi="Palatino Linotype"/>
        </w:rPr>
        <w:t xml:space="preserve"> Portfolio Series Release #43 (Harry S. Margolis, Christine J. Vincent. Esq, and Daniel Waltz </w:t>
      </w:r>
      <w:proofErr w:type="spellStart"/>
      <w:r w:rsidRPr="00EC1BE0">
        <w:rPr>
          <w:rFonts w:ascii="Palatino Linotype" w:hAnsi="Palatino Linotype"/>
        </w:rPr>
        <w:t>eds</w:t>
      </w:r>
      <w:proofErr w:type="spellEnd"/>
      <w:r w:rsidRPr="00EC1BE0">
        <w:rPr>
          <w:rFonts w:ascii="Palatino Linotype" w:hAnsi="Palatino Linotype"/>
        </w:rPr>
        <w:t xml:space="preserve"> 2013) 1B-13 </w:t>
      </w:r>
    </w:p>
  </w:footnote>
  <w:footnote w:id="105">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Essay 1</w:t>
      </w:r>
    </w:p>
  </w:footnote>
  <w:footnote w:id="106">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Essay 6</w:t>
      </w:r>
    </w:p>
  </w:footnote>
  <w:footnote w:id="107">
    <w:p w:rsidR="00964301" w:rsidRPr="00EC1BE0" w:rsidRDefault="0096430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Essay 7</w:t>
      </w:r>
    </w:p>
  </w:footnote>
  <w:footnote w:id="108">
    <w:p w:rsidR="007E4ED5" w:rsidRPr="00EC1BE0" w:rsidRDefault="007E4ED5"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Malcolm S. Knowles, Elwood F. Holton and Richard A. Swanson, ‘The Adult Learner: The Definitive Classic in Adult Education and Human Resource Development’ (2012) 7</w:t>
      </w:r>
      <w:r w:rsidRPr="00EC1BE0">
        <w:rPr>
          <w:rFonts w:ascii="Palatino Linotype" w:hAnsi="Palatino Linotype"/>
          <w:vertAlign w:val="superscript"/>
        </w:rPr>
        <w:t>th</w:t>
      </w:r>
      <w:r w:rsidRPr="00EC1BE0">
        <w:rPr>
          <w:rFonts w:ascii="Palatino Linotype" w:hAnsi="Palatino Linotype"/>
        </w:rPr>
        <w:t xml:space="preserve"> </w:t>
      </w:r>
      <w:proofErr w:type="spellStart"/>
      <w:r w:rsidRPr="00EC1BE0">
        <w:rPr>
          <w:rFonts w:ascii="Palatino Linotype" w:hAnsi="Palatino Linotype"/>
        </w:rPr>
        <w:t>Edn</w:t>
      </w:r>
      <w:proofErr w:type="spellEnd"/>
      <w:r w:rsidRPr="00EC1BE0">
        <w:rPr>
          <w:rFonts w:ascii="Palatino Linotype" w:hAnsi="Palatino Linotype"/>
        </w:rPr>
        <w:t xml:space="preserve"> Routledge Oxon 63</w:t>
      </w:r>
      <w:r w:rsidR="00AC12A3" w:rsidRPr="00EC1BE0">
        <w:rPr>
          <w:rFonts w:ascii="Palatino Linotype" w:hAnsi="Palatino Linotype"/>
        </w:rPr>
        <w:t xml:space="preserve">; see also Frank S. Bloch, ‘The </w:t>
      </w:r>
      <w:proofErr w:type="spellStart"/>
      <w:r w:rsidR="00AC12A3" w:rsidRPr="00EC1BE0">
        <w:rPr>
          <w:rFonts w:ascii="Palatino Linotype" w:hAnsi="Palatino Linotype"/>
          <w:i/>
          <w:iCs/>
        </w:rPr>
        <w:t>Andragogical</w:t>
      </w:r>
      <w:proofErr w:type="spellEnd"/>
      <w:r w:rsidR="00AC12A3" w:rsidRPr="00EC1BE0">
        <w:rPr>
          <w:rFonts w:ascii="Palatino Linotype" w:hAnsi="Palatino Linotype"/>
          <w:i/>
          <w:iCs/>
        </w:rPr>
        <w:t xml:space="preserve"> Basis of Clinical Legal Education’</w:t>
      </w:r>
      <w:r w:rsidR="00AC12A3" w:rsidRPr="00EC1BE0">
        <w:rPr>
          <w:rFonts w:ascii="Palatino Linotype" w:hAnsi="Palatino Linotype"/>
        </w:rPr>
        <w:t xml:space="preserve"> (1982) 35:2 </w:t>
      </w:r>
      <w:r w:rsidR="00AC12A3" w:rsidRPr="00EC1BE0">
        <w:rPr>
          <w:rFonts w:ascii="Palatino Linotype" w:hAnsi="Palatino Linotype"/>
          <w:i/>
          <w:iCs/>
        </w:rPr>
        <w:t xml:space="preserve">Vanderbilt Law Review </w:t>
      </w:r>
      <w:r w:rsidR="00AC12A3" w:rsidRPr="00EC1BE0">
        <w:rPr>
          <w:rFonts w:ascii="Palatino Linotype" w:hAnsi="Palatino Linotype"/>
        </w:rPr>
        <w:t>321</w:t>
      </w:r>
      <w:r w:rsidR="00430151" w:rsidRPr="00EC1BE0">
        <w:rPr>
          <w:rFonts w:ascii="Palatino Linotype" w:hAnsi="Palatino Linotype"/>
        </w:rPr>
        <w:t xml:space="preserve"> for discussion on application of Adult Learning Theory to clinical legal education</w:t>
      </w:r>
    </w:p>
  </w:footnote>
  <w:footnote w:id="109">
    <w:p w:rsidR="007E4ED5" w:rsidRPr="00EC1BE0" w:rsidRDefault="007E4ED5"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Ibid</w:t>
      </w:r>
    </w:p>
  </w:footnote>
  <w:footnote w:id="110">
    <w:p w:rsidR="007E4ED5" w:rsidRPr="00EC1BE0" w:rsidRDefault="007E4ED5"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Ibid, 64</w:t>
      </w:r>
    </w:p>
  </w:footnote>
  <w:footnote w:id="111">
    <w:p w:rsidR="007E4ED5" w:rsidRPr="00EC1BE0" w:rsidRDefault="007E4ED5"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Ibid</w:t>
      </w:r>
    </w:p>
  </w:footnote>
  <w:footnote w:id="112">
    <w:p w:rsidR="007E4ED5" w:rsidRPr="00EC1BE0" w:rsidRDefault="007E4ED5"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Ibid, 65</w:t>
      </w:r>
    </w:p>
  </w:footnote>
  <w:footnote w:id="113">
    <w:p w:rsidR="007E4ED5" w:rsidRPr="00EC1BE0" w:rsidRDefault="007E4ED5"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Ibid, 66</w:t>
      </w:r>
    </w:p>
  </w:footnote>
  <w:footnote w:id="114">
    <w:p w:rsidR="00AC12A3" w:rsidRPr="00EC1BE0" w:rsidRDefault="00AC12A3"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For example, </w:t>
      </w:r>
      <w:proofErr w:type="spellStart"/>
      <w:r w:rsidRPr="00EC1BE0">
        <w:rPr>
          <w:rFonts w:ascii="Palatino Linotype" w:hAnsi="Palatino Linotype"/>
        </w:rPr>
        <w:t>Behre</w:t>
      </w:r>
      <w:proofErr w:type="spellEnd"/>
      <w:r w:rsidRPr="00EC1BE0">
        <w:rPr>
          <w:rFonts w:ascii="Palatino Linotype" w:hAnsi="Palatino Linotype"/>
        </w:rPr>
        <w:t>, n.50;</w:t>
      </w:r>
      <w:r w:rsidR="00430151" w:rsidRPr="00EC1BE0">
        <w:rPr>
          <w:rFonts w:ascii="Palatino Linotype" w:hAnsi="Palatino Linotype"/>
        </w:rPr>
        <w:t xml:space="preserve"> </w:t>
      </w:r>
      <w:proofErr w:type="spellStart"/>
      <w:r w:rsidR="00430151" w:rsidRPr="00EC1BE0">
        <w:rPr>
          <w:rFonts w:ascii="Palatino Linotype" w:hAnsi="Palatino Linotype"/>
        </w:rPr>
        <w:t>Maresh</w:t>
      </w:r>
      <w:proofErr w:type="spellEnd"/>
      <w:r w:rsidR="00430151" w:rsidRPr="00EC1BE0">
        <w:rPr>
          <w:rFonts w:ascii="Palatino Linotype" w:hAnsi="Palatino Linotype"/>
        </w:rPr>
        <w:t xml:space="preserve">, n.24; </w:t>
      </w:r>
      <w:proofErr w:type="spellStart"/>
      <w:r w:rsidR="00430151" w:rsidRPr="00EC1BE0">
        <w:rPr>
          <w:rFonts w:ascii="Palatino Linotype" w:hAnsi="Palatino Linotype"/>
        </w:rPr>
        <w:t>Schmedemann</w:t>
      </w:r>
      <w:proofErr w:type="spellEnd"/>
      <w:r w:rsidR="00430151" w:rsidRPr="00EC1BE0">
        <w:rPr>
          <w:rFonts w:ascii="Palatino Linotype" w:hAnsi="Palatino Linotype"/>
        </w:rPr>
        <w:t>, n.24</w:t>
      </w:r>
    </w:p>
  </w:footnote>
  <w:footnote w:id="115">
    <w:p w:rsidR="007E4ED5" w:rsidRPr="00EC1BE0" w:rsidRDefault="007E4ED5"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w:t>
      </w:r>
      <w:r w:rsidR="00430151" w:rsidRPr="00EC1BE0">
        <w:rPr>
          <w:rFonts w:ascii="Palatino Linotype" w:hAnsi="Palatino Linotype"/>
        </w:rPr>
        <w:t>Knowles, n.108</w:t>
      </w:r>
      <w:r w:rsidRPr="00EC1BE0">
        <w:rPr>
          <w:rFonts w:ascii="Palatino Linotype" w:hAnsi="Palatino Linotype"/>
        </w:rPr>
        <w:t>, 67</w:t>
      </w:r>
    </w:p>
  </w:footnote>
  <w:footnote w:id="116">
    <w:p w:rsidR="00430151" w:rsidRPr="00EC1BE0" w:rsidRDefault="00430151" w:rsidP="00EC1BE0">
      <w:pPr>
        <w:pStyle w:val="FootnoteText"/>
        <w:spacing w:line="276" w:lineRule="auto"/>
        <w:rPr>
          <w:rFonts w:ascii="Palatino Linotype" w:hAnsi="Palatino Linotype"/>
        </w:rPr>
      </w:pPr>
      <w:r w:rsidRPr="00EC1BE0">
        <w:rPr>
          <w:rStyle w:val="FootnoteReference"/>
          <w:rFonts w:ascii="Palatino Linotype" w:hAnsi="Palatino Linotype"/>
        </w:rPr>
        <w:footnoteRef/>
      </w:r>
      <w:r w:rsidRPr="00EC1BE0">
        <w:rPr>
          <w:rFonts w:ascii="Palatino Linotype" w:hAnsi="Palatino Linotype"/>
        </w:rPr>
        <w:t xml:space="preserve"> See n.102 and n.103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BE0" w:rsidRPr="00EC1BE0" w:rsidRDefault="00EC1BE0">
    <w:pPr>
      <w:pStyle w:val="Header"/>
      <w:rPr>
        <w:rFonts w:ascii="Palatino Linotype" w:hAnsi="Palatino Linotype"/>
        <w:i/>
        <w:sz w:val="24"/>
        <w:szCs w:val="24"/>
      </w:rPr>
    </w:pPr>
    <w:r w:rsidRPr="00EC1BE0">
      <w:rPr>
        <w:rFonts w:ascii="Palatino Linotype" w:hAnsi="Palatino Linotype"/>
        <w:i/>
        <w:sz w:val="24"/>
        <w:szCs w:val="24"/>
      </w:rPr>
      <w:t>Reviewed Article – Teaching and Learning in Clinic</w:t>
    </w:r>
  </w:p>
  <w:p w:rsidR="00EC1BE0" w:rsidRDefault="00EC1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4AFB"/>
    <w:multiLevelType w:val="hybridMultilevel"/>
    <w:tmpl w:val="706E8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37598"/>
    <w:multiLevelType w:val="hybridMultilevel"/>
    <w:tmpl w:val="E9A02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D2373"/>
    <w:multiLevelType w:val="hybridMultilevel"/>
    <w:tmpl w:val="E782E8CC"/>
    <w:lvl w:ilvl="0" w:tplc="4322CA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DB670C"/>
    <w:multiLevelType w:val="hybridMultilevel"/>
    <w:tmpl w:val="EDE89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442DC"/>
    <w:multiLevelType w:val="hybridMultilevel"/>
    <w:tmpl w:val="EAE62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DB627D"/>
    <w:multiLevelType w:val="hybridMultilevel"/>
    <w:tmpl w:val="66483D3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470"/>
    <w:rsid w:val="00002BE8"/>
    <w:rsid w:val="00004043"/>
    <w:rsid w:val="00021CD4"/>
    <w:rsid w:val="00021CDE"/>
    <w:rsid w:val="00023584"/>
    <w:rsid w:val="00023C57"/>
    <w:rsid w:val="0002705B"/>
    <w:rsid w:val="00034913"/>
    <w:rsid w:val="0004307E"/>
    <w:rsid w:val="0004330F"/>
    <w:rsid w:val="00045E7A"/>
    <w:rsid w:val="000476A4"/>
    <w:rsid w:val="00054302"/>
    <w:rsid w:val="00065A20"/>
    <w:rsid w:val="0006732F"/>
    <w:rsid w:val="00070A39"/>
    <w:rsid w:val="000711C3"/>
    <w:rsid w:val="00076C41"/>
    <w:rsid w:val="00082EE2"/>
    <w:rsid w:val="0008363F"/>
    <w:rsid w:val="00091BA5"/>
    <w:rsid w:val="00092A54"/>
    <w:rsid w:val="000A7339"/>
    <w:rsid w:val="000B1504"/>
    <w:rsid w:val="000B36F6"/>
    <w:rsid w:val="000B6FF0"/>
    <w:rsid w:val="000C0185"/>
    <w:rsid w:val="000C1611"/>
    <w:rsid w:val="000E6155"/>
    <w:rsid w:val="000E6893"/>
    <w:rsid w:val="000F0C53"/>
    <w:rsid w:val="000F62CA"/>
    <w:rsid w:val="0010037A"/>
    <w:rsid w:val="001116D0"/>
    <w:rsid w:val="00133DEF"/>
    <w:rsid w:val="00146380"/>
    <w:rsid w:val="00165F29"/>
    <w:rsid w:val="001707A3"/>
    <w:rsid w:val="001803B1"/>
    <w:rsid w:val="001854EA"/>
    <w:rsid w:val="001912EC"/>
    <w:rsid w:val="00196777"/>
    <w:rsid w:val="001B1084"/>
    <w:rsid w:val="001C3B3C"/>
    <w:rsid w:val="001C4D93"/>
    <w:rsid w:val="001C6B47"/>
    <w:rsid w:val="001D1A26"/>
    <w:rsid w:val="001E08C4"/>
    <w:rsid w:val="001E2121"/>
    <w:rsid w:val="001F5B22"/>
    <w:rsid w:val="001F65DE"/>
    <w:rsid w:val="00213212"/>
    <w:rsid w:val="00213701"/>
    <w:rsid w:val="0021669A"/>
    <w:rsid w:val="00225217"/>
    <w:rsid w:val="00231B74"/>
    <w:rsid w:val="00235BED"/>
    <w:rsid w:val="002408F7"/>
    <w:rsid w:val="00245FF4"/>
    <w:rsid w:val="00246778"/>
    <w:rsid w:val="002703E6"/>
    <w:rsid w:val="00274014"/>
    <w:rsid w:val="00274A7D"/>
    <w:rsid w:val="00282E1A"/>
    <w:rsid w:val="00283064"/>
    <w:rsid w:val="00286029"/>
    <w:rsid w:val="00291F92"/>
    <w:rsid w:val="00295AAB"/>
    <w:rsid w:val="002A6C77"/>
    <w:rsid w:val="002B5049"/>
    <w:rsid w:val="002C3142"/>
    <w:rsid w:val="002D0379"/>
    <w:rsid w:val="002E1E4C"/>
    <w:rsid w:val="002E405D"/>
    <w:rsid w:val="002F1C16"/>
    <w:rsid w:val="002F4C57"/>
    <w:rsid w:val="002F59A0"/>
    <w:rsid w:val="00302124"/>
    <w:rsid w:val="00310F9D"/>
    <w:rsid w:val="00312B78"/>
    <w:rsid w:val="00314B15"/>
    <w:rsid w:val="0033006D"/>
    <w:rsid w:val="00342F23"/>
    <w:rsid w:val="00375C25"/>
    <w:rsid w:val="00384DC1"/>
    <w:rsid w:val="00385C6D"/>
    <w:rsid w:val="00387FB8"/>
    <w:rsid w:val="00390082"/>
    <w:rsid w:val="003A3C42"/>
    <w:rsid w:val="003C2A78"/>
    <w:rsid w:val="003D6B01"/>
    <w:rsid w:val="003E2BE1"/>
    <w:rsid w:val="003F1B26"/>
    <w:rsid w:val="003F1EAA"/>
    <w:rsid w:val="003F6CE7"/>
    <w:rsid w:val="004066F4"/>
    <w:rsid w:val="00414005"/>
    <w:rsid w:val="004143D4"/>
    <w:rsid w:val="004206ED"/>
    <w:rsid w:val="00427DFE"/>
    <w:rsid w:val="00430151"/>
    <w:rsid w:val="00444BC6"/>
    <w:rsid w:val="004454CF"/>
    <w:rsid w:val="004536A3"/>
    <w:rsid w:val="00461F95"/>
    <w:rsid w:val="0046628A"/>
    <w:rsid w:val="0047300F"/>
    <w:rsid w:val="00486232"/>
    <w:rsid w:val="004956BB"/>
    <w:rsid w:val="00495ABF"/>
    <w:rsid w:val="004A0F9A"/>
    <w:rsid w:val="004B0597"/>
    <w:rsid w:val="004B19AF"/>
    <w:rsid w:val="004B75F9"/>
    <w:rsid w:val="004C14CC"/>
    <w:rsid w:val="004C6470"/>
    <w:rsid w:val="004C6603"/>
    <w:rsid w:val="004E1A7A"/>
    <w:rsid w:val="004F0B4C"/>
    <w:rsid w:val="004F78E3"/>
    <w:rsid w:val="00512C89"/>
    <w:rsid w:val="0052767D"/>
    <w:rsid w:val="00531D77"/>
    <w:rsid w:val="00534A51"/>
    <w:rsid w:val="00550702"/>
    <w:rsid w:val="00553BD2"/>
    <w:rsid w:val="0055546B"/>
    <w:rsid w:val="005655B9"/>
    <w:rsid w:val="00570276"/>
    <w:rsid w:val="0057200D"/>
    <w:rsid w:val="00582782"/>
    <w:rsid w:val="0058337F"/>
    <w:rsid w:val="00584863"/>
    <w:rsid w:val="005C25C2"/>
    <w:rsid w:val="005D0A92"/>
    <w:rsid w:val="005D686C"/>
    <w:rsid w:val="005E03C3"/>
    <w:rsid w:val="005E1F73"/>
    <w:rsid w:val="005E30B6"/>
    <w:rsid w:val="005E5C80"/>
    <w:rsid w:val="00607347"/>
    <w:rsid w:val="006214A3"/>
    <w:rsid w:val="00622246"/>
    <w:rsid w:val="00631EDB"/>
    <w:rsid w:val="00641251"/>
    <w:rsid w:val="006423B9"/>
    <w:rsid w:val="006432A4"/>
    <w:rsid w:val="00645723"/>
    <w:rsid w:val="006513A8"/>
    <w:rsid w:val="00652F08"/>
    <w:rsid w:val="006640E7"/>
    <w:rsid w:val="006749E4"/>
    <w:rsid w:val="00680453"/>
    <w:rsid w:val="006A1842"/>
    <w:rsid w:val="006B35E9"/>
    <w:rsid w:val="006B7B4A"/>
    <w:rsid w:val="006C737F"/>
    <w:rsid w:val="006D3BFC"/>
    <w:rsid w:val="006D4ED4"/>
    <w:rsid w:val="006D6778"/>
    <w:rsid w:val="006E3325"/>
    <w:rsid w:val="0070261D"/>
    <w:rsid w:val="00705967"/>
    <w:rsid w:val="00706CA3"/>
    <w:rsid w:val="00713651"/>
    <w:rsid w:val="0071598D"/>
    <w:rsid w:val="00717331"/>
    <w:rsid w:val="0072160C"/>
    <w:rsid w:val="007279B6"/>
    <w:rsid w:val="0073077F"/>
    <w:rsid w:val="00732F46"/>
    <w:rsid w:val="00736F2A"/>
    <w:rsid w:val="0073728D"/>
    <w:rsid w:val="007413A5"/>
    <w:rsid w:val="00750730"/>
    <w:rsid w:val="007509EF"/>
    <w:rsid w:val="00774265"/>
    <w:rsid w:val="007742D2"/>
    <w:rsid w:val="00775A0C"/>
    <w:rsid w:val="00790012"/>
    <w:rsid w:val="007913EC"/>
    <w:rsid w:val="007A3C1B"/>
    <w:rsid w:val="007A4489"/>
    <w:rsid w:val="007B5BD0"/>
    <w:rsid w:val="007C0CC0"/>
    <w:rsid w:val="007C1FD6"/>
    <w:rsid w:val="007D25C8"/>
    <w:rsid w:val="007E2590"/>
    <w:rsid w:val="007E4ED5"/>
    <w:rsid w:val="007F22DF"/>
    <w:rsid w:val="00802B3D"/>
    <w:rsid w:val="008057DC"/>
    <w:rsid w:val="00813441"/>
    <w:rsid w:val="00816C69"/>
    <w:rsid w:val="00820427"/>
    <w:rsid w:val="008212A6"/>
    <w:rsid w:val="00831A99"/>
    <w:rsid w:val="0083318C"/>
    <w:rsid w:val="0083401F"/>
    <w:rsid w:val="008357CB"/>
    <w:rsid w:val="008472C6"/>
    <w:rsid w:val="008531FB"/>
    <w:rsid w:val="008656E4"/>
    <w:rsid w:val="00873715"/>
    <w:rsid w:val="00874AA9"/>
    <w:rsid w:val="008775E0"/>
    <w:rsid w:val="00887F53"/>
    <w:rsid w:val="0089077A"/>
    <w:rsid w:val="008A29B9"/>
    <w:rsid w:val="008A2A1F"/>
    <w:rsid w:val="008A674A"/>
    <w:rsid w:val="008A7F1D"/>
    <w:rsid w:val="008B10E3"/>
    <w:rsid w:val="008B4EEC"/>
    <w:rsid w:val="008C087B"/>
    <w:rsid w:val="008C20CA"/>
    <w:rsid w:val="008D504B"/>
    <w:rsid w:val="008E626B"/>
    <w:rsid w:val="008F7DE3"/>
    <w:rsid w:val="00905179"/>
    <w:rsid w:val="00911D6F"/>
    <w:rsid w:val="00915D61"/>
    <w:rsid w:val="00917C70"/>
    <w:rsid w:val="0094211D"/>
    <w:rsid w:val="00947C72"/>
    <w:rsid w:val="0095089F"/>
    <w:rsid w:val="00951C57"/>
    <w:rsid w:val="0095280A"/>
    <w:rsid w:val="00955113"/>
    <w:rsid w:val="00957224"/>
    <w:rsid w:val="00963365"/>
    <w:rsid w:val="00964301"/>
    <w:rsid w:val="00966C88"/>
    <w:rsid w:val="00976EFE"/>
    <w:rsid w:val="00983267"/>
    <w:rsid w:val="0099237C"/>
    <w:rsid w:val="00994184"/>
    <w:rsid w:val="009953A1"/>
    <w:rsid w:val="0099716B"/>
    <w:rsid w:val="009A564C"/>
    <w:rsid w:val="009B1703"/>
    <w:rsid w:val="009D0645"/>
    <w:rsid w:val="009D08B5"/>
    <w:rsid w:val="009D285E"/>
    <w:rsid w:val="009E06E6"/>
    <w:rsid w:val="009E15B9"/>
    <w:rsid w:val="009E257F"/>
    <w:rsid w:val="009E7F75"/>
    <w:rsid w:val="009F4580"/>
    <w:rsid w:val="009F6335"/>
    <w:rsid w:val="00A00B25"/>
    <w:rsid w:val="00A137AD"/>
    <w:rsid w:val="00A15455"/>
    <w:rsid w:val="00A272FA"/>
    <w:rsid w:val="00A4072F"/>
    <w:rsid w:val="00A4176B"/>
    <w:rsid w:val="00A51EF7"/>
    <w:rsid w:val="00A523AB"/>
    <w:rsid w:val="00A524D9"/>
    <w:rsid w:val="00A53729"/>
    <w:rsid w:val="00A57324"/>
    <w:rsid w:val="00A61B67"/>
    <w:rsid w:val="00A70648"/>
    <w:rsid w:val="00A76A5E"/>
    <w:rsid w:val="00A8207D"/>
    <w:rsid w:val="00A830FE"/>
    <w:rsid w:val="00A8350A"/>
    <w:rsid w:val="00A848CF"/>
    <w:rsid w:val="00A8584B"/>
    <w:rsid w:val="00AA13B3"/>
    <w:rsid w:val="00AC0E07"/>
    <w:rsid w:val="00AC12A3"/>
    <w:rsid w:val="00AC2253"/>
    <w:rsid w:val="00AC68EF"/>
    <w:rsid w:val="00AD1B85"/>
    <w:rsid w:val="00AD7B4F"/>
    <w:rsid w:val="00AE6853"/>
    <w:rsid w:val="00B006DF"/>
    <w:rsid w:val="00B00D4F"/>
    <w:rsid w:val="00B0233F"/>
    <w:rsid w:val="00B163DE"/>
    <w:rsid w:val="00B16E1D"/>
    <w:rsid w:val="00B234FC"/>
    <w:rsid w:val="00B25EEA"/>
    <w:rsid w:val="00B26D11"/>
    <w:rsid w:val="00B35044"/>
    <w:rsid w:val="00B35EF9"/>
    <w:rsid w:val="00B41B1D"/>
    <w:rsid w:val="00B41EB8"/>
    <w:rsid w:val="00B6016E"/>
    <w:rsid w:val="00B63706"/>
    <w:rsid w:val="00B755DF"/>
    <w:rsid w:val="00B866BF"/>
    <w:rsid w:val="00B879D8"/>
    <w:rsid w:val="00B94562"/>
    <w:rsid w:val="00B97253"/>
    <w:rsid w:val="00BA079B"/>
    <w:rsid w:val="00BC0FA6"/>
    <w:rsid w:val="00BC5E5C"/>
    <w:rsid w:val="00BC7A93"/>
    <w:rsid w:val="00BD50CE"/>
    <w:rsid w:val="00BD5613"/>
    <w:rsid w:val="00BE5A23"/>
    <w:rsid w:val="00BE6866"/>
    <w:rsid w:val="00BE6EE8"/>
    <w:rsid w:val="00C074FF"/>
    <w:rsid w:val="00C07F13"/>
    <w:rsid w:val="00C12C26"/>
    <w:rsid w:val="00C204EC"/>
    <w:rsid w:val="00C4283C"/>
    <w:rsid w:val="00C535F6"/>
    <w:rsid w:val="00C6005F"/>
    <w:rsid w:val="00C63FE1"/>
    <w:rsid w:val="00C71613"/>
    <w:rsid w:val="00C86444"/>
    <w:rsid w:val="00C91822"/>
    <w:rsid w:val="00C96122"/>
    <w:rsid w:val="00CA5B28"/>
    <w:rsid w:val="00CA7827"/>
    <w:rsid w:val="00CC6142"/>
    <w:rsid w:val="00CD3EB1"/>
    <w:rsid w:val="00CE688B"/>
    <w:rsid w:val="00CF59DA"/>
    <w:rsid w:val="00D14CC4"/>
    <w:rsid w:val="00D2249F"/>
    <w:rsid w:val="00D237C3"/>
    <w:rsid w:val="00D23864"/>
    <w:rsid w:val="00D303A5"/>
    <w:rsid w:val="00D30BB7"/>
    <w:rsid w:val="00D36AD6"/>
    <w:rsid w:val="00D37764"/>
    <w:rsid w:val="00D43A60"/>
    <w:rsid w:val="00D52D3F"/>
    <w:rsid w:val="00D75D2D"/>
    <w:rsid w:val="00D83928"/>
    <w:rsid w:val="00D85290"/>
    <w:rsid w:val="00D90184"/>
    <w:rsid w:val="00D9384D"/>
    <w:rsid w:val="00D9529D"/>
    <w:rsid w:val="00DA0F87"/>
    <w:rsid w:val="00DB3EC1"/>
    <w:rsid w:val="00DC0B1A"/>
    <w:rsid w:val="00DC4147"/>
    <w:rsid w:val="00DD0FC4"/>
    <w:rsid w:val="00DD120C"/>
    <w:rsid w:val="00DD4FCA"/>
    <w:rsid w:val="00DF0711"/>
    <w:rsid w:val="00DF55EA"/>
    <w:rsid w:val="00DF630B"/>
    <w:rsid w:val="00E206B8"/>
    <w:rsid w:val="00E226FC"/>
    <w:rsid w:val="00E312D1"/>
    <w:rsid w:val="00E325FB"/>
    <w:rsid w:val="00E418DD"/>
    <w:rsid w:val="00E519A8"/>
    <w:rsid w:val="00E51CB5"/>
    <w:rsid w:val="00E52315"/>
    <w:rsid w:val="00E60DAF"/>
    <w:rsid w:val="00E63B7A"/>
    <w:rsid w:val="00E63C73"/>
    <w:rsid w:val="00E752A4"/>
    <w:rsid w:val="00E779F2"/>
    <w:rsid w:val="00E86F5C"/>
    <w:rsid w:val="00E90380"/>
    <w:rsid w:val="00E949BB"/>
    <w:rsid w:val="00EB7516"/>
    <w:rsid w:val="00EC1BE0"/>
    <w:rsid w:val="00EC2E7C"/>
    <w:rsid w:val="00EC691B"/>
    <w:rsid w:val="00EC7B39"/>
    <w:rsid w:val="00ED1742"/>
    <w:rsid w:val="00ED2F28"/>
    <w:rsid w:val="00EF636C"/>
    <w:rsid w:val="00EF7B72"/>
    <w:rsid w:val="00F04A53"/>
    <w:rsid w:val="00F13C95"/>
    <w:rsid w:val="00F2054E"/>
    <w:rsid w:val="00F24179"/>
    <w:rsid w:val="00F265C5"/>
    <w:rsid w:val="00F31D15"/>
    <w:rsid w:val="00F4398D"/>
    <w:rsid w:val="00F43A57"/>
    <w:rsid w:val="00F454D3"/>
    <w:rsid w:val="00F63FAC"/>
    <w:rsid w:val="00F66737"/>
    <w:rsid w:val="00F829F8"/>
    <w:rsid w:val="00F9558E"/>
    <w:rsid w:val="00FB2F5E"/>
    <w:rsid w:val="00FC040F"/>
    <w:rsid w:val="00FD6A8D"/>
    <w:rsid w:val="00FF6872"/>
    <w:rsid w:val="00FF78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EF3F01-ED93-47C3-9522-CE964B05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1D"/>
  </w:style>
  <w:style w:type="paragraph" w:styleId="Heading1">
    <w:name w:val="heading 1"/>
    <w:basedOn w:val="Normal"/>
    <w:next w:val="Normal"/>
    <w:link w:val="Heading1Char"/>
    <w:uiPriority w:val="9"/>
    <w:qFormat/>
    <w:rsid w:val="009F45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6470"/>
    <w:pPr>
      <w:spacing w:after="0" w:line="240" w:lineRule="auto"/>
    </w:pPr>
  </w:style>
  <w:style w:type="paragraph" w:styleId="FootnoteText">
    <w:name w:val="footnote text"/>
    <w:basedOn w:val="Normal"/>
    <w:link w:val="FootnoteTextChar"/>
    <w:uiPriority w:val="99"/>
    <w:semiHidden/>
    <w:unhideWhenUsed/>
    <w:rsid w:val="00E903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0380"/>
    <w:rPr>
      <w:sz w:val="20"/>
      <w:szCs w:val="20"/>
    </w:rPr>
  </w:style>
  <w:style w:type="character" w:styleId="FootnoteReference">
    <w:name w:val="footnote reference"/>
    <w:basedOn w:val="DefaultParagraphFont"/>
    <w:uiPriority w:val="99"/>
    <w:semiHidden/>
    <w:unhideWhenUsed/>
    <w:rsid w:val="00E90380"/>
    <w:rPr>
      <w:vertAlign w:val="superscript"/>
    </w:rPr>
  </w:style>
  <w:style w:type="paragraph" w:styleId="BalloonText">
    <w:name w:val="Balloon Text"/>
    <w:basedOn w:val="Normal"/>
    <w:link w:val="BalloonTextChar"/>
    <w:uiPriority w:val="99"/>
    <w:semiHidden/>
    <w:unhideWhenUsed/>
    <w:rsid w:val="00C07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F13"/>
    <w:rPr>
      <w:rFonts w:ascii="Tahoma" w:hAnsi="Tahoma" w:cs="Tahoma"/>
      <w:sz w:val="16"/>
      <w:szCs w:val="16"/>
    </w:rPr>
  </w:style>
  <w:style w:type="character" w:styleId="Hyperlink">
    <w:name w:val="Hyperlink"/>
    <w:basedOn w:val="DefaultParagraphFont"/>
    <w:uiPriority w:val="99"/>
    <w:unhideWhenUsed/>
    <w:rsid w:val="00BA079B"/>
    <w:rPr>
      <w:color w:val="0000FF" w:themeColor="hyperlink"/>
      <w:u w:val="single"/>
    </w:rPr>
  </w:style>
  <w:style w:type="character" w:customStyle="1" w:styleId="Heading1Char">
    <w:name w:val="Heading 1 Char"/>
    <w:basedOn w:val="DefaultParagraphFont"/>
    <w:link w:val="Heading1"/>
    <w:uiPriority w:val="9"/>
    <w:rsid w:val="009F458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513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3A8"/>
  </w:style>
  <w:style w:type="paragraph" w:styleId="Footer">
    <w:name w:val="footer"/>
    <w:basedOn w:val="Normal"/>
    <w:link w:val="FooterChar"/>
    <w:uiPriority w:val="99"/>
    <w:unhideWhenUsed/>
    <w:rsid w:val="006513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3A8"/>
  </w:style>
  <w:style w:type="character" w:styleId="FollowedHyperlink">
    <w:name w:val="FollowedHyperlink"/>
    <w:basedOn w:val="DefaultParagraphFont"/>
    <w:uiPriority w:val="99"/>
    <w:semiHidden/>
    <w:unhideWhenUsed/>
    <w:rsid w:val="000F62CA"/>
    <w:rPr>
      <w:color w:val="800080" w:themeColor="followedHyperlink"/>
      <w:u w:val="single"/>
    </w:rPr>
  </w:style>
  <w:style w:type="character" w:styleId="CommentReference">
    <w:name w:val="annotation reference"/>
    <w:basedOn w:val="DefaultParagraphFont"/>
    <w:uiPriority w:val="99"/>
    <w:semiHidden/>
    <w:unhideWhenUsed/>
    <w:rsid w:val="00A61B67"/>
    <w:rPr>
      <w:sz w:val="18"/>
      <w:szCs w:val="18"/>
    </w:rPr>
  </w:style>
  <w:style w:type="paragraph" w:styleId="CommentText">
    <w:name w:val="annotation text"/>
    <w:basedOn w:val="Normal"/>
    <w:link w:val="CommentTextChar"/>
    <w:uiPriority w:val="99"/>
    <w:semiHidden/>
    <w:unhideWhenUsed/>
    <w:rsid w:val="00A61B67"/>
    <w:pPr>
      <w:spacing w:line="240" w:lineRule="auto"/>
    </w:pPr>
    <w:rPr>
      <w:sz w:val="24"/>
      <w:szCs w:val="24"/>
    </w:rPr>
  </w:style>
  <w:style w:type="character" w:customStyle="1" w:styleId="CommentTextChar">
    <w:name w:val="Comment Text Char"/>
    <w:basedOn w:val="DefaultParagraphFont"/>
    <w:link w:val="CommentText"/>
    <w:uiPriority w:val="99"/>
    <w:semiHidden/>
    <w:rsid w:val="00A61B67"/>
    <w:rPr>
      <w:sz w:val="24"/>
      <w:szCs w:val="24"/>
    </w:rPr>
  </w:style>
  <w:style w:type="paragraph" w:styleId="CommentSubject">
    <w:name w:val="annotation subject"/>
    <w:basedOn w:val="CommentText"/>
    <w:next w:val="CommentText"/>
    <w:link w:val="CommentSubjectChar"/>
    <w:uiPriority w:val="99"/>
    <w:semiHidden/>
    <w:unhideWhenUsed/>
    <w:rsid w:val="00A61B67"/>
    <w:rPr>
      <w:b/>
      <w:bCs/>
      <w:sz w:val="20"/>
      <w:szCs w:val="20"/>
    </w:rPr>
  </w:style>
  <w:style w:type="character" w:customStyle="1" w:styleId="CommentSubjectChar">
    <w:name w:val="Comment Subject Char"/>
    <w:basedOn w:val="CommentTextChar"/>
    <w:link w:val="CommentSubject"/>
    <w:uiPriority w:val="99"/>
    <w:semiHidden/>
    <w:rsid w:val="00A61B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858388">
      <w:bodyDiv w:val="1"/>
      <w:marLeft w:val="0"/>
      <w:marRight w:val="0"/>
      <w:marTop w:val="0"/>
      <w:marBottom w:val="0"/>
      <w:divBdr>
        <w:top w:val="none" w:sz="0" w:space="0" w:color="auto"/>
        <w:left w:val="none" w:sz="0" w:space="0" w:color="auto"/>
        <w:bottom w:val="none" w:sz="0" w:space="0" w:color="auto"/>
        <w:right w:val="none" w:sz="0" w:space="0" w:color="auto"/>
      </w:divBdr>
    </w:div>
    <w:div w:id="645547118">
      <w:bodyDiv w:val="1"/>
      <w:marLeft w:val="0"/>
      <w:marRight w:val="0"/>
      <w:marTop w:val="0"/>
      <w:marBottom w:val="0"/>
      <w:divBdr>
        <w:top w:val="none" w:sz="0" w:space="0" w:color="auto"/>
        <w:left w:val="none" w:sz="0" w:space="0" w:color="auto"/>
        <w:bottom w:val="none" w:sz="0" w:space="0" w:color="auto"/>
        <w:right w:val="none" w:sz="0" w:space="0" w:color="auto"/>
      </w:divBdr>
    </w:div>
    <w:div w:id="966736598">
      <w:bodyDiv w:val="1"/>
      <w:marLeft w:val="0"/>
      <w:marRight w:val="0"/>
      <w:marTop w:val="0"/>
      <w:marBottom w:val="0"/>
      <w:divBdr>
        <w:top w:val="none" w:sz="0" w:space="0" w:color="auto"/>
        <w:left w:val="none" w:sz="0" w:space="0" w:color="auto"/>
        <w:bottom w:val="none" w:sz="0" w:space="0" w:color="auto"/>
        <w:right w:val="none" w:sz="0" w:space="0" w:color="auto"/>
      </w:divBdr>
    </w:div>
    <w:div w:id="11916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nao.org.uk/wp-content/uploads/2014/11/Implementing-reforms-to-civil-legal-aid1.pdf" TargetMode="External"/><Relationship Id="rId13" Type="http://schemas.openxmlformats.org/officeDocument/2006/relationships/hyperlink" Target="https://www.lawworks.org.uk/sites/default/files/LawWorks-student-pro-bono-report%202014.pdf" TargetMode="External"/><Relationship Id="rId18" Type="http://schemas.openxmlformats.org/officeDocument/2006/relationships/hyperlink" Target="http://www.qaa.ac.uk/en/Publications/Documents/SBS-Law-15.pdf" TargetMode="External"/><Relationship Id="rId3" Type="http://schemas.openxmlformats.org/officeDocument/2006/relationships/hyperlink" Target="http://www.nationalprobono.org.au/conference/pdf/2003_papers/3a_evans.pdf" TargetMode="External"/><Relationship Id="rId7" Type="http://schemas.openxmlformats.org/officeDocument/2006/relationships/hyperlink" Target="file:///C:/Users/intel/Downloads/lawworks-pro-bono-mini-guide-the-case-for-pro-bono-and-getting-started.pdf" TargetMode="External"/><Relationship Id="rId12" Type="http://schemas.openxmlformats.org/officeDocument/2006/relationships/hyperlink" Target="http://www.lawsociety.org.uk/news/press-releases/law-society-statement-on-one-nation-justice-system/" TargetMode="External"/><Relationship Id="rId17" Type="http://schemas.openxmlformats.org/officeDocument/2006/relationships/hyperlink" Target="http://www.americanbar.org/groups/probono_public_service/policy/aba_model_rule_6_1.html" TargetMode="External"/><Relationship Id="rId2" Type="http://schemas.openxmlformats.org/officeDocument/2006/relationships/hyperlink" Target="http://www.ohchr.org/EN/ProfessionalInterest/Pages/RoleOfLawyers.aspx" TargetMode="External"/><Relationship Id="rId16" Type="http://schemas.openxmlformats.org/officeDocument/2006/relationships/hyperlink" Target="http://www.lawsociety.org.uk/support-services/practice-management/pro-bono/the-pro-bono-protocol/" TargetMode="External"/><Relationship Id="rId1" Type="http://schemas.openxmlformats.org/officeDocument/2006/relationships/hyperlink" Target="file:///C:/Users/intel_000/Downloads/IBA_International_Principles_on_Conduct_for_the_legal_prof%20(4).pdf" TargetMode="External"/><Relationship Id="rId6" Type="http://schemas.openxmlformats.org/officeDocument/2006/relationships/hyperlink" Target="https://www.sheppardmullin.com/media/article/324_pub388.pdf" TargetMode="External"/><Relationship Id="rId11" Type="http://schemas.openxmlformats.org/officeDocument/2006/relationships/hyperlink" Target="https://www.gov.uk/government/speeches/what-does-a-one-nation-justice-policy-look-like" TargetMode="External"/><Relationship Id="rId5" Type="http://schemas.openxmlformats.org/officeDocument/2006/relationships/hyperlink" Target="http://www.lawsociety.org.uk/Support-services/Practice-management/Pro-bono/The-pro-bono-protocol/" TargetMode="External"/><Relationship Id="rId15" Type="http://schemas.openxmlformats.org/officeDocument/2006/relationships/hyperlink" Target="https://basedrones.wordpress.com/student-attitudes-to-clinical-legal-education/" TargetMode="External"/><Relationship Id="rId10" Type="http://schemas.openxmlformats.org/officeDocument/2006/relationships/hyperlink" Target="http://www.pc.gov.au/inquiries/completed/access-justice/report/access-justice-volume1.pdf" TargetMode="External"/><Relationship Id="rId4" Type="http://schemas.openxmlformats.org/officeDocument/2006/relationships/hyperlink" Target="http://www.lawsociety.org.uk/support-services/research-trends/solicitors-pro-bono-work-2015/" TargetMode="External"/><Relationship Id="rId9" Type="http://schemas.openxmlformats.org/officeDocument/2006/relationships/hyperlink" Target="http://www.publications.parliament.uk/pa/cm201415/cmselect/cmjust/311/31102.htm" TargetMode="External"/><Relationship Id="rId14" Type="http://schemas.openxmlformats.org/officeDocument/2006/relationships/hyperlink" Target="http://www.alfiekohn.org/article/teach-values/?print=pdf" TargetMode="External"/></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A0CA2B-0F6D-41A3-8B70-F6B11159572F}" type="doc">
      <dgm:prSet loTypeId="urn:microsoft.com/office/officeart/2005/8/layout/hierarchy4" loCatId="list" qsTypeId="urn:microsoft.com/office/officeart/2005/8/quickstyle/simple1" qsCatId="simple" csTypeId="urn:microsoft.com/office/officeart/2005/8/colors/accent1_4" csCatId="accent1" phldr="1"/>
      <dgm:spPr/>
      <dgm:t>
        <a:bodyPr/>
        <a:lstStyle/>
        <a:p>
          <a:endParaRPr lang="en-GB"/>
        </a:p>
      </dgm:t>
    </dgm:pt>
    <dgm:pt modelId="{F090803A-7C38-44ED-9F2A-D3D03C3576A2}">
      <dgm:prSet phldrT="[Text]"/>
      <dgm:spPr/>
      <dgm:t>
        <a:bodyPr/>
        <a:lstStyle/>
        <a:p>
          <a:r>
            <a:rPr lang="en-GB" b="1"/>
            <a:t>Amotivation</a:t>
          </a:r>
        </a:p>
      </dgm:t>
    </dgm:pt>
    <dgm:pt modelId="{914809D8-EC69-426E-9B61-4826E3629C29}" type="parTrans" cxnId="{3D647794-67D6-4E8A-B512-F555240F0552}">
      <dgm:prSet/>
      <dgm:spPr/>
      <dgm:t>
        <a:bodyPr/>
        <a:lstStyle/>
        <a:p>
          <a:endParaRPr lang="en-GB"/>
        </a:p>
      </dgm:t>
    </dgm:pt>
    <dgm:pt modelId="{DA292DAB-C3D3-4ACD-B90B-210FDDAD5A3A}" type="sibTrans" cxnId="{3D647794-67D6-4E8A-B512-F555240F0552}">
      <dgm:prSet/>
      <dgm:spPr/>
      <dgm:t>
        <a:bodyPr/>
        <a:lstStyle/>
        <a:p>
          <a:endParaRPr lang="en-GB"/>
        </a:p>
      </dgm:t>
    </dgm:pt>
    <dgm:pt modelId="{E5CDC9CD-C432-48E8-89E7-A7218F29BB54}">
      <dgm:prSet phldrT="[Text]" custT="1"/>
      <dgm:spPr/>
      <dgm:t>
        <a:bodyPr/>
        <a:lstStyle/>
        <a:p>
          <a:r>
            <a:rPr lang="en-GB" sz="600"/>
            <a:t>Interest/Enjoyment Inherent satisfaction</a:t>
          </a:r>
        </a:p>
      </dgm:t>
    </dgm:pt>
    <dgm:pt modelId="{EA59D294-BE77-4B7E-8745-045C9100CED7}" type="parTrans" cxnId="{A8D9B9FE-E19D-47E2-9FB9-12C0B3FD8B79}">
      <dgm:prSet/>
      <dgm:spPr/>
      <dgm:t>
        <a:bodyPr/>
        <a:lstStyle/>
        <a:p>
          <a:endParaRPr lang="en-GB"/>
        </a:p>
      </dgm:t>
    </dgm:pt>
    <dgm:pt modelId="{8AD58230-0B39-4C02-B1C0-5D9EE410C638}" type="sibTrans" cxnId="{A8D9B9FE-E19D-47E2-9FB9-12C0B3FD8B79}">
      <dgm:prSet/>
      <dgm:spPr/>
      <dgm:t>
        <a:bodyPr/>
        <a:lstStyle/>
        <a:p>
          <a:endParaRPr lang="en-GB"/>
        </a:p>
      </dgm:t>
    </dgm:pt>
    <dgm:pt modelId="{24291E98-64F9-4FBB-B0B9-C62815D8D9E3}">
      <dgm:prSet phldrT="[Text]"/>
      <dgm:spPr/>
      <dgm:t>
        <a:bodyPr/>
        <a:lstStyle/>
        <a:p>
          <a:r>
            <a:rPr lang="en-GB" b="1"/>
            <a:t>Extrinsic Motivation</a:t>
          </a:r>
        </a:p>
      </dgm:t>
    </dgm:pt>
    <dgm:pt modelId="{AD69EA16-B406-4403-AF23-944B35393622}" type="parTrans" cxnId="{3DCA49F6-92CF-4DE7-9EA6-12924104A5F0}">
      <dgm:prSet/>
      <dgm:spPr/>
    </dgm:pt>
    <dgm:pt modelId="{BC163EBE-A3F6-4539-A8BE-92AFBC4CC2F8}" type="sibTrans" cxnId="{3DCA49F6-92CF-4DE7-9EA6-12924104A5F0}">
      <dgm:prSet/>
      <dgm:spPr/>
    </dgm:pt>
    <dgm:pt modelId="{45D0CAE5-C368-498C-9F13-4ABFEF0B5DC5}">
      <dgm:prSet phldrT="[Text]"/>
      <dgm:spPr/>
      <dgm:t>
        <a:bodyPr/>
        <a:lstStyle/>
        <a:p>
          <a:r>
            <a:rPr lang="en-GB" b="1"/>
            <a:t>Intrinsic Motivation</a:t>
          </a:r>
        </a:p>
      </dgm:t>
    </dgm:pt>
    <dgm:pt modelId="{C880C8FF-BB20-489A-AB37-84CE2F909B4D}" type="parTrans" cxnId="{B75A5A17-D357-4241-8BC7-90969FA341AF}">
      <dgm:prSet/>
      <dgm:spPr/>
    </dgm:pt>
    <dgm:pt modelId="{16F93F97-7AB6-42D6-B1A5-CB2155FF82BA}" type="sibTrans" cxnId="{B75A5A17-D357-4241-8BC7-90969FA341AF}">
      <dgm:prSet/>
      <dgm:spPr/>
    </dgm:pt>
    <dgm:pt modelId="{D36E5496-0448-487C-AA2E-FDBE295B30C8}">
      <dgm:prSet phldrT="[Text]" custT="1"/>
      <dgm:spPr/>
      <dgm:t>
        <a:bodyPr/>
        <a:lstStyle/>
        <a:p>
          <a:r>
            <a:rPr lang="en-GB" sz="800" b="1"/>
            <a:t>External Regulation</a:t>
          </a:r>
        </a:p>
        <a:p>
          <a:endParaRPr lang="en-GB" sz="800" b="1"/>
        </a:p>
        <a:p>
          <a:r>
            <a:rPr lang="en-GB" sz="600" b="1"/>
            <a:t> </a:t>
          </a:r>
          <a:r>
            <a:rPr lang="en-GB" sz="600" b="0"/>
            <a:t>Salience of extrinsic rewards or punishments; Compliance/Reactance</a:t>
          </a:r>
          <a:endParaRPr lang="en-GB" sz="600" b="1"/>
        </a:p>
      </dgm:t>
    </dgm:pt>
    <dgm:pt modelId="{3B865D19-CF6E-4236-9C0F-C8D7A6E8885D}" type="parTrans" cxnId="{3619A1FD-AB22-416E-85C3-9AE3F757C90B}">
      <dgm:prSet/>
      <dgm:spPr/>
    </dgm:pt>
    <dgm:pt modelId="{F08BB2FA-7003-434D-B39F-B6980481D79B}" type="sibTrans" cxnId="{3619A1FD-AB22-416E-85C3-9AE3F757C90B}">
      <dgm:prSet/>
      <dgm:spPr/>
    </dgm:pt>
    <dgm:pt modelId="{792AFEAB-7442-44AB-8430-38BFA9FDC342}">
      <dgm:prSet phldrT="[Text]" custT="1"/>
      <dgm:spPr/>
      <dgm:t>
        <a:bodyPr/>
        <a:lstStyle/>
        <a:p>
          <a:r>
            <a:rPr lang="en-GB" sz="800" b="1"/>
            <a:t>Introjection</a:t>
          </a:r>
        </a:p>
        <a:p>
          <a:endParaRPr lang="en-GB" sz="800" b="1"/>
        </a:p>
        <a:p>
          <a:r>
            <a:rPr lang="en-GB" sz="600" b="0"/>
            <a:t> Ego involvement</a:t>
          </a:r>
        </a:p>
        <a:p>
          <a:r>
            <a:rPr lang="en-GB" sz="600" b="0"/>
            <a:t> Focus on approval from self or others</a:t>
          </a:r>
        </a:p>
      </dgm:t>
    </dgm:pt>
    <dgm:pt modelId="{088C5549-478E-481B-BFB3-77B54EAC9E02}" type="parTrans" cxnId="{7DDBF502-2567-42E2-8352-BB266F8179EA}">
      <dgm:prSet/>
      <dgm:spPr/>
    </dgm:pt>
    <dgm:pt modelId="{81EC9168-1F73-46EF-912D-97B32C3E50EA}" type="sibTrans" cxnId="{7DDBF502-2567-42E2-8352-BB266F8179EA}">
      <dgm:prSet/>
      <dgm:spPr/>
    </dgm:pt>
    <dgm:pt modelId="{82F8442F-13FF-4174-8E6A-2DF42A827B27}">
      <dgm:prSet phldrT="[Text]" custT="1"/>
      <dgm:spPr/>
      <dgm:t>
        <a:bodyPr/>
        <a:lstStyle/>
        <a:p>
          <a:r>
            <a:rPr lang="en-GB" sz="800" b="1"/>
            <a:t>Identification</a:t>
          </a:r>
        </a:p>
        <a:p>
          <a:endParaRPr lang="en-GB" sz="800" b="0"/>
        </a:p>
        <a:p>
          <a:r>
            <a:rPr lang="en-GB" sz="600" b="0"/>
            <a:t>Conscious valuing of activity</a:t>
          </a:r>
        </a:p>
        <a:p>
          <a:r>
            <a:rPr lang="en-GB" sz="600" b="0"/>
            <a:t>Self-endorsement of goals</a:t>
          </a:r>
        </a:p>
        <a:p>
          <a:endParaRPr lang="en-GB" sz="500" b="1"/>
        </a:p>
      </dgm:t>
    </dgm:pt>
    <dgm:pt modelId="{5A262A45-9ECD-4B33-AC16-B2C774989B50}" type="parTrans" cxnId="{0DA17CB4-F7FE-4FC5-A975-28CF3DBA3446}">
      <dgm:prSet/>
      <dgm:spPr/>
    </dgm:pt>
    <dgm:pt modelId="{AFB661FA-E9B4-4687-BA8B-0B769E077529}" type="sibTrans" cxnId="{0DA17CB4-F7FE-4FC5-A975-28CF3DBA3446}">
      <dgm:prSet/>
      <dgm:spPr/>
    </dgm:pt>
    <dgm:pt modelId="{576CC295-4FEB-419E-ACEB-C15FF84F9ED2}">
      <dgm:prSet phldrT="[Text]" custT="1"/>
      <dgm:spPr/>
      <dgm:t>
        <a:bodyPr/>
        <a:lstStyle/>
        <a:p>
          <a:r>
            <a:rPr lang="en-GB" sz="800" b="1"/>
            <a:t>Integration</a:t>
          </a:r>
        </a:p>
        <a:p>
          <a:endParaRPr lang="en-GB" sz="800" b="1"/>
        </a:p>
        <a:p>
          <a:r>
            <a:rPr lang="en-GB" sz="600" b="0"/>
            <a:t>Hierarchical</a:t>
          </a:r>
          <a:r>
            <a:rPr lang="en-GB" sz="500" b="0"/>
            <a:t> synthesis of goals</a:t>
          </a:r>
        </a:p>
        <a:p>
          <a:r>
            <a:rPr lang="en-GB" sz="500" b="0"/>
            <a:t>Congruence</a:t>
          </a:r>
          <a:endParaRPr lang="en-GB" sz="300" b="0"/>
        </a:p>
      </dgm:t>
    </dgm:pt>
    <dgm:pt modelId="{481FF15F-E53D-4B11-8A1F-DCAC27397E71}" type="parTrans" cxnId="{C3399B5B-4FFF-4CC4-85D5-539B8FD80161}">
      <dgm:prSet/>
      <dgm:spPr/>
    </dgm:pt>
    <dgm:pt modelId="{4E8B7EFC-F8F8-4FCD-94F7-384B2822472B}" type="sibTrans" cxnId="{C3399B5B-4FFF-4CC4-85D5-539B8FD80161}">
      <dgm:prSet/>
      <dgm:spPr/>
    </dgm:pt>
    <dgm:pt modelId="{1A0554C7-C069-48C7-BCF4-AE25D6CA3683}">
      <dgm:prSet phldrT="[Text]"/>
      <dgm:spPr/>
      <dgm:t>
        <a:bodyPr/>
        <a:lstStyle/>
        <a:p>
          <a:r>
            <a:rPr lang="en-GB"/>
            <a:t>External</a:t>
          </a:r>
        </a:p>
      </dgm:t>
    </dgm:pt>
    <dgm:pt modelId="{0CE70D22-09AD-4B0C-B869-71C89930004C}" type="parTrans" cxnId="{A5BB6C37-3C1C-4C2A-8F70-1937CAFA86FA}">
      <dgm:prSet/>
      <dgm:spPr/>
    </dgm:pt>
    <dgm:pt modelId="{52BE3FB2-DD6D-49A8-A18C-0306A1B47C40}" type="sibTrans" cxnId="{A5BB6C37-3C1C-4C2A-8F70-1937CAFA86FA}">
      <dgm:prSet/>
      <dgm:spPr/>
    </dgm:pt>
    <dgm:pt modelId="{057D3C4B-223E-4D95-99FA-AF4226B228D7}">
      <dgm:prSet phldrT="[Text]"/>
      <dgm:spPr/>
      <dgm:t>
        <a:bodyPr/>
        <a:lstStyle/>
        <a:p>
          <a:r>
            <a:rPr lang="en-GB"/>
            <a:t>Somewhat external</a:t>
          </a:r>
        </a:p>
      </dgm:t>
    </dgm:pt>
    <dgm:pt modelId="{66A710E2-BAEF-4363-AEA7-B99B3E231F3E}" type="parTrans" cxnId="{A4953765-2418-427A-9775-D7A0B8B64706}">
      <dgm:prSet/>
      <dgm:spPr/>
    </dgm:pt>
    <dgm:pt modelId="{2DB58F22-97A5-496D-A86D-360D6AC7D95C}" type="sibTrans" cxnId="{A4953765-2418-427A-9775-D7A0B8B64706}">
      <dgm:prSet/>
      <dgm:spPr/>
    </dgm:pt>
    <dgm:pt modelId="{D53E096B-5C4B-470D-885D-07B00B37AA2B}">
      <dgm:prSet phldrT="[Text]"/>
      <dgm:spPr/>
      <dgm:t>
        <a:bodyPr/>
        <a:lstStyle/>
        <a:p>
          <a:r>
            <a:rPr lang="en-GB"/>
            <a:t>Somewhat internal</a:t>
          </a:r>
        </a:p>
      </dgm:t>
    </dgm:pt>
    <dgm:pt modelId="{43918AB7-091A-4926-B27A-4117BBE2D7D0}" type="parTrans" cxnId="{AE894C9A-D8C8-40D9-B134-EA332481DD61}">
      <dgm:prSet/>
      <dgm:spPr/>
    </dgm:pt>
    <dgm:pt modelId="{2E3596FB-495E-455A-9555-79D43D43D720}" type="sibTrans" cxnId="{AE894C9A-D8C8-40D9-B134-EA332481DD61}">
      <dgm:prSet/>
      <dgm:spPr/>
    </dgm:pt>
    <dgm:pt modelId="{0976BE72-DA20-431E-B5B9-DD5ADC90A0C5}">
      <dgm:prSet phldrT="[Text]"/>
      <dgm:spPr/>
      <dgm:t>
        <a:bodyPr/>
        <a:lstStyle/>
        <a:p>
          <a:r>
            <a:rPr lang="en-GB"/>
            <a:t>Internal</a:t>
          </a:r>
        </a:p>
      </dgm:t>
    </dgm:pt>
    <dgm:pt modelId="{0A0219BD-5695-458A-BBCF-36021E21B786}" type="parTrans" cxnId="{7A8D301C-5DE5-4030-8CC2-92CA38FFEDC8}">
      <dgm:prSet/>
      <dgm:spPr/>
    </dgm:pt>
    <dgm:pt modelId="{7A17A80D-B23B-4FF8-AD0A-640037F23031}" type="sibTrans" cxnId="{7A8D301C-5DE5-4030-8CC2-92CA38FFEDC8}">
      <dgm:prSet/>
      <dgm:spPr/>
    </dgm:pt>
    <dgm:pt modelId="{0A91A153-63DA-4422-B08C-F0C6A6D6CCD4}">
      <dgm:prSet phldrT="[Text]"/>
      <dgm:spPr/>
      <dgm:t>
        <a:bodyPr/>
        <a:lstStyle/>
        <a:p>
          <a:r>
            <a:rPr lang="en-GB"/>
            <a:t>Internal</a:t>
          </a:r>
        </a:p>
      </dgm:t>
    </dgm:pt>
    <dgm:pt modelId="{2CE37D0D-3BEC-4169-8630-BC314C2F32BC}" type="parTrans" cxnId="{810B62CA-0B0A-49EA-849F-3A222D3E4A31}">
      <dgm:prSet/>
      <dgm:spPr/>
    </dgm:pt>
    <dgm:pt modelId="{1F081775-D82B-4FEF-BF50-224B2204A3A6}" type="sibTrans" cxnId="{810B62CA-0B0A-49EA-849F-3A222D3E4A31}">
      <dgm:prSet/>
      <dgm:spPr/>
    </dgm:pt>
    <dgm:pt modelId="{6B34F432-B16F-4A7D-BA4F-BF51300E6EF5}">
      <dgm:prSet phldrT="[Text]" custT="1"/>
      <dgm:spPr/>
      <dgm:t>
        <a:bodyPr/>
        <a:lstStyle/>
        <a:p>
          <a:r>
            <a:rPr lang="en-GB" sz="800" b="1"/>
            <a:t>REGULATORY STYLE</a:t>
          </a:r>
        </a:p>
      </dgm:t>
    </dgm:pt>
    <dgm:pt modelId="{EAB3E9D0-A435-4807-9C60-645D5D7B699C}" type="parTrans" cxnId="{CAFF02BD-D953-4E0E-BF3B-C6575807B34A}">
      <dgm:prSet/>
      <dgm:spPr/>
    </dgm:pt>
    <dgm:pt modelId="{893E6EA1-471D-4301-AF58-22FBDC194E24}" type="sibTrans" cxnId="{CAFF02BD-D953-4E0E-BF3B-C6575807B34A}">
      <dgm:prSet/>
      <dgm:spPr/>
    </dgm:pt>
    <dgm:pt modelId="{5DB8C981-2A69-4EF6-B7C9-CACFE32E7B3D}">
      <dgm:prSet phldrT="[Text]"/>
      <dgm:spPr/>
      <dgm:t>
        <a:bodyPr/>
        <a:lstStyle/>
        <a:p>
          <a:r>
            <a:rPr lang="en-GB" b="1"/>
            <a:t>ASSOCIATED PROCESSES</a:t>
          </a:r>
        </a:p>
      </dgm:t>
    </dgm:pt>
    <dgm:pt modelId="{69DF4931-4665-44A6-A7E8-5610EE20F3B4}" type="parTrans" cxnId="{0C17E0CF-4361-4767-9DCA-0C4617FFE54E}">
      <dgm:prSet/>
      <dgm:spPr/>
    </dgm:pt>
    <dgm:pt modelId="{A546FBF8-CE25-4A02-96F2-F9C66DDC6B83}" type="sibTrans" cxnId="{0C17E0CF-4361-4767-9DCA-0C4617FFE54E}">
      <dgm:prSet/>
      <dgm:spPr/>
    </dgm:pt>
    <dgm:pt modelId="{6CCB4EDB-3B16-4B68-A99F-083A6CABFEA2}">
      <dgm:prSet phldrT="[Text]"/>
      <dgm:spPr/>
      <dgm:t>
        <a:bodyPr/>
        <a:lstStyle/>
        <a:p>
          <a:r>
            <a:rPr lang="en-GB" b="1"/>
            <a:t>PERCEIVED LOCUS OF CAUSALITY</a:t>
          </a:r>
        </a:p>
      </dgm:t>
    </dgm:pt>
    <dgm:pt modelId="{3710F97B-D888-4C2F-A09E-6AD2EAA40C71}" type="parTrans" cxnId="{3A27201F-E0F2-4363-8BE6-27E2A8F870F7}">
      <dgm:prSet/>
      <dgm:spPr/>
    </dgm:pt>
    <dgm:pt modelId="{A40484E6-BB21-45BC-9668-17F0EA616CE9}" type="sibTrans" cxnId="{3A27201F-E0F2-4363-8BE6-27E2A8F870F7}">
      <dgm:prSet/>
      <dgm:spPr/>
    </dgm:pt>
    <dgm:pt modelId="{A5AAED83-FCAA-49E8-B360-BDDAB0CB38CF}">
      <dgm:prSet phldrT="[Text]" custT="1"/>
      <dgm:spPr/>
      <dgm:t>
        <a:bodyPr/>
        <a:lstStyle/>
        <a:p>
          <a:r>
            <a:rPr lang="en-GB" sz="600" b="1"/>
            <a:t>Perceived non-contingency </a:t>
          </a:r>
        </a:p>
        <a:p>
          <a:r>
            <a:rPr lang="en-GB" sz="600" b="1"/>
            <a:t>Low perceived competence</a:t>
          </a:r>
        </a:p>
        <a:p>
          <a:r>
            <a:rPr lang="en-GB" sz="600" b="1"/>
            <a:t>Nonrelevance</a:t>
          </a:r>
        </a:p>
        <a:p>
          <a:r>
            <a:rPr lang="en-GB" sz="600" b="1"/>
            <a:t> Nonintentionality</a:t>
          </a:r>
        </a:p>
      </dgm:t>
    </dgm:pt>
    <dgm:pt modelId="{8E39FD27-30E1-4DB0-88E1-F0B240E7F0BA}" type="parTrans" cxnId="{EE526CD1-1FDF-42F2-BEB4-0C1BF37BB4BF}">
      <dgm:prSet/>
      <dgm:spPr/>
    </dgm:pt>
    <dgm:pt modelId="{02BA4AA8-07D7-491A-9087-B3E298B9638E}" type="sibTrans" cxnId="{EE526CD1-1FDF-42F2-BEB4-0C1BF37BB4BF}">
      <dgm:prSet/>
      <dgm:spPr/>
    </dgm:pt>
    <dgm:pt modelId="{263E7E0D-9320-45EA-AA97-F2622F8C8C7C}">
      <dgm:prSet phldrT="[Text]"/>
      <dgm:spPr/>
      <dgm:t>
        <a:bodyPr/>
        <a:lstStyle/>
        <a:p>
          <a:r>
            <a:rPr lang="en-GB" b="1"/>
            <a:t>Impersonal</a:t>
          </a:r>
        </a:p>
      </dgm:t>
    </dgm:pt>
    <dgm:pt modelId="{DA14FECC-0ECC-4299-A70A-3AE5D42F9195}" type="parTrans" cxnId="{4C5D2E6A-B992-4F62-AEB2-571206348938}">
      <dgm:prSet/>
      <dgm:spPr/>
    </dgm:pt>
    <dgm:pt modelId="{5D08D6C7-C46C-486F-956E-6ED433C6961A}" type="sibTrans" cxnId="{4C5D2E6A-B992-4F62-AEB2-571206348938}">
      <dgm:prSet/>
      <dgm:spPr/>
    </dgm:pt>
    <dgm:pt modelId="{13D6B203-9550-4F11-B26D-6CE337104A6C}" type="pres">
      <dgm:prSet presAssocID="{C2A0CA2B-0F6D-41A3-8B70-F6B11159572F}" presName="Name0" presStyleCnt="0">
        <dgm:presLayoutVars>
          <dgm:chPref val="1"/>
          <dgm:dir/>
          <dgm:animOne val="branch"/>
          <dgm:animLvl val="lvl"/>
          <dgm:resizeHandles/>
        </dgm:presLayoutVars>
      </dgm:prSet>
      <dgm:spPr/>
      <dgm:t>
        <a:bodyPr/>
        <a:lstStyle/>
        <a:p>
          <a:endParaRPr lang="en-US"/>
        </a:p>
      </dgm:t>
    </dgm:pt>
    <dgm:pt modelId="{EF6160E0-0E9F-4755-94BD-959440B3CAD6}" type="pres">
      <dgm:prSet presAssocID="{6B34F432-B16F-4A7D-BA4F-BF51300E6EF5}" presName="vertOne" presStyleCnt="0"/>
      <dgm:spPr/>
    </dgm:pt>
    <dgm:pt modelId="{4C44604C-0282-4898-B724-B1890CEF3C68}" type="pres">
      <dgm:prSet presAssocID="{6B34F432-B16F-4A7D-BA4F-BF51300E6EF5}" presName="txOne" presStyleLbl="node0" presStyleIdx="0" presStyleCnt="4">
        <dgm:presLayoutVars>
          <dgm:chPref val="3"/>
        </dgm:presLayoutVars>
      </dgm:prSet>
      <dgm:spPr/>
      <dgm:t>
        <a:bodyPr/>
        <a:lstStyle/>
        <a:p>
          <a:endParaRPr lang="en-US"/>
        </a:p>
      </dgm:t>
    </dgm:pt>
    <dgm:pt modelId="{09F0961F-0F2C-401E-B4B6-0D702320C28F}" type="pres">
      <dgm:prSet presAssocID="{6B34F432-B16F-4A7D-BA4F-BF51300E6EF5}" presName="parTransOne" presStyleCnt="0"/>
      <dgm:spPr/>
    </dgm:pt>
    <dgm:pt modelId="{7A369EE3-5202-43E6-8109-EAD9FCB75DC3}" type="pres">
      <dgm:prSet presAssocID="{6B34F432-B16F-4A7D-BA4F-BF51300E6EF5}" presName="horzOne" presStyleCnt="0"/>
      <dgm:spPr/>
    </dgm:pt>
    <dgm:pt modelId="{4C5D4C4A-B71E-4D82-AEB5-0292E8C78C3D}" type="pres">
      <dgm:prSet presAssocID="{5DB8C981-2A69-4EF6-B7C9-CACFE32E7B3D}" presName="vertTwo" presStyleCnt="0"/>
      <dgm:spPr/>
    </dgm:pt>
    <dgm:pt modelId="{57930C17-5DCD-4F00-BE06-D53D3F2A659C}" type="pres">
      <dgm:prSet presAssocID="{5DB8C981-2A69-4EF6-B7C9-CACFE32E7B3D}" presName="txTwo" presStyleLbl="node2" presStyleIdx="0" presStyleCnt="7">
        <dgm:presLayoutVars>
          <dgm:chPref val="3"/>
        </dgm:presLayoutVars>
      </dgm:prSet>
      <dgm:spPr/>
      <dgm:t>
        <a:bodyPr/>
        <a:lstStyle/>
        <a:p>
          <a:endParaRPr lang="en-US"/>
        </a:p>
      </dgm:t>
    </dgm:pt>
    <dgm:pt modelId="{29A78D82-1236-4745-B622-F859D06C5532}" type="pres">
      <dgm:prSet presAssocID="{5DB8C981-2A69-4EF6-B7C9-CACFE32E7B3D}" presName="parTransTwo" presStyleCnt="0"/>
      <dgm:spPr/>
    </dgm:pt>
    <dgm:pt modelId="{FFD6FC76-08D7-46E3-8F41-E4D9EF7A44A1}" type="pres">
      <dgm:prSet presAssocID="{5DB8C981-2A69-4EF6-B7C9-CACFE32E7B3D}" presName="horzTwo" presStyleCnt="0"/>
      <dgm:spPr/>
    </dgm:pt>
    <dgm:pt modelId="{40416CCB-B9E7-4857-B759-C53E2629C07B}" type="pres">
      <dgm:prSet presAssocID="{6CCB4EDB-3B16-4B68-A99F-083A6CABFEA2}" presName="vertThree" presStyleCnt="0"/>
      <dgm:spPr/>
    </dgm:pt>
    <dgm:pt modelId="{A1AE7E06-FFFC-426A-92EC-35C676B23BE1}" type="pres">
      <dgm:prSet presAssocID="{6CCB4EDB-3B16-4B68-A99F-083A6CABFEA2}" presName="txThree" presStyleLbl="node3" presStyleIdx="0" presStyleCnt="7">
        <dgm:presLayoutVars>
          <dgm:chPref val="3"/>
        </dgm:presLayoutVars>
      </dgm:prSet>
      <dgm:spPr/>
      <dgm:t>
        <a:bodyPr/>
        <a:lstStyle/>
        <a:p>
          <a:endParaRPr lang="en-US"/>
        </a:p>
      </dgm:t>
    </dgm:pt>
    <dgm:pt modelId="{868EC233-1561-49A7-AF1A-629D200CEB80}" type="pres">
      <dgm:prSet presAssocID="{6CCB4EDB-3B16-4B68-A99F-083A6CABFEA2}" presName="horzThree" presStyleCnt="0"/>
      <dgm:spPr/>
    </dgm:pt>
    <dgm:pt modelId="{F06F1EFB-6DA8-47E8-87E4-B9F10446B549}" type="pres">
      <dgm:prSet presAssocID="{893E6EA1-471D-4301-AF58-22FBDC194E24}" presName="sibSpaceOne" presStyleCnt="0"/>
      <dgm:spPr/>
    </dgm:pt>
    <dgm:pt modelId="{A186E98E-79FB-4BEE-A6BE-9815A3DA23D5}" type="pres">
      <dgm:prSet presAssocID="{F090803A-7C38-44ED-9F2A-D3D03C3576A2}" presName="vertOne" presStyleCnt="0"/>
      <dgm:spPr/>
    </dgm:pt>
    <dgm:pt modelId="{7EF3D868-A190-4263-9487-52D678D30C78}" type="pres">
      <dgm:prSet presAssocID="{F090803A-7C38-44ED-9F2A-D3D03C3576A2}" presName="txOne" presStyleLbl="node0" presStyleIdx="1" presStyleCnt="4">
        <dgm:presLayoutVars>
          <dgm:chPref val="3"/>
        </dgm:presLayoutVars>
      </dgm:prSet>
      <dgm:spPr/>
      <dgm:t>
        <a:bodyPr/>
        <a:lstStyle/>
        <a:p>
          <a:endParaRPr lang="en-US"/>
        </a:p>
      </dgm:t>
    </dgm:pt>
    <dgm:pt modelId="{E7EC9FCD-6567-4C15-8498-E7F1E0905E0F}" type="pres">
      <dgm:prSet presAssocID="{F090803A-7C38-44ED-9F2A-D3D03C3576A2}" presName="parTransOne" presStyleCnt="0"/>
      <dgm:spPr/>
    </dgm:pt>
    <dgm:pt modelId="{D6381C23-1D9F-4192-B20C-F39A10797254}" type="pres">
      <dgm:prSet presAssocID="{F090803A-7C38-44ED-9F2A-D3D03C3576A2}" presName="horzOne" presStyleCnt="0"/>
      <dgm:spPr/>
    </dgm:pt>
    <dgm:pt modelId="{AA4D18A5-311C-490B-BBB5-7177AA3F3FEC}" type="pres">
      <dgm:prSet presAssocID="{A5AAED83-FCAA-49E8-B360-BDDAB0CB38CF}" presName="vertTwo" presStyleCnt="0"/>
      <dgm:spPr/>
    </dgm:pt>
    <dgm:pt modelId="{44D4704E-CED7-4F33-9653-FA4465230702}" type="pres">
      <dgm:prSet presAssocID="{A5AAED83-FCAA-49E8-B360-BDDAB0CB38CF}" presName="txTwo" presStyleLbl="node2" presStyleIdx="1" presStyleCnt="7">
        <dgm:presLayoutVars>
          <dgm:chPref val="3"/>
        </dgm:presLayoutVars>
      </dgm:prSet>
      <dgm:spPr/>
      <dgm:t>
        <a:bodyPr/>
        <a:lstStyle/>
        <a:p>
          <a:endParaRPr lang="en-US"/>
        </a:p>
      </dgm:t>
    </dgm:pt>
    <dgm:pt modelId="{AD628D94-054E-485A-9B82-B10544E24E17}" type="pres">
      <dgm:prSet presAssocID="{A5AAED83-FCAA-49E8-B360-BDDAB0CB38CF}" presName="parTransTwo" presStyleCnt="0"/>
      <dgm:spPr/>
    </dgm:pt>
    <dgm:pt modelId="{EF3D1728-A672-4BE0-A790-2DAEFE82BB48}" type="pres">
      <dgm:prSet presAssocID="{A5AAED83-FCAA-49E8-B360-BDDAB0CB38CF}" presName="horzTwo" presStyleCnt="0"/>
      <dgm:spPr/>
    </dgm:pt>
    <dgm:pt modelId="{6BD81252-F3E7-4E46-80AA-C008FF882014}" type="pres">
      <dgm:prSet presAssocID="{263E7E0D-9320-45EA-AA97-F2622F8C8C7C}" presName="vertThree" presStyleCnt="0"/>
      <dgm:spPr/>
    </dgm:pt>
    <dgm:pt modelId="{AEED9145-5B29-45BB-AC41-329A44E3F632}" type="pres">
      <dgm:prSet presAssocID="{263E7E0D-9320-45EA-AA97-F2622F8C8C7C}" presName="txThree" presStyleLbl="node3" presStyleIdx="1" presStyleCnt="7">
        <dgm:presLayoutVars>
          <dgm:chPref val="3"/>
        </dgm:presLayoutVars>
      </dgm:prSet>
      <dgm:spPr/>
      <dgm:t>
        <a:bodyPr/>
        <a:lstStyle/>
        <a:p>
          <a:endParaRPr lang="en-US"/>
        </a:p>
      </dgm:t>
    </dgm:pt>
    <dgm:pt modelId="{9679BE67-F720-4300-BB8C-3FA601DF828D}" type="pres">
      <dgm:prSet presAssocID="{263E7E0D-9320-45EA-AA97-F2622F8C8C7C}" presName="horzThree" presStyleCnt="0"/>
      <dgm:spPr/>
    </dgm:pt>
    <dgm:pt modelId="{5ACCE255-101C-4A9F-8723-6B43ADE533C6}" type="pres">
      <dgm:prSet presAssocID="{DA292DAB-C3D3-4ACD-B90B-210FDDAD5A3A}" presName="sibSpaceOne" presStyleCnt="0"/>
      <dgm:spPr/>
    </dgm:pt>
    <dgm:pt modelId="{121D3204-B5F2-490D-82F3-1709923F2185}" type="pres">
      <dgm:prSet presAssocID="{24291E98-64F9-4FBB-B0B9-C62815D8D9E3}" presName="vertOne" presStyleCnt="0"/>
      <dgm:spPr/>
    </dgm:pt>
    <dgm:pt modelId="{91645516-F952-493D-A0B4-8DCAC174E684}" type="pres">
      <dgm:prSet presAssocID="{24291E98-64F9-4FBB-B0B9-C62815D8D9E3}" presName="txOne" presStyleLbl="node0" presStyleIdx="2" presStyleCnt="4">
        <dgm:presLayoutVars>
          <dgm:chPref val="3"/>
        </dgm:presLayoutVars>
      </dgm:prSet>
      <dgm:spPr/>
      <dgm:t>
        <a:bodyPr/>
        <a:lstStyle/>
        <a:p>
          <a:endParaRPr lang="en-US"/>
        </a:p>
      </dgm:t>
    </dgm:pt>
    <dgm:pt modelId="{0E85C58D-CF47-4C92-97C6-8A26FC0A181A}" type="pres">
      <dgm:prSet presAssocID="{24291E98-64F9-4FBB-B0B9-C62815D8D9E3}" presName="parTransOne" presStyleCnt="0"/>
      <dgm:spPr/>
    </dgm:pt>
    <dgm:pt modelId="{4C940B4C-4896-4614-B9E8-683EB5BA0ABD}" type="pres">
      <dgm:prSet presAssocID="{24291E98-64F9-4FBB-B0B9-C62815D8D9E3}" presName="horzOne" presStyleCnt="0"/>
      <dgm:spPr/>
    </dgm:pt>
    <dgm:pt modelId="{B516E547-B6A2-4325-9949-28A8532CD18C}" type="pres">
      <dgm:prSet presAssocID="{D36E5496-0448-487C-AA2E-FDBE295B30C8}" presName="vertTwo" presStyleCnt="0"/>
      <dgm:spPr/>
    </dgm:pt>
    <dgm:pt modelId="{B0882BA2-AAE6-42D7-A513-8A9EE6D08C2A}" type="pres">
      <dgm:prSet presAssocID="{D36E5496-0448-487C-AA2E-FDBE295B30C8}" presName="txTwo" presStyleLbl="node2" presStyleIdx="2" presStyleCnt="7">
        <dgm:presLayoutVars>
          <dgm:chPref val="3"/>
        </dgm:presLayoutVars>
      </dgm:prSet>
      <dgm:spPr/>
      <dgm:t>
        <a:bodyPr/>
        <a:lstStyle/>
        <a:p>
          <a:endParaRPr lang="en-US"/>
        </a:p>
      </dgm:t>
    </dgm:pt>
    <dgm:pt modelId="{ADECEF56-8800-4C2D-89F8-BB6573390982}" type="pres">
      <dgm:prSet presAssocID="{D36E5496-0448-487C-AA2E-FDBE295B30C8}" presName="parTransTwo" presStyleCnt="0"/>
      <dgm:spPr/>
    </dgm:pt>
    <dgm:pt modelId="{4D7FFF4A-7356-4DCD-AD6A-10D563360818}" type="pres">
      <dgm:prSet presAssocID="{D36E5496-0448-487C-AA2E-FDBE295B30C8}" presName="horzTwo" presStyleCnt="0"/>
      <dgm:spPr/>
    </dgm:pt>
    <dgm:pt modelId="{10F07EA2-7CA9-4272-BA1E-20E1DDF0429A}" type="pres">
      <dgm:prSet presAssocID="{1A0554C7-C069-48C7-BCF4-AE25D6CA3683}" presName="vertThree" presStyleCnt="0"/>
      <dgm:spPr/>
    </dgm:pt>
    <dgm:pt modelId="{25261F33-98B1-4955-BD40-B139B9A2FD75}" type="pres">
      <dgm:prSet presAssocID="{1A0554C7-C069-48C7-BCF4-AE25D6CA3683}" presName="txThree" presStyleLbl="node3" presStyleIdx="2" presStyleCnt="7">
        <dgm:presLayoutVars>
          <dgm:chPref val="3"/>
        </dgm:presLayoutVars>
      </dgm:prSet>
      <dgm:spPr/>
      <dgm:t>
        <a:bodyPr/>
        <a:lstStyle/>
        <a:p>
          <a:endParaRPr lang="en-US"/>
        </a:p>
      </dgm:t>
    </dgm:pt>
    <dgm:pt modelId="{6292504B-215C-4A61-B1D9-CE22A62C47BF}" type="pres">
      <dgm:prSet presAssocID="{1A0554C7-C069-48C7-BCF4-AE25D6CA3683}" presName="horzThree" presStyleCnt="0"/>
      <dgm:spPr/>
    </dgm:pt>
    <dgm:pt modelId="{DAA5ABF0-5433-474E-B3C8-1D4B37C307E2}" type="pres">
      <dgm:prSet presAssocID="{F08BB2FA-7003-434D-B39F-B6980481D79B}" presName="sibSpaceTwo" presStyleCnt="0"/>
      <dgm:spPr/>
    </dgm:pt>
    <dgm:pt modelId="{8C314A18-0765-4AE2-BAC4-7A51575E558A}" type="pres">
      <dgm:prSet presAssocID="{792AFEAB-7442-44AB-8430-38BFA9FDC342}" presName="vertTwo" presStyleCnt="0"/>
      <dgm:spPr/>
    </dgm:pt>
    <dgm:pt modelId="{54EFC09C-79DC-4E42-92C2-CB5E7915125F}" type="pres">
      <dgm:prSet presAssocID="{792AFEAB-7442-44AB-8430-38BFA9FDC342}" presName="txTwo" presStyleLbl="node2" presStyleIdx="3" presStyleCnt="7">
        <dgm:presLayoutVars>
          <dgm:chPref val="3"/>
        </dgm:presLayoutVars>
      </dgm:prSet>
      <dgm:spPr/>
      <dgm:t>
        <a:bodyPr/>
        <a:lstStyle/>
        <a:p>
          <a:endParaRPr lang="en-US"/>
        </a:p>
      </dgm:t>
    </dgm:pt>
    <dgm:pt modelId="{F073741C-944E-4E7F-B1D8-A140A8601DD4}" type="pres">
      <dgm:prSet presAssocID="{792AFEAB-7442-44AB-8430-38BFA9FDC342}" presName="parTransTwo" presStyleCnt="0"/>
      <dgm:spPr/>
    </dgm:pt>
    <dgm:pt modelId="{197E4303-1318-4AEC-9E24-AC34A38BFE76}" type="pres">
      <dgm:prSet presAssocID="{792AFEAB-7442-44AB-8430-38BFA9FDC342}" presName="horzTwo" presStyleCnt="0"/>
      <dgm:spPr/>
    </dgm:pt>
    <dgm:pt modelId="{CDEC8DCD-EE11-4018-B52E-7958BF196470}" type="pres">
      <dgm:prSet presAssocID="{057D3C4B-223E-4D95-99FA-AF4226B228D7}" presName="vertThree" presStyleCnt="0"/>
      <dgm:spPr/>
    </dgm:pt>
    <dgm:pt modelId="{CD9B98CB-F2DA-4599-BC17-795A5D408A84}" type="pres">
      <dgm:prSet presAssocID="{057D3C4B-223E-4D95-99FA-AF4226B228D7}" presName="txThree" presStyleLbl="node3" presStyleIdx="3" presStyleCnt="7">
        <dgm:presLayoutVars>
          <dgm:chPref val="3"/>
        </dgm:presLayoutVars>
      </dgm:prSet>
      <dgm:spPr/>
      <dgm:t>
        <a:bodyPr/>
        <a:lstStyle/>
        <a:p>
          <a:endParaRPr lang="en-US"/>
        </a:p>
      </dgm:t>
    </dgm:pt>
    <dgm:pt modelId="{56A7AEF0-FB32-4164-B836-CFFCCF6E763E}" type="pres">
      <dgm:prSet presAssocID="{057D3C4B-223E-4D95-99FA-AF4226B228D7}" presName="horzThree" presStyleCnt="0"/>
      <dgm:spPr/>
    </dgm:pt>
    <dgm:pt modelId="{0D69A4A0-F61A-4E22-A478-0A6C07AE40A7}" type="pres">
      <dgm:prSet presAssocID="{81EC9168-1F73-46EF-912D-97B32C3E50EA}" presName="sibSpaceTwo" presStyleCnt="0"/>
      <dgm:spPr/>
    </dgm:pt>
    <dgm:pt modelId="{A6213283-32DD-4184-9B38-82B2BEED6FEB}" type="pres">
      <dgm:prSet presAssocID="{82F8442F-13FF-4174-8E6A-2DF42A827B27}" presName="vertTwo" presStyleCnt="0"/>
      <dgm:spPr/>
    </dgm:pt>
    <dgm:pt modelId="{C7EC7DBD-A5CE-4D9A-9F7F-3CB14FF3AC0D}" type="pres">
      <dgm:prSet presAssocID="{82F8442F-13FF-4174-8E6A-2DF42A827B27}" presName="txTwo" presStyleLbl="node2" presStyleIdx="4" presStyleCnt="7">
        <dgm:presLayoutVars>
          <dgm:chPref val="3"/>
        </dgm:presLayoutVars>
      </dgm:prSet>
      <dgm:spPr/>
      <dgm:t>
        <a:bodyPr/>
        <a:lstStyle/>
        <a:p>
          <a:endParaRPr lang="en-US"/>
        </a:p>
      </dgm:t>
    </dgm:pt>
    <dgm:pt modelId="{E2D13B70-A785-4F7A-A743-D8ECB958C254}" type="pres">
      <dgm:prSet presAssocID="{82F8442F-13FF-4174-8E6A-2DF42A827B27}" presName="parTransTwo" presStyleCnt="0"/>
      <dgm:spPr/>
    </dgm:pt>
    <dgm:pt modelId="{492D1ED0-3752-4E5D-818C-31801DA4E8FF}" type="pres">
      <dgm:prSet presAssocID="{82F8442F-13FF-4174-8E6A-2DF42A827B27}" presName="horzTwo" presStyleCnt="0"/>
      <dgm:spPr/>
    </dgm:pt>
    <dgm:pt modelId="{1ACF7437-D7AA-4082-83E9-4A5D8FCA8DFB}" type="pres">
      <dgm:prSet presAssocID="{D53E096B-5C4B-470D-885D-07B00B37AA2B}" presName="vertThree" presStyleCnt="0"/>
      <dgm:spPr/>
    </dgm:pt>
    <dgm:pt modelId="{1BD565CE-6408-40F5-BCD1-31CAA703CF64}" type="pres">
      <dgm:prSet presAssocID="{D53E096B-5C4B-470D-885D-07B00B37AA2B}" presName="txThree" presStyleLbl="node3" presStyleIdx="4" presStyleCnt="7">
        <dgm:presLayoutVars>
          <dgm:chPref val="3"/>
        </dgm:presLayoutVars>
      </dgm:prSet>
      <dgm:spPr/>
      <dgm:t>
        <a:bodyPr/>
        <a:lstStyle/>
        <a:p>
          <a:endParaRPr lang="en-US"/>
        </a:p>
      </dgm:t>
    </dgm:pt>
    <dgm:pt modelId="{ACD055F4-0501-4489-BDC0-28FEE16A5B59}" type="pres">
      <dgm:prSet presAssocID="{D53E096B-5C4B-470D-885D-07B00B37AA2B}" presName="horzThree" presStyleCnt="0"/>
      <dgm:spPr/>
    </dgm:pt>
    <dgm:pt modelId="{BFB40796-3276-4AC3-852E-0C23FA0E9D95}" type="pres">
      <dgm:prSet presAssocID="{AFB661FA-E9B4-4687-BA8B-0B769E077529}" presName="sibSpaceTwo" presStyleCnt="0"/>
      <dgm:spPr/>
    </dgm:pt>
    <dgm:pt modelId="{8069439A-082D-42E4-9BD5-1C9862D765DA}" type="pres">
      <dgm:prSet presAssocID="{576CC295-4FEB-419E-ACEB-C15FF84F9ED2}" presName="vertTwo" presStyleCnt="0"/>
      <dgm:spPr/>
    </dgm:pt>
    <dgm:pt modelId="{10A16395-41C7-40F3-8375-003662BFD0A7}" type="pres">
      <dgm:prSet presAssocID="{576CC295-4FEB-419E-ACEB-C15FF84F9ED2}" presName="txTwo" presStyleLbl="node2" presStyleIdx="5" presStyleCnt="7">
        <dgm:presLayoutVars>
          <dgm:chPref val="3"/>
        </dgm:presLayoutVars>
      </dgm:prSet>
      <dgm:spPr/>
      <dgm:t>
        <a:bodyPr/>
        <a:lstStyle/>
        <a:p>
          <a:endParaRPr lang="en-US"/>
        </a:p>
      </dgm:t>
    </dgm:pt>
    <dgm:pt modelId="{C11B5E63-37D4-4774-9C0D-6EB69FA30345}" type="pres">
      <dgm:prSet presAssocID="{576CC295-4FEB-419E-ACEB-C15FF84F9ED2}" presName="parTransTwo" presStyleCnt="0"/>
      <dgm:spPr/>
    </dgm:pt>
    <dgm:pt modelId="{375F7FB1-8D10-4DE3-8FA5-4C6FD1BA7B99}" type="pres">
      <dgm:prSet presAssocID="{576CC295-4FEB-419E-ACEB-C15FF84F9ED2}" presName="horzTwo" presStyleCnt="0"/>
      <dgm:spPr/>
    </dgm:pt>
    <dgm:pt modelId="{AC8718DD-357D-48C8-A5DD-FAE034AD4948}" type="pres">
      <dgm:prSet presAssocID="{0976BE72-DA20-431E-B5B9-DD5ADC90A0C5}" presName="vertThree" presStyleCnt="0"/>
      <dgm:spPr/>
    </dgm:pt>
    <dgm:pt modelId="{DCBD27B0-5F54-4158-94F9-59299406E6F6}" type="pres">
      <dgm:prSet presAssocID="{0976BE72-DA20-431E-B5B9-DD5ADC90A0C5}" presName="txThree" presStyleLbl="node3" presStyleIdx="5" presStyleCnt="7">
        <dgm:presLayoutVars>
          <dgm:chPref val="3"/>
        </dgm:presLayoutVars>
      </dgm:prSet>
      <dgm:spPr/>
      <dgm:t>
        <a:bodyPr/>
        <a:lstStyle/>
        <a:p>
          <a:endParaRPr lang="en-US"/>
        </a:p>
      </dgm:t>
    </dgm:pt>
    <dgm:pt modelId="{9D4BAF47-A188-470F-9552-F2B5F42B4664}" type="pres">
      <dgm:prSet presAssocID="{0976BE72-DA20-431E-B5B9-DD5ADC90A0C5}" presName="horzThree" presStyleCnt="0"/>
      <dgm:spPr/>
    </dgm:pt>
    <dgm:pt modelId="{6ABA6C87-A8BC-4093-A832-24BB174C3D97}" type="pres">
      <dgm:prSet presAssocID="{BC163EBE-A3F6-4539-A8BE-92AFBC4CC2F8}" presName="sibSpaceOne" presStyleCnt="0"/>
      <dgm:spPr/>
    </dgm:pt>
    <dgm:pt modelId="{1312B95C-1C46-4756-8C62-7548118CA0ED}" type="pres">
      <dgm:prSet presAssocID="{45D0CAE5-C368-498C-9F13-4ABFEF0B5DC5}" presName="vertOne" presStyleCnt="0"/>
      <dgm:spPr/>
    </dgm:pt>
    <dgm:pt modelId="{167290C8-36B2-460E-96BC-588F118756B5}" type="pres">
      <dgm:prSet presAssocID="{45D0CAE5-C368-498C-9F13-4ABFEF0B5DC5}" presName="txOne" presStyleLbl="node0" presStyleIdx="3" presStyleCnt="4">
        <dgm:presLayoutVars>
          <dgm:chPref val="3"/>
        </dgm:presLayoutVars>
      </dgm:prSet>
      <dgm:spPr/>
      <dgm:t>
        <a:bodyPr/>
        <a:lstStyle/>
        <a:p>
          <a:endParaRPr lang="en-US"/>
        </a:p>
      </dgm:t>
    </dgm:pt>
    <dgm:pt modelId="{308296DB-D6EB-4A0D-A354-1A340B941709}" type="pres">
      <dgm:prSet presAssocID="{45D0CAE5-C368-498C-9F13-4ABFEF0B5DC5}" presName="parTransOne" presStyleCnt="0"/>
      <dgm:spPr/>
    </dgm:pt>
    <dgm:pt modelId="{7E0BD3DE-6A18-44FF-B8D5-E76851C3A968}" type="pres">
      <dgm:prSet presAssocID="{45D0CAE5-C368-498C-9F13-4ABFEF0B5DC5}" presName="horzOne" presStyleCnt="0"/>
      <dgm:spPr/>
    </dgm:pt>
    <dgm:pt modelId="{DB0BCF5C-7F65-4CBA-AA94-14F18AF85AFA}" type="pres">
      <dgm:prSet presAssocID="{E5CDC9CD-C432-48E8-89E7-A7218F29BB54}" presName="vertTwo" presStyleCnt="0"/>
      <dgm:spPr/>
    </dgm:pt>
    <dgm:pt modelId="{51E73329-8DE6-40FF-9E7B-10DE173896B3}" type="pres">
      <dgm:prSet presAssocID="{E5CDC9CD-C432-48E8-89E7-A7218F29BB54}" presName="txTwo" presStyleLbl="node2" presStyleIdx="6" presStyleCnt="7">
        <dgm:presLayoutVars>
          <dgm:chPref val="3"/>
        </dgm:presLayoutVars>
      </dgm:prSet>
      <dgm:spPr/>
      <dgm:t>
        <a:bodyPr/>
        <a:lstStyle/>
        <a:p>
          <a:endParaRPr lang="en-US"/>
        </a:p>
      </dgm:t>
    </dgm:pt>
    <dgm:pt modelId="{BBC36E42-173B-4383-971D-5A8C1B171EC8}" type="pres">
      <dgm:prSet presAssocID="{E5CDC9CD-C432-48E8-89E7-A7218F29BB54}" presName="parTransTwo" presStyleCnt="0"/>
      <dgm:spPr/>
    </dgm:pt>
    <dgm:pt modelId="{44F1E7AF-1C8D-45ED-82A6-D3D807AA08F3}" type="pres">
      <dgm:prSet presAssocID="{E5CDC9CD-C432-48E8-89E7-A7218F29BB54}" presName="horzTwo" presStyleCnt="0"/>
      <dgm:spPr/>
    </dgm:pt>
    <dgm:pt modelId="{816297AD-A309-44E1-99C4-A2FD814231B2}" type="pres">
      <dgm:prSet presAssocID="{0A91A153-63DA-4422-B08C-F0C6A6D6CCD4}" presName="vertThree" presStyleCnt="0"/>
      <dgm:spPr/>
    </dgm:pt>
    <dgm:pt modelId="{0565DBB7-33ED-46BB-B2A8-20C892D5106D}" type="pres">
      <dgm:prSet presAssocID="{0A91A153-63DA-4422-B08C-F0C6A6D6CCD4}" presName="txThree" presStyleLbl="node3" presStyleIdx="6" presStyleCnt="7">
        <dgm:presLayoutVars>
          <dgm:chPref val="3"/>
        </dgm:presLayoutVars>
      </dgm:prSet>
      <dgm:spPr/>
      <dgm:t>
        <a:bodyPr/>
        <a:lstStyle/>
        <a:p>
          <a:endParaRPr lang="en-US"/>
        </a:p>
      </dgm:t>
    </dgm:pt>
    <dgm:pt modelId="{6070D075-14E9-4EC9-8594-4FF5A3A931B4}" type="pres">
      <dgm:prSet presAssocID="{0A91A153-63DA-4422-B08C-F0C6A6D6CCD4}" presName="horzThree" presStyleCnt="0"/>
      <dgm:spPr/>
    </dgm:pt>
  </dgm:ptLst>
  <dgm:cxnLst>
    <dgm:cxn modelId="{6BB0B6D9-AD9E-4550-8406-A0E225D35DF4}" type="presOf" srcId="{6CCB4EDB-3B16-4B68-A99F-083A6CABFEA2}" destId="{A1AE7E06-FFFC-426A-92EC-35C676B23BE1}" srcOrd="0" destOrd="0" presId="urn:microsoft.com/office/officeart/2005/8/layout/hierarchy4"/>
    <dgm:cxn modelId="{DB5F9D7C-9E01-41A3-99CE-85E8A3E1CA3C}" type="presOf" srcId="{792AFEAB-7442-44AB-8430-38BFA9FDC342}" destId="{54EFC09C-79DC-4E42-92C2-CB5E7915125F}" srcOrd="0" destOrd="0" presId="urn:microsoft.com/office/officeart/2005/8/layout/hierarchy4"/>
    <dgm:cxn modelId="{08F40B58-26E9-42F0-B2E9-7BF3884A9FFE}" type="presOf" srcId="{057D3C4B-223E-4D95-99FA-AF4226B228D7}" destId="{CD9B98CB-F2DA-4599-BC17-795A5D408A84}" srcOrd="0" destOrd="0" presId="urn:microsoft.com/office/officeart/2005/8/layout/hierarchy4"/>
    <dgm:cxn modelId="{7DDBF502-2567-42E2-8352-BB266F8179EA}" srcId="{24291E98-64F9-4FBB-B0B9-C62815D8D9E3}" destId="{792AFEAB-7442-44AB-8430-38BFA9FDC342}" srcOrd="1" destOrd="0" parTransId="{088C5549-478E-481B-BFB3-77B54EAC9E02}" sibTransId="{81EC9168-1F73-46EF-912D-97B32C3E50EA}"/>
    <dgm:cxn modelId="{EE526CD1-1FDF-42F2-BEB4-0C1BF37BB4BF}" srcId="{F090803A-7C38-44ED-9F2A-D3D03C3576A2}" destId="{A5AAED83-FCAA-49E8-B360-BDDAB0CB38CF}" srcOrd="0" destOrd="0" parTransId="{8E39FD27-30E1-4DB0-88E1-F0B240E7F0BA}" sibTransId="{02BA4AA8-07D7-491A-9087-B3E298B9638E}"/>
    <dgm:cxn modelId="{F76E3A91-CD68-425C-9BBE-9F9956FADB22}" type="presOf" srcId="{C2A0CA2B-0F6D-41A3-8B70-F6B11159572F}" destId="{13D6B203-9550-4F11-B26D-6CE337104A6C}" srcOrd="0" destOrd="0" presId="urn:microsoft.com/office/officeart/2005/8/layout/hierarchy4"/>
    <dgm:cxn modelId="{28AB3696-FCB2-44D8-B120-9EECD0E3B82C}" type="presOf" srcId="{F090803A-7C38-44ED-9F2A-D3D03C3576A2}" destId="{7EF3D868-A190-4263-9487-52D678D30C78}" srcOrd="0" destOrd="0" presId="urn:microsoft.com/office/officeart/2005/8/layout/hierarchy4"/>
    <dgm:cxn modelId="{5040576C-95AF-4BD6-8AD3-3E549D4343C8}" type="presOf" srcId="{576CC295-4FEB-419E-ACEB-C15FF84F9ED2}" destId="{10A16395-41C7-40F3-8375-003662BFD0A7}" srcOrd="0" destOrd="0" presId="urn:microsoft.com/office/officeart/2005/8/layout/hierarchy4"/>
    <dgm:cxn modelId="{45842E3F-7DC2-4F51-9482-556B98109765}" type="presOf" srcId="{A5AAED83-FCAA-49E8-B360-BDDAB0CB38CF}" destId="{44D4704E-CED7-4F33-9653-FA4465230702}" srcOrd="0" destOrd="0" presId="urn:microsoft.com/office/officeart/2005/8/layout/hierarchy4"/>
    <dgm:cxn modelId="{B6109509-DB26-4B23-AEEB-BC73A67178C9}" type="presOf" srcId="{D36E5496-0448-487C-AA2E-FDBE295B30C8}" destId="{B0882BA2-AAE6-42D7-A513-8A9EE6D08C2A}" srcOrd="0" destOrd="0" presId="urn:microsoft.com/office/officeart/2005/8/layout/hierarchy4"/>
    <dgm:cxn modelId="{2D88B10C-6F06-4497-8A7E-F569E65D9B70}" type="presOf" srcId="{0976BE72-DA20-431E-B5B9-DD5ADC90A0C5}" destId="{DCBD27B0-5F54-4158-94F9-59299406E6F6}" srcOrd="0" destOrd="0" presId="urn:microsoft.com/office/officeart/2005/8/layout/hierarchy4"/>
    <dgm:cxn modelId="{3DCA49F6-92CF-4DE7-9EA6-12924104A5F0}" srcId="{C2A0CA2B-0F6D-41A3-8B70-F6B11159572F}" destId="{24291E98-64F9-4FBB-B0B9-C62815D8D9E3}" srcOrd="2" destOrd="0" parTransId="{AD69EA16-B406-4403-AF23-944B35393622}" sibTransId="{BC163EBE-A3F6-4539-A8BE-92AFBC4CC2F8}"/>
    <dgm:cxn modelId="{F6E00297-F8E0-40C0-AD8F-149F1CC5D0D7}" type="presOf" srcId="{82F8442F-13FF-4174-8E6A-2DF42A827B27}" destId="{C7EC7DBD-A5CE-4D9A-9F7F-3CB14FF3AC0D}" srcOrd="0" destOrd="0" presId="urn:microsoft.com/office/officeart/2005/8/layout/hierarchy4"/>
    <dgm:cxn modelId="{45C597D3-F23E-45D5-A1F9-E8034732089A}" type="presOf" srcId="{6B34F432-B16F-4A7D-BA4F-BF51300E6EF5}" destId="{4C44604C-0282-4898-B724-B1890CEF3C68}" srcOrd="0" destOrd="0" presId="urn:microsoft.com/office/officeart/2005/8/layout/hierarchy4"/>
    <dgm:cxn modelId="{A4953765-2418-427A-9775-D7A0B8B64706}" srcId="{792AFEAB-7442-44AB-8430-38BFA9FDC342}" destId="{057D3C4B-223E-4D95-99FA-AF4226B228D7}" srcOrd="0" destOrd="0" parTransId="{66A710E2-BAEF-4363-AEA7-B99B3E231F3E}" sibTransId="{2DB58F22-97A5-496D-A86D-360D6AC7D95C}"/>
    <dgm:cxn modelId="{AE894C9A-D8C8-40D9-B134-EA332481DD61}" srcId="{82F8442F-13FF-4174-8E6A-2DF42A827B27}" destId="{D53E096B-5C4B-470D-885D-07B00B37AA2B}" srcOrd="0" destOrd="0" parTransId="{43918AB7-091A-4926-B27A-4117BBE2D7D0}" sibTransId="{2E3596FB-495E-455A-9555-79D43D43D720}"/>
    <dgm:cxn modelId="{4C5D2E6A-B992-4F62-AEB2-571206348938}" srcId="{A5AAED83-FCAA-49E8-B360-BDDAB0CB38CF}" destId="{263E7E0D-9320-45EA-AA97-F2622F8C8C7C}" srcOrd="0" destOrd="0" parTransId="{DA14FECC-0ECC-4299-A70A-3AE5D42F9195}" sibTransId="{5D08D6C7-C46C-486F-956E-6ED433C6961A}"/>
    <dgm:cxn modelId="{A8D9B9FE-E19D-47E2-9FB9-12C0B3FD8B79}" srcId="{45D0CAE5-C368-498C-9F13-4ABFEF0B5DC5}" destId="{E5CDC9CD-C432-48E8-89E7-A7218F29BB54}" srcOrd="0" destOrd="0" parTransId="{EA59D294-BE77-4B7E-8745-045C9100CED7}" sibTransId="{8AD58230-0B39-4C02-B1C0-5D9EE410C638}"/>
    <dgm:cxn modelId="{B75A5A17-D357-4241-8BC7-90969FA341AF}" srcId="{C2A0CA2B-0F6D-41A3-8B70-F6B11159572F}" destId="{45D0CAE5-C368-498C-9F13-4ABFEF0B5DC5}" srcOrd="3" destOrd="0" parTransId="{C880C8FF-BB20-489A-AB37-84CE2F909B4D}" sibTransId="{16F93F97-7AB6-42D6-B1A5-CB2155FF82BA}"/>
    <dgm:cxn modelId="{CAFF02BD-D953-4E0E-BF3B-C6575807B34A}" srcId="{C2A0CA2B-0F6D-41A3-8B70-F6B11159572F}" destId="{6B34F432-B16F-4A7D-BA4F-BF51300E6EF5}" srcOrd="0" destOrd="0" parTransId="{EAB3E9D0-A435-4807-9C60-645D5D7B699C}" sibTransId="{893E6EA1-471D-4301-AF58-22FBDC194E24}"/>
    <dgm:cxn modelId="{C3399B5B-4FFF-4CC4-85D5-539B8FD80161}" srcId="{24291E98-64F9-4FBB-B0B9-C62815D8D9E3}" destId="{576CC295-4FEB-419E-ACEB-C15FF84F9ED2}" srcOrd="3" destOrd="0" parTransId="{481FF15F-E53D-4B11-8A1F-DCAC27397E71}" sibTransId="{4E8B7EFC-F8F8-4FCD-94F7-384B2822472B}"/>
    <dgm:cxn modelId="{A5BB6C37-3C1C-4C2A-8F70-1937CAFA86FA}" srcId="{D36E5496-0448-487C-AA2E-FDBE295B30C8}" destId="{1A0554C7-C069-48C7-BCF4-AE25D6CA3683}" srcOrd="0" destOrd="0" parTransId="{0CE70D22-09AD-4B0C-B869-71C89930004C}" sibTransId="{52BE3FB2-DD6D-49A8-A18C-0306A1B47C40}"/>
    <dgm:cxn modelId="{27D724D6-3262-4502-B592-5A7B9BFB6C42}" type="presOf" srcId="{0A91A153-63DA-4422-B08C-F0C6A6D6CCD4}" destId="{0565DBB7-33ED-46BB-B2A8-20C892D5106D}" srcOrd="0" destOrd="0" presId="urn:microsoft.com/office/officeart/2005/8/layout/hierarchy4"/>
    <dgm:cxn modelId="{3A27201F-E0F2-4363-8BE6-27E2A8F870F7}" srcId="{5DB8C981-2A69-4EF6-B7C9-CACFE32E7B3D}" destId="{6CCB4EDB-3B16-4B68-A99F-083A6CABFEA2}" srcOrd="0" destOrd="0" parTransId="{3710F97B-D888-4C2F-A09E-6AD2EAA40C71}" sibTransId="{A40484E6-BB21-45BC-9668-17F0EA616CE9}"/>
    <dgm:cxn modelId="{9CCB952D-1AF9-4574-9BE7-118DCD8FB503}" type="presOf" srcId="{24291E98-64F9-4FBB-B0B9-C62815D8D9E3}" destId="{91645516-F952-493D-A0B4-8DCAC174E684}" srcOrd="0" destOrd="0" presId="urn:microsoft.com/office/officeart/2005/8/layout/hierarchy4"/>
    <dgm:cxn modelId="{810B62CA-0B0A-49EA-849F-3A222D3E4A31}" srcId="{E5CDC9CD-C432-48E8-89E7-A7218F29BB54}" destId="{0A91A153-63DA-4422-B08C-F0C6A6D6CCD4}" srcOrd="0" destOrd="0" parTransId="{2CE37D0D-3BEC-4169-8630-BC314C2F32BC}" sibTransId="{1F081775-D82B-4FEF-BF50-224B2204A3A6}"/>
    <dgm:cxn modelId="{3D647794-67D6-4E8A-B512-F555240F0552}" srcId="{C2A0CA2B-0F6D-41A3-8B70-F6B11159572F}" destId="{F090803A-7C38-44ED-9F2A-D3D03C3576A2}" srcOrd="1" destOrd="0" parTransId="{914809D8-EC69-426E-9B61-4826E3629C29}" sibTransId="{DA292DAB-C3D3-4ACD-B90B-210FDDAD5A3A}"/>
    <dgm:cxn modelId="{4CEA3355-2C93-4AAF-95C0-6324C632D22C}" type="presOf" srcId="{D53E096B-5C4B-470D-885D-07B00B37AA2B}" destId="{1BD565CE-6408-40F5-BCD1-31CAA703CF64}" srcOrd="0" destOrd="0" presId="urn:microsoft.com/office/officeart/2005/8/layout/hierarchy4"/>
    <dgm:cxn modelId="{87801EF5-0B95-4E2E-961B-ACE600E1403D}" type="presOf" srcId="{E5CDC9CD-C432-48E8-89E7-A7218F29BB54}" destId="{51E73329-8DE6-40FF-9E7B-10DE173896B3}" srcOrd="0" destOrd="0" presId="urn:microsoft.com/office/officeart/2005/8/layout/hierarchy4"/>
    <dgm:cxn modelId="{7A8D301C-5DE5-4030-8CC2-92CA38FFEDC8}" srcId="{576CC295-4FEB-419E-ACEB-C15FF84F9ED2}" destId="{0976BE72-DA20-431E-B5B9-DD5ADC90A0C5}" srcOrd="0" destOrd="0" parTransId="{0A0219BD-5695-458A-BBCF-36021E21B786}" sibTransId="{7A17A80D-B23B-4FF8-AD0A-640037F23031}"/>
    <dgm:cxn modelId="{2C6CB795-66C7-43D1-B3B5-75DAACA8BB37}" type="presOf" srcId="{1A0554C7-C069-48C7-BCF4-AE25D6CA3683}" destId="{25261F33-98B1-4955-BD40-B139B9A2FD75}" srcOrd="0" destOrd="0" presId="urn:microsoft.com/office/officeart/2005/8/layout/hierarchy4"/>
    <dgm:cxn modelId="{4D552814-1BA4-40EE-A706-86D21FC62B40}" type="presOf" srcId="{263E7E0D-9320-45EA-AA97-F2622F8C8C7C}" destId="{AEED9145-5B29-45BB-AC41-329A44E3F632}" srcOrd="0" destOrd="0" presId="urn:microsoft.com/office/officeart/2005/8/layout/hierarchy4"/>
    <dgm:cxn modelId="{C49DB566-0F76-4728-A192-4CE91746BE07}" type="presOf" srcId="{5DB8C981-2A69-4EF6-B7C9-CACFE32E7B3D}" destId="{57930C17-5DCD-4F00-BE06-D53D3F2A659C}" srcOrd="0" destOrd="0" presId="urn:microsoft.com/office/officeart/2005/8/layout/hierarchy4"/>
    <dgm:cxn modelId="{3619A1FD-AB22-416E-85C3-9AE3F757C90B}" srcId="{24291E98-64F9-4FBB-B0B9-C62815D8D9E3}" destId="{D36E5496-0448-487C-AA2E-FDBE295B30C8}" srcOrd="0" destOrd="0" parTransId="{3B865D19-CF6E-4236-9C0F-C8D7A6E8885D}" sibTransId="{F08BB2FA-7003-434D-B39F-B6980481D79B}"/>
    <dgm:cxn modelId="{704EAFF3-B819-436E-B8A9-0D2DD9BDD9FB}" type="presOf" srcId="{45D0CAE5-C368-498C-9F13-4ABFEF0B5DC5}" destId="{167290C8-36B2-460E-96BC-588F118756B5}" srcOrd="0" destOrd="0" presId="urn:microsoft.com/office/officeart/2005/8/layout/hierarchy4"/>
    <dgm:cxn modelId="{0DA17CB4-F7FE-4FC5-A975-28CF3DBA3446}" srcId="{24291E98-64F9-4FBB-B0B9-C62815D8D9E3}" destId="{82F8442F-13FF-4174-8E6A-2DF42A827B27}" srcOrd="2" destOrd="0" parTransId="{5A262A45-9ECD-4B33-AC16-B2C774989B50}" sibTransId="{AFB661FA-E9B4-4687-BA8B-0B769E077529}"/>
    <dgm:cxn modelId="{0C17E0CF-4361-4767-9DCA-0C4617FFE54E}" srcId="{6B34F432-B16F-4A7D-BA4F-BF51300E6EF5}" destId="{5DB8C981-2A69-4EF6-B7C9-CACFE32E7B3D}" srcOrd="0" destOrd="0" parTransId="{69DF4931-4665-44A6-A7E8-5610EE20F3B4}" sibTransId="{A546FBF8-CE25-4A02-96F2-F9C66DDC6B83}"/>
    <dgm:cxn modelId="{15F794BB-A951-4869-BC8E-14A7814B9A0E}" type="presParOf" srcId="{13D6B203-9550-4F11-B26D-6CE337104A6C}" destId="{EF6160E0-0E9F-4755-94BD-959440B3CAD6}" srcOrd="0" destOrd="0" presId="urn:microsoft.com/office/officeart/2005/8/layout/hierarchy4"/>
    <dgm:cxn modelId="{F144AD84-AC26-4082-94C5-FEB8370830DC}" type="presParOf" srcId="{EF6160E0-0E9F-4755-94BD-959440B3CAD6}" destId="{4C44604C-0282-4898-B724-B1890CEF3C68}" srcOrd="0" destOrd="0" presId="urn:microsoft.com/office/officeart/2005/8/layout/hierarchy4"/>
    <dgm:cxn modelId="{06185FA2-C5CB-447C-B814-05507F949911}" type="presParOf" srcId="{EF6160E0-0E9F-4755-94BD-959440B3CAD6}" destId="{09F0961F-0F2C-401E-B4B6-0D702320C28F}" srcOrd="1" destOrd="0" presId="urn:microsoft.com/office/officeart/2005/8/layout/hierarchy4"/>
    <dgm:cxn modelId="{0812ECC1-990F-41AF-B5A3-29F895937EA9}" type="presParOf" srcId="{EF6160E0-0E9F-4755-94BD-959440B3CAD6}" destId="{7A369EE3-5202-43E6-8109-EAD9FCB75DC3}" srcOrd="2" destOrd="0" presId="urn:microsoft.com/office/officeart/2005/8/layout/hierarchy4"/>
    <dgm:cxn modelId="{B1F5DBE6-B935-4EBA-8EE0-B0A790CCB4E8}" type="presParOf" srcId="{7A369EE3-5202-43E6-8109-EAD9FCB75DC3}" destId="{4C5D4C4A-B71E-4D82-AEB5-0292E8C78C3D}" srcOrd="0" destOrd="0" presId="urn:microsoft.com/office/officeart/2005/8/layout/hierarchy4"/>
    <dgm:cxn modelId="{F2936D0C-A1A5-42D2-A3C6-992D27D169F8}" type="presParOf" srcId="{4C5D4C4A-B71E-4D82-AEB5-0292E8C78C3D}" destId="{57930C17-5DCD-4F00-BE06-D53D3F2A659C}" srcOrd="0" destOrd="0" presId="urn:microsoft.com/office/officeart/2005/8/layout/hierarchy4"/>
    <dgm:cxn modelId="{94739357-E5DF-4F57-AD49-2F979542E3F7}" type="presParOf" srcId="{4C5D4C4A-B71E-4D82-AEB5-0292E8C78C3D}" destId="{29A78D82-1236-4745-B622-F859D06C5532}" srcOrd="1" destOrd="0" presId="urn:microsoft.com/office/officeart/2005/8/layout/hierarchy4"/>
    <dgm:cxn modelId="{43B58E00-30AF-481B-A0C5-58011C9D5960}" type="presParOf" srcId="{4C5D4C4A-B71E-4D82-AEB5-0292E8C78C3D}" destId="{FFD6FC76-08D7-46E3-8F41-E4D9EF7A44A1}" srcOrd="2" destOrd="0" presId="urn:microsoft.com/office/officeart/2005/8/layout/hierarchy4"/>
    <dgm:cxn modelId="{2B7DB6DE-C88E-41A7-9399-9F159F59D3CE}" type="presParOf" srcId="{FFD6FC76-08D7-46E3-8F41-E4D9EF7A44A1}" destId="{40416CCB-B9E7-4857-B759-C53E2629C07B}" srcOrd="0" destOrd="0" presId="urn:microsoft.com/office/officeart/2005/8/layout/hierarchy4"/>
    <dgm:cxn modelId="{14891EEA-EC0D-4590-AA09-88FBD1CD8FC2}" type="presParOf" srcId="{40416CCB-B9E7-4857-B759-C53E2629C07B}" destId="{A1AE7E06-FFFC-426A-92EC-35C676B23BE1}" srcOrd="0" destOrd="0" presId="urn:microsoft.com/office/officeart/2005/8/layout/hierarchy4"/>
    <dgm:cxn modelId="{F341A812-36D5-4E6E-AF7A-1FDA942EAAF5}" type="presParOf" srcId="{40416CCB-B9E7-4857-B759-C53E2629C07B}" destId="{868EC233-1561-49A7-AF1A-629D200CEB80}" srcOrd="1" destOrd="0" presId="urn:microsoft.com/office/officeart/2005/8/layout/hierarchy4"/>
    <dgm:cxn modelId="{1B0F2801-3D62-4161-B55A-3340CFF2A569}" type="presParOf" srcId="{13D6B203-9550-4F11-B26D-6CE337104A6C}" destId="{F06F1EFB-6DA8-47E8-87E4-B9F10446B549}" srcOrd="1" destOrd="0" presId="urn:microsoft.com/office/officeart/2005/8/layout/hierarchy4"/>
    <dgm:cxn modelId="{F1F9E30A-72C0-4521-AFCD-9A9EF7C3E9E8}" type="presParOf" srcId="{13D6B203-9550-4F11-B26D-6CE337104A6C}" destId="{A186E98E-79FB-4BEE-A6BE-9815A3DA23D5}" srcOrd="2" destOrd="0" presId="urn:microsoft.com/office/officeart/2005/8/layout/hierarchy4"/>
    <dgm:cxn modelId="{F6C9CC56-6840-40F9-98CD-4DF4E1A8004F}" type="presParOf" srcId="{A186E98E-79FB-4BEE-A6BE-9815A3DA23D5}" destId="{7EF3D868-A190-4263-9487-52D678D30C78}" srcOrd="0" destOrd="0" presId="urn:microsoft.com/office/officeart/2005/8/layout/hierarchy4"/>
    <dgm:cxn modelId="{D228738B-8362-4EC4-ADCE-8BFF4C3E8E77}" type="presParOf" srcId="{A186E98E-79FB-4BEE-A6BE-9815A3DA23D5}" destId="{E7EC9FCD-6567-4C15-8498-E7F1E0905E0F}" srcOrd="1" destOrd="0" presId="urn:microsoft.com/office/officeart/2005/8/layout/hierarchy4"/>
    <dgm:cxn modelId="{C6878193-787F-44F4-B76B-536EECC228FB}" type="presParOf" srcId="{A186E98E-79FB-4BEE-A6BE-9815A3DA23D5}" destId="{D6381C23-1D9F-4192-B20C-F39A10797254}" srcOrd="2" destOrd="0" presId="urn:microsoft.com/office/officeart/2005/8/layout/hierarchy4"/>
    <dgm:cxn modelId="{709F3466-A4AE-4445-A325-3FF253155A76}" type="presParOf" srcId="{D6381C23-1D9F-4192-B20C-F39A10797254}" destId="{AA4D18A5-311C-490B-BBB5-7177AA3F3FEC}" srcOrd="0" destOrd="0" presId="urn:microsoft.com/office/officeart/2005/8/layout/hierarchy4"/>
    <dgm:cxn modelId="{64DA2904-6384-44C2-96E9-9FA776DD7ADB}" type="presParOf" srcId="{AA4D18A5-311C-490B-BBB5-7177AA3F3FEC}" destId="{44D4704E-CED7-4F33-9653-FA4465230702}" srcOrd="0" destOrd="0" presId="urn:microsoft.com/office/officeart/2005/8/layout/hierarchy4"/>
    <dgm:cxn modelId="{77635403-69C3-4B83-9343-DB0CC4F3674C}" type="presParOf" srcId="{AA4D18A5-311C-490B-BBB5-7177AA3F3FEC}" destId="{AD628D94-054E-485A-9B82-B10544E24E17}" srcOrd="1" destOrd="0" presId="urn:microsoft.com/office/officeart/2005/8/layout/hierarchy4"/>
    <dgm:cxn modelId="{4A5EB0F0-AB18-4666-B65B-1D5FADAA0D15}" type="presParOf" srcId="{AA4D18A5-311C-490B-BBB5-7177AA3F3FEC}" destId="{EF3D1728-A672-4BE0-A790-2DAEFE82BB48}" srcOrd="2" destOrd="0" presId="urn:microsoft.com/office/officeart/2005/8/layout/hierarchy4"/>
    <dgm:cxn modelId="{5383F784-27D9-4B26-AB18-77C1B4D0E1DC}" type="presParOf" srcId="{EF3D1728-A672-4BE0-A790-2DAEFE82BB48}" destId="{6BD81252-F3E7-4E46-80AA-C008FF882014}" srcOrd="0" destOrd="0" presId="urn:microsoft.com/office/officeart/2005/8/layout/hierarchy4"/>
    <dgm:cxn modelId="{584C0AA2-EDCE-49D3-AA9A-2C74FB597005}" type="presParOf" srcId="{6BD81252-F3E7-4E46-80AA-C008FF882014}" destId="{AEED9145-5B29-45BB-AC41-329A44E3F632}" srcOrd="0" destOrd="0" presId="urn:microsoft.com/office/officeart/2005/8/layout/hierarchy4"/>
    <dgm:cxn modelId="{B26083BF-EE9A-4259-8150-AC4C3F4E3A6F}" type="presParOf" srcId="{6BD81252-F3E7-4E46-80AA-C008FF882014}" destId="{9679BE67-F720-4300-BB8C-3FA601DF828D}" srcOrd="1" destOrd="0" presId="urn:microsoft.com/office/officeart/2005/8/layout/hierarchy4"/>
    <dgm:cxn modelId="{EC0EE55C-FBCA-4E2A-9089-D53AD3024656}" type="presParOf" srcId="{13D6B203-9550-4F11-B26D-6CE337104A6C}" destId="{5ACCE255-101C-4A9F-8723-6B43ADE533C6}" srcOrd="3" destOrd="0" presId="urn:microsoft.com/office/officeart/2005/8/layout/hierarchy4"/>
    <dgm:cxn modelId="{27D0355A-8E14-47F7-9073-D1718D71FF49}" type="presParOf" srcId="{13D6B203-9550-4F11-B26D-6CE337104A6C}" destId="{121D3204-B5F2-490D-82F3-1709923F2185}" srcOrd="4" destOrd="0" presId="urn:microsoft.com/office/officeart/2005/8/layout/hierarchy4"/>
    <dgm:cxn modelId="{E6C1A942-B7D3-423F-ADFB-BF24D71EB4F1}" type="presParOf" srcId="{121D3204-B5F2-490D-82F3-1709923F2185}" destId="{91645516-F952-493D-A0B4-8DCAC174E684}" srcOrd="0" destOrd="0" presId="urn:microsoft.com/office/officeart/2005/8/layout/hierarchy4"/>
    <dgm:cxn modelId="{D4CEA476-26E2-4D99-B1E4-3415BA91C16B}" type="presParOf" srcId="{121D3204-B5F2-490D-82F3-1709923F2185}" destId="{0E85C58D-CF47-4C92-97C6-8A26FC0A181A}" srcOrd="1" destOrd="0" presId="urn:microsoft.com/office/officeart/2005/8/layout/hierarchy4"/>
    <dgm:cxn modelId="{24E38B27-2743-4B82-877D-D1B15391A3C9}" type="presParOf" srcId="{121D3204-B5F2-490D-82F3-1709923F2185}" destId="{4C940B4C-4896-4614-B9E8-683EB5BA0ABD}" srcOrd="2" destOrd="0" presId="urn:microsoft.com/office/officeart/2005/8/layout/hierarchy4"/>
    <dgm:cxn modelId="{964F22E1-F06D-4976-9826-F0FEBBBBE6B9}" type="presParOf" srcId="{4C940B4C-4896-4614-B9E8-683EB5BA0ABD}" destId="{B516E547-B6A2-4325-9949-28A8532CD18C}" srcOrd="0" destOrd="0" presId="urn:microsoft.com/office/officeart/2005/8/layout/hierarchy4"/>
    <dgm:cxn modelId="{94F20C08-9F90-4692-B1A2-00B92453DB34}" type="presParOf" srcId="{B516E547-B6A2-4325-9949-28A8532CD18C}" destId="{B0882BA2-AAE6-42D7-A513-8A9EE6D08C2A}" srcOrd="0" destOrd="0" presId="urn:microsoft.com/office/officeart/2005/8/layout/hierarchy4"/>
    <dgm:cxn modelId="{E7F05A91-A761-4196-869F-F0AC65337FA5}" type="presParOf" srcId="{B516E547-B6A2-4325-9949-28A8532CD18C}" destId="{ADECEF56-8800-4C2D-89F8-BB6573390982}" srcOrd="1" destOrd="0" presId="urn:microsoft.com/office/officeart/2005/8/layout/hierarchy4"/>
    <dgm:cxn modelId="{870CD3DD-12F7-4167-94CA-0EB8A6B6B276}" type="presParOf" srcId="{B516E547-B6A2-4325-9949-28A8532CD18C}" destId="{4D7FFF4A-7356-4DCD-AD6A-10D563360818}" srcOrd="2" destOrd="0" presId="urn:microsoft.com/office/officeart/2005/8/layout/hierarchy4"/>
    <dgm:cxn modelId="{6E26302C-02A1-43FC-BE3E-6D614DAE6E80}" type="presParOf" srcId="{4D7FFF4A-7356-4DCD-AD6A-10D563360818}" destId="{10F07EA2-7CA9-4272-BA1E-20E1DDF0429A}" srcOrd="0" destOrd="0" presId="urn:microsoft.com/office/officeart/2005/8/layout/hierarchy4"/>
    <dgm:cxn modelId="{20DEFC6C-18D8-4720-B6AC-377CCB1E2209}" type="presParOf" srcId="{10F07EA2-7CA9-4272-BA1E-20E1DDF0429A}" destId="{25261F33-98B1-4955-BD40-B139B9A2FD75}" srcOrd="0" destOrd="0" presId="urn:microsoft.com/office/officeart/2005/8/layout/hierarchy4"/>
    <dgm:cxn modelId="{DAA33434-DCC0-475A-AE49-F564ACBC4F7B}" type="presParOf" srcId="{10F07EA2-7CA9-4272-BA1E-20E1DDF0429A}" destId="{6292504B-215C-4A61-B1D9-CE22A62C47BF}" srcOrd="1" destOrd="0" presId="urn:microsoft.com/office/officeart/2005/8/layout/hierarchy4"/>
    <dgm:cxn modelId="{4FB38305-C908-457B-BA59-EBFCC0F28136}" type="presParOf" srcId="{4C940B4C-4896-4614-B9E8-683EB5BA0ABD}" destId="{DAA5ABF0-5433-474E-B3C8-1D4B37C307E2}" srcOrd="1" destOrd="0" presId="urn:microsoft.com/office/officeart/2005/8/layout/hierarchy4"/>
    <dgm:cxn modelId="{38BB1084-4F46-413E-9A0D-65770D538E72}" type="presParOf" srcId="{4C940B4C-4896-4614-B9E8-683EB5BA0ABD}" destId="{8C314A18-0765-4AE2-BAC4-7A51575E558A}" srcOrd="2" destOrd="0" presId="urn:microsoft.com/office/officeart/2005/8/layout/hierarchy4"/>
    <dgm:cxn modelId="{0BDD0369-36CE-4FB0-9417-444AFC4408AD}" type="presParOf" srcId="{8C314A18-0765-4AE2-BAC4-7A51575E558A}" destId="{54EFC09C-79DC-4E42-92C2-CB5E7915125F}" srcOrd="0" destOrd="0" presId="urn:microsoft.com/office/officeart/2005/8/layout/hierarchy4"/>
    <dgm:cxn modelId="{35565B3A-C98D-4C4E-BC04-A7623C60DD43}" type="presParOf" srcId="{8C314A18-0765-4AE2-BAC4-7A51575E558A}" destId="{F073741C-944E-4E7F-B1D8-A140A8601DD4}" srcOrd="1" destOrd="0" presId="urn:microsoft.com/office/officeart/2005/8/layout/hierarchy4"/>
    <dgm:cxn modelId="{A1EB94F3-76A6-4C9D-90E1-6C91F4C3773E}" type="presParOf" srcId="{8C314A18-0765-4AE2-BAC4-7A51575E558A}" destId="{197E4303-1318-4AEC-9E24-AC34A38BFE76}" srcOrd="2" destOrd="0" presId="urn:microsoft.com/office/officeart/2005/8/layout/hierarchy4"/>
    <dgm:cxn modelId="{D1AE4300-977D-4FA2-BFF7-9F0CD56B8742}" type="presParOf" srcId="{197E4303-1318-4AEC-9E24-AC34A38BFE76}" destId="{CDEC8DCD-EE11-4018-B52E-7958BF196470}" srcOrd="0" destOrd="0" presId="urn:microsoft.com/office/officeart/2005/8/layout/hierarchy4"/>
    <dgm:cxn modelId="{FB6471FE-EED1-45DA-AEEA-87DD632560DB}" type="presParOf" srcId="{CDEC8DCD-EE11-4018-B52E-7958BF196470}" destId="{CD9B98CB-F2DA-4599-BC17-795A5D408A84}" srcOrd="0" destOrd="0" presId="urn:microsoft.com/office/officeart/2005/8/layout/hierarchy4"/>
    <dgm:cxn modelId="{51A11DE9-38F6-4DBE-B951-54A286070F46}" type="presParOf" srcId="{CDEC8DCD-EE11-4018-B52E-7958BF196470}" destId="{56A7AEF0-FB32-4164-B836-CFFCCF6E763E}" srcOrd="1" destOrd="0" presId="urn:microsoft.com/office/officeart/2005/8/layout/hierarchy4"/>
    <dgm:cxn modelId="{BB5A74D1-1044-457B-B6F0-39D134306978}" type="presParOf" srcId="{4C940B4C-4896-4614-B9E8-683EB5BA0ABD}" destId="{0D69A4A0-F61A-4E22-A478-0A6C07AE40A7}" srcOrd="3" destOrd="0" presId="urn:microsoft.com/office/officeart/2005/8/layout/hierarchy4"/>
    <dgm:cxn modelId="{FE55A984-EEEF-4264-8BC1-4829C8B8655F}" type="presParOf" srcId="{4C940B4C-4896-4614-B9E8-683EB5BA0ABD}" destId="{A6213283-32DD-4184-9B38-82B2BEED6FEB}" srcOrd="4" destOrd="0" presId="urn:microsoft.com/office/officeart/2005/8/layout/hierarchy4"/>
    <dgm:cxn modelId="{F51D552B-B85A-4852-828A-4D3B8C0FBAA3}" type="presParOf" srcId="{A6213283-32DD-4184-9B38-82B2BEED6FEB}" destId="{C7EC7DBD-A5CE-4D9A-9F7F-3CB14FF3AC0D}" srcOrd="0" destOrd="0" presId="urn:microsoft.com/office/officeart/2005/8/layout/hierarchy4"/>
    <dgm:cxn modelId="{3099F44D-BD76-4125-ABBC-19309B8C4A99}" type="presParOf" srcId="{A6213283-32DD-4184-9B38-82B2BEED6FEB}" destId="{E2D13B70-A785-4F7A-A743-D8ECB958C254}" srcOrd="1" destOrd="0" presId="urn:microsoft.com/office/officeart/2005/8/layout/hierarchy4"/>
    <dgm:cxn modelId="{7C78A9A8-E8BA-4982-A669-3DD6BC138CA5}" type="presParOf" srcId="{A6213283-32DD-4184-9B38-82B2BEED6FEB}" destId="{492D1ED0-3752-4E5D-818C-31801DA4E8FF}" srcOrd="2" destOrd="0" presId="urn:microsoft.com/office/officeart/2005/8/layout/hierarchy4"/>
    <dgm:cxn modelId="{6B030DCE-8141-4E47-A916-A115974E629B}" type="presParOf" srcId="{492D1ED0-3752-4E5D-818C-31801DA4E8FF}" destId="{1ACF7437-D7AA-4082-83E9-4A5D8FCA8DFB}" srcOrd="0" destOrd="0" presId="urn:microsoft.com/office/officeart/2005/8/layout/hierarchy4"/>
    <dgm:cxn modelId="{ACA30E22-CD49-4A6F-AD96-898A07C07C65}" type="presParOf" srcId="{1ACF7437-D7AA-4082-83E9-4A5D8FCA8DFB}" destId="{1BD565CE-6408-40F5-BCD1-31CAA703CF64}" srcOrd="0" destOrd="0" presId="urn:microsoft.com/office/officeart/2005/8/layout/hierarchy4"/>
    <dgm:cxn modelId="{068F55E3-CFE0-4BF9-80CE-6B66F1237443}" type="presParOf" srcId="{1ACF7437-D7AA-4082-83E9-4A5D8FCA8DFB}" destId="{ACD055F4-0501-4489-BDC0-28FEE16A5B59}" srcOrd="1" destOrd="0" presId="urn:microsoft.com/office/officeart/2005/8/layout/hierarchy4"/>
    <dgm:cxn modelId="{555E874C-9187-46DB-90CE-148820479FCB}" type="presParOf" srcId="{4C940B4C-4896-4614-B9E8-683EB5BA0ABD}" destId="{BFB40796-3276-4AC3-852E-0C23FA0E9D95}" srcOrd="5" destOrd="0" presId="urn:microsoft.com/office/officeart/2005/8/layout/hierarchy4"/>
    <dgm:cxn modelId="{FE4348C3-FFF2-4930-9A27-CDA169512275}" type="presParOf" srcId="{4C940B4C-4896-4614-B9E8-683EB5BA0ABD}" destId="{8069439A-082D-42E4-9BD5-1C9862D765DA}" srcOrd="6" destOrd="0" presId="urn:microsoft.com/office/officeart/2005/8/layout/hierarchy4"/>
    <dgm:cxn modelId="{0995FFE0-F684-4729-A356-62EC1F3AD216}" type="presParOf" srcId="{8069439A-082D-42E4-9BD5-1C9862D765DA}" destId="{10A16395-41C7-40F3-8375-003662BFD0A7}" srcOrd="0" destOrd="0" presId="urn:microsoft.com/office/officeart/2005/8/layout/hierarchy4"/>
    <dgm:cxn modelId="{A83028AA-E002-4E95-AB97-734E3C7ECC34}" type="presParOf" srcId="{8069439A-082D-42E4-9BD5-1C9862D765DA}" destId="{C11B5E63-37D4-4774-9C0D-6EB69FA30345}" srcOrd="1" destOrd="0" presId="urn:microsoft.com/office/officeart/2005/8/layout/hierarchy4"/>
    <dgm:cxn modelId="{F82FAA5C-0BBC-4A0B-BDF6-AB78C61605E0}" type="presParOf" srcId="{8069439A-082D-42E4-9BD5-1C9862D765DA}" destId="{375F7FB1-8D10-4DE3-8FA5-4C6FD1BA7B99}" srcOrd="2" destOrd="0" presId="urn:microsoft.com/office/officeart/2005/8/layout/hierarchy4"/>
    <dgm:cxn modelId="{7ECECDE0-49CE-45A7-9ACA-94781544F45F}" type="presParOf" srcId="{375F7FB1-8D10-4DE3-8FA5-4C6FD1BA7B99}" destId="{AC8718DD-357D-48C8-A5DD-FAE034AD4948}" srcOrd="0" destOrd="0" presId="urn:microsoft.com/office/officeart/2005/8/layout/hierarchy4"/>
    <dgm:cxn modelId="{C04EB7B5-080B-4DF3-91C2-EE6ABEE6F58A}" type="presParOf" srcId="{AC8718DD-357D-48C8-A5DD-FAE034AD4948}" destId="{DCBD27B0-5F54-4158-94F9-59299406E6F6}" srcOrd="0" destOrd="0" presId="urn:microsoft.com/office/officeart/2005/8/layout/hierarchy4"/>
    <dgm:cxn modelId="{93B624E5-234F-4D37-9135-AE6242DDB331}" type="presParOf" srcId="{AC8718DD-357D-48C8-A5DD-FAE034AD4948}" destId="{9D4BAF47-A188-470F-9552-F2B5F42B4664}" srcOrd="1" destOrd="0" presId="urn:microsoft.com/office/officeart/2005/8/layout/hierarchy4"/>
    <dgm:cxn modelId="{BDF6887E-FED8-4056-96A3-68B2D97A8BC3}" type="presParOf" srcId="{13D6B203-9550-4F11-B26D-6CE337104A6C}" destId="{6ABA6C87-A8BC-4093-A832-24BB174C3D97}" srcOrd="5" destOrd="0" presId="urn:microsoft.com/office/officeart/2005/8/layout/hierarchy4"/>
    <dgm:cxn modelId="{590780B9-A74E-4483-B4D2-9D5B27718F3B}" type="presParOf" srcId="{13D6B203-9550-4F11-B26D-6CE337104A6C}" destId="{1312B95C-1C46-4756-8C62-7548118CA0ED}" srcOrd="6" destOrd="0" presId="urn:microsoft.com/office/officeart/2005/8/layout/hierarchy4"/>
    <dgm:cxn modelId="{B30BE584-C588-44AC-8594-7AE1C7D48695}" type="presParOf" srcId="{1312B95C-1C46-4756-8C62-7548118CA0ED}" destId="{167290C8-36B2-460E-96BC-588F118756B5}" srcOrd="0" destOrd="0" presId="urn:microsoft.com/office/officeart/2005/8/layout/hierarchy4"/>
    <dgm:cxn modelId="{9BE57E26-DC7A-427A-B2C6-7BEF5E5024F3}" type="presParOf" srcId="{1312B95C-1C46-4756-8C62-7548118CA0ED}" destId="{308296DB-D6EB-4A0D-A354-1A340B941709}" srcOrd="1" destOrd="0" presId="urn:microsoft.com/office/officeart/2005/8/layout/hierarchy4"/>
    <dgm:cxn modelId="{2BEC51F0-FE55-4B84-B2D2-9DBDBC69D861}" type="presParOf" srcId="{1312B95C-1C46-4756-8C62-7548118CA0ED}" destId="{7E0BD3DE-6A18-44FF-B8D5-E76851C3A968}" srcOrd="2" destOrd="0" presId="urn:microsoft.com/office/officeart/2005/8/layout/hierarchy4"/>
    <dgm:cxn modelId="{16DD4650-E0C1-4B0E-9718-E199EBA821B5}" type="presParOf" srcId="{7E0BD3DE-6A18-44FF-B8D5-E76851C3A968}" destId="{DB0BCF5C-7F65-4CBA-AA94-14F18AF85AFA}" srcOrd="0" destOrd="0" presId="urn:microsoft.com/office/officeart/2005/8/layout/hierarchy4"/>
    <dgm:cxn modelId="{001C7154-2A50-4B54-A6D0-39CD674B4544}" type="presParOf" srcId="{DB0BCF5C-7F65-4CBA-AA94-14F18AF85AFA}" destId="{51E73329-8DE6-40FF-9E7B-10DE173896B3}" srcOrd="0" destOrd="0" presId="urn:microsoft.com/office/officeart/2005/8/layout/hierarchy4"/>
    <dgm:cxn modelId="{EA68CAFA-9AE6-41E1-A6D5-4A5B03F6E1BF}" type="presParOf" srcId="{DB0BCF5C-7F65-4CBA-AA94-14F18AF85AFA}" destId="{BBC36E42-173B-4383-971D-5A8C1B171EC8}" srcOrd="1" destOrd="0" presId="urn:microsoft.com/office/officeart/2005/8/layout/hierarchy4"/>
    <dgm:cxn modelId="{820E9AF0-29DC-497E-B412-280310E54EC6}" type="presParOf" srcId="{DB0BCF5C-7F65-4CBA-AA94-14F18AF85AFA}" destId="{44F1E7AF-1C8D-45ED-82A6-D3D807AA08F3}" srcOrd="2" destOrd="0" presId="urn:microsoft.com/office/officeart/2005/8/layout/hierarchy4"/>
    <dgm:cxn modelId="{204C5733-0FAF-428B-8AB3-15E63A558DFA}" type="presParOf" srcId="{44F1E7AF-1C8D-45ED-82A6-D3D807AA08F3}" destId="{816297AD-A309-44E1-99C4-A2FD814231B2}" srcOrd="0" destOrd="0" presId="urn:microsoft.com/office/officeart/2005/8/layout/hierarchy4"/>
    <dgm:cxn modelId="{E33112D6-EF6C-471D-B6D5-B63A5F2B47B9}" type="presParOf" srcId="{816297AD-A309-44E1-99C4-A2FD814231B2}" destId="{0565DBB7-33ED-46BB-B2A8-20C892D5106D}" srcOrd="0" destOrd="0" presId="urn:microsoft.com/office/officeart/2005/8/layout/hierarchy4"/>
    <dgm:cxn modelId="{79D0E6CA-1883-4FA4-ACBB-2FF02771B52D}" type="presParOf" srcId="{816297AD-A309-44E1-99C4-A2FD814231B2}" destId="{6070D075-14E9-4EC9-8594-4FF5A3A931B4}" srcOrd="1" destOrd="0" presId="urn:microsoft.com/office/officeart/2005/8/layout/hierarchy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44604C-0282-4898-B724-B1890CEF3C68}">
      <dsp:nvSpPr>
        <dsp:cNvPr id="0" name=""/>
        <dsp:cNvSpPr/>
      </dsp:nvSpPr>
      <dsp:spPr>
        <a:xfrm>
          <a:off x="557" y="1506"/>
          <a:ext cx="707231" cy="1001687"/>
        </a:xfrm>
        <a:prstGeom prst="roundRect">
          <a:avLst>
            <a:gd name="adj" fmla="val 10000"/>
          </a:avLst>
        </a:prstGeom>
        <a:solidFill>
          <a:schemeClr val="accent1">
            <a:shade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1" kern="1200"/>
            <a:t>REGULATORY STYLE</a:t>
          </a:r>
        </a:p>
      </dsp:txBody>
      <dsp:txXfrm>
        <a:off x="21271" y="22220"/>
        <a:ext cx="665803" cy="960259"/>
      </dsp:txXfrm>
    </dsp:sp>
    <dsp:sp modelId="{57930C17-5DCD-4F00-BE06-D53D3F2A659C}">
      <dsp:nvSpPr>
        <dsp:cNvPr id="0" name=""/>
        <dsp:cNvSpPr/>
      </dsp:nvSpPr>
      <dsp:spPr>
        <a:xfrm>
          <a:off x="557" y="1099356"/>
          <a:ext cx="707231" cy="1001687"/>
        </a:xfrm>
        <a:prstGeom prst="roundRect">
          <a:avLst>
            <a:gd name="adj" fmla="val 10000"/>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1" kern="1200"/>
            <a:t>ASSOCIATED PROCESSES</a:t>
          </a:r>
        </a:p>
      </dsp:txBody>
      <dsp:txXfrm>
        <a:off x="21271" y="1120070"/>
        <a:ext cx="665803" cy="960259"/>
      </dsp:txXfrm>
    </dsp:sp>
    <dsp:sp modelId="{A1AE7E06-FFFC-426A-92EC-35C676B23BE1}">
      <dsp:nvSpPr>
        <dsp:cNvPr id="0" name=""/>
        <dsp:cNvSpPr/>
      </dsp:nvSpPr>
      <dsp:spPr>
        <a:xfrm>
          <a:off x="557" y="2197205"/>
          <a:ext cx="707231" cy="1001687"/>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1" kern="1200"/>
            <a:t>PERCEIVED LOCUS OF CAUSALITY</a:t>
          </a:r>
        </a:p>
      </dsp:txBody>
      <dsp:txXfrm>
        <a:off x="21271" y="2217919"/>
        <a:ext cx="665803" cy="960259"/>
      </dsp:txXfrm>
    </dsp:sp>
    <dsp:sp modelId="{7EF3D868-A190-4263-9487-52D678D30C78}">
      <dsp:nvSpPr>
        <dsp:cNvPr id="0" name=""/>
        <dsp:cNvSpPr/>
      </dsp:nvSpPr>
      <dsp:spPr>
        <a:xfrm>
          <a:off x="826603" y="1506"/>
          <a:ext cx="707231" cy="1001687"/>
        </a:xfrm>
        <a:prstGeom prst="roundRect">
          <a:avLst>
            <a:gd name="adj" fmla="val 10000"/>
          </a:avLst>
        </a:prstGeom>
        <a:solidFill>
          <a:schemeClr val="accent1">
            <a:shade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b="1" kern="1200"/>
            <a:t>Amotivation</a:t>
          </a:r>
        </a:p>
      </dsp:txBody>
      <dsp:txXfrm>
        <a:off x="847317" y="22220"/>
        <a:ext cx="665803" cy="960259"/>
      </dsp:txXfrm>
    </dsp:sp>
    <dsp:sp modelId="{44D4704E-CED7-4F33-9653-FA4465230702}">
      <dsp:nvSpPr>
        <dsp:cNvPr id="0" name=""/>
        <dsp:cNvSpPr/>
      </dsp:nvSpPr>
      <dsp:spPr>
        <a:xfrm>
          <a:off x="826603" y="1099356"/>
          <a:ext cx="707231" cy="1001687"/>
        </a:xfrm>
        <a:prstGeom prst="roundRect">
          <a:avLst>
            <a:gd name="adj" fmla="val 10000"/>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b="1" kern="1200"/>
            <a:t>Perceived non-contingency </a:t>
          </a:r>
        </a:p>
        <a:p>
          <a:pPr lvl="0" algn="ctr" defTabSz="266700">
            <a:lnSpc>
              <a:spcPct val="90000"/>
            </a:lnSpc>
            <a:spcBef>
              <a:spcPct val="0"/>
            </a:spcBef>
            <a:spcAft>
              <a:spcPct val="35000"/>
            </a:spcAft>
          </a:pPr>
          <a:r>
            <a:rPr lang="en-GB" sz="600" b="1" kern="1200"/>
            <a:t>Low perceived competence</a:t>
          </a:r>
        </a:p>
        <a:p>
          <a:pPr lvl="0" algn="ctr" defTabSz="266700">
            <a:lnSpc>
              <a:spcPct val="90000"/>
            </a:lnSpc>
            <a:spcBef>
              <a:spcPct val="0"/>
            </a:spcBef>
            <a:spcAft>
              <a:spcPct val="35000"/>
            </a:spcAft>
          </a:pPr>
          <a:r>
            <a:rPr lang="en-GB" sz="600" b="1" kern="1200"/>
            <a:t>Nonrelevance</a:t>
          </a:r>
        </a:p>
        <a:p>
          <a:pPr lvl="0" algn="ctr" defTabSz="266700">
            <a:lnSpc>
              <a:spcPct val="90000"/>
            </a:lnSpc>
            <a:spcBef>
              <a:spcPct val="0"/>
            </a:spcBef>
            <a:spcAft>
              <a:spcPct val="35000"/>
            </a:spcAft>
          </a:pPr>
          <a:r>
            <a:rPr lang="en-GB" sz="600" b="1" kern="1200"/>
            <a:t> Nonintentionality</a:t>
          </a:r>
        </a:p>
      </dsp:txBody>
      <dsp:txXfrm>
        <a:off x="847317" y="1120070"/>
        <a:ext cx="665803" cy="960259"/>
      </dsp:txXfrm>
    </dsp:sp>
    <dsp:sp modelId="{AEED9145-5B29-45BB-AC41-329A44E3F632}">
      <dsp:nvSpPr>
        <dsp:cNvPr id="0" name=""/>
        <dsp:cNvSpPr/>
      </dsp:nvSpPr>
      <dsp:spPr>
        <a:xfrm>
          <a:off x="826603" y="2197205"/>
          <a:ext cx="707231" cy="1001687"/>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1" kern="1200"/>
            <a:t>Impersonal</a:t>
          </a:r>
        </a:p>
      </dsp:txBody>
      <dsp:txXfrm>
        <a:off x="847317" y="2217919"/>
        <a:ext cx="665803" cy="960259"/>
      </dsp:txXfrm>
    </dsp:sp>
    <dsp:sp modelId="{91645516-F952-493D-A0B4-8DCAC174E684}">
      <dsp:nvSpPr>
        <dsp:cNvPr id="0" name=""/>
        <dsp:cNvSpPr/>
      </dsp:nvSpPr>
      <dsp:spPr>
        <a:xfrm>
          <a:off x="1652649" y="1506"/>
          <a:ext cx="3007147" cy="1001687"/>
        </a:xfrm>
        <a:prstGeom prst="roundRect">
          <a:avLst>
            <a:gd name="adj" fmla="val 10000"/>
          </a:avLst>
        </a:prstGeom>
        <a:solidFill>
          <a:schemeClr val="accent1">
            <a:shade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b="1" kern="1200"/>
            <a:t>Extrinsic Motivation</a:t>
          </a:r>
        </a:p>
      </dsp:txBody>
      <dsp:txXfrm>
        <a:off x="1681987" y="30844"/>
        <a:ext cx="2948471" cy="943011"/>
      </dsp:txXfrm>
    </dsp:sp>
    <dsp:sp modelId="{B0882BA2-AAE6-42D7-A513-8A9EE6D08C2A}">
      <dsp:nvSpPr>
        <dsp:cNvPr id="0" name=""/>
        <dsp:cNvSpPr/>
      </dsp:nvSpPr>
      <dsp:spPr>
        <a:xfrm>
          <a:off x="1652649" y="1099356"/>
          <a:ext cx="707231" cy="1001687"/>
        </a:xfrm>
        <a:prstGeom prst="roundRect">
          <a:avLst>
            <a:gd name="adj" fmla="val 10000"/>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1" kern="1200"/>
            <a:t>External Regulation</a:t>
          </a:r>
        </a:p>
        <a:p>
          <a:pPr lvl="0" algn="ctr" defTabSz="355600">
            <a:lnSpc>
              <a:spcPct val="90000"/>
            </a:lnSpc>
            <a:spcBef>
              <a:spcPct val="0"/>
            </a:spcBef>
            <a:spcAft>
              <a:spcPct val="35000"/>
            </a:spcAft>
          </a:pPr>
          <a:endParaRPr lang="en-GB" sz="800" b="1" kern="1200"/>
        </a:p>
        <a:p>
          <a:pPr lvl="0" algn="ctr" defTabSz="355600">
            <a:lnSpc>
              <a:spcPct val="90000"/>
            </a:lnSpc>
            <a:spcBef>
              <a:spcPct val="0"/>
            </a:spcBef>
            <a:spcAft>
              <a:spcPct val="35000"/>
            </a:spcAft>
          </a:pPr>
          <a:r>
            <a:rPr lang="en-GB" sz="600" b="1" kern="1200"/>
            <a:t> </a:t>
          </a:r>
          <a:r>
            <a:rPr lang="en-GB" sz="600" b="0" kern="1200"/>
            <a:t>Salience of extrinsic rewards or punishments; Compliance/Reactance</a:t>
          </a:r>
          <a:endParaRPr lang="en-GB" sz="600" b="1" kern="1200"/>
        </a:p>
      </dsp:txBody>
      <dsp:txXfrm>
        <a:off x="1673363" y="1120070"/>
        <a:ext cx="665803" cy="960259"/>
      </dsp:txXfrm>
    </dsp:sp>
    <dsp:sp modelId="{25261F33-98B1-4955-BD40-B139B9A2FD75}">
      <dsp:nvSpPr>
        <dsp:cNvPr id="0" name=""/>
        <dsp:cNvSpPr/>
      </dsp:nvSpPr>
      <dsp:spPr>
        <a:xfrm>
          <a:off x="1652649" y="2197205"/>
          <a:ext cx="707231" cy="1001687"/>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External</a:t>
          </a:r>
        </a:p>
      </dsp:txBody>
      <dsp:txXfrm>
        <a:off x="1673363" y="2217919"/>
        <a:ext cx="665803" cy="960259"/>
      </dsp:txXfrm>
    </dsp:sp>
    <dsp:sp modelId="{54EFC09C-79DC-4E42-92C2-CB5E7915125F}">
      <dsp:nvSpPr>
        <dsp:cNvPr id="0" name=""/>
        <dsp:cNvSpPr/>
      </dsp:nvSpPr>
      <dsp:spPr>
        <a:xfrm>
          <a:off x="2419288" y="1099356"/>
          <a:ext cx="707231" cy="1001687"/>
        </a:xfrm>
        <a:prstGeom prst="roundRect">
          <a:avLst>
            <a:gd name="adj" fmla="val 10000"/>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1" kern="1200"/>
            <a:t>Introjection</a:t>
          </a:r>
        </a:p>
        <a:p>
          <a:pPr lvl="0" algn="ctr" defTabSz="355600">
            <a:lnSpc>
              <a:spcPct val="90000"/>
            </a:lnSpc>
            <a:spcBef>
              <a:spcPct val="0"/>
            </a:spcBef>
            <a:spcAft>
              <a:spcPct val="35000"/>
            </a:spcAft>
          </a:pPr>
          <a:endParaRPr lang="en-GB" sz="800" b="1" kern="1200"/>
        </a:p>
        <a:p>
          <a:pPr lvl="0" algn="ctr" defTabSz="355600">
            <a:lnSpc>
              <a:spcPct val="90000"/>
            </a:lnSpc>
            <a:spcBef>
              <a:spcPct val="0"/>
            </a:spcBef>
            <a:spcAft>
              <a:spcPct val="35000"/>
            </a:spcAft>
          </a:pPr>
          <a:r>
            <a:rPr lang="en-GB" sz="600" b="0" kern="1200"/>
            <a:t> Ego involvement</a:t>
          </a:r>
        </a:p>
        <a:p>
          <a:pPr lvl="0" algn="ctr" defTabSz="355600">
            <a:lnSpc>
              <a:spcPct val="90000"/>
            </a:lnSpc>
            <a:spcBef>
              <a:spcPct val="0"/>
            </a:spcBef>
            <a:spcAft>
              <a:spcPct val="35000"/>
            </a:spcAft>
          </a:pPr>
          <a:r>
            <a:rPr lang="en-GB" sz="600" b="0" kern="1200"/>
            <a:t> Focus on approval from self or others</a:t>
          </a:r>
        </a:p>
      </dsp:txBody>
      <dsp:txXfrm>
        <a:off x="2440002" y="1120070"/>
        <a:ext cx="665803" cy="960259"/>
      </dsp:txXfrm>
    </dsp:sp>
    <dsp:sp modelId="{CD9B98CB-F2DA-4599-BC17-795A5D408A84}">
      <dsp:nvSpPr>
        <dsp:cNvPr id="0" name=""/>
        <dsp:cNvSpPr/>
      </dsp:nvSpPr>
      <dsp:spPr>
        <a:xfrm>
          <a:off x="2419288" y="2197205"/>
          <a:ext cx="707231" cy="1001687"/>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Somewhat external</a:t>
          </a:r>
        </a:p>
      </dsp:txBody>
      <dsp:txXfrm>
        <a:off x="2440002" y="2217919"/>
        <a:ext cx="665803" cy="960259"/>
      </dsp:txXfrm>
    </dsp:sp>
    <dsp:sp modelId="{C7EC7DBD-A5CE-4D9A-9F7F-3CB14FF3AC0D}">
      <dsp:nvSpPr>
        <dsp:cNvPr id="0" name=""/>
        <dsp:cNvSpPr/>
      </dsp:nvSpPr>
      <dsp:spPr>
        <a:xfrm>
          <a:off x="3185926" y="1099356"/>
          <a:ext cx="707231" cy="1001687"/>
        </a:xfrm>
        <a:prstGeom prst="roundRect">
          <a:avLst>
            <a:gd name="adj" fmla="val 10000"/>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1" kern="1200"/>
            <a:t>Identification</a:t>
          </a:r>
        </a:p>
        <a:p>
          <a:pPr lvl="0" algn="ctr" defTabSz="355600">
            <a:lnSpc>
              <a:spcPct val="90000"/>
            </a:lnSpc>
            <a:spcBef>
              <a:spcPct val="0"/>
            </a:spcBef>
            <a:spcAft>
              <a:spcPct val="35000"/>
            </a:spcAft>
          </a:pPr>
          <a:endParaRPr lang="en-GB" sz="800" b="0" kern="1200"/>
        </a:p>
        <a:p>
          <a:pPr lvl="0" algn="ctr" defTabSz="355600">
            <a:lnSpc>
              <a:spcPct val="90000"/>
            </a:lnSpc>
            <a:spcBef>
              <a:spcPct val="0"/>
            </a:spcBef>
            <a:spcAft>
              <a:spcPct val="35000"/>
            </a:spcAft>
          </a:pPr>
          <a:r>
            <a:rPr lang="en-GB" sz="600" b="0" kern="1200"/>
            <a:t>Conscious valuing of activity</a:t>
          </a:r>
        </a:p>
        <a:p>
          <a:pPr lvl="0" algn="ctr" defTabSz="355600">
            <a:lnSpc>
              <a:spcPct val="90000"/>
            </a:lnSpc>
            <a:spcBef>
              <a:spcPct val="0"/>
            </a:spcBef>
            <a:spcAft>
              <a:spcPct val="35000"/>
            </a:spcAft>
          </a:pPr>
          <a:r>
            <a:rPr lang="en-GB" sz="600" b="0" kern="1200"/>
            <a:t>Self-endorsement of goals</a:t>
          </a:r>
        </a:p>
        <a:p>
          <a:pPr lvl="0" algn="ctr" defTabSz="355600">
            <a:lnSpc>
              <a:spcPct val="90000"/>
            </a:lnSpc>
            <a:spcBef>
              <a:spcPct val="0"/>
            </a:spcBef>
            <a:spcAft>
              <a:spcPct val="35000"/>
            </a:spcAft>
          </a:pPr>
          <a:endParaRPr lang="en-GB" sz="500" b="1" kern="1200"/>
        </a:p>
      </dsp:txBody>
      <dsp:txXfrm>
        <a:off x="3206640" y="1120070"/>
        <a:ext cx="665803" cy="960259"/>
      </dsp:txXfrm>
    </dsp:sp>
    <dsp:sp modelId="{1BD565CE-6408-40F5-BCD1-31CAA703CF64}">
      <dsp:nvSpPr>
        <dsp:cNvPr id="0" name=""/>
        <dsp:cNvSpPr/>
      </dsp:nvSpPr>
      <dsp:spPr>
        <a:xfrm>
          <a:off x="3185926" y="2197205"/>
          <a:ext cx="707231" cy="1001687"/>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Somewhat internal</a:t>
          </a:r>
        </a:p>
      </dsp:txBody>
      <dsp:txXfrm>
        <a:off x="3206640" y="2217919"/>
        <a:ext cx="665803" cy="960259"/>
      </dsp:txXfrm>
    </dsp:sp>
    <dsp:sp modelId="{10A16395-41C7-40F3-8375-003662BFD0A7}">
      <dsp:nvSpPr>
        <dsp:cNvPr id="0" name=""/>
        <dsp:cNvSpPr/>
      </dsp:nvSpPr>
      <dsp:spPr>
        <a:xfrm>
          <a:off x="3952565" y="1099356"/>
          <a:ext cx="707231" cy="1001687"/>
        </a:xfrm>
        <a:prstGeom prst="roundRect">
          <a:avLst>
            <a:gd name="adj" fmla="val 10000"/>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1" kern="1200"/>
            <a:t>Integration</a:t>
          </a:r>
        </a:p>
        <a:p>
          <a:pPr lvl="0" algn="ctr" defTabSz="355600">
            <a:lnSpc>
              <a:spcPct val="90000"/>
            </a:lnSpc>
            <a:spcBef>
              <a:spcPct val="0"/>
            </a:spcBef>
            <a:spcAft>
              <a:spcPct val="35000"/>
            </a:spcAft>
          </a:pPr>
          <a:endParaRPr lang="en-GB" sz="800" b="1" kern="1200"/>
        </a:p>
        <a:p>
          <a:pPr lvl="0" algn="ctr" defTabSz="355600">
            <a:lnSpc>
              <a:spcPct val="90000"/>
            </a:lnSpc>
            <a:spcBef>
              <a:spcPct val="0"/>
            </a:spcBef>
            <a:spcAft>
              <a:spcPct val="35000"/>
            </a:spcAft>
          </a:pPr>
          <a:r>
            <a:rPr lang="en-GB" sz="600" b="0" kern="1200"/>
            <a:t>Hierarchical</a:t>
          </a:r>
          <a:r>
            <a:rPr lang="en-GB" sz="500" b="0" kern="1200"/>
            <a:t> synthesis of goals</a:t>
          </a:r>
        </a:p>
        <a:p>
          <a:pPr lvl="0" algn="ctr" defTabSz="355600">
            <a:lnSpc>
              <a:spcPct val="90000"/>
            </a:lnSpc>
            <a:spcBef>
              <a:spcPct val="0"/>
            </a:spcBef>
            <a:spcAft>
              <a:spcPct val="35000"/>
            </a:spcAft>
          </a:pPr>
          <a:r>
            <a:rPr lang="en-GB" sz="500" b="0" kern="1200"/>
            <a:t>Congruence</a:t>
          </a:r>
          <a:endParaRPr lang="en-GB" sz="300" b="0" kern="1200"/>
        </a:p>
      </dsp:txBody>
      <dsp:txXfrm>
        <a:off x="3973279" y="1120070"/>
        <a:ext cx="665803" cy="960259"/>
      </dsp:txXfrm>
    </dsp:sp>
    <dsp:sp modelId="{DCBD27B0-5F54-4158-94F9-59299406E6F6}">
      <dsp:nvSpPr>
        <dsp:cNvPr id="0" name=""/>
        <dsp:cNvSpPr/>
      </dsp:nvSpPr>
      <dsp:spPr>
        <a:xfrm>
          <a:off x="3952565" y="2197205"/>
          <a:ext cx="707231" cy="1001687"/>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Internal</a:t>
          </a:r>
        </a:p>
      </dsp:txBody>
      <dsp:txXfrm>
        <a:off x="3973279" y="2217919"/>
        <a:ext cx="665803" cy="960259"/>
      </dsp:txXfrm>
    </dsp:sp>
    <dsp:sp modelId="{167290C8-36B2-460E-96BC-588F118756B5}">
      <dsp:nvSpPr>
        <dsp:cNvPr id="0" name=""/>
        <dsp:cNvSpPr/>
      </dsp:nvSpPr>
      <dsp:spPr>
        <a:xfrm>
          <a:off x="4778611" y="1506"/>
          <a:ext cx="707231" cy="1001687"/>
        </a:xfrm>
        <a:prstGeom prst="roundRect">
          <a:avLst>
            <a:gd name="adj" fmla="val 10000"/>
          </a:avLst>
        </a:prstGeom>
        <a:solidFill>
          <a:schemeClr val="accent1">
            <a:shade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b="1" kern="1200"/>
            <a:t>Intrinsic Motivation</a:t>
          </a:r>
        </a:p>
      </dsp:txBody>
      <dsp:txXfrm>
        <a:off x="4799325" y="22220"/>
        <a:ext cx="665803" cy="960259"/>
      </dsp:txXfrm>
    </dsp:sp>
    <dsp:sp modelId="{51E73329-8DE6-40FF-9E7B-10DE173896B3}">
      <dsp:nvSpPr>
        <dsp:cNvPr id="0" name=""/>
        <dsp:cNvSpPr/>
      </dsp:nvSpPr>
      <dsp:spPr>
        <a:xfrm>
          <a:off x="4778611" y="1099356"/>
          <a:ext cx="707231" cy="1001687"/>
        </a:xfrm>
        <a:prstGeom prst="roundRect">
          <a:avLst>
            <a:gd name="adj" fmla="val 10000"/>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Interest/Enjoyment Inherent satisfaction</a:t>
          </a:r>
        </a:p>
      </dsp:txBody>
      <dsp:txXfrm>
        <a:off x="4799325" y="1120070"/>
        <a:ext cx="665803" cy="960259"/>
      </dsp:txXfrm>
    </dsp:sp>
    <dsp:sp modelId="{0565DBB7-33ED-46BB-B2A8-20C892D5106D}">
      <dsp:nvSpPr>
        <dsp:cNvPr id="0" name=""/>
        <dsp:cNvSpPr/>
      </dsp:nvSpPr>
      <dsp:spPr>
        <a:xfrm>
          <a:off x="4778611" y="2197205"/>
          <a:ext cx="707231" cy="1001687"/>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Internal</a:t>
          </a:r>
        </a:p>
      </dsp:txBody>
      <dsp:txXfrm>
        <a:off x="4799325" y="2217919"/>
        <a:ext cx="665803" cy="96025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2ED9E-8F70-4586-BAFA-56FFDE47E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6957</Words>
  <Characters>39656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McKeown</dc:creator>
  <cp:lastModifiedBy>Becky Skoyles</cp:lastModifiedBy>
  <cp:revision>3</cp:revision>
  <cp:lastPrinted>2017-06-30T10:19:00Z</cp:lastPrinted>
  <dcterms:created xsi:type="dcterms:W3CDTF">2017-06-30T10:07:00Z</dcterms:created>
  <dcterms:modified xsi:type="dcterms:W3CDTF">2017-06-30T10:21:00Z</dcterms:modified>
</cp:coreProperties>
</file>