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B7" w:rsidRPr="00613946" w:rsidRDefault="00D903B7" w:rsidP="00A22E18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(Just) in time for the holidays</w:t>
      </w:r>
    </w:p>
    <w:p w:rsidR="00D903B7" w:rsidRDefault="00D903B7" w:rsidP="00D903B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Elaine Hall</w:t>
      </w:r>
    </w:p>
    <w:p w:rsidR="00D903B7" w:rsidRDefault="00D903B7" w:rsidP="00D903B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Northumbria University, UK</w:t>
      </w:r>
    </w:p>
    <w:p w:rsidR="00D903B7" w:rsidRDefault="00A22E18" w:rsidP="00D903B7">
      <w:pPr>
        <w:rPr>
          <w:rStyle w:val="Hyperlink"/>
          <w:rFonts w:ascii="Palatino Linotype" w:hAnsi="Palatino Linotype"/>
          <w:sz w:val="24"/>
          <w:szCs w:val="24"/>
        </w:rPr>
      </w:pPr>
      <w:hyperlink r:id="rId7" w:history="1">
        <w:r w:rsidR="00D903B7" w:rsidRPr="00935DD6">
          <w:rPr>
            <w:rStyle w:val="Hyperlink"/>
            <w:rFonts w:ascii="Palatino Linotype" w:hAnsi="Palatino Linotype"/>
            <w:sz w:val="24"/>
            <w:szCs w:val="24"/>
          </w:rPr>
          <w:t>Elaine.Hall@northumbria.ac.uk</w:t>
        </w:r>
      </w:hyperlink>
    </w:p>
    <w:p w:rsidR="00A22E18" w:rsidRDefault="00A22E18" w:rsidP="00D903B7">
      <w:pPr>
        <w:rPr>
          <w:rStyle w:val="Hyperlink"/>
          <w:rFonts w:ascii="Palatino Linotype" w:hAnsi="Palatino Linotype"/>
          <w:sz w:val="24"/>
          <w:szCs w:val="24"/>
        </w:rPr>
      </w:pPr>
    </w:p>
    <w:p w:rsidR="00D903B7" w:rsidRDefault="00D903B7" w:rsidP="00D903B7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This is the late-running November edition, delayed by leaves on the line/ the wrong kind of snow/ editorial inefficiency (take your pick!).  I know that the fantastic content will make up for the wait.</w:t>
      </w:r>
    </w:p>
    <w:p w:rsidR="00D903B7" w:rsidRDefault="00D903B7" w:rsidP="00D903B7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Leslie Wolf, Stacie Kershner and Lisa Bliss start us off with their exploration of how </w:t>
      </w: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>an innovative learning experience has supported students preparing to work in Health Law, a fascinating look at the alignment of demand from the job market, student need, tailored pedagogy and specialist knowledge.</w:t>
      </w:r>
    </w:p>
    <w:p w:rsidR="00D903B7" w:rsidRDefault="00D903B7" w:rsidP="00D903B7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This is followed by an important reflective piece on externships from Linda Smith, Jeff Giddings and Leah Wortham, looking across practice in the USA and Australia and distilling key </w:t>
      </w:r>
      <w:r w:rsidR="00D4227E">
        <w:rPr>
          <w:rFonts w:ascii="Palatino Linotype" w:hAnsi="Palatino Linotype"/>
          <w:sz w:val="24"/>
          <w:szCs w:val="24"/>
        </w:rPr>
        <w:t>considerations for clinicians in developing and maintaining effective externships.</w:t>
      </w:r>
    </w:p>
    <w:p w:rsidR="00D4227E" w:rsidRDefault="00D4227E" w:rsidP="00D903B7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We change scale but not theme with Larry Donnelly’s article on ‘disorienting moments’: recognising the individual and critical learning opportunities provided within clinical education and reflecting on how to recognise as teachers and convey to students these ‘moments of opportunity’.</w:t>
      </w:r>
    </w:p>
    <w:p w:rsidR="00D4227E" w:rsidRDefault="00D4227E" w:rsidP="00D903B7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We stay in Ireland for the first of our practice reports, in which Sinead Eaton demonstrates the use of a contract, not simply to understand and become proficient in that example but to extrapolate from that to a broader and more holistic view of the law.</w:t>
      </w:r>
    </w:p>
    <w:p w:rsidR="00D4227E" w:rsidRDefault="00D4227E" w:rsidP="00D903B7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 our second practice report, Cosmos Nike Nwedu gives us a rich account of the clinic at Ebonyi State University in Nigeria, describing the history and current practice as well as the impact on local communities.</w:t>
      </w:r>
    </w:p>
    <w:p w:rsidR="00865116" w:rsidRDefault="00D4227E" w:rsidP="00D903B7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As promised, </w:t>
      </w:r>
      <w:r w:rsidR="00865116">
        <w:rPr>
          <w:rFonts w:ascii="Palatino Linotype" w:hAnsi="Palatino Linotype"/>
          <w:sz w:val="24"/>
          <w:szCs w:val="24"/>
        </w:rPr>
        <w:t xml:space="preserve">I am highlighting some of our classic papers in the second Archive Dive.  Many of us are looking forward to a short break from the managerial aspects of clinic – dealing with competing demands, balancing accountability and action - and it is therefore comforting to recognise that we have been here before:  </w:t>
      </w:r>
      <w:hyperlink r:id="rId8" w:history="1">
        <w:r w:rsidR="00865116" w:rsidRPr="009B163B">
          <w:rPr>
            <w:rStyle w:val="Hyperlink"/>
            <w:rFonts w:ascii="Palatino Linotype" w:hAnsi="Palatino Linotype"/>
            <w:sz w:val="24"/>
            <w:szCs w:val="24"/>
          </w:rPr>
          <w:t xml:space="preserve">Volume </w:t>
        </w:r>
        <w:r w:rsidR="00865116">
          <w:rPr>
            <w:rStyle w:val="Hyperlink"/>
            <w:rFonts w:ascii="Palatino Linotype" w:hAnsi="Palatino Linotype"/>
            <w:sz w:val="24"/>
            <w:szCs w:val="24"/>
          </w:rPr>
          <w:t>6</w:t>
        </w:r>
      </w:hyperlink>
      <w:r w:rsidR="00865116">
        <w:rPr>
          <w:rFonts w:ascii="Palatino Linotype" w:hAnsi="Palatino Linotype"/>
          <w:sz w:val="24"/>
          <w:szCs w:val="24"/>
        </w:rPr>
        <w:t xml:space="preserve"> from 2004 has  papers on quality (Hugh Brayne and Adrian Evans) and context (Roy Stuckey and Martin Wilson), impact (Liz Curran) and management (Ross Hyams).  </w:t>
      </w:r>
    </w:p>
    <w:p w:rsidR="00737452" w:rsidRDefault="00DF30CA" w:rsidP="00DF30CA">
      <w:pPr>
        <w:spacing w:line="480" w:lineRule="auto"/>
        <w:jc w:val="both"/>
      </w:pPr>
      <w:r w:rsidRPr="00DF30CA">
        <w:rPr>
          <w:rFonts w:ascii="Palatino Linotype" w:hAnsi="Palatino Linotype"/>
          <w:sz w:val="24"/>
          <w:szCs w:val="24"/>
        </w:rPr>
        <w:t>We are delighted to be able to announce we are jointly holding the next IJCLE conference with Monash University in Melbourne</w:t>
      </w:r>
      <w:r>
        <w:rPr>
          <w:rFonts w:ascii="Palatino Linotype" w:hAnsi="Palatino Linotype"/>
          <w:sz w:val="24"/>
          <w:szCs w:val="24"/>
        </w:rPr>
        <w:t>,</w:t>
      </w:r>
      <w:r w:rsidRPr="00DF30CA">
        <w:rPr>
          <w:rFonts w:ascii="Palatino Linotype" w:hAnsi="Palatino Linotype"/>
          <w:sz w:val="24"/>
          <w:szCs w:val="24"/>
        </w:rPr>
        <w:t xml:space="preserve"> Australia </w:t>
      </w:r>
      <w:r>
        <w:rPr>
          <w:rFonts w:ascii="Palatino Linotype" w:hAnsi="Palatino Linotype"/>
          <w:sz w:val="24"/>
          <w:szCs w:val="24"/>
        </w:rPr>
        <w:t>on 28</w:t>
      </w:r>
      <w:r w:rsidRPr="00DF30CA">
        <w:rPr>
          <w:rFonts w:ascii="Palatino Linotype" w:hAnsi="Palatino Linotype"/>
          <w:sz w:val="24"/>
          <w:szCs w:val="24"/>
          <w:vertAlign w:val="superscript"/>
        </w:rPr>
        <w:t>th</w:t>
      </w:r>
      <w:r>
        <w:rPr>
          <w:rFonts w:ascii="Palatino Linotype" w:hAnsi="Palatino Linotype"/>
          <w:sz w:val="24"/>
          <w:szCs w:val="24"/>
        </w:rPr>
        <w:t>-30</w:t>
      </w:r>
      <w:r w:rsidRPr="00DF30CA">
        <w:rPr>
          <w:rFonts w:ascii="Palatino Linotype" w:hAnsi="Palatino Linotype"/>
          <w:sz w:val="24"/>
          <w:szCs w:val="24"/>
          <w:vertAlign w:val="superscript"/>
        </w:rPr>
        <w:t>th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DF30CA">
        <w:rPr>
          <w:rFonts w:ascii="Palatino Linotype" w:hAnsi="Palatino Linotype"/>
          <w:sz w:val="24"/>
          <w:szCs w:val="24"/>
        </w:rPr>
        <w:t xml:space="preserve">November </w:t>
      </w:r>
      <w:r>
        <w:rPr>
          <w:rFonts w:ascii="Palatino Linotype" w:hAnsi="Palatino Linotype"/>
          <w:sz w:val="24"/>
          <w:szCs w:val="24"/>
        </w:rPr>
        <w:t>2018</w:t>
      </w:r>
      <w:r w:rsidRPr="00DF30CA">
        <w:rPr>
          <w:rFonts w:ascii="Palatino Linotype" w:hAnsi="Palatino Linotype"/>
          <w:sz w:val="24"/>
          <w:szCs w:val="24"/>
        </w:rPr>
        <w:t xml:space="preserve">. </w:t>
      </w:r>
      <w:r>
        <w:rPr>
          <w:rFonts w:ascii="Palatino Linotype" w:hAnsi="Palatino Linotype"/>
          <w:sz w:val="24"/>
          <w:szCs w:val="24"/>
        </w:rPr>
        <w:t xml:space="preserve">  The theme of the conference is </w:t>
      </w:r>
      <w:r w:rsidRPr="00DF30CA">
        <w:rPr>
          <w:rFonts w:ascii="Palatino Linotype" w:hAnsi="Palatino Linotype"/>
          <w:b/>
          <w:i/>
          <w:sz w:val="24"/>
          <w:szCs w:val="24"/>
        </w:rPr>
        <w:t>‘Adding Value – How Clinics Contribute to Communities, Students and the Legal Profession’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DF30CA">
        <w:rPr>
          <w:rFonts w:ascii="Palatino Linotype" w:hAnsi="Palatino Linotype"/>
          <w:sz w:val="24"/>
          <w:szCs w:val="24"/>
        </w:rPr>
        <w:t>and a detailed call for papers will be hitting your inboxes very soon.</w:t>
      </w:r>
      <w:r>
        <w:rPr>
          <w:rFonts w:ascii="Palatino Linotype" w:hAnsi="Palatino Linotype"/>
          <w:sz w:val="24"/>
          <w:szCs w:val="24"/>
        </w:rPr>
        <w:t xml:space="preserve">  </w:t>
      </w:r>
      <w:r w:rsidRPr="00DF30CA">
        <w:rPr>
          <w:rFonts w:ascii="Palatino Linotype" w:hAnsi="Palatino Linotype"/>
          <w:sz w:val="24"/>
          <w:szCs w:val="24"/>
        </w:rPr>
        <w:t xml:space="preserve">It promises to be an excellent conference with the added bonus of the option to attend/submit a paper to the </w:t>
      </w:r>
      <w:hyperlink r:id="rId9" w:history="1">
        <w:r w:rsidRPr="00DF30CA">
          <w:rPr>
            <w:rStyle w:val="Hyperlink"/>
            <w:rFonts w:ascii="Palatino Linotype" w:hAnsi="Palatino Linotype"/>
            <w:sz w:val="24"/>
            <w:szCs w:val="24"/>
          </w:rPr>
          <w:t>International Legal Ethics Conference</w:t>
        </w:r>
      </w:hyperlink>
      <w:r w:rsidRPr="00DF30C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(6-8</w:t>
      </w:r>
      <w:r w:rsidRPr="00DF30CA">
        <w:rPr>
          <w:rFonts w:ascii="Palatino Linotype" w:hAnsi="Palatino Linotype"/>
          <w:sz w:val="24"/>
          <w:szCs w:val="24"/>
          <w:vertAlign w:val="superscript"/>
        </w:rPr>
        <w:t>th</w:t>
      </w:r>
      <w:r>
        <w:rPr>
          <w:rFonts w:ascii="Palatino Linotype" w:hAnsi="Palatino Linotype"/>
          <w:sz w:val="24"/>
          <w:szCs w:val="24"/>
        </w:rPr>
        <w:t xml:space="preserve"> December) </w:t>
      </w:r>
      <w:r w:rsidRPr="00DF30CA">
        <w:rPr>
          <w:rFonts w:ascii="Palatino Linotype" w:hAnsi="Palatino Linotype"/>
          <w:sz w:val="24"/>
          <w:szCs w:val="24"/>
        </w:rPr>
        <w:t>following shortly thereafter.</w:t>
      </w:r>
    </w:p>
    <w:sectPr w:rsidR="0073745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E18" w:rsidRDefault="00A22E18" w:rsidP="00A22E18">
      <w:pPr>
        <w:spacing w:after="0" w:line="240" w:lineRule="auto"/>
      </w:pPr>
      <w:r>
        <w:separator/>
      </w:r>
    </w:p>
  </w:endnote>
  <w:endnote w:type="continuationSeparator" w:id="0">
    <w:p w:rsidR="00A22E18" w:rsidRDefault="00A22E18" w:rsidP="00A2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92587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2E18" w:rsidRDefault="00A22E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2E18" w:rsidRDefault="00A22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E18" w:rsidRDefault="00A22E18" w:rsidP="00A22E18">
      <w:pPr>
        <w:spacing w:after="0" w:line="240" w:lineRule="auto"/>
      </w:pPr>
      <w:r>
        <w:separator/>
      </w:r>
    </w:p>
  </w:footnote>
  <w:footnote w:type="continuationSeparator" w:id="0">
    <w:p w:rsidR="00A22E18" w:rsidRDefault="00A22E18" w:rsidP="00A2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E18" w:rsidRPr="00A22E18" w:rsidRDefault="00A22E18">
    <w:pPr>
      <w:pStyle w:val="Header"/>
      <w:rPr>
        <w:rFonts w:ascii="Palatino Linotype" w:hAnsi="Palatino Linotype"/>
        <w:i/>
        <w:sz w:val="24"/>
        <w:szCs w:val="24"/>
      </w:rPr>
    </w:pPr>
    <w:r w:rsidRPr="00A22E18">
      <w:rPr>
        <w:rFonts w:ascii="Palatino Linotype" w:hAnsi="Palatino Linotype"/>
        <w:i/>
        <w:sz w:val="24"/>
        <w:szCs w:val="24"/>
      </w:rPr>
      <w:t>Editorial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A42DE"/>
    <w:multiLevelType w:val="hybridMultilevel"/>
    <w:tmpl w:val="02C4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B7"/>
    <w:rsid w:val="00737452"/>
    <w:rsid w:val="00865116"/>
    <w:rsid w:val="00A22E18"/>
    <w:rsid w:val="00BD0E77"/>
    <w:rsid w:val="00D4227E"/>
    <w:rsid w:val="00D903B7"/>
    <w:rsid w:val="00DF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03C5"/>
  <w15:chartTrackingRefBased/>
  <w15:docId w15:val="{726472B7-73BF-4B66-9168-B9833401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B7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3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18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1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umbriajournals.co.uk/index.php/ijcle/issue/view/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aine.Hall@northumbria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aol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Hall</dc:creator>
  <cp:keywords/>
  <dc:description/>
  <cp:lastModifiedBy>Paul Burns</cp:lastModifiedBy>
  <cp:revision>2</cp:revision>
  <dcterms:created xsi:type="dcterms:W3CDTF">2017-12-20T11:19:00Z</dcterms:created>
  <dcterms:modified xsi:type="dcterms:W3CDTF">2017-12-20T11:19:00Z</dcterms:modified>
</cp:coreProperties>
</file>