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23BB9" w14:textId="1B94789B" w:rsidR="00604718" w:rsidRPr="00E443AD" w:rsidRDefault="00E443AD" w:rsidP="00594606">
      <w:pPr>
        <w:spacing w:line="480" w:lineRule="auto"/>
        <w:rPr>
          <w:rFonts w:ascii="Palatino Linotype" w:hAnsi="Palatino Linotype"/>
          <w:sz w:val="28"/>
          <w:szCs w:val="28"/>
        </w:rPr>
      </w:pPr>
      <w:r w:rsidRPr="00E443AD">
        <w:rPr>
          <w:rFonts w:ascii="Palatino Linotype" w:hAnsi="Palatino Linotype"/>
          <w:sz w:val="28"/>
          <w:szCs w:val="28"/>
        </w:rPr>
        <w:t>A CONCENTRATED CERTIFICATE PROGRAM INCORPORATING EXPERIENTIAL EDUCATION:  HELPING STUDENTS PREPARE FOR A CAREER IN THE DYNAMIC AREA OF HEALTH LAW</w:t>
      </w:r>
    </w:p>
    <w:p w14:paraId="214A0A37" w14:textId="1F4317A4" w:rsidR="00604718" w:rsidRPr="00E443AD" w:rsidRDefault="00604718" w:rsidP="00CC7EFA">
      <w:pPr>
        <w:spacing w:line="480" w:lineRule="auto"/>
        <w:jc w:val="both"/>
        <w:rPr>
          <w:rFonts w:ascii="Palatino Linotype" w:hAnsi="Palatino Linotype"/>
          <w:lang w:val="de-DE"/>
        </w:rPr>
      </w:pPr>
      <w:r w:rsidRPr="00E443AD">
        <w:rPr>
          <w:rFonts w:ascii="Palatino Linotype" w:hAnsi="Palatino Linotype"/>
          <w:lang w:val="de-DE"/>
        </w:rPr>
        <w:t>Leslie E. Wolf, J.D., M.P.H.</w:t>
      </w:r>
      <w:r w:rsidR="00996233" w:rsidRPr="00E443AD">
        <w:rPr>
          <w:rFonts w:ascii="Palatino Linotype" w:hAnsi="Palatino Linotype"/>
          <w:lang w:val="de-DE"/>
        </w:rPr>
        <w:t xml:space="preserve"> (</w:t>
      </w:r>
      <w:hyperlink r:id="rId8" w:history="1">
        <w:r w:rsidR="00727E2F" w:rsidRPr="00E443AD">
          <w:rPr>
            <w:rStyle w:val="Hyperlink"/>
            <w:rFonts w:ascii="Palatino Linotype" w:hAnsi="Palatino Linotype"/>
            <w:lang w:val="de-DE"/>
          </w:rPr>
          <w:t>lwolf@gsu.edu</w:t>
        </w:r>
      </w:hyperlink>
      <w:r w:rsidR="00996233" w:rsidRPr="00E443AD">
        <w:rPr>
          <w:rFonts w:ascii="Palatino Linotype" w:hAnsi="Palatino Linotype"/>
          <w:lang w:val="de-DE"/>
        </w:rPr>
        <w:t>)</w:t>
      </w:r>
      <w:r w:rsidR="00E443AD">
        <w:rPr>
          <w:rStyle w:val="FootnoteReference"/>
          <w:rFonts w:ascii="Palatino Linotype" w:hAnsi="Palatino Linotype"/>
          <w:lang w:val="de-DE"/>
        </w:rPr>
        <w:footnoteReference w:id="1"/>
      </w:r>
      <w:r w:rsidR="00E443AD">
        <w:rPr>
          <w:rFonts w:ascii="Palatino Linotype" w:hAnsi="Palatino Linotype"/>
          <w:lang w:val="de-DE"/>
        </w:rPr>
        <w:t>*</w:t>
      </w:r>
    </w:p>
    <w:p w14:paraId="78FA336A" w14:textId="6F054E4D" w:rsidR="00727E2F" w:rsidRPr="00E443AD" w:rsidRDefault="00727E2F" w:rsidP="00CC7EFA">
      <w:pPr>
        <w:spacing w:line="480" w:lineRule="auto"/>
        <w:jc w:val="both"/>
        <w:rPr>
          <w:rFonts w:ascii="Palatino Linotype" w:hAnsi="Palatino Linotype"/>
          <w:lang w:val="de-DE"/>
        </w:rPr>
      </w:pPr>
      <w:r w:rsidRPr="00E443AD">
        <w:rPr>
          <w:rFonts w:ascii="Palatino Linotype" w:hAnsi="Palatino Linotype"/>
          <w:lang w:val="de-DE"/>
        </w:rPr>
        <w:t>Stacie Kershner, J.D. (skershner1@gsu.edu)</w:t>
      </w:r>
      <w:r w:rsidR="00E443AD">
        <w:rPr>
          <w:rFonts w:ascii="Palatino Linotype" w:hAnsi="Palatino Linotype"/>
          <w:lang w:val="de-DE"/>
        </w:rPr>
        <w:t>**</w:t>
      </w:r>
      <w:r w:rsidRPr="00E443AD">
        <w:rPr>
          <w:rFonts w:ascii="Palatino Linotype" w:hAnsi="Palatino Linotype"/>
          <w:lang w:val="de-DE"/>
        </w:rPr>
        <w:t xml:space="preserve"> </w:t>
      </w:r>
    </w:p>
    <w:p w14:paraId="3076A9F0" w14:textId="3EB3242B" w:rsidR="00604718" w:rsidRPr="00E443AD" w:rsidRDefault="00604718" w:rsidP="00CC7EFA">
      <w:pPr>
        <w:spacing w:line="480" w:lineRule="auto"/>
        <w:jc w:val="both"/>
        <w:rPr>
          <w:rFonts w:ascii="Palatino Linotype" w:hAnsi="Palatino Linotype"/>
          <w:lang w:val="fr-FR"/>
        </w:rPr>
      </w:pPr>
      <w:r w:rsidRPr="00E443AD">
        <w:rPr>
          <w:rFonts w:ascii="Palatino Linotype" w:hAnsi="Palatino Linotype"/>
          <w:lang w:val="fr-FR"/>
        </w:rPr>
        <w:t xml:space="preserve">Lisa </w:t>
      </w:r>
      <w:proofErr w:type="spellStart"/>
      <w:r w:rsidRPr="00E443AD">
        <w:rPr>
          <w:rFonts w:ascii="Palatino Linotype" w:hAnsi="Palatino Linotype"/>
          <w:lang w:val="fr-FR"/>
        </w:rPr>
        <w:t>Bliss</w:t>
      </w:r>
      <w:proofErr w:type="spellEnd"/>
      <w:r w:rsidRPr="00E443AD">
        <w:rPr>
          <w:rFonts w:ascii="Palatino Linotype" w:hAnsi="Palatino Linotype"/>
          <w:lang w:val="fr-FR"/>
        </w:rPr>
        <w:t>, J.D.</w:t>
      </w:r>
      <w:r w:rsidR="00996233" w:rsidRPr="00E443AD">
        <w:rPr>
          <w:rFonts w:ascii="Palatino Linotype" w:hAnsi="Palatino Linotype"/>
          <w:lang w:val="fr-FR"/>
        </w:rPr>
        <w:t xml:space="preserve"> (</w:t>
      </w:r>
      <w:proofErr w:type="gramStart"/>
      <w:r w:rsidR="00996233" w:rsidRPr="00E443AD">
        <w:rPr>
          <w:rFonts w:ascii="Palatino Linotype" w:hAnsi="Palatino Linotype"/>
          <w:lang w:val="fr-FR"/>
        </w:rPr>
        <w:t>lbliss@gsu.edu)</w:t>
      </w:r>
      <w:r w:rsidR="00E443AD">
        <w:rPr>
          <w:rFonts w:ascii="Palatino Linotype" w:hAnsi="Palatino Linotype"/>
          <w:lang w:val="fr-FR"/>
        </w:rPr>
        <w:t>*</w:t>
      </w:r>
      <w:proofErr w:type="gramEnd"/>
      <w:r w:rsidR="00E443AD">
        <w:rPr>
          <w:rFonts w:ascii="Palatino Linotype" w:hAnsi="Palatino Linotype"/>
          <w:lang w:val="fr-FR"/>
        </w:rPr>
        <w:t>**</w:t>
      </w:r>
    </w:p>
    <w:p w14:paraId="63F07A95" w14:textId="478F85ED" w:rsidR="00996233" w:rsidRPr="00E443AD" w:rsidRDefault="00996233" w:rsidP="00CC7EFA">
      <w:pPr>
        <w:spacing w:line="480" w:lineRule="auto"/>
        <w:jc w:val="both"/>
        <w:outlineLvl w:val="0"/>
        <w:rPr>
          <w:rFonts w:ascii="Palatino Linotype" w:hAnsi="Palatino Linotype"/>
        </w:rPr>
      </w:pPr>
      <w:r w:rsidRPr="00E443AD">
        <w:rPr>
          <w:rFonts w:ascii="Palatino Linotype" w:hAnsi="Palatino Linotype"/>
        </w:rPr>
        <w:t>Georgia State University College of Law</w:t>
      </w:r>
      <w:r w:rsidR="00E443AD">
        <w:rPr>
          <w:rFonts w:ascii="Palatino Linotype" w:hAnsi="Palatino Linotype"/>
        </w:rPr>
        <w:t>, USA</w:t>
      </w:r>
    </w:p>
    <w:p w14:paraId="4C1326EA" w14:textId="343915FF" w:rsidR="00604718" w:rsidRPr="00E443AD" w:rsidRDefault="00604718" w:rsidP="00E443AD">
      <w:pPr>
        <w:spacing w:line="360" w:lineRule="auto"/>
        <w:jc w:val="both"/>
        <w:rPr>
          <w:rFonts w:ascii="Palatino Linotype" w:hAnsi="Palatino Linotype"/>
        </w:rPr>
      </w:pPr>
      <w:r w:rsidRPr="00E443AD">
        <w:rPr>
          <w:rFonts w:ascii="Palatino Linotype" w:hAnsi="Palatino Linotype"/>
          <w:b/>
          <w:sz w:val="22"/>
          <w:szCs w:val="22"/>
        </w:rPr>
        <w:t>Acknowledgements:</w:t>
      </w:r>
      <w:r w:rsidRPr="00E443AD">
        <w:rPr>
          <w:rFonts w:ascii="Palatino Linotype" w:hAnsi="Palatino Linotype"/>
          <w:sz w:val="22"/>
          <w:szCs w:val="22"/>
        </w:rPr>
        <w:t xml:space="preserve"> This paper </w:t>
      </w:r>
      <w:r w:rsidR="00152DFF" w:rsidRPr="00E443AD">
        <w:rPr>
          <w:rFonts w:ascii="Palatino Linotype" w:hAnsi="Palatino Linotype"/>
          <w:sz w:val="22"/>
          <w:szCs w:val="22"/>
        </w:rPr>
        <w:t>relies on the history and research that was laid out in</w:t>
      </w:r>
      <w:r w:rsidRPr="00E443AD">
        <w:rPr>
          <w:rFonts w:ascii="Palatino Linotype" w:hAnsi="Palatino Linotype"/>
          <w:sz w:val="22"/>
          <w:szCs w:val="22"/>
        </w:rPr>
        <w:t xml:space="preserve"> the </w:t>
      </w:r>
      <w:r w:rsidR="002A2586" w:rsidRPr="00E443AD">
        <w:rPr>
          <w:rFonts w:ascii="Palatino Linotype" w:hAnsi="Palatino Linotype"/>
          <w:sz w:val="22"/>
          <w:szCs w:val="22"/>
        </w:rPr>
        <w:t xml:space="preserve">Health Law </w:t>
      </w:r>
      <w:r w:rsidRPr="00E443AD">
        <w:rPr>
          <w:rFonts w:ascii="Palatino Linotype" w:hAnsi="Palatino Linotype"/>
          <w:sz w:val="22"/>
          <w:szCs w:val="22"/>
        </w:rPr>
        <w:t>Certificate Proposal written by Professor Charity Scott</w:t>
      </w:r>
      <w:r w:rsidR="00996233" w:rsidRPr="00E443AD">
        <w:rPr>
          <w:rFonts w:ascii="Palatino Linotype" w:hAnsi="Palatino Linotype"/>
          <w:sz w:val="22"/>
          <w:szCs w:val="22"/>
        </w:rPr>
        <w:t xml:space="preserve"> and submitted </w:t>
      </w:r>
      <w:r w:rsidR="00152DFF" w:rsidRPr="00E443AD">
        <w:rPr>
          <w:rFonts w:ascii="Palatino Linotype" w:hAnsi="Palatino Linotype"/>
          <w:sz w:val="22"/>
          <w:szCs w:val="22"/>
        </w:rPr>
        <w:t xml:space="preserve">through </w:t>
      </w:r>
      <w:r w:rsidR="00996233" w:rsidRPr="00E443AD">
        <w:rPr>
          <w:rFonts w:ascii="Palatino Linotype" w:hAnsi="Palatino Linotype"/>
          <w:sz w:val="22"/>
          <w:szCs w:val="22"/>
        </w:rPr>
        <w:t xml:space="preserve">Georgia State University </w:t>
      </w:r>
      <w:r w:rsidR="00152DFF" w:rsidRPr="00E443AD">
        <w:rPr>
          <w:rFonts w:ascii="Palatino Linotype" w:hAnsi="Palatino Linotype"/>
          <w:sz w:val="22"/>
          <w:szCs w:val="22"/>
        </w:rPr>
        <w:t>for</w:t>
      </w:r>
      <w:r w:rsidR="00996233" w:rsidRPr="00E443AD">
        <w:rPr>
          <w:rFonts w:ascii="Palatino Linotype" w:hAnsi="Palatino Linotype"/>
          <w:sz w:val="22"/>
          <w:szCs w:val="22"/>
        </w:rPr>
        <w:t xml:space="preserve"> approv</w:t>
      </w:r>
      <w:r w:rsidR="00152DFF" w:rsidRPr="00E443AD">
        <w:rPr>
          <w:rFonts w:ascii="Palatino Linotype" w:hAnsi="Palatino Linotype"/>
          <w:sz w:val="22"/>
          <w:szCs w:val="22"/>
        </w:rPr>
        <w:t>al</w:t>
      </w:r>
      <w:r w:rsidR="00996233" w:rsidRPr="00E443AD">
        <w:rPr>
          <w:rFonts w:ascii="Palatino Linotype" w:hAnsi="Palatino Linotype"/>
          <w:sz w:val="22"/>
          <w:szCs w:val="22"/>
        </w:rPr>
        <w:t xml:space="preserve"> </w:t>
      </w:r>
      <w:r w:rsidR="00152DFF" w:rsidRPr="00E443AD">
        <w:rPr>
          <w:rFonts w:ascii="Palatino Linotype" w:hAnsi="Palatino Linotype"/>
          <w:sz w:val="22"/>
          <w:szCs w:val="22"/>
        </w:rPr>
        <w:t xml:space="preserve">of </w:t>
      </w:r>
      <w:r w:rsidR="00996233" w:rsidRPr="00E443AD">
        <w:rPr>
          <w:rFonts w:ascii="Palatino Linotype" w:hAnsi="Palatino Linotype"/>
          <w:sz w:val="22"/>
          <w:szCs w:val="22"/>
        </w:rPr>
        <w:t>the health law certificate</w:t>
      </w:r>
      <w:r w:rsidRPr="00E443AD">
        <w:rPr>
          <w:rFonts w:ascii="Palatino Linotype" w:hAnsi="Palatino Linotype"/>
          <w:sz w:val="22"/>
          <w:szCs w:val="22"/>
        </w:rPr>
        <w:t xml:space="preserve">. Professor Scott is the founding director of the Center for Health, Law &amp; Society at the Georgia State University College of Law and led efforts to create a health law certificate. </w:t>
      </w:r>
      <w:r w:rsidR="00152DFF" w:rsidRPr="00E443AD">
        <w:rPr>
          <w:rFonts w:ascii="Palatino Linotype" w:hAnsi="Palatino Linotype"/>
          <w:sz w:val="22"/>
          <w:szCs w:val="22"/>
        </w:rPr>
        <w:t xml:space="preserve">Without her vision, leadership, and efforts, there would be no health law certificate and, therefore, this paper would not exist. </w:t>
      </w:r>
      <w:r w:rsidRPr="00E443AD">
        <w:rPr>
          <w:rFonts w:ascii="Palatino Linotype" w:hAnsi="Palatino Linotype"/>
          <w:sz w:val="22"/>
          <w:szCs w:val="22"/>
        </w:rPr>
        <w:t xml:space="preserve">Christine Lee, a </w:t>
      </w:r>
      <w:r w:rsidR="002A2586" w:rsidRPr="00E443AD">
        <w:rPr>
          <w:rFonts w:ascii="Palatino Linotype" w:hAnsi="Palatino Linotype"/>
          <w:sz w:val="22"/>
          <w:szCs w:val="22"/>
        </w:rPr>
        <w:t xml:space="preserve">Georgia State Law </w:t>
      </w:r>
      <w:r w:rsidRPr="00E443AD">
        <w:rPr>
          <w:rFonts w:ascii="Palatino Linotype" w:hAnsi="Palatino Linotype"/>
          <w:sz w:val="22"/>
          <w:szCs w:val="22"/>
        </w:rPr>
        <w:t>student, helped with transforming the proposal into a paper and conducting supplemental research.</w:t>
      </w:r>
      <w:r w:rsidR="006D5E42" w:rsidRPr="00E443AD">
        <w:rPr>
          <w:rFonts w:ascii="Palatino Linotype" w:hAnsi="Palatino Linotype"/>
          <w:sz w:val="22"/>
          <w:szCs w:val="22"/>
        </w:rPr>
        <w:t xml:space="preserve"> Luke Don</w:t>
      </w:r>
      <w:r w:rsidR="00B65F0D" w:rsidRPr="00E443AD">
        <w:rPr>
          <w:rFonts w:ascii="Palatino Linotype" w:hAnsi="Palatino Linotype"/>
          <w:sz w:val="22"/>
          <w:szCs w:val="22"/>
        </w:rPr>
        <w:t>o</w:t>
      </w:r>
      <w:r w:rsidR="006D5E42" w:rsidRPr="00E443AD">
        <w:rPr>
          <w:rFonts w:ascii="Palatino Linotype" w:hAnsi="Palatino Linotype"/>
          <w:sz w:val="22"/>
          <w:szCs w:val="22"/>
        </w:rPr>
        <w:t xml:space="preserve">hue, a </w:t>
      </w:r>
      <w:r w:rsidR="002A2586" w:rsidRPr="00E443AD">
        <w:rPr>
          <w:rFonts w:ascii="Palatino Linotype" w:hAnsi="Palatino Linotype"/>
          <w:sz w:val="22"/>
          <w:szCs w:val="22"/>
        </w:rPr>
        <w:t>Georgia State L</w:t>
      </w:r>
      <w:r w:rsidR="006D5E42" w:rsidRPr="00E443AD">
        <w:rPr>
          <w:rFonts w:ascii="Palatino Linotype" w:hAnsi="Palatino Linotype"/>
          <w:sz w:val="22"/>
          <w:szCs w:val="22"/>
        </w:rPr>
        <w:t>aw student, provided additional research and critical feedback.</w:t>
      </w:r>
      <w:r w:rsidRPr="00E443AD">
        <w:rPr>
          <w:rFonts w:ascii="Palatino Linotype" w:hAnsi="Palatino Linotype"/>
          <w:sz w:val="22"/>
          <w:szCs w:val="22"/>
        </w:rPr>
        <w:t xml:space="preserve"> We are indebted to </w:t>
      </w:r>
      <w:r w:rsidR="006D5E42" w:rsidRPr="00E443AD">
        <w:rPr>
          <w:rFonts w:ascii="Palatino Linotype" w:hAnsi="Palatino Linotype"/>
          <w:sz w:val="22"/>
          <w:szCs w:val="22"/>
        </w:rPr>
        <w:t xml:space="preserve">each </w:t>
      </w:r>
      <w:r w:rsidRPr="00E443AD">
        <w:rPr>
          <w:rFonts w:ascii="Palatino Linotype" w:hAnsi="Palatino Linotype"/>
          <w:sz w:val="22"/>
          <w:szCs w:val="22"/>
        </w:rPr>
        <w:t>of them for their efforts</w:t>
      </w:r>
      <w:r w:rsidRPr="00E443AD">
        <w:rPr>
          <w:rFonts w:ascii="Palatino Linotype" w:hAnsi="Palatino Linotype"/>
        </w:rPr>
        <w:t xml:space="preserve">. </w:t>
      </w:r>
    </w:p>
    <w:p w14:paraId="0B427CF0" w14:textId="308A91E8" w:rsidR="00604718" w:rsidRPr="00E443AD" w:rsidRDefault="00CA0216" w:rsidP="00CC7EFA">
      <w:pPr>
        <w:spacing w:line="480" w:lineRule="auto"/>
        <w:jc w:val="both"/>
        <w:outlineLvl w:val="0"/>
        <w:rPr>
          <w:rFonts w:ascii="Palatino Linotype" w:hAnsi="Palatino Linotype"/>
          <w:b/>
        </w:rPr>
      </w:pPr>
      <w:r w:rsidRPr="00E443AD">
        <w:rPr>
          <w:rFonts w:ascii="Palatino Linotype" w:hAnsi="Palatino Linotype"/>
          <w:b/>
        </w:rPr>
        <w:lastRenderedPageBreak/>
        <w:t>Introduction</w:t>
      </w:r>
    </w:p>
    <w:p w14:paraId="6E328026" w14:textId="328366A0" w:rsidR="00B61C83" w:rsidRPr="00E443AD" w:rsidRDefault="00CA0216" w:rsidP="00CC7EFA">
      <w:pPr>
        <w:spacing w:line="480" w:lineRule="auto"/>
        <w:jc w:val="both"/>
        <w:rPr>
          <w:rFonts w:ascii="Palatino Linotype" w:hAnsi="Palatino Linotype"/>
        </w:rPr>
      </w:pPr>
      <w:r w:rsidRPr="00E443AD">
        <w:rPr>
          <w:rFonts w:ascii="Palatino Linotype" w:hAnsi="Palatino Linotype"/>
        </w:rPr>
        <w:t xml:space="preserve">As law </w:t>
      </w:r>
      <w:r w:rsidR="00877BBE" w:rsidRPr="00E443AD">
        <w:rPr>
          <w:rFonts w:ascii="Palatino Linotype" w:hAnsi="Palatino Linotype"/>
        </w:rPr>
        <w:t>practice</w:t>
      </w:r>
      <w:r w:rsidR="00F9644B" w:rsidRPr="00E443AD">
        <w:rPr>
          <w:rFonts w:ascii="Palatino Linotype" w:hAnsi="Palatino Linotype"/>
        </w:rPr>
        <w:t xml:space="preserve"> </w:t>
      </w:r>
      <w:r w:rsidRPr="00E443AD">
        <w:rPr>
          <w:rFonts w:ascii="Palatino Linotype" w:hAnsi="Palatino Linotype"/>
        </w:rPr>
        <w:t>become</w:t>
      </w:r>
      <w:r w:rsidR="00877BBE" w:rsidRPr="00E443AD">
        <w:rPr>
          <w:rFonts w:ascii="Palatino Linotype" w:hAnsi="Palatino Linotype"/>
        </w:rPr>
        <w:t>s</w:t>
      </w:r>
      <w:r w:rsidRPr="00E443AD">
        <w:rPr>
          <w:rFonts w:ascii="Palatino Linotype" w:hAnsi="Palatino Linotype"/>
        </w:rPr>
        <w:t xml:space="preserve"> both increasingly more complex and more specialized, </w:t>
      </w:r>
      <w:r w:rsidR="0040686E" w:rsidRPr="00E443AD">
        <w:rPr>
          <w:rFonts w:ascii="Palatino Linotype" w:hAnsi="Palatino Linotype"/>
        </w:rPr>
        <w:t xml:space="preserve">law </w:t>
      </w:r>
      <w:r w:rsidRPr="00E443AD">
        <w:rPr>
          <w:rFonts w:ascii="Palatino Linotype" w:hAnsi="Palatino Linotype"/>
        </w:rPr>
        <w:t xml:space="preserve">students </w:t>
      </w:r>
      <w:r w:rsidR="00955E56" w:rsidRPr="00E443AD">
        <w:rPr>
          <w:rFonts w:ascii="Palatino Linotype" w:hAnsi="Palatino Linotype"/>
        </w:rPr>
        <w:t xml:space="preserve">must choose </w:t>
      </w:r>
      <w:r w:rsidRPr="00E443AD">
        <w:rPr>
          <w:rFonts w:ascii="Palatino Linotype" w:hAnsi="Palatino Linotype"/>
        </w:rPr>
        <w:t xml:space="preserve">how to direct their course of study. </w:t>
      </w:r>
      <w:r w:rsidR="00877BBE" w:rsidRPr="00E443AD">
        <w:rPr>
          <w:rFonts w:ascii="Palatino Linotype" w:hAnsi="Palatino Linotype"/>
        </w:rPr>
        <w:t xml:space="preserve">In the U.S., </w:t>
      </w:r>
      <w:r w:rsidR="00F9644B" w:rsidRPr="00E443AD">
        <w:rPr>
          <w:rFonts w:ascii="Palatino Linotype" w:hAnsi="Palatino Linotype"/>
        </w:rPr>
        <w:t>p</w:t>
      </w:r>
      <w:r w:rsidR="00877BBE" w:rsidRPr="00E443AD">
        <w:rPr>
          <w:rFonts w:ascii="Palatino Linotype" w:hAnsi="Palatino Linotype"/>
        </w:rPr>
        <w:t xml:space="preserve">ractice in the area of health law, in particular, requires lawyers to be familiar with a wide range of federal, state, and administrative rules and regulations that affect all aspects of the healthcare industry.  </w:t>
      </w:r>
      <w:r w:rsidR="00B61C83" w:rsidRPr="00E443AD">
        <w:rPr>
          <w:rFonts w:ascii="Palatino Linotype" w:hAnsi="Palatino Linotype"/>
        </w:rPr>
        <w:t xml:space="preserve"> Lawyers practicing in this area also must be able to engage in complex processes and procedures to serve the needs of clients.  Law students who wish to practice in the area of health law must acquire knowledge, skills, and values that are necessary for them to have an understanding of the legal issues that challenge lawyers and that prepare them for life-long learning in this rapidly growing and changing industry.  This paper explores how a concentrated health law certificate program provides students a focused path through the law curriculum.  Not only does the program require students to take a range of health law courses, but students take multiple courses that incorporate experiential learning, including clinics, externships, and other courses that integrate clinical teaching methodology.  This article highlights the development of a health law certificate program, designed to guide students through the law curriculum to choose among the most beneficial courses for a health law practice.  </w:t>
      </w:r>
      <w:r w:rsidR="000473CE" w:rsidRPr="00E443AD">
        <w:rPr>
          <w:rFonts w:ascii="Palatino Linotype" w:hAnsi="Palatino Linotype"/>
        </w:rPr>
        <w:t>To</w:t>
      </w:r>
      <w:r w:rsidR="00B61C83" w:rsidRPr="00E443AD">
        <w:rPr>
          <w:rFonts w:ascii="Palatino Linotype" w:hAnsi="Palatino Linotype"/>
        </w:rPr>
        <w:t xml:space="preserve"> identify the necessary courses, health law faculty and health law practitioners first </w:t>
      </w:r>
      <w:r w:rsidR="00E42064" w:rsidRPr="00E443AD">
        <w:rPr>
          <w:rFonts w:ascii="Palatino Linotype" w:hAnsi="Palatino Linotype"/>
        </w:rPr>
        <w:t>explored the</w:t>
      </w:r>
      <w:r w:rsidR="00B61C83" w:rsidRPr="00E443AD">
        <w:rPr>
          <w:rFonts w:ascii="Palatino Linotype" w:hAnsi="Palatino Linotype"/>
        </w:rPr>
        <w:t xml:space="preserve"> knowledge, skills and values </w:t>
      </w:r>
      <w:r w:rsidR="00E42064" w:rsidRPr="00E443AD">
        <w:rPr>
          <w:rFonts w:ascii="Palatino Linotype" w:hAnsi="Palatino Linotype"/>
        </w:rPr>
        <w:t xml:space="preserve">that a successful health law practitioner needs.  </w:t>
      </w:r>
      <w:r w:rsidR="00B61C83" w:rsidRPr="00E443AD">
        <w:rPr>
          <w:rFonts w:ascii="Palatino Linotype" w:hAnsi="Palatino Linotype"/>
        </w:rPr>
        <w:t>This article also examines the process of develop</w:t>
      </w:r>
      <w:r w:rsidR="00E42064" w:rsidRPr="00E443AD">
        <w:rPr>
          <w:rFonts w:ascii="Palatino Linotype" w:hAnsi="Palatino Linotype"/>
        </w:rPr>
        <w:t>ing</w:t>
      </w:r>
      <w:r w:rsidR="00B61C83" w:rsidRPr="00E443AD">
        <w:rPr>
          <w:rFonts w:ascii="Palatino Linotype" w:hAnsi="Palatino Linotype"/>
        </w:rPr>
        <w:t xml:space="preserve"> and implement</w:t>
      </w:r>
      <w:r w:rsidR="00E42064" w:rsidRPr="00E443AD">
        <w:rPr>
          <w:rFonts w:ascii="Palatino Linotype" w:hAnsi="Palatino Linotype"/>
        </w:rPr>
        <w:t>ing</w:t>
      </w:r>
      <w:r w:rsidR="00B61C83" w:rsidRPr="00E443AD">
        <w:rPr>
          <w:rFonts w:ascii="Palatino Linotype" w:hAnsi="Palatino Linotype"/>
        </w:rPr>
        <w:t xml:space="preserve"> the certificate </w:t>
      </w:r>
      <w:r w:rsidR="00B61C83" w:rsidRPr="00E443AD">
        <w:rPr>
          <w:rFonts w:ascii="Palatino Linotype" w:hAnsi="Palatino Linotype"/>
        </w:rPr>
        <w:lastRenderedPageBreak/>
        <w:t>program</w:t>
      </w:r>
      <w:r w:rsidR="00E42064" w:rsidRPr="00E443AD">
        <w:rPr>
          <w:rFonts w:ascii="Palatino Linotype" w:hAnsi="Palatino Linotype"/>
        </w:rPr>
        <w:t>.  It also explores</w:t>
      </w:r>
      <w:r w:rsidR="00152DFF" w:rsidRPr="00E443AD">
        <w:rPr>
          <w:rFonts w:ascii="Palatino Linotype" w:hAnsi="Palatino Linotype"/>
        </w:rPr>
        <w:t xml:space="preserve"> </w:t>
      </w:r>
      <w:r w:rsidR="00B61C83" w:rsidRPr="00E443AD">
        <w:rPr>
          <w:rFonts w:ascii="Palatino Linotype" w:hAnsi="Palatino Linotype"/>
        </w:rPr>
        <w:t xml:space="preserve">how the integration of experiential learning into multiple courses required by the certificate allows students to gain insight into the practical realities of a variety of careers in health law and to direct their study in alignment with their chosen career path.  The involvement and integration of experiential learning as a strong component of the program allows clinical educators to have a positive impact on the overall curricular experience of students receiving the certificate.  Moreover, the infusion of clinical pedagogy throughout the health law curriculum benefits not only students who are enrolled in the certificate program but any </w:t>
      </w:r>
      <w:r w:rsidR="00E42064" w:rsidRPr="00E443AD">
        <w:rPr>
          <w:rFonts w:ascii="Palatino Linotype" w:hAnsi="Palatino Linotype"/>
        </w:rPr>
        <w:t xml:space="preserve">law </w:t>
      </w:r>
      <w:r w:rsidR="00B61C83" w:rsidRPr="00E443AD">
        <w:rPr>
          <w:rFonts w:ascii="Palatino Linotype" w:hAnsi="Palatino Linotype"/>
        </w:rPr>
        <w:t xml:space="preserve">student who elects to </w:t>
      </w:r>
      <w:r w:rsidR="00E42064" w:rsidRPr="00E443AD">
        <w:rPr>
          <w:rFonts w:ascii="Palatino Linotype" w:hAnsi="Palatino Linotype"/>
        </w:rPr>
        <w:t xml:space="preserve">enroll in any of </w:t>
      </w:r>
      <w:r w:rsidR="00B61C83" w:rsidRPr="00E443AD">
        <w:rPr>
          <w:rFonts w:ascii="Palatino Linotype" w:hAnsi="Palatino Linotype"/>
        </w:rPr>
        <w:t>the numerous health law courses.  The success of this focused curricular program demonstrates that this model is effective, can be adapted to other areas of law</w:t>
      </w:r>
      <w:r w:rsidR="00152DFF" w:rsidRPr="00E443AD">
        <w:rPr>
          <w:rFonts w:ascii="Palatino Linotype" w:hAnsi="Palatino Linotype"/>
        </w:rPr>
        <w:t>,</w:t>
      </w:r>
      <w:r w:rsidR="00B61C83" w:rsidRPr="00E443AD">
        <w:rPr>
          <w:rStyle w:val="FootnoteReference"/>
          <w:rFonts w:ascii="Palatino Linotype" w:hAnsi="Palatino Linotype"/>
        </w:rPr>
        <w:footnoteReference w:id="2"/>
      </w:r>
      <w:r w:rsidR="00B61C83" w:rsidRPr="00E443AD">
        <w:rPr>
          <w:rFonts w:ascii="Palatino Linotype" w:hAnsi="Palatino Linotype"/>
        </w:rPr>
        <w:t xml:space="preserve"> and provides a more coherent and integrated education for future law students who will become the practitioners of tomorrow. </w:t>
      </w:r>
    </w:p>
    <w:p w14:paraId="226B13F7" w14:textId="77777777" w:rsidR="00B61C83" w:rsidRPr="00E443AD" w:rsidRDefault="00B61C83" w:rsidP="00CC7EFA">
      <w:pPr>
        <w:spacing w:line="480" w:lineRule="auto"/>
        <w:jc w:val="both"/>
        <w:rPr>
          <w:rFonts w:ascii="Palatino Linotype" w:hAnsi="Palatino Linotype"/>
        </w:rPr>
      </w:pPr>
      <w:r w:rsidRPr="00E443AD">
        <w:rPr>
          <w:rFonts w:ascii="Palatino Linotype" w:hAnsi="Palatino Linotype"/>
          <w:b/>
        </w:rPr>
        <w:tab/>
      </w:r>
      <w:r w:rsidRPr="00E443AD">
        <w:rPr>
          <w:rFonts w:ascii="Palatino Linotype" w:hAnsi="Palatino Linotype"/>
        </w:rPr>
        <w:t xml:space="preserve"> </w:t>
      </w:r>
    </w:p>
    <w:p w14:paraId="06856B28" w14:textId="6FA7B867" w:rsidR="00075E4E" w:rsidRPr="00E443AD" w:rsidRDefault="00075E4E" w:rsidP="00CC7EFA">
      <w:pPr>
        <w:spacing w:line="480" w:lineRule="auto"/>
        <w:jc w:val="both"/>
        <w:outlineLvl w:val="0"/>
        <w:rPr>
          <w:rFonts w:ascii="Palatino Linotype" w:hAnsi="Palatino Linotype"/>
          <w:b/>
        </w:rPr>
      </w:pPr>
      <w:r w:rsidRPr="00E443AD">
        <w:rPr>
          <w:rFonts w:ascii="Palatino Linotype" w:hAnsi="Palatino Linotype"/>
          <w:b/>
        </w:rPr>
        <w:t>Background</w:t>
      </w:r>
    </w:p>
    <w:p w14:paraId="0E9C29A5" w14:textId="25CB6461" w:rsidR="0027440A" w:rsidRPr="00E443AD" w:rsidRDefault="00996233" w:rsidP="00E443AD">
      <w:pPr>
        <w:spacing w:line="480" w:lineRule="auto"/>
        <w:jc w:val="both"/>
        <w:rPr>
          <w:rFonts w:ascii="Palatino Linotype" w:hAnsi="Palatino Linotype"/>
        </w:rPr>
      </w:pPr>
      <w:r w:rsidRPr="00E443AD">
        <w:rPr>
          <w:rFonts w:ascii="Palatino Linotype" w:hAnsi="Palatino Linotype"/>
        </w:rPr>
        <w:t xml:space="preserve">In the United States, a law degree is a three-year post-graduate course of study. The first year typically is devoted to required courses covering a range of </w:t>
      </w:r>
      <w:r w:rsidR="00CA0216" w:rsidRPr="00E443AD">
        <w:rPr>
          <w:rFonts w:ascii="Palatino Linotype" w:hAnsi="Palatino Linotype"/>
        </w:rPr>
        <w:t xml:space="preserve">foundational </w:t>
      </w:r>
      <w:r w:rsidRPr="00E443AD">
        <w:rPr>
          <w:rFonts w:ascii="Palatino Linotype" w:hAnsi="Palatino Linotype"/>
        </w:rPr>
        <w:t xml:space="preserve">legal areas (e.g., torts, property, contracts, criminal law, and legal research and writing), whereas the </w:t>
      </w:r>
      <w:r w:rsidRPr="00E443AD">
        <w:rPr>
          <w:rFonts w:ascii="Palatino Linotype" w:hAnsi="Palatino Linotype"/>
        </w:rPr>
        <w:lastRenderedPageBreak/>
        <w:t xml:space="preserve">second and third years provide greater freedom for students to choose their course of study. There may be a few required courses (e.g., </w:t>
      </w:r>
      <w:r w:rsidR="005642BA" w:rsidRPr="00E443AD">
        <w:rPr>
          <w:rFonts w:ascii="Palatino Linotype" w:hAnsi="Palatino Linotype"/>
        </w:rPr>
        <w:t xml:space="preserve">Georgia State </w:t>
      </w:r>
      <w:r w:rsidRPr="00E443AD">
        <w:rPr>
          <w:rFonts w:ascii="Palatino Linotype" w:hAnsi="Palatino Linotype"/>
        </w:rPr>
        <w:t xml:space="preserve">law requires </w:t>
      </w:r>
      <w:r w:rsidR="00CA0216" w:rsidRPr="00E443AD">
        <w:rPr>
          <w:rFonts w:ascii="Palatino Linotype" w:hAnsi="Palatino Linotype"/>
        </w:rPr>
        <w:t xml:space="preserve">that all students take </w:t>
      </w:r>
      <w:r w:rsidRPr="00E443AD">
        <w:rPr>
          <w:rFonts w:ascii="Palatino Linotype" w:hAnsi="Palatino Linotype"/>
        </w:rPr>
        <w:t xml:space="preserve">a </w:t>
      </w:r>
      <w:r w:rsidR="00267DF4" w:rsidRPr="00E443AD">
        <w:rPr>
          <w:rFonts w:ascii="Palatino Linotype" w:hAnsi="Palatino Linotype"/>
        </w:rPr>
        <w:t>specialized course in litigation, “Lawyering:  Advocacy”</w:t>
      </w:r>
      <w:r w:rsidRPr="00E443AD">
        <w:rPr>
          <w:rFonts w:ascii="Palatino Linotype" w:hAnsi="Palatino Linotype"/>
        </w:rPr>
        <w:t xml:space="preserve">) and recommended courses (e.g., topics that are </w:t>
      </w:r>
      <w:r w:rsidR="00CA0216" w:rsidRPr="00E443AD">
        <w:rPr>
          <w:rFonts w:ascii="Palatino Linotype" w:hAnsi="Palatino Linotype"/>
        </w:rPr>
        <w:t xml:space="preserve">tested </w:t>
      </w:r>
      <w:r w:rsidRPr="00E443AD">
        <w:rPr>
          <w:rFonts w:ascii="Palatino Linotype" w:hAnsi="Palatino Linotype"/>
        </w:rPr>
        <w:t>on the bar</w:t>
      </w:r>
      <w:r w:rsidR="00CA0216" w:rsidRPr="00E443AD">
        <w:rPr>
          <w:rFonts w:ascii="Palatino Linotype" w:hAnsi="Palatino Linotype"/>
        </w:rPr>
        <w:t xml:space="preserve"> exam, a necessary precursor to licensure</w:t>
      </w:r>
      <w:r w:rsidRPr="00E443AD">
        <w:rPr>
          <w:rFonts w:ascii="Palatino Linotype" w:hAnsi="Palatino Linotype"/>
        </w:rPr>
        <w:t xml:space="preserve">), but, overall, the </w:t>
      </w:r>
      <w:r w:rsidR="00EB5208" w:rsidRPr="00E443AD">
        <w:rPr>
          <w:rFonts w:ascii="Palatino Linotype" w:hAnsi="Palatino Linotype"/>
        </w:rPr>
        <w:t xml:space="preserve">second and third year </w:t>
      </w:r>
      <w:r w:rsidRPr="00E443AD">
        <w:rPr>
          <w:rFonts w:ascii="Palatino Linotype" w:hAnsi="Palatino Linotype"/>
        </w:rPr>
        <w:t xml:space="preserve">curriculum is </w:t>
      </w:r>
      <w:r w:rsidR="00A45FAF" w:rsidRPr="00E443AD">
        <w:rPr>
          <w:rFonts w:ascii="Palatino Linotype" w:hAnsi="Palatino Linotype"/>
        </w:rPr>
        <w:t>primarily</w:t>
      </w:r>
      <w:r w:rsidRPr="00E443AD">
        <w:rPr>
          <w:rFonts w:ascii="Palatino Linotype" w:hAnsi="Palatino Linotype"/>
        </w:rPr>
        <w:t xml:space="preserve"> directed by student choices. </w:t>
      </w:r>
      <w:r w:rsidR="00267DF4" w:rsidRPr="00E443AD">
        <w:rPr>
          <w:rFonts w:ascii="Palatino Linotype" w:hAnsi="Palatino Linotype"/>
        </w:rPr>
        <w:t xml:space="preserve">Students may base their choices on disparate factors ranging from area of interest, scheduling convenience, or affinity for a particular professor.  </w:t>
      </w:r>
      <w:r w:rsidRPr="00E443AD">
        <w:rPr>
          <w:rFonts w:ascii="Palatino Linotype" w:hAnsi="Palatino Linotype"/>
        </w:rPr>
        <w:t>This relatively unfocused approach</w:t>
      </w:r>
      <w:r w:rsidR="00CA0216" w:rsidRPr="00E443AD">
        <w:rPr>
          <w:rFonts w:ascii="Palatino Linotype" w:hAnsi="Palatino Linotype"/>
        </w:rPr>
        <w:t xml:space="preserve"> is largely</w:t>
      </w:r>
      <w:r w:rsidR="00383A19" w:rsidRPr="00E443AD">
        <w:rPr>
          <w:rFonts w:ascii="Palatino Linotype" w:hAnsi="Palatino Linotype"/>
        </w:rPr>
        <w:t xml:space="preserve"> </w:t>
      </w:r>
      <w:r w:rsidRPr="00E443AD">
        <w:rPr>
          <w:rFonts w:ascii="Palatino Linotype" w:hAnsi="Palatino Linotype"/>
        </w:rPr>
        <w:t xml:space="preserve">unchanged from the model Langdell introduced at Harvard </w:t>
      </w:r>
      <w:r w:rsidR="00CA0216" w:rsidRPr="00E443AD">
        <w:rPr>
          <w:rFonts w:ascii="Palatino Linotype" w:hAnsi="Palatino Linotype"/>
        </w:rPr>
        <w:t xml:space="preserve">Law School </w:t>
      </w:r>
      <w:r w:rsidRPr="00E443AD">
        <w:rPr>
          <w:rFonts w:ascii="Palatino Linotype" w:hAnsi="Palatino Linotype"/>
        </w:rPr>
        <w:t xml:space="preserve">over 100 years ago, </w:t>
      </w:r>
      <w:r w:rsidR="00CA0216" w:rsidRPr="00E443AD">
        <w:rPr>
          <w:rFonts w:ascii="Palatino Linotype" w:hAnsi="Palatino Linotype"/>
        </w:rPr>
        <w:t xml:space="preserve">and </w:t>
      </w:r>
      <w:r w:rsidRPr="00E443AD">
        <w:rPr>
          <w:rFonts w:ascii="Palatino Linotype" w:hAnsi="Palatino Linotype"/>
        </w:rPr>
        <w:t xml:space="preserve">has </w:t>
      </w:r>
      <w:r w:rsidR="0027440A" w:rsidRPr="00E443AD">
        <w:rPr>
          <w:rFonts w:ascii="Palatino Linotype" w:hAnsi="Palatino Linotype"/>
        </w:rPr>
        <w:t xml:space="preserve">been the subject of substantial criticism </w:t>
      </w:r>
      <w:r w:rsidR="00196D62" w:rsidRPr="00E443AD">
        <w:rPr>
          <w:rFonts w:ascii="Palatino Linotype" w:hAnsi="Palatino Linotype"/>
        </w:rPr>
        <w:t xml:space="preserve">and calls for reform </w:t>
      </w:r>
      <w:r w:rsidR="0027440A" w:rsidRPr="00E443AD">
        <w:rPr>
          <w:rFonts w:ascii="Palatino Linotype" w:hAnsi="Palatino Linotype"/>
        </w:rPr>
        <w:t>in recent years.</w:t>
      </w:r>
      <w:r w:rsidR="00EB5208" w:rsidRPr="00E443AD">
        <w:rPr>
          <w:rStyle w:val="FootnoteReference"/>
          <w:rFonts w:ascii="Palatino Linotype" w:hAnsi="Palatino Linotype"/>
        </w:rPr>
        <w:footnoteReference w:id="3"/>
      </w:r>
      <w:r w:rsidR="00EB5208" w:rsidRPr="00E443AD">
        <w:rPr>
          <w:rFonts w:ascii="Palatino Linotype" w:hAnsi="Palatino Linotype"/>
        </w:rPr>
        <w:t xml:space="preserve"> </w:t>
      </w:r>
      <w:r w:rsidR="0027440A" w:rsidRPr="00E443AD">
        <w:rPr>
          <w:rFonts w:ascii="Palatino Linotype" w:hAnsi="Palatino Linotype"/>
        </w:rPr>
        <w:t xml:space="preserve"> Proposed </w:t>
      </w:r>
      <w:r w:rsidR="00CA0216" w:rsidRPr="00E443AD">
        <w:rPr>
          <w:rFonts w:ascii="Palatino Linotype" w:hAnsi="Palatino Linotype"/>
        </w:rPr>
        <w:t xml:space="preserve">legal education </w:t>
      </w:r>
      <w:r w:rsidR="0027440A" w:rsidRPr="00E443AD">
        <w:rPr>
          <w:rFonts w:ascii="Palatino Linotype" w:hAnsi="Palatino Linotype"/>
        </w:rPr>
        <w:t>reforms have included calls for the elimination of the third year</w:t>
      </w:r>
      <w:r w:rsidR="005642BA" w:rsidRPr="00E443AD">
        <w:rPr>
          <w:rStyle w:val="FootnoteReference"/>
          <w:rFonts w:ascii="Palatino Linotype" w:hAnsi="Palatino Linotype"/>
        </w:rPr>
        <w:footnoteReference w:id="4"/>
      </w:r>
      <w:r w:rsidR="0027440A" w:rsidRPr="00E443AD">
        <w:rPr>
          <w:rFonts w:ascii="Palatino Linotype" w:hAnsi="Palatino Linotype"/>
        </w:rPr>
        <w:t xml:space="preserve"> but </w:t>
      </w:r>
      <w:r w:rsidR="00334DB3" w:rsidRPr="00E443AD">
        <w:rPr>
          <w:rFonts w:ascii="Palatino Linotype" w:hAnsi="Palatino Linotype"/>
        </w:rPr>
        <w:t xml:space="preserve">mostly </w:t>
      </w:r>
      <w:r w:rsidR="0027440A" w:rsidRPr="00E443AD">
        <w:rPr>
          <w:rFonts w:ascii="Palatino Linotype" w:hAnsi="Palatino Linotype"/>
        </w:rPr>
        <w:t xml:space="preserve">have focused on providing more coherence to the </w:t>
      </w:r>
      <w:r w:rsidR="00E42064" w:rsidRPr="00E443AD">
        <w:rPr>
          <w:rFonts w:ascii="Palatino Linotype" w:hAnsi="Palatino Linotype"/>
        </w:rPr>
        <w:t xml:space="preserve">three year </w:t>
      </w:r>
      <w:r w:rsidR="0027440A" w:rsidRPr="00E443AD">
        <w:rPr>
          <w:rFonts w:ascii="Palatino Linotype" w:hAnsi="Palatino Linotype"/>
        </w:rPr>
        <w:t>course of study</w:t>
      </w:r>
      <w:r w:rsidR="0071621E" w:rsidRPr="00E443AD">
        <w:rPr>
          <w:rFonts w:ascii="Palatino Linotype" w:hAnsi="Palatino Linotype"/>
        </w:rPr>
        <w:t>.</w:t>
      </w:r>
      <w:r w:rsidR="00EB5208" w:rsidRPr="00E443AD">
        <w:rPr>
          <w:rStyle w:val="FootnoteReference"/>
          <w:rFonts w:ascii="Palatino Linotype" w:hAnsi="Palatino Linotype"/>
        </w:rPr>
        <w:footnoteReference w:id="5"/>
      </w:r>
      <w:r w:rsidR="0071621E" w:rsidRPr="00E443AD">
        <w:rPr>
          <w:rFonts w:ascii="Palatino Linotype" w:hAnsi="Palatino Linotype"/>
        </w:rPr>
        <w:t xml:space="preserve"> </w:t>
      </w:r>
    </w:p>
    <w:p w14:paraId="5F4AAFF9" w14:textId="4B049A5D" w:rsidR="0071621E" w:rsidRPr="00E443AD" w:rsidRDefault="0027440A" w:rsidP="00E443AD">
      <w:pPr>
        <w:spacing w:line="480" w:lineRule="auto"/>
        <w:jc w:val="both"/>
        <w:rPr>
          <w:rFonts w:ascii="Palatino Linotype" w:hAnsi="Palatino Linotype"/>
        </w:rPr>
      </w:pPr>
      <w:r w:rsidRPr="00E443AD">
        <w:rPr>
          <w:rFonts w:ascii="Palatino Linotype" w:hAnsi="Palatino Linotype"/>
        </w:rPr>
        <w:lastRenderedPageBreak/>
        <w:t>The move for reform has been advanced by</w:t>
      </w:r>
      <w:r w:rsidR="00C81BC6" w:rsidRPr="00E443AD">
        <w:rPr>
          <w:rFonts w:ascii="Palatino Linotype" w:hAnsi="Palatino Linotype"/>
        </w:rPr>
        <w:t xml:space="preserve"> </w:t>
      </w:r>
      <w:r w:rsidRPr="00E443AD">
        <w:rPr>
          <w:rFonts w:ascii="Palatino Linotype" w:hAnsi="Palatino Linotype"/>
        </w:rPr>
        <w:t>influential reports</w:t>
      </w:r>
      <w:r w:rsidR="00C81BC6" w:rsidRPr="00E443AD">
        <w:rPr>
          <w:rFonts w:ascii="Palatino Linotype" w:hAnsi="Palatino Linotype"/>
        </w:rPr>
        <w:t xml:space="preserve">, books and commentary </w:t>
      </w:r>
      <w:r w:rsidRPr="00E443AD">
        <w:rPr>
          <w:rFonts w:ascii="Palatino Linotype" w:hAnsi="Palatino Linotype"/>
        </w:rPr>
        <w:t xml:space="preserve">over the last decade, including </w:t>
      </w:r>
      <w:r w:rsidRPr="00E443AD">
        <w:rPr>
          <w:rFonts w:ascii="Palatino Linotype" w:hAnsi="Palatino Linotype"/>
          <w:i/>
        </w:rPr>
        <w:t>Best Practices</w:t>
      </w:r>
      <w:r w:rsidR="002A2586" w:rsidRPr="00E443AD">
        <w:rPr>
          <w:rFonts w:ascii="Palatino Linotype" w:hAnsi="Palatino Linotype"/>
          <w:i/>
        </w:rPr>
        <w:t>,</w:t>
      </w:r>
      <w:r w:rsidRPr="00E443AD">
        <w:rPr>
          <w:rFonts w:ascii="Palatino Linotype" w:hAnsi="Palatino Linotype"/>
          <w:i/>
        </w:rPr>
        <w:t xml:space="preserve"> </w:t>
      </w:r>
      <w:r w:rsidRPr="00E443AD">
        <w:rPr>
          <w:rFonts w:ascii="Palatino Linotype" w:hAnsi="Palatino Linotype"/>
        </w:rPr>
        <w:t xml:space="preserve">the </w:t>
      </w:r>
      <w:r w:rsidRPr="00E443AD">
        <w:rPr>
          <w:rFonts w:ascii="Palatino Linotype" w:hAnsi="Palatino Linotype"/>
          <w:i/>
        </w:rPr>
        <w:t>Carnegie Report</w:t>
      </w:r>
      <w:r w:rsidR="00196D62" w:rsidRPr="00E443AD">
        <w:rPr>
          <w:rFonts w:ascii="Palatino Linotype" w:hAnsi="Palatino Linotype"/>
          <w:i/>
        </w:rPr>
        <w:t xml:space="preserve"> </w:t>
      </w:r>
      <w:r w:rsidR="00196D62" w:rsidRPr="00E443AD">
        <w:rPr>
          <w:rFonts w:ascii="Palatino Linotype" w:hAnsi="Palatino Linotype"/>
        </w:rPr>
        <w:t xml:space="preserve">and </w:t>
      </w:r>
      <w:r w:rsidR="00196D62" w:rsidRPr="00E443AD">
        <w:rPr>
          <w:rFonts w:ascii="Palatino Linotype" w:hAnsi="Palatino Linotype"/>
          <w:i/>
        </w:rPr>
        <w:t>Building on Best Practices</w:t>
      </w:r>
      <w:r w:rsidRPr="00E443AD">
        <w:rPr>
          <w:rFonts w:ascii="Palatino Linotype" w:hAnsi="Palatino Linotype"/>
          <w:i/>
        </w:rPr>
        <w:t>.</w:t>
      </w:r>
      <w:r w:rsidRPr="00E443AD">
        <w:rPr>
          <w:rStyle w:val="FootnoteReference"/>
          <w:rFonts w:ascii="Palatino Linotype" w:hAnsi="Palatino Linotype"/>
        </w:rPr>
        <w:footnoteReference w:id="6"/>
      </w:r>
      <w:r w:rsidRPr="00E443AD">
        <w:rPr>
          <w:rFonts w:ascii="Palatino Linotype" w:hAnsi="Palatino Linotype"/>
          <w:i/>
        </w:rPr>
        <w:t xml:space="preserve"> </w:t>
      </w:r>
      <w:r w:rsidRPr="00E443AD">
        <w:rPr>
          <w:rFonts w:ascii="Palatino Linotype" w:hAnsi="Palatino Linotype"/>
        </w:rPr>
        <w:t xml:space="preserve">For purposes of this paper, we focus on </w:t>
      </w:r>
      <w:r w:rsidR="00C81BC6" w:rsidRPr="00E443AD">
        <w:rPr>
          <w:rFonts w:ascii="Palatino Linotype" w:hAnsi="Palatino Linotype"/>
        </w:rPr>
        <w:t xml:space="preserve">a primary theme of the reform movement:  the need for law schools to provide </w:t>
      </w:r>
      <w:r w:rsidRPr="00E443AD">
        <w:rPr>
          <w:rFonts w:ascii="Palatino Linotype" w:hAnsi="Palatino Linotype"/>
        </w:rPr>
        <w:t xml:space="preserve">integrated learning and learning in context. Embracing this concept, which was one of central tenets of </w:t>
      </w:r>
      <w:r w:rsidRPr="00E443AD">
        <w:rPr>
          <w:rFonts w:ascii="Palatino Linotype" w:hAnsi="Palatino Linotype"/>
          <w:i/>
        </w:rPr>
        <w:t xml:space="preserve">Best Practices, </w:t>
      </w:r>
      <w:r w:rsidRPr="00E443AD">
        <w:rPr>
          <w:rFonts w:ascii="Palatino Linotype" w:hAnsi="Palatino Linotype"/>
        </w:rPr>
        <w:t>t</w:t>
      </w:r>
      <w:r w:rsidR="0071621E" w:rsidRPr="00E443AD">
        <w:rPr>
          <w:rFonts w:ascii="Palatino Linotype" w:hAnsi="Palatino Linotype"/>
        </w:rPr>
        <w:t xml:space="preserve">he </w:t>
      </w:r>
      <w:r w:rsidR="0071621E" w:rsidRPr="00E443AD">
        <w:rPr>
          <w:rFonts w:ascii="Palatino Linotype" w:hAnsi="Palatino Linotype"/>
          <w:i/>
        </w:rPr>
        <w:t>Carnegie Report</w:t>
      </w:r>
      <w:r w:rsidR="0071621E" w:rsidRPr="00E443AD">
        <w:rPr>
          <w:rFonts w:ascii="Palatino Linotype" w:hAnsi="Palatino Linotype"/>
        </w:rPr>
        <w:t xml:space="preserve"> explain</w:t>
      </w:r>
      <w:r w:rsidRPr="00E443AD">
        <w:rPr>
          <w:rFonts w:ascii="Palatino Linotype" w:hAnsi="Palatino Linotype"/>
        </w:rPr>
        <w:t>ed</w:t>
      </w:r>
      <w:r w:rsidR="0071621E" w:rsidRPr="00E443AD">
        <w:rPr>
          <w:rFonts w:ascii="Palatino Linotype" w:hAnsi="Palatino Linotype"/>
        </w:rPr>
        <w:t>:</w:t>
      </w:r>
    </w:p>
    <w:p w14:paraId="7491DC36" w14:textId="1E11BC95" w:rsidR="0071621E" w:rsidRPr="00E443AD" w:rsidRDefault="0071621E" w:rsidP="00E443AD">
      <w:pPr>
        <w:spacing w:line="360" w:lineRule="auto"/>
        <w:ind w:left="720"/>
        <w:jc w:val="both"/>
        <w:rPr>
          <w:rFonts w:ascii="Palatino Linotype" w:hAnsi="Palatino Linotype"/>
        </w:rPr>
      </w:pPr>
      <w:r w:rsidRPr="00E443AD">
        <w:rPr>
          <w:rFonts w:ascii="Palatino Linotype" w:hAnsi="Palatino Linotype"/>
        </w:rPr>
        <w:t>The key idea in [</w:t>
      </w:r>
      <w:r w:rsidRPr="00E443AD">
        <w:rPr>
          <w:rFonts w:ascii="Palatino Linotype" w:hAnsi="Palatino Linotype"/>
          <w:i/>
        </w:rPr>
        <w:t>Best Practices</w:t>
      </w:r>
      <w:r w:rsidRPr="00E443AD">
        <w:rPr>
          <w:rFonts w:ascii="Palatino Linotype" w:hAnsi="Palatino Linotype"/>
        </w:rPr>
        <w:t>] is that the findings of the learning sciences have converged on what the authors call “context-based education” [citation omitted].  The report’s thesis: ‘Students cannot become effective legal problem-solvers unless they have opportunities to engage in problem-solving activities in hypothetical or real legal contexts’ [citation omitted]. We concur with this thesis</w:t>
      </w:r>
      <w:r w:rsidR="001E3370" w:rsidRPr="00E443AD">
        <w:rPr>
          <w:rFonts w:ascii="Palatino Linotype" w:hAnsi="Palatino Linotype"/>
        </w:rPr>
        <w:t>.</w:t>
      </w:r>
      <w:r w:rsidRPr="00E443AD">
        <w:rPr>
          <w:rStyle w:val="FootnoteReference"/>
          <w:rFonts w:ascii="Palatino Linotype" w:hAnsi="Palatino Linotype"/>
        </w:rPr>
        <w:footnoteReference w:id="7"/>
      </w:r>
      <w:r w:rsidRPr="00E443AD">
        <w:rPr>
          <w:rFonts w:ascii="Palatino Linotype" w:hAnsi="Palatino Linotype"/>
        </w:rPr>
        <w:t xml:space="preserve"> </w:t>
      </w:r>
    </w:p>
    <w:p w14:paraId="1AB9E7CD" w14:textId="4D0ACD5A" w:rsidR="0071621E" w:rsidRPr="00E443AD" w:rsidRDefault="0071621E" w:rsidP="00E443AD">
      <w:pPr>
        <w:spacing w:line="360" w:lineRule="auto"/>
        <w:ind w:left="720"/>
        <w:jc w:val="both"/>
        <w:rPr>
          <w:rFonts w:ascii="Palatino Linotype" w:hAnsi="Palatino Linotype"/>
        </w:rPr>
      </w:pPr>
      <w:r w:rsidRPr="00E443AD">
        <w:rPr>
          <w:rFonts w:ascii="Palatino Linotype" w:hAnsi="Palatino Linotype"/>
        </w:rPr>
        <w:t>The core insight behind the integrative strategy [in contrast to the traditional additive strategy of legal curriculum reform by simply adding new courses] is that effective educational efforts must be understood in holistic rather than atomistic terms.  For law schools, this means that, far from remaining uncontaminated by each other, each aspect of the legal apprenticeship – the cognitive, the practical, and the ethical-social – takes on part of its character for the kind of relationship it has with the others.</w:t>
      </w:r>
      <w:r w:rsidRPr="00E443AD">
        <w:rPr>
          <w:rStyle w:val="FootnoteReference"/>
          <w:rFonts w:ascii="Palatino Linotype" w:hAnsi="Palatino Linotype"/>
        </w:rPr>
        <w:footnoteReference w:id="8"/>
      </w:r>
    </w:p>
    <w:p w14:paraId="1623D3CB" w14:textId="39036726" w:rsidR="005A68FF" w:rsidRPr="00E443AD" w:rsidRDefault="005A68FF" w:rsidP="00E443AD">
      <w:pPr>
        <w:spacing w:line="480" w:lineRule="auto"/>
        <w:jc w:val="both"/>
        <w:rPr>
          <w:rFonts w:ascii="Palatino Linotype" w:hAnsi="Palatino Linotype"/>
        </w:rPr>
      </w:pPr>
      <w:r w:rsidRPr="00E443AD">
        <w:rPr>
          <w:rFonts w:ascii="Palatino Linotype" w:hAnsi="Palatino Linotype"/>
        </w:rPr>
        <w:lastRenderedPageBreak/>
        <w:t xml:space="preserve">Over the last </w:t>
      </w:r>
      <w:r w:rsidR="00F25D7F" w:rsidRPr="00E443AD">
        <w:rPr>
          <w:rFonts w:ascii="Palatino Linotype" w:hAnsi="Palatino Linotype"/>
        </w:rPr>
        <w:t xml:space="preserve">ten </w:t>
      </w:r>
      <w:r w:rsidRPr="00E443AD">
        <w:rPr>
          <w:rFonts w:ascii="Palatino Linotype" w:hAnsi="Palatino Linotype"/>
        </w:rPr>
        <w:t xml:space="preserve">years, Georgia State law school has reflected on the </w:t>
      </w:r>
      <w:r w:rsidRPr="00E443AD">
        <w:rPr>
          <w:rFonts w:ascii="Palatino Linotype" w:hAnsi="Palatino Linotype"/>
          <w:i/>
        </w:rPr>
        <w:t xml:space="preserve">Carnegie Report </w:t>
      </w:r>
      <w:r w:rsidRPr="00E443AD">
        <w:rPr>
          <w:rFonts w:ascii="Palatino Linotype" w:hAnsi="Palatino Linotype"/>
        </w:rPr>
        <w:t>and other calls for reform, assessed its curricul</w:t>
      </w:r>
      <w:r w:rsidR="00B61C83" w:rsidRPr="00E443AD">
        <w:rPr>
          <w:rFonts w:ascii="Palatino Linotype" w:hAnsi="Palatino Linotype"/>
        </w:rPr>
        <w:t>ar</w:t>
      </w:r>
      <w:r w:rsidRPr="00E443AD">
        <w:rPr>
          <w:rFonts w:ascii="Palatino Linotype" w:hAnsi="Palatino Linotype"/>
        </w:rPr>
        <w:t xml:space="preserve"> offerings, and </w:t>
      </w:r>
      <w:r w:rsidR="00196D62" w:rsidRPr="00E443AD">
        <w:rPr>
          <w:rFonts w:ascii="Palatino Linotype" w:hAnsi="Palatino Linotype"/>
        </w:rPr>
        <w:t xml:space="preserve">implemented a number of initiatives designed </w:t>
      </w:r>
      <w:r w:rsidRPr="00E443AD">
        <w:rPr>
          <w:rFonts w:ascii="Palatino Linotype" w:hAnsi="Palatino Linotype"/>
        </w:rPr>
        <w:t xml:space="preserve">to improve the educational experiences </w:t>
      </w:r>
      <w:r w:rsidR="00196D62" w:rsidRPr="00E443AD">
        <w:rPr>
          <w:rFonts w:ascii="Palatino Linotype" w:hAnsi="Palatino Linotype"/>
        </w:rPr>
        <w:t>of</w:t>
      </w:r>
      <w:r w:rsidRPr="00E443AD">
        <w:rPr>
          <w:rFonts w:ascii="Palatino Linotype" w:hAnsi="Palatino Linotype"/>
        </w:rPr>
        <w:t xml:space="preserve"> students. The full </w:t>
      </w:r>
      <w:r w:rsidR="003A0F3D" w:rsidRPr="00E443AD">
        <w:rPr>
          <w:rFonts w:ascii="Palatino Linotype" w:hAnsi="Palatino Linotype"/>
        </w:rPr>
        <w:t>extent</w:t>
      </w:r>
      <w:r w:rsidRPr="00E443AD">
        <w:rPr>
          <w:rFonts w:ascii="Palatino Linotype" w:hAnsi="Palatino Linotype"/>
        </w:rPr>
        <w:t xml:space="preserve"> of these efforts is beyond the scope of this paper; rather, this paper will describe the Georgia State law</w:t>
      </w:r>
      <w:r w:rsidR="00915619" w:rsidRPr="00E443AD">
        <w:rPr>
          <w:rFonts w:ascii="Palatino Linotype" w:hAnsi="Palatino Linotype"/>
        </w:rPr>
        <w:t xml:space="preserve"> school</w:t>
      </w:r>
      <w:r w:rsidRPr="00E443AD">
        <w:rPr>
          <w:rFonts w:ascii="Palatino Linotype" w:hAnsi="Palatino Linotype"/>
        </w:rPr>
        <w:t>’s health law certificate as a model for providing the kind of direction and integrated learning experiences that have been called for. In doing so, we connect the features of our program to best practices in legal education, as well as the needs of the legal profession</w:t>
      </w:r>
      <w:r w:rsidR="00915619" w:rsidRPr="00E443AD">
        <w:rPr>
          <w:rFonts w:ascii="Palatino Linotype" w:hAnsi="Palatino Linotype"/>
        </w:rPr>
        <w:t>.</w:t>
      </w:r>
    </w:p>
    <w:p w14:paraId="35EE5E1B" w14:textId="77777777" w:rsidR="00C30B61" w:rsidRPr="00E443AD" w:rsidRDefault="00C30B61" w:rsidP="00CC7EFA">
      <w:pPr>
        <w:spacing w:line="480" w:lineRule="auto"/>
        <w:jc w:val="both"/>
        <w:rPr>
          <w:rFonts w:ascii="Palatino Linotype" w:hAnsi="Palatino Linotype"/>
        </w:rPr>
      </w:pPr>
    </w:p>
    <w:p w14:paraId="48DBFE78" w14:textId="55B491BF" w:rsidR="00C572ED" w:rsidRPr="00E443AD" w:rsidRDefault="00C572ED" w:rsidP="00CC7EFA">
      <w:pPr>
        <w:spacing w:line="480" w:lineRule="auto"/>
        <w:jc w:val="both"/>
        <w:outlineLvl w:val="0"/>
        <w:rPr>
          <w:rFonts w:ascii="Palatino Linotype" w:hAnsi="Palatino Linotype"/>
        </w:rPr>
      </w:pPr>
      <w:r w:rsidRPr="00E443AD">
        <w:rPr>
          <w:rFonts w:ascii="Palatino Linotype" w:hAnsi="Palatino Linotype"/>
          <w:b/>
        </w:rPr>
        <w:t>The Develop</w:t>
      </w:r>
      <w:r w:rsidR="00267523" w:rsidRPr="00E443AD">
        <w:rPr>
          <w:rFonts w:ascii="Palatino Linotype" w:hAnsi="Palatino Linotype"/>
          <w:b/>
        </w:rPr>
        <w:t>ment</w:t>
      </w:r>
      <w:r w:rsidR="00594606">
        <w:rPr>
          <w:rFonts w:ascii="Palatino Linotype" w:hAnsi="Palatino Linotype"/>
          <w:b/>
        </w:rPr>
        <w:t xml:space="preserve"> of</w:t>
      </w:r>
      <w:r w:rsidRPr="00E443AD">
        <w:rPr>
          <w:rFonts w:ascii="Palatino Linotype" w:hAnsi="Palatino Linotype"/>
          <w:b/>
        </w:rPr>
        <w:t xml:space="preserve"> a Health Law Certificate</w:t>
      </w:r>
    </w:p>
    <w:p w14:paraId="5D7E3B86" w14:textId="088661D3" w:rsidR="00C30B61" w:rsidRPr="00E443AD" w:rsidRDefault="007D08BC" w:rsidP="00E443AD">
      <w:pPr>
        <w:spacing w:line="480" w:lineRule="auto"/>
        <w:jc w:val="both"/>
        <w:rPr>
          <w:rFonts w:ascii="Palatino Linotype" w:hAnsi="Palatino Linotype"/>
        </w:rPr>
      </w:pPr>
      <w:r w:rsidRPr="00E443AD">
        <w:rPr>
          <w:rFonts w:ascii="Palatino Linotype" w:hAnsi="Palatino Linotype"/>
        </w:rPr>
        <w:t>By 20</w:t>
      </w:r>
      <w:r w:rsidR="003B0C52" w:rsidRPr="00E443AD">
        <w:rPr>
          <w:rFonts w:ascii="Palatino Linotype" w:hAnsi="Palatino Linotype"/>
        </w:rPr>
        <w:t>11</w:t>
      </w:r>
      <w:r w:rsidRPr="00E443AD">
        <w:rPr>
          <w:rFonts w:ascii="Palatino Linotype" w:hAnsi="Palatino Linotype"/>
        </w:rPr>
        <w:t xml:space="preserve">, </w:t>
      </w:r>
      <w:r w:rsidR="00F25988" w:rsidRPr="00E443AD">
        <w:rPr>
          <w:rFonts w:ascii="Palatino Linotype" w:hAnsi="Palatino Linotype"/>
        </w:rPr>
        <w:t>Georgia State Law</w:t>
      </w:r>
      <w:r w:rsidRPr="00E443AD">
        <w:rPr>
          <w:rFonts w:ascii="Palatino Linotype" w:hAnsi="Palatino Linotype"/>
        </w:rPr>
        <w:t xml:space="preserve"> had grown its health law faculty to</w:t>
      </w:r>
      <w:r w:rsidR="003B0C52" w:rsidRPr="00E443AD">
        <w:rPr>
          <w:rFonts w:ascii="Palatino Linotype" w:hAnsi="Palatino Linotype"/>
        </w:rPr>
        <w:t xml:space="preserve"> several</w:t>
      </w:r>
      <w:r w:rsidR="00F25D7F" w:rsidRPr="00E443AD">
        <w:rPr>
          <w:rFonts w:ascii="Palatino Linotype" w:hAnsi="Palatino Linotype"/>
        </w:rPr>
        <w:t xml:space="preserve"> </w:t>
      </w:r>
      <w:r w:rsidRPr="00E443AD">
        <w:rPr>
          <w:rFonts w:ascii="Palatino Linotype" w:hAnsi="Palatino Linotype"/>
        </w:rPr>
        <w:t>professors, representing substantial breadth, depth, and expertise in this rapidly growing area.</w:t>
      </w:r>
      <w:r w:rsidRPr="00E443AD">
        <w:rPr>
          <w:rStyle w:val="FootnoteReference"/>
          <w:rFonts w:ascii="Palatino Linotype" w:hAnsi="Palatino Linotype"/>
        </w:rPr>
        <w:footnoteReference w:id="9"/>
      </w:r>
      <w:r w:rsidRPr="00E443AD">
        <w:rPr>
          <w:rFonts w:ascii="Palatino Linotype" w:hAnsi="Palatino Linotype"/>
        </w:rPr>
        <w:t xml:space="preserve">  </w:t>
      </w:r>
      <w:r w:rsidR="003A0F3D" w:rsidRPr="00E443AD">
        <w:rPr>
          <w:rFonts w:ascii="Palatino Linotype" w:hAnsi="Palatino Linotype"/>
        </w:rPr>
        <w:t>I</w:t>
      </w:r>
      <w:r w:rsidR="00C572ED" w:rsidRPr="00E443AD">
        <w:rPr>
          <w:rFonts w:ascii="Palatino Linotype" w:hAnsi="Palatino Linotype"/>
        </w:rPr>
        <w:t>nformed by recent critical analyses of legal education</w:t>
      </w:r>
      <w:r w:rsidR="00F82DC8" w:rsidRPr="00E443AD">
        <w:rPr>
          <w:rFonts w:ascii="Palatino Linotype" w:hAnsi="Palatino Linotype"/>
        </w:rPr>
        <w:t>,</w:t>
      </w:r>
      <w:r w:rsidR="00F82DC8" w:rsidRPr="00E443AD">
        <w:rPr>
          <w:rStyle w:val="FootnoteReference"/>
          <w:rFonts w:ascii="Palatino Linotype" w:hAnsi="Palatino Linotype"/>
        </w:rPr>
        <w:footnoteReference w:id="10"/>
      </w:r>
      <w:r w:rsidR="00F82DC8" w:rsidRPr="00E443AD">
        <w:rPr>
          <w:rFonts w:ascii="Palatino Linotype" w:hAnsi="Palatino Linotype"/>
        </w:rPr>
        <w:t xml:space="preserve"> </w:t>
      </w:r>
      <w:r w:rsidR="003A0F3D" w:rsidRPr="00E443AD">
        <w:rPr>
          <w:rFonts w:ascii="Palatino Linotype" w:hAnsi="Palatino Linotype"/>
        </w:rPr>
        <w:t xml:space="preserve">the </w:t>
      </w:r>
      <w:r w:rsidR="005642BA" w:rsidRPr="00E443AD">
        <w:rPr>
          <w:rFonts w:ascii="Palatino Linotype" w:hAnsi="Palatino Linotype"/>
        </w:rPr>
        <w:t>Georgia State</w:t>
      </w:r>
      <w:r w:rsidR="003A0F3D" w:rsidRPr="00E443AD">
        <w:rPr>
          <w:rFonts w:ascii="Palatino Linotype" w:hAnsi="Palatino Linotype"/>
        </w:rPr>
        <w:t xml:space="preserve"> health law </w:t>
      </w:r>
      <w:r w:rsidR="003A0F3D" w:rsidRPr="00E443AD">
        <w:rPr>
          <w:rFonts w:ascii="Palatino Linotype" w:hAnsi="Palatino Linotype"/>
        </w:rPr>
        <w:lastRenderedPageBreak/>
        <w:t>faculty decided to develop a health law certificate</w:t>
      </w:r>
      <w:r w:rsidR="00814A9A" w:rsidRPr="00E443AD">
        <w:rPr>
          <w:rFonts w:ascii="Palatino Linotype" w:hAnsi="Palatino Linotype"/>
        </w:rPr>
        <w:t xml:space="preserve"> program to allow students to develop </w:t>
      </w:r>
      <w:r w:rsidR="00AE0940" w:rsidRPr="00E443AD">
        <w:rPr>
          <w:rFonts w:ascii="Palatino Linotype" w:hAnsi="Palatino Linotype"/>
        </w:rPr>
        <w:t xml:space="preserve">core competencies in health law through a coherent curricular path.  </w:t>
      </w:r>
      <w:r w:rsidR="003B0C52" w:rsidRPr="00E443AD">
        <w:rPr>
          <w:rFonts w:ascii="Palatino Linotype" w:hAnsi="Palatino Linotype"/>
        </w:rPr>
        <w:t xml:space="preserve">The faculty performed its </w:t>
      </w:r>
      <w:r w:rsidR="00F25D7F" w:rsidRPr="00E443AD">
        <w:rPr>
          <w:rFonts w:ascii="Palatino Linotype" w:hAnsi="Palatino Linotype"/>
        </w:rPr>
        <w:t xml:space="preserve">analysis of what should be required </w:t>
      </w:r>
      <w:r w:rsidR="00F82DC8" w:rsidRPr="00E443AD">
        <w:rPr>
          <w:rFonts w:ascii="Palatino Linotype" w:hAnsi="Palatino Linotype"/>
        </w:rPr>
        <w:t>with particular attention to the</w:t>
      </w:r>
      <w:r w:rsidR="00C572ED" w:rsidRPr="00E443AD">
        <w:rPr>
          <w:rFonts w:ascii="Palatino Linotype" w:hAnsi="Palatino Linotype"/>
        </w:rPr>
        <w:t xml:space="preserve"> </w:t>
      </w:r>
      <w:r w:rsidR="00C572ED" w:rsidRPr="00E443AD">
        <w:rPr>
          <w:rFonts w:ascii="Palatino Linotype" w:hAnsi="Palatino Linotype"/>
          <w:i/>
        </w:rPr>
        <w:t>Carnegie Report</w:t>
      </w:r>
      <w:r w:rsidR="00C572ED" w:rsidRPr="00E443AD">
        <w:rPr>
          <w:rStyle w:val="FootnoteReference"/>
          <w:rFonts w:ascii="Palatino Linotype" w:hAnsi="Palatino Linotype"/>
        </w:rPr>
        <w:footnoteReference w:id="11"/>
      </w:r>
      <w:r w:rsidR="00C572ED" w:rsidRPr="00E443AD">
        <w:rPr>
          <w:rFonts w:ascii="Palatino Linotype" w:hAnsi="Palatino Linotype"/>
        </w:rPr>
        <w:t xml:space="preserve"> and </w:t>
      </w:r>
      <w:r w:rsidR="00C572ED" w:rsidRPr="00E443AD">
        <w:rPr>
          <w:rFonts w:ascii="Palatino Linotype" w:hAnsi="Palatino Linotype"/>
          <w:i/>
        </w:rPr>
        <w:t>Best Practices</w:t>
      </w:r>
      <w:r w:rsidR="00814A9A" w:rsidRPr="00E443AD">
        <w:rPr>
          <w:rFonts w:ascii="Palatino Linotype" w:hAnsi="Palatino Linotype"/>
        </w:rPr>
        <w:t>.</w:t>
      </w:r>
      <w:r w:rsidR="00C572ED" w:rsidRPr="00E443AD">
        <w:rPr>
          <w:rStyle w:val="FootnoteReference"/>
          <w:rFonts w:ascii="Palatino Linotype" w:hAnsi="Palatino Linotype"/>
        </w:rPr>
        <w:footnoteReference w:id="12"/>
      </w:r>
      <w:r w:rsidR="00C572ED" w:rsidRPr="00E443AD">
        <w:rPr>
          <w:rFonts w:ascii="Palatino Linotype" w:hAnsi="Palatino Linotype"/>
        </w:rPr>
        <w:t xml:space="preserve"> </w:t>
      </w:r>
      <w:r w:rsidR="001B316A" w:rsidRPr="00E443AD">
        <w:rPr>
          <w:rFonts w:ascii="Palatino Linotype" w:hAnsi="Palatino Linotype"/>
        </w:rPr>
        <w:t xml:space="preserve">These resources emphasized </w:t>
      </w:r>
      <w:r w:rsidR="003A0F3D" w:rsidRPr="00E443AD">
        <w:rPr>
          <w:rFonts w:ascii="Palatino Linotype" w:hAnsi="Palatino Linotype"/>
        </w:rPr>
        <w:t>the importance of providing students</w:t>
      </w:r>
      <w:r w:rsidR="001B316A" w:rsidRPr="00E443AD">
        <w:rPr>
          <w:rFonts w:ascii="Palatino Linotype" w:hAnsi="Palatino Linotype"/>
        </w:rPr>
        <w:t xml:space="preserve"> a well-rounded curriculum </w:t>
      </w:r>
      <w:r w:rsidR="003A0F3D" w:rsidRPr="00E443AD">
        <w:rPr>
          <w:rFonts w:ascii="Palatino Linotype" w:hAnsi="Palatino Linotype"/>
        </w:rPr>
        <w:t>that includes</w:t>
      </w:r>
      <w:r w:rsidR="001B316A" w:rsidRPr="00E443AD">
        <w:rPr>
          <w:rFonts w:ascii="Palatino Linotype" w:hAnsi="Palatino Linotype"/>
        </w:rPr>
        <w:t xml:space="preserve"> </w:t>
      </w:r>
      <w:r w:rsidR="00017736" w:rsidRPr="00E443AD">
        <w:rPr>
          <w:rFonts w:ascii="Palatino Linotype" w:hAnsi="Palatino Linotype"/>
        </w:rPr>
        <w:t>simulation</w:t>
      </w:r>
      <w:r w:rsidR="000E475F" w:rsidRPr="00E443AD">
        <w:rPr>
          <w:rFonts w:ascii="Palatino Linotype" w:hAnsi="Palatino Linotype"/>
        </w:rPr>
        <w:t>,</w:t>
      </w:r>
      <w:r w:rsidR="00814A9A" w:rsidRPr="00E443AD">
        <w:rPr>
          <w:rStyle w:val="FootnoteReference"/>
          <w:rFonts w:ascii="Palatino Linotype" w:hAnsi="Palatino Linotype"/>
        </w:rPr>
        <w:footnoteReference w:id="13"/>
      </w:r>
      <w:r w:rsidR="00017736" w:rsidRPr="00E443AD">
        <w:rPr>
          <w:rFonts w:ascii="Palatino Linotype" w:hAnsi="Palatino Linotype"/>
        </w:rPr>
        <w:t xml:space="preserve"> a</w:t>
      </w:r>
      <w:r w:rsidR="00C11A70" w:rsidRPr="00E443AD">
        <w:rPr>
          <w:rFonts w:ascii="Palatino Linotype" w:hAnsi="Palatino Linotype"/>
        </w:rPr>
        <w:t>s well as</w:t>
      </w:r>
      <w:r w:rsidR="00017736" w:rsidRPr="00E443AD">
        <w:rPr>
          <w:rFonts w:ascii="Palatino Linotype" w:hAnsi="Palatino Linotype"/>
        </w:rPr>
        <w:t xml:space="preserve"> real-</w:t>
      </w:r>
      <w:r w:rsidR="00017736" w:rsidRPr="00E443AD">
        <w:rPr>
          <w:rFonts w:ascii="Palatino Linotype" w:hAnsi="Palatino Linotype"/>
        </w:rPr>
        <w:lastRenderedPageBreak/>
        <w:t xml:space="preserve">world </w:t>
      </w:r>
      <w:r w:rsidR="001B316A" w:rsidRPr="00E443AD">
        <w:rPr>
          <w:rFonts w:ascii="Palatino Linotype" w:hAnsi="Palatino Linotype"/>
        </w:rPr>
        <w:t>experi</w:t>
      </w:r>
      <w:r w:rsidR="00AC4BFC" w:rsidRPr="00E443AD">
        <w:rPr>
          <w:rFonts w:ascii="Palatino Linotype" w:hAnsi="Palatino Linotype"/>
        </w:rPr>
        <w:t>ential learning opportunities</w:t>
      </w:r>
      <w:r w:rsidR="000E475F" w:rsidRPr="00E443AD">
        <w:rPr>
          <w:rFonts w:ascii="Palatino Linotype" w:hAnsi="Palatino Linotype"/>
        </w:rPr>
        <w:t>,</w:t>
      </w:r>
      <w:r w:rsidR="00C11A70" w:rsidRPr="00E443AD">
        <w:rPr>
          <w:rStyle w:val="FootnoteReference"/>
          <w:rFonts w:ascii="Palatino Linotype" w:hAnsi="Palatino Linotype"/>
        </w:rPr>
        <w:footnoteReference w:id="14"/>
      </w:r>
      <w:r w:rsidR="00814A9A" w:rsidRPr="00E443AD">
        <w:rPr>
          <w:rFonts w:ascii="Palatino Linotype" w:hAnsi="Palatino Linotype"/>
        </w:rPr>
        <w:t xml:space="preserve"> thus integrating the teaching of theory, doctrine, and practice</w:t>
      </w:r>
      <w:r w:rsidR="00C572ED" w:rsidRPr="00E443AD">
        <w:rPr>
          <w:rFonts w:ascii="Palatino Linotype" w:hAnsi="Palatino Linotype"/>
        </w:rPr>
        <w:t>.</w:t>
      </w:r>
      <w:r w:rsidR="00814A9A" w:rsidRPr="00E443AD">
        <w:rPr>
          <w:rStyle w:val="FootnoteReference"/>
          <w:rFonts w:ascii="Palatino Linotype" w:hAnsi="Palatino Linotype"/>
        </w:rPr>
        <w:footnoteReference w:id="15"/>
      </w:r>
      <w:r w:rsidR="005741F2" w:rsidRPr="00E443AD">
        <w:rPr>
          <w:rFonts w:ascii="Palatino Linotype" w:hAnsi="Palatino Linotype"/>
        </w:rPr>
        <w:t xml:space="preserve"> </w:t>
      </w:r>
      <w:r w:rsidR="003A0F3D" w:rsidRPr="00E443AD">
        <w:rPr>
          <w:rFonts w:ascii="Palatino Linotype" w:hAnsi="Palatino Linotype"/>
        </w:rPr>
        <w:t>The faculty also noted that a</w:t>
      </w:r>
      <w:r w:rsidR="00017736" w:rsidRPr="00E443AD">
        <w:rPr>
          <w:rFonts w:ascii="Palatino Linotype" w:hAnsi="Palatino Linotype"/>
        </w:rPr>
        <w:t xml:space="preserve"> 2011 ABA House of Delegates resolution echoed these recommendations in directing the ABA </w:t>
      </w:r>
      <w:r w:rsidR="00F82DC8" w:rsidRPr="00E443AD">
        <w:rPr>
          <w:rFonts w:ascii="Palatino Linotype" w:hAnsi="Palatino Linotype"/>
        </w:rPr>
        <w:t xml:space="preserve">to </w:t>
      </w:r>
      <w:r w:rsidR="00017736" w:rsidRPr="00E443AD">
        <w:rPr>
          <w:rFonts w:ascii="Palatino Linotype" w:hAnsi="Palatino Linotype"/>
        </w:rPr>
        <w:t>“take steps to assure that law schools . . . provide the knowledge, skills, values, habits and traits that make up the successful modern lawyer . . . [and] implement curriculum programs intended to develop practice ready lawyers, including . . . capstone and clinical courses that include client meetings and court appearances.”</w:t>
      </w:r>
      <w:r w:rsidR="00C435A0" w:rsidRPr="00E443AD">
        <w:rPr>
          <w:rStyle w:val="FootnoteReference"/>
          <w:rFonts w:ascii="Palatino Linotype" w:hAnsi="Palatino Linotype"/>
        </w:rPr>
        <w:footnoteReference w:id="16"/>
      </w:r>
      <w:r w:rsidR="00017736" w:rsidRPr="00E443AD">
        <w:rPr>
          <w:rFonts w:ascii="Palatino Linotype" w:hAnsi="Palatino Linotype"/>
        </w:rPr>
        <w:t xml:space="preserve"> </w:t>
      </w:r>
      <w:r w:rsidR="003A0F3D" w:rsidRPr="00E443AD">
        <w:rPr>
          <w:rFonts w:ascii="Palatino Linotype" w:hAnsi="Palatino Linotype"/>
        </w:rPr>
        <w:t xml:space="preserve">The </w:t>
      </w:r>
      <w:r w:rsidR="005642BA" w:rsidRPr="00E443AD">
        <w:rPr>
          <w:rFonts w:ascii="Palatino Linotype" w:hAnsi="Palatino Linotype"/>
        </w:rPr>
        <w:t>Georgia State</w:t>
      </w:r>
      <w:r w:rsidR="003A0F3D" w:rsidRPr="00E443AD">
        <w:rPr>
          <w:rFonts w:ascii="Palatino Linotype" w:hAnsi="Palatino Linotype"/>
        </w:rPr>
        <w:t xml:space="preserve"> health law faculty heeded </w:t>
      </w:r>
      <w:r w:rsidR="00017736" w:rsidRPr="00E443AD">
        <w:rPr>
          <w:rFonts w:ascii="Palatino Linotype" w:hAnsi="Palatino Linotype"/>
        </w:rPr>
        <w:t xml:space="preserve">these recommendations </w:t>
      </w:r>
      <w:r w:rsidR="00BD592F" w:rsidRPr="00E443AD">
        <w:rPr>
          <w:rFonts w:ascii="Palatino Linotype" w:hAnsi="Palatino Linotype"/>
        </w:rPr>
        <w:t>in developing</w:t>
      </w:r>
      <w:r w:rsidR="00017736" w:rsidRPr="00E443AD">
        <w:rPr>
          <w:rFonts w:ascii="Palatino Linotype" w:hAnsi="Palatino Linotype"/>
        </w:rPr>
        <w:t xml:space="preserve"> </w:t>
      </w:r>
      <w:r w:rsidR="000B7210" w:rsidRPr="00E443AD">
        <w:rPr>
          <w:rFonts w:ascii="Palatino Linotype" w:hAnsi="Palatino Linotype"/>
        </w:rPr>
        <w:t xml:space="preserve">the framework for </w:t>
      </w:r>
      <w:r w:rsidR="003B0C52" w:rsidRPr="00E443AD">
        <w:rPr>
          <w:rFonts w:ascii="Palatino Linotype" w:hAnsi="Palatino Linotype"/>
        </w:rPr>
        <w:t>the</w:t>
      </w:r>
      <w:r w:rsidR="005642BA" w:rsidRPr="00E443AD">
        <w:rPr>
          <w:rFonts w:ascii="Palatino Linotype" w:hAnsi="Palatino Linotype"/>
        </w:rPr>
        <w:t xml:space="preserve"> </w:t>
      </w:r>
      <w:r w:rsidR="00BE6546" w:rsidRPr="00E443AD">
        <w:rPr>
          <w:rFonts w:ascii="Palatino Linotype" w:hAnsi="Palatino Linotype"/>
        </w:rPr>
        <w:t>health law certificate program</w:t>
      </w:r>
      <w:r w:rsidR="00A45FAF" w:rsidRPr="00E443AD">
        <w:rPr>
          <w:rFonts w:ascii="Palatino Linotype" w:hAnsi="Palatino Linotype"/>
        </w:rPr>
        <w:t xml:space="preserve">.  The incorporation of experiential education was a central value in the development of the certificate </w:t>
      </w:r>
      <w:r w:rsidRPr="00E443AD">
        <w:rPr>
          <w:rFonts w:ascii="Palatino Linotype" w:hAnsi="Palatino Linotype"/>
        </w:rPr>
        <w:t xml:space="preserve">program. </w:t>
      </w:r>
    </w:p>
    <w:p w14:paraId="05F64A02" w14:textId="3E044353" w:rsidR="005A68FF" w:rsidRPr="00E443AD" w:rsidRDefault="00F25D7F" w:rsidP="00E443AD">
      <w:pPr>
        <w:spacing w:line="480" w:lineRule="auto"/>
        <w:jc w:val="both"/>
        <w:rPr>
          <w:rFonts w:ascii="Palatino Linotype" w:hAnsi="Palatino Linotype"/>
        </w:rPr>
      </w:pPr>
      <w:r w:rsidRPr="00E443AD">
        <w:rPr>
          <w:rFonts w:ascii="Palatino Linotype" w:hAnsi="Palatino Linotype"/>
        </w:rPr>
        <w:t xml:space="preserve">The development process was an iterative one. After identifying key knowledge, skills, and values for the proposed program, </w:t>
      </w:r>
      <w:r w:rsidR="00A45FAF" w:rsidRPr="00E443AD">
        <w:rPr>
          <w:rFonts w:ascii="Palatino Linotype" w:hAnsi="Palatino Linotype"/>
        </w:rPr>
        <w:t>the health law faculty mapped the health law curriculum to identify</w:t>
      </w:r>
      <w:r w:rsidR="007679EE" w:rsidRPr="00E443AD">
        <w:rPr>
          <w:rFonts w:ascii="Palatino Linotype" w:hAnsi="Palatino Linotype"/>
        </w:rPr>
        <w:t xml:space="preserve"> the knowledge, skills, and values </w:t>
      </w:r>
      <w:r w:rsidR="00306A87" w:rsidRPr="00E443AD">
        <w:rPr>
          <w:rFonts w:ascii="Palatino Linotype" w:hAnsi="Palatino Linotype"/>
        </w:rPr>
        <w:t>taught in</w:t>
      </w:r>
      <w:r w:rsidR="007679EE" w:rsidRPr="00E443AD">
        <w:rPr>
          <w:rFonts w:ascii="Palatino Linotype" w:hAnsi="Palatino Linotype"/>
        </w:rPr>
        <w:t xml:space="preserve"> each</w:t>
      </w:r>
      <w:r w:rsidRPr="00E443AD">
        <w:rPr>
          <w:rFonts w:ascii="Palatino Linotype" w:hAnsi="Palatino Linotype"/>
        </w:rPr>
        <w:t xml:space="preserve"> existing</w:t>
      </w:r>
      <w:r w:rsidR="007679EE" w:rsidRPr="00E443AD">
        <w:rPr>
          <w:rFonts w:ascii="Palatino Linotype" w:hAnsi="Palatino Linotype"/>
        </w:rPr>
        <w:t xml:space="preserve"> </w:t>
      </w:r>
      <w:r w:rsidR="00CF46A2" w:rsidRPr="00E443AD">
        <w:rPr>
          <w:rFonts w:ascii="Palatino Linotype" w:hAnsi="Palatino Linotype"/>
        </w:rPr>
        <w:t>health law course</w:t>
      </w:r>
      <w:r w:rsidR="007679EE" w:rsidRPr="00E443AD">
        <w:rPr>
          <w:rFonts w:ascii="Palatino Linotype" w:hAnsi="Palatino Linotype"/>
        </w:rPr>
        <w:t xml:space="preserve"> </w:t>
      </w:r>
      <w:r w:rsidR="00AE0940" w:rsidRPr="00E443AD">
        <w:rPr>
          <w:rFonts w:ascii="Palatino Linotype" w:hAnsi="Palatino Linotype"/>
        </w:rPr>
        <w:t>in the curriculum</w:t>
      </w:r>
      <w:r w:rsidR="00306A87" w:rsidRPr="00E443AD">
        <w:rPr>
          <w:rFonts w:ascii="Palatino Linotype" w:hAnsi="Palatino Linotype"/>
        </w:rPr>
        <w:t>. Th</w:t>
      </w:r>
      <w:r w:rsidR="003B0C52" w:rsidRPr="00E443AD">
        <w:rPr>
          <w:rFonts w:ascii="Palatino Linotype" w:hAnsi="Palatino Linotype"/>
        </w:rPr>
        <w:t xml:space="preserve">e faculty studied the map </w:t>
      </w:r>
      <w:r w:rsidR="00267523" w:rsidRPr="00E443AD">
        <w:rPr>
          <w:rFonts w:ascii="Palatino Linotype" w:hAnsi="Palatino Linotype"/>
        </w:rPr>
        <w:t xml:space="preserve">to </w:t>
      </w:r>
      <w:r w:rsidR="007679EE" w:rsidRPr="00E443AD">
        <w:rPr>
          <w:rFonts w:ascii="Palatino Linotype" w:hAnsi="Palatino Linotype"/>
        </w:rPr>
        <w:t xml:space="preserve">ensure that </w:t>
      </w:r>
      <w:r w:rsidR="00306A87" w:rsidRPr="00E443AD">
        <w:rPr>
          <w:rFonts w:ascii="Palatino Linotype" w:hAnsi="Palatino Linotype"/>
        </w:rPr>
        <w:t xml:space="preserve">a certificate student would achieve an </w:t>
      </w:r>
      <w:r w:rsidR="007679EE" w:rsidRPr="00E443AD">
        <w:rPr>
          <w:rFonts w:ascii="Palatino Linotype" w:hAnsi="Palatino Linotype"/>
        </w:rPr>
        <w:t xml:space="preserve">appropriate distribution </w:t>
      </w:r>
      <w:r w:rsidR="00AE0940" w:rsidRPr="00E443AD">
        <w:rPr>
          <w:rFonts w:ascii="Palatino Linotype" w:hAnsi="Palatino Linotype"/>
        </w:rPr>
        <w:t xml:space="preserve">of </w:t>
      </w:r>
      <w:r w:rsidRPr="00E443AD">
        <w:rPr>
          <w:rFonts w:ascii="Palatino Linotype" w:hAnsi="Palatino Linotype"/>
        </w:rPr>
        <w:t xml:space="preserve">desired </w:t>
      </w:r>
      <w:r w:rsidR="00AE0940" w:rsidRPr="00E443AD">
        <w:rPr>
          <w:rFonts w:ascii="Palatino Linotype" w:hAnsi="Palatino Linotype"/>
        </w:rPr>
        <w:t xml:space="preserve">outcomes </w:t>
      </w:r>
      <w:r w:rsidR="00306A87" w:rsidRPr="00E443AD">
        <w:rPr>
          <w:rFonts w:ascii="Palatino Linotype" w:hAnsi="Palatino Linotype"/>
        </w:rPr>
        <w:t xml:space="preserve">based upon </w:t>
      </w:r>
      <w:r w:rsidR="007679EE" w:rsidRPr="00E443AD">
        <w:rPr>
          <w:rFonts w:ascii="Palatino Linotype" w:hAnsi="Palatino Linotype"/>
        </w:rPr>
        <w:t xml:space="preserve">the </w:t>
      </w:r>
      <w:r w:rsidRPr="00E443AD">
        <w:rPr>
          <w:rFonts w:ascii="Palatino Linotype" w:hAnsi="Palatino Linotype"/>
        </w:rPr>
        <w:t xml:space="preserve">proposed </w:t>
      </w:r>
      <w:r w:rsidR="007679EE" w:rsidRPr="00E443AD">
        <w:rPr>
          <w:rFonts w:ascii="Palatino Linotype" w:hAnsi="Palatino Linotype"/>
        </w:rPr>
        <w:t xml:space="preserve">certificate requirements. </w:t>
      </w:r>
      <w:r w:rsidR="00AE0940" w:rsidRPr="00E443AD">
        <w:rPr>
          <w:rFonts w:ascii="Palatino Linotype" w:hAnsi="Palatino Linotype"/>
        </w:rPr>
        <w:t xml:space="preserve">Additionally, </w:t>
      </w:r>
      <w:r w:rsidR="0075268C" w:rsidRPr="00E443AD">
        <w:rPr>
          <w:rFonts w:ascii="Palatino Linotype" w:hAnsi="Palatino Linotype"/>
        </w:rPr>
        <w:t xml:space="preserve">local attorneys, representing a wide range of health law practices, including major law firms, hospitals, state and federal </w:t>
      </w:r>
      <w:r w:rsidR="0075268C" w:rsidRPr="00E443AD">
        <w:rPr>
          <w:rFonts w:ascii="Palatino Linotype" w:hAnsi="Palatino Linotype"/>
        </w:rPr>
        <w:lastRenderedPageBreak/>
        <w:t>government agencies, and legal services</w:t>
      </w:r>
      <w:r w:rsidR="00306A87" w:rsidRPr="00E443AD">
        <w:rPr>
          <w:rFonts w:ascii="Palatino Linotype" w:hAnsi="Palatino Linotype"/>
        </w:rPr>
        <w:t xml:space="preserve"> organizations</w:t>
      </w:r>
      <w:r w:rsidR="000415AB" w:rsidRPr="00E443AD">
        <w:rPr>
          <w:rFonts w:ascii="Palatino Linotype" w:hAnsi="Palatino Linotype"/>
        </w:rPr>
        <w:t>, participated in focus groups to provide feedback on the proposal</w:t>
      </w:r>
      <w:r w:rsidR="0075268C" w:rsidRPr="00E443AD">
        <w:rPr>
          <w:rFonts w:ascii="Palatino Linotype" w:hAnsi="Palatino Linotype"/>
        </w:rPr>
        <w:t xml:space="preserve"> to ensure that </w:t>
      </w:r>
      <w:r w:rsidR="00AE0940" w:rsidRPr="00E443AD">
        <w:rPr>
          <w:rFonts w:ascii="Palatino Linotype" w:hAnsi="Palatino Linotype"/>
        </w:rPr>
        <w:t xml:space="preserve">students obtaining a certificate through </w:t>
      </w:r>
      <w:r w:rsidR="003B0C52" w:rsidRPr="00E443AD">
        <w:rPr>
          <w:rFonts w:ascii="Palatino Linotype" w:hAnsi="Palatino Linotype"/>
        </w:rPr>
        <w:t>GSU’s</w:t>
      </w:r>
      <w:r w:rsidR="000415AB" w:rsidRPr="00E443AD">
        <w:rPr>
          <w:rFonts w:ascii="Palatino Linotype" w:hAnsi="Palatino Linotype"/>
        </w:rPr>
        <w:t xml:space="preserve"> </w:t>
      </w:r>
      <w:r w:rsidR="0075268C" w:rsidRPr="00E443AD">
        <w:rPr>
          <w:rFonts w:ascii="Palatino Linotype" w:hAnsi="Palatino Linotype"/>
        </w:rPr>
        <w:t xml:space="preserve">program </w:t>
      </w:r>
      <w:r w:rsidR="00AE0940" w:rsidRPr="00E443AD">
        <w:rPr>
          <w:rFonts w:ascii="Palatino Linotype" w:hAnsi="Palatino Linotype"/>
        </w:rPr>
        <w:t xml:space="preserve">would be equipped with the necessary knowledge, skills and values to be effective legal professionals </w:t>
      </w:r>
      <w:r w:rsidR="00306A87" w:rsidRPr="00E443AD">
        <w:rPr>
          <w:rFonts w:ascii="Palatino Linotype" w:hAnsi="Palatino Linotype"/>
        </w:rPr>
        <w:t>i</w:t>
      </w:r>
      <w:r w:rsidR="00CF46A2" w:rsidRPr="00E443AD">
        <w:rPr>
          <w:rFonts w:ascii="Palatino Linotype" w:hAnsi="Palatino Linotype"/>
        </w:rPr>
        <w:t>n the health law field</w:t>
      </w:r>
      <w:r w:rsidR="0075268C" w:rsidRPr="00E443AD">
        <w:rPr>
          <w:rFonts w:ascii="Palatino Linotype" w:hAnsi="Palatino Linotype"/>
        </w:rPr>
        <w:t xml:space="preserve">. </w:t>
      </w:r>
      <w:r w:rsidR="00267523" w:rsidRPr="00E443AD" w:rsidDel="00267523">
        <w:rPr>
          <w:rStyle w:val="CommentReference"/>
          <w:rFonts w:ascii="Palatino Linotype" w:hAnsi="Palatino Linotype"/>
        </w:rPr>
        <w:t xml:space="preserve"> </w:t>
      </w:r>
    </w:p>
    <w:p w14:paraId="7EA6C334" w14:textId="0649367F" w:rsidR="00D04B09" w:rsidRPr="00E443AD" w:rsidRDefault="00B21297" w:rsidP="00CC7EFA">
      <w:pPr>
        <w:spacing w:line="480" w:lineRule="auto"/>
        <w:jc w:val="both"/>
        <w:rPr>
          <w:rFonts w:ascii="Palatino Linotype" w:hAnsi="Palatino Linotype"/>
        </w:rPr>
      </w:pPr>
      <w:r w:rsidRPr="00E443AD">
        <w:rPr>
          <w:rFonts w:ascii="Palatino Linotype" w:hAnsi="Palatino Linotype"/>
        </w:rPr>
        <w:t xml:space="preserve">Four </w:t>
      </w:r>
      <w:r w:rsidR="00D04B09" w:rsidRPr="00E443AD">
        <w:rPr>
          <w:rFonts w:ascii="Palatino Linotype" w:hAnsi="Palatino Linotype"/>
        </w:rPr>
        <w:t xml:space="preserve">key </w:t>
      </w:r>
      <w:r w:rsidR="00E95D9F" w:rsidRPr="00E443AD">
        <w:rPr>
          <w:rFonts w:ascii="Palatino Linotype" w:hAnsi="Palatino Linotype"/>
        </w:rPr>
        <w:t>conceptual themes</w:t>
      </w:r>
      <w:r w:rsidR="00D04B09" w:rsidRPr="00E443AD">
        <w:rPr>
          <w:rFonts w:ascii="Palatino Linotype" w:hAnsi="Palatino Linotype"/>
        </w:rPr>
        <w:t xml:space="preserve"> underl</w:t>
      </w:r>
      <w:r w:rsidRPr="00E443AD">
        <w:rPr>
          <w:rFonts w:ascii="Palatino Linotype" w:hAnsi="Palatino Linotype"/>
        </w:rPr>
        <w:t>ie</w:t>
      </w:r>
      <w:r w:rsidR="00D04B09" w:rsidRPr="00E443AD">
        <w:rPr>
          <w:rFonts w:ascii="Palatino Linotype" w:hAnsi="Palatino Linotype"/>
        </w:rPr>
        <w:t xml:space="preserve"> </w:t>
      </w:r>
      <w:r w:rsidR="003B0C52" w:rsidRPr="00E443AD">
        <w:rPr>
          <w:rFonts w:ascii="Palatino Linotype" w:hAnsi="Palatino Linotype"/>
        </w:rPr>
        <w:t>the</w:t>
      </w:r>
      <w:r w:rsidR="00F25D7F" w:rsidRPr="00E443AD">
        <w:rPr>
          <w:rFonts w:ascii="Palatino Linotype" w:hAnsi="Palatino Linotype"/>
        </w:rPr>
        <w:t xml:space="preserve"> </w:t>
      </w:r>
      <w:r w:rsidR="003B501A" w:rsidRPr="00E443AD">
        <w:rPr>
          <w:rFonts w:ascii="Palatino Linotype" w:hAnsi="Palatino Linotype"/>
        </w:rPr>
        <w:t>certificate program</w:t>
      </w:r>
      <w:r w:rsidR="00D04B09" w:rsidRPr="00E443AD">
        <w:rPr>
          <w:rFonts w:ascii="Palatino Linotype" w:hAnsi="Palatino Linotype"/>
        </w:rPr>
        <w:t>.  First, health law is a broad, general field</w:t>
      </w:r>
      <w:r w:rsidR="00AE0940" w:rsidRPr="00E443AD">
        <w:rPr>
          <w:rFonts w:ascii="Palatino Linotype" w:hAnsi="Palatino Linotype"/>
        </w:rPr>
        <w:t xml:space="preserve"> of practice</w:t>
      </w:r>
      <w:r w:rsidR="00D04B09" w:rsidRPr="00E443AD">
        <w:rPr>
          <w:rFonts w:ascii="Palatino Linotype" w:hAnsi="Palatino Linotype"/>
        </w:rPr>
        <w:t xml:space="preserve">.  </w:t>
      </w:r>
      <w:r w:rsidR="00B576D0" w:rsidRPr="00E443AD">
        <w:rPr>
          <w:rFonts w:ascii="Palatino Linotype" w:hAnsi="Palatino Linotype"/>
        </w:rPr>
        <w:t xml:space="preserve">Competent health lawyers </w:t>
      </w:r>
      <w:r w:rsidR="0085398C" w:rsidRPr="00E443AD">
        <w:rPr>
          <w:rFonts w:ascii="Palatino Linotype" w:hAnsi="Palatino Linotype"/>
        </w:rPr>
        <w:t>are</w:t>
      </w:r>
      <w:r w:rsidR="00B576D0" w:rsidRPr="00E443AD">
        <w:rPr>
          <w:rFonts w:ascii="Palatino Linotype" w:hAnsi="Palatino Linotype"/>
        </w:rPr>
        <w:t xml:space="preserve"> </w:t>
      </w:r>
      <w:r w:rsidR="00744325" w:rsidRPr="00E443AD">
        <w:rPr>
          <w:rFonts w:ascii="Palatino Linotype" w:hAnsi="Palatino Linotype"/>
        </w:rPr>
        <w:t xml:space="preserve">usually </w:t>
      </w:r>
      <w:r w:rsidR="00B576D0" w:rsidRPr="00E443AD">
        <w:rPr>
          <w:rFonts w:ascii="Palatino Linotype" w:hAnsi="Palatino Linotype"/>
        </w:rPr>
        <w:t>generalist</w:t>
      </w:r>
      <w:r w:rsidR="00744325" w:rsidRPr="00E443AD">
        <w:rPr>
          <w:rFonts w:ascii="Palatino Linotype" w:hAnsi="Palatino Linotype"/>
        </w:rPr>
        <w:t>s</w:t>
      </w:r>
      <w:r w:rsidR="00D23AEF" w:rsidRPr="00E443AD">
        <w:rPr>
          <w:rFonts w:ascii="Palatino Linotype" w:hAnsi="Palatino Linotype"/>
        </w:rPr>
        <w:t xml:space="preserve">, working in, among other things, corporate, </w:t>
      </w:r>
      <w:r w:rsidR="00744325" w:rsidRPr="00E443AD">
        <w:rPr>
          <w:rFonts w:ascii="Palatino Linotype" w:hAnsi="Palatino Linotype"/>
        </w:rPr>
        <w:t xml:space="preserve">administrative and </w:t>
      </w:r>
      <w:r w:rsidR="00D04B09" w:rsidRPr="00E443AD">
        <w:rPr>
          <w:rFonts w:ascii="Palatino Linotype" w:hAnsi="Palatino Linotype"/>
        </w:rPr>
        <w:t xml:space="preserve">regulatory, </w:t>
      </w:r>
      <w:r w:rsidR="00D23AEF" w:rsidRPr="00E443AD">
        <w:rPr>
          <w:rFonts w:ascii="Palatino Linotype" w:hAnsi="Palatino Linotype"/>
        </w:rPr>
        <w:t>tort, contract, and employment law</w:t>
      </w:r>
      <w:r w:rsidR="006C0903" w:rsidRPr="00E443AD">
        <w:rPr>
          <w:rFonts w:ascii="Palatino Linotype" w:hAnsi="Palatino Linotype"/>
        </w:rPr>
        <w:t xml:space="preserve">. </w:t>
      </w:r>
      <w:r w:rsidR="00744325" w:rsidRPr="00E443AD">
        <w:rPr>
          <w:rFonts w:ascii="Palatino Linotype" w:hAnsi="Palatino Linotype"/>
        </w:rPr>
        <w:t xml:space="preserve">As generalists, their </w:t>
      </w:r>
      <w:r w:rsidR="00E95D9F" w:rsidRPr="00E443AD">
        <w:rPr>
          <w:rFonts w:ascii="Palatino Linotype" w:hAnsi="Palatino Linotype"/>
        </w:rPr>
        <w:t xml:space="preserve">skills </w:t>
      </w:r>
      <w:r w:rsidR="003B501A" w:rsidRPr="00E443AD">
        <w:rPr>
          <w:rFonts w:ascii="Palatino Linotype" w:hAnsi="Palatino Linotype"/>
        </w:rPr>
        <w:t>are</w:t>
      </w:r>
      <w:r w:rsidR="00744325" w:rsidRPr="00E443AD">
        <w:rPr>
          <w:rFonts w:ascii="Palatino Linotype" w:hAnsi="Palatino Linotype"/>
        </w:rPr>
        <w:t xml:space="preserve"> applied</w:t>
      </w:r>
      <w:r w:rsidR="00E95D9F" w:rsidRPr="00E443AD">
        <w:rPr>
          <w:rFonts w:ascii="Palatino Linotype" w:hAnsi="Palatino Linotype"/>
        </w:rPr>
        <w:t xml:space="preserve"> to the demands of </w:t>
      </w:r>
      <w:r w:rsidR="006C0903" w:rsidRPr="00E443AD">
        <w:rPr>
          <w:rFonts w:ascii="Palatino Linotype" w:hAnsi="Palatino Linotype"/>
        </w:rPr>
        <w:t xml:space="preserve">diverse </w:t>
      </w:r>
      <w:r w:rsidR="00E95D9F" w:rsidRPr="00E443AD">
        <w:rPr>
          <w:rFonts w:ascii="Palatino Linotype" w:hAnsi="Palatino Linotype"/>
        </w:rPr>
        <w:t>legal work</w:t>
      </w:r>
      <w:r w:rsidR="006C0903" w:rsidRPr="00E443AD">
        <w:rPr>
          <w:rFonts w:ascii="Palatino Linotype" w:hAnsi="Palatino Linotype"/>
        </w:rPr>
        <w:t>,</w:t>
      </w:r>
      <w:r w:rsidR="00E95D9F" w:rsidRPr="00E443AD">
        <w:rPr>
          <w:rFonts w:ascii="Palatino Linotype" w:hAnsi="Palatino Linotype"/>
        </w:rPr>
        <w:t xml:space="preserve"> wh</w:t>
      </w:r>
      <w:r w:rsidR="006C0903" w:rsidRPr="00E443AD">
        <w:rPr>
          <w:rFonts w:ascii="Palatino Linotype" w:hAnsi="Palatino Linotype"/>
        </w:rPr>
        <w:t xml:space="preserve">ich </w:t>
      </w:r>
      <w:r w:rsidR="004C5A1A" w:rsidRPr="00E443AD">
        <w:rPr>
          <w:rFonts w:ascii="Palatino Linotype" w:hAnsi="Palatino Linotype"/>
        </w:rPr>
        <w:t>encompasses</w:t>
      </w:r>
      <w:r w:rsidR="006C0903" w:rsidRPr="00E443AD">
        <w:rPr>
          <w:rFonts w:ascii="Palatino Linotype" w:hAnsi="Palatino Linotype"/>
        </w:rPr>
        <w:t xml:space="preserve"> a </w:t>
      </w:r>
      <w:r w:rsidR="00E95D9F" w:rsidRPr="00E443AD">
        <w:rPr>
          <w:rFonts w:ascii="Palatino Linotype" w:hAnsi="Palatino Linotype"/>
        </w:rPr>
        <w:t>broad array of general and specific laws affecting health</w:t>
      </w:r>
      <w:r w:rsidR="006C0903" w:rsidRPr="00E443AD">
        <w:rPr>
          <w:rFonts w:ascii="Palatino Linotype" w:hAnsi="Palatino Linotype"/>
        </w:rPr>
        <w:t xml:space="preserve"> and health-related organizations </w:t>
      </w:r>
      <w:r w:rsidRPr="00E443AD">
        <w:rPr>
          <w:rFonts w:ascii="Palatino Linotype" w:hAnsi="Palatino Linotype"/>
        </w:rPr>
        <w:t>in</w:t>
      </w:r>
      <w:r w:rsidR="00E95D9F" w:rsidRPr="00E443AD">
        <w:rPr>
          <w:rFonts w:ascii="Palatino Linotype" w:hAnsi="Palatino Linotype"/>
        </w:rPr>
        <w:t xml:space="preserve"> a wide range of </w:t>
      </w:r>
      <w:r w:rsidR="006C0903" w:rsidRPr="00E443AD">
        <w:rPr>
          <w:rFonts w:ascii="Palatino Linotype" w:hAnsi="Palatino Linotype"/>
        </w:rPr>
        <w:t xml:space="preserve">public and private </w:t>
      </w:r>
      <w:r w:rsidR="00E95D9F" w:rsidRPr="00E443AD">
        <w:rPr>
          <w:rFonts w:ascii="Palatino Linotype" w:hAnsi="Palatino Linotype"/>
        </w:rPr>
        <w:t>practice settings.</w:t>
      </w:r>
      <w:r w:rsidR="006C0903" w:rsidRPr="00E443AD">
        <w:rPr>
          <w:rFonts w:ascii="Palatino Linotype" w:hAnsi="Palatino Linotype"/>
        </w:rPr>
        <w:t xml:space="preserve"> </w:t>
      </w:r>
      <w:r w:rsidR="00E95D9F" w:rsidRPr="00E443AD">
        <w:rPr>
          <w:rFonts w:ascii="Palatino Linotype" w:hAnsi="Palatino Linotype"/>
        </w:rPr>
        <w:t xml:space="preserve">Second, </w:t>
      </w:r>
      <w:r w:rsidR="006C0903" w:rsidRPr="00E443AD">
        <w:rPr>
          <w:rFonts w:ascii="Palatino Linotype" w:hAnsi="Palatino Linotype"/>
        </w:rPr>
        <w:t>contemporary health lawyer</w:t>
      </w:r>
      <w:r w:rsidR="00E82F2C" w:rsidRPr="00E443AD">
        <w:rPr>
          <w:rFonts w:ascii="Palatino Linotype" w:hAnsi="Palatino Linotype"/>
        </w:rPr>
        <w:t>s</w:t>
      </w:r>
      <w:r w:rsidR="002C27C3" w:rsidRPr="00E443AD">
        <w:rPr>
          <w:rFonts w:ascii="Palatino Linotype" w:hAnsi="Palatino Linotype"/>
        </w:rPr>
        <w:t xml:space="preserve"> need</w:t>
      </w:r>
      <w:r w:rsidR="006C0903" w:rsidRPr="00E443AD">
        <w:rPr>
          <w:rFonts w:ascii="Palatino Linotype" w:hAnsi="Palatino Linotype"/>
        </w:rPr>
        <w:t xml:space="preserve"> to have a solid and well-rounded background </w:t>
      </w:r>
      <w:r w:rsidR="000E475F" w:rsidRPr="00E443AD">
        <w:rPr>
          <w:rFonts w:ascii="Palatino Linotype" w:hAnsi="Palatino Linotype"/>
        </w:rPr>
        <w:t xml:space="preserve">and be able </w:t>
      </w:r>
      <w:r w:rsidR="002C27C3" w:rsidRPr="00E443AD">
        <w:rPr>
          <w:rFonts w:ascii="Palatino Linotype" w:hAnsi="Palatino Linotype"/>
        </w:rPr>
        <w:t>to work with professionals from other non-legal, health-related disciplines</w:t>
      </w:r>
      <w:r w:rsidR="006C0903" w:rsidRPr="00E443AD">
        <w:rPr>
          <w:rFonts w:ascii="Palatino Linotype" w:hAnsi="Palatino Linotype"/>
        </w:rPr>
        <w:t>.  Third,</w:t>
      </w:r>
      <w:r w:rsidR="004C5A1A" w:rsidRPr="00E443AD">
        <w:rPr>
          <w:rFonts w:ascii="Palatino Linotype" w:hAnsi="Palatino Linotype"/>
        </w:rPr>
        <w:t xml:space="preserve"> trends in legal education favor structuring a curriculum </w:t>
      </w:r>
      <w:r w:rsidR="00CC6772" w:rsidRPr="00E443AD">
        <w:rPr>
          <w:rFonts w:ascii="Palatino Linotype" w:hAnsi="Palatino Linotype"/>
        </w:rPr>
        <w:t xml:space="preserve">not only </w:t>
      </w:r>
      <w:r w:rsidR="004C5A1A" w:rsidRPr="00E443AD">
        <w:rPr>
          <w:rFonts w:ascii="Palatino Linotype" w:hAnsi="Palatino Linotype"/>
        </w:rPr>
        <w:t>to in</w:t>
      </w:r>
      <w:r w:rsidR="00306A87" w:rsidRPr="00E443AD">
        <w:rPr>
          <w:rFonts w:ascii="Palatino Linotype" w:hAnsi="Palatino Linotype"/>
        </w:rPr>
        <w:t>tegrate</w:t>
      </w:r>
      <w:r w:rsidR="004C5A1A" w:rsidRPr="00E443AD">
        <w:rPr>
          <w:rFonts w:ascii="Palatino Linotype" w:hAnsi="Palatino Linotype"/>
        </w:rPr>
        <w:t xml:space="preserve"> doctrinal knowledge and theories, but also </w:t>
      </w:r>
      <w:r w:rsidR="00E82F2C" w:rsidRPr="00E443AD">
        <w:rPr>
          <w:rFonts w:ascii="Palatino Linotype" w:hAnsi="Palatino Linotype"/>
        </w:rPr>
        <w:t xml:space="preserve">to promote </w:t>
      </w:r>
      <w:r w:rsidR="00306A87" w:rsidRPr="00E443AD">
        <w:rPr>
          <w:rFonts w:ascii="Palatino Linotype" w:hAnsi="Palatino Linotype"/>
        </w:rPr>
        <w:t xml:space="preserve">development of </w:t>
      </w:r>
      <w:r w:rsidR="00F848D9" w:rsidRPr="00E443AD">
        <w:rPr>
          <w:rFonts w:ascii="Palatino Linotype" w:hAnsi="Palatino Linotype"/>
        </w:rPr>
        <w:t>sound</w:t>
      </w:r>
      <w:r w:rsidR="004C5A1A" w:rsidRPr="00E443AD">
        <w:rPr>
          <w:rFonts w:ascii="Palatino Linotype" w:hAnsi="Palatino Linotype"/>
        </w:rPr>
        <w:t xml:space="preserve"> lawyering skills, </w:t>
      </w:r>
      <w:r w:rsidR="00F848D9" w:rsidRPr="00E443AD">
        <w:rPr>
          <w:rFonts w:ascii="Palatino Linotype" w:hAnsi="Palatino Linotype"/>
        </w:rPr>
        <w:t xml:space="preserve">effective </w:t>
      </w:r>
      <w:r w:rsidR="00E82F2C" w:rsidRPr="00E443AD">
        <w:rPr>
          <w:rFonts w:ascii="Palatino Linotype" w:hAnsi="Palatino Linotype"/>
        </w:rPr>
        <w:t>interpersonal</w:t>
      </w:r>
      <w:r w:rsidR="004C5A1A" w:rsidRPr="00E443AD">
        <w:rPr>
          <w:rFonts w:ascii="Palatino Linotype" w:hAnsi="Palatino Linotype"/>
        </w:rPr>
        <w:t xml:space="preserve"> behaviors, and professional values</w:t>
      </w:r>
      <w:r w:rsidR="00E82F2C" w:rsidRPr="00E443AD">
        <w:rPr>
          <w:rFonts w:ascii="Palatino Linotype" w:hAnsi="Palatino Linotype"/>
        </w:rPr>
        <w:t>, ethics,</w:t>
      </w:r>
      <w:r w:rsidR="004C5A1A" w:rsidRPr="00E443AD">
        <w:rPr>
          <w:rFonts w:ascii="Palatino Linotype" w:hAnsi="Palatino Linotype"/>
        </w:rPr>
        <w:t xml:space="preserve"> and habits.</w:t>
      </w:r>
      <w:r w:rsidR="007C30CF" w:rsidRPr="00E443AD">
        <w:rPr>
          <w:rStyle w:val="FootnoteReference"/>
          <w:rFonts w:ascii="Palatino Linotype" w:hAnsi="Palatino Linotype"/>
        </w:rPr>
        <w:footnoteReference w:id="17"/>
      </w:r>
      <w:r w:rsidR="007C30CF" w:rsidRPr="00E443AD">
        <w:rPr>
          <w:rFonts w:ascii="Palatino Linotype" w:hAnsi="Palatino Linotype"/>
        </w:rPr>
        <w:t xml:space="preserve"> </w:t>
      </w:r>
      <w:r w:rsidRPr="00E443AD">
        <w:rPr>
          <w:rFonts w:ascii="Palatino Linotype" w:hAnsi="Palatino Linotype"/>
        </w:rPr>
        <w:lastRenderedPageBreak/>
        <w:t xml:space="preserve">Finally, </w:t>
      </w:r>
      <w:r w:rsidR="007C30CF" w:rsidRPr="00E443AD">
        <w:rPr>
          <w:rFonts w:ascii="Palatino Linotype" w:hAnsi="Palatino Linotype"/>
        </w:rPr>
        <w:t>while the certificate program uses</w:t>
      </w:r>
      <w:r w:rsidRPr="00E443AD">
        <w:rPr>
          <w:rFonts w:ascii="Palatino Linotype" w:hAnsi="Palatino Linotype"/>
        </w:rPr>
        <w:t xml:space="preserve"> the health field as a lens and context for studying law, the </w:t>
      </w:r>
      <w:r w:rsidR="007C30CF" w:rsidRPr="00E443AD">
        <w:rPr>
          <w:rFonts w:ascii="Palatino Linotype" w:hAnsi="Palatino Linotype"/>
        </w:rPr>
        <w:t xml:space="preserve">required </w:t>
      </w:r>
      <w:r w:rsidRPr="00E443AD">
        <w:rPr>
          <w:rFonts w:ascii="Palatino Linotype" w:hAnsi="Palatino Linotype"/>
        </w:rPr>
        <w:t>curriculum offer</w:t>
      </w:r>
      <w:r w:rsidR="00212FA3" w:rsidRPr="00E443AD">
        <w:rPr>
          <w:rFonts w:ascii="Palatino Linotype" w:hAnsi="Palatino Linotype"/>
        </w:rPr>
        <w:t>s</w:t>
      </w:r>
      <w:r w:rsidRPr="00E443AD">
        <w:rPr>
          <w:rFonts w:ascii="Palatino Linotype" w:hAnsi="Palatino Linotype"/>
        </w:rPr>
        <w:t xml:space="preserve"> a foundation in knowledge, skills, and values that </w:t>
      </w:r>
      <w:r w:rsidR="00602F98" w:rsidRPr="00E443AD">
        <w:rPr>
          <w:rFonts w:ascii="Palatino Linotype" w:hAnsi="Palatino Linotype"/>
        </w:rPr>
        <w:t>is</w:t>
      </w:r>
      <w:r w:rsidRPr="00E443AD">
        <w:rPr>
          <w:rFonts w:ascii="Palatino Linotype" w:hAnsi="Palatino Linotype"/>
        </w:rPr>
        <w:t xml:space="preserve"> readily transfer</w:t>
      </w:r>
      <w:r w:rsidR="007C30CF" w:rsidRPr="00E443AD">
        <w:rPr>
          <w:rFonts w:ascii="Palatino Linotype" w:hAnsi="Palatino Linotype"/>
        </w:rPr>
        <w:t xml:space="preserve">able to other legal fields. </w:t>
      </w:r>
      <w:r w:rsidR="009409A1" w:rsidRPr="00E443AD">
        <w:rPr>
          <w:rFonts w:ascii="Palatino Linotype" w:hAnsi="Palatino Linotype"/>
        </w:rPr>
        <w:t>Students generally seek a health law certificate to acquire focused preparation for a career in health law.  However, even students who do not plan a career in health law have recognized the benefits of following a prescribed curricular path</w:t>
      </w:r>
      <w:r w:rsidR="000415AB" w:rsidRPr="00E443AD">
        <w:rPr>
          <w:rFonts w:ascii="Palatino Linotype" w:hAnsi="Palatino Linotype"/>
        </w:rPr>
        <w:t xml:space="preserve"> the develops transferrable skills</w:t>
      </w:r>
      <w:r w:rsidR="009409A1" w:rsidRPr="00E443AD">
        <w:rPr>
          <w:rFonts w:ascii="Palatino Linotype" w:hAnsi="Palatino Linotype"/>
        </w:rPr>
        <w:t xml:space="preserve">.  </w:t>
      </w:r>
      <w:r w:rsidR="007C30CF" w:rsidRPr="00E443AD">
        <w:rPr>
          <w:rFonts w:ascii="Palatino Linotype" w:hAnsi="Palatino Linotype"/>
        </w:rPr>
        <w:t>Participati</w:t>
      </w:r>
      <w:r w:rsidR="00602F98" w:rsidRPr="00E443AD">
        <w:rPr>
          <w:rFonts w:ascii="Palatino Linotype" w:hAnsi="Palatino Linotype"/>
        </w:rPr>
        <w:t>ng</w:t>
      </w:r>
      <w:r w:rsidR="007C30CF" w:rsidRPr="00E443AD">
        <w:rPr>
          <w:rFonts w:ascii="Palatino Linotype" w:hAnsi="Palatino Linotype"/>
        </w:rPr>
        <w:t xml:space="preserve"> in the certificate </w:t>
      </w:r>
      <w:r w:rsidRPr="00E443AD">
        <w:rPr>
          <w:rFonts w:ascii="Palatino Linotype" w:hAnsi="Palatino Linotype"/>
        </w:rPr>
        <w:t>program promotes students’ resourcefulness and their ability to adapt successfully to rapidly changing legal, political, social, technological, and global environments</w:t>
      </w:r>
      <w:r w:rsidR="007C30CF" w:rsidRPr="00E443AD">
        <w:rPr>
          <w:rFonts w:ascii="Palatino Linotype" w:hAnsi="Palatino Linotype"/>
        </w:rPr>
        <w:t>, regardless of their ultimate area of practice</w:t>
      </w:r>
      <w:r w:rsidRPr="00E443AD">
        <w:rPr>
          <w:rFonts w:ascii="Palatino Linotype" w:hAnsi="Palatino Linotype"/>
        </w:rPr>
        <w:t xml:space="preserve">.  </w:t>
      </w:r>
      <w:r w:rsidR="004C5A1A" w:rsidRPr="00E443AD">
        <w:rPr>
          <w:rFonts w:ascii="Palatino Linotype" w:hAnsi="Palatino Linotype"/>
        </w:rPr>
        <w:t xml:space="preserve">  </w:t>
      </w:r>
      <w:r w:rsidR="006C0903" w:rsidRPr="00E443AD">
        <w:rPr>
          <w:rFonts w:ascii="Palatino Linotype" w:hAnsi="Palatino Linotype"/>
        </w:rPr>
        <w:t xml:space="preserve"> </w:t>
      </w:r>
      <w:r w:rsidR="00D04B09" w:rsidRPr="00E443AD">
        <w:rPr>
          <w:rFonts w:ascii="Palatino Linotype" w:hAnsi="Palatino Linotype"/>
        </w:rPr>
        <w:t xml:space="preserve"> </w:t>
      </w:r>
      <w:r w:rsidR="0024255D" w:rsidRPr="00E443AD">
        <w:rPr>
          <w:rFonts w:ascii="Palatino Linotype" w:hAnsi="Palatino Linotype"/>
        </w:rPr>
        <w:tab/>
      </w:r>
    </w:p>
    <w:p w14:paraId="5E9BA4CA" w14:textId="77777777" w:rsidR="00D04B09" w:rsidRPr="00E443AD" w:rsidRDefault="00D04B09" w:rsidP="00CC7EFA">
      <w:pPr>
        <w:spacing w:line="480" w:lineRule="auto"/>
        <w:jc w:val="both"/>
        <w:rPr>
          <w:rFonts w:ascii="Palatino Linotype" w:hAnsi="Palatino Linotype"/>
        </w:rPr>
      </w:pPr>
    </w:p>
    <w:p w14:paraId="38D2C883" w14:textId="10CBD07C" w:rsidR="00B5059E" w:rsidRPr="00E443AD" w:rsidRDefault="00075E4E" w:rsidP="00CC7EFA">
      <w:pPr>
        <w:spacing w:line="480" w:lineRule="auto"/>
        <w:jc w:val="both"/>
        <w:rPr>
          <w:rFonts w:ascii="Palatino Linotype" w:hAnsi="Palatino Linotype"/>
        </w:rPr>
      </w:pPr>
      <w:r w:rsidRPr="00E443AD">
        <w:rPr>
          <w:rFonts w:ascii="Palatino Linotype" w:hAnsi="Palatino Linotype"/>
          <w:i/>
        </w:rPr>
        <w:t>Core Competencies in Health Law</w:t>
      </w:r>
      <w:r w:rsidR="007C30CF" w:rsidRPr="00E443AD">
        <w:rPr>
          <w:rFonts w:ascii="Palatino Linotype" w:hAnsi="Palatino Linotype"/>
        </w:rPr>
        <w:t xml:space="preserve">. </w:t>
      </w:r>
      <w:r w:rsidR="00561D5A" w:rsidRPr="00E443AD">
        <w:rPr>
          <w:rFonts w:ascii="Palatino Linotype" w:hAnsi="Palatino Linotype"/>
        </w:rPr>
        <w:t xml:space="preserve">To determine the specific </w:t>
      </w:r>
      <w:r w:rsidR="00A04841" w:rsidRPr="00E443AD">
        <w:rPr>
          <w:rFonts w:ascii="Palatino Linotype" w:hAnsi="Palatino Linotype"/>
        </w:rPr>
        <w:t xml:space="preserve">course requirements </w:t>
      </w:r>
      <w:r w:rsidR="00561D5A" w:rsidRPr="00E443AD">
        <w:rPr>
          <w:rFonts w:ascii="Palatino Linotype" w:hAnsi="Palatino Linotype"/>
        </w:rPr>
        <w:t xml:space="preserve">of the certificate program, </w:t>
      </w:r>
      <w:r w:rsidR="009409A1" w:rsidRPr="00E443AD">
        <w:rPr>
          <w:rFonts w:ascii="Palatino Linotype" w:hAnsi="Palatino Linotype"/>
        </w:rPr>
        <w:t>the health law faculty</w:t>
      </w:r>
      <w:r w:rsidR="00561D5A" w:rsidRPr="00E443AD">
        <w:rPr>
          <w:rFonts w:ascii="Palatino Linotype" w:hAnsi="Palatino Linotype"/>
        </w:rPr>
        <w:t xml:space="preserve"> first identified the core competencies </w:t>
      </w:r>
      <w:r w:rsidR="00C11EB8" w:rsidRPr="00E443AD">
        <w:rPr>
          <w:rFonts w:ascii="Palatino Linotype" w:hAnsi="Palatino Linotype"/>
        </w:rPr>
        <w:t xml:space="preserve">in health law </w:t>
      </w:r>
      <w:r w:rsidR="00561D5A" w:rsidRPr="00E443AD">
        <w:rPr>
          <w:rFonts w:ascii="Palatino Linotype" w:hAnsi="Palatino Linotype"/>
        </w:rPr>
        <w:t xml:space="preserve">each student should develop. </w:t>
      </w:r>
      <w:r w:rsidR="00B576D0" w:rsidRPr="00E443AD">
        <w:rPr>
          <w:rFonts w:ascii="Palatino Linotype" w:hAnsi="Palatino Linotype"/>
        </w:rPr>
        <w:t>“</w:t>
      </w:r>
      <w:r w:rsidR="007D08BC" w:rsidRPr="00E443AD">
        <w:rPr>
          <w:rFonts w:ascii="Palatino Linotype" w:hAnsi="Palatino Linotype"/>
        </w:rPr>
        <w:t>C</w:t>
      </w:r>
      <w:r w:rsidR="00B576D0" w:rsidRPr="00E443AD">
        <w:rPr>
          <w:rFonts w:ascii="Palatino Linotype" w:hAnsi="Palatino Linotype"/>
        </w:rPr>
        <w:t>ompetency” does not mean mastery</w:t>
      </w:r>
      <w:r w:rsidR="00561D5A" w:rsidRPr="00E443AD">
        <w:rPr>
          <w:rFonts w:ascii="Palatino Linotype" w:hAnsi="Palatino Linotype"/>
        </w:rPr>
        <w:t xml:space="preserve">, but rather, at a minimum, </w:t>
      </w:r>
      <w:r w:rsidR="00B576D0" w:rsidRPr="00E443AD">
        <w:rPr>
          <w:rFonts w:ascii="Palatino Linotype" w:hAnsi="Palatino Linotype"/>
        </w:rPr>
        <w:t xml:space="preserve">an </w:t>
      </w:r>
      <w:r w:rsidR="00561D5A" w:rsidRPr="00E443AD">
        <w:rPr>
          <w:rFonts w:ascii="Palatino Linotype" w:hAnsi="Palatino Linotype"/>
        </w:rPr>
        <w:t>initiation to the fundamentals</w:t>
      </w:r>
      <w:r w:rsidR="00212FA3" w:rsidRPr="00E443AD">
        <w:rPr>
          <w:rFonts w:ascii="Palatino Linotype" w:hAnsi="Palatino Linotype"/>
        </w:rPr>
        <w:t xml:space="preserve"> </w:t>
      </w:r>
      <w:r w:rsidR="00C11EB8" w:rsidRPr="00E443AD">
        <w:rPr>
          <w:rFonts w:ascii="Palatino Linotype" w:hAnsi="Palatino Linotype"/>
        </w:rPr>
        <w:t>of</w:t>
      </w:r>
      <w:r w:rsidR="00B576D0" w:rsidRPr="00E443AD">
        <w:rPr>
          <w:rFonts w:ascii="Palatino Linotype" w:hAnsi="Palatino Linotype"/>
        </w:rPr>
        <w:t xml:space="preserve"> the subject matters, skills, and values</w:t>
      </w:r>
      <w:r w:rsidR="001E39F4" w:rsidRPr="00E443AD">
        <w:rPr>
          <w:rFonts w:ascii="Palatino Linotype" w:hAnsi="Palatino Linotype"/>
        </w:rPr>
        <w:t xml:space="preserve"> that</w:t>
      </w:r>
      <w:r w:rsidR="00B576D0" w:rsidRPr="00E443AD">
        <w:rPr>
          <w:rFonts w:ascii="Palatino Linotype" w:hAnsi="Palatino Linotype"/>
        </w:rPr>
        <w:t xml:space="preserve"> are considered central to an understanding of and orientation to the health law field.</w:t>
      </w:r>
      <w:r w:rsidR="00C30D22" w:rsidRPr="00E443AD">
        <w:rPr>
          <w:rFonts w:ascii="Palatino Linotype" w:hAnsi="Palatino Linotype"/>
        </w:rPr>
        <w:t xml:space="preserve">  </w:t>
      </w:r>
      <w:r w:rsidR="00E00041" w:rsidRPr="00E443AD">
        <w:rPr>
          <w:rFonts w:ascii="Palatino Linotype" w:hAnsi="Palatino Linotype"/>
        </w:rPr>
        <w:t xml:space="preserve">The </w:t>
      </w:r>
      <w:r w:rsidR="00E00041" w:rsidRPr="00E443AD">
        <w:rPr>
          <w:rFonts w:ascii="Palatino Linotype" w:hAnsi="Palatino Linotype"/>
        </w:rPr>
        <w:lastRenderedPageBreak/>
        <w:t>faculty</w:t>
      </w:r>
      <w:r w:rsidR="00561D5A" w:rsidRPr="00E443AD">
        <w:rPr>
          <w:rFonts w:ascii="Palatino Linotype" w:hAnsi="Palatino Linotype"/>
        </w:rPr>
        <w:t xml:space="preserve"> also agreed that development </w:t>
      </w:r>
      <w:r w:rsidR="009D2374" w:rsidRPr="00E443AD">
        <w:rPr>
          <w:rFonts w:ascii="Palatino Linotype" w:hAnsi="Palatino Linotype"/>
        </w:rPr>
        <w:t xml:space="preserve">of </w:t>
      </w:r>
      <w:r w:rsidR="0047375C" w:rsidRPr="00E443AD">
        <w:rPr>
          <w:rFonts w:ascii="Palatino Linotype" w:hAnsi="Palatino Linotype"/>
        </w:rPr>
        <w:t xml:space="preserve">any of these </w:t>
      </w:r>
      <w:r w:rsidR="00F01445" w:rsidRPr="00E443AD">
        <w:rPr>
          <w:rFonts w:ascii="Palatino Linotype" w:hAnsi="Palatino Linotype"/>
        </w:rPr>
        <w:t>core competencies – particularly in skills and values -- do</w:t>
      </w:r>
      <w:r w:rsidR="00212FA3" w:rsidRPr="00E443AD">
        <w:rPr>
          <w:rFonts w:ascii="Palatino Linotype" w:hAnsi="Palatino Linotype"/>
        </w:rPr>
        <w:t>es</w:t>
      </w:r>
      <w:r w:rsidR="00F01445" w:rsidRPr="00E443AD">
        <w:rPr>
          <w:rFonts w:ascii="Palatino Linotype" w:hAnsi="Palatino Linotype"/>
        </w:rPr>
        <w:t xml:space="preserve"> not depend on having specific health law courses to foster them</w:t>
      </w:r>
      <w:r w:rsidR="00561D5A" w:rsidRPr="00E443AD">
        <w:rPr>
          <w:rFonts w:ascii="Palatino Linotype" w:hAnsi="Palatino Linotype"/>
        </w:rPr>
        <w:t xml:space="preserve">. Nevertheless, if </w:t>
      </w:r>
      <w:r w:rsidR="00E00041" w:rsidRPr="00E443AD">
        <w:rPr>
          <w:rFonts w:ascii="Palatino Linotype" w:hAnsi="Palatino Linotype"/>
        </w:rPr>
        <w:t>the faculty</w:t>
      </w:r>
      <w:r w:rsidR="000415AB" w:rsidRPr="00E443AD">
        <w:rPr>
          <w:rFonts w:ascii="Palatino Linotype" w:hAnsi="Palatino Linotype"/>
        </w:rPr>
        <w:t xml:space="preserve"> </w:t>
      </w:r>
      <w:r w:rsidR="00561D5A" w:rsidRPr="00E443AD">
        <w:rPr>
          <w:rFonts w:ascii="Palatino Linotype" w:hAnsi="Palatino Linotype"/>
        </w:rPr>
        <w:t xml:space="preserve">deemed a specific knowledge, skill, or value a core competency, then </w:t>
      </w:r>
      <w:r w:rsidR="00E00041" w:rsidRPr="00E443AD">
        <w:rPr>
          <w:rFonts w:ascii="Palatino Linotype" w:hAnsi="Palatino Linotype"/>
        </w:rPr>
        <w:t xml:space="preserve">it was </w:t>
      </w:r>
      <w:r w:rsidR="000415AB" w:rsidRPr="00E443AD">
        <w:rPr>
          <w:rFonts w:ascii="Palatino Linotype" w:hAnsi="Palatino Linotype"/>
        </w:rPr>
        <w:t xml:space="preserve">imperative </w:t>
      </w:r>
      <w:r w:rsidR="00E00041" w:rsidRPr="00E443AD">
        <w:rPr>
          <w:rFonts w:ascii="Palatino Linotype" w:hAnsi="Palatino Linotype"/>
        </w:rPr>
        <w:t xml:space="preserve">to </w:t>
      </w:r>
      <w:r w:rsidR="00561D5A" w:rsidRPr="00E443AD">
        <w:rPr>
          <w:rFonts w:ascii="Palatino Linotype" w:hAnsi="Palatino Linotype"/>
        </w:rPr>
        <w:t xml:space="preserve">ensure that </w:t>
      </w:r>
      <w:r w:rsidR="00561D5A" w:rsidRPr="00E443AD">
        <w:rPr>
          <w:rFonts w:ascii="Palatino Linotype" w:hAnsi="Palatino Linotype"/>
          <w:i/>
        </w:rPr>
        <w:t xml:space="preserve">every </w:t>
      </w:r>
      <w:r w:rsidR="00561D5A" w:rsidRPr="00E443AD">
        <w:rPr>
          <w:rFonts w:ascii="Palatino Linotype" w:hAnsi="Palatino Linotype"/>
        </w:rPr>
        <w:t xml:space="preserve">certificate student had an opportunity to develop that core competency. Thus, knowledge competencies are </w:t>
      </w:r>
      <w:r w:rsidR="002D6D32" w:rsidRPr="00E443AD">
        <w:rPr>
          <w:rFonts w:ascii="Palatino Linotype" w:hAnsi="Palatino Linotype"/>
        </w:rPr>
        <w:t xml:space="preserve">typically </w:t>
      </w:r>
      <w:r w:rsidR="00561D5A" w:rsidRPr="00E443AD">
        <w:rPr>
          <w:rFonts w:ascii="Palatino Linotype" w:hAnsi="Palatino Linotype"/>
        </w:rPr>
        <w:t>delivered through the required courses</w:t>
      </w:r>
      <w:r w:rsidR="002D6D32" w:rsidRPr="00E443AD">
        <w:rPr>
          <w:rFonts w:ascii="Palatino Linotype" w:hAnsi="Palatino Linotype"/>
        </w:rPr>
        <w:t>, although they may be reinforced in other courses.</w:t>
      </w:r>
    </w:p>
    <w:p w14:paraId="1450289C" w14:textId="74CAF02C" w:rsidR="00212FA3" w:rsidRPr="00E443AD" w:rsidRDefault="0058016D" w:rsidP="00CC7EFA">
      <w:pPr>
        <w:spacing w:line="480" w:lineRule="auto"/>
        <w:ind w:firstLine="720"/>
        <w:jc w:val="both"/>
        <w:rPr>
          <w:rFonts w:ascii="Palatino Linotype" w:hAnsi="Palatino Linotype"/>
        </w:rPr>
      </w:pPr>
      <w:r w:rsidRPr="00E443AD">
        <w:rPr>
          <w:rFonts w:ascii="Palatino Linotype" w:hAnsi="Palatino Linotype"/>
        </w:rPr>
        <w:t>a.</w:t>
      </w:r>
      <w:r w:rsidRPr="00E443AD">
        <w:rPr>
          <w:rFonts w:ascii="Palatino Linotype" w:hAnsi="Palatino Linotype"/>
        </w:rPr>
        <w:tab/>
      </w:r>
      <w:r w:rsidRPr="00E443AD">
        <w:rPr>
          <w:rFonts w:ascii="Palatino Linotype" w:hAnsi="Palatino Linotype"/>
          <w:u w:val="single"/>
        </w:rPr>
        <w:t>Knowledge</w:t>
      </w:r>
      <w:r w:rsidR="001E59F4" w:rsidRPr="00E443AD">
        <w:rPr>
          <w:rFonts w:ascii="Palatino Linotype" w:hAnsi="Palatino Linotype"/>
          <w:b/>
          <w:i/>
          <w:u w:val="single"/>
        </w:rPr>
        <w:t xml:space="preserve"> </w:t>
      </w:r>
      <w:r w:rsidR="001E59F4" w:rsidRPr="00E443AD">
        <w:rPr>
          <w:rFonts w:ascii="Palatino Linotype" w:hAnsi="Palatino Linotype"/>
          <w:u w:val="single"/>
        </w:rPr>
        <w:t>Competencies:</w:t>
      </w:r>
      <w:r w:rsidRPr="00E443AD">
        <w:rPr>
          <w:rFonts w:ascii="Palatino Linotype" w:hAnsi="Palatino Linotype"/>
        </w:rPr>
        <w:t xml:space="preserve"> The health law educational program offer</w:t>
      </w:r>
      <w:r w:rsidR="00D50E32" w:rsidRPr="00E443AD">
        <w:rPr>
          <w:rFonts w:ascii="Palatino Linotype" w:hAnsi="Palatino Linotype"/>
        </w:rPr>
        <w:t>s</w:t>
      </w:r>
      <w:r w:rsidRPr="00E443AD">
        <w:rPr>
          <w:rFonts w:ascii="Palatino Linotype" w:hAnsi="Palatino Linotype"/>
        </w:rPr>
        <w:t xml:space="preserve"> foundational subject-matter content that initiates students into the key concepts, theories, doctrines, laws, policies, ethics, systems, and institutions in the health field.</w:t>
      </w:r>
      <w:r w:rsidR="002D6D32" w:rsidRPr="00E443AD">
        <w:rPr>
          <w:rFonts w:ascii="Palatino Linotype" w:hAnsi="Palatino Linotype"/>
        </w:rPr>
        <w:t xml:space="preserve"> </w:t>
      </w:r>
      <w:r w:rsidR="00212FA3" w:rsidRPr="00E443AD">
        <w:rPr>
          <w:rFonts w:ascii="Palatino Linotype" w:hAnsi="Palatino Linotype"/>
        </w:rPr>
        <w:t xml:space="preserve"> With respect to </w:t>
      </w:r>
      <w:r w:rsidR="002D6D32" w:rsidRPr="00E443AD">
        <w:rPr>
          <w:rFonts w:ascii="Palatino Linotype" w:hAnsi="Palatino Linotype"/>
        </w:rPr>
        <w:t>knowledge competencies</w:t>
      </w:r>
      <w:r w:rsidR="00212FA3" w:rsidRPr="00E443AD">
        <w:rPr>
          <w:rFonts w:ascii="Palatino Linotype" w:hAnsi="Palatino Linotype"/>
        </w:rPr>
        <w:t xml:space="preserve">, reflecting the breadth of the health law field, </w:t>
      </w:r>
      <w:r w:rsidR="00E00041" w:rsidRPr="00E443AD">
        <w:rPr>
          <w:rFonts w:ascii="Palatino Linotype" w:hAnsi="Palatino Linotype"/>
        </w:rPr>
        <w:t>the faculty</w:t>
      </w:r>
      <w:r w:rsidR="000415AB" w:rsidRPr="00E443AD">
        <w:rPr>
          <w:rFonts w:ascii="Palatino Linotype" w:hAnsi="Palatino Linotype"/>
        </w:rPr>
        <w:t xml:space="preserve"> </w:t>
      </w:r>
      <w:r w:rsidR="00212FA3" w:rsidRPr="00E443AD">
        <w:rPr>
          <w:rFonts w:ascii="Palatino Linotype" w:hAnsi="Palatino Linotype"/>
        </w:rPr>
        <w:t xml:space="preserve">identified </w:t>
      </w:r>
      <w:r w:rsidR="002D6D32" w:rsidRPr="00E443AD">
        <w:rPr>
          <w:rFonts w:ascii="Palatino Linotype" w:hAnsi="Palatino Linotype"/>
        </w:rPr>
        <w:t xml:space="preserve">a </w:t>
      </w:r>
      <w:r w:rsidR="00212FA3" w:rsidRPr="00E443AD">
        <w:rPr>
          <w:rFonts w:ascii="Palatino Linotype" w:hAnsi="Palatino Linotype"/>
        </w:rPr>
        <w:t xml:space="preserve">wide </w:t>
      </w:r>
      <w:r w:rsidR="002D6D32" w:rsidRPr="00E443AD">
        <w:rPr>
          <w:rFonts w:ascii="Palatino Linotype" w:hAnsi="Palatino Linotype"/>
        </w:rPr>
        <w:t xml:space="preserve">range of </w:t>
      </w:r>
      <w:r w:rsidR="00C11EB8" w:rsidRPr="00E443AD">
        <w:rPr>
          <w:rFonts w:ascii="Palatino Linotype" w:hAnsi="Palatino Linotype"/>
        </w:rPr>
        <w:t>topics (</w:t>
      </w:r>
      <w:r w:rsidR="00F30627" w:rsidRPr="00E443AD">
        <w:rPr>
          <w:rFonts w:ascii="Palatino Linotype" w:hAnsi="Palatino Linotype"/>
        </w:rPr>
        <w:t>as well as specific U</w:t>
      </w:r>
      <w:r w:rsidR="00C11EB8" w:rsidRPr="00E443AD">
        <w:rPr>
          <w:rFonts w:ascii="Palatino Linotype" w:hAnsi="Palatino Linotype"/>
        </w:rPr>
        <w:t>.</w:t>
      </w:r>
      <w:r w:rsidR="00F30627" w:rsidRPr="00E443AD">
        <w:rPr>
          <w:rFonts w:ascii="Palatino Linotype" w:hAnsi="Palatino Linotype"/>
        </w:rPr>
        <w:t>S</w:t>
      </w:r>
      <w:r w:rsidR="00C11EB8" w:rsidRPr="00E443AD">
        <w:rPr>
          <w:rFonts w:ascii="Palatino Linotype" w:hAnsi="Palatino Linotype"/>
        </w:rPr>
        <w:t>.</w:t>
      </w:r>
      <w:r w:rsidR="00F30627" w:rsidRPr="00E443AD">
        <w:rPr>
          <w:rFonts w:ascii="Palatino Linotype" w:hAnsi="Palatino Linotype"/>
        </w:rPr>
        <w:t xml:space="preserve"> statutes and regulations within those topics) </w:t>
      </w:r>
      <w:r w:rsidR="00212FA3" w:rsidRPr="00E443AD">
        <w:rPr>
          <w:rFonts w:ascii="Palatino Linotype" w:hAnsi="Palatino Linotype"/>
        </w:rPr>
        <w:t>to which every health lawyer should be exposed</w:t>
      </w:r>
      <w:r w:rsidR="009D2374" w:rsidRPr="00E443AD">
        <w:rPr>
          <w:rFonts w:ascii="Palatino Linotype" w:hAnsi="Palatino Linotype"/>
        </w:rPr>
        <w:t>.</w:t>
      </w:r>
      <w:r w:rsidR="00212FA3" w:rsidRPr="00E443AD">
        <w:rPr>
          <w:rFonts w:ascii="Palatino Linotype" w:hAnsi="Palatino Linotype"/>
        </w:rPr>
        <w:t xml:space="preserve"> These include: </w:t>
      </w:r>
      <w:r w:rsidR="00F30627" w:rsidRPr="00E443AD">
        <w:rPr>
          <w:rFonts w:ascii="Palatino Linotype" w:hAnsi="Palatino Linotype"/>
        </w:rPr>
        <w:t>(1) access to, payment for, and cost regulation of healthcare in both the private and public sectors; (2) regulation of healthcare providers; and (3) provider and institutional liability to patients. These topics are all addressed, in varying degrees, in two required health law courses – on</w:t>
      </w:r>
      <w:r w:rsidR="009D2374" w:rsidRPr="00E443AD">
        <w:rPr>
          <w:rFonts w:ascii="Palatino Linotype" w:hAnsi="Palatino Linotype"/>
        </w:rPr>
        <w:t>e</w:t>
      </w:r>
      <w:r w:rsidR="00F30627" w:rsidRPr="00E443AD">
        <w:rPr>
          <w:rFonts w:ascii="Palatino Linotype" w:hAnsi="Palatino Linotype"/>
        </w:rPr>
        <w:t xml:space="preserve"> that primarily addresses provider </w:t>
      </w:r>
      <w:r w:rsidR="00334DB3" w:rsidRPr="00E443AD">
        <w:rPr>
          <w:rFonts w:ascii="Palatino Linotype" w:hAnsi="Palatino Linotype"/>
        </w:rPr>
        <w:t xml:space="preserve">and institutional </w:t>
      </w:r>
      <w:r w:rsidR="00F30627" w:rsidRPr="00E443AD">
        <w:rPr>
          <w:rFonts w:ascii="Palatino Linotype" w:hAnsi="Palatino Linotype"/>
        </w:rPr>
        <w:t xml:space="preserve">liability and the other that primarily addresses healthcare regulation. Students may opt to </w:t>
      </w:r>
      <w:r w:rsidR="00C11EB8" w:rsidRPr="00E443AD">
        <w:rPr>
          <w:rFonts w:ascii="Palatino Linotype" w:hAnsi="Palatino Linotype"/>
        </w:rPr>
        <w:t>delve more deeply</w:t>
      </w:r>
      <w:r w:rsidR="00F30627" w:rsidRPr="00E443AD">
        <w:rPr>
          <w:rFonts w:ascii="Palatino Linotype" w:hAnsi="Palatino Linotype"/>
        </w:rPr>
        <w:t xml:space="preserve"> into these topics through health law electives. </w:t>
      </w:r>
    </w:p>
    <w:p w14:paraId="4BF34016" w14:textId="77777777" w:rsidR="00212FA3" w:rsidRPr="00E443AD" w:rsidRDefault="00212FA3" w:rsidP="00CC7EFA">
      <w:pPr>
        <w:spacing w:line="480" w:lineRule="auto"/>
        <w:jc w:val="both"/>
        <w:rPr>
          <w:rFonts w:ascii="Palatino Linotype" w:hAnsi="Palatino Linotype"/>
        </w:rPr>
      </w:pPr>
    </w:p>
    <w:p w14:paraId="2B5C3405" w14:textId="2BB9D086" w:rsidR="00212FA3" w:rsidRPr="00E443AD" w:rsidRDefault="00AF1465" w:rsidP="00E443AD">
      <w:pPr>
        <w:spacing w:line="480" w:lineRule="auto"/>
        <w:jc w:val="both"/>
        <w:rPr>
          <w:rFonts w:ascii="Palatino Linotype" w:hAnsi="Palatino Linotype"/>
        </w:rPr>
      </w:pPr>
      <w:r w:rsidRPr="00E443AD">
        <w:rPr>
          <w:rFonts w:ascii="Palatino Linotype" w:hAnsi="Palatino Linotype"/>
        </w:rPr>
        <w:lastRenderedPageBreak/>
        <w:t xml:space="preserve">Given that healthcare is a heavily regulated business, </w:t>
      </w:r>
      <w:r w:rsidR="007D08BC" w:rsidRPr="00E443AD">
        <w:rPr>
          <w:rFonts w:ascii="Palatino Linotype" w:hAnsi="Palatino Linotype"/>
        </w:rPr>
        <w:t xml:space="preserve">any student seeking a career in health law must </w:t>
      </w:r>
      <w:r w:rsidR="00431B33" w:rsidRPr="00E443AD">
        <w:rPr>
          <w:rFonts w:ascii="Palatino Linotype" w:hAnsi="Palatino Linotype"/>
        </w:rPr>
        <w:t>understand administrative</w:t>
      </w:r>
      <w:r w:rsidRPr="00E443AD">
        <w:rPr>
          <w:rFonts w:ascii="Palatino Linotype" w:hAnsi="Palatino Linotype"/>
        </w:rPr>
        <w:t xml:space="preserve"> law, which addresses the ability of government to regulate, and corporate law</w:t>
      </w:r>
      <w:r w:rsidR="000415AB" w:rsidRPr="00E443AD">
        <w:rPr>
          <w:rFonts w:ascii="Palatino Linotype" w:hAnsi="Palatino Linotype"/>
        </w:rPr>
        <w:t>, which addresses the legal structure of business entities that can influence how health care is delivered</w:t>
      </w:r>
      <w:r w:rsidRPr="00E443AD">
        <w:rPr>
          <w:rFonts w:ascii="Palatino Linotype" w:hAnsi="Palatino Linotype"/>
        </w:rPr>
        <w:t>.</w:t>
      </w:r>
      <w:r w:rsidRPr="00E443AD">
        <w:rPr>
          <w:rStyle w:val="FootnoteReference"/>
          <w:rFonts w:ascii="Palatino Linotype" w:hAnsi="Palatino Linotype"/>
        </w:rPr>
        <w:footnoteReference w:id="18"/>
      </w:r>
      <w:r w:rsidRPr="00E443AD">
        <w:rPr>
          <w:rFonts w:ascii="Palatino Linotype" w:hAnsi="Palatino Linotype"/>
        </w:rPr>
        <w:t xml:space="preserve"> </w:t>
      </w:r>
      <w:r w:rsidR="00F30627" w:rsidRPr="00E443AD">
        <w:rPr>
          <w:rFonts w:ascii="Palatino Linotype" w:hAnsi="Palatino Linotype"/>
        </w:rPr>
        <w:t xml:space="preserve">Finally, </w:t>
      </w:r>
      <w:r w:rsidR="00E00041" w:rsidRPr="00E443AD">
        <w:rPr>
          <w:rFonts w:ascii="Palatino Linotype" w:hAnsi="Palatino Linotype"/>
        </w:rPr>
        <w:t>the faculty</w:t>
      </w:r>
      <w:r w:rsidR="00F30627" w:rsidRPr="00E443AD">
        <w:rPr>
          <w:rFonts w:ascii="Palatino Linotype" w:hAnsi="Palatino Linotype"/>
        </w:rPr>
        <w:t xml:space="preserve"> identified exposure to either public health or bioethics as a core competency</w:t>
      </w:r>
      <w:r w:rsidR="000415AB" w:rsidRPr="00E443AD">
        <w:rPr>
          <w:rFonts w:ascii="Palatino Linotype" w:hAnsi="Palatino Linotype"/>
        </w:rPr>
        <w:t>.</w:t>
      </w:r>
      <w:r w:rsidR="00431B33" w:rsidRPr="00E443AD">
        <w:rPr>
          <w:rStyle w:val="FootnoteReference"/>
          <w:rFonts w:ascii="Palatino Linotype" w:hAnsi="Palatino Linotype"/>
        </w:rPr>
        <w:footnoteReference w:id="19"/>
      </w:r>
      <w:r w:rsidR="00F30627" w:rsidRPr="00E443AD">
        <w:rPr>
          <w:rFonts w:ascii="Palatino Linotype" w:hAnsi="Palatino Linotype"/>
        </w:rPr>
        <w:t xml:space="preserve"> For this competency, students </w:t>
      </w:r>
      <w:r w:rsidR="000415AB" w:rsidRPr="00E443AD">
        <w:rPr>
          <w:rFonts w:ascii="Palatino Linotype" w:hAnsi="Palatino Linotype"/>
        </w:rPr>
        <w:t xml:space="preserve">choose </w:t>
      </w:r>
      <w:r w:rsidR="00F30627" w:rsidRPr="00E443AD">
        <w:rPr>
          <w:rFonts w:ascii="Palatino Linotype" w:hAnsi="Palatino Linotype"/>
        </w:rPr>
        <w:t>from</w:t>
      </w:r>
      <w:r w:rsidR="00801B60" w:rsidRPr="00E443AD">
        <w:rPr>
          <w:rFonts w:ascii="Palatino Linotype" w:hAnsi="Palatino Linotype"/>
        </w:rPr>
        <w:t xml:space="preserve"> among</w:t>
      </w:r>
      <w:r w:rsidR="00F30627" w:rsidRPr="00E443AD">
        <w:rPr>
          <w:rFonts w:ascii="Palatino Linotype" w:hAnsi="Palatino Linotype"/>
        </w:rPr>
        <w:t xml:space="preserve"> several course offerings in either track. While student</w:t>
      </w:r>
      <w:r w:rsidR="00667FB4" w:rsidRPr="00E443AD">
        <w:rPr>
          <w:rFonts w:ascii="Palatino Linotype" w:hAnsi="Palatino Linotype"/>
        </w:rPr>
        <w:t>s</w:t>
      </w:r>
      <w:r w:rsidR="00F30627" w:rsidRPr="00E443AD">
        <w:rPr>
          <w:rFonts w:ascii="Palatino Linotype" w:hAnsi="Palatino Linotype"/>
        </w:rPr>
        <w:t xml:space="preserve"> who elect</w:t>
      </w:r>
      <w:r w:rsidR="00801B60" w:rsidRPr="00E443AD">
        <w:rPr>
          <w:rFonts w:ascii="Palatino Linotype" w:hAnsi="Palatino Linotype"/>
        </w:rPr>
        <w:t xml:space="preserve"> the</w:t>
      </w:r>
      <w:r w:rsidR="00F30627" w:rsidRPr="00E443AD">
        <w:rPr>
          <w:rFonts w:ascii="Palatino Linotype" w:hAnsi="Palatino Linotype"/>
        </w:rPr>
        <w:t xml:space="preserve"> public health </w:t>
      </w:r>
      <w:r w:rsidR="00801B60" w:rsidRPr="00E443AD">
        <w:rPr>
          <w:rFonts w:ascii="Palatino Linotype" w:hAnsi="Palatino Linotype"/>
        </w:rPr>
        <w:t>track</w:t>
      </w:r>
      <w:r w:rsidR="00F30627" w:rsidRPr="00E443AD">
        <w:rPr>
          <w:rFonts w:ascii="Palatino Linotype" w:hAnsi="Palatino Linotype"/>
        </w:rPr>
        <w:t xml:space="preserve"> </w:t>
      </w:r>
      <w:r w:rsidR="000E475F" w:rsidRPr="00E443AD">
        <w:rPr>
          <w:rFonts w:ascii="Palatino Linotype" w:hAnsi="Palatino Linotype"/>
        </w:rPr>
        <w:t xml:space="preserve">may </w:t>
      </w:r>
      <w:r w:rsidR="00667FB4" w:rsidRPr="00E443AD">
        <w:rPr>
          <w:rFonts w:ascii="Palatino Linotype" w:hAnsi="Palatino Linotype"/>
        </w:rPr>
        <w:t>miss</w:t>
      </w:r>
      <w:r w:rsidR="00F30627" w:rsidRPr="00E443AD">
        <w:rPr>
          <w:rFonts w:ascii="Palatino Linotype" w:hAnsi="Palatino Linotype"/>
        </w:rPr>
        <w:t xml:space="preserve"> exposure to bioethics and vice versa, </w:t>
      </w:r>
      <w:r w:rsidR="00E00041" w:rsidRPr="00E443AD">
        <w:rPr>
          <w:rFonts w:ascii="Palatino Linotype" w:hAnsi="Palatino Linotype"/>
        </w:rPr>
        <w:t>the faculty agreed</w:t>
      </w:r>
      <w:r w:rsidR="005B738F" w:rsidRPr="00E443AD">
        <w:rPr>
          <w:rFonts w:ascii="Palatino Linotype" w:hAnsi="Palatino Linotype"/>
        </w:rPr>
        <w:t xml:space="preserve"> to limit the requirements to </w:t>
      </w:r>
      <w:r w:rsidR="00801B60" w:rsidRPr="00E443AD">
        <w:rPr>
          <w:rFonts w:ascii="Palatino Linotype" w:hAnsi="Palatino Linotype"/>
        </w:rPr>
        <w:t>maximize</w:t>
      </w:r>
      <w:r w:rsidR="005B738F" w:rsidRPr="00E443AD">
        <w:rPr>
          <w:rFonts w:ascii="Palatino Linotype" w:hAnsi="Palatino Linotype"/>
        </w:rPr>
        <w:t xml:space="preserve"> students</w:t>
      </w:r>
      <w:r w:rsidR="00801B60" w:rsidRPr="00E443AD">
        <w:rPr>
          <w:rFonts w:ascii="Palatino Linotype" w:hAnsi="Palatino Linotype"/>
        </w:rPr>
        <w:t>’</w:t>
      </w:r>
      <w:r w:rsidR="005B738F" w:rsidRPr="00E443AD">
        <w:rPr>
          <w:rFonts w:ascii="Palatino Linotype" w:hAnsi="Palatino Linotype"/>
        </w:rPr>
        <w:t xml:space="preserve"> ability to take courses throughout the general law curriculum. Moreover, </w:t>
      </w:r>
      <w:r w:rsidR="00F30627" w:rsidRPr="00E443AD">
        <w:rPr>
          <w:rFonts w:ascii="Palatino Linotype" w:hAnsi="Palatino Linotype"/>
        </w:rPr>
        <w:t xml:space="preserve">there is sufficient overlap between the two to </w:t>
      </w:r>
      <w:r w:rsidR="005B738F" w:rsidRPr="00E443AD">
        <w:rPr>
          <w:rFonts w:ascii="Palatino Linotype" w:hAnsi="Palatino Linotype"/>
        </w:rPr>
        <w:t xml:space="preserve">feel confident that, in most cases, students will be exposed </w:t>
      </w:r>
      <w:r w:rsidR="00801B60" w:rsidRPr="00E443AD">
        <w:rPr>
          <w:rFonts w:ascii="Palatino Linotype" w:hAnsi="Palatino Linotype"/>
        </w:rPr>
        <w:t>both topics</w:t>
      </w:r>
      <w:r w:rsidR="000E475F" w:rsidRPr="00E443AD">
        <w:rPr>
          <w:rFonts w:ascii="Palatino Linotype" w:hAnsi="Palatino Linotype"/>
        </w:rPr>
        <w:t xml:space="preserve"> </w:t>
      </w:r>
      <w:r w:rsidR="00801B60" w:rsidRPr="00E443AD">
        <w:rPr>
          <w:rFonts w:ascii="Palatino Linotype" w:hAnsi="Palatino Linotype"/>
        </w:rPr>
        <w:t>throughout</w:t>
      </w:r>
      <w:r w:rsidR="005B738F" w:rsidRPr="00E443AD">
        <w:rPr>
          <w:rFonts w:ascii="Palatino Linotype" w:hAnsi="Palatino Linotype"/>
        </w:rPr>
        <w:t xml:space="preserve"> the various </w:t>
      </w:r>
      <w:r w:rsidR="00801B60" w:rsidRPr="00E443AD">
        <w:rPr>
          <w:rFonts w:ascii="Palatino Linotype" w:hAnsi="Palatino Linotype"/>
        </w:rPr>
        <w:t xml:space="preserve">certificate </w:t>
      </w:r>
      <w:r w:rsidR="005B738F" w:rsidRPr="00E443AD">
        <w:rPr>
          <w:rFonts w:ascii="Palatino Linotype" w:hAnsi="Palatino Linotype"/>
        </w:rPr>
        <w:t>course offerings.</w:t>
      </w:r>
      <w:r w:rsidR="0071621E" w:rsidRPr="00E443AD">
        <w:rPr>
          <w:rFonts w:ascii="Palatino Linotype" w:hAnsi="Palatino Linotype"/>
        </w:rPr>
        <w:t xml:space="preserve"> </w:t>
      </w:r>
    </w:p>
    <w:p w14:paraId="380BAA66" w14:textId="3326CD8C" w:rsidR="0058016D" w:rsidRPr="00E443AD" w:rsidRDefault="005B738F" w:rsidP="00E443AD">
      <w:pPr>
        <w:spacing w:line="480" w:lineRule="auto"/>
        <w:jc w:val="both"/>
        <w:rPr>
          <w:rFonts w:ascii="Palatino Linotype" w:hAnsi="Palatino Linotype"/>
        </w:rPr>
      </w:pPr>
      <w:r w:rsidRPr="00E443AD">
        <w:rPr>
          <w:rFonts w:ascii="Palatino Linotype" w:hAnsi="Palatino Linotype"/>
        </w:rPr>
        <w:t xml:space="preserve">In sum, the knowledge competencies </w:t>
      </w:r>
      <w:r w:rsidR="007A54E7" w:rsidRPr="00E443AD">
        <w:rPr>
          <w:rFonts w:ascii="Palatino Linotype" w:hAnsi="Palatino Linotype"/>
        </w:rPr>
        <w:t xml:space="preserve">for students enrolled in the certificate program </w:t>
      </w:r>
      <w:r w:rsidRPr="00E443AD">
        <w:rPr>
          <w:rFonts w:ascii="Palatino Linotype" w:hAnsi="Palatino Linotype"/>
        </w:rPr>
        <w:t xml:space="preserve">are achieved by requiring two courses in the general law curriculum (administrative law and corporations), two specific courses in the health law curriculum, and one elective course </w:t>
      </w:r>
      <w:r w:rsidRPr="00E443AD">
        <w:rPr>
          <w:rFonts w:ascii="Palatino Linotype" w:hAnsi="Palatino Linotype"/>
        </w:rPr>
        <w:lastRenderedPageBreak/>
        <w:t>from the health law offerings in either public health or bioethics.</w:t>
      </w:r>
      <w:r w:rsidRPr="00E443AD">
        <w:rPr>
          <w:rStyle w:val="FootnoteReference"/>
          <w:rFonts w:ascii="Palatino Linotype" w:hAnsi="Palatino Linotype"/>
        </w:rPr>
        <w:footnoteReference w:id="20"/>
      </w:r>
      <w:r w:rsidRPr="00E443AD">
        <w:rPr>
          <w:rFonts w:ascii="Palatino Linotype" w:hAnsi="Palatino Linotype"/>
        </w:rPr>
        <w:t xml:space="preserve"> More in-depth knowledge may be developed through additional electives in health law, as well as through the skills and values competencies </w:t>
      </w:r>
      <w:r w:rsidR="00C94D9A" w:rsidRPr="00E443AD">
        <w:rPr>
          <w:rFonts w:ascii="Palatino Linotype" w:hAnsi="Palatino Linotype"/>
        </w:rPr>
        <w:t>described</w:t>
      </w:r>
      <w:r w:rsidRPr="00E443AD">
        <w:rPr>
          <w:rFonts w:ascii="Palatino Linotype" w:hAnsi="Palatino Linotype"/>
        </w:rPr>
        <w:t xml:space="preserve"> below.</w:t>
      </w:r>
    </w:p>
    <w:p w14:paraId="7B1E03A4" w14:textId="365B2F9D" w:rsidR="00DD2EDA" w:rsidRPr="00E443AD" w:rsidRDefault="003D6F63" w:rsidP="00CC7EFA">
      <w:pPr>
        <w:pStyle w:val="ListParagraph"/>
        <w:spacing w:line="480" w:lineRule="auto"/>
        <w:ind w:left="0" w:firstLine="720"/>
        <w:jc w:val="both"/>
        <w:rPr>
          <w:rFonts w:ascii="Palatino Linotype" w:hAnsi="Palatino Linotype"/>
        </w:rPr>
      </w:pPr>
      <w:r w:rsidRPr="00E443AD">
        <w:rPr>
          <w:rFonts w:ascii="Palatino Linotype" w:hAnsi="Palatino Linotype"/>
        </w:rPr>
        <w:t>b.</w:t>
      </w:r>
      <w:r w:rsidRPr="00E443AD">
        <w:rPr>
          <w:rFonts w:ascii="Palatino Linotype" w:hAnsi="Palatino Linotype"/>
        </w:rPr>
        <w:tab/>
        <w:t xml:space="preserve"> </w:t>
      </w:r>
      <w:r w:rsidRPr="00E443AD">
        <w:rPr>
          <w:rFonts w:ascii="Palatino Linotype" w:hAnsi="Palatino Linotype"/>
          <w:u w:val="single"/>
        </w:rPr>
        <w:t>Skills</w:t>
      </w:r>
      <w:r w:rsidR="001E59F4" w:rsidRPr="00E443AD">
        <w:rPr>
          <w:rFonts w:ascii="Palatino Linotype" w:hAnsi="Palatino Linotype"/>
          <w:u w:val="single"/>
        </w:rPr>
        <w:t xml:space="preserve"> Competencies</w:t>
      </w:r>
      <w:r w:rsidRPr="00E443AD">
        <w:rPr>
          <w:rFonts w:ascii="Palatino Linotype" w:hAnsi="Palatino Linotype"/>
        </w:rPr>
        <w:t xml:space="preserve">:  The health law </w:t>
      </w:r>
      <w:r w:rsidR="00DE7ABB" w:rsidRPr="00E443AD">
        <w:rPr>
          <w:rFonts w:ascii="Palatino Linotype" w:hAnsi="Palatino Linotype"/>
        </w:rPr>
        <w:t xml:space="preserve">certificate </w:t>
      </w:r>
      <w:r w:rsidRPr="00E443AD">
        <w:rPr>
          <w:rFonts w:ascii="Palatino Linotype" w:hAnsi="Palatino Linotype"/>
        </w:rPr>
        <w:t>program offer</w:t>
      </w:r>
      <w:r w:rsidR="00D50E32" w:rsidRPr="00E443AD">
        <w:rPr>
          <w:rFonts w:ascii="Palatino Linotype" w:hAnsi="Palatino Linotype"/>
        </w:rPr>
        <w:t>s</w:t>
      </w:r>
      <w:r w:rsidRPr="00E443AD">
        <w:rPr>
          <w:rFonts w:ascii="Palatino Linotype" w:hAnsi="Palatino Linotype"/>
        </w:rPr>
        <w:t xml:space="preserve"> instruction in the key cognitive, behavioral, and lawyering skills needed for successful professional practice and </w:t>
      </w:r>
      <w:r w:rsidR="00801B60" w:rsidRPr="00E443AD">
        <w:rPr>
          <w:rFonts w:ascii="Palatino Linotype" w:hAnsi="Palatino Linotype"/>
        </w:rPr>
        <w:t>permits students to take</w:t>
      </w:r>
      <w:r w:rsidRPr="00E443AD">
        <w:rPr>
          <w:rFonts w:ascii="Palatino Linotype" w:hAnsi="Palatino Linotype"/>
        </w:rPr>
        <w:t xml:space="preserve"> advantage of similar </w:t>
      </w:r>
      <w:r w:rsidR="008C20E7" w:rsidRPr="00E443AD">
        <w:rPr>
          <w:rFonts w:ascii="Palatino Linotype" w:hAnsi="Palatino Linotype"/>
        </w:rPr>
        <w:t xml:space="preserve">offerings in the </w:t>
      </w:r>
      <w:r w:rsidR="00DE7ABB" w:rsidRPr="00E443AD">
        <w:rPr>
          <w:rFonts w:ascii="Palatino Linotype" w:hAnsi="Palatino Linotype"/>
        </w:rPr>
        <w:t xml:space="preserve">law </w:t>
      </w:r>
      <w:r w:rsidR="008C20E7" w:rsidRPr="00E443AD">
        <w:rPr>
          <w:rFonts w:ascii="Palatino Linotype" w:hAnsi="Palatino Linotype"/>
        </w:rPr>
        <w:t>program</w:t>
      </w:r>
      <w:r w:rsidRPr="00E443AD">
        <w:rPr>
          <w:rFonts w:ascii="Palatino Linotype" w:hAnsi="Palatino Linotype"/>
        </w:rPr>
        <w:t xml:space="preserve"> generally.  Just as many knowledge competencies are common to lawyers practicing in other legal fields, the skills competencies</w:t>
      </w:r>
      <w:r w:rsidR="009201A8" w:rsidRPr="00E443AD">
        <w:rPr>
          <w:rFonts w:ascii="Palatino Linotype" w:hAnsi="Palatino Linotype"/>
        </w:rPr>
        <w:t xml:space="preserve"> in health law are common to many</w:t>
      </w:r>
      <w:r w:rsidRPr="00E443AD">
        <w:rPr>
          <w:rFonts w:ascii="Palatino Linotype" w:hAnsi="Palatino Linotype"/>
        </w:rPr>
        <w:t xml:space="preserve"> fields of legal practice.  </w:t>
      </w:r>
      <w:r w:rsidR="00E00041" w:rsidRPr="00E443AD">
        <w:rPr>
          <w:rFonts w:ascii="Palatino Linotype" w:hAnsi="Palatino Linotype"/>
        </w:rPr>
        <w:t>The</w:t>
      </w:r>
      <w:r w:rsidR="00DE7ABB" w:rsidRPr="00E443AD">
        <w:rPr>
          <w:rFonts w:ascii="Palatino Linotype" w:hAnsi="Palatino Linotype"/>
        </w:rPr>
        <w:t xml:space="preserve"> following c</w:t>
      </w:r>
      <w:r w:rsidRPr="00E443AD">
        <w:rPr>
          <w:rFonts w:ascii="Palatino Linotype" w:hAnsi="Palatino Linotype"/>
        </w:rPr>
        <w:t xml:space="preserve">ore </w:t>
      </w:r>
      <w:r w:rsidR="00DE7ABB" w:rsidRPr="00E443AD">
        <w:rPr>
          <w:rFonts w:ascii="Palatino Linotype" w:hAnsi="Palatino Linotype"/>
        </w:rPr>
        <w:t xml:space="preserve">professional skill </w:t>
      </w:r>
      <w:r w:rsidRPr="00E443AD">
        <w:rPr>
          <w:rFonts w:ascii="Palatino Linotype" w:hAnsi="Palatino Linotype"/>
        </w:rPr>
        <w:t xml:space="preserve">competencies </w:t>
      </w:r>
      <w:r w:rsidR="00E00041" w:rsidRPr="00E443AD">
        <w:rPr>
          <w:rFonts w:ascii="Palatino Linotype" w:hAnsi="Palatino Linotype"/>
        </w:rPr>
        <w:t xml:space="preserve">were identified </w:t>
      </w:r>
      <w:r w:rsidR="00DE7ABB" w:rsidRPr="00E443AD">
        <w:rPr>
          <w:rFonts w:ascii="Palatino Linotype" w:hAnsi="Palatino Linotype"/>
        </w:rPr>
        <w:t>as critical to</w:t>
      </w:r>
      <w:r w:rsidRPr="00E443AD">
        <w:rPr>
          <w:rFonts w:ascii="Palatino Linotype" w:hAnsi="Palatino Linotype"/>
        </w:rPr>
        <w:t xml:space="preserve"> health law:</w:t>
      </w:r>
      <w:r w:rsidR="00DE7ABB" w:rsidRPr="00E443AD">
        <w:rPr>
          <w:rFonts w:ascii="Palatino Linotype" w:hAnsi="Palatino Linotype"/>
        </w:rPr>
        <w:t xml:space="preserve"> (1) critical thinking and analysis, including the ability to apply common law, constitutional law, legislation, and regulations in health law contexts, </w:t>
      </w:r>
      <w:r w:rsidR="00AF1465" w:rsidRPr="00E443AD">
        <w:rPr>
          <w:rFonts w:ascii="Palatino Linotype" w:hAnsi="Palatino Linotype"/>
        </w:rPr>
        <w:t xml:space="preserve">(2) </w:t>
      </w:r>
      <w:r w:rsidR="00DE7ABB" w:rsidRPr="00E443AD">
        <w:rPr>
          <w:rFonts w:ascii="Palatino Linotype" w:hAnsi="Palatino Linotype"/>
        </w:rPr>
        <w:t>t</w:t>
      </w:r>
      <w:r w:rsidRPr="00E443AD">
        <w:rPr>
          <w:rFonts w:ascii="Palatino Linotype" w:hAnsi="Palatino Linotype"/>
        </w:rPr>
        <w:t>he ability to undertake both legal research and interdisciplinary research reflecting the interdisciplinary nature of health law</w:t>
      </w:r>
      <w:r w:rsidR="00DE7ABB" w:rsidRPr="00E443AD">
        <w:rPr>
          <w:rFonts w:ascii="Palatino Linotype" w:hAnsi="Palatino Linotype"/>
        </w:rPr>
        <w:t xml:space="preserve">; </w:t>
      </w:r>
      <w:r w:rsidR="00AF1465" w:rsidRPr="00E443AD">
        <w:rPr>
          <w:rFonts w:ascii="Palatino Linotype" w:hAnsi="Palatino Linotype"/>
        </w:rPr>
        <w:t xml:space="preserve">(3) </w:t>
      </w:r>
      <w:r w:rsidR="00DE7ABB" w:rsidRPr="00E443AD">
        <w:rPr>
          <w:rFonts w:ascii="Palatino Linotype" w:hAnsi="Palatino Linotype"/>
        </w:rPr>
        <w:t>t</w:t>
      </w:r>
      <w:r w:rsidR="00DD2EDA" w:rsidRPr="00E443AD">
        <w:rPr>
          <w:rFonts w:ascii="Palatino Linotype" w:hAnsi="Palatino Linotype"/>
        </w:rPr>
        <w:t>he ability to engage in a range of types of writing in health law contexts, including writing for private and public audiences and for publication</w:t>
      </w:r>
      <w:r w:rsidR="00DE7ABB" w:rsidRPr="00E443AD">
        <w:rPr>
          <w:rFonts w:ascii="Palatino Linotype" w:hAnsi="Palatino Linotype"/>
        </w:rPr>
        <w:t xml:space="preserve">; </w:t>
      </w:r>
      <w:r w:rsidR="00AF1465" w:rsidRPr="00E443AD">
        <w:rPr>
          <w:rFonts w:ascii="Palatino Linotype" w:hAnsi="Palatino Linotype"/>
        </w:rPr>
        <w:t xml:space="preserve">(4) </w:t>
      </w:r>
      <w:r w:rsidR="00DE7ABB" w:rsidRPr="00E443AD">
        <w:rPr>
          <w:rFonts w:ascii="Palatino Linotype" w:hAnsi="Palatino Linotype"/>
        </w:rPr>
        <w:t>t</w:t>
      </w:r>
      <w:r w:rsidR="001640A5" w:rsidRPr="00E443AD">
        <w:rPr>
          <w:rFonts w:ascii="Palatino Linotype" w:hAnsi="Palatino Linotype"/>
        </w:rPr>
        <w:t xml:space="preserve">he ability to communicate effectively </w:t>
      </w:r>
      <w:r w:rsidR="00DE7ABB" w:rsidRPr="00E443AD">
        <w:rPr>
          <w:rFonts w:ascii="Palatino Linotype" w:hAnsi="Palatino Linotype"/>
        </w:rPr>
        <w:t xml:space="preserve">in a range of settings, including </w:t>
      </w:r>
      <w:r w:rsidR="001640A5" w:rsidRPr="00E443AD">
        <w:rPr>
          <w:rFonts w:ascii="Palatino Linotype" w:hAnsi="Palatino Linotype"/>
        </w:rPr>
        <w:t>with colleagues, clients, and others</w:t>
      </w:r>
      <w:r w:rsidR="000461C0" w:rsidRPr="00E443AD">
        <w:rPr>
          <w:rFonts w:ascii="Palatino Linotype" w:hAnsi="Palatino Linotype"/>
        </w:rPr>
        <w:t xml:space="preserve"> privately and publicly; </w:t>
      </w:r>
      <w:r w:rsidR="000415AB" w:rsidRPr="00E443AD">
        <w:rPr>
          <w:rFonts w:ascii="Palatino Linotype" w:hAnsi="Palatino Linotype"/>
        </w:rPr>
        <w:t xml:space="preserve">and </w:t>
      </w:r>
      <w:r w:rsidR="00AF1465" w:rsidRPr="00E443AD">
        <w:rPr>
          <w:rFonts w:ascii="Palatino Linotype" w:hAnsi="Palatino Linotype"/>
        </w:rPr>
        <w:t xml:space="preserve">(5) </w:t>
      </w:r>
      <w:r w:rsidR="000461C0" w:rsidRPr="00E443AD">
        <w:rPr>
          <w:rFonts w:ascii="Palatino Linotype" w:hAnsi="Palatino Linotype"/>
        </w:rPr>
        <w:t xml:space="preserve">the ability to engage professionally in real-world contexts, including working collaboratively, engaging in </w:t>
      </w:r>
      <w:r w:rsidR="000461C0" w:rsidRPr="00E443AD">
        <w:rPr>
          <w:rFonts w:ascii="Palatino Linotype" w:hAnsi="Palatino Linotype"/>
        </w:rPr>
        <w:lastRenderedPageBreak/>
        <w:t xml:space="preserve">creating problem-solving, developing practice management skills, and demonstrating cultural competency. </w:t>
      </w:r>
    </w:p>
    <w:p w14:paraId="35C6D3C0" w14:textId="12817D79" w:rsidR="00A529CE" w:rsidRPr="00E443AD" w:rsidRDefault="00B12ACB" w:rsidP="00E443AD">
      <w:pPr>
        <w:spacing w:line="480" w:lineRule="auto"/>
        <w:jc w:val="both"/>
        <w:rPr>
          <w:rFonts w:ascii="Palatino Linotype" w:hAnsi="Palatino Linotype"/>
        </w:rPr>
      </w:pPr>
      <w:r w:rsidRPr="00E443AD">
        <w:rPr>
          <w:rFonts w:ascii="Palatino Linotype" w:hAnsi="Palatino Linotype"/>
        </w:rPr>
        <w:t xml:space="preserve">Students have multiple opportunities to develop professionally from courses across </w:t>
      </w:r>
      <w:r w:rsidR="000461C0" w:rsidRPr="00E443AD">
        <w:rPr>
          <w:rFonts w:ascii="Palatino Linotype" w:hAnsi="Palatino Linotype"/>
        </w:rPr>
        <w:t xml:space="preserve">the health certificate curriculum. </w:t>
      </w:r>
      <w:r w:rsidR="002B7DFA" w:rsidRPr="00E443AD">
        <w:rPr>
          <w:rFonts w:ascii="Palatino Linotype" w:hAnsi="Palatino Linotype"/>
        </w:rPr>
        <w:t xml:space="preserve">Indeed, Georgia State </w:t>
      </w:r>
      <w:r w:rsidR="002A2586" w:rsidRPr="00E443AD">
        <w:rPr>
          <w:rFonts w:ascii="Palatino Linotype" w:hAnsi="Palatino Linotype"/>
        </w:rPr>
        <w:t>L</w:t>
      </w:r>
      <w:r w:rsidR="002B7DFA" w:rsidRPr="00E443AD">
        <w:rPr>
          <w:rFonts w:ascii="Palatino Linotype" w:hAnsi="Palatino Linotype"/>
        </w:rPr>
        <w:t>aw has established a reputation for innovative, experiential teaching throughout its courses, and our health law faculty have been integral to that movement.</w:t>
      </w:r>
      <w:r w:rsidR="00AF1465" w:rsidRPr="00E443AD">
        <w:rPr>
          <w:rStyle w:val="FootnoteReference"/>
          <w:rFonts w:ascii="Palatino Linotype" w:hAnsi="Palatino Linotype"/>
        </w:rPr>
        <w:footnoteReference w:id="21"/>
      </w:r>
      <w:r w:rsidR="002B7DFA" w:rsidRPr="00E443AD">
        <w:rPr>
          <w:rFonts w:ascii="Palatino Linotype" w:hAnsi="Palatino Linotype"/>
        </w:rPr>
        <w:t xml:space="preserve"> Our faculty have infused experiential learning into traditional, doctrinal courses.</w:t>
      </w:r>
      <w:r w:rsidR="003624B0" w:rsidRPr="00E443AD">
        <w:rPr>
          <w:rStyle w:val="FootnoteReference"/>
          <w:rFonts w:ascii="Palatino Linotype" w:hAnsi="Palatino Linotype"/>
        </w:rPr>
        <w:footnoteReference w:id="22"/>
      </w:r>
      <w:r w:rsidR="002B7DFA" w:rsidRPr="00E443AD">
        <w:rPr>
          <w:rFonts w:ascii="Palatino Linotype" w:hAnsi="Palatino Linotype"/>
        </w:rPr>
        <w:t xml:space="preserve"> For example, students in the required </w:t>
      </w:r>
      <w:r w:rsidR="00F2753C" w:rsidRPr="00E443AD">
        <w:rPr>
          <w:rFonts w:ascii="Palatino Linotype" w:hAnsi="Palatino Linotype"/>
        </w:rPr>
        <w:t xml:space="preserve">health care </w:t>
      </w:r>
      <w:r w:rsidR="002B7DFA" w:rsidRPr="00E443AD">
        <w:rPr>
          <w:rFonts w:ascii="Palatino Linotype" w:hAnsi="Palatino Linotype"/>
        </w:rPr>
        <w:t>liability course have two experiential learning exercises: an interview of “clients” about end-of-life treatment preferences and drafting of a complaint as a way of applying concepts of institutional liability to a group of institutions not discussed in class. Both assignments have a mandatory self-ass</w:t>
      </w:r>
      <w:r w:rsidR="00A529CE" w:rsidRPr="00E443AD">
        <w:rPr>
          <w:rFonts w:ascii="Palatino Linotype" w:hAnsi="Palatino Linotype"/>
        </w:rPr>
        <w:t>essment, which enables these as</w:t>
      </w:r>
      <w:r w:rsidR="002B7DFA" w:rsidRPr="00E443AD">
        <w:rPr>
          <w:rFonts w:ascii="Palatino Linotype" w:hAnsi="Palatino Linotype"/>
        </w:rPr>
        <w:t xml:space="preserve">signments to be used in a larger class (25-50 students). Students in our public health law classes regularly draft legislation or regulation as part of their coursework. </w:t>
      </w:r>
      <w:r w:rsidR="00A529CE" w:rsidRPr="00E443AD">
        <w:rPr>
          <w:rFonts w:ascii="Palatino Linotype" w:hAnsi="Palatino Linotype"/>
        </w:rPr>
        <w:t xml:space="preserve">Students in </w:t>
      </w:r>
      <w:r w:rsidR="00737EE1" w:rsidRPr="00E443AD">
        <w:rPr>
          <w:rFonts w:ascii="Palatino Linotype" w:hAnsi="Palatino Linotype"/>
        </w:rPr>
        <w:t>GSU’s</w:t>
      </w:r>
      <w:r w:rsidR="005460A2" w:rsidRPr="00E443AD">
        <w:rPr>
          <w:rFonts w:ascii="Palatino Linotype" w:hAnsi="Palatino Linotype"/>
        </w:rPr>
        <w:t xml:space="preserve"> </w:t>
      </w:r>
      <w:r w:rsidR="00A529CE" w:rsidRPr="00E443AD">
        <w:rPr>
          <w:rFonts w:ascii="Palatino Linotype" w:hAnsi="Palatino Linotype"/>
        </w:rPr>
        <w:t xml:space="preserve">forensic medicine course </w:t>
      </w:r>
      <w:r w:rsidR="00A529CE" w:rsidRPr="00E443AD">
        <w:rPr>
          <w:rFonts w:ascii="Palatino Linotype" w:hAnsi="Palatino Linotype"/>
        </w:rPr>
        <w:lastRenderedPageBreak/>
        <w:t>have conducted mock hearings. These activities augment and complement the more in-depth training students receive through lawyering skills courses.</w:t>
      </w:r>
    </w:p>
    <w:p w14:paraId="3F0A69D4" w14:textId="6E4A49D4" w:rsidR="002B7DFA" w:rsidRPr="00E443AD" w:rsidRDefault="00A529CE" w:rsidP="00E443AD">
      <w:pPr>
        <w:spacing w:line="480" w:lineRule="auto"/>
        <w:jc w:val="both"/>
        <w:rPr>
          <w:rFonts w:ascii="Palatino Linotype" w:hAnsi="Palatino Linotype"/>
        </w:rPr>
      </w:pPr>
      <w:r w:rsidRPr="00E443AD">
        <w:rPr>
          <w:rFonts w:ascii="Palatino Linotype" w:hAnsi="Palatino Linotype"/>
        </w:rPr>
        <w:t>All certificate students are required to take a lawyering skills course</w:t>
      </w:r>
      <w:r w:rsidR="00E00041" w:rsidRPr="00E443AD">
        <w:rPr>
          <w:rFonts w:ascii="Palatino Linotype" w:hAnsi="Palatino Linotype"/>
        </w:rPr>
        <w:t xml:space="preserve"> because the faculty believes </w:t>
      </w:r>
      <w:r w:rsidRPr="00E443AD">
        <w:rPr>
          <w:rFonts w:ascii="Palatino Linotype" w:hAnsi="Palatino Linotype"/>
        </w:rPr>
        <w:t xml:space="preserve">it is the experience, rather than </w:t>
      </w:r>
      <w:r w:rsidR="00E00041" w:rsidRPr="00E443AD">
        <w:rPr>
          <w:rFonts w:ascii="Palatino Linotype" w:hAnsi="Palatino Linotype"/>
        </w:rPr>
        <w:t>exposure to the substantive</w:t>
      </w:r>
      <w:r w:rsidRPr="00E443AD">
        <w:rPr>
          <w:rFonts w:ascii="Palatino Linotype" w:hAnsi="Palatino Linotype"/>
        </w:rPr>
        <w:t xml:space="preserve"> content, that is essential</w:t>
      </w:r>
      <w:r w:rsidR="001E3370" w:rsidRPr="00E443AD">
        <w:rPr>
          <w:rFonts w:ascii="Palatino Linotype" w:hAnsi="Palatino Linotype"/>
        </w:rPr>
        <w:t xml:space="preserve"> to student development</w:t>
      </w:r>
      <w:r w:rsidR="003F3DA3" w:rsidRPr="00E443AD">
        <w:rPr>
          <w:rFonts w:ascii="Palatino Linotype" w:hAnsi="Palatino Linotype"/>
        </w:rPr>
        <w:t>.</w:t>
      </w:r>
      <w:r w:rsidRPr="00E443AD">
        <w:rPr>
          <w:rFonts w:ascii="Palatino Linotype" w:hAnsi="Palatino Linotype"/>
        </w:rPr>
        <w:t xml:space="preserve"> </w:t>
      </w:r>
      <w:r w:rsidR="00960530" w:rsidRPr="00E443AD">
        <w:rPr>
          <w:rFonts w:ascii="Palatino Linotype" w:hAnsi="Palatino Linotype"/>
        </w:rPr>
        <w:t>The goal is for students to have extensive experiences engaged in realistic lawyering work.</w:t>
      </w:r>
      <w:r w:rsidR="00872D6F" w:rsidRPr="00E443AD">
        <w:rPr>
          <w:rStyle w:val="FootnoteReference"/>
          <w:rFonts w:ascii="Palatino Linotype" w:hAnsi="Palatino Linotype"/>
        </w:rPr>
        <w:footnoteReference w:id="23"/>
      </w:r>
      <w:r w:rsidR="00960530" w:rsidRPr="00E443AD">
        <w:rPr>
          <w:rFonts w:ascii="Palatino Linotype" w:hAnsi="Palatino Linotype"/>
        </w:rPr>
        <w:t xml:space="preserve"> </w:t>
      </w:r>
      <w:r w:rsidR="003F3DA3" w:rsidRPr="00E443AD">
        <w:rPr>
          <w:rFonts w:ascii="Palatino Linotype" w:hAnsi="Palatino Linotype"/>
        </w:rPr>
        <w:t>S</w:t>
      </w:r>
      <w:r w:rsidRPr="00E443AD">
        <w:rPr>
          <w:rFonts w:ascii="Palatino Linotype" w:hAnsi="Palatino Linotype"/>
        </w:rPr>
        <w:t xml:space="preserve">tudents may satisfy this requirement through </w:t>
      </w:r>
      <w:r w:rsidR="00F2753C" w:rsidRPr="00E443AD">
        <w:rPr>
          <w:rFonts w:ascii="Palatino Linotype" w:hAnsi="Palatino Linotype"/>
        </w:rPr>
        <w:t>enrollment</w:t>
      </w:r>
      <w:r w:rsidRPr="00E443AD">
        <w:rPr>
          <w:rFonts w:ascii="Palatino Linotype" w:hAnsi="Palatino Linotype"/>
        </w:rPr>
        <w:t xml:space="preserve"> in any of the </w:t>
      </w:r>
      <w:r w:rsidR="00F2753C" w:rsidRPr="00E443AD">
        <w:rPr>
          <w:rFonts w:ascii="Palatino Linotype" w:hAnsi="Palatino Linotype"/>
        </w:rPr>
        <w:t>in-house</w:t>
      </w:r>
      <w:r w:rsidRPr="00E443AD">
        <w:rPr>
          <w:rFonts w:ascii="Palatino Linotype" w:hAnsi="Palatino Linotype"/>
        </w:rPr>
        <w:t xml:space="preserve"> clinics (includin</w:t>
      </w:r>
      <w:r w:rsidR="00B12ACB" w:rsidRPr="00E443AD">
        <w:rPr>
          <w:rFonts w:ascii="Palatino Linotype" w:hAnsi="Palatino Linotype"/>
        </w:rPr>
        <w:t xml:space="preserve">g </w:t>
      </w:r>
      <w:r w:rsidRPr="00E443AD">
        <w:rPr>
          <w:rFonts w:ascii="Palatino Linotype" w:hAnsi="Palatino Linotype"/>
        </w:rPr>
        <w:t>tax and investor advocacy), externships, or simulation classes (e.g., negotiation).</w:t>
      </w:r>
      <w:r w:rsidR="00431B33" w:rsidRPr="00E443AD">
        <w:rPr>
          <w:rStyle w:val="FootnoteReference"/>
          <w:rFonts w:ascii="Palatino Linotype" w:hAnsi="Palatino Linotype"/>
        </w:rPr>
        <w:footnoteReference w:id="24"/>
      </w:r>
      <w:r w:rsidRPr="00E443AD">
        <w:rPr>
          <w:rFonts w:ascii="Palatino Linotype" w:hAnsi="Palatino Linotype"/>
        </w:rPr>
        <w:t xml:space="preserve"> </w:t>
      </w:r>
      <w:r w:rsidR="00960530" w:rsidRPr="00E443AD">
        <w:rPr>
          <w:rFonts w:ascii="Palatino Linotype" w:hAnsi="Palatino Linotype"/>
        </w:rPr>
        <w:t xml:space="preserve">However, </w:t>
      </w:r>
      <w:r w:rsidR="00AD786C" w:rsidRPr="00E443AD">
        <w:rPr>
          <w:rFonts w:ascii="Palatino Linotype" w:hAnsi="Palatino Linotype"/>
        </w:rPr>
        <w:t xml:space="preserve">GSU offers </w:t>
      </w:r>
      <w:r w:rsidR="00960530" w:rsidRPr="00E443AD">
        <w:rPr>
          <w:rFonts w:ascii="Palatino Linotype" w:hAnsi="Palatino Linotype"/>
        </w:rPr>
        <w:t xml:space="preserve">an increasingly rich range of lawyering skills options that are health law specific. </w:t>
      </w:r>
      <w:r w:rsidR="00737EE1" w:rsidRPr="00E443AD">
        <w:rPr>
          <w:rFonts w:ascii="Palatino Linotype" w:hAnsi="Palatino Linotype"/>
        </w:rPr>
        <w:t>GSU’s</w:t>
      </w:r>
      <w:r w:rsidR="00960530" w:rsidRPr="00E443AD">
        <w:rPr>
          <w:rFonts w:ascii="Palatino Linotype" w:hAnsi="Palatino Linotype"/>
        </w:rPr>
        <w:t xml:space="preserve"> medical-legal partnership clinic</w:t>
      </w:r>
      <w:r w:rsidR="00F2753C" w:rsidRPr="00E443AD">
        <w:rPr>
          <w:rFonts w:ascii="Palatino Linotype" w:hAnsi="Palatino Linotype"/>
        </w:rPr>
        <w:t>, the Health Law Partnership (</w:t>
      </w:r>
      <w:proofErr w:type="spellStart"/>
      <w:r w:rsidR="00F2753C" w:rsidRPr="00E443AD">
        <w:rPr>
          <w:rFonts w:ascii="Palatino Linotype" w:hAnsi="Palatino Linotype"/>
        </w:rPr>
        <w:t>HeLP</w:t>
      </w:r>
      <w:proofErr w:type="spellEnd"/>
      <w:r w:rsidR="00F2753C" w:rsidRPr="00E443AD">
        <w:rPr>
          <w:rFonts w:ascii="Palatino Linotype" w:hAnsi="Palatino Linotype"/>
        </w:rPr>
        <w:t>) Legal Services Clinic</w:t>
      </w:r>
      <w:r w:rsidR="00B12ACB" w:rsidRPr="00E443AD">
        <w:rPr>
          <w:rFonts w:ascii="Palatino Linotype" w:hAnsi="Palatino Linotype"/>
        </w:rPr>
        <w:t>,</w:t>
      </w:r>
      <w:r w:rsidR="003F3DA3" w:rsidRPr="00E443AD">
        <w:rPr>
          <w:rFonts w:ascii="Palatino Linotype" w:hAnsi="Palatino Linotype"/>
        </w:rPr>
        <w:t xml:space="preserve"> provides students with the opportunity</w:t>
      </w:r>
      <w:r w:rsidR="00D601CE" w:rsidRPr="00E443AD">
        <w:rPr>
          <w:rFonts w:ascii="Palatino Linotype" w:hAnsi="Palatino Linotype"/>
        </w:rPr>
        <w:t xml:space="preserve"> to</w:t>
      </w:r>
      <w:r w:rsidR="00960530" w:rsidRPr="00E443AD">
        <w:rPr>
          <w:rFonts w:ascii="Palatino Linotype" w:hAnsi="Palatino Linotype"/>
        </w:rPr>
        <w:t xml:space="preserve"> represent </w:t>
      </w:r>
      <w:r w:rsidR="00667FB4" w:rsidRPr="00E443AD">
        <w:rPr>
          <w:rFonts w:ascii="Palatino Linotype" w:hAnsi="Palatino Linotype"/>
        </w:rPr>
        <w:t xml:space="preserve">low-income </w:t>
      </w:r>
      <w:r w:rsidR="00960530" w:rsidRPr="00E443AD">
        <w:rPr>
          <w:rFonts w:ascii="Palatino Linotype" w:hAnsi="Palatino Linotype"/>
        </w:rPr>
        <w:t xml:space="preserve">children and their families </w:t>
      </w:r>
      <w:r w:rsidR="003F3DA3" w:rsidRPr="00E443AD">
        <w:rPr>
          <w:rFonts w:ascii="Palatino Linotype" w:hAnsi="Palatino Linotype"/>
        </w:rPr>
        <w:t xml:space="preserve">in a range of cases with the goal of </w:t>
      </w:r>
      <w:r w:rsidR="00960530" w:rsidRPr="00E443AD">
        <w:rPr>
          <w:rFonts w:ascii="Palatino Linotype" w:hAnsi="Palatino Linotype"/>
        </w:rPr>
        <w:t>improv</w:t>
      </w:r>
      <w:r w:rsidR="003F3DA3" w:rsidRPr="00E443AD">
        <w:rPr>
          <w:rFonts w:ascii="Palatino Linotype" w:hAnsi="Palatino Linotype"/>
        </w:rPr>
        <w:t>ing</w:t>
      </w:r>
      <w:r w:rsidR="00960530" w:rsidRPr="00E443AD">
        <w:rPr>
          <w:rFonts w:ascii="Palatino Linotype" w:hAnsi="Palatino Linotype"/>
        </w:rPr>
        <w:t xml:space="preserve"> the</w:t>
      </w:r>
      <w:r w:rsidR="003F3DA3" w:rsidRPr="00E443AD">
        <w:rPr>
          <w:rFonts w:ascii="Palatino Linotype" w:hAnsi="Palatino Linotype"/>
        </w:rPr>
        <w:t xml:space="preserve"> children’s</w:t>
      </w:r>
      <w:r w:rsidR="00960530" w:rsidRPr="00E443AD">
        <w:rPr>
          <w:rFonts w:ascii="Palatino Linotype" w:hAnsi="Palatino Linotype"/>
        </w:rPr>
        <w:t xml:space="preserve"> health</w:t>
      </w:r>
      <w:r w:rsidR="003F3DA3" w:rsidRPr="00E443AD">
        <w:rPr>
          <w:rFonts w:ascii="Palatino Linotype" w:hAnsi="Palatino Linotype"/>
        </w:rPr>
        <w:t>.</w:t>
      </w:r>
      <w:r w:rsidR="003F3DA3" w:rsidRPr="00E443AD">
        <w:rPr>
          <w:rStyle w:val="FootnoteReference"/>
          <w:rFonts w:ascii="Palatino Linotype" w:hAnsi="Palatino Linotype"/>
        </w:rPr>
        <w:footnoteReference w:id="25"/>
      </w:r>
      <w:r w:rsidR="00960530" w:rsidRPr="00E443AD">
        <w:rPr>
          <w:rFonts w:ascii="Palatino Linotype" w:hAnsi="Palatino Linotype"/>
        </w:rPr>
        <w:t xml:space="preserve"> </w:t>
      </w:r>
      <w:r w:rsidR="00737EE1" w:rsidRPr="00E443AD">
        <w:rPr>
          <w:rFonts w:ascii="Palatino Linotype" w:hAnsi="Palatino Linotype"/>
        </w:rPr>
        <w:t xml:space="preserve">A course in </w:t>
      </w:r>
      <w:r w:rsidR="00960530" w:rsidRPr="00E443AD">
        <w:rPr>
          <w:rFonts w:ascii="Palatino Linotype" w:hAnsi="Palatino Linotype"/>
        </w:rPr>
        <w:t xml:space="preserve">health legislation and advocacy </w:t>
      </w:r>
      <w:r w:rsidR="003F3DA3" w:rsidRPr="00E443AD">
        <w:rPr>
          <w:rFonts w:ascii="Palatino Linotype" w:hAnsi="Palatino Linotype"/>
        </w:rPr>
        <w:t>engages</w:t>
      </w:r>
      <w:r w:rsidR="00960530" w:rsidRPr="00E443AD">
        <w:rPr>
          <w:rFonts w:ascii="Palatino Linotype" w:hAnsi="Palatino Linotype"/>
        </w:rPr>
        <w:t xml:space="preserve"> students </w:t>
      </w:r>
      <w:r w:rsidR="003F3DA3" w:rsidRPr="00E443AD">
        <w:rPr>
          <w:rFonts w:ascii="Palatino Linotype" w:hAnsi="Palatino Linotype"/>
        </w:rPr>
        <w:t xml:space="preserve">in </w:t>
      </w:r>
      <w:r w:rsidR="00960530" w:rsidRPr="00E443AD">
        <w:rPr>
          <w:rFonts w:ascii="Palatino Linotype" w:hAnsi="Palatino Linotype"/>
        </w:rPr>
        <w:t>work</w:t>
      </w:r>
      <w:r w:rsidR="00B12ACB" w:rsidRPr="00E443AD">
        <w:rPr>
          <w:rFonts w:ascii="Palatino Linotype" w:hAnsi="Palatino Linotype"/>
        </w:rPr>
        <w:t>ing</w:t>
      </w:r>
      <w:r w:rsidR="00960530" w:rsidRPr="00E443AD">
        <w:rPr>
          <w:rFonts w:ascii="Palatino Linotype" w:hAnsi="Palatino Linotype"/>
        </w:rPr>
        <w:t xml:space="preserve"> with community partners</w:t>
      </w:r>
      <w:r w:rsidR="003F3DA3" w:rsidRPr="00E443AD">
        <w:rPr>
          <w:rFonts w:ascii="Palatino Linotype" w:hAnsi="Palatino Linotype"/>
        </w:rPr>
        <w:t>,</w:t>
      </w:r>
      <w:r w:rsidR="00960530" w:rsidRPr="00E443AD">
        <w:rPr>
          <w:rFonts w:ascii="Palatino Linotype" w:hAnsi="Palatino Linotype"/>
        </w:rPr>
        <w:t xml:space="preserve"> developing proposed legislation and shepherding it through the legislative </w:t>
      </w:r>
      <w:r w:rsidR="00B12ACB" w:rsidRPr="00E443AD">
        <w:rPr>
          <w:rFonts w:ascii="Palatino Linotype" w:hAnsi="Palatino Linotype"/>
        </w:rPr>
        <w:t>process</w:t>
      </w:r>
      <w:r w:rsidR="003F3DA3" w:rsidRPr="00E443AD">
        <w:rPr>
          <w:rFonts w:ascii="Palatino Linotype" w:hAnsi="Palatino Linotype"/>
        </w:rPr>
        <w:t xml:space="preserve">. </w:t>
      </w:r>
      <w:r w:rsidR="00340A22" w:rsidRPr="00E443AD">
        <w:rPr>
          <w:rFonts w:ascii="Palatino Linotype" w:hAnsi="Palatino Linotype"/>
        </w:rPr>
        <w:t>GSU also offers</w:t>
      </w:r>
      <w:r w:rsidR="005460A2" w:rsidRPr="00E443AD">
        <w:rPr>
          <w:rFonts w:ascii="Palatino Linotype" w:hAnsi="Palatino Linotype"/>
        </w:rPr>
        <w:t xml:space="preserve"> </w:t>
      </w:r>
      <w:r w:rsidR="00960530" w:rsidRPr="00E443AD">
        <w:rPr>
          <w:rFonts w:ascii="Palatino Linotype" w:hAnsi="Palatino Linotype"/>
        </w:rPr>
        <w:t>several externship</w:t>
      </w:r>
      <w:r w:rsidR="00340A22" w:rsidRPr="00E443AD">
        <w:rPr>
          <w:rFonts w:ascii="Palatino Linotype" w:hAnsi="Palatino Linotype"/>
        </w:rPr>
        <w:t>s</w:t>
      </w:r>
      <w:r w:rsidR="007502A0" w:rsidRPr="00E443AD">
        <w:rPr>
          <w:rFonts w:ascii="Palatino Linotype" w:hAnsi="Palatino Linotype"/>
        </w:rPr>
        <w:t xml:space="preserve"> </w:t>
      </w:r>
      <w:r w:rsidR="00340A22" w:rsidRPr="00E443AD">
        <w:rPr>
          <w:rFonts w:ascii="Palatino Linotype" w:hAnsi="Palatino Linotype"/>
        </w:rPr>
        <w:t>that allow students</w:t>
      </w:r>
      <w:r w:rsidR="00E4210C" w:rsidRPr="00E443AD">
        <w:rPr>
          <w:rFonts w:ascii="Palatino Linotype" w:hAnsi="Palatino Linotype"/>
        </w:rPr>
        <w:t xml:space="preserve"> to work in health law practice environments</w:t>
      </w:r>
      <w:r w:rsidR="00667FB4" w:rsidRPr="00E443AD">
        <w:rPr>
          <w:rFonts w:ascii="Palatino Linotype" w:hAnsi="Palatino Linotype"/>
        </w:rPr>
        <w:t xml:space="preserve">, including with the Centers for Disease Control and Prevention, </w:t>
      </w:r>
      <w:r w:rsidR="00667FB4" w:rsidRPr="00E443AD">
        <w:rPr>
          <w:rFonts w:ascii="Palatino Linotype" w:hAnsi="Palatino Linotype"/>
        </w:rPr>
        <w:lastRenderedPageBreak/>
        <w:t>the U.S. Department of Health and Human Services, the Veteran’s Administration, and the Georgia Hospital Association</w:t>
      </w:r>
      <w:r w:rsidR="00960530" w:rsidRPr="00E443AD">
        <w:rPr>
          <w:rFonts w:ascii="Palatino Linotype" w:hAnsi="Palatino Linotype"/>
        </w:rPr>
        <w:t xml:space="preserve">. </w:t>
      </w:r>
      <w:r w:rsidR="00E4210C" w:rsidRPr="00E443AD">
        <w:rPr>
          <w:rFonts w:ascii="Palatino Linotype" w:hAnsi="Palatino Linotype"/>
        </w:rPr>
        <w:t>Other o</w:t>
      </w:r>
      <w:r w:rsidR="003F3DA3" w:rsidRPr="00E443AD">
        <w:rPr>
          <w:rFonts w:ascii="Palatino Linotype" w:hAnsi="Palatino Linotype"/>
        </w:rPr>
        <w:t>ptions</w:t>
      </w:r>
      <w:r w:rsidR="00960530" w:rsidRPr="00E443AD">
        <w:rPr>
          <w:rFonts w:ascii="Palatino Linotype" w:hAnsi="Palatino Linotype"/>
        </w:rPr>
        <w:t xml:space="preserve"> include innovative </w:t>
      </w:r>
      <w:r w:rsidR="002B7DFA" w:rsidRPr="00E443AD">
        <w:rPr>
          <w:rFonts w:ascii="Palatino Linotype" w:hAnsi="Palatino Linotype"/>
        </w:rPr>
        <w:t xml:space="preserve">courses that </w:t>
      </w:r>
      <w:r w:rsidR="00960530" w:rsidRPr="00E443AD">
        <w:rPr>
          <w:rFonts w:ascii="Palatino Linotype" w:hAnsi="Palatino Linotype"/>
        </w:rPr>
        <w:t>teach doctrine</w:t>
      </w:r>
      <w:r w:rsidR="002B7DFA" w:rsidRPr="00E443AD">
        <w:rPr>
          <w:rFonts w:ascii="Palatino Linotype" w:hAnsi="Palatino Linotype"/>
        </w:rPr>
        <w:t xml:space="preserve"> </w:t>
      </w:r>
      <w:r w:rsidR="00E4210C" w:rsidRPr="00E443AD">
        <w:rPr>
          <w:rFonts w:ascii="Palatino Linotype" w:hAnsi="Palatino Linotype"/>
        </w:rPr>
        <w:t xml:space="preserve">in context </w:t>
      </w:r>
      <w:r w:rsidR="00960530" w:rsidRPr="00E443AD">
        <w:rPr>
          <w:rFonts w:ascii="Palatino Linotype" w:hAnsi="Palatino Linotype"/>
        </w:rPr>
        <w:t xml:space="preserve">through </w:t>
      </w:r>
      <w:r w:rsidR="00E4210C" w:rsidRPr="00E443AD">
        <w:rPr>
          <w:rFonts w:ascii="Palatino Linotype" w:hAnsi="Palatino Linotype"/>
        </w:rPr>
        <w:t xml:space="preserve">either </w:t>
      </w:r>
      <w:r w:rsidR="00960530" w:rsidRPr="00E443AD">
        <w:rPr>
          <w:rFonts w:ascii="Palatino Linotype" w:hAnsi="Palatino Linotype"/>
        </w:rPr>
        <w:t>dire</w:t>
      </w:r>
      <w:r w:rsidR="00504BEF" w:rsidRPr="00E443AD">
        <w:rPr>
          <w:rFonts w:ascii="Palatino Linotype" w:hAnsi="Palatino Linotype"/>
        </w:rPr>
        <w:t>ct client interaction or simula</w:t>
      </w:r>
      <w:r w:rsidR="00960530" w:rsidRPr="00E443AD">
        <w:rPr>
          <w:rFonts w:ascii="Palatino Linotype" w:hAnsi="Palatino Linotype"/>
        </w:rPr>
        <w:t>t</w:t>
      </w:r>
      <w:r w:rsidR="00504BEF" w:rsidRPr="00E443AD">
        <w:rPr>
          <w:rFonts w:ascii="Palatino Linotype" w:hAnsi="Palatino Linotype"/>
        </w:rPr>
        <w:t>i</w:t>
      </w:r>
      <w:r w:rsidR="00960530" w:rsidRPr="00E443AD">
        <w:rPr>
          <w:rFonts w:ascii="Palatino Linotype" w:hAnsi="Palatino Linotype"/>
        </w:rPr>
        <w:t>on</w:t>
      </w:r>
      <w:r w:rsidRPr="00E443AD">
        <w:rPr>
          <w:rFonts w:ascii="Palatino Linotype" w:hAnsi="Palatino Linotype"/>
        </w:rPr>
        <w:t xml:space="preserve">. For example, students in law and </w:t>
      </w:r>
      <w:r w:rsidR="00737EE1" w:rsidRPr="00E443AD">
        <w:rPr>
          <w:rFonts w:ascii="Palatino Linotype" w:hAnsi="Palatino Linotype"/>
        </w:rPr>
        <w:t xml:space="preserve">health </w:t>
      </w:r>
      <w:r w:rsidRPr="00E443AD">
        <w:rPr>
          <w:rFonts w:ascii="Palatino Linotype" w:hAnsi="Palatino Linotype"/>
        </w:rPr>
        <w:t xml:space="preserve">equity class learn about the social determinants of health and apply </w:t>
      </w:r>
      <w:r w:rsidR="00E4210C" w:rsidRPr="00E443AD">
        <w:rPr>
          <w:rFonts w:ascii="Palatino Linotype" w:hAnsi="Palatino Linotype"/>
        </w:rPr>
        <w:t xml:space="preserve">legal analysis of </w:t>
      </w:r>
      <w:r w:rsidRPr="00E443AD">
        <w:rPr>
          <w:rFonts w:ascii="Palatino Linotype" w:hAnsi="Palatino Linotype"/>
        </w:rPr>
        <w:t>those concepts while working with members of Atlanta neighborhoods to address issue</w:t>
      </w:r>
      <w:r w:rsidR="00E4210C" w:rsidRPr="00E443AD">
        <w:rPr>
          <w:rFonts w:ascii="Palatino Linotype" w:hAnsi="Palatino Linotype"/>
        </w:rPr>
        <w:t>s</w:t>
      </w:r>
      <w:r w:rsidRPr="00E443AD">
        <w:rPr>
          <w:rFonts w:ascii="Palatino Linotype" w:hAnsi="Palatino Linotype"/>
        </w:rPr>
        <w:t xml:space="preserve"> that negatively impact the community’s health.</w:t>
      </w:r>
      <w:r w:rsidR="003F3DA3" w:rsidRPr="00E443AD">
        <w:rPr>
          <w:rStyle w:val="FootnoteReference"/>
          <w:rFonts w:ascii="Palatino Linotype" w:hAnsi="Palatino Linotype"/>
        </w:rPr>
        <w:footnoteReference w:id="26"/>
      </w:r>
      <w:r w:rsidRPr="00E443AD">
        <w:rPr>
          <w:rFonts w:ascii="Palatino Linotype" w:hAnsi="Palatino Linotype"/>
        </w:rPr>
        <w:t xml:space="preserve"> Additionally, students</w:t>
      </w:r>
      <w:r w:rsidR="00532C3A" w:rsidRPr="00E443AD">
        <w:rPr>
          <w:rFonts w:ascii="Palatino Linotype" w:hAnsi="Palatino Linotype"/>
        </w:rPr>
        <w:t xml:space="preserve"> enrolled</w:t>
      </w:r>
      <w:r w:rsidRPr="00E443AD">
        <w:rPr>
          <w:rFonts w:ascii="Palatino Linotype" w:hAnsi="Palatino Linotype"/>
        </w:rPr>
        <w:t xml:space="preserve"> in a </w:t>
      </w:r>
      <w:r w:rsidR="00544AC4" w:rsidRPr="00E443AD">
        <w:rPr>
          <w:rFonts w:ascii="Palatino Linotype" w:hAnsi="Palatino Linotype"/>
        </w:rPr>
        <w:t xml:space="preserve">new </w:t>
      </w:r>
      <w:r w:rsidR="00532C3A" w:rsidRPr="00E443AD">
        <w:rPr>
          <w:rFonts w:ascii="Palatino Linotype" w:hAnsi="Palatino Linotype"/>
        </w:rPr>
        <w:t xml:space="preserve">team-based and client-oriented capstone course, the </w:t>
      </w:r>
      <w:r w:rsidRPr="00E443AD">
        <w:rPr>
          <w:rFonts w:ascii="Palatino Linotype" w:hAnsi="Palatino Linotype"/>
        </w:rPr>
        <w:t xml:space="preserve">health </w:t>
      </w:r>
      <w:r w:rsidR="00F2753C" w:rsidRPr="00E443AD">
        <w:rPr>
          <w:rFonts w:ascii="Palatino Linotype" w:hAnsi="Palatino Linotype"/>
        </w:rPr>
        <w:t>care transactions</w:t>
      </w:r>
      <w:r w:rsidRPr="00E443AD">
        <w:rPr>
          <w:rFonts w:ascii="Palatino Linotype" w:hAnsi="Palatino Linotype"/>
        </w:rPr>
        <w:t xml:space="preserve"> practicum</w:t>
      </w:r>
      <w:r w:rsidR="00532C3A" w:rsidRPr="00E443AD">
        <w:rPr>
          <w:rFonts w:ascii="Palatino Linotype" w:hAnsi="Palatino Linotype"/>
        </w:rPr>
        <w:t>,</w:t>
      </w:r>
      <w:r w:rsidRPr="00E443AD">
        <w:rPr>
          <w:rFonts w:ascii="Palatino Linotype" w:hAnsi="Palatino Linotype"/>
        </w:rPr>
        <w:t xml:space="preserve"> learn how to negotiate and draft deals through realistic simulations carried throughout the semester. </w:t>
      </w:r>
      <w:r w:rsidR="00532C3A" w:rsidRPr="00E443AD">
        <w:rPr>
          <w:rFonts w:ascii="Palatino Linotype" w:hAnsi="Palatino Linotype"/>
        </w:rPr>
        <w:t>The course provides students the opportunity to hone critical skills in drafting, reviewing, and negotiating health care contracts; applying health laws and regulations, conducting due diligence, and collaboration.</w:t>
      </w:r>
      <w:r w:rsidR="00532C3A" w:rsidRPr="00E443AD">
        <w:rPr>
          <w:rStyle w:val="FootnoteReference"/>
          <w:rFonts w:ascii="Palatino Linotype" w:hAnsi="Palatino Linotype"/>
        </w:rPr>
        <w:footnoteReference w:id="27"/>
      </w:r>
      <w:r w:rsidR="00532C3A" w:rsidRPr="00E443AD">
        <w:rPr>
          <w:rFonts w:ascii="Palatino Linotype" w:hAnsi="Palatino Linotype"/>
        </w:rPr>
        <w:t xml:space="preserve">  It is co-taught by a full-time faculty member together with two local attorneys who focus their practices in health law.  The course was designed on the kinds of work that the practicing attorneys wished their entry-level attorneys knew how to do.</w:t>
      </w:r>
      <w:r w:rsidR="00532C3A" w:rsidRPr="00E443AD">
        <w:rPr>
          <w:rStyle w:val="FootnoteReference"/>
          <w:rFonts w:ascii="Palatino Linotype" w:hAnsi="Palatino Linotype"/>
        </w:rPr>
        <w:footnoteReference w:id="28"/>
      </w:r>
      <w:r w:rsidR="00532C3A" w:rsidRPr="00E443AD">
        <w:rPr>
          <w:rFonts w:ascii="Palatino Linotype" w:hAnsi="Palatino Linotype"/>
        </w:rPr>
        <w:t xml:space="preserve">  </w:t>
      </w:r>
    </w:p>
    <w:p w14:paraId="143ACCF4" w14:textId="32FF395C" w:rsidR="00504BEF" w:rsidRPr="00E443AD" w:rsidRDefault="00504BEF" w:rsidP="00E443AD">
      <w:pPr>
        <w:spacing w:line="480" w:lineRule="auto"/>
        <w:jc w:val="both"/>
        <w:rPr>
          <w:rFonts w:ascii="Palatino Linotype" w:hAnsi="Palatino Linotype"/>
        </w:rPr>
      </w:pPr>
      <w:r w:rsidRPr="00E443AD">
        <w:rPr>
          <w:rFonts w:ascii="Palatino Linotype" w:hAnsi="Palatino Linotype"/>
        </w:rPr>
        <w:t xml:space="preserve">In addition to the lawyering skills </w:t>
      </w:r>
      <w:r w:rsidR="00D601CE" w:rsidRPr="00E443AD">
        <w:rPr>
          <w:rFonts w:ascii="Palatino Linotype" w:hAnsi="Palatino Linotype"/>
        </w:rPr>
        <w:t xml:space="preserve">course </w:t>
      </w:r>
      <w:r w:rsidR="0005498A" w:rsidRPr="00E443AD">
        <w:rPr>
          <w:rFonts w:ascii="Palatino Linotype" w:hAnsi="Palatino Linotype"/>
        </w:rPr>
        <w:t>requirement</w:t>
      </w:r>
      <w:r w:rsidRPr="00E443AD">
        <w:rPr>
          <w:rFonts w:ascii="Palatino Linotype" w:hAnsi="Palatino Linotype"/>
        </w:rPr>
        <w:t xml:space="preserve">, students </w:t>
      </w:r>
      <w:r w:rsidR="00E4210C" w:rsidRPr="00E443AD">
        <w:rPr>
          <w:rFonts w:ascii="Palatino Linotype" w:hAnsi="Palatino Linotype"/>
        </w:rPr>
        <w:t xml:space="preserve">further their analytical skills through </w:t>
      </w:r>
      <w:r w:rsidR="00EE162F" w:rsidRPr="00E443AD">
        <w:rPr>
          <w:rFonts w:ascii="Palatino Linotype" w:hAnsi="Palatino Linotype"/>
        </w:rPr>
        <w:t>the certificate</w:t>
      </w:r>
      <w:r w:rsidR="00532C3A" w:rsidRPr="00E443AD">
        <w:rPr>
          <w:rFonts w:ascii="Palatino Linotype" w:hAnsi="Palatino Linotype"/>
        </w:rPr>
        <w:t xml:space="preserve"> </w:t>
      </w:r>
      <w:r w:rsidR="00E4210C" w:rsidRPr="00E443AD">
        <w:rPr>
          <w:rFonts w:ascii="Palatino Linotype" w:hAnsi="Palatino Linotype"/>
        </w:rPr>
        <w:t>writing requirement, which must be based</w:t>
      </w:r>
      <w:r w:rsidRPr="00E443AD">
        <w:rPr>
          <w:rFonts w:ascii="Palatino Linotype" w:hAnsi="Palatino Linotype"/>
        </w:rPr>
        <w:t xml:space="preserve"> on a health law topic. The law school already requires a research paper as</w:t>
      </w:r>
      <w:r w:rsidR="00EE162F" w:rsidRPr="00E443AD">
        <w:rPr>
          <w:rFonts w:ascii="Palatino Linotype" w:hAnsi="Palatino Linotype"/>
        </w:rPr>
        <w:t xml:space="preserve"> a</w:t>
      </w:r>
      <w:r w:rsidR="0019769D" w:rsidRPr="00E443AD">
        <w:rPr>
          <w:rFonts w:ascii="Palatino Linotype" w:hAnsi="Palatino Linotype"/>
        </w:rPr>
        <w:t xml:space="preserve"> </w:t>
      </w:r>
      <w:r w:rsidRPr="00E443AD">
        <w:rPr>
          <w:rFonts w:ascii="Palatino Linotype" w:hAnsi="Palatino Linotype"/>
        </w:rPr>
        <w:t xml:space="preserve">requirement for graduation. </w:t>
      </w:r>
      <w:r w:rsidRPr="00E443AD">
        <w:rPr>
          <w:rFonts w:ascii="Palatino Linotype" w:hAnsi="Palatino Linotype"/>
        </w:rPr>
        <w:lastRenderedPageBreak/>
        <w:t>Certificate students can use their health law paper to meet their graduation requirement or may do an additional health law paper.</w:t>
      </w:r>
      <w:r w:rsidR="00B10494" w:rsidRPr="00E443AD">
        <w:rPr>
          <w:rStyle w:val="FootnoteReference"/>
          <w:rFonts w:ascii="Palatino Linotype" w:hAnsi="Palatino Linotype"/>
        </w:rPr>
        <w:footnoteReference w:id="29"/>
      </w:r>
      <w:r w:rsidR="00B10494" w:rsidRPr="00E443AD">
        <w:rPr>
          <w:rFonts w:ascii="Palatino Linotype" w:hAnsi="Palatino Linotype"/>
        </w:rPr>
        <w:t xml:space="preserve"> </w:t>
      </w:r>
      <w:r w:rsidRPr="00E443AD">
        <w:rPr>
          <w:rFonts w:ascii="Palatino Linotype" w:hAnsi="Palatino Linotype"/>
        </w:rPr>
        <w:t xml:space="preserve">Most health law topics require </w:t>
      </w:r>
      <w:r w:rsidR="00E4210C" w:rsidRPr="00E443AD">
        <w:rPr>
          <w:rFonts w:ascii="Palatino Linotype" w:hAnsi="Palatino Linotype"/>
        </w:rPr>
        <w:t>research of</w:t>
      </w:r>
      <w:r w:rsidRPr="00E443AD">
        <w:rPr>
          <w:rFonts w:ascii="Palatino Linotype" w:hAnsi="Palatino Linotype"/>
        </w:rPr>
        <w:t xml:space="preserve"> non-law resources. Accordingly, the required paper allows students to develop their interdisciplinary research skills, as well as their communication skills.</w:t>
      </w:r>
      <w:r w:rsidR="0071621E" w:rsidRPr="00E443AD">
        <w:rPr>
          <w:rFonts w:ascii="Palatino Linotype" w:hAnsi="Palatino Linotype"/>
        </w:rPr>
        <w:t xml:space="preserve"> The writing requirement also provides an opportunity for health law professors to mentor students</w:t>
      </w:r>
      <w:r w:rsidR="00E4210C" w:rsidRPr="00E443AD">
        <w:rPr>
          <w:rFonts w:ascii="Palatino Linotype" w:hAnsi="Palatino Linotype"/>
        </w:rPr>
        <w:t xml:space="preserve"> as they investigate important issues of health law, and to assist them in seeking </w:t>
      </w:r>
      <w:r w:rsidR="0071621E" w:rsidRPr="00E443AD">
        <w:rPr>
          <w:rFonts w:ascii="Palatino Linotype" w:hAnsi="Palatino Linotype"/>
        </w:rPr>
        <w:t xml:space="preserve">publication opportunities as appropriate. Several faculty have helped students to publish in law and non-law venues, which </w:t>
      </w:r>
      <w:r w:rsidR="00E4210C" w:rsidRPr="00E443AD">
        <w:rPr>
          <w:rFonts w:ascii="Palatino Linotype" w:hAnsi="Palatino Linotype"/>
        </w:rPr>
        <w:t>has fostered students’ professional development.</w:t>
      </w:r>
      <w:r w:rsidR="001154FD" w:rsidRPr="00E443AD">
        <w:rPr>
          <w:rStyle w:val="FootnoteReference"/>
          <w:rFonts w:ascii="Palatino Linotype" w:hAnsi="Palatino Linotype"/>
        </w:rPr>
        <w:footnoteReference w:id="30"/>
      </w:r>
      <w:r w:rsidR="00E4210C" w:rsidRPr="00E443AD">
        <w:rPr>
          <w:rFonts w:ascii="Palatino Linotype" w:hAnsi="Palatino Linotype"/>
        </w:rPr>
        <w:t xml:space="preserve">  </w:t>
      </w:r>
      <w:r w:rsidR="0071621E" w:rsidRPr="00E443AD">
        <w:rPr>
          <w:rFonts w:ascii="Palatino Linotype" w:hAnsi="Palatino Linotype"/>
        </w:rPr>
        <w:t xml:space="preserve"> </w:t>
      </w:r>
    </w:p>
    <w:p w14:paraId="3B6DE9D5" w14:textId="04485545" w:rsidR="00E533D8" w:rsidRPr="00E443AD" w:rsidRDefault="00E533D8" w:rsidP="00E443AD">
      <w:pPr>
        <w:spacing w:line="480" w:lineRule="auto"/>
        <w:jc w:val="both"/>
        <w:rPr>
          <w:rFonts w:ascii="Palatino Linotype" w:hAnsi="Palatino Linotype"/>
        </w:rPr>
      </w:pPr>
      <w:r w:rsidRPr="00E443AD">
        <w:rPr>
          <w:rFonts w:ascii="Palatino Linotype" w:hAnsi="Palatino Linotype"/>
        </w:rPr>
        <w:t>The requirement for experiential education in the health law context allows students to gain insight and develop critical skills</w:t>
      </w:r>
      <w:r w:rsidR="00175595" w:rsidRPr="00E443AD">
        <w:rPr>
          <w:rFonts w:ascii="Palatino Linotype" w:hAnsi="Palatino Linotype"/>
        </w:rPr>
        <w:t xml:space="preserve"> and connections</w:t>
      </w:r>
      <w:r w:rsidRPr="00E443AD">
        <w:rPr>
          <w:rFonts w:ascii="Palatino Linotype" w:hAnsi="Palatino Linotype"/>
        </w:rPr>
        <w:t xml:space="preserve"> needed for a successful health law practice.  It also means that clinical and other faculty can have a significant impact on students’ professional development.  Often, faculty who are engaged in clinical pedagogy </w:t>
      </w:r>
      <w:r w:rsidRPr="00E443AD">
        <w:rPr>
          <w:rFonts w:ascii="Palatino Linotype" w:hAnsi="Palatino Linotype"/>
        </w:rPr>
        <w:lastRenderedPageBreak/>
        <w:t>develop an accurate and deep understanding of a student’s skills, weaknesses, and abilities</w:t>
      </w:r>
      <w:r w:rsidR="00175595" w:rsidRPr="00E443AD">
        <w:rPr>
          <w:rFonts w:ascii="Palatino Linotype" w:hAnsi="Palatino Linotype"/>
        </w:rPr>
        <w:t xml:space="preserve">.  This intimate knowledge of a student’s capability means that faculty engaged in experiential teaching are able to transmit to potential </w:t>
      </w:r>
      <w:proofErr w:type="gramStart"/>
      <w:r w:rsidR="00175595" w:rsidRPr="00E443AD">
        <w:rPr>
          <w:rFonts w:ascii="Palatino Linotype" w:hAnsi="Palatino Linotype"/>
        </w:rPr>
        <w:t>employers</w:t>
      </w:r>
      <w:proofErr w:type="gramEnd"/>
      <w:r w:rsidR="00175595" w:rsidRPr="00E443AD">
        <w:rPr>
          <w:rFonts w:ascii="Palatino Linotype" w:hAnsi="Palatino Linotype"/>
        </w:rPr>
        <w:t xml:space="preserve"> specific examples of a student’s skills and experience in a way that is more meaningful than a grade report.  Additionally, clinical and other experiential faculty are connected to practice and have a wide network that enables them to assist students in securi</w:t>
      </w:r>
      <w:r w:rsidR="0019769D" w:rsidRPr="00E443AD">
        <w:rPr>
          <w:rFonts w:ascii="Palatino Linotype" w:hAnsi="Palatino Linotype"/>
        </w:rPr>
        <w:t>ng</w:t>
      </w:r>
      <w:r w:rsidR="00175595" w:rsidRPr="00E443AD">
        <w:rPr>
          <w:rFonts w:ascii="Palatino Linotype" w:hAnsi="Palatino Linotype"/>
        </w:rPr>
        <w:t xml:space="preserve"> opportunities for employment, fellowships, and advanced degrees that may enhance their professional development.  Finally, the requirement for experiential learning as part of the certificate program is a way to integrate all of a student’s learning in the health law area.  This knowledge is transferable to any practice, and will have lasting benefits for certificate program students as well as students from the general JD program who take health law classes as electives.</w:t>
      </w:r>
    </w:p>
    <w:p w14:paraId="19A6EDED" w14:textId="06EAB940" w:rsidR="001065C9" w:rsidRPr="00E443AD" w:rsidRDefault="001065C9" w:rsidP="00CC7EFA">
      <w:pPr>
        <w:pStyle w:val="ListParagraph"/>
        <w:spacing w:line="480" w:lineRule="auto"/>
        <w:ind w:left="0" w:firstLine="720"/>
        <w:jc w:val="both"/>
        <w:rPr>
          <w:rFonts w:ascii="Palatino Linotype" w:hAnsi="Palatino Linotype"/>
        </w:rPr>
      </w:pPr>
      <w:r w:rsidRPr="00E443AD">
        <w:rPr>
          <w:rFonts w:ascii="Palatino Linotype" w:hAnsi="Palatino Linotype"/>
        </w:rPr>
        <w:t>c.</w:t>
      </w:r>
      <w:r w:rsidRPr="00E443AD">
        <w:rPr>
          <w:rFonts w:ascii="Palatino Linotype" w:hAnsi="Palatino Linotype"/>
        </w:rPr>
        <w:tab/>
      </w:r>
      <w:r w:rsidRPr="00E443AD">
        <w:rPr>
          <w:rFonts w:ascii="Palatino Linotype" w:hAnsi="Palatino Linotype"/>
          <w:u w:val="single"/>
        </w:rPr>
        <w:t>Values</w:t>
      </w:r>
      <w:r w:rsidR="001E59F4" w:rsidRPr="00E443AD">
        <w:rPr>
          <w:rFonts w:ascii="Palatino Linotype" w:hAnsi="Palatino Linotype"/>
          <w:u w:val="single"/>
        </w:rPr>
        <w:t xml:space="preserve"> Competencies</w:t>
      </w:r>
      <w:r w:rsidRPr="00E443AD">
        <w:rPr>
          <w:rFonts w:ascii="Palatino Linotype" w:hAnsi="Palatino Linotype"/>
        </w:rPr>
        <w:t xml:space="preserve">:  </w:t>
      </w:r>
      <w:r w:rsidR="00A45E22" w:rsidRPr="00E443AD">
        <w:rPr>
          <w:rFonts w:ascii="Palatino Linotype" w:hAnsi="Palatino Linotype"/>
        </w:rPr>
        <w:t>In addition to developing specific knowledge and skills, t</w:t>
      </w:r>
      <w:r w:rsidRPr="00E443AD">
        <w:rPr>
          <w:rFonts w:ascii="Palatino Linotype" w:hAnsi="Palatino Linotype"/>
        </w:rPr>
        <w:t xml:space="preserve">he health law </w:t>
      </w:r>
      <w:r w:rsidR="00A45E22" w:rsidRPr="00E443AD">
        <w:rPr>
          <w:rFonts w:ascii="Palatino Linotype" w:hAnsi="Palatino Linotype"/>
        </w:rPr>
        <w:t xml:space="preserve">certificate </w:t>
      </w:r>
      <w:r w:rsidRPr="00E443AD">
        <w:rPr>
          <w:rFonts w:ascii="Palatino Linotype" w:hAnsi="Palatino Linotype"/>
        </w:rPr>
        <w:t>program foster</w:t>
      </w:r>
      <w:r w:rsidR="00D50E32" w:rsidRPr="00E443AD">
        <w:rPr>
          <w:rFonts w:ascii="Palatino Linotype" w:hAnsi="Palatino Linotype"/>
        </w:rPr>
        <w:t>s</w:t>
      </w:r>
      <w:r w:rsidRPr="00E443AD">
        <w:rPr>
          <w:rFonts w:ascii="Palatino Linotype" w:hAnsi="Palatino Linotype"/>
        </w:rPr>
        <w:t xml:space="preserve"> professional ethics and values, including habits of mind and mindsets that promote the responsible, civil, and ethical practice of law generally and in the health law field particularly.  Just as many knowledge and skill competencies are developed through the </w:t>
      </w:r>
      <w:r w:rsidR="00A45E22" w:rsidRPr="00E443AD">
        <w:rPr>
          <w:rFonts w:ascii="Palatino Linotype" w:hAnsi="Palatino Linotype"/>
        </w:rPr>
        <w:t xml:space="preserve">law </w:t>
      </w:r>
      <w:r w:rsidRPr="00E443AD">
        <w:rPr>
          <w:rFonts w:ascii="Palatino Linotype" w:hAnsi="Palatino Linotype"/>
        </w:rPr>
        <w:t>program generally, the values-oriented competencies in health law are common to all fields of legal practice.  Core competencies in professional values in health law are</w:t>
      </w:r>
      <w:r w:rsidR="008C20E7" w:rsidRPr="00E443AD">
        <w:rPr>
          <w:rFonts w:ascii="Palatino Linotype" w:hAnsi="Palatino Linotype"/>
        </w:rPr>
        <w:t xml:space="preserve"> the abilities</w:t>
      </w:r>
      <w:r w:rsidR="00943739" w:rsidRPr="00E443AD">
        <w:rPr>
          <w:rFonts w:ascii="Palatino Linotype" w:hAnsi="Palatino Linotype"/>
        </w:rPr>
        <w:t xml:space="preserve"> to</w:t>
      </w:r>
      <w:r w:rsidRPr="00E443AD">
        <w:rPr>
          <w:rFonts w:ascii="Palatino Linotype" w:hAnsi="Palatino Linotype"/>
        </w:rPr>
        <w:t xml:space="preserve">: </w:t>
      </w:r>
      <w:r w:rsidR="00A45E22" w:rsidRPr="00E443AD">
        <w:rPr>
          <w:rFonts w:ascii="Palatino Linotype" w:hAnsi="Palatino Linotype"/>
        </w:rPr>
        <w:t>(1) a</w:t>
      </w:r>
      <w:r w:rsidR="00403EDE" w:rsidRPr="00E443AD">
        <w:rPr>
          <w:rFonts w:ascii="Palatino Linotype" w:hAnsi="Palatino Linotype"/>
        </w:rPr>
        <w:t>ppreciat</w:t>
      </w:r>
      <w:r w:rsidR="00A45E22" w:rsidRPr="00E443AD">
        <w:rPr>
          <w:rFonts w:ascii="Palatino Linotype" w:hAnsi="Palatino Linotype"/>
        </w:rPr>
        <w:t>e</w:t>
      </w:r>
      <w:r w:rsidR="00403EDE" w:rsidRPr="00E443AD">
        <w:rPr>
          <w:rFonts w:ascii="Palatino Linotype" w:hAnsi="Palatino Linotype"/>
        </w:rPr>
        <w:t xml:space="preserve"> how professional ethics plays out in health law contexts</w:t>
      </w:r>
      <w:r w:rsidR="00A45E22" w:rsidRPr="00E443AD">
        <w:rPr>
          <w:rFonts w:ascii="Palatino Linotype" w:hAnsi="Palatino Linotype"/>
        </w:rPr>
        <w:t>;  (2) e</w:t>
      </w:r>
      <w:r w:rsidRPr="00E443AD">
        <w:rPr>
          <w:rFonts w:ascii="Palatino Linotype" w:hAnsi="Palatino Linotype"/>
        </w:rPr>
        <w:t xml:space="preserve">ngage in self-reflection and self-awareness, </w:t>
      </w:r>
      <w:r w:rsidRPr="00E443AD">
        <w:rPr>
          <w:rFonts w:ascii="Palatino Linotype" w:hAnsi="Palatino Linotype"/>
        </w:rPr>
        <w:lastRenderedPageBreak/>
        <w:t>including</w:t>
      </w:r>
      <w:r w:rsidR="00A45E22" w:rsidRPr="00E443AD">
        <w:rPr>
          <w:rFonts w:ascii="Palatino Linotype" w:hAnsi="Palatino Linotype"/>
        </w:rPr>
        <w:t xml:space="preserve"> the </w:t>
      </w:r>
      <w:r w:rsidR="00544AC4" w:rsidRPr="00E443AD">
        <w:rPr>
          <w:rFonts w:ascii="Palatino Linotype" w:hAnsi="Palatino Linotype"/>
        </w:rPr>
        <w:t>a</w:t>
      </w:r>
      <w:r w:rsidRPr="00E443AD">
        <w:rPr>
          <w:rFonts w:ascii="Palatino Linotype" w:hAnsi="Palatino Linotype"/>
        </w:rPr>
        <w:t>bility to self-critique</w:t>
      </w:r>
      <w:r w:rsidR="00A45E22" w:rsidRPr="00E443AD">
        <w:rPr>
          <w:rFonts w:ascii="Palatino Linotype" w:hAnsi="Palatino Linotype"/>
        </w:rPr>
        <w:t xml:space="preserve"> and commit to life-long learning and self-care</w:t>
      </w:r>
      <w:r w:rsidR="00F53BA8" w:rsidRPr="00E443AD">
        <w:rPr>
          <w:rFonts w:ascii="Palatino Linotype" w:hAnsi="Palatino Linotype"/>
        </w:rPr>
        <w:t xml:space="preserve">; </w:t>
      </w:r>
      <w:r w:rsidR="00A45E22" w:rsidRPr="00E443AD">
        <w:rPr>
          <w:rFonts w:ascii="Palatino Linotype" w:hAnsi="Palatino Linotype"/>
        </w:rPr>
        <w:t>(3) d</w:t>
      </w:r>
      <w:r w:rsidRPr="00E443AD">
        <w:rPr>
          <w:rFonts w:ascii="Palatino Linotype" w:hAnsi="Palatino Linotype"/>
        </w:rPr>
        <w:t>evelop professional identity</w:t>
      </w:r>
      <w:r w:rsidR="00544AC4" w:rsidRPr="00E443AD">
        <w:rPr>
          <w:rFonts w:ascii="Palatino Linotype" w:hAnsi="Palatino Linotype"/>
        </w:rPr>
        <w:t>;</w:t>
      </w:r>
      <w:r w:rsidR="00A45E22" w:rsidRPr="00E443AD">
        <w:rPr>
          <w:rFonts w:ascii="Palatino Linotype" w:hAnsi="Palatino Linotype"/>
        </w:rPr>
        <w:t xml:space="preserve"> (4) retain sense of personal and professional fulfillment; (5) treat others with respect and civility; (6) promote justice in health; and (7)</w:t>
      </w:r>
      <w:r w:rsidR="00D25DDF" w:rsidRPr="00E443AD">
        <w:rPr>
          <w:rFonts w:ascii="Palatino Linotype" w:hAnsi="Palatino Linotype"/>
        </w:rPr>
        <w:t xml:space="preserve"> commit to pro bono and community service.</w:t>
      </w:r>
      <w:r w:rsidR="00875FD4" w:rsidRPr="00E443AD">
        <w:rPr>
          <w:rStyle w:val="FootnoteReference"/>
          <w:rFonts w:ascii="Palatino Linotype" w:hAnsi="Palatino Linotype"/>
        </w:rPr>
        <w:footnoteReference w:id="31"/>
      </w:r>
    </w:p>
    <w:p w14:paraId="0F6473A5" w14:textId="67432AED" w:rsidR="003E7551" w:rsidRPr="00E443AD" w:rsidRDefault="002B7DFA" w:rsidP="00E443AD">
      <w:pPr>
        <w:spacing w:line="480" w:lineRule="auto"/>
        <w:jc w:val="both"/>
        <w:rPr>
          <w:rFonts w:ascii="Palatino Linotype" w:hAnsi="Palatino Linotype"/>
        </w:rPr>
      </w:pPr>
      <w:r w:rsidRPr="00E443AD">
        <w:rPr>
          <w:rFonts w:ascii="Palatino Linotype" w:hAnsi="Palatino Linotype"/>
        </w:rPr>
        <w:t>As with the experien</w:t>
      </w:r>
      <w:r w:rsidR="00544AC4" w:rsidRPr="00E443AD">
        <w:rPr>
          <w:rFonts w:ascii="Palatino Linotype" w:hAnsi="Palatino Linotype"/>
        </w:rPr>
        <w:t>tial</w:t>
      </w:r>
      <w:r w:rsidRPr="00E443AD">
        <w:rPr>
          <w:rFonts w:ascii="Palatino Linotype" w:hAnsi="Palatino Linotype"/>
        </w:rPr>
        <w:t xml:space="preserve"> learning requirements, the values competencies are taught throughout the health law curriculum, as well as through the general law curriculum. However, our lawyering skills</w:t>
      </w:r>
      <w:r w:rsidR="00EE162F" w:rsidRPr="00E443AD">
        <w:rPr>
          <w:rFonts w:ascii="Palatino Linotype" w:hAnsi="Palatino Linotype"/>
        </w:rPr>
        <w:t xml:space="preserve">, particularly the clinical </w:t>
      </w:r>
      <w:r w:rsidRPr="00E443AD">
        <w:rPr>
          <w:rFonts w:ascii="Palatino Linotype" w:hAnsi="Palatino Linotype"/>
        </w:rPr>
        <w:t>courses</w:t>
      </w:r>
      <w:r w:rsidR="00EE162F" w:rsidRPr="00E443AD">
        <w:rPr>
          <w:rFonts w:ascii="Palatino Linotype" w:hAnsi="Palatino Linotype"/>
        </w:rPr>
        <w:t>,</w:t>
      </w:r>
      <w:r w:rsidRPr="00E443AD">
        <w:rPr>
          <w:rFonts w:ascii="Palatino Linotype" w:hAnsi="Palatino Linotype"/>
        </w:rPr>
        <w:t xml:space="preserve"> play a special role in developing these professional values, providing a context in which these issues become more salient and alive.</w:t>
      </w:r>
      <w:r w:rsidR="00EE162F" w:rsidRPr="00E443AD">
        <w:rPr>
          <w:rStyle w:val="FootnoteReference"/>
          <w:rFonts w:ascii="Palatino Linotype" w:hAnsi="Palatino Linotype"/>
        </w:rPr>
        <w:footnoteReference w:id="32"/>
      </w:r>
      <w:r w:rsidR="003E7551" w:rsidRPr="00E443AD">
        <w:rPr>
          <w:rFonts w:ascii="Palatino Linotype" w:hAnsi="Palatino Linotype"/>
        </w:rPr>
        <w:t xml:space="preserve"> </w:t>
      </w:r>
    </w:p>
    <w:p w14:paraId="31100578" w14:textId="65FBD92F" w:rsidR="003E7551" w:rsidRPr="00E443AD" w:rsidRDefault="003E7551" w:rsidP="00E443AD">
      <w:pPr>
        <w:spacing w:line="480" w:lineRule="auto"/>
        <w:jc w:val="both"/>
        <w:rPr>
          <w:rFonts w:ascii="Palatino Linotype" w:hAnsi="Palatino Linotype"/>
        </w:rPr>
      </w:pPr>
      <w:r w:rsidRPr="00E443AD">
        <w:rPr>
          <w:rFonts w:ascii="Palatino Linotype" w:hAnsi="Palatino Linotype"/>
        </w:rPr>
        <w:t>To f</w:t>
      </w:r>
      <w:r w:rsidR="00EE162F" w:rsidRPr="00E443AD">
        <w:rPr>
          <w:rFonts w:ascii="Palatino Linotype" w:hAnsi="Palatino Linotype"/>
        </w:rPr>
        <w:t>urther</w:t>
      </w:r>
      <w:r w:rsidRPr="00E443AD">
        <w:rPr>
          <w:rFonts w:ascii="Palatino Linotype" w:hAnsi="Palatino Linotype"/>
        </w:rPr>
        <w:t xml:space="preserve"> instill the professional values critical to a health lawyer, certificate students </w:t>
      </w:r>
      <w:r w:rsidR="00EE162F" w:rsidRPr="00E443AD">
        <w:rPr>
          <w:rFonts w:ascii="Palatino Linotype" w:hAnsi="Palatino Linotype"/>
        </w:rPr>
        <w:t xml:space="preserve">are also required </w:t>
      </w:r>
      <w:r w:rsidRPr="00E443AD">
        <w:rPr>
          <w:rFonts w:ascii="Palatino Linotype" w:hAnsi="Palatino Linotype"/>
        </w:rPr>
        <w:t xml:space="preserve">to participate in </w:t>
      </w:r>
      <w:r w:rsidR="00875FD4" w:rsidRPr="00E443AD">
        <w:rPr>
          <w:rFonts w:ascii="Palatino Linotype" w:hAnsi="Palatino Linotype"/>
        </w:rPr>
        <w:t>fifteen</w:t>
      </w:r>
      <w:r w:rsidRPr="00E443AD">
        <w:rPr>
          <w:rFonts w:ascii="Palatino Linotype" w:hAnsi="Palatino Linotype"/>
        </w:rPr>
        <w:t xml:space="preserve"> hours of extracurricular activities or attend </w:t>
      </w:r>
      <w:r w:rsidR="00875FD4" w:rsidRPr="00E443AD">
        <w:rPr>
          <w:rFonts w:ascii="Palatino Linotype" w:hAnsi="Palatino Linotype"/>
        </w:rPr>
        <w:t>five</w:t>
      </w:r>
      <w:r w:rsidRPr="00E443AD">
        <w:rPr>
          <w:rFonts w:ascii="Palatino Linotype" w:hAnsi="Palatino Linotype"/>
        </w:rPr>
        <w:t xml:space="preserve"> approved </w:t>
      </w:r>
      <w:r w:rsidR="00EE162F" w:rsidRPr="00E443AD">
        <w:rPr>
          <w:rFonts w:ascii="Palatino Linotype" w:hAnsi="Palatino Linotype"/>
        </w:rPr>
        <w:t xml:space="preserve">health law </w:t>
      </w:r>
      <w:r w:rsidRPr="00E443AD">
        <w:rPr>
          <w:rFonts w:ascii="Palatino Linotype" w:hAnsi="Palatino Linotype"/>
        </w:rPr>
        <w:t xml:space="preserve">events over a student’s </w:t>
      </w:r>
      <w:r w:rsidR="00B101A2" w:rsidRPr="00E443AD">
        <w:rPr>
          <w:rFonts w:ascii="Palatino Linotype" w:hAnsi="Palatino Linotype"/>
        </w:rPr>
        <w:t xml:space="preserve">second and third years of law school.  </w:t>
      </w:r>
      <w:r w:rsidRPr="00E443AD">
        <w:rPr>
          <w:rFonts w:ascii="Palatino Linotype" w:hAnsi="Palatino Linotype"/>
        </w:rPr>
        <w:t xml:space="preserve"> Such activities can promote many of the core values competencies </w:t>
      </w:r>
      <w:r w:rsidR="00AD786C" w:rsidRPr="00E443AD">
        <w:rPr>
          <w:rFonts w:ascii="Palatino Linotype" w:hAnsi="Palatino Linotype"/>
        </w:rPr>
        <w:t xml:space="preserve">the faculty </w:t>
      </w:r>
      <w:r w:rsidRPr="00E443AD">
        <w:rPr>
          <w:rFonts w:ascii="Palatino Linotype" w:hAnsi="Palatino Linotype"/>
        </w:rPr>
        <w:t xml:space="preserve">identified, including leadership, community-building, developing professional identity, and commitment to pro bono service.  </w:t>
      </w:r>
      <w:r w:rsidR="00AD786C" w:rsidRPr="00E443AD">
        <w:rPr>
          <w:rFonts w:ascii="Palatino Linotype" w:hAnsi="Palatino Linotype"/>
        </w:rPr>
        <w:t>T</w:t>
      </w:r>
      <w:r w:rsidRPr="00E443AD">
        <w:rPr>
          <w:rFonts w:ascii="Palatino Linotype" w:hAnsi="Palatino Linotype"/>
        </w:rPr>
        <w:t>his requirement lay</w:t>
      </w:r>
      <w:r w:rsidR="0019769D" w:rsidRPr="00E443AD">
        <w:rPr>
          <w:rFonts w:ascii="Palatino Linotype" w:hAnsi="Palatino Linotype"/>
        </w:rPr>
        <w:t>s</w:t>
      </w:r>
      <w:r w:rsidRPr="00E443AD">
        <w:rPr>
          <w:rFonts w:ascii="Palatino Linotype" w:hAnsi="Palatino Linotype"/>
        </w:rPr>
        <w:t xml:space="preserve"> the foundation for an actively engaged professional life. Activities that student</w:t>
      </w:r>
      <w:r w:rsidR="00875FD4" w:rsidRPr="00E443AD">
        <w:rPr>
          <w:rFonts w:ascii="Palatino Linotype" w:hAnsi="Palatino Linotype"/>
        </w:rPr>
        <w:t>s</w:t>
      </w:r>
      <w:r w:rsidRPr="00E443AD">
        <w:rPr>
          <w:rFonts w:ascii="Palatino Linotype" w:hAnsi="Palatino Linotype"/>
        </w:rPr>
        <w:t xml:space="preserve"> may use to satisfy this requirement include participation in student activities that have an educational component and </w:t>
      </w:r>
      <w:r w:rsidRPr="00E443AD">
        <w:rPr>
          <w:rFonts w:ascii="Palatino Linotype" w:hAnsi="Palatino Linotype"/>
        </w:rPr>
        <w:lastRenderedPageBreak/>
        <w:t xml:space="preserve">require a significant time commitment, </w:t>
      </w:r>
      <w:r w:rsidR="00544AC4" w:rsidRPr="00E443AD">
        <w:rPr>
          <w:rFonts w:ascii="Palatino Linotype" w:hAnsi="Palatino Linotype"/>
        </w:rPr>
        <w:t xml:space="preserve">such as </w:t>
      </w:r>
      <w:r w:rsidRPr="00E443AD">
        <w:rPr>
          <w:rFonts w:ascii="Palatino Linotype" w:hAnsi="Palatino Linotype"/>
        </w:rPr>
        <w:t>moot court,</w:t>
      </w:r>
      <w:r w:rsidR="00F95268" w:rsidRPr="00E443AD">
        <w:rPr>
          <w:rStyle w:val="FootnoteReference"/>
          <w:rFonts w:ascii="Palatino Linotype" w:hAnsi="Palatino Linotype"/>
        </w:rPr>
        <w:footnoteReference w:id="33"/>
      </w:r>
      <w:r w:rsidRPr="00E443AD">
        <w:rPr>
          <w:rFonts w:ascii="Palatino Linotype" w:hAnsi="Palatino Linotype"/>
        </w:rPr>
        <w:t xml:space="preserve"> law review, leadership in any student organization, or serving as a research assistant to a professor</w:t>
      </w:r>
      <w:r w:rsidR="00BB27C5" w:rsidRPr="00E443AD">
        <w:rPr>
          <w:rFonts w:ascii="Palatino Linotype" w:hAnsi="Palatino Linotype"/>
        </w:rPr>
        <w:t>, the various health-related events sponsored by the various organizations on campus, including our Center for Health, Law &amp; Society, our Student Health Law Association, and our partners in the business school and public health</w:t>
      </w:r>
      <w:r w:rsidR="007502A0" w:rsidRPr="00E443AD">
        <w:rPr>
          <w:rFonts w:ascii="Palatino Linotype" w:hAnsi="Palatino Linotype"/>
        </w:rPr>
        <w:t xml:space="preserve">, </w:t>
      </w:r>
      <w:r w:rsidR="00EA4C58" w:rsidRPr="00E443AD">
        <w:rPr>
          <w:rFonts w:ascii="Palatino Linotype" w:hAnsi="Palatino Linotype"/>
        </w:rPr>
        <w:t xml:space="preserve">and externally sponsored health </w:t>
      </w:r>
      <w:r w:rsidR="007502A0" w:rsidRPr="00E443AD">
        <w:rPr>
          <w:rFonts w:ascii="Palatino Linotype" w:hAnsi="Palatino Linotype"/>
        </w:rPr>
        <w:t>law</w:t>
      </w:r>
      <w:r w:rsidR="00EA4C58" w:rsidRPr="00E443AD">
        <w:rPr>
          <w:rFonts w:ascii="Palatino Linotype" w:hAnsi="Palatino Linotype"/>
        </w:rPr>
        <w:t>-related</w:t>
      </w:r>
      <w:r w:rsidR="007502A0" w:rsidRPr="00E443AD">
        <w:rPr>
          <w:rFonts w:ascii="Palatino Linotype" w:hAnsi="Palatino Linotype"/>
        </w:rPr>
        <w:t xml:space="preserve"> events, including State Bar programs and health-related service activities</w:t>
      </w:r>
      <w:r w:rsidR="00BB27C5" w:rsidRPr="00E443AD">
        <w:rPr>
          <w:rFonts w:ascii="Palatino Linotype" w:hAnsi="Palatino Linotype"/>
        </w:rPr>
        <w:t>.</w:t>
      </w:r>
      <w:r w:rsidR="000B6F77" w:rsidRPr="00E443AD">
        <w:rPr>
          <w:rStyle w:val="FootnoteReference"/>
          <w:rFonts w:ascii="Palatino Linotype" w:hAnsi="Palatino Linotype"/>
        </w:rPr>
        <w:footnoteReference w:id="34"/>
      </w:r>
    </w:p>
    <w:p w14:paraId="45E7F35E" w14:textId="3D373493" w:rsidR="003E7551" w:rsidRPr="00E443AD" w:rsidRDefault="00B235DF" w:rsidP="00CC7EFA">
      <w:pPr>
        <w:spacing w:line="480" w:lineRule="auto"/>
        <w:jc w:val="both"/>
        <w:rPr>
          <w:rFonts w:ascii="Palatino Linotype" w:hAnsi="Palatino Linotype"/>
          <w:u w:val="single"/>
        </w:rPr>
      </w:pPr>
      <w:r w:rsidRPr="00E443AD">
        <w:rPr>
          <w:rFonts w:ascii="Palatino Linotype" w:hAnsi="Palatino Linotype"/>
          <w:b/>
        </w:rPr>
        <w:tab/>
      </w:r>
      <w:r w:rsidRPr="00E443AD">
        <w:rPr>
          <w:rFonts w:ascii="Palatino Linotype" w:hAnsi="Palatino Linotype"/>
        </w:rPr>
        <w:t xml:space="preserve">d. </w:t>
      </w:r>
      <w:r w:rsidR="005C064F" w:rsidRPr="00E443AD">
        <w:rPr>
          <w:rFonts w:ascii="Palatino Linotype" w:hAnsi="Palatino Linotype"/>
          <w:u w:val="single"/>
        </w:rPr>
        <w:t>Additional considerations</w:t>
      </w:r>
    </w:p>
    <w:p w14:paraId="5946EACA" w14:textId="4FD7C4CC" w:rsidR="005C064F" w:rsidRPr="00E443AD" w:rsidRDefault="00B10494" w:rsidP="00E443AD">
      <w:pPr>
        <w:spacing w:line="480" w:lineRule="auto"/>
        <w:jc w:val="both"/>
        <w:rPr>
          <w:rFonts w:ascii="Palatino Linotype" w:hAnsi="Palatino Linotype"/>
        </w:rPr>
      </w:pPr>
      <w:r w:rsidRPr="00E443AD">
        <w:rPr>
          <w:rFonts w:ascii="Palatino Linotype" w:hAnsi="Palatino Linotype"/>
        </w:rPr>
        <w:t xml:space="preserve">In developing </w:t>
      </w:r>
      <w:r w:rsidR="00AD786C" w:rsidRPr="00E443AD">
        <w:rPr>
          <w:rFonts w:ascii="Palatino Linotype" w:hAnsi="Palatino Linotype"/>
        </w:rPr>
        <w:t>the requirements, the number of required credits was limited</w:t>
      </w:r>
      <w:r w:rsidRPr="00E443AD">
        <w:rPr>
          <w:rFonts w:ascii="Palatino Linotype" w:hAnsi="Palatino Linotype"/>
        </w:rPr>
        <w:t xml:space="preserve"> to ensure that students had the freedom to explore other topics in the general law curriculum or to dig more deeply into the rich health law course offerings.</w:t>
      </w:r>
      <w:r w:rsidR="003E7551" w:rsidRPr="00E443AD">
        <w:rPr>
          <w:rStyle w:val="FootnoteReference"/>
          <w:rFonts w:ascii="Palatino Linotype" w:hAnsi="Palatino Linotype"/>
        </w:rPr>
        <w:footnoteReference w:id="35"/>
      </w:r>
      <w:r w:rsidRPr="00E443AD">
        <w:rPr>
          <w:rFonts w:ascii="Palatino Linotype" w:hAnsi="Palatino Linotype"/>
        </w:rPr>
        <w:t xml:space="preserve"> </w:t>
      </w:r>
      <w:r w:rsidR="00CF4297" w:rsidRPr="00E443AD">
        <w:rPr>
          <w:rFonts w:ascii="Palatino Linotype" w:hAnsi="Palatino Linotype"/>
        </w:rPr>
        <w:t xml:space="preserve">Accordingly, </w:t>
      </w:r>
      <w:r w:rsidR="00EA4C58" w:rsidRPr="00E443AD">
        <w:rPr>
          <w:rFonts w:ascii="Palatino Linotype" w:hAnsi="Palatino Linotype"/>
        </w:rPr>
        <w:t>the certificate program requires</w:t>
      </w:r>
      <w:r w:rsidR="00CF4297" w:rsidRPr="00E443AD">
        <w:rPr>
          <w:rFonts w:ascii="Palatino Linotype" w:hAnsi="Palatino Linotype"/>
        </w:rPr>
        <w:t xml:space="preserve"> only 16-21 credits, depending on courses selected.</w:t>
      </w:r>
      <w:r w:rsidR="00AD786C" w:rsidRPr="00E443AD">
        <w:rPr>
          <w:rFonts w:ascii="Palatino Linotype" w:hAnsi="Palatino Linotype"/>
        </w:rPr>
        <w:t xml:space="preserve">  A minimum g</w:t>
      </w:r>
      <w:r w:rsidR="005C064F" w:rsidRPr="00E443AD">
        <w:rPr>
          <w:rFonts w:ascii="Palatino Linotype" w:hAnsi="Palatino Linotype"/>
        </w:rPr>
        <w:t xml:space="preserve">rade </w:t>
      </w:r>
      <w:r w:rsidR="005C064F" w:rsidRPr="00E443AD">
        <w:rPr>
          <w:rFonts w:ascii="Palatino Linotype" w:hAnsi="Palatino Linotype"/>
        </w:rPr>
        <w:lastRenderedPageBreak/>
        <w:t>point average (GPA)</w:t>
      </w:r>
      <w:r w:rsidR="00AD786C" w:rsidRPr="00E443AD">
        <w:rPr>
          <w:rFonts w:ascii="Palatino Linotype" w:hAnsi="Palatino Linotype"/>
        </w:rPr>
        <w:t xml:space="preserve"> i</w:t>
      </w:r>
      <w:r w:rsidR="0019769D" w:rsidRPr="00E443AD">
        <w:rPr>
          <w:rFonts w:ascii="Palatino Linotype" w:hAnsi="Palatino Linotype"/>
        </w:rPr>
        <w:t>s</w:t>
      </w:r>
      <w:r w:rsidR="00AD786C" w:rsidRPr="00E443AD">
        <w:rPr>
          <w:rFonts w:ascii="Palatino Linotype" w:hAnsi="Palatino Linotype"/>
        </w:rPr>
        <w:t xml:space="preserve"> not required for a student</w:t>
      </w:r>
      <w:r w:rsidR="005C064F" w:rsidRPr="00E443AD">
        <w:rPr>
          <w:rFonts w:ascii="Palatino Linotype" w:hAnsi="Palatino Linotype"/>
        </w:rPr>
        <w:t xml:space="preserve"> to enter the certificate program so as not to discourage students who may have found their first year of law school particularly challenging and who are fully capable of overcoming those challenges in their upper-division years, especially where they may be motivated by a specific interest in the health law field.  However, to ensure that </w:t>
      </w:r>
      <w:r w:rsidR="000B6F77" w:rsidRPr="00E443AD">
        <w:rPr>
          <w:rFonts w:ascii="Palatino Linotype" w:hAnsi="Palatino Linotype"/>
        </w:rPr>
        <w:t xml:space="preserve">certificate represents a level of achievement and education to </w:t>
      </w:r>
      <w:r w:rsidR="005C064F" w:rsidRPr="00E443AD">
        <w:rPr>
          <w:rFonts w:ascii="Palatino Linotype" w:hAnsi="Palatino Linotype"/>
        </w:rPr>
        <w:t xml:space="preserve">the legal community, </w:t>
      </w:r>
      <w:r w:rsidR="000B6F77" w:rsidRPr="00E443AD">
        <w:rPr>
          <w:rFonts w:ascii="Palatino Linotype" w:hAnsi="Palatino Linotype"/>
        </w:rPr>
        <w:t>to qualify for a certificate a student must attain</w:t>
      </w:r>
      <w:r w:rsidR="00F25988" w:rsidRPr="00E443AD">
        <w:rPr>
          <w:rFonts w:ascii="Palatino Linotype" w:hAnsi="Palatino Linotype"/>
        </w:rPr>
        <w:t xml:space="preserve"> </w:t>
      </w:r>
      <w:r w:rsidR="005C064F" w:rsidRPr="00E443AD">
        <w:rPr>
          <w:rFonts w:ascii="Palatino Linotype" w:hAnsi="Palatino Linotype"/>
        </w:rPr>
        <w:t>a minimum GPA (of 3.0) for all courses taken in satisfaction of the certificate requirements and the writing requirement</w:t>
      </w:r>
      <w:r w:rsidR="000B6F77" w:rsidRPr="00E443AD">
        <w:rPr>
          <w:rFonts w:ascii="Palatino Linotype" w:hAnsi="Palatino Linotype"/>
        </w:rPr>
        <w:t>.</w:t>
      </w:r>
      <w:r w:rsidR="00F25988" w:rsidRPr="00E443AD">
        <w:rPr>
          <w:rFonts w:ascii="Palatino Linotype" w:hAnsi="Palatino Linotype"/>
        </w:rPr>
        <w:t xml:space="preserve"> </w:t>
      </w:r>
      <w:r w:rsidR="00AD786C" w:rsidRPr="00E443AD">
        <w:rPr>
          <w:rFonts w:ascii="Palatino Linotype" w:hAnsi="Palatino Linotype"/>
        </w:rPr>
        <w:t>The minimum GPA for health law courses ensures that the certificate is evidence of a level of achievement in health law study.</w:t>
      </w:r>
    </w:p>
    <w:p w14:paraId="05D8D272" w14:textId="77777777" w:rsidR="00CF4297" w:rsidRPr="00E443AD" w:rsidRDefault="00CF4297" w:rsidP="00CC7EFA">
      <w:pPr>
        <w:spacing w:line="480" w:lineRule="auto"/>
        <w:ind w:firstLine="720"/>
        <w:jc w:val="both"/>
        <w:rPr>
          <w:rFonts w:ascii="Palatino Linotype" w:hAnsi="Palatino Linotype"/>
        </w:rPr>
      </w:pPr>
    </w:p>
    <w:p w14:paraId="0E8ABD4B" w14:textId="5DAFABD5" w:rsidR="00EA4C58" w:rsidRPr="00E443AD" w:rsidRDefault="00EA4C58" w:rsidP="00594606">
      <w:pPr>
        <w:spacing w:line="480" w:lineRule="auto"/>
        <w:jc w:val="both"/>
        <w:outlineLvl w:val="0"/>
        <w:rPr>
          <w:rFonts w:ascii="Palatino Linotype" w:hAnsi="Palatino Linotype"/>
          <w:b/>
        </w:rPr>
      </w:pPr>
      <w:r w:rsidRPr="00E443AD">
        <w:rPr>
          <w:rFonts w:ascii="Palatino Linotype" w:hAnsi="Palatino Linotype"/>
          <w:b/>
        </w:rPr>
        <w:t xml:space="preserve">The Benefits of the Health Law Certificate Program </w:t>
      </w:r>
    </w:p>
    <w:p w14:paraId="2C1B70EA" w14:textId="27B9E684" w:rsidR="00EA4C58" w:rsidRPr="00E443AD" w:rsidRDefault="00EA4C58" w:rsidP="00CC7EFA">
      <w:pPr>
        <w:spacing w:line="480" w:lineRule="auto"/>
        <w:jc w:val="both"/>
        <w:rPr>
          <w:rFonts w:ascii="Palatino Linotype" w:hAnsi="Palatino Linotype"/>
        </w:rPr>
      </w:pPr>
      <w:r w:rsidRPr="00E443AD">
        <w:rPr>
          <w:rFonts w:ascii="Palatino Linotype" w:hAnsi="Palatino Linotype"/>
        </w:rPr>
        <w:t>The health law certificate program provides multiple benefits to ou</w:t>
      </w:r>
      <w:r w:rsidR="0063040D" w:rsidRPr="00E443AD">
        <w:rPr>
          <w:rFonts w:ascii="Palatino Linotype" w:hAnsi="Palatino Linotype"/>
        </w:rPr>
        <w:t xml:space="preserve">r </w:t>
      </w:r>
      <w:r w:rsidRPr="00E443AD">
        <w:rPr>
          <w:rFonts w:ascii="Palatino Linotype" w:hAnsi="Palatino Linotype"/>
        </w:rPr>
        <w:t>students. The primary benefit is to provide a thoughtful pathway through the curriculum, designed to provide students with an integrated and progressive learning experience in the area of health law.</w:t>
      </w:r>
      <w:r w:rsidRPr="00E443AD">
        <w:rPr>
          <w:rStyle w:val="FootnoteReference"/>
          <w:rFonts w:ascii="Palatino Linotype" w:hAnsi="Palatino Linotype"/>
        </w:rPr>
        <w:footnoteReference w:id="36"/>
      </w:r>
      <w:r w:rsidRPr="00E443AD">
        <w:rPr>
          <w:rFonts w:ascii="Palatino Linotype" w:hAnsi="Palatino Linotype"/>
        </w:rPr>
        <w:t xml:space="preserve"> </w:t>
      </w:r>
      <w:r w:rsidR="00AD786C" w:rsidRPr="00E443AD">
        <w:rPr>
          <w:rFonts w:ascii="Palatino Linotype" w:hAnsi="Palatino Linotype"/>
        </w:rPr>
        <w:t xml:space="preserve">The combination of </w:t>
      </w:r>
      <w:r w:rsidRPr="00E443AD">
        <w:rPr>
          <w:rFonts w:ascii="Palatino Linotype" w:hAnsi="Palatino Linotype"/>
        </w:rPr>
        <w:t xml:space="preserve">required courses, elective courses, </w:t>
      </w:r>
      <w:r w:rsidR="000B6F77" w:rsidRPr="00E443AD">
        <w:rPr>
          <w:rFonts w:ascii="Palatino Linotype" w:hAnsi="Palatino Linotype"/>
        </w:rPr>
        <w:t xml:space="preserve">experiential learning, </w:t>
      </w:r>
      <w:r w:rsidRPr="00E443AD">
        <w:rPr>
          <w:rFonts w:ascii="Palatino Linotype" w:hAnsi="Palatino Linotype"/>
        </w:rPr>
        <w:t>and additional activities give</w:t>
      </w:r>
      <w:r w:rsidR="00AD786C" w:rsidRPr="00E443AD">
        <w:rPr>
          <w:rFonts w:ascii="Palatino Linotype" w:hAnsi="Palatino Linotype"/>
        </w:rPr>
        <w:t>s</w:t>
      </w:r>
      <w:r w:rsidRPr="00E443AD">
        <w:rPr>
          <w:rFonts w:ascii="Palatino Linotype" w:hAnsi="Palatino Linotype"/>
        </w:rPr>
        <w:t xml:space="preserve"> students necessary guidance through the curriculum that allows them to take advantage of the second and third years of law school in a way that meets their individual learning goals</w:t>
      </w:r>
      <w:r w:rsidR="000B6F77" w:rsidRPr="00E443AD">
        <w:rPr>
          <w:rFonts w:ascii="Palatino Linotype" w:hAnsi="Palatino Linotype"/>
        </w:rPr>
        <w:t xml:space="preserve"> and better prepares them for their careers</w:t>
      </w:r>
      <w:r w:rsidRPr="00E443AD">
        <w:rPr>
          <w:rFonts w:ascii="Palatino Linotype" w:hAnsi="Palatino Linotype"/>
        </w:rPr>
        <w:t xml:space="preserve">. An </w:t>
      </w:r>
      <w:r w:rsidRPr="00E443AD">
        <w:rPr>
          <w:rFonts w:ascii="Palatino Linotype" w:hAnsi="Palatino Linotype"/>
        </w:rPr>
        <w:lastRenderedPageBreak/>
        <w:t>integrated health law curriculum offers students the opportunity for spiral learning – building and reinforcing the basics as they progress through courses and applying the core competencies in more advanced contexts.</w:t>
      </w:r>
      <w:r w:rsidRPr="00E443AD">
        <w:rPr>
          <w:rStyle w:val="FootnoteReference"/>
          <w:rFonts w:ascii="Palatino Linotype" w:hAnsi="Palatino Linotype"/>
        </w:rPr>
        <w:footnoteReference w:id="37"/>
      </w:r>
      <w:r w:rsidRPr="00E443AD">
        <w:rPr>
          <w:rFonts w:ascii="Palatino Linotype" w:hAnsi="Palatino Linotype"/>
        </w:rPr>
        <w:t xml:space="preserve">  A secondary benefit is the commitment of the health law faculty to giving enhanced advisement to certificate students. Although all students in our law school are assigned a faculty mentor in their first year, these assignments are done administratively and do not reflect students’ educational and career interests. Thus, students may not take full advantage of these relationships. Assignment of a curricular-specific advisor </w:t>
      </w:r>
      <w:r w:rsidR="00AD786C" w:rsidRPr="00E443AD">
        <w:rPr>
          <w:rFonts w:ascii="Palatino Linotype" w:hAnsi="Palatino Linotype"/>
        </w:rPr>
        <w:t xml:space="preserve">through the certificate program </w:t>
      </w:r>
      <w:r w:rsidRPr="00E443AD">
        <w:rPr>
          <w:rFonts w:ascii="Palatino Linotype" w:hAnsi="Palatino Linotype"/>
        </w:rPr>
        <w:t>can provide more targeted guidance. Through the health law certificate program, students have faculty available not only to assist them in designing course packages in health law and from the JD program generally that match their intellectual and employment interests, but also to provide guidance on career paths, and to suggest opportunities for future professional development, such as dual-degree programs and fellowships in health law.</w:t>
      </w:r>
      <w:r w:rsidRPr="00E443AD">
        <w:rPr>
          <w:rStyle w:val="FootnoteReference"/>
          <w:rFonts w:ascii="Palatino Linotype" w:hAnsi="Palatino Linotype"/>
        </w:rPr>
        <w:footnoteReference w:id="38"/>
      </w:r>
      <w:r w:rsidRPr="00E443AD">
        <w:rPr>
          <w:rFonts w:ascii="Palatino Linotype" w:hAnsi="Palatino Linotype"/>
        </w:rPr>
        <w:t xml:space="preserve">  While not a primary reason for adopting </w:t>
      </w:r>
      <w:r w:rsidR="00AD786C" w:rsidRPr="00E443AD">
        <w:rPr>
          <w:rFonts w:ascii="Palatino Linotype" w:hAnsi="Palatino Linotype"/>
        </w:rPr>
        <w:t>the</w:t>
      </w:r>
      <w:r w:rsidRPr="00E443AD">
        <w:rPr>
          <w:rFonts w:ascii="Palatino Linotype" w:hAnsi="Palatino Linotype"/>
        </w:rPr>
        <w:t xml:space="preserve"> program, certificate programs </w:t>
      </w:r>
      <w:r w:rsidR="000B6F77" w:rsidRPr="00E443AD">
        <w:rPr>
          <w:rFonts w:ascii="Palatino Linotype" w:hAnsi="Palatino Linotype"/>
        </w:rPr>
        <w:t xml:space="preserve">with a robust experiential component </w:t>
      </w:r>
      <w:r w:rsidRPr="00E443AD">
        <w:rPr>
          <w:rFonts w:ascii="Palatino Linotype" w:hAnsi="Palatino Linotype"/>
        </w:rPr>
        <w:t xml:space="preserve">can also be a way to distinguish a law school and attract students </w:t>
      </w:r>
      <w:r w:rsidRPr="00E443AD">
        <w:rPr>
          <w:rFonts w:ascii="Palatino Linotype" w:hAnsi="Palatino Linotype"/>
        </w:rPr>
        <w:lastRenderedPageBreak/>
        <w:t>who are interested in a school’s existing curricular strength.</w:t>
      </w:r>
      <w:r w:rsidR="00AD786C" w:rsidRPr="00E443AD">
        <w:rPr>
          <w:rFonts w:ascii="Palatino Linotype" w:hAnsi="Palatino Linotype"/>
        </w:rPr>
        <w:t xml:space="preserve">  For example, many students report that the reason they chose to attend Georgia State Law over other law schools is the </w:t>
      </w:r>
      <w:proofErr w:type="spellStart"/>
      <w:r w:rsidR="0019769D" w:rsidRPr="00E443AD">
        <w:rPr>
          <w:rFonts w:ascii="Palatino Linotype" w:hAnsi="Palatino Linotype"/>
        </w:rPr>
        <w:t>HeLP</w:t>
      </w:r>
      <w:proofErr w:type="spellEnd"/>
      <w:r w:rsidR="00AD786C" w:rsidRPr="00E443AD">
        <w:rPr>
          <w:rFonts w:ascii="Palatino Linotype" w:hAnsi="Palatino Linotype"/>
        </w:rPr>
        <w:t xml:space="preserve"> Clinic and/or the health law certificate program.  </w:t>
      </w:r>
    </w:p>
    <w:p w14:paraId="21E9A948" w14:textId="25B66AC7" w:rsidR="00EA4C58" w:rsidRPr="00E443AD" w:rsidRDefault="00EA4C58" w:rsidP="00E443AD">
      <w:pPr>
        <w:spacing w:line="480" w:lineRule="auto"/>
        <w:jc w:val="both"/>
        <w:rPr>
          <w:rFonts w:ascii="Palatino Linotype" w:hAnsi="Palatino Linotype"/>
        </w:rPr>
      </w:pPr>
      <w:r w:rsidRPr="00E443AD">
        <w:rPr>
          <w:rFonts w:ascii="Palatino Linotype" w:hAnsi="Palatino Linotype"/>
        </w:rPr>
        <w:t xml:space="preserve">The </w:t>
      </w:r>
      <w:r w:rsidRPr="00E443AD">
        <w:rPr>
          <w:rFonts w:ascii="Palatino Linotype" w:hAnsi="Palatino Linotype"/>
          <w:i/>
        </w:rPr>
        <w:t>Carnegie Report</w:t>
      </w:r>
      <w:r w:rsidRPr="00E443AD">
        <w:rPr>
          <w:rFonts w:ascii="Palatino Linotype" w:hAnsi="Palatino Linotype"/>
        </w:rPr>
        <w:t xml:space="preserve"> notes the importance of on-going coordination among faculty at a law school in order to develop an integrated curriculum.</w:t>
      </w:r>
      <w:r w:rsidRPr="00E443AD">
        <w:rPr>
          <w:rStyle w:val="FootnoteReference"/>
          <w:rFonts w:ascii="Palatino Linotype" w:hAnsi="Palatino Linotype"/>
        </w:rPr>
        <w:footnoteReference w:id="39"/>
      </w:r>
      <w:r w:rsidRPr="00E443AD">
        <w:rPr>
          <w:rFonts w:ascii="Palatino Linotype" w:hAnsi="Palatino Linotype"/>
        </w:rPr>
        <w:t xml:space="preserve"> To ensure genuine integration, the health law faculty strives to reinforce in their respective courses the knowledge, skills, and values that have been identified as core, and to build on these domains across the health law curriculum.</w:t>
      </w:r>
      <w:r w:rsidRPr="00E443AD">
        <w:rPr>
          <w:rStyle w:val="FootnoteReference"/>
          <w:rFonts w:ascii="Palatino Linotype" w:hAnsi="Palatino Linotype"/>
        </w:rPr>
        <w:footnoteReference w:id="40"/>
      </w:r>
      <w:r w:rsidRPr="00E443AD">
        <w:rPr>
          <w:rFonts w:ascii="Palatino Linotype" w:hAnsi="Palatino Linotype"/>
        </w:rPr>
        <w:t xml:space="preserve"> This requires a level of self-conscious discipline and on-going collective discussion by health law faculty among themselves and with faculty colleagues across Georgia State law to examine opportunities for integrating knowledge, skills, and values in each course and across courses. Having a certificate program </w:t>
      </w:r>
      <w:r w:rsidR="000B6F77" w:rsidRPr="00E443AD">
        <w:rPr>
          <w:rFonts w:ascii="Palatino Linotype" w:hAnsi="Palatino Linotype"/>
        </w:rPr>
        <w:t xml:space="preserve">and a dedicated faculty to administer it </w:t>
      </w:r>
      <w:r w:rsidRPr="00E443AD">
        <w:rPr>
          <w:rFonts w:ascii="Palatino Linotype" w:hAnsi="Palatino Linotype"/>
        </w:rPr>
        <w:t xml:space="preserve">provides motivation and structure for such on-going faculty collaboration to ensure the program’s quality and responsiveness to student needs.  </w:t>
      </w:r>
    </w:p>
    <w:p w14:paraId="1F3964A8" w14:textId="374B17B5" w:rsidR="005C064F" w:rsidRPr="00E443AD" w:rsidRDefault="00307D34" w:rsidP="00E443AD">
      <w:pPr>
        <w:spacing w:line="480" w:lineRule="auto"/>
        <w:jc w:val="both"/>
        <w:rPr>
          <w:rFonts w:ascii="Palatino Linotype" w:hAnsi="Palatino Linotype"/>
        </w:rPr>
      </w:pPr>
      <w:r w:rsidRPr="00E443AD">
        <w:rPr>
          <w:rFonts w:ascii="Palatino Linotype" w:hAnsi="Palatino Linotype"/>
        </w:rPr>
        <w:t xml:space="preserve">As part of </w:t>
      </w:r>
      <w:r w:rsidR="0019769D" w:rsidRPr="00E443AD">
        <w:rPr>
          <w:rFonts w:ascii="Palatino Linotype" w:hAnsi="Palatino Linotype"/>
        </w:rPr>
        <w:t xml:space="preserve">overall </w:t>
      </w:r>
      <w:r w:rsidRPr="00E443AD">
        <w:rPr>
          <w:rFonts w:ascii="Palatino Linotype" w:hAnsi="Palatino Linotype"/>
        </w:rPr>
        <w:t xml:space="preserve">coordination efforts, </w:t>
      </w:r>
      <w:r w:rsidR="00AD786C" w:rsidRPr="00E443AD">
        <w:rPr>
          <w:rFonts w:ascii="Palatino Linotype" w:hAnsi="Palatino Linotype"/>
        </w:rPr>
        <w:t xml:space="preserve">the center </w:t>
      </w:r>
      <w:r w:rsidRPr="00E443AD">
        <w:rPr>
          <w:rFonts w:ascii="Palatino Linotype" w:hAnsi="Palatino Linotype"/>
        </w:rPr>
        <w:t xml:space="preserve">committed to engage in assessments of the certificate program to ensure it </w:t>
      </w:r>
      <w:r w:rsidR="00EA4C58" w:rsidRPr="00E443AD">
        <w:rPr>
          <w:rFonts w:ascii="Palatino Linotype" w:hAnsi="Palatino Linotype"/>
        </w:rPr>
        <w:t xml:space="preserve">continues to meet students’ needs. </w:t>
      </w:r>
      <w:r w:rsidR="0071621E" w:rsidRPr="00E443AD">
        <w:rPr>
          <w:rFonts w:ascii="Palatino Linotype" w:hAnsi="Palatino Linotype"/>
        </w:rPr>
        <w:t xml:space="preserve">The health law field </w:t>
      </w:r>
      <w:r w:rsidR="0071621E" w:rsidRPr="00E443AD">
        <w:rPr>
          <w:rFonts w:ascii="Palatino Linotype" w:hAnsi="Palatino Linotype"/>
        </w:rPr>
        <w:lastRenderedPageBreak/>
        <w:t xml:space="preserve">has changed dramatically over the past several decades, and </w:t>
      </w:r>
      <w:r w:rsidR="00AD786C" w:rsidRPr="00E443AD">
        <w:rPr>
          <w:rFonts w:ascii="Palatino Linotype" w:hAnsi="Palatino Linotype"/>
        </w:rPr>
        <w:t xml:space="preserve">it is expected to continue to change in response to changes in the delivery of health care in America and other external forces. </w:t>
      </w:r>
      <w:r w:rsidR="0071621E" w:rsidRPr="00E443AD">
        <w:rPr>
          <w:rFonts w:ascii="Palatino Linotype" w:hAnsi="Palatino Linotype"/>
        </w:rPr>
        <w:t xml:space="preserve"> </w:t>
      </w:r>
      <w:r w:rsidR="00267523" w:rsidRPr="00E443AD">
        <w:rPr>
          <w:rFonts w:ascii="Palatino Linotype" w:hAnsi="Palatino Linotype"/>
        </w:rPr>
        <w:t xml:space="preserve">For example, after </w:t>
      </w:r>
      <w:r w:rsidR="00AD786C" w:rsidRPr="00E443AD">
        <w:rPr>
          <w:rFonts w:ascii="Palatino Linotype" w:hAnsi="Palatino Linotype"/>
        </w:rPr>
        <w:t xml:space="preserve">the certificate program began, </w:t>
      </w:r>
      <w:r w:rsidR="00267523" w:rsidRPr="00E443AD">
        <w:rPr>
          <w:rFonts w:ascii="Palatino Linotype" w:hAnsi="Palatino Linotype"/>
        </w:rPr>
        <w:t xml:space="preserve">the American Health Lawyers Association (AHLA) issued recommendations for developing a </w:t>
      </w:r>
      <w:r w:rsidR="0040686E" w:rsidRPr="00E443AD">
        <w:rPr>
          <w:rFonts w:ascii="Palatino Linotype" w:hAnsi="Palatino Linotype"/>
        </w:rPr>
        <w:t xml:space="preserve">health law </w:t>
      </w:r>
      <w:r w:rsidR="00267523" w:rsidRPr="00E443AD">
        <w:rPr>
          <w:rFonts w:ascii="Palatino Linotype" w:hAnsi="Palatino Linotype"/>
        </w:rPr>
        <w:t>foundation for law students</w:t>
      </w:r>
      <w:r w:rsidR="005C064F" w:rsidRPr="00E443AD">
        <w:rPr>
          <w:rFonts w:ascii="Palatino Linotype" w:hAnsi="Palatino Linotype"/>
        </w:rPr>
        <w:t>.</w:t>
      </w:r>
      <w:r w:rsidR="005C064F" w:rsidRPr="00E443AD">
        <w:rPr>
          <w:rStyle w:val="FootnoteReference"/>
          <w:rFonts w:ascii="Palatino Linotype" w:hAnsi="Palatino Linotype"/>
        </w:rPr>
        <w:footnoteReference w:id="41"/>
      </w:r>
      <w:r w:rsidR="00267523" w:rsidRPr="00E443AD">
        <w:rPr>
          <w:rFonts w:ascii="Palatino Linotype" w:hAnsi="Palatino Linotype"/>
        </w:rPr>
        <w:t xml:space="preserve"> </w:t>
      </w:r>
      <w:r w:rsidR="005C064F" w:rsidRPr="00E443AD">
        <w:rPr>
          <w:rFonts w:ascii="Palatino Linotype" w:hAnsi="Palatino Linotype"/>
        </w:rPr>
        <w:t xml:space="preserve">For the most part, </w:t>
      </w:r>
      <w:r w:rsidR="00737EE1" w:rsidRPr="00E443AD">
        <w:rPr>
          <w:rFonts w:ascii="Palatino Linotype" w:hAnsi="Palatino Linotype"/>
        </w:rPr>
        <w:t xml:space="preserve">GSU’s </w:t>
      </w:r>
      <w:r w:rsidR="005C064F" w:rsidRPr="00E443AD">
        <w:rPr>
          <w:rFonts w:ascii="Palatino Linotype" w:hAnsi="Palatino Linotype"/>
        </w:rPr>
        <w:t xml:space="preserve">required </w:t>
      </w:r>
      <w:r w:rsidR="00267523" w:rsidRPr="00E443AD">
        <w:rPr>
          <w:rFonts w:ascii="Palatino Linotype" w:hAnsi="Palatino Linotype"/>
        </w:rPr>
        <w:t>classes align with the AHLA</w:t>
      </w:r>
      <w:r w:rsidR="005C064F" w:rsidRPr="00E443AD">
        <w:rPr>
          <w:rFonts w:ascii="Palatino Linotype" w:hAnsi="Palatino Linotype"/>
        </w:rPr>
        <w:t>’s</w:t>
      </w:r>
      <w:r w:rsidR="00267523" w:rsidRPr="00E443AD">
        <w:rPr>
          <w:rFonts w:ascii="Palatino Linotype" w:hAnsi="Palatino Linotype"/>
        </w:rPr>
        <w:t xml:space="preserve"> recommendations</w:t>
      </w:r>
      <w:r w:rsidR="005C064F" w:rsidRPr="00E443AD">
        <w:rPr>
          <w:rFonts w:ascii="Palatino Linotype" w:hAnsi="Palatino Linotype"/>
        </w:rPr>
        <w:t xml:space="preserve"> with respect to topics required to develop a foundation for health law students</w:t>
      </w:r>
      <w:r w:rsidR="00267523" w:rsidRPr="00E443AD">
        <w:rPr>
          <w:rFonts w:ascii="Palatino Linotype" w:hAnsi="Palatino Linotype"/>
        </w:rPr>
        <w:t>.</w:t>
      </w:r>
      <w:r w:rsidR="00267523" w:rsidRPr="00E443AD">
        <w:rPr>
          <w:rStyle w:val="FootnoteReference"/>
          <w:rFonts w:ascii="Palatino Linotype" w:hAnsi="Palatino Linotype"/>
        </w:rPr>
        <w:footnoteReference w:id="42"/>
      </w:r>
      <w:r w:rsidR="00267523" w:rsidRPr="00E443AD">
        <w:rPr>
          <w:rFonts w:ascii="Palatino Linotype" w:hAnsi="Palatino Linotype"/>
        </w:rPr>
        <w:t xml:space="preserve"> </w:t>
      </w:r>
      <w:r w:rsidR="005C064F" w:rsidRPr="00E443AD">
        <w:rPr>
          <w:rFonts w:ascii="Palatino Linotype" w:hAnsi="Palatino Linotype"/>
        </w:rPr>
        <w:t>However</w:t>
      </w:r>
      <w:r w:rsidR="00267523" w:rsidRPr="00E443AD">
        <w:rPr>
          <w:rFonts w:ascii="Palatino Linotype" w:hAnsi="Palatino Linotype"/>
        </w:rPr>
        <w:t xml:space="preserve">, there are a few </w:t>
      </w:r>
      <w:r w:rsidR="00340A22" w:rsidRPr="00E443AD">
        <w:rPr>
          <w:rFonts w:ascii="Palatino Linotype" w:hAnsi="Palatino Linotype"/>
        </w:rPr>
        <w:t xml:space="preserve">health law </w:t>
      </w:r>
      <w:r w:rsidR="00267523" w:rsidRPr="00E443AD">
        <w:rPr>
          <w:rFonts w:ascii="Palatino Linotype" w:hAnsi="Palatino Linotype"/>
        </w:rPr>
        <w:t xml:space="preserve">topics </w:t>
      </w:r>
      <w:r w:rsidR="00340A22" w:rsidRPr="00E443AD">
        <w:rPr>
          <w:rFonts w:ascii="Palatino Linotype" w:hAnsi="Palatino Linotype"/>
        </w:rPr>
        <w:t>not covered</w:t>
      </w:r>
      <w:r w:rsidR="006F37A6" w:rsidRPr="00E443AD">
        <w:rPr>
          <w:rFonts w:ascii="Palatino Linotype" w:hAnsi="Palatino Linotype"/>
        </w:rPr>
        <w:t xml:space="preserve"> in the required courses</w:t>
      </w:r>
      <w:r w:rsidR="00267523" w:rsidRPr="00E443AD">
        <w:rPr>
          <w:rFonts w:ascii="Palatino Linotype" w:hAnsi="Palatino Linotype"/>
        </w:rPr>
        <w:t>. For example, the required courses do not directly cover life sciences and the Food and Drug Administration</w:t>
      </w:r>
      <w:r w:rsidR="00E27BBC" w:rsidRPr="00E443AD">
        <w:rPr>
          <w:rFonts w:ascii="Palatino Linotype" w:hAnsi="Palatino Linotype"/>
        </w:rPr>
        <w:t>,</w:t>
      </w:r>
      <w:r w:rsidR="00267523" w:rsidRPr="00E443AD">
        <w:rPr>
          <w:rFonts w:ascii="Palatino Linotype" w:hAnsi="Palatino Linotype"/>
        </w:rPr>
        <w:t xml:space="preserve"> but </w:t>
      </w:r>
      <w:r w:rsidR="00E27BBC" w:rsidRPr="00E443AD">
        <w:rPr>
          <w:rFonts w:ascii="Palatino Linotype" w:hAnsi="Palatino Linotype"/>
        </w:rPr>
        <w:t>students may choose among</w:t>
      </w:r>
      <w:r w:rsidR="00267523" w:rsidRPr="00E443AD">
        <w:rPr>
          <w:rFonts w:ascii="Palatino Linotype" w:hAnsi="Palatino Linotype"/>
        </w:rPr>
        <w:t xml:space="preserve"> electives </w:t>
      </w:r>
      <w:r w:rsidR="00E27BBC" w:rsidRPr="00E443AD">
        <w:rPr>
          <w:rFonts w:ascii="Palatino Linotype" w:hAnsi="Palatino Linotype"/>
        </w:rPr>
        <w:t xml:space="preserve">that </w:t>
      </w:r>
      <w:r w:rsidR="00267523" w:rsidRPr="00E443AD">
        <w:rPr>
          <w:rFonts w:ascii="Palatino Linotype" w:hAnsi="Palatino Linotype"/>
        </w:rPr>
        <w:t>do.</w:t>
      </w:r>
      <w:r w:rsidR="00267523" w:rsidRPr="00E443AD">
        <w:rPr>
          <w:rStyle w:val="FootnoteReference"/>
          <w:rFonts w:ascii="Palatino Linotype" w:hAnsi="Palatino Linotype"/>
        </w:rPr>
        <w:footnoteReference w:id="43"/>
      </w:r>
      <w:r w:rsidR="00267523" w:rsidRPr="00E443AD">
        <w:rPr>
          <w:rFonts w:ascii="Palatino Linotype" w:hAnsi="Palatino Linotype"/>
        </w:rPr>
        <w:t xml:space="preserve">  </w:t>
      </w:r>
      <w:r w:rsidR="005C064F" w:rsidRPr="00E443AD">
        <w:rPr>
          <w:rFonts w:ascii="Palatino Linotype" w:hAnsi="Palatino Linotype"/>
        </w:rPr>
        <w:t>The AHLA also suggested requiring a course in labor and employment,</w:t>
      </w:r>
      <w:r w:rsidR="005C064F" w:rsidRPr="00E443AD">
        <w:rPr>
          <w:rStyle w:val="FootnoteReference"/>
          <w:rFonts w:ascii="Palatino Linotype" w:hAnsi="Palatino Linotype"/>
        </w:rPr>
        <w:footnoteReference w:id="44"/>
      </w:r>
      <w:r w:rsidR="005C064F" w:rsidRPr="00E443AD">
        <w:rPr>
          <w:rFonts w:ascii="Palatino Linotype" w:hAnsi="Palatino Linotype"/>
        </w:rPr>
        <w:t xml:space="preserve"> which </w:t>
      </w:r>
      <w:r w:rsidR="00340A22" w:rsidRPr="00E443AD">
        <w:rPr>
          <w:rFonts w:ascii="Palatino Linotype" w:hAnsi="Palatino Linotype"/>
        </w:rPr>
        <w:t xml:space="preserve">is not currently required for the GSU certificate.  </w:t>
      </w:r>
      <w:r w:rsidR="005C064F" w:rsidRPr="00E443AD">
        <w:rPr>
          <w:rFonts w:ascii="Palatino Linotype" w:hAnsi="Palatino Linotype"/>
        </w:rPr>
        <w:t xml:space="preserve"> However, </w:t>
      </w:r>
      <w:r w:rsidR="00737EE1" w:rsidRPr="00E443AD">
        <w:rPr>
          <w:rFonts w:ascii="Palatino Linotype" w:hAnsi="Palatino Linotype"/>
        </w:rPr>
        <w:t>the</w:t>
      </w:r>
      <w:r w:rsidR="0019769D" w:rsidRPr="00E443AD">
        <w:rPr>
          <w:rFonts w:ascii="Palatino Linotype" w:hAnsi="Palatino Linotype"/>
        </w:rPr>
        <w:t xml:space="preserve"> </w:t>
      </w:r>
      <w:r w:rsidR="005C064F" w:rsidRPr="00E443AD">
        <w:rPr>
          <w:rFonts w:ascii="Palatino Linotype" w:hAnsi="Palatino Linotype"/>
        </w:rPr>
        <w:t xml:space="preserve">law curriculum contains a variety of labor and employment courses relevant to health law settings </w:t>
      </w:r>
      <w:proofErr w:type="gramStart"/>
      <w:r w:rsidR="005C064F" w:rsidRPr="00E443AD">
        <w:rPr>
          <w:rFonts w:ascii="Palatino Linotype" w:hAnsi="Palatino Linotype"/>
        </w:rPr>
        <w:t>that  students</w:t>
      </w:r>
      <w:proofErr w:type="gramEnd"/>
      <w:r w:rsidR="005C064F" w:rsidRPr="00E443AD">
        <w:rPr>
          <w:rFonts w:ascii="Palatino Linotype" w:hAnsi="Palatino Linotype"/>
        </w:rPr>
        <w:t xml:space="preserve"> may take, and </w:t>
      </w:r>
      <w:r w:rsidR="00737EE1" w:rsidRPr="00E443AD">
        <w:rPr>
          <w:rFonts w:ascii="Palatino Linotype" w:hAnsi="Palatino Linotype"/>
        </w:rPr>
        <w:t>the</w:t>
      </w:r>
      <w:r w:rsidR="0019769D" w:rsidRPr="00E443AD">
        <w:rPr>
          <w:rFonts w:ascii="Palatino Linotype" w:hAnsi="Palatino Linotype"/>
        </w:rPr>
        <w:t xml:space="preserve"> </w:t>
      </w:r>
      <w:r w:rsidR="005C064F" w:rsidRPr="00E443AD">
        <w:rPr>
          <w:rFonts w:ascii="Palatino Linotype" w:hAnsi="Palatino Linotype"/>
        </w:rPr>
        <w:t xml:space="preserve">requirements are sufficiently flexible to permit students to take such a class. However, </w:t>
      </w:r>
      <w:r w:rsidR="00737EE1" w:rsidRPr="00E443AD">
        <w:rPr>
          <w:rFonts w:ascii="Palatino Linotype" w:hAnsi="Palatino Linotype"/>
        </w:rPr>
        <w:t>GSU</w:t>
      </w:r>
      <w:r w:rsidR="005C064F" w:rsidRPr="00E443AD">
        <w:rPr>
          <w:rFonts w:ascii="Palatino Linotype" w:hAnsi="Palatino Linotype"/>
        </w:rPr>
        <w:t xml:space="preserve"> will consider whether changes are necessary in light of the AHLA recent recommendations. If </w:t>
      </w:r>
      <w:r w:rsidR="00737EE1" w:rsidRPr="00E443AD">
        <w:rPr>
          <w:rFonts w:ascii="Palatino Linotype" w:hAnsi="Palatino Linotype"/>
        </w:rPr>
        <w:t xml:space="preserve">GSU does </w:t>
      </w:r>
      <w:r w:rsidR="005C064F" w:rsidRPr="00E443AD">
        <w:rPr>
          <w:rFonts w:ascii="Palatino Linotype" w:hAnsi="Palatino Linotype"/>
        </w:rPr>
        <w:t xml:space="preserve">not change </w:t>
      </w:r>
      <w:r w:rsidR="00737EE1" w:rsidRPr="00E443AD">
        <w:rPr>
          <w:rFonts w:ascii="Palatino Linotype" w:hAnsi="Palatino Linotype"/>
        </w:rPr>
        <w:t>its</w:t>
      </w:r>
      <w:r w:rsidR="005C064F" w:rsidRPr="00E443AD">
        <w:rPr>
          <w:rFonts w:ascii="Palatino Linotype" w:hAnsi="Palatino Linotype"/>
        </w:rPr>
        <w:t xml:space="preserve"> requirements, the AHLA’s recommendations </w:t>
      </w:r>
      <w:r w:rsidR="00737EE1" w:rsidRPr="00E443AD">
        <w:rPr>
          <w:rFonts w:ascii="Palatino Linotype" w:hAnsi="Palatino Linotype"/>
        </w:rPr>
        <w:t xml:space="preserve">can be incorporated </w:t>
      </w:r>
      <w:r w:rsidR="005C064F" w:rsidRPr="00E443AD">
        <w:rPr>
          <w:rFonts w:ascii="Palatino Linotype" w:hAnsi="Palatino Linotype"/>
        </w:rPr>
        <w:t xml:space="preserve">into student advisement to provide better guidance to them about what courses employers might like to see. Similarly, the AHLA </w:t>
      </w:r>
      <w:r w:rsidR="005C064F" w:rsidRPr="00E443AD">
        <w:rPr>
          <w:rFonts w:ascii="Palatino Linotype" w:hAnsi="Palatino Linotype"/>
        </w:rPr>
        <w:lastRenderedPageBreak/>
        <w:t xml:space="preserve">recommended covering the importance and limitations of public health law, including </w:t>
      </w:r>
      <w:r w:rsidR="00E27BBC" w:rsidRPr="00E443AD">
        <w:rPr>
          <w:rFonts w:ascii="Palatino Linotype" w:hAnsi="Palatino Linotype"/>
        </w:rPr>
        <w:t>laws relating to</w:t>
      </w:r>
      <w:r w:rsidR="005C064F" w:rsidRPr="00E443AD">
        <w:rPr>
          <w:rFonts w:ascii="Palatino Linotype" w:hAnsi="Palatino Linotype"/>
        </w:rPr>
        <w:t xml:space="preserve"> vaccinations, tobacco control, and others.</w:t>
      </w:r>
      <w:r w:rsidR="005C064F" w:rsidRPr="00E443AD">
        <w:rPr>
          <w:rStyle w:val="FootnoteReference"/>
          <w:rFonts w:ascii="Palatino Linotype" w:hAnsi="Palatino Linotype"/>
        </w:rPr>
        <w:footnoteReference w:id="45"/>
      </w:r>
      <w:r w:rsidR="005C064F" w:rsidRPr="00E443AD">
        <w:rPr>
          <w:rFonts w:ascii="Palatino Linotype" w:hAnsi="Palatino Linotype"/>
        </w:rPr>
        <w:t xml:space="preserve"> While these topics are covered in several of the public health and in some of the bioethics offerings, </w:t>
      </w:r>
      <w:r w:rsidR="00737EE1" w:rsidRPr="00E443AD">
        <w:rPr>
          <w:rFonts w:ascii="Palatino Linotype" w:hAnsi="Palatino Linotype"/>
        </w:rPr>
        <w:t>not</w:t>
      </w:r>
      <w:r w:rsidR="005C064F" w:rsidRPr="00E443AD">
        <w:rPr>
          <w:rFonts w:ascii="Palatino Linotype" w:hAnsi="Palatino Linotype"/>
        </w:rPr>
        <w:t xml:space="preserve"> all certificate students </w:t>
      </w:r>
      <w:r w:rsidR="00737EE1" w:rsidRPr="00E443AD">
        <w:rPr>
          <w:rFonts w:ascii="Palatino Linotype" w:hAnsi="Palatino Linotype"/>
        </w:rPr>
        <w:t xml:space="preserve">are guaranteed to </w:t>
      </w:r>
      <w:r w:rsidR="005C064F" w:rsidRPr="00E443AD">
        <w:rPr>
          <w:rFonts w:ascii="Palatino Linotype" w:hAnsi="Palatino Linotype"/>
        </w:rPr>
        <w:t xml:space="preserve">study these topics. </w:t>
      </w:r>
      <w:r w:rsidR="00737EE1" w:rsidRPr="00E443AD">
        <w:rPr>
          <w:rFonts w:ascii="Palatino Linotype" w:hAnsi="Palatino Linotype"/>
        </w:rPr>
        <w:t>R</w:t>
      </w:r>
      <w:r w:rsidR="005C064F" w:rsidRPr="00E443AD">
        <w:rPr>
          <w:rFonts w:ascii="Palatino Linotype" w:hAnsi="Palatino Linotype"/>
        </w:rPr>
        <w:t>equirements</w:t>
      </w:r>
      <w:r w:rsidR="00737EE1" w:rsidRPr="00E443AD">
        <w:rPr>
          <w:rFonts w:ascii="Palatino Linotype" w:hAnsi="Palatino Linotype"/>
        </w:rPr>
        <w:t xml:space="preserve"> could be revised, or GSU could </w:t>
      </w:r>
      <w:r w:rsidR="005C064F" w:rsidRPr="00E443AD">
        <w:rPr>
          <w:rFonts w:ascii="Palatino Linotype" w:hAnsi="Palatino Linotype"/>
        </w:rPr>
        <w:t xml:space="preserve">offer a blended bioethics and public health course that ensures coverage for all students. </w:t>
      </w:r>
      <w:r w:rsidR="00E27BBC" w:rsidRPr="00E443AD">
        <w:rPr>
          <w:rFonts w:ascii="Palatino Linotype" w:hAnsi="Palatino Linotype"/>
        </w:rPr>
        <w:t xml:space="preserve">Periodic assessment of offerings provides </w:t>
      </w:r>
      <w:r w:rsidRPr="00E443AD">
        <w:rPr>
          <w:rFonts w:ascii="Palatino Linotype" w:hAnsi="Palatino Linotype"/>
        </w:rPr>
        <w:t>the opportunity to make appropriate changes and keep pace with the knowledge, skills, and values students need.</w:t>
      </w:r>
    </w:p>
    <w:p w14:paraId="6E7025FA" w14:textId="56D95424" w:rsidR="003E7551" w:rsidRPr="00E443AD" w:rsidRDefault="00CC0636" w:rsidP="00E443AD">
      <w:pPr>
        <w:spacing w:line="480" w:lineRule="auto"/>
        <w:jc w:val="both"/>
        <w:rPr>
          <w:rFonts w:ascii="Palatino Linotype" w:hAnsi="Palatino Linotype"/>
        </w:rPr>
      </w:pPr>
      <w:r w:rsidRPr="00E443AD">
        <w:rPr>
          <w:rFonts w:ascii="Palatino Linotype" w:hAnsi="Palatino Linotype"/>
        </w:rPr>
        <w:t xml:space="preserve">Although </w:t>
      </w:r>
      <w:r w:rsidR="00737EE1" w:rsidRPr="00E443AD">
        <w:rPr>
          <w:rFonts w:ascii="Palatino Linotype" w:hAnsi="Palatino Linotype"/>
        </w:rPr>
        <w:t>the</w:t>
      </w:r>
      <w:r w:rsidR="00046BB3" w:rsidRPr="00E443AD">
        <w:rPr>
          <w:rFonts w:ascii="Palatino Linotype" w:hAnsi="Palatino Linotype"/>
        </w:rPr>
        <w:t xml:space="preserve"> </w:t>
      </w:r>
      <w:r w:rsidRPr="00E443AD">
        <w:rPr>
          <w:rFonts w:ascii="Palatino Linotype" w:hAnsi="Palatino Linotype"/>
        </w:rPr>
        <w:t xml:space="preserve">certificate program is only entering its </w:t>
      </w:r>
      <w:r w:rsidR="00737EE1" w:rsidRPr="00E443AD">
        <w:rPr>
          <w:rFonts w:ascii="Palatino Linotype" w:hAnsi="Palatino Linotype"/>
        </w:rPr>
        <w:t>fifth</w:t>
      </w:r>
      <w:r w:rsidR="00046BB3" w:rsidRPr="00E443AD">
        <w:rPr>
          <w:rFonts w:ascii="Palatino Linotype" w:hAnsi="Palatino Linotype"/>
        </w:rPr>
        <w:t xml:space="preserve"> </w:t>
      </w:r>
      <w:r w:rsidRPr="00E443AD">
        <w:rPr>
          <w:rFonts w:ascii="Palatino Linotype" w:hAnsi="Palatino Linotype"/>
        </w:rPr>
        <w:t xml:space="preserve">year, </w:t>
      </w:r>
      <w:r w:rsidR="00737EE1" w:rsidRPr="00E443AD">
        <w:rPr>
          <w:rFonts w:ascii="Palatino Linotype" w:hAnsi="Palatino Linotype"/>
        </w:rPr>
        <w:t xml:space="preserve">the curriculum has </w:t>
      </w:r>
      <w:r w:rsidRPr="00E443AD">
        <w:rPr>
          <w:rFonts w:ascii="Palatino Linotype" w:hAnsi="Palatino Linotype"/>
        </w:rPr>
        <w:t>already</w:t>
      </w:r>
      <w:r w:rsidR="00737EE1" w:rsidRPr="00E443AD">
        <w:rPr>
          <w:rFonts w:ascii="Palatino Linotype" w:hAnsi="Palatino Linotype"/>
        </w:rPr>
        <w:t xml:space="preserve"> been</w:t>
      </w:r>
      <w:r w:rsidRPr="00E443AD">
        <w:rPr>
          <w:rFonts w:ascii="Palatino Linotype" w:hAnsi="Palatino Linotype"/>
        </w:rPr>
        <w:t xml:space="preserve"> reviewed to ensure that </w:t>
      </w:r>
      <w:r w:rsidR="00737EE1" w:rsidRPr="00E443AD">
        <w:rPr>
          <w:rFonts w:ascii="Palatino Linotype" w:hAnsi="Palatino Linotype"/>
        </w:rPr>
        <w:t xml:space="preserve">it is </w:t>
      </w:r>
      <w:r w:rsidRPr="00E443AD">
        <w:rPr>
          <w:rFonts w:ascii="Palatino Linotype" w:hAnsi="Palatino Linotype"/>
        </w:rPr>
        <w:t>meeting the promises made through the</w:t>
      </w:r>
      <w:r w:rsidR="006F37A6" w:rsidRPr="00E443AD">
        <w:rPr>
          <w:rFonts w:ascii="Palatino Linotype" w:hAnsi="Palatino Linotype"/>
        </w:rPr>
        <w:t xml:space="preserve"> </w:t>
      </w:r>
      <w:r w:rsidRPr="00E443AD">
        <w:rPr>
          <w:rFonts w:ascii="Palatino Linotype" w:hAnsi="Palatino Linotype"/>
        </w:rPr>
        <w:t xml:space="preserve">program. Specifically, </w:t>
      </w:r>
      <w:r w:rsidR="00737EE1" w:rsidRPr="00E443AD">
        <w:rPr>
          <w:rFonts w:ascii="Palatino Linotype" w:hAnsi="Palatino Linotype"/>
        </w:rPr>
        <w:t xml:space="preserve">faculty </w:t>
      </w:r>
      <w:r w:rsidRPr="00E443AD">
        <w:rPr>
          <w:rFonts w:ascii="Palatino Linotype" w:hAnsi="Palatino Linotype"/>
        </w:rPr>
        <w:t xml:space="preserve">have reassessed whether </w:t>
      </w:r>
      <w:r w:rsidR="00340A22" w:rsidRPr="00E443AD">
        <w:rPr>
          <w:rFonts w:ascii="Palatino Linotype" w:hAnsi="Palatino Linotype"/>
        </w:rPr>
        <w:t>GSU is</w:t>
      </w:r>
      <w:r w:rsidRPr="00E443AD">
        <w:rPr>
          <w:rFonts w:ascii="Palatino Linotype" w:hAnsi="Palatino Linotype"/>
        </w:rPr>
        <w:t xml:space="preserve"> delivering core knowledge, skills, and values in each course and across courses and whether changes are necessary based</w:t>
      </w:r>
      <w:r w:rsidR="00737EE1" w:rsidRPr="00E443AD">
        <w:rPr>
          <w:rFonts w:ascii="Palatino Linotype" w:hAnsi="Palatino Linotype"/>
        </w:rPr>
        <w:t xml:space="preserve"> upon this</w:t>
      </w:r>
      <w:r w:rsidRPr="00E443AD">
        <w:rPr>
          <w:rFonts w:ascii="Palatino Linotype" w:hAnsi="Palatino Linotype"/>
        </w:rPr>
        <w:t xml:space="preserve"> review and</w:t>
      </w:r>
      <w:r w:rsidR="00737EE1" w:rsidRPr="00E443AD">
        <w:rPr>
          <w:rFonts w:ascii="Palatino Linotype" w:hAnsi="Palatino Linotype"/>
        </w:rPr>
        <w:t xml:space="preserve"> on</w:t>
      </w:r>
      <w:r w:rsidRPr="00E443AD">
        <w:rPr>
          <w:rFonts w:ascii="Palatino Linotype" w:hAnsi="Palatino Linotype"/>
        </w:rPr>
        <w:t xml:space="preserve"> student feedback.</w:t>
      </w:r>
      <w:r w:rsidR="009E6125" w:rsidRPr="00E443AD">
        <w:rPr>
          <w:rFonts w:ascii="Palatino Linotype" w:hAnsi="Palatino Linotype"/>
        </w:rPr>
        <w:t xml:space="preserve"> </w:t>
      </w:r>
      <w:r w:rsidR="00737EE1" w:rsidRPr="00E443AD">
        <w:rPr>
          <w:rFonts w:ascii="Palatino Linotype" w:hAnsi="Palatino Linotype"/>
        </w:rPr>
        <w:t>Certificate students are surveyed</w:t>
      </w:r>
      <w:r w:rsidR="00B235DF" w:rsidRPr="00E443AD">
        <w:rPr>
          <w:rFonts w:ascii="Palatino Linotype" w:hAnsi="Palatino Linotype"/>
        </w:rPr>
        <w:t xml:space="preserve"> annually. While these responses have not resulted in substantive changes, they have highlighted some areas to change to improve the student experience, such as scheduling </w:t>
      </w:r>
      <w:r w:rsidR="0095554A" w:rsidRPr="00E443AD">
        <w:rPr>
          <w:rFonts w:ascii="Palatino Linotype" w:hAnsi="Palatino Linotype"/>
        </w:rPr>
        <w:t xml:space="preserve">courses </w:t>
      </w:r>
      <w:r w:rsidR="00B235DF" w:rsidRPr="00E443AD">
        <w:rPr>
          <w:rFonts w:ascii="Palatino Linotype" w:hAnsi="Palatino Linotype"/>
        </w:rPr>
        <w:t xml:space="preserve">to facilitate completion of the </w:t>
      </w:r>
      <w:r w:rsidR="002A2586" w:rsidRPr="00E443AD">
        <w:rPr>
          <w:rFonts w:ascii="Palatino Linotype" w:hAnsi="Palatino Linotype"/>
        </w:rPr>
        <w:t>c</w:t>
      </w:r>
      <w:r w:rsidR="00B235DF" w:rsidRPr="00E443AD">
        <w:rPr>
          <w:rFonts w:ascii="Palatino Linotype" w:hAnsi="Palatino Linotype"/>
        </w:rPr>
        <w:t xml:space="preserve">ertificate, especially in conjunction with our dual-degree programs. </w:t>
      </w:r>
      <w:r w:rsidR="00737EE1" w:rsidRPr="00E443AD">
        <w:rPr>
          <w:rFonts w:ascii="Palatino Linotype" w:hAnsi="Palatino Linotype"/>
        </w:rPr>
        <w:t xml:space="preserve">GSU continues </w:t>
      </w:r>
      <w:r w:rsidR="0095554A" w:rsidRPr="00E443AD">
        <w:rPr>
          <w:rFonts w:ascii="Palatino Linotype" w:hAnsi="Palatino Linotype"/>
        </w:rPr>
        <w:t xml:space="preserve">to </w:t>
      </w:r>
      <w:r w:rsidR="00B235DF" w:rsidRPr="00E443AD">
        <w:rPr>
          <w:rFonts w:ascii="Palatino Linotype" w:hAnsi="Palatino Linotype"/>
        </w:rPr>
        <w:t>seek input from the legal community</w:t>
      </w:r>
      <w:r w:rsidR="005C064F" w:rsidRPr="00E443AD">
        <w:rPr>
          <w:rFonts w:ascii="Palatino Linotype" w:hAnsi="Palatino Linotype"/>
        </w:rPr>
        <w:t>, which guide</w:t>
      </w:r>
      <w:r w:rsidR="0095554A" w:rsidRPr="00E443AD">
        <w:rPr>
          <w:rFonts w:ascii="Palatino Linotype" w:hAnsi="Palatino Linotype"/>
        </w:rPr>
        <w:t>s</w:t>
      </w:r>
      <w:r w:rsidR="005C064F" w:rsidRPr="00E443AD">
        <w:rPr>
          <w:rFonts w:ascii="Palatino Linotype" w:hAnsi="Palatino Linotype"/>
        </w:rPr>
        <w:t xml:space="preserve"> our assessment of how to respond to the AHLA recommendations</w:t>
      </w:r>
      <w:r w:rsidR="00B235DF" w:rsidRPr="00E443AD">
        <w:rPr>
          <w:rFonts w:ascii="Palatino Linotype" w:hAnsi="Palatino Linotype"/>
        </w:rPr>
        <w:t xml:space="preserve">. </w:t>
      </w:r>
      <w:r w:rsidR="00737EE1" w:rsidRPr="00E443AD">
        <w:rPr>
          <w:rFonts w:ascii="Palatino Linotype" w:hAnsi="Palatino Linotype"/>
        </w:rPr>
        <w:t>O</w:t>
      </w:r>
      <w:r w:rsidR="00EA4C58" w:rsidRPr="00E443AD">
        <w:rPr>
          <w:rFonts w:ascii="Palatino Linotype" w:hAnsi="Palatino Linotype"/>
        </w:rPr>
        <w:t xml:space="preserve">n-going reflection and </w:t>
      </w:r>
      <w:r w:rsidR="00EA4C58" w:rsidRPr="00E443AD">
        <w:rPr>
          <w:rFonts w:ascii="Palatino Linotype" w:hAnsi="Palatino Linotype"/>
        </w:rPr>
        <w:lastRenderedPageBreak/>
        <w:t xml:space="preserve">reconsideration </w:t>
      </w:r>
      <w:r w:rsidR="0095554A" w:rsidRPr="00E443AD">
        <w:rPr>
          <w:rFonts w:ascii="Palatino Linotype" w:hAnsi="Palatino Linotype"/>
        </w:rPr>
        <w:t xml:space="preserve">of the effectiveness of the program </w:t>
      </w:r>
      <w:r w:rsidR="00737EE1" w:rsidRPr="00E443AD">
        <w:rPr>
          <w:rFonts w:ascii="Palatino Linotype" w:hAnsi="Palatino Linotype"/>
        </w:rPr>
        <w:t xml:space="preserve">is </w:t>
      </w:r>
      <w:r w:rsidR="00EA4C58" w:rsidRPr="00E443AD">
        <w:rPr>
          <w:rFonts w:ascii="Palatino Linotype" w:hAnsi="Palatino Linotype"/>
        </w:rPr>
        <w:t>essential to maintaining a quality program and meeting students’ needs.</w:t>
      </w:r>
    </w:p>
    <w:p w14:paraId="35751B5E" w14:textId="6A7DDDAA" w:rsidR="00CF4297" w:rsidRPr="00E443AD" w:rsidRDefault="00CF4297" w:rsidP="00E443AD">
      <w:pPr>
        <w:spacing w:line="480" w:lineRule="auto"/>
        <w:jc w:val="both"/>
        <w:rPr>
          <w:rFonts w:ascii="Palatino Linotype" w:hAnsi="Palatino Linotype"/>
        </w:rPr>
      </w:pPr>
      <w:r w:rsidRPr="00E443AD">
        <w:rPr>
          <w:rFonts w:ascii="Palatino Linotype" w:hAnsi="Palatino Linotype"/>
        </w:rPr>
        <w:t xml:space="preserve">The growth of </w:t>
      </w:r>
      <w:r w:rsidR="00737EE1" w:rsidRPr="00E443AD">
        <w:rPr>
          <w:rFonts w:ascii="Palatino Linotype" w:hAnsi="Palatino Linotype"/>
        </w:rPr>
        <w:t>the</w:t>
      </w:r>
      <w:r w:rsidRPr="00E443AD">
        <w:rPr>
          <w:rFonts w:ascii="Palatino Linotype" w:hAnsi="Palatino Linotype"/>
        </w:rPr>
        <w:t xml:space="preserve"> </w:t>
      </w:r>
      <w:r w:rsidR="003E1EA9" w:rsidRPr="00E443AD">
        <w:rPr>
          <w:rFonts w:ascii="Palatino Linotype" w:hAnsi="Palatino Linotype"/>
        </w:rPr>
        <w:t>health law certificate program</w:t>
      </w:r>
      <w:r w:rsidRPr="00E443AD">
        <w:rPr>
          <w:rFonts w:ascii="Palatino Linotype" w:hAnsi="Palatino Linotype"/>
        </w:rPr>
        <w:t xml:space="preserve"> since its </w:t>
      </w:r>
      <w:r w:rsidR="003E1EA9" w:rsidRPr="00E443AD">
        <w:rPr>
          <w:rFonts w:ascii="Palatino Linotype" w:hAnsi="Palatino Linotype"/>
        </w:rPr>
        <w:t>launch in 2012</w:t>
      </w:r>
      <w:r w:rsidRPr="00E443AD">
        <w:rPr>
          <w:rFonts w:ascii="Palatino Linotype" w:hAnsi="Palatino Linotype"/>
        </w:rPr>
        <w:t xml:space="preserve"> </w:t>
      </w:r>
      <w:r w:rsidR="003E1EA9" w:rsidRPr="00E443AD">
        <w:rPr>
          <w:rFonts w:ascii="Palatino Linotype" w:hAnsi="Palatino Linotype"/>
        </w:rPr>
        <w:t xml:space="preserve">suggests that </w:t>
      </w:r>
      <w:r w:rsidR="00737EE1" w:rsidRPr="00E443AD">
        <w:rPr>
          <w:rFonts w:ascii="Palatino Linotype" w:hAnsi="Palatino Linotype"/>
        </w:rPr>
        <w:t xml:space="preserve">GSU has </w:t>
      </w:r>
      <w:r w:rsidR="003E1EA9" w:rsidRPr="00E443AD">
        <w:rPr>
          <w:rFonts w:ascii="Palatino Linotype" w:hAnsi="Palatino Linotype"/>
        </w:rPr>
        <w:t xml:space="preserve">been successful in creating a program that responds to students’ needs. In its first year, </w:t>
      </w:r>
      <w:r w:rsidR="002A2586" w:rsidRPr="00E443AD">
        <w:rPr>
          <w:rFonts w:ascii="Palatino Linotype" w:hAnsi="Palatino Linotype"/>
        </w:rPr>
        <w:t>7</w:t>
      </w:r>
      <w:r w:rsidR="003E1EA9" w:rsidRPr="00E443AD">
        <w:rPr>
          <w:rFonts w:ascii="Palatino Linotype" w:hAnsi="Palatino Linotype"/>
        </w:rPr>
        <w:t xml:space="preserve"> students completed the requirements of a health law certificate. </w:t>
      </w:r>
      <w:r w:rsidR="00737EE1" w:rsidRPr="00E443AD">
        <w:rPr>
          <w:rFonts w:ascii="Palatino Linotype" w:hAnsi="Palatino Linotype"/>
        </w:rPr>
        <w:t>Enrollment now averages</w:t>
      </w:r>
      <w:r w:rsidR="003E1EA9" w:rsidRPr="00E443AD">
        <w:rPr>
          <w:rFonts w:ascii="Palatino Linotype" w:hAnsi="Palatino Linotype"/>
        </w:rPr>
        <w:t xml:space="preserve"> 30 2Ls and 3Ls, with </w:t>
      </w:r>
      <w:r w:rsidR="002A2586" w:rsidRPr="00E443AD">
        <w:rPr>
          <w:rFonts w:ascii="Palatino Linotype" w:hAnsi="Palatino Linotype"/>
        </w:rPr>
        <w:t>15</w:t>
      </w:r>
      <w:r w:rsidR="003E1EA9" w:rsidRPr="00E443AD">
        <w:rPr>
          <w:rFonts w:ascii="Palatino Linotype" w:hAnsi="Palatino Linotype"/>
        </w:rPr>
        <w:t xml:space="preserve"> students graduating</w:t>
      </w:r>
      <w:r w:rsidR="002A2586" w:rsidRPr="00E443AD">
        <w:rPr>
          <w:rFonts w:ascii="Palatino Linotype" w:hAnsi="Palatino Linotype"/>
        </w:rPr>
        <w:t xml:space="preserve"> each year</w:t>
      </w:r>
      <w:r w:rsidR="003E1EA9" w:rsidRPr="00E443AD">
        <w:rPr>
          <w:rFonts w:ascii="Palatino Linotype" w:hAnsi="Palatino Linotype"/>
        </w:rPr>
        <w:t>. Of the 40 students completing a health law certificate, 19 have graduated with honors</w:t>
      </w:r>
      <w:r w:rsidR="002A2586" w:rsidRPr="00E443AD">
        <w:rPr>
          <w:rStyle w:val="FootnoteReference"/>
          <w:rFonts w:ascii="Palatino Linotype" w:hAnsi="Palatino Linotype"/>
        </w:rPr>
        <w:footnoteReference w:id="46"/>
      </w:r>
      <w:r w:rsidR="003E1EA9" w:rsidRPr="00E443AD">
        <w:rPr>
          <w:rFonts w:ascii="Palatino Linotype" w:hAnsi="Palatino Linotype"/>
        </w:rPr>
        <w:t>.</w:t>
      </w:r>
    </w:p>
    <w:p w14:paraId="0EC56905" w14:textId="0EAA2264" w:rsidR="00390A52" w:rsidRPr="00E443AD" w:rsidRDefault="00390A52" w:rsidP="00CC7EFA">
      <w:pPr>
        <w:spacing w:line="480" w:lineRule="auto"/>
        <w:ind w:firstLine="720"/>
        <w:jc w:val="both"/>
        <w:rPr>
          <w:rFonts w:ascii="Palatino Linotype" w:hAnsi="Palatino Linotype"/>
        </w:rPr>
      </w:pPr>
    </w:p>
    <w:p w14:paraId="465AA4F4" w14:textId="7519C274" w:rsidR="00390A52" w:rsidRPr="00E443AD" w:rsidRDefault="00C70843" w:rsidP="00594606">
      <w:pPr>
        <w:spacing w:line="480" w:lineRule="auto"/>
        <w:jc w:val="both"/>
        <w:outlineLvl w:val="0"/>
        <w:rPr>
          <w:rFonts w:ascii="Palatino Linotype" w:hAnsi="Palatino Linotype"/>
          <w:b/>
        </w:rPr>
      </w:pPr>
      <w:r w:rsidRPr="00E443AD">
        <w:rPr>
          <w:rFonts w:ascii="Palatino Linotype" w:hAnsi="Palatino Linotype"/>
          <w:b/>
        </w:rPr>
        <w:t>Conclusions</w:t>
      </w:r>
    </w:p>
    <w:p w14:paraId="2C6AA993" w14:textId="5F148412" w:rsidR="00A45E22" w:rsidRPr="00E443AD" w:rsidRDefault="00C70843" w:rsidP="00E443AD">
      <w:pPr>
        <w:spacing w:line="480" w:lineRule="auto"/>
        <w:jc w:val="both"/>
        <w:rPr>
          <w:rFonts w:ascii="Palatino Linotype" w:hAnsi="Palatino Linotype"/>
        </w:rPr>
      </w:pPr>
      <w:r w:rsidRPr="00E443AD">
        <w:rPr>
          <w:rFonts w:ascii="Palatino Linotype" w:hAnsi="Palatino Linotype"/>
        </w:rPr>
        <w:t xml:space="preserve">In developing </w:t>
      </w:r>
      <w:r w:rsidR="00737EE1" w:rsidRPr="00E443AD">
        <w:rPr>
          <w:rFonts w:ascii="Palatino Linotype" w:hAnsi="Palatino Linotype"/>
        </w:rPr>
        <w:t>a</w:t>
      </w:r>
      <w:r w:rsidRPr="00E443AD">
        <w:rPr>
          <w:rFonts w:ascii="Palatino Linotype" w:hAnsi="Palatino Linotype"/>
        </w:rPr>
        <w:t xml:space="preserve"> health law certificate program, </w:t>
      </w:r>
      <w:r w:rsidR="005642BA" w:rsidRPr="00E443AD">
        <w:rPr>
          <w:rFonts w:ascii="Palatino Linotype" w:hAnsi="Palatino Linotype"/>
        </w:rPr>
        <w:t xml:space="preserve">Georgia State </w:t>
      </w:r>
      <w:r w:rsidR="002A2586" w:rsidRPr="00E443AD">
        <w:rPr>
          <w:rFonts w:ascii="Palatino Linotype" w:hAnsi="Palatino Linotype"/>
        </w:rPr>
        <w:t>L</w:t>
      </w:r>
      <w:r w:rsidRPr="00E443AD">
        <w:rPr>
          <w:rFonts w:ascii="Palatino Linotype" w:hAnsi="Palatino Linotype"/>
        </w:rPr>
        <w:t xml:space="preserve">aw sought to incorporate </w:t>
      </w:r>
      <w:r w:rsidR="00A45E22" w:rsidRPr="00E443AD">
        <w:rPr>
          <w:rFonts w:ascii="Palatino Linotype" w:hAnsi="Palatino Linotype"/>
        </w:rPr>
        <w:t xml:space="preserve">best practices in health law education.  </w:t>
      </w:r>
      <w:r w:rsidRPr="00E443AD">
        <w:rPr>
          <w:rFonts w:ascii="Palatino Linotype" w:hAnsi="Palatino Linotype"/>
        </w:rPr>
        <w:t xml:space="preserve">Accordingly, the health law certificate program offers an integrated learning experience that reflects and reinforces foundational knowledge, skills, and values across the program and that leverages the strength of offerings in the JD program generally. The program is structured to </w:t>
      </w:r>
      <w:r w:rsidR="0095554A" w:rsidRPr="00E443AD">
        <w:rPr>
          <w:rFonts w:ascii="Palatino Linotype" w:hAnsi="Palatino Linotype"/>
        </w:rPr>
        <w:t>offer</w:t>
      </w:r>
      <w:r w:rsidRPr="00E443AD">
        <w:rPr>
          <w:rFonts w:ascii="Palatino Linotype" w:hAnsi="Palatino Linotype"/>
        </w:rPr>
        <w:t xml:space="preserve"> a coherent, progressive learning environment where foundational knowledge, skills, and values are reflected and reinforced across courses. The program also promotes the habits of the reflective practitioner, encourage</w:t>
      </w:r>
      <w:r w:rsidR="00915619" w:rsidRPr="00E443AD">
        <w:rPr>
          <w:rFonts w:ascii="Palatino Linotype" w:hAnsi="Palatino Linotype"/>
        </w:rPr>
        <w:t>s</w:t>
      </w:r>
      <w:r w:rsidRPr="00E443AD">
        <w:rPr>
          <w:rFonts w:ascii="Palatino Linotype" w:hAnsi="Palatino Linotype"/>
        </w:rPr>
        <w:t xml:space="preserve"> the skills of self-awareness and self-critique, </w:t>
      </w:r>
      <w:r w:rsidR="00915619" w:rsidRPr="00E443AD">
        <w:rPr>
          <w:rFonts w:ascii="Palatino Linotype" w:hAnsi="Palatino Linotype"/>
        </w:rPr>
        <w:t xml:space="preserve">and </w:t>
      </w:r>
      <w:r w:rsidRPr="00E443AD">
        <w:rPr>
          <w:rFonts w:ascii="Palatino Linotype" w:hAnsi="Palatino Linotype"/>
        </w:rPr>
        <w:t>foster</w:t>
      </w:r>
      <w:r w:rsidR="00915619" w:rsidRPr="00E443AD">
        <w:rPr>
          <w:rFonts w:ascii="Palatino Linotype" w:hAnsi="Palatino Linotype"/>
        </w:rPr>
        <w:t>s</w:t>
      </w:r>
      <w:r w:rsidRPr="00E443AD">
        <w:rPr>
          <w:rFonts w:ascii="Palatino Linotype" w:hAnsi="Palatino Linotype"/>
        </w:rPr>
        <w:t xml:space="preserve"> </w:t>
      </w:r>
      <w:r w:rsidR="00915619" w:rsidRPr="00E443AD">
        <w:rPr>
          <w:rFonts w:ascii="Palatino Linotype" w:hAnsi="Palatino Linotype"/>
        </w:rPr>
        <w:t xml:space="preserve">commitment to </w:t>
      </w:r>
      <w:r w:rsidRPr="00E443AD">
        <w:rPr>
          <w:rFonts w:ascii="Palatino Linotype" w:hAnsi="Palatino Linotype"/>
        </w:rPr>
        <w:t xml:space="preserve">life-long learning, and </w:t>
      </w:r>
      <w:r w:rsidR="00915619" w:rsidRPr="00E443AD">
        <w:rPr>
          <w:rFonts w:ascii="Palatino Linotype" w:hAnsi="Palatino Linotype"/>
        </w:rPr>
        <w:t xml:space="preserve">professional and community </w:t>
      </w:r>
      <w:r w:rsidRPr="00E443AD">
        <w:rPr>
          <w:rFonts w:ascii="Palatino Linotype" w:hAnsi="Palatino Linotype"/>
        </w:rPr>
        <w:t xml:space="preserve">engagement.  </w:t>
      </w:r>
      <w:r w:rsidR="0095554A" w:rsidRPr="00E443AD">
        <w:rPr>
          <w:rFonts w:ascii="Palatino Linotype" w:hAnsi="Palatino Linotype"/>
        </w:rPr>
        <w:lastRenderedPageBreak/>
        <w:t xml:space="preserve">Additionally, </w:t>
      </w:r>
      <w:r w:rsidRPr="00E443AD">
        <w:rPr>
          <w:rFonts w:ascii="Palatino Linotype" w:hAnsi="Palatino Linotype"/>
        </w:rPr>
        <w:t>the health law certificate program is designed to meet the needs of students. The curriculum has sufficient breadth in health law, policy, ethics, and practical skills for students to appreciate the real world of health law practice as well as sufficient depth for them to be able to hone their skills and begin to develop expertise</w:t>
      </w:r>
      <w:r w:rsidR="0095554A" w:rsidRPr="00E443AD">
        <w:rPr>
          <w:rFonts w:ascii="Palatino Linotype" w:hAnsi="Palatino Linotype"/>
        </w:rPr>
        <w:t xml:space="preserve"> in their chosen area of health law interest</w:t>
      </w:r>
      <w:r w:rsidRPr="00E443AD">
        <w:rPr>
          <w:rFonts w:ascii="Palatino Linotype" w:hAnsi="Palatino Linotype"/>
        </w:rPr>
        <w:t xml:space="preserve">. There is also sufficient flexibility to meet the needs of part-time and full-time students. </w:t>
      </w:r>
      <w:r w:rsidR="00915619" w:rsidRPr="00E443AD">
        <w:rPr>
          <w:rFonts w:ascii="Palatino Linotype" w:hAnsi="Palatino Linotype"/>
        </w:rPr>
        <w:t>Because the practice of health law is not static, t</w:t>
      </w:r>
      <w:r w:rsidRPr="00E443AD">
        <w:rPr>
          <w:rFonts w:ascii="Palatino Linotype" w:hAnsi="Palatino Linotype"/>
        </w:rPr>
        <w:t xml:space="preserve">he faculty </w:t>
      </w:r>
      <w:r w:rsidR="00915619" w:rsidRPr="00E443AD">
        <w:rPr>
          <w:rFonts w:ascii="Palatino Linotype" w:hAnsi="Palatino Linotype"/>
        </w:rPr>
        <w:t xml:space="preserve">is committed to regular evaluation and, if needed, revision of the certificate program to ensure that </w:t>
      </w:r>
      <w:r w:rsidR="0095554A" w:rsidRPr="00E443AD">
        <w:rPr>
          <w:rFonts w:ascii="Palatino Linotype" w:hAnsi="Palatino Linotype"/>
        </w:rPr>
        <w:t xml:space="preserve">its requirements correspond to </w:t>
      </w:r>
      <w:r w:rsidR="00A45E22" w:rsidRPr="00E443AD">
        <w:rPr>
          <w:rFonts w:ascii="Palatino Linotype" w:hAnsi="Palatino Linotype"/>
        </w:rPr>
        <w:t xml:space="preserve">the </w:t>
      </w:r>
      <w:r w:rsidR="0095554A" w:rsidRPr="00E443AD">
        <w:rPr>
          <w:rFonts w:ascii="Palatino Linotype" w:hAnsi="Palatino Linotype"/>
        </w:rPr>
        <w:t xml:space="preserve">needs and </w:t>
      </w:r>
      <w:r w:rsidR="00A45E22" w:rsidRPr="00E443AD">
        <w:rPr>
          <w:rFonts w:ascii="Palatino Linotype" w:hAnsi="Palatino Linotype"/>
        </w:rPr>
        <w:t xml:space="preserve">realities of legal practice and the </w:t>
      </w:r>
      <w:r w:rsidR="0095554A" w:rsidRPr="00E443AD">
        <w:rPr>
          <w:rFonts w:ascii="Palatino Linotype" w:hAnsi="Palatino Linotype"/>
        </w:rPr>
        <w:t>qualifications</w:t>
      </w:r>
      <w:r w:rsidR="00A45E22" w:rsidRPr="00E443AD">
        <w:rPr>
          <w:rFonts w:ascii="Palatino Linotype" w:hAnsi="Palatino Linotype"/>
        </w:rPr>
        <w:t xml:space="preserve"> </w:t>
      </w:r>
      <w:r w:rsidRPr="00E443AD">
        <w:rPr>
          <w:rFonts w:ascii="Palatino Linotype" w:hAnsi="Palatino Linotype"/>
        </w:rPr>
        <w:t>of future legal professionals.</w:t>
      </w:r>
      <w:r w:rsidR="00915619" w:rsidRPr="00E443AD">
        <w:rPr>
          <w:rFonts w:ascii="Palatino Linotype" w:hAnsi="Palatino Linotype"/>
        </w:rPr>
        <w:t xml:space="preserve"> </w:t>
      </w:r>
      <w:r w:rsidR="00471D94" w:rsidRPr="00E443AD">
        <w:rPr>
          <w:rFonts w:ascii="Palatino Linotype" w:hAnsi="Palatino Linotype"/>
        </w:rPr>
        <w:t>These</w:t>
      </w:r>
      <w:r w:rsidR="00CF4297" w:rsidRPr="00E443AD">
        <w:rPr>
          <w:rFonts w:ascii="Palatino Linotype" w:hAnsi="Palatino Linotype"/>
        </w:rPr>
        <w:t xml:space="preserve"> experiences can be adapted and </w:t>
      </w:r>
      <w:r w:rsidR="00471D94" w:rsidRPr="00E443AD">
        <w:rPr>
          <w:rFonts w:ascii="Palatino Linotype" w:hAnsi="Palatino Linotype"/>
        </w:rPr>
        <w:t xml:space="preserve">will </w:t>
      </w:r>
      <w:r w:rsidR="00CF4297" w:rsidRPr="00E443AD">
        <w:rPr>
          <w:rFonts w:ascii="Palatino Linotype" w:hAnsi="Palatino Linotype"/>
        </w:rPr>
        <w:t xml:space="preserve">inform other efforts to provide students with an integrated learning experience.  </w:t>
      </w:r>
    </w:p>
    <w:p w14:paraId="4C4F4350" w14:textId="446AC3C0" w:rsidR="003B5BAE" w:rsidRPr="00E443AD" w:rsidRDefault="003B5BAE" w:rsidP="00CC7EFA">
      <w:pPr>
        <w:spacing w:line="480" w:lineRule="auto"/>
        <w:jc w:val="both"/>
        <w:rPr>
          <w:rFonts w:ascii="Palatino Linotype" w:hAnsi="Palatino Linotype"/>
          <w:b/>
        </w:rPr>
      </w:pPr>
    </w:p>
    <w:sectPr w:rsidR="003B5BAE" w:rsidRPr="00E443AD" w:rsidSect="004E5B9F">
      <w:headerReference w:type="default" r:id="rId9"/>
      <w:footerReference w:type="default" r:id="rId10"/>
      <w:type w:val="continuous"/>
      <w:pgSz w:w="12240" w:h="15840"/>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329A1" w14:textId="77777777" w:rsidR="006B57C4" w:rsidRDefault="006B57C4" w:rsidP="00302BAE">
      <w:r>
        <w:separator/>
      </w:r>
    </w:p>
  </w:endnote>
  <w:endnote w:type="continuationSeparator" w:id="0">
    <w:p w14:paraId="077CB9EF" w14:textId="77777777" w:rsidR="006B57C4" w:rsidRDefault="006B57C4" w:rsidP="00302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6867408"/>
      <w:docPartObj>
        <w:docPartGallery w:val="Page Numbers (Bottom of Page)"/>
        <w:docPartUnique/>
      </w:docPartObj>
    </w:sdtPr>
    <w:sdtEndPr/>
    <w:sdtContent>
      <w:p w14:paraId="25ADEAA9" w14:textId="64913A2A" w:rsidR="00AD786C" w:rsidRDefault="00AD786C">
        <w:pPr>
          <w:pStyle w:val="Footer"/>
        </w:pPr>
        <w:r>
          <w:fldChar w:fldCharType="begin"/>
        </w:r>
        <w:r>
          <w:instrText xml:space="preserve"> PAGE   \* MERGEFORMAT </w:instrText>
        </w:r>
        <w:r>
          <w:fldChar w:fldCharType="separate"/>
        </w:r>
        <w:r w:rsidR="004E5B9F">
          <w:rPr>
            <w:noProof/>
          </w:rPr>
          <w:t>4</w:t>
        </w:r>
        <w:r>
          <w:rPr>
            <w:noProof/>
          </w:rPr>
          <w:fldChar w:fldCharType="end"/>
        </w:r>
      </w:p>
    </w:sdtContent>
  </w:sdt>
  <w:p w14:paraId="1C101FE0" w14:textId="77777777" w:rsidR="00AD786C" w:rsidRDefault="00AD7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AA9A7" w14:textId="77777777" w:rsidR="006B57C4" w:rsidRDefault="006B57C4" w:rsidP="00302BAE">
      <w:r>
        <w:separator/>
      </w:r>
    </w:p>
  </w:footnote>
  <w:footnote w:type="continuationSeparator" w:id="0">
    <w:p w14:paraId="32121DB3" w14:textId="77777777" w:rsidR="006B57C4" w:rsidRDefault="006B57C4" w:rsidP="00302BAE">
      <w:r>
        <w:continuationSeparator/>
      </w:r>
    </w:p>
  </w:footnote>
  <w:footnote w:id="1">
    <w:p w14:paraId="18DB0ED0" w14:textId="23512499" w:rsidR="00E443AD" w:rsidRDefault="00E443AD" w:rsidP="00E443AD">
      <w:pPr>
        <w:pStyle w:val="FootnoteText"/>
        <w:jc w:val="left"/>
        <w:rPr>
          <w:rFonts w:ascii="Palatino Linotype" w:hAnsi="Palatino Linotype"/>
        </w:rPr>
      </w:pPr>
      <w:r>
        <w:rPr>
          <w:rFonts w:ascii="Palatino Linotype" w:hAnsi="Palatino Linotype"/>
        </w:rPr>
        <w:t>*</w:t>
      </w:r>
      <w:r w:rsidRPr="00E443AD">
        <w:rPr>
          <w:rFonts w:ascii="Palatino Linotype" w:hAnsi="Palatino Linotype"/>
        </w:rPr>
        <w:t>Leslie E. Wolf, JD, MPH is Professor and Director of the Center for Law, Health &amp; Society at Georgia State University College of Law. She conducts empirical research and publishes frequently in non-law venues. Prior to joining the law school, Professor Wolf taught medical ethics and research ethics at the University of California, San Francisco.</w:t>
      </w:r>
    </w:p>
    <w:p w14:paraId="7AF5B98D" w14:textId="6F93A275" w:rsidR="00E443AD" w:rsidRDefault="00E443AD" w:rsidP="00E443AD">
      <w:pPr>
        <w:pStyle w:val="FootnoteText"/>
        <w:jc w:val="left"/>
        <w:rPr>
          <w:rFonts w:ascii="Palatino Linotype" w:hAnsi="Palatino Linotype"/>
        </w:rPr>
      </w:pPr>
      <w:r>
        <w:rPr>
          <w:rFonts w:ascii="Palatino Linotype" w:hAnsi="Palatino Linotype"/>
        </w:rPr>
        <w:t>**</w:t>
      </w:r>
      <w:r w:rsidRPr="00E443AD">
        <w:t xml:space="preserve"> </w:t>
      </w:r>
      <w:r w:rsidRPr="00E443AD">
        <w:rPr>
          <w:rFonts w:ascii="Palatino Linotype" w:hAnsi="Palatino Linotype"/>
        </w:rPr>
        <w:t xml:space="preserve">Stacie </w:t>
      </w:r>
      <w:proofErr w:type="spellStart"/>
      <w:r w:rsidRPr="00E443AD">
        <w:rPr>
          <w:rFonts w:ascii="Palatino Linotype" w:hAnsi="Palatino Linotype"/>
        </w:rPr>
        <w:t>Kershner</w:t>
      </w:r>
      <w:proofErr w:type="spellEnd"/>
      <w:r w:rsidRPr="00E443AD">
        <w:rPr>
          <w:rFonts w:ascii="Palatino Linotype" w:hAnsi="Palatino Linotype"/>
        </w:rPr>
        <w:t>, JD is Associate Director of the Center for Law, Health &amp; Society at Georgia State University College of Law. She recently served as program coordinator for the Robert Wood Johnson funded Future of Public Health Law Education: Faculty Fellowship Program and previously was an ORISE Fellow in the Public Health Law Program of the Centers for Disease Control and Prevention.</w:t>
      </w:r>
    </w:p>
    <w:p w14:paraId="0DCC4C3B" w14:textId="3335ADC5" w:rsidR="00E443AD" w:rsidRPr="00E443AD" w:rsidRDefault="00E443AD" w:rsidP="00E443AD">
      <w:pPr>
        <w:pStyle w:val="FootnoteText"/>
        <w:jc w:val="left"/>
        <w:rPr>
          <w:rFonts w:ascii="Palatino Linotype" w:hAnsi="Palatino Linotype"/>
        </w:rPr>
      </w:pPr>
      <w:r>
        <w:rPr>
          <w:rFonts w:ascii="Palatino Linotype" w:hAnsi="Palatino Linotype"/>
        </w:rPr>
        <w:t xml:space="preserve">*** </w:t>
      </w:r>
      <w:r w:rsidRPr="00E443AD">
        <w:rPr>
          <w:rFonts w:ascii="Palatino Linotype" w:hAnsi="Palatino Linotype"/>
          <w:b/>
        </w:rPr>
        <w:t xml:space="preserve">Lisa </w:t>
      </w:r>
      <w:proofErr w:type="spellStart"/>
      <w:r w:rsidRPr="00E443AD">
        <w:rPr>
          <w:rFonts w:ascii="Palatino Linotype" w:hAnsi="Palatino Linotype"/>
          <w:b/>
        </w:rPr>
        <w:t>Radtke</w:t>
      </w:r>
      <w:proofErr w:type="spellEnd"/>
      <w:r w:rsidRPr="00E443AD">
        <w:rPr>
          <w:rFonts w:ascii="Palatino Linotype" w:hAnsi="Palatino Linotype"/>
          <w:b/>
        </w:rPr>
        <w:t xml:space="preserve"> Bliss, JD</w:t>
      </w:r>
      <w:r w:rsidRPr="00E443AD">
        <w:rPr>
          <w:rFonts w:ascii="Palatino Linotype" w:hAnsi="Palatino Linotype"/>
        </w:rPr>
        <w:t xml:space="preserve"> is Associate Dean of Experiential Education, Associate Clinical Professor, and co-Director of the </w:t>
      </w:r>
      <w:proofErr w:type="spellStart"/>
      <w:r w:rsidRPr="00E443AD">
        <w:rPr>
          <w:rFonts w:ascii="Palatino Linotype" w:hAnsi="Palatino Linotype"/>
        </w:rPr>
        <w:t>HeLP</w:t>
      </w:r>
      <w:proofErr w:type="spellEnd"/>
      <w:r w:rsidRPr="00E443AD">
        <w:rPr>
          <w:rFonts w:ascii="Palatino Linotype" w:hAnsi="Palatino Linotype"/>
        </w:rPr>
        <w:t xml:space="preserve"> Legal Services Clinic at Georgia State University College of Law. She is co-editor and author of “Building on Best Practices: Transforming Legal Education in a Changing World” (LexisNexis 2015) with Deborah </w:t>
      </w:r>
      <w:proofErr w:type="spellStart"/>
      <w:r w:rsidRPr="00E443AD">
        <w:rPr>
          <w:rFonts w:ascii="Palatino Linotype" w:hAnsi="Palatino Linotype"/>
        </w:rPr>
        <w:t>Maranville</w:t>
      </w:r>
      <w:proofErr w:type="spellEnd"/>
      <w:r w:rsidRPr="00E443AD">
        <w:rPr>
          <w:rFonts w:ascii="Palatino Linotype" w:hAnsi="Palatino Linotype"/>
        </w:rPr>
        <w:t>, Carol</w:t>
      </w:r>
      <w:bookmarkStart w:id="0" w:name="_GoBack"/>
      <w:bookmarkEnd w:id="0"/>
      <w:r w:rsidRPr="00E443AD">
        <w:rPr>
          <w:rFonts w:ascii="Palatino Linotype" w:hAnsi="Palatino Linotype"/>
        </w:rPr>
        <w:t xml:space="preserve">yn </w:t>
      </w:r>
      <w:proofErr w:type="spellStart"/>
      <w:r w:rsidRPr="00E443AD">
        <w:rPr>
          <w:rFonts w:ascii="Palatino Linotype" w:hAnsi="Palatino Linotype"/>
        </w:rPr>
        <w:t>Kaas</w:t>
      </w:r>
      <w:proofErr w:type="spellEnd"/>
      <w:r w:rsidRPr="00E443AD">
        <w:rPr>
          <w:rFonts w:ascii="Palatino Linotype" w:hAnsi="Palatino Linotype"/>
        </w:rPr>
        <w:t xml:space="preserve">, and Antoinette </w:t>
      </w:r>
      <w:proofErr w:type="spellStart"/>
      <w:r w:rsidRPr="00E443AD">
        <w:rPr>
          <w:rFonts w:ascii="Palatino Linotype" w:hAnsi="Palatino Linotype"/>
        </w:rPr>
        <w:t>Sedillo</w:t>
      </w:r>
      <w:proofErr w:type="spellEnd"/>
      <w:r w:rsidRPr="00E443AD">
        <w:rPr>
          <w:rFonts w:ascii="Palatino Linotype" w:hAnsi="Palatino Linotype"/>
        </w:rPr>
        <w:t xml:space="preserve"> Lopez</w:t>
      </w:r>
      <w:r>
        <w:rPr>
          <w:rFonts w:ascii="Palatino Linotype" w:hAnsi="Palatino Linotype"/>
        </w:rPr>
        <w:t>.</w:t>
      </w:r>
    </w:p>
  </w:footnote>
  <w:footnote w:id="2">
    <w:p w14:paraId="7D9B73F5" w14:textId="1800C15B" w:rsidR="00AD786C" w:rsidRPr="00E443AD" w:rsidRDefault="00AD786C" w:rsidP="00E443AD">
      <w:pPr>
        <w:pStyle w:val="FootnoteText"/>
        <w:jc w:val="left"/>
        <w:rPr>
          <w:rFonts w:ascii="Palatino Linotype" w:hAnsi="Palatino Linotype"/>
        </w:rPr>
      </w:pPr>
      <w:r w:rsidRPr="00E443AD">
        <w:rPr>
          <w:rStyle w:val="FootnoteReference"/>
          <w:rFonts w:ascii="Palatino Linotype" w:hAnsi="Palatino Linotype"/>
        </w:rPr>
        <w:footnoteRef/>
      </w:r>
      <w:r w:rsidRPr="00E443AD">
        <w:rPr>
          <w:rFonts w:ascii="Palatino Linotype" w:hAnsi="Palatino Linotype"/>
        </w:rPr>
        <w:t xml:space="preserve"> Since the inception of the Health Law Certificate, GSU Law has modeled </w:t>
      </w:r>
      <w:r w:rsidR="004A1557" w:rsidRPr="00E443AD">
        <w:rPr>
          <w:rFonts w:ascii="Palatino Linotype" w:hAnsi="Palatino Linotype"/>
        </w:rPr>
        <w:t xml:space="preserve">three </w:t>
      </w:r>
      <w:r w:rsidRPr="00E443AD">
        <w:rPr>
          <w:rFonts w:ascii="Palatino Linotype" w:hAnsi="Palatino Linotype"/>
        </w:rPr>
        <w:t>additional certificate programs after it.  The school now offers Certificates in Environmental and Land Use Law</w:t>
      </w:r>
      <w:r w:rsidR="004A1557" w:rsidRPr="00E443AD">
        <w:rPr>
          <w:rFonts w:ascii="Palatino Linotype" w:hAnsi="Palatino Linotype"/>
        </w:rPr>
        <w:t>,</w:t>
      </w:r>
      <w:r w:rsidRPr="00E443AD">
        <w:rPr>
          <w:rFonts w:ascii="Palatino Linotype" w:hAnsi="Palatino Linotype"/>
        </w:rPr>
        <w:t xml:space="preserve"> Intellectual Property Law</w:t>
      </w:r>
      <w:r w:rsidR="004A1557" w:rsidRPr="00E443AD">
        <w:rPr>
          <w:rFonts w:ascii="Palatino Linotype" w:hAnsi="Palatino Linotype"/>
        </w:rPr>
        <w:t>, and Public Interest Law and Policy</w:t>
      </w:r>
      <w:r w:rsidRPr="00E443AD">
        <w:rPr>
          <w:rFonts w:ascii="Palatino Linotype" w:hAnsi="Palatino Linotype"/>
        </w:rPr>
        <w:t>.  Like the Health Law Certificate, other certificate programs require students enrolled in the programs to take experiential courses to satisfy the certificate requirements.</w:t>
      </w:r>
    </w:p>
  </w:footnote>
  <w:footnote w:id="3">
    <w:p w14:paraId="3FFFAD11" w14:textId="7A362450" w:rsidR="00AD786C" w:rsidRPr="00E443AD" w:rsidRDefault="00AD786C" w:rsidP="00E443AD">
      <w:pPr>
        <w:pStyle w:val="FootnoteText"/>
        <w:jc w:val="left"/>
        <w:rPr>
          <w:rFonts w:ascii="Palatino Linotype" w:hAnsi="Palatino Linotype"/>
        </w:rPr>
      </w:pPr>
      <w:r w:rsidRPr="00E443AD">
        <w:rPr>
          <w:rStyle w:val="FootnoteReference"/>
          <w:rFonts w:ascii="Palatino Linotype" w:hAnsi="Palatino Linotype"/>
        </w:rPr>
        <w:footnoteRef/>
      </w:r>
      <w:r w:rsidRPr="00E443AD">
        <w:rPr>
          <w:rFonts w:ascii="Palatino Linotype" w:hAnsi="Palatino Linotype"/>
        </w:rPr>
        <w:t xml:space="preserve"> </w:t>
      </w:r>
      <w:r w:rsidRPr="00E443AD">
        <w:rPr>
          <w:rFonts w:ascii="Palatino Linotype" w:hAnsi="Palatino Linotype"/>
          <w:smallCaps/>
        </w:rPr>
        <w:t>William M. Sullivan et al.</w:t>
      </w:r>
      <w:r w:rsidRPr="00E443AD">
        <w:rPr>
          <w:rFonts w:ascii="Palatino Linotype" w:hAnsi="Palatino Linotype"/>
        </w:rPr>
        <w:t xml:space="preserve">, </w:t>
      </w:r>
      <w:r w:rsidRPr="00E443AD">
        <w:rPr>
          <w:rFonts w:ascii="Palatino Linotype" w:hAnsi="Palatino Linotype"/>
          <w:smallCaps/>
        </w:rPr>
        <w:t>Educating Lawyers: Preparation for the Profession of Law</w:t>
      </w:r>
      <w:r w:rsidRPr="00E443AD">
        <w:rPr>
          <w:rFonts w:ascii="Palatino Linotype" w:hAnsi="Palatino Linotype"/>
        </w:rPr>
        <w:t xml:space="preserve"> (San Francisco: </w:t>
      </w:r>
      <w:proofErr w:type="spellStart"/>
      <w:r w:rsidRPr="00E443AD">
        <w:rPr>
          <w:rFonts w:ascii="Palatino Linotype" w:hAnsi="Palatino Linotype"/>
        </w:rPr>
        <w:t>Jossey</w:t>
      </w:r>
      <w:proofErr w:type="spellEnd"/>
      <w:r w:rsidRPr="00E443AD">
        <w:rPr>
          <w:rFonts w:ascii="Palatino Linotype" w:hAnsi="Palatino Linotype"/>
        </w:rPr>
        <w:t>-Bass 2007) [hereafter the “</w:t>
      </w:r>
      <w:r w:rsidRPr="00E443AD">
        <w:rPr>
          <w:rFonts w:ascii="Palatino Linotype" w:hAnsi="Palatino Linotype"/>
          <w:i/>
        </w:rPr>
        <w:t>Carnegie Report,</w:t>
      </w:r>
      <w:r w:rsidRPr="00E443AD">
        <w:rPr>
          <w:rFonts w:ascii="Palatino Linotype" w:hAnsi="Palatino Linotype"/>
        </w:rPr>
        <w:t xml:space="preserve">” so called because sponsored by the Carnegie Foundation for the Advancement of Teaching under its Preparation for the Professions series]; </w:t>
      </w:r>
      <w:r w:rsidRPr="00E443AD">
        <w:rPr>
          <w:rFonts w:ascii="Palatino Linotype" w:hAnsi="Palatino Linotype"/>
          <w:smallCaps/>
        </w:rPr>
        <w:t>Roy Stuckey et al</w:t>
      </w:r>
      <w:r w:rsidRPr="00E443AD">
        <w:rPr>
          <w:rFonts w:ascii="Palatino Linotype" w:hAnsi="Palatino Linotype"/>
        </w:rPr>
        <w:t xml:space="preserve">., </w:t>
      </w:r>
      <w:r w:rsidRPr="00E443AD">
        <w:rPr>
          <w:rFonts w:ascii="Palatino Linotype" w:hAnsi="Palatino Linotype"/>
          <w:smallCaps/>
        </w:rPr>
        <w:t>Best Practices for Legal Education: A Vision and a Road Map</w:t>
      </w:r>
      <w:r w:rsidRPr="00E443AD">
        <w:rPr>
          <w:rFonts w:ascii="Palatino Linotype" w:hAnsi="Palatino Linotype"/>
        </w:rPr>
        <w:t xml:space="preserve"> (2007), available at http://law.sc.edu/faculty/stuckey/best_practices/best_practices-full.pdf [hereafter “</w:t>
      </w:r>
      <w:r w:rsidRPr="00E443AD">
        <w:rPr>
          <w:rFonts w:ascii="Palatino Linotype" w:hAnsi="Palatino Linotype"/>
          <w:i/>
        </w:rPr>
        <w:t>Best Practices</w:t>
      </w:r>
      <w:r w:rsidRPr="00E443AD">
        <w:rPr>
          <w:rFonts w:ascii="Palatino Linotype" w:hAnsi="Palatino Linotype"/>
        </w:rPr>
        <w:t xml:space="preserve">”]; </w:t>
      </w:r>
      <w:r w:rsidRPr="00E443AD">
        <w:rPr>
          <w:rFonts w:ascii="Palatino Linotype" w:hAnsi="Palatino Linotype"/>
          <w:smallCaps/>
        </w:rPr>
        <w:t>Building on Best Practices: Reflections on Transforming Legal Education in a Changing World</w:t>
      </w:r>
      <w:r w:rsidRPr="00E443AD">
        <w:rPr>
          <w:rFonts w:ascii="Palatino Linotype" w:hAnsi="Palatino Linotype"/>
        </w:rPr>
        <w:t xml:space="preserve"> (D. </w:t>
      </w:r>
      <w:proofErr w:type="spellStart"/>
      <w:r w:rsidRPr="00E443AD">
        <w:rPr>
          <w:rFonts w:ascii="Palatino Linotype" w:hAnsi="Palatino Linotype"/>
        </w:rPr>
        <w:t>Maranville</w:t>
      </w:r>
      <w:proofErr w:type="spellEnd"/>
      <w:r w:rsidRPr="00E443AD">
        <w:rPr>
          <w:rFonts w:ascii="Palatino Linotype" w:hAnsi="Palatino Linotype"/>
        </w:rPr>
        <w:t xml:space="preserve">, Lisa </w:t>
      </w:r>
      <w:proofErr w:type="spellStart"/>
      <w:r w:rsidRPr="00E443AD">
        <w:rPr>
          <w:rFonts w:ascii="Palatino Linotype" w:hAnsi="Palatino Linotype"/>
        </w:rPr>
        <w:t>Radtke</w:t>
      </w:r>
      <w:proofErr w:type="spellEnd"/>
      <w:r w:rsidRPr="00E443AD">
        <w:rPr>
          <w:rFonts w:ascii="Palatino Linotype" w:hAnsi="Palatino Linotype"/>
        </w:rPr>
        <w:t xml:space="preserve"> Bliss, Carolyn Wilkes </w:t>
      </w:r>
      <w:proofErr w:type="spellStart"/>
      <w:r w:rsidRPr="00E443AD">
        <w:rPr>
          <w:rFonts w:ascii="Palatino Linotype" w:hAnsi="Palatino Linotype"/>
        </w:rPr>
        <w:t>Kass</w:t>
      </w:r>
      <w:proofErr w:type="spellEnd"/>
      <w:r w:rsidRPr="00E443AD">
        <w:rPr>
          <w:rFonts w:ascii="Palatino Linotype" w:hAnsi="Palatino Linotype"/>
        </w:rPr>
        <w:t xml:space="preserve">, Antoinette </w:t>
      </w:r>
      <w:proofErr w:type="spellStart"/>
      <w:r w:rsidRPr="00E443AD">
        <w:rPr>
          <w:rFonts w:ascii="Palatino Linotype" w:hAnsi="Palatino Linotype"/>
        </w:rPr>
        <w:t>Sedillo</w:t>
      </w:r>
      <w:proofErr w:type="spellEnd"/>
      <w:r w:rsidRPr="00E443AD">
        <w:rPr>
          <w:rFonts w:ascii="Palatino Linotype" w:hAnsi="Palatino Linotype"/>
        </w:rPr>
        <w:t xml:space="preserve"> Lopez eds., Lexis-Nexis 2015) [hereinafter </w:t>
      </w:r>
      <w:r w:rsidRPr="00E443AD">
        <w:rPr>
          <w:rFonts w:ascii="Palatino Linotype" w:hAnsi="Palatino Linotype"/>
          <w:i/>
        </w:rPr>
        <w:t>Building on Best Practices</w:t>
      </w:r>
      <w:r w:rsidRPr="00E443AD">
        <w:rPr>
          <w:rFonts w:ascii="Palatino Linotype" w:hAnsi="Palatino Linotype"/>
        </w:rPr>
        <w:t xml:space="preserve">]; New York State Bar Association, </w:t>
      </w:r>
      <w:r w:rsidRPr="00E443AD">
        <w:rPr>
          <w:rFonts w:ascii="Palatino Linotype" w:hAnsi="Palatino Linotype"/>
          <w:i/>
        </w:rPr>
        <w:t>Report of the Task Force on the Future of the Legal Profession</w:t>
      </w:r>
      <w:r w:rsidRPr="00E443AD">
        <w:rPr>
          <w:rFonts w:ascii="Palatino Linotype" w:hAnsi="Palatino Linotype"/>
        </w:rPr>
        <w:t xml:space="preserve"> (Feb. 2011), available at http://bestpracticeslegaled.files.wordpress.com/2011/03/taskforcereport.pdf (particularly discussion on educating and training new lawyers, at 36-47); and ALI-ABA, Critical Issues Summit, </w:t>
      </w:r>
      <w:r w:rsidRPr="00E443AD">
        <w:rPr>
          <w:rFonts w:ascii="Palatino Linotype" w:hAnsi="Palatino Linotype"/>
          <w:i/>
        </w:rPr>
        <w:t>Equipping Our Lawyers: Law School Education, Continuing Legal Education, and Legal Practice in the 21</w:t>
      </w:r>
      <w:r w:rsidRPr="00E443AD">
        <w:rPr>
          <w:rFonts w:ascii="Palatino Linotype" w:hAnsi="Palatino Linotype"/>
          <w:i/>
          <w:vertAlign w:val="superscript"/>
        </w:rPr>
        <w:t>st</w:t>
      </w:r>
      <w:r w:rsidRPr="00E443AD">
        <w:rPr>
          <w:rFonts w:ascii="Palatino Linotype" w:hAnsi="Palatino Linotype"/>
          <w:i/>
        </w:rPr>
        <w:t xml:space="preserve"> Century</w:t>
      </w:r>
      <w:r w:rsidRPr="00E443AD">
        <w:rPr>
          <w:rFonts w:ascii="Palatino Linotype" w:hAnsi="Palatino Linotype"/>
        </w:rPr>
        <w:t xml:space="preserve"> (2010) (final recommendations available at http://www.equippingourlawyers.org/documents/summit_final09.pdf). </w:t>
      </w:r>
    </w:p>
  </w:footnote>
  <w:footnote w:id="4">
    <w:p w14:paraId="156C6922" w14:textId="7B096682" w:rsidR="00AD786C" w:rsidRPr="00E443AD" w:rsidRDefault="00AD786C" w:rsidP="00E443AD">
      <w:pPr>
        <w:pStyle w:val="FootnoteText"/>
        <w:jc w:val="left"/>
        <w:rPr>
          <w:rFonts w:ascii="Palatino Linotype" w:hAnsi="Palatino Linotype"/>
        </w:rPr>
      </w:pPr>
      <w:r w:rsidRPr="00E443AD">
        <w:rPr>
          <w:rStyle w:val="FootnoteReference"/>
          <w:rFonts w:ascii="Palatino Linotype" w:hAnsi="Palatino Linotype"/>
        </w:rPr>
        <w:footnoteRef/>
      </w:r>
      <w:r w:rsidRPr="00E443AD">
        <w:rPr>
          <w:rFonts w:ascii="Palatino Linotype" w:hAnsi="Palatino Linotype"/>
        </w:rPr>
        <w:t xml:space="preserve"> Colleen Flaherty, </w:t>
      </w:r>
      <w:r w:rsidRPr="00E443AD">
        <w:rPr>
          <w:rFonts w:ascii="Palatino Linotype" w:hAnsi="Palatino Linotype"/>
          <w:i/>
        </w:rPr>
        <w:t xml:space="preserve">2 Years for Law </w:t>
      </w:r>
      <w:proofErr w:type="gramStart"/>
      <w:r w:rsidRPr="00E443AD">
        <w:rPr>
          <w:rFonts w:ascii="Palatino Linotype" w:hAnsi="Palatino Linotype"/>
          <w:i/>
        </w:rPr>
        <w:t>School?</w:t>
      </w:r>
      <w:r w:rsidRPr="00E443AD">
        <w:rPr>
          <w:rFonts w:ascii="Palatino Linotype" w:hAnsi="Palatino Linotype"/>
        </w:rPr>
        <w:t>,</w:t>
      </w:r>
      <w:proofErr w:type="gramEnd"/>
      <w:r w:rsidRPr="00E443AD">
        <w:rPr>
          <w:rFonts w:ascii="Palatino Linotype" w:hAnsi="Palatino Linotype"/>
        </w:rPr>
        <w:t xml:space="preserve"> Inside Higher Ed, Aug. 26, 2013, https://www.insidehighered.com/news/2013/08/26/president-obama-calls-cutting-year-law-school.</w:t>
      </w:r>
    </w:p>
  </w:footnote>
  <w:footnote w:id="5">
    <w:p w14:paraId="74E423FD" w14:textId="3A38E5C1" w:rsidR="00AD786C" w:rsidRPr="00E443AD" w:rsidRDefault="00AD786C" w:rsidP="00E443AD">
      <w:pPr>
        <w:pStyle w:val="FootnoteText"/>
        <w:jc w:val="left"/>
        <w:rPr>
          <w:rFonts w:ascii="Palatino Linotype" w:hAnsi="Palatino Linotype"/>
        </w:rPr>
      </w:pPr>
      <w:r w:rsidRPr="00E443AD">
        <w:rPr>
          <w:rStyle w:val="FootnoteReference"/>
          <w:rFonts w:ascii="Palatino Linotype" w:hAnsi="Palatino Linotype"/>
        </w:rPr>
        <w:footnoteRef/>
      </w:r>
      <w:r w:rsidRPr="00E443AD">
        <w:rPr>
          <w:rFonts w:ascii="Palatino Linotype" w:hAnsi="Palatino Linotype"/>
        </w:rPr>
        <w:t xml:space="preserve"> </w:t>
      </w:r>
      <w:r w:rsidRPr="00E443AD">
        <w:rPr>
          <w:rFonts w:ascii="Palatino Linotype" w:hAnsi="Palatino Linotype"/>
          <w:i/>
        </w:rPr>
        <w:t>Building on Best Practices, supra</w:t>
      </w:r>
      <w:r w:rsidRPr="00E443AD">
        <w:rPr>
          <w:rFonts w:ascii="Palatino Linotype" w:hAnsi="Palatino Linotype"/>
        </w:rPr>
        <w:t xml:space="preserve"> note 3at 52-58 (discussing Pathways, Integration and Sequencing the Curriculum), at 59-65 (discussing a three-year law school curriculum that engages students and effectively prepares them for the practice of law), </w:t>
      </w:r>
      <w:r w:rsidRPr="00E443AD">
        <w:rPr>
          <w:rFonts w:ascii="Palatino Linotype" w:hAnsi="Palatino Linotype"/>
          <w:i/>
        </w:rPr>
        <w:t>Carnegie Report</w:t>
      </w:r>
      <w:r w:rsidRPr="00E443AD">
        <w:rPr>
          <w:rFonts w:ascii="Palatino Linotype" w:hAnsi="Palatino Linotype"/>
        </w:rPr>
        <w:t xml:space="preserve">, </w:t>
      </w:r>
      <w:r w:rsidRPr="00E443AD">
        <w:rPr>
          <w:rFonts w:ascii="Palatino Linotype" w:hAnsi="Palatino Linotype"/>
          <w:i/>
        </w:rPr>
        <w:t>supra</w:t>
      </w:r>
      <w:r w:rsidRPr="00E443AD">
        <w:rPr>
          <w:rFonts w:ascii="Palatino Linotype" w:hAnsi="Palatino Linotype"/>
        </w:rPr>
        <w:t xml:space="preserve"> note </w:t>
      </w:r>
      <w:r w:rsidR="005741F2" w:rsidRPr="00E443AD">
        <w:rPr>
          <w:rFonts w:ascii="Palatino Linotype" w:hAnsi="Palatino Linotype"/>
        </w:rPr>
        <w:t>2</w:t>
      </w:r>
      <w:r w:rsidRPr="00E443AD">
        <w:rPr>
          <w:rFonts w:ascii="Palatino Linotype" w:hAnsi="Palatino Linotype"/>
        </w:rPr>
        <w:t xml:space="preserve">; </w:t>
      </w:r>
      <w:r w:rsidRPr="00E443AD">
        <w:rPr>
          <w:rFonts w:ascii="Palatino Linotype" w:hAnsi="Palatino Linotype"/>
          <w:i/>
        </w:rPr>
        <w:t>Best Practices</w:t>
      </w:r>
      <w:r w:rsidRPr="00E443AD">
        <w:rPr>
          <w:rFonts w:ascii="Palatino Linotype" w:hAnsi="Palatino Linotype"/>
        </w:rPr>
        <w:t xml:space="preserve">, </w:t>
      </w:r>
      <w:r w:rsidRPr="00E443AD">
        <w:rPr>
          <w:rFonts w:ascii="Palatino Linotype" w:hAnsi="Palatino Linotype"/>
          <w:i/>
        </w:rPr>
        <w:t xml:space="preserve">supra </w:t>
      </w:r>
      <w:r w:rsidRPr="00E443AD">
        <w:rPr>
          <w:rFonts w:ascii="Palatino Linotype" w:hAnsi="Palatino Linotype"/>
        </w:rPr>
        <w:t xml:space="preserve">note </w:t>
      </w:r>
      <w:r w:rsidR="005741F2" w:rsidRPr="00E443AD">
        <w:rPr>
          <w:rFonts w:ascii="Palatino Linotype" w:hAnsi="Palatino Linotype"/>
        </w:rPr>
        <w:t>2</w:t>
      </w:r>
      <w:r w:rsidRPr="00E443AD">
        <w:rPr>
          <w:rFonts w:ascii="Palatino Linotype" w:hAnsi="Palatino Linotype"/>
        </w:rPr>
        <w:t xml:space="preserve">. </w:t>
      </w:r>
    </w:p>
  </w:footnote>
  <w:footnote w:id="6">
    <w:p w14:paraId="06FB6D78" w14:textId="33D2DE9A" w:rsidR="00AD786C" w:rsidRPr="00E443AD" w:rsidRDefault="00AD786C" w:rsidP="00E443AD">
      <w:pPr>
        <w:pStyle w:val="FootnoteText"/>
        <w:jc w:val="left"/>
        <w:rPr>
          <w:rFonts w:ascii="Palatino Linotype" w:hAnsi="Palatino Linotype"/>
        </w:rPr>
      </w:pPr>
      <w:r w:rsidRPr="00E443AD">
        <w:rPr>
          <w:rStyle w:val="FootnoteReference"/>
          <w:rFonts w:ascii="Palatino Linotype" w:hAnsi="Palatino Linotype"/>
        </w:rPr>
        <w:footnoteRef/>
      </w:r>
      <w:r w:rsidRPr="00E443AD">
        <w:rPr>
          <w:rFonts w:ascii="Palatino Linotype" w:hAnsi="Palatino Linotype"/>
        </w:rPr>
        <w:t xml:space="preserve"> </w:t>
      </w:r>
      <w:r w:rsidRPr="00E443AD">
        <w:rPr>
          <w:rFonts w:ascii="Palatino Linotype" w:hAnsi="Palatino Linotype"/>
          <w:i/>
        </w:rPr>
        <w:t>Carnegie Report</w:t>
      </w:r>
      <w:r w:rsidRPr="00E443AD">
        <w:rPr>
          <w:rFonts w:ascii="Palatino Linotype" w:hAnsi="Palatino Linotype"/>
        </w:rPr>
        <w:t xml:space="preserve">, </w:t>
      </w:r>
      <w:r w:rsidRPr="00E443AD">
        <w:rPr>
          <w:rFonts w:ascii="Palatino Linotype" w:hAnsi="Palatino Linotype"/>
          <w:i/>
        </w:rPr>
        <w:t>supra</w:t>
      </w:r>
      <w:r w:rsidRPr="00E443AD">
        <w:rPr>
          <w:rFonts w:ascii="Palatino Linotype" w:hAnsi="Palatino Linotype"/>
        </w:rPr>
        <w:t xml:space="preserve"> note 3; </w:t>
      </w:r>
      <w:r w:rsidRPr="00E443AD">
        <w:rPr>
          <w:rFonts w:ascii="Palatino Linotype" w:hAnsi="Palatino Linotype"/>
          <w:i/>
        </w:rPr>
        <w:t>Best Practices</w:t>
      </w:r>
      <w:r w:rsidRPr="00E443AD">
        <w:rPr>
          <w:rFonts w:ascii="Palatino Linotype" w:hAnsi="Palatino Linotype"/>
        </w:rPr>
        <w:t xml:space="preserve">, </w:t>
      </w:r>
      <w:r w:rsidRPr="00E443AD">
        <w:rPr>
          <w:rFonts w:ascii="Palatino Linotype" w:hAnsi="Palatino Linotype"/>
          <w:i/>
        </w:rPr>
        <w:t>supra</w:t>
      </w:r>
      <w:r w:rsidRPr="00E443AD">
        <w:rPr>
          <w:rFonts w:ascii="Palatino Linotype" w:hAnsi="Palatino Linotype"/>
        </w:rPr>
        <w:t xml:space="preserve"> note 3,</w:t>
      </w:r>
      <w:r w:rsidRPr="00E443AD">
        <w:rPr>
          <w:rFonts w:ascii="Palatino Linotype" w:hAnsi="Palatino Linotype"/>
          <w:i/>
        </w:rPr>
        <w:t xml:space="preserve"> Building on Best Practices, supra </w:t>
      </w:r>
      <w:r w:rsidRPr="00E443AD">
        <w:rPr>
          <w:rFonts w:ascii="Palatino Linotype" w:hAnsi="Palatino Linotype"/>
        </w:rPr>
        <w:t xml:space="preserve">note </w:t>
      </w:r>
      <w:r w:rsidR="005741F2" w:rsidRPr="00E443AD">
        <w:rPr>
          <w:rFonts w:ascii="Palatino Linotype" w:hAnsi="Palatino Linotype"/>
        </w:rPr>
        <w:t>2</w:t>
      </w:r>
      <w:r w:rsidRPr="00E443AD">
        <w:rPr>
          <w:rFonts w:ascii="Palatino Linotype" w:hAnsi="Palatino Linotype"/>
        </w:rPr>
        <w:t xml:space="preserve">. </w:t>
      </w:r>
    </w:p>
  </w:footnote>
  <w:footnote w:id="7">
    <w:p w14:paraId="2C3B2766" w14:textId="3BB28A58" w:rsidR="00AD786C" w:rsidRPr="00E443AD" w:rsidRDefault="00AD786C" w:rsidP="00E443AD">
      <w:pPr>
        <w:pStyle w:val="FootnoteText"/>
        <w:jc w:val="left"/>
        <w:rPr>
          <w:rFonts w:ascii="Palatino Linotype" w:hAnsi="Palatino Linotype"/>
        </w:rPr>
      </w:pPr>
      <w:r w:rsidRPr="00E443AD">
        <w:rPr>
          <w:rStyle w:val="FootnoteReference"/>
          <w:rFonts w:ascii="Palatino Linotype" w:hAnsi="Palatino Linotype"/>
        </w:rPr>
        <w:footnoteRef/>
      </w:r>
      <w:r w:rsidRPr="00E443AD">
        <w:rPr>
          <w:rFonts w:ascii="Palatino Linotype" w:hAnsi="Palatino Linotype"/>
        </w:rPr>
        <w:t xml:space="preserve"> </w:t>
      </w:r>
      <w:r w:rsidRPr="00E443AD">
        <w:rPr>
          <w:rFonts w:ascii="Palatino Linotype" w:hAnsi="Palatino Linotype"/>
          <w:i/>
        </w:rPr>
        <w:t>Carnegie Report</w:t>
      </w:r>
      <w:r w:rsidRPr="00E443AD">
        <w:rPr>
          <w:rFonts w:ascii="Palatino Linotype" w:hAnsi="Palatino Linotype"/>
        </w:rPr>
        <w:t xml:space="preserve">, </w:t>
      </w:r>
      <w:r w:rsidRPr="00E443AD">
        <w:rPr>
          <w:rFonts w:ascii="Palatino Linotype" w:hAnsi="Palatino Linotype"/>
          <w:i/>
        </w:rPr>
        <w:t>supra</w:t>
      </w:r>
      <w:r w:rsidRPr="00E443AD">
        <w:rPr>
          <w:rFonts w:ascii="Palatino Linotype" w:hAnsi="Palatino Linotype"/>
        </w:rPr>
        <w:t xml:space="preserve"> note </w:t>
      </w:r>
      <w:r w:rsidR="005741F2" w:rsidRPr="00E443AD">
        <w:rPr>
          <w:rFonts w:ascii="Palatino Linotype" w:hAnsi="Palatino Linotype"/>
        </w:rPr>
        <w:t>2</w:t>
      </w:r>
      <w:r w:rsidRPr="00E443AD">
        <w:rPr>
          <w:rFonts w:ascii="Palatino Linotype" w:hAnsi="Palatino Linotype"/>
        </w:rPr>
        <w:t>, at 95.</w:t>
      </w:r>
    </w:p>
  </w:footnote>
  <w:footnote w:id="8">
    <w:p w14:paraId="7463511D" w14:textId="70067ABA" w:rsidR="00AD786C" w:rsidRPr="00E443AD" w:rsidRDefault="00AD786C" w:rsidP="00E443AD">
      <w:pPr>
        <w:pStyle w:val="FootnoteText"/>
        <w:jc w:val="left"/>
        <w:rPr>
          <w:rFonts w:ascii="Palatino Linotype" w:hAnsi="Palatino Linotype"/>
        </w:rPr>
      </w:pPr>
      <w:r w:rsidRPr="00E443AD">
        <w:rPr>
          <w:rStyle w:val="FootnoteReference"/>
          <w:rFonts w:ascii="Palatino Linotype" w:hAnsi="Palatino Linotype"/>
        </w:rPr>
        <w:footnoteRef/>
      </w:r>
      <w:r w:rsidRPr="00E443AD">
        <w:rPr>
          <w:rFonts w:ascii="Palatino Linotype" w:hAnsi="Palatino Linotype"/>
        </w:rPr>
        <w:t xml:space="preserve"> </w:t>
      </w:r>
      <w:r w:rsidRPr="00E443AD">
        <w:rPr>
          <w:rFonts w:ascii="Palatino Linotype" w:hAnsi="Palatino Linotype"/>
          <w:i/>
        </w:rPr>
        <w:t>Id.</w:t>
      </w:r>
      <w:r w:rsidRPr="00E443AD">
        <w:rPr>
          <w:rFonts w:ascii="Palatino Linotype" w:hAnsi="Palatino Linotype"/>
        </w:rPr>
        <w:t xml:space="preserve"> at 191.  </w:t>
      </w:r>
      <w:r w:rsidRPr="00E443AD">
        <w:rPr>
          <w:rFonts w:ascii="Palatino Linotype" w:hAnsi="Palatino Linotype"/>
          <w:i/>
        </w:rPr>
        <w:t>The ABA Resolution and Report</w:t>
      </w:r>
      <w:r w:rsidRPr="00E443AD">
        <w:rPr>
          <w:rFonts w:ascii="Palatino Linotype" w:hAnsi="Palatino Linotype"/>
        </w:rPr>
        <w:t>, adopted as revised August 2011, http://www.abajournal.com/files/10B_2011.pdf, also acknowledges the importance of integrating theory with practical experiences and contexts in law school, and suggests ABA accreditation rules should address this integration: “Academics and others began to conceptualize professional development as a complex process involving an ongoing cycle of abstract learning and engagement with professional practice.  That cycle permits each professional to develop individualized cognitive structures which enable the rapid problem-solving that characterizes expertise</w:t>
      </w:r>
      <w:proofErr w:type="gramStart"/>
      <w:r w:rsidRPr="00E443AD">
        <w:rPr>
          <w:rFonts w:ascii="Palatino Linotype" w:hAnsi="Palatino Linotype"/>
        </w:rPr>
        <w:t>. . . .</w:t>
      </w:r>
      <w:proofErr w:type="gramEnd"/>
      <w:r w:rsidRPr="00E443AD">
        <w:rPr>
          <w:rFonts w:ascii="Palatino Linotype" w:hAnsi="Palatino Linotype"/>
        </w:rPr>
        <w:t xml:space="preserve"> The process of developing judgment is individualized, difficult and time consuming</w:t>
      </w:r>
      <w:proofErr w:type="gramStart"/>
      <w:r w:rsidRPr="00E443AD">
        <w:rPr>
          <w:rFonts w:ascii="Palatino Linotype" w:hAnsi="Palatino Linotype"/>
        </w:rPr>
        <w:t>. . . .Accreditation</w:t>
      </w:r>
      <w:proofErr w:type="gramEnd"/>
      <w:r w:rsidRPr="00E443AD">
        <w:rPr>
          <w:rFonts w:ascii="Palatino Linotype" w:hAnsi="Palatino Linotype"/>
        </w:rPr>
        <w:t xml:space="preserve"> rules should emphasize how to apply theory and doctrine to actual practice, as well as encourage the process the development of professional judgment.”  </w:t>
      </w:r>
      <w:r w:rsidRPr="00E443AD">
        <w:rPr>
          <w:rFonts w:ascii="Palatino Linotype" w:hAnsi="Palatino Linotype"/>
          <w:i/>
        </w:rPr>
        <w:t xml:space="preserve">Id. </w:t>
      </w:r>
      <w:r w:rsidRPr="00E443AD">
        <w:rPr>
          <w:rFonts w:ascii="Palatino Linotype" w:hAnsi="Palatino Linotype"/>
        </w:rPr>
        <w:t xml:space="preserve">at 3-4, 7.  </w:t>
      </w:r>
      <w:r w:rsidRPr="00E443AD">
        <w:rPr>
          <w:rFonts w:ascii="Palatino Linotype" w:hAnsi="Palatino Linotype"/>
          <w:i/>
        </w:rPr>
        <w:t>Building on Best Practices</w:t>
      </w:r>
      <w:r w:rsidRPr="00E443AD">
        <w:rPr>
          <w:rFonts w:ascii="Palatino Linotype" w:hAnsi="Palatino Linotype"/>
        </w:rPr>
        <w:t xml:space="preserve"> also addresses the importance of providing curricular pathways and concentrations to reinforce student learning and build connections across courses.  </w:t>
      </w:r>
      <w:r w:rsidRPr="00E443AD">
        <w:rPr>
          <w:rFonts w:ascii="Palatino Linotype" w:hAnsi="Palatino Linotype"/>
          <w:i/>
        </w:rPr>
        <w:t>Building on Best Practices</w:t>
      </w:r>
      <w:r w:rsidRPr="00E443AD">
        <w:rPr>
          <w:rFonts w:ascii="Palatino Linotype" w:hAnsi="Palatino Linotype"/>
        </w:rPr>
        <w:t xml:space="preserve">, </w:t>
      </w:r>
      <w:r w:rsidRPr="00E443AD">
        <w:rPr>
          <w:rFonts w:ascii="Palatino Linotype" w:hAnsi="Palatino Linotype"/>
          <w:i/>
        </w:rPr>
        <w:t>supra</w:t>
      </w:r>
      <w:r w:rsidRPr="00E443AD">
        <w:rPr>
          <w:rFonts w:ascii="Palatino Linotype" w:hAnsi="Palatino Linotype"/>
        </w:rPr>
        <w:t xml:space="preserve"> note </w:t>
      </w:r>
      <w:r w:rsidR="005741F2" w:rsidRPr="00E443AD">
        <w:rPr>
          <w:rFonts w:ascii="Palatino Linotype" w:hAnsi="Palatino Linotype"/>
        </w:rPr>
        <w:t>2</w:t>
      </w:r>
      <w:r w:rsidRPr="00E443AD">
        <w:rPr>
          <w:rFonts w:ascii="Palatino Linotype" w:hAnsi="Palatino Linotype"/>
        </w:rPr>
        <w:t>, at 52-58.</w:t>
      </w:r>
    </w:p>
  </w:footnote>
  <w:footnote w:id="9">
    <w:p w14:paraId="24A2C6E5" w14:textId="72747194" w:rsidR="00AD786C" w:rsidRPr="00E443AD" w:rsidRDefault="00AD786C" w:rsidP="00E443AD">
      <w:pPr>
        <w:pStyle w:val="FootnoteText"/>
        <w:jc w:val="left"/>
        <w:rPr>
          <w:rFonts w:ascii="Palatino Linotype" w:hAnsi="Palatino Linotype"/>
        </w:rPr>
      </w:pPr>
      <w:r w:rsidRPr="00E443AD">
        <w:rPr>
          <w:rStyle w:val="FootnoteReference"/>
          <w:rFonts w:ascii="Palatino Linotype" w:hAnsi="Palatino Linotype"/>
        </w:rPr>
        <w:footnoteRef/>
      </w:r>
      <w:r w:rsidRPr="00E443AD">
        <w:rPr>
          <w:rFonts w:ascii="Palatino Linotype" w:hAnsi="Palatino Linotype"/>
        </w:rPr>
        <w:t xml:space="preserve"> Georgia State Law now has 12 faculty and 10 faculty fellows and adjunct faculty members teaching in the area of health law, which comprises six major areas, (health and business regulation, public and environmental health, health equity and social justice, bioethics and legal medicine, and health sciences and technology) and includes the on-site Health Law Partnership (</w:t>
      </w:r>
      <w:proofErr w:type="spellStart"/>
      <w:r w:rsidRPr="00E443AD">
        <w:rPr>
          <w:rFonts w:ascii="Palatino Linotype" w:hAnsi="Palatino Linotype"/>
        </w:rPr>
        <w:t>HeLP</w:t>
      </w:r>
      <w:proofErr w:type="spellEnd"/>
      <w:r w:rsidRPr="00E443AD">
        <w:rPr>
          <w:rFonts w:ascii="Palatino Linotype" w:hAnsi="Palatino Linotype"/>
        </w:rPr>
        <w:t>) Legal Services Clinic and more than 20 courses and externships, Health Law: Quality &amp; Access, Health Law: Finance &amp; Delivery, Health Care Transactions, Health Care Fraud and Abuse, Public Health Law, Bioethics, HIV/AIDS and the Law, Food and Drug Law, Genetics and the Law, Human Subjects Research Law and Ethics, Law and Health Equity, Mental Health and the Law, Forensic Medicine, and Biotechnology, Law, Policy and Ethics.  For a complete listing of the health law curriculum, go to http://clhs.law.gsu.edu/education/health-law-courses/.</w:t>
      </w:r>
    </w:p>
  </w:footnote>
  <w:footnote w:id="10">
    <w:p w14:paraId="08526822" w14:textId="54776A6F" w:rsidR="00AD786C" w:rsidRPr="00E443AD" w:rsidRDefault="00AD786C" w:rsidP="00E443AD">
      <w:pPr>
        <w:jc w:val="left"/>
        <w:rPr>
          <w:rFonts w:ascii="Palatino Linotype" w:hAnsi="Palatino Linotype"/>
          <w:sz w:val="20"/>
          <w:szCs w:val="20"/>
        </w:rPr>
      </w:pPr>
      <w:r w:rsidRPr="00E443AD">
        <w:rPr>
          <w:rStyle w:val="FootnoteReference"/>
          <w:rFonts w:ascii="Palatino Linotype" w:hAnsi="Palatino Linotype"/>
          <w:sz w:val="20"/>
          <w:szCs w:val="20"/>
        </w:rPr>
        <w:footnoteRef/>
      </w:r>
      <w:r w:rsidRPr="00E443AD">
        <w:rPr>
          <w:rFonts w:ascii="Palatino Linotype" w:hAnsi="Palatino Linotype"/>
          <w:sz w:val="20"/>
          <w:szCs w:val="20"/>
        </w:rPr>
        <w:t xml:space="preserve"> A wide variety of resources were reviewed during the course of discussions.  (1) Background reading on health law programs included: (a) Lawrence E. Singer &amp; Megan Bess, </w:t>
      </w:r>
      <w:r w:rsidRPr="00E443AD">
        <w:rPr>
          <w:rFonts w:ascii="Palatino Linotype" w:hAnsi="Palatino Linotype"/>
          <w:i/>
          <w:sz w:val="20"/>
          <w:szCs w:val="20"/>
        </w:rPr>
        <w:t>Combining Pedagogy and Practice: Creating a 21</w:t>
      </w:r>
      <w:r w:rsidRPr="00E443AD">
        <w:rPr>
          <w:rFonts w:ascii="Palatino Linotype" w:hAnsi="Palatino Linotype"/>
          <w:i/>
          <w:sz w:val="20"/>
          <w:szCs w:val="20"/>
          <w:vertAlign w:val="superscript"/>
        </w:rPr>
        <w:t>st</w:t>
      </w:r>
      <w:r w:rsidRPr="00E443AD">
        <w:rPr>
          <w:rFonts w:ascii="Palatino Linotype" w:hAnsi="Palatino Linotype"/>
          <w:i/>
          <w:sz w:val="20"/>
          <w:szCs w:val="20"/>
        </w:rPr>
        <w:t xml:space="preserve"> Century Health Law Curriculum</w:t>
      </w:r>
      <w:r w:rsidRPr="00E443AD">
        <w:rPr>
          <w:rFonts w:ascii="Palatino Linotype" w:hAnsi="Palatino Linotype"/>
          <w:sz w:val="20"/>
          <w:szCs w:val="20"/>
        </w:rPr>
        <w:t xml:space="preserve">, 37 </w:t>
      </w:r>
      <w:r w:rsidRPr="00E443AD">
        <w:rPr>
          <w:rFonts w:ascii="Palatino Linotype" w:hAnsi="Palatino Linotype"/>
          <w:smallCaps/>
          <w:sz w:val="20"/>
          <w:szCs w:val="20"/>
        </w:rPr>
        <w:t>J. L. Med. &amp; Ethics</w:t>
      </w:r>
      <w:r w:rsidRPr="00E443AD">
        <w:rPr>
          <w:rFonts w:ascii="Palatino Linotype" w:hAnsi="Palatino Linotype"/>
          <w:sz w:val="20"/>
          <w:szCs w:val="20"/>
        </w:rPr>
        <w:t xml:space="preserve"> 852 (2009) (discussing process for developing health law curriculum at Loyola-Chicago); (b) Diane E. Hoffmann, </w:t>
      </w:r>
      <w:r w:rsidRPr="00E443AD">
        <w:rPr>
          <w:rFonts w:ascii="Palatino Linotype" w:hAnsi="Palatino Linotype"/>
          <w:i/>
          <w:sz w:val="20"/>
          <w:szCs w:val="20"/>
        </w:rPr>
        <w:t>A Health Law Practice Workshop: Bridging Externship Placements and the Classroom</w:t>
      </w:r>
      <w:r w:rsidRPr="00E443AD">
        <w:rPr>
          <w:rFonts w:ascii="Palatino Linotype" w:hAnsi="Palatino Linotype"/>
          <w:sz w:val="20"/>
          <w:szCs w:val="20"/>
        </w:rPr>
        <w:t xml:space="preserve">, 37 </w:t>
      </w:r>
      <w:r w:rsidRPr="00E443AD">
        <w:rPr>
          <w:rFonts w:ascii="Palatino Linotype" w:hAnsi="Palatino Linotype"/>
          <w:smallCaps/>
          <w:sz w:val="20"/>
          <w:szCs w:val="20"/>
        </w:rPr>
        <w:t xml:space="preserve">J. L. Med. &amp; Ethics 513 (2009) </w:t>
      </w:r>
      <w:r w:rsidRPr="00E443AD">
        <w:rPr>
          <w:rFonts w:ascii="Palatino Linotype" w:hAnsi="Palatino Linotype"/>
          <w:sz w:val="20"/>
          <w:szCs w:val="20"/>
        </w:rPr>
        <w:t xml:space="preserve">(discussing integrating health law externships through a course targeted at health law topics and skills); (2) Background reading on curriculum reform included: (a) New York State Bar Association, </w:t>
      </w:r>
      <w:r w:rsidRPr="00E443AD">
        <w:rPr>
          <w:rFonts w:ascii="Palatino Linotype" w:hAnsi="Palatino Linotype"/>
          <w:i/>
          <w:sz w:val="20"/>
          <w:szCs w:val="20"/>
        </w:rPr>
        <w:t>Report of the Task Force on the Future of the Legal Profession</w:t>
      </w:r>
      <w:r w:rsidRPr="00E443AD">
        <w:rPr>
          <w:rFonts w:ascii="Palatino Linotype" w:hAnsi="Palatino Linotype"/>
          <w:sz w:val="20"/>
          <w:szCs w:val="20"/>
        </w:rPr>
        <w:t xml:space="preserve"> (Feb. 2011), available at </w:t>
      </w:r>
      <w:hyperlink r:id="rId1" w:history="1">
        <w:r w:rsidRPr="00E443AD">
          <w:rPr>
            <w:rStyle w:val="Hyperlink"/>
            <w:rFonts w:ascii="Palatino Linotype" w:hAnsi="Palatino Linotype"/>
            <w:sz w:val="20"/>
            <w:szCs w:val="20"/>
          </w:rPr>
          <w:t>http://bestpracticeslegaled.files.wordpress.com/2011/03/taskforcereport.pdf</w:t>
        </w:r>
      </w:hyperlink>
      <w:r w:rsidRPr="00E443AD">
        <w:rPr>
          <w:rFonts w:ascii="Palatino Linotype" w:hAnsi="Palatino Linotype"/>
          <w:sz w:val="20"/>
          <w:szCs w:val="20"/>
        </w:rPr>
        <w:t xml:space="preserve">, particularly discussion on educating and training new lawyers, at 36-47) (b)  ALI-ABA, Critical Issues Summit, </w:t>
      </w:r>
      <w:r w:rsidRPr="00E443AD">
        <w:rPr>
          <w:rFonts w:ascii="Palatino Linotype" w:hAnsi="Palatino Linotype"/>
          <w:i/>
          <w:sz w:val="20"/>
          <w:szCs w:val="20"/>
        </w:rPr>
        <w:t>Equipping Our Lawyers: Law School Education, Continuing Legal Education, and Legal Practice in the 21</w:t>
      </w:r>
      <w:r w:rsidRPr="00E443AD">
        <w:rPr>
          <w:rFonts w:ascii="Palatino Linotype" w:hAnsi="Palatino Linotype"/>
          <w:i/>
          <w:sz w:val="20"/>
          <w:szCs w:val="20"/>
          <w:vertAlign w:val="superscript"/>
        </w:rPr>
        <w:t>st</w:t>
      </w:r>
      <w:r w:rsidRPr="00E443AD">
        <w:rPr>
          <w:rFonts w:ascii="Palatino Linotype" w:hAnsi="Palatino Linotype"/>
          <w:i/>
          <w:sz w:val="20"/>
          <w:szCs w:val="20"/>
        </w:rPr>
        <w:t xml:space="preserve"> Century</w:t>
      </w:r>
      <w:r w:rsidRPr="00E443AD">
        <w:rPr>
          <w:rFonts w:ascii="Palatino Linotype" w:hAnsi="Palatino Linotype"/>
          <w:sz w:val="20"/>
          <w:szCs w:val="20"/>
        </w:rPr>
        <w:t xml:space="preserve"> (2010) (final recommendations at  </w:t>
      </w:r>
      <w:hyperlink r:id="rId2" w:history="1">
        <w:r w:rsidRPr="00E443AD">
          <w:rPr>
            <w:rStyle w:val="Hyperlink"/>
            <w:rFonts w:ascii="Palatino Linotype" w:hAnsi="Palatino Linotype"/>
            <w:sz w:val="20"/>
            <w:szCs w:val="20"/>
          </w:rPr>
          <w:t>http://www.equippingourlawyers.org/documents/summit_final09.pdf</w:t>
        </w:r>
      </w:hyperlink>
      <w:r w:rsidRPr="00E443AD">
        <w:rPr>
          <w:rFonts w:ascii="Palatino Linotype" w:hAnsi="Palatino Linotype"/>
          <w:sz w:val="20"/>
          <w:szCs w:val="20"/>
        </w:rPr>
        <w:t xml:space="preserve">); and (c) ABA, Section of Legal Education and Admissions to the Bar, Standards Review Committee, Student Learning Outcomes Subcommittee, Draft for April 2-3, 2011 meeting, Standard 302, Learning Outcomes; Standard 303, Curriculum (The final version of the learning outcomes standard was adopted, along with other revisions, at the ABA’s August 12, 2014 annual meeting. The complete revised standards are available at http://www.americanbar.org/groups/legal_education/resources/standards.html); (c) Hanover Research Council, </w:t>
      </w:r>
      <w:r w:rsidRPr="00E443AD">
        <w:rPr>
          <w:rFonts w:ascii="Palatino Linotype" w:hAnsi="Palatino Linotype"/>
          <w:smallCaps/>
          <w:sz w:val="20"/>
          <w:szCs w:val="20"/>
        </w:rPr>
        <w:t>Health Law Programs</w:t>
      </w:r>
      <w:r w:rsidRPr="00E443AD">
        <w:rPr>
          <w:rFonts w:ascii="Palatino Linotype" w:hAnsi="Palatino Linotype"/>
          <w:sz w:val="20"/>
          <w:szCs w:val="20"/>
        </w:rPr>
        <w:t xml:space="preserve"> (February 2010) (examining health law programs at various law schools across the country) [hereafter “2010 </w:t>
      </w:r>
      <w:r w:rsidRPr="00E443AD">
        <w:rPr>
          <w:rFonts w:ascii="Palatino Linotype" w:hAnsi="Palatino Linotype"/>
          <w:smallCaps/>
          <w:sz w:val="20"/>
          <w:szCs w:val="20"/>
        </w:rPr>
        <w:t>Hanover Report”</w:t>
      </w:r>
      <w:r w:rsidRPr="00E443AD">
        <w:rPr>
          <w:rFonts w:ascii="Palatino Linotype" w:hAnsi="Palatino Linotype"/>
          <w:sz w:val="20"/>
          <w:szCs w:val="20"/>
        </w:rPr>
        <w:t>]. The faculty conducted an analyses of the literature, as well as information about the GSU</w:t>
      </w:r>
      <w:r w:rsidR="00F25D7F" w:rsidRPr="00E443AD">
        <w:rPr>
          <w:rFonts w:ascii="Palatino Linotype" w:hAnsi="Palatino Linotype"/>
          <w:sz w:val="20"/>
          <w:szCs w:val="20"/>
        </w:rPr>
        <w:t xml:space="preserve"> </w:t>
      </w:r>
      <w:r w:rsidRPr="00E443AD">
        <w:rPr>
          <w:rFonts w:ascii="Palatino Linotype" w:hAnsi="Palatino Linotype"/>
          <w:sz w:val="20"/>
          <w:szCs w:val="20"/>
        </w:rPr>
        <w:t>program in health law.</w:t>
      </w:r>
    </w:p>
  </w:footnote>
  <w:footnote w:id="11">
    <w:p w14:paraId="4384FA90" w14:textId="290AD474" w:rsidR="00AD786C" w:rsidRPr="00E443AD" w:rsidRDefault="00AD786C" w:rsidP="00E443AD">
      <w:pPr>
        <w:pStyle w:val="FootnoteText"/>
        <w:jc w:val="left"/>
        <w:rPr>
          <w:rFonts w:ascii="Palatino Linotype" w:hAnsi="Palatino Linotype"/>
        </w:rPr>
      </w:pPr>
      <w:r w:rsidRPr="00E443AD">
        <w:rPr>
          <w:rStyle w:val="FootnoteReference"/>
          <w:rFonts w:ascii="Palatino Linotype" w:hAnsi="Palatino Linotype"/>
        </w:rPr>
        <w:footnoteRef/>
      </w:r>
      <w:r w:rsidRPr="00E443AD">
        <w:rPr>
          <w:rFonts w:ascii="Palatino Linotype" w:hAnsi="Palatino Linotype"/>
        </w:rPr>
        <w:t xml:space="preserve"> </w:t>
      </w:r>
      <w:r w:rsidRPr="00E443AD">
        <w:rPr>
          <w:rFonts w:ascii="Palatino Linotype" w:hAnsi="Palatino Linotype"/>
          <w:i/>
        </w:rPr>
        <w:t>Carnegie Report,</w:t>
      </w:r>
      <w:r w:rsidRPr="00E443AD">
        <w:rPr>
          <w:rFonts w:ascii="Palatino Linotype" w:hAnsi="Palatino Linotype"/>
        </w:rPr>
        <w:t xml:space="preserve"> </w:t>
      </w:r>
      <w:r w:rsidRPr="00E443AD">
        <w:rPr>
          <w:rFonts w:ascii="Palatino Linotype" w:hAnsi="Palatino Linotype"/>
          <w:i/>
        </w:rPr>
        <w:t xml:space="preserve">supra </w:t>
      </w:r>
      <w:r w:rsidRPr="00E443AD">
        <w:rPr>
          <w:rFonts w:ascii="Palatino Linotype" w:hAnsi="Palatino Linotype"/>
        </w:rPr>
        <w:t xml:space="preserve">note </w:t>
      </w:r>
      <w:r w:rsidR="005741F2" w:rsidRPr="00E443AD">
        <w:rPr>
          <w:rFonts w:ascii="Palatino Linotype" w:hAnsi="Palatino Linotype"/>
        </w:rPr>
        <w:t>2</w:t>
      </w:r>
      <w:r w:rsidRPr="00E443AD">
        <w:rPr>
          <w:rFonts w:ascii="Palatino Linotype" w:hAnsi="Palatino Linotype"/>
        </w:rPr>
        <w:t xml:space="preserve">. </w:t>
      </w:r>
    </w:p>
  </w:footnote>
  <w:footnote w:id="12">
    <w:p w14:paraId="5F8D31C4" w14:textId="1F85339E" w:rsidR="00AD786C" w:rsidRPr="00E443AD" w:rsidRDefault="00AD786C" w:rsidP="00E443AD">
      <w:pPr>
        <w:pStyle w:val="FootnoteText"/>
        <w:jc w:val="left"/>
        <w:rPr>
          <w:rFonts w:ascii="Palatino Linotype" w:hAnsi="Palatino Linotype"/>
        </w:rPr>
      </w:pPr>
      <w:r w:rsidRPr="00E443AD">
        <w:rPr>
          <w:rStyle w:val="FootnoteReference"/>
          <w:rFonts w:ascii="Palatino Linotype" w:hAnsi="Palatino Linotype"/>
        </w:rPr>
        <w:footnoteRef/>
      </w:r>
      <w:r w:rsidRPr="00E443AD">
        <w:rPr>
          <w:rFonts w:ascii="Palatino Linotype" w:hAnsi="Palatino Linotype"/>
        </w:rPr>
        <w:t xml:space="preserve"> </w:t>
      </w:r>
      <w:r w:rsidRPr="00E443AD">
        <w:rPr>
          <w:rFonts w:ascii="Palatino Linotype" w:hAnsi="Palatino Linotype"/>
          <w:i/>
        </w:rPr>
        <w:t>Best Practices</w:t>
      </w:r>
      <w:r w:rsidRPr="00E443AD">
        <w:rPr>
          <w:rFonts w:ascii="Palatino Linotype" w:hAnsi="Palatino Linotype"/>
        </w:rPr>
        <w:t xml:space="preserve">, </w:t>
      </w:r>
      <w:r w:rsidRPr="00E443AD">
        <w:rPr>
          <w:rFonts w:ascii="Palatino Linotype" w:hAnsi="Palatino Linotype"/>
          <w:i/>
        </w:rPr>
        <w:t xml:space="preserve">supra </w:t>
      </w:r>
      <w:r w:rsidRPr="00E443AD">
        <w:rPr>
          <w:rFonts w:ascii="Palatino Linotype" w:hAnsi="Palatino Linotype"/>
        </w:rPr>
        <w:t xml:space="preserve">note </w:t>
      </w:r>
      <w:r w:rsidR="005741F2" w:rsidRPr="00E443AD">
        <w:rPr>
          <w:rFonts w:ascii="Palatino Linotype" w:hAnsi="Palatino Linotype"/>
        </w:rPr>
        <w:t>2</w:t>
      </w:r>
      <w:r w:rsidRPr="00E443AD">
        <w:rPr>
          <w:rFonts w:ascii="Palatino Linotype" w:hAnsi="Palatino Linotype"/>
        </w:rPr>
        <w:t>.</w:t>
      </w:r>
    </w:p>
  </w:footnote>
  <w:footnote w:id="13">
    <w:p w14:paraId="411F2FE0" w14:textId="6D74E20B" w:rsidR="00AD786C" w:rsidRPr="00E443AD" w:rsidRDefault="00AD786C" w:rsidP="00E443AD">
      <w:pPr>
        <w:pStyle w:val="FootnoteText"/>
        <w:jc w:val="left"/>
        <w:rPr>
          <w:rFonts w:ascii="Palatino Linotype" w:hAnsi="Palatino Linotype"/>
        </w:rPr>
      </w:pPr>
      <w:r w:rsidRPr="00E443AD">
        <w:rPr>
          <w:rStyle w:val="FootnoteReference"/>
          <w:rFonts w:ascii="Palatino Linotype" w:hAnsi="Palatino Linotype"/>
        </w:rPr>
        <w:footnoteRef/>
      </w:r>
      <w:r w:rsidRPr="00E443AD">
        <w:rPr>
          <w:rFonts w:ascii="Palatino Linotype" w:hAnsi="Palatino Linotype"/>
        </w:rPr>
        <w:t xml:space="preserve"> Simulation-based courses are “courses in which a significant part of the learning relies on students assuming the roles of lawyers and performing law-related tasks in hypothetical situations under supervision and with opportunities for feedback and reflection.” </w:t>
      </w:r>
      <w:r w:rsidRPr="00E443AD">
        <w:rPr>
          <w:rFonts w:ascii="Palatino Linotype" w:hAnsi="Palatino Linotype"/>
          <w:i/>
        </w:rPr>
        <w:t>Best Practices</w:t>
      </w:r>
      <w:r w:rsidRPr="00E443AD">
        <w:rPr>
          <w:rFonts w:ascii="Palatino Linotype" w:hAnsi="Palatino Linotype"/>
        </w:rPr>
        <w:t xml:space="preserve">, </w:t>
      </w:r>
      <w:r w:rsidRPr="00E443AD">
        <w:rPr>
          <w:rFonts w:ascii="Palatino Linotype" w:hAnsi="Palatino Linotype"/>
          <w:i/>
        </w:rPr>
        <w:t>supra</w:t>
      </w:r>
      <w:r w:rsidRPr="00E443AD">
        <w:rPr>
          <w:rFonts w:ascii="Palatino Linotype" w:hAnsi="Palatino Linotype"/>
        </w:rPr>
        <w:t xml:space="preserve"> note 1, at 179. Simulation-based courses can achieve educational goals more effectively and efficiently and develop professional skills and understandings essential for practice. </w:t>
      </w:r>
      <w:r w:rsidRPr="00E443AD">
        <w:rPr>
          <w:rFonts w:ascii="Palatino Linotype" w:hAnsi="Palatino Linotype"/>
          <w:i/>
        </w:rPr>
        <w:t>See Best Practices</w:t>
      </w:r>
      <w:r w:rsidRPr="00E443AD">
        <w:rPr>
          <w:rFonts w:ascii="Palatino Linotype" w:hAnsi="Palatino Linotype"/>
        </w:rPr>
        <w:t xml:space="preserve">, </w:t>
      </w:r>
      <w:r w:rsidRPr="00E443AD">
        <w:rPr>
          <w:rFonts w:ascii="Palatino Linotype" w:hAnsi="Palatino Linotype"/>
          <w:i/>
        </w:rPr>
        <w:t>supra</w:t>
      </w:r>
      <w:r w:rsidRPr="00E443AD">
        <w:rPr>
          <w:rFonts w:ascii="Palatino Linotype" w:hAnsi="Palatino Linotype"/>
        </w:rPr>
        <w:t xml:space="preserve"> note </w:t>
      </w:r>
      <w:r w:rsidR="005741F2" w:rsidRPr="00E443AD">
        <w:rPr>
          <w:rFonts w:ascii="Palatino Linotype" w:hAnsi="Palatino Linotype"/>
        </w:rPr>
        <w:t>2</w:t>
      </w:r>
      <w:r w:rsidRPr="00E443AD">
        <w:rPr>
          <w:rFonts w:ascii="Palatino Linotype" w:hAnsi="Palatino Linotype"/>
        </w:rPr>
        <w:t xml:space="preserve"> at 179</w:t>
      </w:r>
      <w:r w:rsidRPr="00E443AD">
        <w:rPr>
          <w:rFonts w:ascii="Palatino Linotype" w:hAnsi="Palatino Linotype"/>
        </w:rPr>
        <w:softHyphen/>
        <w:t xml:space="preserve">–88. </w:t>
      </w:r>
      <w:r w:rsidR="005741F2" w:rsidRPr="00E443AD">
        <w:rPr>
          <w:rFonts w:ascii="Palatino Linotype" w:hAnsi="Palatino Linotype"/>
        </w:rPr>
        <w:t>ABA Standard 304(a) states, “A simulation course provides substantial experience not involving an actual client, that (1) is reasonably similar to the experience of a lawyer advising or representing a client or engaging in other lawyering tasks in a set of facts and circumstances devised or adopted by a faculty member…2016-17 ABA Standards and Rules of Procedure for Approval of Law Schools available at https://www.americanbar.org/content/dam/aba/publications/misc/legal_education/Standards/2016_2017_standards_chapter3.authcheckdam.pdf</w:t>
      </w:r>
      <w:r w:rsidR="00431B33" w:rsidRPr="00E443AD">
        <w:rPr>
          <w:rFonts w:ascii="Palatino Linotype" w:hAnsi="Palatino Linotype"/>
        </w:rPr>
        <w:t>.</w:t>
      </w:r>
      <w:r w:rsidR="005741F2" w:rsidRPr="00E443AD">
        <w:rPr>
          <w:rFonts w:ascii="Palatino Linotype" w:hAnsi="Palatino Linotype"/>
        </w:rPr>
        <w:t xml:space="preserve"> </w:t>
      </w:r>
    </w:p>
  </w:footnote>
  <w:footnote w:id="14">
    <w:p w14:paraId="3B637127" w14:textId="7C2BC532" w:rsidR="00AD786C" w:rsidRPr="00E443AD" w:rsidRDefault="00AD786C" w:rsidP="00E443AD">
      <w:pPr>
        <w:pStyle w:val="FootnoteText"/>
        <w:jc w:val="left"/>
        <w:rPr>
          <w:rFonts w:ascii="Palatino Linotype" w:hAnsi="Palatino Linotype"/>
        </w:rPr>
      </w:pPr>
      <w:r w:rsidRPr="00E443AD">
        <w:rPr>
          <w:rStyle w:val="FootnoteReference"/>
          <w:rFonts w:ascii="Palatino Linotype" w:hAnsi="Palatino Linotype"/>
        </w:rPr>
        <w:footnoteRef/>
      </w:r>
      <w:r w:rsidRPr="00E443AD">
        <w:rPr>
          <w:rFonts w:ascii="Palatino Linotype" w:hAnsi="Palatino Linotype"/>
        </w:rPr>
        <w:t xml:space="preserve"> Experiential courses generally are those courses that rely on experiential education as a significant or primary method of instruction, and include simulation-based coursers, in-house clinics, and externships.  </w:t>
      </w:r>
      <w:r w:rsidRPr="00E443AD">
        <w:rPr>
          <w:rFonts w:ascii="Palatino Linotype" w:hAnsi="Palatino Linotype"/>
          <w:i/>
        </w:rPr>
        <w:t>Id</w:t>
      </w:r>
      <w:r w:rsidRPr="00E443AD">
        <w:rPr>
          <w:rFonts w:ascii="Palatino Linotype" w:hAnsi="Palatino Linotype"/>
        </w:rPr>
        <w:t>. at 165–67.</w:t>
      </w:r>
    </w:p>
  </w:footnote>
  <w:footnote w:id="15">
    <w:p w14:paraId="2AFB5571" w14:textId="095BD8E3" w:rsidR="00AD786C" w:rsidRPr="00E443AD" w:rsidRDefault="00AD786C" w:rsidP="00E443AD">
      <w:pPr>
        <w:pStyle w:val="FootnoteText"/>
        <w:jc w:val="left"/>
        <w:rPr>
          <w:rFonts w:ascii="Palatino Linotype" w:hAnsi="Palatino Linotype"/>
        </w:rPr>
      </w:pPr>
      <w:r w:rsidRPr="00E443AD">
        <w:rPr>
          <w:rStyle w:val="FootnoteReference"/>
          <w:rFonts w:ascii="Palatino Linotype" w:hAnsi="Palatino Linotype"/>
        </w:rPr>
        <w:footnoteRef/>
      </w:r>
      <w:r w:rsidRPr="00E443AD">
        <w:rPr>
          <w:rFonts w:ascii="Palatino Linotype" w:hAnsi="Palatino Linotype"/>
        </w:rPr>
        <w:t xml:space="preserve"> </w:t>
      </w:r>
      <w:r w:rsidRPr="00E443AD">
        <w:rPr>
          <w:rFonts w:ascii="Palatino Linotype" w:hAnsi="Palatino Linotype"/>
          <w:i/>
        </w:rPr>
        <w:t>Id</w:t>
      </w:r>
      <w:r w:rsidRPr="00E443AD">
        <w:rPr>
          <w:rFonts w:ascii="Palatino Linotype" w:hAnsi="Palatino Linotype"/>
        </w:rPr>
        <w:t xml:space="preserve">. at 97. </w:t>
      </w:r>
    </w:p>
  </w:footnote>
  <w:footnote w:id="16">
    <w:p w14:paraId="5F05E05E" w14:textId="6A8261BC" w:rsidR="00AD786C" w:rsidRPr="00E443AD" w:rsidRDefault="00AD786C" w:rsidP="00E443AD">
      <w:pPr>
        <w:pStyle w:val="FootnoteText"/>
        <w:jc w:val="left"/>
        <w:rPr>
          <w:rFonts w:ascii="Palatino Linotype" w:hAnsi="Palatino Linotype"/>
        </w:rPr>
      </w:pPr>
      <w:r w:rsidRPr="00E443AD">
        <w:rPr>
          <w:rStyle w:val="FootnoteReference"/>
          <w:rFonts w:ascii="Palatino Linotype" w:hAnsi="Palatino Linotype"/>
        </w:rPr>
        <w:footnoteRef/>
      </w:r>
      <w:r w:rsidRPr="00E443AD">
        <w:rPr>
          <w:rFonts w:ascii="Palatino Linotype" w:hAnsi="Palatino Linotype"/>
        </w:rPr>
        <w:t xml:space="preserve"> ABA Resolution and Report, adopted as revised August 2011, available at </w:t>
      </w:r>
      <w:hyperlink r:id="rId3" w:history="1">
        <w:r w:rsidRPr="00E443AD">
          <w:rPr>
            <w:rStyle w:val="Hyperlink"/>
            <w:rFonts w:ascii="Palatino Linotype" w:hAnsi="Palatino Linotype"/>
          </w:rPr>
          <w:t>http://www.abanow.org/2011/07/2011am10b/</w:t>
        </w:r>
      </w:hyperlink>
      <w:r w:rsidRPr="00E443AD">
        <w:rPr>
          <w:rFonts w:ascii="Palatino Linotype" w:hAnsi="Palatino Linotype"/>
        </w:rPr>
        <w:t>.</w:t>
      </w:r>
    </w:p>
  </w:footnote>
  <w:footnote w:id="17">
    <w:p w14:paraId="07B11F0E" w14:textId="456E6223" w:rsidR="00AD786C" w:rsidRPr="00E443AD" w:rsidRDefault="00AD786C" w:rsidP="00E443AD">
      <w:pPr>
        <w:pStyle w:val="FootnoteText"/>
        <w:jc w:val="left"/>
        <w:rPr>
          <w:rFonts w:ascii="Palatino Linotype" w:hAnsi="Palatino Linotype"/>
        </w:rPr>
      </w:pPr>
      <w:r w:rsidRPr="00E443AD">
        <w:rPr>
          <w:rStyle w:val="FootnoteReference"/>
          <w:rFonts w:ascii="Palatino Linotype" w:hAnsi="Palatino Linotype"/>
        </w:rPr>
        <w:footnoteRef/>
      </w:r>
      <w:r w:rsidRPr="00E443AD">
        <w:rPr>
          <w:rFonts w:ascii="Palatino Linotype" w:hAnsi="Palatino Linotype"/>
        </w:rPr>
        <w:t xml:space="preserve"> </w:t>
      </w:r>
      <w:r w:rsidRPr="00E443AD">
        <w:rPr>
          <w:rFonts w:ascii="Palatino Linotype" w:hAnsi="Palatino Linotype"/>
          <w:i/>
        </w:rPr>
        <w:t>Carnegie Report</w:t>
      </w:r>
      <w:r w:rsidRPr="00E443AD">
        <w:rPr>
          <w:rFonts w:ascii="Palatino Linotype" w:hAnsi="Palatino Linotype"/>
        </w:rPr>
        <w:t xml:space="preserve">, </w:t>
      </w:r>
      <w:r w:rsidRPr="00E443AD">
        <w:rPr>
          <w:rFonts w:ascii="Palatino Linotype" w:hAnsi="Palatino Linotype"/>
          <w:i/>
        </w:rPr>
        <w:t>supra</w:t>
      </w:r>
      <w:r w:rsidRPr="00E443AD">
        <w:rPr>
          <w:rFonts w:ascii="Palatino Linotype" w:hAnsi="Palatino Linotype"/>
        </w:rPr>
        <w:t xml:space="preserve"> note 1, at 27–28, 145–47.  The </w:t>
      </w:r>
      <w:r w:rsidRPr="00E443AD">
        <w:rPr>
          <w:rFonts w:ascii="Palatino Linotype" w:hAnsi="Palatino Linotype"/>
          <w:i/>
        </w:rPr>
        <w:t>Carnegie Report</w:t>
      </w:r>
      <w:r w:rsidRPr="00E443AD">
        <w:rPr>
          <w:rFonts w:ascii="Palatino Linotype" w:hAnsi="Palatino Linotype"/>
        </w:rPr>
        <w:t xml:space="preserve"> refers to three domains (knowledge, skills, and values) as the three “apprenticeships,” which can be summarized in its discussion of moving toward an integrative model of education for law schools.  “Law school should provide an initiation into all three aspects of that development [of professional competence and identity] . . . When thinking of the law school curriculum as a three-part model, whose parts interact with an influence each other, those elements are:</w:t>
      </w:r>
    </w:p>
    <w:p w14:paraId="3101102A" w14:textId="77777777" w:rsidR="00AD786C" w:rsidRPr="00E443AD" w:rsidRDefault="00AD786C" w:rsidP="00E443AD">
      <w:pPr>
        <w:pStyle w:val="FootnoteText"/>
        <w:numPr>
          <w:ilvl w:val="0"/>
          <w:numId w:val="2"/>
        </w:numPr>
        <w:jc w:val="left"/>
        <w:rPr>
          <w:rFonts w:ascii="Palatino Linotype" w:hAnsi="Palatino Linotype"/>
        </w:rPr>
      </w:pPr>
      <w:r w:rsidRPr="00E443AD">
        <w:rPr>
          <w:rFonts w:ascii="Palatino Linotype" w:hAnsi="Palatino Linotype"/>
        </w:rPr>
        <w:t>The teaching of legal doctrine and analysis, which provides the basis for professional growth</w:t>
      </w:r>
    </w:p>
    <w:p w14:paraId="10D5D7F4" w14:textId="77777777" w:rsidR="00AD786C" w:rsidRPr="00E443AD" w:rsidRDefault="00AD786C" w:rsidP="00E443AD">
      <w:pPr>
        <w:pStyle w:val="FootnoteText"/>
        <w:numPr>
          <w:ilvl w:val="0"/>
          <w:numId w:val="2"/>
        </w:numPr>
        <w:jc w:val="left"/>
        <w:rPr>
          <w:rFonts w:ascii="Palatino Linotype" w:hAnsi="Palatino Linotype"/>
        </w:rPr>
      </w:pPr>
      <w:r w:rsidRPr="00E443AD">
        <w:rPr>
          <w:rFonts w:ascii="Palatino Linotype" w:hAnsi="Palatino Linotype"/>
        </w:rPr>
        <w:t>Introduction to the several facets of practice included under the rubric of lawyering, leading to acting with responsibility for clients</w:t>
      </w:r>
    </w:p>
    <w:p w14:paraId="76CA640F" w14:textId="77777777" w:rsidR="00AD786C" w:rsidRPr="00E443AD" w:rsidRDefault="00AD786C" w:rsidP="00E443AD">
      <w:pPr>
        <w:pStyle w:val="FootnoteText"/>
        <w:numPr>
          <w:ilvl w:val="0"/>
          <w:numId w:val="2"/>
        </w:numPr>
        <w:jc w:val="left"/>
        <w:rPr>
          <w:rFonts w:ascii="Palatino Linotype" w:hAnsi="Palatino Linotype"/>
        </w:rPr>
      </w:pPr>
      <w:r w:rsidRPr="00E443AD">
        <w:rPr>
          <w:rFonts w:ascii="Palatino Linotype" w:hAnsi="Palatino Linotype"/>
        </w:rPr>
        <w:t xml:space="preserve">A theoretical and practical emphasis on inculcation of the identity, values, and dispositions consonant with the fundamental purposes of the legal profession.”  </w:t>
      </w:r>
    </w:p>
    <w:p w14:paraId="4D6D8B09" w14:textId="47EBD987" w:rsidR="00AD786C" w:rsidRPr="00E443AD" w:rsidRDefault="00AD786C" w:rsidP="00E443AD">
      <w:pPr>
        <w:pStyle w:val="FootnoteText"/>
        <w:jc w:val="left"/>
        <w:rPr>
          <w:rFonts w:ascii="Palatino Linotype" w:hAnsi="Palatino Linotype"/>
        </w:rPr>
      </w:pPr>
      <w:r w:rsidRPr="00E443AD">
        <w:rPr>
          <w:rFonts w:ascii="Palatino Linotype" w:hAnsi="Palatino Linotype"/>
          <w:i/>
        </w:rPr>
        <w:t>Id.</w:t>
      </w:r>
      <w:r w:rsidRPr="00E443AD">
        <w:rPr>
          <w:rFonts w:ascii="Palatino Linotype" w:hAnsi="Palatino Linotype"/>
        </w:rPr>
        <w:t xml:space="preserve"> at 194.  This three-part framework of competencies in knowledge, skills, and values has also been adopted in the recent draft of ABA Standard 302 on “Learning Outcomes.”  </w:t>
      </w:r>
      <w:r w:rsidRPr="00E443AD">
        <w:rPr>
          <w:rFonts w:ascii="Palatino Linotype" w:hAnsi="Palatino Linotype"/>
          <w:i/>
        </w:rPr>
        <w:t>See</w:t>
      </w:r>
      <w:r w:rsidRPr="00E443AD">
        <w:rPr>
          <w:rFonts w:ascii="Palatino Linotype" w:hAnsi="Palatino Linotype"/>
        </w:rPr>
        <w:t xml:space="preserve"> </w:t>
      </w:r>
      <w:r w:rsidRPr="00E443AD">
        <w:rPr>
          <w:rFonts w:ascii="Palatino Linotype" w:hAnsi="Palatino Linotype"/>
          <w:i/>
        </w:rPr>
        <w:t>supra</w:t>
      </w:r>
      <w:r w:rsidRPr="00E443AD">
        <w:rPr>
          <w:rFonts w:ascii="Palatino Linotype" w:hAnsi="Palatino Linotype"/>
        </w:rPr>
        <w:t xml:space="preserve">, note 7. It is also reflected in the ABA’s Report that accompanies its recently-adopted Resolution, </w:t>
      </w:r>
      <w:r w:rsidRPr="00E443AD">
        <w:rPr>
          <w:rFonts w:ascii="Palatino Linotype" w:hAnsi="Palatino Linotype"/>
          <w:i/>
        </w:rPr>
        <w:t>supra</w:t>
      </w:r>
      <w:r w:rsidRPr="00E443AD">
        <w:rPr>
          <w:rFonts w:ascii="Palatino Linotype" w:hAnsi="Palatino Linotype"/>
        </w:rPr>
        <w:t xml:space="preserve"> note 11 (“We used to think that being a good lawyer simply meant knowing the law.  Today, we are more likely to think that good lawyers know how to </w:t>
      </w:r>
      <w:r w:rsidRPr="00E443AD">
        <w:rPr>
          <w:rFonts w:ascii="Palatino Linotype" w:hAnsi="Palatino Linotype"/>
          <w:i/>
        </w:rPr>
        <w:t>do</w:t>
      </w:r>
      <w:r w:rsidRPr="00E443AD">
        <w:rPr>
          <w:rFonts w:ascii="Palatino Linotype" w:hAnsi="Palatino Linotype"/>
        </w:rPr>
        <w:t xml:space="preserve"> useful things with the law to help solve client problems.  Society has shifted from a static understanding of professional competence as memorized knowledge to a dynamic conception of lawyers adding value through judgment and their ability to manage to solve complex problems . . . The basic impulse [in legal education reform] is two-fold: to sharpen both our understanding of the competencies, skills, knowledge, practices and values of a good lawyer and our ability to measure progress toward those goals.”  </w:t>
      </w:r>
      <w:r w:rsidRPr="00E443AD">
        <w:rPr>
          <w:rFonts w:ascii="Palatino Linotype" w:hAnsi="Palatino Linotype"/>
          <w:i/>
        </w:rPr>
        <w:t>Id.</w:t>
      </w:r>
      <w:r w:rsidRPr="00E443AD">
        <w:rPr>
          <w:rFonts w:ascii="Palatino Linotype" w:hAnsi="Palatino Linotype"/>
          <w:i/>
          <w:u w:val="single"/>
        </w:rPr>
        <w:t xml:space="preserve"> </w:t>
      </w:r>
      <w:r w:rsidRPr="00E443AD">
        <w:rPr>
          <w:rFonts w:ascii="Palatino Linotype" w:hAnsi="Palatino Linotype"/>
        </w:rPr>
        <w:t xml:space="preserve">at 2–3. These principles are further supported in </w:t>
      </w:r>
      <w:r w:rsidRPr="00E443AD">
        <w:rPr>
          <w:rFonts w:ascii="Palatino Linotype" w:hAnsi="Palatino Linotype"/>
          <w:i/>
        </w:rPr>
        <w:t>Building on Best Practices</w:t>
      </w:r>
      <w:r w:rsidRPr="00E443AD">
        <w:rPr>
          <w:rFonts w:ascii="Palatino Linotype" w:hAnsi="Palatino Linotype"/>
        </w:rPr>
        <w:t xml:space="preserve">, </w:t>
      </w:r>
      <w:r w:rsidRPr="00E443AD">
        <w:rPr>
          <w:rFonts w:ascii="Palatino Linotype" w:hAnsi="Palatino Linotype"/>
          <w:i/>
        </w:rPr>
        <w:t xml:space="preserve">supra </w:t>
      </w:r>
      <w:r w:rsidR="00431B33" w:rsidRPr="00E443AD">
        <w:rPr>
          <w:rFonts w:ascii="Palatino Linotype" w:hAnsi="Palatino Linotype"/>
        </w:rPr>
        <w:t>note 2</w:t>
      </w:r>
      <w:r w:rsidRPr="00E443AD">
        <w:rPr>
          <w:rFonts w:ascii="Palatino Linotype" w:hAnsi="Palatino Linotype"/>
        </w:rPr>
        <w:t>.</w:t>
      </w:r>
    </w:p>
  </w:footnote>
  <w:footnote w:id="18">
    <w:p w14:paraId="33B9B439" w14:textId="439F1407" w:rsidR="00AD786C" w:rsidRPr="00E443AD" w:rsidRDefault="00AD786C" w:rsidP="00E443AD">
      <w:pPr>
        <w:pStyle w:val="FootnoteText"/>
        <w:jc w:val="left"/>
        <w:rPr>
          <w:rFonts w:ascii="Palatino Linotype" w:hAnsi="Palatino Linotype"/>
        </w:rPr>
      </w:pPr>
      <w:r w:rsidRPr="00E443AD">
        <w:rPr>
          <w:rStyle w:val="FootnoteReference"/>
          <w:rFonts w:ascii="Palatino Linotype" w:hAnsi="Palatino Linotype"/>
        </w:rPr>
        <w:footnoteRef/>
      </w:r>
      <w:r w:rsidRPr="00E443AD">
        <w:rPr>
          <w:rFonts w:ascii="Palatino Linotype" w:hAnsi="Palatino Linotype"/>
        </w:rPr>
        <w:t xml:space="preserve"> The decision to include administrative law and corporate law as required courses was strongly supported by the health law attorneys consulted while developing the program. It is also supported by the 2014 recommendations by the American Health Lawyers Association regarding health law curricula which were issued after the launch of our certificate program. </w:t>
      </w:r>
      <w:r w:rsidRPr="00E443AD">
        <w:rPr>
          <w:rFonts w:ascii="Palatino Linotype" w:hAnsi="Palatino Linotype"/>
          <w:smallCaps/>
        </w:rPr>
        <w:t>The American Health Law Association, The AHLA Health Law Curriculum Manual</w:t>
      </w:r>
      <w:r w:rsidRPr="00E443AD">
        <w:rPr>
          <w:rFonts w:ascii="Palatino Linotype" w:hAnsi="Palatino Linotype"/>
        </w:rPr>
        <w:t xml:space="preserve"> 9 (2014) (hereinafter </w:t>
      </w:r>
      <w:r w:rsidRPr="00E443AD">
        <w:rPr>
          <w:rFonts w:ascii="Palatino Linotype" w:hAnsi="Palatino Linotype"/>
          <w:smallCaps/>
        </w:rPr>
        <w:t>AHLA Manual</w:t>
      </w:r>
      <w:r w:rsidRPr="00E443AD">
        <w:rPr>
          <w:rFonts w:ascii="Palatino Linotype" w:hAnsi="Palatino Linotype"/>
        </w:rPr>
        <w:t xml:space="preserve">). The American Health Lawyers Association is the U.S.’s largest educational organization devoted to legal issues in the health industry with active members who practice in law firms, government, in-house settings and academia, and who represent physicians, hospitals and health systems, health maintenance organizations, health insurers, life sciences, managed care companies, nursing facilities, home care providers, and consumers. </w:t>
      </w:r>
      <w:r w:rsidRPr="00E443AD">
        <w:rPr>
          <w:rFonts w:ascii="Palatino Linotype" w:hAnsi="Palatino Linotype"/>
          <w:i/>
        </w:rPr>
        <w:t xml:space="preserve">See </w:t>
      </w:r>
      <w:r w:rsidRPr="00E443AD">
        <w:rPr>
          <w:rFonts w:ascii="Palatino Linotype" w:hAnsi="Palatino Linotype"/>
        </w:rPr>
        <w:t>http://www.healthlawyers.org/About/Pages/default.aspx.</w:t>
      </w:r>
    </w:p>
  </w:footnote>
  <w:footnote w:id="19">
    <w:p w14:paraId="7148B628" w14:textId="292FDDE6" w:rsidR="00431B33" w:rsidRPr="00E443AD" w:rsidRDefault="00431B33" w:rsidP="00E443AD">
      <w:pPr>
        <w:pStyle w:val="FootnoteText"/>
        <w:jc w:val="left"/>
        <w:rPr>
          <w:rFonts w:ascii="Palatino Linotype" w:hAnsi="Palatino Linotype"/>
        </w:rPr>
      </w:pPr>
      <w:r w:rsidRPr="00E443AD">
        <w:rPr>
          <w:rStyle w:val="FootnoteReference"/>
          <w:rFonts w:ascii="Palatino Linotype" w:hAnsi="Palatino Linotype"/>
        </w:rPr>
        <w:footnoteRef/>
      </w:r>
      <w:r w:rsidRPr="00E443AD">
        <w:rPr>
          <w:rFonts w:ascii="Palatino Linotype" w:hAnsi="Palatino Linotype"/>
        </w:rPr>
        <w:t xml:space="preserve"> All core competencies and the relationship between core competencies and the requirements for the certificate are found at http://clhs.law.gsu.edu/education/health-law-certificate/core-competencies/.</w:t>
      </w:r>
    </w:p>
  </w:footnote>
  <w:footnote w:id="20">
    <w:p w14:paraId="4A8C40BD" w14:textId="778188B6" w:rsidR="00AD786C" w:rsidRPr="00E443AD" w:rsidRDefault="00AD786C" w:rsidP="00E443AD">
      <w:pPr>
        <w:pStyle w:val="FootnoteText"/>
        <w:jc w:val="left"/>
        <w:rPr>
          <w:rFonts w:ascii="Palatino Linotype" w:hAnsi="Palatino Linotype"/>
        </w:rPr>
      </w:pPr>
      <w:r w:rsidRPr="00E443AD">
        <w:rPr>
          <w:rStyle w:val="FootnoteReference"/>
          <w:rFonts w:ascii="Palatino Linotype" w:hAnsi="Palatino Linotype"/>
        </w:rPr>
        <w:footnoteRef/>
      </w:r>
      <w:r w:rsidRPr="00E443AD">
        <w:rPr>
          <w:rFonts w:ascii="Palatino Linotype" w:hAnsi="Palatino Linotype"/>
        </w:rPr>
        <w:t xml:space="preserve"> On an on-going basis, there are approximately 6 offerings in public health and 5 in bioethics from which students may choose.</w:t>
      </w:r>
    </w:p>
  </w:footnote>
  <w:footnote w:id="21">
    <w:p w14:paraId="7D356292" w14:textId="221894F1" w:rsidR="00AD786C" w:rsidRPr="00E443AD" w:rsidRDefault="00AD786C" w:rsidP="00E443AD">
      <w:pPr>
        <w:pStyle w:val="FootnoteText"/>
        <w:jc w:val="left"/>
        <w:rPr>
          <w:rFonts w:ascii="Palatino Linotype" w:hAnsi="Palatino Linotype"/>
        </w:rPr>
      </w:pPr>
      <w:r w:rsidRPr="00E443AD">
        <w:rPr>
          <w:rStyle w:val="FootnoteReference"/>
          <w:rFonts w:ascii="Palatino Linotype" w:hAnsi="Palatino Linotype"/>
        </w:rPr>
        <w:footnoteRef/>
      </w:r>
      <w:r w:rsidRPr="00E443AD">
        <w:rPr>
          <w:rFonts w:ascii="Palatino Linotype" w:hAnsi="Palatino Linotype"/>
        </w:rPr>
        <w:t xml:space="preserve"> The infusion of experiential learning throughout the curriculum at Georgia State Law has been supported through the offering of “Teaching Innovation Grants” by Dean Steven </w:t>
      </w:r>
      <w:proofErr w:type="spellStart"/>
      <w:r w:rsidRPr="00E443AD">
        <w:rPr>
          <w:rFonts w:ascii="Palatino Linotype" w:hAnsi="Palatino Linotype"/>
        </w:rPr>
        <w:t>Kaminshine</w:t>
      </w:r>
      <w:proofErr w:type="spellEnd"/>
      <w:r w:rsidRPr="00E443AD">
        <w:rPr>
          <w:rFonts w:ascii="Palatino Linotype" w:hAnsi="Palatino Linotype"/>
        </w:rPr>
        <w:t>.  See also</w:t>
      </w:r>
      <w:r w:rsidR="00431B33" w:rsidRPr="00E443AD">
        <w:rPr>
          <w:rFonts w:ascii="Palatino Linotype" w:hAnsi="Palatino Linotype"/>
          <w:i/>
        </w:rPr>
        <w:t xml:space="preserve">, </w:t>
      </w:r>
      <w:proofErr w:type="gramStart"/>
      <w:r w:rsidR="00431B33" w:rsidRPr="00E443AD">
        <w:rPr>
          <w:rFonts w:ascii="Palatino Linotype" w:hAnsi="Palatino Linotype"/>
          <w:i/>
        </w:rPr>
        <w:t>Building</w:t>
      </w:r>
      <w:proofErr w:type="gramEnd"/>
      <w:r w:rsidR="00431B33" w:rsidRPr="00E443AD">
        <w:rPr>
          <w:rFonts w:ascii="Palatino Linotype" w:hAnsi="Palatino Linotype"/>
          <w:i/>
        </w:rPr>
        <w:t xml:space="preserve"> on Best Practices, supra </w:t>
      </w:r>
      <w:r w:rsidR="00431B33" w:rsidRPr="00E443AD">
        <w:rPr>
          <w:rFonts w:ascii="Palatino Linotype" w:hAnsi="Palatino Linotype"/>
        </w:rPr>
        <w:t xml:space="preserve">note 2 </w:t>
      </w:r>
      <w:r w:rsidRPr="00E443AD">
        <w:rPr>
          <w:rFonts w:ascii="Palatino Linotype" w:hAnsi="Palatino Linotype"/>
        </w:rPr>
        <w:t xml:space="preserve">at 427.  Additionally, </w:t>
      </w:r>
      <w:proofErr w:type="gramStart"/>
      <w:r w:rsidRPr="00E443AD">
        <w:rPr>
          <w:rFonts w:ascii="Palatino Linotype" w:hAnsi="Palatino Linotype"/>
        </w:rPr>
        <w:t>GSU  Professor</w:t>
      </w:r>
      <w:proofErr w:type="gramEnd"/>
      <w:r w:rsidRPr="00E443AD">
        <w:rPr>
          <w:rFonts w:ascii="Palatino Linotype" w:hAnsi="Palatino Linotype"/>
        </w:rPr>
        <w:t xml:space="preserve"> Andrea A. </w:t>
      </w:r>
      <w:proofErr w:type="spellStart"/>
      <w:r w:rsidRPr="00E443AD">
        <w:rPr>
          <w:rFonts w:ascii="Palatino Linotype" w:hAnsi="Palatino Linotype"/>
        </w:rPr>
        <w:t>Curcio</w:t>
      </w:r>
      <w:proofErr w:type="spellEnd"/>
      <w:r w:rsidRPr="00E443AD">
        <w:rPr>
          <w:rFonts w:ascii="Palatino Linotype" w:hAnsi="Palatino Linotype"/>
        </w:rPr>
        <w:t xml:space="preserve"> reported on experiential learning activities across Georgia State Law’s curriculum at the Educating Tomorrow’s Lawyer’s Conference held at the University of Denver in October 2014 through a video of participating faculty (available at http://law.gsu.edu/practice-based-learning/  under “Hands-on Learning In the Curriculum”).  The college is also home to the Health Law Partnership (</w:t>
      </w:r>
      <w:proofErr w:type="spellStart"/>
      <w:r w:rsidRPr="00E443AD">
        <w:rPr>
          <w:rFonts w:ascii="Palatino Linotype" w:hAnsi="Palatino Linotype"/>
        </w:rPr>
        <w:t>HeLP</w:t>
      </w:r>
      <w:proofErr w:type="spellEnd"/>
      <w:r w:rsidRPr="00E443AD">
        <w:rPr>
          <w:rFonts w:ascii="Palatino Linotype" w:hAnsi="Palatino Linotype"/>
        </w:rPr>
        <w:t>) Legal Services Clinic, which is an interdisciplinary collaboration among Georgia State Law, Atlanta Legal Aid Society, and Children’s Healthcare of Atlanta that allows students to develop professionally while representing clients and working side-by-side with physicians, social workers, and other health professionals (information available at http://law.gsu.edu/clinics/help-legal-services-clinic/).</w:t>
      </w:r>
    </w:p>
  </w:footnote>
  <w:footnote w:id="22">
    <w:p w14:paraId="6D82AAB6" w14:textId="2A35B66E" w:rsidR="00AD786C" w:rsidRPr="00E443AD" w:rsidRDefault="00AD786C" w:rsidP="00E443AD">
      <w:pPr>
        <w:pStyle w:val="FootnoteText"/>
        <w:jc w:val="left"/>
        <w:rPr>
          <w:rFonts w:ascii="Palatino Linotype" w:hAnsi="Palatino Linotype"/>
        </w:rPr>
      </w:pPr>
      <w:r w:rsidRPr="00E443AD">
        <w:rPr>
          <w:rStyle w:val="FootnoteReference"/>
          <w:rFonts w:ascii="Palatino Linotype" w:hAnsi="Palatino Linotype"/>
        </w:rPr>
        <w:footnoteRef/>
      </w:r>
      <w:r w:rsidRPr="00E443AD">
        <w:rPr>
          <w:rFonts w:ascii="Palatino Linotype" w:hAnsi="Palatino Linotype"/>
        </w:rPr>
        <w:t xml:space="preserve"> See </w:t>
      </w:r>
      <w:r w:rsidR="00D274A3" w:rsidRPr="00E443AD">
        <w:rPr>
          <w:rFonts w:ascii="Palatino Linotype" w:hAnsi="Palatino Linotype"/>
        </w:rPr>
        <w:t xml:space="preserve">Courtney L. </w:t>
      </w:r>
      <w:r w:rsidRPr="00E443AD">
        <w:rPr>
          <w:rFonts w:ascii="Palatino Linotype" w:hAnsi="Palatino Linotype"/>
        </w:rPr>
        <w:t xml:space="preserve">Anderson, </w:t>
      </w:r>
      <w:r w:rsidR="00D274A3" w:rsidRPr="00E443AD">
        <w:rPr>
          <w:rFonts w:ascii="Palatino Linotype" w:hAnsi="Palatino Linotype"/>
        </w:rPr>
        <w:t xml:space="preserve">Jessica </w:t>
      </w:r>
      <w:r w:rsidR="00537D13" w:rsidRPr="00E443AD">
        <w:rPr>
          <w:rFonts w:ascii="Palatino Linotype" w:hAnsi="Palatino Linotype"/>
        </w:rPr>
        <w:t xml:space="preserve">Gabel </w:t>
      </w:r>
      <w:proofErr w:type="spellStart"/>
      <w:r w:rsidRPr="00E443AD">
        <w:rPr>
          <w:rFonts w:ascii="Palatino Linotype" w:hAnsi="Palatino Linotype"/>
        </w:rPr>
        <w:t>Cino</w:t>
      </w:r>
      <w:proofErr w:type="spellEnd"/>
      <w:r w:rsidRPr="00E443AD">
        <w:rPr>
          <w:rFonts w:ascii="Palatino Linotype" w:hAnsi="Palatino Linotype"/>
        </w:rPr>
        <w:t xml:space="preserve">, </w:t>
      </w:r>
      <w:r w:rsidR="00D274A3" w:rsidRPr="00E443AD">
        <w:rPr>
          <w:rFonts w:ascii="Palatino Linotype" w:hAnsi="Palatino Linotype"/>
        </w:rPr>
        <w:t xml:space="preserve">Nicole </w:t>
      </w:r>
      <w:r w:rsidR="00537D13" w:rsidRPr="00E443AD">
        <w:rPr>
          <w:rFonts w:ascii="Palatino Linotype" w:hAnsi="Palatino Linotype"/>
        </w:rPr>
        <w:t xml:space="preserve">G. </w:t>
      </w:r>
      <w:proofErr w:type="spellStart"/>
      <w:r w:rsidRPr="00E443AD">
        <w:rPr>
          <w:rFonts w:ascii="Palatino Linotype" w:hAnsi="Palatino Linotype"/>
        </w:rPr>
        <w:t>Iannarone</w:t>
      </w:r>
      <w:proofErr w:type="spellEnd"/>
      <w:r w:rsidRPr="00E443AD">
        <w:rPr>
          <w:rFonts w:ascii="Palatino Linotype" w:hAnsi="Palatino Linotype"/>
        </w:rPr>
        <w:t xml:space="preserve">, </w:t>
      </w:r>
      <w:r w:rsidR="00D274A3" w:rsidRPr="00E443AD">
        <w:rPr>
          <w:rFonts w:ascii="Palatino Linotype" w:hAnsi="Palatino Linotype"/>
        </w:rPr>
        <w:t xml:space="preserve">Leslie E. </w:t>
      </w:r>
      <w:r w:rsidRPr="00E443AD">
        <w:rPr>
          <w:rFonts w:ascii="Palatino Linotype" w:hAnsi="Palatino Linotype"/>
        </w:rPr>
        <w:t xml:space="preserve">Wolf, “Incorporating Experiential Learning </w:t>
      </w:r>
      <w:proofErr w:type="gramStart"/>
      <w:r w:rsidRPr="00E443AD">
        <w:rPr>
          <w:rFonts w:ascii="Palatino Linotype" w:hAnsi="Palatino Linotype"/>
        </w:rPr>
        <w:t>Into</w:t>
      </w:r>
      <w:proofErr w:type="gramEnd"/>
      <w:r w:rsidRPr="00E443AD">
        <w:rPr>
          <w:rFonts w:ascii="Palatino Linotype" w:hAnsi="Palatino Linotype"/>
        </w:rPr>
        <w:t xml:space="preserve"> Every Class:  Required Courses, Seminars and Live-Client Representation</w:t>
      </w:r>
      <w:r w:rsidR="00F963AC" w:rsidRPr="00E443AD">
        <w:rPr>
          <w:rFonts w:ascii="Palatino Linotype" w:hAnsi="Palatino Linotype"/>
        </w:rPr>
        <w:t xml:space="preserve">” in </w:t>
      </w:r>
      <w:r w:rsidR="00F963AC" w:rsidRPr="00E443AD">
        <w:rPr>
          <w:rFonts w:ascii="Palatino Linotype" w:hAnsi="Palatino Linotype"/>
          <w:smallCaps/>
        </w:rPr>
        <w:t>Experiential Education in the Law School</w:t>
      </w:r>
      <w:r w:rsidRPr="00E443AD">
        <w:rPr>
          <w:rFonts w:ascii="Palatino Linotype" w:hAnsi="Palatino Linotype"/>
        </w:rPr>
        <w:t xml:space="preserve"> </w:t>
      </w:r>
      <w:r w:rsidR="00537D13" w:rsidRPr="00E443AD">
        <w:rPr>
          <w:rFonts w:ascii="Palatino Linotype" w:hAnsi="Palatino Linotype"/>
        </w:rPr>
        <w:t>63-</w:t>
      </w:r>
      <w:r w:rsidR="00437F3D" w:rsidRPr="00E443AD">
        <w:rPr>
          <w:rFonts w:ascii="Palatino Linotype" w:hAnsi="Palatino Linotype"/>
        </w:rPr>
        <w:t xml:space="preserve">84 </w:t>
      </w:r>
      <w:r w:rsidR="00D274A3" w:rsidRPr="00E443AD">
        <w:rPr>
          <w:rFonts w:ascii="Palatino Linotype" w:hAnsi="Palatino Linotype"/>
        </w:rPr>
        <w:t xml:space="preserve">(E. Grant, S. Simpson, K. Terry eds., </w:t>
      </w:r>
      <w:r w:rsidR="00D274A3" w:rsidRPr="00E443AD">
        <w:rPr>
          <w:rFonts w:ascii="Palatino Linotype" w:hAnsi="Palatino Linotype"/>
          <w:i/>
        </w:rPr>
        <w:t>forthcoming</w:t>
      </w:r>
      <w:r w:rsidR="00D274A3" w:rsidRPr="00E443AD">
        <w:rPr>
          <w:rFonts w:ascii="Palatino Linotype" w:hAnsi="Palatino Linotype"/>
        </w:rPr>
        <w:t xml:space="preserve"> 2017).</w:t>
      </w:r>
    </w:p>
  </w:footnote>
  <w:footnote w:id="23">
    <w:p w14:paraId="4C219985" w14:textId="14D83742" w:rsidR="00AD786C" w:rsidRPr="00E443AD" w:rsidRDefault="00AD786C" w:rsidP="00E443AD">
      <w:pPr>
        <w:pStyle w:val="FootnoteText"/>
        <w:jc w:val="left"/>
        <w:rPr>
          <w:rFonts w:ascii="Palatino Linotype" w:hAnsi="Palatino Linotype"/>
        </w:rPr>
      </w:pPr>
      <w:r w:rsidRPr="00E443AD">
        <w:rPr>
          <w:rStyle w:val="FootnoteReference"/>
          <w:rFonts w:ascii="Palatino Linotype" w:hAnsi="Palatino Linotype"/>
        </w:rPr>
        <w:footnoteRef/>
      </w:r>
      <w:r w:rsidRPr="00E443AD">
        <w:rPr>
          <w:rFonts w:ascii="Palatino Linotype" w:hAnsi="Palatino Linotype"/>
        </w:rPr>
        <w:t xml:space="preserve"> This responds to one of the issues addressed by </w:t>
      </w:r>
      <w:r w:rsidRPr="00E443AD">
        <w:rPr>
          <w:rFonts w:ascii="Palatino Linotype" w:hAnsi="Palatino Linotype"/>
          <w:i/>
        </w:rPr>
        <w:t>Best Practices</w:t>
      </w:r>
      <w:r w:rsidRPr="00E443AD">
        <w:rPr>
          <w:rFonts w:ascii="Palatino Linotype" w:hAnsi="Palatino Linotype"/>
        </w:rPr>
        <w:t xml:space="preserve">: law schools not fully committing to preparing students for practice. </w:t>
      </w:r>
      <w:r w:rsidRPr="00E443AD">
        <w:rPr>
          <w:rFonts w:ascii="Palatino Linotype" w:hAnsi="Palatino Linotype"/>
          <w:i/>
        </w:rPr>
        <w:t>See Best Practices</w:t>
      </w:r>
      <w:r w:rsidRPr="00E443AD">
        <w:rPr>
          <w:rFonts w:ascii="Palatino Linotype" w:hAnsi="Palatino Linotype"/>
        </w:rPr>
        <w:t xml:space="preserve">, </w:t>
      </w:r>
      <w:r w:rsidRPr="00E443AD">
        <w:rPr>
          <w:rFonts w:ascii="Palatino Linotype" w:hAnsi="Palatino Linotype"/>
          <w:i/>
        </w:rPr>
        <w:t>supra</w:t>
      </w:r>
      <w:r w:rsidRPr="00E443AD">
        <w:rPr>
          <w:rFonts w:ascii="Palatino Linotype" w:hAnsi="Palatino Linotype"/>
        </w:rPr>
        <w:t xml:space="preserve"> note </w:t>
      </w:r>
      <w:r w:rsidR="00431B33" w:rsidRPr="00E443AD">
        <w:rPr>
          <w:rFonts w:ascii="Palatino Linotype" w:hAnsi="Palatino Linotype"/>
        </w:rPr>
        <w:t>2</w:t>
      </w:r>
      <w:r w:rsidRPr="00E443AD">
        <w:rPr>
          <w:rFonts w:ascii="Palatino Linotype" w:hAnsi="Palatino Linotype"/>
        </w:rPr>
        <w:t xml:space="preserve">, at 17. </w:t>
      </w:r>
    </w:p>
  </w:footnote>
  <w:footnote w:id="24">
    <w:p w14:paraId="71A40A04" w14:textId="668EEE91" w:rsidR="00431B33" w:rsidRPr="00E443AD" w:rsidRDefault="00431B33" w:rsidP="00E443AD">
      <w:pPr>
        <w:pStyle w:val="FootnoteText"/>
        <w:jc w:val="left"/>
        <w:rPr>
          <w:rFonts w:ascii="Palatino Linotype" w:hAnsi="Palatino Linotype"/>
        </w:rPr>
      </w:pPr>
      <w:r w:rsidRPr="00E443AD">
        <w:rPr>
          <w:rStyle w:val="FootnoteReference"/>
          <w:rFonts w:ascii="Palatino Linotype" w:hAnsi="Palatino Linotype"/>
        </w:rPr>
        <w:footnoteRef/>
      </w:r>
      <w:r w:rsidRPr="00E443AD">
        <w:rPr>
          <w:rFonts w:ascii="Palatino Linotype" w:hAnsi="Palatino Linotype"/>
        </w:rPr>
        <w:t xml:space="preserve"> GSU’s rich array of experiential offerings and the mix of both real and simulated practice environments</w:t>
      </w:r>
      <w:r w:rsidR="002A0A6C" w:rsidRPr="00E443AD">
        <w:rPr>
          <w:rFonts w:ascii="Palatino Linotype" w:hAnsi="Palatino Linotype"/>
        </w:rPr>
        <w:t xml:space="preserve"> meet the best practices identified for experiential education, </w:t>
      </w:r>
      <w:r w:rsidR="002A0A6C" w:rsidRPr="00E443AD">
        <w:rPr>
          <w:rFonts w:ascii="Palatino Linotype" w:hAnsi="Palatino Linotype"/>
          <w:i/>
        </w:rPr>
        <w:t xml:space="preserve">see Building on Best Practices, supra </w:t>
      </w:r>
      <w:r w:rsidR="002A0A6C" w:rsidRPr="00E443AD">
        <w:rPr>
          <w:rFonts w:ascii="Palatino Linotype" w:hAnsi="Palatino Linotype"/>
        </w:rPr>
        <w:t xml:space="preserve">note 2 at 162-187.  </w:t>
      </w:r>
    </w:p>
  </w:footnote>
  <w:footnote w:id="25">
    <w:p w14:paraId="502083E7" w14:textId="7B604920" w:rsidR="00AD786C" w:rsidRPr="00E443AD" w:rsidRDefault="00AD786C" w:rsidP="00E443AD">
      <w:pPr>
        <w:pStyle w:val="FootnoteText"/>
        <w:jc w:val="left"/>
        <w:rPr>
          <w:rFonts w:ascii="Palatino Linotype" w:hAnsi="Palatino Linotype"/>
        </w:rPr>
      </w:pPr>
      <w:r w:rsidRPr="00E443AD">
        <w:rPr>
          <w:rStyle w:val="FootnoteReference"/>
          <w:rFonts w:ascii="Palatino Linotype" w:hAnsi="Palatino Linotype"/>
        </w:rPr>
        <w:footnoteRef/>
      </w:r>
      <w:r w:rsidRPr="00E443AD">
        <w:rPr>
          <w:rFonts w:ascii="Palatino Linotype" w:hAnsi="Palatino Linotype"/>
        </w:rPr>
        <w:t xml:space="preserve"> Information about our </w:t>
      </w:r>
      <w:proofErr w:type="spellStart"/>
      <w:r w:rsidRPr="00E443AD">
        <w:rPr>
          <w:rFonts w:ascii="Palatino Linotype" w:hAnsi="Palatino Linotype"/>
        </w:rPr>
        <w:t>HeLP</w:t>
      </w:r>
      <w:proofErr w:type="spellEnd"/>
      <w:r w:rsidRPr="00E443AD">
        <w:rPr>
          <w:rFonts w:ascii="Palatino Linotype" w:hAnsi="Palatino Linotype"/>
        </w:rPr>
        <w:t xml:space="preserve"> Legal Services Clinic is available at our Center website: http://law.gsu.edu/clinics/help-legal-services-clinic/.</w:t>
      </w:r>
    </w:p>
  </w:footnote>
  <w:footnote w:id="26">
    <w:p w14:paraId="0B09298D" w14:textId="48D01E18" w:rsidR="00AD786C" w:rsidRPr="00E443AD" w:rsidRDefault="00AD786C" w:rsidP="00E443AD">
      <w:pPr>
        <w:pStyle w:val="FootnoteText"/>
        <w:jc w:val="left"/>
        <w:rPr>
          <w:rFonts w:ascii="Palatino Linotype" w:hAnsi="Palatino Linotype"/>
        </w:rPr>
      </w:pPr>
      <w:r w:rsidRPr="00E443AD">
        <w:rPr>
          <w:rStyle w:val="FootnoteReference"/>
          <w:rFonts w:ascii="Palatino Linotype" w:hAnsi="Palatino Linotype"/>
        </w:rPr>
        <w:footnoteRef/>
      </w:r>
      <w:r w:rsidRPr="00E443AD">
        <w:rPr>
          <w:rFonts w:ascii="Palatino Linotype" w:hAnsi="Palatino Linotype"/>
        </w:rPr>
        <w:t xml:space="preserve"> For a full description of Law and Health Equity, See Incorporating Experiential, p. </w:t>
      </w:r>
      <w:r w:rsidR="0019769D" w:rsidRPr="00E443AD">
        <w:rPr>
          <w:rFonts w:ascii="Palatino Linotype" w:hAnsi="Palatino Linotype"/>
        </w:rPr>
        <w:t>81-83</w:t>
      </w:r>
      <w:r w:rsidRPr="00E443AD">
        <w:rPr>
          <w:rFonts w:ascii="Palatino Linotype" w:hAnsi="Palatino Linotype"/>
        </w:rPr>
        <w:t xml:space="preserve">.  More information about this course is available at: http://clhs.law.gsu.edu/2014/09/09/hands-course-addresses-health-disparities-local-neighborhoods/. </w:t>
      </w:r>
    </w:p>
  </w:footnote>
  <w:footnote w:id="27">
    <w:p w14:paraId="1AD1993C" w14:textId="623EBC50" w:rsidR="00532C3A" w:rsidRPr="00E443AD" w:rsidRDefault="00532C3A" w:rsidP="00E443AD">
      <w:pPr>
        <w:pStyle w:val="FootnoteText"/>
        <w:jc w:val="left"/>
        <w:rPr>
          <w:rFonts w:ascii="Palatino Linotype" w:hAnsi="Palatino Linotype"/>
        </w:rPr>
      </w:pPr>
      <w:r w:rsidRPr="00E443AD">
        <w:rPr>
          <w:rStyle w:val="FootnoteReference"/>
          <w:rFonts w:ascii="Palatino Linotype" w:hAnsi="Palatino Linotype"/>
        </w:rPr>
        <w:footnoteRef/>
      </w:r>
      <w:r w:rsidRPr="00E443AD">
        <w:rPr>
          <w:rFonts w:ascii="Palatino Linotype" w:hAnsi="Palatino Linotype"/>
        </w:rPr>
        <w:t xml:space="preserve"> See http://clhs.law.gsu.edu/2014/11/28/health-car-transactions-course.</w:t>
      </w:r>
    </w:p>
  </w:footnote>
  <w:footnote w:id="28">
    <w:p w14:paraId="38FA25A5" w14:textId="7DD988D7" w:rsidR="00532C3A" w:rsidRPr="00E443AD" w:rsidRDefault="00532C3A" w:rsidP="00E443AD">
      <w:pPr>
        <w:pStyle w:val="FootnoteText"/>
        <w:jc w:val="left"/>
        <w:rPr>
          <w:rFonts w:ascii="Palatino Linotype" w:hAnsi="Palatino Linotype"/>
        </w:rPr>
      </w:pPr>
      <w:r w:rsidRPr="00E443AD">
        <w:rPr>
          <w:rStyle w:val="FootnoteReference"/>
          <w:rFonts w:ascii="Palatino Linotype" w:hAnsi="Palatino Linotype"/>
        </w:rPr>
        <w:footnoteRef/>
      </w:r>
      <w:r w:rsidRPr="00E443AD">
        <w:rPr>
          <w:rFonts w:ascii="Palatino Linotype" w:hAnsi="Palatino Linotype"/>
        </w:rPr>
        <w:t xml:space="preserve"> </w:t>
      </w:r>
      <w:r w:rsidRPr="00E443AD">
        <w:rPr>
          <w:rFonts w:ascii="Palatino Linotype" w:hAnsi="Palatino Linotype"/>
          <w:i/>
        </w:rPr>
        <w:t>Id</w:t>
      </w:r>
      <w:r w:rsidRPr="00E443AD">
        <w:rPr>
          <w:rFonts w:ascii="Palatino Linotype" w:hAnsi="Palatino Linotype"/>
        </w:rPr>
        <w:t>.</w:t>
      </w:r>
    </w:p>
  </w:footnote>
  <w:footnote w:id="29">
    <w:p w14:paraId="0144845A" w14:textId="45CC8A96" w:rsidR="00AD786C" w:rsidRPr="00E443AD" w:rsidRDefault="00AD786C" w:rsidP="00E443AD">
      <w:pPr>
        <w:pStyle w:val="FootnoteText"/>
        <w:jc w:val="left"/>
        <w:rPr>
          <w:rFonts w:ascii="Palatino Linotype" w:hAnsi="Palatino Linotype"/>
        </w:rPr>
      </w:pPr>
      <w:r w:rsidRPr="00E443AD">
        <w:rPr>
          <w:rStyle w:val="FootnoteReference"/>
          <w:rFonts w:ascii="Palatino Linotype" w:hAnsi="Palatino Linotype"/>
        </w:rPr>
        <w:footnoteRef/>
      </w:r>
      <w:r w:rsidRPr="00E443AD">
        <w:rPr>
          <w:rFonts w:ascii="Palatino Linotype" w:hAnsi="Palatino Linotype"/>
        </w:rPr>
        <w:t xml:space="preserve"> The AHLA encourages a “capstone” course with a strong writing component, which is consistent with </w:t>
      </w:r>
      <w:proofErr w:type="gramStart"/>
      <w:r w:rsidRPr="00E443AD">
        <w:rPr>
          <w:rFonts w:ascii="Palatino Linotype" w:hAnsi="Palatino Linotype"/>
        </w:rPr>
        <w:t>GSU’s  writing</w:t>
      </w:r>
      <w:proofErr w:type="gramEnd"/>
      <w:r w:rsidRPr="00E443AD">
        <w:rPr>
          <w:rFonts w:ascii="Palatino Linotype" w:hAnsi="Palatino Linotype"/>
        </w:rPr>
        <w:t xml:space="preserve"> requirement. </w:t>
      </w:r>
      <w:r w:rsidRPr="00E443AD">
        <w:rPr>
          <w:rFonts w:ascii="Palatino Linotype" w:hAnsi="Palatino Linotype"/>
          <w:smallCaps/>
        </w:rPr>
        <w:t>AHLA Manual</w:t>
      </w:r>
      <w:r w:rsidRPr="00E443AD">
        <w:rPr>
          <w:rFonts w:ascii="Palatino Linotype" w:hAnsi="Palatino Linotype"/>
        </w:rPr>
        <w:t xml:space="preserve">, </w:t>
      </w:r>
      <w:r w:rsidRPr="00E443AD">
        <w:rPr>
          <w:rFonts w:ascii="Palatino Linotype" w:hAnsi="Palatino Linotype"/>
          <w:i/>
        </w:rPr>
        <w:t xml:space="preserve">supra </w:t>
      </w:r>
      <w:r w:rsidRPr="00E443AD">
        <w:rPr>
          <w:rFonts w:ascii="Palatino Linotype" w:hAnsi="Palatino Linotype"/>
        </w:rPr>
        <w:t>note 13, at 13-14.</w:t>
      </w:r>
    </w:p>
  </w:footnote>
  <w:footnote w:id="30">
    <w:p w14:paraId="1EFD2C2F" w14:textId="78FB782B" w:rsidR="00AD786C" w:rsidRPr="00E443AD" w:rsidRDefault="00AD786C" w:rsidP="00E443AD">
      <w:pPr>
        <w:widowControl w:val="0"/>
        <w:autoSpaceDE w:val="0"/>
        <w:autoSpaceDN w:val="0"/>
        <w:adjustRightInd w:val="0"/>
        <w:spacing w:after="960"/>
        <w:jc w:val="left"/>
        <w:rPr>
          <w:rFonts w:ascii="Palatino Linotype" w:hAnsi="Palatino Linotype"/>
          <w:sz w:val="20"/>
          <w:szCs w:val="20"/>
        </w:rPr>
      </w:pPr>
      <w:r w:rsidRPr="00E443AD">
        <w:rPr>
          <w:rStyle w:val="FootnoteReference"/>
          <w:rFonts w:ascii="Palatino Linotype" w:hAnsi="Palatino Linotype"/>
          <w:sz w:val="20"/>
          <w:szCs w:val="20"/>
        </w:rPr>
        <w:footnoteRef/>
      </w:r>
      <w:r w:rsidRPr="00E443AD">
        <w:rPr>
          <w:rFonts w:ascii="Palatino Linotype" w:hAnsi="Palatino Linotype"/>
          <w:sz w:val="20"/>
          <w:szCs w:val="20"/>
        </w:rPr>
        <w:t xml:space="preserve"> </w:t>
      </w:r>
      <w:r w:rsidRPr="00E443AD">
        <w:rPr>
          <w:rFonts w:ascii="Palatino Linotype" w:hAnsi="Palatino Linotype"/>
          <w:i/>
          <w:sz w:val="20"/>
          <w:szCs w:val="20"/>
        </w:rPr>
        <w:t xml:space="preserve">See, e.g., </w:t>
      </w:r>
      <w:r w:rsidRPr="00E443AD">
        <w:rPr>
          <w:rFonts w:ascii="Palatino Linotype" w:hAnsi="Palatino Linotype"/>
          <w:sz w:val="20"/>
          <w:szCs w:val="20"/>
        </w:rPr>
        <w:t xml:space="preserve">Katie </w:t>
      </w:r>
      <w:proofErr w:type="spellStart"/>
      <w:r w:rsidRPr="00E443AD">
        <w:rPr>
          <w:rFonts w:ascii="Palatino Linotype" w:hAnsi="Palatino Linotype"/>
          <w:sz w:val="20"/>
          <w:szCs w:val="20"/>
        </w:rPr>
        <w:t>Hanschke</w:t>
      </w:r>
      <w:proofErr w:type="spellEnd"/>
      <w:r w:rsidRPr="00E443AD">
        <w:rPr>
          <w:rFonts w:ascii="Palatino Linotype" w:hAnsi="Palatino Linotype"/>
          <w:sz w:val="20"/>
          <w:szCs w:val="20"/>
        </w:rPr>
        <w:t xml:space="preserve"> (student), Leslie E. Wolf (faculty) &amp; Wendy F. Hensel (faculty), </w:t>
      </w:r>
      <w:r w:rsidRPr="00E443AD">
        <w:rPr>
          <w:rFonts w:ascii="Palatino Linotype" w:hAnsi="Palatino Linotype"/>
          <w:i/>
          <w:iCs/>
          <w:sz w:val="20"/>
          <w:szCs w:val="20"/>
        </w:rPr>
        <w:t>The Impact of Disability: A Comparative Approach to Medical Resource Allocation in Public Health Emergencies</w:t>
      </w:r>
      <w:r w:rsidRPr="00E443AD">
        <w:rPr>
          <w:rFonts w:ascii="Palatino Linotype" w:hAnsi="Palatino Linotype"/>
          <w:sz w:val="20"/>
          <w:szCs w:val="20"/>
        </w:rPr>
        <w:t xml:space="preserve">, 8 </w:t>
      </w:r>
      <w:r w:rsidRPr="00E443AD">
        <w:rPr>
          <w:rFonts w:ascii="Palatino Linotype" w:hAnsi="Palatino Linotype"/>
          <w:smallCaps/>
          <w:sz w:val="20"/>
          <w:szCs w:val="20"/>
        </w:rPr>
        <w:t xml:space="preserve">St. Louis U. J. Health L. &amp; </w:t>
      </w:r>
      <w:proofErr w:type="spellStart"/>
      <w:r w:rsidRPr="00E443AD">
        <w:rPr>
          <w:rFonts w:ascii="Palatino Linotype" w:hAnsi="Palatino Linotype"/>
          <w:smallCaps/>
          <w:sz w:val="20"/>
          <w:szCs w:val="20"/>
        </w:rPr>
        <w:t>Pol’y</w:t>
      </w:r>
      <w:proofErr w:type="spellEnd"/>
      <w:r w:rsidRPr="00E443AD">
        <w:rPr>
          <w:rFonts w:ascii="Palatino Linotype" w:hAnsi="Palatino Linotype"/>
          <w:sz w:val="20"/>
          <w:szCs w:val="20"/>
        </w:rPr>
        <w:t xml:space="preserve"> 259 (2015); Jessica D. Gabel (faculty) &amp; </w:t>
      </w:r>
      <w:proofErr w:type="spellStart"/>
      <w:r w:rsidRPr="00E443AD">
        <w:rPr>
          <w:rFonts w:ascii="Palatino Linotype" w:hAnsi="Palatino Linotype"/>
          <w:sz w:val="20"/>
          <w:szCs w:val="20"/>
        </w:rPr>
        <w:t>Karyn</w:t>
      </w:r>
      <w:proofErr w:type="spellEnd"/>
      <w:r w:rsidRPr="00E443AD">
        <w:rPr>
          <w:rFonts w:ascii="Palatino Linotype" w:hAnsi="Palatino Linotype"/>
          <w:sz w:val="20"/>
          <w:szCs w:val="20"/>
        </w:rPr>
        <w:t xml:space="preserve"> D. </w:t>
      </w:r>
      <w:proofErr w:type="spellStart"/>
      <w:r w:rsidRPr="00E443AD">
        <w:rPr>
          <w:rFonts w:ascii="Palatino Linotype" w:hAnsi="Palatino Linotype"/>
          <w:sz w:val="20"/>
          <w:szCs w:val="20"/>
        </w:rPr>
        <w:t>Heavenrich</w:t>
      </w:r>
      <w:proofErr w:type="spellEnd"/>
      <w:r w:rsidRPr="00E443AD">
        <w:rPr>
          <w:rFonts w:ascii="Palatino Linotype" w:hAnsi="Palatino Linotype"/>
          <w:sz w:val="20"/>
          <w:szCs w:val="20"/>
        </w:rPr>
        <w:t xml:space="preserve"> (student), </w:t>
      </w:r>
      <w:r w:rsidRPr="00E443AD">
        <w:rPr>
          <w:rFonts w:ascii="Palatino Linotype" w:hAnsi="Palatino Linotype"/>
          <w:i/>
          <w:iCs/>
          <w:sz w:val="20"/>
          <w:szCs w:val="20"/>
        </w:rPr>
        <w:t>Reigning in the Wild West: The Necessary Outcomes and Inevitable Pitfalls of Reforming Forensic Science</w:t>
      </w:r>
      <w:r w:rsidRPr="00E443AD">
        <w:rPr>
          <w:rFonts w:ascii="Palatino Linotype" w:hAnsi="Palatino Linotype"/>
          <w:sz w:val="20"/>
          <w:szCs w:val="20"/>
        </w:rPr>
        <w:t xml:space="preserve">, 24 </w:t>
      </w:r>
      <w:r w:rsidRPr="00E443AD">
        <w:rPr>
          <w:rFonts w:ascii="Palatino Linotype" w:hAnsi="Palatino Linotype"/>
          <w:smallCaps/>
          <w:sz w:val="20"/>
          <w:szCs w:val="20"/>
        </w:rPr>
        <w:t>Alb. L.J. Sci. &amp; Tech.</w:t>
      </w:r>
      <w:r w:rsidRPr="00E443AD">
        <w:rPr>
          <w:rFonts w:ascii="Palatino Linotype" w:hAnsi="Palatino Linotype"/>
          <w:sz w:val="20"/>
          <w:szCs w:val="20"/>
        </w:rPr>
        <w:t xml:space="preserve"> 81 (2014); Leslie E. Wolf (faculty), </w:t>
      </w:r>
      <w:proofErr w:type="spellStart"/>
      <w:r w:rsidRPr="00E443AD">
        <w:rPr>
          <w:rFonts w:ascii="Palatino Linotype" w:hAnsi="Palatino Linotype"/>
          <w:sz w:val="20"/>
          <w:szCs w:val="20"/>
        </w:rPr>
        <w:t>Mayank</w:t>
      </w:r>
      <w:proofErr w:type="spellEnd"/>
      <w:r w:rsidRPr="00E443AD">
        <w:rPr>
          <w:rFonts w:ascii="Palatino Linotype" w:hAnsi="Palatino Linotype"/>
          <w:sz w:val="20"/>
          <w:szCs w:val="20"/>
        </w:rPr>
        <w:t xml:space="preserve"> J. Patel (student), Brett A. Williams (student), Jeffrey L. Austin (student) &amp; Lauren A. Dame, </w:t>
      </w:r>
      <w:r w:rsidRPr="00E443AD">
        <w:rPr>
          <w:rFonts w:ascii="Palatino Linotype" w:hAnsi="Palatino Linotype"/>
          <w:i/>
          <w:iCs/>
          <w:sz w:val="20"/>
          <w:szCs w:val="20"/>
        </w:rPr>
        <w:t>Certificates of Confidentiality: Protecting Human Subject Research Data in Law and Practice</w:t>
      </w:r>
      <w:r w:rsidRPr="00E443AD">
        <w:rPr>
          <w:rFonts w:ascii="Palatino Linotype" w:hAnsi="Palatino Linotype"/>
          <w:sz w:val="20"/>
          <w:szCs w:val="20"/>
        </w:rPr>
        <w:t xml:space="preserve">, 14 </w:t>
      </w:r>
      <w:r w:rsidRPr="00E443AD">
        <w:rPr>
          <w:rFonts w:ascii="Palatino Linotype" w:hAnsi="Palatino Linotype"/>
          <w:smallCaps/>
          <w:sz w:val="20"/>
          <w:szCs w:val="20"/>
        </w:rPr>
        <w:t>Minn. J.L. Sci. &amp; Tech.</w:t>
      </w:r>
      <w:r w:rsidRPr="00E443AD">
        <w:rPr>
          <w:rFonts w:ascii="Palatino Linotype" w:hAnsi="Palatino Linotype"/>
          <w:sz w:val="20"/>
          <w:szCs w:val="20"/>
        </w:rPr>
        <w:t xml:space="preserve"> 11 (2013); Rachel L. </w:t>
      </w:r>
      <w:proofErr w:type="spellStart"/>
      <w:r w:rsidRPr="00E443AD">
        <w:rPr>
          <w:rFonts w:ascii="Palatino Linotype" w:hAnsi="Palatino Linotype"/>
          <w:sz w:val="20"/>
          <w:szCs w:val="20"/>
        </w:rPr>
        <w:t>Hulkower</w:t>
      </w:r>
      <w:proofErr w:type="spellEnd"/>
      <w:r w:rsidRPr="00E443AD">
        <w:rPr>
          <w:rFonts w:ascii="Palatino Linotype" w:hAnsi="Palatino Linotype"/>
          <w:sz w:val="20"/>
          <w:szCs w:val="20"/>
        </w:rPr>
        <w:t xml:space="preserve"> (student) &amp; Leslie E. Wolf (faculty), </w:t>
      </w:r>
      <w:r w:rsidRPr="00E443AD">
        <w:rPr>
          <w:rFonts w:ascii="Palatino Linotype" w:hAnsi="Palatino Linotype"/>
          <w:i/>
          <w:iCs/>
          <w:sz w:val="20"/>
          <w:szCs w:val="20"/>
        </w:rPr>
        <w:t>Federal Funds for Syringe Exchange Programs: A Necessary Component Toward Achieving an Aids-Free Generation</w:t>
      </w:r>
      <w:r w:rsidRPr="00E443AD">
        <w:rPr>
          <w:rFonts w:ascii="Palatino Linotype" w:hAnsi="Palatino Linotype"/>
          <w:sz w:val="20"/>
          <w:szCs w:val="20"/>
        </w:rPr>
        <w:t xml:space="preserve">, 22 </w:t>
      </w:r>
      <w:r w:rsidRPr="00E443AD">
        <w:rPr>
          <w:rFonts w:ascii="Palatino Linotype" w:hAnsi="Palatino Linotype"/>
          <w:smallCaps/>
          <w:sz w:val="20"/>
          <w:szCs w:val="20"/>
        </w:rPr>
        <w:t>Annals Health L</w:t>
      </w:r>
      <w:r w:rsidRPr="00E443AD">
        <w:rPr>
          <w:rFonts w:ascii="Palatino Linotype" w:hAnsi="Palatino Linotype"/>
          <w:sz w:val="20"/>
          <w:szCs w:val="20"/>
        </w:rPr>
        <w:t xml:space="preserve">. 307 (2013). Jonathan </w:t>
      </w:r>
      <w:proofErr w:type="spellStart"/>
      <w:r w:rsidRPr="00E443AD">
        <w:rPr>
          <w:rFonts w:ascii="Palatino Linotype" w:hAnsi="Palatino Linotype"/>
          <w:sz w:val="20"/>
          <w:szCs w:val="20"/>
        </w:rPr>
        <w:t>Todres</w:t>
      </w:r>
      <w:proofErr w:type="spellEnd"/>
      <w:r w:rsidRPr="00E443AD">
        <w:rPr>
          <w:rFonts w:ascii="Palatino Linotype" w:hAnsi="Palatino Linotype"/>
          <w:sz w:val="20"/>
          <w:szCs w:val="20"/>
        </w:rPr>
        <w:t xml:space="preserve"> (faculty) &amp; Michael </w:t>
      </w:r>
      <w:proofErr w:type="spellStart"/>
      <w:r w:rsidRPr="00E443AD">
        <w:rPr>
          <w:rFonts w:ascii="Palatino Linotype" w:hAnsi="Palatino Linotype"/>
          <w:sz w:val="20"/>
          <w:szCs w:val="20"/>
        </w:rPr>
        <w:t>Baumrind</w:t>
      </w:r>
      <w:proofErr w:type="spellEnd"/>
      <w:r w:rsidRPr="00E443AD">
        <w:rPr>
          <w:rFonts w:ascii="Palatino Linotype" w:hAnsi="Palatino Linotype"/>
          <w:sz w:val="20"/>
          <w:szCs w:val="20"/>
        </w:rPr>
        <w:t xml:space="preserve"> (student), </w:t>
      </w:r>
      <w:r w:rsidRPr="00E443AD">
        <w:rPr>
          <w:rFonts w:ascii="Palatino Linotype" w:hAnsi="Palatino Linotype"/>
          <w:i/>
          <w:iCs/>
          <w:sz w:val="20"/>
          <w:szCs w:val="20"/>
        </w:rPr>
        <w:t>Human Trafficking: A Global Problem with Local Impact</w:t>
      </w:r>
      <w:r w:rsidRPr="00E443AD">
        <w:rPr>
          <w:rFonts w:ascii="Palatino Linotype" w:hAnsi="Palatino Linotype"/>
          <w:sz w:val="20"/>
          <w:szCs w:val="20"/>
        </w:rPr>
        <w:t xml:space="preserve">, </w:t>
      </w:r>
      <w:r w:rsidRPr="00E443AD">
        <w:rPr>
          <w:rFonts w:ascii="Palatino Linotype" w:hAnsi="Palatino Linotype"/>
          <w:smallCaps/>
          <w:sz w:val="20"/>
          <w:szCs w:val="20"/>
        </w:rPr>
        <w:t>Ga. B.J.</w:t>
      </w:r>
      <w:r w:rsidRPr="00E443AD">
        <w:rPr>
          <w:rFonts w:ascii="Palatino Linotype" w:hAnsi="Palatino Linotype"/>
          <w:sz w:val="20"/>
          <w:szCs w:val="20"/>
        </w:rPr>
        <w:t xml:space="preserve"> at 12 (2012); Jessica D. Gabel (faculty) &amp; Ashley D. Champion (student), </w:t>
      </w:r>
      <w:r w:rsidRPr="00E443AD">
        <w:rPr>
          <w:rFonts w:ascii="Palatino Linotype" w:hAnsi="Palatino Linotype"/>
          <w:i/>
          <w:iCs/>
          <w:sz w:val="20"/>
          <w:szCs w:val="20"/>
        </w:rPr>
        <w:t>Regulating the Science of Forensic Evidence: A Broken System Requires a New Federal Agency</w:t>
      </w:r>
      <w:r w:rsidRPr="00E443AD">
        <w:rPr>
          <w:rFonts w:ascii="Palatino Linotype" w:hAnsi="Palatino Linotype"/>
          <w:sz w:val="20"/>
          <w:szCs w:val="20"/>
        </w:rPr>
        <w:t>, 90</w:t>
      </w:r>
      <w:r w:rsidRPr="00E443AD">
        <w:rPr>
          <w:rFonts w:ascii="Palatino Linotype" w:hAnsi="Palatino Linotype"/>
          <w:smallCaps/>
          <w:sz w:val="20"/>
          <w:szCs w:val="20"/>
        </w:rPr>
        <w:t xml:space="preserve"> </w:t>
      </w:r>
      <w:proofErr w:type="spellStart"/>
      <w:r w:rsidRPr="00E443AD">
        <w:rPr>
          <w:rFonts w:ascii="Palatino Linotype" w:hAnsi="Palatino Linotype"/>
          <w:smallCaps/>
          <w:sz w:val="20"/>
          <w:szCs w:val="20"/>
        </w:rPr>
        <w:t>Tex</w:t>
      </w:r>
      <w:proofErr w:type="spellEnd"/>
      <w:r w:rsidRPr="00E443AD">
        <w:rPr>
          <w:rFonts w:ascii="Palatino Linotype" w:hAnsi="Palatino Linotype"/>
          <w:smallCaps/>
          <w:sz w:val="20"/>
          <w:szCs w:val="20"/>
        </w:rPr>
        <w:t xml:space="preserve"> L. Rev. 19 </w:t>
      </w:r>
      <w:r w:rsidRPr="00E443AD">
        <w:rPr>
          <w:rFonts w:ascii="Palatino Linotype" w:hAnsi="Palatino Linotype"/>
          <w:sz w:val="20"/>
          <w:szCs w:val="20"/>
        </w:rPr>
        <w:t>(2011).</w:t>
      </w:r>
    </w:p>
  </w:footnote>
  <w:footnote w:id="31">
    <w:p w14:paraId="75D187AA" w14:textId="57990961" w:rsidR="00AD786C" w:rsidRPr="00E443AD" w:rsidRDefault="00AD786C" w:rsidP="00E443AD">
      <w:pPr>
        <w:pStyle w:val="FootnoteText"/>
        <w:jc w:val="left"/>
        <w:rPr>
          <w:rFonts w:ascii="Palatino Linotype" w:hAnsi="Palatino Linotype"/>
        </w:rPr>
      </w:pPr>
      <w:r w:rsidRPr="00E443AD">
        <w:rPr>
          <w:rStyle w:val="FootnoteReference"/>
          <w:rFonts w:ascii="Palatino Linotype" w:hAnsi="Palatino Linotype"/>
        </w:rPr>
        <w:footnoteRef/>
      </w:r>
      <w:r w:rsidRPr="00E443AD">
        <w:rPr>
          <w:rFonts w:ascii="Palatino Linotype" w:hAnsi="Palatino Linotype"/>
        </w:rPr>
        <w:t xml:space="preserve"> The core values-oriented competencies in health law are consistent with the best practice of integrating professionalism throughout the program of instruction and best practices for teaching professionalism generally.  </w:t>
      </w:r>
      <w:r w:rsidRPr="00E443AD">
        <w:rPr>
          <w:rFonts w:ascii="Palatino Linotype" w:hAnsi="Palatino Linotype"/>
          <w:i/>
        </w:rPr>
        <w:t>See</w:t>
      </w:r>
      <w:r w:rsidRPr="00E443AD">
        <w:rPr>
          <w:rFonts w:ascii="Palatino Linotype" w:hAnsi="Palatino Linotype"/>
        </w:rPr>
        <w:t xml:space="preserve"> </w:t>
      </w:r>
      <w:r w:rsidRPr="00E443AD">
        <w:rPr>
          <w:rFonts w:ascii="Palatino Linotype" w:hAnsi="Palatino Linotype"/>
          <w:i/>
        </w:rPr>
        <w:t>Best Practices</w:t>
      </w:r>
      <w:r w:rsidRPr="00E443AD">
        <w:rPr>
          <w:rFonts w:ascii="Palatino Linotype" w:hAnsi="Palatino Linotype"/>
        </w:rPr>
        <w:t xml:space="preserve">, </w:t>
      </w:r>
      <w:r w:rsidRPr="00E443AD">
        <w:rPr>
          <w:rFonts w:ascii="Palatino Linotype" w:hAnsi="Palatino Linotype"/>
          <w:i/>
        </w:rPr>
        <w:t>supra</w:t>
      </w:r>
      <w:r w:rsidRPr="00E443AD">
        <w:rPr>
          <w:rFonts w:ascii="Palatino Linotype" w:hAnsi="Palatino Linotype"/>
        </w:rPr>
        <w:t xml:space="preserve"> note 1, at 79</w:t>
      </w:r>
      <w:r w:rsidRPr="00E443AD">
        <w:rPr>
          <w:rFonts w:ascii="Palatino Linotype" w:hAnsi="Palatino Linotype"/>
        </w:rPr>
        <w:softHyphen/>
        <w:t xml:space="preserve">–91, and </w:t>
      </w:r>
      <w:r w:rsidRPr="00E443AD">
        <w:rPr>
          <w:rFonts w:ascii="Palatino Linotype" w:hAnsi="Palatino Linotype"/>
          <w:i/>
        </w:rPr>
        <w:t>Building on Best Practices</w:t>
      </w:r>
      <w:r w:rsidRPr="00E443AD">
        <w:rPr>
          <w:rFonts w:ascii="Palatino Linotype" w:hAnsi="Palatino Linotype"/>
        </w:rPr>
        <w:t xml:space="preserve">, </w:t>
      </w:r>
      <w:r w:rsidRPr="00E443AD">
        <w:rPr>
          <w:rFonts w:ascii="Palatino Linotype" w:hAnsi="Palatino Linotype"/>
          <w:i/>
        </w:rPr>
        <w:t>supra</w:t>
      </w:r>
      <w:r w:rsidRPr="00E443AD">
        <w:rPr>
          <w:rFonts w:ascii="Palatino Linotype" w:hAnsi="Palatino Linotype"/>
        </w:rPr>
        <w:t xml:space="preserve"> note 1, at 253</w:t>
      </w:r>
      <w:r w:rsidRPr="00E443AD">
        <w:rPr>
          <w:rFonts w:ascii="Palatino Linotype" w:hAnsi="Palatino Linotype"/>
        </w:rPr>
        <w:softHyphen/>
        <w:t>–80.</w:t>
      </w:r>
    </w:p>
  </w:footnote>
  <w:footnote w:id="32">
    <w:p w14:paraId="24222C06" w14:textId="793DBF6E" w:rsidR="00AD786C" w:rsidRPr="00E443AD" w:rsidRDefault="00AD786C" w:rsidP="00E443AD">
      <w:pPr>
        <w:pStyle w:val="FootnoteText"/>
        <w:jc w:val="left"/>
        <w:rPr>
          <w:rFonts w:ascii="Palatino Linotype" w:hAnsi="Palatino Linotype"/>
        </w:rPr>
      </w:pPr>
      <w:r w:rsidRPr="00E443AD">
        <w:rPr>
          <w:rStyle w:val="FootnoteReference"/>
          <w:rFonts w:ascii="Palatino Linotype" w:hAnsi="Palatino Linotype"/>
        </w:rPr>
        <w:footnoteRef/>
      </w:r>
      <w:r w:rsidRPr="00E443AD">
        <w:rPr>
          <w:rFonts w:ascii="Palatino Linotype" w:hAnsi="Palatino Linotype"/>
        </w:rPr>
        <w:t xml:space="preserve"> </w:t>
      </w:r>
      <w:r w:rsidR="00B101A2" w:rsidRPr="00E443AD">
        <w:rPr>
          <w:rFonts w:ascii="Palatino Linotype" w:hAnsi="Palatino Linotype"/>
        </w:rPr>
        <w:t xml:space="preserve">See, e.g. </w:t>
      </w:r>
      <w:r w:rsidR="00B101A2" w:rsidRPr="00E443AD">
        <w:rPr>
          <w:rFonts w:ascii="Palatino Linotype" w:hAnsi="Palatino Linotype"/>
          <w:i/>
        </w:rPr>
        <w:t>Building on Best Practices, supra</w:t>
      </w:r>
      <w:r w:rsidR="00B101A2" w:rsidRPr="00E443AD">
        <w:rPr>
          <w:rFonts w:ascii="Palatino Linotype" w:hAnsi="Palatino Linotype"/>
        </w:rPr>
        <w:t xml:space="preserve"> note 2 at 203-04, 291-93.</w:t>
      </w:r>
      <w:r w:rsidRPr="00E443AD">
        <w:rPr>
          <w:rFonts w:ascii="Palatino Linotype" w:hAnsi="Palatino Linotype"/>
        </w:rPr>
        <w:t xml:space="preserve"> </w:t>
      </w:r>
    </w:p>
  </w:footnote>
  <w:footnote w:id="33">
    <w:p w14:paraId="0F895FC4" w14:textId="1E430C42" w:rsidR="00F95268" w:rsidRPr="00E443AD" w:rsidRDefault="00F95268" w:rsidP="00E443AD">
      <w:pPr>
        <w:pStyle w:val="CommentText"/>
        <w:jc w:val="left"/>
        <w:rPr>
          <w:rFonts w:ascii="Palatino Linotype" w:hAnsi="Palatino Linotype"/>
        </w:rPr>
      </w:pPr>
      <w:r w:rsidRPr="00E443AD">
        <w:rPr>
          <w:rStyle w:val="FootnoteReference"/>
          <w:rFonts w:ascii="Palatino Linotype" w:hAnsi="Palatino Linotype"/>
        </w:rPr>
        <w:footnoteRef/>
      </w:r>
      <w:r w:rsidRPr="00E443AD">
        <w:rPr>
          <w:rFonts w:ascii="Palatino Linotype" w:hAnsi="Palatino Linotype"/>
        </w:rPr>
        <w:t xml:space="preserve"> For example, GSU health law certificate students have participated in health law competitions, including the</w:t>
      </w:r>
    </w:p>
    <w:p w14:paraId="0DFB017F" w14:textId="54EF498C" w:rsidR="00F95268" w:rsidRPr="00E443AD" w:rsidRDefault="00F95268" w:rsidP="00E443AD">
      <w:pPr>
        <w:pStyle w:val="CommentText"/>
        <w:jc w:val="left"/>
        <w:rPr>
          <w:rFonts w:ascii="Palatino Linotype" w:hAnsi="Palatino Linotype"/>
        </w:rPr>
      </w:pPr>
      <w:r w:rsidRPr="00E443AD">
        <w:rPr>
          <w:rFonts w:ascii="Palatino Linotype" w:hAnsi="Palatino Linotype"/>
        </w:rPr>
        <w:t xml:space="preserve">University of Maryland Compliance &amp; Regulatory Competition, the SIU National Health Law Moot Court Competition, and the Loyola Health Law Transactions Competition.  </w:t>
      </w:r>
    </w:p>
    <w:p w14:paraId="203F2A15" w14:textId="127696A5" w:rsidR="00F95268" w:rsidRPr="00E443AD" w:rsidRDefault="00F95268" w:rsidP="00E443AD">
      <w:pPr>
        <w:pStyle w:val="FootnoteText"/>
        <w:jc w:val="left"/>
        <w:rPr>
          <w:rFonts w:ascii="Palatino Linotype" w:hAnsi="Palatino Linotype"/>
        </w:rPr>
      </w:pPr>
      <w:r w:rsidRPr="00E443AD">
        <w:rPr>
          <w:rFonts w:ascii="Palatino Linotype" w:hAnsi="Palatino Linotype"/>
        </w:rPr>
        <w:t xml:space="preserve"> </w:t>
      </w:r>
    </w:p>
  </w:footnote>
  <w:footnote w:id="34">
    <w:p w14:paraId="5A420ED5" w14:textId="7D655FE7" w:rsidR="00AD786C" w:rsidRPr="00E443AD" w:rsidRDefault="00AD786C" w:rsidP="00E443AD">
      <w:pPr>
        <w:pStyle w:val="FootnoteText"/>
        <w:jc w:val="left"/>
        <w:rPr>
          <w:rFonts w:ascii="Palatino Linotype" w:hAnsi="Palatino Linotype"/>
        </w:rPr>
      </w:pPr>
      <w:r w:rsidRPr="00E443AD">
        <w:rPr>
          <w:rStyle w:val="FootnoteReference"/>
          <w:rFonts w:ascii="Palatino Linotype" w:hAnsi="Palatino Linotype"/>
        </w:rPr>
        <w:footnoteRef/>
      </w:r>
      <w:r w:rsidRPr="00E443AD">
        <w:rPr>
          <w:rFonts w:ascii="Palatino Linotype" w:hAnsi="Palatino Linotype"/>
        </w:rPr>
        <w:t xml:space="preserve"> </w:t>
      </w:r>
      <w:r w:rsidR="00437F3D" w:rsidRPr="00E443AD">
        <w:rPr>
          <w:rFonts w:ascii="Palatino Linotype" w:hAnsi="Palatino Linotype"/>
        </w:rPr>
        <w:t xml:space="preserve">The Center for Law, Health &amp; Society regularly sponsors events that educate about current issues in health law. For example, recent Center events have addressed U.S. Supreme Court cases involving the Affordable Care Act, state legalization of medical marijuana, and laws regarding end-of-life decision-making. </w:t>
      </w:r>
      <w:r w:rsidR="00E35ACC" w:rsidRPr="00E443AD">
        <w:rPr>
          <w:rFonts w:ascii="Palatino Linotype" w:hAnsi="Palatino Linotype"/>
        </w:rPr>
        <w:t xml:space="preserve">The Center also sponsors students to attend two annual continuing legal education events in health law and encourages students to attend the bar’s health law events. These activities provide greater exposure to health law as experienced by those in practice and an opportunity to network with those in the field. </w:t>
      </w:r>
      <w:r w:rsidR="00437F3D" w:rsidRPr="00E443AD">
        <w:rPr>
          <w:rFonts w:ascii="Palatino Linotype" w:hAnsi="Palatino Linotype"/>
        </w:rPr>
        <w:t xml:space="preserve">The Center and Student Health Law Association (SHLA) also regularly bring practicing attorneys and others working in health law to campus to discuss their </w:t>
      </w:r>
      <w:r w:rsidR="00710998" w:rsidRPr="00E443AD">
        <w:rPr>
          <w:rFonts w:ascii="Palatino Linotype" w:hAnsi="Palatino Linotype"/>
        </w:rPr>
        <w:t>work in the profession that help students appreciate the various options available in health law and what the work entails</w:t>
      </w:r>
      <w:r w:rsidR="00437F3D" w:rsidRPr="00E443AD">
        <w:rPr>
          <w:rFonts w:ascii="Palatino Linotype" w:hAnsi="Palatino Linotype"/>
        </w:rPr>
        <w:t xml:space="preserve">. </w:t>
      </w:r>
      <w:r w:rsidR="00EF1595" w:rsidRPr="00E443AD">
        <w:rPr>
          <w:rFonts w:ascii="Palatino Linotype" w:hAnsi="Palatino Linotype"/>
        </w:rPr>
        <w:t>Volunteer opportunities, from working with asylum seekers to blood drives, instill a commitment to serving the community that is an essential component of the profession</w:t>
      </w:r>
      <w:r w:rsidR="00710998" w:rsidRPr="00E443AD">
        <w:rPr>
          <w:rFonts w:ascii="Palatino Linotype" w:hAnsi="Palatino Linotype"/>
        </w:rPr>
        <w:t xml:space="preserve">, </w:t>
      </w:r>
    </w:p>
  </w:footnote>
  <w:footnote w:id="35">
    <w:p w14:paraId="09F2BF7A" w14:textId="77509214" w:rsidR="00AD786C" w:rsidRPr="00E443AD" w:rsidRDefault="00AD786C" w:rsidP="00E443AD">
      <w:pPr>
        <w:pStyle w:val="FootnoteText"/>
        <w:spacing w:line="480" w:lineRule="auto"/>
        <w:jc w:val="left"/>
        <w:rPr>
          <w:rFonts w:ascii="Palatino Linotype" w:hAnsi="Palatino Linotype"/>
        </w:rPr>
      </w:pPr>
      <w:r w:rsidRPr="00E443AD">
        <w:rPr>
          <w:rStyle w:val="FootnoteReference"/>
          <w:rFonts w:ascii="Palatino Linotype" w:hAnsi="Palatino Linotype"/>
        </w:rPr>
        <w:footnoteRef/>
      </w:r>
      <w:r w:rsidRPr="00E443AD">
        <w:rPr>
          <w:rFonts w:ascii="Palatino Linotype" w:hAnsi="Palatino Linotype"/>
        </w:rPr>
        <w:t xml:space="preserve"> </w:t>
      </w:r>
      <w:r w:rsidR="00B101A2" w:rsidRPr="00E443AD">
        <w:rPr>
          <w:rFonts w:ascii="Palatino Linotype" w:hAnsi="Palatino Linotype"/>
        </w:rPr>
        <w:t xml:space="preserve">GSU law regularly offers </w:t>
      </w:r>
      <w:r w:rsidR="002D5CC5" w:rsidRPr="00E443AD">
        <w:rPr>
          <w:rFonts w:ascii="Palatino Linotype" w:hAnsi="Palatino Linotype"/>
        </w:rPr>
        <w:t>over 20 health law courses</w:t>
      </w:r>
      <w:r w:rsidRPr="00E443AD">
        <w:rPr>
          <w:rFonts w:ascii="Palatino Linotype" w:hAnsi="Palatino Linotype"/>
        </w:rPr>
        <w:t>. http://clhs.law.gsu.edu/education/health-law-courses/</w:t>
      </w:r>
    </w:p>
  </w:footnote>
  <w:footnote w:id="36">
    <w:p w14:paraId="52ED1769" w14:textId="2CD32F3F" w:rsidR="00AD786C" w:rsidRPr="00E443AD" w:rsidRDefault="00AD786C" w:rsidP="00E443AD">
      <w:pPr>
        <w:pStyle w:val="FootnoteText"/>
        <w:spacing w:line="480" w:lineRule="auto"/>
        <w:jc w:val="left"/>
        <w:rPr>
          <w:rFonts w:ascii="Palatino Linotype" w:hAnsi="Palatino Linotype"/>
        </w:rPr>
      </w:pPr>
      <w:r w:rsidRPr="00E443AD">
        <w:rPr>
          <w:rStyle w:val="FootnoteReference"/>
          <w:rFonts w:ascii="Palatino Linotype" w:hAnsi="Palatino Linotype"/>
        </w:rPr>
        <w:footnoteRef/>
      </w:r>
      <w:r w:rsidRPr="00E443AD">
        <w:rPr>
          <w:rFonts w:ascii="Palatino Linotype" w:hAnsi="Palatino Linotype"/>
        </w:rPr>
        <w:t xml:space="preserve"> </w:t>
      </w:r>
      <w:r w:rsidRPr="00E443AD">
        <w:rPr>
          <w:rFonts w:ascii="Palatino Linotype" w:hAnsi="Palatino Linotype"/>
          <w:i/>
        </w:rPr>
        <w:t>Carnegie Report</w:t>
      </w:r>
      <w:r w:rsidRPr="00E443AD">
        <w:rPr>
          <w:rFonts w:ascii="Palatino Linotype" w:hAnsi="Palatino Linotype"/>
        </w:rPr>
        <w:t xml:space="preserve">, </w:t>
      </w:r>
      <w:r w:rsidRPr="00E443AD">
        <w:rPr>
          <w:rFonts w:ascii="Palatino Linotype" w:hAnsi="Palatino Linotype"/>
          <w:i/>
        </w:rPr>
        <w:t>supra</w:t>
      </w:r>
      <w:r w:rsidRPr="00E443AD">
        <w:rPr>
          <w:rFonts w:ascii="Palatino Linotype" w:hAnsi="Palatino Linotype"/>
        </w:rPr>
        <w:t xml:space="preserve"> note 1; </w:t>
      </w:r>
      <w:r w:rsidRPr="00E443AD">
        <w:rPr>
          <w:rFonts w:ascii="Palatino Linotype" w:hAnsi="Palatino Linotype"/>
          <w:i/>
        </w:rPr>
        <w:t>Best Practices</w:t>
      </w:r>
      <w:r w:rsidRPr="00E443AD">
        <w:rPr>
          <w:rFonts w:ascii="Palatino Linotype" w:hAnsi="Palatino Linotype"/>
        </w:rPr>
        <w:t>, supra</w:t>
      </w:r>
      <w:r w:rsidRPr="00E443AD">
        <w:rPr>
          <w:rFonts w:ascii="Palatino Linotype" w:hAnsi="Palatino Linotype"/>
          <w:i/>
        </w:rPr>
        <w:t xml:space="preserve"> </w:t>
      </w:r>
      <w:r w:rsidRPr="00E443AD">
        <w:rPr>
          <w:rFonts w:ascii="Palatino Linotype" w:hAnsi="Palatino Linotype"/>
        </w:rPr>
        <w:t xml:space="preserve">note </w:t>
      </w:r>
      <w:r w:rsidR="00B101A2" w:rsidRPr="00E443AD">
        <w:rPr>
          <w:rFonts w:ascii="Palatino Linotype" w:hAnsi="Palatino Linotype"/>
        </w:rPr>
        <w:t>2</w:t>
      </w:r>
      <w:r w:rsidRPr="00E443AD">
        <w:rPr>
          <w:rFonts w:ascii="Palatino Linotype" w:hAnsi="Palatino Linotype"/>
        </w:rPr>
        <w:t xml:space="preserve">. </w:t>
      </w:r>
    </w:p>
  </w:footnote>
  <w:footnote w:id="37">
    <w:p w14:paraId="6CA7EF1C" w14:textId="3CC86033" w:rsidR="00AD786C" w:rsidRPr="00E443AD" w:rsidRDefault="00AD786C" w:rsidP="00E443AD">
      <w:pPr>
        <w:pStyle w:val="FootnoteText"/>
        <w:jc w:val="left"/>
        <w:rPr>
          <w:rFonts w:ascii="Palatino Linotype" w:hAnsi="Palatino Linotype"/>
        </w:rPr>
      </w:pPr>
      <w:r w:rsidRPr="00E443AD">
        <w:rPr>
          <w:rStyle w:val="FootnoteReference"/>
          <w:rFonts w:ascii="Palatino Linotype" w:hAnsi="Palatino Linotype"/>
        </w:rPr>
        <w:footnoteRef/>
      </w:r>
      <w:r w:rsidRPr="00E443AD">
        <w:rPr>
          <w:rFonts w:ascii="Palatino Linotype" w:hAnsi="Palatino Linotype"/>
        </w:rPr>
        <w:t xml:space="preserve"> An integrated curriculum has three parts that interact and influence each other. </w:t>
      </w:r>
      <w:r w:rsidRPr="00E443AD">
        <w:rPr>
          <w:rFonts w:ascii="Palatino Linotype" w:hAnsi="Palatino Linotype"/>
          <w:i/>
        </w:rPr>
        <w:t>Best Practices</w:t>
      </w:r>
      <w:r w:rsidRPr="00E443AD">
        <w:rPr>
          <w:rFonts w:ascii="Palatino Linotype" w:hAnsi="Palatino Linotype"/>
        </w:rPr>
        <w:t xml:space="preserve">, </w:t>
      </w:r>
      <w:r w:rsidRPr="00E443AD">
        <w:rPr>
          <w:rFonts w:ascii="Palatino Linotype" w:hAnsi="Palatino Linotype"/>
          <w:i/>
        </w:rPr>
        <w:t>supra</w:t>
      </w:r>
      <w:r w:rsidRPr="00E443AD">
        <w:rPr>
          <w:rFonts w:ascii="Palatino Linotype" w:hAnsi="Palatino Linotype"/>
        </w:rPr>
        <w:t xml:space="preserve"> note </w:t>
      </w:r>
      <w:r w:rsidR="00B101A2" w:rsidRPr="00E443AD">
        <w:rPr>
          <w:rFonts w:ascii="Palatino Linotype" w:hAnsi="Palatino Linotype"/>
        </w:rPr>
        <w:t>2</w:t>
      </w:r>
      <w:r w:rsidRPr="00E443AD">
        <w:rPr>
          <w:rFonts w:ascii="Palatino Linotype" w:hAnsi="Palatino Linotype"/>
        </w:rPr>
        <w:t xml:space="preserve">, at 255. Those elements are first, the teaching of legal doctrine and analysis; second, introduction to the several facets of practice included under the rubric of lawyering; and third, a theoretical and practical emphasis upon inculcation of the identity, values, and dispositions consonant with the fundamental purposes of the legal profession. </w:t>
      </w:r>
      <w:r w:rsidRPr="00E443AD">
        <w:rPr>
          <w:rFonts w:ascii="Palatino Linotype" w:hAnsi="Palatino Linotype"/>
          <w:i/>
        </w:rPr>
        <w:t>Id.</w:t>
      </w:r>
    </w:p>
  </w:footnote>
  <w:footnote w:id="38">
    <w:p w14:paraId="018CE875" w14:textId="6E1F55F9" w:rsidR="00AD786C" w:rsidRPr="00E443AD" w:rsidRDefault="00AD786C" w:rsidP="00E443AD">
      <w:pPr>
        <w:pStyle w:val="FootnoteText"/>
        <w:jc w:val="left"/>
        <w:rPr>
          <w:rFonts w:ascii="Palatino Linotype" w:hAnsi="Palatino Linotype"/>
        </w:rPr>
      </w:pPr>
      <w:r w:rsidRPr="00E443AD">
        <w:rPr>
          <w:rStyle w:val="FootnoteReference"/>
          <w:rFonts w:ascii="Palatino Linotype" w:hAnsi="Palatino Linotype"/>
        </w:rPr>
        <w:footnoteRef/>
      </w:r>
      <w:r w:rsidRPr="00E443AD">
        <w:rPr>
          <w:rFonts w:ascii="Palatino Linotype" w:hAnsi="Palatino Linotype"/>
        </w:rPr>
        <w:t xml:space="preserve"> The Georgia State College of Law offers multiple dual-degree programs, including programs in health administration and business and in public health. (</w:t>
      </w:r>
      <w:r w:rsidRPr="00E443AD">
        <w:rPr>
          <w:rFonts w:ascii="Palatino Linotype" w:hAnsi="Palatino Linotype"/>
          <w:i/>
        </w:rPr>
        <w:t xml:space="preserve">See </w:t>
      </w:r>
      <w:r w:rsidRPr="00E443AD">
        <w:rPr>
          <w:rFonts w:ascii="Palatino Linotype" w:hAnsi="Palatino Linotype"/>
        </w:rPr>
        <w:t>http://clhs.law.gsu.edu/education/dual-degree-programs/). Dual-degree programs can help develop additional domain knowledge and interdisciplinary skills that can be a competitive advantage in an increasingly complex practice environment. They also can provide contacts with potential employers or clients from those fields through involvement in the other department</w:t>
      </w:r>
      <w:r w:rsidR="00EF636A" w:rsidRPr="00E443AD">
        <w:rPr>
          <w:rFonts w:ascii="Palatino Linotype" w:hAnsi="Palatino Linotype"/>
        </w:rPr>
        <w:t>s</w:t>
      </w:r>
      <w:r w:rsidRPr="00E443AD">
        <w:rPr>
          <w:rFonts w:ascii="Palatino Linotype" w:hAnsi="Palatino Linotype"/>
        </w:rPr>
        <w:t>’ professional and student organization</w:t>
      </w:r>
      <w:r w:rsidR="00EF636A" w:rsidRPr="00E443AD">
        <w:rPr>
          <w:rFonts w:ascii="Palatino Linotype" w:hAnsi="Palatino Linotype"/>
        </w:rPr>
        <w:t>s</w:t>
      </w:r>
      <w:r w:rsidRPr="00E443AD">
        <w:rPr>
          <w:rFonts w:ascii="Palatino Linotype" w:hAnsi="Palatino Linotype"/>
        </w:rPr>
        <w:t>, activities, and networking opportunities</w:t>
      </w:r>
      <w:r w:rsidR="00EF636A" w:rsidRPr="00E443AD">
        <w:rPr>
          <w:rFonts w:ascii="Palatino Linotype" w:hAnsi="Palatino Linotype"/>
        </w:rPr>
        <w:t>.</w:t>
      </w:r>
    </w:p>
  </w:footnote>
  <w:footnote w:id="39">
    <w:p w14:paraId="1C0FE748" w14:textId="548F4A83" w:rsidR="00AD786C" w:rsidRPr="00E443AD" w:rsidRDefault="00AD786C" w:rsidP="00E443AD">
      <w:pPr>
        <w:pStyle w:val="FootnoteText"/>
        <w:jc w:val="left"/>
        <w:rPr>
          <w:rFonts w:ascii="Palatino Linotype" w:hAnsi="Palatino Linotype"/>
          <w:i/>
        </w:rPr>
      </w:pPr>
      <w:r w:rsidRPr="00E443AD">
        <w:rPr>
          <w:rStyle w:val="FootnoteReference"/>
          <w:rFonts w:ascii="Palatino Linotype" w:hAnsi="Palatino Linotype"/>
        </w:rPr>
        <w:footnoteRef/>
      </w:r>
      <w:r w:rsidRPr="00E443AD">
        <w:rPr>
          <w:rFonts w:ascii="Palatino Linotype" w:hAnsi="Palatino Linotype"/>
        </w:rPr>
        <w:t xml:space="preserve"> “Integrating the three parts of legal education would better prepare students for the varied demands of professional legal work.  In order to produce such integrative results in students’ learning, however, the faculty who teach in the several areas of the legal curriculum must first communicate with and learn from each other</w:t>
      </w:r>
      <w:proofErr w:type="gramStart"/>
      <w:r w:rsidRPr="00E443AD">
        <w:rPr>
          <w:rFonts w:ascii="Palatino Linotype" w:hAnsi="Palatino Linotype"/>
        </w:rPr>
        <w:t>. . . .</w:t>
      </w:r>
      <w:proofErr w:type="gramEnd"/>
      <w:r w:rsidRPr="00E443AD">
        <w:rPr>
          <w:rFonts w:ascii="Palatino Linotype" w:hAnsi="Palatino Linotype"/>
        </w:rPr>
        <w:t xml:space="preserve"> [I]</w:t>
      </w:r>
      <w:proofErr w:type="spellStart"/>
      <w:r w:rsidRPr="00E443AD">
        <w:rPr>
          <w:rFonts w:ascii="Palatino Linotype" w:hAnsi="Palatino Linotype"/>
        </w:rPr>
        <w:t>ntegration</w:t>
      </w:r>
      <w:proofErr w:type="spellEnd"/>
      <w:r w:rsidRPr="00E443AD">
        <w:rPr>
          <w:rFonts w:ascii="Palatino Linotype" w:hAnsi="Palatino Linotype"/>
        </w:rPr>
        <w:t xml:space="preserve"> can flourish only if law schools can consciously organize their emphases through ongoing mutual discussion and learning.” Executive Summary, </w:t>
      </w:r>
      <w:r w:rsidRPr="00E443AD">
        <w:rPr>
          <w:rFonts w:ascii="Palatino Linotype" w:hAnsi="Palatino Linotype"/>
          <w:i/>
        </w:rPr>
        <w:t>Carnegie Report</w:t>
      </w:r>
      <w:r w:rsidRPr="00E443AD">
        <w:rPr>
          <w:rFonts w:ascii="Palatino Linotype" w:hAnsi="Palatino Linotype"/>
        </w:rPr>
        <w:t xml:space="preserve">, </w:t>
      </w:r>
      <w:r w:rsidRPr="00E443AD">
        <w:rPr>
          <w:rFonts w:ascii="Palatino Linotype" w:hAnsi="Palatino Linotype"/>
          <w:i/>
        </w:rPr>
        <w:t>supra</w:t>
      </w:r>
      <w:r w:rsidRPr="00E443AD">
        <w:rPr>
          <w:rFonts w:ascii="Palatino Linotype" w:hAnsi="Palatino Linotype"/>
        </w:rPr>
        <w:t xml:space="preserve"> note 1, at 8, 10. Development of a structured curriculum is also discussed in detail in the book, </w:t>
      </w:r>
      <w:proofErr w:type="gramStart"/>
      <w:r w:rsidRPr="00E443AD">
        <w:rPr>
          <w:rFonts w:ascii="Palatino Linotype" w:hAnsi="Palatino Linotype"/>
          <w:i/>
        </w:rPr>
        <w:t>Building</w:t>
      </w:r>
      <w:proofErr w:type="gramEnd"/>
      <w:r w:rsidRPr="00E443AD">
        <w:rPr>
          <w:rFonts w:ascii="Palatino Linotype" w:hAnsi="Palatino Linotype"/>
          <w:i/>
        </w:rPr>
        <w:t xml:space="preserve"> on Best Practices</w:t>
      </w:r>
      <w:r w:rsidRPr="00E443AD">
        <w:rPr>
          <w:rFonts w:ascii="Palatino Linotype" w:hAnsi="Palatino Linotype"/>
        </w:rPr>
        <w:t xml:space="preserve">, </w:t>
      </w:r>
      <w:r w:rsidRPr="00E443AD">
        <w:rPr>
          <w:rFonts w:ascii="Palatino Linotype" w:hAnsi="Palatino Linotype"/>
          <w:i/>
        </w:rPr>
        <w:t xml:space="preserve">supra </w:t>
      </w:r>
      <w:r w:rsidRPr="00E443AD">
        <w:rPr>
          <w:rFonts w:ascii="Palatino Linotype" w:hAnsi="Palatino Linotype"/>
        </w:rPr>
        <w:t>note 1.</w:t>
      </w:r>
    </w:p>
  </w:footnote>
  <w:footnote w:id="40">
    <w:p w14:paraId="29286A82" w14:textId="77777777" w:rsidR="00AD786C" w:rsidRPr="00E443AD" w:rsidRDefault="00AD786C" w:rsidP="00E443AD">
      <w:pPr>
        <w:pStyle w:val="FootnoteText"/>
        <w:jc w:val="left"/>
        <w:rPr>
          <w:rFonts w:ascii="Palatino Linotype" w:hAnsi="Palatino Linotype"/>
        </w:rPr>
      </w:pPr>
      <w:r w:rsidRPr="00E443AD">
        <w:rPr>
          <w:rStyle w:val="FootnoteReference"/>
          <w:rFonts w:ascii="Palatino Linotype" w:hAnsi="Palatino Linotype"/>
        </w:rPr>
        <w:footnoteRef/>
      </w:r>
      <w:r w:rsidRPr="00E443AD">
        <w:rPr>
          <w:rFonts w:ascii="Palatino Linotype" w:hAnsi="Palatino Linotype"/>
        </w:rPr>
        <w:t xml:space="preserve"> </w:t>
      </w:r>
      <w:r w:rsidRPr="00E443AD">
        <w:rPr>
          <w:rFonts w:ascii="Palatino Linotype" w:hAnsi="Palatino Linotype"/>
          <w:i/>
        </w:rPr>
        <w:t>Best Practices</w:t>
      </w:r>
      <w:r w:rsidRPr="00E443AD">
        <w:rPr>
          <w:rFonts w:ascii="Palatino Linotype" w:hAnsi="Palatino Linotype"/>
        </w:rPr>
        <w:t xml:space="preserve"> also identifies the importance of an engaged, effective faculty. The effectiveness of full-time and part-time faculty in these types of courses is enhanced by “hiring qualified faculty, providing professional development opportunities, and assigning reasonable workloads.” </w:t>
      </w:r>
      <w:r w:rsidRPr="00E443AD">
        <w:rPr>
          <w:rFonts w:ascii="Palatino Linotype" w:hAnsi="Palatino Linotype"/>
          <w:i/>
        </w:rPr>
        <w:t>Best Practices</w:t>
      </w:r>
      <w:r w:rsidRPr="00E443AD">
        <w:rPr>
          <w:rFonts w:ascii="Palatino Linotype" w:hAnsi="Palatino Linotype"/>
        </w:rPr>
        <w:t xml:space="preserve">, supra note 1, at 178. </w:t>
      </w:r>
    </w:p>
  </w:footnote>
  <w:footnote w:id="41">
    <w:p w14:paraId="075A358C" w14:textId="3AB6DAF2" w:rsidR="00AD786C" w:rsidRPr="00E443AD" w:rsidRDefault="00AD786C" w:rsidP="00E443AD">
      <w:pPr>
        <w:pStyle w:val="FootnoteText"/>
        <w:jc w:val="left"/>
        <w:rPr>
          <w:rFonts w:ascii="Palatino Linotype" w:hAnsi="Palatino Linotype"/>
        </w:rPr>
      </w:pPr>
      <w:r w:rsidRPr="00E443AD">
        <w:rPr>
          <w:rStyle w:val="FootnoteReference"/>
          <w:rFonts w:ascii="Palatino Linotype" w:hAnsi="Palatino Linotype"/>
        </w:rPr>
        <w:footnoteRef/>
      </w:r>
      <w:r w:rsidRPr="00E443AD">
        <w:rPr>
          <w:rFonts w:ascii="Palatino Linotype" w:hAnsi="Palatino Linotype"/>
        </w:rPr>
        <w:t xml:space="preserve"> </w:t>
      </w:r>
      <w:r w:rsidRPr="00E443AD">
        <w:rPr>
          <w:rFonts w:ascii="Palatino Linotype" w:hAnsi="Palatino Linotype"/>
          <w:smallCaps/>
        </w:rPr>
        <w:t>AHLA Manual</w:t>
      </w:r>
      <w:r w:rsidRPr="00E443AD">
        <w:rPr>
          <w:rFonts w:ascii="Palatino Linotype" w:hAnsi="Palatino Linotype"/>
        </w:rPr>
        <w:t xml:space="preserve">, </w:t>
      </w:r>
      <w:r w:rsidRPr="00E443AD">
        <w:rPr>
          <w:rFonts w:ascii="Palatino Linotype" w:hAnsi="Palatino Linotype"/>
          <w:i/>
        </w:rPr>
        <w:t xml:space="preserve">supra </w:t>
      </w:r>
      <w:r w:rsidRPr="00E443AD">
        <w:rPr>
          <w:rFonts w:ascii="Palatino Linotype" w:hAnsi="Palatino Linotype"/>
        </w:rPr>
        <w:t>note 13.</w:t>
      </w:r>
    </w:p>
  </w:footnote>
  <w:footnote w:id="42">
    <w:p w14:paraId="69F75FEB" w14:textId="67EA245B" w:rsidR="00AD786C" w:rsidRPr="00E443AD" w:rsidRDefault="00AD786C" w:rsidP="00E443AD">
      <w:pPr>
        <w:pStyle w:val="FootnoteText"/>
        <w:jc w:val="left"/>
        <w:rPr>
          <w:rFonts w:ascii="Palatino Linotype" w:hAnsi="Palatino Linotype"/>
        </w:rPr>
      </w:pPr>
      <w:r w:rsidRPr="00E443AD">
        <w:rPr>
          <w:rStyle w:val="FootnoteReference"/>
          <w:rFonts w:ascii="Palatino Linotype" w:hAnsi="Palatino Linotype"/>
        </w:rPr>
        <w:footnoteRef/>
      </w:r>
      <w:r w:rsidRPr="00E443AD">
        <w:rPr>
          <w:rFonts w:ascii="Palatino Linotype" w:hAnsi="Palatino Linotype"/>
        </w:rPr>
        <w:t xml:space="preserve"> </w:t>
      </w:r>
      <w:r w:rsidRPr="00E443AD">
        <w:rPr>
          <w:rFonts w:ascii="Palatino Linotype" w:hAnsi="Palatino Linotype"/>
          <w:i/>
        </w:rPr>
        <w:t xml:space="preserve">Id. </w:t>
      </w:r>
      <w:r w:rsidRPr="00E443AD">
        <w:rPr>
          <w:rFonts w:ascii="Palatino Linotype" w:hAnsi="Palatino Linotype"/>
        </w:rPr>
        <w:t xml:space="preserve">at 12–13. </w:t>
      </w:r>
    </w:p>
  </w:footnote>
  <w:footnote w:id="43">
    <w:p w14:paraId="5227B9E6" w14:textId="77777777" w:rsidR="00AD786C" w:rsidRPr="00E443AD" w:rsidRDefault="00AD786C" w:rsidP="00E443AD">
      <w:pPr>
        <w:pStyle w:val="FootnoteText"/>
        <w:jc w:val="left"/>
        <w:rPr>
          <w:rFonts w:ascii="Palatino Linotype" w:hAnsi="Palatino Linotype"/>
        </w:rPr>
      </w:pPr>
      <w:r w:rsidRPr="00E443AD">
        <w:rPr>
          <w:rStyle w:val="FootnoteReference"/>
          <w:rFonts w:ascii="Palatino Linotype" w:hAnsi="Palatino Linotype"/>
        </w:rPr>
        <w:footnoteRef/>
      </w:r>
      <w:r w:rsidRPr="00E443AD">
        <w:rPr>
          <w:rFonts w:ascii="Palatino Linotype" w:hAnsi="Palatino Linotype"/>
        </w:rPr>
        <w:t xml:space="preserve"> </w:t>
      </w:r>
      <w:r w:rsidRPr="00E443AD">
        <w:rPr>
          <w:rFonts w:ascii="Palatino Linotype" w:hAnsi="Palatino Linotype"/>
          <w:i/>
        </w:rPr>
        <w:t>Id.</w:t>
      </w:r>
    </w:p>
  </w:footnote>
  <w:footnote w:id="44">
    <w:p w14:paraId="421765D0" w14:textId="580ED772" w:rsidR="00AD786C" w:rsidRPr="00E443AD" w:rsidRDefault="00AD786C" w:rsidP="00E443AD">
      <w:pPr>
        <w:pStyle w:val="FootnoteText"/>
        <w:jc w:val="left"/>
        <w:rPr>
          <w:rFonts w:ascii="Palatino Linotype" w:hAnsi="Palatino Linotype"/>
        </w:rPr>
      </w:pPr>
      <w:r w:rsidRPr="00E443AD">
        <w:rPr>
          <w:rStyle w:val="FootnoteReference"/>
          <w:rFonts w:ascii="Palatino Linotype" w:hAnsi="Palatino Linotype"/>
        </w:rPr>
        <w:footnoteRef/>
      </w:r>
      <w:r w:rsidRPr="00E443AD">
        <w:rPr>
          <w:rFonts w:ascii="Palatino Linotype" w:hAnsi="Palatino Linotype"/>
        </w:rPr>
        <w:t xml:space="preserve"> </w:t>
      </w:r>
      <w:r w:rsidRPr="00E443AD">
        <w:rPr>
          <w:rFonts w:ascii="Palatino Linotype" w:hAnsi="Palatino Linotype"/>
          <w:i/>
        </w:rPr>
        <w:t xml:space="preserve">Id. </w:t>
      </w:r>
      <w:r w:rsidRPr="00E443AD">
        <w:rPr>
          <w:rFonts w:ascii="Palatino Linotype" w:hAnsi="Palatino Linotype"/>
        </w:rPr>
        <w:t>at 14.</w:t>
      </w:r>
    </w:p>
  </w:footnote>
  <w:footnote w:id="45">
    <w:p w14:paraId="16A9B19C" w14:textId="4C6C07B5" w:rsidR="00AD786C" w:rsidRPr="00E443AD" w:rsidRDefault="00AD786C" w:rsidP="00E443AD">
      <w:pPr>
        <w:pStyle w:val="FootnoteText"/>
        <w:jc w:val="left"/>
        <w:rPr>
          <w:rFonts w:ascii="Palatino Linotype" w:hAnsi="Palatino Linotype"/>
        </w:rPr>
      </w:pPr>
      <w:r w:rsidRPr="00E443AD">
        <w:rPr>
          <w:rStyle w:val="FootnoteReference"/>
          <w:rFonts w:ascii="Palatino Linotype" w:hAnsi="Palatino Linotype"/>
        </w:rPr>
        <w:footnoteRef/>
      </w:r>
      <w:r w:rsidRPr="00E443AD">
        <w:rPr>
          <w:rFonts w:ascii="Palatino Linotype" w:hAnsi="Palatino Linotype"/>
        </w:rPr>
        <w:t xml:space="preserve"> </w:t>
      </w:r>
      <w:r w:rsidRPr="00E443AD">
        <w:rPr>
          <w:rFonts w:ascii="Palatino Linotype" w:hAnsi="Palatino Linotype"/>
          <w:i/>
        </w:rPr>
        <w:t>Id.</w:t>
      </w:r>
      <w:r w:rsidRPr="00E443AD">
        <w:rPr>
          <w:rFonts w:ascii="Palatino Linotype" w:hAnsi="Palatino Linotype"/>
        </w:rPr>
        <w:t xml:space="preserve"> at 13. The importance and limitations of public health law, including mandatory vaccinations, tobacco control, wellness programs, and emergency preparedness/quarantine powers.</w:t>
      </w:r>
    </w:p>
  </w:footnote>
  <w:footnote w:id="46">
    <w:p w14:paraId="4043E6DC" w14:textId="080EFDC1" w:rsidR="00AD786C" w:rsidRPr="00E443AD" w:rsidRDefault="00AD786C" w:rsidP="00E443AD">
      <w:pPr>
        <w:pStyle w:val="FootnoteText"/>
        <w:jc w:val="left"/>
        <w:rPr>
          <w:rFonts w:ascii="Palatino Linotype" w:hAnsi="Palatino Linotype"/>
        </w:rPr>
      </w:pPr>
      <w:r w:rsidRPr="00E443AD">
        <w:rPr>
          <w:rStyle w:val="FootnoteReference"/>
          <w:rFonts w:ascii="Palatino Linotype" w:hAnsi="Palatino Linotype"/>
        </w:rPr>
        <w:footnoteRef/>
      </w:r>
      <w:r w:rsidRPr="00E443AD">
        <w:rPr>
          <w:rFonts w:ascii="Palatino Linotype" w:hAnsi="Palatino Linotype"/>
        </w:rPr>
        <w:t xml:space="preserve"> Honors are awarded to students who earn a GPA of 3.6 or higher in their health law courses (required courses and electives).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6BB4A" w14:textId="55C27499" w:rsidR="00AD786C" w:rsidRPr="00E443AD" w:rsidRDefault="00E443AD" w:rsidP="00915619">
    <w:pPr>
      <w:pStyle w:val="Header"/>
      <w:jc w:val="left"/>
      <w:rPr>
        <w:rFonts w:ascii="Palatino Linotype" w:hAnsi="Palatino Linotype"/>
        <w:i/>
        <w:lang w:val="en-GB"/>
      </w:rPr>
    </w:pPr>
    <w:r w:rsidRPr="00E443AD">
      <w:rPr>
        <w:rFonts w:ascii="Palatino Linotype" w:hAnsi="Palatino Linotype"/>
        <w:i/>
        <w:lang w:val="en-GB"/>
      </w:rPr>
      <w:t>Reviewed Article – Teaching and Learning in Clinic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A15F3"/>
    <w:multiLevelType w:val="hybridMultilevel"/>
    <w:tmpl w:val="20885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937A7"/>
    <w:multiLevelType w:val="hybridMultilevel"/>
    <w:tmpl w:val="5CF81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25F6C"/>
    <w:multiLevelType w:val="hybridMultilevel"/>
    <w:tmpl w:val="19F8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6C5C62"/>
    <w:multiLevelType w:val="hybridMultilevel"/>
    <w:tmpl w:val="E6E80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F5285"/>
    <w:multiLevelType w:val="hybridMultilevel"/>
    <w:tmpl w:val="E38A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0A4D00"/>
    <w:multiLevelType w:val="hybridMultilevel"/>
    <w:tmpl w:val="6D749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22775B"/>
    <w:multiLevelType w:val="hybridMultilevel"/>
    <w:tmpl w:val="544E9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81627A"/>
    <w:multiLevelType w:val="hybridMultilevel"/>
    <w:tmpl w:val="451E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9E003E"/>
    <w:multiLevelType w:val="hybridMultilevel"/>
    <w:tmpl w:val="12722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C24D46"/>
    <w:multiLevelType w:val="hybridMultilevel"/>
    <w:tmpl w:val="7CFA1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221A3F"/>
    <w:multiLevelType w:val="hybridMultilevel"/>
    <w:tmpl w:val="54B406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2EE3DF4"/>
    <w:multiLevelType w:val="hybridMultilevel"/>
    <w:tmpl w:val="00006342"/>
    <w:lvl w:ilvl="0" w:tplc="875AECB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B4611C"/>
    <w:multiLevelType w:val="hybridMultilevel"/>
    <w:tmpl w:val="87703C00"/>
    <w:lvl w:ilvl="0" w:tplc="DF58DE6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65A4A20"/>
    <w:multiLevelType w:val="hybridMultilevel"/>
    <w:tmpl w:val="3C62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492650"/>
    <w:multiLevelType w:val="hybridMultilevel"/>
    <w:tmpl w:val="2EDE6B6A"/>
    <w:lvl w:ilvl="0" w:tplc="83C8F2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527F87"/>
    <w:multiLevelType w:val="hybridMultilevel"/>
    <w:tmpl w:val="872AF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4C7308"/>
    <w:multiLevelType w:val="hybridMultilevel"/>
    <w:tmpl w:val="DED2E0FA"/>
    <w:lvl w:ilvl="0" w:tplc="827C5FE2">
      <w:start w:val="1"/>
      <w:numFmt w:val="decimal"/>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8"/>
  </w:num>
  <w:num w:numId="5">
    <w:abstractNumId w:val="15"/>
  </w:num>
  <w:num w:numId="6">
    <w:abstractNumId w:val="9"/>
  </w:num>
  <w:num w:numId="7">
    <w:abstractNumId w:val="16"/>
  </w:num>
  <w:num w:numId="8">
    <w:abstractNumId w:val="14"/>
  </w:num>
  <w:num w:numId="9">
    <w:abstractNumId w:val="12"/>
  </w:num>
  <w:num w:numId="10">
    <w:abstractNumId w:val="11"/>
  </w:num>
  <w:num w:numId="11">
    <w:abstractNumId w:val="5"/>
  </w:num>
  <w:num w:numId="12">
    <w:abstractNumId w:val="13"/>
  </w:num>
  <w:num w:numId="13">
    <w:abstractNumId w:val="2"/>
  </w:num>
  <w:num w:numId="14">
    <w:abstractNumId w:val="4"/>
  </w:num>
  <w:num w:numId="15">
    <w:abstractNumId w:val="6"/>
  </w:num>
  <w:num w:numId="16">
    <w:abstractNumId w:val="7"/>
  </w:num>
  <w:num w:numId="17">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BAE"/>
    <w:rsid w:val="00003E96"/>
    <w:rsid w:val="0000468D"/>
    <w:rsid w:val="00006FBD"/>
    <w:rsid w:val="000077D7"/>
    <w:rsid w:val="00007B50"/>
    <w:rsid w:val="00013642"/>
    <w:rsid w:val="0001617C"/>
    <w:rsid w:val="00017736"/>
    <w:rsid w:val="00020FC4"/>
    <w:rsid w:val="00021121"/>
    <w:rsid w:val="00026896"/>
    <w:rsid w:val="000279C2"/>
    <w:rsid w:val="00033862"/>
    <w:rsid w:val="0003482A"/>
    <w:rsid w:val="000370B4"/>
    <w:rsid w:val="00040D03"/>
    <w:rsid w:val="000415AB"/>
    <w:rsid w:val="000461C0"/>
    <w:rsid w:val="00046BB3"/>
    <w:rsid w:val="000473CE"/>
    <w:rsid w:val="00051BB4"/>
    <w:rsid w:val="0005352F"/>
    <w:rsid w:val="0005498A"/>
    <w:rsid w:val="0005677A"/>
    <w:rsid w:val="00065484"/>
    <w:rsid w:val="00072E16"/>
    <w:rsid w:val="00075E4E"/>
    <w:rsid w:val="0007725E"/>
    <w:rsid w:val="00082A65"/>
    <w:rsid w:val="00083389"/>
    <w:rsid w:val="00085B40"/>
    <w:rsid w:val="00086290"/>
    <w:rsid w:val="000919AE"/>
    <w:rsid w:val="00093190"/>
    <w:rsid w:val="00093871"/>
    <w:rsid w:val="00097798"/>
    <w:rsid w:val="000A1A27"/>
    <w:rsid w:val="000A5062"/>
    <w:rsid w:val="000A577C"/>
    <w:rsid w:val="000A5957"/>
    <w:rsid w:val="000A7DAC"/>
    <w:rsid w:val="000B0135"/>
    <w:rsid w:val="000B01AD"/>
    <w:rsid w:val="000B0ED5"/>
    <w:rsid w:val="000B260E"/>
    <w:rsid w:val="000B62CD"/>
    <w:rsid w:val="000B6F77"/>
    <w:rsid w:val="000B7210"/>
    <w:rsid w:val="000B79D6"/>
    <w:rsid w:val="000C385B"/>
    <w:rsid w:val="000C60F5"/>
    <w:rsid w:val="000D03D7"/>
    <w:rsid w:val="000D167F"/>
    <w:rsid w:val="000D265D"/>
    <w:rsid w:val="000D4AFC"/>
    <w:rsid w:val="000D698B"/>
    <w:rsid w:val="000E03DB"/>
    <w:rsid w:val="000E0491"/>
    <w:rsid w:val="000E168F"/>
    <w:rsid w:val="000E36CA"/>
    <w:rsid w:val="000E475F"/>
    <w:rsid w:val="000E603D"/>
    <w:rsid w:val="000E6EDA"/>
    <w:rsid w:val="000F0A64"/>
    <w:rsid w:val="000F6758"/>
    <w:rsid w:val="000F73F2"/>
    <w:rsid w:val="001035FD"/>
    <w:rsid w:val="001065C9"/>
    <w:rsid w:val="00106F88"/>
    <w:rsid w:val="00111B87"/>
    <w:rsid w:val="001120E7"/>
    <w:rsid w:val="001154FD"/>
    <w:rsid w:val="001237CD"/>
    <w:rsid w:val="00124738"/>
    <w:rsid w:val="0012514D"/>
    <w:rsid w:val="0013016C"/>
    <w:rsid w:val="00133107"/>
    <w:rsid w:val="00134A83"/>
    <w:rsid w:val="00136366"/>
    <w:rsid w:val="001374EB"/>
    <w:rsid w:val="001377DE"/>
    <w:rsid w:val="0013793E"/>
    <w:rsid w:val="00143B69"/>
    <w:rsid w:val="001440EA"/>
    <w:rsid w:val="00152DFF"/>
    <w:rsid w:val="00155E3A"/>
    <w:rsid w:val="001565D5"/>
    <w:rsid w:val="00162B70"/>
    <w:rsid w:val="0016379A"/>
    <w:rsid w:val="001640A5"/>
    <w:rsid w:val="001701E5"/>
    <w:rsid w:val="0017119A"/>
    <w:rsid w:val="00174028"/>
    <w:rsid w:val="00175595"/>
    <w:rsid w:val="00182745"/>
    <w:rsid w:val="0018703A"/>
    <w:rsid w:val="00187B6F"/>
    <w:rsid w:val="00190271"/>
    <w:rsid w:val="00190B17"/>
    <w:rsid w:val="0019506F"/>
    <w:rsid w:val="00196A24"/>
    <w:rsid w:val="00196D62"/>
    <w:rsid w:val="0019769D"/>
    <w:rsid w:val="001A13BD"/>
    <w:rsid w:val="001A1D9D"/>
    <w:rsid w:val="001A491B"/>
    <w:rsid w:val="001A4ADF"/>
    <w:rsid w:val="001A5055"/>
    <w:rsid w:val="001A5DCF"/>
    <w:rsid w:val="001A5F1C"/>
    <w:rsid w:val="001A6492"/>
    <w:rsid w:val="001A7824"/>
    <w:rsid w:val="001A7B90"/>
    <w:rsid w:val="001B0EEB"/>
    <w:rsid w:val="001B316A"/>
    <w:rsid w:val="001B7B07"/>
    <w:rsid w:val="001C0A00"/>
    <w:rsid w:val="001C1931"/>
    <w:rsid w:val="001C773D"/>
    <w:rsid w:val="001D0935"/>
    <w:rsid w:val="001D3D89"/>
    <w:rsid w:val="001D7EB9"/>
    <w:rsid w:val="001D7F12"/>
    <w:rsid w:val="001E3370"/>
    <w:rsid w:val="001E33C1"/>
    <w:rsid w:val="001E39F4"/>
    <w:rsid w:val="001E46CD"/>
    <w:rsid w:val="001E59F4"/>
    <w:rsid w:val="001E5F90"/>
    <w:rsid w:val="001E60E9"/>
    <w:rsid w:val="001E71EC"/>
    <w:rsid w:val="001F1914"/>
    <w:rsid w:val="001F1F9F"/>
    <w:rsid w:val="001F2462"/>
    <w:rsid w:val="001F4358"/>
    <w:rsid w:val="00201EDE"/>
    <w:rsid w:val="0020398E"/>
    <w:rsid w:val="002062DA"/>
    <w:rsid w:val="0020631C"/>
    <w:rsid w:val="002079E8"/>
    <w:rsid w:val="00210291"/>
    <w:rsid w:val="002105E3"/>
    <w:rsid w:val="00212A45"/>
    <w:rsid w:val="00212BF8"/>
    <w:rsid w:val="00212FA3"/>
    <w:rsid w:val="0021469E"/>
    <w:rsid w:val="00220693"/>
    <w:rsid w:val="00220F01"/>
    <w:rsid w:val="002227A2"/>
    <w:rsid w:val="00224454"/>
    <w:rsid w:val="00225459"/>
    <w:rsid w:val="002309D3"/>
    <w:rsid w:val="00231907"/>
    <w:rsid w:val="0023250A"/>
    <w:rsid w:val="00232D39"/>
    <w:rsid w:val="00241242"/>
    <w:rsid w:val="0024255D"/>
    <w:rsid w:val="00244627"/>
    <w:rsid w:val="00244D70"/>
    <w:rsid w:val="00245F1C"/>
    <w:rsid w:val="0025015E"/>
    <w:rsid w:val="00251E93"/>
    <w:rsid w:val="00254AF2"/>
    <w:rsid w:val="00257D39"/>
    <w:rsid w:val="00261F84"/>
    <w:rsid w:val="00262B3F"/>
    <w:rsid w:val="00262F88"/>
    <w:rsid w:val="00265770"/>
    <w:rsid w:val="00267523"/>
    <w:rsid w:val="00267571"/>
    <w:rsid w:val="00267DF4"/>
    <w:rsid w:val="00272254"/>
    <w:rsid w:val="0027440A"/>
    <w:rsid w:val="00285046"/>
    <w:rsid w:val="0028698E"/>
    <w:rsid w:val="00290431"/>
    <w:rsid w:val="00293363"/>
    <w:rsid w:val="002939AE"/>
    <w:rsid w:val="0029694A"/>
    <w:rsid w:val="002978D4"/>
    <w:rsid w:val="00297F17"/>
    <w:rsid w:val="002A0A6C"/>
    <w:rsid w:val="002A2586"/>
    <w:rsid w:val="002A3AF2"/>
    <w:rsid w:val="002A6D1F"/>
    <w:rsid w:val="002B0321"/>
    <w:rsid w:val="002B5EDE"/>
    <w:rsid w:val="002B7DFA"/>
    <w:rsid w:val="002C27C3"/>
    <w:rsid w:val="002C3C8E"/>
    <w:rsid w:val="002C4354"/>
    <w:rsid w:val="002C570F"/>
    <w:rsid w:val="002C5AFC"/>
    <w:rsid w:val="002C6B6E"/>
    <w:rsid w:val="002C732D"/>
    <w:rsid w:val="002D5CC5"/>
    <w:rsid w:val="002D6D1C"/>
    <w:rsid w:val="002D6D32"/>
    <w:rsid w:val="002D7903"/>
    <w:rsid w:val="002E0834"/>
    <w:rsid w:val="002E3AC6"/>
    <w:rsid w:val="002E54BC"/>
    <w:rsid w:val="002E6B14"/>
    <w:rsid w:val="002F2053"/>
    <w:rsid w:val="002F5BA5"/>
    <w:rsid w:val="00300197"/>
    <w:rsid w:val="003010DF"/>
    <w:rsid w:val="003024EE"/>
    <w:rsid w:val="00302679"/>
    <w:rsid w:val="00302BAE"/>
    <w:rsid w:val="00303FD4"/>
    <w:rsid w:val="003045CE"/>
    <w:rsid w:val="00305327"/>
    <w:rsid w:val="00306A87"/>
    <w:rsid w:val="00307D34"/>
    <w:rsid w:val="00310B06"/>
    <w:rsid w:val="003126D4"/>
    <w:rsid w:val="00320C49"/>
    <w:rsid w:val="00323268"/>
    <w:rsid w:val="0032364A"/>
    <w:rsid w:val="003237C8"/>
    <w:rsid w:val="00331E81"/>
    <w:rsid w:val="0033335B"/>
    <w:rsid w:val="00334331"/>
    <w:rsid w:val="00334DB3"/>
    <w:rsid w:val="003356E1"/>
    <w:rsid w:val="00335A9D"/>
    <w:rsid w:val="00337175"/>
    <w:rsid w:val="00340A22"/>
    <w:rsid w:val="00342646"/>
    <w:rsid w:val="0034357A"/>
    <w:rsid w:val="00350556"/>
    <w:rsid w:val="00357EE6"/>
    <w:rsid w:val="003624B0"/>
    <w:rsid w:val="00362D35"/>
    <w:rsid w:val="00366640"/>
    <w:rsid w:val="003767F2"/>
    <w:rsid w:val="003777C1"/>
    <w:rsid w:val="00383753"/>
    <w:rsid w:val="00383A19"/>
    <w:rsid w:val="003873B0"/>
    <w:rsid w:val="0039096E"/>
    <w:rsid w:val="00390A52"/>
    <w:rsid w:val="0039342E"/>
    <w:rsid w:val="00393CA7"/>
    <w:rsid w:val="00394540"/>
    <w:rsid w:val="00396910"/>
    <w:rsid w:val="003A0F3D"/>
    <w:rsid w:val="003A1C62"/>
    <w:rsid w:val="003A465F"/>
    <w:rsid w:val="003A483C"/>
    <w:rsid w:val="003B0C52"/>
    <w:rsid w:val="003B1994"/>
    <w:rsid w:val="003B486D"/>
    <w:rsid w:val="003B501A"/>
    <w:rsid w:val="003B5BAE"/>
    <w:rsid w:val="003B6615"/>
    <w:rsid w:val="003B7C5A"/>
    <w:rsid w:val="003C15BE"/>
    <w:rsid w:val="003C253F"/>
    <w:rsid w:val="003C4BDD"/>
    <w:rsid w:val="003C526D"/>
    <w:rsid w:val="003C57E5"/>
    <w:rsid w:val="003C6B8E"/>
    <w:rsid w:val="003D1A36"/>
    <w:rsid w:val="003D2FB9"/>
    <w:rsid w:val="003D6F63"/>
    <w:rsid w:val="003D7210"/>
    <w:rsid w:val="003E1EA9"/>
    <w:rsid w:val="003E6917"/>
    <w:rsid w:val="003E6B86"/>
    <w:rsid w:val="003E7551"/>
    <w:rsid w:val="003E7755"/>
    <w:rsid w:val="003F3DA3"/>
    <w:rsid w:val="003F54A2"/>
    <w:rsid w:val="004001D9"/>
    <w:rsid w:val="004007D6"/>
    <w:rsid w:val="00403BB3"/>
    <w:rsid w:val="00403EDE"/>
    <w:rsid w:val="004057D8"/>
    <w:rsid w:val="0040686E"/>
    <w:rsid w:val="00407967"/>
    <w:rsid w:val="00415C08"/>
    <w:rsid w:val="00415D69"/>
    <w:rsid w:val="00415F6C"/>
    <w:rsid w:val="0042117C"/>
    <w:rsid w:val="00421FC3"/>
    <w:rsid w:val="00425DA9"/>
    <w:rsid w:val="00431299"/>
    <w:rsid w:val="00431B33"/>
    <w:rsid w:val="00434B12"/>
    <w:rsid w:val="004352A1"/>
    <w:rsid w:val="00436716"/>
    <w:rsid w:val="00437F3D"/>
    <w:rsid w:val="004421F4"/>
    <w:rsid w:val="00450FE5"/>
    <w:rsid w:val="00451960"/>
    <w:rsid w:val="00456AA9"/>
    <w:rsid w:val="00456EC8"/>
    <w:rsid w:val="0046154B"/>
    <w:rsid w:val="00462C60"/>
    <w:rsid w:val="00471D94"/>
    <w:rsid w:val="004729C1"/>
    <w:rsid w:val="0047375C"/>
    <w:rsid w:val="004831F3"/>
    <w:rsid w:val="00485B39"/>
    <w:rsid w:val="00486741"/>
    <w:rsid w:val="004878B4"/>
    <w:rsid w:val="00491CE9"/>
    <w:rsid w:val="0049280D"/>
    <w:rsid w:val="004973A5"/>
    <w:rsid w:val="004A0CDB"/>
    <w:rsid w:val="004A118E"/>
    <w:rsid w:val="004A1557"/>
    <w:rsid w:val="004A37ED"/>
    <w:rsid w:val="004A48CA"/>
    <w:rsid w:val="004B2514"/>
    <w:rsid w:val="004B3735"/>
    <w:rsid w:val="004B5B03"/>
    <w:rsid w:val="004C5A1A"/>
    <w:rsid w:val="004C7BB4"/>
    <w:rsid w:val="004D128E"/>
    <w:rsid w:val="004D3639"/>
    <w:rsid w:val="004D4444"/>
    <w:rsid w:val="004D47CE"/>
    <w:rsid w:val="004E0CEF"/>
    <w:rsid w:val="004E1ECD"/>
    <w:rsid w:val="004E5B9F"/>
    <w:rsid w:val="004F05B2"/>
    <w:rsid w:val="0050057D"/>
    <w:rsid w:val="005010EB"/>
    <w:rsid w:val="00504BEF"/>
    <w:rsid w:val="00515B9F"/>
    <w:rsid w:val="005167CA"/>
    <w:rsid w:val="00517C7E"/>
    <w:rsid w:val="005242D5"/>
    <w:rsid w:val="005262BA"/>
    <w:rsid w:val="00527898"/>
    <w:rsid w:val="005301E0"/>
    <w:rsid w:val="005311C5"/>
    <w:rsid w:val="005325C2"/>
    <w:rsid w:val="00532C3A"/>
    <w:rsid w:val="005355F1"/>
    <w:rsid w:val="0053660A"/>
    <w:rsid w:val="00537A82"/>
    <w:rsid w:val="00537D13"/>
    <w:rsid w:val="00537E9B"/>
    <w:rsid w:val="00540235"/>
    <w:rsid w:val="005436BF"/>
    <w:rsid w:val="00544AC4"/>
    <w:rsid w:val="005460A2"/>
    <w:rsid w:val="0054618A"/>
    <w:rsid w:val="0054648F"/>
    <w:rsid w:val="00547A33"/>
    <w:rsid w:val="00552E93"/>
    <w:rsid w:val="00555939"/>
    <w:rsid w:val="00561D5A"/>
    <w:rsid w:val="005642BA"/>
    <w:rsid w:val="0056719F"/>
    <w:rsid w:val="005679EB"/>
    <w:rsid w:val="00570C1E"/>
    <w:rsid w:val="00570E1F"/>
    <w:rsid w:val="005741F2"/>
    <w:rsid w:val="0058000A"/>
    <w:rsid w:val="0058016D"/>
    <w:rsid w:val="005804B4"/>
    <w:rsid w:val="00592B8F"/>
    <w:rsid w:val="00594606"/>
    <w:rsid w:val="00594FA2"/>
    <w:rsid w:val="005956F5"/>
    <w:rsid w:val="00595AF9"/>
    <w:rsid w:val="00597A96"/>
    <w:rsid w:val="005A2F04"/>
    <w:rsid w:val="005A31D9"/>
    <w:rsid w:val="005A49BC"/>
    <w:rsid w:val="005A5B98"/>
    <w:rsid w:val="005A68BC"/>
    <w:rsid w:val="005A68FF"/>
    <w:rsid w:val="005A7DA3"/>
    <w:rsid w:val="005B1397"/>
    <w:rsid w:val="005B198E"/>
    <w:rsid w:val="005B254A"/>
    <w:rsid w:val="005B3467"/>
    <w:rsid w:val="005B4297"/>
    <w:rsid w:val="005B52F7"/>
    <w:rsid w:val="005B621D"/>
    <w:rsid w:val="005B738F"/>
    <w:rsid w:val="005C064F"/>
    <w:rsid w:val="005C0F81"/>
    <w:rsid w:val="005C1B8C"/>
    <w:rsid w:val="005C3222"/>
    <w:rsid w:val="005C41B1"/>
    <w:rsid w:val="005C64CC"/>
    <w:rsid w:val="005D579C"/>
    <w:rsid w:val="005D5D1F"/>
    <w:rsid w:val="005D77E3"/>
    <w:rsid w:val="005E239D"/>
    <w:rsid w:val="005E5BF1"/>
    <w:rsid w:val="005F1520"/>
    <w:rsid w:val="00602F98"/>
    <w:rsid w:val="00604718"/>
    <w:rsid w:val="006056BF"/>
    <w:rsid w:val="006071EA"/>
    <w:rsid w:val="0061190E"/>
    <w:rsid w:val="00611BCB"/>
    <w:rsid w:val="00620156"/>
    <w:rsid w:val="00621DDE"/>
    <w:rsid w:val="00623922"/>
    <w:rsid w:val="00624F07"/>
    <w:rsid w:val="006257D4"/>
    <w:rsid w:val="00630088"/>
    <w:rsid w:val="00630115"/>
    <w:rsid w:val="0063040D"/>
    <w:rsid w:val="00632B35"/>
    <w:rsid w:val="00633636"/>
    <w:rsid w:val="006340C5"/>
    <w:rsid w:val="00634BE1"/>
    <w:rsid w:val="00636146"/>
    <w:rsid w:val="0063638A"/>
    <w:rsid w:val="00636AF2"/>
    <w:rsid w:val="00636E75"/>
    <w:rsid w:val="00640DE2"/>
    <w:rsid w:val="00643656"/>
    <w:rsid w:val="00644D59"/>
    <w:rsid w:val="00652CCF"/>
    <w:rsid w:val="00654785"/>
    <w:rsid w:val="00654F4E"/>
    <w:rsid w:val="00655A30"/>
    <w:rsid w:val="00656A6C"/>
    <w:rsid w:val="00657E70"/>
    <w:rsid w:val="00663167"/>
    <w:rsid w:val="0066432A"/>
    <w:rsid w:val="00664E7C"/>
    <w:rsid w:val="00666348"/>
    <w:rsid w:val="0066675B"/>
    <w:rsid w:val="00667FB4"/>
    <w:rsid w:val="00671444"/>
    <w:rsid w:val="006725A9"/>
    <w:rsid w:val="00672F09"/>
    <w:rsid w:val="00675BDF"/>
    <w:rsid w:val="00684254"/>
    <w:rsid w:val="006843AB"/>
    <w:rsid w:val="00684EC6"/>
    <w:rsid w:val="00691156"/>
    <w:rsid w:val="0069304E"/>
    <w:rsid w:val="00696D3D"/>
    <w:rsid w:val="006A1909"/>
    <w:rsid w:val="006A33EF"/>
    <w:rsid w:val="006A3594"/>
    <w:rsid w:val="006A4B72"/>
    <w:rsid w:val="006A54A0"/>
    <w:rsid w:val="006B07BE"/>
    <w:rsid w:val="006B110F"/>
    <w:rsid w:val="006B251B"/>
    <w:rsid w:val="006B57C4"/>
    <w:rsid w:val="006B6510"/>
    <w:rsid w:val="006C0903"/>
    <w:rsid w:val="006C3A4B"/>
    <w:rsid w:val="006C4F6E"/>
    <w:rsid w:val="006C5151"/>
    <w:rsid w:val="006C7288"/>
    <w:rsid w:val="006D0413"/>
    <w:rsid w:val="006D28BC"/>
    <w:rsid w:val="006D5E42"/>
    <w:rsid w:val="006E473D"/>
    <w:rsid w:val="006E66F5"/>
    <w:rsid w:val="006E7683"/>
    <w:rsid w:val="006F37A6"/>
    <w:rsid w:val="006F4398"/>
    <w:rsid w:val="006F444B"/>
    <w:rsid w:val="006F6AAF"/>
    <w:rsid w:val="006F7AE6"/>
    <w:rsid w:val="00701A35"/>
    <w:rsid w:val="00702966"/>
    <w:rsid w:val="00703753"/>
    <w:rsid w:val="007071B6"/>
    <w:rsid w:val="007071C6"/>
    <w:rsid w:val="00710744"/>
    <w:rsid w:val="00710998"/>
    <w:rsid w:val="007149B5"/>
    <w:rsid w:val="0071621E"/>
    <w:rsid w:val="007177F7"/>
    <w:rsid w:val="007236B9"/>
    <w:rsid w:val="007241D1"/>
    <w:rsid w:val="00724955"/>
    <w:rsid w:val="007267B1"/>
    <w:rsid w:val="00727E2F"/>
    <w:rsid w:val="007307DB"/>
    <w:rsid w:val="00731DE8"/>
    <w:rsid w:val="00733628"/>
    <w:rsid w:val="00736442"/>
    <w:rsid w:val="00737EE1"/>
    <w:rsid w:val="00742F73"/>
    <w:rsid w:val="00744325"/>
    <w:rsid w:val="0074579D"/>
    <w:rsid w:val="007502A0"/>
    <w:rsid w:val="0075268C"/>
    <w:rsid w:val="00757FCF"/>
    <w:rsid w:val="007604B3"/>
    <w:rsid w:val="00761F14"/>
    <w:rsid w:val="00763C1F"/>
    <w:rsid w:val="007679EE"/>
    <w:rsid w:val="00771CE3"/>
    <w:rsid w:val="00773028"/>
    <w:rsid w:val="00784A3C"/>
    <w:rsid w:val="00785F43"/>
    <w:rsid w:val="0078732E"/>
    <w:rsid w:val="00794E44"/>
    <w:rsid w:val="0079586D"/>
    <w:rsid w:val="00796267"/>
    <w:rsid w:val="007A0668"/>
    <w:rsid w:val="007A446E"/>
    <w:rsid w:val="007A4F9C"/>
    <w:rsid w:val="007A516B"/>
    <w:rsid w:val="007A523E"/>
    <w:rsid w:val="007A54E7"/>
    <w:rsid w:val="007A6062"/>
    <w:rsid w:val="007A7AD7"/>
    <w:rsid w:val="007B4DAD"/>
    <w:rsid w:val="007B67C2"/>
    <w:rsid w:val="007B7B1D"/>
    <w:rsid w:val="007C30CF"/>
    <w:rsid w:val="007D08BC"/>
    <w:rsid w:val="007D2120"/>
    <w:rsid w:val="007D6C3B"/>
    <w:rsid w:val="007E3C0C"/>
    <w:rsid w:val="007E5C10"/>
    <w:rsid w:val="007F105D"/>
    <w:rsid w:val="007F1A8B"/>
    <w:rsid w:val="007F6E03"/>
    <w:rsid w:val="00801B60"/>
    <w:rsid w:val="00804F6A"/>
    <w:rsid w:val="008058F4"/>
    <w:rsid w:val="00807CE0"/>
    <w:rsid w:val="00810CB9"/>
    <w:rsid w:val="008131B7"/>
    <w:rsid w:val="00813E13"/>
    <w:rsid w:val="00814A9A"/>
    <w:rsid w:val="00816364"/>
    <w:rsid w:val="00817761"/>
    <w:rsid w:val="00821180"/>
    <w:rsid w:val="008228E8"/>
    <w:rsid w:val="00824DD1"/>
    <w:rsid w:val="00827CFC"/>
    <w:rsid w:val="00830428"/>
    <w:rsid w:val="00833650"/>
    <w:rsid w:val="00837C83"/>
    <w:rsid w:val="00837FD0"/>
    <w:rsid w:val="00845AB3"/>
    <w:rsid w:val="00850900"/>
    <w:rsid w:val="00850EB7"/>
    <w:rsid w:val="00851200"/>
    <w:rsid w:val="008533D3"/>
    <w:rsid w:val="0085398C"/>
    <w:rsid w:val="0086037F"/>
    <w:rsid w:val="0086655A"/>
    <w:rsid w:val="00866BF4"/>
    <w:rsid w:val="00867462"/>
    <w:rsid w:val="00872AAE"/>
    <w:rsid w:val="00872D6F"/>
    <w:rsid w:val="00874CE0"/>
    <w:rsid w:val="00875FD4"/>
    <w:rsid w:val="00876AD3"/>
    <w:rsid w:val="00877BBE"/>
    <w:rsid w:val="00885B42"/>
    <w:rsid w:val="00886BBA"/>
    <w:rsid w:val="00887172"/>
    <w:rsid w:val="00887840"/>
    <w:rsid w:val="008910E1"/>
    <w:rsid w:val="00891795"/>
    <w:rsid w:val="008949DD"/>
    <w:rsid w:val="00894CDB"/>
    <w:rsid w:val="00896D98"/>
    <w:rsid w:val="008A18F5"/>
    <w:rsid w:val="008A2111"/>
    <w:rsid w:val="008A4FA2"/>
    <w:rsid w:val="008A6017"/>
    <w:rsid w:val="008A67C5"/>
    <w:rsid w:val="008A78E6"/>
    <w:rsid w:val="008B3CC1"/>
    <w:rsid w:val="008B48CC"/>
    <w:rsid w:val="008B691A"/>
    <w:rsid w:val="008C0272"/>
    <w:rsid w:val="008C20E7"/>
    <w:rsid w:val="008C38F7"/>
    <w:rsid w:val="008C5EAF"/>
    <w:rsid w:val="008D2BE8"/>
    <w:rsid w:val="008D6407"/>
    <w:rsid w:val="008D73B9"/>
    <w:rsid w:val="008E02E7"/>
    <w:rsid w:val="008E5DED"/>
    <w:rsid w:val="008E7B4F"/>
    <w:rsid w:val="008F2D60"/>
    <w:rsid w:val="008F5484"/>
    <w:rsid w:val="008F5A3E"/>
    <w:rsid w:val="008F5F23"/>
    <w:rsid w:val="00900E3F"/>
    <w:rsid w:val="00901AAE"/>
    <w:rsid w:val="00902FEC"/>
    <w:rsid w:val="00905436"/>
    <w:rsid w:val="00907516"/>
    <w:rsid w:val="00911A68"/>
    <w:rsid w:val="00912FD3"/>
    <w:rsid w:val="00914B5A"/>
    <w:rsid w:val="00915619"/>
    <w:rsid w:val="00917632"/>
    <w:rsid w:val="009201A8"/>
    <w:rsid w:val="00921D1C"/>
    <w:rsid w:val="00925386"/>
    <w:rsid w:val="00937AEA"/>
    <w:rsid w:val="009409A1"/>
    <w:rsid w:val="00940ED5"/>
    <w:rsid w:val="00943739"/>
    <w:rsid w:val="00944160"/>
    <w:rsid w:val="0094638D"/>
    <w:rsid w:val="00952391"/>
    <w:rsid w:val="009527A3"/>
    <w:rsid w:val="009539B0"/>
    <w:rsid w:val="00953A73"/>
    <w:rsid w:val="0095420F"/>
    <w:rsid w:val="0095554A"/>
    <w:rsid w:val="00955E56"/>
    <w:rsid w:val="00956E7D"/>
    <w:rsid w:val="00957074"/>
    <w:rsid w:val="00960530"/>
    <w:rsid w:val="00962A26"/>
    <w:rsid w:val="00963CFF"/>
    <w:rsid w:val="00964630"/>
    <w:rsid w:val="009865E0"/>
    <w:rsid w:val="009905A4"/>
    <w:rsid w:val="00990B4F"/>
    <w:rsid w:val="00995A9F"/>
    <w:rsid w:val="00996233"/>
    <w:rsid w:val="0099698A"/>
    <w:rsid w:val="009A43DF"/>
    <w:rsid w:val="009B59DF"/>
    <w:rsid w:val="009B73AE"/>
    <w:rsid w:val="009B7752"/>
    <w:rsid w:val="009C1044"/>
    <w:rsid w:val="009C20DB"/>
    <w:rsid w:val="009C2131"/>
    <w:rsid w:val="009C5B1E"/>
    <w:rsid w:val="009D2374"/>
    <w:rsid w:val="009D307A"/>
    <w:rsid w:val="009E25C6"/>
    <w:rsid w:val="009E442A"/>
    <w:rsid w:val="009E6125"/>
    <w:rsid w:val="009F0BB4"/>
    <w:rsid w:val="009F15E2"/>
    <w:rsid w:val="009F4005"/>
    <w:rsid w:val="009F4320"/>
    <w:rsid w:val="009F7EF5"/>
    <w:rsid w:val="00A0009C"/>
    <w:rsid w:val="00A041F6"/>
    <w:rsid w:val="00A04841"/>
    <w:rsid w:val="00A05C6F"/>
    <w:rsid w:val="00A10808"/>
    <w:rsid w:val="00A11286"/>
    <w:rsid w:val="00A260A4"/>
    <w:rsid w:val="00A271A6"/>
    <w:rsid w:val="00A27462"/>
    <w:rsid w:val="00A32F96"/>
    <w:rsid w:val="00A3347D"/>
    <w:rsid w:val="00A342A5"/>
    <w:rsid w:val="00A34421"/>
    <w:rsid w:val="00A42D4D"/>
    <w:rsid w:val="00A43D29"/>
    <w:rsid w:val="00A44F90"/>
    <w:rsid w:val="00A45E22"/>
    <w:rsid w:val="00A45FAF"/>
    <w:rsid w:val="00A45FFF"/>
    <w:rsid w:val="00A46896"/>
    <w:rsid w:val="00A508CD"/>
    <w:rsid w:val="00A512D9"/>
    <w:rsid w:val="00A529CE"/>
    <w:rsid w:val="00A604B7"/>
    <w:rsid w:val="00A66458"/>
    <w:rsid w:val="00A72D28"/>
    <w:rsid w:val="00A80E26"/>
    <w:rsid w:val="00A834C5"/>
    <w:rsid w:val="00A83B3E"/>
    <w:rsid w:val="00A8610A"/>
    <w:rsid w:val="00A912B6"/>
    <w:rsid w:val="00A91A68"/>
    <w:rsid w:val="00A92924"/>
    <w:rsid w:val="00A954A0"/>
    <w:rsid w:val="00A957BC"/>
    <w:rsid w:val="00AA2619"/>
    <w:rsid w:val="00AA2F44"/>
    <w:rsid w:val="00AA3BAC"/>
    <w:rsid w:val="00AB0ECD"/>
    <w:rsid w:val="00AB30F3"/>
    <w:rsid w:val="00AC453E"/>
    <w:rsid w:val="00AC4BFC"/>
    <w:rsid w:val="00AD00C9"/>
    <w:rsid w:val="00AD02DC"/>
    <w:rsid w:val="00AD0772"/>
    <w:rsid w:val="00AD12D6"/>
    <w:rsid w:val="00AD41F0"/>
    <w:rsid w:val="00AD786C"/>
    <w:rsid w:val="00AE054F"/>
    <w:rsid w:val="00AE0940"/>
    <w:rsid w:val="00AE3C66"/>
    <w:rsid w:val="00AE48E9"/>
    <w:rsid w:val="00AE6098"/>
    <w:rsid w:val="00AF1465"/>
    <w:rsid w:val="00AF2A72"/>
    <w:rsid w:val="00AF6DB3"/>
    <w:rsid w:val="00AF7D88"/>
    <w:rsid w:val="00B03092"/>
    <w:rsid w:val="00B03ACA"/>
    <w:rsid w:val="00B04383"/>
    <w:rsid w:val="00B101A2"/>
    <w:rsid w:val="00B10494"/>
    <w:rsid w:val="00B12ACB"/>
    <w:rsid w:val="00B12BF5"/>
    <w:rsid w:val="00B132FB"/>
    <w:rsid w:val="00B13A1D"/>
    <w:rsid w:val="00B1407A"/>
    <w:rsid w:val="00B1647D"/>
    <w:rsid w:val="00B20580"/>
    <w:rsid w:val="00B21297"/>
    <w:rsid w:val="00B217BB"/>
    <w:rsid w:val="00B22561"/>
    <w:rsid w:val="00B2312D"/>
    <w:rsid w:val="00B235DF"/>
    <w:rsid w:val="00B24A98"/>
    <w:rsid w:val="00B25A76"/>
    <w:rsid w:val="00B3170A"/>
    <w:rsid w:val="00B31C06"/>
    <w:rsid w:val="00B32105"/>
    <w:rsid w:val="00B330C7"/>
    <w:rsid w:val="00B33909"/>
    <w:rsid w:val="00B35262"/>
    <w:rsid w:val="00B40FA2"/>
    <w:rsid w:val="00B42DDC"/>
    <w:rsid w:val="00B440B1"/>
    <w:rsid w:val="00B5059E"/>
    <w:rsid w:val="00B50C67"/>
    <w:rsid w:val="00B51809"/>
    <w:rsid w:val="00B528AE"/>
    <w:rsid w:val="00B53345"/>
    <w:rsid w:val="00B53BAA"/>
    <w:rsid w:val="00B544DA"/>
    <w:rsid w:val="00B5482D"/>
    <w:rsid w:val="00B55F77"/>
    <w:rsid w:val="00B576D0"/>
    <w:rsid w:val="00B5775A"/>
    <w:rsid w:val="00B61C83"/>
    <w:rsid w:val="00B62E4B"/>
    <w:rsid w:val="00B63255"/>
    <w:rsid w:val="00B63811"/>
    <w:rsid w:val="00B63B62"/>
    <w:rsid w:val="00B64DB1"/>
    <w:rsid w:val="00B65D25"/>
    <w:rsid w:val="00B65F0D"/>
    <w:rsid w:val="00B66181"/>
    <w:rsid w:val="00B67689"/>
    <w:rsid w:val="00B70F3B"/>
    <w:rsid w:val="00B71ADD"/>
    <w:rsid w:val="00B742B6"/>
    <w:rsid w:val="00B75A82"/>
    <w:rsid w:val="00B75FE3"/>
    <w:rsid w:val="00B7729C"/>
    <w:rsid w:val="00B830B2"/>
    <w:rsid w:val="00B838C0"/>
    <w:rsid w:val="00B90E38"/>
    <w:rsid w:val="00B90F89"/>
    <w:rsid w:val="00B95459"/>
    <w:rsid w:val="00BA17C9"/>
    <w:rsid w:val="00BA33B7"/>
    <w:rsid w:val="00BA6CBE"/>
    <w:rsid w:val="00BB0457"/>
    <w:rsid w:val="00BB09E1"/>
    <w:rsid w:val="00BB2749"/>
    <w:rsid w:val="00BB27C5"/>
    <w:rsid w:val="00BB403F"/>
    <w:rsid w:val="00BC24CD"/>
    <w:rsid w:val="00BC4A21"/>
    <w:rsid w:val="00BD0B8F"/>
    <w:rsid w:val="00BD3F60"/>
    <w:rsid w:val="00BD45D8"/>
    <w:rsid w:val="00BD50CD"/>
    <w:rsid w:val="00BD592F"/>
    <w:rsid w:val="00BE6546"/>
    <w:rsid w:val="00BF2773"/>
    <w:rsid w:val="00C013B3"/>
    <w:rsid w:val="00C021D6"/>
    <w:rsid w:val="00C0286E"/>
    <w:rsid w:val="00C04560"/>
    <w:rsid w:val="00C05111"/>
    <w:rsid w:val="00C11A70"/>
    <w:rsid w:val="00C11EB8"/>
    <w:rsid w:val="00C13879"/>
    <w:rsid w:val="00C17305"/>
    <w:rsid w:val="00C216D9"/>
    <w:rsid w:val="00C23282"/>
    <w:rsid w:val="00C236BA"/>
    <w:rsid w:val="00C23FD8"/>
    <w:rsid w:val="00C24226"/>
    <w:rsid w:val="00C24E92"/>
    <w:rsid w:val="00C25161"/>
    <w:rsid w:val="00C2523B"/>
    <w:rsid w:val="00C267F1"/>
    <w:rsid w:val="00C30B61"/>
    <w:rsid w:val="00C30D22"/>
    <w:rsid w:val="00C31803"/>
    <w:rsid w:val="00C319C3"/>
    <w:rsid w:val="00C40015"/>
    <w:rsid w:val="00C435A0"/>
    <w:rsid w:val="00C506D1"/>
    <w:rsid w:val="00C52B12"/>
    <w:rsid w:val="00C554AB"/>
    <w:rsid w:val="00C55594"/>
    <w:rsid w:val="00C55953"/>
    <w:rsid w:val="00C5646F"/>
    <w:rsid w:val="00C572ED"/>
    <w:rsid w:val="00C61EE2"/>
    <w:rsid w:val="00C67ED1"/>
    <w:rsid w:val="00C70843"/>
    <w:rsid w:val="00C7120E"/>
    <w:rsid w:val="00C747CA"/>
    <w:rsid w:val="00C76704"/>
    <w:rsid w:val="00C8006C"/>
    <w:rsid w:val="00C817B5"/>
    <w:rsid w:val="00C81BC6"/>
    <w:rsid w:val="00C84B9E"/>
    <w:rsid w:val="00C84D69"/>
    <w:rsid w:val="00C8704C"/>
    <w:rsid w:val="00C91864"/>
    <w:rsid w:val="00C94D9A"/>
    <w:rsid w:val="00CA0216"/>
    <w:rsid w:val="00CA0322"/>
    <w:rsid w:val="00CA1A22"/>
    <w:rsid w:val="00CB1040"/>
    <w:rsid w:val="00CB1497"/>
    <w:rsid w:val="00CB5774"/>
    <w:rsid w:val="00CB60CF"/>
    <w:rsid w:val="00CB799F"/>
    <w:rsid w:val="00CC0636"/>
    <w:rsid w:val="00CC242E"/>
    <w:rsid w:val="00CC2B6E"/>
    <w:rsid w:val="00CC6772"/>
    <w:rsid w:val="00CC6BB8"/>
    <w:rsid w:val="00CC6CA8"/>
    <w:rsid w:val="00CC7EFA"/>
    <w:rsid w:val="00CD1948"/>
    <w:rsid w:val="00CD7671"/>
    <w:rsid w:val="00CE1ED0"/>
    <w:rsid w:val="00CE4159"/>
    <w:rsid w:val="00CE492E"/>
    <w:rsid w:val="00CF4297"/>
    <w:rsid w:val="00CF46A2"/>
    <w:rsid w:val="00CF6186"/>
    <w:rsid w:val="00D02199"/>
    <w:rsid w:val="00D0308E"/>
    <w:rsid w:val="00D04B09"/>
    <w:rsid w:val="00D07315"/>
    <w:rsid w:val="00D07810"/>
    <w:rsid w:val="00D12B41"/>
    <w:rsid w:val="00D1339C"/>
    <w:rsid w:val="00D13AA5"/>
    <w:rsid w:val="00D13B4E"/>
    <w:rsid w:val="00D2305C"/>
    <w:rsid w:val="00D23AEF"/>
    <w:rsid w:val="00D23C3F"/>
    <w:rsid w:val="00D25DDF"/>
    <w:rsid w:val="00D26D98"/>
    <w:rsid w:val="00D274A3"/>
    <w:rsid w:val="00D278DA"/>
    <w:rsid w:val="00D318D2"/>
    <w:rsid w:val="00D31FB4"/>
    <w:rsid w:val="00D34D2A"/>
    <w:rsid w:val="00D357C9"/>
    <w:rsid w:val="00D438AF"/>
    <w:rsid w:val="00D464AB"/>
    <w:rsid w:val="00D468D6"/>
    <w:rsid w:val="00D50451"/>
    <w:rsid w:val="00D50E32"/>
    <w:rsid w:val="00D52AB0"/>
    <w:rsid w:val="00D542F1"/>
    <w:rsid w:val="00D54604"/>
    <w:rsid w:val="00D601CE"/>
    <w:rsid w:val="00D6367D"/>
    <w:rsid w:val="00D66715"/>
    <w:rsid w:val="00D66D51"/>
    <w:rsid w:val="00D7040B"/>
    <w:rsid w:val="00D70B53"/>
    <w:rsid w:val="00D70F2B"/>
    <w:rsid w:val="00D7722D"/>
    <w:rsid w:val="00D774B0"/>
    <w:rsid w:val="00D8030C"/>
    <w:rsid w:val="00D80AE3"/>
    <w:rsid w:val="00D87DB0"/>
    <w:rsid w:val="00D9544E"/>
    <w:rsid w:val="00D977D1"/>
    <w:rsid w:val="00DA39DE"/>
    <w:rsid w:val="00DA6770"/>
    <w:rsid w:val="00DA6945"/>
    <w:rsid w:val="00DB08FB"/>
    <w:rsid w:val="00DB0A73"/>
    <w:rsid w:val="00DB1849"/>
    <w:rsid w:val="00DB3E1B"/>
    <w:rsid w:val="00DC1676"/>
    <w:rsid w:val="00DC181D"/>
    <w:rsid w:val="00DC500E"/>
    <w:rsid w:val="00DD2EDA"/>
    <w:rsid w:val="00DD4409"/>
    <w:rsid w:val="00DD5A4E"/>
    <w:rsid w:val="00DD7424"/>
    <w:rsid w:val="00DD7665"/>
    <w:rsid w:val="00DE0567"/>
    <w:rsid w:val="00DE23B5"/>
    <w:rsid w:val="00DE2CE9"/>
    <w:rsid w:val="00DE7ABB"/>
    <w:rsid w:val="00DF1B55"/>
    <w:rsid w:val="00DF221D"/>
    <w:rsid w:val="00DF338C"/>
    <w:rsid w:val="00DF4144"/>
    <w:rsid w:val="00DF4BA1"/>
    <w:rsid w:val="00DF5A1C"/>
    <w:rsid w:val="00DF5E9E"/>
    <w:rsid w:val="00E00041"/>
    <w:rsid w:val="00E02021"/>
    <w:rsid w:val="00E02361"/>
    <w:rsid w:val="00E06E45"/>
    <w:rsid w:val="00E070F5"/>
    <w:rsid w:val="00E1325E"/>
    <w:rsid w:val="00E14574"/>
    <w:rsid w:val="00E2157E"/>
    <w:rsid w:val="00E21ED9"/>
    <w:rsid w:val="00E229AF"/>
    <w:rsid w:val="00E27BBC"/>
    <w:rsid w:val="00E35ACC"/>
    <w:rsid w:val="00E42064"/>
    <w:rsid w:val="00E4210C"/>
    <w:rsid w:val="00E436D0"/>
    <w:rsid w:val="00E43F39"/>
    <w:rsid w:val="00E443AD"/>
    <w:rsid w:val="00E51AA9"/>
    <w:rsid w:val="00E52EC3"/>
    <w:rsid w:val="00E533D8"/>
    <w:rsid w:val="00E542DF"/>
    <w:rsid w:val="00E55360"/>
    <w:rsid w:val="00E5552F"/>
    <w:rsid w:val="00E55EC2"/>
    <w:rsid w:val="00E577F4"/>
    <w:rsid w:val="00E630C4"/>
    <w:rsid w:val="00E65282"/>
    <w:rsid w:val="00E65374"/>
    <w:rsid w:val="00E654DC"/>
    <w:rsid w:val="00E67104"/>
    <w:rsid w:val="00E723EB"/>
    <w:rsid w:val="00E76FC2"/>
    <w:rsid w:val="00E77631"/>
    <w:rsid w:val="00E77CC3"/>
    <w:rsid w:val="00E80D07"/>
    <w:rsid w:val="00E816F0"/>
    <w:rsid w:val="00E82F2C"/>
    <w:rsid w:val="00E82F60"/>
    <w:rsid w:val="00E83FCE"/>
    <w:rsid w:val="00E9276E"/>
    <w:rsid w:val="00E95D9F"/>
    <w:rsid w:val="00E967AF"/>
    <w:rsid w:val="00E96E90"/>
    <w:rsid w:val="00E97CCD"/>
    <w:rsid w:val="00EA1B15"/>
    <w:rsid w:val="00EA4C58"/>
    <w:rsid w:val="00EB11D1"/>
    <w:rsid w:val="00EB3091"/>
    <w:rsid w:val="00EB31FF"/>
    <w:rsid w:val="00EB32D8"/>
    <w:rsid w:val="00EB395F"/>
    <w:rsid w:val="00EB3A04"/>
    <w:rsid w:val="00EB3A7F"/>
    <w:rsid w:val="00EB5208"/>
    <w:rsid w:val="00EB6614"/>
    <w:rsid w:val="00EC4B7B"/>
    <w:rsid w:val="00EC7582"/>
    <w:rsid w:val="00ED022C"/>
    <w:rsid w:val="00ED1FF8"/>
    <w:rsid w:val="00ED357B"/>
    <w:rsid w:val="00ED71B8"/>
    <w:rsid w:val="00EE162F"/>
    <w:rsid w:val="00EE2721"/>
    <w:rsid w:val="00EE4467"/>
    <w:rsid w:val="00EE7DF7"/>
    <w:rsid w:val="00EF0372"/>
    <w:rsid w:val="00EF1595"/>
    <w:rsid w:val="00EF25E0"/>
    <w:rsid w:val="00EF2BA3"/>
    <w:rsid w:val="00EF3FEE"/>
    <w:rsid w:val="00EF636A"/>
    <w:rsid w:val="00EF77ED"/>
    <w:rsid w:val="00F01445"/>
    <w:rsid w:val="00F03D15"/>
    <w:rsid w:val="00F0764C"/>
    <w:rsid w:val="00F10CF0"/>
    <w:rsid w:val="00F13C37"/>
    <w:rsid w:val="00F14059"/>
    <w:rsid w:val="00F144F3"/>
    <w:rsid w:val="00F17A11"/>
    <w:rsid w:val="00F233A4"/>
    <w:rsid w:val="00F23D2B"/>
    <w:rsid w:val="00F24244"/>
    <w:rsid w:val="00F25988"/>
    <w:rsid w:val="00F25D7F"/>
    <w:rsid w:val="00F2753C"/>
    <w:rsid w:val="00F27645"/>
    <w:rsid w:val="00F30627"/>
    <w:rsid w:val="00F31A7A"/>
    <w:rsid w:val="00F327DC"/>
    <w:rsid w:val="00F349A6"/>
    <w:rsid w:val="00F368D0"/>
    <w:rsid w:val="00F36CED"/>
    <w:rsid w:val="00F447C8"/>
    <w:rsid w:val="00F50FB8"/>
    <w:rsid w:val="00F5300E"/>
    <w:rsid w:val="00F53BA8"/>
    <w:rsid w:val="00F55BB9"/>
    <w:rsid w:val="00F63559"/>
    <w:rsid w:val="00F635A3"/>
    <w:rsid w:val="00F7117B"/>
    <w:rsid w:val="00F73CE0"/>
    <w:rsid w:val="00F75323"/>
    <w:rsid w:val="00F77471"/>
    <w:rsid w:val="00F80DD3"/>
    <w:rsid w:val="00F82DC8"/>
    <w:rsid w:val="00F848D9"/>
    <w:rsid w:val="00F85531"/>
    <w:rsid w:val="00F912FF"/>
    <w:rsid w:val="00F93ED6"/>
    <w:rsid w:val="00F95268"/>
    <w:rsid w:val="00F962A1"/>
    <w:rsid w:val="00F963AC"/>
    <w:rsid w:val="00F9644B"/>
    <w:rsid w:val="00F96615"/>
    <w:rsid w:val="00FA087A"/>
    <w:rsid w:val="00FA4619"/>
    <w:rsid w:val="00FA7479"/>
    <w:rsid w:val="00FC316E"/>
    <w:rsid w:val="00FC3802"/>
    <w:rsid w:val="00FC3960"/>
    <w:rsid w:val="00FC7761"/>
    <w:rsid w:val="00FC7775"/>
    <w:rsid w:val="00FD1DC0"/>
    <w:rsid w:val="00FE117D"/>
    <w:rsid w:val="00FE6777"/>
    <w:rsid w:val="00FE6C11"/>
    <w:rsid w:val="00FE73B5"/>
    <w:rsid w:val="00FE7709"/>
    <w:rsid w:val="00FF0E69"/>
    <w:rsid w:val="00FF2EDA"/>
    <w:rsid w:val="00FF3D84"/>
    <w:rsid w:val="00FF55E7"/>
    <w:rsid w:val="00FF6AC2"/>
    <w:rsid w:val="00FF7016"/>
    <w:rsid w:val="00FF7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48B954"/>
  <w15:docId w15:val="{99C234B8-5B3B-4969-ACB2-B0EFD232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5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02BAE"/>
    <w:rPr>
      <w:sz w:val="20"/>
      <w:szCs w:val="20"/>
    </w:rPr>
  </w:style>
  <w:style w:type="character" w:customStyle="1" w:styleId="FootnoteTextChar">
    <w:name w:val="Footnote Text Char"/>
    <w:basedOn w:val="DefaultParagraphFont"/>
    <w:link w:val="FootnoteText"/>
    <w:uiPriority w:val="99"/>
    <w:rsid w:val="00302BAE"/>
    <w:rPr>
      <w:sz w:val="20"/>
      <w:szCs w:val="20"/>
    </w:rPr>
  </w:style>
  <w:style w:type="character" w:styleId="FootnoteReference">
    <w:name w:val="footnote reference"/>
    <w:basedOn w:val="DefaultParagraphFont"/>
    <w:uiPriority w:val="99"/>
    <w:unhideWhenUsed/>
    <w:rsid w:val="00302BAE"/>
    <w:rPr>
      <w:vertAlign w:val="superscript"/>
    </w:rPr>
  </w:style>
  <w:style w:type="paragraph" w:styleId="ListParagraph">
    <w:name w:val="List Paragraph"/>
    <w:basedOn w:val="Normal"/>
    <w:uiPriority w:val="34"/>
    <w:qFormat/>
    <w:rsid w:val="005E5BF1"/>
    <w:pPr>
      <w:ind w:left="720"/>
      <w:contextualSpacing/>
    </w:pPr>
  </w:style>
  <w:style w:type="paragraph" w:styleId="Header">
    <w:name w:val="header"/>
    <w:basedOn w:val="Normal"/>
    <w:link w:val="HeaderChar"/>
    <w:uiPriority w:val="99"/>
    <w:unhideWhenUsed/>
    <w:rsid w:val="009C2131"/>
    <w:pPr>
      <w:tabs>
        <w:tab w:val="center" w:pos="4680"/>
        <w:tab w:val="right" w:pos="9360"/>
      </w:tabs>
    </w:pPr>
  </w:style>
  <w:style w:type="character" w:customStyle="1" w:styleId="HeaderChar">
    <w:name w:val="Header Char"/>
    <w:basedOn w:val="DefaultParagraphFont"/>
    <w:link w:val="Header"/>
    <w:uiPriority w:val="99"/>
    <w:rsid w:val="009C2131"/>
  </w:style>
  <w:style w:type="paragraph" w:styleId="Footer">
    <w:name w:val="footer"/>
    <w:basedOn w:val="Normal"/>
    <w:link w:val="FooterChar"/>
    <w:uiPriority w:val="99"/>
    <w:unhideWhenUsed/>
    <w:rsid w:val="009C2131"/>
    <w:pPr>
      <w:tabs>
        <w:tab w:val="center" w:pos="4680"/>
        <w:tab w:val="right" w:pos="9360"/>
      </w:tabs>
    </w:pPr>
  </w:style>
  <w:style w:type="character" w:customStyle="1" w:styleId="FooterChar">
    <w:name w:val="Footer Char"/>
    <w:basedOn w:val="DefaultParagraphFont"/>
    <w:link w:val="Footer"/>
    <w:uiPriority w:val="99"/>
    <w:rsid w:val="009C2131"/>
  </w:style>
  <w:style w:type="character" w:styleId="Hyperlink">
    <w:name w:val="Hyperlink"/>
    <w:basedOn w:val="DefaultParagraphFont"/>
    <w:uiPriority w:val="99"/>
    <w:unhideWhenUsed/>
    <w:rsid w:val="00891795"/>
    <w:rPr>
      <w:color w:val="0000FF" w:themeColor="hyperlink"/>
      <w:u w:val="single"/>
    </w:rPr>
  </w:style>
  <w:style w:type="table" w:customStyle="1" w:styleId="TableGrid1">
    <w:name w:val="Table Grid1"/>
    <w:basedOn w:val="TableNormal"/>
    <w:next w:val="TableGrid"/>
    <w:uiPriority w:val="59"/>
    <w:rsid w:val="00241242"/>
    <w:pPr>
      <w:jc w:val="left"/>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41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1676"/>
    <w:rPr>
      <w:rFonts w:ascii="Tahoma" w:hAnsi="Tahoma" w:cs="Tahoma"/>
      <w:sz w:val="16"/>
      <w:szCs w:val="16"/>
    </w:rPr>
  </w:style>
  <w:style w:type="character" w:customStyle="1" w:styleId="BalloonTextChar">
    <w:name w:val="Balloon Text Char"/>
    <w:basedOn w:val="DefaultParagraphFont"/>
    <w:link w:val="BalloonText"/>
    <w:uiPriority w:val="99"/>
    <w:semiHidden/>
    <w:rsid w:val="00DC1676"/>
    <w:rPr>
      <w:rFonts w:ascii="Tahoma" w:hAnsi="Tahoma" w:cs="Tahoma"/>
      <w:sz w:val="16"/>
      <w:szCs w:val="16"/>
    </w:rPr>
  </w:style>
  <w:style w:type="character" w:styleId="FollowedHyperlink">
    <w:name w:val="FollowedHyperlink"/>
    <w:basedOn w:val="DefaultParagraphFont"/>
    <w:uiPriority w:val="99"/>
    <w:semiHidden/>
    <w:unhideWhenUsed/>
    <w:rsid w:val="00436716"/>
    <w:rPr>
      <w:color w:val="800080" w:themeColor="followedHyperlink"/>
      <w:u w:val="single"/>
    </w:rPr>
  </w:style>
  <w:style w:type="character" w:styleId="CommentReference">
    <w:name w:val="annotation reference"/>
    <w:basedOn w:val="DefaultParagraphFont"/>
    <w:uiPriority w:val="99"/>
    <w:semiHidden/>
    <w:unhideWhenUsed/>
    <w:rsid w:val="009F7EF5"/>
    <w:rPr>
      <w:sz w:val="16"/>
      <w:szCs w:val="16"/>
    </w:rPr>
  </w:style>
  <w:style w:type="paragraph" w:styleId="CommentText">
    <w:name w:val="annotation text"/>
    <w:basedOn w:val="Normal"/>
    <w:link w:val="CommentTextChar"/>
    <w:uiPriority w:val="99"/>
    <w:semiHidden/>
    <w:unhideWhenUsed/>
    <w:rsid w:val="009F7EF5"/>
    <w:rPr>
      <w:sz w:val="20"/>
      <w:szCs w:val="20"/>
    </w:rPr>
  </w:style>
  <w:style w:type="character" w:customStyle="1" w:styleId="CommentTextChar">
    <w:name w:val="Comment Text Char"/>
    <w:basedOn w:val="DefaultParagraphFont"/>
    <w:link w:val="CommentText"/>
    <w:uiPriority w:val="99"/>
    <w:semiHidden/>
    <w:rsid w:val="009F7EF5"/>
    <w:rPr>
      <w:sz w:val="20"/>
      <w:szCs w:val="20"/>
    </w:rPr>
  </w:style>
  <w:style w:type="paragraph" w:styleId="CommentSubject">
    <w:name w:val="annotation subject"/>
    <w:basedOn w:val="CommentText"/>
    <w:next w:val="CommentText"/>
    <w:link w:val="CommentSubjectChar"/>
    <w:uiPriority w:val="99"/>
    <w:semiHidden/>
    <w:unhideWhenUsed/>
    <w:rsid w:val="009F7EF5"/>
    <w:rPr>
      <w:b/>
      <w:bCs/>
    </w:rPr>
  </w:style>
  <w:style w:type="character" w:customStyle="1" w:styleId="CommentSubjectChar">
    <w:name w:val="Comment Subject Char"/>
    <w:basedOn w:val="CommentTextChar"/>
    <w:link w:val="CommentSubject"/>
    <w:uiPriority w:val="99"/>
    <w:semiHidden/>
    <w:rsid w:val="009F7EF5"/>
    <w:rPr>
      <w:b/>
      <w:bCs/>
      <w:sz w:val="20"/>
      <w:szCs w:val="20"/>
    </w:rPr>
  </w:style>
  <w:style w:type="paragraph" w:styleId="Revision">
    <w:name w:val="Revision"/>
    <w:hidden/>
    <w:uiPriority w:val="99"/>
    <w:semiHidden/>
    <w:rsid w:val="00DB0A73"/>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55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wolf@gs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abanow.org/2011/07/2011am10b/" TargetMode="External"/><Relationship Id="rId2" Type="http://schemas.openxmlformats.org/officeDocument/2006/relationships/hyperlink" Target="http://www.equippingourlawyers.org/documents/summit_final09.pdf" TargetMode="External"/><Relationship Id="rId1" Type="http://schemas.openxmlformats.org/officeDocument/2006/relationships/hyperlink" Target="http://bestpracticeslegaled.files.wordpress.com/2011/03/taskforce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43043-D60D-4402-B9D1-F020F789D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5084</Words>
  <Characters>28984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Hall</dc:creator>
  <cp:keywords/>
  <dc:description/>
  <cp:lastModifiedBy>Paul Burns</cp:lastModifiedBy>
  <cp:revision>3</cp:revision>
  <cp:lastPrinted>2011-10-25T12:32:00Z</cp:lastPrinted>
  <dcterms:created xsi:type="dcterms:W3CDTF">2017-12-19T11:05:00Z</dcterms:created>
  <dcterms:modified xsi:type="dcterms:W3CDTF">2017-12-20T11:21:00Z</dcterms:modified>
  <cp:category/>
</cp:coreProperties>
</file>