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7CCF7" w14:textId="11502AD6" w:rsidR="00FA3DBD" w:rsidRDefault="005F304D" w:rsidP="00C519D3">
      <w:pPr>
        <w:spacing w:line="480" w:lineRule="auto"/>
        <w:jc w:val="center"/>
        <w:rPr>
          <w:rFonts w:ascii="Palatino Linotype" w:hAnsi="Palatino Linotype" w:cstheme="majorBidi"/>
          <w:b/>
          <w:bCs/>
          <w:sz w:val="28"/>
          <w:szCs w:val="28"/>
        </w:rPr>
      </w:pPr>
      <w:r>
        <w:rPr>
          <w:rFonts w:ascii="Palatino Linotype" w:hAnsi="Palatino Linotype" w:cstheme="majorBidi"/>
          <w:b/>
          <w:bCs/>
          <w:sz w:val="28"/>
          <w:szCs w:val="28"/>
        </w:rPr>
        <w:t>THE IMPACT OF PRO BONO LAW CLINICS ON EMPLOYABILITY AND WORK READINESS IN LAW STUDENTS</w:t>
      </w:r>
    </w:p>
    <w:p w14:paraId="0FD12B18" w14:textId="1AF59BF8" w:rsidR="00C34312" w:rsidRPr="00C34312" w:rsidRDefault="005F304D" w:rsidP="00C34312">
      <w:pPr>
        <w:spacing w:line="360" w:lineRule="auto"/>
        <w:jc w:val="both"/>
        <w:rPr>
          <w:rFonts w:ascii="Palatino Linotype" w:hAnsi="Palatino Linotype" w:cstheme="majorBidi"/>
          <w:bCs/>
          <w:sz w:val="24"/>
          <w:szCs w:val="24"/>
          <w:lang w:val="en-GB"/>
        </w:rPr>
      </w:pPr>
      <w:r w:rsidRPr="005F304D">
        <w:rPr>
          <w:rFonts w:ascii="Palatino Linotype" w:hAnsi="Palatino Linotype" w:cstheme="majorBidi"/>
          <w:bCs/>
          <w:sz w:val="24"/>
          <w:szCs w:val="24"/>
        </w:rPr>
        <w:t>Francina Cantatore</w:t>
      </w:r>
      <w:r w:rsidR="00C34312">
        <w:rPr>
          <w:rFonts w:ascii="Palatino Linotype" w:hAnsi="Palatino Linotype" w:cstheme="majorBidi"/>
          <w:bCs/>
          <w:sz w:val="24"/>
          <w:szCs w:val="24"/>
        </w:rPr>
        <w:t xml:space="preserve">, </w:t>
      </w:r>
      <w:r w:rsidR="00C34312" w:rsidRPr="00C34312">
        <w:rPr>
          <w:rFonts w:ascii="Palatino Linotype" w:hAnsi="Palatino Linotype" w:cstheme="majorBidi"/>
          <w:bCs/>
          <w:sz w:val="24"/>
          <w:szCs w:val="24"/>
          <w:lang w:val="en-GB"/>
        </w:rPr>
        <w:t>Assistant Professor</w:t>
      </w:r>
      <w:r w:rsidR="00C34312">
        <w:rPr>
          <w:rFonts w:ascii="Palatino Linotype" w:hAnsi="Palatino Linotype" w:cstheme="majorBidi"/>
          <w:bCs/>
          <w:sz w:val="24"/>
          <w:szCs w:val="24"/>
          <w:lang w:val="en-GB"/>
        </w:rPr>
        <w:t xml:space="preserve"> </w:t>
      </w:r>
      <w:r w:rsidR="00C34312" w:rsidRPr="00C34312">
        <w:rPr>
          <w:rFonts w:ascii="Palatino Linotype" w:hAnsi="Palatino Linotype" w:cstheme="majorBidi"/>
          <w:bCs/>
          <w:sz w:val="24"/>
          <w:szCs w:val="24"/>
          <w:lang w:val="en-GB"/>
        </w:rPr>
        <w:t>Faculty of Law</w:t>
      </w:r>
      <w:r w:rsidR="00C34312">
        <w:rPr>
          <w:rFonts w:ascii="Palatino Linotype" w:hAnsi="Palatino Linotype" w:cstheme="majorBidi"/>
          <w:bCs/>
          <w:sz w:val="24"/>
          <w:szCs w:val="24"/>
          <w:lang w:val="en-GB"/>
        </w:rPr>
        <w:t xml:space="preserve">, </w:t>
      </w:r>
      <w:r w:rsidR="00C34312" w:rsidRPr="00C34312">
        <w:rPr>
          <w:rFonts w:ascii="Palatino Linotype" w:hAnsi="Palatino Linotype" w:cstheme="majorBidi"/>
          <w:bCs/>
          <w:sz w:val="24"/>
          <w:szCs w:val="24"/>
          <w:lang w:val="en-GB"/>
        </w:rPr>
        <w:t>Bond University</w:t>
      </w:r>
      <w:r w:rsidR="00C34312">
        <w:rPr>
          <w:rFonts w:ascii="Palatino Linotype" w:hAnsi="Palatino Linotype" w:cstheme="majorBidi"/>
          <w:bCs/>
          <w:sz w:val="24"/>
          <w:szCs w:val="24"/>
          <w:lang w:val="en-GB"/>
        </w:rPr>
        <w:t xml:space="preserve">, </w:t>
      </w:r>
      <w:r w:rsidR="00C34312" w:rsidRPr="00C34312">
        <w:rPr>
          <w:rFonts w:ascii="Palatino Linotype" w:hAnsi="Palatino Linotype" w:cstheme="majorBidi"/>
          <w:bCs/>
          <w:sz w:val="24"/>
          <w:szCs w:val="24"/>
          <w:lang w:val="en-GB"/>
        </w:rPr>
        <w:t xml:space="preserve">Australia </w:t>
      </w:r>
    </w:p>
    <w:p w14:paraId="465F02A3" w14:textId="77777777" w:rsidR="00C72AAB" w:rsidRPr="005F304D" w:rsidRDefault="00C72AAB" w:rsidP="00C34312">
      <w:pPr>
        <w:spacing w:line="480" w:lineRule="auto"/>
        <w:jc w:val="both"/>
        <w:rPr>
          <w:rFonts w:ascii="Palatino Linotype" w:hAnsi="Palatino Linotype" w:cstheme="majorBidi"/>
          <w:b/>
          <w:bCs/>
          <w:sz w:val="24"/>
          <w:szCs w:val="24"/>
        </w:rPr>
      </w:pPr>
      <w:r w:rsidRPr="005F304D">
        <w:rPr>
          <w:rFonts w:ascii="Palatino Linotype" w:hAnsi="Palatino Linotype" w:cstheme="majorBidi"/>
          <w:b/>
          <w:bCs/>
          <w:sz w:val="24"/>
          <w:szCs w:val="24"/>
        </w:rPr>
        <w:t>Abstract</w:t>
      </w:r>
    </w:p>
    <w:p w14:paraId="45F4F810" w14:textId="77C93DF9" w:rsidR="00016543" w:rsidRPr="005F304D" w:rsidRDefault="001F5FDF" w:rsidP="00C34312">
      <w:pPr>
        <w:spacing w:line="360" w:lineRule="auto"/>
        <w:jc w:val="both"/>
        <w:rPr>
          <w:rFonts w:ascii="Palatino Linotype" w:hAnsi="Palatino Linotype" w:cstheme="majorBidi"/>
          <w:sz w:val="24"/>
          <w:szCs w:val="24"/>
        </w:rPr>
      </w:pPr>
      <w:r w:rsidRPr="005F304D">
        <w:rPr>
          <w:rFonts w:ascii="Palatino Linotype" w:hAnsi="Palatino Linotype" w:cstheme="majorBidi"/>
          <w:sz w:val="24"/>
          <w:szCs w:val="24"/>
        </w:rPr>
        <w:t>The benefits of involving law students in practical learning exercises and clinical experience have been well documented. Undeniably t</w:t>
      </w:r>
      <w:r w:rsidR="00840631" w:rsidRPr="005F304D">
        <w:rPr>
          <w:rFonts w:ascii="Palatino Linotype" w:hAnsi="Palatino Linotype" w:cstheme="majorBidi"/>
          <w:sz w:val="24"/>
          <w:szCs w:val="24"/>
        </w:rPr>
        <w:t xml:space="preserve">he implementation of law clinics in </w:t>
      </w:r>
      <w:r w:rsidR="00016543" w:rsidRPr="005F304D">
        <w:rPr>
          <w:rFonts w:ascii="Palatino Linotype" w:hAnsi="Palatino Linotype" w:cstheme="majorBidi"/>
          <w:sz w:val="24"/>
          <w:szCs w:val="24"/>
        </w:rPr>
        <w:t xml:space="preserve">university </w:t>
      </w:r>
      <w:r w:rsidR="00840631" w:rsidRPr="005F304D">
        <w:rPr>
          <w:rFonts w:ascii="Palatino Linotype" w:hAnsi="Palatino Linotype" w:cstheme="majorBidi"/>
          <w:sz w:val="24"/>
          <w:szCs w:val="24"/>
        </w:rPr>
        <w:t>law scho</w:t>
      </w:r>
      <w:r w:rsidR="00425935" w:rsidRPr="005F304D">
        <w:rPr>
          <w:rFonts w:ascii="Palatino Linotype" w:hAnsi="Palatino Linotype" w:cstheme="majorBidi"/>
          <w:sz w:val="24"/>
          <w:szCs w:val="24"/>
        </w:rPr>
        <w:t>ols has</w:t>
      </w:r>
      <w:r w:rsidR="00C72AAB" w:rsidRPr="005F304D">
        <w:rPr>
          <w:rFonts w:ascii="Palatino Linotype" w:hAnsi="Palatino Linotype" w:cstheme="majorBidi"/>
          <w:sz w:val="24"/>
          <w:szCs w:val="24"/>
        </w:rPr>
        <w:t xml:space="preserve"> significant </w:t>
      </w:r>
      <w:r w:rsidR="00840631" w:rsidRPr="005F304D">
        <w:rPr>
          <w:rFonts w:ascii="Palatino Linotype" w:hAnsi="Palatino Linotype" w:cstheme="majorBidi"/>
          <w:sz w:val="24"/>
          <w:szCs w:val="24"/>
        </w:rPr>
        <w:t xml:space="preserve">advantages for students, including practice-based learning, </w:t>
      </w:r>
      <w:r w:rsidR="00016543" w:rsidRPr="005F304D">
        <w:rPr>
          <w:rFonts w:ascii="Palatino Linotype" w:hAnsi="Palatino Linotype" w:cstheme="majorBidi"/>
          <w:sz w:val="24"/>
          <w:szCs w:val="24"/>
        </w:rPr>
        <w:t xml:space="preserve">general </w:t>
      </w:r>
      <w:r w:rsidR="00C72AAB" w:rsidRPr="005F304D">
        <w:rPr>
          <w:rFonts w:ascii="Palatino Linotype" w:hAnsi="Palatino Linotype" w:cstheme="majorBidi"/>
          <w:sz w:val="24"/>
          <w:szCs w:val="24"/>
        </w:rPr>
        <w:t xml:space="preserve">skills improvement and preparation for the workplace. </w:t>
      </w:r>
      <w:r w:rsidR="00016543" w:rsidRPr="005F304D">
        <w:rPr>
          <w:rFonts w:ascii="Palatino Linotype" w:hAnsi="Palatino Linotype" w:cstheme="majorBidi"/>
          <w:sz w:val="24"/>
          <w:szCs w:val="24"/>
        </w:rPr>
        <w:t>It</w:t>
      </w:r>
      <w:r w:rsidR="00C72AAB" w:rsidRPr="005F304D">
        <w:rPr>
          <w:rFonts w:ascii="Palatino Linotype" w:hAnsi="Palatino Linotype" w:cstheme="majorBidi"/>
          <w:sz w:val="24"/>
          <w:szCs w:val="24"/>
        </w:rPr>
        <w:t xml:space="preserve"> has become more important than ever to prepare law students for practice, and employability initiatives have become the focus of many law schools. </w:t>
      </w:r>
      <w:r w:rsidR="009B11E6" w:rsidRPr="005F304D">
        <w:rPr>
          <w:rFonts w:ascii="Palatino Linotype" w:hAnsi="Palatino Linotype" w:cstheme="majorBidi"/>
          <w:sz w:val="24"/>
          <w:szCs w:val="24"/>
        </w:rPr>
        <w:t>One of the ways</w:t>
      </w:r>
      <w:r w:rsidR="00C72AAB" w:rsidRPr="005F304D">
        <w:rPr>
          <w:rFonts w:ascii="Palatino Linotype" w:hAnsi="Palatino Linotype" w:cstheme="majorBidi"/>
          <w:sz w:val="24"/>
          <w:szCs w:val="24"/>
        </w:rPr>
        <w:t xml:space="preserve"> in which student employability can be boosted is through a </w:t>
      </w:r>
      <w:r w:rsidR="009B11E6" w:rsidRPr="005F304D">
        <w:rPr>
          <w:rFonts w:ascii="Palatino Linotype" w:hAnsi="Palatino Linotype" w:cstheme="majorBidi"/>
          <w:sz w:val="24"/>
          <w:szCs w:val="24"/>
        </w:rPr>
        <w:t xml:space="preserve">pro bono </w:t>
      </w:r>
      <w:r w:rsidR="00C72AAB" w:rsidRPr="005F304D">
        <w:rPr>
          <w:rFonts w:ascii="Palatino Linotype" w:hAnsi="Palatino Linotype" w:cstheme="majorBidi"/>
          <w:sz w:val="24"/>
          <w:szCs w:val="24"/>
        </w:rPr>
        <w:t>law clinic.</w:t>
      </w:r>
      <w:r w:rsidR="00C72AAB" w:rsidRPr="005F304D">
        <w:rPr>
          <w:rFonts w:ascii="Palatino Linotype" w:eastAsia="Calibri" w:hAnsi="Palatino Linotype" w:cstheme="majorBidi"/>
          <w:sz w:val="24"/>
          <w:szCs w:val="24"/>
          <w:lang w:eastAsia="en-US"/>
        </w:rPr>
        <w:t xml:space="preserve"> </w:t>
      </w:r>
      <w:r w:rsidR="009B11E6" w:rsidRPr="005F304D">
        <w:rPr>
          <w:rFonts w:ascii="Palatino Linotype" w:hAnsi="Palatino Linotype" w:cstheme="majorBidi"/>
          <w:sz w:val="24"/>
          <w:szCs w:val="24"/>
        </w:rPr>
        <w:t xml:space="preserve">Not only do </w:t>
      </w:r>
      <w:r w:rsidR="00C72AAB" w:rsidRPr="005F304D">
        <w:rPr>
          <w:rFonts w:ascii="Palatino Linotype" w:hAnsi="Palatino Linotype" w:cstheme="majorBidi"/>
          <w:sz w:val="24"/>
          <w:szCs w:val="24"/>
        </w:rPr>
        <w:t xml:space="preserve">law students entering the competitive work environment benefit significantly from practical work experience </w:t>
      </w:r>
      <w:r w:rsidR="00016543" w:rsidRPr="005F304D">
        <w:rPr>
          <w:rFonts w:ascii="Palatino Linotype" w:hAnsi="Palatino Linotype" w:cstheme="majorBidi"/>
          <w:sz w:val="24"/>
          <w:szCs w:val="24"/>
        </w:rPr>
        <w:t xml:space="preserve">gained </w:t>
      </w:r>
      <w:r w:rsidR="00C72AAB" w:rsidRPr="005F304D">
        <w:rPr>
          <w:rFonts w:ascii="Palatino Linotype" w:hAnsi="Palatino Linotype" w:cstheme="majorBidi"/>
          <w:sz w:val="24"/>
          <w:szCs w:val="24"/>
        </w:rPr>
        <w:t xml:space="preserve">during the course of their law degree, but </w:t>
      </w:r>
      <w:r w:rsidRPr="005F304D">
        <w:rPr>
          <w:rFonts w:ascii="Palatino Linotype" w:hAnsi="Palatino Linotype" w:cstheme="majorBidi"/>
          <w:sz w:val="24"/>
          <w:szCs w:val="24"/>
        </w:rPr>
        <w:t xml:space="preserve">there is evidence that it </w:t>
      </w:r>
      <w:r w:rsidR="00C72AAB" w:rsidRPr="005F304D">
        <w:rPr>
          <w:rFonts w:ascii="Palatino Linotype" w:hAnsi="Palatino Linotype" w:cstheme="majorBidi"/>
          <w:sz w:val="24"/>
          <w:szCs w:val="24"/>
        </w:rPr>
        <w:t xml:space="preserve">could also increase self-confidence, practical </w:t>
      </w:r>
      <w:r w:rsidR="00016543" w:rsidRPr="005F304D">
        <w:rPr>
          <w:rFonts w:ascii="Palatino Linotype" w:hAnsi="Palatino Linotype" w:cstheme="majorBidi"/>
          <w:sz w:val="24"/>
          <w:szCs w:val="24"/>
        </w:rPr>
        <w:t>knowledge</w:t>
      </w:r>
      <w:r w:rsidR="00C72AAB" w:rsidRPr="005F304D">
        <w:rPr>
          <w:rFonts w:ascii="Palatino Linotype" w:hAnsi="Palatino Linotype" w:cstheme="majorBidi"/>
          <w:sz w:val="24"/>
          <w:szCs w:val="24"/>
        </w:rPr>
        <w:t xml:space="preserve"> and, consequently, employability in students.</w:t>
      </w:r>
      <w:r w:rsidRPr="005F304D">
        <w:rPr>
          <w:rFonts w:ascii="Palatino Linotype" w:hAnsi="Palatino Linotype" w:cstheme="majorBidi"/>
          <w:sz w:val="24"/>
          <w:szCs w:val="24"/>
        </w:rPr>
        <w:t xml:space="preserve"> However, there has been little empirical </w:t>
      </w:r>
      <w:r w:rsidR="003C5E5B" w:rsidRPr="005F304D">
        <w:rPr>
          <w:rFonts w:ascii="Palatino Linotype" w:hAnsi="Palatino Linotype" w:cstheme="majorBidi"/>
          <w:sz w:val="24"/>
          <w:szCs w:val="24"/>
        </w:rPr>
        <w:t>research interrogating</w:t>
      </w:r>
      <w:r w:rsidRPr="005F304D">
        <w:rPr>
          <w:rFonts w:ascii="Palatino Linotype" w:hAnsi="Palatino Linotype" w:cstheme="majorBidi"/>
          <w:sz w:val="24"/>
          <w:szCs w:val="24"/>
        </w:rPr>
        <w:t xml:space="preserve"> the connection between graduate skills</w:t>
      </w:r>
      <w:r w:rsidR="003C5E5B" w:rsidRPr="005F304D">
        <w:rPr>
          <w:rFonts w:ascii="Palatino Linotype" w:hAnsi="Palatino Linotype" w:cstheme="majorBidi"/>
          <w:sz w:val="24"/>
          <w:szCs w:val="24"/>
        </w:rPr>
        <w:t xml:space="preserve"> </w:t>
      </w:r>
      <w:r w:rsidR="009B11E6" w:rsidRPr="005F304D">
        <w:rPr>
          <w:rFonts w:ascii="Palatino Linotype" w:hAnsi="Palatino Linotype" w:cstheme="majorBidi"/>
          <w:sz w:val="24"/>
          <w:szCs w:val="24"/>
        </w:rPr>
        <w:t xml:space="preserve">development </w:t>
      </w:r>
      <w:r w:rsidR="003C5E5B" w:rsidRPr="005F304D">
        <w:rPr>
          <w:rFonts w:ascii="Palatino Linotype" w:hAnsi="Palatino Linotype" w:cstheme="majorBidi"/>
          <w:sz w:val="24"/>
          <w:szCs w:val="24"/>
        </w:rPr>
        <w:t xml:space="preserve">and clinical experience. </w:t>
      </w:r>
      <w:r w:rsidR="00016543" w:rsidRPr="005F304D">
        <w:rPr>
          <w:rFonts w:ascii="Palatino Linotype" w:hAnsi="Palatino Linotype" w:cstheme="majorBidi"/>
          <w:sz w:val="24"/>
          <w:szCs w:val="24"/>
        </w:rPr>
        <w:t xml:space="preserve">This </w:t>
      </w:r>
      <w:r w:rsidR="009B11E6" w:rsidRPr="005F304D">
        <w:rPr>
          <w:rFonts w:ascii="Palatino Linotype" w:hAnsi="Palatino Linotype" w:cstheme="majorBidi"/>
          <w:sz w:val="24"/>
          <w:szCs w:val="24"/>
        </w:rPr>
        <w:t xml:space="preserve">article continues the discourse on the link between graduate employability skills and law clinics. It </w:t>
      </w:r>
      <w:r w:rsidR="003C5E5B" w:rsidRPr="005F304D">
        <w:rPr>
          <w:rFonts w:ascii="Palatino Linotype" w:hAnsi="Palatino Linotype" w:cstheme="majorBidi"/>
          <w:sz w:val="24"/>
          <w:szCs w:val="24"/>
        </w:rPr>
        <w:t>focuses, first</w:t>
      </w:r>
      <w:r w:rsidR="00016543" w:rsidRPr="005F304D">
        <w:rPr>
          <w:rFonts w:ascii="Palatino Linotype" w:hAnsi="Palatino Linotype" w:cstheme="majorBidi"/>
          <w:sz w:val="24"/>
          <w:szCs w:val="24"/>
        </w:rPr>
        <w:t xml:space="preserve">, on the benefits of </w:t>
      </w:r>
      <w:r w:rsidR="006504D6" w:rsidRPr="005F304D">
        <w:rPr>
          <w:rFonts w:ascii="Palatino Linotype" w:hAnsi="Palatino Linotype" w:cstheme="majorBidi"/>
          <w:sz w:val="24"/>
          <w:szCs w:val="24"/>
        </w:rPr>
        <w:t xml:space="preserve">pro bono </w:t>
      </w:r>
      <w:r w:rsidR="00016543" w:rsidRPr="005F304D">
        <w:rPr>
          <w:rFonts w:ascii="Palatino Linotype" w:hAnsi="Palatino Linotype" w:cstheme="majorBidi"/>
          <w:sz w:val="24"/>
          <w:szCs w:val="24"/>
        </w:rPr>
        <w:t>law clinics for</w:t>
      </w:r>
      <w:r w:rsidR="00BB2CE9" w:rsidRPr="005F304D">
        <w:rPr>
          <w:rFonts w:ascii="Palatino Linotype" w:hAnsi="Palatino Linotype" w:cstheme="majorBidi"/>
          <w:sz w:val="24"/>
          <w:szCs w:val="24"/>
        </w:rPr>
        <w:t xml:space="preserve"> students in the context of work </w:t>
      </w:r>
      <w:r w:rsidR="00016543" w:rsidRPr="005F304D">
        <w:rPr>
          <w:rFonts w:ascii="Palatino Linotype" w:hAnsi="Palatino Linotype" w:cstheme="majorBidi"/>
          <w:sz w:val="24"/>
          <w:szCs w:val="24"/>
        </w:rPr>
        <w:t>readiness; second, it examines the results of a survey administered to law students pre- and post- law clinic training within the theoretic grounding of the Graduate Employability Indicators prepared</w:t>
      </w:r>
      <w:r w:rsidR="00425935" w:rsidRPr="005F304D">
        <w:rPr>
          <w:rFonts w:ascii="Palatino Linotype" w:hAnsi="Palatino Linotype" w:cstheme="majorBidi"/>
          <w:sz w:val="24"/>
          <w:szCs w:val="24"/>
        </w:rPr>
        <w:t xml:space="preserve"> by Oliver et al</w:t>
      </w:r>
      <w:r w:rsidR="00F33526" w:rsidRPr="005F304D">
        <w:rPr>
          <w:rFonts w:ascii="Palatino Linotype" w:hAnsi="Palatino Linotype" w:cstheme="majorBidi"/>
          <w:sz w:val="24"/>
          <w:szCs w:val="24"/>
        </w:rPr>
        <w:t>. (2011)</w:t>
      </w:r>
      <w:r w:rsidR="00425935" w:rsidRPr="005F304D">
        <w:rPr>
          <w:rFonts w:ascii="Palatino Linotype" w:hAnsi="Palatino Linotype" w:cstheme="majorBidi"/>
          <w:sz w:val="24"/>
          <w:szCs w:val="24"/>
        </w:rPr>
        <w:t xml:space="preserve">; and </w:t>
      </w:r>
      <w:r w:rsidR="00AE5233" w:rsidRPr="005F304D">
        <w:rPr>
          <w:rFonts w:ascii="Palatino Linotype" w:hAnsi="Palatino Linotype" w:cstheme="majorBidi"/>
          <w:sz w:val="24"/>
          <w:szCs w:val="24"/>
        </w:rPr>
        <w:t>in conclusion</w:t>
      </w:r>
      <w:r w:rsidR="00425935" w:rsidRPr="005F304D">
        <w:rPr>
          <w:rFonts w:ascii="Palatino Linotype" w:hAnsi="Palatino Linotype" w:cstheme="majorBidi"/>
          <w:sz w:val="24"/>
          <w:szCs w:val="24"/>
        </w:rPr>
        <w:t>, it cons</w:t>
      </w:r>
      <w:r w:rsidR="003C5E5B" w:rsidRPr="005F304D">
        <w:rPr>
          <w:rFonts w:ascii="Palatino Linotype" w:hAnsi="Palatino Linotype" w:cstheme="majorBidi"/>
          <w:sz w:val="24"/>
          <w:szCs w:val="24"/>
        </w:rPr>
        <w:t>iders the future implications for</w:t>
      </w:r>
      <w:r w:rsidR="00425935" w:rsidRPr="005F304D">
        <w:rPr>
          <w:rFonts w:ascii="Palatino Linotype" w:hAnsi="Palatino Linotype" w:cstheme="majorBidi"/>
          <w:sz w:val="24"/>
          <w:szCs w:val="24"/>
        </w:rPr>
        <w:t xml:space="preserve"> law schools and </w:t>
      </w:r>
      <w:r w:rsidR="00AE5233" w:rsidRPr="005F304D">
        <w:rPr>
          <w:rFonts w:ascii="Palatino Linotype" w:hAnsi="Palatino Linotype" w:cstheme="majorBidi"/>
          <w:sz w:val="24"/>
          <w:szCs w:val="24"/>
        </w:rPr>
        <w:t>the need for further research in this area.</w:t>
      </w:r>
    </w:p>
    <w:p w14:paraId="61DD5746" w14:textId="77777777" w:rsidR="00124CDD" w:rsidRPr="005F304D" w:rsidRDefault="00D5218E" w:rsidP="00C34312">
      <w:pPr>
        <w:spacing w:line="480" w:lineRule="auto"/>
        <w:jc w:val="both"/>
        <w:rPr>
          <w:rFonts w:ascii="Palatino Linotype" w:hAnsi="Palatino Linotype" w:cstheme="majorBidi"/>
          <w:b/>
          <w:sz w:val="24"/>
          <w:szCs w:val="24"/>
        </w:rPr>
      </w:pPr>
      <w:r w:rsidRPr="005F304D">
        <w:rPr>
          <w:rFonts w:ascii="Palatino Linotype" w:hAnsi="Palatino Linotype" w:cstheme="majorBidi"/>
          <w:b/>
          <w:sz w:val="24"/>
          <w:szCs w:val="24"/>
        </w:rPr>
        <w:t>Keywords</w:t>
      </w:r>
    </w:p>
    <w:p w14:paraId="036A13FE" w14:textId="77777777" w:rsidR="00EE2D74" w:rsidRPr="005F304D" w:rsidRDefault="00EE2D74"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Graduate employability; </w:t>
      </w:r>
      <w:r w:rsidR="00177BF0" w:rsidRPr="005F304D">
        <w:rPr>
          <w:rFonts w:ascii="Palatino Linotype" w:hAnsi="Palatino Linotype" w:cstheme="majorBidi"/>
          <w:sz w:val="24"/>
          <w:szCs w:val="24"/>
        </w:rPr>
        <w:t xml:space="preserve">GEI; </w:t>
      </w:r>
      <w:r w:rsidRPr="005F304D">
        <w:rPr>
          <w:rFonts w:ascii="Palatino Linotype" w:hAnsi="Palatino Linotype" w:cstheme="majorBidi"/>
          <w:sz w:val="24"/>
          <w:szCs w:val="24"/>
        </w:rPr>
        <w:t>clinical edu</w:t>
      </w:r>
      <w:bookmarkStart w:id="0" w:name="_GoBack"/>
      <w:bookmarkEnd w:id="0"/>
      <w:r w:rsidRPr="005F304D">
        <w:rPr>
          <w:rFonts w:ascii="Palatino Linotype" w:hAnsi="Palatino Linotype" w:cstheme="majorBidi"/>
          <w:sz w:val="24"/>
          <w:szCs w:val="24"/>
        </w:rPr>
        <w:t>cation; legal education; pro bono law clinic</w:t>
      </w:r>
    </w:p>
    <w:p w14:paraId="684C7CC5" w14:textId="574F0AA2" w:rsidR="00124CDD" w:rsidRPr="005F304D" w:rsidRDefault="00124CDD" w:rsidP="00C34312">
      <w:pPr>
        <w:spacing w:line="480" w:lineRule="auto"/>
        <w:jc w:val="both"/>
        <w:rPr>
          <w:rFonts w:ascii="Palatino Linotype" w:hAnsi="Palatino Linotype" w:cstheme="majorBidi"/>
          <w:b/>
          <w:bCs/>
          <w:sz w:val="24"/>
          <w:szCs w:val="24"/>
        </w:rPr>
      </w:pPr>
      <w:r w:rsidRPr="005F304D">
        <w:rPr>
          <w:rFonts w:ascii="Palatino Linotype" w:hAnsi="Palatino Linotype" w:cstheme="majorBidi"/>
          <w:b/>
          <w:bCs/>
          <w:sz w:val="24"/>
          <w:szCs w:val="24"/>
        </w:rPr>
        <w:lastRenderedPageBreak/>
        <w:t>I</w:t>
      </w:r>
      <w:r w:rsidR="00184F53" w:rsidRPr="005F304D">
        <w:rPr>
          <w:rFonts w:ascii="Palatino Linotype" w:hAnsi="Palatino Linotype" w:cstheme="majorBidi"/>
          <w:b/>
          <w:bCs/>
          <w:sz w:val="24"/>
          <w:szCs w:val="24"/>
        </w:rPr>
        <w:t>ntroduction</w:t>
      </w:r>
    </w:p>
    <w:p w14:paraId="595B80FC" w14:textId="77777777" w:rsidR="0044728D" w:rsidRPr="005F304D" w:rsidRDefault="0044728D"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A pivotal role of law schools is to prepare students for their future roles as legal practitioners, which will require a wide range of skills, not all readily accessible through traditional classroom education. It has been noted that there is significant agreement on the broad categories of desirable graduate capabilities cited by institutions, employers and industry bodies, including what are often referred to as the ‘generic’ or ‘soft’ skills, such as communication skills, teamwork, critical thinking, problem-solving, self-management, digital literacy and global citizenship (Jorre de St Jorre &amp; Oliver, 2017; Hajkowicz et al., 2016). </w:t>
      </w:r>
    </w:p>
    <w:p w14:paraId="26702136" w14:textId="77777777" w:rsidR="00124CDD" w:rsidRPr="005F304D" w:rsidRDefault="00124CDD"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In a previous article the author enumerated the benefits of involving law students in a pro bono law clinic, acknowl</w:t>
      </w:r>
      <w:r w:rsidR="006F1A1F" w:rsidRPr="005F304D">
        <w:rPr>
          <w:rFonts w:ascii="Palatino Linotype" w:hAnsi="Palatino Linotype" w:cstheme="majorBidi"/>
          <w:sz w:val="24"/>
          <w:szCs w:val="24"/>
        </w:rPr>
        <w:t>edging the differences between Clinical Legal E</w:t>
      </w:r>
      <w:r w:rsidRPr="005F304D">
        <w:rPr>
          <w:rFonts w:ascii="Palatino Linotype" w:hAnsi="Palatino Linotype" w:cstheme="majorBidi"/>
          <w:sz w:val="24"/>
          <w:szCs w:val="24"/>
        </w:rPr>
        <w:t>ducation (</w:t>
      </w:r>
      <w:r w:rsidR="00E347A6" w:rsidRPr="005F304D">
        <w:rPr>
          <w:rFonts w:ascii="Palatino Linotype" w:hAnsi="Palatino Linotype" w:cstheme="majorBidi"/>
          <w:sz w:val="24"/>
          <w:szCs w:val="24"/>
        </w:rPr>
        <w:t>‘</w:t>
      </w:r>
      <w:r w:rsidRPr="005F304D">
        <w:rPr>
          <w:rFonts w:ascii="Palatino Linotype" w:hAnsi="Palatino Linotype" w:cstheme="majorBidi"/>
          <w:sz w:val="24"/>
          <w:szCs w:val="24"/>
        </w:rPr>
        <w:t>CLE</w:t>
      </w:r>
      <w:r w:rsidR="00E347A6" w:rsidRPr="005F304D">
        <w:rPr>
          <w:rFonts w:ascii="Palatino Linotype" w:hAnsi="Palatino Linotype" w:cstheme="majorBidi"/>
          <w:sz w:val="24"/>
          <w:szCs w:val="24"/>
        </w:rPr>
        <w:t>’</w:t>
      </w:r>
      <w:r w:rsidRPr="005F304D">
        <w:rPr>
          <w:rFonts w:ascii="Palatino Linotype" w:hAnsi="Palatino Linotype" w:cstheme="majorBidi"/>
          <w:sz w:val="24"/>
          <w:szCs w:val="24"/>
        </w:rPr>
        <w:t>) and purely voluntary pro bono clinics. Aside from the well documented benefits of clinical education</w:t>
      </w:r>
      <w:r w:rsidR="00CD2BEB" w:rsidRPr="005F304D">
        <w:rPr>
          <w:rFonts w:ascii="Palatino Linotype" w:hAnsi="Palatino Linotype" w:cstheme="majorBidi"/>
          <w:sz w:val="24"/>
          <w:szCs w:val="24"/>
        </w:rPr>
        <w:t xml:space="preserve"> (Evans et al., 2012)</w:t>
      </w:r>
      <w:r w:rsidRPr="005F304D">
        <w:rPr>
          <w:rFonts w:ascii="Palatino Linotype" w:hAnsi="Palatino Linotype" w:cstheme="majorBidi"/>
          <w:sz w:val="24"/>
          <w:szCs w:val="24"/>
        </w:rPr>
        <w:t xml:space="preserve"> it was found that pro bono experience</w:t>
      </w:r>
      <w:r w:rsidR="009B11E6" w:rsidRPr="005F304D">
        <w:rPr>
          <w:rFonts w:ascii="Palatino Linotype" w:hAnsi="Palatino Linotype" w:cstheme="majorBidi"/>
          <w:sz w:val="24"/>
          <w:szCs w:val="24"/>
        </w:rPr>
        <w:t xml:space="preserve"> – like clinical experience obtained for academic credit </w:t>
      </w:r>
      <w:r w:rsidR="00EE2D74" w:rsidRPr="005F304D">
        <w:rPr>
          <w:rFonts w:ascii="Palatino Linotype" w:hAnsi="Palatino Linotype" w:cstheme="majorBidi"/>
          <w:sz w:val="24"/>
          <w:szCs w:val="24"/>
        </w:rPr>
        <w:t xml:space="preserve">– </w:t>
      </w:r>
      <w:r w:rsidRPr="005F304D">
        <w:rPr>
          <w:rFonts w:ascii="Palatino Linotype" w:hAnsi="Palatino Linotype" w:cstheme="majorBidi"/>
          <w:sz w:val="24"/>
          <w:szCs w:val="24"/>
        </w:rPr>
        <w:t>can also be of significant benefit to students as it promotes characteristics of altruism, community service and enhanced work ethic, in addition to developing practical workplace skills, communication skills and increased self confidence</w:t>
      </w:r>
      <w:r w:rsidR="00CD2BEB" w:rsidRPr="005F304D">
        <w:rPr>
          <w:rFonts w:ascii="Palatino Linotype" w:hAnsi="Palatino Linotype" w:cstheme="majorBidi"/>
          <w:sz w:val="24"/>
          <w:szCs w:val="24"/>
        </w:rPr>
        <w:t xml:space="preserve"> (Cantatore, 2015)</w:t>
      </w:r>
      <w:r w:rsidRPr="005F304D">
        <w:rPr>
          <w:rFonts w:ascii="Palatino Linotype" w:hAnsi="Palatino Linotype" w:cstheme="majorBidi"/>
          <w:sz w:val="24"/>
          <w:szCs w:val="24"/>
        </w:rPr>
        <w:t>.</w:t>
      </w:r>
      <w:r w:rsidR="00705572" w:rsidRPr="005F304D">
        <w:rPr>
          <w:rFonts w:ascii="Palatino Linotype" w:hAnsi="Palatino Linotype" w:cstheme="majorBidi"/>
          <w:sz w:val="24"/>
          <w:szCs w:val="24"/>
        </w:rPr>
        <w:t xml:space="preserve"> However, it was acknowledged that further research was necessary in this area to determine whether students leave their clinic experience with </w:t>
      </w:r>
      <w:r w:rsidR="00BA5783" w:rsidRPr="005F304D">
        <w:rPr>
          <w:rFonts w:ascii="Palatino Linotype" w:hAnsi="Palatino Linotype" w:cstheme="majorBidi"/>
          <w:sz w:val="24"/>
          <w:szCs w:val="24"/>
        </w:rPr>
        <w:t>enhanced</w:t>
      </w:r>
      <w:r w:rsidR="00705572" w:rsidRPr="005F304D">
        <w:rPr>
          <w:rFonts w:ascii="Palatino Linotype" w:hAnsi="Palatino Linotype" w:cstheme="majorBidi"/>
          <w:sz w:val="24"/>
          <w:szCs w:val="24"/>
        </w:rPr>
        <w:t xml:space="preserve"> workplace skills.</w:t>
      </w:r>
    </w:p>
    <w:p w14:paraId="36B6CA0B" w14:textId="091B98BE" w:rsidR="00DF319F" w:rsidRPr="005F304D" w:rsidRDefault="00705572"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To this end a pilot study has been undertaken with a group of l</w:t>
      </w:r>
      <w:r w:rsidR="006504D6" w:rsidRPr="005F304D">
        <w:rPr>
          <w:rFonts w:ascii="Palatino Linotype" w:hAnsi="Palatino Linotype" w:cstheme="majorBidi"/>
          <w:sz w:val="24"/>
          <w:szCs w:val="24"/>
        </w:rPr>
        <w:t xml:space="preserve">aw students pre- and post- clinical experience in a pro bono teaching clinic, based on </w:t>
      </w:r>
      <w:r w:rsidR="00477B87" w:rsidRPr="005F304D">
        <w:rPr>
          <w:rFonts w:ascii="Palatino Linotype" w:hAnsi="Palatino Linotype" w:cstheme="majorBidi"/>
          <w:sz w:val="24"/>
          <w:szCs w:val="24"/>
        </w:rPr>
        <w:t xml:space="preserve">a survey utilising </w:t>
      </w:r>
      <w:r w:rsidR="006504D6" w:rsidRPr="005F304D">
        <w:rPr>
          <w:rFonts w:ascii="Palatino Linotype" w:hAnsi="Palatino Linotype" w:cstheme="majorBidi"/>
          <w:sz w:val="24"/>
          <w:szCs w:val="24"/>
        </w:rPr>
        <w:t xml:space="preserve">the </w:t>
      </w:r>
      <w:r w:rsidR="006504D6" w:rsidRPr="005F304D">
        <w:rPr>
          <w:rFonts w:ascii="Palatino Linotype" w:hAnsi="Palatino Linotype" w:cstheme="majorBidi"/>
          <w:sz w:val="24"/>
          <w:szCs w:val="24"/>
        </w:rPr>
        <w:lastRenderedPageBreak/>
        <w:t>Graduate Employability Indicators</w:t>
      </w:r>
      <w:r w:rsidR="00CD2BEB" w:rsidRPr="005F304D">
        <w:rPr>
          <w:rFonts w:ascii="Palatino Linotype" w:hAnsi="Palatino Linotype" w:cstheme="majorBidi"/>
          <w:sz w:val="24"/>
          <w:szCs w:val="24"/>
        </w:rPr>
        <w:t xml:space="preserve"> </w:t>
      </w:r>
      <w:r w:rsidR="00EE2D74" w:rsidRPr="005F304D">
        <w:rPr>
          <w:rFonts w:ascii="Palatino Linotype" w:hAnsi="Palatino Linotype" w:cstheme="majorBidi"/>
          <w:sz w:val="24"/>
          <w:szCs w:val="24"/>
        </w:rPr>
        <w:t xml:space="preserve">(‘GEI’) </w:t>
      </w:r>
      <w:r w:rsidR="00CD2BEB" w:rsidRPr="005F304D">
        <w:rPr>
          <w:rFonts w:ascii="Palatino Linotype" w:hAnsi="Palatino Linotype" w:cstheme="majorBidi"/>
          <w:sz w:val="24"/>
          <w:szCs w:val="24"/>
        </w:rPr>
        <w:t>(Oliver et al., 2011)</w:t>
      </w:r>
      <w:r w:rsidR="006504D6" w:rsidRPr="005F304D">
        <w:rPr>
          <w:rFonts w:ascii="Palatino Linotype" w:hAnsi="Palatino Linotype" w:cstheme="majorBidi"/>
          <w:sz w:val="24"/>
          <w:szCs w:val="24"/>
        </w:rPr>
        <w:t xml:space="preserve">. </w:t>
      </w:r>
      <w:r w:rsidR="00BA5783" w:rsidRPr="005F304D">
        <w:rPr>
          <w:rFonts w:ascii="Palatino Linotype" w:hAnsi="Palatino Linotype" w:cstheme="majorBidi"/>
          <w:sz w:val="24"/>
          <w:szCs w:val="24"/>
        </w:rPr>
        <w:t xml:space="preserve">A widely-accepted definition of graduate employability is the achievement of </w:t>
      </w:r>
      <w:r w:rsidR="00CD2BEB" w:rsidRPr="005F304D">
        <w:rPr>
          <w:rFonts w:ascii="Palatino Linotype" w:hAnsi="Palatino Linotype" w:cstheme="majorBidi"/>
          <w:sz w:val="24"/>
          <w:szCs w:val="24"/>
        </w:rPr>
        <w:t>‘</w:t>
      </w:r>
      <w:r w:rsidR="00BA5783" w:rsidRPr="005F304D">
        <w:rPr>
          <w:rFonts w:ascii="Palatino Linotype" w:hAnsi="Palatino Linotype" w:cstheme="majorBidi"/>
          <w:sz w:val="24"/>
          <w:szCs w:val="24"/>
        </w:rPr>
        <w:t>the skills, understandings and personal attributes that make an individual more likely to secure employment and be successful in their chosen occupations to the benefit of themselves, the workforce, the community and the economy</w:t>
      </w:r>
      <w:r w:rsidR="00CD2BEB" w:rsidRPr="005F304D">
        <w:rPr>
          <w:rFonts w:ascii="Palatino Linotype" w:hAnsi="Palatino Linotype" w:cstheme="majorBidi"/>
          <w:sz w:val="24"/>
          <w:szCs w:val="24"/>
        </w:rPr>
        <w:t xml:space="preserve">’ (Yorke, 2006, p. </w:t>
      </w:r>
      <w:r w:rsidR="007E4A94" w:rsidRPr="005F304D">
        <w:rPr>
          <w:rFonts w:ascii="Palatino Linotype" w:hAnsi="Palatino Linotype" w:cstheme="majorBidi"/>
          <w:sz w:val="24"/>
          <w:szCs w:val="24"/>
        </w:rPr>
        <w:t>8</w:t>
      </w:r>
      <w:r w:rsidR="00574098" w:rsidRPr="005F304D">
        <w:rPr>
          <w:rFonts w:ascii="Palatino Linotype" w:hAnsi="Palatino Linotype" w:cstheme="majorBidi"/>
          <w:sz w:val="24"/>
          <w:szCs w:val="24"/>
        </w:rPr>
        <w:t>).</w:t>
      </w:r>
      <w:r w:rsidR="00BA5783" w:rsidRPr="005F304D">
        <w:rPr>
          <w:rFonts w:ascii="Palatino Linotype" w:hAnsi="Palatino Linotype" w:cstheme="majorBidi"/>
          <w:sz w:val="24"/>
          <w:szCs w:val="24"/>
        </w:rPr>
        <w:t xml:space="preserve"> </w:t>
      </w:r>
      <w:r w:rsidRPr="005F304D">
        <w:rPr>
          <w:rFonts w:ascii="Palatino Linotype" w:hAnsi="Palatino Linotype" w:cstheme="majorBidi"/>
          <w:sz w:val="24"/>
          <w:szCs w:val="24"/>
        </w:rPr>
        <w:t xml:space="preserve">In this article the author sets out to explore </w:t>
      </w:r>
      <w:r w:rsidR="00BA5783" w:rsidRPr="005F304D">
        <w:rPr>
          <w:rFonts w:ascii="Palatino Linotype" w:hAnsi="Palatino Linotype" w:cstheme="majorBidi"/>
          <w:sz w:val="24"/>
          <w:szCs w:val="24"/>
        </w:rPr>
        <w:t>whether</w:t>
      </w:r>
      <w:r w:rsidRPr="005F304D">
        <w:rPr>
          <w:rFonts w:ascii="Palatino Linotype" w:hAnsi="Palatino Linotype" w:cstheme="majorBidi"/>
          <w:sz w:val="24"/>
          <w:szCs w:val="24"/>
        </w:rPr>
        <w:t xml:space="preserve"> previous findings and </w:t>
      </w:r>
      <w:r w:rsidR="00BA5783" w:rsidRPr="005F304D">
        <w:rPr>
          <w:rFonts w:ascii="Palatino Linotype" w:hAnsi="Palatino Linotype" w:cstheme="majorBidi"/>
          <w:sz w:val="24"/>
          <w:szCs w:val="24"/>
        </w:rPr>
        <w:t xml:space="preserve">the </w:t>
      </w:r>
      <w:r w:rsidRPr="005F304D">
        <w:rPr>
          <w:rFonts w:ascii="Palatino Linotype" w:hAnsi="Palatino Linotype" w:cstheme="majorBidi"/>
          <w:sz w:val="24"/>
          <w:szCs w:val="24"/>
        </w:rPr>
        <w:t>anecdotal evidence provided</w:t>
      </w:r>
      <w:r w:rsidR="00BB2CE9" w:rsidRPr="005F304D">
        <w:rPr>
          <w:rFonts w:ascii="Palatino Linotype" w:hAnsi="Palatino Linotype" w:cstheme="majorBidi"/>
          <w:sz w:val="24"/>
          <w:szCs w:val="24"/>
        </w:rPr>
        <w:t xml:space="preserve"> in earlier research</w:t>
      </w:r>
      <w:r w:rsidR="00CD2BEB" w:rsidRPr="005F304D">
        <w:rPr>
          <w:rFonts w:ascii="Palatino Linotype" w:hAnsi="Palatino Linotype" w:cstheme="majorBidi"/>
          <w:sz w:val="24"/>
          <w:szCs w:val="24"/>
        </w:rPr>
        <w:t xml:space="preserve"> (Cantatore, 2015)</w:t>
      </w:r>
      <w:r w:rsidRPr="005F304D">
        <w:rPr>
          <w:rFonts w:ascii="Palatino Linotype" w:hAnsi="Palatino Linotype" w:cstheme="majorBidi"/>
          <w:sz w:val="24"/>
          <w:szCs w:val="24"/>
        </w:rPr>
        <w:t xml:space="preserve"> are supported by empirical research </w:t>
      </w:r>
      <w:r w:rsidR="00DF319F" w:rsidRPr="005F304D">
        <w:rPr>
          <w:rFonts w:ascii="Palatino Linotype" w:hAnsi="Palatino Linotype" w:cstheme="majorBidi"/>
          <w:sz w:val="24"/>
          <w:szCs w:val="24"/>
        </w:rPr>
        <w:t xml:space="preserve">findings </w:t>
      </w:r>
      <w:r w:rsidR="00BA5783" w:rsidRPr="005F304D">
        <w:rPr>
          <w:rFonts w:ascii="Palatino Linotype" w:hAnsi="Palatino Linotype" w:cstheme="majorBidi"/>
          <w:sz w:val="24"/>
          <w:szCs w:val="24"/>
        </w:rPr>
        <w:t>derived from the Graduate Employability Survey (</w:t>
      </w:r>
      <w:r w:rsidR="00CD2BEB" w:rsidRPr="005F304D">
        <w:rPr>
          <w:rFonts w:ascii="Palatino Linotype" w:hAnsi="Palatino Linotype" w:cstheme="majorBidi"/>
          <w:sz w:val="24"/>
          <w:szCs w:val="24"/>
        </w:rPr>
        <w:t>‘</w:t>
      </w:r>
      <w:r w:rsidR="00BA5783" w:rsidRPr="005F304D">
        <w:rPr>
          <w:rFonts w:ascii="Palatino Linotype" w:hAnsi="Palatino Linotype" w:cstheme="majorBidi"/>
          <w:sz w:val="24"/>
          <w:szCs w:val="24"/>
        </w:rPr>
        <w:t>the survey</w:t>
      </w:r>
      <w:r w:rsidR="00CD2BEB" w:rsidRPr="005F304D">
        <w:rPr>
          <w:rFonts w:ascii="Palatino Linotype" w:hAnsi="Palatino Linotype" w:cstheme="majorBidi"/>
          <w:sz w:val="24"/>
          <w:szCs w:val="24"/>
        </w:rPr>
        <w:t>’</w:t>
      </w:r>
      <w:r w:rsidR="00BA5783" w:rsidRPr="005F304D">
        <w:rPr>
          <w:rFonts w:ascii="Palatino Linotype" w:hAnsi="Palatino Linotype" w:cstheme="majorBidi"/>
          <w:sz w:val="24"/>
          <w:szCs w:val="24"/>
        </w:rPr>
        <w:t>)</w:t>
      </w:r>
      <w:r w:rsidR="00CD2BEB" w:rsidRPr="005F304D">
        <w:rPr>
          <w:rFonts w:ascii="Palatino Linotype" w:hAnsi="Palatino Linotype" w:cstheme="majorBidi"/>
          <w:sz w:val="24"/>
          <w:szCs w:val="24"/>
        </w:rPr>
        <w:t xml:space="preserve"> (Oliver et al., 2011).</w:t>
      </w:r>
      <w:r w:rsidR="00BA5783" w:rsidRPr="005F304D">
        <w:rPr>
          <w:rFonts w:ascii="Palatino Linotype" w:hAnsi="Palatino Linotype" w:cstheme="majorBidi"/>
          <w:sz w:val="24"/>
          <w:szCs w:val="24"/>
        </w:rPr>
        <w:t xml:space="preserve">  </w:t>
      </w:r>
      <w:r w:rsidR="006504D6" w:rsidRPr="005F304D">
        <w:rPr>
          <w:rFonts w:ascii="Palatino Linotype" w:hAnsi="Palatino Linotype" w:cstheme="majorBidi"/>
          <w:sz w:val="24"/>
          <w:szCs w:val="24"/>
        </w:rPr>
        <w:t xml:space="preserve">The article will consider, first, how students may benefit from involvement in pro bono law clinics in the context of </w:t>
      </w:r>
      <w:r w:rsidR="00C45A6D" w:rsidRPr="005F304D">
        <w:rPr>
          <w:rFonts w:ascii="Palatino Linotype" w:hAnsi="Palatino Linotype" w:cstheme="majorBidi"/>
          <w:sz w:val="24"/>
          <w:szCs w:val="24"/>
        </w:rPr>
        <w:t>work</w:t>
      </w:r>
      <w:r w:rsidR="006504D6" w:rsidRPr="005F304D">
        <w:rPr>
          <w:rFonts w:ascii="Palatino Linotype" w:hAnsi="Palatino Linotype" w:cstheme="majorBidi"/>
          <w:sz w:val="24"/>
          <w:szCs w:val="24"/>
        </w:rPr>
        <w:t xml:space="preserve"> readiness; second, it </w:t>
      </w:r>
      <w:r w:rsidR="00DF319F" w:rsidRPr="005F304D">
        <w:rPr>
          <w:rFonts w:ascii="Palatino Linotype" w:hAnsi="Palatino Linotype" w:cstheme="majorBidi"/>
          <w:sz w:val="24"/>
          <w:szCs w:val="24"/>
        </w:rPr>
        <w:t xml:space="preserve">contextualises and </w:t>
      </w:r>
      <w:r w:rsidR="006504D6" w:rsidRPr="005F304D">
        <w:rPr>
          <w:rFonts w:ascii="Palatino Linotype" w:hAnsi="Palatino Linotype" w:cstheme="majorBidi"/>
          <w:sz w:val="24"/>
          <w:szCs w:val="24"/>
        </w:rPr>
        <w:t xml:space="preserve">examines the </w:t>
      </w:r>
      <w:r w:rsidR="00362C09" w:rsidRPr="005F304D">
        <w:rPr>
          <w:rFonts w:ascii="Palatino Linotype" w:hAnsi="Palatino Linotype" w:cstheme="majorBidi"/>
          <w:sz w:val="24"/>
          <w:szCs w:val="24"/>
        </w:rPr>
        <w:t xml:space="preserve">findings </w:t>
      </w:r>
      <w:r w:rsidR="006504D6" w:rsidRPr="005F304D">
        <w:rPr>
          <w:rFonts w:ascii="Palatino Linotype" w:hAnsi="Palatino Linotype" w:cstheme="majorBidi"/>
          <w:sz w:val="24"/>
          <w:szCs w:val="24"/>
        </w:rPr>
        <w:t xml:space="preserve">of the </w:t>
      </w:r>
      <w:r w:rsidR="00BA5783" w:rsidRPr="005F304D">
        <w:rPr>
          <w:rFonts w:ascii="Palatino Linotype" w:hAnsi="Palatino Linotype" w:cstheme="majorBidi"/>
          <w:sz w:val="24"/>
          <w:szCs w:val="24"/>
        </w:rPr>
        <w:t>survey</w:t>
      </w:r>
      <w:r w:rsidR="00C45A6D" w:rsidRPr="005F304D">
        <w:rPr>
          <w:rFonts w:ascii="Palatino Linotype" w:hAnsi="Palatino Linotype" w:cstheme="majorBidi"/>
          <w:sz w:val="24"/>
          <w:szCs w:val="24"/>
        </w:rPr>
        <w:t>,</w:t>
      </w:r>
      <w:r w:rsidR="00BA5783" w:rsidRPr="005F304D">
        <w:rPr>
          <w:rFonts w:ascii="Palatino Linotype" w:hAnsi="Palatino Linotype" w:cstheme="majorBidi"/>
          <w:sz w:val="24"/>
          <w:szCs w:val="24"/>
        </w:rPr>
        <w:t xml:space="preserve"> </w:t>
      </w:r>
      <w:r w:rsidR="00C45A6D" w:rsidRPr="005F304D">
        <w:rPr>
          <w:rFonts w:ascii="Palatino Linotype" w:hAnsi="Palatino Linotype" w:cstheme="majorBidi"/>
          <w:sz w:val="24"/>
          <w:szCs w:val="24"/>
        </w:rPr>
        <w:t>as compared with</w:t>
      </w:r>
      <w:r w:rsidR="00362C09" w:rsidRPr="005F304D">
        <w:rPr>
          <w:rFonts w:ascii="Palatino Linotype" w:hAnsi="Palatino Linotype" w:cstheme="majorBidi"/>
          <w:sz w:val="24"/>
          <w:szCs w:val="24"/>
        </w:rPr>
        <w:t xml:space="preserve"> results from a control group of law students</w:t>
      </w:r>
      <w:r w:rsidRPr="005F304D">
        <w:rPr>
          <w:rFonts w:ascii="Palatino Linotype" w:hAnsi="Palatino Linotype" w:cstheme="majorBidi"/>
          <w:sz w:val="24"/>
          <w:szCs w:val="24"/>
        </w:rPr>
        <w:t xml:space="preserve"> at an equivalent point in their </w:t>
      </w:r>
      <w:r w:rsidR="001A2FAA" w:rsidRPr="005F304D">
        <w:rPr>
          <w:rFonts w:ascii="Palatino Linotype" w:hAnsi="Palatino Linotype" w:cstheme="majorBidi"/>
          <w:sz w:val="24"/>
          <w:szCs w:val="24"/>
        </w:rPr>
        <w:t xml:space="preserve">law </w:t>
      </w:r>
      <w:r w:rsidRPr="005F304D">
        <w:rPr>
          <w:rFonts w:ascii="Palatino Linotype" w:hAnsi="Palatino Linotype" w:cstheme="majorBidi"/>
          <w:sz w:val="24"/>
          <w:szCs w:val="24"/>
        </w:rPr>
        <w:t>degree</w:t>
      </w:r>
      <w:r w:rsidR="00362C09" w:rsidRPr="005F304D">
        <w:rPr>
          <w:rFonts w:ascii="Palatino Linotype" w:hAnsi="Palatino Linotype" w:cstheme="majorBidi"/>
          <w:sz w:val="24"/>
          <w:szCs w:val="24"/>
        </w:rPr>
        <w:t xml:space="preserve">; </w:t>
      </w:r>
      <w:r w:rsidR="006504D6" w:rsidRPr="005F304D">
        <w:rPr>
          <w:rFonts w:ascii="Palatino Linotype" w:hAnsi="Palatino Linotype" w:cstheme="majorBidi"/>
          <w:sz w:val="24"/>
          <w:szCs w:val="24"/>
        </w:rPr>
        <w:t xml:space="preserve">and </w:t>
      </w:r>
      <w:r w:rsidR="00946C38" w:rsidRPr="005F304D">
        <w:rPr>
          <w:rFonts w:ascii="Palatino Linotype" w:hAnsi="Palatino Linotype" w:cstheme="majorBidi"/>
          <w:sz w:val="24"/>
          <w:szCs w:val="24"/>
        </w:rPr>
        <w:t>finally</w:t>
      </w:r>
      <w:r w:rsidR="006504D6" w:rsidRPr="005F304D">
        <w:rPr>
          <w:rFonts w:ascii="Palatino Linotype" w:hAnsi="Palatino Linotype" w:cstheme="majorBidi"/>
          <w:sz w:val="24"/>
          <w:szCs w:val="24"/>
        </w:rPr>
        <w:t xml:space="preserve">, it </w:t>
      </w:r>
      <w:r w:rsidR="00946C38" w:rsidRPr="005F304D">
        <w:rPr>
          <w:rFonts w:ascii="Palatino Linotype" w:hAnsi="Palatino Linotype" w:cstheme="majorBidi"/>
          <w:sz w:val="24"/>
          <w:szCs w:val="24"/>
        </w:rPr>
        <w:t>will conclude by noting</w:t>
      </w:r>
      <w:r w:rsidR="006504D6" w:rsidRPr="005F304D">
        <w:rPr>
          <w:rFonts w:ascii="Palatino Linotype" w:hAnsi="Palatino Linotype" w:cstheme="majorBidi"/>
          <w:sz w:val="24"/>
          <w:szCs w:val="24"/>
        </w:rPr>
        <w:t xml:space="preserve"> the future implications </w:t>
      </w:r>
      <w:r w:rsidR="00AE5233" w:rsidRPr="005F304D">
        <w:rPr>
          <w:rFonts w:ascii="Palatino Linotype" w:hAnsi="Palatino Linotype" w:cstheme="majorBidi"/>
          <w:sz w:val="24"/>
          <w:szCs w:val="24"/>
        </w:rPr>
        <w:t xml:space="preserve">and challenges </w:t>
      </w:r>
      <w:r w:rsidR="006504D6" w:rsidRPr="005F304D">
        <w:rPr>
          <w:rFonts w:ascii="Palatino Linotype" w:hAnsi="Palatino Linotype" w:cstheme="majorBidi"/>
          <w:sz w:val="24"/>
          <w:szCs w:val="24"/>
        </w:rPr>
        <w:t>for law</w:t>
      </w:r>
      <w:r w:rsidR="00AE5233" w:rsidRPr="005F304D">
        <w:rPr>
          <w:rFonts w:ascii="Palatino Linotype" w:hAnsi="Palatino Linotype" w:cstheme="majorBidi"/>
          <w:sz w:val="24"/>
          <w:szCs w:val="24"/>
        </w:rPr>
        <w:t xml:space="preserve"> schools</w:t>
      </w:r>
      <w:r w:rsidR="001A2FAA" w:rsidRPr="005F304D">
        <w:rPr>
          <w:rFonts w:ascii="Palatino Linotype" w:hAnsi="Palatino Linotype" w:cstheme="majorBidi"/>
          <w:sz w:val="24"/>
          <w:szCs w:val="24"/>
        </w:rPr>
        <w:t>, as well as the need for future research in this area</w:t>
      </w:r>
      <w:r w:rsidR="006504D6" w:rsidRPr="005F304D">
        <w:rPr>
          <w:rFonts w:ascii="Palatino Linotype" w:hAnsi="Palatino Linotype" w:cstheme="majorBidi"/>
          <w:sz w:val="24"/>
          <w:szCs w:val="24"/>
        </w:rPr>
        <w:t>.</w:t>
      </w:r>
    </w:p>
    <w:p w14:paraId="1D71CF08" w14:textId="77777777" w:rsidR="00DF319F" w:rsidRPr="005F304D" w:rsidRDefault="00184F53" w:rsidP="00C34312">
      <w:pPr>
        <w:spacing w:line="480" w:lineRule="auto"/>
        <w:jc w:val="both"/>
        <w:rPr>
          <w:rFonts w:ascii="Palatino Linotype" w:hAnsi="Palatino Linotype" w:cstheme="majorBidi"/>
          <w:b/>
          <w:bCs/>
          <w:sz w:val="24"/>
          <w:szCs w:val="24"/>
        </w:rPr>
      </w:pPr>
      <w:r w:rsidRPr="005F304D">
        <w:rPr>
          <w:rFonts w:ascii="Palatino Linotype" w:hAnsi="Palatino Linotype" w:cstheme="majorBidi"/>
          <w:b/>
          <w:bCs/>
          <w:sz w:val="24"/>
          <w:szCs w:val="24"/>
        </w:rPr>
        <w:t>The Pro Bono Law Clinic and Employability Skills</w:t>
      </w:r>
    </w:p>
    <w:p w14:paraId="322020E0" w14:textId="77777777" w:rsidR="00DF319F" w:rsidRPr="005F304D" w:rsidRDefault="00C45A6D"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A pro bono teaching clinic </w:t>
      </w:r>
      <w:r w:rsidR="00C253D5" w:rsidRPr="005F304D">
        <w:rPr>
          <w:rFonts w:ascii="Palatino Linotype" w:hAnsi="Palatino Linotype" w:cstheme="majorBidi"/>
          <w:sz w:val="24"/>
          <w:szCs w:val="24"/>
        </w:rPr>
        <w:t>can provide</w:t>
      </w:r>
      <w:r w:rsidRPr="005F304D">
        <w:rPr>
          <w:rFonts w:ascii="Palatino Linotype" w:hAnsi="Palatino Linotype" w:cstheme="majorBidi"/>
          <w:sz w:val="24"/>
          <w:szCs w:val="24"/>
        </w:rPr>
        <w:t xml:space="preserve"> a </w:t>
      </w:r>
      <w:r w:rsidR="00C253D5" w:rsidRPr="005F304D">
        <w:rPr>
          <w:rFonts w:ascii="Palatino Linotype" w:hAnsi="Palatino Linotype" w:cstheme="majorBidi"/>
          <w:sz w:val="24"/>
          <w:szCs w:val="24"/>
        </w:rPr>
        <w:t xml:space="preserve">secure and nurturing environment within which students can hone their practical work skills. This pre-supposes that adequate controls and supervision are in place to ensure that the experience is a worthwhile one for both students and clients attending the clinic. </w:t>
      </w:r>
      <w:r w:rsidR="00F33526" w:rsidRPr="005F304D">
        <w:rPr>
          <w:rFonts w:ascii="Palatino Linotype" w:hAnsi="Palatino Linotype" w:cstheme="majorBidi"/>
          <w:sz w:val="24"/>
          <w:szCs w:val="24"/>
        </w:rPr>
        <w:t xml:space="preserve">At </w:t>
      </w:r>
      <w:r w:rsidR="00C253D5" w:rsidRPr="005F304D">
        <w:rPr>
          <w:rFonts w:ascii="Palatino Linotype" w:hAnsi="Palatino Linotype" w:cstheme="majorBidi"/>
          <w:sz w:val="24"/>
          <w:szCs w:val="24"/>
        </w:rPr>
        <w:t xml:space="preserve">the </w:t>
      </w:r>
      <w:r w:rsidR="00F33526" w:rsidRPr="005F304D">
        <w:rPr>
          <w:rFonts w:ascii="Palatino Linotype" w:hAnsi="Palatino Linotype" w:cstheme="majorBidi"/>
          <w:sz w:val="24"/>
          <w:szCs w:val="24"/>
        </w:rPr>
        <w:t>university l</w:t>
      </w:r>
      <w:r w:rsidR="00C253D5" w:rsidRPr="005F304D">
        <w:rPr>
          <w:rFonts w:ascii="Palatino Linotype" w:hAnsi="Palatino Linotype" w:cstheme="majorBidi"/>
          <w:sz w:val="24"/>
          <w:szCs w:val="24"/>
        </w:rPr>
        <w:t xml:space="preserve">aw </w:t>
      </w:r>
      <w:r w:rsidR="00F33526" w:rsidRPr="005F304D">
        <w:rPr>
          <w:rFonts w:ascii="Palatino Linotype" w:hAnsi="Palatino Linotype" w:cstheme="majorBidi"/>
          <w:sz w:val="24"/>
          <w:szCs w:val="24"/>
        </w:rPr>
        <w:t>c</w:t>
      </w:r>
      <w:r w:rsidR="00C253D5" w:rsidRPr="005F304D">
        <w:rPr>
          <w:rFonts w:ascii="Palatino Linotype" w:hAnsi="Palatino Linotype" w:cstheme="majorBidi"/>
          <w:sz w:val="24"/>
          <w:szCs w:val="24"/>
        </w:rPr>
        <w:t>linic which is the subject of this research study</w:t>
      </w:r>
      <w:r w:rsidR="00F33526" w:rsidRPr="005F304D">
        <w:rPr>
          <w:rFonts w:ascii="Palatino Linotype" w:hAnsi="Palatino Linotype" w:cstheme="majorBidi"/>
          <w:sz w:val="24"/>
          <w:szCs w:val="24"/>
        </w:rPr>
        <w:t xml:space="preserve"> (‘the Law Clinic’)</w:t>
      </w:r>
      <w:r w:rsidR="00C253D5" w:rsidRPr="005F304D">
        <w:rPr>
          <w:rFonts w:ascii="Palatino Linotype" w:hAnsi="Palatino Linotype" w:cstheme="majorBidi"/>
          <w:sz w:val="24"/>
          <w:szCs w:val="24"/>
        </w:rPr>
        <w:t xml:space="preserve"> all students are supervised by experienced legal practitioners, as well as academic staff </w:t>
      </w:r>
      <w:r w:rsidR="00882EEF" w:rsidRPr="005F304D">
        <w:rPr>
          <w:rFonts w:ascii="Palatino Linotype" w:hAnsi="Palatino Linotype" w:cstheme="majorBidi"/>
          <w:sz w:val="24"/>
          <w:szCs w:val="24"/>
        </w:rPr>
        <w:t xml:space="preserve">(when conducted at the </w:t>
      </w:r>
      <w:r w:rsidR="00882EEF" w:rsidRPr="005F304D">
        <w:rPr>
          <w:rFonts w:ascii="Palatino Linotype" w:hAnsi="Palatino Linotype" w:cstheme="majorBidi"/>
          <w:sz w:val="24"/>
          <w:szCs w:val="24"/>
        </w:rPr>
        <w:lastRenderedPageBreak/>
        <w:t xml:space="preserve">university), </w:t>
      </w:r>
      <w:r w:rsidR="00C253D5" w:rsidRPr="005F304D">
        <w:rPr>
          <w:rFonts w:ascii="Palatino Linotype" w:hAnsi="Palatino Linotype" w:cstheme="majorBidi"/>
          <w:sz w:val="24"/>
          <w:szCs w:val="24"/>
        </w:rPr>
        <w:t xml:space="preserve">and client appointments are </w:t>
      </w:r>
      <w:r w:rsidR="000870AE" w:rsidRPr="005F304D">
        <w:rPr>
          <w:rFonts w:ascii="Palatino Linotype" w:hAnsi="Palatino Linotype" w:cstheme="majorBidi"/>
          <w:sz w:val="24"/>
          <w:szCs w:val="24"/>
        </w:rPr>
        <w:t xml:space="preserve">screened and </w:t>
      </w:r>
      <w:r w:rsidR="00C253D5" w:rsidRPr="005F304D">
        <w:rPr>
          <w:rFonts w:ascii="Palatino Linotype" w:hAnsi="Palatino Linotype" w:cstheme="majorBidi"/>
          <w:sz w:val="24"/>
          <w:szCs w:val="24"/>
        </w:rPr>
        <w:t>scheduled in advance of clinic times.</w:t>
      </w:r>
      <w:r w:rsidR="00C253D5" w:rsidRPr="005F304D">
        <w:rPr>
          <w:rStyle w:val="FootnoteReference"/>
          <w:rFonts w:ascii="Palatino Linotype" w:hAnsi="Palatino Linotype" w:cstheme="majorBidi"/>
          <w:sz w:val="24"/>
          <w:szCs w:val="24"/>
        </w:rPr>
        <w:footnoteReference w:id="1"/>
      </w:r>
    </w:p>
    <w:p w14:paraId="159A0958" w14:textId="77777777" w:rsidR="00882EEF" w:rsidRPr="005F304D" w:rsidRDefault="00882EEF" w:rsidP="00C34312">
      <w:pPr>
        <w:spacing w:line="480" w:lineRule="auto"/>
        <w:jc w:val="both"/>
        <w:rPr>
          <w:rFonts w:ascii="Palatino Linotype" w:hAnsi="Palatino Linotype" w:cstheme="majorBidi"/>
          <w:b/>
          <w:bCs/>
          <w:i/>
          <w:iCs/>
          <w:sz w:val="24"/>
          <w:szCs w:val="24"/>
        </w:rPr>
      </w:pPr>
      <w:r w:rsidRPr="005F304D">
        <w:rPr>
          <w:rFonts w:ascii="Palatino Linotype" w:hAnsi="Palatino Linotype" w:cstheme="majorBidi"/>
          <w:b/>
          <w:bCs/>
          <w:i/>
          <w:iCs/>
          <w:sz w:val="24"/>
          <w:szCs w:val="24"/>
        </w:rPr>
        <w:t xml:space="preserve">The </w:t>
      </w:r>
      <w:r w:rsidR="00B74A70" w:rsidRPr="005F304D">
        <w:rPr>
          <w:rFonts w:ascii="Palatino Linotype" w:hAnsi="Palatino Linotype" w:cstheme="majorBidi"/>
          <w:b/>
          <w:bCs/>
          <w:i/>
          <w:iCs/>
          <w:sz w:val="24"/>
          <w:szCs w:val="24"/>
        </w:rPr>
        <w:t>[</w:t>
      </w:r>
      <w:r w:rsidRPr="005F304D">
        <w:rPr>
          <w:rFonts w:ascii="Palatino Linotype" w:hAnsi="Palatino Linotype" w:cstheme="majorBidi"/>
          <w:b/>
          <w:bCs/>
          <w:i/>
          <w:iCs/>
          <w:sz w:val="24"/>
          <w:szCs w:val="24"/>
        </w:rPr>
        <w:t>Law Clinic Program</w:t>
      </w:r>
      <w:r w:rsidR="00B74A70" w:rsidRPr="005F304D">
        <w:rPr>
          <w:rFonts w:ascii="Palatino Linotype" w:hAnsi="Palatino Linotype" w:cstheme="majorBidi"/>
          <w:b/>
          <w:bCs/>
          <w:i/>
          <w:iCs/>
          <w:sz w:val="24"/>
          <w:szCs w:val="24"/>
        </w:rPr>
        <w:t>]</w:t>
      </w:r>
    </w:p>
    <w:p w14:paraId="516531E2" w14:textId="77777777" w:rsidR="000870AE" w:rsidRPr="005F304D" w:rsidRDefault="003A2B04" w:rsidP="00C34312">
      <w:pPr>
        <w:spacing w:line="480" w:lineRule="auto"/>
        <w:jc w:val="both"/>
        <w:rPr>
          <w:rFonts w:ascii="Palatino Linotype" w:hAnsi="Palatino Linotype" w:cstheme="majorBidi"/>
          <w:i/>
          <w:iCs/>
          <w:sz w:val="24"/>
          <w:szCs w:val="24"/>
        </w:rPr>
      </w:pPr>
      <w:r w:rsidRPr="005F304D">
        <w:rPr>
          <w:rFonts w:ascii="Palatino Linotype" w:hAnsi="Palatino Linotype" w:cstheme="majorBidi"/>
          <w:sz w:val="24"/>
          <w:szCs w:val="24"/>
        </w:rPr>
        <w:t xml:space="preserve">The </w:t>
      </w:r>
      <w:r w:rsidR="00B74A70" w:rsidRPr="005F304D">
        <w:rPr>
          <w:rFonts w:ascii="Palatino Linotype" w:hAnsi="Palatino Linotype" w:cstheme="majorBidi"/>
          <w:sz w:val="24"/>
          <w:szCs w:val="24"/>
        </w:rPr>
        <w:t>[</w:t>
      </w:r>
      <w:r w:rsidRPr="005F304D">
        <w:rPr>
          <w:rFonts w:ascii="Palatino Linotype" w:hAnsi="Palatino Linotype" w:cstheme="majorBidi"/>
          <w:sz w:val="24"/>
          <w:szCs w:val="24"/>
        </w:rPr>
        <w:t>Law Clinic Program</w:t>
      </w:r>
      <w:r w:rsidR="00B74A70" w:rsidRPr="005F304D">
        <w:rPr>
          <w:rFonts w:ascii="Palatino Linotype" w:hAnsi="Palatino Linotype" w:cstheme="majorBidi"/>
          <w:sz w:val="24"/>
          <w:szCs w:val="24"/>
        </w:rPr>
        <w:t>]</w:t>
      </w:r>
      <w:r w:rsidRPr="005F304D">
        <w:rPr>
          <w:rFonts w:ascii="Palatino Linotype" w:hAnsi="Palatino Linotype" w:cstheme="majorBidi"/>
          <w:sz w:val="24"/>
          <w:szCs w:val="24"/>
        </w:rPr>
        <w:t xml:space="preserve"> consists of four clinics, namely the Commercial Law Clinic, the Community Law Clinic, the Human Rights Clinic, and the Criminal Law Clinic. All of these</w:t>
      </w:r>
      <w:r w:rsidR="00882EEF" w:rsidRPr="005F304D">
        <w:rPr>
          <w:rFonts w:ascii="Palatino Linotype" w:hAnsi="Palatino Linotype" w:cstheme="majorBidi"/>
          <w:sz w:val="24"/>
          <w:szCs w:val="24"/>
        </w:rPr>
        <w:t xml:space="preserve"> clinics </w:t>
      </w:r>
      <w:r w:rsidRPr="005F304D">
        <w:rPr>
          <w:rFonts w:ascii="Palatino Linotype" w:hAnsi="Palatino Linotype" w:cstheme="majorBidi"/>
          <w:sz w:val="24"/>
          <w:szCs w:val="24"/>
        </w:rPr>
        <w:t xml:space="preserve">- </w:t>
      </w:r>
      <w:r w:rsidR="00882EEF" w:rsidRPr="005F304D">
        <w:rPr>
          <w:rFonts w:ascii="Palatino Linotype" w:hAnsi="Palatino Linotype" w:cstheme="majorBidi"/>
          <w:sz w:val="24"/>
          <w:szCs w:val="24"/>
        </w:rPr>
        <w:t xml:space="preserve">which are the subject matter of this research </w:t>
      </w:r>
      <w:r w:rsidRPr="005F304D">
        <w:rPr>
          <w:rFonts w:ascii="Palatino Linotype" w:hAnsi="Palatino Linotype" w:cstheme="majorBidi"/>
          <w:sz w:val="24"/>
          <w:szCs w:val="24"/>
        </w:rPr>
        <w:t xml:space="preserve">- are pro bono clinics, i.e. not for academic credit. </w:t>
      </w:r>
      <w:r w:rsidR="00882EEF" w:rsidRPr="005F304D">
        <w:rPr>
          <w:rFonts w:ascii="Palatino Linotype" w:hAnsi="Palatino Linotype" w:cstheme="majorBidi"/>
          <w:sz w:val="24"/>
          <w:szCs w:val="24"/>
        </w:rPr>
        <w:t>In previous research the</w:t>
      </w:r>
      <w:r w:rsidR="006F1A1F" w:rsidRPr="005F304D">
        <w:rPr>
          <w:rFonts w:ascii="Palatino Linotype" w:hAnsi="Palatino Linotype" w:cstheme="majorBidi"/>
          <w:sz w:val="24"/>
          <w:szCs w:val="24"/>
        </w:rPr>
        <w:t xml:space="preserve"> author </w:t>
      </w:r>
      <w:r w:rsidR="00882EEF" w:rsidRPr="005F304D">
        <w:rPr>
          <w:rFonts w:ascii="Palatino Linotype" w:hAnsi="Palatino Linotype" w:cstheme="majorBidi"/>
          <w:sz w:val="24"/>
          <w:szCs w:val="24"/>
        </w:rPr>
        <w:t xml:space="preserve">focussed on the Commercial Law Clinic and </w:t>
      </w:r>
      <w:r w:rsidR="006F1A1F" w:rsidRPr="005F304D">
        <w:rPr>
          <w:rFonts w:ascii="Palatino Linotype" w:hAnsi="Palatino Linotype" w:cstheme="majorBidi"/>
          <w:sz w:val="24"/>
          <w:szCs w:val="24"/>
        </w:rPr>
        <w:t>discussed the numerous advantages of faculty run clinics</w:t>
      </w:r>
      <w:r w:rsidR="00F33526" w:rsidRPr="005F304D">
        <w:rPr>
          <w:rFonts w:ascii="Palatino Linotype" w:hAnsi="Palatino Linotype" w:cstheme="majorBidi"/>
          <w:sz w:val="24"/>
          <w:szCs w:val="24"/>
        </w:rPr>
        <w:t>.</w:t>
      </w:r>
      <w:r w:rsidR="006F1A1F" w:rsidRPr="005F304D">
        <w:rPr>
          <w:rFonts w:ascii="Palatino Linotype" w:hAnsi="Palatino Linotype" w:cstheme="majorBidi"/>
          <w:sz w:val="24"/>
          <w:szCs w:val="24"/>
        </w:rPr>
        <w:t xml:space="preserve"> </w:t>
      </w:r>
      <w:r w:rsidR="00F33526" w:rsidRPr="005F304D">
        <w:rPr>
          <w:rFonts w:ascii="Palatino Linotype" w:hAnsi="Palatino Linotype" w:cstheme="majorBidi"/>
          <w:sz w:val="24"/>
          <w:szCs w:val="24"/>
        </w:rPr>
        <w:t>N</w:t>
      </w:r>
      <w:r w:rsidR="006F1A1F" w:rsidRPr="005F304D">
        <w:rPr>
          <w:rFonts w:ascii="Palatino Linotype" w:hAnsi="Palatino Linotype" w:cstheme="majorBidi"/>
          <w:sz w:val="24"/>
          <w:szCs w:val="24"/>
        </w:rPr>
        <w:t xml:space="preserve">ot only do </w:t>
      </w:r>
      <w:r w:rsidR="00F33526" w:rsidRPr="005F304D">
        <w:rPr>
          <w:rFonts w:ascii="Palatino Linotype" w:hAnsi="Palatino Linotype" w:cstheme="majorBidi"/>
          <w:sz w:val="24"/>
          <w:szCs w:val="24"/>
        </w:rPr>
        <w:t>such clinics</w:t>
      </w:r>
      <w:r w:rsidR="006F1A1F" w:rsidRPr="005F304D">
        <w:rPr>
          <w:rFonts w:ascii="Palatino Linotype" w:hAnsi="Palatino Linotype" w:cstheme="majorBidi"/>
          <w:sz w:val="24"/>
          <w:szCs w:val="24"/>
        </w:rPr>
        <w:t xml:space="preserve"> provide the faculty with experiential learning opportunities for students at a low cost, but they also offer pro bono work opportunities for local legal practitioners, as well as render a valuable community service. Other benefits to students include: interaction with ‘real’ clients and cases; development of social responsibility, empathy and interpersonal skills; networking and integrating with legal professionals; and promotion of ethical behaviour in students</w:t>
      </w:r>
      <w:r w:rsidR="00CD2BEB" w:rsidRPr="005F304D">
        <w:rPr>
          <w:rFonts w:ascii="Palatino Linotype" w:hAnsi="Palatino Linotype" w:cstheme="majorBidi"/>
          <w:sz w:val="24"/>
          <w:szCs w:val="24"/>
        </w:rPr>
        <w:t xml:space="preserve"> (Cantatore, 2015)</w:t>
      </w:r>
      <w:r w:rsidR="006F1A1F" w:rsidRPr="005F304D">
        <w:rPr>
          <w:rFonts w:ascii="Palatino Linotype" w:hAnsi="Palatino Linotype" w:cstheme="majorBidi"/>
          <w:sz w:val="24"/>
          <w:szCs w:val="24"/>
        </w:rPr>
        <w:t>.</w:t>
      </w:r>
    </w:p>
    <w:p w14:paraId="32379ECB" w14:textId="77777777" w:rsidR="006F1A1F" w:rsidRPr="005F304D" w:rsidRDefault="003A2B04"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It was</w:t>
      </w:r>
      <w:r w:rsidR="006F1A1F" w:rsidRPr="005F304D">
        <w:rPr>
          <w:rFonts w:ascii="Palatino Linotype" w:hAnsi="Palatino Linotype" w:cstheme="majorBidi"/>
          <w:sz w:val="24"/>
          <w:szCs w:val="24"/>
        </w:rPr>
        <w:t xml:space="preserve"> acknowledged that a distinction can be made between CLE and pro bono </w:t>
      </w:r>
      <w:r w:rsidR="00E347A6" w:rsidRPr="005F304D">
        <w:rPr>
          <w:rFonts w:ascii="Palatino Linotype" w:hAnsi="Palatino Linotype" w:cstheme="majorBidi"/>
          <w:sz w:val="24"/>
          <w:szCs w:val="24"/>
        </w:rPr>
        <w:t>program</w:t>
      </w:r>
      <w:r w:rsidR="006F1A1F" w:rsidRPr="005F304D">
        <w:rPr>
          <w:rFonts w:ascii="Palatino Linotype" w:hAnsi="Palatino Linotype" w:cstheme="majorBidi"/>
          <w:sz w:val="24"/>
          <w:szCs w:val="24"/>
        </w:rPr>
        <w:t>s, as they have generally been regarded as ‘</w:t>
      </w:r>
      <w:r w:rsidR="006F1A1F" w:rsidRPr="005F304D">
        <w:rPr>
          <w:rFonts w:ascii="Palatino Linotype" w:hAnsi="Palatino Linotype" w:cstheme="majorBidi"/>
          <w:sz w:val="24"/>
          <w:szCs w:val="24"/>
          <w:lang w:val="en-US"/>
        </w:rPr>
        <w:t>separate and distinct entities’</w:t>
      </w:r>
      <w:r w:rsidR="00CD2BEB" w:rsidRPr="005F304D">
        <w:rPr>
          <w:rFonts w:ascii="Palatino Linotype" w:hAnsi="Palatino Linotype" w:cstheme="majorBidi"/>
          <w:sz w:val="24"/>
          <w:szCs w:val="24"/>
          <w:lang w:val="en-US"/>
        </w:rPr>
        <w:t xml:space="preserve"> (McCrimmon, 2003, p. 76)</w:t>
      </w:r>
      <w:r w:rsidR="006F1A1F" w:rsidRPr="005F304D">
        <w:rPr>
          <w:rFonts w:ascii="Palatino Linotype" w:hAnsi="Palatino Linotype" w:cstheme="majorBidi"/>
          <w:sz w:val="24"/>
          <w:szCs w:val="24"/>
          <w:lang w:val="en-US"/>
        </w:rPr>
        <w:t xml:space="preserve">. </w:t>
      </w:r>
      <w:r w:rsidR="006F1A1F" w:rsidRPr="005F304D">
        <w:rPr>
          <w:rFonts w:ascii="Palatino Linotype" w:hAnsi="Palatino Linotype" w:cstheme="majorBidi"/>
          <w:sz w:val="24"/>
          <w:szCs w:val="24"/>
        </w:rPr>
        <w:t xml:space="preserve">Although there is significant overlap, the main </w:t>
      </w:r>
      <w:r w:rsidR="006F1A1F" w:rsidRPr="005F304D">
        <w:rPr>
          <w:rFonts w:ascii="Palatino Linotype" w:hAnsi="Palatino Linotype" w:cstheme="majorBidi"/>
          <w:sz w:val="24"/>
          <w:szCs w:val="24"/>
        </w:rPr>
        <w:lastRenderedPageBreak/>
        <w:t>distinguishing factors between the two models lie in the following characteristics</w:t>
      </w:r>
      <w:r w:rsidR="00CD2BEB" w:rsidRPr="005F304D">
        <w:rPr>
          <w:rFonts w:ascii="Palatino Linotype" w:hAnsi="Palatino Linotype" w:cstheme="majorBidi"/>
          <w:sz w:val="24"/>
          <w:szCs w:val="24"/>
        </w:rPr>
        <w:t xml:space="preserve"> (Cantatore, 2015, p. 148)</w:t>
      </w:r>
      <w:r w:rsidR="006F1A1F" w:rsidRPr="005F304D">
        <w:rPr>
          <w:rFonts w:ascii="Palatino Linotype" w:hAnsi="Palatino Linotype" w:cstheme="majorBidi"/>
          <w:sz w:val="24"/>
          <w:szCs w:val="24"/>
        </w:rPr>
        <w:t xml:space="preserve">: </w:t>
      </w:r>
    </w:p>
    <w:p w14:paraId="1AD3969C" w14:textId="77777777" w:rsidR="006F1A1F" w:rsidRPr="005F304D" w:rsidRDefault="006F1A1F" w:rsidP="00C34312">
      <w:pPr>
        <w:pStyle w:val="ListParagraph"/>
        <w:numPr>
          <w:ilvl w:val="0"/>
          <w:numId w:val="4"/>
        </w:numPr>
        <w:spacing w:line="480" w:lineRule="auto"/>
        <w:ind w:left="714" w:hanging="357"/>
        <w:jc w:val="both"/>
        <w:rPr>
          <w:rFonts w:ascii="Palatino Linotype" w:hAnsi="Palatino Linotype" w:cstheme="majorBidi"/>
          <w:sz w:val="24"/>
          <w:szCs w:val="24"/>
        </w:rPr>
      </w:pPr>
      <w:r w:rsidRPr="005F304D">
        <w:rPr>
          <w:rFonts w:ascii="Palatino Linotype" w:hAnsi="Palatino Linotype" w:cstheme="majorBidi"/>
          <w:sz w:val="24"/>
          <w:szCs w:val="24"/>
        </w:rPr>
        <w:t xml:space="preserve">CLE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s</w:t>
      </w:r>
      <w:r w:rsidR="00771D83" w:rsidRPr="005F304D">
        <w:rPr>
          <w:rFonts w:ascii="Palatino Linotype" w:hAnsi="Palatino Linotype" w:cstheme="majorBidi"/>
          <w:sz w:val="24"/>
          <w:szCs w:val="24"/>
        </w:rPr>
        <w:t xml:space="preserve"> attract academic credit</w:t>
      </w:r>
      <w:r w:rsidR="00CD2BEB" w:rsidRPr="005F304D">
        <w:rPr>
          <w:rFonts w:ascii="Palatino Linotype" w:hAnsi="Palatino Linotype" w:cstheme="majorBidi"/>
          <w:sz w:val="24"/>
          <w:szCs w:val="24"/>
        </w:rPr>
        <w:t xml:space="preserve"> (Evans et al., 2012, p. 23)</w:t>
      </w:r>
      <w:r w:rsidRPr="005F304D">
        <w:rPr>
          <w:rFonts w:ascii="Palatino Linotype" w:hAnsi="Palatino Linotype" w:cstheme="majorBidi"/>
          <w:sz w:val="24"/>
          <w:szCs w:val="24"/>
        </w:rPr>
        <w:t>, as opposed to purely voluntary non-</w:t>
      </w:r>
      <w:r w:rsidR="00771D83" w:rsidRPr="005F304D">
        <w:rPr>
          <w:rFonts w:ascii="Palatino Linotype" w:hAnsi="Palatino Linotype" w:cstheme="majorBidi"/>
          <w:sz w:val="24"/>
          <w:szCs w:val="24"/>
        </w:rPr>
        <w:t xml:space="preserve">academic </w:t>
      </w:r>
      <w:r w:rsidRPr="005F304D">
        <w:rPr>
          <w:rFonts w:ascii="Palatino Linotype" w:hAnsi="Palatino Linotype" w:cstheme="majorBidi"/>
          <w:sz w:val="24"/>
          <w:szCs w:val="24"/>
        </w:rPr>
        <w:t>reward arrangements for pro bono students;</w:t>
      </w:r>
    </w:p>
    <w:p w14:paraId="42458F60" w14:textId="77777777" w:rsidR="006F1A1F" w:rsidRPr="005F304D" w:rsidRDefault="006F1A1F" w:rsidP="00C34312">
      <w:pPr>
        <w:numPr>
          <w:ilvl w:val="0"/>
          <w:numId w:val="4"/>
        </w:numPr>
        <w:spacing w:line="480" w:lineRule="auto"/>
        <w:ind w:left="714" w:hanging="357"/>
        <w:jc w:val="both"/>
        <w:rPr>
          <w:rFonts w:ascii="Palatino Linotype" w:hAnsi="Palatino Linotype" w:cstheme="majorBidi"/>
          <w:sz w:val="24"/>
          <w:szCs w:val="24"/>
        </w:rPr>
      </w:pPr>
      <w:r w:rsidRPr="005F304D">
        <w:rPr>
          <w:rFonts w:ascii="Palatino Linotype" w:hAnsi="Palatino Linotype" w:cstheme="majorBidi"/>
          <w:sz w:val="24"/>
          <w:szCs w:val="24"/>
        </w:rPr>
        <w:t>‘Pro bono’ is voluntary work done out of a sense of professional responsibility, where the primary motivation for the work is a concern for justice or reasons of kinship or friendship, as opposed to securing gain</w:t>
      </w:r>
      <w:r w:rsidR="00CD2BEB" w:rsidRPr="005F304D">
        <w:rPr>
          <w:rFonts w:ascii="Palatino Linotype" w:hAnsi="Palatino Linotype" w:cstheme="majorBidi"/>
          <w:sz w:val="24"/>
          <w:szCs w:val="24"/>
        </w:rPr>
        <w:t xml:space="preserve"> (Corker, 2005, p. 5)</w:t>
      </w:r>
      <w:r w:rsidRPr="005F304D">
        <w:rPr>
          <w:rFonts w:ascii="Palatino Linotype" w:hAnsi="Palatino Linotype" w:cstheme="majorBidi"/>
          <w:sz w:val="24"/>
          <w:szCs w:val="24"/>
        </w:rPr>
        <w:t>;</w:t>
      </w:r>
    </w:p>
    <w:p w14:paraId="019A3244" w14:textId="77777777" w:rsidR="006F1A1F" w:rsidRPr="005F304D" w:rsidRDefault="006F1A1F" w:rsidP="00C34312">
      <w:pPr>
        <w:numPr>
          <w:ilvl w:val="0"/>
          <w:numId w:val="4"/>
        </w:numPr>
        <w:spacing w:line="480" w:lineRule="auto"/>
        <w:ind w:left="714" w:hanging="357"/>
        <w:jc w:val="both"/>
        <w:rPr>
          <w:rFonts w:ascii="Palatino Linotype" w:hAnsi="Palatino Linotype" w:cstheme="majorBidi"/>
          <w:sz w:val="24"/>
          <w:szCs w:val="24"/>
        </w:rPr>
      </w:pPr>
      <w:r w:rsidRPr="005F304D">
        <w:rPr>
          <w:rFonts w:ascii="Palatino Linotype" w:hAnsi="Palatino Linotype" w:cstheme="majorBidi"/>
          <w:sz w:val="24"/>
          <w:szCs w:val="24"/>
        </w:rPr>
        <w:t xml:space="preserve">CLE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 xml:space="preserve">s have a </w:t>
      </w:r>
      <w:r w:rsidRPr="005F304D">
        <w:rPr>
          <w:rFonts w:ascii="Palatino Linotype" w:hAnsi="Palatino Linotype" w:cstheme="majorBidi"/>
          <w:i/>
          <w:iCs/>
          <w:sz w:val="24"/>
          <w:szCs w:val="24"/>
        </w:rPr>
        <w:t>teaching</w:t>
      </w:r>
      <w:r w:rsidRPr="005F304D">
        <w:rPr>
          <w:rFonts w:ascii="Palatino Linotype" w:hAnsi="Palatino Linotype" w:cstheme="majorBidi"/>
          <w:sz w:val="24"/>
          <w:szCs w:val="24"/>
        </w:rPr>
        <w:t xml:space="preserve"> focus whereas pro bono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 xml:space="preserve">s have a </w:t>
      </w:r>
      <w:r w:rsidRPr="005F304D">
        <w:rPr>
          <w:rFonts w:ascii="Palatino Linotype" w:hAnsi="Palatino Linotype" w:cstheme="majorBidi"/>
          <w:i/>
          <w:iCs/>
          <w:sz w:val="24"/>
          <w:szCs w:val="24"/>
        </w:rPr>
        <w:t>community service</w:t>
      </w:r>
      <w:r w:rsidRPr="005F304D">
        <w:rPr>
          <w:rFonts w:ascii="Palatino Linotype" w:hAnsi="Palatino Linotype" w:cstheme="majorBidi"/>
          <w:sz w:val="24"/>
          <w:szCs w:val="24"/>
        </w:rPr>
        <w:t xml:space="preserve"> focus</w:t>
      </w:r>
      <w:r w:rsidR="00CD2BEB" w:rsidRPr="005F304D">
        <w:rPr>
          <w:rFonts w:ascii="Palatino Linotype" w:hAnsi="Palatino Linotype" w:cstheme="majorBidi"/>
          <w:sz w:val="24"/>
          <w:szCs w:val="24"/>
        </w:rPr>
        <w:t xml:space="preserve"> (Corker, 2005, p. 6);</w:t>
      </w:r>
    </w:p>
    <w:p w14:paraId="13870CC2" w14:textId="77777777" w:rsidR="006F1A1F" w:rsidRPr="005F304D" w:rsidRDefault="006F1A1F" w:rsidP="00C34312">
      <w:pPr>
        <w:numPr>
          <w:ilvl w:val="0"/>
          <w:numId w:val="4"/>
        </w:numPr>
        <w:spacing w:line="480" w:lineRule="auto"/>
        <w:ind w:left="714" w:hanging="357"/>
        <w:jc w:val="both"/>
        <w:rPr>
          <w:rFonts w:ascii="Palatino Linotype" w:hAnsi="Palatino Linotype" w:cstheme="majorBidi"/>
          <w:sz w:val="24"/>
          <w:szCs w:val="24"/>
        </w:rPr>
      </w:pPr>
      <w:r w:rsidRPr="005F304D">
        <w:rPr>
          <w:rFonts w:ascii="Palatino Linotype" w:hAnsi="Palatino Linotype" w:cstheme="majorBidi"/>
          <w:sz w:val="24"/>
          <w:szCs w:val="24"/>
        </w:rPr>
        <w:t xml:space="preserve">Usually pro bono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 xml:space="preserve">s are at no financial cost to students as opposed to academic fees being payable for CLE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s;</w:t>
      </w:r>
      <w:r w:rsidR="00707113" w:rsidRPr="005F304D">
        <w:rPr>
          <w:rFonts w:ascii="Palatino Linotype" w:hAnsi="Palatino Linotype" w:cstheme="majorBidi"/>
          <w:sz w:val="24"/>
          <w:szCs w:val="24"/>
        </w:rPr>
        <w:t xml:space="preserve"> and</w:t>
      </w:r>
    </w:p>
    <w:p w14:paraId="3F012ED7" w14:textId="77777777" w:rsidR="006F1A1F" w:rsidRPr="005F304D" w:rsidRDefault="006F1A1F" w:rsidP="00C34312">
      <w:pPr>
        <w:numPr>
          <w:ilvl w:val="0"/>
          <w:numId w:val="4"/>
        </w:numPr>
        <w:spacing w:line="480" w:lineRule="auto"/>
        <w:ind w:left="714" w:hanging="357"/>
        <w:jc w:val="both"/>
        <w:rPr>
          <w:rFonts w:ascii="Palatino Linotype" w:hAnsi="Palatino Linotype" w:cstheme="majorBidi"/>
          <w:sz w:val="24"/>
          <w:szCs w:val="24"/>
        </w:rPr>
      </w:pPr>
      <w:r w:rsidRPr="005F304D">
        <w:rPr>
          <w:rFonts w:ascii="Palatino Linotype" w:hAnsi="Palatino Linotype" w:cstheme="majorBidi"/>
          <w:sz w:val="24"/>
          <w:szCs w:val="24"/>
        </w:rPr>
        <w:t xml:space="preserve">CLE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 xml:space="preserve">s are required to have formal assessment procedures to produce specific learning and teaching outcomes whereas pro bono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s generally implement informal feedback and reflective practices.</w:t>
      </w:r>
    </w:p>
    <w:p w14:paraId="2B6ED492" w14:textId="77777777" w:rsidR="004303AF" w:rsidRPr="005F304D" w:rsidRDefault="00785E6F"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Student pro bono work has been described as a situation where students, without fee, reward or academic credit provide or assist in the provision of services to enhance access to justice for low income and disadvantaged people or for non-profit organisations that work on behalf of members of the community who are disadvantaged or marginalised, or that work for the public </w:t>
      </w:r>
      <w:r w:rsidRPr="005F304D">
        <w:rPr>
          <w:rFonts w:ascii="Palatino Linotype" w:hAnsi="Palatino Linotype" w:cs="Times New Roman"/>
          <w:sz w:val="24"/>
          <w:szCs w:val="24"/>
        </w:rPr>
        <w:t>good</w:t>
      </w:r>
      <w:r w:rsidR="00707113" w:rsidRPr="005F304D">
        <w:rPr>
          <w:rFonts w:ascii="Palatino Linotype" w:hAnsi="Palatino Linotype" w:cs="Times New Roman"/>
          <w:sz w:val="24"/>
          <w:szCs w:val="24"/>
        </w:rPr>
        <w:t xml:space="preserve"> (National Pro Bono Resource Centre, 2004, p. 8)</w:t>
      </w:r>
      <w:r w:rsidRPr="005F304D">
        <w:rPr>
          <w:rFonts w:ascii="Palatino Linotype" w:hAnsi="Palatino Linotype" w:cs="Times New Roman"/>
          <w:sz w:val="24"/>
          <w:szCs w:val="24"/>
        </w:rPr>
        <w:t xml:space="preserve">.  </w:t>
      </w:r>
      <w:r w:rsidR="00771D83" w:rsidRPr="005F304D">
        <w:rPr>
          <w:rFonts w:ascii="Palatino Linotype" w:hAnsi="Palatino Linotype" w:cs="Times New Roman"/>
          <w:sz w:val="24"/>
          <w:szCs w:val="24"/>
        </w:rPr>
        <w:t xml:space="preserve">However, although pro bono </w:t>
      </w:r>
      <w:r w:rsidR="00E347A6" w:rsidRPr="005F304D">
        <w:rPr>
          <w:rFonts w:ascii="Palatino Linotype" w:hAnsi="Palatino Linotype" w:cs="Times New Roman"/>
          <w:sz w:val="24"/>
          <w:szCs w:val="24"/>
        </w:rPr>
        <w:t>program</w:t>
      </w:r>
      <w:r w:rsidR="00771D83" w:rsidRPr="005F304D">
        <w:rPr>
          <w:rFonts w:ascii="Palatino Linotype" w:hAnsi="Palatino Linotype" w:cs="Times New Roman"/>
          <w:sz w:val="24"/>
          <w:szCs w:val="24"/>
        </w:rPr>
        <w:t xml:space="preserve">s intrinsically have </w:t>
      </w:r>
      <w:r w:rsidR="00771D83" w:rsidRPr="005F304D">
        <w:rPr>
          <w:rFonts w:ascii="Palatino Linotype" w:hAnsi="Palatino Linotype" w:cs="Times New Roman"/>
          <w:sz w:val="24"/>
          <w:szCs w:val="24"/>
        </w:rPr>
        <w:lastRenderedPageBreak/>
        <w:t>a community focus and imply</w:t>
      </w:r>
      <w:r w:rsidR="00771D83" w:rsidRPr="005F304D">
        <w:rPr>
          <w:rFonts w:ascii="Palatino Linotype" w:hAnsi="Palatino Linotype" w:cstheme="majorBidi"/>
          <w:sz w:val="24"/>
          <w:szCs w:val="24"/>
        </w:rPr>
        <w:t xml:space="preserve"> that volunteers are altruistically motivated, or are participating out of a sens</w:t>
      </w:r>
      <w:r w:rsidRPr="005F304D">
        <w:rPr>
          <w:rFonts w:ascii="Palatino Linotype" w:hAnsi="Palatino Linotype" w:cstheme="majorBidi"/>
          <w:sz w:val="24"/>
          <w:szCs w:val="24"/>
        </w:rPr>
        <w:t>e of justice</w:t>
      </w:r>
      <w:r w:rsidR="00771D83" w:rsidRPr="005F304D">
        <w:rPr>
          <w:rFonts w:ascii="Palatino Linotype" w:hAnsi="Palatino Linotype" w:cstheme="majorBidi"/>
          <w:sz w:val="24"/>
          <w:szCs w:val="24"/>
        </w:rPr>
        <w:t xml:space="preserve">, it is clear that the benefits of such participation are more far-reaching. In addition to gaining practical work experience, pro bono clinics also help students acquire </w:t>
      </w:r>
      <w:r w:rsidR="00771D83" w:rsidRPr="005F304D">
        <w:rPr>
          <w:rFonts w:ascii="Palatino Linotype" w:hAnsi="Palatino Linotype" w:cstheme="majorBidi"/>
          <w:sz w:val="24"/>
          <w:szCs w:val="24"/>
          <w:lang w:val="en-US"/>
        </w:rPr>
        <w:t>fundamental professional values, as opposed to merely focusing on the acquisition of legal knowledge</w:t>
      </w:r>
      <w:r w:rsidR="00707113" w:rsidRPr="005F304D">
        <w:rPr>
          <w:rFonts w:ascii="Palatino Linotype" w:hAnsi="Palatino Linotype" w:cstheme="majorBidi"/>
          <w:sz w:val="24"/>
          <w:szCs w:val="24"/>
          <w:lang w:val="en-US"/>
        </w:rPr>
        <w:t xml:space="preserve"> (Booth, 2004)</w:t>
      </w:r>
      <w:r w:rsidR="00771D83" w:rsidRPr="005F304D">
        <w:rPr>
          <w:rFonts w:ascii="Palatino Linotype" w:hAnsi="Palatino Linotype" w:cstheme="majorBidi"/>
          <w:sz w:val="24"/>
          <w:szCs w:val="24"/>
          <w:lang w:val="en-US"/>
        </w:rPr>
        <w:t>.</w:t>
      </w:r>
      <w:r w:rsidRPr="005F304D">
        <w:rPr>
          <w:rFonts w:ascii="Palatino Linotype" w:hAnsi="Palatino Linotype" w:cstheme="majorBidi"/>
          <w:sz w:val="24"/>
          <w:szCs w:val="24"/>
          <w:lang w:val="en-US"/>
        </w:rPr>
        <w:t xml:space="preserve"> Ethical behaviour and understanding of social and cultural interaction with clients </w:t>
      </w:r>
      <w:r w:rsidR="00D40698" w:rsidRPr="005F304D">
        <w:rPr>
          <w:rFonts w:ascii="Palatino Linotype" w:hAnsi="Palatino Linotype" w:cstheme="majorBidi"/>
          <w:sz w:val="24"/>
          <w:szCs w:val="24"/>
          <w:lang w:val="en-US"/>
        </w:rPr>
        <w:t xml:space="preserve">also </w:t>
      </w:r>
      <w:r w:rsidRPr="005F304D">
        <w:rPr>
          <w:rFonts w:ascii="Palatino Linotype" w:hAnsi="Palatino Linotype" w:cstheme="majorBidi"/>
          <w:sz w:val="24"/>
          <w:szCs w:val="24"/>
          <w:lang w:val="en-US"/>
        </w:rPr>
        <w:t>become part and parcel of the student experience in the pro bono clinic.</w:t>
      </w:r>
      <w:r w:rsidR="00D40698" w:rsidRPr="005F304D">
        <w:rPr>
          <w:rFonts w:ascii="Palatino Linotype" w:hAnsi="Palatino Linotype" w:cstheme="majorBidi"/>
          <w:sz w:val="24"/>
          <w:szCs w:val="24"/>
          <w:lang w:val="en-US"/>
        </w:rPr>
        <w:t xml:space="preserve"> </w:t>
      </w:r>
      <w:r w:rsidR="00DD01B8" w:rsidRPr="005F304D">
        <w:rPr>
          <w:rFonts w:ascii="Palatino Linotype" w:hAnsi="Palatino Linotype" w:cstheme="majorBidi"/>
          <w:sz w:val="24"/>
          <w:szCs w:val="24"/>
          <w:lang w:val="en-US"/>
        </w:rPr>
        <w:t>Corker</w:t>
      </w:r>
      <w:r w:rsidR="00C67DB9" w:rsidRPr="005F304D">
        <w:rPr>
          <w:rFonts w:ascii="Palatino Linotype" w:hAnsi="Palatino Linotype" w:cstheme="majorBidi"/>
          <w:sz w:val="24"/>
          <w:szCs w:val="24"/>
          <w:lang w:val="en-US"/>
        </w:rPr>
        <w:t xml:space="preserve"> (2005, p.7)</w:t>
      </w:r>
      <w:r w:rsidR="00DD01B8" w:rsidRPr="005F304D">
        <w:rPr>
          <w:rFonts w:ascii="Palatino Linotype" w:hAnsi="Palatino Linotype" w:cstheme="majorBidi"/>
          <w:sz w:val="24"/>
          <w:szCs w:val="24"/>
          <w:lang w:val="en-US"/>
        </w:rPr>
        <w:t xml:space="preserve"> identifie</w:t>
      </w:r>
      <w:r w:rsidR="00C67DB9" w:rsidRPr="005F304D">
        <w:rPr>
          <w:rFonts w:ascii="Palatino Linotype" w:hAnsi="Palatino Linotype" w:cstheme="majorBidi"/>
          <w:sz w:val="24"/>
          <w:szCs w:val="24"/>
          <w:lang w:val="en-US"/>
        </w:rPr>
        <w:t>s</w:t>
      </w:r>
      <w:r w:rsidR="00DD01B8" w:rsidRPr="005F304D">
        <w:rPr>
          <w:rFonts w:ascii="Palatino Linotype" w:hAnsi="Palatino Linotype" w:cstheme="majorBidi"/>
          <w:sz w:val="24"/>
          <w:szCs w:val="24"/>
          <w:lang w:val="en-US"/>
        </w:rPr>
        <w:t xml:space="preserve"> the following objectives of pro bono clinics (in addition to the social justice aspects): </w:t>
      </w:r>
      <w:r w:rsidR="00DD01B8" w:rsidRPr="005F304D">
        <w:rPr>
          <w:rFonts w:ascii="Palatino Linotype" w:hAnsi="Palatino Linotype" w:cstheme="majorBidi"/>
          <w:sz w:val="24"/>
          <w:szCs w:val="24"/>
        </w:rPr>
        <w:t xml:space="preserve">to introduce law students to the workings of the legal profession and to meet, observe and work with practising lawyers involved in public interest work; to assist students to develop interpersonal skills in a professional environment; and to provide students with practical experience in research, writing and advocacy in a legal environment. </w:t>
      </w:r>
    </w:p>
    <w:p w14:paraId="68290325" w14:textId="62098F63" w:rsidR="00574098" w:rsidRPr="005F304D" w:rsidRDefault="00D40698"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lang w:val="en-US"/>
        </w:rPr>
        <w:t>All of these skills contribute to the student’s maturity and employability when</w:t>
      </w:r>
      <w:r w:rsidR="00471BC1" w:rsidRPr="005F304D">
        <w:rPr>
          <w:rFonts w:ascii="Palatino Linotype" w:hAnsi="Palatino Linotype" w:cstheme="majorBidi"/>
          <w:sz w:val="24"/>
          <w:szCs w:val="24"/>
          <w:lang w:val="en-US"/>
        </w:rPr>
        <w:t xml:space="preserve"> he/she enters the workplace.</w:t>
      </w:r>
      <w:r w:rsidR="000150A8" w:rsidRPr="005F304D">
        <w:rPr>
          <w:rFonts w:ascii="Palatino Linotype" w:hAnsi="Palatino Linotype" w:cstheme="majorBidi"/>
          <w:sz w:val="24"/>
          <w:szCs w:val="24"/>
          <w:lang w:val="en-US"/>
        </w:rPr>
        <w:t xml:space="preserve"> In a </w:t>
      </w:r>
      <w:r w:rsidR="00C11F73" w:rsidRPr="005F304D">
        <w:rPr>
          <w:rFonts w:ascii="Palatino Linotype" w:hAnsi="Palatino Linotype" w:cstheme="majorBidi"/>
          <w:sz w:val="24"/>
          <w:szCs w:val="24"/>
          <w:lang w:val="en-US"/>
        </w:rPr>
        <w:t xml:space="preserve">recent </w:t>
      </w:r>
      <w:r w:rsidR="000150A8" w:rsidRPr="005F304D">
        <w:rPr>
          <w:rFonts w:ascii="Palatino Linotype" w:hAnsi="Palatino Linotype" w:cstheme="majorBidi"/>
          <w:sz w:val="24"/>
          <w:szCs w:val="24"/>
          <w:lang w:val="en-US"/>
        </w:rPr>
        <w:t>study conducted by</w:t>
      </w:r>
      <w:r w:rsidR="00C11F73" w:rsidRPr="005F304D">
        <w:rPr>
          <w:rFonts w:ascii="Palatino Linotype" w:hAnsi="Palatino Linotype" w:cstheme="majorBidi"/>
          <w:sz w:val="24"/>
          <w:szCs w:val="24"/>
          <w:lang w:val="en-US"/>
        </w:rPr>
        <w:t xml:space="preserve"> </w:t>
      </w:r>
      <w:r w:rsidR="00C11F73" w:rsidRPr="005F304D">
        <w:rPr>
          <w:rFonts w:ascii="Palatino Linotype" w:hAnsi="Palatino Linotype" w:cstheme="majorBidi"/>
          <w:sz w:val="24"/>
          <w:szCs w:val="24"/>
        </w:rPr>
        <w:t>Trina Jorre de St Jorre and Beverley Oliver</w:t>
      </w:r>
      <w:r w:rsidR="000150A8" w:rsidRPr="005F304D">
        <w:rPr>
          <w:rFonts w:ascii="Palatino Linotype" w:hAnsi="Palatino Linotype" w:cstheme="majorBidi"/>
          <w:sz w:val="24"/>
          <w:szCs w:val="24"/>
          <w:lang w:val="en-US"/>
        </w:rPr>
        <w:t xml:space="preserve"> </w:t>
      </w:r>
      <w:r w:rsidR="00C11F73" w:rsidRPr="005F304D">
        <w:rPr>
          <w:rFonts w:ascii="Palatino Linotype" w:hAnsi="Palatino Linotype" w:cstheme="majorBidi"/>
          <w:sz w:val="24"/>
          <w:szCs w:val="24"/>
          <w:lang w:val="en-US"/>
        </w:rPr>
        <w:t>(2017, p.</w:t>
      </w:r>
      <w:r w:rsidR="00890EE5" w:rsidRPr="005F304D">
        <w:rPr>
          <w:rFonts w:ascii="Palatino Linotype" w:hAnsi="Palatino Linotype" w:cstheme="majorBidi"/>
          <w:sz w:val="24"/>
          <w:szCs w:val="24"/>
          <w:lang w:val="en-US"/>
        </w:rPr>
        <w:t xml:space="preserve"> </w:t>
      </w:r>
      <w:r w:rsidR="00C11F73" w:rsidRPr="005F304D">
        <w:rPr>
          <w:rFonts w:ascii="Palatino Linotype" w:hAnsi="Palatino Linotype" w:cstheme="majorBidi"/>
          <w:sz w:val="24"/>
          <w:szCs w:val="24"/>
          <w:lang w:val="en-US"/>
        </w:rPr>
        <w:t xml:space="preserve">9) </w:t>
      </w:r>
      <w:r w:rsidR="000150A8" w:rsidRPr="005F304D">
        <w:rPr>
          <w:rFonts w:ascii="Palatino Linotype" w:hAnsi="Palatino Linotype" w:cstheme="majorBidi"/>
          <w:sz w:val="24"/>
          <w:szCs w:val="24"/>
          <w:lang w:val="en-US"/>
        </w:rPr>
        <w:t>it was also found that s</w:t>
      </w:r>
      <w:r w:rsidR="000150A8" w:rsidRPr="005F304D">
        <w:rPr>
          <w:rFonts w:ascii="Palatino Linotype" w:hAnsi="Palatino Linotype" w:cstheme="majorBidi"/>
          <w:sz w:val="24"/>
          <w:szCs w:val="24"/>
        </w:rPr>
        <w:t>tudents value the involvement of employers, industry representatives or professionals in the design and delivery of their learning</w:t>
      </w:r>
      <w:r w:rsidR="00C11F73" w:rsidRPr="005F304D">
        <w:rPr>
          <w:rFonts w:ascii="Palatino Linotype" w:hAnsi="Palatino Linotype" w:cstheme="majorBidi"/>
          <w:sz w:val="24"/>
          <w:szCs w:val="24"/>
        </w:rPr>
        <w:t>. I</w:t>
      </w:r>
      <w:r w:rsidR="00A14CE7" w:rsidRPr="005F304D">
        <w:rPr>
          <w:rFonts w:ascii="Palatino Linotype" w:hAnsi="Palatino Linotype" w:cstheme="majorBidi"/>
          <w:sz w:val="24"/>
          <w:szCs w:val="24"/>
        </w:rPr>
        <w:t>t was noted by the authors that</w:t>
      </w:r>
      <w:r w:rsidR="00574098" w:rsidRPr="005F304D">
        <w:rPr>
          <w:rFonts w:ascii="Palatino Linotype" w:hAnsi="Palatino Linotype" w:cstheme="majorBidi"/>
          <w:sz w:val="24"/>
          <w:szCs w:val="24"/>
        </w:rPr>
        <w:t xml:space="preserve"> students </w:t>
      </w:r>
      <w:r w:rsidR="000150A8" w:rsidRPr="005F304D">
        <w:rPr>
          <w:rFonts w:ascii="Palatino Linotype" w:hAnsi="Palatino Linotype" w:cstheme="majorBidi"/>
          <w:sz w:val="24"/>
          <w:szCs w:val="24"/>
        </w:rPr>
        <w:t xml:space="preserve">also spoke highly of work-integrated learning and professional networking opportunities. They identified strategies such as work placements, internships or volunteering as effective ways of engaging in skills development: </w:t>
      </w:r>
    </w:p>
    <w:p w14:paraId="36527686" w14:textId="61432681" w:rsidR="000150A8" w:rsidRPr="005F304D" w:rsidRDefault="000150A8" w:rsidP="00C34312">
      <w:pPr>
        <w:spacing w:line="480" w:lineRule="auto"/>
        <w:ind w:left="720"/>
        <w:jc w:val="both"/>
        <w:rPr>
          <w:rFonts w:ascii="Palatino Linotype" w:hAnsi="Palatino Linotype" w:cstheme="majorBidi"/>
          <w:sz w:val="24"/>
          <w:szCs w:val="24"/>
        </w:rPr>
      </w:pPr>
      <w:r w:rsidRPr="005F304D">
        <w:rPr>
          <w:rFonts w:ascii="Palatino Linotype" w:hAnsi="Palatino Linotype" w:cstheme="majorBidi"/>
          <w:sz w:val="24"/>
          <w:szCs w:val="24"/>
        </w:rPr>
        <w:lastRenderedPageBreak/>
        <w:t>‘Internships are great for developing these kinds of skills but they are highly selective. Volunteering is a great way for other students to develop skills that employers want</w:t>
      </w:r>
      <w:r w:rsidR="00A14CE7" w:rsidRPr="005F304D">
        <w:rPr>
          <w:rFonts w:ascii="Palatino Linotype" w:hAnsi="Palatino Linotype" w:cstheme="majorBidi"/>
          <w:sz w:val="24"/>
          <w:szCs w:val="24"/>
        </w:rPr>
        <w:t>’</w:t>
      </w:r>
      <w:r w:rsidRPr="005F304D">
        <w:rPr>
          <w:rFonts w:ascii="Palatino Linotype" w:hAnsi="Palatino Linotype" w:cstheme="majorBidi"/>
          <w:sz w:val="24"/>
          <w:szCs w:val="24"/>
        </w:rPr>
        <w:t>.</w:t>
      </w:r>
    </w:p>
    <w:p w14:paraId="1499C88D" w14:textId="507E1A6F" w:rsidR="00C11F73" w:rsidRPr="005F304D" w:rsidRDefault="00C11F73"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The interaction between students and legal professionals in the clinic is therefore conducive to developing practice skills</w:t>
      </w:r>
      <w:r w:rsidR="00574098" w:rsidRPr="005F304D">
        <w:rPr>
          <w:rFonts w:ascii="Palatino Linotype" w:hAnsi="Palatino Linotype" w:cstheme="majorBidi"/>
          <w:sz w:val="24"/>
          <w:szCs w:val="24"/>
        </w:rPr>
        <w:t>,</w:t>
      </w:r>
      <w:r w:rsidRPr="005F304D">
        <w:rPr>
          <w:rFonts w:ascii="Palatino Linotype" w:hAnsi="Palatino Linotype" w:cstheme="majorBidi"/>
          <w:sz w:val="24"/>
          <w:szCs w:val="24"/>
        </w:rPr>
        <w:t xml:space="preserve"> which would not have been accessible to students in a traditional classroom context.</w:t>
      </w:r>
    </w:p>
    <w:p w14:paraId="6AAF82D7" w14:textId="77777777" w:rsidR="00DD01B8" w:rsidRPr="005F304D" w:rsidRDefault="00DD01B8"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lang w:val="en-US"/>
        </w:rPr>
        <w:t xml:space="preserve">Previously, </w:t>
      </w:r>
      <w:r w:rsidR="00C11F73" w:rsidRPr="005F304D">
        <w:rPr>
          <w:rFonts w:ascii="Palatino Linotype" w:hAnsi="Palatino Linotype" w:cstheme="majorBidi"/>
          <w:sz w:val="24"/>
          <w:szCs w:val="24"/>
          <w:lang w:val="en-US"/>
        </w:rPr>
        <w:t>it has been acknowledged</w:t>
      </w:r>
      <w:r w:rsidRPr="005F304D">
        <w:rPr>
          <w:rFonts w:ascii="Palatino Linotype" w:hAnsi="Palatino Linotype" w:cstheme="majorBidi"/>
          <w:sz w:val="24"/>
          <w:szCs w:val="24"/>
          <w:lang w:val="en-US"/>
        </w:rPr>
        <w:t xml:space="preserve"> that </w:t>
      </w:r>
      <w:r w:rsidR="00882EEF" w:rsidRPr="005F304D">
        <w:rPr>
          <w:rFonts w:ascii="Palatino Linotype" w:hAnsi="Palatino Linotype" w:cstheme="majorBidi"/>
          <w:sz w:val="24"/>
          <w:szCs w:val="24"/>
        </w:rPr>
        <w:t>there i</w:t>
      </w:r>
      <w:r w:rsidRPr="005F304D">
        <w:rPr>
          <w:rFonts w:ascii="Palatino Linotype" w:hAnsi="Palatino Linotype" w:cstheme="majorBidi"/>
          <w:sz w:val="24"/>
          <w:szCs w:val="24"/>
        </w:rPr>
        <w:t xml:space="preserve">s merit in both CLE and pro bono clinics – the CLE model which is for academic credit, and the more informal pro bono </w:t>
      </w:r>
      <w:r w:rsidR="00E347A6" w:rsidRPr="005F304D">
        <w:rPr>
          <w:rFonts w:ascii="Palatino Linotype" w:hAnsi="Palatino Linotype" w:cstheme="majorBidi"/>
          <w:sz w:val="24"/>
          <w:szCs w:val="24"/>
        </w:rPr>
        <w:t>program</w:t>
      </w:r>
      <w:r w:rsidRPr="005F304D">
        <w:rPr>
          <w:rFonts w:ascii="Palatino Linotype" w:hAnsi="Palatino Linotype" w:cstheme="majorBidi"/>
          <w:sz w:val="24"/>
          <w:szCs w:val="24"/>
        </w:rPr>
        <w:t xml:space="preserve"> without formal academic credit - but that a ‘hybrid’ model incorporating both pro bono work and specific learning and teaching outcomes provides students with an optimum practice-based learning experience. Furthermore, if such a program is conducted at the university faculty premises, rather than externally, the benefits are enhanced due to the interaction of students, lawyers and academics in the Law Faculty environment</w:t>
      </w:r>
      <w:r w:rsidR="00707113" w:rsidRPr="005F304D">
        <w:rPr>
          <w:rFonts w:ascii="Palatino Linotype" w:hAnsi="Palatino Linotype" w:cstheme="majorBidi"/>
          <w:sz w:val="24"/>
          <w:szCs w:val="24"/>
        </w:rPr>
        <w:t xml:space="preserve"> (Cantatore, 2015, p. 162)</w:t>
      </w:r>
      <w:r w:rsidRPr="005F304D">
        <w:rPr>
          <w:rFonts w:ascii="Palatino Linotype" w:hAnsi="Palatino Linotype" w:cstheme="majorBidi"/>
          <w:sz w:val="24"/>
          <w:szCs w:val="24"/>
        </w:rPr>
        <w:t>. It was then demonst</w:t>
      </w:r>
      <w:r w:rsidR="00882EEF" w:rsidRPr="005F304D">
        <w:rPr>
          <w:rFonts w:ascii="Palatino Linotype" w:hAnsi="Palatino Linotype" w:cstheme="majorBidi"/>
          <w:sz w:val="24"/>
          <w:szCs w:val="24"/>
        </w:rPr>
        <w:t>rated that the Commercial L</w:t>
      </w:r>
      <w:r w:rsidRPr="005F304D">
        <w:rPr>
          <w:rFonts w:ascii="Palatino Linotype" w:hAnsi="Palatino Linotype" w:cstheme="majorBidi"/>
          <w:sz w:val="24"/>
          <w:szCs w:val="24"/>
        </w:rPr>
        <w:t>aw Clinic</w:t>
      </w:r>
      <w:r w:rsidR="00882EEF" w:rsidRPr="005F304D">
        <w:rPr>
          <w:rFonts w:ascii="Palatino Linotype" w:hAnsi="Palatino Linotype" w:cstheme="majorBidi"/>
          <w:sz w:val="24"/>
          <w:szCs w:val="24"/>
        </w:rPr>
        <w:t xml:space="preserve"> had the attributes of such a hybrid clinic, in providing a pro bono opportunity for volunteers, with the concomitant benefits of experiential learning derived from </w:t>
      </w:r>
      <w:r w:rsidR="003A2B04" w:rsidRPr="005F304D">
        <w:rPr>
          <w:rFonts w:ascii="Palatino Linotype" w:hAnsi="Palatino Linotype" w:cstheme="majorBidi"/>
          <w:sz w:val="24"/>
          <w:szCs w:val="24"/>
        </w:rPr>
        <w:t>interviewing</w:t>
      </w:r>
      <w:r w:rsidR="00882EEF" w:rsidRPr="005F304D">
        <w:rPr>
          <w:rFonts w:ascii="Palatino Linotype" w:hAnsi="Palatino Linotype" w:cstheme="majorBidi"/>
          <w:sz w:val="24"/>
          <w:szCs w:val="24"/>
        </w:rPr>
        <w:t xml:space="preserve"> real clients under supervision</w:t>
      </w:r>
      <w:r w:rsidR="00B74A70" w:rsidRPr="005F304D">
        <w:rPr>
          <w:rFonts w:ascii="Palatino Linotype" w:hAnsi="Palatino Linotype" w:cstheme="majorBidi"/>
          <w:sz w:val="24"/>
          <w:szCs w:val="24"/>
        </w:rPr>
        <w:t xml:space="preserve"> by experienced legal practitioners</w:t>
      </w:r>
      <w:r w:rsidR="00882EEF" w:rsidRPr="005F304D">
        <w:rPr>
          <w:rFonts w:ascii="Palatino Linotype" w:hAnsi="Palatino Linotype" w:cstheme="majorBidi"/>
          <w:sz w:val="24"/>
          <w:szCs w:val="24"/>
        </w:rPr>
        <w:t xml:space="preserve">, researching the law, and drafting advice, which </w:t>
      </w:r>
      <w:r w:rsidR="0095062B" w:rsidRPr="005F304D">
        <w:rPr>
          <w:rFonts w:ascii="Palatino Linotype" w:hAnsi="Palatino Linotype" w:cstheme="majorBidi"/>
          <w:sz w:val="24"/>
          <w:szCs w:val="24"/>
        </w:rPr>
        <w:t xml:space="preserve">is </w:t>
      </w:r>
      <w:r w:rsidR="00882EEF" w:rsidRPr="005F304D">
        <w:rPr>
          <w:rFonts w:ascii="Palatino Linotype" w:hAnsi="Palatino Linotype" w:cstheme="majorBidi"/>
          <w:sz w:val="24"/>
          <w:szCs w:val="24"/>
        </w:rPr>
        <w:t>signed off by supervising lawyers. Thus, this clinic</w:t>
      </w:r>
      <w:r w:rsidR="003A2B04" w:rsidRPr="005F304D">
        <w:rPr>
          <w:rFonts w:ascii="Palatino Linotype" w:hAnsi="Palatino Linotype" w:cstheme="majorBidi"/>
          <w:sz w:val="24"/>
          <w:szCs w:val="24"/>
        </w:rPr>
        <w:t xml:space="preserve"> model</w:t>
      </w:r>
      <w:r w:rsidR="00882EEF" w:rsidRPr="005F304D">
        <w:rPr>
          <w:rFonts w:ascii="Palatino Linotype" w:hAnsi="Palatino Linotype" w:cstheme="majorBidi"/>
          <w:sz w:val="24"/>
          <w:szCs w:val="24"/>
        </w:rPr>
        <w:t xml:space="preserve"> incorporated elements of community service </w:t>
      </w:r>
      <w:r w:rsidR="003A2B04" w:rsidRPr="005F304D">
        <w:rPr>
          <w:rFonts w:ascii="Palatino Linotype" w:hAnsi="Palatino Linotype" w:cstheme="majorBidi"/>
          <w:sz w:val="24"/>
          <w:szCs w:val="24"/>
        </w:rPr>
        <w:t xml:space="preserve">together </w:t>
      </w:r>
      <w:r w:rsidR="00882EEF" w:rsidRPr="005F304D">
        <w:rPr>
          <w:rFonts w:ascii="Palatino Linotype" w:hAnsi="Palatino Linotype" w:cstheme="majorBidi"/>
          <w:sz w:val="24"/>
          <w:szCs w:val="24"/>
        </w:rPr>
        <w:t xml:space="preserve">with the development of employability skills in students. In addition, as a Commercial Law Clinic, the clinic was an initiative that challenged existing </w:t>
      </w:r>
      <w:r w:rsidR="00882EEF" w:rsidRPr="005F304D">
        <w:rPr>
          <w:rFonts w:ascii="Palatino Linotype" w:hAnsi="Palatino Linotype" w:cstheme="majorBidi"/>
          <w:sz w:val="24"/>
          <w:szCs w:val="24"/>
        </w:rPr>
        <w:lastRenderedPageBreak/>
        <w:t xml:space="preserve">models of CLE </w:t>
      </w:r>
      <w:r w:rsidR="00E347A6" w:rsidRPr="005F304D">
        <w:rPr>
          <w:rFonts w:ascii="Palatino Linotype" w:hAnsi="Palatino Linotype" w:cstheme="majorBidi"/>
          <w:sz w:val="24"/>
          <w:szCs w:val="24"/>
        </w:rPr>
        <w:t>program</w:t>
      </w:r>
      <w:r w:rsidR="00882EEF" w:rsidRPr="005F304D">
        <w:rPr>
          <w:rFonts w:ascii="Palatino Linotype" w:hAnsi="Palatino Linotype" w:cstheme="majorBidi"/>
          <w:sz w:val="24"/>
          <w:szCs w:val="24"/>
        </w:rPr>
        <w:t xml:space="preserve">s and pro bono services, by merging pro bono service and experiential learning in a </w:t>
      </w:r>
      <w:r w:rsidR="00882EEF" w:rsidRPr="005F304D">
        <w:rPr>
          <w:rFonts w:ascii="Palatino Linotype" w:hAnsi="Palatino Linotype" w:cstheme="majorBidi"/>
          <w:i/>
          <w:iCs/>
          <w:sz w:val="24"/>
          <w:szCs w:val="24"/>
        </w:rPr>
        <w:t>commercial law</w:t>
      </w:r>
      <w:r w:rsidR="00882EEF" w:rsidRPr="005F304D">
        <w:rPr>
          <w:rFonts w:ascii="Palatino Linotype" w:hAnsi="Palatino Linotype" w:cstheme="majorBidi"/>
          <w:sz w:val="24"/>
          <w:szCs w:val="24"/>
        </w:rPr>
        <w:t xml:space="preserve"> context.</w:t>
      </w:r>
    </w:p>
    <w:p w14:paraId="6A3B6618" w14:textId="77777777" w:rsidR="00882EEF" w:rsidRPr="005F304D" w:rsidRDefault="003A2B04"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The remaining three clinics consist mainly of off-campus volunteering with law firms and institu</w:t>
      </w:r>
      <w:r w:rsidR="00A01174" w:rsidRPr="005F304D">
        <w:rPr>
          <w:rFonts w:ascii="Palatino Linotype" w:hAnsi="Palatino Linotype" w:cstheme="majorBidi"/>
          <w:sz w:val="24"/>
          <w:szCs w:val="24"/>
        </w:rPr>
        <w:t>tions on pro bono matters but they share</w:t>
      </w:r>
      <w:r w:rsidRPr="005F304D">
        <w:rPr>
          <w:rFonts w:ascii="Palatino Linotype" w:hAnsi="Palatino Linotype" w:cstheme="majorBidi"/>
          <w:sz w:val="24"/>
          <w:szCs w:val="24"/>
        </w:rPr>
        <w:t xml:space="preserve"> the following characteristics with the Commercial Law Clinic:</w:t>
      </w:r>
    </w:p>
    <w:p w14:paraId="03C88775" w14:textId="77777777" w:rsidR="003A2B04" w:rsidRPr="005F304D" w:rsidRDefault="00A01174" w:rsidP="00C34312">
      <w:pPr>
        <w:pStyle w:val="ListParagraph"/>
        <w:numPr>
          <w:ilvl w:val="0"/>
          <w:numId w:val="7"/>
        </w:numPr>
        <w:spacing w:line="480" w:lineRule="auto"/>
        <w:ind w:left="714" w:hanging="357"/>
        <w:contextualSpacing w:val="0"/>
        <w:jc w:val="both"/>
        <w:rPr>
          <w:rFonts w:ascii="Palatino Linotype" w:hAnsi="Palatino Linotype" w:cstheme="majorBidi"/>
          <w:sz w:val="24"/>
          <w:szCs w:val="24"/>
        </w:rPr>
      </w:pPr>
      <w:r w:rsidRPr="005F304D">
        <w:rPr>
          <w:rFonts w:ascii="Palatino Linotype" w:hAnsi="Palatino Linotype" w:cstheme="majorBidi"/>
          <w:sz w:val="24"/>
          <w:szCs w:val="24"/>
        </w:rPr>
        <w:t>All clinics constitute volunteer activities which involve community service elements;</w:t>
      </w:r>
    </w:p>
    <w:p w14:paraId="3F0133B9" w14:textId="77777777" w:rsidR="00A01174" w:rsidRPr="005F304D" w:rsidRDefault="00A01174" w:rsidP="00C34312">
      <w:pPr>
        <w:pStyle w:val="ListParagraph"/>
        <w:numPr>
          <w:ilvl w:val="0"/>
          <w:numId w:val="7"/>
        </w:numPr>
        <w:spacing w:line="480" w:lineRule="auto"/>
        <w:ind w:left="714" w:hanging="357"/>
        <w:contextualSpacing w:val="0"/>
        <w:jc w:val="both"/>
        <w:rPr>
          <w:rFonts w:ascii="Palatino Linotype" w:hAnsi="Palatino Linotype" w:cstheme="majorBidi"/>
          <w:sz w:val="24"/>
          <w:szCs w:val="24"/>
        </w:rPr>
      </w:pPr>
      <w:r w:rsidRPr="005F304D">
        <w:rPr>
          <w:rFonts w:ascii="Palatino Linotype" w:hAnsi="Palatino Linotype" w:cstheme="majorBidi"/>
          <w:sz w:val="24"/>
          <w:szCs w:val="24"/>
        </w:rPr>
        <w:t>None of the clinics are for academic credit;</w:t>
      </w:r>
    </w:p>
    <w:p w14:paraId="2C2A1E18" w14:textId="77777777" w:rsidR="00A01174" w:rsidRPr="005F304D" w:rsidRDefault="00A01174" w:rsidP="00C34312">
      <w:pPr>
        <w:pStyle w:val="ListParagraph"/>
        <w:numPr>
          <w:ilvl w:val="0"/>
          <w:numId w:val="7"/>
        </w:numPr>
        <w:spacing w:line="480" w:lineRule="auto"/>
        <w:ind w:left="714" w:hanging="357"/>
        <w:contextualSpacing w:val="0"/>
        <w:jc w:val="both"/>
        <w:rPr>
          <w:rFonts w:ascii="Palatino Linotype" w:hAnsi="Palatino Linotype" w:cstheme="majorBidi"/>
          <w:sz w:val="24"/>
          <w:szCs w:val="24"/>
        </w:rPr>
      </w:pPr>
      <w:r w:rsidRPr="005F304D">
        <w:rPr>
          <w:rFonts w:ascii="Palatino Linotype" w:hAnsi="Palatino Linotype" w:cstheme="majorBidi"/>
          <w:sz w:val="24"/>
          <w:szCs w:val="24"/>
        </w:rPr>
        <w:t>All clinics promote access to justice (whether for individuals, small businesses or not-for-profits);</w:t>
      </w:r>
      <w:r w:rsidR="0095062B" w:rsidRPr="005F304D">
        <w:rPr>
          <w:rFonts w:ascii="Palatino Linotype" w:hAnsi="Palatino Linotype" w:cstheme="majorBidi"/>
          <w:sz w:val="24"/>
          <w:szCs w:val="24"/>
        </w:rPr>
        <w:t xml:space="preserve"> and</w:t>
      </w:r>
    </w:p>
    <w:p w14:paraId="66D1490C" w14:textId="77777777" w:rsidR="00A01174" w:rsidRPr="005F304D" w:rsidRDefault="00A01174" w:rsidP="00C34312">
      <w:pPr>
        <w:pStyle w:val="ListParagraph"/>
        <w:numPr>
          <w:ilvl w:val="0"/>
          <w:numId w:val="7"/>
        </w:numPr>
        <w:spacing w:line="480" w:lineRule="auto"/>
        <w:ind w:left="714" w:hanging="357"/>
        <w:contextualSpacing w:val="0"/>
        <w:jc w:val="both"/>
        <w:rPr>
          <w:rFonts w:ascii="Palatino Linotype" w:hAnsi="Palatino Linotype" w:cstheme="majorBidi"/>
          <w:sz w:val="24"/>
          <w:szCs w:val="24"/>
        </w:rPr>
      </w:pPr>
      <w:r w:rsidRPr="005F304D">
        <w:rPr>
          <w:rFonts w:ascii="Palatino Linotype" w:hAnsi="Palatino Linotype" w:cstheme="majorBidi"/>
          <w:sz w:val="24"/>
          <w:szCs w:val="24"/>
        </w:rPr>
        <w:t>All clinics offer students experiential learning opportunities through interviewing, drafting and preparing advices or briefs.</w:t>
      </w:r>
    </w:p>
    <w:p w14:paraId="05EC3265" w14:textId="77777777" w:rsidR="000870AE" w:rsidRPr="005F304D" w:rsidRDefault="00BF6D23"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Thus</w:t>
      </w:r>
      <w:r w:rsidR="00A01174" w:rsidRPr="005F304D">
        <w:rPr>
          <w:rFonts w:ascii="Palatino Linotype" w:hAnsi="Palatino Linotype" w:cstheme="majorBidi"/>
          <w:sz w:val="24"/>
          <w:szCs w:val="24"/>
        </w:rPr>
        <w:t xml:space="preserve">, even though they may serve different purposes from a community service </w:t>
      </w:r>
      <w:r w:rsidRPr="005F304D">
        <w:rPr>
          <w:rFonts w:ascii="Palatino Linotype" w:hAnsi="Palatino Linotype" w:cstheme="majorBidi"/>
          <w:sz w:val="24"/>
          <w:szCs w:val="24"/>
        </w:rPr>
        <w:t>perspective</w:t>
      </w:r>
      <w:r w:rsidR="00A01174" w:rsidRPr="005F304D">
        <w:rPr>
          <w:rFonts w:ascii="Palatino Linotype" w:hAnsi="Palatino Linotype" w:cstheme="majorBidi"/>
          <w:sz w:val="24"/>
          <w:szCs w:val="24"/>
        </w:rPr>
        <w:t xml:space="preserve"> and the clinic models differ in some respects, all of these clinics under the </w:t>
      </w:r>
      <w:r w:rsidR="00B26B4D" w:rsidRPr="005F304D">
        <w:rPr>
          <w:rFonts w:ascii="Palatino Linotype" w:hAnsi="Palatino Linotype" w:cstheme="majorBidi"/>
          <w:sz w:val="24"/>
          <w:szCs w:val="24"/>
        </w:rPr>
        <w:t>[</w:t>
      </w:r>
      <w:r w:rsidR="00A01174" w:rsidRPr="005F304D">
        <w:rPr>
          <w:rFonts w:ascii="Palatino Linotype" w:hAnsi="Palatino Linotype" w:cstheme="majorBidi"/>
          <w:sz w:val="24"/>
          <w:szCs w:val="24"/>
        </w:rPr>
        <w:t>Law Clinic</w:t>
      </w:r>
      <w:r w:rsidR="00B26B4D" w:rsidRPr="005F304D">
        <w:rPr>
          <w:rFonts w:ascii="Palatino Linotype" w:hAnsi="Palatino Linotype" w:cstheme="majorBidi"/>
          <w:sz w:val="24"/>
          <w:szCs w:val="24"/>
        </w:rPr>
        <w:t>]</w:t>
      </w:r>
      <w:r w:rsidR="00A01174" w:rsidRPr="005F304D">
        <w:rPr>
          <w:rFonts w:ascii="Palatino Linotype" w:hAnsi="Palatino Linotype" w:cstheme="majorBidi"/>
          <w:sz w:val="24"/>
          <w:szCs w:val="24"/>
        </w:rPr>
        <w:t xml:space="preserve"> Program share common goals and objectives, which include </w:t>
      </w:r>
      <w:r w:rsidRPr="005F304D">
        <w:rPr>
          <w:rFonts w:ascii="Palatino Linotype" w:hAnsi="Palatino Linotype" w:cstheme="majorBidi"/>
          <w:sz w:val="24"/>
          <w:szCs w:val="24"/>
        </w:rPr>
        <w:t xml:space="preserve">developing students’ </w:t>
      </w:r>
      <w:r w:rsidR="00A01174" w:rsidRPr="005F304D">
        <w:rPr>
          <w:rFonts w:ascii="Palatino Linotype" w:hAnsi="Palatino Linotype" w:cstheme="majorBidi"/>
          <w:sz w:val="24"/>
          <w:szCs w:val="24"/>
        </w:rPr>
        <w:t xml:space="preserve">real-world employment skills. The research discussed below attempts to determine whether these objectives are realised – and if so, to what extent </w:t>
      </w:r>
      <w:r w:rsidR="00BA089F" w:rsidRPr="005F304D">
        <w:rPr>
          <w:rFonts w:ascii="Palatino Linotype" w:hAnsi="Palatino Linotype" w:cstheme="majorBidi"/>
          <w:sz w:val="24"/>
          <w:szCs w:val="24"/>
        </w:rPr>
        <w:t>–</w:t>
      </w:r>
      <w:r w:rsidR="00A01174" w:rsidRPr="005F304D">
        <w:rPr>
          <w:rFonts w:ascii="Palatino Linotype" w:hAnsi="Palatino Linotype" w:cstheme="majorBidi"/>
          <w:sz w:val="24"/>
          <w:szCs w:val="24"/>
        </w:rPr>
        <w:t xml:space="preserve"> in respect of developing employment skills through </w:t>
      </w:r>
      <w:r w:rsidRPr="005F304D">
        <w:rPr>
          <w:rFonts w:ascii="Palatino Linotype" w:hAnsi="Palatino Linotype" w:cstheme="majorBidi"/>
          <w:sz w:val="24"/>
          <w:szCs w:val="24"/>
        </w:rPr>
        <w:t>s</w:t>
      </w:r>
      <w:r w:rsidR="00BA6260" w:rsidRPr="005F304D">
        <w:rPr>
          <w:rFonts w:ascii="Palatino Linotype" w:hAnsi="Palatino Linotype" w:cstheme="majorBidi"/>
          <w:sz w:val="24"/>
          <w:szCs w:val="24"/>
        </w:rPr>
        <w:t>t</w:t>
      </w:r>
      <w:r w:rsidRPr="005F304D">
        <w:rPr>
          <w:rFonts w:ascii="Palatino Linotype" w:hAnsi="Palatino Linotype" w:cstheme="majorBidi"/>
          <w:sz w:val="24"/>
          <w:szCs w:val="24"/>
        </w:rPr>
        <w:t>udents’</w:t>
      </w:r>
      <w:r w:rsidR="00A01174" w:rsidRPr="005F304D">
        <w:rPr>
          <w:rFonts w:ascii="Palatino Linotype" w:hAnsi="Palatino Linotype" w:cstheme="majorBidi"/>
          <w:sz w:val="24"/>
          <w:szCs w:val="24"/>
        </w:rPr>
        <w:t xml:space="preserve"> pro bono clinic experience.</w:t>
      </w:r>
    </w:p>
    <w:p w14:paraId="5F7ACBF7" w14:textId="77777777" w:rsidR="00C34312" w:rsidRDefault="00C34312" w:rsidP="00C34312">
      <w:pPr>
        <w:spacing w:line="480" w:lineRule="auto"/>
        <w:jc w:val="both"/>
        <w:rPr>
          <w:rFonts w:ascii="Palatino Linotype" w:hAnsi="Palatino Linotype" w:cstheme="majorBidi"/>
          <w:b/>
          <w:bCs/>
          <w:sz w:val="24"/>
          <w:szCs w:val="24"/>
        </w:rPr>
      </w:pPr>
    </w:p>
    <w:p w14:paraId="515608C8" w14:textId="44BB460A" w:rsidR="00124CDD" w:rsidRPr="005F304D" w:rsidRDefault="00DF319F" w:rsidP="00C34312">
      <w:pPr>
        <w:spacing w:line="480" w:lineRule="auto"/>
        <w:jc w:val="both"/>
        <w:rPr>
          <w:rFonts w:ascii="Palatino Linotype" w:hAnsi="Palatino Linotype" w:cstheme="majorBidi"/>
          <w:b/>
          <w:bCs/>
          <w:sz w:val="24"/>
          <w:szCs w:val="24"/>
        </w:rPr>
      </w:pPr>
      <w:r w:rsidRPr="005F304D">
        <w:rPr>
          <w:rFonts w:ascii="Palatino Linotype" w:hAnsi="Palatino Linotype" w:cstheme="majorBidi"/>
          <w:b/>
          <w:bCs/>
          <w:sz w:val="24"/>
          <w:szCs w:val="24"/>
        </w:rPr>
        <w:lastRenderedPageBreak/>
        <w:t>T</w:t>
      </w:r>
      <w:r w:rsidR="00184F53" w:rsidRPr="005F304D">
        <w:rPr>
          <w:rFonts w:ascii="Palatino Linotype" w:hAnsi="Palatino Linotype" w:cstheme="majorBidi"/>
          <w:b/>
          <w:bCs/>
          <w:sz w:val="24"/>
          <w:szCs w:val="24"/>
        </w:rPr>
        <w:t>he Research Project</w:t>
      </w:r>
    </w:p>
    <w:p w14:paraId="6C9BD46B" w14:textId="77777777" w:rsidR="00DF319F" w:rsidRPr="005F304D" w:rsidRDefault="00184F53" w:rsidP="00C34312">
      <w:pPr>
        <w:spacing w:line="480" w:lineRule="auto"/>
        <w:jc w:val="both"/>
        <w:rPr>
          <w:rFonts w:ascii="Palatino Linotype" w:hAnsi="Palatino Linotype" w:cstheme="majorBidi"/>
          <w:b/>
          <w:bCs/>
          <w:i/>
          <w:iCs/>
          <w:sz w:val="24"/>
          <w:szCs w:val="24"/>
        </w:rPr>
      </w:pPr>
      <w:r w:rsidRPr="005F304D">
        <w:rPr>
          <w:rFonts w:ascii="Palatino Linotype" w:hAnsi="Palatino Linotype" w:cstheme="majorBidi"/>
          <w:b/>
          <w:bCs/>
          <w:i/>
          <w:iCs/>
          <w:sz w:val="24"/>
          <w:szCs w:val="24"/>
        </w:rPr>
        <w:t>Theoretical G</w:t>
      </w:r>
      <w:r w:rsidR="00DF319F" w:rsidRPr="005F304D">
        <w:rPr>
          <w:rFonts w:ascii="Palatino Linotype" w:hAnsi="Palatino Linotype" w:cstheme="majorBidi"/>
          <w:b/>
          <w:bCs/>
          <w:i/>
          <w:iCs/>
          <w:sz w:val="24"/>
          <w:szCs w:val="24"/>
        </w:rPr>
        <w:t>rounding</w:t>
      </w:r>
    </w:p>
    <w:p w14:paraId="3130FF10" w14:textId="77777777" w:rsidR="00FD57DB" w:rsidRPr="005F304D" w:rsidRDefault="001A2FAA"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w:t>
      </w:r>
      <w:r w:rsidR="00DF319F" w:rsidRPr="005F304D">
        <w:rPr>
          <w:rFonts w:ascii="Palatino Linotype" w:hAnsi="Palatino Linotype" w:cstheme="majorBidi"/>
          <w:sz w:val="24"/>
          <w:szCs w:val="24"/>
        </w:rPr>
        <w:t xml:space="preserve">he research </w:t>
      </w:r>
      <w:r w:rsidRPr="005F304D">
        <w:rPr>
          <w:rFonts w:ascii="Palatino Linotype" w:hAnsi="Palatino Linotype" w:cstheme="majorBidi"/>
          <w:sz w:val="24"/>
          <w:szCs w:val="24"/>
        </w:rPr>
        <w:t xml:space="preserve">project </w:t>
      </w:r>
      <w:r w:rsidR="00DF319F" w:rsidRPr="005F304D">
        <w:rPr>
          <w:rFonts w:ascii="Palatino Linotype" w:hAnsi="Palatino Linotype" w:cstheme="majorBidi"/>
          <w:sz w:val="24"/>
          <w:szCs w:val="24"/>
        </w:rPr>
        <w:t xml:space="preserve">underlying this article was conducted within the theoretic grounding of the </w:t>
      </w:r>
      <w:r w:rsidR="00DD391D" w:rsidRPr="005F304D">
        <w:rPr>
          <w:rFonts w:ascii="Palatino Linotype" w:hAnsi="Palatino Linotype" w:cstheme="majorBidi"/>
          <w:sz w:val="24"/>
          <w:szCs w:val="24"/>
        </w:rPr>
        <w:t xml:space="preserve">GEI </w:t>
      </w:r>
      <w:r w:rsidR="004303AF" w:rsidRPr="005F304D">
        <w:rPr>
          <w:rFonts w:ascii="Palatino Linotype" w:hAnsi="Palatino Linotype" w:cstheme="majorBidi"/>
          <w:sz w:val="24"/>
          <w:szCs w:val="24"/>
        </w:rPr>
        <w:t>set out</w:t>
      </w:r>
      <w:r w:rsidR="00DF319F" w:rsidRPr="005F304D">
        <w:rPr>
          <w:rFonts w:ascii="Palatino Linotype" w:hAnsi="Palatino Linotype" w:cstheme="majorBidi"/>
          <w:sz w:val="24"/>
          <w:szCs w:val="24"/>
        </w:rPr>
        <w:t xml:space="preserve"> by Oliver et al</w:t>
      </w:r>
      <w:r w:rsidR="00707113" w:rsidRPr="005F304D">
        <w:rPr>
          <w:rFonts w:ascii="Palatino Linotype" w:hAnsi="Palatino Linotype" w:cstheme="majorBidi"/>
          <w:sz w:val="24"/>
          <w:szCs w:val="24"/>
        </w:rPr>
        <w:t>.</w:t>
      </w:r>
      <w:r w:rsidR="00DF319F" w:rsidRPr="005F304D">
        <w:rPr>
          <w:rFonts w:ascii="Palatino Linotype" w:hAnsi="Palatino Linotype" w:cstheme="majorBidi"/>
          <w:sz w:val="24"/>
          <w:szCs w:val="24"/>
        </w:rPr>
        <w:t xml:space="preserve"> </w:t>
      </w:r>
      <w:r w:rsidR="00707113" w:rsidRPr="005F304D">
        <w:rPr>
          <w:rFonts w:ascii="Palatino Linotype" w:hAnsi="Palatino Linotype" w:cstheme="majorBidi"/>
          <w:sz w:val="24"/>
          <w:szCs w:val="24"/>
        </w:rPr>
        <w:t xml:space="preserve">(2011) </w:t>
      </w:r>
      <w:r w:rsidR="00DF319F" w:rsidRPr="005F304D">
        <w:rPr>
          <w:rFonts w:ascii="Palatino Linotype" w:hAnsi="Palatino Linotype" w:cstheme="majorBidi"/>
          <w:sz w:val="24"/>
          <w:szCs w:val="24"/>
        </w:rPr>
        <w:t>for an Australian Learning and Teaching Council Report. The Report relied on seven clusters of attributes identified by universities</w:t>
      </w:r>
      <w:r w:rsidRPr="005F304D">
        <w:rPr>
          <w:rFonts w:ascii="Palatino Linotype" w:hAnsi="Palatino Linotype" w:cstheme="majorBidi"/>
          <w:sz w:val="24"/>
          <w:szCs w:val="24"/>
        </w:rPr>
        <w:t xml:space="preserve"> i</w:t>
      </w:r>
      <w:r w:rsidR="00DF319F" w:rsidRPr="005F304D">
        <w:rPr>
          <w:rFonts w:ascii="Palatino Linotype" w:hAnsi="Palatino Linotype" w:cstheme="majorBidi"/>
          <w:sz w:val="24"/>
          <w:szCs w:val="24"/>
        </w:rPr>
        <w:t>ncluding</w:t>
      </w:r>
      <w:r w:rsidR="00FD57DB" w:rsidRPr="005F304D">
        <w:rPr>
          <w:rFonts w:ascii="Palatino Linotype" w:hAnsi="Palatino Linotype" w:cstheme="majorBidi"/>
          <w:sz w:val="24"/>
          <w:szCs w:val="24"/>
        </w:rPr>
        <w:t>: w</w:t>
      </w:r>
      <w:r w:rsidR="00DF319F" w:rsidRPr="005F304D">
        <w:rPr>
          <w:rFonts w:ascii="Palatino Linotype" w:hAnsi="Palatino Linotype" w:cstheme="majorBidi"/>
          <w:sz w:val="24"/>
          <w:szCs w:val="24"/>
        </w:rPr>
        <w:t>ritten and oral communication</w:t>
      </w:r>
      <w:r w:rsidR="00FD57DB" w:rsidRPr="005F304D">
        <w:rPr>
          <w:rFonts w:ascii="Palatino Linotype" w:hAnsi="Palatino Linotype" w:cstheme="majorBidi"/>
          <w:sz w:val="24"/>
          <w:szCs w:val="24"/>
        </w:rPr>
        <w:t>; c</w:t>
      </w:r>
      <w:r w:rsidR="00DF319F" w:rsidRPr="005F304D">
        <w:rPr>
          <w:rFonts w:ascii="Palatino Linotype" w:hAnsi="Palatino Linotype" w:cstheme="majorBidi"/>
          <w:sz w:val="24"/>
          <w:szCs w:val="24"/>
        </w:rPr>
        <w:t>ritical and analytical (and sometimes creative and reflective) thinking</w:t>
      </w:r>
      <w:r w:rsidR="00FD57DB" w:rsidRPr="005F304D">
        <w:rPr>
          <w:rFonts w:ascii="Palatino Linotype" w:hAnsi="Palatino Linotype" w:cstheme="majorBidi"/>
          <w:sz w:val="24"/>
          <w:szCs w:val="24"/>
        </w:rPr>
        <w:t>; p</w:t>
      </w:r>
      <w:r w:rsidR="00DF319F" w:rsidRPr="005F304D">
        <w:rPr>
          <w:rFonts w:ascii="Palatino Linotype" w:hAnsi="Palatino Linotype" w:cstheme="majorBidi"/>
          <w:sz w:val="24"/>
          <w:szCs w:val="24"/>
        </w:rPr>
        <w:t>roblem-solving (including generating ideas and innovative solutions)</w:t>
      </w:r>
      <w:r w:rsidR="00FD57DB" w:rsidRPr="005F304D">
        <w:rPr>
          <w:rFonts w:ascii="Palatino Linotype" w:hAnsi="Palatino Linotype" w:cstheme="majorBidi"/>
          <w:sz w:val="24"/>
          <w:szCs w:val="24"/>
        </w:rPr>
        <w:t>; i</w:t>
      </w:r>
      <w:r w:rsidR="00DF319F" w:rsidRPr="005F304D">
        <w:rPr>
          <w:rFonts w:ascii="Palatino Linotype" w:hAnsi="Palatino Linotype" w:cstheme="majorBidi"/>
          <w:sz w:val="24"/>
          <w:szCs w:val="24"/>
        </w:rPr>
        <w:t>nformation literacy, often associated with technology</w:t>
      </w:r>
      <w:r w:rsidR="003F1B94" w:rsidRPr="005F304D">
        <w:rPr>
          <w:rFonts w:ascii="Palatino Linotype" w:hAnsi="Palatino Linotype" w:cstheme="majorBidi"/>
          <w:sz w:val="24"/>
          <w:szCs w:val="24"/>
        </w:rPr>
        <w:t>; l</w:t>
      </w:r>
      <w:r w:rsidR="00DF319F" w:rsidRPr="005F304D">
        <w:rPr>
          <w:rFonts w:ascii="Palatino Linotype" w:hAnsi="Palatino Linotype" w:cstheme="majorBidi"/>
          <w:sz w:val="24"/>
          <w:szCs w:val="24"/>
        </w:rPr>
        <w:t>earning and working independently</w:t>
      </w:r>
      <w:r w:rsidR="003F1B94" w:rsidRPr="005F304D">
        <w:rPr>
          <w:rFonts w:ascii="Palatino Linotype" w:hAnsi="Palatino Linotype" w:cstheme="majorBidi"/>
          <w:sz w:val="24"/>
          <w:szCs w:val="24"/>
        </w:rPr>
        <w:t>; l</w:t>
      </w:r>
      <w:r w:rsidR="00DF319F" w:rsidRPr="005F304D">
        <w:rPr>
          <w:rFonts w:ascii="Palatino Linotype" w:hAnsi="Palatino Linotype" w:cstheme="majorBidi"/>
          <w:sz w:val="24"/>
          <w:szCs w:val="24"/>
        </w:rPr>
        <w:t>earning and working collaboratively</w:t>
      </w:r>
      <w:r w:rsidR="003F1B94" w:rsidRPr="005F304D">
        <w:rPr>
          <w:rFonts w:ascii="Palatino Linotype" w:hAnsi="Palatino Linotype" w:cstheme="majorBidi"/>
          <w:sz w:val="24"/>
          <w:szCs w:val="24"/>
        </w:rPr>
        <w:t>; and e</w:t>
      </w:r>
      <w:r w:rsidR="00DF319F" w:rsidRPr="005F304D">
        <w:rPr>
          <w:rFonts w:ascii="Palatino Linotype" w:hAnsi="Palatino Linotype" w:cstheme="majorBidi"/>
          <w:sz w:val="24"/>
          <w:szCs w:val="24"/>
        </w:rPr>
        <w:t>thical and inclusive engagement with co</w:t>
      </w:r>
      <w:r w:rsidR="00FD57DB" w:rsidRPr="005F304D">
        <w:rPr>
          <w:rFonts w:ascii="Palatino Linotype" w:hAnsi="Palatino Linotype" w:cstheme="majorBidi"/>
          <w:sz w:val="24"/>
          <w:szCs w:val="24"/>
        </w:rPr>
        <w:t>mmunities, cultures and nations</w:t>
      </w:r>
      <w:r w:rsidR="003F1B94" w:rsidRPr="005F304D">
        <w:rPr>
          <w:rFonts w:ascii="Palatino Linotype" w:hAnsi="Palatino Linotype" w:cstheme="majorBidi"/>
          <w:sz w:val="24"/>
          <w:szCs w:val="24"/>
        </w:rPr>
        <w:t>.</w:t>
      </w:r>
    </w:p>
    <w:p w14:paraId="3FB5DBC2" w14:textId="77777777" w:rsidR="00DE3054" w:rsidRPr="005F304D" w:rsidRDefault="00FD57DB"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Based on these attributes, the </w:t>
      </w:r>
      <w:r w:rsidR="00FB0F73" w:rsidRPr="005F304D">
        <w:rPr>
          <w:rFonts w:ascii="Palatino Linotype" w:hAnsi="Palatino Linotype" w:cstheme="majorBidi"/>
          <w:sz w:val="24"/>
          <w:szCs w:val="24"/>
        </w:rPr>
        <w:t>survey included in the Report</w:t>
      </w:r>
      <w:r w:rsidRPr="005F304D">
        <w:rPr>
          <w:rFonts w:ascii="Palatino Linotype" w:hAnsi="Palatino Linotype" w:cstheme="majorBidi"/>
          <w:sz w:val="24"/>
          <w:szCs w:val="24"/>
        </w:rPr>
        <w:t xml:space="preserve"> allows for the </w:t>
      </w:r>
      <w:r w:rsidR="00DF319F" w:rsidRPr="005F304D">
        <w:rPr>
          <w:rFonts w:ascii="Palatino Linotype" w:hAnsi="Palatino Linotype" w:cstheme="majorBidi"/>
          <w:sz w:val="24"/>
          <w:szCs w:val="24"/>
        </w:rPr>
        <w:t>system</w:t>
      </w:r>
      <w:r w:rsidR="00890EE5" w:rsidRPr="005F304D">
        <w:rPr>
          <w:rFonts w:ascii="Palatino Linotype" w:hAnsi="Palatino Linotype" w:cstheme="majorBidi"/>
          <w:sz w:val="24"/>
          <w:szCs w:val="24"/>
        </w:rPr>
        <w:t>at</w:t>
      </w:r>
      <w:r w:rsidR="00DF319F" w:rsidRPr="005F304D">
        <w:rPr>
          <w:rFonts w:ascii="Palatino Linotype" w:hAnsi="Palatino Linotype" w:cstheme="majorBidi"/>
          <w:sz w:val="24"/>
          <w:szCs w:val="24"/>
        </w:rPr>
        <w:t xml:space="preserve">ic </w:t>
      </w:r>
      <w:r w:rsidRPr="005F304D">
        <w:rPr>
          <w:rFonts w:ascii="Palatino Linotype" w:hAnsi="Palatino Linotype" w:cstheme="majorBidi"/>
          <w:sz w:val="24"/>
          <w:szCs w:val="24"/>
        </w:rPr>
        <w:t xml:space="preserve">collection of evidence of </w:t>
      </w:r>
      <w:r w:rsidR="00DF319F" w:rsidRPr="005F304D">
        <w:rPr>
          <w:rFonts w:ascii="Palatino Linotype" w:hAnsi="Palatino Linotype" w:cstheme="majorBidi"/>
          <w:sz w:val="24"/>
          <w:szCs w:val="24"/>
        </w:rPr>
        <w:t>stakeholders’ views of</w:t>
      </w:r>
      <w:r w:rsidRPr="005F304D">
        <w:rPr>
          <w:rFonts w:ascii="Palatino Linotype" w:hAnsi="Palatino Linotype" w:cstheme="majorBidi"/>
          <w:sz w:val="24"/>
          <w:szCs w:val="24"/>
        </w:rPr>
        <w:t xml:space="preserve"> </w:t>
      </w:r>
      <w:r w:rsidR="00DF319F" w:rsidRPr="005F304D">
        <w:rPr>
          <w:rFonts w:ascii="Palatino Linotype" w:hAnsi="Palatino Linotype" w:cstheme="majorBidi"/>
          <w:sz w:val="24"/>
          <w:szCs w:val="24"/>
        </w:rPr>
        <w:t>graduate achievement of employability skills</w:t>
      </w:r>
      <w:r w:rsidR="00707113" w:rsidRPr="005F304D">
        <w:rPr>
          <w:rFonts w:ascii="Palatino Linotype" w:hAnsi="Palatino Linotype" w:cstheme="majorBidi"/>
          <w:sz w:val="24"/>
          <w:szCs w:val="24"/>
        </w:rPr>
        <w:t xml:space="preserve"> (Oliver et al., 2011, p. 8)</w:t>
      </w:r>
      <w:r w:rsidRPr="005F304D">
        <w:rPr>
          <w:rFonts w:ascii="Palatino Linotype" w:hAnsi="Palatino Linotype" w:cstheme="majorBidi"/>
          <w:sz w:val="24"/>
          <w:szCs w:val="24"/>
        </w:rPr>
        <w:t xml:space="preserve">. The survey expands the list of attributes </w:t>
      </w:r>
      <w:r w:rsidR="001A2FAA" w:rsidRPr="005F304D">
        <w:rPr>
          <w:rFonts w:ascii="Palatino Linotype" w:hAnsi="Palatino Linotype" w:cstheme="majorBidi"/>
          <w:sz w:val="24"/>
          <w:szCs w:val="24"/>
        </w:rPr>
        <w:t xml:space="preserve">mentioned </w:t>
      </w:r>
      <w:r w:rsidRPr="005F304D">
        <w:rPr>
          <w:rFonts w:ascii="Palatino Linotype" w:hAnsi="Palatino Linotype" w:cstheme="majorBidi"/>
          <w:sz w:val="24"/>
          <w:szCs w:val="24"/>
        </w:rPr>
        <w:t>above further, by focussing on fourteen attributes, skills and personal qualities drawn from a number of related surveys</w:t>
      </w:r>
      <w:r w:rsidR="00707113" w:rsidRPr="005F304D">
        <w:rPr>
          <w:rFonts w:ascii="Palatino Linotype" w:hAnsi="Palatino Linotype" w:cstheme="majorBidi"/>
          <w:sz w:val="24"/>
          <w:szCs w:val="24"/>
        </w:rPr>
        <w:t xml:space="preserve"> (Kuh, 2001; Coates, 2009</w:t>
      </w:r>
      <w:r w:rsidR="00AA7DC2" w:rsidRPr="005F304D">
        <w:rPr>
          <w:rFonts w:ascii="Palatino Linotype" w:hAnsi="Palatino Linotype" w:cstheme="majorBidi"/>
          <w:sz w:val="24"/>
          <w:szCs w:val="24"/>
        </w:rPr>
        <w:t>a</w:t>
      </w:r>
      <w:r w:rsidR="00707113" w:rsidRPr="005F304D">
        <w:rPr>
          <w:rFonts w:ascii="Palatino Linotype" w:hAnsi="Palatino Linotype" w:cstheme="majorBidi"/>
          <w:sz w:val="24"/>
          <w:szCs w:val="24"/>
        </w:rPr>
        <w:t>)</w:t>
      </w:r>
      <w:r w:rsidRPr="005F304D">
        <w:rPr>
          <w:rFonts w:ascii="Palatino Linotype" w:hAnsi="Palatino Linotype" w:cstheme="majorBidi"/>
          <w:sz w:val="24"/>
          <w:szCs w:val="24"/>
        </w:rPr>
        <w:t xml:space="preserve">. </w:t>
      </w:r>
      <w:r w:rsidR="00DE3054" w:rsidRPr="005F304D">
        <w:rPr>
          <w:rFonts w:ascii="Palatino Linotype" w:hAnsi="Palatino Linotype" w:cstheme="majorBidi"/>
          <w:sz w:val="24"/>
          <w:szCs w:val="24"/>
        </w:rPr>
        <w:t>The GEI can be used to determine the effectiveness of courses in preparing students for the workplace, by administering a survey to various stakeholder groups.</w:t>
      </w:r>
    </w:p>
    <w:p w14:paraId="3EBC7E3D" w14:textId="5071F9BF" w:rsidR="00DE3054" w:rsidRPr="005F304D" w:rsidRDefault="00265879"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I</w:t>
      </w:r>
      <w:r w:rsidR="00DE3054" w:rsidRPr="005F304D">
        <w:rPr>
          <w:rFonts w:ascii="Palatino Linotype" w:hAnsi="Palatino Linotype" w:cstheme="majorBidi"/>
          <w:sz w:val="24"/>
          <w:szCs w:val="24"/>
        </w:rPr>
        <w:t xml:space="preserve">n this pilot study </w:t>
      </w:r>
      <w:r w:rsidRPr="005F304D">
        <w:rPr>
          <w:rFonts w:ascii="Palatino Linotype" w:hAnsi="Palatino Linotype" w:cstheme="majorBidi"/>
          <w:sz w:val="24"/>
          <w:szCs w:val="24"/>
        </w:rPr>
        <w:t>the GEI survey has been applied in the context of law</w:t>
      </w:r>
      <w:r w:rsidR="00DE3054" w:rsidRPr="005F304D">
        <w:rPr>
          <w:rFonts w:ascii="Palatino Linotype" w:hAnsi="Palatino Linotype" w:cstheme="majorBidi"/>
          <w:sz w:val="24"/>
          <w:szCs w:val="24"/>
        </w:rPr>
        <w:t xml:space="preserve"> students attending a pro bono teaching clinic </w:t>
      </w:r>
      <w:r w:rsidRPr="005F304D">
        <w:rPr>
          <w:rFonts w:ascii="Palatino Linotype" w:hAnsi="Palatino Linotype" w:cstheme="majorBidi"/>
          <w:sz w:val="24"/>
          <w:szCs w:val="24"/>
        </w:rPr>
        <w:t>over the course of a semester, by measuring</w:t>
      </w:r>
      <w:r w:rsidR="00DE3054" w:rsidRPr="005F304D">
        <w:rPr>
          <w:rFonts w:ascii="Palatino Linotype" w:hAnsi="Palatino Linotype" w:cstheme="majorBidi"/>
          <w:sz w:val="24"/>
          <w:szCs w:val="24"/>
        </w:rPr>
        <w:t xml:space="preserve"> their </w:t>
      </w:r>
      <w:r w:rsidRPr="005F304D">
        <w:rPr>
          <w:rFonts w:ascii="Palatino Linotype" w:hAnsi="Palatino Linotype" w:cstheme="majorBidi"/>
          <w:sz w:val="24"/>
          <w:szCs w:val="24"/>
        </w:rPr>
        <w:t>perception of competency</w:t>
      </w:r>
      <w:r w:rsidR="00DE3054" w:rsidRPr="005F304D">
        <w:rPr>
          <w:rFonts w:ascii="Palatino Linotype" w:hAnsi="Palatino Linotype" w:cstheme="majorBidi"/>
          <w:sz w:val="24"/>
          <w:szCs w:val="24"/>
        </w:rPr>
        <w:t xml:space="preserve"> against a control group. </w:t>
      </w:r>
      <w:r w:rsidR="00574098" w:rsidRPr="005F304D">
        <w:rPr>
          <w:rFonts w:ascii="Palatino Linotype" w:hAnsi="Palatino Linotype" w:cstheme="majorBidi"/>
          <w:sz w:val="24"/>
          <w:szCs w:val="24"/>
        </w:rPr>
        <w:t xml:space="preserve">Students typically volunteer in the </w:t>
      </w:r>
      <w:r w:rsidR="00574098" w:rsidRPr="005F304D">
        <w:rPr>
          <w:rFonts w:ascii="Palatino Linotype" w:hAnsi="Palatino Linotype" w:cstheme="majorBidi"/>
          <w:sz w:val="24"/>
          <w:szCs w:val="24"/>
        </w:rPr>
        <w:lastRenderedPageBreak/>
        <w:t xml:space="preserve">clinic for a semester, </w:t>
      </w:r>
      <w:r w:rsidR="00E77899" w:rsidRPr="005F304D">
        <w:rPr>
          <w:rFonts w:ascii="Palatino Linotype" w:hAnsi="Palatino Linotype" w:cstheme="majorBidi"/>
          <w:sz w:val="24"/>
          <w:szCs w:val="24"/>
        </w:rPr>
        <w:t>without academic credit, and are appointed based on their academic record, curriculum vitae and an application letter. The experience exposes students to the realities of a job application, real client contact and interacting with their peers and supervising lawyers. In the survey</w:t>
      </w:r>
      <w:r w:rsidR="00DE3054" w:rsidRPr="005F304D">
        <w:rPr>
          <w:rFonts w:ascii="Palatino Linotype" w:hAnsi="Palatino Linotype" w:cstheme="majorBidi"/>
          <w:sz w:val="24"/>
          <w:szCs w:val="24"/>
        </w:rPr>
        <w:t xml:space="preserve"> students we</w:t>
      </w:r>
      <w:r w:rsidR="003F1B94" w:rsidRPr="005F304D">
        <w:rPr>
          <w:rFonts w:ascii="Palatino Linotype" w:hAnsi="Palatino Linotype" w:cstheme="majorBidi"/>
          <w:sz w:val="24"/>
          <w:szCs w:val="24"/>
        </w:rPr>
        <w:t xml:space="preserve">re instructed to indicate their level of competence in respect of each attribute rated from 0 – 100. A copy of the </w:t>
      </w:r>
      <w:r w:rsidRPr="005F304D">
        <w:rPr>
          <w:rFonts w:ascii="Palatino Linotype" w:hAnsi="Palatino Linotype" w:cstheme="majorBidi"/>
          <w:sz w:val="24"/>
          <w:szCs w:val="24"/>
        </w:rPr>
        <w:t xml:space="preserve">GEI </w:t>
      </w:r>
      <w:r w:rsidR="00AB6FDA" w:rsidRPr="005F304D">
        <w:rPr>
          <w:rFonts w:ascii="Palatino Linotype" w:hAnsi="Palatino Linotype" w:cstheme="majorBidi"/>
          <w:sz w:val="24"/>
          <w:szCs w:val="24"/>
        </w:rPr>
        <w:t xml:space="preserve">survey is attached as </w:t>
      </w:r>
      <w:r w:rsidR="001A2FAA" w:rsidRPr="005F304D">
        <w:rPr>
          <w:rFonts w:ascii="Palatino Linotype" w:hAnsi="Palatino Linotype" w:cstheme="majorBidi"/>
          <w:sz w:val="24"/>
          <w:szCs w:val="24"/>
        </w:rPr>
        <w:t>Annexure A</w:t>
      </w:r>
      <w:r w:rsidR="00AB6FDA" w:rsidRPr="005F304D">
        <w:rPr>
          <w:rFonts w:ascii="Palatino Linotype" w:hAnsi="Palatino Linotype" w:cstheme="majorBidi"/>
          <w:sz w:val="24"/>
          <w:szCs w:val="24"/>
        </w:rPr>
        <w:t>.</w:t>
      </w:r>
    </w:p>
    <w:p w14:paraId="6043BF0D" w14:textId="77777777" w:rsidR="005150EE" w:rsidRPr="005F304D" w:rsidRDefault="005150EE" w:rsidP="00C34312">
      <w:pPr>
        <w:spacing w:line="480" w:lineRule="auto"/>
        <w:jc w:val="both"/>
        <w:rPr>
          <w:rFonts w:ascii="Palatino Linotype" w:hAnsi="Palatino Linotype" w:cstheme="majorBidi"/>
          <w:b/>
          <w:bCs/>
          <w:i/>
          <w:iCs/>
          <w:sz w:val="24"/>
          <w:szCs w:val="24"/>
        </w:rPr>
      </w:pPr>
      <w:r w:rsidRPr="005F304D">
        <w:rPr>
          <w:rFonts w:ascii="Palatino Linotype" w:hAnsi="Palatino Linotype" w:cstheme="majorBidi"/>
          <w:b/>
          <w:bCs/>
          <w:i/>
          <w:iCs/>
          <w:sz w:val="24"/>
          <w:szCs w:val="24"/>
        </w:rPr>
        <w:t>Methodology</w:t>
      </w:r>
    </w:p>
    <w:p w14:paraId="22054E36" w14:textId="77777777" w:rsidR="00744976" w:rsidRPr="005F304D" w:rsidRDefault="0068196C"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The research project involved the collection of both quantitative and qualitative data, from the survey as well as discrete qualitative survey feedback received from students post semester through Survey Monkey. </w:t>
      </w:r>
      <w:r w:rsidR="001A2FAA" w:rsidRPr="005F304D">
        <w:rPr>
          <w:rFonts w:ascii="Palatino Linotype" w:hAnsi="Palatino Linotype" w:cstheme="majorBidi"/>
          <w:sz w:val="24"/>
          <w:szCs w:val="24"/>
        </w:rPr>
        <w:t xml:space="preserve">In conducting this </w:t>
      </w:r>
      <w:r w:rsidR="00CB4820" w:rsidRPr="005F304D">
        <w:rPr>
          <w:rFonts w:ascii="Palatino Linotype" w:hAnsi="Palatino Linotype" w:cstheme="majorBidi"/>
          <w:sz w:val="24"/>
          <w:szCs w:val="24"/>
        </w:rPr>
        <w:t xml:space="preserve">pilot study, the established model </w:t>
      </w:r>
      <w:r w:rsidRPr="005F304D">
        <w:rPr>
          <w:rFonts w:ascii="Palatino Linotype" w:hAnsi="Palatino Linotype" w:cstheme="majorBidi"/>
          <w:sz w:val="24"/>
          <w:szCs w:val="24"/>
        </w:rPr>
        <w:t>proposed by</w:t>
      </w:r>
      <w:r w:rsidR="00CB4820" w:rsidRPr="005F304D">
        <w:rPr>
          <w:rFonts w:ascii="Palatino Linotype" w:hAnsi="Palatino Linotype" w:cstheme="majorBidi"/>
          <w:sz w:val="24"/>
          <w:szCs w:val="24"/>
        </w:rPr>
        <w:t xml:space="preserve"> the </w:t>
      </w:r>
      <w:r w:rsidR="00265879" w:rsidRPr="005F304D">
        <w:rPr>
          <w:rFonts w:ascii="Palatino Linotype" w:hAnsi="Palatino Linotype" w:cstheme="majorBidi"/>
          <w:sz w:val="24"/>
          <w:szCs w:val="24"/>
        </w:rPr>
        <w:t>GEI was used to survey the</w:t>
      </w:r>
      <w:r w:rsidR="00CB4820" w:rsidRPr="005F304D">
        <w:rPr>
          <w:rFonts w:ascii="Palatino Linotype" w:hAnsi="Palatino Linotype" w:cstheme="majorBidi"/>
          <w:sz w:val="24"/>
          <w:szCs w:val="24"/>
        </w:rPr>
        <w:t xml:space="preserve"> law clinic student stakeholder group (</w:t>
      </w:r>
      <w:r w:rsidR="00CD2BEB" w:rsidRPr="005F304D">
        <w:rPr>
          <w:rFonts w:ascii="Palatino Linotype" w:hAnsi="Palatino Linotype" w:cstheme="majorBidi"/>
          <w:sz w:val="24"/>
          <w:szCs w:val="24"/>
        </w:rPr>
        <w:t>‘</w:t>
      </w:r>
      <w:r w:rsidR="00CB4820" w:rsidRPr="005F304D">
        <w:rPr>
          <w:rFonts w:ascii="Palatino Linotype" w:hAnsi="Palatino Linotype" w:cstheme="majorBidi"/>
          <w:sz w:val="24"/>
          <w:szCs w:val="24"/>
        </w:rPr>
        <w:t>Group 1</w:t>
      </w:r>
      <w:r w:rsidR="00CD2BEB" w:rsidRPr="005F304D">
        <w:rPr>
          <w:rFonts w:ascii="Palatino Linotype" w:hAnsi="Palatino Linotype" w:cstheme="majorBidi"/>
          <w:sz w:val="24"/>
          <w:szCs w:val="24"/>
        </w:rPr>
        <w:t>’</w:t>
      </w:r>
      <w:r w:rsidR="00CB4820" w:rsidRPr="005F304D">
        <w:rPr>
          <w:rFonts w:ascii="Palatino Linotype" w:hAnsi="Palatino Linotype" w:cstheme="majorBidi"/>
          <w:sz w:val="24"/>
          <w:szCs w:val="24"/>
        </w:rPr>
        <w:t xml:space="preserve">) </w:t>
      </w:r>
      <w:r w:rsidR="00ED7F7C" w:rsidRPr="005F304D">
        <w:rPr>
          <w:rFonts w:ascii="Palatino Linotype" w:hAnsi="Palatino Linotype" w:cstheme="majorBidi"/>
          <w:sz w:val="24"/>
          <w:szCs w:val="24"/>
        </w:rPr>
        <w:t>over the course of two</w:t>
      </w:r>
      <w:r w:rsidR="00CB4820" w:rsidRPr="005F304D">
        <w:rPr>
          <w:rFonts w:ascii="Palatino Linotype" w:hAnsi="Palatino Linotype" w:cstheme="majorBidi"/>
          <w:sz w:val="24"/>
          <w:szCs w:val="24"/>
        </w:rPr>
        <w:t xml:space="preserve"> semester</w:t>
      </w:r>
      <w:r w:rsidR="00ED7F7C" w:rsidRPr="005F304D">
        <w:rPr>
          <w:rFonts w:ascii="Palatino Linotype" w:hAnsi="Palatino Linotype" w:cstheme="majorBidi"/>
          <w:sz w:val="24"/>
          <w:szCs w:val="24"/>
        </w:rPr>
        <w:t>s</w:t>
      </w:r>
      <w:r w:rsidR="00CB4820" w:rsidRPr="005F304D">
        <w:rPr>
          <w:rFonts w:ascii="Palatino Linotype" w:hAnsi="Palatino Linotype" w:cstheme="majorBidi"/>
          <w:sz w:val="24"/>
          <w:szCs w:val="24"/>
        </w:rPr>
        <w:t xml:space="preserve"> in 2016, and compare the results of the survey with those of a control group of students (</w:t>
      </w:r>
      <w:r w:rsidR="00CD2BEB" w:rsidRPr="005F304D">
        <w:rPr>
          <w:rFonts w:ascii="Palatino Linotype" w:hAnsi="Palatino Linotype" w:cstheme="majorBidi"/>
          <w:sz w:val="24"/>
          <w:szCs w:val="24"/>
        </w:rPr>
        <w:t>‘</w:t>
      </w:r>
      <w:r w:rsidR="00CB4820" w:rsidRPr="005F304D">
        <w:rPr>
          <w:rFonts w:ascii="Palatino Linotype" w:hAnsi="Palatino Linotype" w:cstheme="majorBidi"/>
          <w:sz w:val="24"/>
          <w:szCs w:val="24"/>
        </w:rPr>
        <w:t>Group 2</w:t>
      </w:r>
      <w:r w:rsidR="00CD2BEB" w:rsidRPr="005F304D">
        <w:rPr>
          <w:rFonts w:ascii="Palatino Linotype" w:hAnsi="Palatino Linotype" w:cstheme="majorBidi"/>
          <w:sz w:val="24"/>
          <w:szCs w:val="24"/>
        </w:rPr>
        <w:t>’</w:t>
      </w:r>
      <w:r w:rsidR="00CB4820" w:rsidRPr="005F304D">
        <w:rPr>
          <w:rFonts w:ascii="Palatino Linotype" w:hAnsi="Palatino Linotype" w:cstheme="majorBidi"/>
          <w:sz w:val="24"/>
          <w:szCs w:val="24"/>
        </w:rPr>
        <w:t>) over a similar period in 2017. Participant students of both groups were in the third to fourth semester of their law degree. Group 1 consisted of students attending one of four</w:t>
      </w:r>
      <w:r w:rsidR="008E2A12" w:rsidRPr="005F304D">
        <w:rPr>
          <w:rFonts w:ascii="Palatino Linotype" w:hAnsi="Palatino Linotype" w:cstheme="majorBidi"/>
          <w:sz w:val="24"/>
          <w:szCs w:val="24"/>
        </w:rPr>
        <w:t xml:space="preserve"> pro bono </w:t>
      </w:r>
      <w:r w:rsidR="00CB4820" w:rsidRPr="005F304D">
        <w:rPr>
          <w:rFonts w:ascii="Palatino Linotype" w:hAnsi="Palatino Linotype" w:cstheme="majorBidi"/>
          <w:sz w:val="24"/>
          <w:szCs w:val="24"/>
        </w:rPr>
        <w:t xml:space="preserve">clinics, whereas Group 2 consisted of students </w:t>
      </w:r>
      <w:r w:rsidR="00ED7F7C" w:rsidRPr="005F304D">
        <w:rPr>
          <w:rFonts w:ascii="Palatino Linotype" w:hAnsi="Palatino Linotype" w:cstheme="majorBidi"/>
          <w:sz w:val="24"/>
          <w:szCs w:val="24"/>
        </w:rPr>
        <w:t>with no</w:t>
      </w:r>
      <w:r w:rsidR="00CB4820" w:rsidRPr="005F304D">
        <w:rPr>
          <w:rFonts w:ascii="Palatino Linotype" w:hAnsi="Palatino Linotype" w:cstheme="majorBidi"/>
          <w:sz w:val="24"/>
          <w:szCs w:val="24"/>
        </w:rPr>
        <w:t xml:space="preserve"> clinic</w:t>
      </w:r>
      <w:r w:rsidRPr="005F304D">
        <w:rPr>
          <w:rFonts w:ascii="Palatino Linotype" w:hAnsi="Palatino Linotype" w:cstheme="majorBidi"/>
          <w:sz w:val="24"/>
          <w:szCs w:val="24"/>
        </w:rPr>
        <w:t>al</w:t>
      </w:r>
      <w:r w:rsidR="00CB4820" w:rsidRPr="005F304D">
        <w:rPr>
          <w:rFonts w:ascii="Palatino Linotype" w:hAnsi="Palatino Linotype" w:cstheme="majorBidi"/>
          <w:sz w:val="24"/>
          <w:szCs w:val="24"/>
        </w:rPr>
        <w:t xml:space="preserve"> experience.</w:t>
      </w:r>
      <w:r w:rsidR="008E2A12" w:rsidRPr="005F304D">
        <w:rPr>
          <w:rFonts w:ascii="Palatino Linotype" w:hAnsi="Palatino Linotype" w:cstheme="majorBidi"/>
          <w:sz w:val="24"/>
          <w:szCs w:val="24"/>
        </w:rPr>
        <w:t xml:space="preserve"> T</w:t>
      </w:r>
      <w:r w:rsidRPr="005F304D">
        <w:rPr>
          <w:rFonts w:ascii="Palatino Linotype" w:hAnsi="Palatino Linotype" w:cstheme="majorBidi"/>
          <w:sz w:val="24"/>
          <w:szCs w:val="24"/>
        </w:rPr>
        <w:t>he group numbers</w:t>
      </w:r>
      <w:r w:rsidR="008E2A12" w:rsidRPr="005F304D">
        <w:rPr>
          <w:rFonts w:ascii="Palatino Linotype" w:hAnsi="Palatino Linotype" w:cstheme="majorBidi"/>
          <w:sz w:val="24"/>
          <w:szCs w:val="24"/>
        </w:rPr>
        <w:t xml:space="preserve"> were fairly evenly balanced, with 33 and 34 participants respectively. </w:t>
      </w:r>
      <w:r w:rsidR="00265879" w:rsidRPr="005F304D">
        <w:rPr>
          <w:rFonts w:ascii="Palatino Linotype" w:hAnsi="Palatino Linotype" w:cstheme="majorBidi"/>
          <w:sz w:val="24"/>
          <w:szCs w:val="24"/>
        </w:rPr>
        <w:t>Qualitative data was collected from Group 1 students to provide additional insight into their law clinic experience and perceived employability skills enhancement through their experience.</w:t>
      </w:r>
    </w:p>
    <w:p w14:paraId="0C19A258" w14:textId="77777777" w:rsidR="00C34312" w:rsidRDefault="00C34312" w:rsidP="00C34312">
      <w:pPr>
        <w:spacing w:line="480" w:lineRule="auto"/>
        <w:jc w:val="both"/>
        <w:rPr>
          <w:rFonts w:ascii="Palatino Linotype" w:hAnsi="Palatino Linotype" w:cstheme="majorBidi"/>
          <w:i/>
          <w:iCs/>
          <w:sz w:val="24"/>
          <w:szCs w:val="24"/>
        </w:rPr>
      </w:pPr>
    </w:p>
    <w:p w14:paraId="40962417" w14:textId="6E4C9C6B" w:rsidR="00646AB4" w:rsidRDefault="00744976" w:rsidP="00C34312">
      <w:pPr>
        <w:spacing w:line="480" w:lineRule="auto"/>
        <w:jc w:val="both"/>
        <w:rPr>
          <w:rFonts w:ascii="Palatino Linotype" w:hAnsi="Palatino Linotype" w:cstheme="majorBidi"/>
          <w:i/>
          <w:iCs/>
          <w:sz w:val="24"/>
          <w:szCs w:val="24"/>
        </w:rPr>
      </w:pPr>
      <w:r w:rsidRPr="005F304D">
        <w:rPr>
          <w:rFonts w:ascii="Palatino Linotype" w:hAnsi="Palatino Linotype" w:cstheme="majorBidi"/>
          <w:i/>
          <w:iCs/>
          <w:sz w:val="24"/>
          <w:szCs w:val="24"/>
        </w:rPr>
        <w:lastRenderedPageBreak/>
        <w:t>The Survey</w:t>
      </w:r>
    </w:p>
    <w:p w14:paraId="690D8425" w14:textId="77777777" w:rsidR="00C34312" w:rsidRPr="005F304D" w:rsidRDefault="00C34312" w:rsidP="00C34312">
      <w:pPr>
        <w:jc w:val="both"/>
        <w:rPr>
          <w:rFonts w:ascii="Palatino Linotype" w:hAnsi="Palatino Linotype" w:cstheme="majorBidi"/>
          <w:sz w:val="24"/>
          <w:szCs w:val="24"/>
        </w:rPr>
      </w:pPr>
      <w:r w:rsidRPr="005F304D">
        <w:rPr>
          <w:rFonts w:ascii="Palatino Linotype" w:hAnsi="Palatino Linotype" w:cstheme="majorBidi"/>
          <w:sz w:val="24"/>
          <w:szCs w:val="24"/>
        </w:rPr>
        <w:t>Table 1: GEI Survey Content</w:t>
      </w:r>
    </w:p>
    <w:tbl>
      <w:tblPr>
        <w:tblStyle w:val="TableGrid2"/>
        <w:tblW w:w="0" w:type="auto"/>
        <w:tblLook w:val="04A0" w:firstRow="1" w:lastRow="0" w:firstColumn="1" w:lastColumn="0" w:noHBand="0" w:noVBand="1"/>
      </w:tblPr>
      <w:tblGrid>
        <w:gridCol w:w="3169"/>
        <w:gridCol w:w="5847"/>
      </w:tblGrid>
      <w:tr w:rsidR="00C34312" w:rsidRPr="005F304D" w14:paraId="3D6EC2A5" w14:textId="77777777" w:rsidTr="002029F7">
        <w:tc>
          <w:tcPr>
            <w:tcW w:w="3227" w:type="dxa"/>
          </w:tcPr>
          <w:p w14:paraId="46937F7E" w14:textId="77777777" w:rsidR="00C34312" w:rsidRPr="00C34312" w:rsidRDefault="00C34312" w:rsidP="00C34312">
            <w:pPr>
              <w:spacing w:line="276" w:lineRule="auto"/>
              <w:jc w:val="both"/>
              <w:rPr>
                <w:rFonts w:ascii="Palatino Linotype" w:hAnsi="Palatino Linotype" w:cstheme="majorBidi"/>
                <w:b/>
                <w:bCs/>
                <w:szCs w:val="24"/>
              </w:rPr>
            </w:pPr>
            <w:r w:rsidRPr="00C34312">
              <w:rPr>
                <w:rFonts w:ascii="Palatino Linotype" w:hAnsi="Palatino Linotype" w:cstheme="majorBidi"/>
                <w:b/>
                <w:bCs/>
                <w:szCs w:val="24"/>
              </w:rPr>
              <w:t xml:space="preserve">Abbreviated title </w:t>
            </w:r>
          </w:p>
        </w:tc>
        <w:tc>
          <w:tcPr>
            <w:tcW w:w="6015" w:type="dxa"/>
          </w:tcPr>
          <w:p w14:paraId="238EEEE0" w14:textId="77777777" w:rsidR="00C34312" w:rsidRPr="00C34312" w:rsidRDefault="00C34312" w:rsidP="00C34312">
            <w:pPr>
              <w:spacing w:line="276" w:lineRule="auto"/>
              <w:jc w:val="both"/>
              <w:rPr>
                <w:rFonts w:ascii="Palatino Linotype" w:hAnsi="Palatino Linotype" w:cstheme="majorBidi"/>
                <w:b/>
                <w:bCs/>
                <w:szCs w:val="24"/>
              </w:rPr>
            </w:pPr>
            <w:r w:rsidRPr="00C34312">
              <w:rPr>
                <w:rFonts w:ascii="Palatino Linotype" w:hAnsi="Palatino Linotype" w:cstheme="majorBidi"/>
                <w:b/>
                <w:bCs/>
                <w:szCs w:val="24"/>
              </w:rPr>
              <w:t>Full text in the GEI</w:t>
            </w:r>
          </w:p>
        </w:tc>
      </w:tr>
      <w:tr w:rsidR="00C34312" w:rsidRPr="005F304D" w14:paraId="1BFFC6F3" w14:textId="77777777" w:rsidTr="002029F7">
        <w:tc>
          <w:tcPr>
            <w:tcW w:w="3227" w:type="dxa"/>
          </w:tcPr>
          <w:p w14:paraId="5D2E016A"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1. Knowledge </w:t>
            </w:r>
          </w:p>
        </w:tc>
        <w:tc>
          <w:tcPr>
            <w:tcW w:w="6015" w:type="dxa"/>
          </w:tcPr>
          <w:p w14:paraId="48F938AB"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Work related knowledge and skills</w:t>
            </w:r>
          </w:p>
        </w:tc>
      </w:tr>
      <w:tr w:rsidR="00C34312" w:rsidRPr="005F304D" w14:paraId="6F247798" w14:textId="77777777" w:rsidTr="002029F7">
        <w:tc>
          <w:tcPr>
            <w:tcW w:w="3227" w:type="dxa"/>
          </w:tcPr>
          <w:p w14:paraId="3E800F0D"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2. Writing </w:t>
            </w:r>
          </w:p>
        </w:tc>
        <w:tc>
          <w:tcPr>
            <w:tcW w:w="6015" w:type="dxa"/>
          </w:tcPr>
          <w:p w14:paraId="51CE3718"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Writing clearly and effectively</w:t>
            </w:r>
          </w:p>
        </w:tc>
      </w:tr>
      <w:tr w:rsidR="00C34312" w:rsidRPr="005F304D" w14:paraId="324A1291" w14:textId="77777777" w:rsidTr="002029F7">
        <w:tc>
          <w:tcPr>
            <w:tcW w:w="3227" w:type="dxa"/>
          </w:tcPr>
          <w:p w14:paraId="650D074A"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3. Speaking </w:t>
            </w:r>
          </w:p>
        </w:tc>
        <w:tc>
          <w:tcPr>
            <w:tcW w:w="6015" w:type="dxa"/>
          </w:tcPr>
          <w:p w14:paraId="3FDD9280"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Speaking clearly and effectively</w:t>
            </w:r>
          </w:p>
        </w:tc>
      </w:tr>
      <w:tr w:rsidR="00C34312" w:rsidRPr="005F304D" w14:paraId="6B8D7FE8" w14:textId="77777777" w:rsidTr="002029F7">
        <w:tc>
          <w:tcPr>
            <w:tcW w:w="3227" w:type="dxa"/>
          </w:tcPr>
          <w:p w14:paraId="5EB704E3"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4. Thinking </w:t>
            </w:r>
          </w:p>
        </w:tc>
        <w:tc>
          <w:tcPr>
            <w:tcW w:w="6015" w:type="dxa"/>
          </w:tcPr>
          <w:p w14:paraId="2E436BDB"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Thinking critically and analytically</w:t>
            </w:r>
          </w:p>
        </w:tc>
      </w:tr>
      <w:tr w:rsidR="00C34312" w:rsidRPr="005F304D" w14:paraId="106C82F3" w14:textId="77777777" w:rsidTr="002029F7">
        <w:tc>
          <w:tcPr>
            <w:tcW w:w="3227" w:type="dxa"/>
          </w:tcPr>
          <w:p w14:paraId="2E70CED5"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5. Quantitative </w:t>
            </w:r>
          </w:p>
        </w:tc>
        <w:tc>
          <w:tcPr>
            <w:tcW w:w="6015" w:type="dxa"/>
          </w:tcPr>
          <w:p w14:paraId="38BB9C6B"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Analysing quantitative problems</w:t>
            </w:r>
          </w:p>
        </w:tc>
      </w:tr>
      <w:tr w:rsidR="00C34312" w:rsidRPr="005F304D" w14:paraId="19FF0553" w14:textId="77777777" w:rsidTr="002029F7">
        <w:tc>
          <w:tcPr>
            <w:tcW w:w="3227" w:type="dxa"/>
          </w:tcPr>
          <w:p w14:paraId="2DE86218"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6. Using ICT </w:t>
            </w:r>
          </w:p>
        </w:tc>
        <w:tc>
          <w:tcPr>
            <w:tcW w:w="6015" w:type="dxa"/>
          </w:tcPr>
          <w:p w14:paraId="470806F0"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Using computing and information technology</w:t>
            </w:r>
          </w:p>
        </w:tc>
      </w:tr>
      <w:tr w:rsidR="00C34312" w:rsidRPr="005F304D" w14:paraId="2B34FFC5" w14:textId="77777777" w:rsidTr="002029F7">
        <w:tc>
          <w:tcPr>
            <w:tcW w:w="3227" w:type="dxa"/>
          </w:tcPr>
          <w:p w14:paraId="677BF659"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7. Teamwork </w:t>
            </w:r>
          </w:p>
        </w:tc>
        <w:tc>
          <w:tcPr>
            <w:tcW w:w="6015" w:type="dxa"/>
          </w:tcPr>
          <w:p w14:paraId="19A6B330"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Working effectively with others</w:t>
            </w:r>
          </w:p>
        </w:tc>
      </w:tr>
      <w:tr w:rsidR="00C34312" w:rsidRPr="005F304D" w14:paraId="5A61ACE7" w14:textId="77777777" w:rsidTr="002029F7">
        <w:tc>
          <w:tcPr>
            <w:tcW w:w="3227" w:type="dxa"/>
          </w:tcPr>
          <w:p w14:paraId="2B44FF69"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8. Independent Learning </w:t>
            </w:r>
          </w:p>
        </w:tc>
        <w:tc>
          <w:tcPr>
            <w:tcW w:w="6015" w:type="dxa"/>
          </w:tcPr>
          <w:p w14:paraId="110726A1"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Learning effectively on your own</w:t>
            </w:r>
          </w:p>
        </w:tc>
      </w:tr>
      <w:tr w:rsidR="00C34312" w:rsidRPr="005F304D" w14:paraId="54B91B1A" w14:textId="77777777" w:rsidTr="002029F7">
        <w:tc>
          <w:tcPr>
            <w:tcW w:w="3227" w:type="dxa"/>
          </w:tcPr>
          <w:p w14:paraId="7032FF85"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9. Intercultural Understanding </w:t>
            </w:r>
          </w:p>
        </w:tc>
        <w:tc>
          <w:tcPr>
            <w:tcW w:w="6015" w:type="dxa"/>
          </w:tcPr>
          <w:p w14:paraId="6F8176D7" w14:textId="77777777" w:rsidR="00C34312" w:rsidRPr="00C34312" w:rsidRDefault="00C34312" w:rsidP="00C34312">
            <w:pPr>
              <w:spacing w:line="276" w:lineRule="auto"/>
              <w:jc w:val="both"/>
              <w:rPr>
                <w:rFonts w:ascii="Palatino Linotype" w:hAnsi="Palatino Linotype" w:cstheme="majorBidi"/>
                <w:i/>
                <w:iCs/>
                <w:szCs w:val="24"/>
              </w:rPr>
            </w:pPr>
            <w:r w:rsidRPr="00C34312">
              <w:rPr>
                <w:rFonts w:ascii="Palatino Linotype" w:hAnsi="Palatino Linotype" w:cstheme="majorBidi"/>
                <w:i/>
                <w:iCs/>
                <w:szCs w:val="24"/>
              </w:rPr>
              <w:t>Understanding people of other racial and ethnic backgrounds</w:t>
            </w:r>
          </w:p>
        </w:tc>
      </w:tr>
      <w:tr w:rsidR="00C34312" w:rsidRPr="005F304D" w14:paraId="6FAFDA02" w14:textId="77777777" w:rsidTr="002029F7">
        <w:tc>
          <w:tcPr>
            <w:tcW w:w="3227" w:type="dxa"/>
          </w:tcPr>
          <w:p w14:paraId="5C519E2B"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10. Problem-solving</w:t>
            </w:r>
          </w:p>
        </w:tc>
        <w:tc>
          <w:tcPr>
            <w:tcW w:w="6015" w:type="dxa"/>
          </w:tcPr>
          <w:p w14:paraId="422DBCC6" w14:textId="77777777" w:rsidR="00C34312" w:rsidRPr="00C34312" w:rsidRDefault="00C34312" w:rsidP="00C34312">
            <w:pPr>
              <w:spacing w:line="276" w:lineRule="auto"/>
              <w:jc w:val="both"/>
              <w:rPr>
                <w:rFonts w:ascii="Palatino Linotype" w:hAnsi="Palatino Linotype" w:cstheme="majorBidi"/>
                <w:i/>
                <w:iCs/>
                <w:szCs w:val="24"/>
              </w:rPr>
            </w:pPr>
            <w:r w:rsidRPr="00C34312">
              <w:rPr>
                <w:rFonts w:ascii="Palatino Linotype" w:hAnsi="Palatino Linotype" w:cstheme="majorBidi"/>
                <w:i/>
                <w:iCs/>
                <w:szCs w:val="24"/>
              </w:rPr>
              <w:t>Solving complex, real-world problems</w:t>
            </w:r>
          </w:p>
        </w:tc>
      </w:tr>
      <w:tr w:rsidR="00C34312" w:rsidRPr="005F304D" w14:paraId="6CA7B2C0" w14:textId="77777777" w:rsidTr="002029F7">
        <w:tc>
          <w:tcPr>
            <w:tcW w:w="3227" w:type="dxa"/>
          </w:tcPr>
          <w:p w14:paraId="484B7603"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11. Values &amp; Ethics </w:t>
            </w:r>
          </w:p>
        </w:tc>
        <w:tc>
          <w:tcPr>
            <w:tcW w:w="6015" w:type="dxa"/>
          </w:tcPr>
          <w:p w14:paraId="11FB3187"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Developing a personal code of values and ethics</w:t>
            </w:r>
          </w:p>
        </w:tc>
      </w:tr>
      <w:tr w:rsidR="00C34312" w:rsidRPr="005F304D" w14:paraId="48B5056B" w14:textId="77777777" w:rsidTr="002029F7">
        <w:tc>
          <w:tcPr>
            <w:tcW w:w="3227" w:type="dxa"/>
          </w:tcPr>
          <w:p w14:paraId="78815E1E"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12. Community Engagement </w:t>
            </w:r>
          </w:p>
        </w:tc>
        <w:tc>
          <w:tcPr>
            <w:tcW w:w="6015" w:type="dxa"/>
          </w:tcPr>
          <w:p w14:paraId="1604942B"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Contributing to the welfare of your community</w:t>
            </w:r>
          </w:p>
        </w:tc>
      </w:tr>
      <w:tr w:rsidR="00C34312" w:rsidRPr="005F304D" w14:paraId="421ABDBC" w14:textId="77777777" w:rsidTr="002029F7">
        <w:tc>
          <w:tcPr>
            <w:tcW w:w="3227" w:type="dxa"/>
          </w:tcPr>
          <w:p w14:paraId="639DC4DE"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13. Industry awareness </w:t>
            </w:r>
          </w:p>
        </w:tc>
        <w:tc>
          <w:tcPr>
            <w:tcW w:w="6015" w:type="dxa"/>
          </w:tcPr>
          <w:p w14:paraId="3696612D"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Developing general industry awareness</w:t>
            </w:r>
          </w:p>
        </w:tc>
      </w:tr>
      <w:tr w:rsidR="00C34312" w:rsidRPr="005F304D" w14:paraId="0582D613" w14:textId="77777777" w:rsidTr="002029F7">
        <w:tc>
          <w:tcPr>
            <w:tcW w:w="3227" w:type="dxa"/>
          </w:tcPr>
          <w:p w14:paraId="16EDAC97"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 xml:space="preserve">14. Social contexts </w:t>
            </w:r>
          </w:p>
        </w:tc>
        <w:tc>
          <w:tcPr>
            <w:tcW w:w="6015" w:type="dxa"/>
          </w:tcPr>
          <w:p w14:paraId="3702E7C9"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i/>
                <w:iCs/>
                <w:szCs w:val="24"/>
              </w:rPr>
              <w:t>Understanding different social contexts</w:t>
            </w:r>
          </w:p>
        </w:tc>
      </w:tr>
    </w:tbl>
    <w:p w14:paraId="2E26EB7F" w14:textId="77777777" w:rsidR="00C34312" w:rsidRDefault="00C34312" w:rsidP="00C34312">
      <w:pPr>
        <w:spacing w:line="480" w:lineRule="auto"/>
        <w:jc w:val="both"/>
        <w:rPr>
          <w:rFonts w:ascii="Palatino Linotype" w:hAnsi="Palatino Linotype" w:cstheme="majorBidi"/>
          <w:b/>
          <w:bCs/>
          <w:i/>
          <w:iCs/>
          <w:sz w:val="24"/>
          <w:szCs w:val="24"/>
        </w:rPr>
      </w:pPr>
    </w:p>
    <w:p w14:paraId="5AF36237" w14:textId="3663CFC8" w:rsidR="00DE3054" w:rsidRPr="005F304D" w:rsidRDefault="00265879" w:rsidP="00C34312">
      <w:pPr>
        <w:spacing w:line="480" w:lineRule="auto"/>
        <w:jc w:val="both"/>
        <w:rPr>
          <w:rFonts w:ascii="Palatino Linotype" w:hAnsi="Palatino Linotype" w:cstheme="majorBidi"/>
          <w:sz w:val="24"/>
          <w:szCs w:val="24"/>
        </w:rPr>
      </w:pPr>
      <w:r w:rsidRPr="005F304D">
        <w:rPr>
          <w:rFonts w:ascii="Palatino Linotype" w:hAnsi="Palatino Linotype" w:cstheme="majorBidi"/>
          <w:b/>
          <w:bCs/>
          <w:i/>
          <w:iCs/>
          <w:sz w:val="24"/>
          <w:szCs w:val="24"/>
        </w:rPr>
        <w:t>Contents of t</w:t>
      </w:r>
      <w:r w:rsidR="00A615B6" w:rsidRPr="005F304D">
        <w:rPr>
          <w:rFonts w:ascii="Palatino Linotype" w:hAnsi="Palatino Linotype" w:cstheme="majorBidi"/>
          <w:b/>
          <w:bCs/>
          <w:i/>
          <w:iCs/>
          <w:sz w:val="24"/>
          <w:szCs w:val="24"/>
        </w:rPr>
        <w:t>he S</w:t>
      </w:r>
      <w:r w:rsidR="00DE3054" w:rsidRPr="005F304D">
        <w:rPr>
          <w:rFonts w:ascii="Palatino Linotype" w:hAnsi="Palatino Linotype" w:cstheme="majorBidi"/>
          <w:b/>
          <w:bCs/>
          <w:i/>
          <w:iCs/>
          <w:sz w:val="24"/>
          <w:szCs w:val="24"/>
        </w:rPr>
        <w:t>urvey</w:t>
      </w:r>
      <w:r w:rsidR="00CC22F0" w:rsidRPr="005F304D">
        <w:rPr>
          <w:rFonts w:ascii="Palatino Linotype" w:hAnsi="Palatino Linotype" w:cstheme="majorBidi"/>
          <w:sz w:val="24"/>
          <w:szCs w:val="24"/>
        </w:rPr>
        <w:t xml:space="preserve">: </w:t>
      </w:r>
      <w:r w:rsidR="00DE3054" w:rsidRPr="005F304D">
        <w:rPr>
          <w:rFonts w:ascii="Palatino Linotype" w:hAnsi="Palatino Linotype" w:cstheme="majorBidi"/>
          <w:sz w:val="24"/>
          <w:szCs w:val="24"/>
        </w:rPr>
        <w:t>As noted above, the survey listed fourteen attributes, skills and personal qualities on the instrument in abbreviated form, set out below, and students were instructed to indicate their level of competence in respect of each attribute rated from 0 – 100</w:t>
      </w:r>
      <w:r w:rsidR="00707113" w:rsidRPr="005F304D">
        <w:rPr>
          <w:rFonts w:ascii="Palatino Linotype" w:hAnsi="Palatino Linotype" w:cstheme="majorBidi"/>
          <w:sz w:val="24"/>
          <w:szCs w:val="24"/>
        </w:rPr>
        <w:t xml:space="preserve"> (Oliver et al., 2011, p. 10)</w:t>
      </w:r>
      <w:r w:rsidR="00DE3054" w:rsidRPr="005F304D">
        <w:rPr>
          <w:rFonts w:ascii="Palatino Linotype" w:hAnsi="Palatino Linotype" w:cstheme="majorBidi"/>
          <w:sz w:val="24"/>
          <w:szCs w:val="24"/>
        </w:rPr>
        <w:t>.</w:t>
      </w:r>
      <w:r w:rsidR="00DE3054" w:rsidRPr="005F304D">
        <w:rPr>
          <w:rStyle w:val="FootnoteReference"/>
          <w:rFonts w:ascii="Palatino Linotype" w:hAnsi="Palatino Linotype" w:cstheme="majorBidi"/>
          <w:sz w:val="24"/>
          <w:szCs w:val="24"/>
        </w:rPr>
        <w:footnoteReference w:id="2"/>
      </w:r>
    </w:p>
    <w:p w14:paraId="59BE4D85" w14:textId="77777777" w:rsidR="00C34312" w:rsidRDefault="00C34312" w:rsidP="00C34312">
      <w:pPr>
        <w:spacing w:line="480" w:lineRule="auto"/>
        <w:jc w:val="both"/>
        <w:rPr>
          <w:rFonts w:ascii="Palatino Linotype" w:hAnsi="Palatino Linotype" w:cstheme="majorBidi"/>
          <w:b/>
          <w:bCs/>
          <w:i/>
          <w:iCs/>
          <w:sz w:val="24"/>
          <w:szCs w:val="24"/>
        </w:rPr>
      </w:pPr>
    </w:p>
    <w:p w14:paraId="4217B757" w14:textId="77777777" w:rsidR="00C34312" w:rsidRDefault="00C34312" w:rsidP="00C34312">
      <w:pPr>
        <w:spacing w:line="480" w:lineRule="auto"/>
        <w:jc w:val="both"/>
        <w:rPr>
          <w:rFonts w:ascii="Palatino Linotype" w:hAnsi="Palatino Linotype" w:cstheme="majorBidi"/>
          <w:b/>
          <w:bCs/>
          <w:i/>
          <w:iCs/>
          <w:sz w:val="24"/>
          <w:szCs w:val="24"/>
        </w:rPr>
      </w:pPr>
    </w:p>
    <w:p w14:paraId="4DAB292E" w14:textId="2B4CF31F" w:rsidR="00ED7F7C" w:rsidRPr="005F304D" w:rsidRDefault="00DE3054" w:rsidP="00C34312">
      <w:pPr>
        <w:spacing w:line="480" w:lineRule="auto"/>
        <w:jc w:val="both"/>
        <w:rPr>
          <w:rFonts w:ascii="Palatino Linotype" w:hAnsi="Palatino Linotype" w:cstheme="majorBidi"/>
          <w:sz w:val="24"/>
          <w:szCs w:val="24"/>
        </w:rPr>
      </w:pPr>
      <w:r w:rsidRPr="005F304D">
        <w:rPr>
          <w:rFonts w:ascii="Palatino Linotype" w:hAnsi="Palatino Linotype" w:cstheme="majorBidi"/>
          <w:b/>
          <w:bCs/>
          <w:i/>
          <w:iCs/>
          <w:sz w:val="24"/>
          <w:szCs w:val="24"/>
        </w:rPr>
        <w:lastRenderedPageBreak/>
        <w:t>Participants</w:t>
      </w:r>
      <w:r w:rsidR="006363BF" w:rsidRPr="005F304D">
        <w:rPr>
          <w:rFonts w:ascii="Palatino Linotype" w:hAnsi="Palatino Linotype" w:cstheme="majorBidi"/>
          <w:b/>
          <w:bCs/>
          <w:i/>
          <w:iCs/>
          <w:sz w:val="24"/>
          <w:szCs w:val="24"/>
        </w:rPr>
        <w:t xml:space="preserve"> and process</w:t>
      </w:r>
      <w:r w:rsidR="00CC22F0" w:rsidRPr="005F304D">
        <w:rPr>
          <w:rFonts w:ascii="Palatino Linotype" w:hAnsi="Palatino Linotype" w:cstheme="majorBidi"/>
          <w:b/>
          <w:bCs/>
          <w:i/>
          <w:iCs/>
          <w:sz w:val="24"/>
          <w:szCs w:val="24"/>
        </w:rPr>
        <w:t>:</w:t>
      </w:r>
      <w:r w:rsidR="00CC22F0" w:rsidRPr="005F304D">
        <w:rPr>
          <w:rFonts w:ascii="Palatino Linotype" w:hAnsi="Palatino Linotype" w:cstheme="majorBidi"/>
          <w:sz w:val="24"/>
          <w:szCs w:val="24"/>
        </w:rPr>
        <w:t xml:space="preserve"> </w:t>
      </w:r>
      <w:r w:rsidR="00ED7F7C" w:rsidRPr="005F304D">
        <w:rPr>
          <w:rFonts w:ascii="Palatino Linotype" w:hAnsi="Palatino Linotype" w:cstheme="majorBidi"/>
          <w:sz w:val="24"/>
          <w:szCs w:val="24"/>
        </w:rPr>
        <w:t xml:space="preserve">The representation of </w:t>
      </w:r>
      <w:r w:rsidR="00A615B6" w:rsidRPr="005F304D">
        <w:rPr>
          <w:rFonts w:ascii="Palatino Linotype" w:hAnsi="Palatino Linotype" w:cstheme="majorBidi"/>
          <w:sz w:val="24"/>
          <w:szCs w:val="24"/>
        </w:rPr>
        <w:t xml:space="preserve">clinic </w:t>
      </w:r>
      <w:r w:rsidR="00ED7F7C" w:rsidRPr="005F304D">
        <w:rPr>
          <w:rFonts w:ascii="Palatino Linotype" w:hAnsi="Palatino Linotype" w:cstheme="majorBidi"/>
          <w:sz w:val="24"/>
          <w:szCs w:val="24"/>
        </w:rPr>
        <w:t xml:space="preserve">participants </w:t>
      </w:r>
      <w:r w:rsidRPr="005F304D">
        <w:rPr>
          <w:rFonts w:ascii="Palatino Linotype" w:hAnsi="Palatino Linotype" w:cstheme="majorBidi"/>
          <w:sz w:val="24"/>
          <w:szCs w:val="24"/>
        </w:rPr>
        <w:t xml:space="preserve">in the survey </w:t>
      </w:r>
      <w:r w:rsidR="00ED7F7C" w:rsidRPr="005F304D">
        <w:rPr>
          <w:rFonts w:ascii="Palatino Linotype" w:hAnsi="Palatino Linotype" w:cstheme="majorBidi"/>
          <w:sz w:val="24"/>
          <w:szCs w:val="24"/>
        </w:rPr>
        <w:t xml:space="preserve">is set out in </w:t>
      </w:r>
      <w:r w:rsidR="00890EE5" w:rsidRPr="005F304D">
        <w:rPr>
          <w:rFonts w:ascii="Palatino Linotype" w:hAnsi="Palatino Linotype" w:cstheme="majorBidi"/>
          <w:sz w:val="24"/>
          <w:szCs w:val="24"/>
        </w:rPr>
        <w:t>T</w:t>
      </w:r>
      <w:r w:rsidR="00ED7F7C" w:rsidRPr="005F304D">
        <w:rPr>
          <w:rFonts w:ascii="Palatino Linotype" w:hAnsi="Palatino Linotype" w:cstheme="majorBidi"/>
          <w:sz w:val="24"/>
          <w:szCs w:val="24"/>
        </w:rPr>
        <w:t>able</w:t>
      </w:r>
      <w:r w:rsidR="00627EE0" w:rsidRPr="005F304D">
        <w:rPr>
          <w:rFonts w:ascii="Palatino Linotype" w:hAnsi="Palatino Linotype" w:cstheme="majorBidi"/>
          <w:sz w:val="24"/>
          <w:szCs w:val="24"/>
        </w:rPr>
        <w:t>s</w:t>
      </w:r>
      <w:r w:rsidR="00ED7F7C" w:rsidRPr="005F304D">
        <w:rPr>
          <w:rFonts w:ascii="Palatino Linotype" w:hAnsi="Palatino Linotype" w:cstheme="majorBidi"/>
          <w:sz w:val="24"/>
          <w:szCs w:val="24"/>
        </w:rPr>
        <w:t xml:space="preserve"> </w:t>
      </w:r>
      <w:r w:rsidR="00890EE5" w:rsidRPr="005F304D">
        <w:rPr>
          <w:rFonts w:ascii="Palatino Linotype" w:hAnsi="Palatino Linotype" w:cstheme="majorBidi"/>
          <w:sz w:val="24"/>
          <w:szCs w:val="24"/>
        </w:rPr>
        <w:t xml:space="preserve">2 and 3 </w:t>
      </w:r>
      <w:r w:rsidR="00ED7F7C" w:rsidRPr="005F304D">
        <w:rPr>
          <w:rFonts w:ascii="Palatino Linotype" w:hAnsi="Palatino Linotype" w:cstheme="majorBidi"/>
          <w:sz w:val="24"/>
          <w:szCs w:val="24"/>
        </w:rPr>
        <w:t>below:</w:t>
      </w:r>
    </w:p>
    <w:p w14:paraId="4E58CF52" w14:textId="77777777" w:rsidR="00C34312" w:rsidRPr="005F304D" w:rsidRDefault="00C34312" w:rsidP="00C34312">
      <w:pPr>
        <w:jc w:val="both"/>
        <w:rPr>
          <w:rFonts w:ascii="Palatino Linotype" w:hAnsi="Palatino Linotype" w:cstheme="majorBidi"/>
          <w:sz w:val="24"/>
          <w:szCs w:val="24"/>
        </w:rPr>
      </w:pPr>
      <w:r w:rsidRPr="005F304D">
        <w:rPr>
          <w:rFonts w:ascii="Palatino Linotype" w:hAnsi="Palatino Linotype" w:cstheme="majorBidi"/>
          <w:sz w:val="24"/>
          <w:szCs w:val="24"/>
        </w:rPr>
        <w:t>Table 2: Group 1</w:t>
      </w:r>
    </w:p>
    <w:tbl>
      <w:tblPr>
        <w:tblStyle w:val="TableGrid"/>
        <w:tblW w:w="0" w:type="auto"/>
        <w:tblLook w:val="04A0" w:firstRow="1" w:lastRow="0" w:firstColumn="1" w:lastColumn="0" w:noHBand="0" w:noVBand="1"/>
      </w:tblPr>
      <w:tblGrid>
        <w:gridCol w:w="2660"/>
        <w:gridCol w:w="2835"/>
      </w:tblGrid>
      <w:tr w:rsidR="00C34312" w:rsidRPr="005F304D" w14:paraId="3D197541" w14:textId="77777777" w:rsidTr="002029F7">
        <w:trPr>
          <w:trHeight w:val="261"/>
        </w:trPr>
        <w:tc>
          <w:tcPr>
            <w:tcW w:w="2660" w:type="dxa"/>
          </w:tcPr>
          <w:p w14:paraId="40165A13" w14:textId="77777777" w:rsidR="00C34312" w:rsidRPr="00C34312" w:rsidRDefault="00C34312" w:rsidP="00C34312">
            <w:pPr>
              <w:spacing w:line="276" w:lineRule="auto"/>
              <w:jc w:val="both"/>
              <w:rPr>
                <w:rFonts w:ascii="Palatino Linotype" w:hAnsi="Palatino Linotype" w:cstheme="majorBidi"/>
                <w:b/>
                <w:szCs w:val="24"/>
              </w:rPr>
            </w:pPr>
            <w:r w:rsidRPr="00C34312">
              <w:rPr>
                <w:rFonts w:ascii="Palatino Linotype" w:hAnsi="Palatino Linotype" w:cstheme="majorBidi"/>
                <w:b/>
                <w:szCs w:val="24"/>
              </w:rPr>
              <w:t>Student group</w:t>
            </w:r>
          </w:p>
        </w:tc>
        <w:tc>
          <w:tcPr>
            <w:tcW w:w="2835" w:type="dxa"/>
          </w:tcPr>
          <w:p w14:paraId="348A6A36" w14:textId="77777777" w:rsidR="00C34312" w:rsidRPr="00C34312" w:rsidRDefault="00C34312" w:rsidP="00C34312">
            <w:pPr>
              <w:spacing w:line="276" w:lineRule="auto"/>
              <w:jc w:val="both"/>
              <w:rPr>
                <w:rFonts w:ascii="Palatino Linotype" w:hAnsi="Palatino Linotype" w:cstheme="majorBidi"/>
                <w:b/>
                <w:szCs w:val="24"/>
              </w:rPr>
            </w:pPr>
            <w:r w:rsidRPr="00C34312">
              <w:rPr>
                <w:rFonts w:ascii="Palatino Linotype" w:hAnsi="Palatino Linotype" w:cstheme="majorBidi"/>
                <w:b/>
                <w:szCs w:val="24"/>
              </w:rPr>
              <w:t>Number of participants</w:t>
            </w:r>
          </w:p>
        </w:tc>
      </w:tr>
      <w:tr w:rsidR="00C34312" w:rsidRPr="005F304D" w14:paraId="5E7669C0" w14:textId="77777777" w:rsidTr="002029F7">
        <w:tc>
          <w:tcPr>
            <w:tcW w:w="2660" w:type="dxa"/>
          </w:tcPr>
          <w:p w14:paraId="14B41E13"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Commercial Law Clinic</w:t>
            </w:r>
          </w:p>
        </w:tc>
        <w:tc>
          <w:tcPr>
            <w:tcW w:w="2835" w:type="dxa"/>
          </w:tcPr>
          <w:p w14:paraId="5CF2821D"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19</w:t>
            </w:r>
          </w:p>
        </w:tc>
      </w:tr>
      <w:tr w:rsidR="00C34312" w:rsidRPr="005F304D" w14:paraId="12D96288" w14:textId="77777777" w:rsidTr="002029F7">
        <w:tc>
          <w:tcPr>
            <w:tcW w:w="2660" w:type="dxa"/>
          </w:tcPr>
          <w:p w14:paraId="7FC3D512"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Community Law Clinic</w:t>
            </w:r>
          </w:p>
        </w:tc>
        <w:tc>
          <w:tcPr>
            <w:tcW w:w="2835" w:type="dxa"/>
          </w:tcPr>
          <w:p w14:paraId="16D20A14"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5</w:t>
            </w:r>
          </w:p>
        </w:tc>
      </w:tr>
      <w:tr w:rsidR="00C34312" w:rsidRPr="005F304D" w14:paraId="1E13F89F" w14:textId="77777777" w:rsidTr="002029F7">
        <w:tc>
          <w:tcPr>
            <w:tcW w:w="2660" w:type="dxa"/>
          </w:tcPr>
          <w:p w14:paraId="38A5B6E6"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Human Rights Clinic</w:t>
            </w:r>
          </w:p>
        </w:tc>
        <w:tc>
          <w:tcPr>
            <w:tcW w:w="2835" w:type="dxa"/>
          </w:tcPr>
          <w:p w14:paraId="486677EF"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4</w:t>
            </w:r>
          </w:p>
        </w:tc>
      </w:tr>
      <w:tr w:rsidR="00C34312" w:rsidRPr="005F304D" w14:paraId="7D86CB5E" w14:textId="77777777" w:rsidTr="002029F7">
        <w:tc>
          <w:tcPr>
            <w:tcW w:w="2660" w:type="dxa"/>
          </w:tcPr>
          <w:p w14:paraId="7F35BBB5"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Criminal Law Clinic</w:t>
            </w:r>
          </w:p>
        </w:tc>
        <w:tc>
          <w:tcPr>
            <w:tcW w:w="2835" w:type="dxa"/>
          </w:tcPr>
          <w:p w14:paraId="4B6F07B0"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5</w:t>
            </w:r>
          </w:p>
        </w:tc>
      </w:tr>
      <w:tr w:rsidR="00C34312" w:rsidRPr="005F304D" w14:paraId="39D0DD13" w14:textId="77777777" w:rsidTr="002029F7">
        <w:tc>
          <w:tcPr>
            <w:tcW w:w="2660" w:type="dxa"/>
          </w:tcPr>
          <w:p w14:paraId="3734CC96"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Total number</w:t>
            </w:r>
          </w:p>
        </w:tc>
        <w:tc>
          <w:tcPr>
            <w:tcW w:w="2835" w:type="dxa"/>
          </w:tcPr>
          <w:p w14:paraId="7F995EA5"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33</w:t>
            </w:r>
          </w:p>
        </w:tc>
      </w:tr>
    </w:tbl>
    <w:p w14:paraId="21BDC88A" w14:textId="77777777" w:rsidR="00C34312" w:rsidRDefault="00C34312" w:rsidP="00C34312">
      <w:pPr>
        <w:jc w:val="both"/>
        <w:rPr>
          <w:rFonts w:ascii="Palatino Linotype" w:hAnsi="Palatino Linotype" w:cstheme="majorBidi"/>
          <w:sz w:val="24"/>
          <w:szCs w:val="24"/>
        </w:rPr>
      </w:pPr>
    </w:p>
    <w:p w14:paraId="355C2BDC" w14:textId="3BE3804C" w:rsidR="00C34312" w:rsidRPr="005F304D" w:rsidRDefault="00C34312" w:rsidP="00C34312">
      <w:pPr>
        <w:jc w:val="both"/>
        <w:rPr>
          <w:rFonts w:ascii="Palatino Linotype" w:hAnsi="Palatino Linotype" w:cstheme="majorBidi"/>
          <w:sz w:val="24"/>
          <w:szCs w:val="24"/>
        </w:rPr>
      </w:pPr>
      <w:r w:rsidRPr="005F304D">
        <w:rPr>
          <w:rFonts w:ascii="Palatino Linotype" w:hAnsi="Palatino Linotype" w:cstheme="majorBidi"/>
          <w:sz w:val="24"/>
          <w:szCs w:val="24"/>
        </w:rPr>
        <w:t>Table 3: Group 2</w:t>
      </w:r>
    </w:p>
    <w:tbl>
      <w:tblPr>
        <w:tblStyle w:val="TableGrid1"/>
        <w:tblW w:w="0" w:type="auto"/>
        <w:tblLook w:val="04A0" w:firstRow="1" w:lastRow="0" w:firstColumn="1" w:lastColumn="0" w:noHBand="0" w:noVBand="1"/>
      </w:tblPr>
      <w:tblGrid>
        <w:gridCol w:w="2518"/>
        <w:gridCol w:w="2693"/>
      </w:tblGrid>
      <w:tr w:rsidR="00C34312" w:rsidRPr="005F304D" w14:paraId="1A472EB8" w14:textId="77777777" w:rsidTr="002029F7">
        <w:trPr>
          <w:trHeight w:val="77"/>
        </w:trPr>
        <w:tc>
          <w:tcPr>
            <w:tcW w:w="2518" w:type="dxa"/>
          </w:tcPr>
          <w:p w14:paraId="2C0B73AF" w14:textId="77777777" w:rsidR="00C34312" w:rsidRPr="00C34312" w:rsidRDefault="00C34312" w:rsidP="00C34312">
            <w:pPr>
              <w:spacing w:line="276" w:lineRule="auto"/>
              <w:jc w:val="both"/>
              <w:rPr>
                <w:rFonts w:ascii="Palatino Linotype" w:hAnsi="Palatino Linotype" w:cstheme="majorBidi"/>
                <w:b/>
                <w:szCs w:val="24"/>
              </w:rPr>
            </w:pPr>
            <w:r w:rsidRPr="00C34312">
              <w:rPr>
                <w:rFonts w:ascii="Palatino Linotype" w:hAnsi="Palatino Linotype" w:cstheme="majorBidi"/>
                <w:b/>
                <w:szCs w:val="24"/>
              </w:rPr>
              <w:t>Student group</w:t>
            </w:r>
          </w:p>
        </w:tc>
        <w:tc>
          <w:tcPr>
            <w:tcW w:w="2693" w:type="dxa"/>
          </w:tcPr>
          <w:p w14:paraId="4E61D578" w14:textId="77777777" w:rsidR="00C34312" w:rsidRPr="00C34312" w:rsidRDefault="00C34312" w:rsidP="00C34312">
            <w:pPr>
              <w:spacing w:line="276" w:lineRule="auto"/>
              <w:jc w:val="both"/>
              <w:rPr>
                <w:rFonts w:ascii="Palatino Linotype" w:hAnsi="Palatino Linotype" w:cstheme="majorBidi"/>
                <w:b/>
                <w:szCs w:val="24"/>
              </w:rPr>
            </w:pPr>
            <w:r w:rsidRPr="00C34312">
              <w:rPr>
                <w:rFonts w:ascii="Palatino Linotype" w:hAnsi="Palatino Linotype" w:cstheme="majorBidi"/>
                <w:b/>
                <w:szCs w:val="24"/>
              </w:rPr>
              <w:t>Number of participants</w:t>
            </w:r>
          </w:p>
        </w:tc>
      </w:tr>
      <w:tr w:rsidR="00C34312" w:rsidRPr="005F304D" w14:paraId="39E0BEE2" w14:textId="77777777" w:rsidTr="002029F7">
        <w:tc>
          <w:tcPr>
            <w:tcW w:w="2518" w:type="dxa"/>
          </w:tcPr>
          <w:p w14:paraId="37D7FF51"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Non-clinic law students</w:t>
            </w:r>
          </w:p>
        </w:tc>
        <w:tc>
          <w:tcPr>
            <w:tcW w:w="2693" w:type="dxa"/>
          </w:tcPr>
          <w:p w14:paraId="746AA249"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34</w:t>
            </w:r>
          </w:p>
        </w:tc>
      </w:tr>
      <w:tr w:rsidR="00C34312" w:rsidRPr="005F304D" w14:paraId="3D99A311" w14:textId="77777777" w:rsidTr="002029F7">
        <w:tc>
          <w:tcPr>
            <w:tcW w:w="2518" w:type="dxa"/>
          </w:tcPr>
          <w:p w14:paraId="7E07C162"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Total number</w:t>
            </w:r>
          </w:p>
        </w:tc>
        <w:tc>
          <w:tcPr>
            <w:tcW w:w="2693" w:type="dxa"/>
          </w:tcPr>
          <w:p w14:paraId="0A92D247" w14:textId="77777777" w:rsidR="00C34312" w:rsidRPr="00C34312" w:rsidRDefault="00C34312" w:rsidP="00C34312">
            <w:pPr>
              <w:spacing w:line="276" w:lineRule="auto"/>
              <w:jc w:val="both"/>
              <w:rPr>
                <w:rFonts w:ascii="Palatino Linotype" w:hAnsi="Palatino Linotype" w:cstheme="majorBidi"/>
                <w:szCs w:val="24"/>
              </w:rPr>
            </w:pPr>
            <w:r w:rsidRPr="00C34312">
              <w:rPr>
                <w:rFonts w:ascii="Palatino Linotype" w:hAnsi="Palatino Linotype" w:cstheme="majorBidi"/>
                <w:szCs w:val="24"/>
              </w:rPr>
              <w:t>34</w:t>
            </w:r>
          </w:p>
        </w:tc>
      </w:tr>
    </w:tbl>
    <w:p w14:paraId="4908DFE2" w14:textId="77777777" w:rsidR="00C34312" w:rsidRDefault="00C34312" w:rsidP="00C34312">
      <w:pPr>
        <w:spacing w:line="480" w:lineRule="auto"/>
        <w:jc w:val="both"/>
        <w:rPr>
          <w:rFonts w:ascii="Palatino Linotype" w:hAnsi="Palatino Linotype" w:cstheme="majorBidi"/>
          <w:sz w:val="24"/>
          <w:szCs w:val="24"/>
        </w:rPr>
      </w:pPr>
    </w:p>
    <w:p w14:paraId="0215C9C6" w14:textId="7C36452E" w:rsidR="008E2A12" w:rsidRPr="005F304D" w:rsidRDefault="00646AB4"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To provide</w:t>
      </w:r>
      <w:r w:rsidR="008E2A12" w:rsidRPr="005F304D">
        <w:rPr>
          <w:rFonts w:ascii="Palatino Linotype" w:hAnsi="Palatino Linotype" w:cstheme="majorBidi"/>
          <w:sz w:val="24"/>
          <w:szCs w:val="24"/>
        </w:rPr>
        <w:t xml:space="preserve"> consistency, the same survey was administered to both groups in week</w:t>
      </w:r>
      <w:r w:rsidR="0068196C" w:rsidRPr="005F304D">
        <w:rPr>
          <w:rFonts w:ascii="Palatino Linotype" w:hAnsi="Palatino Linotype" w:cstheme="majorBidi"/>
          <w:sz w:val="24"/>
          <w:szCs w:val="24"/>
        </w:rPr>
        <w:t>s</w:t>
      </w:r>
      <w:r w:rsidR="008E2A12" w:rsidRPr="005F304D">
        <w:rPr>
          <w:rFonts w:ascii="Palatino Linotype" w:hAnsi="Palatino Linotype" w:cstheme="majorBidi"/>
          <w:sz w:val="24"/>
          <w:szCs w:val="24"/>
        </w:rPr>
        <w:t xml:space="preserve"> </w:t>
      </w:r>
      <w:r w:rsidR="00890EE5" w:rsidRPr="005F304D">
        <w:rPr>
          <w:rFonts w:ascii="Palatino Linotype" w:hAnsi="Palatino Linotype" w:cstheme="majorBidi"/>
          <w:sz w:val="24"/>
          <w:szCs w:val="24"/>
        </w:rPr>
        <w:t>four</w:t>
      </w:r>
      <w:r w:rsidR="008E2A12" w:rsidRPr="005F304D">
        <w:rPr>
          <w:rFonts w:ascii="Palatino Linotype" w:hAnsi="Palatino Linotype" w:cstheme="majorBidi"/>
          <w:sz w:val="24"/>
          <w:szCs w:val="24"/>
        </w:rPr>
        <w:t xml:space="preserve"> and 12 of the semester, thereby recording </w:t>
      </w:r>
      <w:r w:rsidR="0068196C" w:rsidRPr="005F304D">
        <w:rPr>
          <w:rFonts w:ascii="Palatino Linotype" w:hAnsi="Palatino Linotype" w:cstheme="majorBidi"/>
          <w:sz w:val="24"/>
          <w:szCs w:val="24"/>
        </w:rPr>
        <w:t>students’</w:t>
      </w:r>
      <w:r w:rsidR="008E2A12" w:rsidRPr="005F304D">
        <w:rPr>
          <w:rFonts w:ascii="Palatino Linotype" w:hAnsi="Palatino Linotype" w:cstheme="majorBidi"/>
          <w:sz w:val="24"/>
          <w:szCs w:val="24"/>
        </w:rPr>
        <w:t xml:space="preserve"> responses early in the semester (for Group 1, at the start of their clinic experience) and late in the semester (for Group 1, at the end of their clinic experience). The </w:t>
      </w:r>
      <w:r w:rsidR="00890EE5" w:rsidRPr="005F304D">
        <w:rPr>
          <w:rFonts w:ascii="Palatino Linotype" w:hAnsi="Palatino Linotype" w:cstheme="majorBidi"/>
          <w:sz w:val="24"/>
          <w:szCs w:val="24"/>
        </w:rPr>
        <w:t xml:space="preserve">Group 2 </w:t>
      </w:r>
      <w:r w:rsidR="008E2A12" w:rsidRPr="005F304D">
        <w:rPr>
          <w:rFonts w:ascii="Palatino Linotype" w:hAnsi="Palatino Linotype" w:cstheme="majorBidi"/>
          <w:sz w:val="24"/>
          <w:szCs w:val="24"/>
        </w:rPr>
        <w:t>control students were engaged by sending an email to law students, which provided</w:t>
      </w:r>
      <w:r w:rsidR="00685E68" w:rsidRPr="005F304D">
        <w:rPr>
          <w:rFonts w:ascii="Palatino Linotype" w:hAnsi="Palatino Linotype" w:cstheme="majorBidi"/>
          <w:sz w:val="24"/>
          <w:szCs w:val="24"/>
        </w:rPr>
        <w:t xml:space="preserve"> an opportunity to win a mini-iP</w:t>
      </w:r>
      <w:r w:rsidR="008E2A12" w:rsidRPr="005F304D">
        <w:rPr>
          <w:rFonts w:ascii="Palatino Linotype" w:hAnsi="Palatino Linotype" w:cstheme="majorBidi"/>
          <w:sz w:val="24"/>
          <w:szCs w:val="24"/>
        </w:rPr>
        <w:t>ad. A copy of the email</w:t>
      </w:r>
      <w:r w:rsidR="006363BF" w:rsidRPr="005F304D">
        <w:rPr>
          <w:rFonts w:ascii="Palatino Linotype" w:hAnsi="Palatino Linotype" w:cstheme="majorBidi"/>
          <w:sz w:val="24"/>
          <w:szCs w:val="24"/>
        </w:rPr>
        <w:t xml:space="preserve"> invitation</w:t>
      </w:r>
      <w:r w:rsidR="008E2A12" w:rsidRPr="005F304D">
        <w:rPr>
          <w:rFonts w:ascii="Palatino Linotype" w:hAnsi="Palatino Linotype" w:cstheme="majorBidi"/>
          <w:sz w:val="24"/>
          <w:szCs w:val="24"/>
        </w:rPr>
        <w:t xml:space="preserve"> is attached </w:t>
      </w:r>
      <w:r w:rsidR="00541B4C" w:rsidRPr="005F304D">
        <w:rPr>
          <w:rFonts w:ascii="Palatino Linotype" w:hAnsi="Palatino Linotype" w:cstheme="majorBidi"/>
          <w:sz w:val="24"/>
          <w:szCs w:val="24"/>
        </w:rPr>
        <w:t>as</w:t>
      </w:r>
      <w:r w:rsidR="008E2A12" w:rsidRPr="005F304D">
        <w:rPr>
          <w:rFonts w:ascii="Palatino Linotype" w:hAnsi="Palatino Linotype" w:cstheme="majorBidi"/>
          <w:sz w:val="24"/>
          <w:szCs w:val="24"/>
        </w:rPr>
        <w:t xml:space="preserve"> Annexure B. Following the email </w:t>
      </w:r>
      <w:r w:rsidR="006363BF" w:rsidRPr="005F304D">
        <w:rPr>
          <w:rFonts w:ascii="Palatino Linotype" w:hAnsi="Palatino Linotype" w:cstheme="majorBidi"/>
          <w:sz w:val="24"/>
          <w:szCs w:val="24"/>
        </w:rPr>
        <w:t xml:space="preserve">invitation, </w:t>
      </w:r>
      <w:r w:rsidR="008E2A12" w:rsidRPr="005F304D">
        <w:rPr>
          <w:rFonts w:ascii="Palatino Linotype" w:hAnsi="Palatino Linotype" w:cstheme="majorBidi"/>
          <w:sz w:val="24"/>
          <w:szCs w:val="24"/>
        </w:rPr>
        <w:t>34 usable responses were received from students (i.e. where both the first and second survey</w:t>
      </w:r>
      <w:r w:rsidR="0068196C" w:rsidRPr="005F304D">
        <w:rPr>
          <w:rFonts w:ascii="Palatino Linotype" w:hAnsi="Palatino Linotype" w:cstheme="majorBidi"/>
          <w:sz w:val="24"/>
          <w:szCs w:val="24"/>
        </w:rPr>
        <w:t>s</w:t>
      </w:r>
      <w:r w:rsidR="008E2A12" w:rsidRPr="005F304D">
        <w:rPr>
          <w:rFonts w:ascii="Palatino Linotype" w:hAnsi="Palatino Linotype" w:cstheme="majorBidi"/>
          <w:sz w:val="24"/>
          <w:szCs w:val="24"/>
        </w:rPr>
        <w:t xml:space="preserve"> were completed</w:t>
      </w:r>
      <w:r w:rsidR="0068196C" w:rsidRPr="005F304D">
        <w:rPr>
          <w:rFonts w:ascii="Palatino Linotype" w:hAnsi="Palatino Linotype" w:cstheme="majorBidi"/>
          <w:sz w:val="24"/>
          <w:szCs w:val="24"/>
        </w:rPr>
        <w:t>, and students were non-clinic students</w:t>
      </w:r>
      <w:r w:rsidR="008E2A12" w:rsidRPr="005F304D">
        <w:rPr>
          <w:rFonts w:ascii="Palatino Linotype" w:hAnsi="Palatino Linotype" w:cstheme="majorBidi"/>
          <w:sz w:val="24"/>
          <w:szCs w:val="24"/>
        </w:rPr>
        <w:t>.)</w:t>
      </w:r>
    </w:p>
    <w:p w14:paraId="18EA514D" w14:textId="77777777" w:rsidR="005370DD" w:rsidRPr="005F304D" w:rsidRDefault="0018298A"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Group 1 surveys were distributed to clinic students at the beginning and end of semester by an administrator who collected and stored the surveys securely. Student </w:t>
      </w:r>
      <w:r w:rsidRPr="005F304D">
        <w:rPr>
          <w:rFonts w:ascii="Palatino Linotype" w:hAnsi="Palatino Linotype" w:cstheme="majorBidi"/>
          <w:sz w:val="24"/>
          <w:szCs w:val="24"/>
        </w:rPr>
        <w:lastRenderedPageBreak/>
        <w:t xml:space="preserve">identification numbers were obtained instead of names in order to (a) allow for </w:t>
      </w:r>
      <w:r w:rsidR="00CD2BEB" w:rsidRPr="005F304D">
        <w:rPr>
          <w:rFonts w:ascii="Palatino Linotype" w:hAnsi="Palatino Linotype" w:cstheme="majorBidi"/>
          <w:sz w:val="24"/>
          <w:szCs w:val="24"/>
        </w:rPr>
        <w:t>‘</w:t>
      </w:r>
      <w:r w:rsidRPr="005F304D">
        <w:rPr>
          <w:rFonts w:ascii="Palatino Linotype" w:hAnsi="Palatino Linotype" w:cstheme="majorBidi"/>
          <w:sz w:val="24"/>
          <w:szCs w:val="24"/>
        </w:rPr>
        <w:t>blind</w:t>
      </w:r>
      <w:r w:rsidR="00CD2BEB" w:rsidRPr="005F304D">
        <w:rPr>
          <w:rFonts w:ascii="Palatino Linotype" w:hAnsi="Palatino Linotype" w:cstheme="majorBidi"/>
          <w:sz w:val="24"/>
          <w:szCs w:val="24"/>
        </w:rPr>
        <w:t>’</w:t>
      </w:r>
      <w:r w:rsidRPr="005F304D">
        <w:rPr>
          <w:rFonts w:ascii="Palatino Linotype" w:hAnsi="Palatino Linotype" w:cstheme="majorBidi"/>
          <w:sz w:val="24"/>
          <w:szCs w:val="24"/>
        </w:rPr>
        <w:t xml:space="preserve"> viewing of data; and (b) enable collation of the second survey data with the initial survey.  For Group 2 surveys it was necessary to obtain an email address in order to distribute the second (end of semester) survey to participants. This procedure was consistent with the ethics approvals acquire</w:t>
      </w:r>
      <w:r w:rsidR="006278D8" w:rsidRPr="005F304D">
        <w:rPr>
          <w:rFonts w:ascii="Palatino Linotype" w:hAnsi="Palatino Linotype" w:cstheme="majorBidi"/>
          <w:sz w:val="24"/>
          <w:szCs w:val="24"/>
        </w:rPr>
        <w:t>d prior to commencing the study, with no identification of participants in the research findings.</w:t>
      </w:r>
    </w:p>
    <w:p w14:paraId="703DBC6E" w14:textId="77777777" w:rsidR="006363BF" w:rsidRPr="005F304D" w:rsidRDefault="002A2FC9" w:rsidP="00C34312">
      <w:pPr>
        <w:spacing w:line="480" w:lineRule="auto"/>
        <w:jc w:val="both"/>
        <w:rPr>
          <w:rFonts w:ascii="Palatino Linotype" w:hAnsi="Palatino Linotype" w:cstheme="majorBidi"/>
          <w:b/>
          <w:bCs/>
          <w:i/>
          <w:iCs/>
          <w:sz w:val="24"/>
          <w:szCs w:val="24"/>
        </w:rPr>
      </w:pPr>
      <w:r w:rsidRPr="005F304D">
        <w:rPr>
          <w:rFonts w:ascii="Palatino Linotype" w:hAnsi="Palatino Linotype" w:cstheme="majorBidi"/>
          <w:b/>
          <w:bCs/>
          <w:i/>
          <w:iCs/>
          <w:sz w:val="24"/>
          <w:szCs w:val="24"/>
        </w:rPr>
        <w:t>General findings</w:t>
      </w:r>
      <w:r w:rsidR="00CC22F0" w:rsidRPr="005F304D">
        <w:rPr>
          <w:rFonts w:ascii="Palatino Linotype" w:hAnsi="Palatino Linotype" w:cstheme="majorBidi"/>
          <w:b/>
          <w:bCs/>
          <w:i/>
          <w:iCs/>
          <w:sz w:val="24"/>
          <w:szCs w:val="24"/>
        </w:rPr>
        <w:t>:</w:t>
      </w:r>
    </w:p>
    <w:p w14:paraId="0B72C76B" w14:textId="77777777" w:rsidR="001D514E" w:rsidRPr="005F304D" w:rsidRDefault="00E818F8" w:rsidP="00C34312">
      <w:pPr>
        <w:pStyle w:val="ListParagraph"/>
        <w:numPr>
          <w:ilvl w:val="0"/>
          <w:numId w:val="8"/>
        </w:numPr>
        <w:spacing w:line="480" w:lineRule="auto"/>
        <w:jc w:val="both"/>
        <w:rPr>
          <w:rFonts w:ascii="Palatino Linotype" w:hAnsi="Palatino Linotype" w:cstheme="majorBidi"/>
          <w:sz w:val="24"/>
          <w:szCs w:val="24"/>
        </w:rPr>
      </w:pPr>
      <w:r w:rsidRPr="005F304D">
        <w:rPr>
          <w:rFonts w:ascii="Palatino Linotype" w:hAnsi="Palatino Linotype" w:cstheme="majorBidi"/>
          <w:i/>
          <w:iCs/>
          <w:sz w:val="24"/>
          <w:szCs w:val="24"/>
        </w:rPr>
        <w:t>Group 1</w:t>
      </w:r>
      <w:r w:rsidR="00CC22F0" w:rsidRPr="005F304D">
        <w:rPr>
          <w:rFonts w:ascii="Palatino Linotype" w:hAnsi="Palatino Linotype" w:cstheme="majorBidi"/>
          <w:i/>
          <w:iCs/>
          <w:sz w:val="24"/>
          <w:szCs w:val="24"/>
        </w:rPr>
        <w:t xml:space="preserve">: </w:t>
      </w:r>
      <w:r w:rsidRPr="005F304D">
        <w:rPr>
          <w:rFonts w:ascii="Palatino Linotype" w:hAnsi="Palatino Linotype" w:cstheme="majorBidi"/>
          <w:sz w:val="24"/>
          <w:szCs w:val="24"/>
        </w:rPr>
        <w:t xml:space="preserve">Overall, the 33 </w:t>
      </w:r>
      <w:r w:rsidR="002152C6" w:rsidRPr="005F304D">
        <w:rPr>
          <w:rFonts w:ascii="Palatino Linotype" w:hAnsi="Palatino Linotype" w:cstheme="majorBidi"/>
          <w:sz w:val="24"/>
          <w:szCs w:val="24"/>
        </w:rPr>
        <w:t xml:space="preserve">pro bono </w:t>
      </w:r>
      <w:r w:rsidRPr="005F304D">
        <w:rPr>
          <w:rFonts w:ascii="Palatino Linotype" w:hAnsi="Palatino Linotype" w:cstheme="majorBidi"/>
          <w:sz w:val="24"/>
          <w:szCs w:val="24"/>
        </w:rPr>
        <w:t xml:space="preserve">law clinic students reported an average 13% increase in their graduate skills from beginning to end of semester. </w:t>
      </w:r>
      <w:r w:rsidR="00025628" w:rsidRPr="005F304D">
        <w:rPr>
          <w:rFonts w:ascii="Palatino Linotype" w:hAnsi="Palatino Linotype" w:cstheme="majorBidi"/>
          <w:sz w:val="24"/>
          <w:szCs w:val="24"/>
        </w:rPr>
        <w:t xml:space="preserve">More than 42% of students </w:t>
      </w:r>
      <w:r w:rsidR="00A80B70" w:rsidRPr="005F304D">
        <w:rPr>
          <w:rFonts w:ascii="Palatino Linotype" w:hAnsi="Palatino Linotype" w:cstheme="majorBidi"/>
          <w:sz w:val="24"/>
          <w:szCs w:val="24"/>
        </w:rPr>
        <w:t xml:space="preserve">showed an </w:t>
      </w:r>
      <w:r w:rsidR="00C96C86" w:rsidRPr="005F304D">
        <w:rPr>
          <w:rFonts w:ascii="Palatino Linotype" w:hAnsi="Palatino Linotype" w:cstheme="majorBidi"/>
          <w:sz w:val="24"/>
          <w:szCs w:val="24"/>
        </w:rPr>
        <w:t xml:space="preserve">overall </w:t>
      </w:r>
      <w:r w:rsidR="00A80B70" w:rsidRPr="005F304D">
        <w:rPr>
          <w:rFonts w:ascii="Palatino Linotype" w:hAnsi="Palatino Linotype" w:cstheme="majorBidi"/>
          <w:sz w:val="24"/>
          <w:szCs w:val="24"/>
        </w:rPr>
        <w:t xml:space="preserve">increase of over 10%, and </w:t>
      </w:r>
      <w:r w:rsidR="00963864" w:rsidRPr="005F304D">
        <w:rPr>
          <w:rFonts w:ascii="Palatino Linotype" w:hAnsi="Palatino Linotype" w:cstheme="majorBidi"/>
          <w:sz w:val="24"/>
          <w:szCs w:val="24"/>
        </w:rPr>
        <w:t>approximately</w:t>
      </w:r>
      <w:r w:rsidR="00A80B70" w:rsidRPr="005F304D">
        <w:rPr>
          <w:rFonts w:ascii="Palatino Linotype" w:hAnsi="Palatino Linotype" w:cstheme="majorBidi"/>
          <w:sz w:val="24"/>
          <w:szCs w:val="24"/>
        </w:rPr>
        <w:t xml:space="preserve"> 15% reported </w:t>
      </w:r>
      <w:r w:rsidR="00C96C86" w:rsidRPr="005F304D">
        <w:rPr>
          <w:rFonts w:ascii="Palatino Linotype" w:hAnsi="Palatino Linotype" w:cstheme="majorBidi"/>
          <w:sz w:val="24"/>
          <w:szCs w:val="24"/>
        </w:rPr>
        <w:t xml:space="preserve">a </w:t>
      </w:r>
      <w:r w:rsidR="00963864" w:rsidRPr="005F304D">
        <w:rPr>
          <w:rFonts w:ascii="Palatino Linotype" w:hAnsi="Palatino Linotype" w:cstheme="majorBidi"/>
          <w:sz w:val="24"/>
          <w:szCs w:val="24"/>
        </w:rPr>
        <w:t>more than</w:t>
      </w:r>
      <w:r w:rsidR="00A80B70" w:rsidRPr="005F304D">
        <w:rPr>
          <w:rFonts w:ascii="Palatino Linotype" w:hAnsi="Palatino Linotype" w:cstheme="majorBidi"/>
          <w:sz w:val="24"/>
          <w:szCs w:val="24"/>
        </w:rPr>
        <w:t xml:space="preserve"> 20% increase in their competency.</w:t>
      </w:r>
      <w:r w:rsidR="00025628" w:rsidRPr="005F304D">
        <w:rPr>
          <w:rFonts w:ascii="Palatino Linotype" w:hAnsi="Palatino Linotype" w:cstheme="majorBidi"/>
          <w:sz w:val="24"/>
          <w:szCs w:val="24"/>
        </w:rPr>
        <w:t xml:space="preserve"> </w:t>
      </w:r>
      <w:r w:rsidR="00A80B70" w:rsidRPr="005F304D">
        <w:rPr>
          <w:rFonts w:ascii="Palatino Linotype" w:hAnsi="Palatino Linotype" w:cstheme="majorBidi"/>
          <w:sz w:val="24"/>
          <w:szCs w:val="24"/>
        </w:rPr>
        <w:t xml:space="preserve">The most significant increase reported was a 44% increase by one participant. </w:t>
      </w:r>
      <w:r w:rsidRPr="005F304D">
        <w:rPr>
          <w:rFonts w:ascii="Palatino Linotype" w:hAnsi="Palatino Linotype" w:cstheme="majorBidi"/>
          <w:sz w:val="24"/>
          <w:szCs w:val="24"/>
        </w:rPr>
        <w:t xml:space="preserve">Broken down further by individual clinic, Commercial Law Clinic students showed an </w:t>
      </w:r>
      <w:r w:rsidR="00A80B70" w:rsidRPr="005F304D">
        <w:rPr>
          <w:rFonts w:ascii="Palatino Linotype" w:hAnsi="Palatino Linotype" w:cstheme="majorBidi"/>
          <w:sz w:val="24"/>
          <w:szCs w:val="24"/>
        </w:rPr>
        <w:t xml:space="preserve">average </w:t>
      </w:r>
      <w:r w:rsidRPr="005F304D">
        <w:rPr>
          <w:rFonts w:ascii="Palatino Linotype" w:hAnsi="Palatino Linotype" w:cstheme="majorBidi"/>
          <w:sz w:val="24"/>
          <w:szCs w:val="24"/>
        </w:rPr>
        <w:t>increase of 16% as opposed to the Community Law Clinic and Human Rights Clinic (both 10%)</w:t>
      </w:r>
      <w:r w:rsidR="003501F7" w:rsidRPr="005F304D">
        <w:rPr>
          <w:rFonts w:ascii="Palatino Linotype" w:hAnsi="Palatino Linotype" w:cstheme="majorBidi"/>
          <w:sz w:val="24"/>
          <w:szCs w:val="24"/>
        </w:rPr>
        <w:t xml:space="preserve"> and the Criminal </w:t>
      </w:r>
      <w:r w:rsidR="00C96C86" w:rsidRPr="005F304D">
        <w:rPr>
          <w:rFonts w:ascii="Palatino Linotype" w:hAnsi="Palatino Linotype" w:cstheme="majorBidi"/>
          <w:sz w:val="24"/>
          <w:szCs w:val="24"/>
        </w:rPr>
        <w:t>L</w:t>
      </w:r>
      <w:r w:rsidR="003501F7" w:rsidRPr="005F304D">
        <w:rPr>
          <w:rFonts w:ascii="Palatino Linotype" w:hAnsi="Palatino Linotype" w:cstheme="majorBidi"/>
          <w:sz w:val="24"/>
          <w:szCs w:val="24"/>
        </w:rPr>
        <w:t>aw Clinic (</w:t>
      </w:r>
      <w:r w:rsidRPr="005F304D">
        <w:rPr>
          <w:rFonts w:ascii="Palatino Linotype" w:hAnsi="Palatino Linotype" w:cstheme="majorBidi"/>
          <w:sz w:val="24"/>
          <w:szCs w:val="24"/>
        </w:rPr>
        <w:t xml:space="preserve">6%). </w:t>
      </w:r>
      <w:r w:rsidR="0028727A" w:rsidRPr="005F304D">
        <w:rPr>
          <w:rFonts w:ascii="Palatino Linotype" w:hAnsi="Palatino Linotype" w:cstheme="majorBidi"/>
          <w:sz w:val="24"/>
          <w:szCs w:val="24"/>
        </w:rPr>
        <w:t xml:space="preserve">Only one </w:t>
      </w:r>
      <w:r w:rsidR="00E42CE8" w:rsidRPr="005F304D">
        <w:rPr>
          <w:rFonts w:ascii="Palatino Linotype" w:hAnsi="Palatino Linotype" w:cstheme="majorBidi"/>
          <w:sz w:val="24"/>
          <w:szCs w:val="24"/>
        </w:rPr>
        <w:t xml:space="preserve">Criminal Law Clinic </w:t>
      </w:r>
      <w:r w:rsidR="0028727A" w:rsidRPr="005F304D">
        <w:rPr>
          <w:rFonts w:ascii="Palatino Linotype" w:hAnsi="Palatino Linotype" w:cstheme="majorBidi"/>
          <w:sz w:val="24"/>
          <w:szCs w:val="24"/>
        </w:rPr>
        <w:t>participa</w:t>
      </w:r>
      <w:r w:rsidR="00A80B70" w:rsidRPr="005F304D">
        <w:rPr>
          <w:rFonts w:ascii="Palatino Linotype" w:hAnsi="Palatino Linotype" w:cstheme="majorBidi"/>
          <w:sz w:val="24"/>
          <w:szCs w:val="24"/>
        </w:rPr>
        <w:t xml:space="preserve">nt </w:t>
      </w:r>
      <w:r w:rsidR="0028727A" w:rsidRPr="005F304D">
        <w:rPr>
          <w:rFonts w:ascii="Palatino Linotype" w:hAnsi="Palatino Linotype" w:cstheme="majorBidi"/>
          <w:sz w:val="24"/>
          <w:szCs w:val="24"/>
        </w:rPr>
        <w:t>reported a perceived</w:t>
      </w:r>
      <w:r w:rsidR="00A80B70" w:rsidRPr="005F304D">
        <w:rPr>
          <w:rFonts w:ascii="Palatino Linotype" w:hAnsi="Palatino Linotype" w:cstheme="majorBidi"/>
          <w:sz w:val="24"/>
          <w:szCs w:val="24"/>
        </w:rPr>
        <w:t xml:space="preserve"> overall</w:t>
      </w:r>
      <w:r w:rsidR="0028727A" w:rsidRPr="005F304D">
        <w:rPr>
          <w:rFonts w:ascii="Palatino Linotype" w:hAnsi="Palatino Linotype" w:cstheme="majorBidi"/>
          <w:i/>
          <w:iCs/>
          <w:sz w:val="24"/>
          <w:szCs w:val="24"/>
        </w:rPr>
        <w:t xml:space="preserve"> decrease</w:t>
      </w:r>
      <w:r w:rsidR="0028727A" w:rsidRPr="005F304D">
        <w:rPr>
          <w:rFonts w:ascii="Palatino Linotype" w:hAnsi="Palatino Linotype" w:cstheme="majorBidi"/>
          <w:sz w:val="24"/>
          <w:szCs w:val="24"/>
        </w:rPr>
        <w:t xml:space="preserve"> </w:t>
      </w:r>
      <w:r w:rsidR="00A80B70" w:rsidRPr="005F304D">
        <w:rPr>
          <w:rFonts w:ascii="Palatino Linotype" w:hAnsi="Palatino Linotype" w:cstheme="majorBidi"/>
          <w:sz w:val="24"/>
          <w:szCs w:val="24"/>
        </w:rPr>
        <w:t>of 2%</w:t>
      </w:r>
      <w:r w:rsidR="0028727A" w:rsidRPr="005F304D">
        <w:rPr>
          <w:rFonts w:ascii="Palatino Linotype" w:hAnsi="Palatino Linotype" w:cstheme="majorBidi"/>
          <w:sz w:val="24"/>
          <w:szCs w:val="24"/>
        </w:rPr>
        <w:t xml:space="preserve"> in their </w:t>
      </w:r>
      <w:r w:rsidR="00A80B70" w:rsidRPr="005F304D">
        <w:rPr>
          <w:rFonts w:ascii="Palatino Linotype" w:hAnsi="Palatino Linotype" w:cstheme="majorBidi"/>
          <w:sz w:val="24"/>
          <w:szCs w:val="24"/>
        </w:rPr>
        <w:t>competency.</w:t>
      </w:r>
    </w:p>
    <w:p w14:paraId="4D59064C" w14:textId="77777777" w:rsidR="00646AB4" w:rsidRPr="005F304D" w:rsidRDefault="00025628" w:rsidP="00C34312">
      <w:pPr>
        <w:pStyle w:val="ListParagraph"/>
        <w:numPr>
          <w:ilvl w:val="0"/>
          <w:numId w:val="8"/>
        </w:numPr>
        <w:spacing w:line="480" w:lineRule="auto"/>
        <w:jc w:val="both"/>
        <w:rPr>
          <w:rFonts w:ascii="Palatino Linotype" w:hAnsi="Palatino Linotype"/>
          <w:sz w:val="24"/>
          <w:szCs w:val="24"/>
        </w:rPr>
      </w:pPr>
      <w:r w:rsidRPr="005F304D">
        <w:rPr>
          <w:rFonts w:ascii="Palatino Linotype" w:hAnsi="Palatino Linotype" w:cs="Times New Roman"/>
          <w:i/>
          <w:iCs/>
          <w:sz w:val="24"/>
          <w:szCs w:val="24"/>
        </w:rPr>
        <w:t>Group 2</w:t>
      </w:r>
      <w:r w:rsidR="00CC22F0" w:rsidRPr="005F304D">
        <w:rPr>
          <w:rFonts w:ascii="Palatino Linotype" w:hAnsi="Palatino Linotype" w:cs="Times New Roman"/>
          <w:i/>
          <w:iCs/>
          <w:sz w:val="24"/>
          <w:szCs w:val="24"/>
        </w:rPr>
        <w:t xml:space="preserve">: </w:t>
      </w:r>
      <w:r w:rsidRPr="005F304D">
        <w:rPr>
          <w:rFonts w:ascii="Palatino Linotype" w:hAnsi="Palatino Linotype" w:cs="Times New Roman"/>
          <w:sz w:val="24"/>
          <w:szCs w:val="24"/>
        </w:rPr>
        <w:t xml:space="preserve">In comparison, the control group of </w:t>
      </w:r>
      <w:r w:rsidR="00A80B70" w:rsidRPr="005F304D">
        <w:rPr>
          <w:rFonts w:ascii="Palatino Linotype" w:hAnsi="Palatino Linotype" w:cs="Times New Roman"/>
          <w:sz w:val="24"/>
          <w:szCs w:val="24"/>
        </w:rPr>
        <w:t xml:space="preserve">non law clinic </w:t>
      </w:r>
      <w:r w:rsidR="00E42CE8" w:rsidRPr="005F304D">
        <w:rPr>
          <w:rFonts w:ascii="Palatino Linotype" w:hAnsi="Palatino Linotype" w:cs="Times New Roman"/>
          <w:sz w:val="24"/>
          <w:szCs w:val="24"/>
        </w:rPr>
        <w:t>students showed a perceived</w:t>
      </w:r>
      <w:r w:rsidRPr="005F304D">
        <w:rPr>
          <w:rFonts w:ascii="Palatino Linotype" w:hAnsi="Palatino Linotype" w:cs="Times New Roman"/>
          <w:sz w:val="24"/>
          <w:szCs w:val="24"/>
        </w:rPr>
        <w:t xml:space="preserve"> </w:t>
      </w:r>
      <w:r w:rsidR="00546BDA" w:rsidRPr="005F304D">
        <w:rPr>
          <w:rFonts w:ascii="Palatino Linotype" w:hAnsi="Palatino Linotype" w:cs="Times New Roman"/>
          <w:sz w:val="24"/>
          <w:szCs w:val="24"/>
        </w:rPr>
        <w:t xml:space="preserve">overall </w:t>
      </w:r>
      <w:r w:rsidRPr="005F304D">
        <w:rPr>
          <w:rFonts w:ascii="Palatino Linotype" w:hAnsi="Palatino Linotype" w:cs="Times New Roman"/>
          <w:sz w:val="24"/>
          <w:szCs w:val="24"/>
        </w:rPr>
        <w:t xml:space="preserve">increase in their graduate skills of 2.7%, with 17.6% of students indicating an increase </w:t>
      </w:r>
      <w:r w:rsidR="00E42CE8" w:rsidRPr="005F304D">
        <w:rPr>
          <w:rFonts w:ascii="Palatino Linotype" w:hAnsi="Palatino Linotype" w:cs="Times New Roman"/>
          <w:sz w:val="24"/>
          <w:szCs w:val="24"/>
        </w:rPr>
        <w:t xml:space="preserve">in competency </w:t>
      </w:r>
      <w:r w:rsidRPr="005F304D">
        <w:rPr>
          <w:rFonts w:ascii="Palatino Linotype" w:hAnsi="Palatino Linotype" w:cs="Times New Roman"/>
          <w:sz w:val="24"/>
          <w:szCs w:val="24"/>
        </w:rPr>
        <w:t>above 10%.</w:t>
      </w:r>
      <w:r w:rsidR="0028727A" w:rsidRPr="005F304D">
        <w:rPr>
          <w:rFonts w:ascii="Palatino Linotype" w:hAnsi="Palatino Linotype" w:cs="Times New Roman"/>
          <w:sz w:val="24"/>
          <w:szCs w:val="24"/>
        </w:rPr>
        <w:t xml:space="preserve"> </w:t>
      </w:r>
      <w:r w:rsidR="00A80B70" w:rsidRPr="005F304D">
        <w:rPr>
          <w:rFonts w:ascii="Palatino Linotype" w:hAnsi="Palatino Linotype" w:cs="Times New Roman"/>
          <w:sz w:val="24"/>
          <w:szCs w:val="24"/>
        </w:rPr>
        <w:t xml:space="preserve">Only one participant reported an increase of 13%, which was the maximum increase </w:t>
      </w:r>
      <w:r w:rsidR="00A80B70" w:rsidRPr="005F304D">
        <w:rPr>
          <w:rFonts w:ascii="Palatino Linotype" w:hAnsi="Palatino Linotype" w:cs="Times New Roman"/>
          <w:sz w:val="24"/>
          <w:szCs w:val="24"/>
        </w:rPr>
        <w:lastRenderedPageBreak/>
        <w:t xml:space="preserve">reported. </w:t>
      </w:r>
      <w:r w:rsidR="0028727A" w:rsidRPr="005F304D">
        <w:rPr>
          <w:rFonts w:ascii="Palatino Linotype" w:hAnsi="Palatino Linotype" w:cs="Times New Roman"/>
          <w:sz w:val="24"/>
          <w:szCs w:val="24"/>
        </w:rPr>
        <w:t>Significantly, more than 26% of students reported a perceived decrease</w:t>
      </w:r>
      <w:r w:rsidR="00A80B70" w:rsidRPr="005F304D">
        <w:rPr>
          <w:rFonts w:ascii="Palatino Linotype" w:hAnsi="Palatino Linotype" w:cs="Times New Roman"/>
          <w:sz w:val="24"/>
          <w:szCs w:val="24"/>
        </w:rPr>
        <w:t xml:space="preserve"> (ranging from 1% - 14%)</w:t>
      </w:r>
      <w:r w:rsidR="0028727A" w:rsidRPr="005F304D">
        <w:rPr>
          <w:rFonts w:ascii="Palatino Linotype" w:hAnsi="Palatino Linotype" w:cs="Times New Roman"/>
          <w:sz w:val="24"/>
          <w:szCs w:val="24"/>
        </w:rPr>
        <w:t xml:space="preserve"> in their competency in these skills.</w:t>
      </w:r>
    </w:p>
    <w:p w14:paraId="6B5374D0" w14:textId="77777777" w:rsidR="00E42CE8" w:rsidRPr="005F304D" w:rsidRDefault="00E42CE8" w:rsidP="00C34312">
      <w:pPr>
        <w:spacing w:line="480" w:lineRule="auto"/>
        <w:jc w:val="both"/>
        <w:rPr>
          <w:rFonts w:ascii="Palatino Linotype" w:hAnsi="Palatino Linotype" w:cstheme="majorBidi"/>
          <w:sz w:val="24"/>
          <w:szCs w:val="24"/>
        </w:rPr>
      </w:pPr>
      <w:r w:rsidRPr="005F304D">
        <w:rPr>
          <w:rFonts w:ascii="Palatino Linotype" w:hAnsi="Palatino Linotype" w:cstheme="majorBidi"/>
          <w:b/>
          <w:bCs/>
          <w:i/>
          <w:iCs/>
          <w:sz w:val="24"/>
          <w:szCs w:val="24"/>
        </w:rPr>
        <w:t>Discussion of findings</w:t>
      </w:r>
      <w:r w:rsidR="00CC22F0" w:rsidRPr="005F304D">
        <w:rPr>
          <w:rFonts w:ascii="Palatino Linotype" w:hAnsi="Palatino Linotype" w:cstheme="majorBidi"/>
          <w:sz w:val="24"/>
          <w:szCs w:val="24"/>
        </w:rPr>
        <w:t xml:space="preserve">: </w:t>
      </w:r>
      <w:r w:rsidRPr="005F304D">
        <w:rPr>
          <w:rFonts w:ascii="Palatino Linotype" w:hAnsi="Palatino Linotype" w:cstheme="majorBidi"/>
          <w:sz w:val="24"/>
          <w:szCs w:val="24"/>
        </w:rPr>
        <w:t xml:space="preserve">In comparing the findings </w:t>
      </w:r>
      <w:r w:rsidR="00C86FB8" w:rsidRPr="005F304D">
        <w:rPr>
          <w:rFonts w:ascii="Palatino Linotype" w:hAnsi="Palatino Linotype" w:cstheme="majorBidi"/>
          <w:sz w:val="24"/>
          <w:szCs w:val="24"/>
        </w:rPr>
        <w:t>for</w:t>
      </w:r>
      <w:r w:rsidRPr="005F304D">
        <w:rPr>
          <w:rFonts w:ascii="Palatino Linotype" w:hAnsi="Palatino Linotype" w:cstheme="majorBidi"/>
          <w:sz w:val="24"/>
          <w:szCs w:val="24"/>
        </w:rPr>
        <w:t xml:space="preserve"> both groups, the following observations </w:t>
      </w:r>
      <w:r w:rsidR="00C86FB8" w:rsidRPr="005F304D">
        <w:rPr>
          <w:rFonts w:ascii="Palatino Linotype" w:hAnsi="Palatino Linotype" w:cstheme="majorBidi"/>
          <w:sz w:val="24"/>
          <w:szCs w:val="24"/>
        </w:rPr>
        <w:t>can be</w:t>
      </w:r>
      <w:r w:rsidRPr="005F304D">
        <w:rPr>
          <w:rFonts w:ascii="Palatino Linotype" w:hAnsi="Palatino Linotype" w:cstheme="majorBidi"/>
          <w:sz w:val="24"/>
          <w:szCs w:val="24"/>
        </w:rPr>
        <w:t xml:space="preserve"> made:</w:t>
      </w:r>
    </w:p>
    <w:p w14:paraId="7BB53C48" w14:textId="77777777" w:rsidR="00E42CE8" w:rsidRPr="005F304D" w:rsidRDefault="00E42CE8" w:rsidP="00C34312">
      <w:pPr>
        <w:pStyle w:val="ListParagraph"/>
        <w:numPr>
          <w:ilvl w:val="0"/>
          <w:numId w:val="2"/>
        </w:num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There was a significant difference between the perceived average increase in competency in the two groups, with Gr</w:t>
      </w:r>
      <w:r w:rsidR="004B2780" w:rsidRPr="005F304D">
        <w:rPr>
          <w:rFonts w:ascii="Palatino Linotype" w:hAnsi="Palatino Linotype" w:cstheme="majorBidi"/>
          <w:sz w:val="24"/>
          <w:szCs w:val="24"/>
        </w:rPr>
        <w:t>oup 1 students showing a</w:t>
      </w:r>
      <w:r w:rsidR="008A685B" w:rsidRPr="005F304D">
        <w:rPr>
          <w:rFonts w:ascii="Palatino Linotype" w:hAnsi="Palatino Linotype" w:cstheme="majorBidi"/>
          <w:sz w:val="24"/>
          <w:szCs w:val="24"/>
        </w:rPr>
        <w:t>n</w:t>
      </w:r>
      <w:r w:rsidR="004B2780" w:rsidRPr="005F304D">
        <w:rPr>
          <w:rFonts w:ascii="Palatino Linotype" w:hAnsi="Palatino Linotype" w:cstheme="majorBidi"/>
          <w:sz w:val="24"/>
          <w:szCs w:val="24"/>
        </w:rPr>
        <w:t xml:space="preserve"> </w:t>
      </w:r>
      <w:r w:rsidR="008A685B" w:rsidRPr="005F304D">
        <w:rPr>
          <w:rFonts w:ascii="Palatino Linotype" w:hAnsi="Palatino Linotype" w:cstheme="majorBidi"/>
          <w:sz w:val="24"/>
          <w:szCs w:val="24"/>
        </w:rPr>
        <w:t>overall</w:t>
      </w:r>
      <w:r w:rsidR="00C86FB8" w:rsidRPr="005F304D">
        <w:rPr>
          <w:rFonts w:ascii="Palatino Linotype" w:hAnsi="Palatino Linotype" w:cstheme="majorBidi"/>
          <w:sz w:val="24"/>
          <w:szCs w:val="24"/>
        </w:rPr>
        <w:t xml:space="preserve"> </w:t>
      </w:r>
      <w:r w:rsidRPr="005F304D">
        <w:rPr>
          <w:rFonts w:ascii="Palatino Linotype" w:hAnsi="Palatino Linotype" w:cstheme="majorBidi"/>
          <w:sz w:val="24"/>
          <w:szCs w:val="24"/>
        </w:rPr>
        <w:t>average increase of 13%, as compare</w:t>
      </w:r>
      <w:r w:rsidR="00C86FB8" w:rsidRPr="005F304D">
        <w:rPr>
          <w:rFonts w:ascii="Palatino Linotype" w:hAnsi="Palatino Linotype" w:cstheme="majorBidi"/>
          <w:sz w:val="24"/>
          <w:szCs w:val="24"/>
        </w:rPr>
        <w:t xml:space="preserve">d with Group 2 students with an </w:t>
      </w:r>
      <w:r w:rsidR="008A685B" w:rsidRPr="005F304D">
        <w:rPr>
          <w:rFonts w:ascii="Palatino Linotype" w:hAnsi="Palatino Linotype" w:cstheme="majorBidi"/>
          <w:sz w:val="24"/>
          <w:szCs w:val="24"/>
        </w:rPr>
        <w:t xml:space="preserve">overall </w:t>
      </w:r>
      <w:r w:rsidRPr="005F304D">
        <w:rPr>
          <w:rFonts w:ascii="Palatino Linotype" w:hAnsi="Palatino Linotype" w:cstheme="majorBidi"/>
          <w:sz w:val="24"/>
          <w:szCs w:val="24"/>
        </w:rPr>
        <w:t>average increase of 2.7%, i.e. a difference of 10.3%.</w:t>
      </w:r>
    </w:p>
    <w:p w14:paraId="72D68592" w14:textId="75C57AA8" w:rsidR="00E42CE8" w:rsidRPr="005F304D" w:rsidRDefault="00E42CE8" w:rsidP="00C34312">
      <w:pPr>
        <w:pStyle w:val="ListParagraph"/>
        <w:numPr>
          <w:ilvl w:val="0"/>
          <w:numId w:val="2"/>
        </w:num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The Commercial Law Clinic students attested to a higher average increase in competency than other law clinic</w:t>
      </w:r>
      <w:r w:rsidR="00E77899" w:rsidRPr="005F304D">
        <w:rPr>
          <w:rFonts w:ascii="Palatino Linotype" w:hAnsi="Palatino Linotype" w:cstheme="majorBidi"/>
          <w:sz w:val="24"/>
          <w:szCs w:val="24"/>
        </w:rPr>
        <w:t xml:space="preserve"> students</w:t>
      </w:r>
      <w:r w:rsidR="003501F7" w:rsidRPr="005F304D">
        <w:rPr>
          <w:rFonts w:ascii="Palatino Linotype" w:hAnsi="Palatino Linotype" w:cstheme="majorBidi"/>
          <w:sz w:val="24"/>
          <w:szCs w:val="24"/>
        </w:rPr>
        <w:t xml:space="preserve"> Significantly, 74% of Commercial Law Clinic students were above the total Group 1 average increase percentage, indicating a perception of elevated competency in skills in these students.</w:t>
      </w:r>
    </w:p>
    <w:p w14:paraId="2ACF3624" w14:textId="77777777" w:rsidR="003501F7" w:rsidRPr="005F304D" w:rsidRDefault="003501F7" w:rsidP="00C34312">
      <w:pPr>
        <w:pStyle w:val="ListParagraph"/>
        <w:numPr>
          <w:ilvl w:val="0"/>
          <w:numId w:val="2"/>
        </w:num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Surprisingly, the control group (Group 2) results showed that a significant number (26%) of students reported a decrease in their perceived competency in graduate skills</w:t>
      </w:r>
      <w:r w:rsidR="00C86FB8" w:rsidRPr="005F304D">
        <w:rPr>
          <w:rFonts w:ascii="Palatino Linotype" w:hAnsi="Palatino Linotype" w:cstheme="majorBidi"/>
          <w:sz w:val="24"/>
          <w:szCs w:val="24"/>
        </w:rPr>
        <w:t xml:space="preserve"> by the end of semester</w:t>
      </w:r>
      <w:r w:rsidRPr="005F304D">
        <w:rPr>
          <w:rFonts w:ascii="Palatino Linotype" w:hAnsi="Palatino Linotype" w:cstheme="majorBidi"/>
          <w:sz w:val="24"/>
          <w:szCs w:val="24"/>
        </w:rPr>
        <w:t>.</w:t>
      </w:r>
    </w:p>
    <w:p w14:paraId="6A5CBF8B" w14:textId="0D875B4D" w:rsidR="00541B4C" w:rsidRPr="005F304D" w:rsidRDefault="00C86FB8"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 xml:space="preserve">Whilst it could be argued that other factors may play a role in the low increase in Group 2,  such as pre-exam stress at end of semester, the same stress would apply to Group </w:t>
      </w:r>
      <w:r w:rsidR="00890EE5" w:rsidRPr="005F304D">
        <w:rPr>
          <w:rFonts w:ascii="Palatino Linotype" w:hAnsi="Palatino Linotype" w:cstheme="majorBidi"/>
          <w:sz w:val="24"/>
          <w:szCs w:val="24"/>
        </w:rPr>
        <w:t>1</w:t>
      </w:r>
      <w:r w:rsidRPr="005F304D">
        <w:rPr>
          <w:rFonts w:ascii="Palatino Linotype" w:hAnsi="Palatino Linotype" w:cstheme="majorBidi"/>
          <w:sz w:val="24"/>
          <w:szCs w:val="24"/>
        </w:rPr>
        <w:t xml:space="preserve"> students (</w:t>
      </w:r>
      <w:r w:rsidR="00A14CE7" w:rsidRPr="005F304D">
        <w:rPr>
          <w:rFonts w:ascii="Palatino Linotype" w:hAnsi="Palatino Linotype" w:cstheme="majorBidi"/>
          <w:sz w:val="24"/>
          <w:szCs w:val="24"/>
        </w:rPr>
        <w:t xml:space="preserve">arguably perhaps </w:t>
      </w:r>
      <w:r w:rsidRPr="005F304D">
        <w:rPr>
          <w:rFonts w:ascii="Palatino Linotype" w:hAnsi="Palatino Linotype" w:cstheme="majorBidi"/>
          <w:sz w:val="24"/>
          <w:szCs w:val="24"/>
        </w:rPr>
        <w:t xml:space="preserve">more so with the </w:t>
      </w:r>
      <w:r w:rsidR="008A685B" w:rsidRPr="005F304D">
        <w:rPr>
          <w:rFonts w:ascii="Palatino Linotype" w:hAnsi="Palatino Linotype" w:cstheme="majorBidi"/>
          <w:sz w:val="24"/>
          <w:szCs w:val="24"/>
        </w:rPr>
        <w:t xml:space="preserve">additional </w:t>
      </w:r>
      <w:r w:rsidRPr="005F304D">
        <w:rPr>
          <w:rFonts w:ascii="Palatino Linotype" w:hAnsi="Palatino Linotype" w:cstheme="majorBidi"/>
          <w:sz w:val="24"/>
          <w:szCs w:val="24"/>
        </w:rPr>
        <w:t xml:space="preserve">time commitment to </w:t>
      </w:r>
      <w:r w:rsidR="00A14CE7" w:rsidRPr="005F304D">
        <w:rPr>
          <w:rFonts w:ascii="Palatino Linotype" w:hAnsi="Palatino Linotype" w:cstheme="majorBidi"/>
          <w:sz w:val="24"/>
          <w:szCs w:val="24"/>
        </w:rPr>
        <w:t>volunteering</w:t>
      </w:r>
      <w:r w:rsidRPr="005F304D">
        <w:rPr>
          <w:rFonts w:ascii="Palatino Linotype" w:hAnsi="Palatino Linotype" w:cstheme="majorBidi"/>
          <w:sz w:val="24"/>
          <w:szCs w:val="24"/>
        </w:rPr>
        <w:t>). Further, the control group responded to an email with the possibility of winning an iPad mini</w:t>
      </w:r>
      <w:r w:rsidR="00A14CE7" w:rsidRPr="005F304D">
        <w:rPr>
          <w:rFonts w:ascii="Palatino Linotype" w:hAnsi="Palatino Linotype" w:cstheme="majorBidi"/>
          <w:sz w:val="24"/>
          <w:szCs w:val="24"/>
        </w:rPr>
        <w:t xml:space="preserve">, which had the potential for them to </w:t>
      </w:r>
      <w:r w:rsidRPr="005F304D">
        <w:rPr>
          <w:rFonts w:ascii="Palatino Linotype" w:hAnsi="Palatino Linotype" w:cstheme="majorBidi"/>
          <w:sz w:val="24"/>
          <w:szCs w:val="24"/>
        </w:rPr>
        <w:t xml:space="preserve">inflate their increase in competency in case it would be a factor in </w:t>
      </w:r>
      <w:r w:rsidR="002152C6" w:rsidRPr="005F304D">
        <w:rPr>
          <w:rFonts w:ascii="Palatino Linotype" w:hAnsi="Palatino Linotype" w:cstheme="majorBidi"/>
          <w:sz w:val="24"/>
          <w:szCs w:val="24"/>
        </w:rPr>
        <w:t>choosing</w:t>
      </w:r>
      <w:r w:rsidR="004B2780" w:rsidRPr="005F304D">
        <w:rPr>
          <w:rFonts w:ascii="Palatino Linotype" w:hAnsi="Palatino Linotype" w:cstheme="majorBidi"/>
          <w:sz w:val="24"/>
          <w:szCs w:val="24"/>
        </w:rPr>
        <w:t xml:space="preserve"> the winner (which it </w:t>
      </w:r>
      <w:r w:rsidRPr="005F304D">
        <w:rPr>
          <w:rFonts w:ascii="Palatino Linotype" w:hAnsi="Palatino Linotype" w:cstheme="majorBidi"/>
          <w:sz w:val="24"/>
          <w:szCs w:val="24"/>
        </w:rPr>
        <w:t xml:space="preserve">was not). </w:t>
      </w:r>
      <w:r w:rsidR="00A14CE7" w:rsidRPr="005F304D">
        <w:rPr>
          <w:rFonts w:ascii="Palatino Linotype" w:hAnsi="Palatino Linotype" w:cstheme="majorBidi"/>
          <w:sz w:val="24"/>
          <w:szCs w:val="24"/>
        </w:rPr>
        <w:lastRenderedPageBreak/>
        <w:t>However, from the lower results reported</w:t>
      </w:r>
      <w:r w:rsidRPr="005F304D">
        <w:rPr>
          <w:rFonts w:ascii="Palatino Linotype" w:hAnsi="Palatino Linotype" w:cstheme="majorBidi"/>
          <w:sz w:val="24"/>
          <w:szCs w:val="24"/>
        </w:rPr>
        <w:t xml:space="preserve">, </w:t>
      </w:r>
      <w:r w:rsidR="00A14CE7" w:rsidRPr="005F304D">
        <w:rPr>
          <w:rFonts w:ascii="Palatino Linotype" w:hAnsi="Palatino Linotype" w:cstheme="majorBidi"/>
          <w:sz w:val="24"/>
          <w:szCs w:val="24"/>
        </w:rPr>
        <w:t xml:space="preserve">it seemed evident that, overall, </w:t>
      </w:r>
      <w:r w:rsidRPr="005F304D">
        <w:rPr>
          <w:rFonts w:ascii="Palatino Linotype" w:hAnsi="Palatino Linotype" w:cstheme="majorBidi"/>
          <w:sz w:val="24"/>
          <w:szCs w:val="24"/>
        </w:rPr>
        <w:t xml:space="preserve">participants </w:t>
      </w:r>
      <w:r w:rsidR="004B2780" w:rsidRPr="005F304D">
        <w:rPr>
          <w:rFonts w:ascii="Palatino Linotype" w:hAnsi="Palatino Linotype" w:cstheme="majorBidi"/>
          <w:sz w:val="24"/>
          <w:szCs w:val="24"/>
        </w:rPr>
        <w:t xml:space="preserve">in Group 2 did </w:t>
      </w:r>
      <w:r w:rsidR="00E77899" w:rsidRPr="005F304D">
        <w:rPr>
          <w:rFonts w:ascii="Palatino Linotype" w:hAnsi="Palatino Linotype" w:cstheme="majorBidi"/>
          <w:sz w:val="24"/>
          <w:szCs w:val="24"/>
        </w:rPr>
        <w:t xml:space="preserve">not </w:t>
      </w:r>
      <w:r w:rsidR="004B2780" w:rsidRPr="005F304D">
        <w:rPr>
          <w:rFonts w:ascii="Palatino Linotype" w:hAnsi="Palatino Linotype" w:cstheme="majorBidi"/>
          <w:sz w:val="24"/>
          <w:szCs w:val="24"/>
        </w:rPr>
        <w:t xml:space="preserve">inflate their increase in competency. It must </w:t>
      </w:r>
      <w:r w:rsidR="002152C6" w:rsidRPr="005F304D">
        <w:rPr>
          <w:rFonts w:ascii="Palatino Linotype" w:hAnsi="Palatino Linotype" w:cstheme="majorBidi"/>
          <w:sz w:val="24"/>
          <w:szCs w:val="24"/>
        </w:rPr>
        <w:t xml:space="preserve">also </w:t>
      </w:r>
      <w:r w:rsidR="004B2780" w:rsidRPr="005F304D">
        <w:rPr>
          <w:rFonts w:ascii="Palatino Linotype" w:hAnsi="Palatino Linotype" w:cstheme="majorBidi"/>
          <w:sz w:val="24"/>
          <w:szCs w:val="24"/>
        </w:rPr>
        <w:t>be noted that many students</w:t>
      </w:r>
      <w:r w:rsidR="00A14CE7" w:rsidRPr="005F304D">
        <w:rPr>
          <w:rFonts w:ascii="Palatino Linotype" w:hAnsi="Palatino Linotype" w:cstheme="majorBidi"/>
          <w:sz w:val="24"/>
          <w:szCs w:val="24"/>
        </w:rPr>
        <w:t xml:space="preserve"> in </w:t>
      </w:r>
      <w:r w:rsidR="00E77899" w:rsidRPr="005F304D">
        <w:rPr>
          <w:rFonts w:ascii="Palatino Linotype" w:hAnsi="Palatino Linotype" w:cstheme="majorBidi"/>
          <w:sz w:val="24"/>
          <w:szCs w:val="24"/>
        </w:rPr>
        <w:t>the second</w:t>
      </w:r>
      <w:r w:rsidR="00A14CE7" w:rsidRPr="005F304D">
        <w:rPr>
          <w:rFonts w:ascii="Palatino Linotype" w:hAnsi="Palatino Linotype" w:cstheme="majorBidi"/>
          <w:sz w:val="24"/>
          <w:szCs w:val="24"/>
        </w:rPr>
        <w:t xml:space="preserve"> group</w:t>
      </w:r>
      <w:r w:rsidR="004B2780" w:rsidRPr="005F304D">
        <w:rPr>
          <w:rFonts w:ascii="Palatino Linotype" w:hAnsi="Palatino Linotype" w:cstheme="majorBidi"/>
          <w:sz w:val="24"/>
          <w:szCs w:val="24"/>
        </w:rPr>
        <w:t xml:space="preserve"> reported a high competency level in the attributes to start out with, and then maintained that level by end of semester, or decreased slightly.</w:t>
      </w:r>
      <w:r w:rsidR="002152C6" w:rsidRPr="005F304D">
        <w:rPr>
          <w:rFonts w:ascii="Palatino Linotype" w:hAnsi="Palatino Linotype" w:cstheme="majorBidi"/>
          <w:sz w:val="24"/>
          <w:szCs w:val="24"/>
        </w:rPr>
        <w:t xml:space="preserve"> </w:t>
      </w:r>
      <w:r w:rsidR="00E77899" w:rsidRPr="005F304D">
        <w:rPr>
          <w:rFonts w:ascii="Palatino Linotype" w:hAnsi="Palatino Linotype" w:cstheme="majorBidi"/>
          <w:sz w:val="24"/>
          <w:szCs w:val="24"/>
        </w:rPr>
        <w:t>It should be noted that, in</w:t>
      </w:r>
      <w:r w:rsidR="00FA3DBD" w:rsidRPr="005F304D">
        <w:rPr>
          <w:rFonts w:ascii="Palatino Linotype" w:hAnsi="Palatino Linotype" w:cstheme="majorBidi"/>
          <w:sz w:val="24"/>
          <w:szCs w:val="24"/>
        </w:rPr>
        <w:t xml:space="preserve"> </w:t>
      </w:r>
      <w:r w:rsidR="002152C6" w:rsidRPr="005F304D">
        <w:rPr>
          <w:rFonts w:ascii="Palatino Linotype" w:hAnsi="Palatino Linotype" w:cstheme="majorBidi"/>
          <w:sz w:val="24"/>
          <w:szCs w:val="24"/>
        </w:rPr>
        <w:t xml:space="preserve">the Group 1 students, many also started off with high competency levels </w:t>
      </w:r>
      <w:r w:rsidR="00E77899" w:rsidRPr="005F304D">
        <w:rPr>
          <w:rFonts w:ascii="Palatino Linotype" w:hAnsi="Palatino Linotype" w:cstheme="majorBidi"/>
          <w:sz w:val="24"/>
          <w:szCs w:val="24"/>
        </w:rPr>
        <w:t>but these</w:t>
      </w:r>
      <w:r w:rsidR="002152C6" w:rsidRPr="005F304D">
        <w:rPr>
          <w:rFonts w:ascii="Palatino Linotype" w:hAnsi="Palatino Linotype" w:cstheme="majorBidi"/>
          <w:sz w:val="24"/>
          <w:szCs w:val="24"/>
        </w:rPr>
        <w:t xml:space="preserve"> </w:t>
      </w:r>
      <w:r w:rsidR="00FA3DBD" w:rsidRPr="005F304D">
        <w:rPr>
          <w:rFonts w:ascii="Palatino Linotype" w:hAnsi="Palatino Linotype" w:cstheme="majorBidi"/>
          <w:sz w:val="24"/>
          <w:szCs w:val="24"/>
        </w:rPr>
        <w:t xml:space="preserve">generally </w:t>
      </w:r>
      <w:r w:rsidR="002152C6" w:rsidRPr="005F304D">
        <w:rPr>
          <w:rFonts w:ascii="Palatino Linotype" w:hAnsi="Palatino Linotype" w:cstheme="majorBidi"/>
          <w:sz w:val="24"/>
          <w:szCs w:val="24"/>
        </w:rPr>
        <w:t>increased by the second survey.</w:t>
      </w:r>
      <w:r w:rsidR="00541B4C" w:rsidRPr="005F304D">
        <w:rPr>
          <w:rFonts w:ascii="Palatino Linotype" w:hAnsi="Palatino Linotype" w:cstheme="majorBidi"/>
          <w:sz w:val="24"/>
          <w:szCs w:val="24"/>
        </w:rPr>
        <w:t xml:space="preserve"> Another observation in relation to the Group 2 students is the possibility that they may also have been engaging in part time legal work (whether paid or unpaid) as many students do. It would be interesting to know if this was the case, yet they still continued to report lower levels of competency. If so, it could be because the Bond Law Clinic environment is more nurturing and supportive (thus engendering a sense of self</w:t>
      </w:r>
      <w:r w:rsidR="00E77899" w:rsidRPr="005F304D">
        <w:rPr>
          <w:rFonts w:ascii="Palatino Linotype" w:hAnsi="Palatino Linotype" w:cstheme="majorBidi"/>
          <w:sz w:val="24"/>
          <w:szCs w:val="24"/>
        </w:rPr>
        <w:t>-</w:t>
      </w:r>
      <w:r w:rsidR="00541B4C" w:rsidRPr="005F304D">
        <w:rPr>
          <w:rFonts w:ascii="Palatino Linotype" w:hAnsi="Palatino Linotype" w:cstheme="majorBidi"/>
          <w:sz w:val="24"/>
          <w:szCs w:val="24"/>
        </w:rPr>
        <w:t>confidence) as compared to law firms where students may often feel quite inadequate as a clerk or paralegal. In the clinic students can enjoy the satisfaction of actually servicing a client with tangible needs and be involved from start to finish, whereas in a law firm students often work on a very small part of the matter, their work is often more administrative than legal, and they sometimes do not get to see the final product they contributed to. As a result, it may be difficult for students to build up their confidence during work experience to ask for more challenging work. Asking what extracurricular or employment activities the control students are involved in might provide an interesting point of comparison in a future study.</w:t>
      </w:r>
    </w:p>
    <w:p w14:paraId="032D27BE" w14:textId="44AA64F6" w:rsidR="003501F7" w:rsidRPr="005F304D" w:rsidRDefault="004B2780"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lastRenderedPageBreak/>
        <w:t xml:space="preserve">Group 1 students showed a marked </w:t>
      </w:r>
      <w:r w:rsidR="008A685B" w:rsidRPr="005F304D">
        <w:rPr>
          <w:rFonts w:ascii="Palatino Linotype" w:hAnsi="Palatino Linotype" w:cstheme="majorBidi"/>
          <w:sz w:val="24"/>
          <w:szCs w:val="24"/>
        </w:rPr>
        <w:t xml:space="preserve">overall </w:t>
      </w:r>
      <w:r w:rsidRPr="005F304D">
        <w:rPr>
          <w:rFonts w:ascii="Palatino Linotype" w:hAnsi="Palatino Linotype" w:cstheme="majorBidi"/>
          <w:sz w:val="24"/>
          <w:szCs w:val="24"/>
        </w:rPr>
        <w:t xml:space="preserve">increase in their perceived competency </w:t>
      </w:r>
      <w:r w:rsidR="008A685B" w:rsidRPr="005F304D">
        <w:rPr>
          <w:rFonts w:ascii="Palatino Linotype" w:hAnsi="Palatino Linotype" w:cstheme="majorBidi"/>
          <w:sz w:val="24"/>
          <w:szCs w:val="24"/>
        </w:rPr>
        <w:t>level</w:t>
      </w:r>
      <w:r w:rsidRPr="005F304D">
        <w:rPr>
          <w:rFonts w:ascii="Palatino Linotype" w:hAnsi="Palatino Linotype" w:cstheme="majorBidi"/>
          <w:sz w:val="24"/>
          <w:szCs w:val="24"/>
        </w:rPr>
        <w:t xml:space="preserve">, with Commercial Law Clinic students </w:t>
      </w:r>
      <w:r w:rsidR="00FA3DBD" w:rsidRPr="005F304D">
        <w:rPr>
          <w:rFonts w:ascii="Palatino Linotype" w:hAnsi="Palatino Linotype" w:cstheme="majorBidi"/>
          <w:sz w:val="24"/>
          <w:szCs w:val="24"/>
        </w:rPr>
        <w:t xml:space="preserve">reporting significant improvements </w:t>
      </w:r>
      <w:r w:rsidRPr="005F304D">
        <w:rPr>
          <w:rFonts w:ascii="Palatino Linotype" w:hAnsi="Palatino Linotype" w:cstheme="majorBidi"/>
          <w:sz w:val="24"/>
          <w:szCs w:val="24"/>
        </w:rPr>
        <w:t xml:space="preserve">over the course of the semester. One </w:t>
      </w:r>
      <w:r w:rsidR="00FA3DBD" w:rsidRPr="005F304D">
        <w:rPr>
          <w:rFonts w:ascii="Palatino Linotype" w:hAnsi="Palatino Linotype" w:cstheme="majorBidi"/>
          <w:sz w:val="24"/>
          <w:szCs w:val="24"/>
        </w:rPr>
        <w:t xml:space="preserve">may observe, as an aside, that an </w:t>
      </w:r>
      <w:r w:rsidRPr="005F304D">
        <w:rPr>
          <w:rFonts w:ascii="Palatino Linotype" w:hAnsi="Palatino Linotype" w:cstheme="majorBidi"/>
          <w:sz w:val="24"/>
          <w:szCs w:val="24"/>
        </w:rPr>
        <w:t xml:space="preserve">important </w:t>
      </w:r>
      <w:r w:rsidR="00FA3DBD" w:rsidRPr="005F304D">
        <w:rPr>
          <w:rFonts w:ascii="Palatino Linotype" w:hAnsi="Palatino Linotype" w:cstheme="majorBidi"/>
          <w:sz w:val="24"/>
          <w:szCs w:val="24"/>
        </w:rPr>
        <w:t xml:space="preserve">characteristic </w:t>
      </w:r>
      <w:r w:rsidRPr="005F304D">
        <w:rPr>
          <w:rFonts w:ascii="Palatino Linotype" w:hAnsi="Palatino Linotype" w:cstheme="majorBidi"/>
          <w:sz w:val="24"/>
          <w:szCs w:val="24"/>
        </w:rPr>
        <w:t xml:space="preserve">acquired in the clinic </w:t>
      </w:r>
      <w:r w:rsidR="00FA3DBD" w:rsidRPr="005F304D">
        <w:rPr>
          <w:rFonts w:ascii="Palatino Linotype" w:hAnsi="Palatino Linotype" w:cstheme="majorBidi"/>
          <w:sz w:val="24"/>
          <w:szCs w:val="24"/>
        </w:rPr>
        <w:t>appears to be</w:t>
      </w:r>
      <w:r w:rsidRPr="005F304D">
        <w:rPr>
          <w:rFonts w:ascii="Palatino Linotype" w:hAnsi="Palatino Linotype" w:cstheme="majorBidi"/>
          <w:sz w:val="24"/>
          <w:szCs w:val="24"/>
        </w:rPr>
        <w:t xml:space="preserve"> a sense of improved self</w:t>
      </w:r>
      <w:r w:rsidR="00E77899" w:rsidRPr="005F304D">
        <w:rPr>
          <w:rFonts w:ascii="Palatino Linotype" w:hAnsi="Palatino Linotype" w:cstheme="majorBidi"/>
          <w:sz w:val="24"/>
          <w:szCs w:val="24"/>
        </w:rPr>
        <w:t>-</w:t>
      </w:r>
      <w:r w:rsidRPr="005F304D">
        <w:rPr>
          <w:rFonts w:ascii="Palatino Linotype" w:hAnsi="Palatino Linotype" w:cstheme="majorBidi"/>
          <w:sz w:val="24"/>
          <w:szCs w:val="24"/>
        </w:rPr>
        <w:t>c</w:t>
      </w:r>
      <w:r w:rsidR="00FA3DBD" w:rsidRPr="005F304D">
        <w:rPr>
          <w:rFonts w:ascii="Palatino Linotype" w:hAnsi="Palatino Linotype" w:cstheme="majorBidi"/>
          <w:sz w:val="24"/>
          <w:szCs w:val="24"/>
        </w:rPr>
        <w:t>onfidence</w:t>
      </w:r>
      <w:r w:rsidRPr="005F304D">
        <w:rPr>
          <w:rFonts w:ascii="Palatino Linotype" w:hAnsi="Palatino Linotype" w:cstheme="majorBidi"/>
          <w:sz w:val="24"/>
          <w:szCs w:val="24"/>
        </w:rPr>
        <w:t>, which is reflected in the</w:t>
      </w:r>
      <w:r w:rsidR="00FA3DBD" w:rsidRPr="005F304D">
        <w:rPr>
          <w:rFonts w:ascii="Palatino Linotype" w:hAnsi="Palatino Linotype" w:cstheme="majorBidi"/>
          <w:sz w:val="24"/>
          <w:szCs w:val="24"/>
        </w:rPr>
        <w:t>ir perception of increased general competency</w:t>
      </w:r>
      <w:r w:rsidRPr="005F304D">
        <w:rPr>
          <w:rFonts w:ascii="Palatino Linotype" w:hAnsi="Palatino Linotype" w:cstheme="majorBidi"/>
          <w:sz w:val="24"/>
          <w:szCs w:val="24"/>
        </w:rPr>
        <w:t>. Whilst it is difficult to say with certainty whether the skill levels reported by the students are later manifested in the workplace without feedback from future employers, it is evident that</w:t>
      </w:r>
      <w:r w:rsidR="00890EE5" w:rsidRPr="005F304D">
        <w:rPr>
          <w:rFonts w:ascii="Palatino Linotype" w:hAnsi="Palatino Linotype" w:cstheme="majorBidi"/>
          <w:sz w:val="24"/>
          <w:szCs w:val="24"/>
        </w:rPr>
        <w:t xml:space="preserve"> clinic participants have</w:t>
      </w:r>
      <w:r w:rsidRPr="005F304D">
        <w:rPr>
          <w:rFonts w:ascii="Palatino Linotype" w:hAnsi="Palatino Linotype" w:cstheme="majorBidi"/>
          <w:sz w:val="24"/>
          <w:szCs w:val="24"/>
        </w:rPr>
        <w:t>, at a minimum, an increased sense of competency in the GEI set out in the survey.</w:t>
      </w:r>
    </w:p>
    <w:p w14:paraId="765A5B3E" w14:textId="77777777" w:rsidR="00D2012D" w:rsidRPr="005F304D" w:rsidRDefault="00744976" w:rsidP="00C34312">
      <w:pPr>
        <w:spacing w:line="480" w:lineRule="auto"/>
        <w:jc w:val="both"/>
        <w:rPr>
          <w:rFonts w:ascii="Palatino Linotype" w:hAnsi="Palatino Linotype" w:cstheme="majorBidi"/>
          <w:sz w:val="24"/>
          <w:szCs w:val="24"/>
        </w:rPr>
      </w:pPr>
      <w:r w:rsidRPr="005F304D">
        <w:rPr>
          <w:rFonts w:ascii="Palatino Linotype" w:hAnsi="Palatino Linotype" w:cstheme="majorBidi"/>
          <w:b/>
          <w:bCs/>
          <w:i/>
          <w:iCs/>
          <w:sz w:val="24"/>
          <w:szCs w:val="24"/>
        </w:rPr>
        <w:t xml:space="preserve">Group 1 Qualitative </w:t>
      </w:r>
      <w:r w:rsidR="00195CBF" w:rsidRPr="005F304D">
        <w:rPr>
          <w:rFonts w:ascii="Palatino Linotype" w:hAnsi="Palatino Linotype" w:cstheme="majorBidi"/>
          <w:b/>
          <w:bCs/>
          <w:i/>
          <w:iCs/>
          <w:sz w:val="24"/>
          <w:szCs w:val="24"/>
        </w:rPr>
        <w:t>Feedback</w:t>
      </w:r>
      <w:r w:rsidR="00CC22F0" w:rsidRPr="005F304D">
        <w:rPr>
          <w:rFonts w:ascii="Palatino Linotype" w:hAnsi="Palatino Linotype" w:cstheme="majorBidi"/>
          <w:b/>
          <w:bCs/>
          <w:i/>
          <w:iCs/>
          <w:sz w:val="24"/>
          <w:szCs w:val="24"/>
        </w:rPr>
        <w:t xml:space="preserve">: </w:t>
      </w:r>
      <w:r w:rsidR="00FA3DBD" w:rsidRPr="005F304D">
        <w:rPr>
          <w:rFonts w:ascii="Palatino Linotype" w:hAnsi="Palatino Linotype" w:cstheme="majorBidi"/>
          <w:sz w:val="24"/>
          <w:szCs w:val="24"/>
        </w:rPr>
        <w:t>In order to further explore the pro bono student experience, additional feedback was obtained from students in the Co</w:t>
      </w:r>
      <w:r w:rsidR="00D2012D" w:rsidRPr="005F304D">
        <w:rPr>
          <w:rFonts w:ascii="Palatino Linotype" w:hAnsi="Palatino Linotype" w:cstheme="majorBidi"/>
          <w:sz w:val="24"/>
          <w:szCs w:val="24"/>
        </w:rPr>
        <w:t>mmercial Law Clinic</w:t>
      </w:r>
      <w:r w:rsidR="00FA3DBD" w:rsidRPr="005F304D">
        <w:rPr>
          <w:rFonts w:ascii="Palatino Linotype" w:hAnsi="Palatino Linotype" w:cstheme="majorBidi"/>
          <w:sz w:val="24"/>
          <w:szCs w:val="24"/>
        </w:rPr>
        <w:t>.</w:t>
      </w:r>
      <w:r w:rsidR="00D2012D" w:rsidRPr="005F304D">
        <w:rPr>
          <w:rStyle w:val="FootnoteReference"/>
          <w:rFonts w:ascii="Palatino Linotype" w:hAnsi="Palatino Linotype" w:cstheme="majorBidi"/>
          <w:sz w:val="24"/>
          <w:szCs w:val="24"/>
        </w:rPr>
        <w:footnoteReference w:id="3"/>
      </w:r>
      <w:r w:rsidR="00FA3DBD" w:rsidRPr="005F304D">
        <w:rPr>
          <w:rFonts w:ascii="Palatino Linotype" w:hAnsi="Palatino Linotype" w:cstheme="majorBidi"/>
          <w:sz w:val="24"/>
          <w:szCs w:val="24"/>
        </w:rPr>
        <w:t xml:space="preserve"> The qualitative data obtained through this additional survey – while not representative of all the pro bono clinics discussed here </w:t>
      </w:r>
      <w:r w:rsidR="00D2012D" w:rsidRPr="005F304D">
        <w:rPr>
          <w:rFonts w:ascii="Palatino Linotype" w:hAnsi="Palatino Linotype" w:cstheme="majorBidi"/>
          <w:sz w:val="24"/>
          <w:szCs w:val="24"/>
        </w:rPr>
        <w:t>–</w:t>
      </w:r>
      <w:r w:rsidR="00FA3DBD" w:rsidRPr="005F304D">
        <w:rPr>
          <w:rFonts w:ascii="Palatino Linotype" w:hAnsi="Palatino Linotype" w:cstheme="majorBidi"/>
          <w:sz w:val="24"/>
          <w:szCs w:val="24"/>
        </w:rPr>
        <w:t xml:space="preserve"> </w:t>
      </w:r>
      <w:r w:rsidR="00D2012D" w:rsidRPr="005F304D">
        <w:rPr>
          <w:rFonts w:ascii="Palatino Linotype" w:hAnsi="Palatino Linotype" w:cstheme="majorBidi"/>
          <w:sz w:val="24"/>
          <w:szCs w:val="24"/>
        </w:rPr>
        <w:t xml:space="preserve">provides some insight into the student experience and benefits derived from volunteering. It also highlights </w:t>
      </w:r>
      <w:r w:rsidR="00890EE5" w:rsidRPr="005F304D">
        <w:rPr>
          <w:rFonts w:ascii="Palatino Linotype" w:hAnsi="Palatino Linotype" w:cstheme="majorBidi"/>
          <w:sz w:val="24"/>
          <w:szCs w:val="24"/>
        </w:rPr>
        <w:t xml:space="preserve">student </w:t>
      </w:r>
      <w:r w:rsidR="00D2012D" w:rsidRPr="005F304D">
        <w:rPr>
          <w:rFonts w:ascii="Palatino Linotype" w:hAnsi="Palatino Linotype" w:cstheme="majorBidi"/>
          <w:sz w:val="24"/>
          <w:szCs w:val="24"/>
        </w:rPr>
        <w:t>perceptions of how the clinic experience affected employability skills.</w:t>
      </w:r>
    </w:p>
    <w:p w14:paraId="036B54B6" w14:textId="77777777" w:rsidR="00744976" w:rsidRPr="005F304D" w:rsidRDefault="00B74A70" w:rsidP="00C34312">
      <w:pPr>
        <w:spacing w:line="480" w:lineRule="auto"/>
        <w:jc w:val="both"/>
        <w:rPr>
          <w:rFonts w:ascii="Palatino Linotype" w:hAnsi="Palatino Linotype" w:cstheme="majorBidi"/>
          <w:sz w:val="24"/>
          <w:szCs w:val="24"/>
        </w:rPr>
      </w:pPr>
      <w:r w:rsidRPr="005F304D">
        <w:rPr>
          <w:rFonts w:ascii="Palatino Linotype" w:hAnsi="Palatino Linotype" w:cstheme="majorBidi"/>
          <w:sz w:val="24"/>
          <w:szCs w:val="24"/>
        </w:rPr>
        <w:t>There has previously been</w:t>
      </w:r>
      <w:r w:rsidR="00195CBF" w:rsidRPr="005F304D">
        <w:rPr>
          <w:rFonts w:ascii="Palatino Linotype" w:hAnsi="Palatino Linotype" w:cstheme="majorBidi"/>
          <w:sz w:val="24"/>
          <w:szCs w:val="24"/>
        </w:rPr>
        <w:t xml:space="preserve"> anecdotal evidence to support the success of the student experience in a pro bono </w:t>
      </w:r>
      <w:r w:rsidR="006915BD" w:rsidRPr="005F304D">
        <w:rPr>
          <w:rFonts w:ascii="Palatino Linotype" w:hAnsi="Palatino Linotype" w:cstheme="majorBidi"/>
          <w:sz w:val="24"/>
          <w:szCs w:val="24"/>
        </w:rPr>
        <w:t xml:space="preserve">commercial </w:t>
      </w:r>
      <w:r w:rsidR="00195CBF" w:rsidRPr="005F304D">
        <w:rPr>
          <w:rFonts w:ascii="Palatino Linotype" w:hAnsi="Palatino Linotype" w:cstheme="majorBidi"/>
          <w:sz w:val="24"/>
          <w:szCs w:val="24"/>
        </w:rPr>
        <w:t>law clinic</w:t>
      </w:r>
      <w:r w:rsidR="000958BC" w:rsidRPr="005F304D">
        <w:rPr>
          <w:rFonts w:ascii="Palatino Linotype" w:hAnsi="Palatino Linotype" w:cstheme="majorBidi"/>
          <w:sz w:val="24"/>
          <w:szCs w:val="24"/>
        </w:rPr>
        <w:t xml:space="preserve"> (Cantatore, 2015, pp. 168-169)</w:t>
      </w:r>
      <w:r w:rsidRPr="005F304D">
        <w:rPr>
          <w:rFonts w:ascii="Palatino Linotype" w:hAnsi="Palatino Linotype" w:cstheme="majorBidi"/>
          <w:sz w:val="24"/>
          <w:szCs w:val="24"/>
        </w:rPr>
        <w:t>, where se</w:t>
      </w:r>
      <w:r w:rsidR="00195CBF" w:rsidRPr="005F304D">
        <w:rPr>
          <w:rFonts w:ascii="Palatino Linotype" w:hAnsi="Palatino Linotype" w:cstheme="majorBidi"/>
          <w:sz w:val="24"/>
          <w:szCs w:val="24"/>
        </w:rPr>
        <w:t>veral students commented on their increased confidence and improved commun</w:t>
      </w:r>
      <w:r w:rsidR="000E44E5" w:rsidRPr="005F304D">
        <w:rPr>
          <w:rFonts w:ascii="Palatino Linotype" w:hAnsi="Palatino Linotype" w:cstheme="majorBidi"/>
          <w:sz w:val="24"/>
          <w:szCs w:val="24"/>
        </w:rPr>
        <w:t>ication skills, as well as the c</w:t>
      </w:r>
      <w:r w:rsidR="00195CBF" w:rsidRPr="005F304D">
        <w:rPr>
          <w:rFonts w:ascii="Palatino Linotype" w:hAnsi="Palatino Linotype" w:cstheme="majorBidi"/>
          <w:sz w:val="24"/>
          <w:szCs w:val="24"/>
        </w:rPr>
        <w:t>linic’s role in he</w:t>
      </w:r>
      <w:r w:rsidR="000E44E5" w:rsidRPr="005F304D">
        <w:rPr>
          <w:rFonts w:ascii="Palatino Linotype" w:hAnsi="Palatino Linotype" w:cstheme="majorBidi"/>
          <w:sz w:val="24"/>
          <w:szCs w:val="24"/>
        </w:rPr>
        <w:t xml:space="preserve">lping them to obtain </w:t>
      </w:r>
      <w:r w:rsidR="000E44E5" w:rsidRPr="005F304D">
        <w:rPr>
          <w:rFonts w:ascii="Palatino Linotype" w:hAnsi="Palatino Linotype" w:cstheme="majorBidi"/>
          <w:sz w:val="24"/>
          <w:szCs w:val="24"/>
        </w:rPr>
        <w:lastRenderedPageBreak/>
        <w:t>employment.</w:t>
      </w:r>
      <w:r w:rsidR="000E44E5" w:rsidRPr="005F304D">
        <w:rPr>
          <w:rStyle w:val="FootnoteReference"/>
          <w:rFonts w:ascii="Palatino Linotype" w:hAnsi="Palatino Linotype" w:cstheme="majorBidi"/>
          <w:sz w:val="24"/>
          <w:szCs w:val="24"/>
        </w:rPr>
        <w:footnoteReference w:id="4"/>
      </w:r>
      <w:r w:rsidR="00476F6F" w:rsidRPr="005F304D">
        <w:rPr>
          <w:rFonts w:ascii="Palatino Linotype" w:hAnsi="Palatino Linotype" w:cstheme="majorBidi"/>
          <w:sz w:val="24"/>
          <w:szCs w:val="24"/>
        </w:rPr>
        <w:t xml:space="preserve"> Additionally, supervising lawyers in the clinic provided positive feedback about the work readiness value of the clinic</w:t>
      </w:r>
      <w:r w:rsidR="006915BD" w:rsidRPr="005F304D">
        <w:rPr>
          <w:rFonts w:ascii="Palatino Linotype" w:hAnsi="Palatino Linotype" w:cstheme="majorBidi"/>
          <w:sz w:val="24"/>
          <w:szCs w:val="24"/>
        </w:rPr>
        <w:t>, with comments such as:</w:t>
      </w:r>
    </w:p>
    <w:p w14:paraId="479D85FC" w14:textId="77777777" w:rsidR="006915BD"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6915BD" w:rsidRPr="005F304D">
        <w:rPr>
          <w:rFonts w:ascii="Palatino Linotype" w:hAnsi="Palatino Linotype" w:cstheme="majorBidi"/>
          <w:iCs/>
          <w:sz w:val="24"/>
          <w:szCs w:val="24"/>
        </w:rPr>
        <w:t>The more experience a student has with real life cases and client interaction the better. Further, to be accepted into the program is also evidence of the student’s excellence in their studies, initiative to apply, ambition to further their education by volunteering their time and willingness to learn from and make connections with legal professionals in practice.</w:t>
      </w:r>
      <w:r w:rsidRPr="005F304D">
        <w:rPr>
          <w:rFonts w:ascii="Palatino Linotype" w:hAnsi="Palatino Linotype" w:cstheme="majorBidi"/>
          <w:iCs/>
          <w:sz w:val="24"/>
          <w:szCs w:val="24"/>
        </w:rPr>
        <w:t>’</w:t>
      </w:r>
    </w:p>
    <w:p w14:paraId="0129F369" w14:textId="77777777" w:rsidR="006915BD" w:rsidRPr="005F304D" w:rsidRDefault="006915BD"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and</w:t>
      </w:r>
    </w:p>
    <w:p w14:paraId="416BB4F9" w14:textId="77777777" w:rsidR="006915BD"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6915BD" w:rsidRPr="005F304D">
        <w:rPr>
          <w:rFonts w:ascii="Palatino Linotype" w:hAnsi="Palatino Linotype" w:cstheme="majorBidi"/>
          <w:iCs/>
          <w:sz w:val="24"/>
          <w:szCs w:val="24"/>
        </w:rPr>
        <w:t xml:space="preserve">Employability often goes hand in hand with confidence and personality.  The more experience the student has the more practice ready they will be, because their confidence in different legal situations with actual clients is increased by their experiences at </w:t>
      </w:r>
      <w:r w:rsidR="00BD3E20" w:rsidRPr="005F304D">
        <w:rPr>
          <w:rFonts w:ascii="Palatino Linotype" w:hAnsi="Palatino Linotype" w:cstheme="majorBidi"/>
          <w:iCs/>
          <w:sz w:val="24"/>
          <w:szCs w:val="24"/>
        </w:rPr>
        <w:t>[</w:t>
      </w:r>
      <w:r w:rsidR="006915BD" w:rsidRPr="005F304D">
        <w:rPr>
          <w:rFonts w:ascii="Palatino Linotype" w:hAnsi="Palatino Linotype" w:cstheme="majorBidi"/>
          <w:iCs/>
          <w:sz w:val="24"/>
          <w:szCs w:val="24"/>
        </w:rPr>
        <w:t>the Law Clinic</w:t>
      </w:r>
      <w:r w:rsidR="00BD3E20" w:rsidRPr="005F304D">
        <w:rPr>
          <w:rFonts w:ascii="Palatino Linotype" w:hAnsi="Palatino Linotype" w:cstheme="majorBidi"/>
          <w:iCs/>
          <w:sz w:val="24"/>
          <w:szCs w:val="24"/>
        </w:rPr>
        <w:t>]</w:t>
      </w:r>
      <w:r w:rsidR="006915BD" w:rsidRPr="005F304D">
        <w:rPr>
          <w:rFonts w:ascii="Palatino Linotype" w:hAnsi="Palatino Linotype" w:cstheme="majorBidi"/>
          <w:iCs/>
          <w:sz w:val="24"/>
          <w:szCs w:val="24"/>
        </w:rPr>
        <w:t>.</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(Cantatore, 2015, p. 170)</w:t>
      </w:r>
    </w:p>
    <w:p w14:paraId="5C0A8647" w14:textId="77777777" w:rsidR="006915BD" w:rsidRPr="005F304D" w:rsidRDefault="006915BD"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 xml:space="preserve">In the </w:t>
      </w:r>
      <w:r w:rsidR="00B74A70" w:rsidRPr="005F304D">
        <w:rPr>
          <w:rFonts w:ascii="Palatino Linotype" w:hAnsi="Palatino Linotype" w:cstheme="majorBidi"/>
          <w:iCs/>
          <w:sz w:val="24"/>
          <w:szCs w:val="24"/>
        </w:rPr>
        <w:t xml:space="preserve">present </w:t>
      </w:r>
      <w:r w:rsidRPr="005F304D">
        <w:rPr>
          <w:rFonts w:ascii="Palatino Linotype" w:hAnsi="Palatino Linotype" w:cstheme="majorBidi"/>
          <w:iCs/>
          <w:sz w:val="24"/>
          <w:szCs w:val="24"/>
        </w:rPr>
        <w:t>study</w:t>
      </w:r>
      <w:r w:rsidR="00D2012D" w:rsidRPr="005F304D">
        <w:rPr>
          <w:rFonts w:ascii="Palatino Linotype" w:hAnsi="Palatino Linotype" w:cstheme="majorBidi"/>
          <w:iCs/>
          <w:sz w:val="24"/>
          <w:szCs w:val="24"/>
        </w:rPr>
        <w:t xml:space="preserve"> discussed in this article</w:t>
      </w:r>
      <w:r w:rsidRPr="005F304D">
        <w:rPr>
          <w:rFonts w:ascii="Palatino Linotype" w:hAnsi="Palatino Linotype" w:cstheme="majorBidi"/>
          <w:iCs/>
          <w:sz w:val="24"/>
          <w:szCs w:val="24"/>
        </w:rPr>
        <w:t xml:space="preserve">, </w:t>
      </w:r>
      <w:r w:rsidR="00B74A70" w:rsidRPr="005F304D">
        <w:rPr>
          <w:rFonts w:ascii="Palatino Linotype" w:hAnsi="Palatino Linotype" w:cstheme="majorBidi"/>
          <w:iCs/>
          <w:sz w:val="24"/>
          <w:szCs w:val="24"/>
        </w:rPr>
        <w:t xml:space="preserve">it was found that </w:t>
      </w:r>
      <w:r w:rsidR="00D2012D" w:rsidRPr="005F304D">
        <w:rPr>
          <w:rFonts w:ascii="Palatino Linotype" w:hAnsi="Palatino Linotype" w:cstheme="majorBidi"/>
          <w:iCs/>
          <w:sz w:val="24"/>
          <w:szCs w:val="24"/>
        </w:rPr>
        <w:t>students expressed similar sentiments</w:t>
      </w:r>
      <w:r w:rsidR="009239A2" w:rsidRPr="005F304D">
        <w:rPr>
          <w:rFonts w:ascii="Palatino Linotype" w:hAnsi="Palatino Linotype" w:cstheme="majorBidi"/>
          <w:iCs/>
          <w:sz w:val="24"/>
          <w:szCs w:val="24"/>
        </w:rPr>
        <w:t xml:space="preserve"> to </w:t>
      </w:r>
      <w:r w:rsidR="00B74A70" w:rsidRPr="005F304D">
        <w:rPr>
          <w:rFonts w:ascii="Palatino Linotype" w:hAnsi="Palatino Linotype" w:cstheme="majorBidi"/>
          <w:iCs/>
          <w:sz w:val="24"/>
          <w:szCs w:val="24"/>
        </w:rPr>
        <w:t xml:space="preserve">the </w:t>
      </w:r>
      <w:r w:rsidR="009239A2" w:rsidRPr="005F304D">
        <w:rPr>
          <w:rFonts w:ascii="Palatino Linotype" w:hAnsi="Palatino Linotype" w:cstheme="majorBidi"/>
          <w:iCs/>
          <w:sz w:val="24"/>
          <w:szCs w:val="24"/>
        </w:rPr>
        <w:t xml:space="preserve">previous </w:t>
      </w:r>
      <w:r w:rsidR="00B74A70" w:rsidRPr="005F304D">
        <w:rPr>
          <w:rFonts w:ascii="Palatino Linotype" w:hAnsi="Palatino Linotype" w:cstheme="majorBidi"/>
          <w:iCs/>
          <w:sz w:val="24"/>
          <w:szCs w:val="24"/>
        </w:rPr>
        <w:t xml:space="preserve">clinic </w:t>
      </w:r>
      <w:r w:rsidR="009239A2" w:rsidRPr="005F304D">
        <w:rPr>
          <w:rFonts w:ascii="Palatino Linotype" w:hAnsi="Palatino Linotype" w:cstheme="majorBidi"/>
          <w:iCs/>
          <w:sz w:val="24"/>
          <w:szCs w:val="24"/>
        </w:rPr>
        <w:t>volunteers</w:t>
      </w:r>
      <w:r w:rsidR="00890EE5" w:rsidRPr="005F304D">
        <w:rPr>
          <w:rFonts w:ascii="Palatino Linotype" w:hAnsi="Palatino Linotype" w:cstheme="majorBidi"/>
          <w:iCs/>
          <w:sz w:val="24"/>
          <w:szCs w:val="24"/>
        </w:rPr>
        <w:t>, as set out</w:t>
      </w:r>
      <w:r w:rsidR="00B74A70" w:rsidRPr="005F304D">
        <w:rPr>
          <w:rFonts w:ascii="Palatino Linotype" w:hAnsi="Palatino Linotype" w:cstheme="majorBidi"/>
          <w:iCs/>
          <w:sz w:val="24"/>
          <w:szCs w:val="24"/>
        </w:rPr>
        <w:t xml:space="preserve"> above</w:t>
      </w:r>
      <w:r w:rsidR="00D2012D" w:rsidRPr="005F304D">
        <w:rPr>
          <w:rFonts w:ascii="Palatino Linotype" w:hAnsi="Palatino Linotype" w:cstheme="majorBidi"/>
          <w:iCs/>
          <w:sz w:val="24"/>
          <w:szCs w:val="24"/>
        </w:rPr>
        <w:t>.</w:t>
      </w:r>
      <w:r w:rsidRPr="005F304D">
        <w:rPr>
          <w:rFonts w:ascii="Palatino Linotype" w:hAnsi="Palatino Linotype" w:cstheme="majorBidi"/>
          <w:iCs/>
          <w:sz w:val="24"/>
          <w:szCs w:val="24"/>
        </w:rPr>
        <w:t xml:space="preserve"> A brief discussion of </w:t>
      </w:r>
      <w:r w:rsidR="00D2012D" w:rsidRPr="005F304D">
        <w:rPr>
          <w:rFonts w:ascii="Palatino Linotype" w:hAnsi="Palatino Linotype" w:cstheme="majorBidi"/>
          <w:iCs/>
          <w:sz w:val="24"/>
          <w:szCs w:val="24"/>
        </w:rPr>
        <w:t>their comments</w:t>
      </w:r>
      <w:r w:rsidRPr="005F304D">
        <w:rPr>
          <w:rFonts w:ascii="Palatino Linotype" w:hAnsi="Palatino Linotype" w:cstheme="majorBidi"/>
          <w:iCs/>
          <w:sz w:val="24"/>
          <w:szCs w:val="24"/>
        </w:rPr>
        <w:t xml:space="preserve"> follows below.</w:t>
      </w:r>
    </w:p>
    <w:p w14:paraId="1ACE4496" w14:textId="1B9F217A" w:rsidR="006915BD" w:rsidRPr="005F304D" w:rsidRDefault="006915BD"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b/>
          <w:bCs/>
          <w:i/>
          <w:sz w:val="24"/>
          <w:szCs w:val="24"/>
        </w:rPr>
        <w:lastRenderedPageBreak/>
        <w:t>Survey Monkey Feedback</w:t>
      </w:r>
      <w:r w:rsidR="00A615B6" w:rsidRPr="005F304D">
        <w:rPr>
          <w:rFonts w:ascii="Palatino Linotype" w:hAnsi="Palatino Linotype" w:cstheme="majorBidi"/>
          <w:b/>
          <w:bCs/>
          <w:i/>
          <w:sz w:val="24"/>
          <w:szCs w:val="24"/>
        </w:rPr>
        <w:t xml:space="preserve"> of Participants</w:t>
      </w:r>
      <w:r w:rsidR="00CC22F0" w:rsidRPr="005F304D">
        <w:rPr>
          <w:rFonts w:ascii="Palatino Linotype" w:hAnsi="Palatino Linotype" w:cstheme="majorBidi"/>
          <w:iCs/>
          <w:sz w:val="24"/>
          <w:szCs w:val="24"/>
        </w:rPr>
        <w:t xml:space="preserve">: </w:t>
      </w:r>
      <w:r w:rsidR="0058400F" w:rsidRPr="005F304D">
        <w:rPr>
          <w:rFonts w:ascii="Palatino Linotype" w:hAnsi="Palatino Linotype" w:cstheme="majorBidi"/>
          <w:iCs/>
          <w:sz w:val="24"/>
          <w:szCs w:val="24"/>
        </w:rPr>
        <w:t>In the</w:t>
      </w:r>
      <w:r w:rsidRPr="005F304D">
        <w:rPr>
          <w:rFonts w:ascii="Palatino Linotype" w:hAnsi="Palatino Linotype" w:cstheme="majorBidi"/>
          <w:iCs/>
          <w:sz w:val="24"/>
          <w:szCs w:val="24"/>
        </w:rPr>
        <w:t xml:space="preserve"> </w:t>
      </w:r>
      <w:r w:rsidR="00404837" w:rsidRPr="005F304D">
        <w:rPr>
          <w:rFonts w:ascii="Palatino Linotype" w:hAnsi="Palatino Linotype" w:cstheme="majorBidi"/>
          <w:iCs/>
          <w:sz w:val="24"/>
          <w:szCs w:val="24"/>
        </w:rPr>
        <w:t xml:space="preserve">post semester </w:t>
      </w:r>
      <w:r w:rsidRPr="005F304D">
        <w:rPr>
          <w:rFonts w:ascii="Palatino Linotype" w:hAnsi="Palatino Linotype" w:cstheme="majorBidi"/>
          <w:iCs/>
          <w:sz w:val="24"/>
          <w:szCs w:val="24"/>
        </w:rPr>
        <w:t xml:space="preserve">survey </w:t>
      </w:r>
      <w:r w:rsidR="0058400F" w:rsidRPr="005F304D">
        <w:rPr>
          <w:rFonts w:ascii="Palatino Linotype" w:hAnsi="Palatino Linotype" w:cstheme="majorBidi"/>
          <w:iCs/>
          <w:sz w:val="24"/>
          <w:szCs w:val="24"/>
        </w:rPr>
        <w:t xml:space="preserve">administered as a matter of course to </w:t>
      </w:r>
      <w:r w:rsidR="00404837" w:rsidRPr="005F304D">
        <w:rPr>
          <w:rFonts w:ascii="Palatino Linotype" w:hAnsi="Palatino Linotype" w:cstheme="majorBidi"/>
          <w:iCs/>
          <w:sz w:val="24"/>
          <w:szCs w:val="24"/>
        </w:rPr>
        <w:t xml:space="preserve">pro bono </w:t>
      </w:r>
      <w:r w:rsidR="00C940E4" w:rsidRPr="005F304D">
        <w:rPr>
          <w:rFonts w:ascii="Palatino Linotype" w:hAnsi="Palatino Linotype" w:cstheme="majorBidi"/>
          <w:iCs/>
          <w:sz w:val="24"/>
          <w:szCs w:val="24"/>
        </w:rPr>
        <w:t xml:space="preserve">clinic </w:t>
      </w:r>
      <w:r w:rsidRPr="005F304D">
        <w:rPr>
          <w:rFonts w:ascii="Palatino Linotype" w:hAnsi="Palatino Linotype" w:cstheme="majorBidi"/>
          <w:iCs/>
          <w:sz w:val="24"/>
          <w:szCs w:val="24"/>
        </w:rPr>
        <w:t>students</w:t>
      </w:r>
      <w:r w:rsidR="0058400F" w:rsidRPr="005F304D">
        <w:rPr>
          <w:rFonts w:ascii="Palatino Linotype" w:hAnsi="Palatino Linotype" w:cstheme="majorBidi"/>
          <w:iCs/>
          <w:sz w:val="24"/>
          <w:szCs w:val="24"/>
        </w:rPr>
        <w:t>, they</w:t>
      </w:r>
      <w:r w:rsidRPr="005F304D">
        <w:rPr>
          <w:rFonts w:ascii="Palatino Linotype" w:hAnsi="Palatino Linotype" w:cstheme="majorBidi"/>
          <w:iCs/>
          <w:sz w:val="24"/>
          <w:szCs w:val="24"/>
        </w:rPr>
        <w:t xml:space="preserve"> </w:t>
      </w:r>
      <w:r w:rsidR="00C940E4" w:rsidRPr="005F304D">
        <w:rPr>
          <w:rFonts w:ascii="Palatino Linotype" w:hAnsi="Palatino Linotype" w:cstheme="majorBidi"/>
          <w:iCs/>
          <w:sz w:val="24"/>
          <w:szCs w:val="24"/>
        </w:rPr>
        <w:t>were given the opportunity to rate</w:t>
      </w:r>
      <w:r w:rsidRPr="005F304D">
        <w:rPr>
          <w:rFonts w:ascii="Palatino Linotype" w:hAnsi="Palatino Linotype" w:cstheme="majorBidi"/>
          <w:iCs/>
          <w:sz w:val="24"/>
          <w:szCs w:val="24"/>
        </w:rPr>
        <w:t xml:space="preserve"> their clinic experience and </w:t>
      </w:r>
      <w:r w:rsidR="0058400F" w:rsidRPr="005F304D">
        <w:rPr>
          <w:rFonts w:ascii="Palatino Linotype" w:hAnsi="Palatino Linotype" w:cstheme="majorBidi"/>
          <w:iCs/>
          <w:sz w:val="24"/>
          <w:szCs w:val="24"/>
        </w:rPr>
        <w:t xml:space="preserve">to </w:t>
      </w:r>
      <w:r w:rsidR="00C940E4" w:rsidRPr="005F304D">
        <w:rPr>
          <w:rFonts w:ascii="Palatino Linotype" w:hAnsi="Palatino Linotype" w:cstheme="majorBidi"/>
          <w:iCs/>
          <w:sz w:val="24"/>
          <w:szCs w:val="24"/>
        </w:rPr>
        <w:t>provide detailed feedback</w:t>
      </w:r>
      <w:r w:rsidR="0058400F" w:rsidRPr="005F304D">
        <w:rPr>
          <w:rFonts w:ascii="Palatino Linotype" w:hAnsi="Palatino Linotype" w:cstheme="majorBidi"/>
          <w:iCs/>
          <w:sz w:val="24"/>
          <w:szCs w:val="24"/>
        </w:rPr>
        <w:t xml:space="preserve"> if they chose to do so</w:t>
      </w:r>
      <w:r w:rsidR="00C940E4" w:rsidRPr="005F304D">
        <w:rPr>
          <w:rFonts w:ascii="Palatino Linotype" w:hAnsi="Palatino Linotype" w:cstheme="majorBidi"/>
          <w:iCs/>
          <w:sz w:val="24"/>
          <w:szCs w:val="24"/>
        </w:rPr>
        <w:t xml:space="preserve">. </w:t>
      </w:r>
      <w:r w:rsidR="0058400F" w:rsidRPr="005F304D">
        <w:rPr>
          <w:rFonts w:ascii="Palatino Linotype" w:hAnsi="Palatino Linotype" w:cstheme="majorBidi"/>
          <w:iCs/>
          <w:sz w:val="24"/>
          <w:szCs w:val="24"/>
        </w:rPr>
        <w:t xml:space="preserve">All responses were anonymous. Responses included the following </w:t>
      </w:r>
      <w:r w:rsidR="00C940E4" w:rsidRPr="005F304D">
        <w:rPr>
          <w:rFonts w:ascii="Palatino Linotype" w:hAnsi="Palatino Linotype" w:cstheme="majorBidi"/>
          <w:iCs/>
          <w:sz w:val="24"/>
          <w:szCs w:val="24"/>
        </w:rPr>
        <w:t>comments</w:t>
      </w:r>
      <w:r w:rsidR="00404837" w:rsidRPr="005F304D">
        <w:rPr>
          <w:rFonts w:ascii="Palatino Linotype" w:hAnsi="Palatino Linotype" w:cstheme="majorBidi"/>
          <w:iCs/>
          <w:sz w:val="24"/>
          <w:szCs w:val="24"/>
        </w:rPr>
        <w:t xml:space="preserve"> </w:t>
      </w:r>
      <w:r w:rsidR="0058400F" w:rsidRPr="005F304D">
        <w:rPr>
          <w:rFonts w:ascii="Palatino Linotype" w:hAnsi="Palatino Linotype" w:cstheme="majorBidi"/>
          <w:iCs/>
          <w:sz w:val="24"/>
          <w:szCs w:val="24"/>
        </w:rPr>
        <w:t>by students where the practical benefits of the clinic were highlighted:</w:t>
      </w:r>
    </w:p>
    <w:p w14:paraId="42D3FE6A" w14:textId="496819E3" w:rsidR="00692874" w:rsidRPr="005F304D" w:rsidRDefault="0069287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In relation to “real world” experience:</w:t>
      </w:r>
    </w:p>
    <w:p w14:paraId="3B363DBA" w14:textId="31EF5F1B" w:rsidR="00692874"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The Clinic provided me with a fantastic insight into the real legal world. It allowed me to get first-hand experience dealing with clients and their files, as well as giving me experience in writing fact sheets which are then published and used in the Clinic.</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(Survey Monkey, April 26, 2016)</w:t>
      </w:r>
      <w:r w:rsidR="00692874" w:rsidRPr="005F304D">
        <w:rPr>
          <w:rFonts w:ascii="Palatino Linotype" w:hAnsi="Palatino Linotype" w:cstheme="majorBidi"/>
          <w:iCs/>
          <w:sz w:val="24"/>
          <w:szCs w:val="24"/>
        </w:rPr>
        <w:t>;</w:t>
      </w:r>
    </w:p>
    <w:p w14:paraId="145AC8BA" w14:textId="0B9F6392" w:rsidR="00692874" w:rsidRPr="005F304D" w:rsidRDefault="0069287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In respect of putting theory into practice whilst providing a community service:</w:t>
      </w:r>
    </w:p>
    <w:p w14:paraId="416126A9" w14:textId="566ECBA4" w:rsidR="00C940E4"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BD3E20" w:rsidRPr="005F304D">
        <w:rPr>
          <w:rFonts w:ascii="Palatino Linotype" w:hAnsi="Palatino Linotype" w:cstheme="majorBidi"/>
          <w:iCs/>
          <w:sz w:val="24"/>
          <w:szCs w:val="24"/>
        </w:rPr>
        <w:t>[</w:t>
      </w:r>
      <w:r w:rsidR="00B74A70" w:rsidRPr="005F304D">
        <w:rPr>
          <w:rFonts w:ascii="Palatino Linotype" w:hAnsi="Palatino Linotype" w:cstheme="majorBidi"/>
          <w:iCs/>
          <w:sz w:val="24"/>
          <w:szCs w:val="24"/>
        </w:rPr>
        <w:t>T</w:t>
      </w:r>
      <w:r w:rsidR="00BD3E20" w:rsidRPr="005F304D">
        <w:rPr>
          <w:rFonts w:ascii="Palatino Linotype" w:hAnsi="Palatino Linotype" w:cstheme="majorBidi"/>
          <w:iCs/>
          <w:sz w:val="24"/>
          <w:szCs w:val="24"/>
        </w:rPr>
        <w:t>he</w:t>
      </w:r>
      <w:r w:rsidR="00C940E4" w:rsidRPr="005F304D">
        <w:rPr>
          <w:rFonts w:ascii="Palatino Linotype" w:hAnsi="Palatino Linotype" w:cstheme="majorBidi"/>
          <w:iCs/>
          <w:sz w:val="24"/>
          <w:szCs w:val="24"/>
        </w:rPr>
        <w:t xml:space="preserve"> Law Clinic</w:t>
      </w:r>
      <w:r w:rsidR="00BD3E20"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 xml:space="preserve"> gives students the opportunity to dive into practical legal advice. As a student advisor, you think on your feet and get a practical context for the concepts you've learned about in class. Being exposed to highly competent lawyers, learning from their client interaction and how they convey legal advice, is an invaluable experience you can't get from a textbook. On top of all that, you're making a difference in the community and helping real people solve real problems. Why wouldn't you do it?!</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(Survey Monkey, April 22, 2016)</w:t>
      </w:r>
      <w:r w:rsidR="00692874" w:rsidRPr="005F304D">
        <w:rPr>
          <w:rFonts w:ascii="Palatino Linotype" w:hAnsi="Palatino Linotype" w:cstheme="majorBidi"/>
          <w:iCs/>
          <w:sz w:val="24"/>
          <w:szCs w:val="24"/>
        </w:rPr>
        <w:t>;</w:t>
      </w:r>
    </w:p>
    <w:p w14:paraId="35E26481" w14:textId="249D8E23" w:rsidR="00692874" w:rsidRPr="005F304D" w:rsidRDefault="0069287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In providing a memorable learning experience:</w:t>
      </w:r>
    </w:p>
    <w:p w14:paraId="4714F96F" w14:textId="09EEFFEF" w:rsidR="00C940E4"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lastRenderedPageBreak/>
        <w:t>‘</w:t>
      </w:r>
      <w:r w:rsidR="00BD3E20"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The Law Clinic</w:t>
      </w:r>
      <w:r w:rsidR="00BD3E20"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 xml:space="preserve"> provided the opportunity to apply applicable course content to real clients. The learning curve is steep, and the potential for skill development is present. It was fascinating to not just learn about the law in its everyday application, but to also learn about the people involved with the specific legal issues. </w:t>
      </w:r>
      <w:r w:rsidR="00BD3E20"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The Law Clinic</w:t>
      </w:r>
      <w:r w:rsidR="00BD3E20" w:rsidRPr="005F304D">
        <w:rPr>
          <w:rFonts w:ascii="Palatino Linotype" w:hAnsi="Palatino Linotype" w:cstheme="majorBidi"/>
          <w:iCs/>
          <w:sz w:val="24"/>
          <w:szCs w:val="24"/>
        </w:rPr>
        <w:t>]</w:t>
      </w:r>
      <w:r w:rsidR="00C940E4" w:rsidRPr="005F304D">
        <w:rPr>
          <w:rFonts w:ascii="Palatino Linotype" w:hAnsi="Palatino Linotype" w:cstheme="majorBidi"/>
          <w:iCs/>
          <w:sz w:val="24"/>
          <w:szCs w:val="24"/>
        </w:rPr>
        <w:t xml:space="preserve"> was a fantastic experience.</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(Survey Monkey, April 21, 2016)</w:t>
      </w:r>
      <w:r w:rsidR="00692874" w:rsidRPr="005F304D">
        <w:rPr>
          <w:rFonts w:ascii="Palatino Linotype" w:hAnsi="Palatino Linotype" w:cstheme="majorBidi"/>
          <w:iCs/>
          <w:sz w:val="24"/>
          <w:szCs w:val="24"/>
        </w:rPr>
        <w:t>;</w:t>
      </w:r>
    </w:p>
    <w:p w14:paraId="23CA808E" w14:textId="14D77B17" w:rsidR="00692874" w:rsidRPr="005F304D" w:rsidRDefault="0069287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By developing drafting skills and interacting with real clients:</w:t>
      </w:r>
    </w:p>
    <w:p w14:paraId="0AB20193" w14:textId="6492C2AB" w:rsidR="00404837"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BD3E20" w:rsidRPr="005F304D">
        <w:rPr>
          <w:rFonts w:ascii="Palatino Linotype" w:hAnsi="Palatino Linotype" w:cstheme="majorBidi"/>
          <w:iCs/>
          <w:sz w:val="24"/>
          <w:szCs w:val="24"/>
        </w:rPr>
        <w:t>[</w:t>
      </w:r>
      <w:r w:rsidR="00404837" w:rsidRPr="005F304D">
        <w:rPr>
          <w:rFonts w:ascii="Palatino Linotype" w:hAnsi="Palatino Linotype" w:cstheme="majorBidi"/>
          <w:iCs/>
          <w:sz w:val="24"/>
          <w:szCs w:val="24"/>
        </w:rPr>
        <w:t>The Law Clinic</w:t>
      </w:r>
      <w:r w:rsidR="00BD3E20" w:rsidRPr="005F304D">
        <w:rPr>
          <w:rFonts w:ascii="Palatino Linotype" w:hAnsi="Palatino Linotype" w:cstheme="majorBidi"/>
          <w:iCs/>
          <w:sz w:val="24"/>
          <w:szCs w:val="24"/>
        </w:rPr>
        <w:t>]</w:t>
      </w:r>
      <w:r w:rsidR="00404837" w:rsidRPr="005F304D">
        <w:rPr>
          <w:rFonts w:ascii="Palatino Linotype" w:hAnsi="Palatino Linotype" w:cstheme="majorBidi"/>
          <w:iCs/>
          <w:sz w:val="24"/>
          <w:szCs w:val="24"/>
        </w:rPr>
        <w:t xml:space="preserve"> is a great experience for any law student. I learned practical skills in both client interviewing and drafting letters of advice that I haven't learned in the classroom. In addition, it was a great opportunity to interact with real clients and to help choose what type of commercial law I want to practice after graduation. I would highly recommend volunteering here.</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(Survey Monkey, August 26, 2016)</w:t>
      </w:r>
      <w:r w:rsidR="00692874" w:rsidRPr="005F304D">
        <w:rPr>
          <w:rFonts w:ascii="Palatino Linotype" w:hAnsi="Palatino Linotype" w:cstheme="majorBidi"/>
          <w:iCs/>
          <w:sz w:val="24"/>
          <w:szCs w:val="24"/>
        </w:rPr>
        <w:t>;</w:t>
      </w:r>
    </w:p>
    <w:p w14:paraId="58CCB54D" w14:textId="69CBAB85" w:rsidR="00692874" w:rsidRPr="005F304D" w:rsidRDefault="00692874" w:rsidP="00C34312">
      <w:pPr>
        <w:spacing w:line="480" w:lineRule="auto"/>
        <w:ind w:firstLine="720"/>
        <w:jc w:val="both"/>
        <w:rPr>
          <w:rFonts w:ascii="Palatino Linotype" w:hAnsi="Palatino Linotype" w:cstheme="majorBidi"/>
          <w:iCs/>
          <w:sz w:val="24"/>
          <w:szCs w:val="24"/>
        </w:rPr>
      </w:pPr>
      <w:r w:rsidRPr="005F304D">
        <w:rPr>
          <w:rFonts w:ascii="Palatino Linotype" w:hAnsi="Palatino Linotype" w:cstheme="majorBidi"/>
          <w:iCs/>
          <w:sz w:val="24"/>
          <w:szCs w:val="24"/>
        </w:rPr>
        <w:t>a</w:t>
      </w:r>
      <w:r w:rsidR="00404837" w:rsidRPr="005F304D">
        <w:rPr>
          <w:rFonts w:ascii="Palatino Linotype" w:hAnsi="Palatino Linotype" w:cstheme="majorBidi"/>
          <w:iCs/>
          <w:sz w:val="24"/>
          <w:szCs w:val="24"/>
        </w:rPr>
        <w:t>nd</w:t>
      </w:r>
    </w:p>
    <w:p w14:paraId="12025A19" w14:textId="1679480F" w:rsidR="00692874" w:rsidRPr="005F304D" w:rsidRDefault="0069287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By building students’ self-confidence</w:t>
      </w:r>
    </w:p>
    <w:p w14:paraId="31297EE8" w14:textId="77777777" w:rsidR="00404837" w:rsidRPr="005F304D" w:rsidRDefault="00A615B6" w:rsidP="00C34312">
      <w:pPr>
        <w:spacing w:line="480" w:lineRule="auto"/>
        <w:ind w:left="720"/>
        <w:jc w:val="both"/>
        <w:rPr>
          <w:rFonts w:ascii="Palatino Linotype" w:hAnsi="Palatino Linotype" w:cstheme="majorBidi"/>
          <w:iCs/>
          <w:sz w:val="24"/>
          <w:szCs w:val="24"/>
        </w:rPr>
      </w:pPr>
      <w:r w:rsidRPr="005F304D">
        <w:rPr>
          <w:rFonts w:ascii="Palatino Linotype" w:hAnsi="Palatino Linotype" w:cstheme="majorBidi"/>
          <w:iCs/>
          <w:sz w:val="24"/>
          <w:szCs w:val="24"/>
        </w:rPr>
        <w:t>‘</w:t>
      </w:r>
      <w:r w:rsidR="003D5E57" w:rsidRPr="005F304D">
        <w:rPr>
          <w:rFonts w:ascii="Palatino Linotype" w:hAnsi="Palatino Linotype" w:cstheme="majorBidi"/>
          <w:iCs/>
          <w:sz w:val="24"/>
          <w:szCs w:val="24"/>
        </w:rPr>
        <w:t xml:space="preserve">[The </w:t>
      </w:r>
      <w:r w:rsidR="00404837" w:rsidRPr="005F304D">
        <w:rPr>
          <w:rFonts w:ascii="Palatino Linotype" w:hAnsi="Palatino Linotype" w:cstheme="majorBidi"/>
          <w:iCs/>
          <w:sz w:val="24"/>
          <w:szCs w:val="24"/>
        </w:rPr>
        <w:t>Law Clinic</w:t>
      </w:r>
      <w:r w:rsidR="003D5E57" w:rsidRPr="005F304D">
        <w:rPr>
          <w:rFonts w:ascii="Palatino Linotype" w:hAnsi="Palatino Linotype" w:cstheme="majorBidi"/>
          <w:iCs/>
          <w:sz w:val="24"/>
          <w:szCs w:val="24"/>
        </w:rPr>
        <w:t>]</w:t>
      </w:r>
      <w:r w:rsidR="00404837" w:rsidRPr="005F304D">
        <w:rPr>
          <w:rFonts w:ascii="Palatino Linotype" w:hAnsi="Palatino Linotype" w:cstheme="majorBidi"/>
          <w:iCs/>
          <w:sz w:val="24"/>
          <w:szCs w:val="24"/>
        </w:rPr>
        <w:t xml:space="preserve"> provides students with an excellent opportunity to apply their knowledge to real problems. Meeting with clients and assisting them in answering their questions builds confidence and skill.</w:t>
      </w:r>
      <w:r w:rsidRPr="005F304D">
        <w:rPr>
          <w:rFonts w:ascii="Palatino Linotype" w:hAnsi="Palatino Linotype" w:cstheme="majorBidi"/>
          <w:iCs/>
          <w:sz w:val="24"/>
          <w:szCs w:val="24"/>
        </w:rPr>
        <w:t>’</w:t>
      </w:r>
      <w:r w:rsidR="00EC6528" w:rsidRPr="005F304D">
        <w:rPr>
          <w:rFonts w:ascii="Palatino Linotype" w:hAnsi="Palatino Linotype" w:cstheme="majorBidi"/>
          <w:iCs/>
          <w:sz w:val="24"/>
          <w:szCs w:val="24"/>
        </w:rPr>
        <w:t xml:space="preserve"> (Survey Monkey, August 26, 2016).</w:t>
      </w:r>
      <w:r w:rsidR="00404837" w:rsidRPr="005F304D">
        <w:rPr>
          <w:rFonts w:ascii="Palatino Linotype" w:hAnsi="Palatino Linotype" w:cstheme="majorBidi"/>
          <w:iCs/>
          <w:sz w:val="24"/>
          <w:szCs w:val="24"/>
        </w:rPr>
        <w:t xml:space="preserve"> </w:t>
      </w:r>
    </w:p>
    <w:p w14:paraId="1FF65DD4" w14:textId="5B318329" w:rsidR="00404837" w:rsidRPr="005F304D" w:rsidRDefault="00404837"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lastRenderedPageBreak/>
        <w:t xml:space="preserve">Another </w:t>
      </w:r>
      <w:r w:rsidR="00692874" w:rsidRPr="005F304D">
        <w:rPr>
          <w:rFonts w:ascii="Palatino Linotype" w:hAnsi="Palatino Linotype" w:cstheme="majorBidi"/>
          <w:iCs/>
          <w:sz w:val="24"/>
          <w:szCs w:val="24"/>
        </w:rPr>
        <w:t xml:space="preserve">law </w:t>
      </w:r>
      <w:r w:rsidRPr="005F304D">
        <w:rPr>
          <w:rFonts w:ascii="Palatino Linotype" w:hAnsi="Palatino Linotype" w:cstheme="majorBidi"/>
          <w:iCs/>
          <w:sz w:val="24"/>
          <w:szCs w:val="24"/>
        </w:rPr>
        <w:t>student communicated her feedback by email</w:t>
      </w:r>
      <w:r w:rsidR="00692874" w:rsidRPr="005F304D">
        <w:rPr>
          <w:rFonts w:ascii="Palatino Linotype" w:hAnsi="Palatino Linotype" w:cstheme="majorBidi"/>
          <w:iCs/>
          <w:sz w:val="24"/>
          <w:szCs w:val="24"/>
        </w:rPr>
        <w:t>, describing her journey in the law clinic experience</w:t>
      </w:r>
      <w:r w:rsidRPr="005F304D">
        <w:rPr>
          <w:rFonts w:ascii="Palatino Linotype" w:hAnsi="Palatino Linotype" w:cstheme="majorBidi"/>
          <w:iCs/>
          <w:sz w:val="24"/>
          <w:szCs w:val="24"/>
        </w:rPr>
        <w:t>:</w:t>
      </w:r>
    </w:p>
    <w:p w14:paraId="497A55CC" w14:textId="77777777" w:rsidR="00655D91" w:rsidRPr="005F304D" w:rsidRDefault="00A615B6" w:rsidP="00C34312">
      <w:pPr>
        <w:spacing w:line="480" w:lineRule="auto"/>
        <w:ind w:left="720"/>
        <w:jc w:val="both"/>
        <w:rPr>
          <w:rFonts w:ascii="Palatino Linotype" w:hAnsi="Palatino Linotype" w:cstheme="majorBidi"/>
          <w:iCs/>
          <w:sz w:val="24"/>
          <w:szCs w:val="24"/>
          <w:lang w:val="en-US"/>
        </w:rPr>
      </w:pPr>
      <w:r w:rsidRPr="005F304D">
        <w:rPr>
          <w:rFonts w:ascii="Palatino Linotype" w:hAnsi="Palatino Linotype" w:cstheme="majorBidi"/>
          <w:iCs/>
          <w:sz w:val="24"/>
          <w:szCs w:val="24"/>
          <w:lang w:val="en-US"/>
        </w:rPr>
        <w:t>‘</w:t>
      </w:r>
      <w:r w:rsidR="00655D91" w:rsidRPr="005F304D">
        <w:rPr>
          <w:rFonts w:ascii="Palatino Linotype" w:hAnsi="Palatino Linotype" w:cstheme="majorBidi"/>
          <w:iCs/>
          <w:sz w:val="24"/>
          <w:szCs w:val="24"/>
          <w:lang w:val="en-US"/>
        </w:rPr>
        <w:t>My first day at the</w:t>
      </w:r>
      <w:r w:rsidR="003D5E57" w:rsidRPr="005F304D">
        <w:rPr>
          <w:rFonts w:ascii="Palatino Linotype" w:hAnsi="Palatino Linotype" w:cstheme="majorBidi"/>
          <w:iCs/>
          <w:sz w:val="24"/>
          <w:szCs w:val="24"/>
          <w:lang w:val="en-US"/>
        </w:rPr>
        <w:t xml:space="preserve"> [</w:t>
      </w:r>
      <w:r w:rsidR="00655D91" w:rsidRPr="005F304D">
        <w:rPr>
          <w:rFonts w:ascii="Palatino Linotype" w:hAnsi="Palatino Linotype" w:cstheme="majorBidi"/>
          <w:iCs/>
          <w:sz w:val="24"/>
          <w:szCs w:val="24"/>
          <w:lang w:val="en-US"/>
        </w:rPr>
        <w:t>Community Legal Centre</w:t>
      </w:r>
      <w:r w:rsidR="003D5E57" w:rsidRPr="005F304D">
        <w:rPr>
          <w:rFonts w:ascii="Palatino Linotype" w:hAnsi="Palatino Linotype" w:cstheme="majorBidi"/>
          <w:iCs/>
          <w:sz w:val="24"/>
          <w:szCs w:val="24"/>
          <w:lang w:val="en-US"/>
        </w:rPr>
        <w:t>]</w:t>
      </w:r>
      <w:r w:rsidR="00655D91" w:rsidRPr="005F304D">
        <w:rPr>
          <w:rFonts w:ascii="Palatino Linotype" w:hAnsi="Palatino Linotype" w:cstheme="majorBidi"/>
          <w:iCs/>
          <w:sz w:val="24"/>
          <w:szCs w:val="24"/>
          <w:lang w:val="en-US"/>
        </w:rPr>
        <w:t xml:space="preserve">, I was thrown into the deep end, facilitating client entry interviews and drafting letters of advice for clients with a vast array of legal problems. Such an intense practical experience fosters the most rapid and effective development of the leadership and communication skills that all future lawyers should build upon early in their degree. Taking part in the </w:t>
      </w:r>
      <w:r w:rsidR="003D5E57" w:rsidRPr="005F304D">
        <w:rPr>
          <w:rFonts w:ascii="Palatino Linotype" w:hAnsi="Palatino Linotype" w:cstheme="majorBidi"/>
          <w:iCs/>
          <w:sz w:val="24"/>
          <w:szCs w:val="24"/>
          <w:lang w:val="en-US"/>
        </w:rPr>
        <w:t>[</w:t>
      </w:r>
      <w:r w:rsidR="00655D91" w:rsidRPr="005F304D">
        <w:rPr>
          <w:rFonts w:ascii="Palatino Linotype" w:hAnsi="Palatino Linotype" w:cstheme="majorBidi"/>
          <w:iCs/>
          <w:sz w:val="24"/>
          <w:szCs w:val="24"/>
          <w:lang w:val="en-US"/>
        </w:rPr>
        <w:t>Community Law Clinic</w:t>
      </w:r>
      <w:r w:rsidR="003D5E57" w:rsidRPr="005F304D">
        <w:rPr>
          <w:rFonts w:ascii="Palatino Linotype" w:hAnsi="Palatino Linotype" w:cstheme="majorBidi"/>
          <w:iCs/>
          <w:sz w:val="24"/>
          <w:szCs w:val="24"/>
          <w:lang w:val="en-US"/>
        </w:rPr>
        <w:t>]</w:t>
      </w:r>
      <w:r w:rsidR="00655D91" w:rsidRPr="005F304D">
        <w:rPr>
          <w:rFonts w:ascii="Palatino Linotype" w:hAnsi="Palatino Linotype" w:cstheme="majorBidi"/>
          <w:iCs/>
          <w:sz w:val="24"/>
          <w:szCs w:val="24"/>
          <w:lang w:val="en-US"/>
        </w:rPr>
        <w:t xml:space="preserve"> has broadened my outlook towards legal practice and the skills needed to be a successful advocate for clients. I would absolutely recommend participation in this outstanding program; I have grown so much not only as a student of law, but as a member of the </w:t>
      </w:r>
      <w:r w:rsidR="00C044C0" w:rsidRPr="005F304D">
        <w:rPr>
          <w:rFonts w:ascii="Palatino Linotype" w:hAnsi="Palatino Linotype" w:cstheme="majorBidi"/>
          <w:iCs/>
          <w:sz w:val="24"/>
          <w:szCs w:val="24"/>
          <w:lang w:val="en-US"/>
        </w:rPr>
        <w:t>[university community]</w:t>
      </w:r>
      <w:r w:rsidR="009205C3" w:rsidRPr="005F304D">
        <w:rPr>
          <w:rFonts w:ascii="Palatino Linotype" w:hAnsi="Palatino Linotype" w:cstheme="majorBidi"/>
          <w:iCs/>
          <w:sz w:val="24"/>
          <w:szCs w:val="24"/>
          <w:lang w:val="en-US"/>
        </w:rPr>
        <w:t>.</w:t>
      </w:r>
      <w:r w:rsidR="00EC6528" w:rsidRPr="005F304D">
        <w:rPr>
          <w:rFonts w:ascii="Palatino Linotype" w:hAnsi="Palatino Linotype" w:cstheme="majorBidi"/>
          <w:iCs/>
          <w:sz w:val="24"/>
          <w:szCs w:val="24"/>
          <w:lang w:val="en-US"/>
        </w:rPr>
        <w:t xml:space="preserve">’ </w:t>
      </w:r>
      <w:r w:rsidR="00EC6528" w:rsidRPr="005F304D">
        <w:rPr>
          <w:rFonts w:ascii="Palatino Linotype" w:hAnsi="Palatino Linotype" w:cstheme="majorBidi"/>
          <w:iCs/>
          <w:sz w:val="24"/>
          <w:szCs w:val="24"/>
        </w:rPr>
        <w:t>(</w:t>
      </w:r>
      <w:r w:rsidR="0071212E" w:rsidRPr="005F304D">
        <w:rPr>
          <w:rFonts w:ascii="Palatino Linotype" w:hAnsi="Palatino Linotype" w:cstheme="majorBidi"/>
          <w:iCs/>
          <w:sz w:val="24"/>
          <w:szCs w:val="24"/>
        </w:rPr>
        <w:t>personal communication</w:t>
      </w:r>
      <w:r w:rsidR="00EC6528" w:rsidRPr="005F304D">
        <w:rPr>
          <w:rFonts w:ascii="Palatino Linotype" w:hAnsi="Palatino Linotype" w:cstheme="majorBidi"/>
          <w:iCs/>
          <w:sz w:val="24"/>
          <w:szCs w:val="24"/>
        </w:rPr>
        <w:t xml:space="preserve">, </w:t>
      </w:r>
      <w:r w:rsidR="0071212E" w:rsidRPr="005F304D">
        <w:rPr>
          <w:rFonts w:ascii="Palatino Linotype" w:hAnsi="Palatino Linotype" w:cstheme="majorBidi"/>
          <w:iCs/>
          <w:sz w:val="24"/>
          <w:szCs w:val="24"/>
        </w:rPr>
        <w:t>May 10</w:t>
      </w:r>
      <w:r w:rsidR="00EC6528" w:rsidRPr="005F304D">
        <w:rPr>
          <w:rFonts w:ascii="Palatino Linotype" w:hAnsi="Palatino Linotype" w:cstheme="majorBidi"/>
          <w:iCs/>
          <w:sz w:val="24"/>
          <w:szCs w:val="24"/>
        </w:rPr>
        <w:t>, 2016).</w:t>
      </w:r>
    </w:p>
    <w:p w14:paraId="753A4D65" w14:textId="412861FE" w:rsidR="009205C3" w:rsidRPr="005F304D" w:rsidRDefault="009205C3" w:rsidP="00C34312">
      <w:pPr>
        <w:spacing w:line="480" w:lineRule="auto"/>
        <w:jc w:val="both"/>
        <w:rPr>
          <w:rFonts w:ascii="Palatino Linotype" w:hAnsi="Palatino Linotype" w:cstheme="majorBidi"/>
          <w:iCs/>
          <w:sz w:val="24"/>
          <w:szCs w:val="24"/>
          <w:lang w:val="en-US"/>
        </w:rPr>
      </w:pPr>
      <w:r w:rsidRPr="005F304D">
        <w:rPr>
          <w:rFonts w:ascii="Palatino Linotype" w:hAnsi="Palatino Linotype" w:cstheme="majorBidi"/>
          <w:iCs/>
          <w:sz w:val="24"/>
          <w:szCs w:val="24"/>
          <w:lang w:val="en-US"/>
        </w:rPr>
        <w:t xml:space="preserve">Some of the </w:t>
      </w:r>
      <w:r w:rsidR="008F3285" w:rsidRPr="005F304D">
        <w:rPr>
          <w:rFonts w:ascii="Palatino Linotype" w:hAnsi="Palatino Linotype" w:cstheme="majorBidi"/>
          <w:iCs/>
          <w:sz w:val="24"/>
          <w:szCs w:val="24"/>
          <w:lang w:val="en-US"/>
        </w:rPr>
        <w:t xml:space="preserve">perceived </w:t>
      </w:r>
      <w:r w:rsidRPr="005F304D">
        <w:rPr>
          <w:rFonts w:ascii="Palatino Linotype" w:hAnsi="Palatino Linotype" w:cstheme="majorBidi"/>
          <w:iCs/>
          <w:sz w:val="24"/>
          <w:szCs w:val="24"/>
          <w:lang w:val="en-US"/>
        </w:rPr>
        <w:t>benefits derived from the</w:t>
      </w:r>
      <w:r w:rsidR="00692874" w:rsidRPr="005F304D">
        <w:rPr>
          <w:rFonts w:ascii="Palatino Linotype" w:hAnsi="Palatino Linotype" w:cstheme="majorBidi"/>
          <w:iCs/>
          <w:sz w:val="24"/>
          <w:szCs w:val="24"/>
          <w:lang w:val="en-US"/>
        </w:rPr>
        <w:t xml:space="preserve"> students’</w:t>
      </w:r>
      <w:r w:rsidRPr="005F304D">
        <w:rPr>
          <w:rFonts w:ascii="Palatino Linotype" w:hAnsi="Palatino Linotype" w:cstheme="majorBidi"/>
          <w:iCs/>
          <w:sz w:val="24"/>
          <w:szCs w:val="24"/>
          <w:lang w:val="en-US"/>
        </w:rPr>
        <w:t xml:space="preserve"> clinic experience </w:t>
      </w:r>
      <w:r w:rsidR="00692874" w:rsidRPr="005F304D">
        <w:rPr>
          <w:rFonts w:ascii="Palatino Linotype" w:hAnsi="Palatino Linotype" w:cstheme="majorBidi"/>
          <w:iCs/>
          <w:sz w:val="24"/>
          <w:szCs w:val="24"/>
          <w:lang w:val="en-US"/>
        </w:rPr>
        <w:t xml:space="preserve">and recorded in this research </w:t>
      </w:r>
      <w:r w:rsidR="00890EE5" w:rsidRPr="005F304D">
        <w:rPr>
          <w:rFonts w:ascii="Palatino Linotype" w:hAnsi="Palatino Linotype" w:cstheme="majorBidi"/>
          <w:iCs/>
          <w:sz w:val="24"/>
          <w:szCs w:val="24"/>
          <w:lang w:val="en-US"/>
        </w:rPr>
        <w:t>are set out in Table 4</w:t>
      </w:r>
      <w:r w:rsidRPr="005F304D">
        <w:rPr>
          <w:rFonts w:ascii="Palatino Linotype" w:hAnsi="Palatino Linotype" w:cstheme="majorBidi"/>
          <w:iCs/>
          <w:sz w:val="24"/>
          <w:szCs w:val="24"/>
          <w:lang w:val="en-US"/>
        </w:rPr>
        <w:t>:</w:t>
      </w:r>
    </w:p>
    <w:p w14:paraId="0EA1EA4C" w14:textId="77777777" w:rsidR="00C101A1" w:rsidRDefault="00C101A1" w:rsidP="00C34312">
      <w:pPr>
        <w:jc w:val="both"/>
        <w:rPr>
          <w:rFonts w:ascii="Palatino Linotype" w:eastAsiaTheme="minorHAnsi" w:hAnsi="Palatino Linotype" w:cs="Times New Roman"/>
          <w:sz w:val="24"/>
          <w:szCs w:val="24"/>
          <w:lang w:eastAsia="en-US"/>
        </w:rPr>
      </w:pPr>
    </w:p>
    <w:p w14:paraId="013B13F1" w14:textId="77777777" w:rsidR="00C101A1" w:rsidRDefault="00C101A1" w:rsidP="00C34312">
      <w:pPr>
        <w:jc w:val="both"/>
        <w:rPr>
          <w:rFonts w:ascii="Palatino Linotype" w:eastAsiaTheme="minorHAnsi" w:hAnsi="Palatino Linotype" w:cs="Times New Roman"/>
          <w:sz w:val="24"/>
          <w:szCs w:val="24"/>
          <w:lang w:eastAsia="en-US"/>
        </w:rPr>
      </w:pPr>
    </w:p>
    <w:p w14:paraId="15FABA11" w14:textId="77777777" w:rsidR="00C101A1" w:rsidRDefault="00C101A1" w:rsidP="00C34312">
      <w:pPr>
        <w:jc w:val="both"/>
        <w:rPr>
          <w:rFonts w:ascii="Palatino Linotype" w:eastAsiaTheme="minorHAnsi" w:hAnsi="Palatino Linotype" w:cs="Times New Roman"/>
          <w:sz w:val="24"/>
          <w:szCs w:val="24"/>
          <w:lang w:eastAsia="en-US"/>
        </w:rPr>
      </w:pPr>
    </w:p>
    <w:p w14:paraId="69E05F96" w14:textId="77777777" w:rsidR="00C101A1" w:rsidRDefault="00C101A1" w:rsidP="00C34312">
      <w:pPr>
        <w:jc w:val="both"/>
        <w:rPr>
          <w:rFonts w:ascii="Palatino Linotype" w:eastAsiaTheme="minorHAnsi" w:hAnsi="Palatino Linotype" w:cs="Times New Roman"/>
          <w:sz w:val="24"/>
          <w:szCs w:val="24"/>
          <w:lang w:eastAsia="en-US"/>
        </w:rPr>
      </w:pPr>
    </w:p>
    <w:p w14:paraId="391B25A3" w14:textId="77777777" w:rsidR="00C101A1" w:rsidRDefault="00C101A1" w:rsidP="00C34312">
      <w:pPr>
        <w:jc w:val="both"/>
        <w:rPr>
          <w:rFonts w:ascii="Palatino Linotype" w:eastAsiaTheme="minorHAnsi" w:hAnsi="Palatino Linotype" w:cs="Times New Roman"/>
          <w:sz w:val="24"/>
          <w:szCs w:val="24"/>
          <w:lang w:eastAsia="en-US"/>
        </w:rPr>
      </w:pPr>
    </w:p>
    <w:p w14:paraId="6BD52760" w14:textId="77777777" w:rsidR="00C101A1" w:rsidRDefault="00C101A1" w:rsidP="00C34312">
      <w:pPr>
        <w:jc w:val="both"/>
        <w:rPr>
          <w:rFonts w:ascii="Palatino Linotype" w:eastAsiaTheme="minorHAnsi" w:hAnsi="Palatino Linotype" w:cs="Times New Roman"/>
          <w:sz w:val="24"/>
          <w:szCs w:val="24"/>
          <w:lang w:eastAsia="en-US"/>
        </w:rPr>
      </w:pPr>
    </w:p>
    <w:p w14:paraId="77C65A15" w14:textId="77777777" w:rsidR="00C101A1" w:rsidRDefault="00C101A1" w:rsidP="00C34312">
      <w:pPr>
        <w:jc w:val="both"/>
        <w:rPr>
          <w:rFonts w:ascii="Palatino Linotype" w:eastAsiaTheme="minorHAnsi" w:hAnsi="Palatino Linotype" w:cs="Times New Roman"/>
          <w:sz w:val="24"/>
          <w:szCs w:val="24"/>
          <w:lang w:eastAsia="en-US"/>
        </w:rPr>
      </w:pPr>
    </w:p>
    <w:p w14:paraId="052DCCB0" w14:textId="4799F12E" w:rsidR="00C34312" w:rsidRPr="005F304D" w:rsidRDefault="00C34312" w:rsidP="00C34312">
      <w:pPr>
        <w:jc w:val="both"/>
        <w:rPr>
          <w:rFonts w:ascii="Palatino Linotype" w:eastAsiaTheme="minorHAnsi" w:hAnsi="Palatino Linotype" w:cs="Times New Roman"/>
          <w:sz w:val="24"/>
          <w:szCs w:val="24"/>
          <w:lang w:eastAsia="en-US"/>
        </w:rPr>
      </w:pPr>
      <w:r w:rsidRPr="005F304D">
        <w:rPr>
          <w:rFonts w:ascii="Palatino Linotype" w:eastAsiaTheme="minorHAnsi" w:hAnsi="Palatino Linotype" w:cs="Times New Roman"/>
          <w:sz w:val="24"/>
          <w:szCs w:val="24"/>
          <w:lang w:eastAsia="en-US"/>
        </w:rPr>
        <w:lastRenderedPageBreak/>
        <w:t>Table 4: Perceived benefits of the Law Clinic experience</w:t>
      </w:r>
    </w:p>
    <w:tbl>
      <w:tblPr>
        <w:tblStyle w:val="TableGrid3"/>
        <w:tblW w:w="0" w:type="auto"/>
        <w:tblLook w:val="04A0" w:firstRow="1" w:lastRow="0" w:firstColumn="1" w:lastColumn="0" w:noHBand="0" w:noVBand="1"/>
      </w:tblPr>
      <w:tblGrid>
        <w:gridCol w:w="4514"/>
        <w:gridCol w:w="4502"/>
      </w:tblGrid>
      <w:tr w:rsidR="00C34312" w:rsidRPr="00C34312" w14:paraId="4759CA42" w14:textId="77777777" w:rsidTr="002029F7">
        <w:tc>
          <w:tcPr>
            <w:tcW w:w="4621" w:type="dxa"/>
          </w:tcPr>
          <w:p w14:paraId="4912315C" w14:textId="77777777" w:rsidR="00C34312" w:rsidRPr="00C34312" w:rsidRDefault="00C34312" w:rsidP="00C34312">
            <w:pPr>
              <w:spacing w:line="276" w:lineRule="auto"/>
              <w:jc w:val="both"/>
              <w:rPr>
                <w:rFonts w:ascii="Palatino Linotype" w:hAnsi="Palatino Linotype" w:cstheme="majorBidi"/>
                <w:b/>
                <w:iCs/>
                <w:lang w:val="en-US"/>
              </w:rPr>
            </w:pPr>
            <w:r w:rsidRPr="00C34312">
              <w:rPr>
                <w:rFonts w:ascii="Palatino Linotype" w:hAnsi="Palatino Linotype" w:cstheme="majorBidi"/>
                <w:b/>
                <w:iCs/>
                <w:lang w:val="en-US"/>
              </w:rPr>
              <w:t>Student comment</w:t>
            </w:r>
          </w:p>
        </w:tc>
        <w:tc>
          <w:tcPr>
            <w:tcW w:w="4621" w:type="dxa"/>
          </w:tcPr>
          <w:p w14:paraId="59FC83D1" w14:textId="77777777" w:rsidR="00C34312" w:rsidRPr="00C34312" w:rsidRDefault="00C34312" w:rsidP="00C34312">
            <w:pPr>
              <w:spacing w:line="276" w:lineRule="auto"/>
              <w:jc w:val="both"/>
              <w:rPr>
                <w:rFonts w:ascii="Palatino Linotype" w:hAnsi="Palatino Linotype" w:cstheme="majorBidi"/>
                <w:b/>
                <w:iCs/>
                <w:lang w:val="en-US"/>
              </w:rPr>
            </w:pPr>
            <w:r w:rsidRPr="00C34312">
              <w:rPr>
                <w:rFonts w:ascii="Palatino Linotype" w:hAnsi="Palatino Linotype" w:cstheme="majorBidi"/>
                <w:b/>
                <w:iCs/>
                <w:lang w:val="en-US"/>
              </w:rPr>
              <w:t>Skills</w:t>
            </w:r>
          </w:p>
        </w:tc>
      </w:tr>
      <w:tr w:rsidR="00C34312" w:rsidRPr="00C34312" w14:paraId="5C727DB4" w14:textId="77777777" w:rsidTr="002029F7">
        <w:tc>
          <w:tcPr>
            <w:tcW w:w="4621" w:type="dxa"/>
          </w:tcPr>
          <w:p w14:paraId="5AB11DF1"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rPr>
              <w:t>Improved client interviewing and legal drafting skills.</w:t>
            </w:r>
          </w:p>
        </w:tc>
        <w:tc>
          <w:tcPr>
            <w:tcW w:w="4621" w:type="dxa"/>
          </w:tcPr>
          <w:p w14:paraId="57D689D4"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Speaking, writing</w:t>
            </w:r>
          </w:p>
        </w:tc>
      </w:tr>
      <w:tr w:rsidR="00C34312" w:rsidRPr="00C34312" w14:paraId="05C55CD6" w14:textId="77777777" w:rsidTr="002029F7">
        <w:tc>
          <w:tcPr>
            <w:tcW w:w="4621" w:type="dxa"/>
          </w:tcPr>
          <w:p w14:paraId="2F4D4D9D"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rPr>
              <w:t>I believe my client interviewing and writing have improved since beginning the Clinic.</w:t>
            </w:r>
          </w:p>
        </w:tc>
        <w:tc>
          <w:tcPr>
            <w:tcW w:w="4621" w:type="dxa"/>
          </w:tcPr>
          <w:p w14:paraId="43A7571A"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Speaking, writing</w:t>
            </w:r>
          </w:p>
        </w:tc>
      </w:tr>
      <w:tr w:rsidR="00C34312" w:rsidRPr="00C34312" w14:paraId="67DEADFE" w14:textId="77777777" w:rsidTr="002029F7">
        <w:tc>
          <w:tcPr>
            <w:tcW w:w="4621" w:type="dxa"/>
          </w:tcPr>
          <w:p w14:paraId="7F872FCA" w14:textId="77777777" w:rsidR="00C34312" w:rsidRPr="00C34312" w:rsidRDefault="00C34312" w:rsidP="00C34312">
            <w:pPr>
              <w:spacing w:line="276" w:lineRule="auto"/>
              <w:jc w:val="both"/>
              <w:rPr>
                <w:rFonts w:ascii="Palatino Linotype" w:hAnsi="Palatino Linotype" w:cstheme="majorBidi"/>
                <w:iCs/>
              </w:rPr>
            </w:pPr>
            <w:r w:rsidRPr="00C34312">
              <w:rPr>
                <w:rFonts w:ascii="Palatino Linotype" w:hAnsi="Palatino Linotype" w:cstheme="majorBidi"/>
                <w:iCs/>
              </w:rPr>
              <w:t>I have gained a better understanding of general legal efficacy, interacting with clients and how to approach a broad range of commercial matters.</w:t>
            </w:r>
          </w:p>
        </w:tc>
        <w:tc>
          <w:tcPr>
            <w:tcW w:w="4621" w:type="dxa"/>
          </w:tcPr>
          <w:p w14:paraId="0041657A"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thinking, speaking, industry awareness, problem-solving, social contexts</w:t>
            </w:r>
          </w:p>
        </w:tc>
      </w:tr>
      <w:tr w:rsidR="00C34312" w:rsidRPr="00C34312" w14:paraId="0796E601" w14:textId="77777777" w:rsidTr="002029F7">
        <w:tc>
          <w:tcPr>
            <w:tcW w:w="4621" w:type="dxa"/>
          </w:tcPr>
          <w:p w14:paraId="64C5DDB6" w14:textId="77777777" w:rsidR="00C34312" w:rsidRPr="00C34312" w:rsidRDefault="00C34312" w:rsidP="00C34312">
            <w:pPr>
              <w:spacing w:line="276" w:lineRule="auto"/>
              <w:jc w:val="both"/>
              <w:rPr>
                <w:rFonts w:ascii="Palatino Linotype" w:hAnsi="Palatino Linotype" w:cstheme="majorBidi"/>
                <w:iCs/>
              </w:rPr>
            </w:pPr>
            <w:r w:rsidRPr="00C34312">
              <w:rPr>
                <w:rFonts w:ascii="Palatino Linotype" w:hAnsi="Palatino Linotype" w:cstheme="majorBidi"/>
                <w:iCs/>
              </w:rPr>
              <w:t>I have learnt to look at problems from a less strict legal sense and a more commercial sense. I have also enhanced my client interviewing skills.</w:t>
            </w:r>
          </w:p>
        </w:tc>
        <w:tc>
          <w:tcPr>
            <w:tcW w:w="4621" w:type="dxa"/>
          </w:tcPr>
          <w:p w14:paraId="15D781AF"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thinking, speaking, problem-solving, social contexts</w:t>
            </w:r>
          </w:p>
        </w:tc>
      </w:tr>
      <w:tr w:rsidR="00C34312" w:rsidRPr="00C34312" w14:paraId="3CE1317D" w14:textId="77777777" w:rsidTr="002029F7">
        <w:tc>
          <w:tcPr>
            <w:tcW w:w="4621" w:type="dxa"/>
          </w:tcPr>
          <w:p w14:paraId="43025628"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rPr>
              <w:t>I've learnt so much from participating in the clinic and it has been great experience.</w:t>
            </w:r>
          </w:p>
        </w:tc>
        <w:tc>
          <w:tcPr>
            <w:tcW w:w="4621" w:type="dxa"/>
          </w:tcPr>
          <w:p w14:paraId="4BB0134C"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problem-solving</w:t>
            </w:r>
          </w:p>
        </w:tc>
      </w:tr>
      <w:tr w:rsidR="00C34312" w:rsidRPr="00C34312" w14:paraId="17B44D21" w14:textId="77777777" w:rsidTr="002029F7">
        <w:tc>
          <w:tcPr>
            <w:tcW w:w="4621" w:type="dxa"/>
          </w:tcPr>
          <w:p w14:paraId="26344AF3"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rPr>
              <w:t>I feel a lot more comfortable with writing letters of advice now that I've had to write several.</w:t>
            </w:r>
          </w:p>
        </w:tc>
        <w:tc>
          <w:tcPr>
            <w:tcW w:w="4621" w:type="dxa"/>
          </w:tcPr>
          <w:p w14:paraId="3F2C0B24"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Writing, problem-solving</w:t>
            </w:r>
          </w:p>
        </w:tc>
      </w:tr>
      <w:tr w:rsidR="00C34312" w:rsidRPr="00C34312" w14:paraId="4746A25A" w14:textId="77777777" w:rsidTr="002029F7">
        <w:tc>
          <w:tcPr>
            <w:tcW w:w="4621" w:type="dxa"/>
          </w:tcPr>
          <w:p w14:paraId="7AFFB7C9"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rPr>
              <w:t>Improved real world application of the skills from classroom and how to implement these in a legal practice.</w:t>
            </w:r>
          </w:p>
        </w:tc>
        <w:tc>
          <w:tcPr>
            <w:tcW w:w="4621" w:type="dxa"/>
          </w:tcPr>
          <w:p w14:paraId="3F3AA131"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industry awareness, problem-solving</w:t>
            </w:r>
          </w:p>
        </w:tc>
      </w:tr>
      <w:tr w:rsidR="00C34312" w:rsidRPr="00C34312" w14:paraId="7747639F" w14:textId="77777777" w:rsidTr="002029F7">
        <w:tc>
          <w:tcPr>
            <w:tcW w:w="4621" w:type="dxa"/>
          </w:tcPr>
          <w:p w14:paraId="7BCF3075" w14:textId="77777777" w:rsidR="00C34312" w:rsidRPr="00C34312" w:rsidRDefault="00C34312" w:rsidP="00C34312">
            <w:pPr>
              <w:spacing w:line="276" w:lineRule="auto"/>
              <w:jc w:val="both"/>
              <w:rPr>
                <w:rFonts w:ascii="Palatino Linotype" w:hAnsi="Palatino Linotype" w:cstheme="majorBidi"/>
                <w:iCs/>
              </w:rPr>
            </w:pPr>
            <w:r w:rsidRPr="00C34312">
              <w:rPr>
                <w:rFonts w:ascii="Palatino Linotype" w:hAnsi="Palatino Linotype" w:cstheme="majorBidi"/>
                <w:iCs/>
              </w:rPr>
              <w:t>It gave me the opportunity to see first-hand how client interviewing works and I found my ability to draft legal advice developed throughout the weeks.</w:t>
            </w:r>
          </w:p>
        </w:tc>
        <w:tc>
          <w:tcPr>
            <w:tcW w:w="4621" w:type="dxa"/>
          </w:tcPr>
          <w:p w14:paraId="5682E992"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speaking, writing, problem-solving</w:t>
            </w:r>
          </w:p>
        </w:tc>
      </w:tr>
      <w:tr w:rsidR="00C34312" w:rsidRPr="00C34312" w14:paraId="24D48D23" w14:textId="77777777" w:rsidTr="002029F7">
        <w:tc>
          <w:tcPr>
            <w:tcW w:w="4621" w:type="dxa"/>
          </w:tcPr>
          <w:p w14:paraId="08C5C5F3" w14:textId="77777777" w:rsidR="00C34312" w:rsidRPr="00C34312" w:rsidRDefault="00C34312" w:rsidP="00C34312">
            <w:pPr>
              <w:spacing w:line="276" w:lineRule="auto"/>
              <w:jc w:val="both"/>
              <w:rPr>
                <w:rFonts w:ascii="Palatino Linotype" w:hAnsi="Palatino Linotype" w:cstheme="majorBidi"/>
                <w:iCs/>
              </w:rPr>
            </w:pPr>
            <w:r w:rsidRPr="00C34312">
              <w:rPr>
                <w:rFonts w:ascii="Palatino Linotype" w:hAnsi="Palatino Linotype" w:cstheme="majorBidi"/>
                <w:iCs/>
              </w:rPr>
              <w:t>I feel more confident communicating with clients on commercial law matters, providing summaries to the supervising lawyers, and drafting advice.</w:t>
            </w:r>
          </w:p>
        </w:tc>
        <w:tc>
          <w:tcPr>
            <w:tcW w:w="4621" w:type="dxa"/>
          </w:tcPr>
          <w:p w14:paraId="2647A012" w14:textId="77777777" w:rsidR="00C34312" w:rsidRPr="00C34312" w:rsidRDefault="00C34312" w:rsidP="00C34312">
            <w:pPr>
              <w:spacing w:line="276" w:lineRule="auto"/>
              <w:jc w:val="both"/>
              <w:rPr>
                <w:rFonts w:ascii="Palatino Linotype" w:hAnsi="Palatino Linotype" w:cstheme="majorBidi"/>
                <w:iCs/>
                <w:lang w:val="en-US"/>
              </w:rPr>
            </w:pPr>
            <w:r w:rsidRPr="00C34312">
              <w:rPr>
                <w:rFonts w:ascii="Palatino Linotype" w:hAnsi="Palatino Linotype" w:cstheme="majorBidi"/>
                <w:iCs/>
                <w:lang w:val="en-US"/>
              </w:rPr>
              <w:t>Knowledge, speaking, writing, problem-solving, social contexts</w:t>
            </w:r>
          </w:p>
        </w:tc>
      </w:tr>
    </w:tbl>
    <w:p w14:paraId="73AE90CF" w14:textId="77777777" w:rsidR="00C34312" w:rsidRDefault="00C34312" w:rsidP="00C34312">
      <w:pPr>
        <w:spacing w:line="480" w:lineRule="auto"/>
        <w:jc w:val="both"/>
        <w:rPr>
          <w:rFonts w:ascii="Palatino Linotype" w:hAnsi="Palatino Linotype"/>
          <w:iCs/>
          <w:sz w:val="24"/>
          <w:szCs w:val="24"/>
        </w:rPr>
      </w:pPr>
    </w:p>
    <w:p w14:paraId="295DDA03" w14:textId="4A72DC19" w:rsidR="0086489B" w:rsidRPr="005F304D" w:rsidRDefault="008F3285"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 xml:space="preserve">It appeared </w:t>
      </w:r>
      <w:r w:rsidR="00692874" w:rsidRPr="005F304D">
        <w:rPr>
          <w:rFonts w:ascii="Palatino Linotype" w:hAnsi="Palatino Linotype" w:cstheme="majorBidi"/>
          <w:iCs/>
          <w:sz w:val="24"/>
          <w:szCs w:val="24"/>
        </w:rPr>
        <w:t xml:space="preserve">from this research </w:t>
      </w:r>
      <w:r w:rsidRPr="005F304D">
        <w:rPr>
          <w:rFonts w:ascii="Palatino Linotype" w:hAnsi="Palatino Linotype" w:cstheme="majorBidi"/>
          <w:iCs/>
          <w:sz w:val="24"/>
          <w:szCs w:val="24"/>
        </w:rPr>
        <w:t xml:space="preserve">that students specifically recognised an increase in their knowledge, </w:t>
      </w:r>
      <w:r w:rsidRPr="005F304D">
        <w:rPr>
          <w:rFonts w:ascii="Palatino Linotype" w:hAnsi="Palatino Linotype" w:cstheme="majorBidi"/>
          <w:iCs/>
          <w:sz w:val="24"/>
          <w:szCs w:val="24"/>
          <w:lang w:val="en-US"/>
        </w:rPr>
        <w:t xml:space="preserve">speaking, writing, problem-solving and industry awareness skills. </w:t>
      </w:r>
      <w:r w:rsidR="00950E56" w:rsidRPr="005F304D">
        <w:rPr>
          <w:rFonts w:ascii="Palatino Linotype" w:hAnsi="Palatino Linotype" w:cstheme="majorBidi"/>
          <w:iCs/>
          <w:sz w:val="24"/>
          <w:szCs w:val="24"/>
          <w:lang w:val="en-US"/>
        </w:rPr>
        <w:t>However, the development of these skills is</w:t>
      </w:r>
      <w:r w:rsidRPr="005F304D">
        <w:rPr>
          <w:rFonts w:ascii="Palatino Linotype" w:hAnsi="Palatino Linotype" w:cstheme="majorBidi"/>
          <w:iCs/>
          <w:sz w:val="24"/>
          <w:szCs w:val="24"/>
          <w:lang w:val="en-US"/>
        </w:rPr>
        <w:t xml:space="preserve"> also underpinned by quantitative problem</w:t>
      </w:r>
      <w:r w:rsidR="00692874" w:rsidRPr="005F304D">
        <w:rPr>
          <w:rFonts w:ascii="Palatino Linotype" w:hAnsi="Palatino Linotype" w:cstheme="majorBidi"/>
          <w:iCs/>
          <w:sz w:val="24"/>
          <w:szCs w:val="24"/>
          <w:lang w:val="en-US"/>
        </w:rPr>
        <w:t>-</w:t>
      </w:r>
      <w:r w:rsidRPr="005F304D">
        <w:rPr>
          <w:rFonts w:ascii="Palatino Linotype" w:hAnsi="Palatino Linotype" w:cstheme="majorBidi"/>
          <w:iCs/>
          <w:sz w:val="24"/>
          <w:szCs w:val="24"/>
          <w:lang w:val="en-US"/>
        </w:rPr>
        <w:t>solving skills (individual clients’</w:t>
      </w:r>
      <w:r w:rsidR="00950E56" w:rsidRPr="005F304D">
        <w:rPr>
          <w:rFonts w:ascii="Palatino Linotype" w:hAnsi="Palatino Linotype" w:cstheme="majorBidi"/>
          <w:iCs/>
          <w:sz w:val="24"/>
          <w:szCs w:val="24"/>
          <w:lang w:val="en-US"/>
        </w:rPr>
        <w:t xml:space="preserve"> </w:t>
      </w:r>
      <w:r w:rsidRPr="005F304D">
        <w:rPr>
          <w:rFonts w:ascii="Palatino Linotype" w:hAnsi="Palatino Linotype" w:cstheme="majorBidi"/>
          <w:iCs/>
          <w:sz w:val="24"/>
          <w:szCs w:val="24"/>
          <w:lang w:val="en-US"/>
        </w:rPr>
        <w:t>problems), community engagement</w:t>
      </w:r>
      <w:r w:rsidR="00C044C0" w:rsidRPr="005F304D">
        <w:rPr>
          <w:rFonts w:ascii="Palatino Linotype" w:hAnsi="Palatino Linotype" w:cstheme="majorBidi"/>
          <w:iCs/>
          <w:sz w:val="24"/>
          <w:szCs w:val="24"/>
          <w:lang w:val="en-US"/>
        </w:rPr>
        <w:t>,</w:t>
      </w:r>
      <w:r w:rsidRPr="005F304D">
        <w:rPr>
          <w:rFonts w:ascii="Palatino Linotype" w:hAnsi="Palatino Linotype" w:cstheme="majorBidi"/>
          <w:iCs/>
          <w:sz w:val="24"/>
          <w:szCs w:val="24"/>
          <w:lang w:val="en-US"/>
        </w:rPr>
        <w:t xml:space="preserve"> and </w:t>
      </w:r>
      <w:r w:rsidRPr="005F304D">
        <w:rPr>
          <w:rFonts w:ascii="Palatino Linotype" w:hAnsi="Palatino Linotype" w:cstheme="majorBidi"/>
          <w:iCs/>
          <w:sz w:val="24"/>
          <w:szCs w:val="24"/>
          <w:lang w:val="en-US"/>
        </w:rPr>
        <w:lastRenderedPageBreak/>
        <w:t>the values</w:t>
      </w:r>
      <w:r w:rsidR="00950E56" w:rsidRPr="005F304D">
        <w:rPr>
          <w:rFonts w:ascii="Palatino Linotype" w:hAnsi="Palatino Linotype" w:cstheme="majorBidi"/>
          <w:iCs/>
          <w:sz w:val="24"/>
          <w:szCs w:val="24"/>
          <w:lang w:val="en-US"/>
        </w:rPr>
        <w:t xml:space="preserve"> and ethics associated with the legal profession. As students work closely with supervising lawyers, all of these skills are strengthened simultaneously. It ca</w:t>
      </w:r>
      <w:r w:rsidR="009239A2" w:rsidRPr="005F304D">
        <w:rPr>
          <w:rFonts w:ascii="Palatino Linotype" w:hAnsi="Palatino Linotype" w:cstheme="majorBidi"/>
          <w:iCs/>
          <w:sz w:val="24"/>
          <w:szCs w:val="24"/>
          <w:lang w:val="en-US"/>
        </w:rPr>
        <w:t>n also be noted</w:t>
      </w:r>
      <w:r w:rsidR="00950E56" w:rsidRPr="005F304D">
        <w:rPr>
          <w:rFonts w:ascii="Palatino Linotype" w:hAnsi="Palatino Linotype" w:cstheme="majorBidi"/>
          <w:iCs/>
          <w:sz w:val="24"/>
          <w:szCs w:val="24"/>
          <w:lang w:val="en-US"/>
        </w:rPr>
        <w:t xml:space="preserve"> that other skills such as teamwork and intercultural understanding are inter-related with the skills mentioned, as students work in team situations and deal with a variety of clients during their clinic experience.</w:t>
      </w:r>
    </w:p>
    <w:p w14:paraId="10817591" w14:textId="77777777" w:rsidR="009239A2" w:rsidRPr="005F304D" w:rsidRDefault="009239A2" w:rsidP="00C34312">
      <w:pPr>
        <w:spacing w:line="480" w:lineRule="auto"/>
        <w:jc w:val="both"/>
        <w:rPr>
          <w:rFonts w:ascii="Palatino Linotype" w:hAnsi="Palatino Linotype" w:cstheme="majorBidi"/>
          <w:b/>
          <w:bCs/>
          <w:iCs/>
          <w:sz w:val="24"/>
          <w:szCs w:val="24"/>
        </w:rPr>
      </w:pPr>
      <w:r w:rsidRPr="005F304D">
        <w:rPr>
          <w:rFonts w:ascii="Palatino Linotype" w:hAnsi="Palatino Linotype" w:cstheme="majorBidi"/>
          <w:b/>
          <w:bCs/>
          <w:iCs/>
          <w:sz w:val="24"/>
          <w:szCs w:val="24"/>
        </w:rPr>
        <w:t>C</w:t>
      </w:r>
      <w:r w:rsidR="00A615B6" w:rsidRPr="005F304D">
        <w:rPr>
          <w:rFonts w:ascii="Palatino Linotype" w:hAnsi="Palatino Linotype" w:cstheme="majorBidi"/>
          <w:b/>
          <w:bCs/>
          <w:iCs/>
          <w:sz w:val="24"/>
          <w:szCs w:val="24"/>
        </w:rPr>
        <w:t>onclusion</w:t>
      </w:r>
    </w:p>
    <w:p w14:paraId="5187F24C" w14:textId="77777777" w:rsidR="00B70BFA" w:rsidRPr="005F304D" w:rsidRDefault="00B70BFA"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 xml:space="preserve">Despite the fact that pro bono clinics are </w:t>
      </w:r>
      <w:r w:rsidR="00871522" w:rsidRPr="005F304D">
        <w:rPr>
          <w:rFonts w:ascii="Palatino Linotype" w:hAnsi="Palatino Linotype" w:cstheme="majorBidi"/>
          <w:iCs/>
          <w:sz w:val="24"/>
          <w:szCs w:val="24"/>
        </w:rPr>
        <w:t>generally</w:t>
      </w:r>
      <w:r w:rsidRPr="005F304D">
        <w:rPr>
          <w:rFonts w:ascii="Palatino Linotype" w:hAnsi="Palatino Linotype" w:cstheme="majorBidi"/>
          <w:iCs/>
          <w:sz w:val="24"/>
          <w:szCs w:val="24"/>
        </w:rPr>
        <w:t xml:space="preserve"> regarded as having a primary focus of community service</w:t>
      </w:r>
      <w:r w:rsidR="0071212E" w:rsidRPr="005F304D">
        <w:rPr>
          <w:rFonts w:ascii="Palatino Linotype" w:hAnsi="Palatino Linotype" w:cstheme="majorBidi"/>
          <w:iCs/>
          <w:sz w:val="24"/>
          <w:szCs w:val="24"/>
        </w:rPr>
        <w:t xml:space="preserve"> (Corker, 2005, p. 6)</w:t>
      </w:r>
      <w:r w:rsidRPr="005F304D">
        <w:rPr>
          <w:rFonts w:ascii="Palatino Linotype" w:hAnsi="Palatino Linotype" w:cstheme="majorBidi"/>
          <w:iCs/>
          <w:sz w:val="24"/>
          <w:szCs w:val="24"/>
        </w:rPr>
        <w:t xml:space="preserve">, </w:t>
      </w:r>
      <w:r w:rsidRPr="005F304D">
        <w:rPr>
          <w:rFonts w:ascii="Palatino Linotype" w:hAnsi="Palatino Linotype" w:cstheme="majorBidi"/>
          <w:iCs/>
          <w:sz w:val="24"/>
          <w:szCs w:val="24"/>
          <w:lang w:val="en-US"/>
        </w:rPr>
        <w:t>and instilling future graduates with a community and public service rooted mentality</w:t>
      </w:r>
      <w:r w:rsidR="0071212E" w:rsidRPr="005F304D">
        <w:rPr>
          <w:rFonts w:ascii="Palatino Linotype" w:hAnsi="Palatino Linotype" w:cstheme="majorBidi"/>
          <w:iCs/>
          <w:sz w:val="24"/>
          <w:szCs w:val="24"/>
          <w:lang w:val="en-US"/>
        </w:rPr>
        <w:t xml:space="preserve"> (Booth, 2004, p. 280)</w:t>
      </w:r>
      <w:r w:rsidRPr="005F304D">
        <w:rPr>
          <w:rFonts w:ascii="Palatino Linotype" w:hAnsi="Palatino Linotype" w:cstheme="majorBidi"/>
          <w:iCs/>
          <w:sz w:val="24"/>
          <w:szCs w:val="24"/>
          <w:lang w:val="en-US"/>
        </w:rPr>
        <w:t xml:space="preserve">, they present considerable learning opportunities for students.  </w:t>
      </w:r>
      <w:r w:rsidR="00DD391D" w:rsidRPr="005F304D">
        <w:rPr>
          <w:rFonts w:ascii="Palatino Linotype" w:hAnsi="Palatino Linotype" w:cstheme="majorBidi"/>
          <w:iCs/>
          <w:sz w:val="24"/>
          <w:szCs w:val="24"/>
          <w:lang w:val="en-US"/>
        </w:rPr>
        <w:t xml:space="preserve">It has been shown that </w:t>
      </w:r>
      <w:r w:rsidRPr="005F304D">
        <w:rPr>
          <w:rFonts w:ascii="Palatino Linotype" w:hAnsi="Palatino Linotype" w:cstheme="majorBidi"/>
          <w:iCs/>
          <w:sz w:val="24"/>
          <w:szCs w:val="24"/>
        </w:rPr>
        <w:t>the habits of mind, work ethic, behaviours and professional identity learners develop through experiential opportunities in higher education are critical to their graduate employability</w:t>
      </w:r>
      <w:r w:rsidR="00AA7DC2" w:rsidRPr="005F304D">
        <w:rPr>
          <w:rFonts w:ascii="Palatino Linotype" w:hAnsi="Palatino Linotype" w:cstheme="majorBidi"/>
          <w:iCs/>
          <w:sz w:val="24"/>
          <w:szCs w:val="24"/>
        </w:rPr>
        <w:t xml:space="preserve"> (Yorke &amp; Knight, 2006)</w:t>
      </w:r>
      <w:r w:rsidRPr="005F304D">
        <w:rPr>
          <w:rFonts w:ascii="Palatino Linotype" w:hAnsi="Palatino Linotype" w:cstheme="majorBidi"/>
          <w:iCs/>
          <w:sz w:val="24"/>
          <w:szCs w:val="24"/>
        </w:rPr>
        <w:t>.</w:t>
      </w:r>
      <w:r w:rsidR="00871522" w:rsidRPr="005F304D">
        <w:rPr>
          <w:rFonts w:ascii="Palatino Linotype" w:hAnsi="Palatino Linotype" w:cstheme="majorBidi"/>
          <w:iCs/>
          <w:sz w:val="24"/>
          <w:szCs w:val="24"/>
        </w:rPr>
        <w:t xml:space="preserve"> Pro bono law clinics offer such experiential prospects</w:t>
      </w:r>
      <w:r w:rsidR="00B53A6E" w:rsidRPr="005F304D">
        <w:rPr>
          <w:rFonts w:ascii="Palatino Linotype" w:hAnsi="Palatino Linotype" w:cstheme="majorBidi"/>
          <w:iCs/>
          <w:sz w:val="24"/>
          <w:szCs w:val="24"/>
        </w:rPr>
        <w:t>.</w:t>
      </w:r>
      <w:r w:rsidR="00871522" w:rsidRPr="005F304D">
        <w:rPr>
          <w:rFonts w:ascii="Palatino Linotype" w:hAnsi="Palatino Linotype" w:cstheme="majorBidi"/>
          <w:iCs/>
          <w:sz w:val="24"/>
          <w:szCs w:val="24"/>
        </w:rPr>
        <w:t xml:space="preserve"> </w:t>
      </w:r>
      <w:r w:rsidR="00B53A6E" w:rsidRPr="005F304D">
        <w:rPr>
          <w:rFonts w:ascii="Palatino Linotype" w:hAnsi="Palatino Linotype" w:cstheme="majorBidi"/>
          <w:iCs/>
          <w:sz w:val="24"/>
          <w:szCs w:val="24"/>
        </w:rPr>
        <w:t>T</w:t>
      </w:r>
      <w:r w:rsidR="00DD391D" w:rsidRPr="005F304D">
        <w:rPr>
          <w:rFonts w:ascii="Palatino Linotype" w:hAnsi="Palatino Linotype" w:cstheme="majorBidi"/>
          <w:iCs/>
          <w:sz w:val="24"/>
          <w:szCs w:val="24"/>
        </w:rPr>
        <w:t xml:space="preserve">his research shows a significant </w:t>
      </w:r>
      <w:r w:rsidR="00963864" w:rsidRPr="005F304D">
        <w:rPr>
          <w:rFonts w:ascii="Palatino Linotype" w:hAnsi="Palatino Linotype" w:cstheme="majorBidi"/>
          <w:iCs/>
          <w:sz w:val="24"/>
          <w:szCs w:val="24"/>
        </w:rPr>
        <w:t xml:space="preserve">average </w:t>
      </w:r>
      <w:r w:rsidR="00DD391D" w:rsidRPr="005F304D">
        <w:rPr>
          <w:rFonts w:ascii="Palatino Linotype" w:hAnsi="Palatino Linotype" w:cstheme="majorBidi"/>
          <w:iCs/>
          <w:sz w:val="24"/>
          <w:szCs w:val="24"/>
        </w:rPr>
        <w:t xml:space="preserve">increase </w:t>
      </w:r>
      <w:r w:rsidR="00963864" w:rsidRPr="005F304D">
        <w:rPr>
          <w:rFonts w:ascii="Palatino Linotype" w:hAnsi="Palatino Linotype" w:cstheme="majorBidi"/>
          <w:iCs/>
          <w:sz w:val="24"/>
          <w:szCs w:val="24"/>
        </w:rPr>
        <w:t xml:space="preserve">of 13% </w:t>
      </w:r>
      <w:r w:rsidR="00DD391D" w:rsidRPr="005F304D">
        <w:rPr>
          <w:rFonts w:ascii="Palatino Linotype" w:hAnsi="Palatino Linotype" w:cstheme="majorBidi"/>
          <w:iCs/>
          <w:sz w:val="24"/>
          <w:szCs w:val="24"/>
        </w:rPr>
        <w:t>in perceptions of competency in students after attending a semester long pro bono law clinic</w:t>
      </w:r>
      <w:r w:rsidR="00871522" w:rsidRPr="005F304D">
        <w:rPr>
          <w:rFonts w:ascii="Palatino Linotype" w:hAnsi="Palatino Linotype" w:cstheme="majorBidi"/>
          <w:iCs/>
          <w:sz w:val="24"/>
          <w:szCs w:val="24"/>
        </w:rPr>
        <w:t>.</w:t>
      </w:r>
      <w:r w:rsidR="00963864" w:rsidRPr="005F304D">
        <w:rPr>
          <w:rFonts w:ascii="Palatino Linotype" w:hAnsi="Palatino Linotype" w:cstheme="majorBidi"/>
          <w:iCs/>
          <w:sz w:val="24"/>
          <w:szCs w:val="24"/>
        </w:rPr>
        <w:t xml:space="preserve"> In a faculty run clinic such as the Commercial Law Clinic, students reported even larger average improvements in their graduate capabilities of 16%.  These results were supported by qualitative data collected in follow-up surveys, where students mentioned amplified levels of skill in attributes such as knowledge, writing, speaking and problem-solving.</w:t>
      </w:r>
      <w:r w:rsidR="00871522" w:rsidRPr="005F304D">
        <w:rPr>
          <w:rFonts w:ascii="Palatino Linotype" w:hAnsi="Palatino Linotype" w:cstheme="majorBidi"/>
          <w:iCs/>
          <w:sz w:val="24"/>
          <w:szCs w:val="24"/>
        </w:rPr>
        <w:t xml:space="preserve"> In comparison the</w:t>
      </w:r>
      <w:r w:rsidR="00DD391D" w:rsidRPr="005F304D">
        <w:rPr>
          <w:rFonts w:ascii="Palatino Linotype" w:hAnsi="Palatino Linotype" w:cstheme="majorBidi"/>
          <w:iCs/>
          <w:sz w:val="24"/>
          <w:szCs w:val="24"/>
        </w:rPr>
        <w:t xml:space="preserve"> </w:t>
      </w:r>
      <w:r w:rsidR="00871522" w:rsidRPr="005F304D">
        <w:rPr>
          <w:rFonts w:ascii="Palatino Linotype" w:hAnsi="Palatino Linotype" w:cstheme="majorBidi"/>
          <w:iCs/>
          <w:sz w:val="24"/>
          <w:szCs w:val="24"/>
        </w:rPr>
        <w:t xml:space="preserve">control group showed </w:t>
      </w:r>
      <w:r w:rsidR="00963864" w:rsidRPr="005F304D">
        <w:rPr>
          <w:rFonts w:ascii="Palatino Linotype" w:hAnsi="Palatino Linotype" w:cstheme="majorBidi"/>
          <w:iCs/>
          <w:sz w:val="24"/>
          <w:szCs w:val="24"/>
        </w:rPr>
        <w:t xml:space="preserve">only </w:t>
      </w:r>
      <w:r w:rsidR="00871522" w:rsidRPr="005F304D">
        <w:rPr>
          <w:rFonts w:ascii="Palatino Linotype" w:hAnsi="Palatino Linotype" w:cstheme="majorBidi"/>
          <w:iCs/>
          <w:sz w:val="24"/>
          <w:szCs w:val="24"/>
        </w:rPr>
        <w:t xml:space="preserve">a minimal </w:t>
      </w:r>
      <w:r w:rsidR="00871522" w:rsidRPr="005F304D">
        <w:rPr>
          <w:rFonts w:ascii="Palatino Linotype" w:hAnsi="Palatino Linotype" w:cstheme="majorBidi"/>
          <w:iCs/>
          <w:sz w:val="24"/>
          <w:szCs w:val="24"/>
        </w:rPr>
        <w:lastRenderedPageBreak/>
        <w:t xml:space="preserve">increase </w:t>
      </w:r>
      <w:r w:rsidR="00963864" w:rsidRPr="005F304D">
        <w:rPr>
          <w:rFonts w:ascii="Palatino Linotype" w:hAnsi="Palatino Linotype" w:cstheme="majorBidi"/>
          <w:iCs/>
          <w:sz w:val="24"/>
          <w:szCs w:val="24"/>
        </w:rPr>
        <w:t xml:space="preserve">of 2.7% </w:t>
      </w:r>
      <w:r w:rsidR="00871522" w:rsidRPr="005F304D">
        <w:rPr>
          <w:rFonts w:ascii="Palatino Linotype" w:hAnsi="Palatino Linotype" w:cstheme="majorBidi"/>
          <w:iCs/>
          <w:sz w:val="24"/>
          <w:szCs w:val="24"/>
        </w:rPr>
        <w:t xml:space="preserve">in competency, with a number of students </w:t>
      </w:r>
      <w:r w:rsidR="00963864" w:rsidRPr="005F304D">
        <w:rPr>
          <w:rFonts w:ascii="Palatino Linotype" w:hAnsi="Palatino Linotype" w:cstheme="majorBidi"/>
          <w:iCs/>
          <w:sz w:val="24"/>
          <w:szCs w:val="24"/>
        </w:rPr>
        <w:t>experiencing a decrease in their competency</w:t>
      </w:r>
      <w:r w:rsidR="00DD391D" w:rsidRPr="005F304D">
        <w:rPr>
          <w:rFonts w:ascii="Palatino Linotype" w:hAnsi="Palatino Linotype" w:cstheme="majorBidi"/>
          <w:iCs/>
          <w:sz w:val="24"/>
          <w:szCs w:val="24"/>
        </w:rPr>
        <w:t xml:space="preserve">. </w:t>
      </w:r>
    </w:p>
    <w:p w14:paraId="7DC57CE6" w14:textId="1264B44B" w:rsidR="00DD391D" w:rsidRPr="005F304D" w:rsidRDefault="00DD391D"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 xml:space="preserve">Whether the results of the surveys are borne out by students’ future </w:t>
      </w:r>
      <w:r w:rsidR="00963864" w:rsidRPr="005F304D">
        <w:rPr>
          <w:rFonts w:ascii="Palatino Linotype" w:hAnsi="Palatino Linotype" w:cstheme="majorBidi"/>
          <w:iCs/>
          <w:sz w:val="24"/>
          <w:szCs w:val="24"/>
        </w:rPr>
        <w:t>career</w:t>
      </w:r>
      <w:r w:rsidRPr="005F304D">
        <w:rPr>
          <w:rFonts w:ascii="Palatino Linotype" w:hAnsi="Palatino Linotype" w:cstheme="majorBidi"/>
          <w:iCs/>
          <w:sz w:val="24"/>
          <w:szCs w:val="24"/>
        </w:rPr>
        <w:t xml:space="preserve"> success can only be established through further research and more extensive studies, which would involve employers and continue into the graduate lawyer’s working life.</w:t>
      </w:r>
      <w:r w:rsidR="00FB0F73" w:rsidRPr="005F304D">
        <w:rPr>
          <w:rFonts w:ascii="Palatino Linotype" w:hAnsi="Palatino Linotype" w:cstheme="majorBidi"/>
          <w:iCs/>
          <w:sz w:val="24"/>
          <w:szCs w:val="24"/>
        </w:rPr>
        <w:t xml:space="preserve"> Oliver et al</w:t>
      </w:r>
      <w:r w:rsidR="00AA7DC2" w:rsidRPr="005F304D">
        <w:rPr>
          <w:rFonts w:ascii="Palatino Linotype" w:hAnsi="Palatino Linotype" w:cstheme="majorBidi"/>
          <w:iCs/>
          <w:sz w:val="24"/>
          <w:szCs w:val="24"/>
        </w:rPr>
        <w:t>. (2011, p. 7)</w:t>
      </w:r>
      <w:r w:rsidR="00FB0F73" w:rsidRPr="005F304D">
        <w:rPr>
          <w:rFonts w:ascii="Palatino Linotype" w:hAnsi="Palatino Linotype" w:cstheme="majorBidi"/>
          <w:iCs/>
          <w:sz w:val="24"/>
          <w:szCs w:val="24"/>
        </w:rPr>
        <w:t xml:space="preserve"> set out guidelines for conducting such research, </w:t>
      </w:r>
      <w:r w:rsidR="00963864" w:rsidRPr="005F304D">
        <w:rPr>
          <w:rFonts w:ascii="Palatino Linotype" w:hAnsi="Palatino Linotype" w:cstheme="majorBidi"/>
          <w:iCs/>
          <w:sz w:val="24"/>
          <w:szCs w:val="24"/>
        </w:rPr>
        <w:t>and comment</w:t>
      </w:r>
      <w:r w:rsidR="00FB0F73" w:rsidRPr="005F304D">
        <w:rPr>
          <w:rFonts w:ascii="Palatino Linotype" w:hAnsi="Palatino Linotype" w:cstheme="majorBidi"/>
          <w:iCs/>
          <w:sz w:val="24"/>
          <w:szCs w:val="24"/>
        </w:rPr>
        <w:t xml:space="preserve"> that there is no routine and systemic collection of evidence of other stakeholders’ views of graduates’ achievement of employability skills in Australian higher education, even though reports suggest that employers are often less than satisfied with graduate skills.</w:t>
      </w:r>
    </w:p>
    <w:p w14:paraId="1C5587E1" w14:textId="0A694C50" w:rsidR="00B70BFA" w:rsidRPr="005F304D" w:rsidRDefault="00963864" w:rsidP="00C34312">
      <w:pPr>
        <w:spacing w:line="480" w:lineRule="auto"/>
        <w:jc w:val="both"/>
        <w:rPr>
          <w:rFonts w:ascii="Palatino Linotype" w:hAnsi="Palatino Linotype" w:cstheme="majorBidi"/>
          <w:iCs/>
          <w:sz w:val="24"/>
          <w:szCs w:val="24"/>
        </w:rPr>
      </w:pPr>
      <w:r w:rsidRPr="005F304D">
        <w:rPr>
          <w:rFonts w:ascii="Palatino Linotype" w:hAnsi="Palatino Linotype" w:cstheme="majorBidi"/>
          <w:iCs/>
          <w:sz w:val="24"/>
          <w:szCs w:val="24"/>
        </w:rPr>
        <w:t xml:space="preserve">This may be as a result of the constraints in conducting such research. </w:t>
      </w:r>
      <w:r w:rsidR="00FB0F73" w:rsidRPr="005F304D">
        <w:rPr>
          <w:rFonts w:ascii="Palatino Linotype" w:hAnsi="Palatino Linotype" w:cstheme="majorBidi"/>
          <w:iCs/>
          <w:sz w:val="24"/>
          <w:szCs w:val="24"/>
        </w:rPr>
        <w:t>It is acknowledged here that employers are an independent voice who can provide highly valuable feedback on graduate outcomes</w:t>
      </w:r>
      <w:r w:rsidR="00AA7DC2" w:rsidRPr="005F304D">
        <w:rPr>
          <w:rFonts w:ascii="Palatino Linotype" w:hAnsi="Palatino Linotype" w:cstheme="majorBidi"/>
          <w:iCs/>
          <w:sz w:val="24"/>
          <w:szCs w:val="24"/>
        </w:rPr>
        <w:t xml:space="preserve"> (Coates, 2009b)</w:t>
      </w:r>
      <w:r w:rsidR="00FB0F73" w:rsidRPr="005F304D">
        <w:rPr>
          <w:rFonts w:ascii="Palatino Linotype" w:hAnsi="Palatino Linotype" w:cstheme="majorBidi"/>
          <w:iCs/>
          <w:sz w:val="24"/>
          <w:szCs w:val="24"/>
        </w:rPr>
        <w:t xml:space="preserve">, however, </w:t>
      </w:r>
      <w:r w:rsidR="00002F2F" w:rsidRPr="005F304D">
        <w:rPr>
          <w:rFonts w:ascii="Palatino Linotype" w:hAnsi="Palatino Linotype" w:cstheme="majorBidi"/>
          <w:iCs/>
          <w:sz w:val="24"/>
          <w:szCs w:val="24"/>
        </w:rPr>
        <w:t xml:space="preserve">there are challenges associated with such further research, </w:t>
      </w:r>
      <w:r w:rsidRPr="005F304D">
        <w:rPr>
          <w:rFonts w:ascii="Palatino Linotype" w:hAnsi="Palatino Linotype" w:cstheme="majorBidi"/>
          <w:iCs/>
          <w:sz w:val="24"/>
          <w:szCs w:val="24"/>
        </w:rPr>
        <w:t>for example</w:t>
      </w:r>
      <w:r w:rsidR="00002F2F" w:rsidRPr="005F304D">
        <w:rPr>
          <w:rFonts w:ascii="Palatino Linotype" w:hAnsi="Palatino Linotype" w:cstheme="majorBidi"/>
          <w:iCs/>
          <w:sz w:val="24"/>
          <w:szCs w:val="24"/>
        </w:rPr>
        <w:t>: the</w:t>
      </w:r>
      <w:r w:rsidRPr="005F304D">
        <w:rPr>
          <w:rFonts w:ascii="Palatino Linotype" w:hAnsi="Palatino Linotype" w:cstheme="majorBidi"/>
          <w:iCs/>
          <w:sz w:val="24"/>
          <w:szCs w:val="24"/>
        </w:rPr>
        <w:t xml:space="preserve"> length of the research phase and funding considerations (as the</w:t>
      </w:r>
      <w:r w:rsidR="00002F2F" w:rsidRPr="005F304D">
        <w:rPr>
          <w:rFonts w:ascii="Palatino Linotype" w:hAnsi="Palatino Linotype" w:cstheme="majorBidi"/>
          <w:iCs/>
          <w:sz w:val="24"/>
          <w:szCs w:val="24"/>
        </w:rPr>
        <w:t xml:space="preserve"> research would need to be conducted over a considerable time period to assess a group of students during and after their </w:t>
      </w:r>
      <w:r w:rsidR="00871522" w:rsidRPr="005F304D">
        <w:rPr>
          <w:rFonts w:ascii="Palatino Linotype" w:hAnsi="Palatino Linotype" w:cstheme="majorBidi"/>
          <w:iCs/>
          <w:sz w:val="24"/>
          <w:szCs w:val="24"/>
        </w:rPr>
        <w:t xml:space="preserve">law </w:t>
      </w:r>
      <w:r w:rsidR="00002F2F" w:rsidRPr="005F304D">
        <w:rPr>
          <w:rFonts w:ascii="Palatino Linotype" w:hAnsi="Palatino Linotype" w:cstheme="majorBidi"/>
          <w:iCs/>
          <w:sz w:val="24"/>
          <w:szCs w:val="24"/>
        </w:rPr>
        <w:t>degr</w:t>
      </w:r>
      <w:r w:rsidR="00871522" w:rsidRPr="005F304D">
        <w:rPr>
          <w:rFonts w:ascii="Palatino Linotype" w:hAnsi="Palatino Linotype" w:cstheme="majorBidi"/>
          <w:iCs/>
          <w:sz w:val="24"/>
          <w:szCs w:val="24"/>
        </w:rPr>
        <w:t>ee</w:t>
      </w:r>
      <w:r w:rsidRPr="005F304D">
        <w:rPr>
          <w:rFonts w:ascii="Palatino Linotype" w:hAnsi="Palatino Linotype" w:cstheme="majorBidi"/>
          <w:iCs/>
          <w:sz w:val="24"/>
          <w:szCs w:val="24"/>
        </w:rPr>
        <w:t>)</w:t>
      </w:r>
      <w:r w:rsidR="00871522" w:rsidRPr="005F304D">
        <w:rPr>
          <w:rFonts w:ascii="Palatino Linotype" w:hAnsi="Palatino Linotype" w:cstheme="majorBidi"/>
          <w:iCs/>
          <w:sz w:val="24"/>
          <w:szCs w:val="24"/>
        </w:rPr>
        <w:t xml:space="preserve">; close monitoring of the migration of participants </w:t>
      </w:r>
      <w:r w:rsidRPr="005F304D">
        <w:rPr>
          <w:rFonts w:ascii="Palatino Linotype" w:hAnsi="Palatino Linotype" w:cstheme="majorBidi"/>
          <w:iCs/>
          <w:sz w:val="24"/>
          <w:szCs w:val="24"/>
        </w:rPr>
        <w:t>(</w:t>
      </w:r>
      <w:r w:rsidR="00871522" w:rsidRPr="005F304D">
        <w:rPr>
          <w:rFonts w:ascii="Palatino Linotype" w:hAnsi="Palatino Linotype" w:cstheme="majorBidi"/>
          <w:iCs/>
          <w:sz w:val="24"/>
          <w:szCs w:val="24"/>
        </w:rPr>
        <w:t>keep</w:t>
      </w:r>
      <w:r w:rsidRPr="005F304D">
        <w:rPr>
          <w:rFonts w:ascii="Palatino Linotype" w:hAnsi="Palatino Linotype" w:cstheme="majorBidi"/>
          <w:iCs/>
          <w:sz w:val="24"/>
          <w:szCs w:val="24"/>
        </w:rPr>
        <w:t>ing</w:t>
      </w:r>
      <w:r w:rsidR="00871522" w:rsidRPr="005F304D">
        <w:rPr>
          <w:rFonts w:ascii="Palatino Linotype" w:hAnsi="Palatino Linotype" w:cstheme="majorBidi"/>
          <w:iCs/>
          <w:sz w:val="24"/>
          <w:szCs w:val="24"/>
        </w:rPr>
        <w:t xml:space="preserve"> track of their whereabouts</w:t>
      </w:r>
      <w:r w:rsidRPr="005F304D">
        <w:rPr>
          <w:rFonts w:ascii="Palatino Linotype" w:hAnsi="Palatino Linotype" w:cstheme="majorBidi"/>
          <w:iCs/>
          <w:sz w:val="24"/>
          <w:szCs w:val="24"/>
        </w:rPr>
        <w:t xml:space="preserve"> over an extended period)</w:t>
      </w:r>
      <w:r w:rsidR="00871522" w:rsidRPr="005F304D">
        <w:rPr>
          <w:rFonts w:ascii="Palatino Linotype" w:hAnsi="Palatino Linotype" w:cstheme="majorBidi"/>
          <w:iCs/>
          <w:sz w:val="24"/>
          <w:szCs w:val="24"/>
        </w:rPr>
        <w:t>; and – as acknowledged by Oliver et al</w:t>
      </w:r>
      <w:r w:rsidR="00AA7DC2" w:rsidRPr="005F304D">
        <w:rPr>
          <w:rFonts w:ascii="Palatino Linotype" w:hAnsi="Palatino Linotype" w:cstheme="majorBidi"/>
          <w:iCs/>
          <w:sz w:val="24"/>
          <w:szCs w:val="24"/>
        </w:rPr>
        <w:t>. (2011, p. 7)</w:t>
      </w:r>
      <w:r w:rsidR="00871522" w:rsidRPr="005F304D">
        <w:rPr>
          <w:rFonts w:ascii="Palatino Linotype" w:hAnsi="Palatino Linotype" w:cstheme="majorBidi"/>
          <w:iCs/>
          <w:sz w:val="24"/>
          <w:szCs w:val="24"/>
        </w:rPr>
        <w:t xml:space="preserve"> </w:t>
      </w:r>
      <w:r w:rsidR="00C211D1" w:rsidRPr="005F304D">
        <w:rPr>
          <w:rFonts w:ascii="Palatino Linotype" w:hAnsi="Palatino Linotype" w:cstheme="majorBidi"/>
          <w:iCs/>
          <w:sz w:val="24"/>
          <w:szCs w:val="24"/>
        </w:rPr>
        <w:t>–</w:t>
      </w:r>
      <w:r w:rsidR="00871522" w:rsidRPr="005F304D">
        <w:rPr>
          <w:rFonts w:ascii="Palatino Linotype" w:hAnsi="Palatino Linotype" w:cstheme="majorBidi"/>
          <w:iCs/>
          <w:sz w:val="24"/>
          <w:szCs w:val="24"/>
        </w:rPr>
        <w:t xml:space="preserve"> </w:t>
      </w:r>
      <w:r w:rsidR="00C211D1" w:rsidRPr="005F304D">
        <w:rPr>
          <w:rFonts w:ascii="Palatino Linotype" w:hAnsi="Palatino Linotype" w:cstheme="majorBidi"/>
          <w:iCs/>
          <w:sz w:val="24"/>
          <w:szCs w:val="24"/>
        </w:rPr>
        <w:t>t</w:t>
      </w:r>
      <w:r w:rsidRPr="005F304D">
        <w:rPr>
          <w:rFonts w:ascii="Palatino Linotype" w:hAnsi="Palatino Linotype" w:cstheme="majorBidi"/>
          <w:iCs/>
          <w:sz w:val="24"/>
          <w:szCs w:val="24"/>
        </w:rPr>
        <w:t xml:space="preserve">he difficulty of </w:t>
      </w:r>
      <w:r w:rsidR="00871522" w:rsidRPr="005F304D">
        <w:rPr>
          <w:rFonts w:ascii="Palatino Linotype" w:hAnsi="Palatino Linotype" w:cstheme="majorBidi"/>
          <w:iCs/>
          <w:sz w:val="24"/>
          <w:szCs w:val="24"/>
        </w:rPr>
        <w:t>engaging responden</w:t>
      </w:r>
      <w:r w:rsidRPr="005F304D">
        <w:rPr>
          <w:rFonts w:ascii="Palatino Linotype" w:hAnsi="Palatino Linotype" w:cstheme="majorBidi"/>
          <w:iCs/>
          <w:sz w:val="24"/>
          <w:szCs w:val="24"/>
        </w:rPr>
        <w:t>ts in surveys</w:t>
      </w:r>
      <w:r w:rsidR="00871522" w:rsidRPr="005F304D">
        <w:rPr>
          <w:rFonts w:ascii="Palatino Linotype" w:hAnsi="Palatino Linotype" w:cstheme="majorBidi"/>
          <w:iCs/>
          <w:sz w:val="24"/>
          <w:szCs w:val="24"/>
        </w:rPr>
        <w:t>.</w:t>
      </w:r>
      <w:r w:rsidRPr="005F304D">
        <w:rPr>
          <w:rFonts w:ascii="Palatino Linotype" w:hAnsi="Palatino Linotype" w:cstheme="majorBidi"/>
          <w:iCs/>
          <w:sz w:val="24"/>
          <w:szCs w:val="24"/>
        </w:rPr>
        <w:t xml:space="preserve"> Nevertheless, such further research would show whether the employability skills </w:t>
      </w:r>
      <w:r w:rsidR="003F32B0" w:rsidRPr="005F304D">
        <w:rPr>
          <w:rFonts w:ascii="Palatino Linotype" w:hAnsi="Palatino Linotype" w:cstheme="majorBidi"/>
          <w:iCs/>
          <w:sz w:val="24"/>
          <w:szCs w:val="24"/>
        </w:rPr>
        <w:t xml:space="preserve">obtained during their clinic experience helped graduates in the real-life workplace, how </w:t>
      </w:r>
      <w:r w:rsidR="00890EE5" w:rsidRPr="005F304D">
        <w:rPr>
          <w:rFonts w:ascii="Palatino Linotype" w:hAnsi="Palatino Linotype" w:cstheme="majorBidi"/>
          <w:iCs/>
          <w:sz w:val="24"/>
          <w:szCs w:val="24"/>
        </w:rPr>
        <w:t xml:space="preserve">the skills </w:t>
      </w:r>
      <w:r w:rsidR="003F32B0" w:rsidRPr="005F304D">
        <w:rPr>
          <w:rFonts w:ascii="Palatino Linotype" w:hAnsi="Palatino Linotype" w:cstheme="majorBidi"/>
          <w:iCs/>
          <w:sz w:val="24"/>
          <w:szCs w:val="24"/>
        </w:rPr>
        <w:t xml:space="preserve">assisted the graduates, and whether the graduates’ personal perceptions were borne </w:t>
      </w:r>
      <w:r w:rsidR="003F32B0" w:rsidRPr="005F304D">
        <w:rPr>
          <w:rFonts w:ascii="Palatino Linotype" w:hAnsi="Palatino Linotype" w:cstheme="majorBidi"/>
          <w:iCs/>
          <w:sz w:val="24"/>
          <w:szCs w:val="24"/>
        </w:rPr>
        <w:lastRenderedPageBreak/>
        <w:t>out by their future employers. It would also assist higher education institutions to re-evaluate learning and teaching outcomes</w:t>
      </w:r>
      <w:r w:rsidR="00FE5B56" w:rsidRPr="005F304D">
        <w:rPr>
          <w:rFonts w:ascii="Palatino Linotype" w:hAnsi="Palatino Linotype" w:cstheme="majorBidi"/>
          <w:iCs/>
          <w:sz w:val="24"/>
          <w:szCs w:val="24"/>
        </w:rPr>
        <w:t>,</w:t>
      </w:r>
      <w:r w:rsidR="003F32B0" w:rsidRPr="005F304D">
        <w:rPr>
          <w:rFonts w:ascii="Palatino Linotype" w:hAnsi="Palatino Linotype" w:cstheme="majorBidi"/>
          <w:iCs/>
          <w:sz w:val="24"/>
          <w:szCs w:val="24"/>
        </w:rPr>
        <w:t xml:space="preserve"> and implement </w:t>
      </w:r>
      <w:r w:rsidR="00E347A6" w:rsidRPr="005F304D">
        <w:rPr>
          <w:rFonts w:ascii="Palatino Linotype" w:hAnsi="Palatino Linotype" w:cstheme="majorBidi"/>
          <w:iCs/>
          <w:sz w:val="24"/>
          <w:szCs w:val="24"/>
        </w:rPr>
        <w:t>program</w:t>
      </w:r>
      <w:r w:rsidR="003F32B0" w:rsidRPr="005F304D">
        <w:rPr>
          <w:rFonts w:ascii="Palatino Linotype" w:hAnsi="Palatino Linotype" w:cstheme="majorBidi"/>
          <w:iCs/>
          <w:sz w:val="24"/>
          <w:szCs w:val="24"/>
        </w:rPr>
        <w:t>s</w:t>
      </w:r>
      <w:r w:rsidR="001E40C8" w:rsidRPr="005F304D">
        <w:rPr>
          <w:rFonts w:ascii="Palatino Linotype" w:hAnsi="Palatino Linotype" w:cstheme="majorBidi"/>
          <w:iCs/>
          <w:sz w:val="24"/>
          <w:szCs w:val="24"/>
        </w:rPr>
        <w:t xml:space="preserve"> </w:t>
      </w:r>
      <w:r w:rsidR="003F32B0" w:rsidRPr="005F304D">
        <w:rPr>
          <w:rFonts w:ascii="Palatino Linotype" w:hAnsi="Palatino Linotype" w:cstheme="majorBidi"/>
          <w:iCs/>
          <w:sz w:val="24"/>
          <w:szCs w:val="24"/>
        </w:rPr>
        <w:t xml:space="preserve">which promote graduate employment skills. In the absence of such data, and based on the results of this pilot research, it seems clear that there are definite skills benefits associated with a pro bono law clinic, provided that it is structured appropriately, managed effectively and that students enjoy constant professional supervision.  </w:t>
      </w:r>
    </w:p>
    <w:p w14:paraId="184A9430" w14:textId="0648F8FA" w:rsidR="0048022D" w:rsidRPr="005F304D" w:rsidRDefault="00E423FC" w:rsidP="00C34312">
      <w:pPr>
        <w:spacing w:line="480" w:lineRule="auto"/>
        <w:jc w:val="both"/>
        <w:rPr>
          <w:rFonts w:ascii="Palatino Linotype" w:hAnsi="Palatino Linotype" w:cs="Times New Roman"/>
          <w:iCs/>
          <w:sz w:val="24"/>
          <w:szCs w:val="24"/>
        </w:rPr>
      </w:pPr>
      <w:r w:rsidRPr="005F304D">
        <w:rPr>
          <w:rFonts w:ascii="Palatino Linotype" w:hAnsi="Palatino Linotype" w:cstheme="majorBidi"/>
          <w:iCs/>
          <w:sz w:val="24"/>
          <w:szCs w:val="24"/>
        </w:rPr>
        <w:t xml:space="preserve">From a </w:t>
      </w:r>
      <w:r w:rsidR="00B26B4D" w:rsidRPr="005F304D">
        <w:rPr>
          <w:rFonts w:ascii="Palatino Linotype" w:hAnsi="Palatino Linotype" w:cstheme="majorBidi"/>
          <w:iCs/>
          <w:sz w:val="24"/>
          <w:szCs w:val="24"/>
        </w:rPr>
        <w:t xml:space="preserve">law </w:t>
      </w:r>
      <w:r w:rsidR="00946C38" w:rsidRPr="005F304D">
        <w:rPr>
          <w:rFonts w:ascii="Palatino Linotype" w:hAnsi="Palatino Linotype" w:cstheme="majorBidi"/>
          <w:iCs/>
          <w:sz w:val="24"/>
          <w:szCs w:val="24"/>
        </w:rPr>
        <w:t xml:space="preserve">school </w:t>
      </w:r>
      <w:r w:rsidRPr="005F304D">
        <w:rPr>
          <w:rFonts w:ascii="Palatino Linotype" w:hAnsi="Palatino Linotype" w:cstheme="majorBidi"/>
          <w:iCs/>
          <w:sz w:val="24"/>
          <w:szCs w:val="24"/>
        </w:rPr>
        <w:t xml:space="preserve">perspective, </w:t>
      </w:r>
      <w:r w:rsidR="00946C38" w:rsidRPr="005F304D">
        <w:rPr>
          <w:rFonts w:ascii="Palatino Linotype" w:hAnsi="Palatino Linotype" w:cstheme="majorBidi"/>
          <w:iCs/>
          <w:sz w:val="24"/>
          <w:szCs w:val="24"/>
        </w:rPr>
        <w:t xml:space="preserve">it has been noted that </w:t>
      </w:r>
      <w:r w:rsidRPr="005F304D">
        <w:rPr>
          <w:rFonts w:ascii="Palatino Linotype" w:hAnsi="Palatino Linotype" w:cstheme="majorBidi"/>
          <w:iCs/>
          <w:sz w:val="24"/>
          <w:szCs w:val="24"/>
        </w:rPr>
        <w:t xml:space="preserve">there are </w:t>
      </w:r>
      <w:r w:rsidR="00946C38" w:rsidRPr="005F304D">
        <w:rPr>
          <w:rFonts w:ascii="Palatino Linotype" w:hAnsi="Palatino Linotype" w:cstheme="majorBidi"/>
          <w:iCs/>
          <w:sz w:val="24"/>
          <w:szCs w:val="24"/>
        </w:rPr>
        <w:t xml:space="preserve">a number of </w:t>
      </w:r>
      <w:r w:rsidRPr="005F304D">
        <w:rPr>
          <w:rFonts w:ascii="Palatino Linotype" w:hAnsi="Palatino Linotype" w:cstheme="majorBidi"/>
          <w:iCs/>
          <w:sz w:val="24"/>
          <w:szCs w:val="24"/>
        </w:rPr>
        <w:t>challenges involved with establishing and running pro bono clinics to promote employability skills, such as: securing enough pro bono lawyers for supervision in the clinic; engaging external organisations; involving academic staff with already heavy workloads in pro bono activities; administration of the clinic; qualification of applicants; insurance and risk considerations; and ongoing student engagement and management</w:t>
      </w:r>
      <w:r w:rsidR="00AA7DC2" w:rsidRPr="005F304D">
        <w:rPr>
          <w:rFonts w:ascii="Palatino Linotype" w:hAnsi="Palatino Linotype" w:cstheme="majorBidi"/>
          <w:iCs/>
          <w:sz w:val="24"/>
          <w:szCs w:val="24"/>
        </w:rPr>
        <w:t xml:space="preserve"> (Cantatore, 2015, p. 165)</w:t>
      </w:r>
      <w:r w:rsidRPr="005F304D">
        <w:rPr>
          <w:rFonts w:ascii="Palatino Linotype" w:hAnsi="Palatino Linotype" w:cstheme="majorBidi"/>
          <w:iCs/>
          <w:sz w:val="24"/>
          <w:szCs w:val="24"/>
        </w:rPr>
        <w:t xml:space="preserve">. However, the benefits derived from </w:t>
      </w:r>
      <w:r w:rsidR="00BA6260" w:rsidRPr="005F304D">
        <w:rPr>
          <w:rFonts w:ascii="Palatino Linotype" w:hAnsi="Palatino Linotype" w:cstheme="majorBidi"/>
          <w:iCs/>
          <w:sz w:val="24"/>
          <w:szCs w:val="24"/>
        </w:rPr>
        <w:t xml:space="preserve">running </w:t>
      </w:r>
      <w:r w:rsidRPr="005F304D">
        <w:rPr>
          <w:rFonts w:ascii="Palatino Linotype" w:hAnsi="Palatino Linotype" w:cstheme="majorBidi"/>
          <w:iCs/>
          <w:sz w:val="24"/>
          <w:szCs w:val="24"/>
        </w:rPr>
        <w:t>a pro bono clinic</w:t>
      </w:r>
      <w:r w:rsidR="00BA6260" w:rsidRPr="005F304D">
        <w:rPr>
          <w:rFonts w:ascii="Palatino Linotype" w:hAnsi="Palatino Linotype" w:cstheme="majorBidi"/>
          <w:iCs/>
          <w:sz w:val="24"/>
          <w:szCs w:val="24"/>
        </w:rPr>
        <w:t>,</w:t>
      </w:r>
      <w:r w:rsidRPr="005F304D">
        <w:rPr>
          <w:rFonts w:ascii="Palatino Linotype" w:hAnsi="Palatino Linotype" w:cstheme="majorBidi"/>
          <w:iCs/>
          <w:sz w:val="24"/>
          <w:szCs w:val="24"/>
        </w:rPr>
        <w:t xml:space="preserve"> for both the community and for law students, and the opportunities for </w:t>
      </w:r>
      <w:r w:rsidR="00BA6260" w:rsidRPr="005F304D">
        <w:rPr>
          <w:rFonts w:ascii="Palatino Linotype" w:hAnsi="Palatino Linotype" w:cstheme="majorBidi"/>
          <w:iCs/>
          <w:sz w:val="24"/>
          <w:szCs w:val="24"/>
        </w:rPr>
        <w:t xml:space="preserve">networking and </w:t>
      </w:r>
      <w:r w:rsidRPr="005F304D">
        <w:rPr>
          <w:rFonts w:ascii="Palatino Linotype" w:hAnsi="Palatino Linotype" w:cstheme="majorBidi"/>
          <w:iCs/>
          <w:sz w:val="24"/>
          <w:szCs w:val="24"/>
        </w:rPr>
        <w:t xml:space="preserve">engagement with the profession, validate the </w:t>
      </w:r>
      <w:r w:rsidR="00946C38" w:rsidRPr="005F304D">
        <w:rPr>
          <w:rFonts w:ascii="Palatino Linotype" w:hAnsi="Palatino Linotype" w:cstheme="majorBidi"/>
          <w:iCs/>
          <w:sz w:val="24"/>
          <w:szCs w:val="24"/>
        </w:rPr>
        <w:t>additional</w:t>
      </w:r>
      <w:r w:rsidR="00BA6260" w:rsidRPr="005F304D">
        <w:rPr>
          <w:rFonts w:ascii="Palatino Linotype" w:hAnsi="Palatino Linotype" w:cstheme="majorBidi"/>
          <w:iCs/>
          <w:sz w:val="24"/>
          <w:szCs w:val="24"/>
        </w:rPr>
        <w:t xml:space="preserve"> efforts of </w:t>
      </w:r>
      <w:r w:rsidR="004F129E" w:rsidRPr="005F304D">
        <w:rPr>
          <w:rFonts w:ascii="Palatino Linotype" w:hAnsi="Palatino Linotype" w:cstheme="majorBidi"/>
          <w:iCs/>
          <w:sz w:val="24"/>
          <w:szCs w:val="24"/>
        </w:rPr>
        <w:t>progressive</w:t>
      </w:r>
      <w:r w:rsidR="00BA6260" w:rsidRPr="005F304D">
        <w:rPr>
          <w:rFonts w:ascii="Palatino Linotype" w:hAnsi="Palatino Linotype" w:cstheme="majorBidi"/>
          <w:iCs/>
          <w:sz w:val="24"/>
          <w:szCs w:val="24"/>
        </w:rPr>
        <w:t xml:space="preserve"> law schools in equipping their students for the workplace.</w:t>
      </w:r>
      <w:r w:rsidRPr="005F304D">
        <w:rPr>
          <w:rFonts w:ascii="Palatino Linotype" w:hAnsi="Palatino Linotype"/>
          <w:iCs/>
          <w:sz w:val="24"/>
          <w:szCs w:val="24"/>
        </w:rPr>
        <w:t xml:space="preserve"> </w:t>
      </w:r>
      <w:r w:rsidR="00946C38" w:rsidRPr="005F304D">
        <w:rPr>
          <w:rFonts w:ascii="Palatino Linotype" w:hAnsi="Palatino Linotype" w:cs="Times New Roman"/>
          <w:iCs/>
          <w:sz w:val="24"/>
          <w:szCs w:val="24"/>
        </w:rPr>
        <w:t>What is needed is a proactive commitment from Law Deans to support and encourage pro bono initiatives and to provide the infrastructure for these clinics to operate effectively.</w:t>
      </w:r>
    </w:p>
    <w:p w14:paraId="00DA090C" w14:textId="209C2E47" w:rsidR="00AB3EB0" w:rsidRPr="005F304D" w:rsidRDefault="00AB3EB0" w:rsidP="00C34312">
      <w:pPr>
        <w:spacing w:line="480" w:lineRule="auto"/>
        <w:jc w:val="both"/>
        <w:rPr>
          <w:rFonts w:ascii="Palatino Linotype" w:hAnsi="Palatino Linotype"/>
          <w:iCs/>
          <w:sz w:val="24"/>
          <w:szCs w:val="24"/>
        </w:rPr>
      </w:pPr>
    </w:p>
    <w:p w14:paraId="66641C5F" w14:textId="77777777" w:rsidR="00C101A1" w:rsidRDefault="00C101A1" w:rsidP="00C34312">
      <w:pPr>
        <w:spacing w:line="480" w:lineRule="auto"/>
        <w:jc w:val="both"/>
        <w:rPr>
          <w:rFonts w:ascii="Palatino Linotype" w:hAnsi="Palatino Linotype" w:cs="Times New Roman"/>
          <w:b/>
          <w:iCs/>
          <w:sz w:val="24"/>
          <w:szCs w:val="24"/>
        </w:rPr>
      </w:pPr>
    </w:p>
    <w:p w14:paraId="62490878" w14:textId="01BDB8B8" w:rsidR="00744976" w:rsidRPr="005F304D" w:rsidRDefault="00C34312" w:rsidP="00C34312">
      <w:pPr>
        <w:spacing w:line="480" w:lineRule="auto"/>
        <w:jc w:val="both"/>
        <w:rPr>
          <w:rFonts w:ascii="Palatino Linotype" w:hAnsi="Palatino Linotype" w:cs="Times New Roman"/>
          <w:b/>
          <w:iCs/>
          <w:sz w:val="24"/>
          <w:szCs w:val="24"/>
        </w:rPr>
      </w:pPr>
      <w:r>
        <w:rPr>
          <w:rFonts w:ascii="Palatino Linotype" w:hAnsi="Palatino Linotype" w:cs="Times New Roman"/>
          <w:b/>
          <w:iCs/>
          <w:sz w:val="24"/>
          <w:szCs w:val="24"/>
        </w:rPr>
        <w:lastRenderedPageBreak/>
        <w:t>R</w:t>
      </w:r>
      <w:r w:rsidR="0048022D" w:rsidRPr="005F304D">
        <w:rPr>
          <w:rFonts w:ascii="Palatino Linotype" w:hAnsi="Palatino Linotype" w:cs="Times New Roman"/>
          <w:b/>
          <w:iCs/>
          <w:sz w:val="24"/>
          <w:szCs w:val="24"/>
        </w:rPr>
        <w:t>eference List</w:t>
      </w:r>
    </w:p>
    <w:p w14:paraId="26D6C23B" w14:textId="3717AB27" w:rsidR="00B02EA9" w:rsidRPr="005F304D" w:rsidRDefault="00B02EA9" w:rsidP="00C34312">
      <w:pPr>
        <w:spacing w:line="360" w:lineRule="auto"/>
        <w:jc w:val="both"/>
        <w:rPr>
          <w:rFonts w:ascii="Palatino Linotype" w:hAnsi="Palatino Linotype" w:cs="Times New Roman"/>
          <w:bCs/>
        </w:rPr>
      </w:pPr>
      <w:r w:rsidRPr="005F304D">
        <w:rPr>
          <w:rFonts w:ascii="Palatino Linotype" w:hAnsi="Palatino Linotype" w:cs="Times New Roman"/>
          <w:bCs/>
        </w:rPr>
        <w:t xml:space="preserve">Booth, T. (2004). Student pro bono: Developing a public service ethos in the contemporary Australian law school. </w:t>
      </w:r>
      <w:r w:rsidRPr="005F304D">
        <w:rPr>
          <w:rFonts w:ascii="Palatino Linotype" w:hAnsi="Palatino Linotype" w:cs="Times New Roman"/>
          <w:bCs/>
          <w:i/>
          <w:iCs/>
        </w:rPr>
        <w:t>Alternative Law Journal, 29</w:t>
      </w:r>
      <w:r w:rsidR="00843DB9" w:rsidRPr="005F304D">
        <w:rPr>
          <w:rFonts w:ascii="Palatino Linotype" w:hAnsi="Palatino Linotype" w:cs="Times New Roman"/>
          <w:bCs/>
          <w:iCs/>
        </w:rPr>
        <w:t>(6)</w:t>
      </w:r>
      <w:r w:rsidRPr="005F304D">
        <w:rPr>
          <w:rFonts w:ascii="Palatino Linotype" w:hAnsi="Palatino Linotype" w:cs="Times New Roman"/>
          <w:bCs/>
          <w:iCs/>
        </w:rPr>
        <w:t xml:space="preserve">, </w:t>
      </w:r>
      <w:r w:rsidR="00843DB9" w:rsidRPr="005F304D">
        <w:rPr>
          <w:rFonts w:ascii="Palatino Linotype" w:hAnsi="Palatino Linotype" w:cs="Times New Roman"/>
          <w:bCs/>
        </w:rPr>
        <w:t>280-284</w:t>
      </w:r>
      <w:r w:rsidRPr="005F304D">
        <w:rPr>
          <w:rFonts w:ascii="Palatino Linotype" w:hAnsi="Palatino Linotype" w:cs="Times New Roman"/>
          <w:bCs/>
        </w:rPr>
        <w:t>.</w:t>
      </w:r>
      <w:r w:rsidR="00843DB9" w:rsidRPr="005F304D">
        <w:rPr>
          <w:rFonts w:ascii="Palatino Linotype" w:hAnsi="Palatino Linotype" w:cs="Times New Roman"/>
          <w:bCs/>
        </w:rPr>
        <w:t xml:space="preserve"> Retrieved from </w:t>
      </w:r>
      <w:hyperlink r:id="rId8" w:history="1">
        <w:r w:rsidR="00C34312" w:rsidRPr="00CD5253">
          <w:rPr>
            <w:rStyle w:val="Hyperlink"/>
            <w:rFonts w:ascii="Palatino Linotype" w:hAnsi="Palatino Linotype" w:cs="Times New Roman"/>
            <w:bCs/>
          </w:rPr>
          <w:t>http://search.informit.com.au/fullText;dn=200501436;res=APAFT</w:t>
        </w:r>
      </w:hyperlink>
      <w:r w:rsidR="00C34312">
        <w:rPr>
          <w:rFonts w:ascii="Palatino Linotype" w:hAnsi="Palatino Linotype" w:cs="Times New Roman"/>
          <w:bCs/>
        </w:rPr>
        <w:t xml:space="preserve"> </w:t>
      </w:r>
    </w:p>
    <w:p w14:paraId="17E614B9" w14:textId="77777777" w:rsidR="004B304F" w:rsidRPr="005F304D" w:rsidRDefault="004B304F" w:rsidP="00C34312">
      <w:pPr>
        <w:spacing w:line="360" w:lineRule="auto"/>
        <w:jc w:val="both"/>
        <w:rPr>
          <w:rFonts w:ascii="Palatino Linotype" w:hAnsi="Palatino Linotype" w:cs="Times New Roman"/>
        </w:rPr>
      </w:pPr>
      <w:r w:rsidRPr="005F304D">
        <w:rPr>
          <w:rFonts w:ascii="Palatino Linotype" w:hAnsi="Palatino Linotype" w:cs="Times New Roman"/>
        </w:rPr>
        <w:t xml:space="preserve">Coates, H. (2009a). </w:t>
      </w:r>
      <w:r w:rsidRPr="005F304D">
        <w:rPr>
          <w:rFonts w:ascii="Palatino Linotype" w:hAnsi="Palatino Linotype" w:cs="Times New Roman"/>
          <w:i/>
          <w:iCs/>
        </w:rPr>
        <w:t xml:space="preserve">Engaging </w:t>
      </w:r>
      <w:r w:rsidR="0067109D" w:rsidRPr="005F304D">
        <w:rPr>
          <w:rFonts w:ascii="Palatino Linotype" w:hAnsi="Palatino Linotype" w:cs="Times New Roman"/>
          <w:i/>
          <w:iCs/>
        </w:rPr>
        <w:t>students for success</w:t>
      </w:r>
      <w:r w:rsidRPr="005F304D">
        <w:rPr>
          <w:rFonts w:ascii="Palatino Linotype" w:hAnsi="Palatino Linotype" w:cs="Times New Roman"/>
          <w:i/>
          <w:iCs/>
        </w:rPr>
        <w:t xml:space="preserve">: Australasian </w:t>
      </w:r>
      <w:r w:rsidR="0067109D" w:rsidRPr="005F304D">
        <w:rPr>
          <w:rFonts w:ascii="Palatino Linotype" w:hAnsi="Palatino Linotype" w:cs="Times New Roman"/>
          <w:i/>
          <w:iCs/>
        </w:rPr>
        <w:t>student engagement report</w:t>
      </w:r>
      <w:r w:rsidRPr="005F304D">
        <w:rPr>
          <w:rFonts w:ascii="Palatino Linotype" w:hAnsi="Palatino Linotype" w:cs="Times New Roman"/>
        </w:rPr>
        <w:t>. Melbourne: Australian Council for Educational Research.</w:t>
      </w:r>
    </w:p>
    <w:p w14:paraId="70B5B507" w14:textId="77777777" w:rsidR="004B304F" w:rsidRPr="005F304D" w:rsidRDefault="004B304F" w:rsidP="00C34312">
      <w:pPr>
        <w:spacing w:after="0" w:line="360" w:lineRule="auto"/>
        <w:jc w:val="both"/>
        <w:rPr>
          <w:rFonts w:ascii="Palatino Linotype" w:hAnsi="Palatino Linotype" w:cs="Times New Roman"/>
          <w:iCs/>
        </w:rPr>
      </w:pPr>
      <w:r w:rsidRPr="005F304D">
        <w:rPr>
          <w:rFonts w:ascii="Palatino Linotype" w:hAnsi="Palatino Linotype" w:cs="Times New Roman"/>
          <w:iCs/>
        </w:rPr>
        <w:t>Coates, H. (2009b). What's the difference? A model for measuring the value added by higher</w:t>
      </w:r>
    </w:p>
    <w:p w14:paraId="05EEB3C0" w14:textId="77777777" w:rsidR="004B304F" w:rsidRPr="005F304D" w:rsidRDefault="004B304F" w:rsidP="00C34312">
      <w:pPr>
        <w:spacing w:line="360" w:lineRule="auto"/>
        <w:jc w:val="both"/>
        <w:rPr>
          <w:rFonts w:ascii="Palatino Linotype" w:hAnsi="Palatino Linotype" w:cs="Times New Roman"/>
          <w:iCs/>
        </w:rPr>
      </w:pPr>
      <w:r w:rsidRPr="005F304D">
        <w:rPr>
          <w:rFonts w:ascii="Palatino Linotype" w:hAnsi="Palatino Linotype" w:cs="Times New Roman"/>
          <w:iCs/>
        </w:rPr>
        <w:t xml:space="preserve">education in Australia. </w:t>
      </w:r>
      <w:r w:rsidRPr="005F304D">
        <w:rPr>
          <w:rFonts w:ascii="Palatino Linotype" w:hAnsi="Palatino Linotype" w:cs="Times New Roman"/>
          <w:i/>
          <w:iCs/>
        </w:rPr>
        <w:t>Higher Education Management and Policy, 21</w:t>
      </w:r>
      <w:r w:rsidRPr="005F304D">
        <w:rPr>
          <w:rFonts w:ascii="Palatino Linotype" w:hAnsi="Palatino Linotype" w:cs="Times New Roman"/>
          <w:iCs/>
        </w:rPr>
        <w:t>(1), 1-19.</w:t>
      </w:r>
    </w:p>
    <w:p w14:paraId="317276F0" w14:textId="77777777" w:rsidR="00921CA0" w:rsidRPr="005F304D" w:rsidRDefault="00921CA0" w:rsidP="00C34312">
      <w:pPr>
        <w:spacing w:line="360" w:lineRule="auto"/>
        <w:jc w:val="both"/>
        <w:rPr>
          <w:rFonts w:ascii="Palatino Linotype" w:hAnsi="Palatino Linotype" w:cs="Times New Roman"/>
        </w:rPr>
      </w:pPr>
      <w:r w:rsidRPr="005F304D">
        <w:rPr>
          <w:rFonts w:ascii="Palatino Linotype" w:hAnsi="Palatino Linotype" w:cs="Times New Roman"/>
        </w:rPr>
        <w:t>Corker, J. (2005</w:t>
      </w:r>
      <w:r w:rsidR="00745971" w:rsidRPr="005F304D">
        <w:rPr>
          <w:rFonts w:ascii="Palatino Linotype" w:hAnsi="Palatino Linotype" w:cs="Times New Roman"/>
        </w:rPr>
        <w:t>, July</w:t>
      </w:r>
      <w:r w:rsidRPr="005F304D">
        <w:rPr>
          <w:rFonts w:ascii="Palatino Linotype" w:hAnsi="Palatino Linotype" w:cs="Times New Roman"/>
        </w:rPr>
        <w:t xml:space="preserve">). </w:t>
      </w:r>
      <w:r w:rsidR="00745971" w:rsidRPr="005F304D">
        <w:rPr>
          <w:rFonts w:ascii="Palatino Linotype" w:hAnsi="Palatino Linotype" w:cs="Times New Roman"/>
          <w:i/>
          <w:iCs/>
        </w:rPr>
        <w:t>How d</w:t>
      </w:r>
      <w:r w:rsidRPr="005F304D">
        <w:rPr>
          <w:rFonts w:ascii="Palatino Linotype" w:hAnsi="Palatino Linotype" w:cs="Times New Roman"/>
          <w:i/>
          <w:iCs/>
        </w:rPr>
        <w:t xml:space="preserve">oes Pro Bono Students Australia (PBSA) </w:t>
      </w:r>
      <w:r w:rsidR="00745971" w:rsidRPr="005F304D">
        <w:rPr>
          <w:rFonts w:ascii="Palatino Linotype" w:hAnsi="Palatino Linotype" w:cs="Times New Roman"/>
          <w:i/>
          <w:iCs/>
        </w:rPr>
        <w:t xml:space="preserve">fit with clinical legal education in </w:t>
      </w:r>
      <w:r w:rsidRPr="005F304D">
        <w:rPr>
          <w:rFonts w:ascii="Palatino Linotype" w:hAnsi="Palatino Linotype" w:cs="Times New Roman"/>
          <w:i/>
          <w:iCs/>
        </w:rPr>
        <w:t>Australia?</w:t>
      </w:r>
      <w:r w:rsidR="00745971" w:rsidRPr="005F304D">
        <w:rPr>
          <w:rFonts w:ascii="Palatino Linotype" w:hAnsi="Palatino Linotype" w:cs="Times New Roman"/>
        </w:rPr>
        <w:t xml:space="preserve"> Paper presented at the </w:t>
      </w:r>
      <w:r w:rsidRPr="005F304D">
        <w:rPr>
          <w:rFonts w:ascii="Palatino Linotype" w:hAnsi="Palatino Linotype" w:cs="Times New Roman"/>
        </w:rPr>
        <w:t xml:space="preserve">Third International Journal of Clinical Legal Education Conference and Eighth Australian Clinical Legal Education Conference, </w:t>
      </w:r>
      <w:r w:rsidR="00745971" w:rsidRPr="005F304D">
        <w:rPr>
          <w:rFonts w:ascii="Palatino Linotype" w:hAnsi="Palatino Linotype" w:cs="Times New Roman"/>
        </w:rPr>
        <w:t>Australia</w:t>
      </w:r>
      <w:r w:rsidRPr="005F304D">
        <w:rPr>
          <w:rFonts w:ascii="Palatino Linotype" w:hAnsi="Palatino Linotype" w:cs="Times New Roman"/>
        </w:rPr>
        <w:t>.</w:t>
      </w:r>
    </w:p>
    <w:p w14:paraId="26A6AD08" w14:textId="369A2B49" w:rsidR="005F304D" w:rsidRPr="005F304D" w:rsidRDefault="00D16A25" w:rsidP="00C34312">
      <w:pPr>
        <w:spacing w:line="360" w:lineRule="auto"/>
        <w:jc w:val="both"/>
        <w:rPr>
          <w:rFonts w:ascii="Palatino Linotype" w:eastAsiaTheme="minorHAnsi" w:hAnsi="Palatino Linotype" w:cs="Times New Roman"/>
          <w:lang w:eastAsia="en-US"/>
        </w:rPr>
      </w:pPr>
      <w:r w:rsidRPr="005F304D">
        <w:rPr>
          <w:rFonts w:ascii="Palatino Linotype" w:eastAsiaTheme="minorHAnsi" w:hAnsi="Palatino Linotype" w:cs="Times New Roman"/>
          <w:lang w:eastAsia="en-US"/>
        </w:rPr>
        <w:t xml:space="preserve">Evans, A., Cody, A., Copeland, A., Giddings, J., Noone, M.A., Rice, S. (2012). </w:t>
      </w:r>
      <w:r w:rsidR="00921CA0" w:rsidRPr="005F304D">
        <w:rPr>
          <w:rFonts w:ascii="Palatino Linotype" w:eastAsiaTheme="minorHAnsi" w:hAnsi="Palatino Linotype" w:cs="Times New Roman"/>
          <w:i/>
          <w:iCs/>
          <w:lang w:eastAsia="en-US"/>
        </w:rPr>
        <w:t>Best p</w:t>
      </w:r>
      <w:r w:rsidRPr="005F304D">
        <w:rPr>
          <w:rFonts w:ascii="Palatino Linotype" w:eastAsiaTheme="minorHAnsi" w:hAnsi="Palatino Linotype" w:cs="Times New Roman"/>
          <w:i/>
          <w:iCs/>
          <w:lang w:eastAsia="en-US"/>
        </w:rPr>
        <w:t xml:space="preserve">ractices Australian </w:t>
      </w:r>
      <w:r w:rsidR="00921CA0" w:rsidRPr="005F304D">
        <w:rPr>
          <w:rFonts w:ascii="Palatino Linotype" w:eastAsiaTheme="minorHAnsi" w:hAnsi="Palatino Linotype" w:cs="Times New Roman"/>
          <w:i/>
          <w:iCs/>
          <w:lang w:eastAsia="en-US"/>
        </w:rPr>
        <w:t>c</w:t>
      </w:r>
      <w:r w:rsidRPr="005F304D">
        <w:rPr>
          <w:rFonts w:ascii="Palatino Linotype" w:eastAsiaTheme="minorHAnsi" w:hAnsi="Palatino Linotype" w:cs="Times New Roman"/>
          <w:i/>
          <w:iCs/>
          <w:lang w:eastAsia="en-US"/>
        </w:rPr>
        <w:t xml:space="preserve">linical </w:t>
      </w:r>
      <w:r w:rsidR="00921CA0" w:rsidRPr="005F304D">
        <w:rPr>
          <w:rFonts w:ascii="Palatino Linotype" w:eastAsiaTheme="minorHAnsi" w:hAnsi="Palatino Linotype" w:cs="Times New Roman"/>
          <w:i/>
          <w:iCs/>
          <w:lang w:eastAsia="en-US"/>
        </w:rPr>
        <w:t>l</w:t>
      </w:r>
      <w:r w:rsidRPr="005F304D">
        <w:rPr>
          <w:rFonts w:ascii="Palatino Linotype" w:eastAsiaTheme="minorHAnsi" w:hAnsi="Palatino Linotype" w:cs="Times New Roman"/>
          <w:i/>
          <w:iCs/>
          <w:lang w:eastAsia="en-US"/>
        </w:rPr>
        <w:t xml:space="preserve">egal </w:t>
      </w:r>
      <w:r w:rsidR="00921CA0" w:rsidRPr="005F304D">
        <w:rPr>
          <w:rFonts w:ascii="Palatino Linotype" w:eastAsiaTheme="minorHAnsi" w:hAnsi="Palatino Linotype" w:cs="Times New Roman"/>
          <w:i/>
          <w:iCs/>
          <w:lang w:eastAsia="en-US"/>
        </w:rPr>
        <w:t>e</w:t>
      </w:r>
      <w:r w:rsidRPr="005F304D">
        <w:rPr>
          <w:rFonts w:ascii="Palatino Linotype" w:eastAsiaTheme="minorHAnsi" w:hAnsi="Palatino Linotype" w:cs="Times New Roman"/>
          <w:i/>
          <w:iCs/>
          <w:lang w:eastAsia="en-US"/>
        </w:rPr>
        <w:t xml:space="preserve">ducation </w:t>
      </w:r>
      <w:r w:rsidRPr="005F304D">
        <w:rPr>
          <w:rFonts w:ascii="Palatino Linotype" w:eastAsiaTheme="minorHAnsi" w:hAnsi="Palatino Linotype" w:cs="Times New Roman"/>
          <w:iCs/>
          <w:lang w:eastAsia="en-US"/>
        </w:rPr>
        <w:t>(</w:t>
      </w:r>
      <w:r w:rsidRPr="005F304D">
        <w:rPr>
          <w:rFonts w:ascii="Palatino Linotype" w:eastAsiaTheme="minorHAnsi" w:hAnsi="Palatino Linotype" w:cs="Times New Roman"/>
          <w:lang w:eastAsia="en-US"/>
        </w:rPr>
        <w:t xml:space="preserve">Report, Australian Government Office for Learning and Teaching). Retrieved from Council of Australian Law Deans website </w:t>
      </w:r>
      <w:hyperlink r:id="rId9" w:history="1">
        <w:r w:rsidR="005F304D" w:rsidRPr="00CD5253">
          <w:rPr>
            <w:rStyle w:val="Hyperlink"/>
            <w:rFonts w:ascii="Palatino Linotype" w:eastAsiaTheme="minorHAnsi" w:hAnsi="Palatino Linotype" w:cs="Times New Roman"/>
            <w:lang w:eastAsia="en-US"/>
          </w:rPr>
          <w:t>https://www.monash.edu/__data/assets/pdf_file/0003/591042/Australian-CLE-Best-Practices-2012.pdf</w:t>
        </w:r>
      </w:hyperlink>
      <w:r w:rsidR="005F304D">
        <w:rPr>
          <w:rFonts w:ascii="Palatino Linotype" w:eastAsiaTheme="minorHAnsi" w:hAnsi="Palatino Linotype" w:cs="Times New Roman"/>
          <w:lang w:eastAsia="en-US"/>
        </w:rPr>
        <w:t xml:space="preserve"> </w:t>
      </w:r>
    </w:p>
    <w:p w14:paraId="1490C1F9" w14:textId="4C0A03BD" w:rsidR="00DB19B1" w:rsidRPr="005F304D" w:rsidRDefault="00DB19B1" w:rsidP="00C34312">
      <w:pPr>
        <w:spacing w:line="360" w:lineRule="auto"/>
        <w:jc w:val="both"/>
        <w:rPr>
          <w:rFonts w:ascii="Palatino Linotype" w:eastAsiaTheme="minorHAnsi" w:hAnsi="Palatino Linotype" w:cs="Times New Roman"/>
          <w:lang w:eastAsia="en-US"/>
        </w:rPr>
      </w:pPr>
      <w:r w:rsidRPr="005F304D">
        <w:rPr>
          <w:rFonts w:ascii="Palatino Linotype" w:eastAsiaTheme="minorHAnsi" w:hAnsi="Palatino Linotype" w:cs="Times New Roman"/>
          <w:lang w:eastAsia="en-US"/>
        </w:rPr>
        <w:t xml:space="preserve">Hajkowicz, S., Reeson, A., Rudd, L., Bratanova, A., Hodgers, L., Mason, C., &amp; Boughen, N. (2016). </w:t>
      </w:r>
      <w:r w:rsidRPr="005F304D">
        <w:rPr>
          <w:rFonts w:ascii="Palatino Linotype" w:eastAsiaTheme="minorHAnsi" w:hAnsi="Palatino Linotype" w:cs="Times New Roman"/>
          <w:i/>
          <w:iCs/>
          <w:lang w:eastAsia="en-US"/>
        </w:rPr>
        <w:t>Tomorrow’s digitally enabled workforce: Megatrends and scenarios for jobs and employment in Australia over the coming twenty years</w:t>
      </w:r>
      <w:r w:rsidRPr="005F304D">
        <w:rPr>
          <w:rFonts w:ascii="Palatino Linotype" w:eastAsiaTheme="minorHAnsi" w:hAnsi="Palatino Linotype" w:cs="Times New Roman"/>
          <w:iCs/>
          <w:lang w:eastAsia="en-US"/>
        </w:rPr>
        <w:t xml:space="preserve"> (Report, CSIRO)</w:t>
      </w:r>
      <w:r w:rsidRPr="005F304D">
        <w:rPr>
          <w:rFonts w:ascii="Palatino Linotype" w:eastAsiaTheme="minorHAnsi" w:hAnsi="Palatino Linotype" w:cs="Times New Roman"/>
          <w:i/>
          <w:iCs/>
          <w:lang w:eastAsia="en-US"/>
        </w:rPr>
        <w:t>.</w:t>
      </w:r>
      <w:r w:rsidRPr="005F304D">
        <w:rPr>
          <w:rFonts w:ascii="Palatino Linotype" w:eastAsiaTheme="minorHAnsi" w:hAnsi="Palatino Linotype" w:cs="Times New Roman"/>
          <w:iCs/>
          <w:lang w:eastAsia="en-US"/>
        </w:rPr>
        <w:t xml:space="preserve"> Retrieved from CSIRO website </w:t>
      </w:r>
      <w:hyperlink r:id="rId10" w:history="1">
        <w:r w:rsidR="005F304D" w:rsidRPr="00CD5253">
          <w:rPr>
            <w:rStyle w:val="Hyperlink"/>
            <w:rFonts w:ascii="Palatino Linotype" w:eastAsiaTheme="minorHAnsi" w:hAnsi="Palatino Linotype" w:cs="Times New Roman"/>
            <w:iCs/>
            <w:lang w:eastAsia="en-US"/>
          </w:rPr>
          <w:t>http://www.csiro.au/~/media/D61/Files/16-0026_DATA61_REPORT_TomorrowsDigiallyEnabledWorkforce_WEB_160204.pdf</w:t>
        </w:r>
      </w:hyperlink>
      <w:r w:rsidR="005F304D">
        <w:rPr>
          <w:rFonts w:ascii="Palatino Linotype" w:eastAsiaTheme="minorHAnsi" w:hAnsi="Palatino Linotype" w:cs="Times New Roman"/>
          <w:iCs/>
          <w:lang w:eastAsia="en-US"/>
        </w:rPr>
        <w:t xml:space="preserve"> </w:t>
      </w:r>
    </w:p>
    <w:p w14:paraId="106E3398" w14:textId="77777777" w:rsidR="00DB19B1" w:rsidRPr="005F304D" w:rsidRDefault="00DB19B1" w:rsidP="00C34312">
      <w:pPr>
        <w:spacing w:line="360" w:lineRule="auto"/>
        <w:jc w:val="both"/>
        <w:rPr>
          <w:rFonts w:ascii="Palatino Linotype" w:eastAsiaTheme="minorHAnsi" w:hAnsi="Palatino Linotype" w:cs="Times New Roman"/>
          <w:lang w:eastAsia="en-US"/>
        </w:rPr>
      </w:pPr>
      <w:r w:rsidRPr="005F304D">
        <w:rPr>
          <w:rFonts w:ascii="Palatino Linotype" w:eastAsiaTheme="minorHAnsi" w:hAnsi="Palatino Linotype" w:cs="Times New Roman"/>
          <w:lang w:val="es-ES_tradnl" w:eastAsia="en-US"/>
        </w:rPr>
        <w:t xml:space="preserve">Jorre de St Jorre, T. &amp; Oliver, B. (2017). </w:t>
      </w:r>
      <w:r w:rsidRPr="005F304D">
        <w:rPr>
          <w:rFonts w:ascii="Palatino Linotype" w:eastAsiaTheme="minorHAnsi" w:hAnsi="Palatino Linotype" w:cs="Times New Roman"/>
          <w:iCs/>
          <w:lang w:eastAsia="en-US"/>
        </w:rPr>
        <w:t>Want students to engage? Contextualise graduate learning outcomes and assess for employability</w:t>
      </w:r>
      <w:r w:rsidRPr="005F304D">
        <w:rPr>
          <w:rFonts w:ascii="Palatino Linotype" w:eastAsiaTheme="minorHAnsi" w:hAnsi="Palatino Linotype" w:cs="Times New Roman"/>
          <w:lang w:eastAsia="en-US"/>
        </w:rPr>
        <w:t xml:space="preserve">. </w:t>
      </w:r>
      <w:r w:rsidRPr="005F304D">
        <w:rPr>
          <w:rFonts w:ascii="Palatino Linotype" w:eastAsiaTheme="minorHAnsi" w:hAnsi="Palatino Linotype" w:cs="Times New Roman"/>
          <w:i/>
          <w:lang w:eastAsia="en-US"/>
        </w:rPr>
        <w:t>Higher Education Research &amp; Development</w:t>
      </w:r>
      <w:r w:rsidRPr="005F304D">
        <w:rPr>
          <w:rFonts w:ascii="Palatino Linotype" w:eastAsiaTheme="minorHAnsi" w:hAnsi="Palatino Linotype" w:cs="Times New Roman"/>
          <w:lang w:eastAsia="en-US"/>
        </w:rPr>
        <w:t xml:space="preserve">, 1-14. doi: 10.1080/07294360.2017.1339183. </w:t>
      </w:r>
    </w:p>
    <w:p w14:paraId="6EBE024B" w14:textId="77777777" w:rsidR="0067109D" w:rsidRPr="005F304D" w:rsidRDefault="0067109D" w:rsidP="00C34312">
      <w:pPr>
        <w:spacing w:line="360" w:lineRule="auto"/>
        <w:jc w:val="both"/>
        <w:rPr>
          <w:rFonts w:ascii="Palatino Linotype" w:hAnsi="Palatino Linotype" w:cs="Times New Roman"/>
        </w:rPr>
      </w:pPr>
      <w:r w:rsidRPr="005F304D">
        <w:rPr>
          <w:rFonts w:ascii="Palatino Linotype" w:hAnsi="Palatino Linotype" w:cs="Times New Roman"/>
        </w:rPr>
        <w:t xml:space="preserve">Kuh, G. D. (2001).  </w:t>
      </w:r>
      <w:r w:rsidRPr="005F304D">
        <w:rPr>
          <w:rFonts w:ascii="Palatino Linotype" w:hAnsi="Palatino Linotype" w:cs="Times New Roman"/>
          <w:i/>
          <w:iCs/>
        </w:rPr>
        <w:t>The national survey of student engagement: Conceptual framework and overview of psychometric properties</w:t>
      </w:r>
      <w:r w:rsidRPr="005F304D">
        <w:rPr>
          <w:rFonts w:ascii="Palatino Linotype" w:hAnsi="Palatino Linotype" w:cs="Times New Roman"/>
        </w:rPr>
        <w:t>. Bloomington, IN: Indiana University Center for Postsecondary</w:t>
      </w:r>
      <w:r w:rsidRPr="005F304D">
        <w:rPr>
          <w:rFonts w:ascii="Palatino Linotype" w:hAnsi="Palatino Linotype" w:cs="Times New Roman"/>
          <w:i/>
          <w:iCs/>
        </w:rPr>
        <w:t xml:space="preserve"> </w:t>
      </w:r>
      <w:r w:rsidRPr="005F304D">
        <w:rPr>
          <w:rFonts w:ascii="Palatino Linotype" w:hAnsi="Palatino Linotype" w:cs="Times New Roman"/>
        </w:rPr>
        <w:t xml:space="preserve">Research. </w:t>
      </w:r>
    </w:p>
    <w:p w14:paraId="0A6ADA4E" w14:textId="03981AAD" w:rsidR="00921CA0" w:rsidRPr="005F304D" w:rsidRDefault="00921CA0" w:rsidP="00C34312">
      <w:pPr>
        <w:spacing w:line="360" w:lineRule="auto"/>
        <w:jc w:val="both"/>
        <w:rPr>
          <w:rFonts w:ascii="Palatino Linotype" w:hAnsi="Palatino Linotype" w:cs="Times New Roman"/>
          <w:lang w:val="en-US"/>
        </w:rPr>
      </w:pPr>
      <w:r w:rsidRPr="005F304D">
        <w:rPr>
          <w:rFonts w:ascii="Palatino Linotype" w:hAnsi="Palatino Linotype" w:cs="Times New Roman"/>
        </w:rPr>
        <w:lastRenderedPageBreak/>
        <w:t xml:space="preserve">McCrimmon, L. (2003). </w:t>
      </w:r>
      <w:r w:rsidRPr="005F304D">
        <w:rPr>
          <w:rFonts w:ascii="Palatino Linotype" w:hAnsi="Palatino Linotype" w:cs="Times New Roman"/>
          <w:lang w:val="en-US"/>
        </w:rPr>
        <w:t xml:space="preserve">Mandating a </w:t>
      </w:r>
      <w:r w:rsidR="000150A8" w:rsidRPr="005F304D">
        <w:rPr>
          <w:rFonts w:ascii="Palatino Linotype" w:hAnsi="Palatino Linotype" w:cs="Times New Roman"/>
          <w:lang w:val="en-US"/>
        </w:rPr>
        <w:t>c</w:t>
      </w:r>
      <w:r w:rsidRPr="005F304D">
        <w:rPr>
          <w:rFonts w:ascii="Palatino Linotype" w:hAnsi="Palatino Linotype" w:cs="Times New Roman"/>
          <w:lang w:val="en-US"/>
        </w:rPr>
        <w:t xml:space="preserve">ulture of service: Pro bono in the law school curriculum. </w:t>
      </w:r>
      <w:r w:rsidRPr="005F304D">
        <w:rPr>
          <w:rFonts w:ascii="Palatino Linotype" w:hAnsi="Palatino Linotype" w:cs="Times New Roman"/>
          <w:i/>
          <w:lang w:val="en-US"/>
        </w:rPr>
        <w:t>Legal Education Review</w:t>
      </w:r>
      <w:r w:rsidRPr="005F304D">
        <w:rPr>
          <w:rFonts w:ascii="Palatino Linotype" w:hAnsi="Palatino Linotype" w:cs="Times New Roman"/>
          <w:lang w:val="en-US"/>
        </w:rPr>
        <w:t xml:space="preserve"> </w:t>
      </w:r>
      <w:r w:rsidRPr="005F304D">
        <w:rPr>
          <w:rFonts w:ascii="Palatino Linotype" w:hAnsi="Palatino Linotype" w:cs="Times New Roman"/>
          <w:i/>
          <w:lang w:val="en-US"/>
        </w:rPr>
        <w:t>14</w:t>
      </w:r>
      <w:r w:rsidRPr="005F304D">
        <w:rPr>
          <w:rFonts w:ascii="Palatino Linotype" w:hAnsi="Palatino Linotype" w:cs="Times New Roman"/>
          <w:lang w:val="en-US"/>
        </w:rPr>
        <w:t xml:space="preserve">(1), 53-76. Retrieved from </w:t>
      </w:r>
      <w:hyperlink r:id="rId11" w:history="1">
        <w:r w:rsidR="005F304D" w:rsidRPr="00CD5253">
          <w:rPr>
            <w:rStyle w:val="Hyperlink"/>
            <w:rFonts w:ascii="Palatino Linotype" w:hAnsi="Palatino Linotype" w:cs="Times New Roman"/>
            <w:lang w:val="en-US"/>
          </w:rPr>
          <w:t>http://search.informit.com.au/documentSummary;dn=894035261278188;res=IELHSS</w:t>
        </w:r>
      </w:hyperlink>
      <w:r w:rsidR="005F304D">
        <w:rPr>
          <w:rFonts w:ascii="Palatino Linotype" w:hAnsi="Palatino Linotype" w:cs="Times New Roman"/>
          <w:lang w:val="en-US"/>
        </w:rPr>
        <w:t xml:space="preserve"> </w:t>
      </w:r>
    </w:p>
    <w:p w14:paraId="7C5052AD" w14:textId="578C4D49" w:rsidR="005F304D" w:rsidRDefault="00843DB9" w:rsidP="00C34312">
      <w:pPr>
        <w:spacing w:line="360" w:lineRule="auto"/>
        <w:jc w:val="both"/>
        <w:rPr>
          <w:rFonts w:ascii="Palatino Linotype" w:hAnsi="Palatino Linotype" w:cs="Times New Roman"/>
        </w:rPr>
      </w:pPr>
      <w:r w:rsidRPr="005F304D">
        <w:rPr>
          <w:rFonts w:ascii="Palatino Linotype" w:hAnsi="Palatino Linotype" w:cs="Times New Roman"/>
        </w:rPr>
        <w:t xml:space="preserve">National Pro Bono Resource Centre. (2004). </w:t>
      </w:r>
      <w:r w:rsidRPr="005F304D">
        <w:rPr>
          <w:rFonts w:ascii="Palatino Linotype" w:hAnsi="Palatino Linotype" w:cs="Times New Roman"/>
          <w:i/>
          <w:iCs/>
        </w:rPr>
        <w:t xml:space="preserve">Pro Bono and </w:t>
      </w:r>
      <w:r w:rsidR="00C800C3" w:rsidRPr="005F304D">
        <w:rPr>
          <w:rFonts w:ascii="Palatino Linotype" w:hAnsi="Palatino Linotype" w:cs="Times New Roman"/>
          <w:i/>
          <w:iCs/>
        </w:rPr>
        <w:t xml:space="preserve">clinical legal education programs </w:t>
      </w:r>
      <w:r w:rsidRPr="005F304D">
        <w:rPr>
          <w:rFonts w:ascii="Palatino Linotype" w:hAnsi="Palatino Linotype" w:cs="Times New Roman"/>
          <w:i/>
          <w:iCs/>
        </w:rPr>
        <w:t xml:space="preserve">in Australian </w:t>
      </w:r>
      <w:r w:rsidR="00C800C3" w:rsidRPr="005F304D">
        <w:rPr>
          <w:rFonts w:ascii="Palatino Linotype" w:hAnsi="Palatino Linotype" w:cs="Times New Roman"/>
          <w:i/>
          <w:iCs/>
        </w:rPr>
        <w:t xml:space="preserve">law schools </w:t>
      </w:r>
      <w:r w:rsidRPr="005F304D">
        <w:rPr>
          <w:rFonts w:ascii="Palatino Linotype" w:hAnsi="Palatino Linotype" w:cs="Times New Roman"/>
          <w:iCs/>
        </w:rPr>
        <w:t>(</w:t>
      </w:r>
      <w:r w:rsidR="00C800C3" w:rsidRPr="005F304D">
        <w:rPr>
          <w:rFonts w:ascii="Palatino Linotype" w:hAnsi="Palatino Linotype" w:cs="Times New Roman"/>
          <w:iCs/>
        </w:rPr>
        <w:t xml:space="preserve">Information paper). Retrieved from National Pro Bono </w:t>
      </w:r>
      <w:hyperlink r:id="rId12" w:history="1">
        <w:r w:rsidR="005F304D" w:rsidRPr="00CD5253">
          <w:rPr>
            <w:rStyle w:val="Hyperlink"/>
            <w:rFonts w:ascii="Palatino Linotype" w:hAnsi="Palatino Linotype" w:cs="Times New Roman"/>
          </w:rPr>
          <w:t>http://www.nationalprobono.org.au/publications/documents/PUBLISHEDVERSION_000.doc</w:t>
        </w:r>
      </w:hyperlink>
    </w:p>
    <w:p w14:paraId="49549571" w14:textId="499A183E" w:rsidR="006139EF" w:rsidRPr="005F304D" w:rsidRDefault="006139EF" w:rsidP="00C34312">
      <w:pPr>
        <w:spacing w:line="360" w:lineRule="auto"/>
        <w:jc w:val="both"/>
        <w:rPr>
          <w:rFonts w:ascii="Palatino Linotype" w:hAnsi="Palatino Linotype" w:cs="Times New Roman"/>
        </w:rPr>
      </w:pPr>
      <w:r w:rsidRPr="005F304D">
        <w:rPr>
          <w:rFonts w:ascii="Palatino Linotype" w:hAnsi="Palatino Linotype" w:cs="Times New Roman"/>
        </w:rPr>
        <w:t xml:space="preserve">Oliver, B., Whelan, B., Hunt, L., Hammer, S., Jones, S., Pearce, A. and Henderson, F. (2011). </w:t>
      </w:r>
      <w:r w:rsidRPr="005F304D">
        <w:rPr>
          <w:rFonts w:ascii="Palatino Linotype" w:hAnsi="Palatino Linotype" w:cs="Times New Roman"/>
          <w:i/>
        </w:rPr>
        <w:t>Introducing the Graduate Employability Indicators</w:t>
      </w:r>
      <w:r w:rsidRPr="005F304D">
        <w:rPr>
          <w:rFonts w:ascii="Palatino Linotype" w:hAnsi="Palatino Linotype" w:cs="Times New Roman"/>
        </w:rPr>
        <w:t xml:space="preserve"> (Report, Australian Learning and Teaching Council). Retrieved from Assuring Graduate Capabilities website </w:t>
      </w:r>
      <w:hyperlink r:id="rId13" w:history="1">
        <w:r w:rsidR="005F304D" w:rsidRPr="00CD5253">
          <w:rPr>
            <w:rStyle w:val="Hyperlink"/>
            <w:rFonts w:ascii="Palatino Linotype" w:hAnsi="Palatino Linotype" w:cs="Times New Roman"/>
          </w:rPr>
          <w:t>http://www.assuringgraduatecapabilities.com/uploads/4/5/0/5/45053363/introducingthegei.pdf</w:t>
        </w:r>
      </w:hyperlink>
      <w:r w:rsidR="005F304D">
        <w:rPr>
          <w:rFonts w:ascii="Palatino Linotype" w:hAnsi="Palatino Linotype" w:cs="Times New Roman"/>
        </w:rPr>
        <w:t xml:space="preserve"> </w:t>
      </w:r>
    </w:p>
    <w:p w14:paraId="0F48F674" w14:textId="77777777" w:rsidR="006139EF" w:rsidRPr="005F304D" w:rsidRDefault="006139EF" w:rsidP="00C34312">
      <w:pPr>
        <w:spacing w:after="0" w:line="360" w:lineRule="auto"/>
        <w:jc w:val="both"/>
        <w:rPr>
          <w:rFonts w:ascii="Palatino Linotype" w:hAnsi="Palatino Linotype" w:cs="Times New Roman"/>
          <w:i/>
          <w:iCs/>
        </w:rPr>
      </w:pPr>
      <w:r w:rsidRPr="005F304D">
        <w:rPr>
          <w:rFonts w:ascii="Palatino Linotype" w:hAnsi="Palatino Linotype" w:cs="Times New Roman"/>
        </w:rPr>
        <w:t xml:space="preserve">Yorke, M. (2006). Employability in higher education: what it is - what it is not. </w:t>
      </w:r>
      <w:r w:rsidRPr="005F304D">
        <w:rPr>
          <w:rFonts w:ascii="Palatino Linotype" w:hAnsi="Palatino Linotype" w:cs="Times New Roman"/>
          <w:i/>
          <w:iCs/>
        </w:rPr>
        <w:t>Learning and</w:t>
      </w:r>
    </w:p>
    <w:p w14:paraId="7D238299" w14:textId="3D605A09" w:rsidR="006139EF" w:rsidRPr="005F304D" w:rsidRDefault="006139EF" w:rsidP="00C34312">
      <w:pPr>
        <w:spacing w:line="360" w:lineRule="auto"/>
        <w:jc w:val="both"/>
        <w:rPr>
          <w:rFonts w:ascii="Palatino Linotype" w:hAnsi="Palatino Linotype" w:cs="Times New Roman"/>
        </w:rPr>
      </w:pPr>
      <w:r w:rsidRPr="005F304D">
        <w:rPr>
          <w:rFonts w:ascii="Palatino Linotype" w:hAnsi="Palatino Linotype" w:cs="Times New Roman"/>
          <w:i/>
          <w:iCs/>
        </w:rPr>
        <w:t>Employability Series</w:t>
      </w:r>
      <w:r w:rsidRPr="005F304D">
        <w:rPr>
          <w:rFonts w:ascii="Palatino Linotype" w:hAnsi="Palatino Linotype" w:cs="Times New Roman"/>
        </w:rPr>
        <w:t xml:space="preserve">. Retrieved from </w:t>
      </w:r>
      <w:hyperlink r:id="rId14" w:history="1">
        <w:r w:rsidR="005F304D" w:rsidRPr="00CD5253">
          <w:rPr>
            <w:rStyle w:val="Hyperlink"/>
            <w:rFonts w:ascii="Palatino Linotype" w:hAnsi="Palatino Linotype" w:cs="Times New Roman"/>
          </w:rPr>
          <w:t>http://www.employability.ed.ac.uk/documents/Staff/HEA-Employability_in_HE(Is,IsNot).pdf</w:t>
        </w:r>
      </w:hyperlink>
      <w:r w:rsidR="005F304D">
        <w:rPr>
          <w:rFonts w:ascii="Palatino Linotype" w:hAnsi="Palatino Linotype" w:cs="Times New Roman"/>
        </w:rPr>
        <w:t xml:space="preserve"> </w:t>
      </w:r>
    </w:p>
    <w:p w14:paraId="56562C34" w14:textId="5C7C274A" w:rsidR="00D16A25" w:rsidRPr="005F304D" w:rsidRDefault="00C800C3" w:rsidP="00C34312">
      <w:pPr>
        <w:spacing w:line="360" w:lineRule="auto"/>
        <w:jc w:val="both"/>
        <w:rPr>
          <w:rFonts w:ascii="Palatino Linotype" w:hAnsi="Palatino Linotype" w:cs="Times New Roman"/>
        </w:rPr>
      </w:pPr>
      <w:r w:rsidRPr="005F304D">
        <w:rPr>
          <w:rFonts w:ascii="Palatino Linotype" w:hAnsi="Palatino Linotype" w:cs="Times New Roman"/>
          <w:iCs/>
        </w:rPr>
        <w:t xml:space="preserve">Yorke, M., &amp; Knight, P. (2006). </w:t>
      </w:r>
      <w:r w:rsidRPr="005F304D">
        <w:rPr>
          <w:rFonts w:ascii="Palatino Linotype" w:hAnsi="Palatino Linotype" w:cs="Times New Roman"/>
        </w:rPr>
        <w:t>Embedding employability into the curriculum.</w:t>
      </w:r>
      <w:r w:rsidRPr="005F304D">
        <w:rPr>
          <w:rFonts w:ascii="Palatino Linotype" w:hAnsi="Palatino Linotype" w:cs="Times New Roman"/>
          <w:iCs/>
        </w:rPr>
        <w:t xml:space="preserve"> </w:t>
      </w:r>
      <w:r w:rsidRPr="005F304D">
        <w:rPr>
          <w:rFonts w:ascii="Palatino Linotype" w:hAnsi="Palatino Linotype" w:cs="Times New Roman"/>
          <w:i/>
          <w:iCs/>
        </w:rPr>
        <w:t>Learning and Employability Series</w:t>
      </w:r>
      <w:r w:rsidRPr="005F304D">
        <w:rPr>
          <w:rFonts w:ascii="Palatino Linotype" w:hAnsi="Palatino Linotype" w:cs="Times New Roman"/>
          <w:iCs/>
        </w:rPr>
        <w:t xml:space="preserve">. Retrieved from </w:t>
      </w:r>
      <w:hyperlink r:id="rId15" w:history="1">
        <w:r w:rsidR="005F304D" w:rsidRPr="00CD5253">
          <w:rPr>
            <w:rStyle w:val="Hyperlink"/>
            <w:rFonts w:ascii="Palatino Linotype" w:hAnsi="Palatino Linotype" w:cs="Times New Roman"/>
            <w:iCs/>
          </w:rPr>
          <w:t>http://www.employability.ed.ac.uk/documents/Staff/HEABriefings/ESECT-3-Embedding_employability_into_curriculum.pd</w:t>
        </w:r>
      </w:hyperlink>
      <w:r w:rsidR="005F304D">
        <w:rPr>
          <w:rFonts w:ascii="Palatino Linotype" w:hAnsi="Palatino Linotype" w:cs="Times New Roman"/>
          <w:iCs/>
        </w:rPr>
        <w:t xml:space="preserve"> </w:t>
      </w:r>
      <w:r w:rsidRPr="005F304D">
        <w:rPr>
          <w:rFonts w:ascii="Palatino Linotype" w:hAnsi="Palatino Linotype" w:cs="Times New Roman"/>
          <w:iCs/>
        </w:rPr>
        <w:t>f</w:t>
      </w:r>
    </w:p>
    <w:sectPr w:rsidR="00D16A25" w:rsidRPr="005F304D" w:rsidSect="000E5737">
      <w:headerReference w:type="default" r:id="rId16"/>
      <w:footerReference w:type="default" r:id="rId17"/>
      <w:pgSz w:w="11906" w:h="16838"/>
      <w:pgMar w:top="1440" w:right="1440" w:bottom="1440" w:left="1440" w:header="708" w:footer="708" w:gutter="0"/>
      <w:pgNumType w:start="14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F5A46" w16cid:durableId="1DCA53E8"/>
  <w16cid:commentId w16cid:paraId="5594F363" w16cid:durableId="1DD25D99"/>
  <w16cid:commentId w16cid:paraId="02BF561F" w16cid:durableId="1DD26036"/>
  <w16cid:commentId w16cid:paraId="609209CC" w16cid:durableId="1DCA53EA"/>
  <w16cid:commentId w16cid:paraId="67B93F90" w16cid:durableId="1DD26076"/>
  <w16cid:commentId w16cid:paraId="5D8ED2AA" w16cid:durableId="1DCA53EB"/>
  <w16cid:commentId w16cid:paraId="500D11F9" w16cid:durableId="1DD26082"/>
  <w16cid:commentId w16cid:paraId="4B34B1C1" w16cid:durableId="1DCA53EC"/>
  <w16cid:commentId w16cid:paraId="16470BFF" w16cid:durableId="1DD26091"/>
  <w16cid:commentId w16cid:paraId="2CA28398" w16cid:durableId="1DCA53EE"/>
  <w16cid:commentId w16cid:paraId="5F25A6E0" w16cid:durableId="1DD260B0"/>
  <w16cid:commentId w16cid:paraId="0053D5DF" w16cid:durableId="1DCA53F0"/>
  <w16cid:commentId w16cid:paraId="05A55AEF" w16cid:durableId="1DD260CB"/>
  <w16cid:commentId w16cid:paraId="2B40857C" w16cid:durableId="1DCA53F1"/>
  <w16cid:commentId w16cid:paraId="4BC5E3E9" w16cid:durableId="1DD260D1"/>
  <w16cid:commentId w16cid:paraId="654DA5BC" w16cid:durableId="1DCA53F2"/>
  <w16cid:commentId w16cid:paraId="0B0C1897" w16cid:durableId="1DD260DD"/>
  <w16cid:commentId w16cid:paraId="6EDC14A8" w16cid:durableId="1DCA53F3"/>
  <w16cid:commentId w16cid:paraId="629AA2BA" w16cid:durableId="1DD260E9"/>
  <w16cid:commentId w16cid:paraId="0C115870" w16cid:durableId="1DCA53F4"/>
  <w16cid:commentId w16cid:paraId="0A0B0F89" w16cid:durableId="1DD2610C"/>
  <w16cid:commentId w16cid:paraId="107A6747" w16cid:durableId="1DCA53F5"/>
  <w16cid:commentId w16cid:paraId="64297DD5" w16cid:durableId="1DD110F2"/>
  <w16cid:commentId w16cid:paraId="42D8D72D" w16cid:durableId="1DCA53F6"/>
  <w16cid:commentId w16cid:paraId="561E5198" w16cid:durableId="1DD2612A"/>
  <w16cid:commentId w16cid:paraId="13C39EA9" w16cid:durableId="1DCA53F7"/>
  <w16cid:commentId w16cid:paraId="52FBA151" w16cid:durableId="1DD26141"/>
  <w16cid:commentId w16cid:paraId="52AA6D8B" w16cid:durableId="1DCA53F8"/>
  <w16cid:commentId w16cid:paraId="4387095F" w16cid:durableId="1DD26154"/>
  <w16cid:commentId w16cid:paraId="6F395784" w16cid:durableId="1DCA53F9"/>
  <w16cid:commentId w16cid:paraId="1C95BAD6" w16cid:durableId="1DD26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FEA9" w14:textId="77777777" w:rsidR="00692874" w:rsidRDefault="00692874" w:rsidP="00C72AAB">
      <w:pPr>
        <w:spacing w:after="0" w:line="240" w:lineRule="auto"/>
      </w:pPr>
      <w:r>
        <w:separator/>
      </w:r>
    </w:p>
  </w:endnote>
  <w:endnote w:type="continuationSeparator" w:id="0">
    <w:p w14:paraId="0E371A48" w14:textId="77777777" w:rsidR="00692874" w:rsidRDefault="00692874" w:rsidP="00C7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28131"/>
      <w:docPartObj>
        <w:docPartGallery w:val="Page Numbers (Bottom of Page)"/>
        <w:docPartUnique/>
      </w:docPartObj>
    </w:sdtPr>
    <w:sdtEndPr>
      <w:rPr>
        <w:noProof/>
      </w:rPr>
    </w:sdtEndPr>
    <w:sdtContent>
      <w:p w14:paraId="05AC9162" w14:textId="089B840E" w:rsidR="00C519D3" w:rsidRDefault="00C519D3">
        <w:pPr>
          <w:pStyle w:val="Footer"/>
          <w:jc w:val="center"/>
        </w:pPr>
        <w:r>
          <w:fldChar w:fldCharType="begin"/>
        </w:r>
        <w:r>
          <w:instrText xml:space="preserve"> PAGE   \* MERGEFORMAT </w:instrText>
        </w:r>
        <w:r>
          <w:fldChar w:fldCharType="separate"/>
        </w:r>
        <w:r w:rsidR="000E5737">
          <w:rPr>
            <w:noProof/>
          </w:rPr>
          <w:t>171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3BD1" w14:textId="77777777" w:rsidR="00692874" w:rsidRDefault="00692874" w:rsidP="00C72AAB">
      <w:pPr>
        <w:spacing w:after="0" w:line="240" w:lineRule="auto"/>
      </w:pPr>
      <w:r>
        <w:separator/>
      </w:r>
    </w:p>
  </w:footnote>
  <w:footnote w:type="continuationSeparator" w:id="0">
    <w:p w14:paraId="551B3BD1" w14:textId="77777777" w:rsidR="00692874" w:rsidRDefault="00692874" w:rsidP="00C72AAB">
      <w:pPr>
        <w:spacing w:after="0" w:line="240" w:lineRule="auto"/>
      </w:pPr>
      <w:r>
        <w:continuationSeparator/>
      </w:r>
    </w:p>
  </w:footnote>
  <w:footnote w:id="1">
    <w:p w14:paraId="4A26EE8E" w14:textId="77777777" w:rsidR="00692874" w:rsidRPr="00146F95" w:rsidRDefault="00692874" w:rsidP="007E4A94">
      <w:pPr>
        <w:pStyle w:val="FootnoteText"/>
        <w:rPr>
          <w:rFonts w:ascii="Palatino Linotype" w:hAnsi="Palatino Linotype" w:cs="Times New Roman"/>
        </w:rPr>
      </w:pPr>
      <w:r w:rsidRPr="00146F95">
        <w:rPr>
          <w:rStyle w:val="FootnoteReference"/>
          <w:rFonts w:ascii="Palatino Linotype" w:hAnsi="Palatino Linotype" w:cs="Times New Roman"/>
        </w:rPr>
        <w:footnoteRef/>
      </w:r>
      <w:r w:rsidRPr="00146F95">
        <w:rPr>
          <w:rFonts w:ascii="Palatino Linotype" w:hAnsi="Palatino Linotype" w:cs="Times New Roman"/>
        </w:rPr>
        <w:t xml:space="preserve"> The Law Clinic has been operating since September 2013 and provides free legal advice for small businesses and not-for-profit organisations. It has serviced approximately 430 clients as at the date of this article. The clinic runs every semester (three semesters per year) on a bi-weekly basis over a period of 12 weeks. To date more than 100 students have volunteered at the clinic, and overall, more than 250 students have participated in all the clinics offered by the program. </w:t>
      </w:r>
    </w:p>
  </w:footnote>
  <w:footnote w:id="2">
    <w:p w14:paraId="529A9806" w14:textId="77777777" w:rsidR="00692874" w:rsidRPr="00146F95" w:rsidRDefault="00692874" w:rsidP="00DE3054">
      <w:pPr>
        <w:pStyle w:val="FootnoteText"/>
        <w:rPr>
          <w:rFonts w:ascii="Palatino Linotype" w:hAnsi="Palatino Linotype" w:cs="Times New Roman"/>
        </w:rPr>
      </w:pPr>
      <w:r w:rsidRPr="00146F95">
        <w:rPr>
          <w:rStyle w:val="FootnoteReference"/>
          <w:rFonts w:ascii="Palatino Linotype" w:hAnsi="Palatino Linotype" w:cs="Times New Roman"/>
        </w:rPr>
        <w:footnoteRef/>
      </w:r>
      <w:r w:rsidRPr="00146F95">
        <w:rPr>
          <w:rFonts w:ascii="Palatino Linotype" w:hAnsi="Palatino Linotype" w:cs="Times New Roman"/>
        </w:rPr>
        <w:t xml:space="preserve"> Instructions on the survey stated: “For each of the 14 points add a dot to indicate how competent you would feel in each if hired today as a legal practitioner (0=not at all competent, 100=absolutely competent).</w:t>
      </w:r>
    </w:p>
  </w:footnote>
  <w:footnote w:id="3">
    <w:p w14:paraId="0FC7013D" w14:textId="77777777" w:rsidR="00692874" w:rsidRPr="00146F95" w:rsidRDefault="00692874">
      <w:pPr>
        <w:pStyle w:val="FootnoteText"/>
        <w:rPr>
          <w:rFonts w:ascii="Palatino Linotype" w:hAnsi="Palatino Linotype" w:cs="Times New Roman"/>
        </w:rPr>
      </w:pPr>
      <w:r w:rsidRPr="00146F95">
        <w:rPr>
          <w:rStyle w:val="FootnoteReference"/>
          <w:rFonts w:ascii="Palatino Linotype" w:hAnsi="Palatino Linotype" w:cs="Times New Roman"/>
        </w:rPr>
        <w:footnoteRef/>
      </w:r>
      <w:r w:rsidRPr="00146F95">
        <w:rPr>
          <w:rFonts w:ascii="Palatino Linotype" w:hAnsi="Palatino Linotype" w:cs="Times New Roman"/>
        </w:rPr>
        <w:t xml:space="preserve"> By way of a Survey Monkey survey sent to students by email post-clinic experience.</w:t>
      </w:r>
    </w:p>
  </w:footnote>
  <w:footnote w:id="4">
    <w:p w14:paraId="60873994" w14:textId="77777777" w:rsidR="00692874" w:rsidRPr="00146F95" w:rsidRDefault="00692874" w:rsidP="00476F6F">
      <w:pPr>
        <w:pStyle w:val="FootnoteText"/>
        <w:rPr>
          <w:rFonts w:ascii="Palatino Linotype" w:hAnsi="Palatino Linotype" w:cs="Times New Roman"/>
        </w:rPr>
      </w:pPr>
      <w:r w:rsidRPr="00146F95">
        <w:rPr>
          <w:rStyle w:val="FootnoteReference"/>
          <w:rFonts w:ascii="Palatino Linotype" w:hAnsi="Palatino Linotype" w:cs="Times New Roman"/>
        </w:rPr>
        <w:footnoteRef/>
      </w:r>
      <w:r w:rsidRPr="00146F95">
        <w:rPr>
          <w:rFonts w:ascii="Palatino Linotype" w:hAnsi="Palatino Linotype" w:cs="Times New Roman"/>
        </w:rPr>
        <w:t xml:space="preserve"> Examples of comments from students:</w:t>
      </w:r>
    </w:p>
    <w:p w14:paraId="3EB8DA5A" w14:textId="6797825B" w:rsidR="00692874" w:rsidRPr="00146F95" w:rsidRDefault="00692874" w:rsidP="00B26B4D">
      <w:pPr>
        <w:pStyle w:val="FootnoteText"/>
        <w:rPr>
          <w:rFonts w:ascii="Palatino Linotype" w:hAnsi="Palatino Linotype" w:cs="Times New Roman"/>
        </w:rPr>
      </w:pPr>
      <w:r w:rsidRPr="00146F95">
        <w:rPr>
          <w:rFonts w:ascii="Palatino Linotype" w:hAnsi="Palatino Linotype" w:cs="Times New Roman"/>
        </w:rPr>
        <w:t>“</w:t>
      </w:r>
      <w:r w:rsidRPr="00146F95">
        <w:rPr>
          <w:rFonts w:ascii="Palatino Linotype" w:hAnsi="Palatino Linotype" w:cs="Times New Roman"/>
          <w:i/>
          <w:iCs/>
        </w:rPr>
        <w:t>The [Law Clinic] was crucial to giving me the confidence in interviews to demonstrate I have had practical experience outside the classroom. It provided a level of comfort for me to attack and approach a client's case because of the different challenges I faced with the clinic. Interviewing clients, writing letters of advice and doing legal research, were all key components which I felt were beneficial for my current position.” </w:t>
      </w:r>
      <w:r w:rsidRPr="00146F95">
        <w:rPr>
          <w:rFonts w:ascii="Palatino Linotype" w:hAnsi="Palatino Linotype" w:cs="Times New Roman"/>
        </w:rPr>
        <w:t xml:space="preserve"> (email from Law Graduate);</w:t>
      </w:r>
      <w:r w:rsidRPr="00146F95">
        <w:rPr>
          <w:rFonts w:ascii="Palatino Linotype" w:eastAsia="Calibri" w:hAnsi="Palatino Linotype" w:cs="Times New Roman"/>
          <w:sz w:val="22"/>
          <w:szCs w:val="22"/>
          <w:lang w:eastAsia="en-US"/>
        </w:rPr>
        <w:t xml:space="preserve"> “</w:t>
      </w:r>
      <w:r w:rsidRPr="00146F95">
        <w:rPr>
          <w:rFonts w:ascii="Palatino Linotype" w:hAnsi="Palatino Linotype" w:cs="Times New Roman"/>
          <w:i/>
          <w:iCs/>
        </w:rPr>
        <w:t>I am currently undertaking an internship as a paralegal and also secured three clerkships with three different top tier law firms. The [Law Clinic] a significant role in enabling me to obtain all of these things”</w:t>
      </w:r>
      <w:r w:rsidRPr="00146F95">
        <w:rPr>
          <w:rFonts w:ascii="Palatino Linotype" w:hAnsi="Palatino Linotype" w:cs="Times New Roman"/>
        </w:rPr>
        <w:t xml:space="preserve"> (email communication from Law Graduate): Cantatore, 2015, pp. 168-169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0A8A" w14:textId="77777777" w:rsidR="00567637" w:rsidRPr="00914411" w:rsidRDefault="00567637" w:rsidP="00567637">
    <w:pPr>
      <w:pStyle w:val="Header"/>
      <w:rPr>
        <w:rFonts w:ascii="Palatino Linotype" w:hAnsi="Palatino Linotype"/>
        <w:sz w:val="24"/>
        <w:szCs w:val="24"/>
      </w:rPr>
    </w:pPr>
    <w:r w:rsidRPr="00914411">
      <w:rPr>
        <w:rFonts w:ascii="Palatino Linotype" w:hAnsi="Palatino Linotype"/>
        <w:i/>
        <w:sz w:val="24"/>
        <w:szCs w:val="24"/>
      </w:rPr>
      <w:t>Reviewed Article – 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D92"/>
    <w:multiLevelType w:val="hybridMultilevel"/>
    <w:tmpl w:val="790E870C"/>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5848FB"/>
    <w:multiLevelType w:val="hybridMultilevel"/>
    <w:tmpl w:val="4C885D98"/>
    <w:lvl w:ilvl="0" w:tplc="E7565F20">
      <w:start w:val="1"/>
      <w:numFmt w:val="lowerLetter"/>
      <w:lvlText w:val="%1)"/>
      <w:lvlJc w:val="left"/>
      <w:pPr>
        <w:ind w:left="1080" w:hanging="72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B763F17"/>
    <w:multiLevelType w:val="hybridMultilevel"/>
    <w:tmpl w:val="A7DE70FC"/>
    <w:lvl w:ilvl="0" w:tplc="04090017">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E6469B"/>
    <w:multiLevelType w:val="hybridMultilevel"/>
    <w:tmpl w:val="D5A6D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413C65"/>
    <w:multiLevelType w:val="hybridMultilevel"/>
    <w:tmpl w:val="071C2EC6"/>
    <w:lvl w:ilvl="0" w:tplc="CA84B05C">
      <w:start w:val="1"/>
      <w:numFmt w:val="lowerLetter"/>
      <w:lvlText w:val="%1)"/>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36608F"/>
    <w:multiLevelType w:val="hybridMultilevel"/>
    <w:tmpl w:val="E2EE51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8C94355"/>
    <w:multiLevelType w:val="hybridMultilevel"/>
    <w:tmpl w:val="31AE6AA0"/>
    <w:lvl w:ilvl="0" w:tplc="0C090001">
      <w:start w:val="1"/>
      <w:numFmt w:val="bullet"/>
      <w:lvlText w:val=""/>
      <w:lvlJc w:val="left"/>
      <w:pPr>
        <w:ind w:left="720" w:hanging="360"/>
      </w:pPr>
      <w:rPr>
        <w:rFonts w:ascii="Symbol" w:hAnsi="Symbol" w:hint="default"/>
      </w:rPr>
    </w:lvl>
    <w:lvl w:ilvl="1" w:tplc="1E70EEC4">
      <w:numFmt w:val="bullet"/>
      <w:lvlText w:val="·"/>
      <w:lvlJc w:val="left"/>
      <w:pPr>
        <w:ind w:left="1440" w:hanging="360"/>
      </w:pPr>
      <w:rPr>
        <w:rFonts w:ascii="Calibri" w:eastAsiaTheme="minorEastAsia"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145D72"/>
    <w:multiLevelType w:val="hybridMultilevel"/>
    <w:tmpl w:val="340885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31"/>
    <w:rsid w:val="00002706"/>
    <w:rsid w:val="00002F2F"/>
    <w:rsid w:val="000150A8"/>
    <w:rsid w:val="00016543"/>
    <w:rsid w:val="00025628"/>
    <w:rsid w:val="000844B1"/>
    <w:rsid w:val="000848F1"/>
    <w:rsid w:val="000870AE"/>
    <w:rsid w:val="00087239"/>
    <w:rsid w:val="000958BC"/>
    <w:rsid w:val="000E44E5"/>
    <w:rsid w:val="000E5737"/>
    <w:rsid w:val="000F2DE0"/>
    <w:rsid w:val="00124CDD"/>
    <w:rsid w:val="001413F4"/>
    <w:rsid w:val="00146F95"/>
    <w:rsid w:val="001520B1"/>
    <w:rsid w:val="00177BF0"/>
    <w:rsid w:val="0018298A"/>
    <w:rsid w:val="00184F53"/>
    <w:rsid w:val="00195CBF"/>
    <w:rsid w:val="001A2FAA"/>
    <w:rsid w:val="001D514E"/>
    <w:rsid w:val="001D5C29"/>
    <w:rsid w:val="001E40C8"/>
    <w:rsid w:val="001F5FDF"/>
    <w:rsid w:val="00203337"/>
    <w:rsid w:val="00207CBB"/>
    <w:rsid w:val="002152C6"/>
    <w:rsid w:val="00265879"/>
    <w:rsid w:val="0028727A"/>
    <w:rsid w:val="002A2FC9"/>
    <w:rsid w:val="002C69A1"/>
    <w:rsid w:val="002D463A"/>
    <w:rsid w:val="00301111"/>
    <w:rsid w:val="003212A1"/>
    <w:rsid w:val="003501F7"/>
    <w:rsid w:val="00362C09"/>
    <w:rsid w:val="003A2B04"/>
    <w:rsid w:val="003A6AB1"/>
    <w:rsid w:val="003C5E5B"/>
    <w:rsid w:val="003D5E57"/>
    <w:rsid w:val="003F1B94"/>
    <w:rsid w:val="003F32B0"/>
    <w:rsid w:val="00404837"/>
    <w:rsid w:val="00420CDF"/>
    <w:rsid w:val="00425935"/>
    <w:rsid w:val="004303AF"/>
    <w:rsid w:val="0044728D"/>
    <w:rsid w:val="00471BC1"/>
    <w:rsid w:val="00476F6F"/>
    <w:rsid w:val="00477B87"/>
    <w:rsid w:val="0048022D"/>
    <w:rsid w:val="004B2780"/>
    <w:rsid w:val="004B304F"/>
    <w:rsid w:val="004D4EA4"/>
    <w:rsid w:val="004F129E"/>
    <w:rsid w:val="005150EE"/>
    <w:rsid w:val="005313BB"/>
    <w:rsid w:val="005370DD"/>
    <w:rsid w:val="00541B4C"/>
    <w:rsid w:val="00546BDA"/>
    <w:rsid w:val="00552704"/>
    <w:rsid w:val="00567637"/>
    <w:rsid w:val="00574098"/>
    <w:rsid w:val="0058400F"/>
    <w:rsid w:val="005951A9"/>
    <w:rsid w:val="005A2032"/>
    <w:rsid w:val="005F304D"/>
    <w:rsid w:val="006139EF"/>
    <w:rsid w:val="006278D8"/>
    <w:rsid w:val="00627EE0"/>
    <w:rsid w:val="006363BF"/>
    <w:rsid w:val="00646AB4"/>
    <w:rsid w:val="00647318"/>
    <w:rsid w:val="006504D6"/>
    <w:rsid w:val="00653D75"/>
    <w:rsid w:val="00655D91"/>
    <w:rsid w:val="00663EE9"/>
    <w:rsid w:val="0067109D"/>
    <w:rsid w:val="0068196C"/>
    <w:rsid w:val="00685E68"/>
    <w:rsid w:val="006915BD"/>
    <w:rsid w:val="00692874"/>
    <w:rsid w:val="006D32F2"/>
    <w:rsid w:val="006F040C"/>
    <w:rsid w:val="006F1A1F"/>
    <w:rsid w:val="00705572"/>
    <w:rsid w:val="00707113"/>
    <w:rsid w:val="0071212E"/>
    <w:rsid w:val="00716A29"/>
    <w:rsid w:val="007178E6"/>
    <w:rsid w:val="00744976"/>
    <w:rsid w:val="00745971"/>
    <w:rsid w:val="00771D83"/>
    <w:rsid w:val="007744B1"/>
    <w:rsid w:val="00785E6F"/>
    <w:rsid w:val="007C6399"/>
    <w:rsid w:val="007E4A94"/>
    <w:rsid w:val="007F211E"/>
    <w:rsid w:val="008400ED"/>
    <w:rsid w:val="00840631"/>
    <w:rsid w:val="00843DB9"/>
    <w:rsid w:val="0086489B"/>
    <w:rsid w:val="00871215"/>
    <w:rsid w:val="00871522"/>
    <w:rsid w:val="00882EEF"/>
    <w:rsid w:val="00890AFF"/>
    <w:rsid w:val="00890EE5"/>
    <w:rsid w:val="008A685B"/>
    <w:rsid w:val="008E2A12"/>
    <w:rsid w:val="008F12F8"/>
    <w:rsid w:val="008F3285"/>
    <w:rsid w:val="008F65E3"/>
    <w:rsid w:val="00917230"/>
    <w:rsid w:val="009205C3"/>
    <w:rsid w:val="00921CA0"/>
    <w:rsid w:val="009239A2"/>
    <w:rsid w:val="00946C38"/>
    <w:rsid w:val="0095062B"/>
    <w:rsid w:val="00950E56"/>
    <w:rsid w:val="00963864"/>
    <w:rsid w:val="00964824"/>
    <w:rsid w:val="009B11E6"/>
    <w:rsid w:val="00A01174"/>
    <w:rsid w:val="00A14CE7"/>
    <w:rsid w:val="00A31A13"/>
    <w:rsid w:val="00A372CE"/>
    <w:rsid w:val="00A615B6"/>
    <w:rsid w:val="00A75735"/>
    <w:rsid w:val="00A80B70"/>
    <w:rsid w:val="00AA7DC2"/>
    <w:rsid w:val="00AB3EB0"/>
    <w:rsid w:val="00AB6FDA"/>
    <w:rsid w:val="00AD4165"/>
    <w:rsid w:val="00AD5219"/>
    <w:rsid w:val="00AE5233"/>
    <w:rsid w:val="00AF62AF"/>
    <w:rsid w:val="00B02EA9"/>
    <w:rsid w:val="00B04CDB"/>
    <w:rsid w:val="00B26B4D"/>
    <w:rsid w:val="00B36989"/>
    <w:rsid w:val="00B53A6E"/>
    <w:rsid w:val="00B70BFA"/>
    <w:rsid w:val="00B74A70"/>
    <w:rsid w:val="00B96098"/>
    <w:rsid w:val="00BA089F"/>
    <w:rsid w:val="00BA5783"/>
    <w:rsid w:val="00BA6260"/>
    <w:rsid w:val="00BB2CE9"/>
    <w:rsid w:val="00BC1A32"/>
    <w:rsid w:val="00BD3E20"/>
    <w:rsid w:val="00BF6D23"/>
    <w:rsid w:val="00C044C0"/>
    <w:rsid w:val="00C101A1"/>
    <w:rsid w:val="00C11F73"/>
    <w:rsid w:val="00C15A21"/>
    <w:rsid w:val="00C211D1"/>
    <w:rsid w:val="00C23E75"/>
    <w:rsid w:val="00C253D5"/>
    <w:rsid w:val="00C34312"/>
    <w:rsid w:val="00C45A6D"/>
    <w:rsid w:val="00C519D3"/>
    <w:rsid w:val="00C67DB9"/>
    <w:rsid w:val="00C72AAB"/>
    <w:rsid w:val="00C800C3"/>
    <w:rsid w:val="00C86FB8"/>
    <w:rsid w:val="00C8767E"/>
    <w:rsid w:val="00C922DE"/>
    <w:rsid w:val="00C940E4"/>
    <w:rsid w:val="00C96C86"/>
    <w:rsid w:val="00CB4820"/>
    <w:rsid w:val="00CC22F0"/>
    <w:rsid w:val="00CD2BEB"/>
    <w:rsid w:val="00CF513F"/>
    <w:rsid w:val="00D16A25"/>
    <w:rsid w:val="00D2012D"/>
    <w:rsid w:val="00D40698"/>
    <w:rsid w:val="00D465E5"/>
    <w:rsid w:val="00D5218E"/>
    <w:rsid w:val="00D807C6"/>
    <w:rsid w:val="00DB19B1"/>
    <w:rsid w:val="00DD01B8"/>
    <w:rsid w:val="00DD391D"/>
    <w:rsid w:val="00DE3054"/>
    <w:rsid w:val="00DF319F"/>
    <w:rsid w:val="00E1791F"/>
    <w:rsid w:val="00E26D51"/>
    <w:rsid w:val="00E347A6"/>
    <w:rsid w:val="00E423FC"/>
    <w:rsid w:val="00E42CE8"/>
    <w:rsid w:val="00E77899"/>
    <w:rsid w:val="00E818F8"/>
    <w:rsid w:val="00EC6528"/>
    <w:rsid w:val="00ED7F7C"/>
    <w:rsid w:val="00EE2D74"/>
    <w:rsid w:val="00F14212"/>
    <w:rsid w:val="00F33526"/>
    <w:rsid w:val="00F740CF"/>
    <w:rsid w:val="00F90168"/>
    <w:rsid w:val="00F94386"/>
    <w:rsid w:val="00FA3DBD"/>
    <w:rsid w:val="00FB0F73"/>
    <w:rsid w:val="00FD57DB"/>
    <w:rsid w:val="00FE5B56"/>
    <w:rsid w:val="00FF5A6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6F42"/>
  <w15:docId w15:val="{91DDCC1E-C5DE-453E-AA3E-9AD0B840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2A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AAB"/>
    <w:rPr>
      <w:sz w:val="20"/>
      <w:szCs w:val="20"/>
    </w:rPr>
  </w:style>
  <w:style w:type="character" w:styleId="FootnoteReference">
    <w:name w:val="footnote reference"/>
    <w:basedOn w:val="DefaultParagraphFont"/>
    <w:unhideWhenUsed/>
    <w:rsid w:val="00C72AAB"/>
    <w:rPr>
      <w:vertAlign w:val="superscript"/>
    </w:rPr>
  </w:style>
  <w:style w:type="paragraph" w:styleId="Header">
    <w:name w:val="header"/>
    <w:basedOn w:val="Normal"/>
    <w:link w:val="HeaderChar"/>
    <w:uiPriority w:val="99"/>
    <w:unhideWhenUsed/>
    <w:rsid w:val="006F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40C"/>
  </w:style>
  <w:style w:type="paragraph" w:styleId="Footer">
    <w:name w:val="footer"/>
    <w:basedOn w:val="Normal"/>
    <w:link w:val="FooterChar"/>
    <w:uiPriority w:val="99"/>
    <w:unhideWhenUsed/>
    <w:rsid w:val="006F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40C"/>
  </w:style>
  <w:style w:type="table" w:styleId="TableGrid">
    <w:name w:val="Table Grid"/>
    <w:basedOn w:val="TableNormal"/>
    <w:uiPriority w:val="59"/>
    <w:rsid w:val="00ED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628"/>
    <w:pPr>
      <w:ind w:left="720"/>
      <w:contextualSpacing/>
    </w:pPr>
  </w:style>
  <w:style w:type="character" w:styleId="Hyperlink">
    <w:name w:val="Hyperlink"/>
    <w:basedOn w:val="DefaultParagraphFont"/>
    <w:uiPriority w:val="99"/>
    <w:unhideWhenUsed/>
    <w:rsid w:val="00785E6F"/>
    <w:rPr>
      <w:color w:val="0000FF" w:themeColor="hyperlink"/>
      <w:u w:val="single"/>
    </w:rPr>
  </w:style>
  <w:style w:type="paragraph" w:styleId="BalloonText">
    <w:name w:val="Balloon Text"/>
    <w:basedOn w:val="Normal"/>
    <w:link w:val="BalloonTextChar"/>
    <w:uiPriority w:val="99"/>
    <w:semiHidden/>
    <w:unhideWhenUsed/>
    <w:rsid w:val="00D5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8E"/>
    <w:rPr>
      <w:rFonts w:ascii="Tahoma" w:hAnsi="Tahoma" w:cs="Tahoma"/>
      <w:sz w:val="16"/>
      <w:szCs w:val="16"/>
    </w:rPr>
  </w:style>
  <w:style w:type="character" w:styleId="CommentReference">
    <w:name w:val="annotation reference"/>
    <w:basedOn w:val="DefaultParagraphFont"/>
    <w:uiPriority w:val="99"/>
    <w:semiHidden/>
    <w:unhideWhenUsed/>
    <w:rsid w:val="0071212E"/>
    <w:rPr>
      <w:sz w:val="16"/>
      <w:szCs w:val="16"/>
    </w:rPr>
  </w:style>
  <w:style w:type="paragraph" w:styleId="CommentText">
    <w:name w:val="annotation text"/>
    <w:basedOn w:val="Normal"/>
    <w:link w:val="CommentTextChar"/>
    <w:uiPriority w:val="99"/>
    <w:semiHidden/>
    <w:unhideWhenUsed/>
    <w:rsid w:val="0071212E"/>
    <w:pPr>
      <w:spacing w:line="240" w:lineRule="auto"/>
    </w:pPr>
    <w:rPr>
      <w:sz w:val="20"/>
      <w:szCs w:val="20"/>
    </w:rPr>
  </w:style>
  <w:style w:type="character" w:customStyle="1" w:styleId="CommentTextChar">
    <w:name w:val="Comment Text Char"/>
    <w:basedOn w:val="DefaultParagraphFont"/>
    <w:link w:val="CommentText"/>
    <w:uiPriority w:val="99"/>
    <w:semiHidden/>
    <w:rsid w:val="0071212E"/>
    <w:rPr>
      <w:sz w:val="20"/>
      <w:szCs w:val="20"/>
    </w:rPr>
  </w:style>
  <w:style w:type="paragraph" w:styleId="CommentSubject">
    <w:name w:val="annotation subject"/>
    <w:basedOn w:val="CommentText"/>
    <w:next w:val="CommentText"/>
    <w:link w:val="CommentSubjectChar"/>
    <w:uiPriority w:val="99"/>
    <w:semiHidden/>
    <w:unhideWhenUsed/>
    <w:rsid w:val="0071212E"/>
    <w:rPr>
      <w:b/>
      <w:bCs/>
    </w:rPr>
  </w:style>
  <w:style w:type="character" w:customStyle="1" w:styleId="CommentSubjectChar">
    <w:name w:val="Comment Subject Char"/>
    <w:basedOn w:val="CommentTextChar"/>
    <w:link w:val="CommentSubject"/>
    <w:uiPriority w:val="99"/>
    <w:semiHidden/>
    <w:rsid w:val="0071212E"/>
    <w:rPr>
      <w:b/>
      <w:bCs/>
      <w:sz w:val="20"/>
      <w:szCs w:val="20"/>
    </w:rPr>
  </w:style>
  <w:style w:type="paragraph" w:styleId="Revision">
    <w:name w:val="Revision"/>
    <w:hidden/>
    <w:uiPriority w:val="99"/>
    <w:semiHidden/>
    <w:rsid w:val="00627EE0"/>
    <w:pPr>
      <w:spacing w:after="0" w:line="240" w:lineRule="auto"/>
    </w:pPr>
  </w:style>
  <w:style w:type="table" w:customStyle="1" w:styleId="TableGrid1">
    <w:name w:val="Table Grid1"/>
    <w:basedOn w:val="TableNormal"/>
    <w:next w:val="TableGrid"/>
    <w:uiPriority w:val="59"/>
    <w:rsid w:val="0048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50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5522">
      <w:bodyDiv w:val="1"/>
      <w:marLeft w:val="0"/>
      <w:marRight w:val="0"/>
      <w:marTop w:val="0"/>
      <w:marBottom w:val="0"/>
      <w:divBdr>
        <w:top w:val="none" w:sz="0" w:space="0" w:color="auto"/>
        <w:left w:val="none" w:sz="0" w:space="0" w:color="auto"/>
        <w:bottom w:val="none" w:sz="0" w:space="0" w:color="auto"/>
        <w:right w:val="none" w:sz="0" w:space="0" w:color="auto"/>
      </w:divBdr>
      <w:divsChild>
        <w:div w:id="157233299">
          <w:marLeft w:val="10"/>
          <w:marRight w:val="0"/>
          <w:marTop w:val="0"/>
          <w:marBottom w:val="0"/>
          <w:divBdr>
            <w:top w:val="none" w:sz="0" w:space="0" w:color="auto"/>
            <w:left w:val="none" w:sz="0" w:space="0" w:color="auto"/>
            <w:bottom w:val="none" w:sz="0" w:space="0" w:color="auto"/>
            <w:right w:val="none" w:sz="0" w:space="0" w:color="auto"/>
          </w:divBdr>
          <w:divsChild>
            <w:div w:id="1250312370">
              <w:marLeft w:val="0"/>
              <w:marRight w:val="0"/>
              <w:marTop w:val="0"/>
              <w:marBottom w:val="0"/>
              <w:divBdr>
                <w:top w:val="single" w:sz="12" w:space="6" w:color="569CBE"/>
                <w:left w:val="none" w:sz="0" w:space="0" w:color="auto"/>
                <w:bottom w:val="none" w:sz="0" w:space="0" w:color="auto"/>
                <w:right w:val="none" w:sz="0" w:space="0" w:color="auto"/>
              </w:divBdr>
            </w:div>
          </w:divsChild>
        </w:div>
      </w:divsChild>
    </w:div>
    <w:div w:id="1927687304">
      <w:bodyDiv w:val="1"/>
      <w:marLeft w:val="0"/>
      <w:marRight w:val="0"/>
      <w:marTop w:val="0"/>
      <w:marBottom w:val="0"/>
      <w:divBdr>
        <w:top w:val="none" w:sz="0" w:space="0" w:color="auto"/>
        <w:left w:val="none" w:sz="0" w:space="0" w:color="auto"/>
        <w:bottom w:val="none" w:sz="0" w:space="0" w:color="auto"/>
        <w:right w:val="none" w:sz="0" w:space="0" w:color="auto"/>
      </w:divBdr>
      <w:divsChild>
        <w:div w:id="1273320660">
          <w:marLeft w:val="10"/>
          <w:marRight w:val="0"/>
          <w:marTop w:val="0"/>
          <w:marBottom w:val="0"/>
          <w:divBdr>
            <w:top w:val="none" w:sz="0" w:space="0" w:color="auto"/>
            <w:left w:val="none" w:sz="0" w:space="0" w:color="auto"/>
            <w:bottom w:val="none" w:sz="0" w:space="0" w:color="auto"/>
            <w:right w:val="none" w:sz="0" w:space="0" w:color="auto"/>
          </w:divBdr>
          <w:divsChild>
            <w:div w:id="275143622">
              <w:marLeft w:val="0"/>
              <w:marRight w:val="0"/>
              <w:marTop w:val="0"/>
              <w:marBottom w:val="0"/>
              <w:divBdr>
                <w:top w:val="single" w:sz="12" w:space="6" w:color="569CBE"/>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informit.com.au/fullText;dn=200501436;res=APAFT" TargetMode="External"/><Relationship Id="rId13" Type="http://schemas.openxmlformats.org/officeDocument/2006/relationships/hyperlink" Target="http://www.assuringgraduatecapabilities.com/uploads/4/5/0/5/45053363/introducingthegei.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probono.org.au/publications/documents/PUBLISHEDVERSION_00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informit.com.au/documentSummary;dn=894035261278188;res=IELHSS"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employability.ed.ac.uk/documents/Staff/HEABriefings/ESECT-3-Embedding_employability_into_curriculum.pd" TargetMode="External"/><Relationship Id="rId10" Type="http://schemas.openxmlformats.org/officeDocument/2006/relationships/hyperlink" Target="http://www.csiro.au/~/media/D61/Files/16-0026_DATA61_REPORT_TomorrowsDigiallyEnabledWorkforce_WEB_16020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nash.edu/__data/assets/pdf_file/0003/591042/Australian-CLE-Best-Practices-2012.pdf" TargetMode="External"/><Relationship Id="rId14" Type="http://schemas.openxmlformats.org/officeDocument/2006/relationships/hyperlink" Target="http://www.employability.ed.ac.uk/documents/Staff/HEA-Employability_in_HE(Is,IsN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7476-C81C-4E32-9180-665824EA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5874</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39278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Francina Cantatore</dc:creator>
  <cp:lastModifiedBy>Paul Burns</cp:lastModifiedBy>
  <cp:revision>7</cp:revision>
  <dcterms:created xsi:type="dcterms:W3CDTF">2017-12-12T13:06:00Z</dcterms:created>
  <dcterms:modified xsi:type="dcterms:W3CDTF">2018-04-04T12:47:00Z</dcterms:modified>
</cp:coreProperties>
</file>