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BCBEE" w14:textId="18FE1F0B" w:rsidR="00C246C5" w:rsidRPr="00FB51B5" w:rsidRDefault="00FB51B5" w:rsidP="009A5366">
      <w:pPr>
        <w:pStyle w:val="Articletitle"/>
        <w:spacing w:line="480" w:lineRule="auto"/>
        <w:jc w:val="center"/>
        <w:rPr>
          <w:rFonts w:ascii="Palatino Linotype" w:hAnsi="Palatino Linotype"/>
          <w:szCs w:val="28"/>
        </w:rPr>
      </w:pPr>
      <w:r w:rsidRPr="00FB51B5">
        <w:rPr>
          <w:rFonts w:ascii="Palatino Linotype" w:hAnsi="Palatino Linotype"/>
          <w:szCs w:val="28"/>
        </w:rPr>
        <w:t>APPRAISAL AS AN EFFECTIVE MEANS OF ASSESSING STUDENT PERFORMANCE IN CLINICAL LEGAL EDUCATION AT THE UNIVERSITY OF PORTSMOUTH</w:t>
      </w:r>
    </w:p>
    <w:p w14:paraId="6099B730" w14:textId="4C3FF067" w:rsidR="00FB51B5" w:rsidRPr="00FB51B5" w:rsidRDefault="00FB51B5" w:rsidP="00FB51B5">
      <w:pPr>
        <w:rPr>
          <w:rFonts w:ascii="Palatino Linotype" w:hAnsi="Palatino Linotype"/>
        </w:rPr>
      </w:pPr>
      <w:r w:rsidRPr="00FB51B5">
        <w:rPr>
          <w:rFonts w:ascii="Palatino Linotype" w:hAnsi="Palatino Linotype"/>
        </w:rPr>
        <w:t xml:space="preserve">Pat Heather Feast, Principal Lecturer, School of Law, University of Portsmouth, United Kingdom </w:t>
      </w:r>
    </w:p>
    <w:p w14:paraId="488B2960" w14:textId="77777777" w:rsidR="003A5C31" w:rsidRPr="00FB51B5" w:rsidRDefault="003A5C31" w:rsidP="00FB51B5">
      <w:pPr>
        <w:pStyle w:val="Keywords"/>
        <w:rPr>
          <w:rFonts w:ascii="Palatino Linotype" w:hAnsi="Palatino Linotype"/>
          <w:sz w:val="24"/>
        </w:rPr>
      </w:pPr>
      <w:r w:rsidRPr="00FB51B5">
        <w:rPr>
          <w:rFonts w:ascii="Palatino Linotype" w:hAnsi="Palatino Linotype"/>
          <w:sz w:val="24"/>
        </w:rPr>
        <w:t>The aim of this paper is to advance the notion that using the workplace model of appraisal is an effective method of assessing students who undertake clinical legal education</w:t>
      </w:r>
      <w:r w:rsidR="008A1757" w:rsidRPr="00FB51B5">
        <w:rPr>
          <w:rFonts w:ascii="Palatino Linotype" w:hAnsi="Palatino Linotype"/>
          <w:sz w:val="24"/>
        </w:rPr>
        <w:t xml:space="preserve"> (CLE)</w:t>
      </w:r>
      <w:r w:rsidRPr="00FB51B5">
        <w:rPr>
          <w:rFonts w:ascii="Palatino Linotype" w:hAnsi="Palatino Linotype"/>
          <w:sz w:val="24"/>
        </w:rPr>
        <w:t xml:space="preserve">. It is </w:t>
      </w:r>
      <w:r w:rsidR="008A1757" w:rsidRPr="00FB51B5">
        <w:rPr>
          <w:rFonts w:ascii="Palatino Linotype" w:hAnsi="Palatino Linotype"/>
          <w:sz w:val="24"/>
        </w:rPr>
        <w:t xml:space="preserve">the </w:t>
      </w:r>
      <w:r w:rsidRPr="00FB51B5">
        <w:rPr>
          <w:rFonts w:ascii="Palatino Linotype" w:hAnsi="Palatino Linotype"/>
          <w:sz w:val="24"/>
        </w:rPr>
        <w:t>belief</w:t>
      </w:r>
      <w:r w:rsidR="008A1757" w:rsidRPr="00FB51B5">
        <w:rPr>
          <w:rFonts w:ascii="Palatino Linotype" w:hAnsi="Palatino Linotype"/>
          <w:sz w:val="24"/>
        </w:rPr>
        <w:t xml:space="preserve"> of the team working in the law clinics at the University of Portsmouth</w:t>
      </w:r>
      <w:r w:rsidRPr="00FB51B5">
        <w:rPr>
          <w:rFonts w:ascii="Palatino Linotype" w:hAnsi="Palatino Linotype"/>
          <w:sz w:val="24"/>
        </w:rPr>
        <w:t xml:space="preserve"> that appraisal provides students with both praise and constructive criticism and the necessary information to enable them to improve their performance while working in</w:t>
      </w:r>
      <w:r w:rsidR="00F6616E" w:rsidRPr="00FB51B5">
        <w:rPr>
          <w:rFonts w:ascii="Palatino Linotype" w:hAnsi="Palatino Linotype"/>
          <w:sz w:val="24"/>
        </w:rPr>
        <w:t xml:space="preserve"> the</w:t>
      </w:r>
      <w:r w:rsidRPr="00FB51B5">
        <w:rPr>
          <w:rFonts w:ascii="Palatino Linotype" w:hAnsi="Palatino Linotype"/>
          <w:sz w:val="24"/>
        </w:rPr>
        <w:t xml:space="preserve"> University</w:t>
      </w:r>
      <w:r w:rsidR="00F6616E" w:rsidRPr="00FB51B5">
        <w:rPr>
          <w:rFonts w:ascii="Palatino Linotype" w:hAnsi="Palatino Linotype"/>
          <w:sz w:val="24"/>
        </w:rPr>
        <w:t xml:space="preserve"> of Portsmouth clinics</w:t>
      </w:r>
      <w:r w:rsidRPr="00FB51B5">
        <w:rPr>
          <w:rFonts w:ascii="Palatino Linotype" w:hAnsi="Palatino Linotype"/>
          <w:sz w:val="24"/>
        </w:rPr>
        <w:t>. Giving feedback on a regular basis via the appraisal system motivates the students to strive for improvement and helps them to meet the challenges of achieving excellence. At</w:t>
      </w:r>
      <w:r w:rsidR="008A1757" w:rsidRPr="00FB51B5">
        <w:rPr>
          <w:rFonts w:ascii="Palatino Linotype" w:hAnsi="Palatino Linotype"/>
          <w:sz w:val="24"/>
        </w:rPr>
        <w:t xml:space="preserve"> </w:t>
      </w:r>
      <w:r w:rsidR="00F6616E" w:rsidRPr="00FB51B5">
        <w:rPr>
          <w:rFonts w:ascii="Palatino Linotype" w:hAnsi="Palatino Linotype"/>
          <w:sz w:val="24"/>
        </w:rPr>
        <w:t>the University of Portsmouth</w:t>
      </w:r>
      <w:r w:rsidRPr="00FB51B5">
        <w:rPr>
          <w:rFonts w:ascii="Palatino Linotype" w:hAnsi="Palatino Linotype"/>
          <w:sz w:val="24"/>
        </w:rPr>
        <w:t xml:space="preserve">, staff, </w:t>
      </w:r>
      <w:proofErr w:type="gramStart"/>
      <w:r w:rsidRPr="00FB51B5">
        <w:rPr>
          <w:rFonts w:ascii="Palatino Linotype" w:hAnsi="Palatino Linotype"/>
          <w:sz w:val="24"/>
        </w:rPr>
        <w:t>students</w:t>
      </w:r>
      <w:proofErr w:type="gramEnd"/>
      <w:r w:rsidRPr="00FB51B5">
        <w:rPr>
          <w:rFonts w:ascii="Palatino Linotype" w:hAnsi="Palatino Linotype"/>
          <w:sz w:val="24"/>
        </w:rPr>
        <w:t xml:space="preserve"> and, in some cases, the representatives of our partner organisations work together in our appraisal system to tackle any barriers to student success within our CLE </w:t>
      </w:r>
      <w:proofErr w:type="spellStart"/>
      <w:r w:rsidRPr="00FB51B5">
        <w:rPr>
          <w:rFonts w:ascii="Palatino Linotype" w:hAnsi="Palatino Linotype"/>
          <w:sz w:val="24"/>
        </w:rPr>
        <w:t>progammes</w:t>
      </w:r>
      <w:proofErr w:type="spellEnd"/>
      <w:r w:rsidRPr="00FB51B5">
        <w:rPr>
          <w:rFonts w:ascii="Palatino Linotype" w:hAnsi="Palatino Linotype"/>
          <w:sz w:val="24"/>
        </w:rPr>
        <w:t>.</w:t>
      </w:r>
    </w:p>
    <w:p w14:paraId="1DBF1F65" w14:textId="77777777" w:rsidR="0020415E" w:rsidRPr="00FB51B5" w:rsidRDefault="00997B0F" w:rsidP="00FB51B5">
      <w:pPr>
        <w:pStyle w:val="Keywords"/>
        <w:spacing w:line="480" w:lineRule="auto"/>
        <w:rPr>
          <w:rFonts w:ascii="Palatino Linotype" w:hAnsi="Palatino Linotype"/>
          <w:sz w:val="24"/>
        </w:rPr>
      </w:pPr>
      <w:r w:rsidRPr="00FB51B5">
        <w:rPr>
          <w:rFonts w:ascii="Palatino Linotype" w:hAnsi="Palatino Linotype"/>
          <w:sz w:val="24"/>
        </w:rPr>
        <w:t xml:space="preserve">Keywords: </w:t>
      </w:r>
      <w:r w:rsidR="003A5C31" w:rsidRPr="00FB51B5">
        <w:rPr>
          <w:rFonts w:ascii="Palatino Linotype" w:hAnsi="Palatino Linotype"/>
          <w:sz w:val="24"/>
        </w:rPr>
        <w:t>clinical legal education</w:t>
      </w:r>
      <w:r w:rsidRPr="00FB51B5">
        <w:rPr>
          <w:rFonts w:ascii="Palatino Linotype" w:hAnsi="Palatino Linotype"/>
          <w:sz w:val="24"/>
        </w:rPr>
        <w:t xml:space="preserve">; </w:t>
      </w:r>
      <w:r w:rsidR="003A5C31" w:rsidRPr="00FB51B5">
        <w:rPr>
          <w:rFonts w:ascii="Palatino Linotype" w:hAnsi="Palatino Linotype"/>
          <w:sz w:val="24"/>
        </w:rPr>
        <w:t>appraisal</w:t>
      </w:r>
      <w:r w:rsidRPr="00FB51B5">
        <w:rPr>
          <w:rFonts w:ascii="Palatino Linotype" w:hAnsi="Palatino Linotype"/>
          <w:sz w:val="24"/>
        </w:rPr>
        <w:t xml:space="preserve">; </w:t>
      </w:r>
      <w:r w:rsidR="005B5C0D" w:rsidRPr="00FB51B5">
        <w:rPr>
          <w:rFonts w:ascii="Palatino Linotype" w:hAnsi="Palatino Linotype"/>
          <w:sz w:val="24"/>
        </w:rPr>
        <w:t xml:space="preserve">assessment and </w:t>
      </w:r>
      <w:r w:rsidR="003A5C31" w:rsidRPr="00FB51B5">
        <w:rPr>
          <w:rFonts w:ascii="Palatino Linotype" w:hAnsi="Palatino Linotype"/>
          <w:sz w:val="24"/>
        </w:rPr>
        <w:t>feedback</w:t>
      </w:r>
    </w:p>
    <w:p w14:paraId="48241F29" w14:textId="77777777" w:rsidR="005B6D9D" w:rsidRPr="00FB51B5" w:rsidRDefault="005B6D9D" w:rsidP="00FB51B5">
      <w:pPr>
        <w:pStyle w:val="Paragraph"/>
        <w:rPr>
          <w:rFonts w:ascii="Palatino Linotype" w:hAnsi="Palatino Linotype"/>
        </w:rPr>
      </w:pPr>
      <w:bookmarkStart w:id="0" w:name="_GoBack"/>
      <w:bookmarkEnd w:id="0"/>
    </w:p>
    <w:p w14:paraId="2CCC4DF3" w14:textId="77777777" w:rsidR="005B6D9D" w:rsidRPr="00FB51B5" w:rsidRDefault="005B6D9D" w:rsidP="00FB51B5">
      <w:pPr>
        <w:pStyle w:val="Heading1"/>
        <w:spacing w:line="480" w:lineRule="auto"/>
        <w:rPr>
          <w:rFonts w:ascii="Palatino Linotype" w:hAnsi="Palatino Linotype" w:cs="Times New Roman"/>
          <w:szCs w:val="24"/>
        </w:rPr>
      </w:pPr>
      <w:r w:rsidRPr="00FB51B5">
        <w:rPr>
          <w:rFonts w:ascii="Palatino Linotype" w:hAnsi="Palatino Linotype" w:cs="Times New Roman"/>
          <w:szCs w:val="24"/>
        </w:rPr>
        <w:lastRenderedPageBreak/>
        <w:t>Introduction</w:t>
      </w:r>
    </w:p>
    <w:p w14:paraId="34D725E4" w14:textId="0897C6E1" w:rsidR="005B6D9D" w:rsidRPr="00FB51B5" w:rsidRDefault="005B6D9D" w:rsidP="00FB51B5">
      <w:pPr>
        <w:rPr>
          <w:rFonts w:ascii="Palatino Linotype" w:hAnsi="Palatino Linotype"/>
          <w:color w:val="FF0000"/>
        </w:rPr>
      </w:pPr>
      <w:r w:rsidRPr="00FB51B5">
        <w:rPr>
          <w:rFonts w:ascii="Palatino Linotype" w:hAnsi="Palatino Linotype"/>
        </w:rPr>
        <w:t>Changes in legislation brought about by the Legal Aid, Sentencing and Punishment of Offenders Act 2012 (LASPO) have resulted in an increased demand for free legal advice in many areas of the law, including social welfare law</w:t>
      </w:r>
      <w:r w:rsidR="00F6616E" w:rsidRPr="00FB51B5">
        <w:rPr>
          <w:rFonts w:ascii="Palatino Linotype" w:hAnsi="Palatino Linotype"/>
        </w:rPr>
        <w:t>. U</w:t>
      </w:r>
      <w:r w:rsidR="008A1757" w:rsidRPr="00FB51B5">
        <w:rPr>
          <w:rFonts w:ascii="Palatino Linotype" w:hAnsi="Palatino Linotype"/>
        </w:rPr>
        <w:t>niversity law clinics are one means of meeting some of that demand.</w:t>
      </w:r>
      <w:r w:rsidRPr="00FB51B5">
        <w:rPr>
          <w:rFonts w:ascii="Palatino Linotype" w:hAnsi="Palatino Linotype"/>
        </w:rPr>
        <w:t xml:space="preserve"> In the 2013 Consultation paper ‘Transforming Legal Aid’, Chris Grayling, the then Lord Chancellor and Secretary of</w:t>
      </w:r>
      <w:r w:rsidR="007B5926" w:rsidRPr="00FB51B5">
        <w:rPr>
          <w:rFonts w:ascii="Palatino Linotype" w:hAnsi="Palatino Linotype"/>
        </w:rPr>
        <w:t xml:space="preserve"> State for Justice, stated that</w:t>
      </w:r>
      <w:r w:rsidRPr="00FB51B5">
        <w:rPr>
          <w:rFonts w:ascii="Palatino Linotype" w:hAnsi="Palatino Linotype"/>
        </w:rPr>
        <w:t xml:space="preserve"> “[</w:t>
      </w:r>
      <w:proofErr w:type="spellStart"/>
      <w:r w:rsidRPr="00FB51B5">
        <w:rPr>
          <w:rFonts w:ascii="Palatino Linotype" w:hAnsi="Palatino Linotype"/>
        </w:rPr>
        <w:t>i</w:t>
      </w:r>
      <w:proofErr w:type="spellEnd"/>
      <w:r w:rsidRPr="00FB51B5">
        <w:rPr>
          <w:rFonts w:ascii="Palatino Linotype" w:hAnsi="Palatino Linotype"/>
        </w:rPr>
        <w:t>]n the past decade our legal aid bill has risen [and] is now one of the highest in the world, costing the taxpayer nearly £2bn each year [and] reforms should deliver savings of some £320m p.a. in 2014-15”.</w:t>
      </w:r>
      <w:r w:rsidRPr="00FB51B5">
        <w:rPr>
          <w:rStyle w:val="FootnoteReference"/>
          <w:rFonts w:ascii="Palatino Linotype" w:hAnsi="Palatino Linotype"/>
        </w:rPr>
        <w:footnoteReference w:id="1"/>
      </w:r>
      <w:r w:rsidR="00B21D8F" w:rsidRPr="00FB51B5">
        <w:rPr>
          <w:rFonts w:ascii="Palatino Linotype" w:hAnsi="Palatino Linotype"/>
        </w:rPr>
        <w:t xml:space="preserve"> </w:t>
      </w:r>
      <w:r w:rsidRPr="00FB51B5">
        <w:rPr>
          <w:rFonts w:ascii="Palatino Linotype" w:hAnsi="Palatino Linotype"/>
        </w:rPr>
        <w:t>Response from the not for profit sector to the reform was swift and research on the impact of budget reductions across the sector have resulted in the prediction of some particularly gloomy outcomes, including stagnation in the legal process due to the question of “how case law will be made”?</w:t>
      </w:r>
      <w:r w:rsidR="007B0042" w:rsidRPr="00FB51B5">
        <w:rPr>
          <w:rStyle w:val="FootnoteReference"/>
          <w:rFonts w:ascii="Palatino Linotype" w:hAnsi="Palatino Linotype"/>
        </w:rPr>
        <w:footnoteReference w:id="2"/>
      </w:r>
      <w:r w:rsidRPr="00FB51B5">
        <w:rPr>
          <w:rStyle w:val="CommentReference"/>
          <w:rFonts w:ascii="Palatino Linotype" w:hAnsi="Palatino Linotype"/>
          <w:sz w:val="24"/>
          <w:szCs w:val="24"/>
        </w:rPr>
        <w:t xml:space="preserve"> </w:t>
      </w:r>
    </w:p>
    <w:p w14:paraId="3CD561A9" w14:textId="7031B9DF" w:rsidR="005B6D9D" w:rsidRPr="00FB51B5" w:rsidRDefault="005B6D9D" w:rsidP="00FB51B5">
      <w:pPr>
        <w:rPr>
          <w:rFonts w:ascii="Palatino Linotype" w:hAnsi="Palatino Linotype"/>
        </w:rPr>
      </w:pPr>
      <w:r w:rsidRPr="00FB51B5">
        <w:rPr>
          <w:rFonts w:ascii="Palatino Linotype" w:hAnsi="Palatino Linotype"/>
        </w:rPr>
        <w:t xml:space="preserve">At a recent </w:t>
      </w:r>
      <w:r w:rsidR="00F6616E" w:rsidRPr="00FB51B5">
        <w:rPr>
          <w:rFonts w:ascii="Palatino Linotype" w:hAnsi="Palatino Linotype"/>
        </w:rPr>
        <w:t xml:space="preserve">Association of Law Teachers </w:t>
      </w:r>
      <w:r w:rsidRPr="00FB51B5">
        <w:rPr>
          <w:rFonts w:ascii="Palatino Linotype" w:hAnsi="Palatino Linotype"/>
        </w:rPr>
        <w:t>Conference, a colleague and I presented a paper which investigated the role of</w:t>
      </w:r>
      <w:r w:rsidR="008A1757" w:rsidRPr="00FB51B5">
        <w:rPr>
          <w:rFonts w:ascii="Palatino Linotype" w:hAnsi="Palatino Linotype"/>
        </w:rPr>
        <w:t xml:space="preserve"> Clinical Legal Education (</w:t>
      </w:r>
      <w:r w:rsidRPr="00FB51B5">
        <w:rPr>
          <w:rFonts w:ascii="Palatino Linotype" w:hAnsi="Palatino Linotype"/>
        </w:rPr>
        <w:t>CLE</w:t>
      </w:r>
      <w:r w:rsidR="008A1757" w:rsidRPr="00FB51B5">
        <w:rPr>
          <w:rFonts w:ascii="Palatino Linotype" w:hAnsi="Palatino Linotype"/>
        </w:rPr>
        <w:t>)</w:t>
      </w:r>
      <w:r w:rsidRPr="00FB51B5">
        <w:rPr>
          <w:rFonts w:ascii="Palatino Linotype" w:hAnsi="Palatino Linotype"/>
        </w:rPr>
        <w:t xml:space="preserve"> activities in universities within the wider legal landscape</w:t>
      </w:r>
      <w:r w:rsidR="008A1757" w:rsidRPr="00FB51B5">
        <w:rPr>
          <w:rFonts w:ascii="Palatino Linotype" w:hAnsi="Palatino Linotype"/>
        </w:rPr>
        <w:t>.</w:t>
      </w:r>
      <w:r w:rsidR="008A1757" w:rsidRPr="00FB51B5">
        <w:rPr>
          <w:rStyle w:val="FootnoteReference"/>
          <w:rFonts w:ascii="Palatino Linotype" w:hAnsi="Palatino Linotype"/>
        </w:rPr>
        <w:footnoteReference w:id="3"/>
      </w:r>
      <w:r w:rsidR="008A1757" w:rsidRPr="00FB51B5">
        <w:rPr>
          <w:rFonts w:ascii="Palatino Linotype" w:hAnsi="Palatino Linotype"/>
        </w:rPr>
        <w:t xml:space="preserve"> A</w:t>
      </w:r>
      <w:r w:rsidRPr="00FB51B5">
        <w:rPr>
          <w:rFonts w:ascii="Palatino Linotype" w:hAnsi="Palatino Linotype"/>
        </w:rPr>
        <w:t xml:space="preserve">fter an examination of whether universities are ‘filling the gap’ left by reductions in legal aid or whether </w:t>
      </w:r>
      <w:r w:rsidRPr="00FB51B5">
        <w:rPr>
          <w:rFonts w:ascii="Palatino Linotype" w:hAnsi="Palatino Linotype"/>
        </w:rPr>
        <w:lastRenderedPageBreak/>
        <w:t>using accepted pedagogic theories of experiential learning CLE simply meets universities strategic aims of education and employability it was clear that university clinical activities are to a large extent having an impact on both.</w:t>
      </w:r>
      <w:r w:rsidR="00B21D8F" w:rsidRPr="00FB51B5">
        <w:rPr>
          <w:rFonts w:ascii="Palatino Linotype" w:hAnsi="Palatino Linotype"/>
        </w:rPr>
        <w:t xml:space="preserve"> </w:t>
      </w:r>
      <w:r w:rsidRPr="00FB51B5">
        <w:rPr>
          <w:rFonts w:ascii="Palatino Linotype" w:hAnsi="Palatino Linotype"/>
        </w:rPr>
        <w:t>Whether the gradual increase in the number of law schools across the UK</w:t>
      </w:r>
      <w:r w:rsidRPr="00FB51B5">
        <w:rPr>
          <w:rStyle w:val="FootnoteReference"/>
          <w:rFonts w:ascii="Palatino Linotype" w:hAnsi="Palatino Linotype"/>
        </w:rPr>
        <w:footnoteReference w:id="4"/>
      </w:r>
      <w:r w:rsidRPr="00FB51B5">
        <w:rPr>
          <w:rFonts w:ascii="Palatino Linotype" w:hAnsi="Palatino Linotype"/>
        </w:rPr>
        <w:t xml:space="preserve"> who offer students the opportunity of providing free legal advice to the local community via advice clinics is a response to legislative changes or whether universities see CLE as a positive educational tool to aid employability is still a matter for debate. Regardless of the reason however they certainly offer a useful service to the public. Their primary purpose as far as </w:t>
      </w:r>
      <w:r w:rsidR="003157EC" w:rsidRPr="00FB51B5">
        <w:rPr>
          <w:rFonts w:ascii="Palatino Linotype" w:hAnsi="Palatino Linotype"/>
        </w:rPr>
        <w:t xml:space="preserve">the University of Portsmouth </w:t>
      </w:r>
      <w:r w:rsidRPr="00FB51B5">
        <w:rPr>
          <w:rFonts w:ascii="Palatino Linotype" w:hAnsi="Palatino Linotype"/>
        </w:rPr>
        <w:t>is concerned is to meet the University’s Education Strategy</w:t>
      </w:r>
      <w:r w:rsidRPr="00FB51B5">
        <w:rPr>
          <w:rStyle w:val="FootnoteReference"/>
          <w:rFonts w:ascii="Palatino Linotype" w:hAnsi="Palatino Linotype"/>
        </w:rPr>
        <w:footnoteReference w:id="5"/>
      </w:r>
      <w:r w:rsidR="007B0042" w:rsidRPr="00FB51B5">
        <w:rPr>
          <w:rFonts w:ascii="Palatino Linotype" w:hAnsi="Palatino Linotype"/>
        </w:rPr>
        <w:t xml:space="preserve"> of p</w:t>
      </w:r>
      <w:r w:rsidR="007B0042" w:rsidRPr="00FB51B5">
        <w:rPr>
          <w:rFonts w:ascii="Palatino Linotype" w:hAnsi="Palatino Linotype"/>
          <w:bCs/>
          <w:color w:val="000000"/>
          <w:kern w:val="24"/>
        </w:rPr>
        <w:t>roviding intellectual challenge, enhance skills acquisition and embody academic excellence through</w:t>
      </w:r>
      <w:r w:rsidR="00B21D8F" w:rsidRPr="00FB51B5">
        <w:rPr>
          <w:rFonts w:ascii="Palatino Linotype" w:hAnsi="Palatino Linotype"/>
          <w:bCs/>
          <w:color w:val="000000"/>
          <w:kern w:val="24"/>
        </w:rPr>
        <w:t xml:space="preserve"> </w:t>
      </w:r>
      <w:r w:rsidR="007B0042" w:rsidRPr="00FB51B5">
        <w:rPr>
          <w:rFonts w:ascii="Palatino Linotype" w:hAnsi="Palatino Linotype"/>
          <w:bCs/>
          <w:color w:val="000000"/>
          <w:kern w:val="24"/>
        </w:rPr>
        <w:t>courses that are practice informed and that engage students in research and innovation</w:t>
      </w:r>
      <w:r w:rsidR="001675C7" w:rsidRPr="00FB51B5">
        <w:rPr>
          <w:rFonts w:ascii="Palatino Linotype" w:hAnsi="Palatino Linotype"/>
          <w:bCs/>
          <w:color w:val="000000"/>
          <w:kern w:val="24"/>
        </w:rPr>
        <w:t xml:space="preserve"> and to e</w:t>
      </w:r>
      <w:r w:rsidR="007B0042" w:rsidRPr="00FB51B5">
        <w:rPr>
          <w:rFonts w:ascii="Palatino Linotype" w:hAnsi="Palatino Linotype"/>
          <w:bCs/>
          <w:color w:val="000000"/>
          <w:kern w:val="24"/>
        </w:rPr>
        <w:t>nsure that every student participates in career enhancing activities to learn through experience and to strengthen their personal development</w:t>
      </w:r>
      <w:r w:rsidR="00B21D8F" w:rsidRPr="00FB51B5">
        <w:rPr>
          <w:rFonts w:ascii="Palatino Linotype" w:hAnsi="Palatino Linotype"/>
          <w:bCs/>
          <w:color w:val="000000"/>
          <w:kern w:val="24"/>
        </w:rPr>
        <w:t xml:space="preserve"> </w:t>
      </w:r>
      <w:r w:rsidRPr="00FB51B5">
        <w:rPr>
          <w:rFonts w:ascii="Palatino Linotype" w:hAnsi="Palatino Linotype"/>
        </w:rPr>
        <w:t>and to act as a vehicle for students to acquire professional legal skills. At the fore</w:t>
      </w:r>
      <w:r w:rsidR="007961E5" w:rsidRPr="00FB51B5">
        <w:rPr>
          <w:rFonts w:ascii="Palatino Linotype" w:hAnsi="Palatino Linotype"/>
        </w:rPr>
        <w:t xml:space="preserve"> of CLE</w:t>
      </w:r>
      <w:r w:rsidRPr="00FB51B5">
        <w:rPr>
          <w:rFonts w:ascii="Palatino Linotype" w:hAnsi="Palatino Linotype"/>
        </w:rPr>
        <w:t xml:space="preserve"> is the development of professional, academic and social skills relating to interviewing, problem-solving, team-working, legal </w:t>
      </w:r>
      <w:r w:rsidRPr="00FB51B5">
        <w:rPr>
          <w:rFonts w:ascii="Palatino Linotype" w:hAnsi="Palatino Linotype"/>
        </w:rPr>
        <w:lastRenderedPageBreak/>
        <w:t>research and legal writing. This process is enhanced by a reflective analysis of the clients’ cases and by discussions with supervisors and fellow students. The experience is similar to that of a solicitor advising his or her client but, since the primary aim of any clinic</w:t>
      </w:r>
      <w:r w:rsidR="009C6158" w:rsidRPr="00FB51B5">
        <w:rPr>
          <w:rFonts w:ascii="Palatino Linotype" w:hAnsi="Palatino Linotype"/>
        </w:rPr>
        <w:t xml:space="preserve"> activity</w:t>
      </w:r>
      <w:r w:rsidRPr="00FB51B5">
        <w:rPr>
          <w:rFonts w:ascii="Palatino Linotype" w:hAnsi="Palatino Linotype"/>
        </w:rPr>
        <w:t xml:space="preserve"> is student education, time is generally structured to enable students to fully learn from the experience. At </w:t>
      </w:r>
      <w:r w:rsidR="00BE5A9C" w:rsidRPr="00FB51B5">
        <w:rPr>
          <w:rFonts w:ascii="Palatino Linotype" w:hAnsi="Palatino Linotype"/>
        </w:rPr>
        <w:t xml:space="preserve">the University of </w:t>
      </w:r>
      <w:r w:rsidR="003157EC" w:rsidRPr="00FB51B5">
        <w:rPr>
          <w:rFonts w:ascii="Palatino Linotype" w:hAnsi="Palatino Linotype"/>
        </w:rPr>
        <w:t>Portsmouth</w:t>
      </w:r>
      <w:r w:rsidRPr="00FB51B5">
        <w:rPr>
          <w:rFonts w:ascii="Palatino Linotype" w:hAnsi="Palatino Linotype"/>
        </w:rPr>
        <w:t xml:space="preserve">, clinics are generally supervised by a practising solicitor who ensures that any advice given is equivalent to that of a professional solicitor. </w:t>
      </w:r>
    </w:p>
    <w:p w14:paraId="61107552" w14:textId="77777777" w:rsidR="005B6D9D" w:rsidRPr="00FB51B5" w:rsidRDefault="005B6D9D" w:rsidP="00FB51B5">
      <w:pPr>
        <w:rPr>
          <w:rFonts w:ascii="Palatino Linotype" w:hAnsi="Palatino Linotype"/>
        </w:rPr>
      </w:pPr>
    </w:p>
    <w:p w14:paraId="4F71BE54" w14:textId="77777777" w:rsidR="005B6D9D" w:rsidRPr="00FB51B5" w:rsidRDefault="005B6D9D" w:rsidP="00FB51B5">
      <w:pPr>
        <w:rPr>
          <w:rFonts w:ascii="Palatino Linotype" w:hAnsi="Palatino Linotype"/>
          <w:b/>
        </w:rPr>
      </w:pPr>
      <w:r w:rsidRPr="00FB51B5">
        <w:rPr>
          <w:rFonts w:ascii="Palatino Linotype" w:hAnsi="Palatino Linotype"/>
          <w:b/>
        </w:rPr>
        <w:t xml:space="preserve">CLE at </w:t>
      </w:r>
      <w:r w:rsidR="003157EC" w:rsidRPr="00FB51B5">
        <w:rPr>
          <w:rFonts w:ascii="Palatino Linotype" w:hAnsi="Palatino Linotype"/>
          <w:b/>
        </w:rPr>
        <w:t>University of Portsmouth</w:t>
      </w:r>
      <w:r w:rsidRPr="00FB51B5">
        <w:rPr>
          <w:rFonts w:ascii="Palatino Linotype" w:hAnsi="Palatino Linotype"/>
          <w:b/>
        </w:rPr>
        <w:t xml:space="preserve"> </w:t>
      </w:r>
    </w:p>
    <w:p w14:paraId="599F79CD" w14:textId="77777777" w:rsidR="005B6D9D" w:rsidRPr="00FB51B5" w:rsidRDefault="005B6D9D" w:rsidP="00FB51B5">
      <w:pPr>
        <w:rPr>
          <w:rFonts w:ascii="Palatino Linotype" w:hAnsi="Palatino Linotype"/>
        </w:rPr>
      </w:pPr>
      <w:r w:rsidRPr="00FB51B5">
        <w:rPr>
          <w:rFonts w:ascii="Palatino Linotype" w:hAnsi="Palatino Linotype"/>
        </w:rPr>
        <w:t xml:space="preserve">Having undertaken an academic year of training, the students working on </w:t>
      </w:r>
      <w:r w:rsidR="003157EC" w:rsidRPr="00FB51B5">
        <w:rPr>
          <w:rFonts w:ascii="Palatino Linotype" w:hAnsi="Palatino Linotype"/>
        </w:rPr>
        <w:t xml:space="preserve">Portsmouth’s </w:t>
      </w:r>
      <w:r w:rsidRPr="00FB51B5">
        <w:rPr>
          <w:rFonts w:ascii="Palatino Linotype" w:hAnsi="Palatino Linotype"/>
        </w:rPr>
        <w:t xml:space="preserve">assessed CLE programmes are fully equipped to engage in activities which would otherwise be prohibitive under the constraints of a traditional degree where the emphasis is on coursework and examination. </w:t>
      </w:r>
      <w:r w:rsidR="003157EC" w:rsidRPr="00FB51B5">
        <w:rPr>
          <w:rFonts w:ascii="Palatino Linotype" w:hAnsi="Palatino Linotype"/>
        </w:rPr>
        <w:t>Portsmouth’s</w:t>
      </w:r>
      <w:r w:rsidRPr="00FB51B5">
        <w:rPr>
          <w:rFonts w:ascii="Palatino Linotype" w:hAnsi="Palatino Linotype"/>
        </w:rPr>
        <w:t xml:space="preserve"> CLE programmes enable students to experience legal casework and undertake legal analysis within a structured framework, overseen (albeit from a distance) by an experienced member of staff who is also a practising solicitor. The ‘light touch’ supervision reduces the reliance on staff for an immediate answer and places responsibility on the student to apply knowledge previously gained, thus providing continuous opportunities for reflection.</w:t>
      </w:r>
      <w:r w:rsidR="007D39BD" w:rsidRPr="00FB51B5">
        <w:rPr>
          <w:rStyle w:val="FootnoteReference"/>
          <w:rFonts w:ascii="Palatino Linotype" w:hAnsi="Palatino Linotype"/>
        </w:rPr>
        <w:footnoteReference w:id="6"/>
      </w:r>
    </w:p>
    <w:p w14:paraId="53F5B04B" w14:textId="04C3401C" w:rsidR="005B6D9D" w:rsidRPr="00FB51B5" w:rsidRDefault="005B6D9D" w:rsidP="00FB51B5">
      <w:pPr>
        <w:rPr>
          <w:rFonts w:ascii="Palatino Linotype" w:hAnsi="Palatino Linotype"/>
          <w:b/>
          <w:bCs/>
          <w:i/>
          <w:iCs/>
        </w:rPr>
      </w:pPr>
      <w:r w:rsidRPr="00FB51B5">
        <w:rPr>
          <w:rFonts w:ascii="Palatino Linotype" w:hAnsi="Palatino Linotype"/>
          <w:b/>
          <w:bCs/>
          <w:i/>
          <w:iCs/>
        </w:rPr>
        <w:lastRenderedPageBreak/>
        <w:t>Role of the Supervisor</w:t>
      </w:r>
    </w:p>
    <w:p w14:paraId="13790CB5" w14:textId="77777777" w:rsidR="0091169C" w:rsidRPr="00FB51B5" w:rsidRDefault="0091169C" w:rsidP="00FB51B5">
      <w:pPr>
        <w:rPr>
          <w:rFonts w:ascii="Palatino Linotype" w:hAnsi="Palatino Linotype"/>
        </w:rPr>
      </w:pPr>
      <w:r w:rsidRPr="00FB51B5">
        <w:rPr>
          <w:rFonts w:ascii="Palatino Linotype" w:hAnsi="Palatino Linotype"/>
          <w:bCs/>
        </w:rPr>
        <w:t xml:space="preserve">As </w:t>
      </w:r>
      <w:r w:rsidRPr="00FB51B5">
        <w:rPr>
          <w:rFonts w:ascii="Palatino Linotype" w:hAnsi="Palatino Linotype"/>
        </w:rPr>
        <w:t>Ziegler</w:t>
      </w:r>
      <w:r w:rsidRPr="00FB51B5">
        <w:rPr>
          <w:rFonts w:ascii="Palatino Linotype" w:hAnsi="Palatino Linotype"/>
          <w:bCs/>
        </w:rPr>
        <w:t xml:space="preserve"> suggests</w:t>
      </w:r>
      <w:r w:rsidRPr="00FB51B5">
        <w:rPr>
          <w:rFonts w:ascii="Palatino Linotype" w:hAnsi="Palatino Linotype"/>
          <w:bCs/>
          <w:i/>
        </w:rPr>
        <w:t xml:space="preserve">, </w:t>
      </w:r>
    </w:p>
    <w:p w14:paraId="25E93EF7" w14:textId="77D86236" w:rsidR="005B6D9D" w:rsidRPr="00FB51B5" w:rsidRDefault="0091169C" w:rsidP="00FB51B5">
      <w:pPr>
        <w:spacing w:after="360"/>
        <w:ind w:left="720"/>
        <w:rPr>
          <w:rFonts w:ascii="Palatino Linotype" w:hAnsi="Palatino Linotype"/>
        </w:rPr>
      </w:pPr>
      <w:r w:rsidRPr="00FB51B5">
        <w:rPr>
          <w:rFonts w:ascii="Palatino Linotype" w:hAnsi="Palatino Linotype"/>
        </w:rPr>
        <w:t>[</w:t>
      </w:r>
      <w:proofErr w:type="gramStart"/>
      <w:r w:rsidRPr="00FB51B5">
        <w:rPr>
          <w:rFonts w:ascii="Palatino Linotype" w:hAnsi="Palatino Linotype"/>
        </w:rPr>
        <w:t>a]</w:t>
      </w:r>
      <w:proofErr w:type="gramEnd"/>
      <w:r w:rsidRPr="00FB51B5">
        <w:rPr>
          <w:rFonts w:ascii="Palatino Linotype" w:hAnsi="Palatino Linotype"/>
        </w:rPr>
        <w:t>s ‘expert’, the clinical supervisor gives students authoritative information without necessarily demonstrating the thought processes or skills used to obtain them.</w:t>
      </w:r>
      <w:r w:rsidR="00B21D8F" w:rsidRPr="00FB51B5">
        <w:rPr>
          <w:rFonts w:ascii="Palatino Linotype" w:hAnsi="Palatino Linotype"/>
        </w:rPr>
        <w:t xml:space="preserve"> </w:t>
      </w:r>
      <w:r w:rsidRPr="00FB51B5">
        <w:rPr>
          <w:rFonts w:ascii="Palatino Linotype" w:hAnsi="Palatino Linotype"/>
        </w:rPr>
        <w:t>As ‘model’ the teacher demonstrates the skills and thought processes of a good clinician providing an ‘open book’ that learners may watch and imitate.</w:t>
      </w:r>
      <w:r w:rsidR="00B21D8F" w:rsidRPr="00FB51B5">
        <w:rPr>
          <w:rFonts w:ascii="Palatino Linotype" w:hAnsi="Palatino Linotype"/>
        </w:rPr>
        <w:t xml:space="preserve"> </w:t>
      </w:r>
      <w:r w:rsidRPr="00FB51B5">
        <w:rPr>
          <w:rFonts w:ascii="Palatino Linotype" w:hAnsi="Palatino Linotype"/>
        </w:rPr>
        <w:t>As a ‘facilitator’, the teacher guides the student in doing the actual work while focusing on helping the student to acquire and analyse information.</w:t>
      </w:r>
      <w:r w:rsidR="007D39BD" w:rsidRPr="00FB51B5">
        <w:rPr>
          <w:rStyle w:val="FootnoteReference"/>
          <w:rFonts w:ascii="Palatino Linotype" w:hAnsi="Palatino Linotype"/>
        </w:rPr>
        <w:footnoteReference w:id="7"/>
      </w:r>
    </w:p>
    <w:p w14:paraId="002160F4" w14:textId="456E0778" w:rsidR="0091169C" w:rsidRPr="00FB51B5" w:rsidRDefault="0091169C" w:rsidP="00FB51B5">
      <w:pPr>
        <w:rPr>
          <w:rFonts w:ascii="Palatino Linotype" w:hAnsi="Palatino Linotype"/>
        </w:rPr>
      </w:pPr>
      <w:r w:rsidRPr="00FB51B5">
        <w:rPr>
          <w:rFonts w:ascii="Palatino Linotype" w:hAnsi="Palatino Linotype"/>
        </w:rPr>
        <w:t xml:space="preserve">The role of the Supervisor as ‘expert’ at </w:t>
      </w:r>
      <w:r w:rsidR="003157EC" w:rsidRPr="00FB51B5">
        <w:rPr>
          <w:rFonts w:ascii="Palatino Linotype" w:hAnsi="Palatino Linotype"/>
        </w:rPr>
        <w:t>Portsmouth</w:t>
      </w:r>
      <w:r w:rsidRPr="00FB51B5">
        <w:rPr>
          <w:rFonts w:ascii="Palatino Linotype" w:hAnsi="Palatino Linotype"/>
        </w:rPr>
        <w:t xml:space="preserve"> is to support students as they research information for their client. The supervisor, who is a practising solicitor, checks the results of research for accuracy and relevance and gives direction for further study. Observation provides the student with an opportunity to learn how to ascertain key facts and how to come to a conclusion which can be given to the client with confidence. As ‘model’, the supervisor shares this best practice across the group. As ‘facilitator’, the supervisor stands back and allows students to learn from their own experiences, giving guidance in a supported environment without fear of repercussions.</w:t>
      </w:r>
      <w:r w:rsidR="00B21D8F" w:rsidRPr="00FB51B5">
        <w:rPr>
          <w:rFonts w:ascii="Palatino Linotype" w:hAnsi="Palatino Linotype"/>
        </w:rPr>
        <w:t xml:space="preserve"> </w:t>
      </w:r>
      <w:r w:rsidRPr="00FB51B5">
        <w:rPr>
          <w:rFonts w:ascii="Palatino Linotype" w:hAnsi="Palatino Linotype"/>
        </w:rPr>
        <w:t xml:space="preserve">At </w:t>
      </w:r>
      <w:r w:rsidR="006045E0" w:rsidRPr="00FB51B5">
        <w:rPr>
          <w:rFonts w:ascii="Palatino Linotype" w:hAnsi="Palatino Linotype"/>
        </w:rPr>
        <w:t>Portsmouth</w:t>
      </w:r>
      <w:r w:rsidRPr="00FB51B5">
        <w:rPr>
          <w:rFonts w:ascii="Palatino Linotype" w:hAnsi="Palatino Linotype"/>
        </w:rPr>
        <w:t>, the role of the clinic supervisor is probably more closely linked to the role identified here as ‘facilitator’.</w:t>
      </w:r>
      <w:r w:rsidR="00B21D8F" w:rsidRPr="00FB51B5">
        <w:rPr>
          <w:rFonts w:ascii="Palatino Linotype" w:hAnsi="Palatino Linotype"/>
        </w:rPr>
        <w:t xml:space="preserve"> </w:t>
      </w:r>
      <w:r w:rsidRPr="00FB51B5">
        <w:rPr>
          <w:rFonts w:ascii="Palatino Linotype" w:hAnsi="Palatino Linotype"/>
        </w:rPr>
        <w:t xml:space="preserve">The aim is </w:t>
      </w:r>
      <w:r w:rsidRPr="00FB51B5">
        <w:rPr>
          <w:rFonts w:ascii="Palatino Linotype" w:hAnsi="Palatino Linotype"/>
        </w:rPr>
        <w:lastRenderedPageBreak/>
        <w:t>to encourage students to identify theoretical models and to use these in a practical setting which as Ziegler suggests “guides the student in doing the actual work while focusing on helping the student to acquire and analyse information”.</w:t>
      </w:r>
      <w:r w:rsidR="007D39BD" w:rsidRPr="00FB51B5">
        <w:rPr>
          <w:rStyle w:val="FootnoteReference"/>
          <w:rFonts w:ascii="Palatino Linotype" w:hAnsi="Palatino Linotype"/>
        </w:rPr>
        <w:footnoteReference w:id="8"/>
      </w:r>
      <w:r w:rsidRPr="00FB51B5">
        <w:rPr>
          <w:rFonts w:ascii="Palatino Linotype" w:hAnsi="Palatino Linotype"/>
        </w:rPr>
        <w:t xml:space="preserve"> </w:t>
      </w:r>
    </w:p>
    <w:p w14:paraId="1B910E3D" w14:textId="77777777" w:rsidR="0091169C" w:rsidRPr="00FB51B5" w:rsidRDefault="0091169C" w:rsidP="00FB51B5">
      <w:pPr>
        <w:ind w:firstLine="720"/>
        <w:rPr>
          <w:rFonts w:ascii="Palatino Linotype" w:hAnsi="Palatino Linotype"/>
        </w:rPr>
      </w:pPr>
      <w:r w:rsidRPr="00FB51B5">
        <w:rPr>
          <w:rFonts w:ascii="Palatino Linotype" w:hAnsi="Palatino Linotype"/>
        </w:rPr>
        <w:t xml:space="preserve">The model adopted at </w:t>
      </w:r>
      <w:r w:rsidR="006045E0" w:rsidRPr="00FB51B5">
        <w:rPr>
          <w:rFonts w:ascii="Palatino Linotype" w:hAnsi="Palatino Linotype"/>
        </w:rPr>
        <w:t>Portsmouth</w:t>
      </w:r>
      <w:r w:rsidRPr="00FB51B5">
        <w:rPr>
          <w:rFonts w:ascii="Palatino Linotype" w:hAnsi="Palatino Linotype"/>
        </w:rPr>
        <w:t xml:space="preserve"> also resembles that propounded by Ziegler in that it focuses on student involvement and participation and that by facilitating learning rather than teaching, the supervisor encourages the student to be confident in his or her interaction with the client. Supervision will gradually be reduced to a point where the supervisor will only check to evaluate the advice and information for accuracy before it is delivered to the client.</w:t>
      </w:r>
    </w:p>
    <w:p w14:paraId="26DC0A56" w14:textId="77777777" w:rsidR="0091169C" w:rsidRPr="00FB51B5" w:rsidRDefault="0091169C" w:rsidP="00FB51B5">
      <w:pPr>
        <w:rPr>
          <w:rFonts w:ascii="Palatino Linotype" w:hAnsi="Palatino Linotype" w:cs="Arial"/>
          <w:b/>
          <w:bCs/>
          <w:i/>
          <w:iCs/>
        </w:rPr>
      </w:pPr>
    </w:p>
    <w:p w14:paraId="628554BD" w14:textId="77777777" w:rsidR="0091169C" w:rsidRPr="00FB51B5" w:rsidRDefault="0091169C" w:rsidP="00FB51B5">
      <w:pPr>
        <w:rPr>
          <w:rFonts w:ascii="Palatino Linotype" w:hAnsi="Palatino Linotype" w:cs="Arial"/>
          <w:b/>
          <w:bCs/>
          <w:i/>
          <w:iCs/>
        </w:rPr>
      </w:pPr>
      <w:r w:rsidRPr="00FB51B5">
        <w:rPr>
          <w:rFonts w:ascii="Palatino Linotype" w:hAnsi="Palatino Linotype" w:cs="Arial"/>
          <w:b/>
          <w:bCs/>
          <w:i/>
          <w:iCs/>
        </w:rPr>
        <w:t>Assessment</w:t>
      </w:r>
    </w:p>
    <w:p w14:paraId="3010CC26" w14:textId="22A5B154" w:rsidR="0091169C" w:rsidRPr="00FB51B5" w:rsidRDefault="0091169C" w:rsidP="00FB51B5">
      <w:pPr>
        <w:rPr>
          <w:rFonts w:ascii="Palatino Linotype" w:hAnsi="Palatino Linotype" w:cs="Arial"/>
          <w:bCs/>
          <w:iCs/>
        </w:rPr>
      </w:pPr>
      <w:r w:rsidRPr="00FB51B5">
        <w:rPr>
          <w:rFonts w:ascii="Palatino Linotype" w:hAnsi="Palatino Linotype" w:cs="Arial"/>
          <w:bCs/>
          <w:iCs/>
        </w:rPr>
        <w:t>What must be acknowledged is that assessment in higher education must not only provide certification but must also support student learning.</w:t>
      </w:r>
      <w:r w:rsidR="007D39BD" w:rsidRPr="00FB51B5">
        <w:rPr>
          <w:rStyle w:val="FootnoteReference"/>
          <w:rFonts w:ascii="Palatino Linotype" w:hAnsi="Palatino Linotype" w:cs="Arial"/>
          <w:bCs/>
          <w:iCs/>
        </w:rPr>
        <w:footnoteReference w:id="9"/>
      </w:r>
      <w:r w:rsidR="00B21D8F" w:rsidRPr="00FB51B5">
        <w:rPr>
          <w:rFonts w:ascii="Palatino Linotype" w:hAnsi="Palatino Linotype" w:cs="Arial"/>
          <w:bCs/>
          <w:iCs/>
        </w:rPr>
        <w:t xml:space="preserve"> </w:t>
      </w:r>
      <w:r w:rsidRPr="00FB51B5">
        <w:rPr>
          <w:rFonts w:ascii="Palatino Linotype" w:hAnsi="Palatino Linotype" w:cs="Arial"/>
          <w:bCs/>
          <w:iCs/>
        </w:rPr>
        <w:t>Such assessment can, of course, be in the traditional format, i.e. examinations or coursework and as</w:t>
      </w:r>
      <w:r w:rsidR="00B21D8F" w:rsidRPr="00FB51B5">
        <w:rPr>
          <w:rFonts w:ascii="Palatino Linotype" w:hAnsi="Palatino Linotype" w:cs="Arial"/>
          <w:bCs/>
          <w:iCs/>
        </w:rPr>
        <w:t xml:space="preserve"> </w:t>
      </w:r>
      <w:r w:rsidRPr="00FB51B5">
        <w:rPr>
          <w:rFonts w:ascii="Palatino Linotype" w:hAnsi="Palatino Linotype" w:cs="Arial"/>
          <w:bCs/>
          <w:iCs/>
        </w:rPr>
        <w:t xml:space="preserve">CLE programmes </w:t>
      </w:r>
      <w:r w:rsidR="00F6616E" w:rsidRPr="00FB51B5">
        <w:rPr>
          <w:rFonts w:ascii="Palatino Linotype" w:hAnsi="Palatino Linotype" w:cs="Arial"/>
          <w:bCs/>
          <w:iCs/>
        </w:rPr>
        <w:t xml:space="preserve">at the University of Portsmouth </w:t>
      </w:r>
      <w:r w:rsidRPr="00FB51B5">
        <w:rPr>
          <w:rFonts w:ascii="Palatino Linotype" w:hAnsi="Palatino Linotype" w:cs="Arial"/>
          <w:bCs/>
          <w:iCs/>
        </w:rPr>
        <w:t xml:space="preserve">are part of the curriculum it is vital that assessment is rigorous and in line with </w:t>
      </w:r>
      <w:r w:rsidR="00F6616E" w:rsidRPr="00FB51B5">
        <w:rPr>
          <w:rFonts w:ascii="Palatino Linotype" w:hAnsi="Palatino Linotype" w:cs="Arial"/>
          <w:bCs/>
          <w:iCs/>
        </w:rPr>
        <w:t>University of Portsmouth</w:t>
      </w:r>
      <w:r w:rsidRPr="00FB51B5">
        <w:rPr>
          <w:rFonts w:ascii="Palatino Linotype" w:hAnsi="Palatino Linotype" w:cs="Arial"/>
          <w:bCs/>
          <w:iCs/>
        </w:rPr>
        <w:t xml:space="preserve"> regulations. However, </w:t>
      </w:r>
      <w:r w:rsidR="00F6616E" w:rsidRPr="00FB51B5">
        <w:rPr>
          <w:rFonts w:ascii="Palatino Linotype" w:hAnsi="Palatino Linotype" w:cs="Arial"/>
          <w:bCs/>
          <w:iCs/>
        </w:rPr>
        <w:t>the team working on the programmes</w:t>
      </w:r>
      <w:r w:rsidRPr="00FB51B5">
        <w:rPr>
          <w:rFonts w:ascii="Palatino Linotype" w:hAnsi="Palatino Linotype" w:cs="Arial"/>
          <w:bCs/>
          <w:iCs/>
        </w:rPr>
        <w:t xml:space="preserve"> felt we needed to go further than this as in our view, students should be viewed as future employees rather than students studying how to become a lawyer and that </w:t>
      </w:r>
      <w:r w:rsidRPr="00FB51B5">
        <w:rPr>
          <w:rFonts w:ascii="Palatino Linotype" w:hAnsi="Palatino Linotype" w:cs="Arial"/>
          <w:bCs/>
          <w:iCs/>
        </w:rPr>
        <w:lastRenderedPageBreak/>
        <w:t>CLE provides an opportunity to consider assessment more closely aligned to the type of work undertaken. Once a student enters the interview room with a member of the public that student is, for all intents and purposes, a lawyer and the client sitting in front of them expects (and why should he or she not) that the information and advice he or she is given is reliable because that lawyer is trained to act in this capacity.</w:t>
      </w:r>
    </w:p>
    <w:p w14:paraId="0F74A074" w14:textId="4F083163" w:rsidR="0091169C" w:rsidRPr="00FB51B5" w:rsidRDefault="0091169C" w:rsidP="00FB51B5">
      <w:pPr>
        <w:ind w:firstLine="720"/>
        <w:rPr>
          <w:rFonts w:ascii="Palatino Linotype" w:hAnsi="Palatino Linotype" w:cs="Arial"/>
          <w:bCs/>
          <w:iCs/>
        </w:rPr>
      </w:pPr>
      <w:r w:rsidRPr="00FB51B5">
        <w:rPr>
          <w:rFonts w:ascii="Palatino Linotype" w:hAnsi="Palatino Linotype" w:cs="Arial"/>
          <w:bCs/>
          <w:iCs/>
        </w:rPr>
        <w:t>As Sylvester appreciates, “[c]</w:t>
      </w:r>
      <w:proofErr w:type="spellStart"/>
      <w:r w:rsidRPr="00FB51B5">
        <w:rPr>
          <w:rFonts w:ascii="Palatino Linotype" w:hAnsi="Palatino Linotype" w:cs="Arial"/>
          <w:bCs/>
          <w:iCs/>
        </w:rPr>
        <w:t>linic</w:t>
      </w:r>
      <w:proofErr w:type="spellEnd"/>
      <w:r w:rsidRPr="00FB51B5">
        <w:rPr>
          <w:rFonts w:ascii="Palatino Linotype" w:hAnsi="Palatino Linotype" w:cs="Arial"/>
          <w:bCs/>
          <w:iCs/>
        </w:rPr>
        <w:t xml:space="preserve"> is a constructivist teaching methodology – it can deliver discipline and procedural legal knowledge but more often its role is emphasised in terms of teaching legal and intellectual skills and as a method of inculcating professional values and ethics through its traditional involvement in social justice”.</w:t>
      </w:r>
      <w:r w:rsidR="007D39BD" w:rsidRPr="00FB51B5">
        <w:rPr>
          <w:rStyle w:val="FootnoteReference"/>
          <w:rFonts w:ascii="Palatino Linotype" w:hAnsi="Palatino Linotype" w:cs="Arial"/>
          <w:bCs/>
          <w:iCs/>
        </w:rPr>
        <w:footnoteReference w:id="10"/>
      </w:r>
      <w:r w:rsidR="00B21D8F" w:rsidRPr="00FB51B5">
        <w:rPr>
          <w:rFonts w:ascii="Palatino Linotype" w:hAnsi="Palatino Linotype" w:cs="Arial"/>
          <w:bCs/>
          <w:iCs/>
        </w:rPr>
        <w:t xml:space="preserve"> </w:t>
      </w:r>
      <w:r w:rsidRPr="00FB51B5">
        <w:rPr>
          <w:rFonts w:ascii="Palatino Linotype" w:hAnsi="Palatino Linotype" w:cs="Arial"/>
          <w:bCs/>
          <w:iCs/>
        </w:rPr>
        <w:t>Assessing these skills, values and ethics necessitates the use of a different assessment model which emphasises the practical element of this assessed unit.</w:t>
      </w:r>
    </w:p>
    <w:p w14:paraId="083C4308" w14:textId="77777777" w:rsidR="0091169C" w:rsidRPr="00FB51B5" w:rsidRDefault="0091169C" w:rsidP="00FB51B5">
      <w:pPr>
        <w:ind w:firstLine="720"/>
        <w:rPr>
          <w:rFonts w:ascii="Palatino Linotype" w:hAnsi="Palatino Linotype" w:cs="Arial"/>
          <w:bCs/>
          <w:iCs/>
        </w:rPr>
      </w:pPr>
      <w:r w:rsidRPr="00FB51B5">
        <w:rPr>
          <w:rFonts w:ascii="Palatino Linotype" w:hAnsi="Palatino Linotype" w:cs="Arial"/>
          <w:bCs/>
          <w:iCs/>
        </w:rPr>
        <w:t xml:space="preserve">Assessing students on their individual performance as they interact with clients is however not reliable as each client may bring to the clinic either very complex or very straightforward issues and therefore like for like skills are not being tested. The challenge for </w:t>
      </w:r>
      <w:r w:rsidR="000806AA" w:rsidRPr="00FB51B5">
        <w:rPr>
          <w:rFonts w:ascii="Palatino Linotype" w:hAnsi="Palatino Linotype" w:cs="Arial"/>
          <w:bCs/>
          <w:iCs/>
        </w:rPr>
        <w:t>the team</w:t>
      </w:r>
      <w:r w:rsidRPr="00FB51B5">
        <w:rPr>
          <w:rFonts w:ascii="Palatino Linotype" w:hAnsi="Palatino Linotype" w:cs="Arial"/>
          <w:bCs/>
          <w:iCs/>
        </w:rPr>
        <w:t xml:space="preserve"> in assessing how well a student has performed/is performing in this environment was how to assess achievement when trying to replicate a dynamic and realistic working environment. For this </w:t>
      </w:r>
      <w:r w:rsidRPr="00FB51B5">
        <w:rPr>
          <w:rFonts w:ascii="Palatino Linotype" w:hAnsi="Palatino Linotype" w:cs="Arial"/>
          <w:bCs/>
          <w:iCs/>
        </w:rPr>
        <w:lastRenderedPageBreak/>
        <w:t xml:space="preserve">reason </w:t>
      </w:r>
      <w:r w:rsidR="000806AA" w:rsidRPr="00FB51B5">
        <w:rPr>
          <w:rFonts w:ascii="Palatino Linotype" w:hAnsi="Palatino Linotype" w:cs="Arial"/>
          <w:bCs/>
          <w:iCs/>
        </w:rPr>
        <w:t>the team</w:t>
      </w:r>
      <w:r w:rsidRPr="00FB51B5">
        <w:rPr>
          <w:rFonts w:ascii="Palatino Linotype" w:hAnsi="Palatino Linotype" w:cs="Arial"/>
          <w:bCs/>
          <w:iCs/>
        </w:rPr>
        <w:t xml:space="preserve"> decided to introduce appraisal as a means of assessing student achievement and a comparison to its use in the workplace is useful here.</w:t>
      </w:r>
    </w:p>
    <w:p w14:paraId="0AE448ED" w14:textId="3AA1678F" w:rsidR="0091169C" w:rsidRPr="00FB51B5" w:rsidRDefault="0091169C" w:rsidP="00FB51B5">
      <w:pPr>
        <w:ind w:firstLine="720"/>
        <w:rPr>
          <w:rFonts w:ascii="Palatino Linotype" w:hAnsi="Palatino Linotype" w:cs="Arial"/>
          <w:bCs/>
          <w:iCs/>
        </w:rPr>
      </w:pPr>
      <w:r w:rsidRPr="00FB51B5">
        <w:rPr>
          <w:rFonts w:ascii="Palatino Linotype" w:hAnsi="Palatino Linotype" w:cs="Arial"/>
          <w:bCs/>
          <w:iCs/>
        </w:rPr>
        <w:t>Appraisal has the dual purpose of appraising performance and achievement and providing guidance for future activity and therefore appraising performance can become an accurate and effective assessment tool. In the workplace, an appraisal is a meeting where the manager/supervisor assesses the performance of the individual against a set of pre-agreed targets. There is a great deal to be gained from a well conducted appraisal as it can be a celebration of achievement, help to identify good performance and focus on areas for improvement. In the workplace it can also help to make decisions about career progression by discussing the individual’s aspirations for the coming year. Writing on the Job.ac.uk website, Neil Harris poses the question ‘Why do we need Appraisal?</w:t>
      </w:r>
      <w:r w:rsidR="00D4604E" w:rsidRPr="00FB51B5">
        <w:rPr>
          <w:rFonts w:ascii="Palatino Linotype" w:hAnsi="Palatino Linotype" w:cs="Arial"/>
          <w:bCs/>
          <w:iCs/>
        </w:rPr>
        <w:t>’</w:t>
      </w:r>
      <w:r w:rsidR="00B21D8F" w:rsidRPr="00FB51B5">
        <w:rPr>
          <w:rFonts w:ascii="Palatino Linotype" w:hAnsi="Palatino Linotype" w:cs="Arial"/>
          <w:bCs/>
          <w:iCs/>
        </w:rPr>
        <w:t xml:space="preserve"> </w:t>
      </w:r>
      <w:r w:rsidRPr="00FB51B5">
        <w:rPr>
          <w:rFonts w:ascii="Palatino Linotype" w:hAnsi="Palatino Linotype" w:cs="Arial"/>
          <w:bCs/>
          <w:iCs/>
        </w:rPr>
        <w:t>Harris states “[a]</w:t>
      </w:r>
      <w:proofErr w:type="spellStart"/>
      <w:r w:rsidRPr="00FB51B5">
        <w:rPr>
          <w:rFonts w:ascii="Palatino Linotype" w:hAnsi="Palatino Linotype" w:cs="Arial"/>
          <w:bCs/>
          <w:iCs/>
        </w:rPr>
        <w:t>ccording</w:t>
      </w:r>
      <w:proofErr w:type="spellEnd"/>
      <w:r w:rsidRPr="00FB51B5">
        <w:rPr>
          <w:rFonts w:ascii="Palatino Linotype" w:hAnsi="Palatino Linotype" w:cs="Arial"/>
          <w:bCs/>
          <w:iCs/>
        </w:rPr>
        <w:t xml:space="preserve"> to the Chartered Institute of Personnel and Development (CIPD), 87% of employers use some form of individual annual appraisals, 27% do them twice a year and 10% more often than that”.</w:t>
      </w:r>
      <w:r w:rsidR="007D39BD" w:rsidRPr="00FB51B5">
        <w:rPr>
          <w:rStyle w:val="FootnoteReference"/>
          <w:rFonts w:ascii="Palatino Linotype" w:hAnsi="Palatino Linotype" w:cs="Arial"/>
          <w:bCs/>
          <w:iCs/>
        </w:rPr>
        <w:footnoteReference w:id="11"/>
      </w:r>
      <w:r w:rsidRPr="00FB51B5">
        <w:rPr>
          <w:rFonts w:ascii="Palatino Linotype" w:hAnsi="Palatino Linotype" w:cs="Arial"/>
          <w:bCs/>
          <w:iCs/>
        </w:rPr>
        <w:t xml:space="preserve"> These figures suggest that employers view appraisals as a key element of performance management, encouraging employees to link their performance to the objectives of the organisation, helping them to respond to changes within the industry. From the employee’s perspective it is an opportunity to consider their </w:t>
      </w:r>
      <w:r w:rsidRPr="00FB51B5">
        <w:rPr>
          <w:rFonts w:ascii="Palatino Linotype" w:hAnsi="Palatino Linotype" w:cs="Arial"/>
          <w:bCs/>
          <w:iCs/>
        </w:rPr>
        <w:lastRenderedPageBreak/>
        <w:t>role within the organisation and to debate whether they are achieving objectives and goals previously set.</w:t>
      </w:r>
    </w:p>
    <w:p w14:paraId="72CE565B" w14:textId="29E069D9" w:rsidR="0091169C" w:rsidRPr="00FB51B5" w:rsidRDefault="0091169C" w:rsidP="00FB51B5">
      <w:pPr>
        <w:ind w:firstLine="720"/>
        <w:rPr>
          <w:rFonts w:ascii="Palatino Linotype" w:hAnsi="Palatino Linotype" w:cs="Arial"/>
          <w:bCs/>
          <w:iCs/>
        </w:rPr>
      </w:pPr>
      <w:r w:rsidRPr="00FB51B5">
        <w:rPr>
          <w:rFonts w:ascii="Palatino Linotype" w:hAnsi="Palatino Linotype" w:cs="Arial"/>
          <w:bCs/>
          <w:iCs/>
        </w:rPr>
        <w:t xml:space="preserve">As is evident, appraisal is common in the workplace. The appraisal process requires employees to consider what their objectives might be and asks them to identify what they think they might achieve and whether any support or additional resources are necessary to help them achieve set targets. As </w:t>
      </w:r>
      <w:r w:rsidR="000806AA" w:rsidRPr="00FB51B5">
        <w:rPr>
          <w:rFonts w:ascii="Palatino Linotype" w:hAnsi="Palatino Linotype" w:cs="Arial"/>
          <w:bCs/>
          <w:iCs/>
        </w:rPr>
        <w:t>students</w:t>
      </w:r>
      <w:r w:rsidRPr="00FB51B5">
        <w:rPr>
          <w:rFonts w:ascii="Palatino Linotype" w:hAnsi="Palatino Linotype" w:cs="Arial"/>
          <w:bCs/>
          <w:iCs/>
        </w:rPr>
        <w:t xml:space="preserve"> are not in the workplace, </w:t>
      </w:r>
      <w:r w:rsidR="000806AA" w:rsidRPr="00FB51B5">
        <w:rPr>
          <w:rFonts w:ascii="Palatino Linotype" w:hAnsi="Palatino Linotype" w:cs="Arial"/>
          <w:bCs/>
          <w:iCs/>
        </w:rPr>
        <w:t>the team</w:t>
      </w:r>
      <w:r w:rsidRPr="00FB51B5">
        <w:rPr>
          <w:rFonts w:ascii="Palatino Linotype" w:hAnsi="Palatino Linotype" w:cs="Arial"/>
          <w:bCs/>
          <w:iCs/>
        </w:rPr>
        <w:t xml:space="preserve"> considered other ways of setting objectives/targets to be achieved which would directly benefit students and which would involve them in not only looking forward but help them to reflect on their experience. </w:t>
      </w:r>
      <w:r w:rsidR="000806AA" w:rsidRPr="00FB51B5">
        <w:rPr>
          <w:rFonts w:ascii="Palatino Linotype" w:hAnsi="Palatino Linotype" w:cs="Arial"/>
          <w:bCs/>
          <w:iCs/>
        </w:rPr>
        <w:t>The team</w:t>
      </w:r>
      <w:r w:rsidRPr="00FB51B5">
        <w:rPr>
          <w:rFonts w:ascii="Palatino Linotype" w:hAnsi="Palatino Linotype" w:cs="Arial"/>
          <w:bCs/>
          <w:iCs/>
        </w:rPr>
        <w:t xml:space="preserve"> decided that setting SMART targets (targets which are Specific, Measurable, Achievable, Realistic and Time bound) would be useful for our purposes as, introduced in the way we did, would enable students to look beyond the ‘now’ and therefore help them</w:t>
      </w:r>
      <w:r w:rsidR="00B21D8F" w:rsidRPr="00FB51B5">
        <w:rPr>
          <w:rFonts w:ascii="Palatino Linotype" w:hAnsi="Palatino Linotype" w:cs="Arial"/>
          <w:bCs/>
          <w:iCs/>
        </w:rPr>
        <w:t xml:space="preserve"> </w:t>
      </w:r>
      <w:r w:rsidRPr="00FB51B5">
        <w:rPr>
          <w:rFonts w:ascii="Palatino Linotype" w:hAnsi="Palatino Linotype" w:cs="Arial"/>
          <w:bCs/>
          <w:iCs/>
        </w:rPr>
        <w:t>with self-development and</w:t>
      </w:r>
      <w:r w:rsidR="00B21D8F" w:rsidRPr="00FB51B5">
        <w:rPr>
          <w:rFonts w:ascii="Palatino Linotype" w:hAnsi="Palatino Linotype" w:cs="Arial"/>
          <w:bCs/>
          <w:iCs/>
        </w:rPr>
        <w:t xml:space="preserve"> </w:t>
      </w:r>
      <w:r w:rsidRPr="00FB51B5">
        <w:rPr>
          <w:rFonts w:ascii="Palatino Linotype" w:hAnsi="Palatino Linotype" w:cs="Arial"/>
          <w:bCs/>
          <w:iCs/>
        </w:rPr>
        <w:t>career planning.</w:t>
      </w:r>
      <w:r w:rsidR="007D39BD" w:rsidRPr="00FB51B5">
        <w:rPr>
          <w:rStyle w:val="FootnoteReference"/>
          <w:rFonts w:ascii="Palatino Linotype" w:hAnsi="Palatino Linotype" w:cs="Arial"/>
          <w:bCs/>
          <w:iCs/>
        </w:rPr>
        <w:footnoteReference w:id="12"/>
      </w:r>
      <w:r w:rsidR="00B21D8F" w:rsidRPr="00FB51B5">
        <w:rPr>
          <w:rFonts w:ascii="Palatino Linotype" w:hAnsi="Palatino Linotype" w:cs="Arial"/>
          <w:bCs/>
          <w:iCs/>
        </w:rPr>
        <w:t xml:space="preserve"> </w:t>
      </w:r>
    </w:p>
    <w:p w14:paraId="70D3CBFB" w14:textId="77777777" w:rsidR="0091169C" w:rsidRPr="00FB51B5" w:rsidRDefault="0091169C" w:rsidP="00FB51B5">
      <w:pPr>
        <w:rPr>
          <w:rFonts w:ascii="Palatino Linotype" w:hAnsi="Palatino Linotype" w:cs="Arial"/>
          <w:bCs/>
          <w:iCs/>
        </w:rPr>
      </w:pPr>
    </w:p>
    <w:p w14:paraId="08453DD2" w14:textId="77777777" w:rsidR="0091169C" w:rsidRPr="00FB51B5" w:rsidRDefault="0091169C" w:rsidP="00FB51B5">
      <w:pPr>
        <w:rPr>
          <w:rFonts w:ascii="Palatino Linotype" w:hAnsi="Palatino Linotype" w:cs="Arial"/>
          <w:b/>
          <w:bCs/>
          <w:i/>
          <w:iCs/>
        </w:rPr>
      </w:pPr>
      <w:r w:rsidRPr="00FB51B5">
        <w:rPr>
          <w:rFonts w:ascii="Palatino Linotype" w:hAnsi="Palatino Linotype" w:cs="Arial"/>
          <w:b/>
          <w:bCs/>
          <w:i/>
          <w:iCs/>
        </w:rPr>
        <w:t>Adapting Workplace Appraisal to CLE</w:t>
      </w:r>
    </w:p>
    <w:p w14:paraId="6361487A" w14:textId="77777777" w:rsidR="00E76CFE" w:rsidRPr="00FB51B5" w:rsidRDefault="0091169C" w:rsidP="00FB51B5">
      <w:pPr>
        <w:rPr>
          <w:rFonts w:ascii="Palatino Linotype" w:hAnsi="Palatino Linotype" w:cs="Arial"/>
          <w:bCs/>
          <w:iCs/>
          <w:color w:val="FF0000"/>
        </w:rPr>
      </w:pPr>
      <w:r w:rsidRPr="00FB51B5">
        <w:rPr>
          <w:rFonts w:ascii="Palatino Linotype" w:hAnsi="Palatino Linotype" w:cs="Arial"/>
          <w:bCs/>
          <w:iCs/>
        </w:rPr>
        <w:t xml:space="preserve">At </w:t>
      </w:r>
      <w:r w:rsidR="000806AA" w:rsidRPr="00FB51B5">
        <w:rPr>
          <w:rFonts w:ascii="Palatino Linotype" w:hAnsi="Palatino Linotype" w:cs="Arial"/>
          <w:bCs/>
          <w:iCs/>
        </w:rPr>
        <w:t xml:space="preserve">the University of </w:t>
      </w:r>
      <w:r w:rsidR="0014508D" w:rsidRPr="00FB51B5">
        <w:rPr>
          <w:rFonts w:ascii="Palatino Linotype" w:hAnsi="Palatino Linotype" w:cs="Arial"/>
          <w:bCs/>
          <w:iCs/>
        </w:rPr>
        <w:t>Portsmouth</w:t>
      </w:r>
      <w:r w:rsidRPr="00FB51B5">
        <w:rPr>
          <w:rFonts w:ascii="Palatino Linotype" w:hAnsi="Palatino Linotype" w:cs="Arial"/>
          <w:bCs/>
          <w:iCs/>
        </w:rPr>
        <w:t xml:space="preserve">, in </w:t>
      </w:r>
      <w:r w:rsidR="000806AA" w:rsidRPr="00FB51B5">
        <w:rPr>
          <w:rFonts w:ascii="Palatino Linotype" w:hAnsi="Palatino Linotype" w:cs="Arial"/>
          <w:bCs/>
          <w:iCs/>
        </w:rPr>
        <w:t>an</w:t>
      </w:r>
      <w:r w:rsidRPr="00FB51B5">
        <w:rPr>
          <w:rFonts w:ascii="Palatino Linotype" w:hAnsi="Palatino Linotype" w:cs="Arial"/>
          <w:bCs/>
          <w:iCs/>
        </w:rPr>
        <w:t xml:space="preserve"> attempt to (as far as possible) replicate the work place, </w:t>
      </w:r>
      <w:r w:rsidR="000806AA" w:rsidRPr="00FB51B5">
        <w:rPr>
          <w:rFonts w:ascii="Palatino Linotype" w:hAnsi="Palatino Linotype" w:cs="Arial"/>
          <w:bCs/>
          <w:iCs/>
        </w:rPr>
        <w:t xml:space="preserve">the team has </w:t>
      </w:r>
      <w:r w:rsidRPr="00FB51B5">
        <w:rPr>
          <w:rFonts w:ascii="Palatino Linotype" w:hAnsi="Palatino Linotype" w:cs="Arial"/>
          <w:bCs/>
          <w:iCs/>
        </w:rPr>
        <w:t>adopted appraisal as part of the assessment process.</w:t>
      </w:r>
      <w:r w:rsidR="00E76CFE" w:rsidRPr="00FB51B5">
        <w:rPr>
          <w:rFonts w:ascii="Palatino Linotype" w:hAnsi="Palatino Linotype" w:cs="Arial"/>
          <w:bCs/>
          <w:iCs/>
        </w:rPr>
        <w:t xml:space="preserve"> The appraisal is made up of </w:t>
      </w:r>
      <w:r w:rsidR="00B759BE" w:rsidRPr="00FB51B5">
        <w:rPr>
          <w:rFonts w:ascii="Palatino Linotype" w:hAnsi="Palatino Linotype" w:cs="Arial"/>
          <w:bCs/>
          <w:iCs/>
        </w:rPr>
        <w:t>three</w:t>
      </w:r>
      <w:r w:rsidR="00E76CFE" w:rsidRPr="00FB51B5">
        <w:rPr>
          <w:rFonts w:ascii="Palatino Linotype" w:hAnsi="Palatino Linotype" w:cs="Arial"/>
          <w:bCs/>
          <w:iCs/>
        </w:rPr>
        <w:t xml:space="preserve"> elements</w:t>
      </w:r>
      <w:r w:rsidR="00B759BE" w:rsidRPr="00FB51B5">
        <w:rPr>
          <w:rFonts w:ascii="Palatino Linotype" w:hAnsi="Palatino Linotype" w:cs="Arial"/>
          <w:bCs/>
          <w:iCs/>
        </w:rPr>
        <w:t>:</w:t>
      </w:r>
      <w:r w:rsidR="00E76CFE" w:rsidRPr="00FB51B5">
        <w:rPr>
          <w:rFonts w:ascii="Palatino Linotype" w:hAnsi="Palatino Linotype" w:cs="Arial"/>
          <w:bCs/>
          <w:iCs/>
        </w:rPr>
        <w:t xml:space="preserve"> </w:t>
      </w:r>
      <w:r w:rsidR="00B759BE" w:rsidRPr="00FB51B5">
        <w:rPr>
          <w:rFonts w:ascii="Palatino Linotype" w:hAnsi="Palatino Linotype" w:cs="Arial"/>
          <w:bCs/>
          <w:iCs/>
        </w:rPr>
        <w:t>w</w:t>
      </w:r>
      <w:r w:rsidR="00E76CFE" w:rsidRPr="00FB51B5">
        <w:rPr>
          <w:rFonts w:ascii="Palatino Linotype" w:hAnsi="Palatino Linotype" w:cs="Arial"/>
          <w:bCs/>
          <w:iCs/>
        </w:rPr>
        <w:t xml:space="preserve">e ask students to set their own </w:t>
      </w:r>
      <w:r w:rsidR="00E76CFE" w:rsidRPr="00FB51B5">
        <w:rPr>
          <w:rFonts w:ascii="Palatino Linotype" w:hAnsi="Palatino Linotype" w:cs="Arial"/>
          <w:bCs/>
          <w:iCs/>
        </w:rPr>
        <w:lastRenderedPageBreak/>
        <w:t>objectives; we encourage them to reflect on the year; and we ask them to look forward, taking their learning into the workplace.</w:t>
      </w:r>
    </w:p>
    <w:p w14:paraId="26264A16" w14:textId="77777777" w:rsidR="00E76CFE" w:rsidRPr="00FB51B5" w:rsidRDefault="00E76CFE" w:rsidP="00FB51B5">
      <w:pPr>
        <w:pStyle w:val="Heading3"/>
        <w:spacing w:line="480" w:lineRule="auto"/>
        <w:rPr>
          <w:rFonts w:ascii="Palatino Linotype" w:hAnsi="Palatino Linotype"/>
          <w:szCs w:val="24"/>
        </w:rPr>
      </w:pPr>
      <w:r w:rsidRPr="00FB51B5">
        <w:rPr>
          <w:rFonts w:ascii="Palatino Linotype" w:hAnsi="Palatino Linotype"/>
          <w:szCs w:val="24"/>
        </w:rPr>
        <w:t>Setting Objectives</w:t>
      </w:r>
    </w:p>
    <w:p w14:paraId="25F4F8B3" w14:textId="3EBF0EDA" w:rsidR="00E76CFE" w:rsidRPr="00FB51B5" w:rsidRDefault="0091169C" w:rsidP="00FB51B5">
      <w:pPr>
        <w:rPr>
          <w:rFonts w:ascii="Palatino Linotype" w:hAnsi="Palatino Linotype" w:cs="Arial"/>
          <w:bCs/>
          <w:iCs/>
        </w:rPr>
      </w:pPr>
      <w:r w:rsidRPr="00FB51B5">
        <w:rPr>
          <w:rFonts w:ascii="Palatino Linotype" w:hAnsi="Palatino Linotype" w:cs="Arial"/>
          <w:bCs/>
          <w:iCs/>
        </w:rPr>
        <w:t>In the same way as employees discuss objectives with their manager for the year ahead, at the beginning of the autumn term CLE students</w:t>
      </w:r>
      <w:r w:rsidR="000806AA" w:rsidRPr="00FB51B5">
        <w:rPr>
          <w:rFonts w:ascii="Palatino Linotype" w:hAnsi="Palatino Linotype" w:cs="Arial"/>
          <w:bCs/>
          <w:iCs/>
        </w:rPr>
        <w:t xml:space="preserve"> are asked </w:t>
      </w:r>
      <w:r w:rsidRPr="00FB51B5">
        <w:rPr>
          <w:rFonts w:ascii="Palatino Linotype" w:hAnsi="Palatino Linotype" w:cs="Arial"/>
          <w:bCs/>
          <w:iCs/>
        </w:rPr>
        <w:t>to consider their own objectives (</w:t>
      </w:r>
      <w:r w:rsidR="000806AA" w:rsidRPr="00FB51B5">
        <w:rPr>
          <w:rFonts w:ascii="Palatino Linotype" w:hAnsi="Palatino Linotype" w:cs="Arial"/>
          <w:bCs/>
          <w:iCs/>
        </w:rPr>
        <w:t>student</w:t>
      </w:r>
      <w:r w:rsidRPr="00FB51B5">
        <w:rPr>
          <w:rFonts w:ascii="Palatino Linotype" w:hAnsi="Palatino Linotype" w:cs="Arial"/>
          <w:bCs/>
          <w:iCs/>
        </w:rPr>
        <w:t xml:space="preserve"> equivalent of SMART targets) for the coming year. Areas often identified by students relate to improvement of one or more of the skills groups discussed above such as assertiveness or case management as well as strategies to deal with prejudice. </w:t>
      </w:r>
      <w:r w:rsidR="000806AA" w:rsidRPr="00FB51B5">
        <w:rPr>
          <w:rFonts w:ascii="Palatino Linotype" w:hAnsi="Palatino Linotype" w:cs="Arial"/>
          <w:bCs/>
          <w:iCs/>
        </w:rPr>
        <w:t>S</w:t>
      </w:r>
      <w:r w:rsidRPr="00FB51B5">
        <w:rPr>
          <w:rFonts w:ascii="Palatino Linotype" w:hAnsi="Palatino Linotype" w:cs="Arial"/>
          <w:bCs/>
          <w:iCs/>
        </w:rPr>
        <w:t xml:space="preserve">tudents </w:t>
      </w:r>
      <w:r w:rsidR="000806AA" w:rsidRPr="00FB51B5">
        <w:rPr>
          <w:rFonts w:ascii="Palatino Linotype" w:hAnsi="Palatino Linotype" w:cs="Arial"/>
          <w:bCs/>
          <w:iCs/>
        </w:rPr>
        <w:t xml:space="preserve">are asked </w:t>
      </w:r>
      <w:r w:rsidRPr="00FB51B5">
        <w:rPr>
          <w:rFonts w:ascii="Palatino Linotype" w:hAnsi="Palatino Linotype" w:cs="Arial"/>
          <w:bCs/>
          <w:iCs/>
        </w:rPr>
        <w:t>to identify four objectives relating to areas upon which they wish to improve over the coming year</w:t>
      </w:r>
      <w:r w:rsidR="00C45F0B" w:rsidRPr="00FB51B5">
        <w:rPr>
          <w:rFonts w:ascii="Palatino Linotype" w:hAnsi="Palatino Linotype" w:cs="Arial"/>
          <w:bCs/>
          <w:iCs/>
        </w:rPr>
        <w:t>.</w:t>
      </w:r>
      <w:r w:rsidRPr="00FB51B5">
        <w:rPr>
          <w:rFonts w:ascii="Palatino Linotype" w:hAnsi="Palatino Linotype" w:cs="Arial"/>
          <w:bCs/>
          <w:iCs/>
        </w:rPr>
        <w:t xml:space="preserve"> </w:t>
      </w:r>
      <w:r w:rsidR="009D6592" w:rsidRPr="00FB51B5">
        <w:rPr>
          <w:rFonts w:ascii="Palatino Linotype" w:hAnsi="Palatino Linotype" w:cs="Arial"/>
          <w:bCs/>
          <w:iCs/>
        </w:rPr>
        <w:t>Supervisors ensure that the objectives are all of a similar value</w:t>
      </w:r>
      <w:r w:rsidR="00376658" w:rsidRPr="00FB51B5">
        <w:rPr>
          <w:rFonts w:ascii="Palatino Linotype" w:hAnsi="Palatino Linotype" w:cs="Arial"/>
          <w:bCs/>
          <w:iCs/>
        </w:rPr>
        <w:t xml:space="preserve"> in relation to their complexity and the student’s ability to achieve them,</w:t>
      </w:r>
      <w:r w:rsidR="0085777B" w:rsidRPr="00FB51B5">
        <w:rPr>
          <w:rFonts w:ascii="Palatino Linotype" w:hAnsi="Palatino Linotype" w:cs="Arial"/>
          <w:bCs/>
          <w:iCs/>
        </w:rPr>
        <w:t xml:space="preserve"> </w:t>
      </w:r>
      <w:r w:rsidR="009D6592" w:rsidRPr="00FB51B5">
        <w:rPr>
          <w:rFonts w:ascii="Palatino Linotype" w:hAnsi="Palatino Linotype" w:cs="Arial"/>
          <w:bCs/>
          <w:iCs/>
        </w:rPr>
        <w:t>however, these are the student’s own objectives and it is therefore important that they are not contrived.</w:t>
      </w:r>
      <w:r w:rsidR="00B21D8F" w:rsidRPr="00FB51B5">
        <w:rPr>
          <w:rFonts w:ascii="Palatino Linotype" w:hAnsi="Palatino Linotype" w:cs="Arial"/>
          <w:bCs/>
          <w:iCs/>
        </w:rPr>
        <w:t xml:space="preserve"> </w:t>
      </w:r>
      <w:r w:rsidR="009D6592" w:rsidRPr="00FB51B5">
        <w:rPr>
          <w:rFonts w:ascii="Palatino Linotype" w:hAnsi="Palatino Linotype" w:cs="Arial"/>
          <w:bCs/>
          <w:iCs/>
        </w:rPr>
        <w:t>In monthly student/supervisor meetings</w:t>
      </w:r>
      <w:r w:rsidR="00241FC1" w:rsidRPr="00FB51B5">
        <w:rPr>
          <w:rFonts w:ascii="Palatino Linotype" w:hAnsi="Palatino Linotype" w:cs="Arial"/>
          <w:bCs/>
          <w:iCs/>
        </w:rPr>
        <w:t>,</w:t>
      </w:r>
      <w:r w:rsidR="009D6592" w:rsidRPr="00FB51B5">
        <w:rPr>
          <w:rFonts w:ascii="Palatino Linotype" w:hAnsi="Palatino Linotype" w:cs="Arial"/>
          <w:bCs/>
          <w:iCs/>
        </w:rPr>
        <w:t xml:space="preserve"> supervisors </w:t>
      </w:r>
      <w:r w:rsidRPr="00FB51B5">
        <w:rPr>
          <w:rFonts w:ascii="Palatino Linotype" w:hAnsi="Palatino Linotype" w:cs="Arial"/>
          <w:bCs/>
          <w:iCs/>
        </w:rPr>
        <w:t>monitor these objectives</w:t>
      </w:r>
      <w:r w:rsidR="009D6592" w:rsidRPr="00FB51B5">
        <w:rPr>
          <w:rFonts w:ascii="Palatino Linotype" w:hAnsi="Palatino Linotype" w:cs="Arial"/>
          <w:bCs/>
          <w:iCs/>
        </w:rPr>
        <w:t xml:space="preserve"> and students are</w:t>
      </w:r>
      <w:r w:rsidRPr="00FB51B5">
        <w:rPr>
          <w:rFonts w:ascii="Palatino Linotype" w:hAnsi="Palatino Linotype" w:cs="Arial"/>
          <w:bCs/>
          <w:iCs/>
        </w:rPr>
        <w:t xml:space="preserve"> encouraged to discuss any barriers they may face in achieving their objectives</w:t>
      </w:r>
      <w:r w:rsidR="009D6592" w:rsidRPr="00FB51B5">
        <w:rPr>
          <w:rFonts w:ascii="Palatino Linotype" w:hAnsi="Palatino Linotype" w:cs="Arial"/>
          <w:bCs/>
          <w:iCs/>
        </w:rPr>
        <w:t>.</w:t>
      </w:r>
      <w:r w:rsidR="00B21D8F" w:rsidRPr="00FB51B5">
        <w:rPr>
          <w:rFonts w:ascii="Palatino Linotype" w:hAnsi="Palatino Linotype" w:cs="Arial"/>
          <w:bCs/>
          <w:iCs/>
        </w:rPr>
        <w:t xml:space="preserve"> </w:t>
      </w:r>
      <w:r w:rsidR="009D6592" w:rsidRPr="00FB51B5">
        <w:rPr>
          <w:rFonts w:ascii="Palatino Linotype" w:hAnsi="Palatino Linotype" w:cs="Arial"/>
          <w:bCs/>
          <w:iCs/>
        </w:rPr>
        <w:t>T</w:t>
      </w:r>
      <w:r w:rsidRPr="00FB51B5">
        <w:rPr>
          <w:rFonts w:ascii="Palatino Linotype" w:hAnsi="Palatino Linotype" w:cs="Arial"/>
          <w:bCs/>
          <w:iCs/>
        </w:rPr>
        <w:t>he meeting provides an opportunity for the students to reflect on the work they are undertaking. Hoping to replicate the working environment</w:t>
      </w:r>
      <w:r w:rsidR="000806AA" w:rsidRPr="00FB51B5">
        <w:rPr>
          <w:rFonts w:ascii="Palatino Linotype" w:hAnsi="Palatino Linotype" w:cs="Arial"/>
          <w:bCs/>
          <w:iCs/>
        </w:rPr>
        <w:t xml:space="preserve"> discussions related to</w:t>
      </w:r>
      <w:r w:rsidRPr="00FB51B5">
        <w:rPr>
          <w:rFonts w:ascii="Palatino Linotype" w:hAnsi="Palatino Linotype" w:cs="Arial"/>
          <w:bCs/>
          <w:iCs/>
        </w:rPr>
        <w:t xml:space="preserve"> how the student objectives link to other clinic related activities</w:t>
      </w:r>
      <w:r w:rsidR="000806AA" w:rsidRPr="00FB51B5">
        <w:rPr>
          <w:rFonts w:ascii="Palatino Linotype" w:hAnsi="Palatino Linotype" w:cs="Arial"/>
          <w:bCs/>
          <w:iCs/>
        </w:rPr>
        <w:t xml:space="preserve"> are held</w:t>
      </w:r>
      <w:r w:rsidRPr="00FB51B5">
        <w:rPr>
          <w:rFonts w:ascii="Palatino Linotype" w:hAnsi="Palatino Linotype" w:cs="Arial"/>
          <w:bCs/>
          <w:iCs/>
        </w:rPr>
        <w:t>.</w:t>
      </w:r>
      <w:r w:rsidR="00B21D8F" w:rsidRPr="00FB51B5">
        <w:rPr>
          <w:rFonts w:ascii="Palatino Linotype" w:hAnsi="Palatino Linotype" w:cs="Arial"/>
          <w:bCs/>
          <w:iCs/>
        </w:rPr>
        <w:t xml:space="preserve"> </w:t>
      </w:r>
      <w:r w:rsidRPr="00FB51B5">
        <w:rPr>
          <w:rFonts w:ascii="Palatino Linotype" w:hAnsi="Palatino Linotype" w:cs="Arial"/>
          <w:bCs/>
          <w:iCs/>
        </w:rPr>
        <w:t>These discussions help to reinforce in the student’s mind the contribution they are making to their own</w:t>
      </w:r>
      <w:r w:rsidR="00B21D8F" w:rsidRPr="00FB51B5">
        <w:rPr>
          <w:rFonts w:ascii="Palatino Linotype" w:hAnsi="Palatino Linotype" w:cs="Arial"/>
          <w:bCs/>
          <w:iCs/>
        </w:rPr>
        <w:t xml:space="preserve"> </w:t>
      </w:r>
      <w:r w:rsidRPr="00FB51B5">
        <w:rPr>
          <w:rFonts w:ascii="Palatino Linotype" w:hAnsi="Palatino Linotype" w:cs="Arial"/>
          <w:bCs/>
          <w:iCs/>
        </w:rPr>
        <w:t xml:space="preserve">progression and development in the CLE units and the value both the unit and the assessment method has in </w:t>
      </w:r>
      <w:r w:rsidRPr="00FB51B5">
        <w:rPr>
          <w:rFonts w:ascii="Palatino Linotype" w:hAnsi="Palatino Linotype" w:cs="Arial"/>
          <w:bCs/>
          <w:iCs/>
        </w:rPr>
        <w:lastRenderedPageBreak/>
        <w:t>preparing them for the workplace.</w:t>
      </w:r>
      <w:r w:rsidR="009D6592" w:rsidRPr="00FB51B5">
        <w:rPr>
          <w:rFonts w:ascii="Palatino Linotype" w:hAnsi="Palatino Linotype" w:cs="Arial"/>
          <w:bCs/>
          <w:iCs/>
        </w:rPr>
        <w:t xml:space="preserve"> Having discussed and monitored the objectives during the year, these form the basis of the appraisal interview which occurs towards the end of the academic year and students are required to</w:t>
      </w:r>
      <w:r w:rsidR="0085777B" w:rsidRPr="00FB51B5">
        <w:rPr>
          <w:rFonts w:ascii="Palatino Linotype" w:hAnsi="Palatino Linotype" w:cs="Arial"/>
          <w:bCs/>
          <w:iCs/>
        </w:rPr>
        <w:t xml:space="preserve"> </w:t>
      </w:r>
      <w:r w:rsidR="009D6592" w:rsidRPr="00FB51B5">
        <w:rPr>
          <w:rFonts w:ascii="Palatino Linotype" w:hAnsi="Palatino Linotype" w:cs="Arial"/>
          <w:bCs/>
          <w:iCs/>
        </w:rPr>
        <w:t>provide evidence that the objectives they set themselves have been achieved or that the</w:t>
      </w:r>
      <w:r w:rsidR="0085777B" w:rsidRPr="00FB51B5">
        <w:rPr>
          <w:rFonts w:ascii="Palatino Linotype" w:hAnsi="Palatino Linotype" w:cs="Arial"/>
          <w:bCs/>
          <w:iCs/>
        </w:rPr>
        <w:t>y are</w:t>
      </w:r>
      <w:r w:rsidR="009D6592" w:rsidRPr="00FB51B5">
        <w:rPr>
          <w:rFonts w:ascii="Palatino Linotype" w:hAnsi="Palatino Linotype" w:cs="Arial"/>
          <w:bCs/>
          <w:iCs/>
        </w:rPr>
        <w:t xml:space="preserve"> working towards their achievement. Evidence takes many forms</w:t>
      </w:r>
      <w:r w:rsidR="0085777B" w:rsidRPr="00FB51B5">
        <w:rPr>
          <w:rFonts w:ascii="Palatino Linotype" w:hAnsi="Palatino Linotype" w:cs="Arial"/>
          <w:bCs/>
          <w:iCs/>
        </w:rPr>
        <w:t>,</w:t>
      </w:r>
      <w:r w:rsidR="009D6592" w:rsidRPr="00FB51B5">
        <w:rPr>
          <w:rFonts w:ascii="Palatino Linotype" w:hAnsi="Palatino Linotype" w:cs="Arial"/>
          <w:bCs/>
          <w:iCs/>
        </w:rPr>
        <w:t xml:space="preserve"> for example, if a student has</w:t>
      </w:r>
      <w:r w:rsidR="0085777B" w:rsidRPr="00FB51B5">
        <w:rPr>
          <w:rFonts w:ascii="Palatino Linotype" w:hAnsi="Palatino Linotype" w:cs="Arial"/>
          <w:bCs/>
          <w:iCs/>
        </w:rPr>
        <w:t xml:space="preserve"> initially</w:t>
      </w:r>
      <w:r w:rsidR="009D6592" w:rsidRPr="00FB51B5">
        <w:rPr>
          <w:rFonts w:ascii="Palatino Linotype" w:hAnsi="Palatino Linotype" w:cs="Arial"/>
          <w:bCs/>
          <w:iCs/>
        </w:rPr>
        <w:t xml:space="preserve"> identified that they feel they need to be </w:t>
      </w:r>
      <w:r w:rsidR="0085777B" w:rsidRPr="00FB51B5">
        <w:rPr>
          <w:rFonts w:ascii="Palatino Linotype" w:hAnsi="Palatino Linotype" w:cs="Arial"/>
          <w:bCs/>
          <w:iCs/>
        </w:rPr>
        <w:t xml:space="preserve">more </w:t>
      </w:r>
      <w:r w:rsidR="009D6592" w:rsidRPr="00FB51B5">
        <w:rPr>
          <w:rFonts w:ascii="Palatino Linotype" w:hAnsi="Palatino Linotype" w:cs="Arial"/>
          <w:bCs/>
          <w:iCs/>
        </w:rPr>
        <w:t>focused in case management, they may bring to the appraisal examples of how the skill has improved during the year</w:t>
      </w:r>
      <w:r w:rsidR="0085777B" w:rsidRPr="00FB51B5">
        <w:rPr>
          <w:rFonts w:ascii="Palatino Linotype" w:hAnsi="Palatino Linotype" w:cs="Arial"/>
          <w:bCs/>
          <w:iCs/>
        </w:rPr>
        <w:t>.</w:t>
      </w:r>
      <w:r w:rsidR="00B21D8F" w:rsidRPr="00FB51B5">
        <w:rPr>
          <w:rFonts w:ascii="Palatino Linotype" w:hAnsi="Palatino Linotype" w:cs="Arial"/>
          <w:bCs/>
          <w:iCs/>
        </w:rPr>
        <w:t xml:space="preserve"> </w:t>
      </w:r>
      <w:r w:rsidR="0085777B" w:rsidRPr="00FB51B5">
        <w:rPr>
          <w:rFonts w:ascii="Palatino Linotype" w:hAnsi="Palatino Linotype" w:cs="Arial"/>
          <w:bCs/>
          <w:iCs/>
        </w:rPr>
        <w:t>Of course the supervisor has been observing the student’s progress throughout the year and their notes reinforce the student’s own evidence</w:t>
      </w:r>
      <w:r w:rsidR="009D6592" w:rsidRPr="00FB51B5">
        <w:rPr>
          <w:rFonts w:ascii="Palatino Linotype" w:hAnsi="Palatino Linotype" w:cs="Arial"/>
          <w:bCs/>
          <w:iCs/>
        </w:rPr>
        <w:t>.</w:t>
      </w:r>
      <w:r w:rsidR="0085777B" w:rsidRPr="00FB51B5">
        <w:rPr>
          <w:rFonts w:ascii="Palatino Linotype" w:hAnsi="Palatino Linotype" w:cs="Arial"/>
          <w:bCs/>
          <w:iCs/>
        </w:rPr>
        <w:t xml:space="preserve"> </w:t>
      </w:r>
    </w:p>
    <w:p w14:paraId="41F5A22D" w14:textId="77777777" w:rsidR="00E76CFE" w:rsidRPr="00FB51B5" w:rsidRDefault="00E76CFE" w:rsidP="00FB51B5">
      <w:pPr>
        <w:rPr>
          <w:rFonts w:ascii="Palatino Linotype" w:hAnsi="Palatino Linotype" w:cs="Arial"/>
          <w:bCs/>
          <w:iCs/>
        </w:rPr>
      </w:pPr>
    </w:p>
    <w:p w14:paraId="586C81CD" w14:textId="77777777" w:rsidR="00E76CFE" w:rsidRPr="00FB51B5" w:rsidRDefault="00E76CFE" w:rsidP="00FB51B5">
      <w:pPr>
        <w:pStyle w:val="Heading3"/>
        <w:spacing w:line="480" w:lineRule="auto"/>
        <w:rPr>
          <w:rFonts w:ascii="Palatino Linotype" w:hAnsi="Palatino Linotype"/>
          <w:szCs w:val="24"/>
        </w:rPr>
      </w:pPr>
      <w:r w:rsidRPr="00FB51B5">
        <w:rPr>
          <w:rFonts w:ascii="Palatino Linotype" w:hAnsi="Palatino Linotype"/>
          <w:szCs w:val="24"/>
        </w:rPr>
        <w:t>Reflection</w:t>
      </w:r>
    </w:p>
    <w:p w14:paraId="55BC760E" w14:textId="7BD1B0A4" w:rsidR="003632F3" w:rsidRPr="00FB51B5" w:rsidRDefault="0085777B" w:rsidP="00FB51B5">
      <w:pPr>
        <w:rPr>
          <w:rFonts w:ascii="Palatino Linotype" w:hAnsi="Palatino Linotype" w:cs="Arial"/>
          <w:bCs/>
          <w:iCs/>
        </w:rPr>
      </w:pPr>
      <w:r w:rsidRPr="00FB51B5">
        <w:rPr>
          <w:rFonts w:ascii="Palatino Linotype" w:hAnsi="Palatino Linotype" w:cs="Arial"/>
          <w:bCs/>
          <w:iCs/>
        </w:rPr>
        <w:t>Just as in workplace</w:t>
      </w:r>
      <w:r w:rsidR="00E76CFE" w:rsidRPr="00FB51B5">
        <w:rPr>
          <w:rFonts w:ascii="Palatino Linotype" w:hAnsi="Palatino Linotype" w:cs="Arial"/>
          <w:bCs/>
          <w:iCs/>
        </w:rPr>
        <w:t xml:space="preserve"> appraisal</w:t>
      </w:r>
      <w:r w:rsidRPr="00FB51B5">
        <w:rPr>
          <w:rFonts w:ascii="Palatino Linotype" w:hAnsi="Palatino Linotype" w:cs="Arial"/>
          <w:bCs/>
          <w:iCs/>
        </w:rPr>
        <w:t>, the year as a whole is reviewed at the appraisal meeting</w:t>
      </w:r>
      <w:r w:rsidR="009D6592" w:rsidRPr="00FB51B5">
        <w:rPr>
          <w:rFonts w:ascii="Palatino Linotype" w:hAnsi="Palatino Linotype" w:cs="Arial"/>
          <w:bCs/>
          <w:iCs/>
        </w:rPr>
        <w:t xml:space="preserve"> </w:t>
      </w:r>
      <w:r w:rsidRPr="00FB51B5">
        <w:rPr>
          <w:rFonts w:ascii="Palatino Linotype" w:hAnsi="Palatino Linotype" w:cs="Arial"/>
          <w:bCs/>
          <w:iCs/>
        </w:rPr>
        <w:t>with students discussing the challenges they have faced.</w:t>
      </w:r>
      <w:r w:rsidR="00B21D8F" w:rsidRPr="00FB51B5">
        <w:rPr>
          <w:rFonts w:ascii="Palatino Linotype" w:hAnsi="Palatino Linotype" w:cs="Arial"/>
          <w:bCs/>
          <w:iCs/>
        </w:rPr>
        <w:t xml:space="preserve"> </w:t>
      </w:r>
      <w:r w:rsidR="00E76CFE" w:rsidRPr="00FB51B5">
        <w:rPr>
          <w:rFonts w:ascii="Palatino Linotype" w:hAnsi="Palatino Linotype" w:cs="Arial"/>
          <w:bCs/>
          <w:iCs/>
        </w:rPr>
        <w:t>R</w:t>
      </w:r>
      <w:r w:rsidRPr="00FB51B5">
        <w:rPr>
          <w:rFonts w:ascii="Palatino Linotype" w:hAnsi="Palatino Linotype" w:cs="Arial"/>
          <w:bCs/>
          <w:iCs/>
        </w:rPr>
        <w:t xml:space="preserve">eflection </w:t>
      </w:r>
      <w:r w:rsidR="00E76CFE" w:rsidRPr="00FB51B5">
        <w:rPr>
          <w:rFonts w:ascii="Palatino Linotype" w:hAnsi="Palatino Linotype" w:cs="Arial"/>
          <w:bCs/>
          <w:iCs/>
        </w:rPr>
        <w:t xml:space="preserve">is an important part of the assessment. CLE provides a safe environment in which students are able to ‘test’ their skills and reflecting on the experience </w:t>
      </w:r>
      <w:r w:rsidR="003632F3" w:rsidRPr="00FB51B5">
        <w:rPr>
          <w:rFonts w:ascii="Palatino Linotype" w:hAnsi="Palatino Linotype" w:cs="Arial"/>
          <w:bCs/>
          <w:iCs/>
        </w:rPr>
        <w:t>provides a platform for future development.</w:t>
      </w:r>
    </w:p>
    <w:p w14:paraId="3A09D618" w14:textId="77777777" w:rsidR="00FD2EBC" w:rsidRPr="00FB51B5" w:rsidRDefault="003632F3" w:rsidP="00FB51B5">
      <w:pPr>
        <w:pStyle w:val="Heading3"/>
        <w:spacing w:line="480" w:lineRule="auto"/>
        <w:rPr>
          <w:rFonts w:ascii="Palatino Linotype" w:hAnsi="Palatino Linotype"/>
          <w:szCs w:val="24"/>
          <w:shd w:val="clear" w:color="auto" w:fill="FFFFFF"/>
        </w:rPr>
      </w:pPr>
      <w:r w:rsidRPr="00FB51B5">
        <w:rPr>
          <w:rFonts w:ascii="Palatino Linotype" w:hAnsi="Palatino Linotype"/>
          <w:szCs w:val="24"/>
        </w:rPr>
        <w:t>Forward</w:t>
      </w:r>
      <w:r w:rsidR="00754B61" w:rsidRPr="00FB51B5">
        <w:rPr>
          <w:rFonts w:ascii="Palatino Linotype" w:hAnsi="Palatino Linotype"/>
          <w:szCs w:val="24"/>
        </w:rPr>
        <w:t xml:space="preserve"> Reflection</w:t>
      </w:r>
    </w:p>
    <w:p w14:paraId="6BBCAAA1" w14:textId="427C2B2E" w:rsidR="00280795" w:rsidRPr="00FB51B5" w:rsidRDefault="00FD2EBC" w:rsidP="00FB51B5">
      <w:pPr>
        <w:shd w:val="clear" w:color="auto" w:fill="FFFFFF"/>
        <w:textAlignment w:val="baseline"/>
        <w:rPr>
          <w:rFonts w:ascii="Palatino Linotype" w:hAnsi="Palatino Linotype"/>
          <w:bCs/>
          <w:bdr w:val="none" w:sz="0" w:space="0" w:color="auto" w:frame="1"/>
        </w:rPr>
      </w:pPr>
      <w:r w:rsidRPr="00FB51B5">
        <w:rPr>
          <w:rFonts w:ascii="Palatino Linotype" w:hAnsi="Palatino Linotype"/>
          <w:bCs/>
          <w:bdr w:val="none" w:sz="0" w:space="0" w:color="auto" w:frame="1"/>
        </w:rPr>
        <w:t>Forward reflection allows students to consider how they might do things differently in the future.</w:t>
      </w:r>
      <w:r w:rsidR="00B21D8F" w:rsidRPr="00FB51B5">
        <w:rPr>
          <w:rFonts w:ascii="Palatino Linotype" w:hAnsi="Palatino Linotype"/>
          <w:bCs/>
          <w:bdr w:val="none" w:sz="0" w:space="0" w:color="auto" w:frame="1"/>
        </w:rPr>
        <w:t xml:space="preserve"> </w:t>
      </w:r>
      <w:r w:rsidRPr="00FB51B5">
        <w:rPr>
          <w:rFonts w:ascii="Palatino Linotype" w:hAnsi="Palatino Linotype"/>
          <w:bCs/>
          <w:bdr w:val="none" w:sz="0" w:space="0" w:color="auto" w:frame="1"/>
        </w:rPr>
        <w:t xml:space="preserve">This is a much deeper level of learning and has been </w:t>
      </w:r>
      <w:r w:rsidRPr="00FB51B5">
        <w:rPr>
          <w:rFonts w:ascii="Palatino Linotype" w:hAnsi="Palatino Linotype"/>
          <w:bCs/>
          <w:bdr w:val="none" w:sz="0" w:space="0" w:color="auto" w:frame="1"/>
        </w:rPr>
        <w:lastRenderedPageBreak/>
        <w:t>referred to as transformative learning.</w:t>
      </w:r>
      <w:r w:rsidRPr="00FB51B5">
        <w:rPr>
          <w:rStyle w:val="FootnoteReference"/>
          <w:rFonts w:ascii="Palatino Linotype" w:hAnsi="Palatino Linotype"/>
          <w:bCs/>
          <w:bdr w:val="none" w:sz="0" w:space="0" w:color="auto" w:frame="1"/>
        </w:rPr>
        <w:footnoteReference w:id="13"/>
      </w:r>
      <w:r w:rsidRPr="00FB51B5">
        <w:rPr>
          <w:rFonts w:ascii="Palatino Linotype" w:hAnsi="Palatino Linotype"/>
          <w:bCs/>
          <w:bdr w:val="none" w:sz="0" w:space="0" w:color="auto" w:frame="1"/>
        </w:rPr>
        <w:t xml:space="preserve"> A student may reflect on choices made and, now at the end of the experience, review those choices in the context of any future goals, assessing how the experience has shaped their future decisions.</w:t>
      </w:r>
      <w:r w:rsidR="00B21D8F" w:rsidRPr="00FB51B5">
        <w:rPr>
          <w:rFonts w:ascii="Palatino Linotype" w:hAnsi="Palatino Linotype"/>
          <w:bCs/>
          <w:bdr w:val="none" w:sz="0" w:space="0" w:color="auto" w:frame="1"/>
        </w:rPr>
        <w:t xml:space="preserve"> </w:t>
      </w:r>
      <w:r w:rsidRPr="00FB51B5">
        <w:rPr>
          <w:rFonts w:ascii="Palatino Linotype" w:hAnsi="Palatino Linotype"/>
          <w:bCs/>
          <w:bdr w:val="none" w:sz="0" w:space="0" w:color="auto" w:frame="1"/>
        </w:rPr>
        <w:t xml:space="preserve">Reflecting forward helps students to consider the impact that this </w:t>
      </w:r>
      <w:r w:rsidR="00ED5ADF" w:rsidRPr="00FB51B5">
        <w:rPr>
          <w:rFonts w:ascii="Palatino Linotype" w:hAnsi="Palatino Linotype"/>
          <w:bCs/>
          <w:bdr w:val="none" w:sz="0" w:space="0" w:color="auto" w:frame="1"/>
        </w:rPr>
        <w:t xml:space="preserve">practical method of </w:t>
      </w:r>
      <w:r w:rsidRPr="00FB51B5">
        <w:rPr>
          <w:rFonts w:ascii="Palatino Linotype" w:hAnsi="Palatino Linotype"/>
          <w:bCs/>
          <w:bdr w:val="none" w:sz="0" w:space="0" w:color="auto" w:frame="1"/>
        </w:rPr>
        <w:t>learning has had on their intellectual, personal or ethical development and enables them to build and develop an action plan in order to support their personal ambitions.</w:t>
      </w:r>
    </w:p>
    <w:p w14:paraId="15EDAC0A" w14:textId="77777777" w:rsidR="00D17DF3" w:rsidRPr="00FB51B5" w:rsidRDefault="00D17DF3" w:rsidP="00FB51B5">
      <w:pPr>
        <w:shd w:val="clear" w:color="auto" w:fill="FFFFFF"/>
        <w:textAlignment w:val="baseline"/>
        <w:rPr>
          <w:rFonts w:ascii="Palatino Linotype" w:hAnsi="Palatino Linotype"/>
          <w:b/>
          <w:bCs/>
          <w:bdr w:val="none" w:sz="0" w:space="0" w:color="auto" w:frame="1"/>
        </w:rPr>
      </w:pPr>
    </w:p>
    <w:p w14:paraId="0AE147A6" w14:textId="29397CBC" w:rsidR="000806AA" w:rsidRPr="00FB51B5" w:rsidRDefault="0091169C" w:rsidP="00FB51B5">
      <w:pPr>
        <w:ind w:firstLine="720"/>
        <w:rPr>
          <w:rFonts w:ascii="Palatino Linotype" w:hAnsi="Palatino Linotype" w:cs="Arial"/>
          <w:bCs/>
          <w:iCs/>
        </w:rPr>
      </w:pPr>
      <w:r w:rsidRPr="00FB51B5">
        <w:rPr>
          <w:rFonts w:ascii="Palatino Linotype" w:hAnsi="Palatino Linotype" w:cs="Arial"/>
          <w:bCs/>
          <w:iCs/>
        </w:rPr>
        <w:t>Feedback from students suggests that appraisal is a worthwhile aspect of the CLE experience and that it is effective in encouraging them to focus on self-development.</w:t>
      </w:r>
      <w:r w:rsidR="007D39BD" w:rsidRPr="00FB51B5">
        <w:rPr>
          <w:rStyle w:val="FootnoteReference"/>
          <w:rFonts w:ascii="Palatino Linotype" w:hAnsi="Palatino Linotype" w:cs="Arial"/>
          <w:bCs/>
          <w:iCs/>
        </w:rPr>
        <w:footnoteReference w:id="14"/>
      </w:r>
      <w:r w:rsidR="00B21D8F" w:rsidRPr="00FB51B5">
        <w:rPr>
          <w:rFonts w:ascii="Palatino Linotype" w:hAnsi="Palatino Linotype" w:cs="Arial"/>
          <w:bCs/>
          <w:iCs/>
        </w:rPr>
        <w:t xml:space="preserve"> </w:t>
      </w:r>
      <w:r w:rsidRPr="00FB51B5">
        <w:rPr>
          <w:rFonts w:ascii="Palatino Linotype" w:hAnsi="Palatino Linotype" w:cs="Arial"/>
          <w:bCs/>
          <w:iCs/>
        </w:rPr>
        <w:t xml:space="preserve">In terms of its reliability as an assessment tool, </w:t>
      </w:r>
      <w:r w:rsidR="00376658" w:rsidRPr="00FB51B5">
        <w:rPr>
          <w:rFonts w:ascii="Palatino Linotype" w:hAnsi="Palatino Linotype" w:cs="Arial"/>
          <w:bCs/>
          <w:iCs/>
        </w:rPr>
        <w:t xml:space="preserve">from experience it has become clear </w:t>
      </w:r>
      <w:r w:rsidRPr="00FB51B5">
        <w:rPr>
          <w:rFonts w:ascii="Palatino Linotype" w:hAnsi="Palatino Linotype" w:cs="Arial"/>
          <w:bCs/>
          <w:iCs/>
        </w:rPr>
        <w:t>that when self-selected objectives are set, students take ownership of these and strive towards their achievement.</w:t>
      </w:r>
      <w:r w:rsidR="00B21D8F" w:rsidRPr="00FB51B5">
        <w:rPr>
          <w:rFonts w:ascii="Palatino Linotype" w:hAnsi="Palatino Linotype" w:cs="Arial"/>
          <w:bCs/>
          <w:iCs/>
        </w:rPr>
        <w:t xml:space="preserve"> </w:t>
      </w:r>
      <w:r w:rsidRPr="00FB51B5">
        <w:rPr>
          <w:rFonts w:ascii="Palatino Linotype" w:hAnsi="Palatino Linotype" w:cs="Arial"/>
          <w:bCs/>
          <w:iCs/>
        </w:rPr>
        <w:t xml:space="preserve">It could be argued that there is a tension in what </w:t>
      </w:r>
      <w:r w:rsidR="000806AA" w:rsidRPr="00FB51B5">
        <w:rPr>
          <w:rFonts w:ascii="Palatino Linotype" w:hAnsi="Palatino Linotype" w:cs="Arial"/>
          <w:bCs/>
          <w:iCs/>
        </w:rPr>
        <w:t xml:space="preserve">the team </w:t>
      </w:r>
      <w:r w:rsidR="00BE5A9C" w:rsidRPr="00FB51B5">
        <w:rPr>
          <w:rFonts w:ascii="Palatino Linotype" w:hAnsi="Palatino Linotype" w:cs="Arial"/>
          <w:bCs/>
          <w:iCs/>
        </w:rPr>
        <w:t>is</w:t>
      </w:r>
      <w:r w:rsidRPr="00FB51B5">
        <w:rPr>
          <w:rFonts w:ascii="Palatino Linotype" w:hAnsi="Palatino Linotype" w:cs="Arial"/>
          <w:bCs/>
          <w:iCs/>
        </w:rPr>
        <w:t xml:space="preserve"> trying to achieve by focusing on student contribution and achievement</w:t>
      </w:r>
      <w:r w:rsidR="00BE5A9C" w:rsidRPr="00FB51B5">
        <w:rPr>
          <w:rFonts w:ascii="Palatino Linotype" w:hAnsi="Palatino Linotype" w:cs="Arial"/>
          <w:bCs/>
          <w:iCs/>
        </w:rPr>
        <w:t xml:space="preserve"> as, </w:t>
      </w:r>
      <w:r w:rsidRPr="00FB51B5">
        <w:rPr>
          <w:rFonts w:ascii="Palatino Linotype" w:hAnsi="Palatino Linotype" w:cs="Arial"/>
          <w:bCs/>
          <w:iCs/>
        </w:rPr>
        <w:t>when</w:t>
      </w:r>
      <w:r w:rsidR="000806AA" w:rsidRPr="00FB51B5">
        <w:rPr>
          <w:rFonts w:ascii="Palatino Linotype" w:hAnsi="Palatino Linotype" w:cs="Arial"/>
          <w:bCs/>
          <w:iCs/>
        </w:rPr>
        <w:t xml:space="preserve"> used in an employment situation</w:t>
      </w:r>
      <w:r w:rsidR="00B540FA" w:rsidRPr="00FB51B5">
        <w:rPr>
          <w:rFonts w:ascii="Palatino Linotype" w:hAnsi="Palatino Linotype" w:cs="Arial"/>
          <w:bCs/>
          <w:iCs/>
        </w:rPr>
        <w:t>,</w:t>
      </w:r>
      <w:r w:rsidRPr="00FB51B5">
        <w:rPr>
          <w:rFonts w:ascii="Palatino Linotype" w:hAnsi="Palatino Linotype" w:cs="Arial"/>
          <w:bCs/>
          <w:iCs/>
        </w:rPr>
        <w:t xml:space="preserve"> appraisal is often target driven. It is </w:t>
      </w:r>
      <w:r w:rsidR="000806AA" w:rsidRPr="00FB51B5">
        <w:rPr>
          <w:rFonts w:ascii="Palatino Linotype" w:hAnsi="Palatino Linotype" w:cs="Arial"/>
          <w:bCs/>
          <w:iCs/>
        </w:rPr>
        <w:t>the team’s</w:t>
      </w:r>
      <w:r w:rsidRPr="00FB51B5">
        <w:rPr>
          <w:rFonts w:ascii="Palatino Linotype" w:hAnsi="Palatino Linotype" w:cs="Arial"/>
          <w:bCs/>
          <w:iCs/>
        </w:rPr>
        <w:t xml:space="preserve"> belief however, that by encouraging contribution and by the student</w:t>
      </w:r>
      <w:r w:rsidR="000806AA" w:rsidRPr="00FB51B5">
        <w:rPr>
          <w:rFonts w:ascii="Palatino Linotype" w:hAnsi="Palatino Linotype" w:cs="Arial"/>
          <w:bCs/>
          <w:iCs/>
        </w:rPr>
        <w:t xml:space="preserve"> taking ownership</w:t>
      </w:r>
      <w:r w:rsidRPr="00FB51B5">
        <w:rPr>
          <w:rFonts w:ascii="Palatino Linotype" w:hAnsi="Palatino Linotype" w:cs="Arial"/>
          <w:bCs/>
          <w:iCs/>
        </w:rPr>
        <w:t xml:space="preserve"> of setting and monitoring their own targets by way of self-set objectives and discussing these </w:t>
      </w:r>
      <w:r w:rsidR="00B540FA" w:rsidRPr="00FB51B5">
        <w:rPr>
          <w:rFonts w:ascii="Palatino Linotype" w:hAnsi="Palatino Linotype" w:cs="Arial"/>
          <w:bCs/>
          <w:iCs/>
        </w:rPr>
        <w:lastRenderedPageBreak/>
        <w:t>throughout</w:t>
      </w:r>
      <w:r w:rsidRPr="00FB51B5">
        <w:rPr>
          <w:rFonts w:ascii="Palatino Linotype" w:hAnsi="Palatino Linotype" w:cs="Arial"/>
          <w:bCs/>
          <w:iCs/>
        </w:rPr>
        <w:t xml:space="preserve"> the process, students</w:t>
      </w:r>
      <w:r w:rsidR="000806AA" w:rsidRPr="00FB51B5">
        <w:rPr>
          <w:rFonts w:ascii="Palatino Linotype" w:hAnsi="Palatino Linotype" w:cs="Arial"/>
          <w:bCs/>
          <w:iCs/>
        </w:rPr>
        <w:t xml:space="preserve"> are empowered to</w:t>
      </w:r>
      <w:r w:rsidRPr="00FB51B5">
        <w:rPr>
          <w:rFonts w:ascii="Palatino Linotype" w:hAnsi="Palatino Linotype" w:cs="Arial"/>
          <w:bCs/>
          <w:iCs/>
        </w:rPr>
        <w:t xml:space="preserve"> fulfil their potential using a quasi-workplace model.</w:t>
      </w:r>
      <w:r w:rsidR="00B21D8F" w:rsidRPr="00FB51B5">
        <w:rPr>
          <w:rFonts w:ascii="Palatino Linotype" w:hAnsi="Palatino Linotype" w:cs="Arial"/>
          <w:bCs/>
          <w:iCs/>
        </w:rPr>
        <w:t xml:space="preserve"> </w:t>
      </w:r>
    </w:p>
    <w:p w14:paraId="7F8674F5" w14:textId="77777777" w:rsidR="0091169C" w:rsidRPr="00FB51B5" w:rsidRDefault="0091169C" w:rsidP="00FB51B5">
      <w:pPr>
        <w:pStyle w:val="Heading2"/>
        <w:spacing w:line="480" w:lineRule="auto"/>
        <w:rPr>
          <w:rFonts w:ascii="Palatino Linotype" w:hAnsi="Palatino Linotype"/>
          <w:szCs w:val="24"/>
        </w:rPr>
      </w:pPr>
      <w:r w:rsidRPr="00FB51B5">
        <w:rPr>
          <w:rFonts w:ascii="Palatino Linotype" w:hAnsi="Palatino Linotype"/>
          <w:szCs w:val="24"/>
        </w:rPr>
        <w:t>Student Satisfaction</w:t>
      </w:r>
    </w:p>
    <w:p w14:paraId="6441CA0C" w14:textId="77777777" w:rsidR="0091169C" w:rsidRPr="00FB51B5" w:rsidRDefault="00741BFA" w:rsidP="00FB51B5">
      <w:pPr>
        <w:rPr>
          <w:rFonts w:ascii="Palatino Linotype" w:hAnsi="Palatino Linotype" w:cs="Arial"/>
          <w:bCs/>
          <w:iCs/>
        </w:rPr>
      </w:pPr>
      <w:r w:rsidRPr="00FB51B5">
        <w:rPr>
          <w:rFonts w:ascii="Palatino Linotype" w:hAnsi="Palatino Linotype" w:cs="Arial"/>
          <w:bCs/>
          <w:iCs/>
        </w:rPr>
        <w:t>Although at the time of writing 2017 results are not yet available, e</w:t>
      </w:r>
      <w:r w:rsidR="0091169C" w:rsidRPr="00FB51B5">
        <w:rPr>
          <w:rFonts w:ascii="Palatino Linotype" w:hAnsi="Palatino Linotype" w:cs="Arial"/>
          <w:bCs/>
          <w:iCs/>
        </w:rPr>
        <w:t xml:space="preserve">nd of year results from </w:t>
      </w:r>
      <w:r w:rsidR="000806AA" w:rsidRPr="00FB51B5">
        <w:rPr>
          <w:rFonts w:ascii="Palatino Linotype" w:hAnsi="Palatino Linotype" w:cs="Arial"/>
          <w:bCs/>
          <w:iCs/>
        </w:rPr>
        <w:t>University of Portsmouth</w:t>
      </w:r>
      <w:r w:rsidR="0091169C" w:rsidRPr="00FB51B5">
        <w:rPr>
          <w:rFonts w:ascii="Palatino Linotype" w:hAnsi="Palatino Linotype" w:cs="Arial"/>
          <w:bCs/>
          <w:iCs/>
        </w:rPr>
        <w:t xml:space="preserve"> Student Satisfaction survey</w:t>
      </w:r>
      <w:r w:rsidRPr="00FB51B5">
        <w:rPr>
          <w:rFonts w:ascii="Palatino Linotype" w:hAnsi="Palatino Linotype" w:cs="Arial"/>
          <w:bCs/>
          <w:iCs/>
        </w:rPr>
        <w:t xml:space="preserve"> 2016</w:t>
      </w:r>
      <w:r w:rsidR="0091169C" w:rsidRPr="00FB51B5">
        <w:rPr>
          <w:rFonts w:ascii="Palatino Linotype" w:hAnsi="Palatino Linotype" w:cs="Arial"/>
          <w:bCs/>
          <w:iCs/>
        </w:rPr>
        <w:t xml:space="preserve"> indicate</w:t>
      </w:r>
      <w:r w:rsidRPr="00FB51B5">
        <w:rPr>
          <w:rFonts w:ascii="Palatino Linotype" w:hAnsi="Palatino Linotype" w:cs="Arial"/>
          <w:bCs/>
          <w:iCs/>
        </w:rPr>
        <w:t>d</w:t>
      </w:r>
      <w:r w:rsidR="0091169C" w:rsidRPr="00FB51B5">
        <w:rPr>
          <w:rFonts w:ascii="Palatino Linotype" w:hAnsi="Palatino Linotype" w:cs="Arial"/>
          <w:bCs/>
          <w:iCs/>
        </w:rPr>
        <w:t xml:space="preserve"> that of those surveyed 96% of students agreed to the statement ‘</w:t>
      </w:r>
      <w:r w:rsidRPr="00FB51B5">
        <w:rPr>
          <w:rFonts w:ascii="Palatino Linotype" w:hAnsi="Palatino Linotype" w:cs="Arial"/>
          <w:bCs/>
          <w:iCs/>
        </w:rPr>
        <w:t xml:space="preserve">the </w:t>
      </w:r>
      <w:r w:rsidR="0091169C" w:rsidRPr="00FB51B5">
        <w:rPr>
          <w:rFonts w:ascii="Palatino Linotype" w:hAnsi="Palatino Linotype" w:cs="Arial"/>
          <w:bCs/>
          <w:iCs/>
        </w:rPr>
        <w:t>unit makes a positive contribution to my overall course’ and overall satisfaction with the unit was 100%.</w:t>
      </w:r>
      <w:r w:rsidR="007D39BD" w:rsidRPr="00FB51B5">
        <w:rPr>
          <w:rStyle w:val="FootnoteReference"/>
          <w:rFonts w:ascii="Palatino Linotype" w:hAnsi="Palatino Linotype" w:cs="Arial"/>
          <w:bCs/>
          <w:iCs/>
        </w:rPr>
        <w:footnoteReference w:id="15"/>
      </w:r>
      <w:r w:rsidR="0091169C" w:rsidRPr="00FB51B5">
        <w:rPr>
          <w:rFonts w:ascii="Palatino Linotype" w:hAnsi="Palatino Linotype" w:cs="Arial"/>
          <w:bCs/>
          <w:iCs/>
        </w:rPr>
        <w:t xml:space="preserve"> </w:t>
      </w:r>
      <w:r w:rsidRPr="00FB51B5">
        <w:rPr>
          <w:rFonts w:ascii="Palatino Linotype" w:hAnsi="Palatino Linotype" w:cs="Arial"/>
          <w:bCs/>
          <w:iCs/>
        </w:rPr>
        <w:t>The team</w:t>
      </w:r>
      <w:r w:rsidR="0091169C" w:rsidRPr="00FB51B5">
        <w:rPr>
          <w:rFonts w:ascii="Palatino Linotype" w:hAnsi="Palatino Linotype" w:cs="Arial"/>
          <w:bCs/>
          <w:iCs/>
        </w:rPr>
        <w:t xml:space="preserve"> take</w:t>
      </w:r>
      <w:r w:rsidRPr="00FB51B5">
        <w:rPr>
          <w:rFonts w:ascii="Palatino Linotype" w:hAnsi="Palatino Linotype" w:cs="Arial"/>
          <w:bCs/>
          <w:iCs/>
        </w:rPr>
        <w:t>s</w:t>
      </w:r>
      <w:r w:rsidR="0091169C" w:rsidRPr="00FB51B5">
        <w:rPr>
          <w:rFonts w:ascii="Palatino Linotype" w:hAnsi="Palatino Linotype" w:cs="Arial"/>
          <w:bCs/>
          <w:iCs/>
        </w:rPr>
        <w:t xml:space="preserve"> this as confirmation that the students are satisfied with the </w:t>
      </w:r>
      <w:r w:rsidR="00BF6CDA" w:rsidRPr="00FB51B5">
        <w:rPr>
          <w:rFonts w:ascii="Palatino Linotype" w:hAnsi="Palatino Linotype" w:cs="Arial"/>
          <w:bCs/>
          <w:iCs/>
        </w:rPr>
        <w:t>approach taken</w:t>
      </w:r>
      <w:r w:rsidR="0091169C" w:rsidRPr="00FB51B5">
        <w:rPr>
          <w:rFonts w:ascii="Palatino Linotype" w:hAnsi="Palatino Linotype" w:cs="Arial"/>
          <w:bCs/>
          <w:iCs/>
        </w:rPr>
        <w:t xml:space="preserve"> and comments on these forms clearly demonstrate that appraisal plays a large part in contributing to student satisfaction, achievement and success.</w:t>
      </w:r>
    </w:p>
    <w:p w14:paraId="4AF10FB1" w14:textId="77777777" w:rsidR="005B6D9D" w:rsidRPr="00FB51B5" w:rsidRDefault="0091169C" w:rsidP="00FB51B5">
      <w:pPr>
        <w:pStyle w:val="Heading1"/>
        <w:spacing w:line="480" w:lineRule="auto"/>
        <w:rPr>
          <w:rFonts w:ascii="Palatino Linotype" w:hAnsi="Palatino Linotype"/>
          <w:szCs w:val="24"/>
        </w:rPr>
      </w:pPr>
      <w:r w:rsidRPr="00FB51B5">
        <w:rPr>
          <w:rFonts w:ascii="Palatino Linotype" w:hAnsi="Palatino Linotype"/>
          <w:szCs w:val="24"/>
        </w:rPr>
        <w:t xml:space="preserve">Conclusion </w:t>
      </w:r>
    </w:p>
    <w:p w14:paraId="1CF3D145" w14:textId="5F21C1B3" w:rsidR="0091169C" w:rsidRPr="00FB51B5" w:rsidRDefault="0091169C" w:rsidP="00FB51B5">
      <w:pPr>
        <w:rPr>
          <w:rFonts w:ascii="Palatino Linotype" w:hAnsi="Palatino Linotype"/>
        </w:rPr>
      </w:pPr>
      <w:r w:rsidRPr="00FB51B5">
        <w:rPr>
          <w:rFonts w:ascii="Palatino Linotype" w:hAnsi="Palatino Linotype"/>
        </w:rPr>
        <w:t>The number of clients seeking help from</w:t>
      </w:r>
      <w:r w:rsidR="0014508D" w:rsidRPr="00FB51B5">
        <w:rPr>
          <w:rFonts w:ascii="Palatino Linotype" w:hAnsi="Palatino Linotype"/>
        </w:rPr>
        <w:t xml:space="preserve"> the University of Portsmouth</w:t>
      </w:r>
      <w:r w:rsidRPr="00FB51B5">
        <w:rPr>
          <w:rFonts w:ascii="Palatino Linotype" w:hAnsi="Palatino Linotype"/>
        </w:rPr>
        <w:t xml:space="preserve"> clinics</w:t>
      </w:r>
      <w:r w:rsidR="00741BFA" w:rsidRPr="00FB51B5">
        <w:rPr>
          <w:rFonts w:ascii="Palatino Linotype" w:hAnsi="Palatino Linotype"/>
        </w:rPr>
        <w:t xml:space="preserve"> and the increase in the number of students who wish to participate in CLE activities increases</w:t>
      </w:r>
      <w:r w:rsidRPr="00FB51B5">
        <w:rPr>
          <w:rFonts w:ascii="Palatino Linotype" w:hAnsi="Palatino Linotype"/>
        </w:rPr>
        <w:t xml:space="preserve"> year on year which in itself poses a challenge</w:t>
      </w:r>
      <w:r w:rsidR="00741BFA" w:rsidRPr="00FB51B5">
        <w:rPr>
          <w:rFonts w:ascii="Palatino Linotype" w:hAnsi="Palatino Linotype"/>
        </w:rPr>
        <w:t>.</w:t>
      </w:r>
      <w:r w:rsidRPr="00FB51B5">
        <w:rPr>
          <w:rFonts w:ascii="Palatino Linotype" w:hAnsi="Palatino Linotype"/>
        </w:rPr>
        <w:t xml:space="preserve"> This coupled with the fact that in April 2017</w:t>
      </w:r>
      <w:r w:rsidR="00CE340C" w:rsidRPr="00FB51B5">
        <w:rPr>
          <w:rFonts w:ascii="Palatino Linotype" w:hAnsi="Palatino Linotype"/>
        </w:rPr>
        <w:t xml:space="preserve"> in its consultation paper</w:t>
      </w:r>
      <w:r w:rsidR="00CE340C" w:rsidRPr="00FB51B5">
        <w:rPr>
          <w:rStyle w:val="FootnoteReference"/>
          <w:rFonts w:ascii="Palatino Linotype" w:hAnsi="Palatino Linotype"/>
        </w:rPr>
        <w:footnoteReference w:id="16"/>
      </w:r>
      <w:r w:rsidRPr="00FB51B5">
        <w:rPr>
          <w:rFonts w:ascii="Palatino Linotype" w:hAnsi="Palatino Linotype"/>
        </w:rPr>
        <w:t xml:space="preserve"> the Solicitors Regulation Authority announced that the requirement for the successful completion of a Legal Practice Certificate prior to qualifying as a solicitor will disappear will have </w:t>
      </w:r>
      <w:r w:rsidRPr="00FB51B5">
        <w:rPr>
          <w:rFonts w:ascii="Palatino Linotype" w:hAnsi="Palatino Linotype"/>
        </w:rPr>
        <w:lastRenderedPageBreak/>
        <w:t>an impact on the way law students are taught and assessed.</w:t>
      </w:r>
      <w:r w:rsidR="00B21D8F" w:rsidRPr="00FB51B5">
        <w:rPr>
          <w:rFonts w:ascii="Palatino Linotype" w:hAnsi="Palatino Linotype"/>
        </w:rPr>
        <w:t xml:space="preserve"> </w:t>
      </w:r>
      <w:r w:rsidRPr="00FB51B5">
        <w:rPr>
          <w:rFonts w:ascii="Palatino Linotype" w:hAnsi="Palatino Linotype"/>
        </w:rPr>
        <w:t>Under the proposals, as well as undertaking a new Solicitor’s Qualification Examination, individuals will be required to undertake work experience.</w:t>
      </w:r>
      <w:r w:rsidR="00B21D8F" w:rsidRPr="00FB51B5">
        <w:rPr>
          <w:rFonts w:ascii="Palatino Linotype" w:hAnsi="Palatino Linotype"/>
        </w:rPr>
        <w:t xml:space="preserve"> </w:t>
      </w:r>
      <w:r w:rsidRPr="00FB51B5">
        <w:rPr>
          <w:rFonts w:ascii="Palatino Linotype" w:hAnsi="Palatino Linotype"/>
        </w:rPr>
        <w:t>At the time of writing no fixed time period for this is given, however it is thought that this is likely to be between 18 months and 2 years.</w:t>
      </w:r>
      <w:r w:rsidR="00B21D8F" w:rsidRPr="00FB51B5">
        <w:rPr>
          <w:rFonts w:ascii="Palatino Linotype" w:hAnsi="Palatino Linotype"/>
        </w:rPr>
        <w:t xml:space="preserve"> </w:t>
      </w:r>
      <w:r w:rsidRPr="00FB51B5">
        <w:rPr>
          <w:rFonts w:ascii="Palatino Linotype" w:hAnsi="Palatino Linotype"/>
        </w:rPr>
        <w:t xml:space="preserve">If these changes do go ahead as proposed, not only will CLE become an increasing challenge/opportunity for universities but the assessment of such programmes will need to be carefully considered. The use of appraisals in </w:t>
      </w:r>
      <w:r w:rsidR="00741BFA" w:rsidRPr="00FB51B5">
        <w:rPr>
          <w:rFonts w:ascii="Palatino Linotype" w:hAnsi="Palatino Linotype"/>
        </w:rPr>
        <w:t>University of Portsmouth</w:t>
      </w:r>
      <w:r w:rsidRPr="00FB51B5">
        <w:rPr>
          <w:rFonts w:ascii="Palatino Linotype" w:hAnsi="Palatino Linotype"/>
        </w:rPr>
        <w:t xml:space="preserve"> CLE programmes has become very effective as an assessment tool and it is </w:t>
      </w:r>
      <w:r w:rsidR="00741BFA" w:rsidRPr="00FB51B5">
        <w:rPr>
          <w:rFonts w:ascii="Palatino Linotype" w:hAnsi="Palatino Linotype"/>
        </w:rPr>
        <w:t>the team’s</w:t>
      </w:r>
      <w:r w:rsidRPr="00FB51B5">
        <w:rPr>
          <w:rFonts w:ascii="Palatino Linotype" w:hAnsi="Palatino Linotype"/>
        </w:rPr>
        <w:t xml:space="preserve"> </w:t>
      </w:r>
      <w:r w:rsidR="00741BFA" w:rsidRPr="00FB51B5">
        <w:rPr>
          <w:rFonts w:ascii="Palatino Linotype" w:hAnsi="Palatino Linotype"/>
        </w:rPr>
        <w:t>aspiration</w:t>
      </w:r>
      <w:r w:rsidRPr="00FB51B5">
        <w:rPr>
          <w:rFonts w:ascii="Palatino Linotype" w:hAnsi="Palatino Linotype"/>
        </w:rPr>
        <w:t xml:space="preserve"> that </w:t>
      </w:r>
      <w:r w:rsidR="00741BFA" w:rsidRPr="00FB51B5">
        <w:rPr>
          <w:rFonts w:ascii="Palatino Linotype" w:hAnsi="Palatino Linotype"/>
        </w:rPr>
        <w:t xml:space="preserve">this </w:t>
      </w:r>
      <w:r w:rsidRPr="00FB51B5">
        <w:rPr>
          <w:rFonts w:ascii="Palatino Linotype" w:hAnsi="Palatino Linotype"/>
        </w:rPr>
        <w:t>quasi work related method to assess student achievement in CLE</w:t>
      </w:r>
      <w:r w:rsidR="00741BFA" w:rsidRPr="00FB51B5">
        <w:rPr>
          <w:rFonts w:ascii="Palatino Linotype" w:hAnsi="Palatino Linotype"/>
        </w:rPr>
        <w:t xml:space="preserve"> can be continued</w:t>
      </w:r>
      <w:r w:rsidR="00280795" w:rsidRPr="00FB51B5">
        <w:rPr>
          <w:rFonts w:ascii="Palatino Linotype" w:hAnsi="Palatino Linotype"/>
        </w:rPr>
        <w:t>.</w:t>
      </w:r>
      <w:r w:rsidRPr="00FB51B5">
        <w:rPr>
          <w:rFonts w:ascii="Palatino Linotype" w:hAnsi="Palatino Linotype"/>
        </w:rPr>
        <w:t xml:space="preserve"> </w:t>
      </w:r>
    </w:p>
    <w:sectPr w:rsidR="0091169C" w:rsidRPr="00FB51B5" w:rsidSect="004B488B">
      <w:headerReference w:type="default" r:id="rId8"/>
      <w:footerReference w:type="default" r:id="rId9"/>
      <w:pgSz w:w="11901" w:h="16840" w:code="9"/>
      <w:pgMar w:top="1418" w:right="1701" w:bottom="1418" w:left="1701" w:header="709" w:footer="709" w:gutter="0"/>
      <w:pgNumType w:start="1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5BBA3" w14:textId="77777777" w:rsidR="009A10DD" w:rsidRDefault="009A10DD" w:rsidP="00AF2C92">
      <w:r>
        <w:separator/>
      </w:r>
    </w:p>
  </w:endnote>
  <w:endnote w:type="continuationSeparator" w:id="0">
    <w:p w14:paraId="6870DBF5" w14:textId="77777777" w:rsidR="009A10DD" w:rsidRDefault="009A10D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468432"/>
      <w:docPartObj>
        <w:docPartGallery w:val="Page Numbers (Bottom of Page)"/>
        <w:docPartUnique/>
      </w:docPartObj>
    </w:sdtPr>
    <w:sdtEndPr>
      <w:rPr>
        <w:noProof/>
      </w:rPr>
    </w:sdtEndPr>
    <w:sdtContent>
      <w:p w14:paraId="012B4346" w14:textId="58438EC6" w:rsidR="009A5366" w:rsidRDefault="009A5366">
        <w:pPr>
          <w:pStyle w:val="Footer"/>
          <w:jc w:val="center"/>
        </w:pPr>
        <w:r>
          <w:fldChar w:fldCharType="begin"/>
        </w:r>
        <w:r>
          <w:instrText xml:space="preserve"> PAGE   \* MERGEFORMAT </w:instrText>
        </w:r>
        <w:r>
          <w:fldChar w:fldCharType="separate"/>
        </w:r>
        <w:r w:rsidR="004B488B">
          <w:rPr>
            <w:noProof/>
          </w:rPr>
          <w:t>209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8D7A1" w14:textId="77777777" w:rsidR="009A10DD" w:rsidRDefault="009A10DD" w:rsidP="00AF2C92">
      <w:r>
        <w:separator/>
      </w:r>
    </w:p>
  </w:footnote>
  <w:footnote w:type="continuationSeparator" w:id="0">
    <w:p w14:paraId="30E14E90" w14:textId="77777777" w:rsidR="009A10DD" w:rsidRDefault="009A10DD" w:rsidP="00AF2C92">
      <w:r>
        <w:continuationSeparator/>
      </w:r>
    </w:p>
  </w:footnote>
  <w:footnote w:id="1">
    <w:p w14:paraId="642D675E" w14:textId="77777777" w:rsidR="005B6D9D" w:rsidRPr="00E7738D" w:rsidRDefault="005B6D9D" w:rsidP="0010213B">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r w:rsidR="00F15200" w:rsidRPr="00E7738D">
        <w:rPr>
          <w:rFonts w:ascii="Palatino Linotype" w:hAnsi="Palatino Linotype"/>
        </w:rPr>
        <w:t xml:space="preserve">Ministry of Justice, </w:t>
      </w:r>
      <w:r w:rsidRPr="00E7738D">
        <w:rPr>
          <w:rFonts w:ascii="Palatino Linotype" w:hAnsi="Palatino Linotype"/>
          <w:i/>
        </w:rPr>
        <w:t>Transforming Legal Aid: delivering a more credible and efficient system</w:t>
      </w:r>
      <w:r w:rsidR="00F15200" w:rsidRPr="00E7738D">
        <w:rPr>
          <w:rFonts w:ascii="Palatino Linotype" w:hAnsi="Palatino Linotype"/>
        </w:rPr>
        <w:t xml:space="preserve"> (</w:t>
      </w:r>
      <w:r w:rsidRPr="00E7738D">
        <w:rPr>
          <w:rFonts w:ascii="Palatino Linotype" w:hAnsi="Palatino Linotype"/>
        </w:rPr>
        <w:t>Ministry of Justice Consultation Paper CP14/2013</w:t>
      </w:r>
      <w:r w:rsidR="00F15200" w:rsidRPr="00E7738D">
        <w:rPr>
          <w:rFonts w:ascii="Palatino Linotype" w:hAnsi="Palatino Linotype"/>
        </w:rPr>
        <w:t>)</w:t>
      </w:r>
      <w:r w:rsidRPr="00E7738D">
        <w:rPr>
          <w:rFonts w:ascii="Palatino Linotype" w:hAnsi="Palatino Linotype"/>
        </w:rPr>
        <w:t>.</w:t>
      </w:r>
    </w:p>
  </w:footnote>
  <w:footnote w:id="2">
    <w:p w14:paraId="3CE36D32" w14:textId="77777777" w:rsidR="007B0042" w:rsidRPr="00E7738D" w:rsidRDefault="007B0042">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r w:rsidR="007961E5" w:rsidRPr="00E7738D">
        <w:rPr>
          <w:rFonts w:ascii="Palatino Linotype" w:eastAsia="Calibri" w:hAnsi="Palatino Linotype"/>
          <w:lang w:eastAsia="en-US"/>
        </w:rPr>
        <w:t>Bill Sargent Trust, Counting the cost: advice services and the public spending reductions, 2013, p. 48</w:t>
      </w:r>
      <w:r w:rsidRPr="00E7738D">
        <w:rPr>
          <w:rFonts w:ascii="Palatino Linotype" w:hAnsi="Palatino Linotype"/>
        </w:rPr>
        <w:t xml:space="preserve"> </w:t>
      </w:r>
    </w:p>
  </w:footnote>
  <w:footnote w:id="3">
    <w:p w14:paraId="7BE0EE27" w14:textId="77777777" w:rsidR="008A1757" w:rsidRPr="00E7738D" w:rsidRDefault="008A1757" w:rsidP="008A1757">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P. Feast and V. Brown</w:t>
      </w:r>
      <w:proofErr w:type="gramStart"/>
      <w:r w:rsidRPr="00E7738D">
        <w:rPr>
          <w:rFonts w:ascii="Palatino Linotype" w:hAnsi="Palatino Linotype"/>
        </w:rPr>
        <w:t>, ”</w:t>
      </w:r>
      <w:proofErr w:type="gramEnd"/>
      <w:r w:rsidRPr="00E7738D">
        <w:rPr>
          <w:rFonts w:ascii="Palatino Linotype" w:hAnsi="Palatino Linotype"/>
        </w:rPr>
        <w:t>Filling the Gap” (ALT Annual Conference, Portsmouth, April 2017).</w:t>
      </w:r>
    </w:p>
  </w:footnote>
  <w:footnote w:id="4">
    <w:p w14:paraId="7F1D49F2" w14:textId="77777777" w:rsidR="008A1757" w:rsidRPr="00E7738D" w:rsidRDefault="005B6D9D" w:rsidP="008A1757">
      <w:pPr>
        <w:autoSpaceDE w:val="0"/>
        <w:autoSpaceDN w:val="0"/>
        <w:adjustRightInd w:val="0"/>
        <w:spacing w:line="240" w:lineRule="auto"/>
        <w:rPr>
          <w:rFonts w:ascii="Palatino Linotype" w:hAnsi="Palatino Linotype"/>
          <w:color w:val="000000"/>
          <w:sz w:val="20"/>
          <w:szCs w:val="20"/>
        </w:rPr>
      </w:pPr>
      <w:r w:rsidRPr="00E7738D">
        <w:rPr>
          <w:rStyle w:val="FootnoteReference"/>
          <w:rFonts w:ascii="Palatino Linotype" w:hAnsi="Palatino Linotype"/>
          <w:sz w:val="20"/>
          <w:szCs w:val="20"/>
        </w:rPr>
        <w:footnoteRef/>
      </w:r>
      <w:r w:rsidRPr="00E7738D">
        <w:rPr>
          <w:rFonts w:ascii="Palatino Linotype" w:hAnsi="Palatino Linotype"/>
          <w:sz w:val="20"/>
          <w:szCs w:val="20"/>
        </w:rPr>
        <w:t xml:space="preserve"> </w:t>
      </w:r>
      <w:r w:rsidR="008A1757" w:rsidRPr="00E7738D">
        <w:rPr>
          <w:rFonts w:ascii="Palatino Linotype" w:hAnsi="Palatino Linotype"/>
          <w:sz w:val="20"/>
          <w:szCs w:val="20"/>
        </w:rPr>
        <w:t xml:space="preserve">See e.g. </w:t>
      </w:r>
      <w:r w:rsidR="008A1757" w:rsidRPr="00E7738D">
        <w:rPr>
          <w:rFonts w:ascii="Palatino Linotype" w:hAnsi="Palatino Linotype"/>
          <w:color w:val="000000"/>
          <w:sz w:val="20"/>
          <w:szCs w:val="20"/>
        </w:rPr>
        <w:t xml:space="preserve">D. Carney, F. </w:t>
      </w:r>
      <w:proofErr w:type="spellStart"/>
      <w:r w:rsidR="008A1757" w:rsidRPr="00E7738D">
        <w:rPr>
          <w:rFonts w:ascii="Palatino Linotype" w:hAnsi="Palatino Linotype"/>
          <w:color w:val="000000"/>
          <w:sz w:val="20"/>
          <w:szCs w:val="20"/>
        </w:rPr>
        <w:t>Dignan</w:t>
      </w:r>
      <w:proofErr w:type="spellEnd"/>
      <w:r w:rsidR="008A1757" w:rsidRPr="00E7738D">
        <w:rPr>
          <w:rFonts w:ascii="Palatino Linotype" w:hAnsi="Palatino Linotype"/>
          <w:color w:val="000000"/>
          <w:sz w:val="20"/>
          <w:szCs w:val="20"/>
        </w:rPr>
        <w:t xml:space="preserve">, R. Grimes, G. Kelly and R. Parker, ‘The </w:t>
      </w:r>
      <w:proofErr w:type="spellStart"/>
      <w:r w:rsidR="008A1757" w:rsidRPr="00E7738D">
        <w:rPr>
          <w:rFonts w:ascii="Palatino Linotype" w:hAnsi="Palatino Linotype"/>
          <w:color w:val="000000"/>
          <w:sz w:val="20"/>
          <w:szCs w:val="20"/>
        </w:rPr>
        <w:t>LawWorks</w:t>
      </w:r>
      <w:proofErr w:type="spellEnd"/>
    </w:p>
    <w:p w14:paraId="21AACBD1" w14:textId="77777777" w:rsidR="008A1757" w:rsidRPr="00E7738D" w:rsidRDefault="008A1757" w:rsidP="008A1757">
      <w:pPr>
        <w:autoSpaceDE w:val="0"/>
        <w:autoSpaceDN w:val="0"/>
        <w:adjustRightInd w:val="0"/>
        <w:spacing w:line="240" w:lineRule="auto"/>
        <w:rPr>
          <w:rFonts w:ascii="Palatino Linotype" w:hAnsi="Palatino Linotype"/>
          <w:color w:val="000000"/>
          <w:sz w:val="20"/>
          <w:szCs w:val="20"/>
        </w:rPr>
      </w:pPr>
      <w:r w:rsidRPr="00E7738D">
        <w:rPr>
          <w:rFonts w:ascii="Palatino Linotype" w:hAnsi="Palatino Linotype"/>
          <w:color w:val="000000"/>
          <w:sz w:val="20"/>
          <w:szCs w:val="20"/>
        </w:rPr>
        <w:t>Law School Pro Bono and Clinic Report 2014’ Available at</w:t>
      </w:r>
    </w:p>
    <w:p w14:paraId="3059D0FE" w14:textId="77777777" w:rsidR="008A1757" w:rsidRPr="00E7738D" w:rsidRDefault="008A1757" w:rsidP="008A1757">
      <w:pPr>
        <w:autoSpaceDE w:val="0"/>
        <w:autoSpaceDN w:val="0"/>
        <w:adjustRightInd w:val="0"/>
        <w:spacing w:line="240" w:lineRule="auto"/>
        <w:rPr>
          <w:rFonts w:ascii="Palatino Linotype" w:hAnsi="Palatino Linotype"/>
          <w:color w:val="0000FF"/>
          <w:sz w:val="20"/>
          <w:szCs w:val="20"/>
        </w:rPr>
      </w:pPr>
      <w:r w:rsidRPr="00E7738D">
        <w:rPr>
          <w:rFonts w:ascii="Palatino Linotype" w:hAnsi="Palatino Linotype"/>
          <w:color w:val="0000FF"/>
          <w:sz w:val="20"/>
          <w:szCs w:val="20"/>
        </w:rPr>
        <w:t>https://www.lawworks.org.uk/sites/default/files/LawWorks-student-pro-bono-report%202014.pdf</w:t>
      </w:r>
    </w:p>
    <w:p w14:paraId="00B35F5E" w14:textId="77777777" w:rsidR="005B6D9D" w:rsidRPr="00E7738D" w:rsidRDefault="008A1757" w:rsidP="008A1757">
      <w:pPr>
        <w:autoSpaceDE w:val="0"/>
        <w:autoSpaceDN w:val="0"/>
        <w:adjustRightInd w:val="0"/>
        <w:spacing w:line="240" w:lineRule="auto"/>
        <w:rPr>
          <w:rFonts w:ascii="Palatino Linotype" w:hAnsi="Palatino Linotype"/>
          <w:sz w:val="20"/>
          <w:szCs w:val="20"/>
        </w:rPr>
      </w:pPr>
      <w:r w:rsidRPr="00E7738D">
        <w:rPr>
          <w:rFonts w:ascii="Palatino Linotype" w:hAnsi="Palatino Linotype"/>
          <w:color w:val="000000"/>
          <w:sz w:val="20"/>
          <w:szCs w:val="20"/>
        </w:rPr>
        <w:t>(</w:t>
      </w:r>
      <w:proofErr w:type="gramStart"/>
      <w:r w:rsidRPr="00E7738D">
        <w:rPr>
          <w:rFonts w:ascii="Palatino Linotype" w:hAnsi="Palatino Linotype"/>
          <w:color w:val="000000"/>
          <w:sz w:val="20"/>
          <w:szCs w:val="20"/>
        </w:rPr>
        <w:t>accessed</w:t>
      </w:r>
      <w:proofErr w:type="gramEnd"/>
      <w:r w:rsidRPr="00E7738D">
        <w:rPr>
          <w:rFonts w:ascii="Palatino Linotype" w:hAnsi="Palatino Linotype"/>
          <w:color w:val="000000"/>
          <w:sz w:val="20"/>
          <w:szCs w:val="20"/>
        </w:rPr>
        <w:t xml:space="preserve"> 1 June 2017).</w:t>
      </w:r>
    </w:p>
  </w:footnote>
  <w:footnote w:id="5">
    <w:p w14:paraId="7C5E4A5F" w14:textId="77777777" w:rsidR="005B6D9D" w:rsidRPr="00E7738D" w:rsidRDefault="005B6D9D" w:rsidP="005B5C0D">
      <w:pPr>
        <w:spacing w:line="240" w:lineRule="auto"/>
        <w:rPr>
          <w:rFonts w:ascii="Palatino Linotype" w:hAnsi="Palatino Linotype"/>
          <w:sz w:val="20"/>
          <w:szCs w:val="20"/>
        </w:rPr>
      </w:pPr>
      <w:r w:rsidRPr="00E7738D">
        <w:rPr>
          <w:rStyle w:val="FootnoteReference"/>
          <w:rFonts w:ascii="Palatino Linotype" w:hAnsi="Palatino Linotype"/>
          <w:sz w:val="20"/>
          <w:szCs w:val="20"/>
        </w:rPr>
        <w:footnoteRef/>
      </w:r>
      <w:r w:rsidRPr="00E7738D">
        <w:rPr>
          <w:rFonts w:ascii="Palatino Linotype" w:hAnsi="Palatino Linotype"/>
          <w:sz w:val="20"/>
          <w:szCs w:val="20"/>
        </w:rPr>
        <w:t xml:space="preserve"> </w:t>
      </w:r>
      <w:r w:rsidR="007B0042" w:rsidRPr="00E7738D">
        <w:rPr>
          <w:rFonts w:ascii="Palatino Linotype" w:hAnsi="Palatino Linotype"/>
          <w:sz w:val="20"/>
          <w:szCs w:val="20"/>
        </w:rPr>
        <w:t xml:space="preserve">University of Portsmouth </w:t>
      </w:r>
      <w:r w:rsidRPr="00E7738D">
        <w:rPr>
          <w:rFonts w:ascii="Palatino Linotype" w:hAnsi="Palatino Linotype"/>
          <w:sz w:val="20"/>
          <w:szCs w:val="20"/>
        </w:rPr>
        <w:t xml:space="preserve">Education Strategy 2016-2020 </w:t>
      </w:r>
    </w:p>
    <w:p w14:paraId="48582BAD" w14:textId="77777777" w:rsidR="005B6D9D" w:rsidRPr="00E7738D" w:rsidRDefault="005B6D9D" w:rsidP="0010213B">
      <w:pPr>
        <w:pStyle w:val="FootnoteText"/>
        <w:rPr>
          <w:rFonts w:ascii="Palatino Linotype" w:hAnsi="Palatino Linotype"/>
        </w:rPr>
      </w:pPr>
    </w:p>
  </w:footnote>
  <w:footnote w:id="6">
    <w:p w14:paraId="79907951" w14:textId="77777777"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r w:rsidR="00934B41" w:rsidRPr="00E7738D">
        <w:rPr>
          <w:rFonts w:ascii="Palatino Linotype" w:hAnsi="Palatino Linotype"/>
        </w:rPr>
        <w:t>R. Grimes</w:t>
      </w:r>
      <w:r w:rsidRPr="00E7738D">
        <w:rPr>
          <w:rFonts w:ascii="Palatino Linotype" w:hAnsi="Palatino Linotype"/>
        </w:rPr>
        <w:t xml:space="preserve"> and </w:t>
      </w:r>
      <w:r w:rsidR="00934B41" w:rsidRPr="00E7738D">
        <w:rPr>
          <w:rFonts w:ascii="Palatino Linotype" w:hAnsi="Palatino Linotype"/>
        </w:rPr>
        <w:t>J. Gibbons, “</w:t>
      </w:r>
      <w:r w:rsidRPr="00E7738D">
        <w:rPr>
          <w:rFonts w:ascii="Palatino Linotype" w:hAnsi="Palatino Linotype"/>
        </w:rPr>
        <w:t xml:space="preserve">Assessing Experiential Learning – Us, them and the </w:t>
      </w:r>
      <w:proofErr w:type="gramStart"/>
      <w:r w:rsidRPr="00E7738D">
        <w:rPr>
          <w:rFonts w:ascii="Palatino Linotype" w:hAnsi="Palatino Linotype"/>
        </w:rPr>
        <w:t>Others</w:t>
      </w:r>
      <w:proofErr w:type="gramEnd"/>
      <w:r w:rsidR="00934B41" w:rsidRPr="00E7738D">
        <w:rPr>
          <w:rFonts w:ascii="Palatino Linotype" w:hAnsi="Palatino Linotype"/>
        </w:rPr>
        <w:t xml:space="preserve">” (2016) 23 </w:t>
      </w:r>
      <w:r w:rsidRPr="00E7738D">
        <w:rPr>
          <w:rFonts w:ascii="Palatino Linotype" w:hAnsi="Palatino Linotype"/>
          <w:i/>
        </w:rPr>
        <w:t>International Journal of Clinical Legal Education</w:t>
      </w:r>
      <w:r w:rsidRPr="00E7738D">
        <w:rPr>
          <w:rFonts w:ascii="Palatino Linotype" w:hAnsi="Palatino Linotype"/>
        </w:rPr>
        <w:t xml:space="preserve"> 114.</w:t>
      </w:r>
    </w:p>
  </w:footnote>
  <w:footnote w:id="7">
    <w:p w14:paraId="368B00BA" w14:textId="77777777" w:rsidR="007D39BD" w:rsidRPr="00E7738D" w:rsidRDefault="007D39BD">
      <w:pPr>
        <w:pStyle w:val="FootnoteText"/>
        <w:rPr>
          <w:rFonts w:ascii="Palatino Linotype" w:hAnsi="Palatino Linotype"/>
          <w:szCs w:val="16"/>
        </w:rPr>
      </w:pPr>
      <w:r w:rsidRPr="00E7738D">
        <w:rPr>
          <w:rStyle w:val="FootnoteReference"/>
          <w:rFonts w:ascii="Palatino Linotype" w:hAnsi="Palatino Linotype"/>
        </w:rPr>
        <w:footnoteRef/>
      </w:r>
      <w:r w:rsidRPr="00E7738D">
        <w:rPr>
          <w:rFonts w:ascii="Palatino Linotype" w:hAnsi="Palatino Linotype"/>
        </w:rPr>
        <w:t xml:space="preserve"> </w:t>
      </w:r>
      <w:r w:rsidR="00934B41" w:rsidRPr="00E7738D">
        <w:rPr>
          <w:rFonts w:ascii="Palatino Linotype" w:hAnsi="Palatino Linotype"/>
        </w:rPr>
        <w:t>A. Ziegler, “</w:t>
      </w:r>
      <w:r w:rsidRPr="00E7738D">
        <w:rPr>
          <w:rFonts w:ascii="Palatino Linotype" w:hAnsi="Palatino Linotype"/>
        </w:rPr>
        <w:t>Developing a System of Evaluat</w:t>
      </w:r>
      <w:r w:rsidR="00934B41" w:rsidRPr="00E7738D">
        <w:rPr>
          <w:rFonts w:ascii="Palatino Linotype" w:hAnsi="Palatino Linotype"/>
        </w:rPr>
        <w:t>ion in Clinical Legal Education”</w:t>
      </w:r>
      <w:r w:rsidRPr="00E7738D">
        <w:rPr>
          <w:rFonts w:ascii="Palatino Linotype" w:hAnsi="Palatino Linotype"/>
        </w:rPr>
        <w:t xml:space="preserve"> (1992) 42 </w:t>
      </w:r>
      <w:r w:rsidRPr="00E7738D">
        <w:rPr>
          <w:rFonts w:ascii="Palatino Linotype" w:hAnsi="Palatino Linotype"/>
          <w:i/>
        </w:rPr>
        <w:t>Journal of Legal Education</w:t>
      </w:r>
      <w:r w:rsidR="00934B41" w:rsidRPr="00E7738D">
        <w:rPr>
          <w:rFonts w:ascii="Palatino Linotype" w:hAnsi="Palatino Linotype"/>
        </w:rPr>
        <w:t xml:space="preserve"> 575,</w:t>
      </w:r>
      <w:r w:rsidRPr="00E7738D">
        <w:rPr>
          <w:rFonts w:ascii="Palatino Linotype" w:hAnsi="Palatino Linotype"/>
        </w:rPr>
        <w:t xml:space="preserve"> 583.</w:t>
      </w:r>
    </w:p>
  </w:footnote>
  <w:footnote w:id="8">
    <w:p w14:paraId="0DA7B36B" w14:textId="77777777"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Ibid</w:t>
      </w:r>
      <w:r w:rsidR="00D4604E" w:rsidRPr="00E7738D">
        <w:rPr>
          <w:rFonts w:ascii="Palatino Linotype" w:hAnsi="Palatino Linotype"/>
        </w:rPr>
        <w:t>.</w:t>
      </w:r>
    </w:p>
  </w:footnote>
  <w:footnote w:id="9">
    <w:p w14:paraId="759ACD29" w14:textId="7AF35EB5"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r w:rsidR="00934B41" w:rsidRPr="00E7738D">
        <w:rPr>
          <w:rFonts w:ascii="Palatino Linotype" w:hAnsi="Palatino Linotype"/>
        </w:rPr>
        <w:t xml:space="preserve">D. </w:t>
      </w:r>
      <w:proofErr w:type="spellStart"/>
      <w:r w:rsidR="00934B41" w:rsidRPr="00E7738D">
        <w:rPr>
          <w:rFonts w:ascii="Palatino Linotype" w:hAnsi="Palatino Linotype"/>
        </w:rPr>
        <w:t>Bouod</w:t>
      </w:r>
      <w:proofErr w:type="spellEnd"/>
      <w:r w:rsidR="00934B41" w:rsidRPr="00E7738D">
        <w:rPr>
          <w:rFonts w:ascii="Palatino Linotype" w:hAnsi="Palatino Linotype"/>
        </w:rPr>
        <w:t xml:space="preserve">, D and N. </w:t>
      </w:r>
      <w:proofErr w:type="spellStart"/>
      <w:r w:rsidR="00934B41" w:rsidRPr="00E7738D">
        <w:rPr>
          <w:rFonts w:ascii="Palatino Linotype" w:hAnsi="Palatino Linotype"/>
        </w:rPr>
        <w:t>Falchikov</w:t>
      </w:r>
      <w:proofErr w:type="spellEnd"/>
      <w:r w:rsidR="00934B41" w:rsidRPr="00E7738D">
        <w:rPr>
          <w:rFonts w:ascii="Palatino Linotype" w:hAnsi="Palatino Linotype"/>
        </w:rPr>
        <w:t>, “</w:t>
      </w:r>
      <w:r w:rsidRPr="00E7738D">
        <w:rPr>
          <w:rFonts w:ascii="Palatino Linotype" w:hAnsi="Palatino Linotype"/>
        </w:rPr>
        <w:t>Redesigning assessment for learning beyond higher education</w:t>
      </w:r>
      <w:r w:rsidR="00934B41" w:rsidRPr="00E7738D">
        <w:rPr>
          <w:rFonts w:ascii="Palatino Linotype" w:hAnsi="Palatino Linotype"/>
        </w:rPr>
        <w:t>” i</w:t>
      </w:r>
      <w:r w:rsidRPr="00E7738D">
        <w:rPr>
          <w:rFonts w:ascii="Palatino Linotype" w:hAnsi="Palatino Linotype"/>
        </w:rPr>
        <w:t xml:space="preserve">n </w:t>
      </w:r>
      <w:r w:rsidRPr="00E7738D">
        <w:rPr>
          <w:rFonts w:ascii="Palatino Linotype" w:hAnsi="Palatino Linotype"/>
          <w:i/>
        </w:rPr>
        <w:t>Higher education in a changing world</w:t>
      </w:r>
      <w:r w:rsidR="00934B41" w:rsidRPr="00E7738D">
        <w:rPr>
          <w:rFonts w:ascii="Palatino Linotype" w:hAnsi="Palatino Linotype"/>
        </w:rPr>
        <w:t>:</w:t>
      </w:r>
      <w:r w:rsidR="00B21D8F" w:rsidRPr="00E7738D">
        <w:rPr>
          <w:rFonts w:ascii="Palatino Linotype" w:hAnsi="Palatino Linotype"/>
        </w:rPr>
        <w:t xml:space="preserve"> </w:t>
      </w:r>
      <w:r w:rsidRPr="00E7738D">
        <w:rPr>
          <w:rFonts w:ascii="Palatino Linotype" w:hAnsi="Palatino Linotype"/>
          <w:i/>
        </w:rPr>
        <w:t>Proceedings of the 28</w:t>
      </w:r>
      <w:r w:rsidRPr="00E7738D">
        <w:rPr>
          <w:rFonts w:ascii="Palatino Linotype" w:hAnsi="Palatino Linotype"/>
          <w:i/>
          <w:vertAlign w:val="superscript"/>
        </w:rPr>
        <w:t>th</w:t>
      </w:r>
      <w:r w:rsidRPr="00E7738D">
        <w:rPr>
          <w:rFonts w:ascii="Palatino Linotype" w:hAnsi="Palatino Linotype"/>
          <w:i/>
        </w:rPr>
        <w:t xml:space="preserve"> HERDSA Annual Conference, Sydney, 3-6</w:t>
      </w:r>
      <w:r w:rsidRPr="00E7738D">
        <w:rPr>
          <w:rFonts w:ascii="Palatino Linotype" w:hAnsi="Palatino Linotype"/>
          <w:i/>
          <w:vertAlign w:val="superscript"/>
        </w:rPr>
        <w:t>th</w:t>
      </w:r>
      <w:r w:rsidRPr="00E7738D">
        <w:rPr>
          <w:rFonts w:ascii="Palatino Linotype" w:hAnsi="Palatino Linotype"/>
          <w:i/>
        </w:rPr>
        <w:t xml:space="preserve"> July,</w:t>
      </w:r>
      <w:r w:rsidRPr="00E7738D">
        <w:rPr>
          <w:rFonts w:ascii="Palatino Linotype" w:hAnsi="Palatino Linotype"/>
        </w:rPr>
        <w:t xml:space="preserve"> 34-41.</w:t>
      </w:r>
      <w:r w:rsidR="00B21D8F" w:rsidRPr="00E7738D">
        <w:rPr>
          <w:rFonts w:ascii="Palatino Linotype" w:hAnsi="Palatino Linotype"/>
        </w:rPr>
        <w:t xml:space="preserve"> </w:t>
      </w:r>
    </w:p>
  </w:footnote>
  <w:footnote w:id="10">
    <w:p w14:paraId="4EBD8E10" w14:textId="77777777"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r w:rsidR="00D4604E" w:rsidRPr="00E7738D">
        <w:rPr>
          <w:rFonts w:ascii="Palatino Linotype" w:hAnsi="Palatino Linotype"/>
        </w:rPr>
        <w:t xml:space="preserve">C. </w:t>
      </w:r>
      <w:r w:rsidRPr="00E7738D">
        <w:rPr>
          <w:rFonts w:ascii="Palatino Linotype" w:hAnsi="Palatino Linotype"/>
        </w:rPr>
        <w:t>Sy</w:t>
      </w:r>
      <w:r w:rsidR="00D4604E" w:rsidRPr="00E7738D">
        <w:rPr>
          <w:rFonts w:ascii="Palatino Linotype" w:hAnsi="Palatino Linotype"/>
        </w:rPr>
        <w:t>lvester, “</w:t>
      </w:r>
      <w:r w:rsidRPr="00E7738D">
        <w:rPr>
          <w:rFonts w:ascii="Palatino Linotype" w:hAnsi="Palatino Linotype"/>
        </w:rPr>
        <w:t xml:space="preserve">Through a Glass Darkly: Assessment of Real Client, Compulsory Clinic in </w:t>
      </w:r>
      <w:r w:rsidR="00D4604E" w:rsidRPr="00E7738D">
        <w:rPr>
          <w:rFonts w:ascii="Palatino Linotype" w:hAnsi="Palatino Linotype"/>
        </w:rPr>
        <w:t xml:space="preserve">an Undergraduate Law Programme” (2016) 23 </w:t>
      </w:r>
      <w:r w:rsidRPr="00E7738D">
        <w:rPr>
          <w:rFonts w:ascii="Palatino Linotype" w:hAnsi="Palatino Linotype"/>
          <w:i/>
        </w:rPr>
        <w:t>International Jou</w:t>
      </w:r>
      <w:r w:rsidR="00D4604E" w:rsidRPr="00E7738D">
        <w:rPr>
          <w:rFonts w:ascii="Palatino Linotype" w:hAnsi="Palatino Linotype"/>
          <w:i/>
        </w:rPr>
        <w:t xml:space="preserve">rnal of Clinical Legal Education </w:t>
      </w:r>
      <w:r w:rsidR="00D4604E" w:rsidRPr="00E7738D">
        <w:rPr>
          <w:rFonts w:ascii="Palatino Linotype" w:hAnsi="Palatino Linotype"/>
        </w:rPr>
        <w:t xml:space="preserve">32, </w:t>
      </w:r>
      <w:r w:rsidRPr="00E7738D">
        <w:rPr>
          <w:rFonts w:ascii="Palatino Linotype" w:hAnsi="Palatino Linotype"/>
        </w:rPr>
        <w:t>37.</w:t>
      </w:r>
    </w:p>
  </w:footnote>
  <w:footnote w:id="11">
    <w:p w14:paraId="58FFD281" w14:textId="77777777"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00D4604E" w:rsidRPr="00E7738D">
        <w:rPr>
          <w:rFonts w:ascii="Palatino Linotype" w:hAnsi="Palatino Linotype"/>
        </w:rPr>
        <w:t xml:space="preserve"> See</w:t>
      </w:r>
      <w:r w:rsidRPr="00E7738D">
        <w:rPr>
          <w:rFonts w:ascii="Palatino Linotype" w:hAnsi="Palatino Linotype"/>
        </w:rPr>
        <w:t xml:space="preserve"> </w:t>
      </w:r>
      <w:r w:rsidR="00D4604E" w:rsidRPr="00E7738D">
        <w:rPr>
          <w:rFonts w:ascii="Palatino Linotype" w:hAnsi="Palatino Linotype"/>
        </w:rPr>
        <w:t xml:space="preserve">http://www.jobs.ac.uk/careers-advice/careers-advice/1349/why-do-we-need-an-appraisal (accessed 2 June 2017). </w:t>
      </w:r>
    </w:p>
  </w:footnote>
  <w:footnote w:id="12">
    <w:p w14:paraId="693B7EC5" w14:textId="77777777"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r w:rsidR="00D4604E" w:rsidRPr="00E7738D">
        <w:rPr>
          <w:rFonts w:ascii="Palatino Linotype" w:hAnsi="Palatino Linotype"/>
        </w:rPr>
        <w:t>M. Morrison</w:t>
      </w:r>
      <w:r w:rsidRPr="00E7738D">
        <w:rPr>
          <w:rFonts w:ascii="Palatino Linotype" w:hAnsi="Palatino Linotype"/>
        </w:rPr>
        <w:t xml:space="preserve">, ‘History of SMART Objectives’ </w:t>
      </w:r>
      <w:hyperlink r:id="rId1" w:history="1">
        <w:r w:rsidRPr="00E7738D">
          <w:rPr>
            <w:rStyle w:val="Hyperlink"/>
            <w:rFonts w:ascii="Palatino Linotype" w:hAnsi="Palatino Linotype"/>
          </w:rPr>
          <w:t>https://rapidbi.com/history-of-smart-objectives</w:t>
        </w:r>
      </w:hyperlink>
      <w:r w:rsidR="00D4604E" w:rsidRPr="00E7738D">
        <w:rPr>
          <w:rFonts w:ascii="Palatino Linotype" w:hAnsi="Palatino Linotype"/>
        </w:rPr>
        <w:t xml:space="preserve"> (</w:t>
      </w:r>
      <w:r w:rsidRPr="00E7738D">
        <w:rPr>
          <w:rFonts w:ascii="Palatino Linotype" w:hAnsi="Palatino Linotype"/>
        </w:rPr>
        <w:t>accessed on 7</w:t>
      </w:r>
      <w:r w:rsidR="00D4604E" w:rsidRPr="00E7738D">
        <w:rPr>
          <w:rFonts w:ascii="Palatino Linotype" w:hAnsi="Palatino Linotype"/>
        </w:rPr>
        <w:t xml:space="preserve"> June </w:t>
      </w:r>
      <w:r w:rsidRPr="00E7738D">
        <w:rPr>
          <w:rFonts w:ascii="Palatino Linotype" w:hAnsi="Palatino Linotype"/>
        </w:rPr>
        <w:t>2017</w:t>
      </w:r>
      <w:r w:rsidR="00D4604E" w:rsidRPr="00E7738D">
        <w:rPr>
          <w:rFonts w:ascii="Palatino Linotype" w:hAnsi="Palatino Linotype"/>
        </w:rPr>
        <w:t>)</w:t>
      </w:r>
      <w:r w:rsidRPr="00E7738D">
        <w:rPr>
          <w:rFonts w:ascii="Palatino Linotype" w:hAnsi="Palatino Linotype"/>
        </w:rPr>
        <w:t>.</w:t>
      </w:r>
    </w:p>
  </w:footnote>
  <w:footnote w:id="13">
    <w:p w14:paraId="2A7B3897" w14:textId="77777777" w:rsidR="00FD2EBC" w:rsidRPr="00E7738D" w:rsidRDefault="00FD2EBC" w:rsidP="00FD2EBC">
      <w:pPr>
        <w:pStyle w:val="FootnoteText"/>
        <w:rPr>
          <w:rFonts w:ascii="Palatino Linotype" w:hAnsi="Palatino Linotype"/>
          <w:lang w:val="fr-FR"/>
        </w:rPr>
      </w:pPr>
      <w:r w:rsidRPr="00E7738D">
        <w:rPr>
          <w:rStyle w:val="FootnoteReference"/>
          <w:rFonts w:ascii="Palatino Linotype" w:hAnsi="Palatino Linotype"/>
        </w:rPr>
        <w:footnoteRef/>
      </w:r>
      <w:r w:rsidR="00225E4B" w:rsidRPr="00E7738D">
        <w:rPr>
          <w:rFonts w:ascii="Palatino Linotype" w:hAnsi="Palatino Linotype"/>
        </w:rPr>
        <w:t xml:space="preserve"> King</w:t>
      </w:r>
      <w:r w:rsidRPr="00E7738D">
        <w:rPr>
          <w:rFonts w:ascii="Palatino Linotype" w:hAnsi="Palatino Linotype"/>
        </w:rPr>
        <w:t xml:space="preserve"> K P</w:t>
      </w:r>
      <w:r w:rsidR="00225E4B" w:rsidRPr="00E7738D">
        <w:rPr>
          <w:rFonts w:ascii="Palatino Linotype" w:hAnsi="Palatino Linotype"/>
        </w:rPr>
        <w:t>,</w:t>
      </w:r>
      <w:r w:rsidRPr="00E7738D">
        <w:rPr>
          <w:rFonts w:ascii="Palatino Linotype" w:hAnsi="Palatino Linotype"/>
        </w:rPr>
        <w:t xml:space="preserve"> </w:t>
      </w:r>
      <w:r w:rsidR="00225E4B" w:rsidRPr="00E7738D">
        <w:rPr>
          <w:rFonts w:ascii="Palatino Linotype" w:hAnsi="Palatino Linotype"/>
        </w:rPr>
        <w:t>‘</w:t>
      </w:r>
      <w:r w:rsidRPr="00E7738D">
        <w:rPr>
          <w:rFonts w:ascii="Palatino Linotype" w:hAnsi="Palatino Linotype"/>
        </w:rPr>
        <w:t>A journey of transformation: A model of educators’ learning experiences in educational technology</w:t>
      </w:r>
      <w:r w:rsidR="00225E4B" w:rsidRPr="00E7738D">
        <w:rPr>
          <w:rFonts w:ascii="Palatino Linotype" w:hAnsi="Palatino Linotype"/>
        </w:rPr>
        <w:t>’ i</w:t>
      </w:r>
      <w:r w:rsidRPr="00E7738D">
        <w:rPr>
          <w:rFonts w:ascii="Palatino Linotype" w:hAnsi="Palatino Linotype"/>
        </w:rPr>
        <w:t>n Pettit</w:t>
      </w:r>
      <w:r w:rsidR="00225E4B" w:rsidRPr="00E7738D">
        <w:rPr>
          <w:rFonts w:ascii="Palatino Linotype" w:hAnsi="Palatino Linotype"/>
        </w:rPr>
        <w:t xml:space="preserve"> JM</w:t>
      </w:r>
      <w:r w:rsidRPr="00E7738D">
        <w:rPr>
          <w:rFonts w:ascii="Palatino Linotype" w:hAnsi="Palatino Linotype"/>
        </w:rPr>
        <w:t xml:space="preserve"> &amp; Francis</w:t>
      </w:r>
      <w:r w:rsidR="00225E4B" w:rsidRPr="00E7738D">
        <w:rPr>
          <w:rFonts w:ascii="Palatino Linotype" w:hAnsi="Palatino Linotype"/>
        </w:rPr>
        <w:t xml:space="preserve"> RP</w:t>
      </w:r>
      <w:r w:rsidRPr="00E7738D">
        <w:rPr>
          <w:rFonts w:ascii="Palatino Linotype" w:hAnsi="Palatino Linotype"/>
        </w:rPr>
        <w:t xml:space="preserve"> (</w:t>
      </w:r>
      <w:proofErr w:type="spellStart"/>
      <w:proofErr w:type="gramStart"/>
      <w:r w:rsidR="00225E4B" w:rsidRPr="00E7738D">
        <w:rPr>
          <w:rFonts w:ascii="Palatino Linotype" w:hAnsi="Palatino Linotype"/>
        </w:rPr>
        <w:t>e</w:t>
      </w:r>
      <w:r w:rsidRPr="00E7738D">
        <w:rPr>
          <w:rFonts w:ascii="Palatino Linotype" w:hAnsi="Palatino Linotype"/>
        </w:rPr>
        <w:t>ds</w:t>
      </w:r>
      <w:proofErr w:type="spellEnd"/>
      <w:proofErr w:type="gramEnd"/>
      <w:r w:rsidRPr="00E7738D">
        <w:rPr>
          <w:rFonts w:ascii="Palatino Linotype" w:hAnsi="Palatino Linotype"/>
        </w:rPr>
        <w:t xml:space="preserve">) </w:t>
      </w:r>
      <w:r w:rsidRPr="00E7738D">
        <w:rPr>
          <w:rFonts w:ascii="Palatino Linotype" w:hAnsi="Palatino Linotype"/>
          <w:i/>
        </w:rPr>
        <w:t>Proceedings of the 43rd Annual Adult Education Research Conference</w:t>
      </w:r>
      <w:r w:rsidR="00225E4B" w:rsidRPr="00E7738D">
        <w:rPr>
          <w:rFonts w:ascii="Palatino Linotype" w:hAnsi="Palatino Linotype"/>
        </w:rPr>
        <w:t xml:space="preserve"> (2002)</w:t>
      </w:r>
      <w:r w:rsidRPr="00E7738D">
        <w:rPr>
          <w:rFonts w:ascii="Palatino Linotype" w:hAnsi="Palatino Linotype"/>
        </w:rPr>
        <w:t xml:space="preserve">, </w:t>
      </w:r>
      <w:r w:rsidR="00225E4B" w:rsidRPr="00E7738D">
        <w:rPr>
          <w:rFonts w:ascii="Palatino Linotype" w:hAnsi="Palatino Linotype"/>
        </w:rPr>
        <w:t>pp. 195- 200</w:t>
      </w:r>
      <w:r w:rsidRPr="00E7738D">
        <w:rPr>
          <w:rFonts w:ascii="Palatino Linotype" w:hAnsi="Palatino Linotype"/>
        </w:rPr>
        <w:t xml:space="preserve">. </w:t>
      </w:r>
      <w:r w:rsidR="00225E4B" w:rsidRPr="00E7738D">
        <w:rPr>
          <w:rFonts w:ascii="Palatino Linotype" w:hAnsi="Palatino Linotype"/>
          <w:lang w:val="fr-FR"/>
        </w:rPr>
        <w:t>Available: &lt;https://www.researchgate.net/publication/266332610_A_Journey_of_Transformation_A_Model_of_Educators%27_Learning_Experiences_in_Educational_Technology&gt;.</w:t>
      </w:r>
    </w:p>
  </w:footnote>
  <w:footnote w:id="14">
    <w:p w14:paraId="5436B758" w14:textId="77777777"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Information taken from University annual student unit feedback survey</w:t>
      </w:r>
      <w:r w:rsidR="00741BFA" w:rsidRPr="00E7738D">
        <w:rPr>
          <w:rFonts w:ascii="Palatino Linotype" w:hAnsi="Palatino Linotype"/>
        </w:rPr>
        <w:t xml:space="preserve"> May 2016</w:t>
      </w:r>
      <w:r w:rsidRPr="00E7738D">
        <w:rPr>
          <w:rFonts w:ascii="Palatino Linotype" w:hAnsi="Palatino Linotype"/>
        </w:rPr>
        <w:t xml:space="preserve"> </w:t>
      </w:r>
    </w:p>
  </w:footnote>
  <w:footnote w:id="15">
    <w:p w14:paraId="5224978A" w14:textId="77777777" w:rsidR="007D39BD" w:rsidRPr="00E7738D" w:rsidRDefault="007D39BD">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r w:rsidR="00D5214D" w:rsidRPr="00E7738D">
        <w:rPr>
          <w:rFonts w:ascii="Palatino Linotype" w:hAnsi="Palatino Linotype"/>
        </w:rPr>
        <w:t>ibid</w:t>
      </w:r>
      <w:r w:rsidRPr="00E7738D">
        <w:rPr>
          <w:rFonts w:ascii="Palatino Linotype" w:hAnsi="Palatino Linotype"/>
        </w:rPr>
        <w:t>.</w:t>
      </w:r>
    </w:p>
  </w:footnote>
  <w:footnote w:id="16">
    <w:p w14:paraId="60D66A8A" w14:textId="77777777" w:rsidR="00CE340C" w:rsidRPr="00E7738D" w:rsidRDefault="00CE340C">
      <w:pPr>
        <w:pStyle w:val="FootnoteText"/>
        <w:rPr>
          <w:rFonts w:ascii="Palatino Linotype" w:hAnsi="Palatino Linotype"/>
        </w:rPr>
      </w:pPr>
      <w:r w:rsidRPr="00E7738D">
        <w:rPr>
          <w:rStyle w:val="FootnoteReference"/>
          <w:rFonts w:ascii="Palatino Linotype" w:hAnsi="Palatino Linotype"/>
        </w:rPr>
        <w:footnoteRef/>
      </w:r>
      <w:r w:rsidRPr="00E7738D">
        <w:rPr>
          <w:rFonts w:ascii="Palatino Linotype" w:hAnsi="Palatino Linotype"/>
        </w:rPr>
        <w:t xml:space="preserve"> </w:t>
      </w:r>
      <w:hyperlink r:id="rId2" w:history="1">
        <w:r w:rsidRPr="00E7738D">
          <w:rPr>
            <w:rStyle w:val="Hyperlink"/>
            <w:rFonts w:ascii="Palatino Linotype" w:hAnsi="Palatino Linotype"/>
          </w:rPr>
          <w:t>https://www.sra.org.uk/sra/consultations</w:t>
        </w:r>
      </w:hyperlink>
      <w:r w:rsidRPr="00E7738D">
        <w:rPr>
          <w:rFonts w:ascii="Palatino Linotype" w:hAnsi="Palatino Linotype"/>
        </w:rPr>
        <w:t xml:space="preserve"> (accessed 2nd June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CA38" w14:textId="3C058A95" w:rsidR="009D1326" w:rsidRPr="00914411" w:rsidRDefault="00DE25E4" w:rsidP="009D1326">
    <w:pPr>
      <w:pStyle w:val="Header"/>
      <w:rPr>
        <w:rFonts w:ascii="Palatino Linotype" w:hAnsi="Palatino Linotype"/>
      </w:rPr>
    </w:pPr>
    <w:r>
      <w:rPr>
        <w:rFonts w:ascii="Palatino Linotype" w:hAnsi="Palatino Linotype"/>
        <w:i/>
      </w:rPr>
      <w:t>From the Field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31"/>
    <w:rsid w:val="00001899"/>
    <w:rsid w:val="000045C5"/>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06A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562A"/>
    <w:rsid w:val="000E6259"/>
    <w:rsid w:val="000F4677"/>
    <w:rsid w:val="000F5BE0"/>
    <w:rsid w:val="00100587"/>
    <w:rsid w:val="0010213B"/>
    <w:rsid w:val="0010284E"/>
    <w:rsid w:val="00103122"/>
    <w:rsid w:val="0010336A"/>
    <w:rsid w:val="001050F1"/>
    <w:rsid w:val="00105AEA"/>
    <w:rsid w:val="00106DAF"/>
    <w:rsid w:val="00114ABE"/>
    <w:rsid w:val="00116023"/>
    <w:rsid w:val="00134A51"/>
    <w:rsid w:val="00140727"/>
    <w:rsid w:val="0014508D"/>
    <w:rsid w:val="00160628"/>
    <w:rsid w:val="00161344"/>
    <w:rsid w:val="00162195"/>
    <w:rsid w:val="0016322A"/>
    <w:rsid w:val="00165A21"/>
    <w:rsid w:val="001675C7"/>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5E4B"/>
    <w:rsid w:val="00236F4B"/>
    <w:rsid w:val="00241FC1"/>
    <w:rsid w:val="00242B0D"/>
    <w:rsid w:val="002467C6"/>
    <w:rsid w:val="0024692A"/>
    <w:rsid w:val="00252BBA"/>
    <w:rsid w:val="00253123"/>
    <w:rsid w:val="00264001"/>
    <w:rsid w:val="00266354"/>
    <w:rsid w:val="00267A18"/>
    <w:rsid w:val="00273462"/>
    <w:rsid w:val="0027395B"/>
    <w:rsid w:val="00275854"/>
    <w:rsid w:val="00275B6E"/>
    <w:rsid w:val="00280795"/>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5713"/>
    <w:rsid w:val="003157EC"/>
    <w:rsid w:val="0031686C"/>
    <w:rsid w:val="00316FE0"/>
    <w:rsid w:val="003204D2"/>
    <w:rsid w:val="0032605E"/>
    <w:rsid w:val="003275D1"/>
    <w:rsid w:val="00330B2A"/>
    <w:rsid w:val="00331E17"/>
    <w:rsid w:val="00333063"/>
    <w:rsid w:val="003408E3"/>
    <w:rsid w:val="00343480"/>
    <w:rsid w:val="00345E89"/>
    <w:rsid w:val="00347559"/>
    <w:rsid w:val="003522A1"/>
    <w:rsid w:val="0035254B"/>
    <w:rsid w:val="00353555"/>
    <w:rsid w:val="003565D4"/>
    <w:rsid w:val="003607FB"/>
    <w:rsid w:val="00360FD5"/>
    <w:rsid w:val="003632F3"/>
    <w:rsid w:val="0036340D"/>
    <w:rsid w:val="003634A5"/>
    <w:rsid w:val="00366868"/>
    <w:rsid w:val="00367506"/>
    <w:rsid w:val="00370085"/>
    <w:rsid w:val="003744A7"/>
    <w:rsid w:val="00376235"/>
    <w:rsid w:val="00376658"/>
    <w:rsid w:val="00381FB6"/>
    <w:rsid w:val="003836D3"/>
    <w:rsid w:val="00383A52"/>
    <w:rsid w:val="00391652"/>
    <w:rsid w:val="0039507F"/>
    <w:rsid w:val="003A1260"/>
    <w:rsid w:val="003A295F"/>
    <w:rsid w:val="003A41DD"/>
    <w:rsid w:val="003A5C31"/>
    <w:rsid w:val="003A7033"/>
    <w:rsid w:val="003B1CA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02839"/>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1702"/>
    <w:rsid w:val="0048549E"/>
    <w:rsid w:val="00493347"/>
    <w:rsid w:val="00496092"/>
    <w:rsid w:val="004A08DB"/>
    <w:rsid w:val="004A25D0"/>
    <w:rsid w:val="004A37E8"/>
    <w:rsid w:val="004A7549"/>
    <w:rsid w:val="004B09D4"/>
    <w:rsid w:val="004B309D"/>
    <w:rsid w:val="004B330A"/>
    <w:rsid w:val="004B488B"/>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16BD"/>
    <w:rsid w:val="005841A0"/>
    <w:rsid w:val="00584270"/>
    <w:rsid w:val="00584738"/>
    <w:rsid w:val="005920B0"/>
    <w:rsid w:val="0059380D"/>
    <w:rsid w:val="00595A8F"/>
    <w:rsid w:val="005977C2"/>
    <w:rsid w:val="00597BF2"/>
    <w:rsid w:val="005B134E"/>
    <w:rsid w:val="005B2039"/>
    <w:rsid w:val="005B344F"/>
    <w:rsid w:val="005B3FBA"/>
    <w:rsid w:val="005B4A1D"/>
    <w:rsid w:val="005B5C0D"/>
    <w:rsid w:val="005B674D"/>
    <w:rsid w:val="005B6D9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B62"/>
    <w:rsid w:val="005F6C45"/>
    <w:rsid w:val="006045E0"/>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8"/>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1BFA"/>
    <w:rsid w:val="00742D1F"/>
    <w:rsid w:val="00743EBA"/>
    <w:rsid w:val="00744C8E"/>
    <w:rsid w:val="0074707E"/>
    <w:rsid w:val="007516DC"/>
    <w:rsid w:val="00754B61"/>
    <w:rsid w:val="00754B80"/>
    <w:rsid w:val="00761918"/>
    <w:rsid w:val="00762F03"/>
    <w:rsid w:val="0076413B"/>
    <w:rsid w:val="007648AE"/>
    <w:rsid w:val="00764BF8"/>
    <w:rsid w:val="0076514D"/>
    <w:rsid w:val="00773D59"/>
    <w:rsid w:val="00781003"/>
    <w:rsid w:val="007911FD"/>
    <w:rsid w:val="00793930"/>
    <w:rsid w:val="00793DD1"/>
    <w:rsid w:val="00794FEC"/>
    <w:rsid w:val="007961E5"/>
    <w:rsid w:val="007A003E"/>
    <w:rsid w:val="007A1965"/>
    <w:rsid w:val="007A2ED1"/>
    <w:rsid w:val="007A4BE6"/>
    <w:rsid w:val="007B0042"/>
    <w:rsid w:val="007B0DC6"/>
    <w:rsid w:val="007B1094"/>
    <w:rsid w:val="007B1762"/>
    <w:rsid w:val="007B3320"/>
    <w:rsid w:val="007B5926"/>
    <w:rsid w:val="007C301F"/>
    <w:rsid w:val="007C4540"/>
    <w:rsid w:val="007C65AF"/>
    <w:rsid w:val="007D135D"/>
    <w:rsid w:val="007D39B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35ACD"/>
    <w:rsid w:val="0084093E"/>
    <w:rsid w:val="00841CE1"/>
    <w:rsid w:val="008473D8"/>
    <w:rsid w:val="008528DC"/>
    <w:rsid w:val="00852B8C"/>
    <w:rsid w:val="00854981"/>
    <w:rsid w:val="0085777B"/>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757"/>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69C"/>
    <w:rsid w:val="00911712"/>
    <w:rsid w:val="00911B27"/>
    <w:rsid w:val="009170BE"/>
    <w:rsid w:val="00920B55"/>
    <w:rsid w:val="009262C9"/>
    <w:rsid w:val="00930EB9"/>
    <w:rsid w:val="00933DC7"/>
    <w:rsid w:val="00934B41"/>
    <w:rsid w:val="009418F4"/>
    <w:rsid w:val="00942BBC"/>
    <w:rsid w:val="00944180"/>
    <w:rsid w:val="00944AA0"/>
    <w:rsid w:val="00947DA2"/>
    <w:rsid w:val="00951177"/>
    <w:rsid w:val="009673E8"/>
    <w:rsid w:val="00974DB8"/>
    <w:rsid w:val="00980661"/>
    <w:rsid w:val="0098093B"/>
    <w:rsid w:val="0098572C"/>
    <w:rsid w:val="009876D4"/>
    <w:rsid w:val="009914A5"/>
    <w:rsid w:val="0099548E"/>
    <w:rsid w:val="00996456"/>
    <w:rsid w:val="00996A12"/>
    <w:rsid w:val="00997B0F"/>
    <w:rsid w:val="009A10DD"/>
    <w:rsid w:val="009A1CAD"/>
    <w:rsid w:val="009A3440"/>
    <w:rsid w:val="009A5366"/>
    <w:rsid w:val="009A5832"/>
    <w:rsid w:val="009A6838"/>
    <w:rsid w:val="009B24B5"/>
    <w:rsid w:val="009B4EBC"/>
    <w:rsid w:val="009B5ABB"/>
    <w:rsid w:val="009B73CE"/>
    <w:rsid w:val="009C2461"/>
    <w:rsid w:val="009C6158"/>
    <w:rsid w:val="009C6FE2"/>
    <w:rsid w:val="009C7674"/>
    <w:rsid w:val="009D004A"/>
    <w:rsid w:val="009D1326"/>
    <w:rsid w:val="009D5880"/>
    <w:rsid w:val="009D6592"/>
    <w:rsid w:val="009E1FD4"/>
    <w:rsid w:val="009E3B07"/>
    <w:rsid w:val="009E51D1"/>
    <w:rsid w:val="009E5531"/>
    <w:rsid w:val="009F171E"/>
    <w:rsid w:val="009F3D2F"/>
    <w:rsid w:val="009F7052"/>
    <w:rsid w:val="00A02668"/>
    <w:rsid w:val="00A02801"/>
    <w:rsid w:val="00A04384"/>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1D8F"/>
    <w:rsid w:val="00B25BD5"/>
    <w:rsid w:val="00B34079"/>
    <w:rsid w:val="00B3793A"/>
    <w:rsid w:val="00B401BA"/>
    <w:rsid w:val="00B407E4"/>
    <w:rsid w:val="00B425B6"/>
    <w:rsid w:val="00B42A72"/>
    <w:rsid w:val="00B441AE"/>
    <w:rsid w:val="00B45A65"/>
    <w:rsid w:val="00B45F33"/>
    <w:rsid w:val="00B46D50"/>
    <w:rsid w:val="00B53170"/>
    <w:rsid w:val="00B540FA"/>
    <w:rsid w:val="00B548B9"/>
    <w:rsid w:val="00B56DBE"/>
    <w:rsid w:val="00B62999"/>
    <w:rsid w:val="00B63BE3"/>
    <w:rsid w:val="00B64885"/>
    <w:rsid w:val="00B66810"/>
    <w:rsid w:val="00B72BE3"/>
    <w:rsid w:val="00B73B80"/>
    <w:rsid w:val="00B759BE"/>
    <w:rsid w:val="00B770C7"/>
    <w:rsid w:val="00B80F26"/>
    <w:rsid w:val="00B822BD"/>
    <w:rsid w:val="00B842F4"/>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E5A9C"/>
    <w:rsid w:val="00BF4849"/>
    <w:rsid w:val="00BF4EA7"/>
    <w:rsid w:val="00BF6CDA"/>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5F0B"/>
    <w:rsid w:val="00C4630A"/>
    <w:rsid w:val="00C523F0"/>
    <w:rsid w:val="00C526D2"/>
    <w:rsid w:val="00C53531"/>
    <w:rsid w:val="00C53A91"/>
    <w:rsid w:val="00C5665A"/>
    <w:rsid w:val="00C5794E"/>
    <w:rsid w:val="00C60968"/>
    <w:rsid w:val="00C63D39"/>
    <w:rsid w:val="00C63EDD"/>
    <w:rsid w:val="00C65B36"/>
    <w:rsid w:val="00C7292E"/>
    <w:rsid w:val="00C74E88"/>
    <w:rsid w:val="00C80924"/>
    <w:rsid w:val="00C8286B"/>
    <w:rsid w:val="00C86D95"/>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5A78"/>
    <w:rsid w:val="00CD7345"/>
    <w:rsid w:val="00CE340C"/>
    <w:rsid w:val="00CE372E"/>
    <w:rsid w:val="00CF0A1B"/>
    <w:rsid w:val="00CF19F6"/>
    <w:rsid w:val="00CF2F4F"/>
    <w:rsid w:val="00CF536D"/>
    <w:rsid w:val="00D00072"/>
    <w:rsid w:val="00D00CBB"/>
    <w:rsid w:val="00D02E9D"/>
    <w:rsid w:val="00D105C9"/>
    <w:rsid w:val="00D10CB8"/>
    <w:rsid w:val="00D12806"/>
    <w:rsid w:val="00D12D44"/>
    <w:rsid w:val="00D15018"/>
    <w:rsid w:val="00D158AC"/>
    <w:rsid w:val="00D1694C"/>
    <w:rsid w:val="00D17DF3"/>
    <w:rsid w:val="00D20F5E"/>
    <w:rsid w:val="00D23B76"/>
    <w:rsid w:val="00D24B4A"/>
    <w:rsid w:val="00D379A3"/>
    <w:rsid w:val="00D45FF3"/>
    <w:rsid w:val="00D4604E"/>
    <w:rsid w:val="00D512CF"/>
    <w:rsid w:val="00D51B30"/>
    <w:rsid w:val="00D5214D"/>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25E4"/>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76CFE"/>
    <w:rsid w:val="00E7738D"/>
    <w:rsid w:val="00E81660"/>
    <w:rsid w:val="00E854FE"/>
    <w:rsid w:val="00E906CC"/>
    <w:rsid w:val="00E90DCF"/>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3508"/>
    <w:rsid w:val="00ED5ADF"/>
    <w:rsid w:val="00ED5E0B"/>
    <w:rsid w:val="00EE37B6"/>
    <w:rsid w:val="00EF0F45"/>
    <w:rsid w:val="00EF7463"/>
    <w:rsid w:val="00EF7971"/>
    <w:rsid w:val="00F002EF"/>
    <w:rsid w:val="00F01EE9"/>
    <w:rsid w:val="00F04900"/>
    <w:rsid w:val="00F065A4"/>
    <w:rsid w:val="00F126B9"/>
    <w:rsid w:val="00F12715"/>
    <w:rsid w:val="00F13254"/>
    <w:rsid w:val="00F144D5"/>
    <w:rsid w:val="00F146F0"/>
    <w:rsid w:val="00F15039"/>
    <w:rsid w:val="00F15200"/>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616E"/>
    <w:rsid w:val="00F672B2"/>
    <w:rsid w:val="00F83973"/>
    <w:rsid w:val="00F87FA3"/>
    <w:rsid w:val="00F93D8C"/>
    <w:rsid w:val="00FA3102"/>
    <w:rsid w:val="00FA3373"/>
    <w:rsid w:val="00FA48D4"/>
    <w:rsid w:val="00FA54FA"/>
    <w:rsid w:val="00FA6D39"/>
    <w:rsid w:val="00FB227E"/>
    <w:rsid w:val="00FB3D61"/>
    <w:rsid w:val="00FB44CE"/>
    <w:rsid w:val="00FB5009"/>
    <w:rsid w:val="00FB51B5"/>
    <w:rsid w:val="00FB76AB"/>
    <w:rsid w:val="00FD03FE"/>
    <w:rsid w:val="00FD126E"/>
    <w:rsid w:val="00FD2EBC"/>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656F1"/>
  <w15:docId w15:val="{0D100DAA-5AC2-49BF-9A97-A4B4DF30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26"/>
    <w:pPr>
      <w:spacing w:line="480" w:lineRule="auto"/>
      <w:jc w:val="both"/>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241FC1"/>
    <w:pPr>
      <w:spacing w:line="240" w:lineRule="auto"/>
      <w:jc w:val="left"/>
    </w:pPr>
    <w:rPr>
      <w:sz w:val="20"/>
      <w:szCs w:val="20"/>
    </w:rPr>
  </w:style>
  <w:style w:type="character" w:customStyle="1" w:styleId="FootnoteTextChar">
    <w:name w:val="Footnote Text Char"/>
    <w:basedOn w:val="DefaultParagraphFont"/>
    <w:link w:val="FootnoteText"/>
    <w:uiPriority w:val="99"/>
    <w:rsid w:val="00241FC1"/>
  </w:style>
  <w:style w:type="character" w:styleId="FootnoteReference">
    <w:name w:val="footnote reference"/>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rsid w:val="003A5C31"/>
    <w:rPr>
      <w:color w:val="0000FF"/>
      <w:u w:val="single"/>
    </w:rPr>
  </w:style>
  <w:style w:type="character" w:styleId="CommentReference">
    <w:name w:val="annotation reference"/>
    <w:uiPriority w:val="99"/>
    <w:rsid w:val="005B6D9D"/>
    <w:rPr>
      <w:rFonts w:cs="Times New Roman"/>
      <w:sz w:val="16"/>
      <w:szCs w:val="16"/>
    </w:rPr>
  </w:style>
  <w:style w:type="paragraph" w:styleId="CommentText">
    <w:name w:val="annotation text"/>
    <w:basedOn w:val="Normal"/>
    <w:link w:val="CommentTextChar"/>
    <w:rsid w:val="0091169C"/>
    <w:rPr>
      <w:sz w:val="20"/>
      <w:szCs w:val="20"/>
    </w:rPr>
  </w:style>
  <w:style w:type="character" w:customStyle="1" w:styleId="CommentTextChar">
    <w:name w:val="Comment Text Char"/>
    <w:basedOn w:val="DefaultParagraphFont"/>
    <w:link w:val="CommentText"/>
    <w:rsid w:val="0091169C"/>
  </w:style>
  <w:style w:type="paragraph" w:styleId="CommentSubject">
    <w:name w:val="annotation subject"/>
    <w:basedOn w:val="CommentText"/>
    <w:next w:val="CommentText"/>
    <w:link w:val="CommentSubjectChar"/>
    <w:rsid w:val="0091169C"/>
    <w:rPr>
      <w:b/>
      <w:bCs/>
    </w:rPr>
  </w:style>
  <w:style w:type="character" w:customStyle="1" w:styleId="CommentSubjectChar">
    <w:name w:val="Comment Subject Char"/>
    <w:link w:val="CommentSubject"/>
    <w:rsid w:val="0091169C"/>
    <w:rPr>
      <w:b/>
      <w:bCs/>
    </w:rPr>
  </w:style>
  <w:style w:type="paragraph" w:styleId="BalloonText">
    <w:name w:val="Balloon Text"/>
    <w:basedOn w:val="Normal"/>
    <w:link w:val="BalloonTextChar"/>
    <w:rsid w:val="0091169C"/>
    <w:pPr>
      <w:spacing w:line="240" w:lineRule="auto"/>
    </w:pPr>
    <w:rPr>
      <w:rFonts w:ascii="Tahoma" w:hAnsi="Tahoma" w:cs="Tahoma"/>
      <w:sz w:val="16"/>
      <w:szCs w:val="16"/>
    </w:rPr>
  </w:style>
  <w:style w:type="character" w:customStyle="1" w:styleId="BalloonTextChar">
    <w:name w:val="Balloon Text Char"/>
    <w:link w:val="BalloonText"/>
    <w:rsid w:val="0091169C"/>
    <w:rPr>
      <w:rFonts w:ascii="Tahoma" w:hAnsi="Tahoma" w:cs="Tahoma"/>
      <w:sz w:val="16"/>
      <w:szCs w:val="16"/>
    </w:rPr>
  </w:style>
  <w:style w:type="character" w:customStyle="1" w:styleId="orcid-id">
    <w:name w:val="orcid-id"/>
    <w:rsid w:val="007D39BD"/>
  </w:style>
  <w:style w:type="character" w:styleId="FollowedHyperlink">
    <w:name w:val="FollowedHyperlink"/>
    <w:rsid w:val="00D460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94118">
      <w:bodyDiv w:val="1"/>
      <w:marLeft w:val="0"/>
      <w:marRight w:val="0"/>
      <w:marTop w:val="0"/>
      <w:marBottom w:val="0"/>
      <w:divBdr>
        <w:top w:val="none" w:sz="0" w:space="0" w:color="auto"/>
        <w:left w:val="none" w:sz="0" w:space="0" w:color="auto"/>
        <w:bottom w:val="none" w:sz="0" w:space="0" w:color="auto"/>
        <w:right w:val="none" w:sz="0" w:space="0" w:color="auto"/>
      </w:divBdr>
      <w:divsChild>
        <w:div w:id="1539901217">
          <w:marLeft w:val="0"/>
          <w:marRight w:val="0"/>
          <w:marTop w:val="0"/>
          <w:marBottom w:val="0"/>
          <w:divBdr>
            <w:top w:val="none" w:sz="0" w:space="0" w:color="auto"/>
            <w:left w:val="none" w:sz="0" w:space="0" w:color="auto"/>
            <w:bottom w:val="none" w:sz="0" w:space="0" w:color="auto"/>
            <w:right w:val="none" w:sz="0" w:space="0" w:color="auto"/>
          </w:divBdr>
          <w:divsChild>
            <w:div w:id="14248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1826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5962220">
      <w:bodyDiv w:val="1"/>
      <w:marLeft w:val="0"/>
      <w:marRight w:val="0"/>
      <w:marTop w:val="0"/>
      <w:marBottom w:val="0"/>
      <w:divBdr>
        <w:top w:val="none" w:sz="0" w:space="0" w:color="auto"/>
        <w:left w:val="none" w:sz="0" w:space="0" w:color="auto"/>
        <w:bottom w:val="none" w:sz="0" w:space="0" w:color="auto"/>
        <w:right w:val="none" w:sz="0" w:space="0" w:color="auto"/>
      </w:divBdr>
    </w:div>
    <w:div w:id="1049188616">
      <w:bodyDiv w:val="1"/>
      <w:marLeft w:val="0"/>
      <w:marRight w:val="0"/>
      <w:marTop w:val="0"/>
      <w:marBottom w:val="0"/>
      <w:divBdr>
        <w:top w:val="none" w:sz="0" w:space="0" w:color="auto"/>
        <w:left w:val="none" w:sz="0" w:space="0" w:color="auto"/>
        <w:bottom w:val="none" w:sz="0" w:space="0" w:color="auto"/>
        <w:right w:val="none" w:sz="0" w:space="0" w:color="auto"/>
      </w:divBdr>
    </w:div>
    <w:div w:id="1251506814">
      <w:bodyDiv w:val="1"/>
      <w:marLeft w:val="0"/>
      <w:marRight w:val="0"/>
      <w:marTop w:val="0"/>
      <w:marBottom w:val="0"/>
      <w:divBdr>
        <w:top w:val="none" w:sz="0" w:space="0" w:color="auto"/>
        <w:left w:val="none" w:sz="0" w:space="0" w:color="auto"/>
        <w:bottom w:val="none" w:sz="0" w:space="0" w:color="auto"/>
        <w:right w:val="none" w:sz="0" w:space="0" w:color="auto"/>
      </w:divBdr>
    </w:div>
    <w:div w:id="1684866985">
      <w:bodyDiv w:val="1"/>
      <w:marLeft w:val="0"/>
      <w:marRight w:val="0"/>
      <w:marTop w:val="0"/>
      <w:marBottom w:val="0"/>
      <w:divBdr>
        <w:top w:val="none" w:sz="0" w:space="0" w:color="auto"/>
        <w:left w:val="none" w:sz="0" w:space="0" w:color="auto"/>
        <w:bottom w:val="none" w:sz="0" w:space="0" w:color="auto"/>
        <w:right w:val="none" w:sz="0" w:space="0" w:color="auto"/>
      </w:divBdr>
    </w:div>
    <w:div w:id="21283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ra.org.uk/sra/consultations" TargetMode="External"/><Relationship Id="rId1" Type="http://schemas.openxmlformats.org/officeDocument/2006/relationships/hyperlink" Target="https://rapidbi.com/history-of-smart-objec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Hand\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9BB11-3B59-4731-A648-609084A6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7</TotalTime>
  <Pages>14</Pages>
  <Words>2826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17936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JamesHand</dc:creator>
  <cp:lastModifiedBy>Paul Burns</cp:lastModifiedBy>
  <cp:revision>7</cp:revision>
  <cp:lastPrinted>2017-07-13T11:12:00Z</cp:lastPrinted>
  <dcterms:created xsi:type="dcterms:W3CDTF">2018-03-29T09:00:00Z</dcterms:created>
  <dcterms:modified xsi:type="dcterms:W3CDTF">2018-04-04T12:49:00Z</dcterms:modified>
</cp:coreProperties>
</file>