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AB7DC" w14:textId="77777777" w:rsidR="00855965" w:rsidRDefault="005B4FD0" w:rsidP="00855965">
      <w:pPr>
        <w:spacing w:after="0" w:line="480" w:lineRule="auto"/>
        <w:jc w:val="center"/>
        <w:rPr>
          <w:rFonts w:ascii="Palatino Linotype" w:hAnsi="Palatino Linotype"/>
          <w:sz w:val="24"/>
          <w:szCs w:val="24"/>
        </w:rPr>
      </w:pPr>
      <w:r w:rsidRPr="005B4FD0">
        <w:rPr>
          <w:rFonts w:ascii="Palatino Linotype" w:hAnsi="Palatino Linotype"/>
          <w:sz w:val="24"/>
          <w:szCs w:val="24"/>
        </w:rPr>
        <w:t>GREENPRINT FOR A CLIMATE JUSTICE CLINIC:</w:t>
      </w:r>
    </w:p>
    <w:p w14:paraId="5199FE66" w14:textId="0BEFCD7C" w:rsidR="00520526" w:rsidRPr="005B4FD0" w:rsidRDefault="005B4FD0" w:rsidP="00855965">
      <w:pPr>
        <w:spacing w:after="0" w:line="480" w:lineRule="auto"/>
        <w:jc w:val="center"/>
        <w:rPr>
          <w:rFonts w:ascii="Palatino Linotype" w:hAnsi="Palatino Linotype"/>
          <w:sz w:val="24"/>
          <w:szCs w:val="24"/>
        </w:rPr>
      </w:pPr>
      <w:r w:rsidRPr="005B4FD0">
        <w:rPr>
          <w:rFonts w:ascii="Palatino Linotype" w:hAnsi="Palatino Linotype"/>
          <w:sz w:val="24"/>
          <w:szCs w:val="24"/>
        </w:rPr>
        <w:t>LAW SCHOOLS’ MOST SIGNIFICANT ACCESS TO JUSTICE CHALLENGE</w:t>
      </w:r>
    </w:p>
    <w:p w14:paraId="385C822E" w14:textId="70EAD653" w:rsidR="00520526" w:rsidRPr="005B4FD0" w:rsidRDefault="00520526" w:rsidP="005B4FD0">
      <w:pPr>
        <w:spacing w:after="0" w:line="480" w:lineRule="auto"/>
        <w:jc w:val="both"/>
        <w:rPr>
          <w:rFonts w:ascii="Palatino Linotype" w:hAnsi="Palatino Linotype"/>
          <w:sz w:val="24"/>
          <w:szCs w:val="24"/>
        </w:rPr>
      </w:pPr>
      <w:r w:rsidRPr="005B4FD0">
        <w:rPr>
          <w:rFonts w:ascii="Palatino Linotype" w:hAnsi="Palatino Linotype"/>
          <w:sz w:val="24"/>
          <w:szCs w:val="24"/>
        </w:rPr>
        <w:t>Adrian Evans</w:t>
      </w:r>
      <w:r w:rsidR="005B4FD0">
        <w:rPr>
          <w:rFonts w:ascii="Palatino Linotype" w:hAnsi="Palatino Linotype"/>
          <w:sz w:val="24"/>
          <w:szCs w:val="24"/>
        </w:rPr>
        <w:t xml:space="preserve">, </w:t>
      </w:r>
      <w:r w:rsidRPr="005B4FD0">
        <w:rPr>
          <w:rFonts w:ascii="Palatino Linotype" w:hAnsi="Palatino Linotype"/>
          <w:sz w:val="24"/>
          <w:szCs w:val="24"/>
        </w:rPr>
        <w:t>Monash Law School</w:t>
      </w:r>
      <w:r w:rsidR="005B4FD0" w:rsidRPr="005B4FD0">
        <w:rPr>
          <w:rFonts w:ascii="Palatino Linotype" w:hAnsi="Palatino Linotype"/>
          <w:sz w:val="24"/>
          <w:szCs w:val="24"/>
        </w:rPr>
        <w:t>, Australia</w:t>
      </w:r>
    </w:p>
    <w:p w14:paraId="464E925D" w14:textId="35FF55F9" w:rsidR="00520526" w:rsidRPr="005B4FD0" w:rsidRDefault="00520526" w:rsidP="005B4FD0">
      <w:pPr>
        <w:spacing w:line="480" w:lineRule="auto"/>
        <w:jc w:val="both"/>
        <w:rPr>
          <w:rFonts w:ascii="Palatino Linotype" w:hAnsi="Palatino Linotype"/>
          <w:sz w:val="24"/>
          <w:szCs w:val="24"/>
        </w:rPr>
      </w:pPr>
    </w:p>
    <w:p w14:paraId="046B172D" w14:textId="63249A39" w:rsidR="005B21F8" w:rsidRPr="005B4FD0" w:rsidRDefault="00A6625D" w:rsidP="005B4FD0">
      <w:pPr>
        <w:spacing w:after="0" w:line="480" w:lineRule="auto"/>
        <w:jc w:val="both"/>
        <w:rPr>
          <w:rFonts w:ascii="Palatino Linotype" w:hAnsi="Palatino Linotype"/>
          <w:b/>
          <w:sz w:val="24"/>
          <w:szCs w:val="24"/>
        </w:rPr>
      </w:pPr>
      <w:r w:rsidRPr="005B4FD0">
        <w:rPr>
          <w:rFonts w:ascii="Palatino Linotype" w:hAnsi="Palatino Linotype"/>
          <w:b/>
          <w:sz w:val="24"/>
          <w:szCs w:val="24"/>
        </w:rPr>
        <w:t>Introduction</w:t>
      </w:r>
    </w:p>
    <w:p w14:paraId="59B45A38" w14:textId="2E5705B7" w:rsidR="00026F6B" w:rsidRPr="005B4FD0" w:rsidRDefault="00C82D9F" w:rsidP="005B4FD0">
      <w:pPr>
        <w:spacing w:line="480" w:lineRule="auto"/>
        <w:jc w:val="both"/>
        <w:rPr>
          <w:rFonts w:ascii="Palatino Linotype" w:hAnsi="Palatino Linotype"/>
          <w:sz w:val="24"/>
          <w:szCs w:val="24"/>
        </w:rPr>
      </w:pPr>
      <w:r w:rsidRPr="005B4FD0">
        <w:rPr>
          <w:rFonts w:ascii="Palatino Linotype" w:hAnsi="Palatino Linotype"/>
          <w:sz w:val="24"/>
          <w:szCs w:val="24"/>
        </w:rPr>
        <w:t xml:space="preserve">The obvious existential challenge posed by global warming is also an access to justice challenge. </w:t>
      </w:r>
      <w:r w:rsidR="00CF0EDD" w:rsidRPr="005B4FD0">
        <w:rPr>
          <w:rFonts w:ascii="Palatino Linotype" w:hAnsi="Palatino Linotype"/>
          <w:sz w:val="24"/>
          <w:szCs w:val="24"/>
        </w:rPr>
        <w:t xml:space="preserve">As </w:t>
      </w:r>
      <w:r w:rsidR="00026F6B" w:rsidRPr="005B4FD0">
        <w:rPr>
          <w:rFonts w:ascii="Palatino Linotype" w:hAnsi="Palatino Linotype"/>
          <w:sz w:val="24"/>
          <w:szCs w:val="24"/>
        </w:rPr>
        <w:t xml:space="preserve">natural </w:t>
      </w:r>
      <w:r w:rsidR="00CF0EDD" w:rsidRPr="005B4FD0">
        <w:rPr>
          <w:rFonts w:ascii="Palatino Linotype" w:hAnsi="Palatino Linotype"/>
          <w:sz w:val="24"/>
          <w:szCs w:val="24"/>
        </w:rPr>
        <w:t xml:space="preserve">resource pressures caused by larger populations </w:t>
      </w:r>
      <w:proofErr w:type="gramStart"/>
      <w:r w:rsidR="00CF0EDD" w:rsidRPr="005B4FD0">
        <w:rPr>
          <w:rFonts w:ascii="Palatino Linotype" w:hAnsi="Palatino Linotype"/>
          <w:sz w:val="24"/>
          <w:szCs w:val="24"/>
        </w:rPr>
        <w:t xml:space="preserve">are </w:t>
      </w:r>
      <w:r w:rsidR="00026F6B" w:rsidRPr="005B4FD0">
        <w:rPr>
          <w:rFonts w:ascii="Palatino Linotype" w:hAnsi="Palatino Linotype"/>
          <w:sz w:val="24"/>
          <w:szCs w:val="24"/>
        </w:rPr>
        <w:t>exacerbated</w:t>
      </w:r>
      <w:proofErr w:type="gramEnd"/>
      <w:r w:rsidR="00CF0EDD" w:rsidRPr="005B4FD0">
        <w:rPr>
          <w:rFonts w:ascii="Palatino Linotype" w:hAnsi="Palatino Linotype"/>
          <w:sz w:val="24"/>
          <w:szCs w:val="24"/>
        </w:rPr>
        <w:t xml:space="preserve"> by climate catastrophes, </w:t>
      </w:r>
      <w:r w:rsidR="00026F6B" w:rsidRPr="005B4FD0">
        <w:rPr>
          <w:rFonts w:ascii="Palatino Linotype" w:hAnsi="Palatino Linotype"/>
          <w:sz w:val="24"/>
          <w:szCs w:val="24"/>
        </w:rPr>
        <w:t xml:space="preserve">corruption increases, law and </w:t>
      </w:r>
      <w:r w:rsidR="00CF0EDD" w:rsidRPr="005B4FD0">
        <w:rPr>
          <w:rFonts w:ascii="Palatino Linotype" w:hAnsi="Palatino Linotype"/>
          <w:sz w:val="24"/>
          <w:szCs w:val="24"/>
        </w:rPr>
        <w:t>legal systems lose impact</w:t>
      </w:r>
      <w:r w:rsidR="00026F6B" w:rsidRPr="005B4FD0">
        <w:rPr>
          <w:rFonts w:ascii="Palatino Linotype" w:hAnsi="Palatino Linotype"/>
          <w:sz w:val="24"/>
          <w:szCs w:val="24"/>
        </w:rPr>
        <w:t xml:space="preserve"> and respect for the rule of law heads downhill. Arguably, as this descent becomes established, more </w:t>
      </w:r>
      <w:r w:rsidR="004B0FAE" w:rsidRPr="005B4FD0">
        <w:rPr>
          <w:rFonts w:ascii="Palatino Linotype" w:hAnsi="Palatino Linotype"/>
          <w:sz w:val="24"/>
          <w:szCs w:val="24"/>
        </w:rPr>
        <w:t>individuals</w:t>
      </w:r>
      <w:r w:rsidR="00026F6B" w:rsidRPr="005B4FD0">
        <w:rPr>
          <w:rFonts w:ascii="Palatino Linotype" w:hAnsi="Palatino Linotype"/>
          <w:sz w:val="24"/>
          <w:szCs w:val="24"/>
        </w:rPr>
        <w:t xml:space="preserve"> </w:t>
      </w:r>
      <w:r w:rsidR="004B0FAE" w:rsidRPr="005B4FD0">
        <w:rPr>
          <w:rFonts w:ascii="Palatino Linotype" w:hAnsi="Palatino Linotype"/>
          <w:sz w:val="24"/>
          <w:szCs w:val="24"/>
        </w:rPr>
        <w:t xml:space="preserve">and more groups </w:t>
      </w:r>
      <w:r w:rsidR="00026F6B" w:rsidRPr="005B4FD0">
        <w:rPr>
          <w:rFonts w:ascii="Palatino Linotype" w:hAnsi="Palatino Linotype"/>
          <w:sz w:val="24"/>
          <w:szCs w:val="24"/>
        </w:rPr>
        <w:t xml:space="preserve">turn away from law and legitimate enterprise and towards terrorism, organised crime and </w:t>
      </w:r>
      <w:r w:rsidR="008508F3" w:rsidRPr="005B4FD0">
        <w:rPr>
          <w:rFonts w:ascii="Palatino Linotype" w:hAnsi="Palatino Linotype"/>
          <w:sz w:val="24"/>
          <w:szCs w:val="24"/>
        </w:rPr>
        <w:t xml:space="preserve">populist or </w:t>
      </w:r>
      <w:r w:rsidR="00026F6B" w:rsidRPr="005B4FD0">
        <w:rPr>
          <w:rFonts w:ascii="Palatino Linotype" w:hAnsi="Palatino Linotype"/>
          <w:sz w:val="24"/>
          <w:szCs w:val="24"/>
        </w:rPr>
        <w:t>angry self-interest.</w:t>
      </w:r>
      <w:r w:rsidR="00CF0EDD" w:rsidRPr="005B4FD0">
        <w:rPr>
          <w:rFonts w:ascii="Palatino Linotype" w:hAnsi="Palatino Linotype"/>
          <w:sz w:val="24"/>
          <w:szCs w:val="24"/>
        </w:rPr>
        <w:t xml:space="preserve"> </w:t>
      </w:r>
    </w:p>
    <w:p w14:paraId="7FDEE6A3" w14:textId="1E17E834" w:rsidR="00026F6B" w:rsidRPr="005B4FD0" w:rsidRDefault="00026F6B" w:rsidP="005B4FD0">
      <w:pPr>
        <w:spacing w:line="480" w:lineRule="auto"/>
        <w:jc w:val="both"/>
        <w:rPr>
          <w:rFonts w:ascii="Palatino Linotype" w:hAnsi="Palatino Linotype"/>
          <w:sz w:val="24"/>
          <w:szCs w:val="24"/>
        </w:rPr>
      </w:pPr>
      <w:r w:rsidRPr="005B4FD0">
        <w:rPr>
          <w:rFonts w:ascii="Palatino Linotype" w:hAnsi="Palatino Linotype"/>
          <w:sz w:val="24"/>
          <w:szCs w:val="24"/>
        </w:rPr>
        <w:t>Despite the Paris Accords of 2015</w:t>
      </w:r>
      <w:r w:rsidRPr="005B4FD0">
        <w:rPr>
          <w:rStyle w:val="FootnoteReference"/>
          <w:rFonts w:ascii="Palatino Linotype" w:hAnsi="Palatino Linotype"/>
          <w:sz w:val="24"/>
          <w:szCs w:val="24"/>
        </w:rPr>
        <w:footnoteReference w:id="1"/>
      </w:r>
      <w:r w:rsidRPr="005B4FD0">
        <w:rPr>
          <w:rFonts w:ascii="Palatino Linotype" w:hAnsi="Palatino Linotype"/>
          <w:sz w:val="24"/>
          <w:szCs w:val="24"/>
        </w:rPr>
        <w:t xml:space="preserve">, there is little prospect of </w:t>
      </w:r>
      <w:r w:rsidR="00392676" w:rsidRPr="005B4FD0">
        <w:rPr>
          <w:rFonts w:ascii="Palatino Linotype" w:hAnsi="Palatino Linotype"/>
          <w:sz w:val="24"/>
          <w:szCs w:val="24"/>
        </w:rPr>
        <w:t>willing</w:t>
      </w:r>
      <w:r w:rsidRPr="005B4FD0">
        <w:rPr>
          <w:rFonts w:ascii="Palatino Linotype" w:hAnsi="Palatino Linotype"/>
          <w:sz w:val="24"/>
          <w:szCs w:val="24"/>
        </w:rPr>
        <w:t xml:space="preserve"> government action in defence of climate, at least in the limited time available. Global emissions are continuing to rise absolutely and per capita, year by year.</w:t>
      </w:r>
      <w:r w:rsidRPr="005B4FD0">
        <w:rPr>
          <w:rStyle w:val="FootnoteReference"/>
          <w:rFonts w:ascii="Palatino Linotype" w:hAnsi="Palatino Linotype"/>
          <w:sz w:val="24"/>
          <w:szCs w:val="24"/>
        </w:rPr>
        <w:footnoteReference w:id="2"/>
      </w:r>
      <w:r w:rsidRPr="005B4FD0">
        <w:rPr>
          <w:rFonts w:ascii="Palatino Linotype" w:hAnsi="Palatino Linotype"/>
          <w:sz w:val="24"/>
          <w:szCs w:val="24"/>
        </w:rPr>
        <w:t xml:space="preserve"> </w:t>
      </w:r>
      <w:r w:rsidR="004B0FAE" w:rsidRPr="005B4FD0">
        <w:rPr>
          <w:rFonts w:ascii="Palatino Linotype" w:hAnsi="Palatino Linotype"/>
          <w:sz w:val="24"/>
          <w:szCs w:val="24"/>
        </w:rPr>
        <w:t>Austra</w:t>
      </w:r>
      <w:r w:rsidR="008508F3" w:rsidRPr="005B4FD0">
        <w:rPr>
          <w:rFonts w:ascii="Palatino Linotype" w:hAnsi="Palatino Linotype"/>
          <w:sz w:val="24"/>
          <w:szCs w:val="24"/>
        </w:rPr>
        <w:t>lia is among the ‘leaders’ here,</w:t>
      </w:r>
      <w:r w:rsidR="004B0FAE" w:rsidRPr="005B4FD0">
        <w:rPr>
          <w:rStyle w:val="FootnoteReference"/>
          <w:rFonts w:ascii="Palatino Linotype" w:hAnsi="Palatino Linotype"/>
          <w:sz w:val="24"/>
          <w:szCs w:val="24"/>
        </w:rPr>
        <w:footnoteReference w:id="3"/>
      </w:r>
      <w:r w:rsidR="004B0FAE" w:rsidRPr="005B4FD0">
        <w:rPr>
          <w:rFonts w:ascii="Palatino Linotype" w:hAnsi="Palatino Linotype"/>
          <w:sz w:val="24"/>
          <w:szCs w:val="24"/>
        </w:rPr>
        <w:t xml:space="preserve"> </w:t>
      </w:r>
      <w:r w:rsidR="008508F3" w:rsidRPr="005B4FD0">
        <w:rPr>
          <w:rFonts w:ascii="Palatino Linotype" w:hAnsi="Palatino Linotype"/>
          <w:sz w:val="24"/>
          <w:szCs w:val="24"/>
        </w:rPr>
        <w:t xml:space="preserve">with no </w:t>
      </w:r>
      <w:r w:rsidR="00775DB3" w:rsidRPr="005B4FD0">
        <w:rPr>
          <w:rFonts w:ascii="Palatino Linotype" w:hAnsi="Palatino Linotype"/>
          <w:sz w:val="24"/>
          <w:szCs w:val="24"/>
        </w:rPr>
        <w:t>unconditional commitment</w:t>
      </w:r>
      <w:r w:rsidR="008508F3" w:rsidRPr="005B4FD0">
        <w:rPr>
          <w:rFonts w:ascii="Palatino Linotype" w:hAnsi="Palatino Linotype"/>
          <w:sz w:val="24"/>
          <w:szCs w:val="24"/>
        </w:rPr>
        <w:t xml:space="preserve"> in either major party to make the </w:t>
      </w:r>
      <w:r w:rsidR="00775DB3" w:rsidRPr="005B4FD0">
        <w:rPr>
          <w:rFonts w:ascii="Palatino Linotype" w:hAnsi="Palatino Linotype"/>
          <w:sz w:val="24"/>
          <w:szCs w:val="24"/>
        </w:rPr>
        <w:t>necessary and</w:t>
      </w:r>
      <w:r w:rsidR="008508F3" w:rsidRPr="005B4FD0">
        <w:rPr>
          <w:rFonts w:ascii="Palatino Linotype" w:hAnsi="Palatino Linotype"/>
          <w:sz w:val="24"/>
          <w:szCs w:val="24"/>
        </w:rPr>
        <w:t xml:space="preserve"> </w:t>
      </w:r>
      <w:r w:rsidR="00775DB3" w:rsidRPr="005B4FD0">
        <w:rPr>
          <w:rFonts w:ascii="Palatino Linotype" w:hAnsi="Palatino Linotype"/>
          <w:sz w:val="24"/>
          <w:szCs w:val="24"/>
        </w:rPr>
        <w:t>profound cuts to emissions, significantly beyond those agreed to in Paris.</w:t>
      </w:r>
      <w:r w:rsidR="00775DB3" w:rsidRPr="005B4FD0">
        <w:rPr>
          <w:rStyle w:val="FootnoteReference"/>
          <w:rFonts w:ascii="Palatino Linotype" w:hAnsi="Palatino Linotype"/>
          <w:sz w:val="24"/>
          <w:szCs w:val="24"/>
        </w:rPr>
        <w:footnoteReference w:id="4"/>
      </w:r>
      <w:r w:rsidR="00775DB3" w:rsidRPr="005B4FD0">
        <w:rPr>
          <w:rFonts w:ascii="Palatino Linotype" w:hAnsi="Palatino Linotype"/>
          <w:sz w:val="24"/>
          <w:szCs w:val="24"/>
        </w:rPr>
        <w:t xml:space="preserve"> </w:t>
      </w:r>
      <w:r w:rsidRPr="005B4FD0">
        <w:rPr>
          <w:rFonts w:ascii="Palatino Linotype" w:hAnsi="Palatino Linotype"/>
          <w:sz w:val="24"/>
          <w:szCs w:val="24"/>
        </w:rPr>
        <w:t xml:space="preserve">Populist and conservative forces are still in a position to </w:t>
      </w:r>
      <w:proofErr w:type="gramStart"/>
      <w:r w:rsidRPr="005B4FD0">
        <w:rPr>
          <w:rFonts w:ascii="Palatino Linotype" w:hAnsi="Palatino Linotype"/>
          <w:sz w:val="24"/>
          <w:szCs w:val="24"/>
        </w:rPr>
        <w:t>frustrate and delay</w:t>
      </w:r>
      <w:proofErr w:type="gramEnd"/>
      <w:r w:rsidRPr="005B4FD0">
        <w:rPr>
          <w:rFonts w:ascii="Palatino Linotype" w:hAnsi="Palatino Linotype"/>
          <w:sz w:val="24"/>
          <w:szCs w:val="24"/>
        </w:rPr>
        <w:t xml:space="preserve"> and remain unconvinced by or hostile to broad </w:t>
      </w:r>
      <w:r w:rsidRPr="005B4FD0">
        <w:rPr>
          <w:rFonts w:ascii="Palatino Linotype" w:hAnsi="Palatino Linotype"/>
          <w:sz w:val="24"/>
          <w:szCs w:val="24"/>
        </w:rPr>
        <w:lastRenderedPageBreak/>
        <w:t>and penetrating concepts of sustainability</w:t>
      </w:r>
      <w:r w:rsidR="004B0FAE" w:rsidRPr="005B4FD0">
        <w:rPr>
          <w:rFonts w:ascii="Palatino Linotype" w:hAnsi="Palatino Linotype"/>
          <w:sz w:val="24"/>
          <w:szCs w:val="24"/>
        </w:rPr>
        <w:t xml:space="preserve">. Those who hold these opinions </w:t>
      </w:r>
      <w:r w:rsidR="00775DB3" w:rsidRPr="005B4FD0">
        <w:rPr>
          <w:rFonts w:ascii="Palatino Linotype" w:hAnsi="Palatino Linotype"/>
          <w:sz w:val="24"/>
          <w:szCs w:val="24"/>
        </w:rPr>
        <w:t xml:space="preserve">are strong in both centrist Australian parties </w:t>
      </w:r>
      <w:r w:rsidR="004B0FAE" w:rsidRPr="005B4FD0">
        <w:rPr>
          <w:rFonts w:ascii="Palatino Linotype" w:hAnsi="Palatino Linotype"/>
          <w:sz w:val="24"/>
          <w:szCs w:val="24"/>
        </w:rPr>
        <w:t xml:space="preserve">have a </w:t>
      </w:r>
      <w:r w:rsidRPr="005B4FD0">
        <w:rPr>
          <w:rFonts w:ascii="Palatino Linotype" w:hAnsi="Palatino Linotype"/>
          <w:sz w:val="24"/>
          <w:szCs w:val="24"/>
        </w:rPr>
        <w:t>deep-seated confidence in the fundamental neo-liberal passion for unrestricted economic growth</w:t>
      </w:r>
      <w:r w:rsidR="004B0FAE" w:rsidRPr="005B4FD0">
        <w:rPr>
          <w:rFonts w:ascii="Palatino Linotype" w:hAnsi="Palatino Linotype"/>
          <w:sz w:val="24"/>
          <w:szCs w:val="24"/>
        </w:rPr>
        <w:t xml:space="preserve">; and they may also just be more excited </w:t>
      </w:r>
      <w:r w:rsidR="007822BA" w:rsidRPr="005B4FD0">
        <w:rPr>
          <w:rFonts w:ascii="Palatino Linotype" w:hAnsi="Palatino Linotype"/>
          <w:sz w:val="24"/>
          <w:szCs w:val="24"/>
        </w:rPr>
        <w:t xml:space="preserve">or even thrilled, </w:t>
      </w:r>
      <w:r w:rsidR="004B0FAE" w:rsidRPr="005B4FD0">
        <w:rPr>
          <w:rFonts w:ascii="Palatino Linotype" w:hAnsi="Palatino Linotype"/>
          <w:sz w:val="24"/>
          <w:szCs w:val="24"/>
        </w:rPr>
        <w:t xml:space="preserve">by the </w:t>
      </w:r>
      <w:r w:rsidR="007822BA" w:rsidRPr="005B4FD0">
        <w:rPr>
          <w:rFonts w:ascii="Palatino Linotype" w:hAnsi="Palatino Linotype"/>
          <w:sz w:val="24"/>
          <w:szCs w:val="24"/>
        </w:rPr>
        <w:t>images</w:t>
      </w:r>
      <w:r w:rsidR="004B0FAE" w:rsidRPr="005B4FD0">
        <w:rPr>
          <w:rFonts w:ascii="Palatino Linotype" w:hAnsi="Palatino Linotype"/>
          <w:sz w:val="24"/>
          <w:szCs w:val="24"/>
        </w:rPr>
        <w:t xml:space="preserve"> of expansion</w:t>
      </w:r>
      <w:r w:rsidR="007822BA" w:rsidRPr="005B4FD0">
        <w:rPr>
          <w:rFonts w:ascii="Palatino Linotype" w:hAnsi="Palatino Linotype"/>
          <w:sz w:val="24"/>
          <w:szCs w:val="24"/>
        </w:rPr>
        <w:t>,</w:t>
      </w:r>
      <w:r w:rsidR="004B0FAE" w:rsidRPr="005B4FD0">
        <w:rPr>
          <w:rFonts w:ascii="Palatino Linotype" w:hAnsi="Palatino Linotype"/>
          <w:sz w:val="24"/>
          <w:szCs w:val="24"/>
        </w:rPr>
        <w:t xml:space="preserve"> for </w:t>
      </w:r>
      <w:r w:rsidR="007822BA" w:rsidRPr="005B4FD0">
        <w:rPr>
          <w:rFonts w:ascii="Palatino Linotype" w:hAnsi="Palatino Linotype"/>
          <w:sz w:val="24"/>
          <w:szCs w:val="24"/>
        </w:rPr>
        <w:t>their</w:t>
      </w:r>
      <w:r w:rsidR="004B0FAE" w:rsidRPr="005B4FD0">
        <w:rPr>
          <w:rFonts w:ascii="Palatino Linotype" w:hAnsi="Palatino Linotype"/>
          <w:sz w:val="24"/>
          <w:szCs w:val="24"/>
        </w:rPr>
        <w:t xml:space="preserve"> o</w:t>
      </w:r>
      <w:r w:rsidR="007822BA" w:rsidRPr="005B4FD0">
        <w:rPr>
          <w:rFonts w:ascii="Palatino Linotype" w:hAnsi="Palatino Linotype"/>
          <w:sz w:val="24"/>
          <w:szCs w:val="24"/>
        </w:rPr>
        <w:t>w</w:t>
      </w:r>
      <w:r w:rsidR="004B0FAE" w:rsidRPr="005B4FD0">
        <w:rPr>
          <w:rFonts w:ascii="Palatino Linotype" w:hAnsi="Palatino Linotype"/>
          <w:sz w:val="24"/>
          <w:szCs w:val="24"/>
        </w:rPr>
        <w:t>n sake</w:t>
      </w:r>
      <w:r w:rsidRPr="005B4FD0">
        <w:rPr>
          <w:rFonts w:ascii="Palatino Linotype" w:hAnsi="Palatino Linotype"/>
          <w:sz w:val="24"/>
          <w:szCs w:val="24"/>
        </w:rPr>
        <w:t xml:space="preserve">.  </w:t>
      </w:r>
    </w:p>
    <w:p w14:paraId="0B90FB82" w14:textId="77777777" w:rsidR="007822BA" w:rsidRPr="005B4FD0" w:rsidRDefault="007822BA" w:rsidP="005B4FD0">
      <w:pPr>
        <w:spacing w:line="480" w:lineRule="auto"/>
        <w:jc w:val="both"/>
        <w:rPr>
          <w:rFonts w:ascii="Palatino Linotype" w:hAnsi="Palatino Linotype"/>
          <w:sz w:val="24"/>
          <w:szCs w:val="24"/>
        </w:rPr>
      </w:pPr>
      <w:r w:rsidRPr="005B4FD0">
        <w:rPr>
          <w:rFonts w:ascii="Palatino Linotype" w:hAnsi="Palatino Linotype"/>
          <w:sz w:val="24"/>
          <w:szCs w:val="24"/>
        </w:rPr>
        <w:t xml:space="preserve">Nevertheless, resistance to such growth is, or needs to be, a major part of the socially responsible law school’s mission and profile, especially through its clinical programs. </w:t>
      </w:r>
      <w:r w:rsidR="00C82D9F" w:rsidRPr="005B4FD0">
        <w:rPr>
          <w:rFonts w:ascii="Palatino Linotype" w:hAnsi="Palatino Linotype"/>
          <w:sz w:val="24"/>
          <w:szCs w:val="24"/>
        </w:rPr>
        <w:t xml:space="preserve">Individuals and communities who </w:t>
      </w:r>
      <w:proofErr w:type="gramStart"/>
      <w:r w:rsidR="00C82D9F" w:rsidRPr="005B4FD0">
        <w:rPr>
          <w:rFonts w:ascii="Palatino Linotype" w:hAnsi="Palatino Linotype"/>
          <w:sz w:val="24"/>
          <w:szCs w:val="24"/>
        </w:rPr>
        <w:t>are increasingly damaged</w:t>
      </w:r>
      <w:proofErr w:type="gramEnd"/>
      <w:r w:rsidR="00C82D9F" w:rsidRPr="005B4FD0">
        <w:rPr>
          <w:rFonts w:ascii="Palatino Linotype" w:hAnsi="Palatino Linotype"/>
          <w:sz w:val="24"/>
          <w:szCs w:val="24"/>
        </w:rPr>
        <w:t xml:space="preserve"> by steadily rising temperatures</w:t>
      </w:r>
      <w:r w:rsidR="00026F6B" w:rsidRPr="005B4FD0">
        <w:rPr>
          <w:rFonts w:ascii="Palatino Linotype" w:hAnsi="Palatino Linotype"/>
          <w:sz w:val="24"/>
          <w:szCs w:val="24"/>
        </w:rPr>
        <w:t>, drought and flood</w:t>
      </w:r>
      <w:r w:rsidR="00C82D9F" w:rsidRPr="005B4FD0">
        <w:rPr>
          <w:rFonts w:ascii="Palatino Linotype" w:hAnsi="Palatino Linotype"/>
          <w:sz w:val="24"/>
          <w:szCs w:val="24"/>
        </w:rPr>
        <w:t xml:space="preserve"> have few straightforward means of legal redress</w:t>
      </w:r>
      <w:r w:rsidRPr="005B4FD0">
        <w:rPr>
          <w:rFonts w:ascii="Palatino Linotype" w:hAnsi="Palatino Linotype"/>
          <w:sz w:val="24"/>
          <w:szCs w:val="24"/>
        </w:rPr>
        <w:t>. E</w:t>
      </w:r>
      <w:r w:rsidR="00026F6B" w:rsidRPr="005B4FD0">
        <w:rPr>
          <w:rFonts w:ascii="Palatino Linotype" w:hAnsi="Palatino Linotype"/>
          <w:sz w:val="24"/>
          <w:szCs w:val="24"/>
        </w:rPr>
        <w:t xml:space="preserve">ven if </w:t>
      </w:r>
      <w:r w:rsidRPr="005B4FD0">
        <w:rPr>
          <w:rFonts w:ascii="Palatino Linotype" w:hAnsi="Palatino Linotype"/>
          <w:sz w:val="24"/>
          <w:szCs w:val="24"/>
        </w:rPr>
        <w:t xml:space="preserve">those who suffer most from our deteoriating climate </w:t>
      </w:r>
      <w:r w:rsidR="00026F6B" w:rsidRPr="005B4FD0">
        <w:rPr>
          <w:rFonts w:ascii="Palatino Linotype" w:hAnsi="Palatino Linotype"/>
          <w:sz w:val="24"/>
          <w:szCs w:val="24"/>
        </w:rPr>
        <w:t xml:space="preserve">have some funds, </w:t>
      </w:r>
      <w:r w:rsidRPr="005B4FD0">
        <w:rPr>
          <w:rFonts w:ascii="Palatino Linotype" w:hAnsi="Palatino Linotype"/>
          <w:sz w:val="24"/>
          <w:szCs w:val="24"/>
        </w:rPr>
        <w:t xml:space="preserve">they </w:t>
      </w:r>
      <w:proofErr w:type="gramStart"/>
      <w:r w:rsidRPr="005B4FD0">
        <w:rPr>
          <w:rFonts w:ascii="Palatino Linotype" w:hAnsi="Palatino Linotype"/>
          <w:sz w:val="24"/>
          <w:szCs w:val="24"/>
        </w:rPr>
        <w:t>are often blocked</w:t>
      </w:r>
      <w:proofErr w:type="gramEnd"/>
      <w:r w:rsidRPr="005B4FD0">
        <w:rPr>
          <w:rFonts w:ascii="Palatino Linotype" w:hAnsi="Palatino Linotype"/>
          <w:sz w:val="24"/>
          <w:szCs w:val="24"/>
        </w:rPr>
        <w:t xml:space="preserve"> in seeking climate justice </w:t>
      </w:r>
      <w:r w:rsidR="00C82D9F" w:rsidRPr="005B4FD0">
        <w:rPr>
          <w:rFonts w:ascii="Palatino Linotype" w:hAnsi="Palatino Linotype"/>
          <w:sz w:val="24"/>
          <w:szCs w:val="24"/>
        </w:rPr>
        <w:t>because the causes of action are still in embryonic form</w:t>
      </w:r>
      <w:r w:rsidR="00181E3B" w:rsidRPr="005B4FD0">
        <w:rPr>
          <w:rFonts w:ascii="Palatino Linotype" w:hAnsi="Palatino Linotype"/>
          <w:sz w:val="24"/>
          <w:szCs w:val="24"/>
        </w:rPr>
        <w:t xml:space="preserve"> and the costs involved in developing such actions </w:t>
      </w:r>
      <w:r w:rsidR="00026F6B" w:rsidRPr="005B4FD0">
        <w:rPr>
          <w:rFonts w:ascii="Palatino Linotype" w:hAnsi="Palatino Linotype"/>
          <w:sz w:val="24"/>
          <w:szCs w:val="24"/>
        </w:rPr>
        <w:t xml:space="preserve">have been </w:t>
      </w:r>
      <w:r w:rsidR="00181E3B" w:rsidRPr="005B4FD0">
        <w:rPr>
          <w:rFonts w:ascii="Palatino Linotype" w:hAnsi="Palatino Linotype"/>
          <w:sz w:val="24"/>
          <w:szCs w:val="24"/>
        </w:rPr>
        <w:t>seen as too high</w:t>
      </w:r>
      <w:r w:rsidR="00C82D9F" w:rsidRPr="005B4FD0">
        <w:rPr>
          <w:rFonts w:ascii="Palatino Linotype" w:hAnsi="Palatino Linotype"/>
          <w:sz w:val="24"/>
          <w:szCs w:val="24"/>
        </w:rPr>
        <w:t xml:space="preserve">. </w:t>
      </w:r>
    </w:p>
    <w:p w14:paraId="690D8DE5" w14:textId="204568D2" w:rsidR="00C82D9F" w:rsidRPr="005B4FD0" w:rsidRDefault="00026F6B" w:rsidP="005B4FD0">
      <w:pPr>
        <w:spacing w:line="480" w:lineRule="auto"/>
        <w:jc w:val="both"/>
        <w:rPr>
          <w:rFonts w:ascii="Palatino Linotype" w:hAnsi="Palatino Linotype"/>
          <w:sz w:val="24"/>
          <w:szCs w:val="24"/>
        </w:rPr>
      </w:pPr>
      <w:r w:rsidRPr="005B4FD0">
        <w:rPr>
          <w:rFonts w:ascii="Palatino Linotype" w:hAnsi="Palatino Linotype"/>
          <w:sz w:val="24"/>
          <w:szCs w:val="24"/>
        </w:rPr>
        <w:t xml:space="preserve">Seeking </w:t>
      </w:r>
      <w:r w:rsidR="007822BA" w:rsidRPr="005B4FD0">
        <w:rPr>
          <w:rFonts w:ascii="Palatino Linotype" w:hAnsi="Palatino Linotype"/>
          <w:sz w:val="24"/>
          <w:szCs w:val="24"/>
        </w:rPr>
        <w:t xml:space="preserve">climate justice </w:t>
      </w:r>
      <w:r w:rsidRPr="005B4FD0">
        <w:rPr>
          <w:rFonts w:ascii="Palatino Linotype" w:hAnsi="Palatino Linotype"/>
          <w:sz w:val="24"/>
          <w:szCs w:val="24"/>
        </w:rPr>
        <w:t xml:space="preserve">is not straightforward. </w:t>
      </w:r>
      <w:r w:rsidR="00542442" w:rsidRPr="005B4FD0">
        <w:rPr>
          <w:rFonts w:ascii="Palatino Linotype" w:hAnsi="Palatino Linotype"/>
          <w:sz w:val="24"/>
          <w:szCs w:val="24"/>
        </w:rPr>
        <w:t>Larger p</w:t>
      </w:r>
      <w:r w:rsidR="00160A3D" w:rsidRPr="005B4FD0">
        <w:rPr>
          <w:rFonts w:ascii="Palatino Linotype" w:hAnsi="Palatino Linotype"/>
          <w:sz w:val="24"/>
          <w:szCs w:val="24"/>
        </w:rPr>
        <w:t xml:space="preserve">rivate </w:t>
      </w:r>
      <w:r w:rsidR="00542442" w:rsidRPr="005B4FD0">
        <w:rPr>
          <w:rFonts w:ascii="Palatino Linotype" w:hAnsi="Palatino Linotype"/>
          <w:sz w:val="24"/>
          <w:szCs w:val="24"/>
        </w:rPr>
        <w:t>law firm</w:t>
      </w:r>
      <w:r w:rsidR="00160A3D" w:rsidRPr="005B4FD0">
        <w:rPr>
          <w:rFonts w:ascii="Palatino Linotype" w:hAnsi="Palatino Linotype"/>
          <w:sz w:val="24"/>
          <w:szCs w:val="24"/>
        </w:rPr>
        <w:t xml:space="preserve"> engagement with climate defence </w:t>
      </w:r>
      <w:proofErr w:type="gramStart"/>
      <w:r w:rsidR="00160A3D" w:rsidRPr="005B4FD0">
        <w:rPr>
          <w:rFonts w:ascii="Palatino Linotype" w:hAnsi="Palatino Linotype"/>
          <w:sz w:val="24"/>
          <w:szCs w:val="24"/>
        </w:rPr>
        <w:t>is often conflicted</w:t>
      </w:r>
      <w:proofErr w:type="gramEnd"/>
      <w:r w:rsidR="00160A3D" w:rsidRPr="005B4FD0">
        <w:rPr>
          <w:rFonts w:ascii="Palatino Linotype" w:hAnsi="Palatino Linotype"/>
          <w:sz w:val="24"/>
          <w:szCs w:val="24"/>
        </w:rPr>
        <w:t xml:space="preserve"> </w:t>
      </w:r>
      <w:r w:rsidRPr="005B4FD0">
        <w:rPr>
          <w:rFonts w:ascii="Palatino Linotype" w:hAnsi="Palatino Linotype"/>
          <w:sz w:val="24"/>
          <w:szCs w:val="24"/>
        </w:rPr>
        <w:t xml:space="preserve">out </w:t>
      </w:r>
      <w:r w:rsidR="00160A3D" w:rsidRPr="005B4FD0">
        <w:rPr>
          <w:rFonts w:ascii="Palatino Linotype" w:hAnsi="Palatino Linotype"/>
          <w:sz w:val="24"/>
          <w:szCs w:val="24"/>
        </w:rPr>
        <w:t>because the short-term profit interests of their large corporate clients often dominate the thinking of both lawyer and client.</w:t>
      </w:r>
      <w:r w:rsidR="003F77EC" w:rsidRPr="005B4FD0">
        <w:rPr>
          <w:rFonts w:ascii="Palatino Linotype" w:hAnsi="Palatino Linotype"/>
          <w:sz w:val="24"/>
          <w:szCs w:val="24"/>
        </w:rPr>
        <w:t xml:space="preserve"> Even those few private lawyers who do want to take action </w:t>
      </w:r>
      <w:proofErr w:type="gramStart"/>
      <w:r w:rsidR="003F77EC" w:rsidRPr="005B4FD0">
        <w:rPr>
          <w:rFonts w:ascii="Palatino Linotype" w:hAnsi="Palatino Linotype"/>
          <w:sz w:val="24"/>
          <w:szCs w:val="24"/>
        </w:rPr>
        <w:t>are intimidated</w:t>
      </w:r>
      <w:proofErr w:type="gramEnd"/>
      <w:r w:rsidR="003F77EC" w:rsidRPr="005B4FD0">
        <w:rPr>
          <w:rFonts w:ascii="Palatino Linotype" w:hAnsi="Palatino Linotype"/>
          <w:sz w:val="24"/>
          <w:szCs w:val="24"/>
        </w:rPr>
        <w:t xml:space="preserve"> by the need for considerable funding for disbursements and </w:t>
      </w:r>
      <w:r w:rsidR="00432429" w:rsidRPr="005B4FD0">
        <w:rPr>
          <w:rFonts w:ascii="Palatino Linotype" w:hAnsi="Palatino Linotype"/>
          <w:sz w:val="24"/>
          <w:szCs w:val="24"/>
        </w:rPr>
        <w:t xml:space="preserve">likely defendant arguments about the supposed need for </w:t>
      </w:r>
      <w:r w:rsidR="003F77EC" w:rsidRPr="005B4FD0">
        <w:rPr>
          <w:rFonts w:ascii="Palatino Linotype" w:hAnsi="Palatino Linotype"/>
          <w:sz w:val="24"/>
          <w:szCs w:val="24"/>
        </w:rPr>
        <w:t>security for costs. So far, no one in Australia has been able to locate a wealthy benefactor, foundation or not-for-profit prepared to meet these costs.</w:t>
      </w:r>
    </w:p>
    <w:p w14:paraId="54A97D4C" w14:textId="040641E9" w:rsidR="00160A3D" w:rsidRPr="005B4FD0" w:rsidRDefault="005B21F8" w:rsidP="005B4FD0">
      <w:pPr>
        <w:spacing w:line="480" w:lineRule="auto"/>
        <w:jc w:val="both"/>
        <w:rPr>
          <w:rFonts w:ascii="Palatino Linotype" w:hAnsi="Palatino Linotype"/>
          <w:sz w:val="24"/>
          <w:szCs w:val="24"/>
        </w:rPr>
      </w:pPr>
      <w:r w:rsidRPr="005B4FD0">
        <w:rPr>
          <w:rFonts w:ascii="Palatino Linotype" w:hAnsi="Palatino Linotype"/>
          <w:sz w:val="24"/>
          <w:szCs w:val="24"/>
        </w:rPr>
        <w:t xml:space="preserve">Some law schools are </w:t>
      </w:r>
      <w:r w:rsidR="00392676" w:rsidRPr="005B4FD0">
        <w:rPr>
          <w:rFonts w:ascii="Palatino Linotype" w:hAnsi="Palatino Linotype"/>
          <w:sz w:val="24"/>
          <w:szCs w:val="24"/>
        </w:rPr>
        <w:t xml:space="preserve">nevertheless </w:t>
      </w:r>
      <w:r w:rsidRPr="005B4FD0">
        <w:rPr>
          <w:rFonts w:ascii="Palatino Linotype" w:hAnsi="Palatino Linotype"/>
          <w:sz w:val="24"/>
          <w:szCs w:val="24"/>
        </w:rPr>
        <w:t xml:space="preserve">in a position to </w:t>
      </w:r>
      <w:r w:rsidR="00160A3D" w:rsidRPr="005B4FD0">
        <w:rPr>
          <w:rFonts w:ascii="Palatino Linotype" w:hAnsi="Palatino Linotype"/>
          <w:sz w:val="24"/>
          <w:szCs w:val="24"/>
        </w:rPr>
        <w:t xml:space="preserve">fill this </w:t>
      </w:r>
      <w:r w:rsidR="00432429" w:rsidRPr="005B4FD0">
        <w:rPr>
          <w:rFonts w:ascii="Palatino Linotype" w:hAnsi="Palatino Linotype"/>
          <w:sz w:val="24"/>
          <w:szCs w:val="24"/>
        </w:rPr>
        <w:t xml:space="preserve">access to justice </w:t>
      </w:r>
      <w:r w:rsidR="00160A3D" w:rsidRPr="005B4FD0">
        <w:rPr>
          <w:rFonts w:ascii="Palatino Linotype" w:hAnsi="Palatino Linotype"/>
          <w:sz w:val="24"/>
          <w:szCs w:val="24"/>
        </w:rPr>
        <w:t xml:space="preserve">void and </w:t>
      </w:r>
      <w:r w:rsidRPr="005B4FD0">
        <w:rPr>
          <w:rFonts w:ascii="Palatino Linotype" w:hAnsi="Palatino Linotype"/>
          <w:sz w:val="24"/>
          <w:szCs w:val="24"/>
        </w:rPr>
        <w:t xml:space="preserve">assist in the effort to combat climate change by designing and developing a climate defence </w:t>
      </w:r>
      <w:r w:rsidR="007822BA" w:rsidRPr="005B4FD0">
        <w:rPr>
          <w:rFonts w:ascii="Palatino Linotype" w:hAnsi="Palatino Linotype"/>
          <w:sz w:val="24"/>
          <w:szCs w:val="24"/>
        </w:rPr>
        <w:t xml:space="preserve">or climate justice </w:t>
      </w:r>
      <w:r w:rsidRPr="005B4FD0">
        <w:rPr>
          <w:rFonts w:ascii="Palatino Linotype" w:hAnsi="Palatino Linotype"/>
          <w:sz w:val="24"/>
          <w:szCs w:val="24"/>
        </w:rPr>
        <w:t xml:space="preserve">clinic. </w:t>
      </w:r>
      <w:r w:rsidR="00F300A1" w:rsidRPr="005B4FD0">
        <w:rPr>
          <w:rFonts w:ascii="Palatino Linotype" w:hAnsi="Palatino Linotype"/>
          <w:sz w:val="24"/>
          <w:szCs w:val="24"/>
        </w:rPr>
        <w:t xml:space="preserve">There </w:t>
      </w:r>
      <w:r w:rsidR="00F300A1" w:rsidRPr="005B4FD0">
        <w:rPr>
          <w:rFonts w:ascii="Palatino Linotype" w:hAnsi="Palatino Linotype"/>
          <w:i/>
          <w:sz w:val="24"/>
          <w:szCs w:val="24"/>
        </w:rPr>
        <w:t>are</w:t>
      </w:r>
      <w:r w:rsidR="00F300A1" w:rsidRPr="005B4FD0">
        <w:rPr>
          <w:rFonts w:ascii="Palatino Linotype" w:hAnsi="Palatino Linotype"/>
          <w:sz w:val="24"/>
          <w:szCs w:val="24"/>
        </w:rPr>
        <w:t xml:space="preserve"> potential causes of action in the areas of nuisance, negligence and </w:t>
      </w:r>
      <w:r w:rsidR="00F300A1" w:rsidRPr="005B4FD0">
        <w:rPr>
          <w:rFonts w:ascii="Palatino Linotype" w:hAnsi="Palatino Linotype"/>
          <w:sz w:val="24"/>
          <w:szCs w:val="24"/>
        </w:rPr>
        <w:lastRenderedPageBreak/>
        <w:t xml:space="preserve">public trust, as well as specific statutory and general regulatory arguments that </w:t>
      </w:r>
      <w:proofErr w:type="gramStart"/>
      <w:r w:rsidR="00F300A1" w:rsidRPr="005B4FD0">
        <w:rPr>
          <w:rFonts w:ascii="Palatino Linotype" w:hAnsi="Palatino Linotype"/>
          <w:sz w:val="24"/>
          <w:szCs w:val="24"/>
        </w:rPr>
        <w:t>can be developed</w:t>
      </w:r>
      <w:proofErr w:type="gramEnd"/>
      <w:r w:rsidR="00F300A1" w:rsidRPr="005B4FD0">
        <w:rPr>
          <w:rFonts w:ascii="Palatino Linotype" w:hAnsi="Palatino Linotype"/>
          <w:sz w:val="24"/>
          <w:szCs w:val="24"/>
        </w:rPr>
        <w:t xml:space="preserve"> in some jurisdictions.</w:t>
      </w:r>
    </w:p>
    <w:p w14:paraId="7BDB6594" w14:textId="42850849" w:rsidR="005B21F8" w:rsidRPr="005B4FD0" w:rsidRDefault="005B21F8" w:rsidP="005B4FD0">
      <w:pPr>
        <w:spacing w:line="480" w:lineRule="auto"/>
        <w:jc w:val="both"/>
        <w:rPr>
          <w:rFonts w:ascii="Palatino Linotype" w:hAnsi="Palatino Linotype"/>
          <w:sz w:val="24"/>
          <w:szCs w:val="24"/>
        </w:rPr>
      </w:pPr>
      <w:r w:rsidRPr="005B4FD0">
        <w:rPr>
          <w:rFonts w:ascii="Palatino Linotype" w:hAnsi="Palatino Linotype"/>
          <w:sz w:val="24"/>
          <w:szCs w:val="24"/>
        </w:rPr>
        <w:t xml:space="preserve">This paper discusses and proposes </w:t>
      </w:r>
      <w:r w:rsidR="00392676" w:rsidRPr="005B4FD0">
        <w:rPr>
          <w:rFonts w:ascii="Palatino Linotype" w:hAnsi="Palatino Linotype"/>
          <w:sz w:val="24"/>
          <w:szCs w:val="24"/>
        </w:rPr>
        <w:t>a greenprint for</w:t>
      </w:r>
      <w:r w:rsidRPr="005B4FD0">
        <w:rPr>
          <w:rFonts w:ascii="Palatino Linotype" w:hAnsi="Palatino Linotype"/>
          <w:sz w:val="24"/>
          <w:szCs w:val="24"/>
        </w:rPr>
        <w:t xml:space="preserve"> such a clinic, not just to assist access to justice and </w:t>
      </w:r>
      <w:r w:rsidR="00AA0A25" w:rsidRPr="005B4FD0">
        <w:rPr>
          <w:rFonts w:ascii="Palatino Linotype" w:hAnsi="Palatino Linotype"/>
          <w:sz w:val="24"/>
          <w:szCs w:val="24"/>
        </w:rPr>
        <w:t>climate defence</w:t>
      </w:r>
      <w:r w:rsidRPr="005B4FD0">
        <w:rPr>
          <w:rFonts w:ascii="Palatino Linotype" w:hAnsi="Palatino Linotype"/>
          <w:sz w:val="24"/>
          <w:szCs w:val="24"/>
        </w:rPr>
        <w:t xml:space="preserve">, </w:t>
      </w:r>
      <w:proofErr w:type="gramStart"/>
      <w:r w:rsidRPr="005B4FD0">
        <w:rPr>
          <w:rFonts w:ascii="Palatino Linotype" w:hAnsi="Palatino Linotype"/>
          <w:sz w:val="24"/>
          <w:szCs w:val="24"/>
        </w:rPr>
        <w:t>but</w:t>
      </w:r>
      <w:proofErr w:type="gramEnd"/>
      <w:r w:rsidRPr="005B4FD0">
        <w:rPr>
          <w:rFonts w:ascii="Palatino Linotype" w:hAnsi="Palatino Linotype"/>
          <w:sz w:val="24"/>
          <w:szCs w:val="24"/>
        </w:rPr>
        <w:t xml:space="preserve"> to play a part in strengthening the political and social consciousness of the law students who pass through it.</w:t>
      </w:r>
      <w:r w:rsidR="005B4FD0">
        <w:rPr>
          <w:rFonts w:ascii="Palatino Linotype" w:hAnsi="Palatino Linotype"/>
          <w:sz w:val="24"/>
          <w:szCs w:val="24"/>
        </w:rPr>
        <w:t xml:space="preserve"> </w:t>
      </w:r>
      <w:r w:rsidRPr="005B4FD0">
        <w:rPr>
          <w:rFonts w:ascii="Palatino Linotype" w:hAnsi="Palatino Linotype"/>
          <w:sz w:val="24"/>
          <w:szCs w:val="24"/>
        </w:rPr>
        <w:t xml:space="preserve">The </w:t>
      </w:r>
      <w:r w:rsidR="00392676" w:rsidRPr="005B4FD0">
        <w:rPr>
          <w:rFonts w:ascii="Palatino Linotype" w:hAnsi="Palatino Linotype"/>
          <w:sz w:val="24"/>
          <w:szCs w:val="24"/>
        </w:rPr>
        <w:t xml:space="preserve">discussion draws on </w:t>
      </w:r>
      <w:r w:rsidRPr="005B4FD0">
        <w:rPr>
          <w:rFonts w:ascii="Palatino Linotype" w:hAnsi="Palatino Linotype"/>
          <w:sz w:val="24"/>
          <w:szCs w:val="24"/>
        </w:rPr>
        <w:t xml:space="preserve">the clinic design principles set out in </w:t>
      </w:r>
      <w:r w:rsidRPr="005B4FD0">
        <w:rPr>
          <w:rFonts w:ascii="Palatino Linotype" w:hAnsi="Palatino Linotype"/>
          <w:i/>
          <w:sz w:val="24"/>
          <w:szCs w:val="24"/>
        </w:rPr>
        <w:t>Australian Clinical Legal Education</w:t>
      </w:r>
      <w:r w:rsidR="00A6625D" w:rsidRPr="005B4FD0">
        <w:rPr>
          <w:rStyle w:val="FootnoteReference"/>
          <w:rFonts w:ascii="Palatino Linotype" w:hAnsi="Palatino Linotype"/>
          <w:sz w:val="24"/>
          <w:szCs w:val="24"/>
        </w:rPr>
        <w:footnoteReference w:id="5"/>
      </w:r>
      <w:r w:rsidRPr="005B4FD0">
        <w:rPr>
          <w:rFonts w:ascii="Palatino Linotype" w:hAnsi="Palatino Linotype"/>
          <w:sz w:val="24"/>
          <w:szCs w:val="24"/>
        </w:rPr>
        <w:t xml:space="preserve"> and proposes a specific partnership model that leverages existing private lawyer goodwill and harnesses </w:t>
      </w:r>
      <w:proofErr w:type="gramStart"/>
      <w:r w:rsidRPr="005B4FD0">
        <w:rPr>
          <w:rFonts w:ascii="Palatino Linotype" w:hAnsi="Palatino Linotype"/>
          <w:sz w:val="24"/>
          <w:szCs w:val="24"/>
        </w:rPr>
        <w:t>law school alumni beneficence</w:t>
      </w:r>
      <w:proofErr w:type="gramEnd"/>
      <w:r w:rsidRPr="005B4FD0">
        <w:rPr>
          <w:rFonts w:ascii="Palatino Linotype" w:hAnsi="Palatino Linotype"/>
          <w:sz w:val="24"/>
          <w:szCs w:val="24"/>
        </w:rPr>
        <w:t>.</w:t>
      </w:r>
    </w:p>
    <w:p w14:paraId="2F42F513" w14:textId="77777777" w:rsidR="003F77EC" w:rsidRPr="005B4FD0" w:rsidRDefault="003F77EC" w:rsidP="005B4FD0">
      <w:pPr>
        <w:spacing w:line="480" w:lineRule="auto"/>
        <w:jc w:val="both"/>
        <w:rPr>
          <w:rFonts w:ascii="Palatino Linotype" w:hAnsi="Palatino Linotype"/>
          <w:b/>
          <w:sz w:val="24"/>
          <w:szCs w:val="24"/>
        </w:rPr>
      </w:pPr>
      <w:proofErr w:type="gramStart"/>
      <w:r w:rsidRPr="005B4FD0">
        <w:rPr>
          <w:rFonts w:ascii="Palatino Linotype" w:hAnsi="Palatino Linotype"/>
          <w:b/>
          <w:sz w:val="24"/>
          <w:szCs w:val="24"/>
        </w:rPr>
        <w:t>What a law school clinic can do that a private law firm and barristers have not</w:t>
      </w:r>
      <w:proofErr w:type="gramEnd"/>
      <w:r w:rsidRPr="005B4FD0">
        <w:rPr>
          <w:rFonts w:ascii="Palatino Linotype" w:hAnsi="Palatino Linotype"/>
          <w:b/>
          <w:sz w:val="24"/>
          <w:szCs w:val="24"/>
        </w:rPr>
        <w:t xml:space="preserve"> </w:t>
      </w:r>
    </w:p>
    <w:p w14:paraId="035BBBC7" w14:textId="5ACC0766" w:rsidR="000F0CCD" w:rsidRPr="005B4FD0" w:rsidRDefault="000F0CCD" w:rsidP="005B4FD0">
      <w:pPr>
        <w:spacing w:line="480" w:lineRule="auto"/>
        <w:jc w:val="both"/>
        <w:rPr>
          <w:rFonts w:ascii="Palatino Linotype" w:hAnsi="Palatino Linotype"/>
          <w:sz w:val="24"/>
          <w:szCs w:val="24"/>
        </w:rPr>
      </w:pPr>
      <w:r w:rsidRPr="005B4FD0">
        <w:rPr>
          <w:rFonts w:ascii="Palatino Linotype" w:hAnsi="Palatino Linotype"/>
          <w:sz w:val="24"/>
          <w:szCs w:val="24"/>
        </w:rPr>
        <w:t>Australia is not a large CO</w:t>
      </w:r>
      <w:r w:rsidRPr="005B4FD0">
        <w:rPr>
          <w:rFonts w:ascii="Palatino Linotype" w:hAnsi="Palatino Linotype"/>
          <w:sz w:val="24"/>
          <w:szCs w:val="24"/>
          <w:vertAlign w:val="subscript"/>
        </w:rPr>
        <w:t>2</w:t>
      </w:r>
      <w:r w:rsidRPr="005B4FD0">
        <w:rPr>
          <w:rFonts w:ascii="Palatino Linotype" w:hAnsi="Palatino Linotype"/>
          <w:sz w:val="24"/>
          <w:szCs w:val="24"/>
        </w:rPr>
        <w:t xml:space="preserve"> emitter by volume, but it is among the largest on a per capita basis</w:t>
      </w:r>
      <w:r w:rsidR="0015485C" w:rsidRPr="005B4FD0">
        <w:rPr>
          <w:rFonts w:ascii="Palatino Linotype" w:hAnsi="Palatino Linotype"/>
          <w:sz w:val="24"/>
          <w:szCs w:val="24"/>
        </w:rPr>
        <w:t>.</w:t>
      </w:r>
      <w:r w:rsidR="00DC69EB" w:rsidRPr="005B4FD0">
        <w:rPr>
          <w:rStyle w:val="FootnoteReference"/>
          <w:rFonts w:ascii="Palatino Linotype" w:hAnsi="Palatino Linotype"/>
          <w:sz w:val="24"/>
          <w:szCs w:val="24"/>
        </w:rPr>
        <w:footnoteReference w:id="6"/>
      </w:r>
      <w:r w:rsidR="0015485C" w:rsidRPr="005B4FD0">
        <w:rPr>
          <w:rFonts w:ascii="Palatino Linotype" w:hAnsi="Palatino Linotype"/>
          <w:sz w:val="24"/>
          <w:szCs w:val="24"/>
        </w:rPr>
        <w:t xml:space="preserve"> In consequence,</w:t>
      </w:r>
      <w:r w:rsidRPr="005B4FD0">
        <w:rPr>
          <w:rFonts w:ascii="Palatino Linotype" w:hAnsi="Palatino Linotype"/>
          <w:sz w:val="24"/>
          <w:szCs w:val="24"/>
        </w:rPr>
        <w:t xml:space="preserve"> there is </w:t>
      </w:r>
      <w:r w:rsidR="00DC69EB" w:rsidRPr="005B4FD0">
        <w:rPr>
          <w:rFonts w:ascii="Palatino Linotype" w:hAnsi="Palatino Linotype"/>
          <w:sz w:val="24"/>
          <w:szCs w:val="24"/>
        </w:rPr>
        <w:t xml:space="preserve">arguably </w:t>
      </w:r>
      <w:r w:rsidRPr="005B4FD0">
        <w:rPr>
          <w:rFonts w:ascii="Palatino Linotype" w:hAnsi="Palatino Linotype"/>
          <w:sz w:val="24"/>
          <w:szCs w:val="24"/>
        </w:rPr>
        <w:t xml:space="preserve">a moral and pragmatic obligation on </w:t>
      </w:r>
      <w:r w:rsidR="0015485C" w:rsidRPr="005B4FD0">
        <w:rPr>
          <w:rFonts w:ascii="Palatino Linotype" w:hAnsi="Palatino Linotype"/>
          <w:sz w:val="24"/>
          <w:szCs w:val="24"/>
        </w:rPr>
        <w:t>well-resourced</w:t>
      </w:r>
      <w:r w:rsidRPr="005B4FD0">
        <w:rPr>
          <w:rFonts w:ascii="Palatino Linotype" w:hAnsi="Palatino Linotype"/>
          <w:sz w:val="24"/>
          <w:szCs w:val="24"/>
        </w:rPr>
        <w:t xml:space="preserve"> </w:t>
      </w:r>
      <w:r w:rsidR="002C5431" w:rsidRPr="005B4FD0">
        <w:rPr>
          <w:rFonts w:ascii="Palatino Linotype" w:hAnsi="Palatino Linotype"/>
          <w:sz w:val="24"/>
          <w:szCs w:val="24"/>
        </w:rPr>
        <w:t xml:space="preserve">Australian </w:t>
      </w:r>
      <w:r w:rsidRPr="005B4FD0">
        <w:rPr>
          <w:rFonts w:ascii="Palatino Linotype" w:hAnsi="Palatino Linotype"/>
          <w:sz w:val="24"/>
          <w:szCs w:val="24"/>
        </w:rPr>
        <w:t xml:space="preserve">law schools </w:t>
      </w:r>
      <w:r w:rsidR="003F77EC" w:rsidRPr="005B4FD0">
        <w:rPr>
          <w:rFonts w:ascii="Palatino Linotype" w:hAnsi="Palatino Linotype"/>
          <w:sz w:val="24"/>
          <w:szCs w:val="24"/>
        </w:rPr>
        <w:t xml:space="preserve">with moral activist clinicians, </w:t>
      </w:r>
      <w:r w:rsidRPr="005B4FD0">
        <w:rPr>
          <w:rFonts w:ascii="Palatino Linotype" w:hAnsi="Palatino Linotype"/>
          <w:sz w:val="24"/>
          <w:szCs w:val="24"/>
        </w:rPr>
        <w:t>to contribute to the concept of climate justice</w:t>
      </w:r>
      <w:r w:rsidR="003F77EC" w:rsidRPr="005B4FD0">
        <w:rPr>
          <w:rFonts w:ascii="Palatino Linotype" w:hAnsi="Palatino Linotype"/>
          <w:sz w:val="24"/>
          <w:szCs w:val="24"/>
        </w:rPr>
        <w:t>,</w:t>
      </w:r>
      <w:r w:rsidR="0032224F" w:rsidRPr="005B4FD0">
        <w:rPr>
          <w:rStyle w:val="FootnoteReference"/>
          <w:rFonts w:ascii="Palatino Linotype" w:hAnsi="Palatino Linotype"/>
          <w:sz w:val="24"/>
          <w:szCs w:val="24"/>
        </w:rPr>
        <w:footnoteReference w:id="7"/>
      </w:r>
      <w:r w:rsidRPr="005B4FD0">
        <w:rPr>
          <w:rFonts w:ascii="Palatino Linotype" w:hAnsi="Palatino Linotype"/>
          <w:sz w:val="24"/>
          <w:szCs w:val="24"/>
        </w:rPr>
        <w:t xml:space="preserve"> just as many </w:t>
      </w:r>
      <w:r w:rsidR="00D576E7" w:rsidRPr="005B4FD0">
        <w:rPr>
          <w:rFonts w:ascii="Palatino Linotype" w:hAnsi="Palatino Linotype"/>
          <w:sz w:val="24"/>
          <w:szCs w:val="24"/>
        </w:rPr>
        <w:t>already</w:t>
      </w:r>
      <w:r w:rsidR="0031283E" w:rsidRPr="005B4FD0">
        <w:rPr>
          <w:rFonts w:ascii="Palatino Linotype" w:hAnsi="Palatino Linotype"/>
          <w:sz w:val="24"/>
          <w:szCs w:val="24"/>
        </w:rPr>
        <w:t xml:space="preserve"> do </w:t>
      </w:r>
      <w:r w:rsidR="00DC69EB" w:rsidRPr="005B4FD0">
        <w:rPr>
          <w:rFonts w:ascii="Palatino Linotype" w:hAnsi="Palatino Linotype"/>
          <w:sz w:val="24"/>
          <w:szCs w:val="24"/>
        </w:rPr>
        <w:t>to address</w:t>
      </w:r>
      <w:r w:rsidR="0031283E" w:rsidRPr="005B4FD0">
        <w:rPr>
          <w:rFonts w:ascii="Palatino Linotype" w:hAnsi="Palatino Linotype"/>
          <w:sz w:val="24"/>
          <w:szCs w:val="24"/>
        </w:rPr>
        <w:t xml:space="preserve"> criminal </w:t>
      </w:r>
      <w:r w:rsidR="00DC69EB" w:rsidRPr="005B4FD0">
        <w:rPr>
          <w:rFonts w:ascii="Palatino Linotype" w:hAnsi="Palatino Linotype"/>
          <w:sz w:val="24"/>
          <w:szCs w:val="24"/>
        </w:rPr>
        <w:t xml:space="preserve">law </w:t>
      </w:r>
      <w:r w:rsidR="0031283E" w:rsidRPr="005B4FD0">
        <w:rPr>
          <w:rFonts w:ascii="Palatino Linotype" w:hAnsi="Palatino Linotype"/>
          <w:sz w:val="24"/>
          <w:szCs w:val="24"/>
        </w:rPr>
        <w:t xml:space="preserve">and </w:t>
      </w:r>
      <w:r w:rsidR="003F77EC" w:rsidRPr="005B4FD0">
        <w:rPr>
          <w:rFonts w:ascii="Palatino Linotype" w:hAnsi="Palatino Linotype"/>
          <w:sz w:val="24"/>
          <w:szCs w:val="24"/>
        </w:rPr>
        <w:t>numerous</w:t>
      </w:r>
      <w:r w:rsidR="00DC69EB" w:rsidRPr="005B4FD0">
        <w:rPr>
          <w:rFonts w:ascii="Palatino Linotype" w:hAnsi="Palatino Linotype"/>
          <w:sz w:val="24"/>
          <w:szCs w:val="24"/>
        </w:rPr>
        <w:t xml:space="preserve"> </w:t>
      </w:r>
      <w:r w:rsidR="0031283E" w:rsidRPr="005B4FD0">
        <w:rPr>
          <w:rFonts w:ascii="Palatino Linotype" w:hAnsi="Palatino Linotype"/>
          <w:sz w:val="24"/>
          <w:szCs w:val="24"/>
        </w:rPr>
        <w:t>conventional</w:t>
      </w:r>
      <w:r w:rsidR="002C5431" w:rsidRPr="005B4FD0">
        <w:rPr>
          <w:rFonts w:ascii="Palatino Linotype" w:hAnsi="Palatino Linotype"/>
          <w:sz w:val="24"/>
          <w:szCs w:val="24"/>
        </w:rPr>
        <w:t>,</w:t>
      </w:r>
      <w:r w:rsidR="0031283E" w:rsidRPr="005B4FD0">
        <w:rPr>
          <w:rFonts w:ascii="Palatino Linotype" w:hAnsi="Palatino Linotype"/>
          <w:sz w:val="24"/>
          <w:szCs w:val="24"/>
        </w:rPr>
        <w:t xml:space="preserve"> civil access to justice </w:t>
      </w:r>
      <w:r w:rsidR="00DC69EB" w:rsidRPr="005B4FD0">
        <w:rPr>
          <w:rFonts w:ascii="Palatino Linotype" w:hAnsi="Palatino Linotype"/>
          <w:sz w:val="24"/>
          <w:szCs w:val="24"/>
        </w:rPr>
        <w:t>issues.</w:t>
      </w:r>
      <w:r w:rsidRPr="005B4FD0">
        <w:rPr>
          <w:rFonts w:ascii="Palatino Linotype" w:hAnsi="Palatino Linotype"/>
          <w:sz w:val="24"/>
          <w:szCs w:val="24"/>
        </w:rPr>
        <w:t xml:space="preserve"> </w:t>
      </w:r>
    </w:p>
    <w:p w14:paraId="3E5C5E8C" w14:textId="7142E4F9" w:rsidR="00F72B45" w:rsidRPr="005B4FD0" w:rsidRDefault="009D28F5" w:rsidP="005B4FD0">
      <w:pPr>
        <w:spacing w:line="480" w:lineRule="auto"/>
        <w:jc w:val="both"/>
        <w:rPr>
          <w:rFonts w:ascii="Palatino Linotype" w:hAnsi="Palatino Linotype"/>
          <w:sz w:val="24"/>
          <w:szCs w:val="24"/>
        </w:rPr>
      </w:pPr>
      <w:r w:rsidRPr="005B4FD0">
        <w:rPr>
          <w:rFonts w:ascii="Palatino Linotype" w:hAnsi="Palatino Linotype"/>
          <w:sz w:val="24"/>
          <w:szCs w:val="24"/>
        </w:rPr>
        <w:t>Law schools with well-developed clinical traditions tend to have access to a s</w:t>
      </w:r>
      <w:r w:rsidR="005A42CC" w:rsidRPr="005B4FD0">
        <w:rPr>
          <w:rFonts w:ascii="Palatino Linotype" w:hAnsi="Palatino Linotype"/>
          <w:sz w:val="24"/>
          <w:szCs w:val="24"/>
        </w:rPr>
        <w:t>teady supply of</w:t>
      </w:r>
      <w:r w:rsidRPr="005B4FD0">
        <w:rPr>
          <w:rFonts w:ascii="Palatino Linotype" w:hAnsi="Palatino Linotype"/>
          <w:sz w:val="24"/>
          <w:szCs w:val="24"/>
        </w:rPr>
        <w:t xml:space="preserve"> motivated and skilled </w:t>
      </w:r>
      <w:r w:rsidR="005A42CC" w:rsidRPr="005B4FD0">
        <w:rPr>
          <w:rFonts w:ascii="Palatino Linotype" w:hAnsi="Palatino Linotype"/>
          <w:sz w:val="24"/>
          <w:szCs w:val="24"/>
        </w:rPr>
        <w:t>student researchers</w:t>
      </w:r>
      <w:r w:rsidRPr="005B4FD0">
        <w:rPr>
          <w:rFonts w:ascii="Palatino Linotype" w:hAnsi="Palatino Linotype"/>
          <w:sz w:val="24"/>
          <w:szCs w:val="24"/>
        </w:rPr>
        <w:t xml:space="preserve">. Some of these are looking for opportunities to </w:t>
      </w:r>
      <w:r w:rsidRPr="005B4FD0">
        <w:rPr>
          <w:rFonts w:ascii="Palatino Linotype" w:hAnsi="Palatino Linotype"/>
          <w:sz w:val="24"/>
          <w:szCs w:val="24"/>
        </w:rPr>
        <w:lastRenderedPageBreak/>
        <w:t xml:space="preserve">pursue graduate research and many of these are capable of investigating, under supervision, likely causes of action. Law schools with sufficient </w:t>
      </w:r>
      <w:r w:rsidR="002C5431" w:rsidRPr="005B4FD0">
        <w:rPr>
          <w:rFonts w:ascii="Palatino Linotype" w:hAnsi="Palatino Linotype"/>
          <w:sz w:val="24"/>
          <w:szCs w:val="24"/>
        </w:rPr>
        <w:t>staff</w:t>
      </w:r>
      <w:r w:rsidRPr="005B4FD0">
        <w:rPr>
          <w:rFonts w:ascii="Palatino Linotype" w:hAnsi="Palatino Linotype"/>
          <w:sz w:val="24"/>
          <w:szCs w:val="24"/>
        </w:rPr>
        <w:t xml:space="preserve"> depth </w:t>
      </w:r>
      <w:r w:rsidR="002C5431" w:rsidRPr="005B4FD0">
        <w:rPr>
          <w:rFonts w:ascii="Palatino Linotype" w:hAnsi="Palatino Linotype"/>
          <w:sz w:val="24"/>
          <w:szCs w:val="24"/>
        </w:rPr>
        <w:t>can also provide</w:t>
      </w:r>
      <w:r w:rsidRPr="005B4FD0">
        <w:rPr>
          <w:rFonts w:ascii="Palatino Linotype" w:hAnsi="Palatino Linotype"/>
          <w:sz w:val="24"/>
          <w:szCs w:val="24"/>
        </w:rPr>
        <w:t xml:space="preserve"> </w:t>
      </w:r>
      <w:r w:rsidR="006A6919" w:rsidRPr="005B4FD0">
        <w:rPr>
          <w:rFonts w:ascii="Palatino Linotype" w:hAnsi="Palatino Linotype"/>
          <w:sz w:val="24"/>
          <w:szCs w:val="24"/>
        </w:rPr>
        <w:t xml:space="preserve">the necessary </w:t>
      </w:r>
      <w:r w:rsidR="005A42CC" w:rsidRPr="005B4FD0">
        <w:rPr>
          <w:rFonts w:ascii="Palatino Linotype" w:hAnsi="Palatino Linotype"/>
          <w:sz w:val="24"/>
          <w:szCs w:val="24"/>
        </w:rPr>
        <w:t>academic and practitioner supervision</w:t>
      </w:r>
      <w:r w:rsidR="006A6919" w:rsidRPr="005B4FD0">
        <w:rPr>
          <w:rFonts w:ascii="Palatino Linotype" w:hAnsi="Palatino Linotype"/>
          <w:sz w:val="24"/>
          <w:szCs w:val="24"/>
        </w:rPr>
        <w:t xml:space="preserve"> for those students</w:t>
      </w:r>
      <w:r w:rsidR="005A42CC" w:rsidRPr="005B4FD0">
        <w:rPr>
          <w:rFonts w:ascii="Palatino Linotype" w:hAnsi="Palatino Linotype"/>
          <w:sz w:val="24"/>
          <w:szCs w:val="24"/>
        </w:rPr>
        <w:t xml:space="preserve">, linked to </w:t>
      </w:r>
      <w:r w:rsidR="006A6919" w:rsidRPr="005B4FD0">
        <w:rPr>
          <w:rFonts w:ascii="Palatino Linotype" w:hAnsi="Palatino Linotype"/>
          <w:sz w:val="24"/>
          <w:szCs w:val="24"/>
        </w:rPr>
        <w:t>now commonplace multi-disciplinary</w:t>
      </w:r>
      <w:r w:rsidR="005A42CC" w:rsidRPr="005B4FD0">
        <w:rPr>
          <w:rFonts w:ascii="Palatino Linotype" w:hAnsi="Palatino Linotype"/>
          <w:sz w:val="24"/>
          <w:szCs w:val="24"/>
        </w:rPr>
        <w:t xml:space="preserve"> sustainability resources of the</w:t>
      </w:r>
      <w:r w:rsidR="006A6919" w:rsidRPr="005B4FD0">
        <w:rPr>
          <w:rFonts w:ascii="Palatino Linotype" w:hAnsi="Palatino Linotype"/>
          <w:sz w:val="24"/>
          <w:szCs w:val="24"/>
        </w:rPr>
        <w:t>ir</w:t>
      </w:r>
      <w:r w:rsidR="005A42CC" w:rsidRPr="005B4FD0">
        <w:rPr>
          <w:rFonts w:ascii="Palatino Linotype" w:hAnsi="Palatino Linotype"/>
          <w:sz w:val="24"/>
          <w:szCs w:val="24"/>
        </w:rPr>
        <w:t xml:space="preserve"> University</w:t>
      </w:r>
      <w:r w:rsidR="006A6919" w:rsidRPr="005B4FD0">
        <w:rPr>
          <w:rFonts w:ascii="Palatino Linotype" w:hAnsi="Palatino Linotype"/>
          <w:sz w:val="24"/>
          <w:szCs w:val="24"/>
        </w:rPr>
        <w:t>. Finally and most importantly, strong law schools are increasingly able to a</w:t>
      </w:r>
      <w:r w:rsidR="005A42CC" w:rsidRPr="005B4FD0">
        <w:rPr>
          <w:rFonts w:ascii="Palatino Linotype" w:hAnsi="Palatino Linotype"/>
          <w:sz w:val="24"/>
          <w:szCs w:val="24"/>
        </w:rPr>
        <w:t xml:space="preserve">ccess </w:t>
      </w:r>
      <w:r w:rsidR="006A6919" w:rsidRPr="005B4FD0">
        <w:rPr>
          <w:rFonts w:ascii="Palatino Linotype" w:hAnsi="Palatino Linotype"/>
          <w:sz w:val="24"/>
          <w:szCs w:val="24"/>
        </w:rPr>
        <w:t xml:space="preserve">high net worth clinical </w:t>
      </w:r>
      <w:r w:rsidR="005A42CC" w:rsidRPr="005B4FD0">
        <w:rPr>
          <w:rFonts w:ascii="Palatino Linotype" w:hAnsi="Palatino Linotype"/>
          <w:sz w:val="24"/>
          <w:szCs w:val="24"/>
        </w:rPr>
        <w:t xml:space="preserve">alumni </w:t>
      </w:r>
      <w:r w:rsidR="006A6919" w:rsidRPr="005B4FD0">
        <w:rPr>
          <w:rFonts w:ascii="Palatino Linotype" w:hAnsi="Palatino Linotype"/>
          <w:sz w:val="24"/>
          <w:szCs w:val="24"/>
        </w:rPr>
        <w:t xml:space="preserve">and </w:t>
      </w:r>
      <w:r w:rsidR="00F72B45" w:rsidRPr="005B4FD0">
        <w:rPr>
          <w:rFonts w:ascii="Palatino Linotype" w:hAnsi="Palatino Linotype"/>
          <w:sz w:val="24"/>
          <w:szCs w:val="24"/>
        </w:rPr>
        <w:t xml:space="preserve">carefully </w:t>
      </w:r>
      <w:r w:rsidR="006A6919" w:rsidRPr="005B4FD0">
        <w:rPr>
          <w:rFonts w:ascii="Palatino Linotype" w:hAnsi="Palatino Linotype"/>
          <w:sz w:val="24"/>
          <w:szCs w:val="24"/>
        </w:rPr>
        <w:t xml:space="preserve">recruit them to provide </w:t>
      </w:r>
      <w:r w:rsidR="005A42CC" w:rsidRPr="005B4FD0">
        <w:rPr>
          <w:rFonts w:ascii="Palatino Linotype" w:hAnsi="Palatino Linotype"/>
          <w:sz w:val="24"/>
          <w:szCs w:val="24"/>
        </w:rPr>
        <w:t xml:space="preserve">the </w:t>
      </w:r>
      <w:r w:rsidR="00F72B45" w:rsidRPr="005B4FD0">
        <w:rPr>
          <w:rFonts w:ascii="Palatino Linotype" w:hAnsi="Palatino Linotype"/>
          <w:sz w:val="24"/>
          <w:szCs w:val="24"/>
        </w:rPr>
        <w:t xml:space="preserve">relatively </w:t>
      </w:r>
      <w:r w:rsidR="005A42CC" w:rsidRPr="005B4FD0">
        <w:rPr>
          <w:rFonts w:ascii="Palatino Linotype" w:hAnsi="Palatino Linotype"/>
          <w:sz w:val="24"/>
          <w:szCs w:val="24"/>
        </w:rPr>
        <w:t xml:space="preserve">high levels of necessary funding for </w:t>
      </w:r>
      <w:r w:rsidR="00F72B45" w:rsidRPr="005B4FD0">
        <w:rPr>
          <w:rFonts w:ascii="Palatino Linotype" w:hAnsi="Palatino Linotype"/>
          <w:sz w:val="24"/>
          <w:szCs w:val="24"/>
        </w:rPr>
        <w:t xml:space="preserve">operating </w:t>
      </w:r>
      <w:r w:rsidR="005A42CC" w:rsidRPr="005B4FD0">
        <w:rPr>
          <w:rFonts w:ascii="Palatino Linotype" w:hAnsi="Palatino Linotype"/>
          <w:sz w:val="24"/>
          <w:szCs w:val="24"/>
        </w:rPr>
        <w:t>costs</w:t>
      </w:r>
      <w:r w:rsidR="00F72B45" w:rsidRPr="005B4FD0">
        <w:rPr>
          <w:rFonts w:ascii="Palatino Linotype" w:hAnsi="Palatino Linotype"/>
          <w:sz w:val="24"/>
          <w:szCs w:val="24"/>
        </w:rPr>
        <w:t xml:space="preserve">, and to meet potential </w:t>
      </w:r>
      <w:r w:rsidR="005A42CC" w:rsidRPr="005B4FD0">
        <w:rPr>
          <w:rFonts w:ascii="Palatino Linotype" w:hAnsi="Palatino Linotype"/>
          <w:sz w:val="24"/>
          <w:szCs w:val="24"/>
        </w:rPr>
        <w:t xml:space="preserve">security </w:t>
      </w:r>
      <w:r w:rsidR="00F72B45" w:rsidRPr="005B4FD0">
        <w:rPr>
          <w:rFonts w:ascii="Palatino Linotype" w:hAnsi="Palatino Linotype"/>
          <w:sz w:val="24"/>
          <w:szCs w:val="24"/>
        </w:rPr>
        <w:t>for</w:t>
      </w:r>
      <w:r w:rsidR="005A42CC" w:rsidRPr="005B4FD0">
        <w:rPr>
          <w:rFonts w:ascii="Palatino Linotype" w:hAnsi="Palatino Linotype"/>
          <w:sz w:val="24"/>
          <w:szCs w:val="24"/>
        </w:rPr>
        <w:t xml:space="preserve"> costs</w:t>
      </w:r>
      <w:r w:rsidR="00F72B45" w:rsidRPr="005B4FD0">
        <w:rPr>
          <w:rFonts w:ascii="Palatino Linotype" w:hAnsi="Palatino Linotype"/>
          <w:sz w:val="24"/>
          <w:szCs w:val="24"/>
        </w:rPr>
        <w:t xml:space="preserve">’ orders. </w:t>
      </w:r>
    </w:p>
    <w:p w14:paraId="4A148F10" w14:textId="7C2D2A01" w:rsidR="005A42CC" w:rsidRDefault="00F72B45" w:rsidP="005B4FD0">
      <w:pPr>
        <w:spacing w:line="480" w:lineRule="auto"/>
        <w:jc w:val="both"/>
        <w:rPr>
          <w:rFonts w:ascii="Palatino Linotype" w:hAnsi="Palatino Linotype"/>
          <w:sz w:val="24"/>
          <w:szCs w:val="24"/>
        </w:rPr>
      </w:pPr>
      <w:r w:rsidRPr="005B4FD0">
        <w:rPr>
          <w:rFonts w:ascii="Palatino Linotype" w:hAnsi="Palatino Linotype"/>
          <w:sz w:val="24"/>
          <w:szCs w:val="24"/>
        </w:rPr>
        <w:t>The key e</w:t>
      </w:r>
      <w:r w:rsidR="00112D20" w:rsidRPr="005B4FD0">
        <w:rPr>
          <w:rFonts w:ascii="Palatino Linotype" w:hAnsi="Palatino Linotype"/>
          <w:sz w:val="24"/>
          <w:szCs w:val="24"/>
        </w:rPr>
        <w:t xml:space="preserve">lement in such recruitment is an alert attitude to possible sources of limited start-up funding and </w:t>
      </w:r>
      <w:r w:rsidRPr="005B4FD0">
        <w:rPr>
          <w:rFonts w:ascii="Palatino Linotype" w:hAnsi="Palatino Linotype"/>
          <w:sz w:val="24"/>
          <w:szCs w:val="24"/>
        </w:rPr>
        <w:t xml:space="preserve">slow, careful engagement with potential </w:t>
      </w:r>
      <w:proofErr w:type="gramStart"/>
      <w:r w:rsidR="00112D20" w:rsidRPr="005B4FD0">
        <w:rPr>
          <w:rFonts w:ascii="Palatino Linotype" w:hAnsi="Palatino Linotype"/>
          <w:sz w:val="24"/>
          <w:szCs w:val="24"/>
        </w:rPr>
        <w:t>long term</w:t>
      </w:r>
      <w:proofErr w:type="gramEnd"/>
      <w:r w:rsidR="00112D20" w:rsidRPr="005B4FD0">
        <w:rPr>
          <w:rFonts w:ascii="Palatino Linotype" w:hAnsi="Palatino Linotype"/>
          <w:sz w:val="24"/>
          <w:szCs w:val="24"/>
        </w:rPr>
        <w:t xml:space="preserve"> </w:t>
      </w:r>
      <w:r w:rsidRPr="005B4FD0">
        <w:rPr>
          <w:rFonts w:ascii="Palatino Linotype" w:hAnsi="Palatino Linotype"/>
          <w:sz w:val="24"/>
          <w:szCs w:val="24"/>
        </w:rPr>
        <w:t xml:space="preserve">donors to the </w:t>
      </w:r>
      <w:r w:rsidR="00112D20" w:rsidRPr="005B4FD0">
        <w:rPr>
          <w:rFonts w:ascii="Palatino Linotype" w:hAnsi="Palatino Linotype"/>
          <w:sz w:val="24"/>
          <w:szCs w:val="24"/>
        </w:rPr>
        <w:t xml:space="preserve">ongoing operating costs of </w:t>
      </w:r>
      <w:r w:rsidRPr="005B4FD0">
        <w:rPr>
          <w:rFonts w:ascii="Palatino Linotype" w:hAnsi="Palatino Linotype"/>
          <w:sz w:val="24"/>
          <w:szCs w:val="24"/>
        </w:rPr>
        <w:t xml:space="preserve">law school clinics. Often, these will be clinical alumni. </w:t>
      </w:r>
      <w:proofErr w:type="gramStart"/>
      <w:r w:rsidRPr="005B4FD0">
        <w:rPr>
          <w:rFonts w:ascii="Palatino Linotype" w:hAnsi="Palatino Linotype"/>
          <w:sz w:val="24"/>
          <w:szCs w:val="24"/>
        </w:rPr>
        <w:t>Some will be known personally to clinic directors, others to dedicated alumni managers of the University</w:t>
      </w:r>
      <w:proofErr w:type="gramEnd"/>
      <w:r w:rsidRPr="005B4FD0">
        <w:rPr>
          <w:rFonts w:ascii="Palatino Linotype" w:hAnsi="Palatino Linotype"/>
          <w:sz w:val="24"/>
          <w:szCs w:val="24"/>
        </w:rPr>
        <w:t xml:space="preserve">. Not to put too fine a point on it, these people need to </w:t>
      </w:r>
      <w:r w:rsidR="00EF33B3" w:rsidRPr="005B4FD0">
        <w:rPr>
          <w:rFonts w:ascii="Palatino Linotype" w:hAnsi="Palatino Linotype"/>
          <w:sz w:val="24"/>
          <w:szCs w:val="24"/>
        </w:rPr>
        <w:t xml:space="preserve">be </w:t>
      </w:r>
      <w:proofErr w:type="gramStart"/>
      <w:r w:rsidRPr="005B4FD0">
        <w:rPr>
          <w:rFonts w:ascii="Palatino Linotype" w:hAnsi="Palatino Linotype"/>
          <w:i/>
          <w:sz w:val="24"/>
          <w:szCs w:val="24"/>
        </w:rPr>
        <w:t>recruited</w:t>
      </w:r>
      <w:proofErr w:type="gramEnd"/>
      <w:r w:rsidR="00EF33B3" w:rsidRPr="005B4FD0">
        <w:rPr>
          <w:rFonts w:ascii="Palatino Linotype" w:hAnsi="Palatino Linotype"/>
          <w:i/>
          <w:sz w:val="24"/>
          <w:szCs w:val="24"/>
        </w:rPr>
        <w:t xml:space="preserve"> </w:t>
      </w:r>
      <w:r w:rsidR="00EF33B3" w:rsidRPr="005B4FD0">
        <w:rPr>
          <w:rFonts w:ascii="Palatino Linotype" w:hAnsi="Palatino Linotype"/>
          <w:sz w:val="24"/>
          <w:szCs w:val="24"/>
        </w:rPr>
        <w:t>to a cause, and then sustained in their involvement</w:t>
      </w:r>
      <w:r w:rsidR="00930589" w:rsidRPr="005B4FD0">
        <w:rPr>
          <w:rFonts w:ascii="Palatino Linotype" w:hAnsi="Palatino Linotype"/>
          <w:sz w:val="24"/>
          <w:szCs w:val="24"/>
        </w:rPr>
        <w:t xml:space="preserve"> in clinic priorities and direction</w:t>
      </w:r>
      <w:r w:rsidR="00EF33B3" w:rsidRPr="005B4FD0">
        <w:rPr>
          <w:rFonts w:ascii="Palatino Linotype" w:hAnsi="Palatino Linotype"/>
          <w:sz w:val="24"/>
          <w:szCs w:val="24"/>
        </w:rPr>
        <w:t xml:space="preserve">, </w:t>
      </w:r>
      <w:r w:rsidR="00930589" w:rsidRPr="005B4FD0">
        <w:rPr>
          <w:rFonts w:ascii="Palatino Linotype" w:hAnsi="Palatino Linotype"/>
          <w:sz w:val="24"/>
          <w:szCs w:val="24"/>
        </w:rPr>
        <w:t>consistent with</w:t>
      </w:r>
      <w:r w:rsidR="00EF33B3" w:rsidRPr="005B4FD0">
        <w:rPr>
          <w:rFonts w:ascii="Palatino Linotype" w:hAnsi="Palatino Linotype"/>
          <w:sz w:val="24"/>
          <w:szCs w:val="24"/>
        </w:rPr>
        <w:t xml:space="preserve"> appropriate governance mechanisms.</w:t>
      </w:r>
    </w:p>
    <w:p w14:paraId="7879EB28" w14:textId="614BA3D4" w:rsidR="000C38CE" w:rsidRPr="005B4FD0" w:rsidRDefault="005A42CC" w:rsidP="005B4FD0">
      <w:pPr>
        <w:spacing w:line="480" w:lineRule="auto"/>
        <w:jc w:val="both"/>
        <w:rPr>
          <w:rFonts w:ascii="Palatino Linotype" w:hAnsi="Palatino Linotype"/>
          <w:b/>
          <w:sz w:val="24"/>
          <w:szCs w:val="24"/>
        </w:rPr>
      </w:pPr>
      <w:r w:rsidRPr="005B4FD0">
        <w:rPr>
          <w:rFonts w:ascii="Palatino Linotype" w:hAnsi="Palatino Linotype"/>
          <w:b/>
          <w:sz w:val="24"/>
          <w:szCs w:val="24"/>
        </w:rPr>
        <w:t>Governance and control - identifying</w:t>
      </w:r>
      <w:r w:rsidR="000C38CE" w:rsidRPr="005B4FD0">
        <w:rPr>
          <w:rFonts w:ascii="Palatino Linotype" w:hAnsi="Palatino Linotype"/>
          <w:b/>
          <w:sz w:val="24"/>
          <w:szCs w:val="24"/>
        </w:rPr>
        <w:t xml:space="preserve"> </w:t>
      </w:r>
      <w:r w:rsidR="00CA4AE5" w:rsidRPr="005B4FD0">
        <w:rPr>
          <w:rFonts w:ascii="Palatino Linotype" w:hAnsi="Palatino Linotype"/>
          <w:b/>
          <w:sz w:val="24"/>
          <w:szCs w:val="24"/>
        </w:rPr>
        <w:t>key</w:t>
      </w:r>
      <w:r w:rsidR="000C38CE" w:rsidRPr="005B4FD0">
        <w:rPr>
          <w:rFonts w:ascii="Palatino Linotype" w:hAnsi="Palatino Linotype"/>
          <w:b/>
          <w:sz w:val="24"/>
          <w:szCs w:val="24"/>
        </w:rPr>
        <w:t xml:space="preserve"> partner</w:t>
      </w:r>
      <w:r w:rsidRPr="005B4FD0">
        <w:rPr>
          <w:rFonts w:ascii="Palatino Linotype" w:hAnsi="Palatino Linotype"/>
          <w:b/>
          <w:sz w:val="24"/>
          <w:szCs w:val="24"/>
        </w:rPr>
        <w:t>s</w:t>
      </w:r>
    </w:p>
    <w:p w14:paraId="2721A9BE" w14:textId="5F5811D8" w:rsidR="00D626A7" w:rsidRPr="005B4FD0" w:rsidRDefault="00930589" w:rsidP="005B4FD0">
      <w:pPr>
        <w:spacing w:line="480" w:lineRule="auto"/>
        <w:jc w:val="both"/>
        <w:rPr>
          <w:rFonts w:ascii="Palatino Linotype" w:hAnsi="Palatino Linotype"/>
          <w:sz w:val="24"/>
          <w:szCs w:val="24"/>
        </w:rPr>
      </w:pPr>
      <w:r w:rsidRPr="005B4FD0">
        <w:rPr>
          <w:rFonts w:ascii="Palatino Linotype" w:hAnsi="Palatino Linotype"/>
          <w:sz w:val="24"/>
          <w:szCs w:val="24"/>
        </w:rPr>
        <w:t>Govern</w:t>
      </w:r>
      <w:r w:rsidR="00D626A7" w:rsidRPr="005B4FD0">
        <w:rPr>
          <w:rFonts w:ascii="Palatino Linotype" w:hAnsi="Palatino Linotype"/>
          <w:sz w:val="24"/>
          <w:szCs w:val="24"/>
        </w:rPr>
        <w:t>ance of</w:t>
      </w:r>
      <w:r w:rsidRPr="005B4FD0">
        <w:rPr>
          <w:rFonts w:ascii="Palatino Linotype" w:hAnsi="Palatino Linotype"/>
          <w:sz w:val="24"/>
          <w:szCs w:val="24"/>
        </w:rPr>
        <w:t xml:space="preserve"> a climate defence clinic is an especially important task, something that </w:t>
      </w:r>
      <w:proofErr w:type="gramStart"/>
      <w:r w:rsidRPr="005B4FD0">
        <w:rPr>
          <w:rFonts w:ascii="Palatino Linotype" w:hAnsi="Palatino Linotype"/>
          <w:sz w:val="24"/>
          <w:szCs w:val="24"/>
        </w:rPr>
        <w:t xml:space="preserve">cannot be fudged or </w:t>
      </w:r>
      <w:r w:rsidR="00D626A7" w:rsidRPr="005B4FD0">
        <w:rPr>
          <w:rFonts w:ascii="Palatino Linotype" w:hAnsi="Palatino Linotype"/>
          <w:sz w:val="24"/>
          <w:szCs w:val="24"/>
        </w:rPr>
        <w:t>rushed</w:t>
      </w:r>
      <w:proofErr w:type="gramEnd"/>
      <w:r w:rsidR="00D626A7" w:rsidRPr="005B4FD0">
        <w:rPr>
          <w:rFonts w:ascii="Palatino Linotype" w:hAnsi="Palatino Linotype"/>
          <w:sz w:val="24"/>
          <w:szCs w:val="24"/>
        </w:rPr>
        <w:t>. The potential for political and financial missteps is real and accordingly, a strong</w:t>
      </w:r>
      <w:r w:rsidR="00975BCA" w:rsidRPr="005B4FD0">
        <w:rPr>
          <w:rFonts w:ascii="Palatino Linotype" w:hAnsi="Palatino Linotype"/>
          <w:sz w:val="24"/>
          <w:szCs w:val="24"/>
        </w:rPr>
        <w:t xml:space="preserve">, </w:t>
      </w:r>
      <w:r w:rsidR="00D626A7" w:rsidRPr="005B4FD0">
        <w:rPr>
          <w:rFonts w:ascii="Palatino Linotype" w:hAnsi="Palatino Linotype"/>
          <w:sz w:val="24"/>
          <w:szCs w:val="24"/>
        </w:rPr>
        <w:t xml:space="preserve">unified </w:t>
      </w:r>
      <w:r w:rsidR="00975BCA" w:rsidRPr="005B4FD0">
        <w:rPr>
          <w:rFonts w:ascii="Palatino Linotype" w:hAnsi="Palatino Linotype"/>
          <w:sz w:val="24"/>
          <w:szCs w:val="24"/>
        </w:rPr>
        <w:t xml:space="preserve">and specialised </w:t>
      </w:r>
      <w:r w:rsidR="00D626A7" w:rsidRPr="005B4FD0">
        <w:rPr>
          <w:rFonts w:ascii="Palatino Linotype" w:hAnsi="Palatino Linotype"/>
          <w:sz w:val="24"/>
          <w:szCs w:val="24"/>
        </w:rPr>
        <w:t xml:space="preserve">advisory board is justified, </w:t>
      </w:r>
      <w:r w:rsidR="00975BCA" w:rsidRPr="005B4FD0">
        <w:rPr>
          <w:rFonts w:ascii="Palatino Linotype" w:hAnsi="Palatino Linotype"/>
          <w:sz w:val="24"/>
          <w:szCs w:val="24"/>
        </w:rPr>
        <w:t>separate from</w:t>
      </w:r>
      <w:r w:rsidR="00D626A7" w:rsidRPr="005B4FD0">
        <w:rPr>
          <w:rFonts w:ascii="Palatino Linotype" w:hAnsi="Palatino Linotype"/>
          <w:sz w:val="24"/>
          <w:szCs w:val="24"/>
        </w:rPr>
        <w:t xml:space="preserve"> any pre-existing and overarching clinical program advisory group </w:t>
      </w:r>
      <w:r w:rsidR="00975BCA" w:rsidRPr="005B4FD0">
        <w:rPr>
          <w:rFonts w:ascii="Palatino Linotype" w:hAnsi="Palatino Linotype"/>
          <w:sz w:val="24"/>
          <w:szCs w:val="24"/>
        </w:rPr>
        <w:t>that will lack a close knowledge of climate law and climate networks</w:t>
      </w:r>
      <w:r w:rsidR="00D626A7" w:rsidRPr="005B4FD0">
        <w:rPr>
          <w:rFonts w:ascii="Palatino Linotype" w:hAnsi="Palatino Linotype"/>
          <w:sz w:val="24"/>
          <w:szCs w:val="24"/>
        </w:rPr>
        <w:t xml:space="preserve">. </w:t>
      </w:r>
    </w:p>
    <w:p w14:paraId="3C5FEC29" w14:textId="7F9980A7" w:rsidR="004F1454" w:rsidRPr="005B4FD0" w:rsidRDefault="001A709B" w:rsidP="005B4FD0">
      <w:pPr>
        <w:spacing w:line="480" w:lineRule="auto"/>
        <w:jc w:val="both"/>
        <w:rPr>
          <w:rFonts w:ascii="Palatino Linotype" w:hAnsi="Palatino Linotype"/>
          <w:sz w:val="24"/>
          <w:szCs w:val="24"/>
        </w:rPr>
      </w:pPr>
      <w:proofErr w:type="gramStart"/>
      <w:r w:rsidRPr="005B4FD0">
        <w:rPr>
          <w:rFonts w:ascii="Palatino Linotype" w:hAnsi="Palatino Linotype"/>
          <w:sz w:val="24"/>
          <w:szCs w:val="24"/>
        </w:rPr>
        <w:lastRenderedPageBreak/>
        <w:t>I</w:t>
      </w:r>
      <w:r w:rsidR="00D626A7" w:rsidRPr="005B4FD0">
        <w:rPr>
          <w:rFonts w:ascii="Palatino Linotype" w:hAnsi="Palatino Linotype"/>
          <w:sz w:val="24"/>
          <w:szCs w:val="24"/>
        </w:rPr>
        <w:t>deally, th</w:t>
      </w:r>
      <w:r w:rsidR="00D10CA9" w:rsidRPr="005B4FD0">
        <w:rPr>
          <w:rFonts w:ascii="Palatino Linotype" w:hAnsi="Palatino Linotype"/>
          <w:sz w:val="24"/>
          <w:szCs w:val="24"/>
        </w:rPr>
        <w:t>is</w:t>
      </w:r>
      <w:r w:rsidR="00D626A7" w:rsidRPr="005B4FD0">
        <w:rPr>
          <w:rFonts w:ascii="Palatino Linotype" w:hAnsi="Palatino Linotype"/>
          <w:sz w:val="24"/>
          <w:szCs w:val="24"/>
        </w:rPr>
        <w:t xml:space="preserve"> purpose-constructed climate defence advisory group will consist of </w:t>
      </w:r>
      <w:r w:rsidR="00D10CA9" w:rsidRPr="005B4FD0">
        <w:rPr>
          <w:rFonts w:ascii="Palatino Linotype" w:hAnsi="Palatino Linotype"/>
          <w:sz w:val="24"/>
          <w:szCs w:val="24"/>
        </w:rPr>
        <w:t>five people</w:t>
      </w:r>
      <w:r w:rsidR="005E5B74" w:rsidRPr="005B4FD0">
        <w:rPr>
          <w:rFonts w:ascii="Palatino Linotype" w:hAnsi="Palatino Linotype"/>
          <w:sz w:val="24"/>
          <w:szCs w:val="24"/>
        </w:rPr>
        <w:t xml:space="preserve"> with gender diversity</w:t>
      </w:r>
      <w:r w:rsidR="00D10CA9" w:rsidRPr="005B4FD0">
        <w:rPr>
          <w:rFonts w:ascii="Palatino Linotype" w:hAnsi="Palatino Linotype"/>
          <w:sz w:val="24"/>
          <w:szCs w:val="24"/>
        </w:rPr>
        <w:t xml:space="preserve">: </w:t>
      </w:r>
      <w:r w:rsidR="00D626A7" w:rsidRPr="005B4FD0">
        <w:rPr>
          <w:rFonts w:ascii="Palatino Linotype" w:hAnsi="Palatino Linotype"/>
          <w:sz w:val="24"/>
          <w:szCs w:val="24"/>
        </w:rPr>
        <w:t>a managing partner of a significant</w:t>
      </w:r>
      <w:r w:rsidR="00930589" w:rsidRPr="005B4FD0">
        <w:rPr>
          <w:rFonts w:ascii="Palatino Linotype" w:hAnsi="Palatino Linotype"/>
          <w:sz w:val="24"/>
          <w:szCs w:val="24"/>
        </w:rPr>
        <w:t xml:space="preserve"> mid-tier</w:t>
      </w:r>
      <w:r w:rsidR="00D10CA9" w:rsidRPr="005B4FD0">
        <w:rPr>
          <w:rFonts w:ascii="Palatino Linotype" w:hAnsi="Palatino Linotype"/>
          <w:sz w:val="24"/>
          <w:szCs w:val="24"/>
        </w:rPr>
        <w:t xml:space="preserve"> commercial law</w:t>
      </w:r>
      <w:r w:rsidR="00930589" w:rsidRPr="005B4FD0">
        <w:rPr>
          <w:rFonts w:ascii="Palatino Linotype" w:hAnsi="Palatino Linotype"/>
          <w:sz w:val="24"/>
          <w:szCs w:val="24"/>
        </w:rPr>
        <w:t xml:space="preserve"> firm</w:t>
      </w:r>
      <w:r w:rsidR="00D10CA9" w:rsidRPr="005B4FD0">
        <w:rPr>
          <w:rFonts w:ascii="Palatino Linotype" w:hAnsi="Palatino Linotype"/>
          <w:sz w:val="24"/>
          <w:szCs w:val="24"/>
        </w:rPr>
        <w:t xml:space="preserve"> (which will be prepared to support climate litigation </w:t>
      </w:r>
      <w:r w:rsidR="007F342A" w:rsidRPr="005B4FD0">
        <w:rPr>
          <w:rFonts w:ascii="Palatino Linotype" w:hAnsi="Palatino Linotype"/>
          <w:sz w:val="24"/>
          <w:szCs w:val="24"/>
        </w:rPr>
        <w:t xml:space="preserve">and clinical supervision </w:t>
      </w:r>
      <w:r w:rsidR="00D10CA9" w:rsidRPr="005B4FD0">
        <w:rPr>
          <w:rFonts w:ascii="Palatino Linotype" w:hAnsi="Palatino Linotype"/>
          <w:sz w:val="24"/>
          <w:szCs w:val="24"/>
        </w:rPr>
        <w:t>pro bono</w:t>
      </w:r>
      <w:r w:rsidR="005E5B74" w:rsidRPr="005B4FD0">
        <w:rPr>
          <w:rFonts w:ascii="Palatino Linotype" w:hAnsi="Palatino Linotype"/>
          <w:sz w:val="24"/>
          <w:szCs w:val="24"/>
        </w:rPr>
        <w:t>, and which is unlikely to be conflicted out because of the commercial interests that are almost certain to be a problem with the largest firms</w:t>
      </w:r>
      <w:r w:rsidR="00D10CA9" w:rsidRPr="005B4FD0">
        <w:rPr>
          <w:rFonts w:ascii="Palatino Linotype" w:hAnsi="Palatino Linotype"/>
          <w:sz w:val="24"/>
          <w:szCs w:val="24"/>
        </w:rPr>
        <w:t>)</w:t>
      </w:r>
      <w:r w:rsidR="00D626A7" w:rsidRPr="005B4FD0">
        <w:rPr>
          <w:rFonts w:ascii="Palatino Linotype" w:hAnsi="Palatino Linotype"/>
          <w:sz w:val="24"/>
          <w:szCs w:val="24"/>
        </w:rPr>
        <w:t xml:space="preserve">, a </w:t>
      </w:r>
      <w:r w:rsidR="00930589" w:rsidRPr="005B4FD0">
        <w:rPr>
          <w:rFonts w:ascii="Palatino Linotype" w:hAnsi="Palatino Linotype"/>
          <w:sz w:val="24"/>
          <w:szCs w:val="24"/>
        </w:rPr>
        <w:t>major relevant NGO</w:t>
      </w:r>
      <w:r w:rsidR="00D626A7" w:rsidRPr="005B4FD0">
        <w:rPr>
          <w:rFonts w:ascii="Palatino Linotype" w:hAnsi="Palatino Linotype"/>
          <w:sz w:val="24"/>
          <w:szCs w:val="24"/>
        </w:rPr>
        <w:t xml:space="preserve"> from the environmental law sector</w:t>
      </w:r>
      <w:r w:rsidR="00D10CA9" w:rsidRPr="005B4FD0">
        <w:rPr>
          <w:rFonts w:ascii="Palatino Linotype" w:hAnsi="Palatino Linotype"/>
          <w:sz w:val="24"/>
          <w:szCs w:val="24"/>
        </w:rPr>
        <w:t xml:space="preserve"> (which will provide relevant environmental network expertise and advice), a law school environmental law/ climate law academic and fourthly, a representative of the University’s own sustainability network, institute or centre.</w:t>
      </w:r>
      <w:proofErr w:type="gramEnd"/>
      <w:r w:rsidR="00D10CA9" w:rsidRPr="005B4FD0">
        <w:rPr>
          <w:rFonts w:ascii="Palatino Linotype" w:hAnsi="Palatino Linotype"/>
          <w:sz w:val="24"/>
          <w:szCs w:val="24"/>
        </w:rPr>
        <w:t xml:space="preserve"> The fifth member will be its nominal chair, and ideally, this person will be the overall director of the law school’s clinical programs. </w:t>
      </w:r>
      <w:r w:rsidR="005E5B74" w:rsidRPr="005B4FD0">
        <w:rPr>
          <w:rFonts w:ascii="Palatino Linotype" w:hAnsi="Palatino Linotype"/>
          <w:sz w:val="24"/>
          <w:szCs w:val="24"/>
        </w:rPr>
        <w:t xml:space="preserve">Note that three of the five members of this body, which is advisory not determinative, are University employed, ensuring that </w:t>
      </w:r>
      <w:r w:rsidR="0020373E" w:rsidRPr="005B4FD0">
        <w:rPr>
          <w:rFonts w:ascii="Palatino Linotype" w:hAnsi="Palatino Linotype"/>
          <w:sz w:val="24"/>
          <w:szCs w:val="24"/>
        </w:rPr>
        <w:t xml:space="preserve">effective </w:t>
      </w:r>
      <w:r w:rsidR="004F1454" w:rsidRPr="005B4FD0">
        <w:rPr>
          <w:rFonts w:ascii="Palatino Linotype" w:hAnsi="Palatino Linotype"/>
          <w:sz w:val="24"/>
          <w:szCs w:val="24"/>
        </w:rPr>
        <w:t>control rests with the law school</w:t>
      </w:r>
      <w:r w:rsidR="008E3F33" w:rsidRPr="005B4FD0">
        <w:rPr>
          <w:rFonts w:ascii="Palatino Linotype" w:hAnsi="Palatino Linotype"/>
          <w:sz w:val="24"/>
          <w:szCs w:val="24"/>
        </w:rPr>
        <w:t>,</w:t>
      </w:r>
      <w:r w:rsidR="00D67B89" w:rsidRPr="005B4FD0">
        <w:rPr>
          <w:rStyle w:val="FootnoteReference"/>
          <w:rFonts w:ascii="Palatino Linotype" w:hAnsi="Palatino Linotype"/>
          <w:sz w:val="24"/>
          <w:szCs w:val="24"/>
        </w:rPr>
        <w:footnoteReference w:id="8"/>
      </w:r>
      <w:r w:rsidR="008E3F33" w:rsidRPr="005B4FD0">
        <w:rPr>
          <w:rFonts w:ascii="Palatino Linotype" w:hAnsi="Palatino Linotype"/>
          <w:sz w:val="24"/>
          <w:szCs w:val="24"/>
        </w:rPr>
        <w:t xml:space="preserve"> </w:t>
      </w:r>
      <w:r w:rsidR="0020373E" w:rsidRPr="005B4FD0">
        <w:rPr>
          <w:rFonts w:ascii="Palatino Linotype" w:hAnsi="Palatino Linotype"/>
          <w:sz w:val="24"/>
          <w:szCs w:val="24"/>
        </w:rPr>
        <w:t xml:space="preserve">in order to protect </w:t>
      </w:r>
      <w:r w:rsidR="008E3F33" w:rsidRPr="005B4FD0">
        <w:rPr>
          <w:rFonts w:ascii="Palatino Linotype" w:hAnsi="Palatino Linotype"/>
          <w:sz w:val="24"/>
          <w:szCs w:val="24"/>
        </w:rPr>
        <w:t xml:space="preserve">the educational objective of the clinic </w:t>
      </w:r>
      <w:r w:rsidR="0020373E" w:rsidRPr="005B4FD0">
        <w:rPr>
          <w:rFonts w:ascii="Palatino Linotype" w:hAnsi="Palatino Linotype"/>
          <w:sz w:val="24"/>
          <w:szCs w:val="24"/>
        </w:rPr>
        <w:t>and ensure the same is</w:t>
      </w:r>
      <w:r w:rsidR="008E3F33" w:rsidRPr="005B4FD0">
        <w:rPr>
          <w:rFonts w:ascii="Palatino Linotype" w:hAnsi="Palatino Linotype"/>
          <w:sz w:val="24"/>
          <w:szCs w:val="24"/>
        </w:rPr>
        <w:t xml:space="preserve"> </w:t>
      </w:r>
      <w:r w:rsidR="006B28C2" w:rsidRPr="005B4FD0">
        <w:rPr>
          <w:rFonts w:ascii="Palatino Linotype" w:hAnsi="Palatino Linotype"/>
          <w:sz w:val="24"/>
          <w:szCs w:val="24"/>
        </w:rPr>
        <w:t>pursued alongside the access to justice objective</w:t>
      </w:r>
      <w:r w:rsidR="00177EBC" w:rsidRPr="005B4FD0">
        <w:rPr>
          <w:rFonts w:ascii="Palatino Linotype" w:hAnsi="Palatino Linotype"/>
          <w:sz w:val="24"/>
          <w:szCs w:val="24"/>
        </w:rPr>
        <w:t>,</w:t>
      </w:r>
      <w:r w:rsidR="006B28C2" w:rsidRPr="005B4FD0">
        <w:rPr>
          <w:rFonts w:ascii="Palatino Linotype" w:hAnsi="Palatino Linotype"/>
          <w:sz w:val="24"/>
          <w:szCs w:val="24"/>
        </w:rPr>
        <w:t xml:space="preserve"> and </w:t>
      </w:r>
      <w:r w:rsidR="008E3F33" w:rsidRPr="005B4FD0">
        <w:rPr>
          <w:rFonts w:ascii="Palatino Linotype" w:hAnsi="Palatino Linotype"/>
          <w:sz w:val="24"/>
          <w:szCs w:val="24"/>
        </w:rPr>
        <w:t xml:space="preserve">not relegated behind </w:t>
      </w:r>
      <w:r w:rsidR="006B28C2" w:rsidRPr="005B4FD0">
        <w:rPr>
          <w:rFonts w:ascii="Palatino Linotype" w:hAnsi="Palatino Linotype"/>
          <w:sz w:val="24"/>
          <w:szCs w:val="24"/>
        </w:rPr>
        <w:t>same</w:t>
      </w:r>
      <w:r w:rsidR="008E3F33" w:rsidRPr="005B4FD0">
        <w:rPr>
          <w:rFonts w:ascii="Palatino Linotype" w:hAnsi="Palatino Linotype"/>
          <w:sz w:val="24"/>
          <w:szCs w:val="24"/>
        </w:rPr>
        <w:t>.</w:t>
      </w:r>
    </w:p>
    <w:p w14:paraId="3500E50C" w14:textId="0A762748" w:rsidR="00EF33B3" w:rsidRPr="005B4FD0" w:rsidRDefault="00EF33B3" w:rsidP="005B4FD0">
      <w:pPr>
        <w:spacing w:line="480" w:lineRule="auto"/>
        <w:jc w:val="both"/>
        <w:rPr>
          <w:rFonts w:ascii="Palatino Linotype" w:hAnsi="Palatino Linotype"/>
          <w:b/>
          <w:sz w:val="24"/>
          <w:szCs w:val="24"/>
        </w:rPr>
      </w:pPr>
      <w:r w:rsidRPr="005B4FD0">
        <w:rPr>
          <w:rFonts w:ascii="Palatino Linotype" w:hAnsi="Palatino Linotype"/>
          <w:b/>
          <w:sz w:val="24"/>
          <w:szCs w:val="24"/>
        </w:rPr>
        <w:t>A role for the donor(s), consistent with advice, but not control</w:t>
      </w:r>
    </w:p>
    <w:p w14:paraId="3D56F087" w14:textId="7EDC59A5" w:rsidR="005E5B74" w:rsidRPr="005B4FD0" w:rsidRDefault="005E5B74" w:rsidP="005B4FD0">
      <w:pPr>
        <w:spacing w:line="480" w:lineRule="auto"/>
        <w:jc w:val="both"/>
        <w:rPr>
          <w:rFonts w:ascii="Palatino Linotype" w:hAnsi="Palatino Linotype"/>
          <w:sz w:val="24"/>
          <w:szCs w:val="24"/>
        </w:rPr>
      </w:pPr>
      <w:r w:rsidRPr="005B4FD0">
        <w:rPr>
          <w:rFonts w:ascii="Palatino Linotype" w:hAnsi="Palatino Linotype"/>
          <w:sz w:val="24"/>
          <w:szCs w:val="24"/>
        </w:rPr>
        <w:t xml:space="preserve">Major alumni and other donors to the clinic are </w:t>
      </w:r>
      <w:r w:rsidR="003B45B4" w:rsidRPr="005B4FD0">
        <w:rPr>
          <w:rFonts w:ascii="Palatino Linotype" w:hAnsi="Palatino Linotype"/>
          <w:sz w:val="24"/>
          <w:szCs w:val="24"/>
        </w:rPr>
        <w:t xml:space="preserve">also </w:t>
      </w:r>
      <w:r w:rsidRPr="005B4FD0">
        <w:rPr>
          <w:rFonts w:ascii="Palatino Linotype" w:hAnsi="Palatino Linotype"/>
          <w:sz w:val="24"/>
          <w:szCs w:val="24"/>
        </w:rPr>
        <w:t xml:space="preserve">likely to want </w:t>
      </w:r>
      <w:r w:rsidR="003B45B4" w:rsidRPr="005B4FD0">
        <w:rPr>
          <w:rFonts w:ascii="Palatino Linotype" w:hAnsi="Palatino Linotype"/>
          <w:sz w:val="24"/>
          <w:szCs w:val="24"/>
        </w:rPr>
        <w:t xml:space="preserve">a seat at the management table, consistent with the ownership they may feel that arises from their status as </w:t>
      </w:r>
      <w:r w:rsidR="00F06F84" w:rsidRPr="005B4FD0">
        <w:rPr>
          <w:rFonts w:ascii="Palatino Linotype" w:hAnsi="Palatino Linotype"/>
          <w:sz w:val="24"/>
          <w:szCs w:val="24"/>
        </w:rPr>
        <w:t xml:space="preserve">significant </w:t>
      </w:r>
      <w:r w:rsidR="003B45B4" w:rsidRPr="005B4FD0">
        <w:rPr>
          <w:rFonts w:ascii="Palatino Linotype" w:hAnsi="Palatino Linotype"/>
          <w:sz w:val="24"/>
          <w:szCs w:val="24"/>
        </w:rPr>
        <w:t xml:space="preserve">donors. It is essential to be clear with donors that donation does not equate to control, but does </w:t>
      </w:r>
      <w:r w:rsidR="00D14921" w:rsidRPr="005B4FD0">
        <w:rPr>
          <w:rFonts w:ascii="Palatino Linotype" w:hAnsi="Palatino Linotype"/>
          <w:sz w:val="24"/>
          <w:szCs w:val="24"/>
        </w:rPr>
        <w:t>come with an</w:t>
      </w:r>
      <w:r w:rsidR="006644E2" w:rsidRPr="005B4FD0">
        <w:rPr>
          <w:rFonts w:ascii="Palatino Linotype" w:hAnsi="Palatino Linotype"/>
          <w:sz w:val="24"/>
          <w:szCs w:val="24"/>
        </w:rPr>
        <w:t xml:space="preserve"> </w:t>
      </w:r>
      <w:r w:rsidR="00D14921" w:rsidRPr="005B4FD0">
        <w:rPr>
          <w:rFonts w:ascii="Palatino Linotype" w:hAnsi="Palatino Linotype"/>
          <w:sz w:val="24"/>
          <w:szCs w:val="24"/>
        </w:rPr>
        <w:t>expectation</w:t>
      </w:r>
      <w:r w:rsidR="003B45B4" w:rsidRPr="005B4FD0">
        <w:rPr>
          <w:rFonts w:ascii="Palatino Linotype" w:hAnsi="Palatino Linotype"/>
          <w:sz w:val="24"/>
          <w:szCs w:val="24"/>
        </w:rPr>
        <w:t xml:space="preserve"> to </w:t>
      </w:r>
      <w:proofErr w:type="gramStart"/>
      <w:r w:rsidR="003B45B4" w:rsidRPr="005B4FD0">
        <w:rPr>
          <w:rFonts w:ascii="Palatino Linotype" w:hAnsi="Palatino Linotype"/>
          <w:sz w:val="24"/>
          <w:szCs w:val="24"/>
        </w:rPr>
        <w:t>be consulted</w:t>
      </w:r>
      <w:proofErr w:type="gramEnd"/>
      <w:r w:rsidR="003B45B4" w:rsidRPr="005B4FD0">
        <w:rPr>
          <w:rFonts w:ascii="Palatino Linotype" w:hAnsi="Palatino Linotype"/>
          <w:sz w:val="24"/>
          <w:szCs w:val="24"/>
        </w:rPr>
        <w:t xml:space="preserve">. Accordingly, if any particular donor is </w:t>
      </w:r>
      <w:r w:rsidR="003B45B4" w:rsidRPr="005B4FD0">
        <w:rPr>
          <w:rFonts w:ascii="Palatino Linotype" w:hAnsi="Palatino Linotype"/>
          <w:sz w:val="24"/>
          <w:szCs w:val="24"/>
        </w:rPr>
        <w:lastRenderedPageBreak/>
        <w:t xml:space="preserve">insistent on a veto of </w:t>
      </w:r>
      <w:r w:rsidR="007729FB" w:rsidRPr="005B4FD0">
        <w:rPr>
          <w:rFonts w:ascii="Palatino Linotype" w:hAnsi="Palatino Linotype"/>
          <w:sz w:val="24"/>
          <w:szCs w:val="24"/>
        </w:rPr>
        <w:t xml:space="preserve">clinic </w:t>
      </w:r>
      <w:r w:rsidR="003B45B4" w:rsidRPr="005B4FD0">
        <w:rPr>
          <w:rFonts w:ascii="Palatino Linotype" w:hAnsi="Palatino Linotype"/>
          <w:sz w:val="24"/>
          <w:szCs w:val="24"/>
        </w:rPr>
        <w:t xml:space="preserve">litigation decisions, their donation ought to be </w:t>
      </w:r>
      <w:proofErr w:type="gramStart"/>
      <w:r w:rsidR="00971D4E" w:rsidRPr="005B4FD0">
        <w:rPr>
          <w:rFonts w:ascii="Palatino Linotype" w:hAnsi="Palatino Linotype"/>
          <w:sz w:val="24"/>
          <w:szCs w:val="24"/>
        </w:rPr>
        <w:t>clarified</w:t>
      </w:r>
      <w:proofErr w:type="gramEnd"/>
      <w:r w:rsidR="00971D4E" w:rsidRPr="005B4FD0">
        <w:rPr>
          <w:rFonts w:ascii="Palatino Linotype" w:hAnsi="Palatino Linotype"/>
          <w:sz w:val="24"/>
          <w:szCs w:val="24"/>
        </w:rPr>
        <w:t xml:space="preserve"> and if necessary, </w:t>
      </w:r>
      <w:r w:rsidR="003B45B4" w:rsidRPr="005B4FD0">
        <w:rPr>
          <w:rFonts w:ascii="Palatino Linotype" w:hAnsi="Palatino Linotype"/>
          <w:sz w:val="24"/>
          <w:szCs w:val="24"/>
        </w:rPr>
        <w:t>respectfully declined</w:t>
      </w:r>
      <w:r w:rsidR="007729FB" w:rsidRPr="005B4FD0">
        <w:rPr>
          <w:rFonts w:ascii="Palatino Linotype" w:hAnsi="Palatino Linotype"/>
          <w:sz w:val="24"/>
          <w:szCs w:val="24"/>
        </w:rPr>
        <w:t xml:space="preserve"> with the above reasons given. This position is</w:t>
      </w:r>
      <w:r w:rsidR="00F06F84" w:rsidRPr="005B4FD0">
        <w:rPr>
          <w:rFonts w:ascii="Palatino Linotype" w:hAnsi="Palatino Linotype"/>
          <w:sz w:val="24"/>
          <w:szCs w:val="24"/>
        </w:rPr>
        <w:t xml:space="preserve"> in any event,</w:t>
      </w:r>
      <w:r w:rsidR="007729FB" w:rsidRPr="005B4FD0">
        <w:rPr>
          <w:rFonts w:ascii="Palatino Linotype" w:hAnsi="Palatino Linotype"/>
          <w:sz w:val="24"/>
          <w:szCs w:val="24"/>
        </w:rPr>
        <w:t xml:space="preserve"> </w:t>
      </w:r>
      <w:r w:rsidR="00971D4E" w:rsidRPr="005B4FD0">
        <w:rPr>
          <w:rFonts w:ascii="Palatino Linotype" w:hAnsi="Palatino Linotype"/>
          <w:sz w:val="24"/>
          <w:szCs w:val="24"/>
        </w:rPr>
        <w:t xml:space="preserve">very </w:t>
      </w:r>
      <w:r w:rsidR="007729FB" w:rsidRPr="005B4FD0">
        <w:rPr>
          <w:rFonts w:ascii="Palatino Linotype" w:hAnsi="Palatino Linotype"/>
          <w:sz w:val="24"/>
          <w:szCs w:val="24"/>
        </w:rPr>
        <w:t xml:space="preserve">likely to be consistent with general University attitudes to donors’ conditions. </w:t>
      </w:r>
      <w:proofErr w:type="gramStart"/>
      <w:r w:rsidR="007729FB" w:rsidRPr="005B4FD0">
        <w:rPr>
          <w:rFonts w:ascii="Palatino Linotype" w:hAnsi="Palatino Linotype"/>
          <w:sz w:val="24"/>
          <w:szCs w:val="24"/>
        </w:rPr>
        <w:t>But</w:t>
      </w:r>
      <w:proofErr w:type="gramEnd"/>
      <w:r w:rsidR="007729FB" w:rsidRPr="005B4FD0">
        <w:rPr>
          <w:rFonts w:ascii="Palatino Linotype" w:hAnsi="Palatino Linotype"/>
          <w:sz w:val="24"/>
          <w:szCs w:val="24"/>
        </w:rPr>
        <w:t xml:space="preserve"> donor</w:t>
      </w:r>
      <w:r w:rsidR="00F06F84" w:rsidRPr="005B4FD0">
        <w:rPr>
          <w:rFonts w:ascii="Palatino Linotype" w:hAnsi="Palatino Linotype"/>
          <w:sz w:val="24"/>
          <w:szCs w:val="24"/>
        </w:rPr>
        <w:t>s’ trust must be respected and they</w:t>
      </w:r>
      <w:r w:rsidR="007729FB" w:rsidRPr="005B4FD0">
        <w:rPr>
          <w:rFonts w:ascii="Palatino Linotype" w:hAnsi="Palatino Linotype"/>
          <w:sz w:val="24"/>
          <w:szCs w:val="24"/>
        </w:rPr>
        <w:t xml:space="preserve"> must be regularly consulted and </w:t>
      </w:r>
      <w:r w:rsidR="00D14921" w:rsidRPr="005B4FD0">
        <w:rPr>
          <w:rFonts w:ascii="Palatino Linotype" w:hAnsi="Palatino Linotype"/>
          <w:sz w:val="24"/>
          <w:szCs w:val="24"/>
        </w:rPr>
        <w:t>listened to. And</w:t>
      </w:r>
      <w:r w:rsidR="007729FB" w:rsidRPr="005B4FD0">
        <w:rPr>
          <w:rFonts w:ascii="Palatino Linotype" w:hAnsi="Palatino Linotype"/>
          <w:sz w:val="24"/>
          <w:szCs w:val="24"/>
        </w:rPr>
        <w:t xml:space="preserve"> for this reason, it </w:t>
      </w:r>
      <w:proofErr w:type="gramStart"/>
      <w:r w:rsidR="007729FB" w:rsidRPr="005B4FD0">
        <w:rPr>
          <w:rFonts w:ascii="Palatino Linotype" w:hAnsi="Palatino Linotype"/>
          <w:sz w:val="24"/>
          <w:szCs w:val="24"/>
        </w:rPr>
        <w:t>is also</w:t>
      </w:r>
      <w:proofErr w:type="gramEnd"/>
      <w:r w:rsidR="007729FB" w:rsidRPr="005B4FD0">
        <w:rPr>
          <w:rFonts w:ascii="Palatino Linotype" w:hAnsi="Palatino Linotype"/>
          <w:sz w:val="24"/>
          <w:szCs w:val="24"/>
        </w:rPr>
        <w:t xml:space="preserve"> important to regularly invite donors to be observers at advisory board meetings, and to make presentations on the issues that they think are important. </w:t>
      </w:r>
      <w:r w:rsidR="00971D4E" w:rsidRPr="005B4FD0">
        <w:rPr>
          <w:rFonts w:ascii="Palatino Linotype" w:hAnsi="Palatino Linotype"/>
          <w:sz w:val="24"/>
          <w:szCs w:val="24"/>
        </w:rPr>
        <w:t xml:space="preserve">It is best practice that each of the clinic’s partners </w:t>
      </w:r>
      <w:proofErr w:type="gramStart"/>
      <w:r w:rsidR="00971D4E" w:rsidRPr="005B4FD0">
        <w:rPr>
          <w:rFonts w:ascii="Palatino Linotype" w:hAnsi="Palatino Linotype"/>
          <w:sz w:val="24"/>
          <w:szCs w:val="24"/>
        </w:rPr>
        <w:t>is consulted</w:t>
      </w:r>
      <w:proofErr w:type="gramEnd"/>
      <w:r w:rsidR="00971D4E" w:rsidRPr="005B4FD0">
        <w:rPr>
          <w:rFonts w:ascii="Palatino Linotype" w:hAnsi="Palatino Linotype"/>
          <w:sz w:val="24"/>
          <w:szCs w:val="24"/>
        </w:rPr>
        <w:t xml:space="preserve"> on and </w:t>
      </w:r>
      <w:r w:rsidR="00574C1C" w:rsidRPr="005B4FD0">
        <w:rPr>
          <w:rFonts w:ascii="Palatino Linotype" w:hAnsi="Palatino Linotype"/>
          <w:sz w:val="24"/>
          <w:szCs w:val="24"/>
        </w:rPr>
        <w:t>has</w:t>
      </w:r>
      <w:r w:rsidR="00971D4E" w:rsidRPr="005B4FD0">
        <w:rPr>
          <w:rFonts w:ascii="Palatino Linotype" w:hAnsi="Palatino Linotype"/>
          <w:sz w:val="24"/>
          <w:szCs w:val="24"/>
        </w:rPr>
        <w:t xml:space="preserve"> provided informed agreement with the clinic’s objectives.</w:t>
      </w:r>
      <w:r w:rsidR="00971D4E" w:rsidRPr="005B4FD0">
        <w:rPr>
          <w:rStyle w:val="FootnoteReference"/>
          <w:rFonts w:ascii="Palatino Linotype" w:hAnsi="Palatino Linotype"/>
          <w:sz w:val="24"/>
          <w:szCs w:val="24"/>
        </w:rPr>
        <w:footnoteReference w:id="9"/>
      </w:r>
      <w:r w:rsidR="00971D4E" w:rsidRPr="005B4FD0">
        <w:rPr>
          <w:rFonts w:ascii="Palatino Linotype" w:hAnsi="Palatino Linotype"/>
          <w:sz w:val="24"/>
          <w:szCs w:val="24"/>
        </w:rPr>
        <w:t xml:space="preserve"> </w:t>
      </w:r>
      <w:r w:rsidR="007729FB" w:rsidRPr="005B4FD0">
        <w:rPr>
          <w:rFonts w:ascii="Palatino Linotype" w:hAnsi="Palatino Linotype"/>
          <w:sz w:val="24"/>
          <w:szCs w:val="24"/>
        </w:rPr>
        <w:t xml:space="preserve">It is not recommended that a donor or donors be formulated into a separate donor advisory group for the clinic, as this can set up </w:t>
      </w:r>
      <w:proofErr w:type="gramStart"/>
      <w:r w:rsidR="007729FB" w:rsidRPr="005B4FD0">
        <w:rPr>
          <w:rFonts w:ascii="Palatino Linotype" w:hAnsi="Palatino Linotype"/>
          <w:sz w:val="24"/>
          <w:szCs w:val="24"/>
        </w:rPr>
        <w:t>structurally-entrenched</w:t>
      </w:r>
      <w:proofErr w:type="gramEnd"/>
      <w:r w:rsidR="007729FB" w:rsidRPr="005B4FD0">
        <w:rPr>
          <w:rFonts w:ascii="Palatino Linotype" w:hAnsi="Palatino Linotype"/>
          <w:sz w:val="24"/>
          <w:szCs w:val="24"/>
        </w:rPr>
        <w:t xml:space="preserve"> and competing advisory groups that will tie the hands of the clinic director. </w:t>
      </w:r>
    </w:p>
    <w:p w14:paraId="2651CDDD" w14:textId="70E68864" w:rsidR="00445209" w:rsidRPr="005B4FD0" w:rsidRDefault="005A42CC" w:rsidP="005B4FD0">
      <w:pPr>
        <w:spacing w:line="480" w:lineRule="auto"/>
        <w:jc w:val="both"/>
        <w:rPr>
          <w:rFonts w:ascii="Palatino Linotype" w:hAnsi="Palatino Linotype"/>
          <w:b/>
          <w:sz w:val="24"/>
          <w:szCs w:val="24"/>
        </w:rPr>
      </w:pPr>
      <w:r w:rsidRPr="005B4FD0">
        <w:rPr>
          <w:rFonts w:ascii="Palatino Linotype" w:hAnsi="Palatino Linotype"/>
          <w:b/>
          <w:sz w:val="24"/>
          <w:szCs w:val="24"/>
        </w:rPr>
        <w:t>Clinic Design</w:t>
      </w:r>
      <w:r w:rsidR="002B6F0D" w:rsidRPr="005B4FD0">
        <w:rPr>
          <w:rFonts w:ascii="Palatino Linotype" w:hAnsi="Palatino Linotype"/>
          <w:b/>
          <w:sz w:val="24"/>
          <w:szCs w:val="24"/>
        </w:rPr>
        <w:t xml:space="preserve">   </w:t>
      </w:r>
    </w:p>
    <w:p w14:paraId="24D4C3FD" w14:textId="7223F430" w:rsidR="00EA6FBE" w:rsidRPr="005B4FD0" w:rsidRDefault="00EA6FBE" w:rsidP="005B4FD0">
      <w:pPr>
        <w:spacing w:line="480" w:lineRule="auto"/>
        <w:jc w:val="both"/>
        <w:rPr>
          <w:rFonts w:ascii="Palatino Linotype" w:hAnsi="Palatino Linotype"/>
          <w:sz w:val="24"/>
          <w:szCs w:val="24"/>
        </w:rPr>
      </w:pPr>
      <w:r w:rsidRPr="005B4FD0">
        <w:rPr>
          <w:rFonts w:ascii="Palatino Linotype" w:hAnsi="Palatino Linotype"/>
          <w:sz w:val="24"/>
          <w:szCs w:val="24"/>
        </w:rPr>
        <w:t>Clinic design - if this does not state the obvious - must occur before a clinic is in operation and begins with identifying and stating the desired course learning outcomes.</w:t>
      </w:r>
      <w:r w:rsidRPr="005B4FD0">
        <w:rPr>
          <w:rStyle w:val="FootnoteReference"/>
          <w:rFonts w:ascii="Palatino Linotype" w:hAnsi="Palatino Linotype"/>
          <w:sz w:val="24"/>
          <w:szCs w:val="24"/>
        </w:rPr>
        <w:footnoteReference w:id="10"/>
      </w:r>
      <w:r w:rsidRPr="005B4FD0">
        <w:rPr>
          <w:rFonts w:ascii="Palatino Linotype" w:hAnsi="Palatino Linotype"/>
          <w:sz w:val="24"/>
          <w:szCs w:val="24"/>
        </w:rPr>
        <w:t xml:space="preserve"> Such identification is harder than it sounds, but </w:t>
      </w:r>
      <w:proofErr w:type="gramStart"/>
      <w:r w:rsidRPr="005B4FD0">
        <w:rPr>
          <w:rFonts w:ascii="Palatino Linotype" w:hAnsi="Palatino Linotype"/>
          <w:sz w:val="24"/>
          <w:szCs w:val="24"/>
        </w:rPr>
        <w:t>can be begun</w:t>
      </w:r>
      <w:proofErr w:type="gramEnd"/>
      <w:r w:rsidRPr="005B4FD0">
        <w:rPr>
          <w:rFonts w:ascii="Palatino Linotype" w:hAnsi="Palatino Linotype"/>
          <w:sz w:val="24"/>
          <w:szCs w:val="24"/>
        </w:rPr>
        <w:t xml:space="preserve"> by simply phrased, high level statements. In this clinic, learning outcomes </w:t>
      </w:r>
      <w:proofErr w:type="gramStart"/>
      <w:r w:rsidRPr="005B4FD0">
        <w:rPr>
          <w:rFonts w:ascii="Palatino Linotype" w:hAnsi="Palatino Linotype"/>
          <w:sz w:val="24"/>
          <w:szCs w:val="24"/>
        </w:rPr>
        <w:t>might be stated</w:t>
      </w:r>
      <w:proofErr w:type="gramEnd"/>
      <w:r w:rsidRPr="005B4FD0">
        <w:rPr>
          <w:rFonts w:ascii="Palatino Linotype" w:hAnsi="Palatino Linotype"/>
          <w:sz w:val="24"/>
          <w:szCs w:val="24"/>
        </w:rPr>
        <w:t xml:space="preserve"> as:</w:t>
      </w:r>
    </w:p>
    <w:p w14:paraId="55A85508" w14:textId="72EEC826" w:rsidR="00EA6FBE" w:rsidRPr="005B4FD0" w:rsidRDefault="00EA6FBE" w:rsidP="005B4FD0">
      <w:pPr>
        <w:pStyle w:val="ListParagraph"/>
        <w:numPr>
          <w:ilvl w:val="0"/>
          <w:numId w:val="8"/>
        </w:numPr>
        <w:spacing w:line="360" w:lineRule="auto"/>
        <w:ind w:left="1276" w:hanging="709"/>
        <w:jc w:val="both"/>
        <w:rPr>
          <w:rFonts w:ascii="Palatino Linotype" w:hAnsi="Palatino Linotype"/>
          <w:sz w:val="24"/>
          <w:szCs w:val="24"/>
        </w:rPr>
      </w:pPr>
      <w:r w:rsidRPr="005B4FD0">
        <w:rPr>
          <w:rFonts w:ascii="Palatino Linotype" w:hAnsi="Palatino Linotype"/>
          <w:sz w:val="24"/>
          <w:szCs w:val="24"/>
        </w:rPr>
        <w:t xml:space="preserve">Capacity in each student </w:t>
      </w:r>
      <w:r w:rsidR="00AC6A07" w:rsidRPr="005B4FD0">
        <w:rPr>
          <w:rFonts w:ascii="Palatino Linotype" w:hAnsi="Palatino Linotype"/>
          <w:sz w:val="24"/>
          <w:szCs w:val="24"/>
        </w:rPr>
        <w:t>to understand</w:t>
      </w:r>
      <w:r w:rsidRPr="005B4FD0">
        <w:rPr>
          <w:rFonts w:ascii="Palatino Linotype" w:hAnsi="Palatino Linotype"/>
          <w:sz w:val="24"/>
          <w:szCs w:val="24"/>
        </w:rPr>
        <w:t xml:space="preserve"> the scale of climate deterioration and the key human contributions to same</w:t>
      </w:r>
    </w:p>
    <w:p w14:paraId="486385E2" w14:textId="4640C597" w:rsidR="00AC6A07" w:rsidRPr="005B4FD0" w:rsidRDefault="00AC6A07" w:rsidP="005B4FD0">
      <w:pPr>
        <w:pStyle w:val="ListParagraph"/>
        <w:numPr>
          <w:ilvl w:val="0"/>
          <w:numId w:val="8"/>
        </w:numPr>
        <w:spacing w:line="360" w:lineRule="auto"/>
        <w:ind w:left="1276" w:hanging="709"/>
        <w:jc w:val="both"/>
        <w:rPr>
          <w:rFonts w:ascii="Palatino Linotype" w:hAnsi="Palatino Linotype"/>
          <w:sz w:val="24"/>
          <w:szCs w:val="24"/>
        </w:rPr>
      </w:pPr>
      <w:r w:rsidRPr="005B4FD0">
        <w:rPr>
          <w:rFonts w:ascii="Palatino Linotype" w:hAnsi="Palatino Linotype"/>
          <w:sz w:val="24"/>
          <w:szCs w:val="24"/>
        </w:rPr>
        <w:t xml:space="preserve">A willingness and capacity to critically analyse the existing law of climate </w:t>
      </w:r>
      <w:r w:rsidR="00D50E70" w:rsidRPr="005B4FD0">
        <w:rPr>
          <w:rFonts w:ascii="Palatino Linotype" w:hAnsi="Palatino Linotype"/>
          <w:sz w:val="24"/>
          <w:szCs w:val="24"/>
        </w:rPr>
        <w:t>preservation</w:t>
      </w:r>
      <w:r w:rsidRPr="005B4FD0">
        <w:rPr>
          <w:rFonts w:ascii="Palatino Linotype" w:hAnsi="Palatino Linotype"/>
          <w:sz w:val="24"/>
          <w:szCs w:val="24"/>
        </w:rPr>
        <w:t xml:space="preserve"> and anticipate areas where it might be extended</w:t>
      </w:r>
    </w:p>
    <w:p w14:paraId="39BB6B81" w14:textId="3128D741" w:rsidR="00AC6A07" w:rsidRPr="005B4FD0" w:rsidRDefault="00AC6A07" w:rsidP="005B4FD0">
      <w:pPr>
        <w:pStyle w:val="ListParagraph"/>
        <w:numPr>
          <w:ilvl w:val="0"/>
          <w:numId w:val="8"/>
        </w:numPr>
        <w:tabs>
          <w:tab w:val="left" w:pos="1560"/>
        </w:tabs>
        <w:spacing w:line="360" w:lineRule="auto"/>
        <w:ind w:left="1560" w:hanging="709"/>
        <w:jc w:val="both"/>
        <w:rPr>
          <w:rFonts w:ascii="Palatino Linotype" w:hAnsi="Palatino Linotype"/>
          <w:sz w:val="24"/>
          <w:szCs w:val="24"/>
        </w:rPr>
      </w:pPr>
      <w:r w:rsidRPr="005B4FD0">
        <w:rPr>
          <w:rFonts w:ascii="Palatino Linotype" w:hAnsi="Palatino Linotype"/>
          <w:sz w:val="24"/>
          <w:szCs w:val="24"/>
        </w:rPr>
        <w:lastRenderedPageBreak/>
        <w:t>An ability to describe the different legal approaches to defending the climate and the factors and strategies to be taken into account in judging which approaches are best in what circumstances</w:t>
      </w:r>
    </w:p>
    <w:p w14:paraId="2DFF6466" w14:textId="313BB449" w:rsidR="00AC6A07" w:rsidRPr="005B4FD0" w:rsidRDefault="00AC6A07" w:rsidP="005B4FD0">
      <w:pPr>
        <w:pStyle w:val="ListParagraph"/>
        <w:numPr>
          <w:ilvl w:val="0"/>
          <w:numId w:val="8"/>
        </w:numPr>
        <w:tabs>
          <w:tab w:val="left" w:pos="1560"/>
        </w:tabs>
        <w:spacing w:line="360" w:lineRule="auto"/>
        <w:ind w:left="1560" w:hanging="709"/>
        <w:jc w:val="both"/>
        <w:rPr>
          <w:rFonts w:ascii="Palatino Linotype" w:hAnsi="Palatino Linotype"/>
          <w:sz w:val="24"/>
          <w:szCs w:val="24"/>
        </w:rPr>
      </w:pPr>
      <w:r w:rsidRPr="005B4FD0">
        <w:rPr>
          <w:rFonts w:ascii="Palatino Linotype" w:hAnsi="Palatino Linotype"/>
          <w:sz w:val="24"/>
          <w:szCs w:val="24"/>
        </w:rPr>
        <w:t xml:space="preserve">Adequate capacity to reflect on </w:t>
      </w:r>
      <w:r w:rsidR="00D50E70" w:rsidRPr="005B4FD0">
        <w:rPr>
          <w:rFonts w:ascii="Palatino Linotype" w:hAnsi="Palatino Linotype"/>
          <w:sz w:val="24"/>
          <w:szCs w:val="24"/>
        </w:rPr>
        <w:t xml:space="preserve">their </w:t>
      </w:r>
      <w:r w:rsidRPr="005B4FD0">
        <w:rPr>
          <w:rFonts w:ascii="Palatino Linotype" w:hAnsi="Palatino Linotype"/>
          <w:sz w:val="24"/>
          <w:szCs w:val="24"/>
        </w:rPr>
        <w:t>experience in the clinic.</w:t>
      </w:r>
    </w:p>
    <w:p w14:paraId="46C80E38" w14:textId="1E05660E" w:rsidR="004412FE" w:rsidRPr="005B4FD0" w:rsidRDefault="004412FE" w:rsidP="005B4FD0">
      <w:pPr>
        <w:spacing w:line="480" w:lineRule="auto"/>
        <w:jc w:val="both"/>
        <w:rPr>
          <w:rFonts w:ascii="Palatino Linotype" w:hAnsi="Palatino Linotype"/>
          <w:sz w:val="24"/>
          <w:szCs w:val="24"/>
        </w:rPr>
      </w:pPr>
      <w:r w:rsidRPr="005B4FD0">
        <w:rPr>
          <w:rFonts w:ascii="Palatino Linotype" w:hAnsi="Palatino Linotype"/>
          <w:sz w:val="24"/>
          <w:szCs w:val="24"/>
        </w:rPr>
        <w:t>In addition to defining learning outcomes, there will be a range of best practices to take into account</w:t>
      </w:r>
      <w:r w:rsidR="00973A48" w:rsidRPr="005B4FD0">
        <w:rPr>
          <w:rFonts w:ascii="Palatino Linotype" w:hAnsi="Palatino Linotype"/>
          <w:sz w:val="24"/>
          <w:szCs w:val="24"/>
        </w:rPr>
        <w:t xml:space="preserve">, as specified in </w:t>
      </w:r>
      <w:r w:rsidR="00973A48" w:rsidRPr="005B4FD0">
        <w:rPr>
          <w:rFonts w:ascii="Palatino Linotype" w:hAnsi="Palatino Linotype"/>
          <w:i/>
          <w:sz w:val="24"/>
          <w:szCs w:val="24"/>
        </w:rPr>
        <w:t>Australian n Clinical Legal Education</w:t>
      </w:r>
      <w:r w:rsidRPr="005B4FD0">
        <w:rPr>
          <w:rFonts w:ascii="Palatino Linotype" w:hAnsi="Palatino Linotype"/>
          <w:sz w:val="24"/>
          <w:szCs w:val="24"/>
        </w:rPr>
        <w:t>.</w:t>
      </w:r>
      <w:r w:rsidRPr="005B4FD0">
        <w:rPr>
          <w:rStyle w:val="FootnoteReference"/>
          <w:rFonts w:ascii="Palatino Linotype" w:hAnsi="Palatino Linotype"/>
          <w:sz w:val="24"/>
          <w:szCs w:val="24"/>
        </w:rPr>
        <w:footnoteReference w:id="11"/>
      </w:r>
      <w:r w:rsidRPr="005B4FD0">
        <w:rPr>
          <w:rFonts w:ascii="Palatino Linotype" w:hAnsi="Palatino Linotype"/>
          <w:sz w:val="24"/>
          <w:szCs w:val="24"/>
        </w:rPr>
        <w:t xml:space="preserve"> </w:t>
      </w:r>
      <w:r w:rsidR="00211AC6" w:rsidRPr="005B4FD0">
        <w:rPr>
          <w:rFonts w:ascii="Palatino Linotype" w:hAnsi="Palatino Linotype"/>
          <w:sz w:val="24"/>
          <w:szCs w:val="24"/>
        </w:rPr>
        <w:t xml:space="preserve">These typically include specifying necessary pre-reading and its assessment, in-course materials if any, clinic attendance times and other required activities.  </w:t>
      </w:r>
      <w:r w:rsidR="00643585" w:rsidRPr="005B4FD0">
        <w:rPr>
          <w:rFonts w:ascii="Palatino Linotype" w:hAnsi="Palatino Linotype"/>
          <w:sz w:val="24"/>
          <w:szCs w:val="24"/>
        </w:rPr>
        <w:t xml:space="preserve">In addition, suitable pre-clinic observation (for example, with prior clinic students showing new students the ropes), is desirable. </w:t>
      </w:r>
      <w:r w:rsidR="00A60C43" w:rsidRPr="005B4FD0">
        <w:rPr>
          <w:rFonts w:ascii="Palatino Linotype" w:hAnsi="Palatino Linotype"/>
          <w:sz w:val="24"/>
          <w:szCs w:val="24"/>
        </w:rPr>
        <w:t xml:space="preserve">Class room components are commonly seen as mandatory, to allow students to </w:t>
      </w:r>
      <w:r w:rsidR="007D7E94" w:rsidRPr="005B4FD0">
        <w:rPr>
          <w:rFonts w:ascii="Palatino Linotype" w:hAnsi="Palatino Linotype"/>
          <w:sz w:val="24"/>
          <w:szCs w:val="24"/>
        </w:rPr>
        <w:t xml:space="preserve">share and </w:t>
      </w:r>
      <w:r w:rsidR="00A60C43" w:rsidRPr="005B4FD0">
        <w:rPr>
          <w:rFonts w:ascii="Palatino Linotype" w:hAnsi="Palatino Linotype"/>
          <w:sz w:val="24"/>
          <w:szCs w:val="24"/>
        </w:rPr>
        <w:t>understand their clinic experience having regard to published documents and cases, while n</w:t>
      </w:r>
      <w:r w:rsidR="00643585" w:rsidRPr="005B4FD0">
        <w:rPr>
          <w:rFonts w:ascii="Palatino Linotype" w:hAnsi="Palatino Linotype"/>
          <w:sz w:val="24"/>
          <w:szCs w:val="24"/>
        </w:rPr>
        <w:t xml:space="preserve">ecessary reflection is often </w:t>
      </w:r>
      <w:r w:rsidR="007D7E94" w:rsidRPr="005B4FD0">
        <w:rPr>
          <w:rFonts w:ascii="Palatino Linotype" w:hAnsi="Palatino Linotype"/>
          <w:sz w:val="24"/>
          <w:szCs w:val="24"/>
        </w:rPr>
        <w:t xml:space="preserve">also </w:t>
      </w:r>
      <w:r w:rsidR="00A60C43" w:rsidRPr="005B4FD0">
        <w:rPr>
          <w:rFonts w:ascii="Palatino Linotype" w:hAnsi="Palatino Linotype"/>
          <w:sz w:val="24"/>
          <w:szCs w:val="24"/>
        </w:rPr>
        <w:t xml:space="preserve">a </w:t>
      </w:r>
      <w:r w:rsidR="007D7E94" w:rsidRPr="005B4FD0">
        <w:rPr>
          <w:rFonts w:ascii="Palatino Linotype" w:hAnsi="Palatino Linotype"/>
          <w:sz w:val="24"/>
          <w:szCs w:val="24"/>
        </w:rPr>
        <w:t xml:space="preserve">class room </w:t>
      </w:r>
      <w:r w:rsidR="00A60C43" w:rsidRPr="005B4FD0">
        <w:rPr>
          <w:rFonts w:ascii="Palatino Linotype" w:hAnsi="Palatino Linotype"/>
          <w:sz w:val="24"/>
          <w:szCs w:val="24"/>
        </w:rPr>
        <w:t>group activity, mediated</w:t>
      </w:r>
      <w:r w:rsidR="00643585" w:rsidRPr="005B4FD0">
        <w:rPr>
          <w:rFonts w:ascii="Palatino Linotype" w:hAnsi="Palatino Linotype"/>
          <w:sz w:val="24"/>
          <w:szCs w:val="24"/>
        </w:rPr>
        <w:t xml:space="preserve"> through </w:t>
      </w:r>
      <w:r w:rsidR="007D7E94" w:rsidRPr="005B4FD0">
        <w:rPr>
          <w:rFonts w:ascii="Palatino Linotype" w:hAnsi="Palatino Linotype"/>
          <w:sz w:val="24"/>
          <w:szCs w:val="24"/>
        </w:rPr>
        <w:t xml:space="preserve">individual </w:t>
      </w:r>
      <w:r w:rsidR="00643585" w:rsidRPr="005B4FD0">
        <w:rPr>
          <w:rFonts w:ascii="Palatino Linotype" w:hAnsi="Palatino Linotype"/>
          <w:sz w:val="24"/>
          <w:szCs w:val="24"/>
        </w:rPr>
        <w:t>student journals</w:t>
      </w:r>
      <w:r w:rsidR="007D7E94" w:rsidRPr="005B4FD0">
        <w:rPr>
          <w:rFonts w:ascii="Palatino Linotype" w:hAnsi="Palatino Linotype"/>
          <w:sz w:val="24"/>
          <w:szCs w:val="24"/>
        </w:rPr>
        <w:t>.</w:t>
      </w:r>
      <w:r w:rsidR="00E92541" w:rsidRPr="005B4FD0">
        <w:rPr>
          <w:rFonts w:ascii="Palatino Linotype" w:hAnsi="Palatino Linotype"/>
          <w:sz w:val="24"/>
          <w:szCs w:val="24"/>
        </w:rPr>
        <w:t xml:space="preserve"> While clinics </w:t>
      </w:r>
      <w:proofErr w:type="gramStart"/>
      <w:r w:rsidR="00E92541" w:rsidRPr="005B4FD0">
        <w:rPr>
          <w:rFonts w:ascii="Palatino Linotype" w:hAnsi="Palatino Linotype"/>
          <w:sz w:val="24"/>
          <w:szCs w:val="24"/>
        </w:rPr>
        <w:t>can be online and remotely delivered</w:t>
      </w:r>
      <w:proofErr w:type="gramEnd"/>
      <w:r w:rsidR="00E92541" w:rsidRPr="005B4FD0">
        <w:rPr>
          <w:rFonts w:ascii="Palatino Linotype" w:hAnsi="Palatino Linotype"/>
          <w:sz w:val="24"/>
          <w:szCs w:val="24"/>
        </w:rPr>
        <w:t xml:space="preserve"> to suitable clients, the efficacy of this clinic is likely to depend on meaningful professional relationships that are best developed face to face over a reasonable period. Clinic length should therefore be at least a semester and ideally, a whole year, to allow consolidation of relationships, reflection and stronger learning outcomes</w:t>
      </w:r>
      <w:r w:rsidR="00973A48" w:rsidRPr="005B4FD0">
        <w:rPr>
          <w:rFonts w:ascii="Palatino Linotype" w:hAnsi="Palatino Linotype"/>
          <w:sz w:val="24"/>
          <w:szCs w:val="24"/>
        </w:rPr>
        <w:t>.</w:t>
      </w:r>
    </w:p>
    <w:p w14:paraId="7EDDCCC4" w14:textId="43A4CC52" w:rsidR="00973A48" w:rsidRPr="005B4FD0" w:rsidRDefault="00973A48" w:rsidP="005B4FD0">
      <w:pPr>
        <w:spacing w:line="480" w:lineRule="auto"/>
        <w:jc w:val="both"/>
        <w:rPr>
          <w:rFonts w:ascii="Palatino Linotype" w:hAnsi="Palatino Linotype"/>
          <w:sz w:val="24"/>
          <w:szCs w:val="24"/>
        </w:rPr>
      </w:pPr>
      <w:r w:rsidRPr="005B4FD0">
        <w:rPr>
          <w:rFonts w:ascii="Palatino Linotype" w:hAnsi="Palatino Linotype"/>
          <w:sz w:val="24"/>
          <w:szCs w:val="24"/>
        </w:rPr>
        <w:t xml:space="preserve">Student selection into this clinic </w:t>
      </w:r>
      <w:proofErr w:type="gramStart"/>
      <w:r w:rsidRPr="005B4FD0">
        <w:rPr>
          <w:rFonts w:ascii="Palatino Linotype" w:hAnsi="Palatino Linotype"/>
          <w:sz w:val="24"/>
          <w:szCs w:val="24"/>
        </w:rPr>
        <w:t>will be contested</w:t>
      </w:r>
      <w:proofErr w:type="gramEnd"/>
      <w:r w:rsidRPr="005B4FD0">
        <w:rPr>
          <w:rFonts w:ascii="Palatino Linotype" w:hAnsi="Palatino Linotype"/>
          <w:sz w:val="24"/>
          <w:szCs w:val="24"/>
        </w:rPr>
        <w:t xml:space="preserve">, not always for ideal reasons. The selection process should be negotiated with </w:t>
      </w:r>
      <w:r w:rsidR="00D50E70" w:rsidRPr="005B4FD0">
        <w:rPr>
          <w:rFonts w:ascii="Palatino Linotype" w:hAnsi="Palatino Linotype"/>
          <w:sz w:val="24"/>
          <w:szCs w:val="24"/>
        </w:rPr>
        <w:t>key</w:t>
      </w:r>
      <w:r w:rsidRPr="005B4FD0">
        <w:rPr>
          <w:rFonts w:ascii="Palatino Linotype" w:hAnsi="Palatino Linotype"/>
          <w:sz w:val="24"/>
          <w:szCs w:val="24"/>
        </w:rPr>
        <w:t xml:space="preserve"> partners and not just </w:t>
      </w:r>
      <w:proofErr w:type="gramStart"/>
      <w:r w:rsidRPr="005B4FD0">
        <w:rPr>
          <w:rFonts w:ascii="Palatino Linotype" w:hAnsi="Palatino Linotype"/>
          <w:sz w:val="24"/>
          <w:szCs w:val="24"/>
        </w:rPr>
        <w:t>left</w:t>
      </w:r>
      <w:proofErr w:type="gramEnd"/>
      <w:r w:rsidRPr="005B4FD0">
        <w:rPr>
          <w:rFonts w:ascii="Palatino Linotype" w:hAnsi="Palatino Linotype"/>
          <w:sz w:val="24"/>
          <w:szCs w:val="24"/>
        </w:rPr>
        <w:t xml:space="preserve"> to any default university procedures, even if the latter, should they exist, appear </w:t>
      </w:r>
      <w:r w:rsidR="00D50E70" w:rsidRPr="005B4FD0">
        <w:rPr>
          <w:rFonts w:ascii="Palatino Linotype" w:hAnsi="Palatino Linotype"/>
          <w:sz w:val="24"/>
          <w:szCs w:val="24"/>
        </w:rPr>
        <w:t>rigid</w:t>
      </w:r>
      <w:r w:rsidRPr="005B4FD0">
        <w:rPr>
          <w:rFonts w:ascii="Palatino Linotype" w:hAnsi="Palatino Linotype"/>
          <w:sz w:val="24"/>
          <w:szCs w:val="24"/>
        </w:rPr>
        <w:t>. It is strongly suggested that:</w:t>
      </w:r>
    </w:p>
    <w:p w14:paraId="631B44EC" w14:textId="779D92C2" w:rsidR="00973A48" w:rsidRPr="005B4FD0" w:rsidRDefault="00973A48" w:rsidP="005B4FD0">
      <w:pPr>
        <w:spacing w:line="360" w:lineRule="auto"/>
        <w:ind w:left="567" w:right="674"/>
        <w:jc w:val="both"/>
        <w:rPr>
          <w:rFonts w:ascii="Palatino Linotype" w:hAnsi="Palatino Linotype"/>
          <w:sz w:val="24"/>
          <w:szCs w:val="24"/>
        </w:rPr>
      </w:pPr>
      <w:r w:rsidRPr="005B4FD0">
        <w:rPr>
          <w:rFonts w:ascii="Palatino Linotype" w:hAnsi="Palatino Linotype"/>
          <w:i/>
          <w:sz w:val="24"/>
          <w:szCs w:val="24"/>
        </w:rPr>
        <w:lastRenderedPageBreak/>
        <w:t xml:space="preserve">The selection process is transparent and non-discriminatory. The prerequisites for selection are clearly articulated. The reasons for choosing particular methods of selection (which can include ballot, interview, </w:t>
      </w:r>
      <w:proofErr w:type="gramStart"/>
      <w:r w:rsidRPr="005B4FD0">
        <w:rPr>
          <w:rFonts w:ascii="Palatino Linotype" w:hAnsi="Palatino Linotype"/>
          <w:i/>
          <w:sz w:val="24"/>
          <w:szCs w:val="24"/>
        </w:rPr>
        <w:t>stage</w:t>
      </w:r>
      <w:proofErr w:type="gramEnd"/>
      <w:r w:rsidRPr="005B4FD0">
        <w:rPr>
          <w:rFonts w:ascii="Palatino Linotype" w:hAnsi="Palatino Linotype"/>
          <w:i/>
          <w:sz w:val="24"/>
          <w:szCs w:val="24"/>
        </w:rPr>
        <w:t xml:space="preserve"> of study or completion of a prior clinic) are articulated. There is no presumption that access to CLE courses and clinical experiences should be limited to later-year students.</w:t>
      </w:r>
      <w:r w:rsidRPr="005B4FD0">
        <w:rPr>
          <w:rStyle w:val="FootnoteReference"/>
          <w:rFonts w:ascii="Palatino Linotype" w:hAnsi="Palatino Linotype"/>
          <w:i/>
          <w:sz w:val="24"/>
          <w:szCs w:val="24"/>
        </w:rPr>
        <w:footnoteReference w:id="12"/>
      </w:r>
    </w:p>
    <w:p w14:paraId="7BC626C4" w14:textId="01EA28B1" w:rsidR="005B21F8" w:rsidRPr="005B4FD0" w:rsidRDefault="0008532F" w:rsidP="005B4FD0">
      <w:pPr>
        <w:spacing w:line="480" w:lineRule="auto"/>
        <w:jc w:val="both"/>
        <w:rPr>
          <w:rFonts w:ascii="Palatino Linotype" w:hAnsi="Palatino Linotype"/>
          <w:b/>
          <w:sz w:val="24"/>
          <w:szCs w:val="24"/>
        </w:rPr>
      </w:pPr>
      <w:r w:rsidRPr="005B4FD0">
        <w:rPr>
          <w:rFonts w:ascii="Palatino Linotype" w:hAnsi="Palatino Linotype"/>
          <w:b/>
          <w:sz w:val="24"/>
          <w:szCs w:val="24"/>
        </w:rPr>
        <w:t>Education and c</w:t>
      </w:r>
      <w:r w:rsidR="00AA0C51" w:rsidRPr="005B4FD0">
        <w:rPr>
          <w:rFonts w:ascii="Palatino Linotype" w:hAnsi="Palatino Linotype"/>
          <w:b/>
          <w:sz w:val="24"/>
          <w:szCs w:val="24"/>
        </w:rPr>
        <w:t xml:space="preserve">auses of </w:t>
      </w:r>
      <w:r w:rsidR="00DB1981" w:rsidRPr="005B4FD0">
        <w:rPr>
          <w:rFonts w:ascii="Palatino Linotype" w:hAnsi="Palatino Linotype"/>
          <w:b/>
          <w:sz w:val="24"/>
          <w:szCs w:val="24"/>
        </w:rPr>
        <w:t>a</w:t>
      </w:r>
      <w:r w:rsidR="00AA0C51" w:rsidRPr="005B4FD0">
        <w:rPr>
          <w:rFonts w:ascii="Palatino Linotype" w:hAnsi="Palatino Linotype"/>
          <w:b/>
          <w:sz w:val="24"/>
          <w:szCs w:val="24"/>
        </w:rPr>
        <w:t>ction</w:t>
      </w:r>
      <w:r w:rsidR="00E819C3" w:rsidRPr="005B4FD0">
        <w:rPr>
          <w:rFonts w:ascii="Palatino Linotype" w:hAnsi="Palatino Linotype"/>
          <w:b/>
          <w:sz w:val="24"/>
          <w:szCs w:val="24"/>
        </w:rPr>
        <w:t xml:space="preserve"> – strategic litigation against climate change</w:t>
      </w:r>
    </w:p>
    <w:p w14:paraId="7ACCA3F9" w14:textId="228E8495" w:rsidR="00D3398E" w:rsidRPr="005B4FD0" w:rsidRDefault="0008532F" w:rsidP="005B4FD0">
      <w:pPr>
        <w:spacing w:after="0" w:line="480" w:lineRule="auto"/>
        <w:jc w:val="both"/>
        <w:rPr>
          <w:rFonts w:ascii="Palatino Linotype" w:hAnsi="Palatino Linotype"/>
          <w:i/>
          <w:sz w:val="24"/>
          <w:szCs w:val="24"/>
        </w:rPr>
      </w:pPr>
      <w:r w:rsidRPr="005B4FD0">
        <w:rPr>
          <w:rFonts w:ascii="Palatino Linotype" w:hAnsi="Palatino Linotype"/>
          <w:i/>
          <w:sz w:val="24"/>
          <w:szCs w:val="24"/>
        </w:rPr>
        <w:t xml:space="preserve">Education and compliance around the </w:t>
      </w:r>
      <w:r w:rsidR="00D3398E" w:rsidRPr="005B4FD0">
        <w:rPr>
          <w:rFonts w:ascii="Palatino Linotype" w:hAnsi="Palatino Linotype"/>
          <w:i/>
          <w:sz w:val="24"/>
          <w:szCs w:val="24"/>
        </w:rPr>
        <w:t>Task Force on Climate Related Financial Disclosure</w:t>
      </w:r>
    </w:p>
    <w:p w14:paraId="2F886FFE" w14:textId="77777777" w:rsidR="00D3398E" w:rsidRPr="005B4FD0" w:rsidRDefault="00AA0C51" w:rsidP="005B4FD0">
      <w:pPr>
        <w:spacing w:after="0" w:line="480" w:lineRule="auto"/>
        <w:jc w:val="both"/>
        <w:rPr>
          <w:rFonts w:ascii="Palatino Linotype" w:hAnsi="Palatino Linotype"/>
          <w:sz w:val="24"/>
          <w:szCs w:val="24"/>
        </w:rPr>
      </w:pPr>
      <w:r w:rsidRPr="005B4FD0">
        <w:rPr>
          <w:rFonts w:ascii="Palatino Linotype" w:hAnsi="Palatino Linotype"/>
          <w:sz w:val="24"/>
          <w:szCs w:val="24"/>
        </w:rPr>
        <w:t xml:space="preserve">There is </w:t>
      </w:r>
      <w:r w:rsidR="00E819C3" w:rsidRPr="005B4FD0">
        <w:rPr>
          <w:rFonts w:ascii="Palatino Linotype" w:hAnsi="Palatino Linotype"/>
          <w:sz w:val="24"/>
          <w:szCs w:val="24"/>
        </w:rPr>
        <w:t>powerful</w:t>
      </w:r>
      <w:r w:rsidRPr="005B4FD0">
        <w:rPr>
          <w:rFonts w:ascii="Palatino Linotype" w:hAnsi="Palatino Linotype"/>
          <w:sz w:val="24"/>
          <w:szCs w:val="24"/>
        </w:rPr>
        <w:t xml:space="preserve"> utility in a clinic design that </w:t>
      </w:r>
      <w:r w:rsidR="00595FC9" w:rsidRPr="005B4FD0">
        <w:rPr>
          <w:rFonts w:ascii="Palatino Linotype" w:hAnsi="Palatino Linotype"/>
          <w:sz w:val="24"/>
          <w:szCs w:val="24"/>
        </w:rPr>
        <w:t>engages</w:t>
      </w:r>
      <w:r w:rsidRPr="005B4FD0">
        <w:rPr>
          <w:rFonts w:ascii="Palatino Linotype" w:hAnsi="Palatino Linotype"/>
          <w:sz w:val="24"/>
          <w:szCs w:val="24"/>
        </w:rPr>
        <w:t xml:space="preserve"> law student-education </w:t>
      </w:r>
      <w:r w:rsidR="007E6AB7" w:rsidRPr="005B4FD0">
        <w:rPr>
          <w:rFonts w:ascii="Palatino Linotype" w:hAnsi="Palatino Linotype"/>
          <w:sz w:val="24"/>
          <w:szCs w:val="24"/>
        </w:rPr>
        <w:t xml:space="preserve">and research strengths by </w:t>
      </w:r>
      <w:r w:rsidR="00DB1981" w:rsidRPr="005B4FD0">
        <w:rPr>
          <w:rFonts w:ascii="Palatino Linotype" w:hAnsi="Palatino Linotype"/>
          <w:sz w:val="24"/>
          <w:szCs w:val="24"/>
        </w:rPr>
        <w:t>build</w:t>
      </w:r>
      <w:r w:rsidR="007E6AB7" w:rsidRPr="005B4FD0">
        <w:rPr>
          <w:rFonts w:ascii="Palatino Linotype" w:hAnsi="Palatino Linotype"/>
          <w:sz w:val="24"/>
          <w:szCs w:val="24"/>
        </w:rPr>
        <w:t>ing</w:t>
      </w:r>
      <w:r w:rsidR="00DB1981" w:rsidRPr="005B4FD0">
        <w:rPr>
          <w:rFonts w:ascii="Palatino Linotype" w:hAnsi="Palatino Linotype"/>
          <w:sz w:val="24"/>
          <w:szCs w:val="24"/>
        </w:rPr>
        <w:t xml:space="preserve"> on the global </w:t>
      </w:r>
      <w:r w:rsidR="00DB1981" w:rsidRPr="005B4FD0">
        <w:rPr>
          <w:rFonts w:ascii="Palatino Linotype" w:hAnsi="Palatino Linotype"/>
          <w:i/>
          <w:sz w:val="24"/>
          <w:szCs w:val="24"/>
        </w:rPr>
        <w:t>Task Force on Climate Related Financial Disclosures</w:t>
      </w:r>
      <w:r w:rsidR="00DB1981" w:rsidRPr="005B4FD0">
        <w:rPr>
          <w:rFonts w:ascii="Palatino Linotype" w:hAnsi="Palatino Linotype"/>
          <w:sz w:val="24"/>
          <w:szCs w:val="24"/>
        </w:rPr>
        <w:t xml:space="preserve"> (TCFD)</w:t>
      </w:r>
      <w:r w:rsidR="00612F6B" w:rsidRPr="005B4FD0">
        <w:rPr>
          <w:rFonts w:ascii="Palatino Linotype" w:hAnsi="Palatino Linotype"/>
          <w:sz w:val="24"/>
          <w:szCs w:val="24"/>
        </w:rPr>
        <w:t>.</w:t>
      </w:r>
      <w:r w:rsidR="00DB1981" w:rsidRPr="005B4FD0">
        <w:rPr>
          <w:rStyle w:val="FootnoteReference"/>
          <w:rFonts w:ascii="Palatino Linotype" w:hAnsi="Palatino Linotype"/>
          <w:sz w:val="24"/>
          <w:szCs w:val="24"/>
        </w:rPr>
        <w:footnoteReference w:id="13"/>
      </w:r>
      <w:r w:rsidR="00DB1981" w:rsidRPr="005B4FD0">
        <w:rPr>
          <w:rFonts w:ascii="Palatino Linotype" w:hAnsi="Palatino Linotype"/>
          <w:sz w:val="24"/>
          <w:szCs w:val="24"/>
        </w:rPr>
        <w:t xml:space="preserve"> TCFD is an initiative of the UK </w:t>
      </w:r>
      <w:r w:rsidR="00DB1981" w:rsidRPr="005B4FD0">
        <w:rPr>
          <w:rFonts w:ascii="Palatino Linotype" w:hAnsi="Palatino Linotype"/>
          <w:i/>
          <w:sz w:val="24"/>
          <w:szCs w:val="24"/>
        </w:rPr>
        <w:t>Financial Stability Board</w:t>
      </w:r>
      <w:r w:rsidR="00612F6B" w:rsidRPr="005B4FD0">
        <w:rPr>
          <w:rStyle w:val="FootnoteReference"/>
          <w:rFonts w:ascii="Palatino Linotype" w:hAnsi="Palatino Linotype"/>
          <w:i/>
          <w:sz w:val="24"/>
          <w:szCs w:val="24"/>
        </w:rPr>
        <w:footnoteReference w:id="14"/>
      </w:r>
      <w:proofErr w:type="gramStart"/>
      <w:r w:rsidR="00DB1981" w:rsidRPr="005B4FD0">
        <w:rPr>
          <w:rFonts w:ascii="Palatino Linotype" w:hAnsi="Palatino Linotype"/>
          <w:sz w:val="24"/>
          <w:szCs w:val="24"/>
        </w:rPr>
        <w:t xml:space="preserve"> which</w:t>
      </w:r>
      <w:proofErr w:type="gramEnd"/>
      <w:r w:rsidR="00DB1981" w:rsidRPr="005B4FD0">
        <w:rPr>
          <w:rFonts w:ascii="Palatino Linotype" w:hAnsi="Palatino Linotype"/>
          <w:sz w:val="24"/>
          <w:szCs w:val="24"/>
        </w:rPr>
        <w:t xml:space="preserve"> has signed up many global corpo</w:t>
      </w:r>
      <w:r w:rsidR="00083001" w:rsidRPr="005B4FD0">
        <w:rPr>
          <w:rFonts w:ascii="Palatino Linotype" w:hAnsi="Palatino Linotype"/>
          <w:sz w:val="24"/>
          <w:szCs w:val="24"/>
        </w:rPr>
        <w:t xml:space="preserve">rations to a commitment to review their own climate preparedness. The incentive </w:t>
      </w:r>
      <w:r w:rsidR="00612F6B" w:rsidRPr="005B4FD0">
        <w:rPr>
          <w:rFonts w:ascii="Palatino Linotype" w:hAnsi="Palatino Linotype"/>
          <w:sz w:val="24"/>
          <w:szCs w:val="24"/>
        </w:rPr>
        <w:t>for</w:t>
      </w:r>
      <w:r w:rsidR="00611155" w:rsidRPr="005B4FD0">
        <w:rPr>
          <w:rFonts w:ascii="Palatino Linotype" w:hAnsi="Palatino Linotype"/>
          <w:sz w:val="24"/>
          <w:szCs w:val="24"/>
        </w:rPr>
        <w:t xml:space="preserve"> corporations </w:t>
      </w:r>
      <w:r w:rsidR="00083001" w:rsidRPr="005B4FD0">
        <w:rPr>
          <w:rFonts w:ascii="Palatino Linotype" w:hAnsi="Palatino Linotype"/>
          <w:sz w:val="24"/>
          <w:szCs w:val="24"/>
        </w:rPr>
        <w:t>to cooperate with the TCFD protocols is financial</w:t>
      </w:r>
      <w:r w:rsidR="00611155" w:rsidRPr="005B4FD0">
        <w:rPr>
          <w:rFonts w:ascii="Palatino Linotype" w:hAnsi="Palatino Linotype"/>
          <w:sz w:val="24"/>
          <w:szCs w:val="24"/>
        </w:rPr>
        <w:t>:</w:t>
      </w:r>
      <w:r w:rsidR="00083001" w:rsidRPr="005B4FD0">
        <w:rPr>
          <w:rFonts w:ascii="Palatino Linotype" w:hAnsi="Palatino Linotype"/>
          <w:sz w:val="24"/>
          <w:szCs w:val="24"/>
        </w:rPr>
        <w:t xml:space="preserve"> if their shareholders understand </w:t>
      </w:r>
      <w:r w:rsidR="007E6AB7" w:rsidRPr="005B4FD0">
        <w:rPr>
          <w:rFonts w:ascii="Palatino Linotype" w:hAnsi="Palatino Linotype"/>
          <w:sz w:val="24"/>
          <w:szCs w:val="24"/>
        </w:rPr>
        <w:t>a</w:t>
      </w:r>
      <w:r w:rsidR="00612F6B" w:rsidRPr="005B4FD0">
        <w:rPr>
          <w:rFonts w:ascii="Palatino Linotype" w:hAnsi="Palatino Linotype"/>
          <w:sz w:val="24"/>
          <w:szCs w:val="24"/>
        </w:rPr>
        <w:t>n</w:t>
      </w:r>
      <w:r w:rsidR="007E6AB7" w:rsidRPr="005B4FD0">
        <w:rPr>
          <w:rFonts w:ascii="Palatino Linotype" w:hAnsi="Palatino Linotype"/>
          <w:sz w:val="24"/>
          <w:szCs w:val="24"/>
        </w:rPr>
        <w:t xml:space="preserve">d can see </w:t>
      </w:r>
      <w:r w:rsidR="00083001" w:rsidRPr="005B4FD0">
        <w:rPr>
          <w:rFonts w:ascii="Palatino Linotype" w:hAnsi="Palatino Linotype"/>
          <w:sz w:val="24"/>
          <w:szCs w:val="24"/>
        </w:rPr>
        <w:t>that they are actively preparing for future climate impacts</w:t>
      </w:r>
      <w:r w:rsidR="00611155" w:rsidRPr="005B4FD0">
        <w:rPr>
          <w:rFonts w:ascii="Palatino Linotype" w:hAnsi="Palatino Linotype"/>
          <w:sz w:val="24"/>
          <w:szCs w:val="24"/>
        </w:rPr>
        <w:t xml:space="preserve"> </w:t>
      </w:r>
      <w:r w:rsidR="007E6AB7" w:rsidRPr="005B4FD0">
        <w:rPr>
          <w:rFonts w:ascii="Palatino Linotype" w:hAnsi="Palatino Linotype"/>
          <w:sz w:val="24"/>
          <w:szCs w:val="24"/>
        </w:rPr>
        <w:t>by</w:t>
      </w:r>
      <w:r w:rsidR="00611155" w:rsidRPr="005B4FD0">
        <w:rPr>
          <w:rFonts w:ascii="Palatino Linotype" w:hAnsi="Palatino Linotype"/>
          <w:sz w:val="24"/>
          <w:szCs w:val="24"/>
        </w:rPr>
        <w:t xml:space="preserve"> disclosing their climate-related financial risk</w:t>
      </w:r>
      <w:r w:rsidR="00083001" w:rsidRPr="005B4FD0">
        <w:rPr>
          <w:rFonts w:ascii="Palatino Linotype" w:hAnsi="Palatino Linotype"/>
          <w:sz w:val="24"/>
          <w:szCs w:val="24"/>
        </w:rPr>
        <w:t xml:space="preserve">, they are likely to </w:t>
      </w:r>
      <w:proofErr w:type="gramStart"/>
      <w:r w:rsidR="00083001" w:rsidRPr="005B4FD0">
        <w:rPr>
          <w:rFonts w:ascii="Palatino Linotype" w:hAnsi="Palatino Linotype"/>
          <w:sz w:val="24"/>
          <w:szCs w:val="24"/>
        </w:rPr>
        <w:t>be persuaded</w:t>
      </w:r>
      <w:proofErr w:type="gramEnd"/>
      <w:r w:rsidR="00083001" w:rsidRPr="005B4FD0">
        <w:rPr>
          <w:rFonts w:ascii="Palatino Linotype" w:hAnsi="Palatino Linotype"/>
          <w:sz w:val="24"/>
          <w:szCs w:val="24"/>
        </w:rPr>
        <w:t xml:space="preserve"> to remain as shareholders rather than exit when </w:t>
      </w:r>
      <w:r w:rsidR="00611155" w:rsidRPr="005B4FD0">
        <w:rPr>
          <w:rFonts w:ascii="Palatino Linotype" w:hAnsi="Palatino Linotype"/>
          <w:sz w:val="24"/>
          <w:szCs w:val="24"/>
        </w:rPr>
        <w:t>the</w:t>
      </w:r>
      <w:r w:rsidR="00612F6B" w:rsidRPr="005B4FD0">
        <w:rPr>
          <w:rFonts w:ascii="Palatino Linotype" w:hAnsi="Palatino Linotype"/>
          <w:sz w:val="24"/>
          <w:szCs w:val="24"/>
        </w:rPr>
        <w:t>ir balance sheets are affected by recurring</w:t>
      </w:r>
      <w:r w:rsidR="00083001" w:rsidRPr="005B4FD0">
        <w:rPr>
          <w:rFonts w:ascii="Palatino Linotype" w:hAnsi="Palatino Linotype"/>
          <w:sz w:val="24"/>
          <w:szCs w:val="24"/>
        </w:rPr>
        <w:t xml:space="preserve"> major climate shock</w:t>
      </w:r>
      <w:r w:rsidR="00612F6B" w:rsidRPr="005B4FD0">
        <w:rPr>
          <w:rFonts w:ascii="Palatino Linotype" w:hAnsi="Palatino Linotype"/>
          <w:sz w:val="24"/>
          <w:szCs w:val="24"/>
        </w:rPr>
        <w:t>s</w:t>
      </w:r>
      <w:r w:rsidR="00083001" w:rsidRPr="005B4FD0">
        <w:rPr>
          <w:rFonts w:ascii="Palatino Linotype" w:hAnsi="Palatino Linotype"/>
          <w:sz w:val="24"/>
          <w:szCs w:val="24"/>
        </w:rPr>
        <w:t xml:space="preserve">. </w:t>
      </w:r>
      <w:r w:rsidR="009B1A9F" w:rsidRPr="005B4FD0">
        <w:rPr>
          <w:rFonts w:ascii="Palatino Linotype" w:hAnsi="Palatino Linotype"/>
          <w:sz w:val="24"/>
          <w:szCs w:val="24"/>
        </w:rPr>
        <w:t>Agriculture, fishing</w:t>
      </w:r>
      <w:r w:rsidR="00E2070F" w:rsidRPr="005B4FD0">
        <w:rPr>
          <w:rFonts w:ascii="Palatino Linotype" w:hAnsi="Palatino Linotype"/>
          <w:sz w:val="24"/>
          <w:szCs w:val="24"/>
        </w:rPr>
        <w:t>, superannuation</w:t>
      </w:r>
      <w:r w:rsidR="009B1A9F" w:rsidRPr="005B4FD0">
        <w:rPr>
          <w:rFonts w:ascii="Palatino Linotype" w:hAnsi="Palatino Linotype"/>
          <w:sz w:val="24"/>
          <w:szCs w:val="24"/>
        </w:rPr>
        <w:t xml:space="preserve"> and insurance </w:t>
      </w:r>
      <w:r w:rsidR="00612F6B" w:rsidRPr="005B4FD0">
        <w:rPr>
          <w:rFonts w:ascii="Palatino Linotype" w:hAnsi="Palatino Linotype"/>
          <w:sz w:val="24"/>
          <w:szCs w:val="24"/>
        </w:rPr>
        <w:t>are among</w:t>
      </w:r>
      <w:r w:rsidR="009B1A9F" w:rsidRPr="005B4FD0">
        <w:rPr>
          <w:rFonts w:ascii="Palatino Linotype" w:hAnsi="Palatino Linotype"/>
          <w:sz w:val="24"/>
          <w:szCs w:val="24"/>
        </w:rPr>
        <w:t xml:space="preserve"> the most directly affect</w:t>
      </w:r>
      <w:r w:rsidR="00612F6B" w:rsidRPr="005B4FD0">
        <w:rPr>
          <w:rFonts w:ascii="Palatino Linotype" w:hAnsi="Palatino Linotype"/>
          <w:sz w:val="24"/>
          <w:szCs w:val="24"/>
        </w:rPr>
        <w:t xml:space="preserve">ed </w:t>
      </w:r>
      <w:r w:rsidR="009B1A9F" w:rsidRPr="005B4FD0">
        <w:rPr>
          <w:rFonts w:ascii="Palatino Linotype" w:hAnsi="Palatino Linotype"/>
          <w:sz w:val="24"/>
          <w:szCs w:val="24"/>
        </w:rPr>
        <w:t>activities</w:t>
      </w:r>
      <w:r w:rsidR="00612F6B" w:rsidRPr="005B4FD0">
        <w:rPr>
          <w:rFonts w:ascii="Palatino Linotype" w:hAnsi="Palatino Linotype"/>
          <w:sz w:val="24"/>
          <w:szCs w:val="24"/>
        </w:rPr>
        <w:t xml:space="preserve">, but the TCFD now includes nearly all major production sectors across the world. </w:t>
      </w:r>
      <w:r w:rsidR="00611155" w:rsidRPr="005B4FD0">
        <w:rPr>
          <w:rFonts w:ascii="Palatino Linotype" w:hAnsi="Palatino Linotype"/>
          <w:sz w:val="24"/>
          <w:szCs w:val="24"/>
        </w:rPr>
        <w:t xml:space="preserve">Properly supervised, some law students are capable of assisting such </w:t>
      </w:r>
      <w:r w:rsidR="00611155" w:rsidRPr="005B4FD0">
        <w:rPr>
          <w:rFonts w:ascii="Palatino Linotype" w:hAnsi="Palatino Linotype"/>
          <w:sz w:val="24"/>
          <w:szCs w:val="24"/>
        </w:rPr>
        <w:lastRenderedPageBreak/>
        <w:t xml:space="preserve">corporations in their preparations for such disclosure. </w:t>
      </w:r>
      <w:r w:rsidR="00DB1981" w:rsidRPr="005B4FD0">
        <w:rPr>
          <w:rFonts w:ascii="Palatino Linotype" w:hAnsi="Palatino Linotype"/>
          <w:sz w:val="24"/>
          <w:szCs w:val="24"/>
        </w:rPr>
        <w:t xml:space="preserve">For example, Monash and </w:t>
      </w:r>
      <w:r w:rsidR="00BE63EF" w:rsidRPr="005B4FD0">
        <w:rPr>
          <w:rFonts w:ascii="Palatino Linotype" w:hAnsi="Palatino Linotype"/>
          <w:sz w:val="24"/>
          <w:szCs w:val="24"/>
        </w:rPr>
        <w:t xml:space="preserve">the </w:t>
      </w:r>
      <w:r w:rsidR="009B1A9F" w:rsidRPr="005B4FD0">
        <w:rPr>
          <w:rFonts w:ascii="Palatino Linotype" w:hAnsi="Palatino Linotype"/>
          <w:sz w:val="24"/>
          <w:szCs w:val="24"/>
        </w:rPr>
        <w:t>major Asian</w:t>
      </w:r>
      <w:r w:rsidR="00BE63EF" w:rsidRPr="005B4FD0">
        <w:rPr>
          <w:rFonts w:ascii="Palatino Linotype" w:hAnsi="Palatino Linotype"/>
          <w:sz w:val="24"/>
          <w:szCs w:val="24"/>
        </w:rPr>
        <w:t xml:space="preserve"> firm </w:t>
      </w:r>
      <w:r w:rsidR="00DB1981" w:rsidRPr="005B4FD0">
        <w:rPr>
          <w:rFonts w:ascii="Palatino Linotype" w:hAnsi="Palatino Linotype"/>
          <w:i/>
          <w:sz w:val="24"/>
          <w:szCs w:val="24"/>
        </w:rPr>
        <w:t>King Wood Mallesons</w:t>
      </w:r>
      <w:r w:rsidR="00DB1981" w:rsidRPr="005B4FD0">
        <w:rPr>
          <w:rFonts w:ascii="Palatino Linotype" w:hAnsi="Palatino Linotype"/>
          <w:sz w:val="24"/>
          <w:szCs w:val="24"/>
        </w:rPr>
        <w:t xml:space="preserve"> run a specialised </w:t>
      </w:r>
      <w:r w:rsidRPr="005B4FD0">
        <w:rPr>
          <w:rFonts w:ascii="Palatino Linotype" w:hAnsi="Palatino Linotype"/>
          <w:sz w:val="24"/>
          <w:szCs w:val="24"/>
        </w:rPr>
        <w:t>climate</w:t>
      </w:r>
      <w:r w:rsidR="00584F37" w:rsidRPr="005B4FD0">
        <w:rPr>
          <w:rFonts w:ascii="Palatino Linotype" w:hAnsi="Palatino Linotype"/>
          <w:sz w:val="24"/>
          <w:szCs w:val="24"/>
        </w:rPr>
        <w:t>-</w:t>
      </w:r>
      <w:r w:rsidRPr="005B4FD0">
        <w:rPr>
          <w:rFonts w:ascii="Palatino Linotype" w:hAnsi="Palatino Linotype"/>
          <w:sz w:val="24"/>
          <w:szCs w:val="24"/>
        </w:rPr>
        <w:t xml:space="preserve">preparedness audit for the large </w:t>
      </w:r>
      <w:r w:rsidR="00611155" w:rsidRPr="005B4FD0">
        <w:rPr>
          <w:rFonts w:ascii="Palatino Linotype" w:hAnsi="Palatino Linotype"/>
          <w:sz w:val="24"/>
          <w:szCs w:val="24"/>
        </w:rPr>
        <w:t xml:space="preserve">corporate </w:t>
      </w:r>
      <w:r w:rsidRPr="005B4FD0">
        <w:rPr>
          <w:rFonts w:ascii="Palatino Linotype" w:hAnsi="Palatino Linotype"/>
          <w:sz w:val="24"/>
          <w:szCs w:val="24"/>
        </w:rPr>
        <w:t xml:space="preserve">clients of </w:t>
      </w:r>
      <w:r w:rsidR="00DB1981" w:rsidRPr="005B4FD0">
        <w:rPr>
          <w:rFonts w:ascii="Palatino Linotype" w:hAnsi="Palatino Linotype"/>
          <w:sz w:val="24"/>
          <w:szCs w:val="24"/>
        </w:rPr>
        <w:t xml:space="preserve">that firm, </w:t>
      </w:r>
      <w:r w:rsidR="00611155" w:rsidRPr="005B4FD0">
        <w:rPr>
          <w:rFonts w:ascii="Palatino Linotype" w:hAnsi="Palatino Linotype"/>
          <w:sz w:val="24"/>
          <w:szCs w:val="24"/>
        </w:rPr>
        <w:t xml:space="preserve">with law students </w:t>
      </w:r>
      <w:r w:rsidR="009B1A9F" w:rsidRPr="005B4FD0">
        <w:rPr>
          <w:rFonts w:ascii="Palatino Linotype" w:hAnsi="Palatino Linotype"/>
          <w:sz w:val="24"/>
          <w:szCs w:val="24"/>
        </w:rPr>
        <w:t>examining</w:t>
      </w:r>
      <w:r w:rsidR="00611155" w:rsidRPr="005B4FD0">
        <w:rPr>
          <w:rFonts w:ascii="Palatino Linotype" w:hAnsi="Palatino Linotype"/>
          <w:sz w:val="24"/>
          <w:szCs w:val="24"/>
        </w:rPr>
        <w:t xml:space="preserve"> </w:t>
      </w:r>
      <w:r w:rsidR="009B1A9F" w:rsidRPr="005B4FD0">
        <w:rPr>
          <w:rFonts w:ascii="Palatino Linotype" w:hAnsi="Palatino Linotype"/>
          <w:sz w:val="24"/>
          <w:szCs w:val="24"/>
        </w:rPr>
        <w:t xml:space="preserve">each client’s </w:t>
      </w:r>
      <w:r w:rsidR="00611155" w:rsidRPr="005B4FD0">
        <w:rPr>
          <w:rFonts w:ascii="Palatino Linotype" w:hAnsi="Palatino Linotype"/>
          <w:sz w:val="24"/>
          <w:szCs w:val="24"/>
        </w:rPr>
        <w:t xml:space="preserve">business and developing the details </w:t>
      </w:r>
      <w:r w:rsidR="007E6AB7" w:rsidRPr="005B4FD0">
        <w:rPr>
          <w:rFonts w:ascii="Palatino Linotype" w:hAnsi="Palatino Linotype"/>
          <w:sz w:val="24"/>
          <w:szCs w:val="24"/>
        </w:rPr>
        <w:t>for</w:t>
      </w:r>
      <w:r w:rsidR="00611155" w:rsidRPr="005B4FD0">
        <w:rPr>
          <w:rFonts w:ascii="Palatino Linotype" w:hAnsi="Palatino Linotype"/>
          <w:sz w:val="24"/>
          <w:szCs w:val="24"/>
        </w:rPr>
        <w:t xml:space="preserve"> the audit.</w:t>
      </w:r>
      <w:r w:rsidR="00611155" w:rsidRPr="005B4FD0">
        <w:rPr>
          <w:rStyle w:val="FootnoteReference"/>
          <w:rFonts w:ascii="Palatino Linotype" w:hAnsi="Palatino Linotype"/>
          <w:sz w:val="24"/>
          <w:szCs w:val="24"/>
        </w:rPr>
        <w:footnoteReference w:id="15"/>
      </w:r>
    </w:p>
    <w:p w14:paraId="199F63C6" w14:textId="0BE426D1" w:rsidR="007E6AB7" w:rsidRPr="005B4FD0" w:rsidRDefault="00D3398E" w:rsidP="005B4FD0">
      <w:pPr>
        <w:spacing w:after="0" w:line="480" w:lineRule="auto"/>
        <w:jc w:val="both"/>
        <w:rPr>
          <w:rFonts w:ascii="Palatino Linotype" w:hAnsi="Palatino Linotype"/>
          <w:i/>
          <w:sz w:val="24"/>
          <w:szCs w:val="24"/>
        </w:rPr>
      </w:pPr>
      <w:r w:rsidRPr="005B4FD0">
        <w:rPr>
          <w:rFonts w:ascii="Palatino Linotype" w:hAnsi="Palatino Linotype"/>
          <w:i/>
          <w:sz w:val="24"/>
          <w:szCs w:val="24"/>
        </w:rPr>
        <w:t>Superannuation</w:t>
      </w:r>
      <w:r w:rsidR="00611155" w:rsidRPr="005B4FD0">
        <w:rPr>
          <w:rFonts w:ascii="Palatino Linotype" w:hAnsi="Palatino Linotype"/>
          <w:i/>
          <w:sz w:val="24"/>
          <w:szCs w:val="24"/>
        </w:rPr>
        <w:t xml:space="preserve"> </w:t>
      </w:r>
      <w:r w:rsidR="0008532F" w:rsidRPr="005B4FD0">
        <w:rPr>
          <w:rFonts w:ascii="Palatino Linotype" w:hAnsi="Palatino Linotype"/>
          <w:i/>
          <w:sz w:val="24"/>
          <w:szCs w:val="24"/>
        </w:rPr>
        <w:t>litigation</w:t>
      </w:r>
    </w:p>
    <w:p w14:paraId="5E3DC280" w14:textId="43F3D824" w:rsidR="003D3E47" w:rsidRPr="005B4FD0" w:rsidRDefault="006C034E" w:rsidP="005B4FD0">
      <w:pPr>
        <w:spacing w:line="480" w:lineRule="auto"/>
        <w:jc w:val="both"/>
        <w:rPr>
          <w:rFonts w:ascii="Palatino Linotype" w:hAnsi="Palatino Linotype"/>
          <w:sz w:val="24"/>
          <w:szCs w:val="24"/>
        </w:rPr>
      </w:pPr>
      <w:r w:rsidRPr="005B4FD0">
        <w:rPr>
          <w:rFonts w:ascii="Palatino Linotype" w:hAnsi="Palatino Linotype"/>
          <w:sz w:val="24"/>
          <w:szCs w:val="24"/>
        </w:rPr>
        <w:t xml:space="preserve">This </w:t>
      </w:r>
      <w:r w:rsidR="007E6AB7" w:rsidRPr="005B4FD0">
        <w:rPr>
          <w:rFonts w:ascii="Palatino Linotype" w:hAnsi="Palatino Linotype"/>
          <w:sz w:val="24"/>
          <w:szCs w:val="24"/>
        </w:rPr>
        <w:t xml:space="preserve">educative </w:t>
      </w:r>
      <w:r w:rsidR="00AA0C51" w:rsidRPr="005B4FD0">
        <w:rPr>
          <w:rFonts w:ascii="Palatino Linotype" w:hAnsi="Palatino Linotype"/>
          <w:sz w:val="24"/>
          <w:szCs w:val="24"/>
        </w:rPr>
        <w:t xml:space="preserve">approach </w:t>
      </w:r>
      <w:r w:rsidR="008633A9" w:rsidRPr="005B4FD0">
        <w:rPr>
          <w:rFonts w:ascii="Palatino Linotype" w:hAnsi="Palatino Linotype"/>
          <w:sz w:val="24"/>
          <w:szCs w:val="24"/>
        </w:rPr>
        <w:t>does not</w:t>
      </w:r>
      <w:r w:rsidR="00AA0C51" w:rsidRPr="005B4FD0">
        <w:rPr>
          <w:rFonts w:ascii="Palatino Linotype" w:hAnsi="Palatino Linotype"/>
          <w:sz w:val="24"/>
          <w:szCs w:val="24"/>
        </w:rPr>
        <w:t xml:space="preserve"> </w:t>
      </w:r>
      <w:r w:rsidRPr="005B4FD0">
        <w:rPr>
          <w:rFonts w:ascii="Palatino Linotype" w:hAnsi="Palatino Linotype"/>
          <w:sz w:val="24"/>
          <w:szCs w:val="24"/>
        </w:rPr>
        <w:t>directly challenge emitters in a</w:t>
      </w:r>
      <w:r w:rsidR="00AA0C51" w:rsidRPr="005B4FD0">
        <w:rPr>
          <w:rFonts w:ascii="Palatino Linotype" w:hAnsi="Palatino Linotype"/>
          <w:sz w:val="24"/>
          <w:szCs w:val="24"/>
        </w:rPr>
        <w:t xml:space="preserve"> </w:t>
      </w:r>
      <w:r w:rsidR="00E2070F" w:rsidRPr="005B4FD0">
        <w:rPr>
          <w:rFonts w:ascii="Palatino Linotype" w:hAnsi="Palatino Linotype"/>
          <w:sz w:val="24"/>
          <w:szCs w:val="24"/>
        </w:rPr>
        <w:t>litigious way</w:t>
      </w:r>
      <w:r w:rsidRPr="005B4FD0">
        <w:rPr>
          <w:rFonts w:ascii="Palatino Linotype" w:hAnsi="Palatino Linotype"/>
          <w:sz w:val="24"/>
          <w:szCs w:val="24"/>
        </w:rPr>
        <w:t xml:space="preserve">, but </w:t>
      </w:r>
      <w:r w:rsidR="007E6AB7" w:rsidRPr="005B4FD0">
        <w:rPr>
          <w:rFonts w:ascii="Palatino Linotype" w:hAnsi="Palatino Linotype"/>
          <w:sz w:val="24"/>
          <w:szCs w:val="24"/>
        </w:rPr>
        <w:t xml:space="preserve">there are </w:t>
      </w:r>
      <w:r w:rsidR="00BE63EF" w:rsidRPr="005B4FD0">
        <w:rPr>
          <w:rFonts w:ascii="Palatino Linotype" w:hAnsi="Palatino Linotype"/>
          <w:sz w:val="24"/>
          <w:szCs w:val="24"/>
        </w:rPr>
        <w:t xml:space="preserve">other </w:t>
      </w:r>
      <w:r w:rsidR="006602C1" w:rsidRPr="005B4FD0">
        <w:rPr>
          <w:rFonts w:ascii="Palatino Linotype" w:hAnsi="Palatino Linotype"/>
          <w:sz w:val="24"/>
          <w:szCs w:val="24"/>
        </w:rPr>
        <w:t>related</w:t>
      </w:r>
      <w:r w:rsidR="00BE63EF" w:rsidRPr="005B4FD0">
        <w:rPr>
          <w:rFonts w:ascii="Palatino Linotype" w:hAnsi="Palatino Linotype"/>
          <w:sz w:val="24"/>
          <w:szCs w:val="24"/>
        </w:rPr>
        <w:t xml:space="preserve"> </w:t>
      </w:r>
      <w:r w:rsidR="00E2070F" w:rsidRPr="005B4FD0">
        <w:rPr>
          <w:rFonts w:ascii="Palatino Linotype" w:hAnsi="Palatino Linotype"/>
          <w:sz w:val="24"/>
          <w:szCs w:val="24"/>
        </w:rPr>
        <w:t>approaches</w:t>
      </w:r>
      <w:r w:rsidR="007E6AB7" w:rsidRPr="005B4FD0">
        <w:rPr>
          <w:rFonts w:ascii="Palatino Linotype" w:hAnsi="Palatino Linotype"/>
          <w:sz w:val="24"/>
          <w:szCs w:val="24"/>
        </w:rPr>
        <w:t xml:space="preserve"> to </w:t>
      </w:r>
      <w:r w:rsidR="00BE63EF" w:rsidRPr="005B4FD0">
        <w:rPr>
          <w:rFonts w:ascii="Palatino Linotype" w:hAnsi="Palatino Linotype"/>
          <w:sz w:val="24"/>
          <w:szCs w:val="24"/>
        </w:rPr>
        <w:t>achieve a similar strategic impact</w:t>
      </w:r>
      <w:r w:rsidR="00E819C3" w:rsidRPr="005B4FD0">
        <w:rPr>
          <w:rFonts w:ascii="Palatino Linotype" w:hAnsi="Palatino Linotype"/>
          <w:sz w:val="24"/>
          <w:szCs w:val="24"/>
        </w:rPr>
        <w:t>.</w:t>
      </w:r>
      <w:r w:rsidRPr="005B4FD0">
        <w:rPr>
          <w:rFonts w:ascii="Palatino Linotype" w:hAnsi="Palatino Linotype"/>
          <w:sz w:val="24"/>
          <w:szCs w:val="24"/>
        </w:rPr>
        <w:t xml:space="preserve"> </w:t>
      </w:r>
      <w:r w:rsidRPr="005B4FD0">
        <w:rPr>
          <w:rFonts w:ascii="Palatino Linotype" w:hAnsi="Palatino Linotype"/>
          <w:color w:val="FF0000"/>
          <w:sz w:val="24"/>
          <w:szCs w:val="24"/>
        </w:rPr>
        <w:t xml:space="preserve"> </w:t>
      </w:r>
      <w:r w:rsidR="00D3398E" w:rsidRPr="005B4FD0">
        <w:rPr>
          <w:rFonts w:ascii="Palatino Linotype" w:hAnsi="Palatino Linotype"/>
          <w:sz w:val="24"/>
          <w:szCs w:val="24"/>
        </w:rPr>
        <w:t>Superannuation is particularly fertile ground for climate litigation. One</w:t>
      </w:r>
      <w:r w:rsidR="008633A9" w:rsidRPr="005B4FD0">
        <w:rPr>
          <w:rFonts w:ascii="Palatino Linotype" w:hAnsi="Palatino Linotype"/>
          <w:sz w:val="24"/>
          <w:szCs w:val="24"/>
        </w:rPr>
        <w:t xml:space="preserve"> example concerns </w:t>
      </w:r>
      <w:r w:rsidR="004461ED" w:rsidRPr="005B4FD0">
        <w:rPr>
          <w:rFonts w:ascii="Palatino Linotype" w:hAnsi="Palatino Linotype"/>
          <w:sz w:val="24"/>
          <w:szCs w:val="24"/>
        </w:rPr>
        <w:t>a</w:t>
      </w:r>
      <w:r w:rsidR="00D3398E" w:rsidRPr="005B4FD0">
        <w:rPr>
          <w:rFonts w:ascii="Palatino Linotype" w:hAnsi="Palatino Linotype"/>
          <w:sz w:val="24"/>
          <w:szCs w:val="24"/>
        </w:rPr>
        <w:t xml:space="preserve"> young</w:t>
      </w:r>
      <w:r w:rsidR="004461ED" w:rsidRPr="005B4FD0">
        <w:rPr>
          <w:rFonts w:ascii="Palatino Linotype" w:hAnsi="Palatino Linotype"/>
          <w:sz w:val="24"/>
          <w:szCs w:val="24"/>
        </w:rPr>
        <w:t xml:space="preserve"> Australian</w:t>
      </w:r>
      <w:r w:rsidR="008633A9" w:rsidRPr="005B4FD0">
        <w:rPr>
          <w:rFonts w:ascii="Palatino Linotype" w:hAnsi="Palatino Linotype"/>
          <w:sz w:val="24"/>
          <w:szCs w:val="24"/>
        </w:rPr>
        <w:t xml:space="preserve"> landscape ecologist who in 2017 ‘…used the Market Forces website to ask his superannuation fund, REST, whether it was considering climate risks when making investment decisions.’</w:t>
      </w:r>
      <w:r w:rsidR="008633A9" w:rsidRPr="005B4FD0">
        <w:rPr>
          <w:rStyle w:val="FootnoteReference"/>
          <w:rFonts w:ascii="Palatino Linotype" w:hAnsi="Palatino Linotype"/>
          <w:sz w:val="24"/>
          <w:szCs w:val="24"/>
        </w:rPr>
        <w:footnoteReference w:id="16"/>
      </w:r>
      <w:r w:rsidR="004461ED" w:rsidRPr="005B4FD0">
        <w:rPr>
          <w:rFonts w:ascii="Palatino Linotype" w:hAnsi="Palatino Linotype"/>
          <w:sz w:val="24"/>
          <w:szCs w:val="24"/>
        </w:rPr>
        <w:t xml:space="preserve"> When the fund repeatedly refused to answer his query, he commenced Federal Court of Australia action with the assistance of </w:t>
      </w:r>
      <w:r w:rsidR="006602C1" w:rsidRPr="005B4FD0">
        <w:rPr>
          <w:rFonts w:ascii="Palatino Linotype" w:hAnsi="Palatino Linotype"/>
          <w:sz w:val="24"/>
          <w:szCs w:val="24"/>
        </w:rPr>
        <w:t xml:space="preserve">the major NGO in the sector, </w:t>
      </w:r>
      <w:r w:rsidR="004461ED" w:rsidRPr="005B4FD0">
        <w:rPr>
          <w:rFonts w:ascii="Palatino Linotype" w:hAnsi="Palatino Linotype"/>
          <w:sz w:val="24"/>
          <w:szCs w:val="24"/>
        </w:rPr>
        <w:t>Environmental Justice Australia</w:t>
      </w:r>
      <w:r w:rsidR="00BE63EF" w:rsidRPr="005B4FD0">
        <w:rPr>
          <w:rFonts w:ascii="Palatino Linotype" w:hAnsi="Palatino Linotype"/>
          <w:sz w:val="24"/>
          <w:szCs w:val="24"/>
        </w:rPr>
        <w:t>. This litigation</w:t>
      </w:r>
      <w:r w:rsidR="006602C1" w:rsidRPr="005B4FD0">
        <w:rPr>
          <w:rFonts w:ascii="Palatino Linotype" w:hAnsi="Palatino Linotype"/>
          <w:sz w:val="24"/>
          <w:szCs w:val="24"/>
        </w:rPr>
        <w:t xml:space="preserve"> </w:t>
      </w:r>
      <w:r w:rsidR="004461ED" w:rsidRPr="005B4FD0">
        <w:rPr>
          <w:rFonts w:ascii="Palatino Linotype" w:hAnsi="Palatino Linotype"/>
          <w:sz w:val="24"/>
          <w:szCs w:val="24"/>
        </w:rPr>
        <w:t>highlight</w:t>
      </w:r>
      <w:r w:rsidR="00BE63EF" w:rsidRPr="005B4FD0">
        <w:rPr>
          <w:rFonts w:ascii="Palatino Linotype" w:hAnsi="Palatino Linotype"/>
          <w:sz w:val="24"/>
          <w:szCs w:val="24"/>
        </w:rPr>
        <w:t>s</w:t>
      </w:r>
      <w:r w:rsidR="004461ED" w:rsidRPr="005B4FD0">
        <w:rPr>
          <w:rFonts w:ascii="Palatino Linotype" w:hAnsi="Palatino Linotype"/>
          <w:sz w:val="24"/>
          <w:szCs w:val="24"/>
        </w:rPr>
        <w:t xml:space="preserve"> that</w:t>
      </w:r>
      <w:r w:rsidR="00584F37" w:rsidRPr="005B4FD0">
        <w:rPr>
          <w:rFonts w:ascii="Palatino Linotype" w:hAnsi="Palatino Linotype"/>
          <w:sz w:val="24"/>
          <w:szCs w:val="24"/>
        </w:rPr>
        <w:t xml:space="preserve"> corporations </w:t>
      </w:r>
      <w:proofErr w:type="gramStart"/>
      <w:r w:rsidR="00BE63EF" w:rsidRPr="005B4FD0">
        <w:rPr>
          <w:rFonts w:ascii="Palatino Linotype" w:hAnsi="Palatino Linotype"/>
          <w:sz w:val="24"/>
          <w:szCs w:val="24"/>
        </w:rPr>
        <w:t>which have super fund shareholders</w:t>
      </w:r>
      <w:r w:rsidR="006602C1" w:rsidRPr="005B4FD0">
        <w:rPr>
          <w:rFonts w:ascii="Palatino Linotype" w:hAnsi="Palatino Linotype"/>
          <w:sz w:val="24"/>
          <w:szCs w:val="24"/>
        </w:rPr>
        <w:t xml:space="preserve"> </w:t>
      </w:r>
      <w:r w:rsidR="00D3398E" w:rsidRPr="005B4FD0">
        <w:rPr>
          <w:rFonts w:ascii="Palatino Linotype" w:hAnsi="Palatino Linotype"/>
          <w:sz w:val="24"/>
          <w:szCs w:val="24"/>
        </w:rPr>
        <w:t>-</w:t>
      </w:r>
      <w:r w:rsidR="006602C1" w:rsidRPr="005B4FD0">
        <w:rPr>
          <w:rFonts w:ascii="Palatino Linotype" w:hAnsi="Palatino Linotype"/>
          <w:sz w:val="24"/>
          <w:szCs w:val="24"/>
        </w:rPr>
        <w:t xml:space="preserve"> and that is virtually every major company -</w:t>
      </w:r>
      <w:proofErr w:type="gramEnd"/>
      <w:r w:rsidR="00584F37" w:rsidRPr="005B4FD0">
        <w:rPr>
          <w:rFonts w:ascii="Palatino Linotype" w:hAnsi="Palatino Linotype"/>
          <w:sz w:val="24"/>
          <w:szCs w:val="24"/>
        </w:rPr>
        <w:t xml:space="preserve"> will be under </w:t>
      </w:r>
      <w:r w:rsidR="006602C1" w:rsidRPr="005B4FD0">
        <w:rPr>
          <w:rFonts w:ascii="Palatino Linotype" w:hAnsi="Palatino Linotype"/>
          <w:sz w:val="24"/>
          <w:szCs w:val="24"/>
        </w:rPr>
        <w:t xml:space="preserve">increasingly negative </w:t>
      </w:r>
      <w:r w:rsidR="00584F37" w:rsidRPr="005B4FD0">
        <w:rPr>
          <w:rFonts w:ascii="Palatino Linotype" w:hAnsi="Palatino Linotype"/>
          <w:sz w:val="24"/>
          <w:szCs w:val="24"/>
        </w:rPr>
        <w:t xml:space="preserve">public scrutiny </w:t>
      </w:r>
      <w:r w:rsidR="00BE63EF" w:rsidRPr="005B4FD0">
        <w:rPr>
          <w:rFonts w:ascii="Palatino Linotype" w:hAnsi="Palatino Linotype"/>
          <w:sz w:val="24"/>
          <w:szCs w:val="24"/>
        </w:rPr>
        <w:t>i</w:t>
      </w:r>
      <w:r w:rsidR="00584F37" w:rsidRPr="005B4FD0">
        <w:rPr>
          <w:rFonts w:ascii="Palatino Linotype" w:hAnsi="Palatino Linotype"/>
          <w:sz w:val="24"/>
          <w:szCs w:val="24"/>
        </w:rPr>
        <w:t>f they are not adopting TCFD protocols for disclosure of their prepar</w:t>
      </w:r>
      <w:r w:rsidR="006602C1" w:rsidRPr="005B4FD0">
        <w:rPr>
          <w:rFonts w:ascii="Palatino Linotype" w:hAnsi="Palatino Linotype"/>
          <w:sz w:val="24"/>
          <w:szCs w:val="24"/>
        </w:rPr>
        <w:t>ations for climate adversity</w:t>
      </w:r>
      <w:r w:rsidR="00584F37" w:rsidRPr="005B4FD0">
        <w:rPr>
          <w:rFonts w:ascii="Palatino Linotype" w:hAnsi="Palatino Linotype"/>
          <w:sz w:val="24"/>
          <w:szCs w:val="24"/>
        </w:rPr>
        <w:t>.</w:t>
      </w:r>
      <w:r w:rsidR="004461ED" w:rsidRPr="005B4FD0">
        <w:rPr>
          <w:rFonts w:ascii="Palatino Linotype" w:hAnsi="Palatino Linotype"/>
          <w:sz w:val="24"/>
          <w:szCs w:val="24"/>
        </w:rPr>
        <w:t xml:space="preserve"> </w:t>
      </w:r>
    </w:p>
    <w:p w14:paraId="02A26298" w14:textId="2D9A76DE" w:rsidR="00C6620C" w:rsidRPr="005B4FD0" w:rsidRDefault="00B169CE" w:rsidP="005B4FD0">
      <w:pPr>
        <w:spacing w:after="0" w:line="480" w:lineRule="auto"/>
        <w:jc w:val="both"/>
        <w:rPr>
          <w:rFonts w:ascii="Palatino Linotype" w:hAnsi="Palatino Linotype"/>
          <w:sz w:val="24"/>
          <w:szCs w:val="24"/>
        </w:rPr>
      </w:pPr>
      <w:r w:rsidRPr="005B4FD0">
        <w:rPr>
          <w:rFonts w:ascii="Palatino Linotype" w:hAnsi="Palatino Linotype"/>
          <w:i/>
          <w:sz w:val="24"/>
          <w:szCs w:val="24"/>
        </w:rPr>
        <w:t>Negligence</w:t>
      </w:r>
      <w:r w:rsidR="00C6620C" w:rsidRPr="005B4FD0">
        <w:rPr>
          <w:rFonts w:ascii="Palatino Linotype" w:hAnsi="Palatino Linotype"/>
          <w:i/>
          <w:sz w:val="24"/>
          <w:szCs w:val="24"/>
        </w:rPr>
        <w:t xml:space="preserve"> and Failure to Act</w:t>
      </w:r>
      <w:r w:rsidR="00CC2DC7" w:rsidRPr="005B4FD0">
        <w:rPr>
          <w:rFonts w:ascii="Palatino Linotype" w:hAnsi="Palatino Linotype"/>
          <w:i/>
          <w:sz w:val="24"/>
          <w:szCs w:val="24"/>
        </w:rPr>
        <w:t xml:space="preserve"> – Civil Law and specific constitutional protections</w:t>
      </w:r>
      <w:r w:rsidR="005B4FD0">
        <w:rPr>
          <w:rFonts w:ascii="Palatino Linotype" w:hAnsi="Palatino Linotype"/>
          <w:i/>
          <w:sz w:val="24"/>
          <w:szCs w:val="24"/>
        </w:rPr>
        <w:t xml:space="preserve"> </w:t>
      </w:r>
      <w:r w:rsidR="005B4FD0">
        <w:rPr>
          <w:rFonts w:ascii="Palatino Linotype" w:hAnsi="Palatino Linotype"/>
          <w:i/>
          <w:sz w:val="24"/>
          <w:szCs w:val="24"/>
        </w:rPr>
        <w:tab/>
      </w:r>
      <w:r w:rsidR="005B4FD0">
        <w:rPr>
          <w:rFonts w:ascii="Palatino Linotype" w:hAnsi="Palatino Linotype"/>
          <w:i/>
          <w:sz w:val="24"/>
          <w:szCs w:val="24"/>
        </w:rPr>
        <w:tab/>
      </w:r>
      <w:r w:rsidR="005B4FD0">
        <w:rPr>
          <w:rFonts w:ascii="Palatino Linotype" w:hAnsi="Palatino Linotype"/>
          <w:i/>
          <w:sz w:val="24"/>
          <w:szCs w:val="24"/>
        </w:rPr>
        <w:tab/>
        <w:t xml:space="preserve">  </w:t>
      </w:r>
      <w:proofErr w:type="gramStart"/>
      <w:r w:rsidR="006F51AB" w:rsidRPr="005B4FD0">
        <w:rPr>
          <w:rFonts w:ascii="Palatino Linotype" w:hAnsi="Palatino Linotype"/>
          <w:sz w:val="24"/>
          <w:szCs w:val="24"/>
        </w:rPr>
        <w:t>To</w:t>
      </w:r>
      <w:proofErr w:type="gramEnd"/>
      <w:r w:rsidR="006F51AB" w:rsidRPr="005B4FD0">
        <w:rPr>
          <w:rFonts w:ascii="Palatino Linotype" w:hAnsi="Palatino Linotype"/>
          <w:sz w:val="24"/>
          <w:szCs w:val="24"/>
        </w:rPr>
        <w:t xml:space="preserve"> date, the </w:t>
      </w:r>
      <w:r w:rsidR="00C6620C" w:rsidRPr="005B4FD0">
        <w:rPr>
          <w:rFonts w:ascii="Palatino Linotype" w:hAnsi="Palatino Linotype"/>
          <w:sz w:val="24"/>
          <w:szCs w:val="24"/>
        </w:rPr>
        <w:t xml:space="preserve">case launched by environmental rights group </w:t>
      </w:r>
      <w:proofErr w:type="spellStart"/>
      <w:r w:rsidR="006F51AB" w:rsidRPr="005B4FD0">
        <w:rPr>
          <w:rFonts w:ascii="Palatino Linotype" w:hAnsi="Palatino Linotype"/>
          <w:i/>
          <w:sz w:val="24"/>
          <w:szCs w:val="24"/>
        </w:rPr>
        <w:t>Urgenda</w:t>
      </w:r>
      <w:proofErr w:type="spellEnd"/>
      <w:r w:rsidR="006F51AB" w:rsidRPr="005B4FD0">
        <w:rPr>
          <w:rFonts w:ascii="Palatino Linotype" w:hAnsi="Palatino Linotype"/>
          <w:sz w:val="24"/>
          <w:szCs w:val="24"/>
        </w:rPr>
        <w:t xml:space="preserve"> </w:t>
      </w:r>
      <w:r w:rsidR="00C6620C" w:rsidRPr="005B4FD0">
        <w:rPr>
          <w:rFonts w:ascii="Palatino Linotype" w:hAnsi="Palatino Linotype"/>
          <w:i/>
          <w:sz w:val="24"/>
          <w:szCs w:val="24"/>
        </w:rPr>
        <w:t>Foundation</w:t>
      </w:r>
      <w:r w:rsidR="00C6620C" w:rsidRPr="005B4FD0">
        <w:rPr>
          <w:rFonts w:ascii="Palatino Linotype" w:hAnsi="Palatino Linotype"/>
          <w:sz w:val="24"/>
          <w:szCs w:val="24"/>
        </w:rPr>
        <w:t xml:space="preserve"> </w:t>
      </w:r>
      <w:r w:rsidR="006F51AB" w:rsidRPr="005B4FD0">
        <w:rPr>
          <w:rFonts w:ascii="Palatino Linotype" w:hAnsi="Palatino Linotype"/>
          <w:sz w:val="24"/>
          <w:szCs w:val="24"/>
        </w:rPr>
        <w:t xml:space="preserve">in the </w:t>
      </w:r>
      <w:r w:rsidR="006F51AB" w:rsidRPr="005B4FD0">
        <w:rPr>
          <w:rFonts w:ascii="Palatino Linotype" w:hAnsi="Palatino Linotype"/>
          <w:sz w:val="24"/>
          <w:szCs w:val="24"/>
        </w:rPr>
        <w:lastRenderedPageBreak/>
        <w:t>Netherlands is the most significant exam</w:t>
      </w:r>
      <w:r w:rsidR="003F25D7" w:rsidRPr="005B4FD0">
        <w:rPr>
          <w:rFonts w:ascii="Palatino Linotype" w:hAnsi="Palatino Linotype"/>
          <w:sz w:val="24"/>
          <w:szCs w:val="24"/>
        </w:rPr>
        <w:t>ple of successful climate action</w:t>
      </w:r>
      <w:r w:rsidR="00C6620C" w:rsidRPr="005B4FD0">
        <w:rPr>
          <w:rFonts w:ascii="Palatino Linotype" w:hAnsi="Palatino Linotype"/>
          <w:sz w:val="24"/>
          <w:szCs w:val="24"/>
        </w:rPr>
        <w:t>, essentially on the basis of</w:t>
      </w:r>
      <w:r w:rsidR="006F51AB" w:rsidRPr="005B4FD0">
        <w:rPr>
          <w:rFonts w:ascii="Palatino Linotype" w:hAnsi="Palatino Linotype"/>
          <w:sz w:val="24"/>
          <w:szCs w:val="24"/>
        </w:rPr>
        <w:t xml:space="preserve"> negligence</w:t>
      </w:r>
      <w:r w:rsidR="00C6620C" w:rsidRPr="005B4FD0">
        <w:rPr>
          <w:rFonts w:ascii="Palatino Linotype" w:hAnsi="Palatino Linotype"/>
          <w:sz w:val="24"/>
          <w:szCs w:val="24"/>
        </w:rPr>
        <w:t xml:space="preserve"> or a deliberate failure to act</w:t>
      </w:r>
      <w:r w:rsidR="006F51AB" w:rsidRPr="005B4FD0">
        <w:rPr>
          <w:rFonts w:ascii="Palatino Linotype" w:hAnsi="Palatino Linotype"/>
          <w:sz w:val="24"/>
          <w:szCs w:val="24"/>
        </w:rPr>
        <w:t xml:space="preserve">. </w:t>
      </w:r>
      <w:r w:rsidR="00AA0C51" w:rsidRPr="005B4FD0">
        <w:rPr>
          <w:rStyle w:val="FootnoteReference"/>
          <w:rFonts w:ascii="Palatino Linotype" w:hAnsi="Palatino Linotype"/>
          <w:sz w:val="24"/>
          <w:szCs w:val="24"/>
        </w:rPr>
        <w:footnoteReference w:id="17"/>
      </w:r>
      <w:r w:rsidR="006B1C7F" w:rsidRPr="005B4FD0">
        <w:rPr>
          <w:rFonts w:ascii="Palatino Linotype" w:hAnsi="Palatino Linotype"/>
          <w:sz w:val="24"/>
          <w:szCs w:val="24"/>
        </w:rPr>
        <w:t xml:space="preserve"> </w:t>
      </w:r>
    </w:p>
    <w:p w14:paraId="4F3328FD" w14:textId="27248196" w:rsidR="00C6620C" w:rsidRPr="005B4FD0" w:rsidRDefault="00C6620C" w:rsidP="005B4FD0">
      <w:pPr>
        <w:spacing w:after="0" w:line="480" w:lineRule="auto"/>
        <w:jc w:val="both"/>
        <w:rPr>
          <w:rFonts w:ascii="Palatino Linotype" w:hAnsi="Palatino Linotype" w:cstheme="minorHAnsi"/>
          <w:sz w:val="24"/>
          <w:szCs w:val="24"/>
        </w:rPr>
      </w:pPr>
      <w:r w:rsidRPr="005B4FD0">
        <w:rPr>
          <w:rFonts w:ascii="Palatino Linotype" w:hAnsi="Palatino Linotype" w:cstheme="minorHAnsi"/>
          <w:color w:val="1C1C1C"/>
          <w:sz w:val="24"/>
          <w:szCs w:val="24"/>
        </w:rPr>
        <w:t xml:space="preserve">In a letter to </w:t>
      </w:r>
      <w:proofErr w:type="spellStart"/>
      <w:r w:rsidRPr="005B4FD0">
        <w:rPr>
          <w:rFonts w:ascii="Palatino Linotype" w:hAnsi="Palatino Linotype" w:cstheme="minorHAnsi"/>
          <w:color w:val="1C1C1C"/>
          <w:sz w:val="24"/>
          <w:szCs w:val="24"/>
        </w:rPr>
        <w:t>Urgenda</w:t>
      </w:r>
      <w:proofErr w:type="spellEnd"/>
      <w:r w:rsidRPr="005B4FD0">
        <w:rPr>
          <w:rFonts w:ascii="Palatino Linotype" w:hAnsi="Palatino Linotype" w:cstheme="minorHAnsi"/>
          <w:color w:val="1C1C1C"/>
          <w:sz w:val="24"/>
          <w:szCs w:val="24"/>
        </w:rPr>
        <w:t xml:space="preserve">, the Dutch government acknowledged that its actions are insufficient to prevent dangerous climate change. </w:t>
      </w:r>
      <w:proofErr w:type="spellStart"/>
      <w:r w:rsidRPr="005B4FD0">
        <w:rPr>
          <w:rFonts w:ascii="Palatino Linotype" w:hAnsi="Palatino Linotype" w:cstheme="minorHAnsi"/>
          <w:color w:val="1C1C1C"/>
          <w:sz w:val="24"/>
          <w:szCs w:val="24"/>
        </w:rPr>
        <w:t>Urgenda</w:t>
      </w:r>
      <w:proofErr w:type="spellEnd"/>
      <w:r w:rsidRPr="005B4FD0">
        <w:rPr>
          <w:rFonts w:ascii="Palatino Linotype" w:hAnsi="Palatino Linotype" w:cstheme="minorHAnsi"/>
          <w:color w:val="1C1C1C"/>
          <w:sz w:val="24"/>
          <w:szCs w:val="24"/>
        </w:rPr>
        <w:t xml:space="preserve"> concluded that The Netherlands is knowingly exposing its own citizens to danger. In legal terms, that is a wrongful act of the State. The Dutch Supreme Court has consistently upheld the principle that the government </w:t>
      </w:r>
      <w:proofErr w:type="gramStart"/>
      <w:r w:rsidRPr="005B4FD0">
        <w:rPr>
          <w:rFonts w:ascii="Palatino Linotype" w:hAnsi="Palatino Linotype" w:cstheme="minorHAnsi"/>
          <w:color w:val="1C1C1C"/>
          <w:sz w:val="24"/>
          <w:szCs w:val="24"/>
        </w:rPr>
        <w:t>can be held</w:t>
      </w:r>
      <w:proofErr w:type="gramEnd"/>
      <w:r w:rsidRPr="005B4FD0">
        <w:rPr>
          <w:rFonts w:ascii="Palatino Linotype" w:hAnsi="Palatino Linotype" w:cstheme="minorHAnsi"/>
          <w:color w:val="1C1C1C"/>
          <w:sz w:val="24"/>
          <w:szCs w:val="24"/>
        </w:rPr>
        <w:t xml:space="preserve"> legally accountable for not taking sufficient action to prevent foreseeable harm. </w:t>
      </w:r>
      <w:proofErr w:type="spellStart"/>
      <w:r w:rsidRPr="005B4FD0">
        <w:rPr>
          <w:rFonts w:ascii="Palatino Linotype" w:hAnsi="Palatino Linotype" w:cstheme="minorHAnsi"/>
          <w:color w:val="1C1C1C"/>
          <w:sz w:val="24"/>
          <w:szCs w:val="24"/>
        </w:rPr>
        <w:t>Urgenda</w:t>
      </w:r>
      <w:proofErr w:type="spellEnd"/>
      <w:r w:rsidRPr="005B4FD0">
        <w:rPr>
          <w:rFonts w:ascii="Palatino Linotype" w:hAnsi="Palatino Linotype" w:cstheme="minorHAnsi"/>
          <w:color w:val="1C1C1C"/>
          <w:sz w:val="24"/>
          <w:szCs w:val="24"/>
        </w:rPr>
        <w:t xml:space="preserve"> argues that this is also the case with climate change.</w:t>
      </w:r>
      <w:r w:rsidRPr="005B4FD0">
        <w:rPr>
          <w:rStyle w:val="FootnoteReference"/>
          <w:rFonts w:ascii="Palatino Linotype" w:hAnsi="Palatino Linotype" w:cstheme="minorHAnsi"/>
          <w:color w:val="1C1C1C"/>
          <w:sz w:val="24"/>
          <w:szCs w:val="24"/>
        </w:rPr>
        <w:footnoteReference w:id="18"/>
      </w:r>
    </w:p>
    <w:p w14:paraId="01F06EAA" w14:textId="77777777" w:rsidR="005B4FD0" w:rsidRDefault="006B1C7F" w:rsidP="005B4FD0">
      <w:pPr>
        <w:spacing w:after="0" w:line="480" w:lineRule="auto"/>
        <w:jc w:val="both"/>
        <w:rPr>
          <w:rFonts w:ascii="Palatino Linotype" w:hAnsi="Palatino Linotype"/>
          <w:sz w:val="24"/>
          <w:szCs w:val="24"/>
        </w:rPr>
      </w:pPr>
      <w:r w:rsidRPr="005B4FD0">
        <w:rPr>
          <w:rFonts w:ascii="Palatino Linotype" w:hAnsi="Palatino Linotype"/>
          <w:sz w:val="24"/>
          <w:szCs w:val="24"/>
        </w:rPr>
        <w:t xml:space="preserve">The Dutch Government was ordered </w:t>
      </w:r>
      <w:r w:rsidR="003F25D7" w:rsidRPr="005B4FD0">
        <w:rPr>
          <w:rFonts w:ascii="Palatino Linotype" w:hAnsi="Palatino Linotype"/>
          <w:sz w:val="24"/>
          <w:szCs w:val="24"/>
        </w:rPr>
        <w:t>at first instance - and affirmed in the Hague Court of Appeals</w:t>
      </w:r>
      <w:r w:rsidR="003F25D7" w:rsidRPr="005B4FD0">
        <w:rPr>
          <w:rStyle w:val="FootnoteReference"/>
          <w:rFonts w:ascii="Palatino Linotype" w:hAnsi="Palatino Linotype"/>
          <w:sz w:val="24"/>
          <w:szCs w:val="24"/>
        </w:rPr>
        <w:footnoteReference w:id="19"/>
      </w:r>
      <w:r w:rsidR="003F25D7" w:rsidRPr="005B4FD0">
        <w:rPr>
          <w:rFonts w:ascii="Palatino Linotype" w:hAnsi="Palatino Linotype"/>
          <w:sz w:val="24"/>
          <w:szCs w:val="24"/>
        </w:rPr>
        <w:t xml:space="preserve"> - </w:t>
      </w:r>
      <w:r w:rsidRPr="005B4FD0">
        <w:rPr>
          <w:rFonts w:ascii="Palatino Linotype" w:hAnsi="Palatino Linotype"/>
          <w:sz w:val="24"/>
          <w:szCs w:val="24"/>
        </w:rPr>
        <w:t>to take affective action against climate change by lowering emissions</w:t>
      </w:r>
      <w:r w:rsidR="00C6620C" w:rsidRPr="005B4FD0">
        <w:rPr>
          <w:rFonts w:ascii="Palatino Linotype" w:hAnsi="Palatino Linotype"/>
          <w:sz w:val="24"/>
          <w:szCs w:val="24"/>
        </w:rPr>
        <w:t xml:space="preserve">, but </w:t>
      </w:r>
      <w:r w:rsidR="003F25D7" w:rsidRPr="005B4FD0">
        <w:rPr>
          <w:rFonts w:ascii="Palatino Linotype" w:hAnsi="Palatino Linotype"/>
          <w:sz w:val="24"/>
          <w:szCs w:val="24"/>
        </w:rPr>
        <w:t>may</w:t>
      </w:r>
      <w:r w:rsidR="00C6620C" w:rsidRPr="005B4FD0">
        <w:rPr>
          <w:rFonts w:ascii="Palatino Linotype" w:hAnsi="Palatino Linotype"/>
          <w:sz w:val="24"/>
          <w:szCs w:val="24"/>
        </w:rPr>
        <w:t xml:space="preserve"> appeal to the</w:t>
      </w:r>
      <w:r w:rsidR="003F25D7" w:rsidRPr="005B4FD0">
        <w:rPr>
          <w:rFonts w:ascii="Palatino Linotype" w:hAnsi="Palatino Linotype"/>
          <w:sz w:val="24"/>
          <w:szCs w:val="24"/>
        </w:rPr>
        <w:t xml:space="preserve"> Netherlands Supreme Court</w:t>
      </w:r>
      <w:r w:rsidR="00C6620C" w:rsidRPr="005B4FD0">
        <w:rPr>
          <w:rFonts w:ascii="Palatino Linotype" w:hAnsi="Palatino Linotype"/>
          <w:sz w:val="24"/>
          <w:szCs w:val="24"/>
        </w:rPr>
        <w:t xml:space="preserve">. </w:t>
      </w:r>
      <w:r w:rsidR="005B4FD0">
        <w:rPr>
          <w:rFonts w:ascii="Palatino Linotype" w:hAnsi="Palatino Linotype"/>
          <w:sz w:val="24"/>
          <w:szCs w:val="24"/>
        </w:rPr>
        <w:t xml:space="preserve"> </w:t>
      </w:r>
    </w:p>
    <w:p w14:paraId="3C0539FD" w14:textId="696FD2A2" w:rsidR="00F97DB9" w:rsidRDefault="00F97DB9" w:rsidP="005B4FD0">
      <w:pPr>
        <w:spacing w:after="0" w:line="480" w:lineRule="auto"/>
        <w:jc w:val="both"/>
        <w:rPr>
          <w:rFonts w:ascii="Palatino Linotype" w:hAnsi="Palatino Linotype"/>
          <w:sz w:val="24"/>
          <w:szCs w:val="24"/>
        </w:rPr>
      </w:pPr>
      <w:r w:rsidRPr="005B4FD0">
        <w:rPr>
          <w:rFonts w:ascii="Palatino Linotype" w:hAnsi="Palatino Linotype"/>
          <w:sz w:val="24"/>
          <w:szCs w:val="24"/>
        </w:rPr>
        <w:t xml:space="preserve">Where a particular legal system allows, similar fundamental approaches are possible. In the US State of Oregon, 21 teenagers have received US Supreme Court permission to proceed in a </w:t>
      </w:r>
      <w:proofErr w:type="gramStart"/>
      <w:r w:rsidRPr="005B4FD0">
        <w:rPr>
          <w:rFonts w:ascii="Palatino Linotype" w:hAnsi="Palatino Linotype"/>
          <w:sz w:val="24"/>
          <w:szCs w:val="24"/>
        </w:rPr>
        <w:t>case which</w:t>
      </w:r>
      <w:proofErr w:type="gramEnd"/>
      <w:r w:rsidRPr="005B4FD0">
        <w:rPr>
          <w:rFonts w:ascii="Palatino Linotype" w:hAnsi="Palatino Linotype"/>
          <w:sz w:val="24"/>
          <w:szCs w:val="24"/>
        </w:rPr>
        <w:t xml:space="preserve"> challenges the Federal government for an alleged failure to protect their constitutional rights. They allege that the government has failed to take meaningful action </w:t>
      </w:r>
      <w:r w:rsidRPr="005B4FD0">
        <w:rPr>
          <w:rFonts w:ascii="Palatino Linotype" w:hAnsi="Palatino Linotype"/>
          <w:sz w:val="24"/>
          <w:szCs w:val="24"/>
        </w:rPr>
        <w:lastRenderedPageBreak/>
        <w:t>against climate change and in so doing, has challenged their ‘…rights to life, liberty and property.’</w:t>
      </w:r>
      <w:r w:rsidRPr="005B4FD0">
        <w:rPr>
          <w:rStyle w:val="FootnoteReference"/>
          <w:rFonts w:ascii="Palatino Linotype" w:hAnsi="Palatino Linotype"/>
          <w:sz w:val="24"/>
          <w:szCs w:val="24"/>
        </w:rPr>
        <w:footnoteReference w:id="20"/>
      </w:r>
      <w:r w:rsidRPr="005B4FD0">
        <w:rPr>
          <w:rFonts w:ascii="Palatino Linotype" w:hAnsi="Palatino Linotype"/>
          <w:sz w:val="24"/>
          <w:szCs w:val="24"/>
        </w:rPr>
        <w:t xml:space="preserve"> A trial in this case is also pending.</w:t>
      </w:r>
    </w:p>
    <w:p w14:paraId="2E2A068B" w14:textId="77777777" w:rsidR="005B4FD0" w:rsidRPr="005B4FD0" w:rsidRDefault="005B4FD0" w:rsidP="005B4FD0">
      <w:pPr>
        <w:spacing w:after="0" w:line="480" w:lineRule="auto"/>
        <w:jc w:val="both"/>
        <w:rPr>
          <w:rFonts w:ascii="Palatino Linotype" w:hAnsi="Palatino Linotype"/>
          <w:sz w:val="24"/>
          <w:szCs w:val="24"/>
        </w:rPr>
      </w:pPr>
    </w:p>
    <w:p w14:paraId="633D6992" w14:textId="77777777" w:rsidR="00CC2DC7" w:rsidRPr="005B4FD0" w:rsidRDefault="00CC2DC7" w:rsidP="005B4FD0">
      <w:pPr>
        <w:spacing w:after="0" w:line="480" w:lineRule="auto"/>
        <w:jc w:val="both"/>
        <w:rPr>
          <w:rFonts w:ascii="Palatino Linotype" w:hAnsi="Palatino Linotype"/>
          <w:i/>
          <w:sz w:val="24"/>
          <w:szCs w:val="24"/>
        </w:rPr>
      </w:pPr>
      <w:r w:rsidRPr="005B4FD0">
        <w:rPr>
          <w:rFonts w:ascii="Palatino Linotype" w:hAnsi="Palatino Linotype"/>
          <w:i/>
          <w:sz w:val="24"/>
          <w:szCs w:val="24"/>
        </w:rPr>
        <w:t>Finding plaintiffs, finding regulatory failure</w:t>
      </w:r>
    </w:p>
    <w:p w14:paraId="50483E0B" w14:textId="4607FE4D" w:rsidR="00F97DB9" w:rsidRPr="005B4FD0" w:rsidRDefault="00F97DB9" w:rsidP="005B4FD0">
      <w:pPr>
        <w:spacing w:after="0" w:line="480" w:lineRule="auto"/>
        <w:jc w:val="both"/>
        <w:rPr>
          <w:rFonts w:ascii="Palatino Linotype" w:hAnsi="Palatino Linotype"/>
          <w:sz w:val="24"/>
          <w:szCs w:val="24"/>
        </w:rPr>
      </w:pPr>
      <w:r w:rsidRPr="005B4FD0">
        <w:rPr>
          <w:rFonts w:ascii="Palatino Linotype" w:hAnsi="Palatino Linotype"/>
          <w:sz w:val="24"/>
          <w:szCs w:val="24"/>
        </w:rPr>
        <w:t xml:space="preserve">While </w:t>
      </w:r>
      <w:proofErr w:type="spellStart"/>
      <w:r w:rsidRPr="005B4FD0">
        <w:rPr>
          <w:rFonts w:ascii="Palatino Linotype" w:hAnsi="Palatino Linotype"/>
          <w:i/>
          <w:sz w:val="24"/>
          <w:szCs w:val="24"/>
        </w:rPr>
        <w:t>Urgenda</w:t>
      </w:r>
      <w:proofErr w:type="spellEnd"/>
      <w:r w:rsidRPr="005B4FD0">
        <w:rPr>
          <w:rFonts w:ascii="Palatino Linotype" w:hAnsi="Palatino Linotype"/>
          <w:sz w:val="24"/>
          <w:szCs w:val="24"/>
        </w:rPr>
        <w:t xml:space="preserve"> and the Oregon case do not represent obvious precedents for jurisdictions such as Australia </w:t>
      </w:r>
      <w:r w:rsidR="000003AA" w:rsidRPr="005B4FD0">
        <w:rPr>
          <w:rFonts w:ascii="Palatino Linotype" w:hAnsi="Palatino Linotype"/>
          <w:sz w:val="24"/>
          <w:szCs w:val="24"/>
        </w:rPr>
        <w:t>-</w:t>
      </w:r>
      <w:r w:rsidRPr="005B4FD0">
        <w:rPr>
          <w:rFonts w:ascii="Palatino Linotype" w:hAnsi="Palatino Linotype"/>
          <w:sz w:val="24"/>
          <w:szCs w:val="24"/>
        </w:rPr>
        <w:t xml:space="preserve"> because the Netherlands is a civil law system with specific constitutional protections for the environment  and the US </w:t>
      </w:r>
      <w:r w:rsidR="000003AA" w:rsidRPr="005B4FD0">
        <w:rPr>
          <w:rFonts w:ascii="Palatino Linotype" w:hAnsi="Palatino Linotype"/>
          <w:sz w:val="24"/>
          <w:szCs w:val="24"/>
        </w:rPr>
        <w:t>appears to permit similar</w:t>
      </w:r>
      <w:r w:rsidRPr="005B4FD0">
        <w:rPr>
          <w:rFonts w:ascii="Palatino Linotype" w:hAnsi="Palatino Linotype"/>
          <w:sz w:val="24"/>
          <w:szCs w:val="24"/>
        </w:rPr>
        <w:t xml:space="preserve"> direct constitutional </w:t>
      </w:r>
      <w:r w:rsidR="000003AA" w:rsidRPr="005B4FD0">
        <w:rPr>
          <w:rFonts w:ascii="Palatino Linotype" w:hAnsi="Palatino Linotype"/>
          <w:sz w:val="24"/>
          <w:szCs w:val="24"/>
        </w:rPr>
        <w:t>approaches</w:t>
      </w:r>
      <w:r w:rsidRPr="005B4FD0">
        <w:rPr>
          <w:rFonts w:ascii="Palatino Linotype" w:hAnsi="Palatino Linotype"/>
          <w:sz w:val="24"/>
          <w:szCs w:val="24"/>
        </w:rPr>
        <w:t xml:space="preserve"> </w:t>
      </w:r>
      <w:r w:rsidR="000003AA" w:rsidRPr="005B4FD0">
        <w:rPr>
          <w:rFonts w:ascii="Palatino Linotype" w:hAnsi="Palatino Linotype"/>
          <w:sz w:val="24"/>
          <w:szCs w:val="24"/>
        </w:rPr>
        <w:t>-</w:t>
      </w:r>
      <w:r w:rsidRPr="005B4FD0">
        <w:rPr>
          <w:rFonts w:ascii="Palatino Linotype" w:hAnsi="Palatino Linotype"/>
          <w:sz w:val="24"/>
          <w:szCs w:val="24"/>
        </w:rPr>
        <w:t xml:space="preserve"> both are enabling actions in the sense that they </w:t>
      </w:r>
      <w:r w:rsidR="00CC2DC7" w:rsidRPr="005B4FD0">
        <w:rPr>
          <w:rFonts w:ascii="Palatino Linotype" w:hAnsi="Palatino Linotype"/>
          <w:sz w:val="24"/>
          <w:szCs w:val="24"/>
        </w:rPr>
        <w:t xml:space="preserve">have </w:t>
      </w:r>
      <w:r w:rsidRPr="005B4FD0">
        <w:rPr>
          <w:rFonts w:ascii="Palatino Linotype" w:hAnsi="Palatino Linotype"/>
          <w:sz w:val="24"/>
          <w:szCs w:val="24"/>
        </w:rPr>
        <w:t xml:space="preserve">encouraged and stimulated similar efforts elsewhere. A sub-page of the foundation (‘Global Climate Litigation’) lists current developments in similar litigation in Ireland, </w:t>
      </w:r>
      <w:r w:rsidR="000003AA" w:rsidRPr="005B4FD0">
        <w:rPr>
          <w:rFonts w:ascii="Palatino Linotype" w:hAnsi="Palatino Linotype"/>
          <w:sz w:val="24"/>
          <w:szCs w:val="24"/>
        </w:rPr>
        <w:t>New Zealand, Switzerland</w:t>
      </w:r>
      <w:r w:rsidRPr="005B4FD0">
        <w:rPr>
          <w:rFonts w:ascii="Palatino Linotype" w:hAnsi="Palatino Linotype"/>
          <w:sz w:val="24"/>
          <w:szCs w:val="24"/>
        </w:rPr>
        <w:t>, Belgium and India.</w:t>
      </w:r>
      <w:r w:rsidRPr="005B4FD0">
        <w:rPr>
          <w:rStyle w:val="FootnoteReference"/>
          <w:rFonts w:ascii="Palatino Linotype" w:hAnsi="Palatino Linotype"/>
          <w:sz w:val="24"/>
          <w:szCs w:val="24"/>
        </w:rPr>
        <w:footnoteReference w:id="21"/>
      </w:r>
      <w:r w:rsidRPr="005B4FD0">
        <w:rPr>
          <w:rFonts w:ascii="Palatino Linotype" w:hAnsi="Palatino Linotype"/>
          <w:sz w:val="24"/>
          <w:szCs w:val="24"/>
        </w:rPr>
        <w:t xml:space="preserve"> </w:t>
      </w:r>
    </w:p>
    <w:p w14:paraId="76948C01" w14:textId="6AE6CC7C" w:rsidR="00334837" w:rsidRPr="005B4FD0" w:rsidRDefault="00DF4CCD" w:rsidP="005B4FD0">
      <w:pPr>
        <w:spacing w:after="0" w:line="480" w:lineRule="auto"/>
        <w:jc w:val="both"/>
        <w:rPr>
          <w:rFonts w:ascii="Palatino Linotype" w:hAnsi="Palatino Linotype"/>
          <w:sz w:val="24"/>
          <w:szCs w:val="24"/>
        </w:rPr>
      </w:pPr>
      <w:r w:rsidRPr="005B4FD0">
        <w:rPr>
          <w:rFonts w:ascii="Palatino Linotype" w:hAnsi="Palatino Linotype"/>
          <w:sz w:val="24"/>
          <w:szCs w:val="24"/>
        </w:rPr>
        <w:t xml:space="preserve">In countries without specific constitutional or regulatory protections, or obvious causes of action in negligence or nuisance, the challenge to create a convincing skein of argument continues. </w:t>
      </w:r>
      <w:r w:rsidR="0008532F" w:rsidRPr="005B4FD0">
        <w:rPr>
          <w:rFonts w:ascii="Palatino Linotype" w:hAnsi="Palatino Linotype"/>
          <w:sz w:val="24"/>
          <w:szCs w:val="24"/>
        </w:rPr>
        <w:t>Fortunately, t</w:t>
      </w:r>
      <w:r w:rsidR="00334837" w:rsidRPr="005B4FD0">
        <w:rPr>
          <w:rFonts w:ascii="Palatino Linotype" w:hAnsi="Palatino Linotype"/>
          <w:sz w:val="24"/>
          <w:szCs w:val="24"/>
        </w:rPr>
        <w:t>he current law in Australia</w:t>
      </w:r>
      <w:r w:rsidR="00306537" w:rsidRPr="005B4FD0">
        <w:rPr>
          <w:rStyle w:val="FootnoteReference"/>
          <w:rFonts w:ascii="Palatino Linotype" w:hAnsi="Palatino Linotype"/>
          <w:sz w:val="24"/>
          <w:szCs w:val="24"/>
        </w:rPr>
        <w:footnoteReference w:id="22"/>
      </w:r>
      <w:r w:rsidR="00334837" w:rsidRPr="005B4FD0">
        <w:rPr>
          <w:rFonts w:ascii="Palatino Linotype" w:hAnsi="Palatino Linotype"/>
          <w:sz w:val="24"/>
          <w:szCs w:val="24"/>
        </w:rPr>
        <w:t xml:space="preserve"> accepts that ‘climate science is acceptable in evidentiary terms; that single construction or extraction projects can contribute to global warming; and that emissions are cumulative.’</w:t>
      </w:r>
      <w:r w:rsidR="00334837" w:rsidRPr="005B4FD0">
        <w:rPr>
          <w:rStyle w:val="FootnoteReference"/>
          <w:rFonts w:ascii="Palatino Linotype" w:hAnsi="Palatino Linotype"/>
          <w:sz w:val="24"/>
          <w:szCs w:val="24"/>
        </w:rPr>
        <w:footnoteReference w:id="23"/>
      </w:r>
      <w:r w:rsidR="00334837" w:rsidRPr="005B4FD0">
        <w:rPr>
          <w:rFonts w:ascii="Palatino Linotype" w:hAnsi="Palatino Linotype"/>
          <w:sz w:val="24"/>
          <w:szCs w:val="24"/>
        </w:rPr>
        <w:t xml:space="preserve"> </w:t>
      </w:r>
      <w:r w:rsidR="0008532F" w:rsidRPr="005B4FD0">
        <w:rPr>
          <w:rFonts w:ascii="Palatino Linotype" w:hAnsi="Palatino Linotype"/>
          <w:sz w:val="24"/>
          <w:szCs w:val="24"/>
        </w:rPr>
        <w:t xml:space="preserve"> </w:t>
      </w:r>
      <w:proofErr w:type="gramStart"/>
      <w:r w:rsidR="0008532F" w:rsidRPr="005B4FD0">
        <w:rPr>
          <w:rFonts w:ascii="Palatino Linotype" w:hAnsi="Palatino Linotype"/>
          <w:sz w:val="24"/>
          <w:szCs w:val="24"/>
        </w:rPr>
        <w:t>So</w:t>
      </w:r>
      <w:proofErr w:type="gramEnd"/>
      <w:r w:rsidR="0008532F" w:rsidRPr="005B4FD0">
        <w:rPr>
          <w:rFonts w:ascii="Palatino Linotype" w:hAnsi="Palatino Linotype"/>
          <w:sz w:val="24"/>
          <w:szCs w:val="24"/>
        </w:rPr>
        <w:t xml:space="preserve"> the challenge may be principally about finding the right factual situation and the right plaintiff. </w:t>
      </w:r>
    </w:p>
    <w:p w14:paraId="63EF6A88" w14:textId="333FB406" w:rsidR="00BB64BE" w:rsidRPr="005B4FD0" w:rsidRDefault="00DF4CCD" w:rsidP="005B4FD0">
      <w:pPr>
        <w:spacing w:after="0" w:line="480" w:lineRule="auto"/>
        <w:jc w:val="both"/>
        <w:rPr>
          <w:rFonts w:ascii="Palatino Linotype" w:hAnsi="Palatino Linotype"/>
          <w:sz w:val="24"/>
          <w:szCs w:val="24"/>
        </w:rPr>
      </w:pPr>
      <w:proofErr w:type="gramStart"/>
      <w:r w:rsidRPr="005B4FD0">
        <w:rPr>
          <w:rFonts w:ascii="Palatino Linotype" w:hAnsi="Palatino Linotype"/>
          <w:sz w:val="24"/>
          <w:szCs w:val="24"/>
        </w:rPr>
        <w:lastRenderedPageBreak/>
        <w:t xml:space="preserve">For example, </w:t>
      </w:r>
      <w:r w:rsidR="001B59F4" w:rsidRPr="005B4FD0">
        <w:rPr>
          <w:rFonts w:ascii="Palatino Linotype" w:hAnsi="Palatino Linotype"/>
          <w:sz w:val="24"/>
          <w:szCs w:val="24"/>
        </w:rPr>
        <w:t xml:space="preserve">in the Australian context, </w:t>
      </w:r>
      <w:r w:rsidRPr="005B4FD0">
        <w:rPr>
          <w:rFonts w:ascii="Palatino Linotype" w:hAnsi="Palatino Linotype"/>
          <w:sz w:val="24"/>
          <w:szCs w:val="24"/>
        </w:rPr>
        <w:t xml:space="preserve">a plaintiff such as a Great Barrier Reef tour operator might be able to successfully assert that the concerted failure of government (State and Federal) to sufficiently lower </w:t>
      </w:r>
      <w:r w:rsidR="001B59F4" w:rsidRPr="005B4FD0">
        <w:rPr>
          <w:rFonts w:ascii="Palatino Linotype" w:hAnsi="Palatino Linotype"/>
          <w:sz w:val="24"/>
          <w:szCs w:val="24"/>
        </w:rPr>
        <w:t xml:space="preserve">existing </w:t>
      </w:r>
      <w:r w:rsidRPr="005B4FD0">
        <w:rPr>
          <w:rFonts w:ascii="Palatino Linotype" w:hAnsi="Palatino Linotype"/>
          <w:sz w:val="24"/>
          <w:szCs w:val="24"/>
        </w:rPr>
        <w:t>national emissions</w:t>
      </w:r>
      <w:r w:rsidR="001B59F4" w:rsidRPr="005B4FD0">
        <w:rPr>
          <w:rFonts w:ascii="Palatino Linotype" w:hAnsi="Palatino Linotype"/>
          <w:sz w:val="24"/>
          <w:szCs w:val="24"/>
        </w:rPr>
        <w:t xml:space="preserve"> </w:t>
      </w:r>
      <w:r w:rsidR="004C0DA5" w:rsidRPr="005B4FD0">
        <w:rPr>
          <w:rFonts w:ascii="Palatino Linotype" w:hAnsi="Palatino Linotype"/>
          <w:sz w:val="24"/>
          <w:szCs w:val="24"/>
        </w:rPr>
        <w:t xml:space="preserve">which contribute to destabilising the Reef </w:t>
      </w:r>
      <w:r w:rsidR="00CC2DC7" w:rsidRPr="005B4FD0">
        <w:rPr>
          <w:rFonts w:ascii="Palatino Linotype" w:hAnsi="Palatino Linotype"/>
          <w:sz w:val="24"/>
          <w:szCs w:val="24"/>
        </w:rPr>
        <w:t>–</w:t>
      </w:r>
      <w:r w:rsidR="001B59F4" w:rsidRPr="005B4FD0">
        <w:rPr>
          <w:rFonts w:ascii="Palatino Linotype" w:hAnsi="Palatino Linotype"/>
          <w:sz w:val="24"/>
          <w:szCs w:val="24"/>
        </w:rPr>
        <w:t xml:space="preserve"> </w:t>
      </w:r>
      <w:r w:rsidR="00CC2DC7" w:rsidRPr="005B4FD0">
        <w:rPr>
          <w:rFonts w:ascii="Palatino Linotype" w:hAnsi="Palatino Linotype"/>
          <w:sz w:val="24"/>
          <w:szCs w:val="24"/>
        </w:rPr>
        <w:t xml:space="preserve">already </w:t>
      </w:r>
      <w:r w:rsidR="001B59F4" w:rsidRPr="005B4FD0">
        <w:rPr>
          <w:rFonts w:ascii="Palatino Linotype" w:hAnsi="Palatino Linotype"/>
          <w:sz w:val="24"/>
          <w:szCs w:val="24"/>
        </w:rPr>
        <w:t xml:space="preserve">the highest per capita on the planet - </w:t>
      </w:r>
      <w:r w:rsidRPr="005B4FD0">
        <w:rPr>
          <w:rFonts w:ascii="Palatino Linotype" w:hAnsi="Palatino Linotype"/>
          <w:sz w:val="24"/>
          <w:szCs w:val="24"/>
        </w:rPr>
        <w:t>combined with their positive acts of endorsement of new major coal mine</w:t>
      </w:r>
      <w:r w:rsidR="001B59F4" w:rsidRPr="005B4FD0">
        <w:rPr>
          <w:rFonts w:ascii="Palatino Linotype" w:hAnsi="Palatino Linotype"/>
          <w:sz w:val="24"/>
          <w:szCs w:val="24"/>
        </w:rPr>
        <w:t>(s), broad scale land clearing</w:t>
      </w:r>
      <w:r w:rsidRPr="005B4FD0">
        <w:rPr>
          <w:rFonts w:ascii="Palatino Linotype" w:hAnsi="Palatino Linotype"/>
          <w:sz w:val="24"/>
          <w:szCs w:val="24"/>
        </w:rPr>
        <w:t xml:space="preserve"> and </w:t>
      </w:r>
      <w:r w:rsidR="001B59F4" w:rsidRPr="005B4FD0">
        <w:rPr>
          <w:rFonts w:ascii="Palatino Linotype" w:hAnsi="Palatino Linotype"/>
          <w:sz w:val="24"/>
          <w:szCs w:val="24"/>
        </w:rPr>
        <w:t xml:space="preserve">the methane leakages associated with </w:t>
      </w:r>
      <w:r w:rsidRPr="005B4FD0">
        <w:rPr>
          <w:rFonts w:ascii="Palatino Linotype" w:hAnsi="Palatino Linotype"/>
          <w:sz w:val="24"/>
          <w:szCs w:val="24"/>
        </w:rPr>
        <w:t>unconventional gas extraction</w:t>
      </w:r>
      <w:r w:rsidR="001B59F4" w:rsidRPr="005B4FD0">
        <w:rPr>
          <w:rFonts w:ascii="Palatino Linotype" w:hAnsi="Palatino Linotype"/>
          <w:sz w:val="24"/>
          <w:szCs w:val="24"/>
        </w:rPr>
        <w:t>,</w:t>
      </w:r>
      <w:r w:rsidRPr="005B4FD0">
        <w:rPr>
          <w:rFonts w:ascii="Palatino Linotype" w:hAnsi="Palatino Linotype"/>
          <w:sz w:val="24"/>
          <w:szCs w:val="24"/>
        </w:rPr>
        <w:t xml:space="preserve"> </w:t>
      </w:r>
      <w:r w:rsidR="001B59F4" w:rsidRPr="005B4FD0">
        <w:rPr>
          <w:rFonts w:ascii="Palatino Linotype" w:hAnsi="Palatino Linotype"/>
          <w:sz w:val="24"/>
          <w:szCs w:val="24"/>
        </w:rPr>
        <w:t>are</w:t>
      </w:r>
      <w:r w:rsidRPr="005B4FD0">
        <w:rPr>
          <w:rFonts w:ascii="Palatino Linotype" w:hAnsi="Palatino Linotype"/>
          <w:sz w:val="24"/>
          <w:szCs w:val="24"/>
        </w:rPr>
        <w:t xml:space="preserve"> </w:t>
      </w:r>
      <w:r w:rsidR="001B59F4" w:rsidRPr="005B4FD0">
        <w:rPr>
          <w:rFonts w:ascii="Palatino Linotype" w:hAnsi="Palatino Linotype"/>
          <w:sz w:val="24"/>
          <w:szCs w:val="24"/>
        </w:rPr>
        <w:t>all inconsistent with general principles underlying existing environmental protection legislation.</w:t>
      </w:r>
      <w:proofErr w:type="gramEnd"/>
      <w:r w:rsidR="004E15C2" w:rsidRPr="005B4FD0">
        <w:rPr>
          <w:rFonts w:ascii="Palatino Linotype" w:hAnsi="Palatino Linotype"/>
          <w:sz w:val="24"/>
          <w:szCs w:val="24"/>
        </w:rPr>
        <w:t xml:space="preserve">  </w:t>
      </w:r>
      <w:r w:rsidR="00CC2DC7" w:rsidRPr="005B4FD0">
        <w:rPr>
          <w:rFonts w:ascii="Palatino Linotype" w:hAnsi="Palatino Linotype"/>
          <w:sz w:val="24"/>
          <w:szCs w:val="24"/>
        </w:rPr>
        <w:t xml:space="preserve">Other possible </w:t>
      </w:r>
      <w:r w:rsidR="004E15C2" w:rsidRPr="005B4FD0">
        <w:rPr>
          <w:rFonts w:ascii="Palatino Linotype" w:hAnsi="Palatino Linotype"/>
          <w:sz w:val="24"/>
          <w:szCs w:val="24"/>
        </w:rPr>
        <w:t>plaintiff</w:t>
      </w:r>
      <w:r w:rsidR="00CC2DC7" w:rsidRPr="005B4FD0">
        <w:rPr>
          <w:rFonts w:ascii="Palatino Linotype" w:hAnsi="Palatino Linotype"/>
          <w:sz w:val="24"/>
          <w:szCs w:val="24"/>
        </w:rPr>
        <w:t xml:space="preserve">s </w:t>
      </w:r>
      <w:r w:rsidR="004E15C2" w:rsidRPr="005B4FD0">
        <w:rPr>
          <w:rFonts w:ascii="Palatino Linotype" w:hAnsi="Palatino Linotype"/>
          <w:sz w:val="24"/>
          <w:szCs w:val="24"/>
        </w:rPr>
        <w:t>might be the national farmers’ federation, especially</w:t>
      </w:r>
      <w:r w:rsidR="001B59F4" w:rsidRPr="005B4FD0">
        <w:rPr>
          <w:rFonts w:ascii="Palatino Linotype" w:hAnsi="Palatino Linotype"/>
          <w:sz w:val="24"/>
          <w:szCs w:val="24"/>
        </w:rPr>
        <w:t xml:space="preserve"> </w:t>
      </w:r>
      <w:r w:rsidR="004E15C2" w:rsidRPr="005B4FD0">
        <w:rPr>
          <w:rFonts w:ascii="Palatino Linotype" w:hAnsi="Palatino Linotype"/>
          <w:sz w:val="24"/>
          <w:szCs w:val="24"/>
        </w:rPr>
        <w:t xml:space="preserve">in </w:t>
      </w:r>
      <w:r w:rsidR="005A052F" w:rsidRPr="005B4FD0">
        <w:rPr>
          <w:rFonts w:ascii="Palatino Linotype" w:hAnsi="Palatino Linotype"/>
          <w:sz w:val="24"/>
          <w:szCs w:val="24"/>
        </w:rPr>
        <w:t xml:space="preserve">the </w:t>
      </w:r>
      <w:r w:rsidR="004E15C2" w:rsidRPr="005B4FD0">
        <w:rPr>
          <w:rFonts w:ascii="Palatino Linotype" w:hAnsi="Palatino Linotype"/>
          <w:sz w:val="24"/>
          <w:szCs w:val="24"/>
        </w:rPr>
        <w:t xml:space="preserve">major drought </w:t>
      </w:r>
      <w:proofErr w:type="gramStart"/>
      <w:r w:rsidR="004E15C2" w:rsidRPr="005B4FD0">
        <w:rPr>
          <w:rFonts w:ascii="Palatino Linotype" w:hAnsi="Palatino Linotype"/>
          <w:sz w:val="24"/>
          <w:szCs w:val="24"/>
        </w:rPr>
        <w:t>years</w:t>
      </w:r>
      <w:r w:rsidR="005A052F" w:rsidRPr="005B4FD0">
        <w:rPr>
          <w:rFonts w:ascii="Palatino Linotype" w:hAnsi="Palatino Linotype"/>
          <w:sz w:val="24"/>
          <w:szCs w:val="24"/>
        </w:rPr>
        <w:t xml:space="preserve"> which</w:t>
      </w:r>
      <w:proofErr w:type="gramEnd"/>
      <w:r w:rsidR="005A052F" w:rsidRPr="005B4FD0">
        <w:rPr>
          <w:rFonts w:ascii="Palatino Linotype" w:hAnsi="Palatino Linotype"/>
          <w:sz w:val="24"/>
          <w:szCs w:val="24"/>
        </w:rPr>
        <w:t xml:space="preserve"> are becoming more frequent</w:t>
      </w:r>
      <w:r w:rsidR="00CC2DC7" w:rsidRPr="005B4FD0">
        <w:rPr>
          <w:rFonts w:ascii="Palatino Linotype" w:hAnsi="Palatino Linotype"/>
          <w:sz w:val="24"/>
          <w:szCs w:val="24"/>
        </w:rPr>
        <w:t xml:space="preserve">; fisheries organisations concerned with diminished inshore fish stocks due to increased current and temperature variability; and at local </w:t>
      </w:r>
      <w:r w:rsidR="0008532F" w:rsidRPr="005B4FD0">
        <w:rPr>
          <w:rFonts w:ascii="Palatino Linotype" w:hAnsi="Palatino Linotype"/>
          <w:sz w:val="24"/>
          <w:szCs w:val="24"/>
        </w:rPr>
        <w:t xml:space="preserve">community </w:t>
      </w:r>
      <w:r w:rsidR="00CC2DC7" w:rsidRPr="005B4FD0">
        <w:rPr>
          <w:rFonts w:ascii="Palatino Linotype" w:hAnsi="Palatino Linotype"/>
          <w:sz w:val="24"/>
          <w:szCs w:val="24"/>
        </w:rPr>
        <w:t>levels, residents groups that experience property losses due to flash flooding from major, sudden climate events</w:t>
      </w:r>
      <w:r w:rsidR="004E15C2" w:rsidRPr="005B4FD0">
        <w:rPr>
          <w:rFonts w:ascii="Palatino Linotype" w:hAnsi="Palatino Linotype"/>
          <w:sz w:val="24"/>
          <w:szCs w:val="24"/>
        </w:rPr>
        <w:t>.</w:t>
      </w:r>
      <w:r w:rsidR="001B59F4" w:rsidRPr="005B4FD0">
        <w:rPr>
          <w:rFonts w:ascii="Palatino Linotype" w:hAnsi="Palatino Linotype"/>
          <w:sz w:val="24"/>
          <w:szCs w:val="24"/>
        </w:rPr>
        <w:t xml:space="preserve"> </w:t>
      </w:r>
      <w:r w:rsidR="004C0DA5" w:rsidRPr="005B4FD0">
        <w:rPr>
          <w:rFonts w:ascii="Palatino Linotype" w:hAnsi="Palatino Linotype"/>
          <w:sz w:val="24"/>
          <w:szCs w:val="24"/>
        </w:rPr>
        <w:t xml:space="preserve">It is not impossible also, that a major national insurer (supported by their international reinsurers) and cognisant of </w:t>
      </w:r>
      <w:r w:rsidR="00763D70" w:rsidRPr="005B4FD0">
        <w:rPr>
          <w:rFonts w:ascii="Palatino Linotype" w:hAnsi="Palatino Linotype"/>
          <w:sz w:val="24"/>
          <w:szCs w:val="24"/>
        </w:rPr>
        <w:t xml:space="preserve">the worsening effects on their balance sheets of </w:t>
      </w:r>
      <w:r w:rsidR="004C0DA5" w:rsidRPr="005B4FD0">
        <w:rPr>
          <w:rFonts w:ascii="Palatino Linotype" w:hAnsi="Palatino Linotype"/>
          <w:sz w:val="24"/>
          <w:szCs w:val="24"/>
        </w:rPr>
        <w:t xml:space="preserve">any of these groups and their </w:t>
      </w:r>
      <w:r w:rsidR="00763D70" w:rsidRPr="005B4FD0">
        <w:rPr>
          <w:rFonts w:ascii="Palatino Linotype" w:hAnsi="Palatino Linotype"/>
          <w:sz w:val="24"/>
          <w:szCs w:val="24"/>
        </w:rPr>
        <w:t xml:space="preserve">burgeoning </w:t>
      </w:r>
      <w:r w:rsidR="004C0DA5" w:rsidRPr="005B4FD0">
        <w:rPr>
          <w:rFonts w:ascii="Palatino Linotype" w:hAnsi="Palatino Linotype"/>
          <w:sz w:val="24"/>
          <w:szCs w:val="24"/>
        </w:rPr>
        <w:t xml:space="preserve">property losses, would fund a test case organised by a prepared </w:t>
      </w:r>
      <w:r w:rsidR="00763D70" w:rsidRPr="005B4FD0">
        <w:rPr>
          <w:rFonts w:ascii="Palatino Linotype" w:hAnsi="Palatino Linotype"/>
          <w:sz w:val="24"/>
          <w:szCs w:val="24"/>
        </w:rPr>
        <w:t xml:space="preserve">and strongly-partnered </w:t>
      </w:r>
      <w:r w:rsidR="004C0DA5" w:rsidRPr="005B4FD0">
        <w:rPr>
          <w:rFonts w:ascii="Palatino Linotype" w:hAnsi="Palatino Linotype"/>
          <w:sz w:val="24"/>
          <w:szCs w:val="24"/>
        </w:rPr>
        <w:t xml:space="preserve">climate defence clinic, to try out these and other causes of action. </w:t>
      </w:r>
    </w:p>
    <w:p w14:paraId="1A656248" w14:textId="27481FA7" w:rsidR="00B169CE" w:rsidRPr="005B4FD0" w:rsidRDefault="00763D70" w:rsidP="005B4FD0">
      <w:pPr>
        <w:spacing w:after="0" w:line="480" w:lineRule="auto"/>
        <w:jc w:val="both"/>
        <w:rPr>
          <w:rFonts w:ascii="Palatino Linotype" w:hAnsi="Palatino Linotype"/>
          <w:sz w:val="24"/>
          <w:szCs w:val="24"/>
        </w:rPr>
      </w:pPr>
      <w:r w:rsidRPr="005B4FD0">
        <w:rPr>
          <w:rFonts w:ascii="Palatino Linotype" w:hAnsi="Palatino Linotype"/>
          <w:sz w:val="24"/>
          <w:szCs w:val="24"/>
        </w:rPr>
        <w:t xml:space="preserve">It is </w:t>
      </w:r>
      <w:r w:rsidR="0008532F" w:rsidRPr="005B4FD0">
        <w:rPr>
          <w:rFonts w:ascii="Palatino Linotype" w:hAnsi="Palatino Linotype"/>
          <w:sz w:val="24"/>
          <w:szCs w:val="24"/>
        </w:rPr>
        <w:t xml:space="preserve">of course, </w:t>
      </w:r>
      <w:r w:rsidRPr="005B4FD0">
        <w:rPr>
          <w:rFonts w:ascii="Palatino Linotype" w:hAnsi="Palatino Linotype"/>
          <w:sz w:val="24"/>
          <w:szCs w:val="24"/>
        </w:rPr>
        <w:t>not easy to commence climate litigation anywhere</w:t>
      </w:r>
      <w:r w:rsidR="0008532F" w:rsidRPr="005B4FD0">
        <w:rPr>
          <w:rFonts w:ascii="Palatino Linotype" w:hAnsi="Palatino Linotype"/>
          <w:sz w:val="24"/>
          <w:szCs w:val="24"/>
        </w:rPr>
        <w:t xml:space="preserve"> and that reality </w:t>
      </w:r>
      <w:proofErr w:type="gramStart"/>
      <w:r w:rsidR="0008532F" w:rsidRPr="005B4FD0">
        <w:rPr>
          <w:rFonts w:ascii="Palatino Linotype" w:hAnsi="Palatino Linotype"/>
          <w:sz w:val="24"/>
          <w:szCs w:val="24"/>
        </w:rPr>
        <w:t>must not be understated</w:t>
      </w:r>
      <w:proofErr w:type="gramEnd"/>
      <w:r w:rsidRPr="005B4FD0">
        <w:rPr>
          <w:rFonts w:ascii="Palatino Linotype" w:hAnsi="Palatino Linotype"/>
          <w:sz w:val="24"/>
          <w:szCs w:val="24"/>
        </w:rPr>
        <w:t xml:space="preserve">. </w:t>
      </w:r>
      <w:proofErr w:type="gramStart"/>
      <w:r w:rsidRPr="005B4FD0">
        <w:rPr>
          <w:rFonts w:ascii="Palatino Linotype" w:hAnsi="Palatino Linotype"/>
          <w:sz w:val="24"/>
          <w:szCs w:val="24"/>
        </w:rPr>
        <w:t>And</w:t>
      </w:r>
      <w:proofErr w:type="gramEnd"/>
      <w:r w:rsidRPr="005B4FD0">
        <w:rPr>
          <w:rFonts w:ascii="Palatino Linotype" w:hAnsi="Palatino Linotype"/>
          <w:sz w:val="24"/>
          <w:szCs w:val="24"/>
        </w:rPr>
        <w:t xml:space="preserve"> it may be suggested that a University clinic is least prepared for such major work; but Universities are one of the lightning conductors for major social change and they </w:t>
      </w:r>
      <w:r w:rsidR="00063AA2" w:rsidRPr="005B4FD0">
        <w:rPr>
          <w:rFonts w:ascii="Palatino Linotype" w:hAnsi="Palatino Linotype"/>
          <w:sz w:val="24"/>
          <w:szCs w:val="24"/>
        </w:rPr>
        <w:t xml:space="preserve">can have better antennae for </w:t>
      </w:r>
      <w:r w:rsidRPr="005B4FD0">
        <w:rPr>
          <w:rFonts w:ascii="Palatino Linotype" w:hAnsi="Palatino Linotype"/>
          <w:sz w:val="24"/>
          <w:szCs w:val="24"/>
        </w:rPr>
        <w:t>conflicts of interest</w:t>
      </w:r>
      <w:r w:rsidR="00063AA2" w:rsidRPr="005B4FD0">
        <w:rPr>
          <w:rFonts w:ascii="Palatino Linotype" w:hAnsi="Palatino Linotype"/>
          <w:sz w:val="24"/>
          <w:szCs w:val="24"/>
        </w:rPr>
        <w:t xml:space="preserve"> than private corporations</w:t>
      </w:r>
      <w:r w:rsidRPr="005B4FD0">
        <w:rPr>
          <w:rFonts w:ascii="Palatino Linotype" w:hAnsi="Palatino Linotype"/>
          <w:sz w:val="24"/>
          <w:szCs w:val="24"/>
        </w:rPr>
        <w:t xml:space="preserve">. They are </w:t>
      </w:r>
      <w:r w:rsidR="00063AA2" w:rsidRPr="005B4FD0">
        <w:rPr>
          <w:rFonts w:ascii="Palatino Linotype" w:hAnsi="Palatino Linotype"/>
          <w:sz w:val="24"/>
          <w:szCs w:val="24"/>
        </w:rPr>
        <w:t>also adept at collaboration</w:t>
      </w:r>
      <w:r w:rsidR="0008532F" w:rsidRPr="005B4FD0">
        <w:rPr>
          <w:rFonts w:ascii="Palatino Linotype" w:hAnsi="Palatino Linotype"/>
          <w:sz w:val="24"/>
          <w:szCs w:val="24"/>
        </w:rPr>
        <w:t xml:space="preserve"> because of their research cultures</w:t>
      </w:r>
      <w:r w:rsidR="00063AA2" w:rsidRPr="005B4FD0">
        <w:rPr>
          <w:rFonts w:ascii="Palatino Linotype" w:hAnsi="Palatino Linotype"/>
          <w:sz w:val="24"/>
          <w:szCs w:val="24"/>
        </w:rPr>
        <w:t xml:space="preserve">, and their law schools, especially </w:t>
      </w:r>
      <w:r w:rsidR="00063AA2" w:rsidRPr="005B4FD0">
        <w:rPr>
          <w:rFonts w:ascii="Palatino Linotype" w:hAnsi="Palatino Linotype"/>
          <w:sz w:val="24"/>
          <w:szCs w:val="24"/>
        </w:rPr>
        <w:lastRenderedPageBreak/>
        <w:t xml:space="preserve">those with strong clinical histories, are </w:t>
      </w:r>
      <w:r w:rsidR="0008532F" w:rsidRPr="005B4FD0">
        <w:rPr>
          <w:rFonts w:ascii="Palatino Linotype" w:hAnsi="Palatino Linotype"/>
          <w:sz w:val="24"/>
          <w:szCs w:val="24"/>
        </w:rPr>
        <w:t xml:space="preserve">experienced in </w:t>
      </w:r>
      <w:r w:rsidR="00063AA2" w:rsidRPr="005B4FD0">
        <w:rPr>
          <w:rFonts w:ascii="Palatino Linotype" w:hAnsi="Palatino Linotype"/>
          <w:sz w:val="24"/>
          <w:szCs w:val="24"/>
        </w:rPr>
        <w:t>cooperating with significant not-for-profit interest groups. The ‘right’ law school can seize this opportunity</w:t>
      </w:r>
      <w:r w:rsidR="004E15C2" w:rsidRPr="005B4FD0">
        <w:rPr>
          <w:rFonts w:ascii="Palatino Linotype" w:hAnsi="Palatino Linotype"/>
          <w:sz w:val="24"/>
          <w:szCs w:val="24"/>
        </w:rPr>
        <w:t xml:space="preserve">. </w:t>
      </w:r>
    </w:p>
    <w:p w14:paraId="00248B11" w14:textId="77777777" w:rsidR="0008532F" w:rsidRPr="005B4FD0" w:rsidRDefault="0008532F" w:rsidP="005B4FD0">
      <w:pPr>
        <w:spacing w:line="480" w:lineRule="auto"/>
        <w:jc w:val="both"/>
        <w:rPr>
          <w:rFonts w:ascii="Palatino Linotype" w:hAnsi="Palatino Linotype"/>
          <w:b/>
          <w:sz w:val="24"/>
          <w:szCs w:val="24"/>
        </w:rPr>
      </w:pPr>
      <w:r w:rsidRPr="005B4FD0">
        <w:rPr>
          <w:rFonts w:ascii="Palatino Linotype" w:hAnsi="Palatino Linotype"/>
          <w:b/>
          <w:sz w:val="24"/>
          <w:szCs w:val="24"/>
        </w:rPr>
        <w:t>The supervising clinician/ clinic director role</w:t>
      </w:r>
    </w:p>
    <w:p w14:paraId="14F7AC86" w14:textId="77777777" w:rsidR="0008532F" w:rsidRPr="005B4FD0" w:rsidRDefault="0008532F" w:rsidP="005B4FD0">
      <w:pPr>
        <w:spacing w:line="480" w:lineRule="auto"/>
        <w:jc w:val="both"/>
        <w:rPr>
          <w:rFonts w:ascii="Palatino Linotype" w:hAnsi="Palatino Linotype"/>
          <w:sz w:val="24"/>
          <w:szCs w:val="24"/>
        </w:rPr>
      </w:pPr>
      <w:r w:rsidRPr="005B4FD0">
        <w:rPr>
          <w:rFonts w:ascii="Palatino Linotype" w:hAnsi="Palatino Linotype"/>
          <w:sz w:val="24"/>
          <w:szCs w:val="24"/>
        </w:rPr>
        <w:t xml:space="preserve">A </w:t>
      </w:r>
      <w:proofErr w:type="gramStart"/>
      <w:r w:rsidRPr="005B4FD0">
        <w:rPr>
          <w:rFonts w:ascii="Palatino Linotype" w:hAnsi="Palatino Linotype"/>
          <w:sz w:val="24"/>
          <w:szCs w:val="24"/>
        </w:rPr>
        <w:t>small specialised</w:t>
      </w:r>
      <w:proofErr w:type="gramEnd"/>
      <w:r w:rsidRPr="005B4FD0">
        <w:rPr>
          <w:rFonts w:ascii="Palatino Linotype" w:hAnsi="Palatino Linotype"/>
          <w:sz w:val="24"/>
          <w:szCs w:val="24"/>
        </w:rPr>
        <w:t xml:space="preserve"> clinic of this nature can be supported administratively through the wider clinical program, but the need to effectively recruit into the key role of supervising clinician cannot be underestimated.</w:t>
      </w:r>
      <w:r w:rsidRPr="005B4FD0">
        <w:rPr>
          <w:rStyle w:val="FootnoteReference"/>
          <w:rFonts w:ascii="Palatino Linotype" w:hAnsi="Palatino Linotype"/>
          <w:sz w:val="24"/>
          <w:szCs w:val="24"/>
        </w:rPr>
        <w:footnoteReference w:id="24"/>
      </w:r>
      <w:r w:rsidRPr="005B4FD0">
        <w:rPr>
          <w:rFonts w:ascii="Palatino Linotype" w:hAnsi="Palatino Linotype"/>
          <w:sz w:val="24"/>
          <w:szCs w:val="24"/>
        </w:rPr>
        <w:t xml:space="preserve"> This is a difficult position, given the governance and remuneration constraints on the role. However, the open legal recruitment market is now mature enough to contain a number of suitable environmental lawyers with the conventionally necessary characteristics: enough relevant experience, technical competence, enthusiasm, personal skills and judgment. </w:t>
      </w:r>
    </w:p>
    <w:p w14:paraId="7CA23DA2" w14:textId="77777777" w:rsidR="0008532F" w:rsidRPr="005B4FD0" w:rsidRDefault="0008532F" w:rsidP="005B4FD0">
      <w:pPr>
        <w:spacing w:line="480" w:lineRule="auto"/>
        <w:jc w:val="both"/>
        <w:rPr>
          <w:rFonts w:ascii="Palatino Linotype" w:hAnsi="Palatino Linotype"/>
          <w:sz w:val="24"/>
          <w:szCs w:val="24"/>
        </w:rPr>
      </w:pPr>
      <w:proofErr w:type="gramStart"/>
      <w:r w:rsidRPr="005B4FD0">
        <w:rPr>
          <w:rFonts w:ascii="Palatino Linotype" w:hAnsi="Palatino Linotype"/>
          <w:sz w:val="24"/>
          <w:szCs w:val="24"/>
        </w:rPr>
        <w:t>But</w:t>
      </w:r>
      <w:proofErr w:type="gramEnd"/>
      <w:r w:rsidRPr="005B4FD0">
        <w:rPr>
          <w:rFonts w:ascii="Palatino Linotype" w:hAnsi="Palatino Linotype"/>
          <w:sz w:val="24"/>
          <w:szCs w:val="24"/>
        </w:rPr>
        <w:t xml:space="preserve"> the right appointee must fit other more exacting criteria as well: they must be an inherently capable teacher and be tolerant and accepting of university bureaucracy (especially around inflexible assessment rules and cautious academic hierarchies). Even more constraining is the question of salary and career advancement for this clinician. Law schools’ budgets </w:t>
      </w:r>
      <w:proofErr w:type="gramStart"/>
      <w:r w:rsidRPr="005B4FD0">
        <w:rPr>
          <w:rFonts w:ascii="Palatino Linotype" w:hAnsi="Palatino Linotype"/>
          <w:sz w:val="24"/>
          <w:szCs w:val="24"/>
        </w:rPr>
        <w:t>are notoriously tight compared</w:t>
      </w:r>
      <w:proofErr w:type="gramEnd"/>
      <w:r w:rsidRPr="005B4FD0">
        <w:rPr>
          <w:rFonts w:ascii="Palatino Linotype" w:hAnsi="Palatino Linotype"/>
          <w:sz w:val="24"/>
          <w:szCs w:val="24"/>
        </w:rPr>
        <w:t xml:space="preserve"> to private law firms and their general reluctance to employ a full time clinician for a small single-purpose clinic can be expected. Australian law schools are perhaps overdue to experience declining enrolments and declining revenues. It </w:t>
      </w:r>
      <w:proofErr w:type="gramStart"/>
      <w:r w:rsidRPr="005B4FD0">
        <w:rPr>
          <w:rFonts w:ascii="Palatino Linotype" w:hAnsi="Palatino Linotype"/>
          <w:sz w:val="24"/>
          <w:szCs w:val="24"/>
        </w:rPr>
        <w:t>might almost be taken</w:t>
      </w:r>
      <w:proofErr w:type="gramEnd"/>
      <w:r w:rsidRPr="005B4FD0">
        <w:rPr>
          <w:rFonts w:ascii="Palatino Linotype" w:hAnsi="Palatino Linotype"/>
          <w:sz w:val="24"/>
          <w:szCs w:val="24"/>
        </w:rPr>
        <w:t xml:space="preserve"> for granted that a law school dean will be reluctant to embark on a climate justice clinic if they must find the necessary supervisor salary solely from law school resources. Nevertheless, some of these deans will be willing to </w:t>
      </w:r>
      <w:r w:rsidRPr="005B4FD0">
        <w:rPr>
          <w:rFonts w:ascii="Palatino Linotype" w:hAnsi="Palatino Linotype"/>
          <w:sz w:val="24"/>
          <w:szCs w:val="24"/>
        </w:rPr>
        <w:lastRenderedPageBreak/>
        <w:t xml:space="preserve">engage the ‘right person’ on a fractional appointment, say at 2-3 days per week, particularly if that expense is factored into the approach to major donors that ought to precede the establishment of the clinic.  </w:t>
      </w:r>
    </w:p>
    <w:p w14:paraId="77237DD2" w14:textId="77777777" w:rsidR="0008532F" w:rsidRPr="005B4FD0" w:rsidRDefault="0008532F" w:rsidP="005B4FD0">
      <w:pPr>
        <w:spacing w:line="480" w:lineRule="auto"/>
        <w:jc w:val="both"/>
        <w:rPr>
          <w:rFonts w:ascii="Palatino Linotype" w:hAnsi="Palatino Linotype"/>
          <w:sz w:val="24"/>
          <w:szCs w:val="24"/>
        </w:rPr>
      </w:pPr>
      <w:r w:rsidRPr="005B4FD0">
        <w:rPr>
          <w:rFonts w:ascii="Palatino Linotype" w:hAnsi="Palatino Linotype"/>
          <w:sz w:val="24"/>
          <w:szCs w:val="24"/>
        </w:rPr>
        <w:t>Failing success in securing a direct law school appointment, it is also possible (with some safeguards) and perhaps desirable to ask the mid-tier firm which partners with the law school, to second one of its lawyers to the role of supervising clinician, ideally for a minimum period of two years. There are many examples of law firms successfully seconding lawyers to community legal services and clinical programs,</w:t>
      </w:r>
      <w:r w:rsidRPr="005B4FD0">
        <w:rPr>
          <w:rStyle w:val="FootnoteReference"/>
          <w:rFonts w:ascii="Palatino Linotype" w:hAnsi="Palatino Linotype"/>
          <w:sz w:val="24"/>
          <w:szCs w:val="24"/>
        </w:rPr>
        <w:footnoteReference w:id="25"/>
      </w:r>
      <w:r w:rsidRPr="005B4FD0">
        <w:rPr>
          <w:rFonts w:ascii="Palatino Linotype" w:hAnsi="Palatino Linotype"/>
          <w:sz w:val="24"/>
          <w:szCs w:val="24"/>
        </w:rPr>
        <w:t xml:space="preserve"> so the concept is hardly novel. The key safeguard would be the law firm’s agreement to a strong and </w:t>
      </w:r>
      <w:r w:rsidRPr="005B4FD0">
        <w:rPr>
          <w:rFonts w:ascii="Palatino Linotype" w:hAnsi="Palatino Linotype"/>
          <w:i/>
          <w:sz w:val="24"/>
          <w:szCs w:val="24"/>
        </w:rPr>
        <w:t>published</w:t>
      </w:r>
      <w:r w:rsidRPr="005B4FD0">
        <w:rPr>
          <w:rFonts w:ascii="Palatino Linotype" w:hAnsi="Palatino Linotype"/>
          <w:sz w:val="24"/>
          <w:szCs w:val="24"/>
        </w:rPr>
        <w:t xml:space="preserve"> conflict of interest protocol, developed in conjunction with the law school’s legal ethicists, which would identify areas where the law firms’ interests could diverge from those of potential clients or the law school, and refer decisions on those issues to an independent third party. A secondary provision would require that </w:t>
      </w:r>
      <w:proofErr w:type="gramStart"/>
      <w:r w:rsidRPr="005B4FD0">
        <w:rPr>
          <w:rFonts w:ascii="Palatino Linotype" w:hAnsi="Palatino Linotype"/>
          <w:sz w:val="24"/>
          <w:szCs w:val="24"/>
        </w:rPr>
        <w:t>student assessment be decided by a law school academic, in consultation with the clinic director</w:t>
      </w:r>
      <w:proofErr w:type="gramEnd"/>
      <w:r w:rsidRPr="005B4FD0">
        <w:rPr>
          <w:rFonts w:ascii="Palatino Linotype" w:hAnsi="Palatino Linotype"/>
          <w:sz w:val="24"/>
          <w:szCs w:val="24"/>
        </w:rPr>
        <w:t xml:space="preserve">. Providing such safeguards are in place and such a person is available and willing to </w:t>
      </w:r>
      <w:proofErr w:type="gramStart"/>
      <w:r w:rsidRPr="005B4FD0">
        <w:rPr>
          <w:rFonts w:ascii="Palatino Linotype" w:hAnsi="Palatino Linotype"/>
          <w:sz w:val="24"/>
          <w:szCs w:val="24"/>
        </w:rPr>
        <w:t>be seconded</w:t>
      </w:r>
      <w:proofErr w:type="gramEnd"/>
      <w:r w:rsidRPr="005B4FD0">
        <w:rPr>
          <w:rFonts w:ascii="Palatino Linotype" w:hAnsi="Palatino Linotype"/>
          <w:sz w:val="24"/>
          <w:szCs w:val="24"/>
        </w:rPr>
        <w:t xml:space="preserve"> for that period to the role of clinic supervisor/ director, then they can supervise and direct such clinics with confidence. Such a collaboration helps to tie in the firm to the law school, with numerous relationship benefits that can add to the sustainability of the clinic.</w:t>
      </w:r>
    </w:p>
    <w:p w14:paraId="279ECB04" w14:textId="77777777" w:rsidR="0008532F" w:rsidRPr="005B4FD0" w:rsidRDefault="0008532F" w:rsidP="005B4FD0">
      <w:pPr>
        <w:spacing w:line="480" w:lineRule="auto"/>
        <w:jc w:val="both"/>
        <w:rPr>
          <w:rFonts w:ascii="Palatino Linotype" w:hAnsi="Palatino Linotype"/>
          <w:sz w:val="24"/>
          <w:szCs w:val="24"/>
        </w:rPr>
      </w:pPr>
      <w:r w:rsidRPr="005B4FD0">
        <w:rPr>
          <w:rFonts w:ascii="Palatino Linotype" w:hAnsi="Palatino Linotype"/>
          <w:sz w:val="24"/>
          <w:szCs w:val="24"/>
        </w:rPr>
        <w:t xml:space="preserve">The last major issue with the supervising clinician is their reporting line. Whether they are a seconded lawyer or employed directly by the law school, they ought to be responsible to the </w:t>
      </w:r>
      <w:r w:rsidRPr="005B4FD0">
        <w:rPr>
          <w:rFonts w:ascii="Palatino Linotype" w:hAnsi="Palatino Linotype"/>
          <w:sz w:val="24"/>
          <w:szCs w:val="24"/>
        </w:rPr>
        <w:lastRenderedPageBreak/>
        <w:t>overall clinical program director, not to the advisory board. Any other arrangement will blur the governance process and impede clinic progress.</w:t>
      </w:r>
    </w:p>
    <w:p w14:paraId="16F932A7" w14:textId="1BF70B26" w:rsidR="005A42CC" w:rsidRPr="005B4FD0" w:rsidRDefault="00B86740" w:rsidP="005B4FD0">
      <w:pPr>
        <w:spacing w:line="480" w:lineRule="auto"/>
        <w:jc w:val="both"/>
        <w:rPr>
          <w:rFonts w:ascii="Palatino Linotype" w:hAnsi="Palatino Linotype"/>
          <w:b/>
          <w:sz w:val="24"/>
          <w:szCs w:val="24"/>
        </w:rPr>
      </w:pPr>
      <w:r w:rsidRPr="005B4FD0">
        <w:rPr>
          <w:rFonts w:ascii="Palatino Linotype" w:hAnsi="Palatino Linotype"/>
          <w:b/>
          <w:sz w:val="24"/>
          <w:szCs w:val="24"/>
        </w:rPr>
        <w:t>Conclusion - t</w:t>
      </w:r>
      <w:r w:rsidR="0077125F" w:rsidRPr="005B4FD0">
        <w:rPr>
          <w:rFonts w:ascii="Palatino Linotype" w:hAnsi="Palatino Linotype"/>
          <w:b/>
          <w:sz w:val="24"/>
          <w:szCs w:val="24"/>
        </w:rPr>
        <w:t>he</w:t>
      </w:r>
      <w:r w:rsidR="005A42CC" w:rsidRPr="005B4FD0">
        <w:rPr>
          <w:rFonts w:ascii="Palatino Linotype" w:hAnsi="Palatino Linotype"/>
          <w:b/>
          <w:sz w:val="24"/>
          <w:szCs w:val="24"/>
        </w:rPr>
        <w:t xml:space="preserve"> value proposition </w:t>
      </w:r>
      <w:r w:rsidR="0077125F" w:rsidRPr="005B4FD0">
        <w:rPr>
          <w:rFonts w:ascii="Palatino Linotype" w:hAnsi="Palatino Linotype"/>
          <w:b/>
          <w:sz w:val="24"/>
          <w:szCs w:val="24"/>
        </w:rPr>
        <w:t>for</w:t>
      </w:r>
      <w:r w:rsidR="005A42CC" w:rsidRPr="005B4FD0">
        <w:rPr>
          <w:rFonts w:ascii="Palatino Linotype" w:hAnsi="Palatino Linotype"/>
          <w:b/>
          <w:sz w:val="24"/>
          <w:szCs w:val="24"/>
        </w:rPr>
        <w:t xml:space="preserve"> university fund raisers</w:t>
      </w:r>
      <w:r w:rsidR="00063AA2" w:rsidRPr="005B4FD0">
        <w:rPr>
          <w:rFonts w:ascii="Palatino Linotype" w:hAnsi="Palatino Linotype"/>
          <w:b/>
          <w:sz w:val="24"/>
          <w:szCs w:val="24"/>
        </w:rPr>
        <w:t xml:space="preserve"> and alumni</w:t>
      </w:r>
    </w:p>
    <w:p w14:paraId="746E8E1B" w14:textId="032B2BE4" w:rsidR="00063AA2" w:rsidRPr="005B4FD0" w:rsidRDefault="00F25F33" w:rsidP="005B4FD0">
      <w:pPr>
        <w:spacing w:line="480" w:lineRule="auto"/>
        <w:jc w:val="both"/>
        <w:rPr>
          <w:rFonts w:ascii="Palatino Linotype" w:hAnsi="Palatino Linotype"/>
          <w:sz w:val="24"/>
          <w:szCs w:val="24"/>
        </w:rPr>
      </w:pPr>
      <w:r w:rsidRPr="005B4FD0">
        <w:rPr>
          <w:rFonts w:ascii="Palatino Linotype" w:hAnsi="Palatino Linotype"/>
          <w:sz w:val="24"/>
          <w:szCs w:val="24"/>
        </w:rPr>
        <w:t xml:space="preserve">A concluding point is to recognise that </w:t>
      </w:r>
      <w:r w:rsidR="00063AA2" w:rsidRPr="005B4FD0">
        <w:rPr>
          <w:rFonts w:ascii="Palatino Linotype" w:hAnsi="Palatino Linotype"/>
          <w:sz w:val="24"/>
          <w:szCs w:val="24"/>
        </w:rPr>
        <w:t xml:space="preserve">climate litigation </w:t>
      </w:r>
      <w:proofErr w:type="gramStart"/>
      <w:r w:rsidRPr="005B4FD0">
        <w:rPr>
          <w:rFonts w:ascii="Palatino Linotype" w:hAnsi="Palatino Linotype"/>
          <w:sz w:val="24"/>
          <w:szCs w:val="24"/>
        </w:rPr>
        <w:t>will be</w:t>
      </w:r>
      <w:r w:rsidR="00063AA2" w:rsidRPr="005B4FD0">
        <w:rPr>
          <w:rFonts w:ascii="Palatino Linotype" w:hAnsi="Palatino Linotype"/>
          <w:sz w:val="24"/>
          <w:szCs w:val="24"/>
        </w:rPr>
        <w:t xml:space="preserve"> opposed</w:t>
      </w:r>
      <w:proofErr w:type="gramEnd"/>
      <w:r w:rsidR="00063AA2" w:rsidRPr="005B4FD0">
        <w:rPr>
          <w:rFonts w:ascii="Palatino Linotype" w:hAnsi="Palatino Linotype"/>
          <w:sz w:val="24"/>
          <w:szCs w:val="24"/>
        </w:rPr>
        <w:t xml:space="preserve"> </w:t>
      </w:r>
      <w:r w:rsidRPr="005B4FD0">
        <w:rPr>
          <w:rFonts w:ascii="Palatino Linotype" w:hAnsi="Palatino Linotype"/>
          <w:sz w:val="24"/>
          <w:szCs w:val="24"/>
        </w:rPr>
        <w:t xml:space="preserve">not just by individual defendant corporations and various levels of government, but also </w:t>
      </w:r>
      <w:r w:rsidR="00063AA2" w:rsidRPr="005B4FD0">
        <w:rPr>
          <w:rFonts w:ascii="Palatino Linotype" w:hAnsi="Palatino Linotype"/>
          <w:sz w:val="24"/>
          <w:szCs w:val="24"/>
        </w:rPr>
        <w:t>by entrenched power groups within some industry sectors</w:t>
      </w:r>
      <w:r w:rsidRPr="005B4FD0">
        <w:rPr>
          <w:rFonts w:ascii="Palatino Linotype" w:hAnsi="Palatino Linotype"/>
          <w:sz w:val="24"/>
          <w:szCs w:val="24"/>
        </w:rPr>
        <w:t xml:space="preserve">. </w:t>
      </w:r>
      <w:r w:rsidR="001555F0" w:rsidRPr="005B4FD0">
        <w:rPr>
          <w:rFonts w:ascii="Palatino Linotype" w:hAnsi="Palatino Linotype"/>
          <w:sz w:val="24"/>
          <w:szCs w:val="24"/>
        </w:rPr>
        <w:t xml:space="preserve">Some of these groups may apply pressure through University councils. </w:t>
      </w:r>
      <w:r w:rsidRPr="005B4FD0">
        <w:rPr>
          <w:rFonts w:ascii="Palatino Linotype" w:hAnsi="Palatino Linotype"/>
          <w:sz w:val="24"/>
          <w:szCs w:val="24"/>
        </w:rPr>
        <w:t>These cases</w:t>
      </w:r>
      <w:r w:rsidR="00063AA2" w:rsidRPr="005B4FD0">
        <w:rPr>
          <w:rFonts w:ascii="Palatino Linotype" w:hAnsi="Palatino Linotype"/>
          <w:sz w:val="24"/>
          <w:szCs w:val="24"/>
        </w:rPr>
        <w:t xml:space="preserve"> will be quickly politicised. </w:t>
      </w:r>
      <w:proofErr w:type="gramStart"/>
      <w:r w:rsidR="00B56532" w:rsidRPr="005B4FD0">
        <w:rPr>
          <w:rFonts w:ascii="Palatino Linotype" w:hAnsi="Palatino Linotype"/>
          <w:sz w:val="24"/>
          <w:szCs w:val="24"/>
        </w:rPr>
        <w:t>But</w:t>
      </w:r>
      <w:proofErr w:type="gramEnd"/>
      <w:r w:rsidR="00B56532" w:rsidRPr="005B4FD0">
        <w:rPr>
          <w:rFonts w:ascii="Palatino Linotype" w:hAnsi="Palatino Linotype"/>
          <w:sz w:val="24"/>
          <w:szCs w:val="24"/>
        </w:rPr>
        <w:t xml:space="preserve"> the politicisation is now not so one sided as it would have been even five years ago. Community frustration with government inaction is intense. Law schools/ partner law firms and donors are not isolated and need not fear broad longer-term public opposition to their activism in this area, not </w:t>
      </w:r>
      <w:proofErr w:type="gramStart"/>
      <w:r w:rsidR="00B56532" w:rsidRPr="005B4FD0">
        <w:rPr>
          <w:rFonts w:ascii="Palatino Linotype" w:hAnsi="Palatino Linotype"/>
          <w:sz w:val="24"/>
          <w:szCs w:val="24"/>
        </w:rPr>
        <w:t>least</w:t>
      </w:r>
      <w:proofErr w:type="gramEnd"/>
      <w:r w:rsidR="00B56532" w:rsidRPr="005B4FD0">
        <w:rPr>
          <w:rFonts w:ascii="Palatino Linotype" w:hAnsi="Palatino Linotype"/>
          <w:sz w:val="24"/>
          <w:szCs w:val="24"/>
        </w:rPr>
        <w:t xml:space="preserve"> because younger people are more concerned than their parents and opponents’ demographic is naturally withering. </w:t>
      </w:r>
      <w:r w:rsidR="00063AA2" w:rsidRPr="005B4FD0">
        <w:rPr>
          <w:rFonts w:ascii="Palatino Linotype" w:hAnsi="Palatino Linotype"/>
          <w:sz w:val="24"/>
          <w:szCs w:val="24"/>
        </w:rPr>
        <w:t xml:space="preserve">The ‘right’ judge or judges, capable of understanding and accepting the science, listening to the ‘right’ advocates and possessed of some courage, </w:t>
      </w:r>
      <w:r w:rsidR="00B56532" w:rsidRPr="005B4FD0">
        <w:rPr>
          <w:rFonts w:ascii="Palatino Linotype" w:hAnsi="Palatino Linotype"/>
          <w:sz w:val="24"/>
          <w:szCs w:val="24"/>
        </w:rPr>
        <w:t>will inevitably</w:t>
      </w:r>
      <w:r w:rsidR="00063AA2" w:rsidRPr="005B4FD0">
        <w:rPr>
          <w:rFonts w:ascii="Palatino Linotype" w:hAnsi="Palatino Linotype"/>
          <w:sz w:val="24"/>
          <w:szCs w:val="24"/>
        </w:rPr>
        <w:t xml:space="preserve"> fit together with the ‘right’ case and the ‘right’ plaintiff, for the era. </w:t>
      </w:r>
      <w:r w:rsidR="00B56532" w:rsidRPr="005B4FD0">
        <w:rPr>
          <w:rFonts w:ascii="Palatino Linotype" w:hAnsi="Palatino Linotype"/>
          <w:sz w:val="24"/>
          <w:szCs w:val="24"/>
        </w:rPr>
        <w:t>T</w:t>
      </w:r>
      <w:r w:rsidR="00063AA2" w:rsidRPr="005B4FD0">
        <w:rPr>
          <w:rFonts w:ascii="Palatino Linotype" w:hAnsi="Palatino Linotype"/>
          <w:sz w:val="24"/>
          <w:szCs w:val="24"/>
        </w:rPr>
        <w:t>his considerable conjugation of positive factors has occurred before,</w:t>
      </w:r>
      <w:r w:rsidR="00063AA2" w:rsidRPr="005B4FD0">
        <w:rPr>
          <w:rStyle w:val="FootnoteReference"/>
          <w:rFonts w:ascii="Palatino Linotype" w:hAnsi="Palatino Linotype"/>
          <w:sz w:val="24"/>
          <w:szCs w:val="24"/>
        </w:rPr>
        <w:footnoteReference w:id="26"/>
      </w:r>
      <w:r w:rsidR="00063AA2" w:rsidRPr="005B4FD0">
        <w:rPr>
          <w:rFonts w:ascii="Palatino Linotype" w:hAnsi="Palatino Linotype"/>
          <w:sz w:val="24"/>
          <w:szCs w:val="24"/>
        </w:rPr>
        <w:t xml:space="preserve"> and does so every time the law advances.</w:t>
      </w:r>
    </w:p>
    <w:p w14:paraId="6ED77B5D" w14:textId="53E11655" w:rsidR="00063AA2" w:rsidRPr="005B4FD0" w:rsidRDefault="00063AA2" w:rsidP="00604436">
      <w:pPr>
        <w:spacing w:line="480" w:lineRule="auto"/>
        <w:jc w:val="both"/>
        <w:rPr>
          <w:rFonts w:ascii="Palatino Linotype" w:hAnsi="Palatino Linotype"/>
          <w:sz w:val="24"/>
          <w:szCs w:val="24"/>
        </w:rPr>
      </w:pPr>
      <w:r w:rsidRPr="005B4FD0">
        <w:rPr>
          <w:rFonts w:ascii="Palatino Linotype" w:hAnsi="Palatino Linotype"/>
          <w:sz w:val="24"/>
          <w:szCs w:val="24"/>
        </w:rPr>
        <w:t>A climate defence clinic, partnering with appropriate private pro bono lawyers, not-for</w:t>
      </w:r>
      <w:r w:rsidR="00FA5077" w:rsidRPr="005B4FD0">
        <w:rPr>
          <w:rFonts w:ascii="Palatino Linotype" w:hAnsi="Palatino Linotype"/>
          <w:sz w:val="24"/>
          <w:szCs w:val="24"/>
        </w:rPr>
        <w:t>-</w:t>
      </w:r>
      <w:r w:rsidRPr="005B4FD0">
        <w:rPr>
          <w:rFonts w:ascii="Palatino Linotype" w:hAnsi="Palatino Linotype"/>
          <w:sz w:val="24"/>
          <w:szCs w:val="24"/>
        </w:rPr>
        <w:t>profit legal expertise</w:t>
      </w:r>
      <w:r w:rsidR="00430D50" w:rsidRPr="005B4FD0">
        <w:rPr>
          <w:rFonts w:ascii="Palatino Linotype" w:hAnsi="Palatino Linotype"/>
          <w:sz w:val="24"/>
          <w:szCs w:val="24"/>
        </w:rPr>
        <w:t xml:space="preserve"> and significant alumni donors</w:t>
      </w:r>
      <w:r w:rsidRPr="005B4FD0">
        <w:rPr>
          <w:rFonts w:ascii="Palatino Linotype" w:hAnsi="Palatino Linotype"/>
          <w:sz w:val="24"/>
          <w:szCs w:val="24"/>
        </w:rPr>
        <w:t>, can be alive to suitable plaintiffs and propose representation</w:t>
      </w:r>
      <w:r w:rsidR="00430D50" w:rsidRPr="005B4FD0">
        <w:rPr>
          <w:rFonts w:ascii="Palatino Linotype" w:hAnsi="Palatino Linotype"/>
          <w:sz w:val="24"/>
          <w:szCs w:val="24"/>
        </w:rPr>
        <w:t xml:space="preserve"> when approached.</w:t>
      </w:r>
      <w:r w:rsidRPr="005B4FD0">
        <w:rPr>
          <w:rFonts w:ascii="Palatino Linotype" w:hAnsi="Palatino Linotype"/>
          <w:sz w:val="24"/>
          <w:szCs w:val="24"/>
        </w:rPr>
        <w:t xml:space="preserve"> </w:t>
      </w:r>
    </w:p>
    <w:p w14:paraId="0F6D50EB" w14:textId="107B6D88" w:rsidR="0077125F" w:rsidRPr="005B4FD0" w:rsidRDefault="00430D50" w:rsidP="005B4FD0">
      <w:pPr>
        <w:spacing w:line="480" w:lineRule="auto"/>
        <w:ind w:left="360"/>
        <w:jc w:val="both"/>
        <w:rPr>
          <w:rFonts w:ascii="Palatino Linotype" w:hAnsi="Palatino Linotype"/>
          <w:color w:val="FF0000"/>
          <w:sz w:val="24"/>
          <w:szCs w:val="24"/>
        </w:rPr>
      </w:pPr>
      <w:r w:rsidRPr="005B4FD0">
        <w:rPr>
          <w:rFonts w:ascii="Palatino Linotype" w:hAnsi="Palatino Linotype"/>
          <w:sz w:val="24"/>
          <w:szCs w:val="24"/>
        </w:rPr>
        <w:lastRenderedPageBreak/>
        <w:t>Preparation</w:t>
      </w:r>
      <w:r w:rsidR="00FA5077" w:rsidRPr="005B4FD0">
        <w:rPr>
          <w:rFonts w:ascii="Palatino Linotype" w:hAnsi="Palatino Linotype"/>
          <w:sz w:val="24"/>
          <w:szCs w:val="24"/>
        </w:rPr>
        <w:t>, engagement and relationship management are</w:t>
      </w:r>
      <w:r w:rsidRPr="005B4FD0">
        <w:rPr>
          <w:rFonts w:ascii="Palatino Linotype" w:hAnsi="Palatino Linotype"/>
          <w:sz w:val="24"/>
          <w:szCs w:val="24"/>
        </w:rPr>
        <w:t xml:space="preserve"> the key</w:t>
      </w:r>
      <w:r w:rsidR="00FA5077" w:rsidRPr="005B4FD0">
        <w:rPr>
          <w:rFonts w:ascii="Palatino Linotype" w:hAnsi="Palatino Linotype"/>
          <w:sz w:val="24"/>
          <w:szCs w:val="24"/>
        </w:rPr>
        <w:t>s</w:t>
      </w:r>
      <w:r w:rsidRPr="005B4FD0">
        <w:rPr>
          <w:rFonts w:ascii="Palatino Linotype" w:hAnsi="Palatino Linotype"/>
          <w:sz w:val="24"/>
          <w:szCs w:val="24"/>
        </w:rPr>
        <w:t xml:space="preserve">, and a lengthy </w:t>
      </w:r>
      <w:proofErr w:type="gramStart"/>
      <w:r w:rsidRPr="005B4FD0">
        <w:rPr>
          <w:rFonts w:ascii="Palatino Linotype" w:hAnsi="Palatino Linotype"/>
          <w:sz w:val="24"/>
          <w:szCs w:val="24"/>
        </w:rPr>
        <w:t>lead time</w:t>
      </w:r>
      <w:proofErr w:type="gramEnd"/>
      <w:r w:rsidRPr="005B4FD0">
        <w:rPr>
          <w:rFonts w:ascii="Palatino Linotype" w:hAnsi="Palatino Linotype"/>
          <w:sz w:val="24"/>
          <w:szCs w:val="24"/>
        </w:rPr>
        <w:t xml:space="preserve"> is likely while these players are brought into alignment. </w:t>
      </w:r>
      <w:proofErr w:type="gramStart"/>
      <w:r w:rsidR="00CF0EDD" w:rsidRPr="005B4FD0">
        <w:rPr>
          <w:rFonts w:ascii="Palatino Linotype" w:hAnsi="Palatino Linotype"/>
          <w:sz w:val="24"/>
          <w:szCs w:val="24"/>
        </w:rPr>
        <w:t>But</w:t>
      </w:r>
      <w:proofErr w:type="gramEnd"/>
      <w:r w:rsidR="00CF0EDD" w:rsidRPr="005B4FD0">
        <w:rPr>
          <w:rFonts w:ascii="Palatino Linotype" w:hAnsi="Palatino Linotype"/>
          <w:sz w:val="24"/>
          <w:szCs w:val="24"/>
        </w:rPr>
        <w:t xml:space="preserve"> o</w:t>
      </w:r>
      <w:r w:rsidRPr="005B4FD0">
        <w:rPr>
          <w:rFonts w:ascii="Palatino Linotype" w:hAnsi="Palatino Linotype"/>
          <w:sz w:val="24"/>
          <w:szCs w:val="24"/>
        </w:rPr>
        <w:t>f all these factors</w:t>
      </w:r>
      <w:r w:rsidR="00FA5077" w:rsidRPr="005B4FD0">
        <w:rPr>
          <w:rFonts w:ascii="Palatino Linotype" w:hAnsi="Palatino Linotype"/>
          <w:sz w:val="24"/>
          <w:szCs w:val="24"/>
        </w:rPr>
        <w:t xml:space="preserve"> and players</w:t>
      </w:r>
      <w:r w:rsidRPr="005B4FD0">
        <w:rPr>
          <w:rFonts w:ascii="Palatino Linotype" w:hAnsi="Palatino Linotype"/>
          <w:sz w:val="24"/>
          <w:szCs w:val="24"/>
        </w:rPr>
        <w:t xml:space="preserve">, the most </w:t>
      </w:r>
      <w:r w:rsidR="00CF0EDD" w:rsidRPr="005B4FD0">
        <w:rPr>
          <w:rFonts w:ascii="Palatino Linotype" w:hAnsi="Palatino Linotype"/>
          <w:sz w:val="24"/>
          <w:szCs w:val="24"/>
        </w:rPr>
        <w:t>pressing</w:t>
      </w:r>
      <w:r w:rsidRPr="005B4FD0">
        <w:rPr>
          <w:rFonts w:ascii="Palatino Linotype" w:hAnsi="Palatino Linotype"/>
          <w:sz w:val="24"/>
          <w:szCs w:val="24"/>
        </w:rPr>
        <w:t xml:space="preserve"> is the need to </w:t>
      </w:r>
      <w:r w:rsidR="008D6330" w:rsidRPr="005B4FD0">
        <w:rPr>
          <w:rFonts w:ascii="Palatino Linotype" w:hAnsi="Palatino Linotype"/>
          <w:sz w:val="24"/>
          <w:szCs w:val="24"/>
        </w:rPr>
        <w:t>identify a suitable benefactor-funder</w:t>
      </w:r>
      <w:r w:rsidRPr="005B4FD0">
        <w:rPr>
          <w:rFonts w:ascii="Palatino Linotype" w:hAnsi="Palatino Linotype"/>
          <w:sz w:val="24"/>
          <w:szCs w:val="24"/>
        </w:rPr>
        <w:t xml:space="preserve">. If climate change is among the most profound challenges faced by our species and its affects are fundamentally contributing to the breakdown of justice and the rule of law, then the </w:t>
      </w:r>
      <w:r w:rsidR="008D6330" w:rsidRPr="005B4FD0">
        <w:rPr>
          <w:rFonts w:ascii="Palatino Linotype" w:hAnsi="Palatino Linotype"/>
          <w:sz w:val="24"/>
          <w:szCs w:val="24"/>
        </w:rPr>
        <w:t>innovative</w:t>
      </w:r>
      <w:r w:rsidR="00FA5077" w:rsidRPr="005B4FD0">
        <w:rPr>
          <w:rFonts w:ascii="Palatino Linotype" w:hAnsi="Palatino Linotype"/>
          <w:sz w:val="24"/>
          <w:szCs w:val="24"/>
        </w:rPr>
        <w:t xml:space="preserve">, socially responsible </w:t>
      </w:r>
      <w:r w:rsidR="008D6330" w:rsidRPr="005B4FD0">
        <w:rPr>
          <w:rFonts w:ascii="Palatino Linotype" w:hAnsi="Palatino Linotype"/>
          <w:sz w:val="24"/>
          <w:szCs w:val="24"/>
        </w:rPr>
        <w:t xml:space="preserve">law school </w:t>
      </w:r>
      <w:r w:rsidR="00FA5077" w:rsidRPr="005B4FD0">
        <w:rPr>
          <w:rFonts w:ascii="Palatino Linotype" w:hAnsi="Palatino Linotype"/>
          <w:sz w:val="24"/>
          <w:szCs w:val="24"/>
        </w:rPr>
        <w:t xml:space="preserve">will get on board soon. They will </w:t>
      </w:r>
      <w:r w:rsidR="008D6330" w:rsidRPr="005B4FD0">
        <w:rPr>
          <w:rFonts w:ascii="Palatino Linotype" w:hAnsi="Palatino Linotype"/>
          <w:sz w:val="24"/>
          <w:szCs w:val="24"/>
        </w:rPr>
        <w:t>find an alumni-founded or owned business that already sees climate-sensitive business practices as necessary and appropriate for their own sustainability, and persuade</w:t>
      </w:r>
      <w:r w:rsidR="00FA5077" w:rsidRPr="005B4FD0">
        <w:rPr>
          <w:rFonts w:ascii="Palatino Linotype" w:hAnsi="Palatino Linotype"/>
          <w:sz w:val="24"/>
          <w:szCs w:val="24"/>
        </w:rPr>
        <w:t xml:space="preserve"> them</w:t>
      </w:r>
      <w:r w:rsidR="008D6330" w:rsidRPr="005B4FD0">
        <w:rPr>
          <w:rFonts w:ascii="Palatino Linotype" w:hAnsi="Palatino Linotype"/>
          <w:sz w:val="24"/>
          <w:szCs w:val="24"/>
        </w:rPr>
        <w:t xml:space="preserve"> to connect that sensitivity to the need to </w:t>
      </w:r>
      <w:r w:rsidR="00FA5077" w:rsidRPr="005B4FD0">
        <w:rPr>
          <w:rFonts w:ascii="Palatino Linotype" w:hAnsi="Palatino Linotype"/>
          <w:sz w:val="24"/>
          <w:szCs w:val="24"/>
        </w:rPr>
        <w:t>for climate justice</w:t>
      </w:r>
      <w:r w:rsidRPr="005B4FD0">
        <w:rPr>
          <w:rFonts w:ascii="Palatino Linotype" w:hAnsi="Palatino Linotype"/>
          <w:sz w:val="24"/>
          <w:szCs w:val="24"/>
        </w:rPr>
        <w:t xml:space="preserve">. The value proposition for such alumni is their </w:t>
      </w:r>
      <w:r w:rsidR="00CF0EDD" w:rsidRPr="005B4FD0">
        <w:rPr>
          <w:rFonts w:ascii="Palatino Linotype" w:hAnsi="Palatino Linotype"/>
          <w:sz w:val="24"/>
          <w:szCs w:val="24"/>
        </w:rPr>
        <w:t>legacy, personal and financial.</w:t>
      </w:r>
    </w:p>
    <w:sectPr w:rsidR="0077125F" w:rsidRPr="005B4FD0" w:rsidSect="00433C05">
      <w:headerReference w:type="default" r:id="rId8"/>
      <w:footerReference w:type="default" r:id="rId9"/>
      <w:pgSz w:w="11906" w:h="16838"/>
      <w:pgMar w:top="1008" w:right="1080" w:bottom="1440" w:left="1080" w:header="706" w:footer="706" w:gutter="0"/>
      <w:pgNumType w:start="7"/>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A19ACA" w16cid:durableId="1EBB9215"/>
  <w16cid:commentId w16cid:paraId="306F1B60" w16cid:durableId="1EBB98BB"/>
  <w16cid:commentId w16cid:paraId="04C452A6" w16cid:durableId="1EBB858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0670A" w14:textId="77777777" w:rsidR="004B4799" w:rsidRDefault="004B4799" w:rsidP="00AA0C51">
      <w:pPr>
        <w:spacing w:after="0" w:line="240" w:lineRule="auto"/>
      </w:pPr>
      <w:r>
        <w:separator/>
      </w:r>
    </w:p>
  </w:endnote>
  <w:endnote w:type="continuationSeparator" w:id="0">
    <w:p w14:paraId="18B81A3D" w14:textId="77777777" w:rsidR="004B4799" w:rsidRDefault="004B4799" w:rsidP="00AA0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SimSun"/>
    <w:panose1 w:val="00000000000000000000"/>
    <w:charset w:val="86"/>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2361501"/>
      <w:docPartObj>
        <w:docPartGallery w:val="Page Numbers (Bottom of Page)"/>
        <w:docPartUnique/>
      </w:docPartObj>
    </w:sdtPr>
    <w:sdtEndPr>
      <w:rPr>
        <w:noProof/>
      </w:rPr>
    </w:sdtEndPr>
    <w:sdtContent>
      <w:p w14:paraId="7187BD14" w14:textId="7ADBDC34" w:rsidR="00433C05" w:rsidRDefault="00433C05">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3137A4FD" w14:textId="77777777" w:rsidR="00433C05" w:rsidRDefault="00433C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603DD" w14:textId="77777777" w:rsidR="004B4799" w:rsidRDefault="004B4799" w:rsidP="00AA0C51">
      <w:pPr>
        <w:spacing w:after="0" w:line="240" w:lineRule="auto"/>
      </w:pPr>
      <w:r>
        <w:separator/>
      </w:r>
    </w:p>
  </w:footnote>
  <w:footnote w:type="continuationSeparator" w:id="0">
    <w:p w14:paraId="67C2718D" w14:textId="77777777" w:rsidR="004B4799" w:rsidRDefault="004B4799" w:rsidP="00AA0C51">
      <w:pPr>
        <w:spacing w:after="0" w:line="240" w:lineRule="auto"/>
      </w:pPr>
      <w:r>
        <w:continuationSeparator/>
      </w:r>
    </w:p>
  </w:footnote>
  <w:footnote w:id="1">
    <w:p w14:paraId="25430815" w14:textId="65D88550" w:rsidR="00F35073" w:rsidRPr="005B4FD0" w:rsidRDefault="00F35073" w:rsidP="00026F6B">
      <w:pPr>
        <w:pStyle w:val="FootnoteText"/>
        <w:rPr>
          <w:rFonts w:ascii="Palatino Linotype" w:hAnsi="Palatino Linotype" w:cstheme="minorHAnsi"/>
        </w:rPr>
      </w:pPr>
      <w:r w:rsidRPr="005B4FD0">
        <w:rPr>
          <w:rStyle w:val="FootnoteReference"/>
          <w:rFonts w:ascii="Palatino Linotype" w:hAnsi="Palatino Linotype" w:cstheme="minorHAnsi"/>
        </w:rPr>
        <w:footnoteRef/>
      </w:r>
      <w:r w:rsidRPr="005B4FD0">
        <w:rPr>
          <w:rFonts w:ascii="Palatino Linotype" w:hAnsi="Palatino Linotype" w:cstheme="minorHAnsi"/>
        </w:rPr>
        <w:t xml:space="preserve"> </w:t>
      </w:r>
      <w:r w:rsidR="00EE5398" w:rsidRPr="005B4FD0">
        <w:rPr>
          <w:rFonts w:ascii="Palatino Linotype" w:hAnsi="Palatino Linotype" w:cstheme="minorHAnsi"/>
        </w:rPr>
        <w:t xml:space="preserve">The </w:t>
      </w:r>
      <w:r w:rsidR="00EE5398" w:rsidRPr="005B4FD0">
        <w:rPr>
          <w:rFonts w:ascii="Palatino Linotype" w:hAnsi="Palatino Linotype" w:cstheme="minorHAnsi"/>
          <w:i/>
        </w:rPr>
        <w:t xml:space="preserve">United Nations Framework </w:t>
      </w:r>
      <w:hyperlink r:id="rId1" w:tgtFrame="_self" w:history="1">
        <w:r w:rsidR="00EE5398" w:rsidRPr="005B4FD0">
          <w:rPr>
            <w:rStyle w:val="Hyperlink"/>
            <w:rFonts w:ascii="Palatino Linotype" w:hAnsi="Palatino Linotype" w:cstheme="minorHAnsi"/>
            <w:i/>
            <w:color w:val="auto"/>
            <w:u w:val="none"/>
            <w:bdr w:val="none" w:sz="0" w:space="0" w:color="auto" w:frame="1"/>
          </w:rPr>
          <w:t>Convention</w:t>
        </w:r>
      </w:hyperlink>
      <w:r w:rsidR="00EE5398" w:rsidRPr="005B4FD0">
        <w:rPr>
          <w:rFonts w:ascii="Palatino Linotype" w:hAnsi="Palatino Linotype" w:cstheme="minorHAnsi"/>
          <w:i/>
        </w:rPr>
        <w:t xml:space="preserve"> on Climate Change</w:t>
      </w:r>
      <w:r w:rsidR="00EE5398" w:rsidRPr="005B4FD0">
        <w:rPr>
          <w:rFonts w:ascii="Palatino Linotype" w:hAnsi="Palatino Linotype" w:cstheme="minorHAnsi"/>
        </w:rPr>
        <w:t xml:space="preserve"> (UNFCCC) received its strongest affirmation in the Paris Agreement of 2015. See https://unfccc.int/process-and-meetings/the-paris-agreement/what-is-the-paris-agreement</w:t>
      </w:r>
    </w:p>
  </w:footnote>
  <w:footnote w:id="2">
    <w:p w14:paraId="1799D3B1" w14:textId="7D487A3C" w:rsidR="00F35073" w:rsidRPr="005B4FD0" w:rsidRDefault="00F35073" w:rsidP="00076ED3">
      <w:pPr>
        <w:spacing w:after="0" w:line="240" w:lineRule="auto"/>
        <w:outlineLvl w:val="0"/>
        <w:rPr>
          <w:rFonts w:ascii="Palatino Linotype" w:hAnsi="Palatino Linotype" w:cstheme="minorHAnsi"/>
          <w:sz w:val="20"/>
          <w:szCs w:val="20"/>
        </w:rPr>
      </w:pPr>
      <w:r w:rsidRPr="005B4FD0">
        <w:rPr>
          <w:rStyle w:val="FootnoteReference"/>
          <w:rFonts w:ascii="Palatino Linotype" w:hAnsi="Palatino Linotype" w:cstheme="minorHAnsi"/>
          <w:sz w:val="20"/>
          <w:szCs w:val="20"/>
        </w:rPr>
        <w:footnoteRef/>
      </w:r>
      <w:r w:rsidRPr="005B4FD0">
        <w:rPr>
          <w:rFonts w:ascii="Palatino Linotype" w:hAnsi="Palatino Linotype" w:cstheme="minorHAnsi"/>
          <w:sz w:val="20"/>
          <w:szCs w:val="20"/>
        </w:rPr>
        <w:t xml:space="preserve"> </w:t>
      </w:r>
      <w:r w:rsidR="00076ED3" w:rsidRPr="005B4FD0">
        <w:rPr>
          <w:rFonts w:ascii="Palatino Linotype" w:eastAsia="Times New Roman" w:hAnsi="Palatino Linotype" w:cstheme="minorHAnsi"/>
          <w:iCs/>
          <w:sz w:val="20"/>
          <w:szCs w:val="20"/>
          <w:lang w:val="en" w:eastAsia="en-AU"/>
        </w:rPr>
        <w:t xml:space="preserve">Peter </w:t>
      </w:r>
      <w:proofErr w:type="spellStart"/>
      <w:r w:rsidR="00076ED3" w:rsidRPr="005B4FD0">
        <w:rPr>
          <w:rFonts w:ascii="Palatino Linotype" w:eastAsia="Times New Roman" w:hAnsi="Palatino Linotype" w:cstheme="minorHAnsi"/>
          <w:iCs/>
          <w:sz w:val="20"/>
          <w:szCs w:val="20"/>
          <w:lang w:val="en" w:eastAsia="en-AU"/>
        </w:rPr>
        <w:t>Hannam</w:t>
      </w:r>
      <w:proofErr w:type="spellEnd"/>
      <w:r w:rsidR="00076ED3" w:rsidRPr="005B4FD0">
        <w:rPr>
          <w:rFonts w:ascii="Palatino Linotype" w:eastAsia="Times New Roman" w:hAnsi="Palatino Linotype" w:cstheme="minorHAnsi"/>
          <w:iCs/>
          <w:sz w:val="20"/>
          <w:szCs w:val="20"/>
          <w:lang w:val="en" w:eastAsia="en-AU"/>
        </w:rPr>
        <w:t xml:space="preserve"> and Nicole </w:t>
      </w:r>
      <w:proofErr w:type="spellStart"/>
      <w:r w:rsidR="00076ED3" w:rsidRPr="005B4FD0">
        <w:rPr>
          <w:rFonts w:ascii="Palatino Linotype" w:eastAsia="Times New Roman" w:hAnsi="Palatino Linotype" w:cstheme="minorHAnsi"/>
          <w:iCs/>
          <w:sz w:val="20"/>
          <w:szCs w:val="20"/>
          <w:lang w:val="en" w:eastAsia="en-AU"/>
        </w:rPr>
        <w:t>Hasham</w:t>
      </w:r>
      <w:proofErr w:type="spellEnd"/>
      <w:r w:rsidR="00076ED3" w:rsidRPr="005B4FD0">
        <w:rPr>
          <w:rFonts w:ascii="Palatino Linotype" w:eastAsia="Times New Roman" w:hAnsi="Palatino Linotype" w:cstheme="minorHAnsi"/>
          <w:b/>
          <w:bCs/>
          <w:kern w:val="36"/>
          <w:sz w:val="20"/>
          <w:szCs w:val="20"/>
          <w:lang w:val="en" w:eastAsia="en-AU"/>
        </w:rPr>
        <w:t xml:space="preserve"> </w:t>
      </w:r>
      <w:r w:rsidR="00076ED3" w:rsidRPr="005B4FD0">
        <w:rPr>
          <w:rFonts w:ascii="Palatino Linotype" w:eastAsia="Times New Roman" w:hAnsi="Palatino Linotype" w:cstheme="minorHAnsi"/>
          <w:bCs/>
          <w:kern w:val="36"/>
          <w:sz w:val="20"/>
          <w:szCs w:val="20"/>
          <w:lang w:val="en" w:eastAsia="en-AU"/>
        </w:rPr>
        <w:t>“‘Next decade critical’ to save a warming planet</w:t>
      </w:r>
      <w:r w:rsidR="002F23F4" w:rsidRPr="005B4FD0">
        <w:rPr>
          <w:rFonts w:ascii="Palatino Linotype" w:eastAsia="Times New Roman" w:hAnsi="Palatino Linotype" w:cstheme="minorHAnsi"/>
          <w:b/>
          <w:bCs/>
          <w:kern w:val="36"/>
          <w:sz w:val="20"/>
          <w:szCs w:val="20"/>
          <w:lang w:val="en" w:eastAsia="en-AU"/>
        </w:rPr>
        <w:t>’</w:t>
      </w:r>
      <w:r w:rsidR="00076ED3" w:rsidRPr="005B4FD0">
        <w:rPr>
          <w:rFonts w:ascii="Palatino Linotype" w:eastAsia="Times New Roman" w:hAnsi="Palatino Linotype" w:cstheme="minorHAnsi"/>
          <w:b/>
          <w:bCs/>
          <w:kern w:val="36"/>
          <w:sz w:val="20"/>
          <w:szCs w:val="20"/>
          <w:lang w:val="en" w:eastAsia="en-AU"/>
        </w:rPr>
        <w:t xml:space="preserve">, </w:t>
      </w:r>
      <w:r w:rsidR="00076ED3" w:rsidRPr="005B4FD0">
        <w:rPr>
          <w:rFonts w:ascii="Palatino Linotype" w:eastAsia="Times New Roman" w:hAnsi="Palatino Linotype" w:cstheme="minorHAnsi"/>
          <w:i/>
          <w:iCs/>
          <w:sz w:val="20"/>
          <w:szCs w:val="20"/>
          <w:lang w:val="en" w:eastAsia="en-AU"/>
        </w:rPr>
        <w:t xml:space="preserve">The Age, </w:t>
      </w:r>
      <w:r w:rsidR="00076ED3" w:rsidRPr="005B4FD0">
        <w:rPr>
          <w:rFonts w:ascii="Palatino Linotype" w:eastAsia="Times New Roman" w:hAnsi="Palatino Linotype" w:cstheme="minorHAnsi"/>
          <w:iCs/>
          <w:sz w:val="20"/>
          <w:szCs w:val="20"/>
          <w:lang w:val="en" w:eastAsia="en-AU"/>
        </w:rPr>
        <w:t>9 Oct 2018, p5.</w:t>
      </w:r>
    </w:p>
  </w:footnote>
  <w:footnote w:id="3">
    <w:p w14:paraId="3DE97DBB" w14:textId="38E87F85" w:rsidR="004B0FAE" w:rsidRPr="005B4FD0" w:rsidRDefault="004B0FAE">
      <w:pPr>
        <w:pStyle w:val="FootnoteText"/>
        <w:rPr>
          <w:rFonts w:ascii="Palatino Linotype" w:hAnsi="Palatino Linotype"/>
        </w:rPr>
      </w:pPr>
      <w:r w:rsidRPr="005B4FD0">
        <w:rPr>
          <w:rStyle w:val="FootnoteReference"/>
          <w:rFonts w:ascii="Palatino Linotype" w:hAnsi="Palatino Linotype"/>
        </w:rPr>
        <w:footnoteRef/>
      </w:r>
      <w:r w:rsidRPr="005B4FD0">
        <w:rPr>
          <w:rFonts w:ascii="Palatino Linotype" w:hAnsi="Palatino Linotype"/>
        </w:rPr>
        <w:t xml:space="preserve"> </w:t>
      </w:r>
      <w:r w:rsidR="00EE5398" w:rsidRPr="005B4FD0">
        <w:rPr>
          <w:rFonts w:ascii="Palatino Linotype" w:hAnsi="Palatino Linotype" w:cstheme="minorHAnsi"/>
        </w:rPr>
        <w:t xml:space="preserve">Lisa Cox, </w:t>
      </w:r>
      <w:r w:rsidR="002F23F4" w:rsidRPr="005B4FD0">
        <w:rPr>
          <w:rFonts w:ascii="Palatino Linotype" w:hAnsi="Palatino Linotype" w:cstheme="minorHAnsi"/>
        </w:rPr>
        <w:t>‘</w:t>
      </w:r>
      <w:r w:rsidR="00EE5398" w:rsidRPr="005B4FD0">
        <w:rPr>
          <w:rFonts w:ascii="Palatino Linotype" w:hAnsi="Palatino Linotype" w:cstheme="minorHAnsi"/>
          <w:color w:val="121212"/>
        </w:rPr>
        <w:t>Australia on track to miss Paris climate targets as emissions hit record highs</w:t>
      </w:r>
      <w:r w:rsidR="002F23F4" w:rsidRPr="005B4FD0">
        <w:rPr>
          <w:rFonts w:ascii="Palatino Linotype" w:hAnsi="Palatino Linotype" w:cstheme="minorHAnsi"/>
          <w:color w:val="121212"/>
        </w:rPr>
        <w:t>’</w:t>
      </w:r>
      <w:r w:rsidR="00EE5398" w:rsidRPr="005B4FD0">
        <w:rPr>
          <w:rFonts w:ascii="Palatino Linotype" w:hAnsi="Palatino Linotype" w:cstheme="minorHAnsi"/>
          <w:color w:val="121212"/>
        </w:rPr>
        <w:t>, The Guardian Australia, 14 September 2018 at https://</w:t>
      </w:r>
      <w:r w:rsidR="00EE5398" w:rsidRPr="005B4FD0">
        <w:rPr>
          <w:rFonts w:ascii="Palatino Linotype" w:hAnsi="Palatino Linotype" w:cstheme="minorHAnsi"/>
        </w:rPr>
        <w:t>www</w:t>
      </w:r>
      <w:r w:rsidR="00EE5398" w:rsidRPr="005B4FD0">
        <w:rPr>
          <w:rFonts w:ascii="Palatino Linotype" w:hAnsi="Palatino Linotype" w:cstheme="minorHAnsi"/>
          <w:color w:val="121212"/>
        </w:rPr>
        <w:t>.theguardian.com/australia-news/2018/sep/14/australia-on-track-to-miss-paris-climate-targets-as-emissions-hit-record-highs</w:t>
      </w:r>
    </w:p>
  </w:footnote>
  <w:footnote w:id="4">
    <w:p w14:paraId="1DFE4509" w14:textId="0E7F3C0A" w:rsidR="00775DB3" w:rsidRPr="005B4FD0" w:rsidRDefault="00775DB3">
      <w:pPr>
        <w:pStyle w:val="FootnoteText"/>
        <w:rPr>
          <w:rFonts w:ascii="Palatino Linotype" w:hAnsi="Palatino Linotype"/>
          <w:lang w:val="en-US"/>
        </w:rPr>
      </w:pPr>
      <w:r w:rsidRPr="005B4FD0">
        <w:rPr>
          <w:rStyle w:val="FootnoteReference"/>
          <w:rFonts w:ascii="Palatino Linotype" w:hAnsi="Palatino Linotype"/>
        </w:rPr>
        <w:footnoteRef/>
      </w:r>
      <w:r w:rsidRPr="005B4FD0">
        <w:rPr>
          <w:rFonts w:ascii="Palatino Linotype" w:hAnsi="Palatino Linotype"/>
        </w:rPr>
        <w:t xml:space="preserve"> David Crowe, ‘There is no will to find a way’, </w:t>
      </w:r>
      <w:r w:rsidRPr="005B4FD0">
        <w:rPr>
          <w:rFonts w:ascii="Palatino Linotype" w:hAnsi="Palatino Linotype"/>
          <w:i/>
        </w:rPr>
        <w:t>The</w:t>
      </w:r>
      <w:bookmarkStart w:id="0" w:name="_GoBack"/>
      <w:bookmarkEnd w:id="0"/>
      <w:r w:rsidRPr="005B4FD0">
        <w:rPr>
          <w:rFonts w:ascii="Palatino Linotype" w:hAnsi="Palatino Linotype"/>
          <w:i/>
        </w:rPr>
        <w:t xml:space="preserve"> Age</w:t>
      </w:r>
      <w:r w:rsidRPr="005B4FD0">
        <w:rPr>
          <w:rFonts w:ascii="Palatino Linotype" w:hAnsi="Palatino Linotype"/>
        </w:rPr>
        <w:t xml:space="preserve">, 9 Oct 2018, p 5. </w:t>
      </w:r>
    </w:p>
  </w:footnote>
  <w:footnote w:id="5">
    <w:p w14:paraId="66559AAE" w14:textId="3F974DD7" w:rsidR="00F35073" w:rsidRPr="005B4FD0" w:rsidRDefault="00F35073">
      <w:pPr>
        <w:pStyle w:val="FootnoteText"/>
        <w:rPr>
          <w:rFonts w:ascii="Palatino Linotype" w:hAnsi="Palatino Linotype"/>
        </w:rPr>
      </w:pPr>
      <w:r w:rsidRPr="005B4FD0">
        <w:rPr>
          <w:rStyle w:val="FootnoteReference"/>
          <w:rFonts w:ascii="Palatino Linotype" w:hAnsi="Palatino Linotype"/>
        </w:rPr>
        <w:footnoteRef/>
      </w:r>
      <w:r w:rsidRPr="005B4FD0">
        <w:rPr>
          <w:rFonts w:ascii="Palatino Linotype" w:hAnsi="Palatino Linotype"/>
        </w:rPr>
        <w:t xml:space="preserve"> Evans </w:t>
      </w:r>
      <w:r w:rsidRPr="005B4FD0">
        <w:rPr>
          <w:rFonts w:ascii="Palatino Linotype" w:hAnsi="Palatino Linotype"/>
          <w:i/>
        </w:rPr>
        <w:t>et al</w:t>
      </w:r>
      <w:r w:rsidRPr="005B4FD0">
        <w:rPr>
          <w:rFonts w:ascii="Palatino Linotype" w:hAnsi="Palatino Linotype"/>
        </w:rPr>
        <w:t xml:space="preserve">, </w:t>
      </w:r>
      <w:r w:rsidRPr="005B4FD0">
        <w:rPr>
          <w:rFonts w:ascii="Palatino Linotype" w:hAnsi="Palatino Linotype"/>
          <w:i/>
        </w:rPr>
        <w:t>Australian Clinical Legal Education</w:t>
      </w:r>
      <w:r w:rsidRPr="005B4FD0">
        <w:rPr>
          <w:rFonts w:ascii="Palatino Linotype" w:hAnsi="Palatino Linotype"/>
        </w:rPr>
        <w:t>, ANU Press, Canberra, 2017. Available at https://press.anu.edu.au/publications/australian-clinical-legal-education</w:t>
      </w:r>
    </w:p>
  </w:footnote>
  <w:footnote w:id="6">
    <w:p w14:paraId="0D5C1E86" w14:textId="59961858" w:rsidR="00F35073" w:rsidRPr="005B4FD0" w:rsidRDefault="00F35073">
      <w:pPr>
        <w:pStyle w:val="FootnoteText"/>
        <w:rPr>
          <w:rFonts w:ascii="Palatino Linotype" w:hAnsi="Palatino Linotype"/>
        </w:rPr>
      </w:pPr>
      <w:r w:rsidRPr="005B4FD0">
        <w:rPr>
          <w:rStyle w:val="FootnoteReference"/>
          <w:rFonts w:ascii="Palatino Linotype" w:hAnsi="Palatino Linotype"/>
        </w:rPr>
        <w:footnoteRef/>
      </w:r>
      <w:r w:rsidRPr="005B4FD0">
        <w:rPr>
          <w:rFonts w:ascii="Palatino Linotype" w:hAnsi="Palatino Linotype"/>
        </w:rPr>
        <w:t xml:space="preserve"> </w:t>
      </w:r>
      <w:r w:rsidR="002F23F4" w:rsidRPr="005B4FD0">
        <w:rPr>
          <w:rFonts w:ascii="Palatino Linotype" w:hAnsi="Palatino Linotype"/>
        </w:rPr>
        <w:t>Information provided by the Climate Council in 2015. See https://www.climatecouncil.org.au/2015/05/20/new-report-reveals-that-australia-is-among-the-worst-emitters-in-the-world/</w:t>
      </w:r>
    </w:p>
  </w:footnote>
  <w:footnote w:id="7">
    <w:p w14:paraId="3E17CBDF" w14:textId="666F0D64" w:rsidR="00F35073" w:rsidRPr="005B4FD0" w:rsidRDefault="00F35073">
      <w:pPr>
        <w:pStyle w:val="FootnoteText"/>
        <w:rPr>
          <w:rFonts w:ascii="Palatino Linotype" w:hAnsi="Palatino Linotype"/>
        </w:rPr>
      </w:pPr>
      <w:r w:rsidRPr="005B4FD0">
        <w:rPr>
          <w:rStyle w:val="FootnoteReference"/>
          <w:rFonts w:ascii="Palatino Linotype" w:hAnsi="Palatino Linotype"/>
        </w:rPr>
        <w:footnoteRef/>
      </w:r>
      <w:r w:rsidRPr="005B4FD0">
        <w:rPr>
          <w:rFonts w:ascii="Palatino Linotype" w:hAnsi="Palatino Linotype"/>
        </w:rPr>
        <w:t xml:space="preserve"> There is a specific </w:t>
      </w:r>
      <w:proofErr w:type="spellStart"/>
      <w:r w:rsidRPr="005B4FD0">
        <w:rPr>
          <w:rFonts w:ascii="Palatino Linotype" w:hAnsi="Palatino Linotype"/>
          <w:i/>
        </w:rPr>
        <w:t>ClientEarth</w:t>
      </w:r>
      <w:proofErr w:type="spellEnd"/>
      <w:r w:rsidRPr="005B4FD0">
        <w:rPr>
          <w:rFonts w:ascii="Palatino Linotype" w:hAnsi="Palatino Linotype"/>
        </w:rPr>
        <w:t xml:space="preserve"> legal practice in the United Kingdom – see </w:t>
      </w:r>
      <w:hyperlink r:id="rId2" w:history="1">
        <w:r w:rsidRPr="005B4FD0">
          <w:rPr>
            <w:rStyle w:val="Hyperlink"/>
            <w:rFonts w:ascii="Palatino Linotype" w:hAnsi="Palatino Linotype"/>
          </w:rPr>
          <w:t>https://www.clientearth.org/</w:t>
        </w:r>
      </w:hyperlink>
      <w:r w:rsidRPr="005B4FD0">
        <w:rPr>
          <w:rFonts w:ascii="Palatino Linotype" w:hAnsi="Palatino Linotype"/>
        </w:rPr>
        <w:t xml:space="preserve">, a firm which seeks to represent the earth as </w:t>
      </w:r>
      <w:r w:rsidRPr="005B4FD0">
        <w:rPr>
          <w:rFonts w:ascii="Palatino Linotype" w:hAnsi="Palatino Linotype"/>
          <w:i/>
        </w:rPr>
        <w:t>the</w:t>
      </w:r>
      <w:r w:rsidRPr="005B4FD0">
        <w:rPr>
          <w:rFonts w:ascii="Palatino Linotype" w:hAnsi="Palatino Linotype"/>
        </w:rPr>
        <w:t xml:space="preserve"> client, utilising the concepts popularised in Cormac Cullinan’s </w:t>
      </w:r>
      <w:r w:rsidRPr="005B4FD0">
        <w:rPr>
          <w:rFonts w:ascii="Palatino Linotype" w:hAnsi="Palatino Linotype"/>
          <w:i/>
        </w:rPr>
        <w:t xml:space="preserve">Wild Law: A manifesto for earth justice </w:t>
      </w:r>
      <w:r w:rsidRPr="005B4FD0">
        <w:rPr>
          <w:rFonts w:ascii="Palatino Linotype" w:hAnsi="Palatino Linotype"/>
        </w:rPr>
        <w:t xml:space="preserve">(Green Books, London, 2003). There is also an </w:t>
      </w:r>
      <w:r w:rsidRPr="005B4FD0">
        <w:rPr>
          <w:rFonts w:ascii="Palatino Linotype" w:hAnsi="Palatino Linotype"/>
          <w:i/>
        </w:rPr>
        <w:t>Australian Earth Laws Alliance, at</w:t>
      </w:r>
      <w:r w:rsidRPr="005B4FD0">
        <w:rPr>
          <w:rFonts w:ascii="Palatino Linotype" w:hAnsi="Palatino Linotype"/>
        </w:rPr>
        <w:t xml:space="preserve"> https://www.earthlaws.org.au.</w:t>
      </w:r>
    </w:p>
  </w:footnote>
  <w:footnote w:id="8">
    <w:p w14:paraId="727FCE45" w14:textId="7EF0122E" w:rsidR="00F35073" w:rsidRPr="005B4FD0" w:rsidRDefault="00F35073">
      <w:pPr>
        <w:pStyle w:val="FootnoteText"/>
        <w:rPr>
          <w:rFonts w:ascii="Palatino Linotype" w:hAnsi="Palatino Linotype"/>
        </w:rPr>
      </w:pPr>
      <w:r w:rsidRPr="005B4FD0">
        <w:rPr>
          <w:rStyle w:val="FootnoteReference"/>
          <w:rFonts w:ascii="Palatino Linotype" w:hAnsi="Palatino Linotype"/>
        </w:rPr>
        <w:footnoteRef/>
      </w:r>
      <w:r w:rsidRPr="005B4FD0">
        <w:rPr>
          <w:rFonts w:ascii="Palatino Linotype" w:hAnsi="Palatino Linotype"/>
        </w:rPr>
        <w:t xml:space="preserve"> Note however that universities are not omniscient and </w:t>
      </w:r>
      <w:proofErr w:type="gramStart"/>
      <w:r w:rsidRPr="005B4FD0">
        <w:rPr>
          <w:rFonts w:ascii="Palatino Linotype" w:hAnsi="Palatino Linotype"/>
        </w:rPr>
        <w:t>can also</w:t>
      </w:r>
      <w:proofErr w:type="gramEnd"/>
      <w:r w:rsidRPr="005B4FD0">
        <w:rPr>
          <w:rFonts w:ascii="Palatino Linotype" w:hAnsi="Palatino Linotype"/>
        </w:rPr>
        <w:t xml:space="preserve"> misstep, particularly if they think their marketing is threatened. See for example the ANU law case in March 2018, where</w:t>
      </w:r>
      <w:r w:rsidR="00D10CDD" w:rsidRPr="005B4FD0">
        <w:rPr>
          <w:rFonts w:ascii="Palatino Linotype" w:hAnsi="Palatino Linotype"/>
        </w:rPr>
        <w:t xml:space="preserve"> an ANU law student was </w:t>
      </w:r>
      <w:r w:rsidR="00AE0747" w:rsidRPr="005B4FD0">
        <w:rPr>
          <w:rFonts w:ascii="Palatino Linotype" w:hAnsi="Palatino Linotype"/>
        </w:rPr>
        <w:t>removed from marketing publicity</w:t>
      </w:r>
      <w:r w:rsidR="00D10CDD" w:rsidRPr="005B4FD0">
        <w:rPr>
          <w:rFonts w:ascii="Palatino Linotype" w:hAnsi="Palatino Linotype"/>
        </w:rPr>
        <w:t xml:space="preserve"> by the University</w:t>
      </w:r>
      <w:r w:rsidR="00AE0747" w:rsidRPr="005B4FD0">
        <w:rPr>
          <w:rFonts w:ascii="Palatino Linotype" w:hAnsi="Palatino Linotype"/>
        </w:rPr>
        <w:t xml:space="preserve"> because she wanted to include a statement about the plight of refugees</w:t>
      </w:r>
      <w:r w:rsidR="00D10CDD" w:rsidRPr="005B4FD0">
        <w:rPr>
          <w:rFonts w:ascii="Palatino Linotype" w:hAnsi="Palatino Linotype"/>
        </w:rPr>
        <w:t>. See Emily Baker, ‘</w:t>
      </w:r>
      <w:r w:rsidR="00D10CDD" w:rsidRPr="005B4FD0">
        <w:rPr>
          <w:rFonts w:ascii="Palatino Linotype" w:hAnsi="Palatino Linotype" w:cstheme="minorHAnsi"/>
          <w:bCs/>
        </w:rPr>
        <w:t xml:space="preserve">ANU removes law student from marketing booklet in aim for 'political neutrality', </w:t>
      </w:r>
      <w:r w:rsidR="00D10CDD" w:rsidRPr="005B4FD0">
        <w:rPr>
          <w:rFonts w:ascii="Palatino Linotype" w:hAnsi="Palatino Linotype" w:cstheme="minorHAnsi"/>
          <w:bCs/>
          <w:i/>
        </w:rPr>
        <w:t>Sydney Morning Herald</w:t>
      </w:r>
      <w:r w:rsidR="00D10CDD" w:rsidRPr="005B4FD0">
        <w:rPr>
          <w:rFonts w:ascii="Palatino Linotype" w:hAnsi="Palatino Linotype" w:cstheme="minorHAnsi"/>
          <w:bCs/>
        </w:rPr>
        <w:t>, 19 March 2018, at</w:t>
      </w:r>
      <w:r w:rsidR="00D10CDD" w:rsidRPr="005B4FD0">
        <w:rPr>
          <w:rFonts w:ascii="Palatino Linotype" w:hAnsi="Palatino Linotype"/>
        </w:rPr>
        <w:t xml:space="preserve"> https://www.smh.com.au/education/anu-removes-law-student-from-marketing-booklet-in-aim-for-political-neutrality-20180316-h0xklf.html.</w:t>
      </w:r>
    </w:p>
  </w:footnote>
  <w:footnote w:id="9">
    <w:p w14:paraId="075803C9" w14:textId="57E50A5F" w:rsidR="00F35073" w:rsidRPr="005B4FD0" w:rsidRDefault="00F35073">
      <w:pPr>
        <w:pStyle w:val="FootnoteText"/>
        <w:rPr>
          <w:rFonts w:ascii="Palatino Linotype" w:hAnsi="Palatino Linotype"/>
        </w:rPr>
      </w:pPr>
      <w:r w:rsidRPr="005B4FD0">
        <w:rPr>
          <w:rStyle w:val="FootnoteReference"/>
          <w:rFonts w:ascii="Palatino Linotype" w:hAnsi="Palatino Linotype"/>
        </w:rPr>
        <w:footnoteRef/>
      </w:r>
      <w:r w:rsidRPr="005B4FD0">
        <w:rPr>
          <w:rFonts w:ascii="Palatino Linotype" w:hAnsi="Palatino Linotype"/>
        </w:rPr>
        <w:t xml:space="preserve"> See Evans </w:t>
      </w:r>
      <w:r w:rsidRPr="005B4FD0">
        <w:rPr>
          <w:rFonts w:ascii="Palatino Linotype" w:hAnsi="Palatino Linotype"/>
          <w:i/>
        </w:rPr>
        <w:t>et al</w:t>
      </w:r>
      <w:r w:rsidRPr="005B4FD0">
        <w:rPr>
          <w:rFonts w:ascii="Palatino Linotype" w:hAnsi="Palatino Linotype"/>
        </w:rPr>
        <w:t xml:space="preserve">, </w:t>
      </w:r>
      <w:r w:rsidRPr="005B4FD0">
        <w:rPr>
          <w:rFonts w:ascii="Palatino Linotype" w:hAnsi="Palatino Linotype"/>
          <w:i/>
        </w:rPr>
        <w:t>Australian Clinical Legal Education</w:t>
      </w:r>
      <w:r w:rsidRPr="005B4FD0">
        <w:rPr>
          <w:rFonts w:ascii="Palatino Linotype" w:hAnsi="Palatino Linotype"/>
        </w:rPr>
        <w:t xml:space="preserve">, ANU Press, Canberra, 2017, </w:t>
      </w:r>
      <w:proofErr w:type="spellStart"/>
      <w:r w:rsidRPr="005B4FD0">
        <w:rPr>
          <w:rFonts w:ascii="Palatino Linotype" w:hAnsi="Palatino Linotype"/>
        </w:rPr>
        <w:t>Ch</w:t>
      </w:r>
      <w:proofErr w:type="spellEnd"/>
      <w:r w:rsidRPr="005B4FD0">
        <w:rPr>
          <w:rFonts w:ascii="Palatino Linotype" w:hAnsi="Palatino Linotype"/>
        </w:rPr>
        <w:t xml:space="preserve"> 4 Course Design for Clinical Teaching.</w:t>
      </w:r>
    </w:p>
  </w:footnote>
  <w:footnote w:id="10">
    <w:p w14:paraId="5C7EF6DA" w14:textId="592CFDF5" w:rsidR="00F35073" w:rsidRPr="005B4FD0" w:rsidRDefault="00F35073">
      <w:pPr>
        <w:pStyle w:val="FootnoteText"/>
        <w:rPr>
          <w:rFonts w:ascii="Palatino Linotype" w:hAnsi="Palatino Linotype"/>
          <w:lang w:val="fr-FR"/>
        </w:rPr>
      </w:pPr>
      <w:r w:rsidRPr="005B4FD0">
        <w:rPr>
          <w:rStyle w:val="FootnoteReference"/>
          <w:rFonts w:ascii="Palatino Linotype" w:hAnsi="Palatino Linotype"/>
        </w:rPr>
        <w:footnoteRef/>
      </w:r>
      <w:r w:rsidRPr="005B4FD0">
        <w:rPr>
          <w:rFonts w:ascii="Palatino Linotype" w:hAnsi="Palatino Linotype"/>
          <w:lang w:val="fr-FR"/>
        </w:rPr>
        <w:t xml:space="preserve"> Evans </w:t>
      </w:r>
      <w:r w:rsidRPr="005B4FD0">
        <w:rPr>
          <w:rFonts w:ascii="Palatino Linotype" w:hAnsi="Palatino Linotype"/>
          <w:i/>
          <w:lang w:val="fr-FR"/>
        </w:rPr>
        <w:t>et al</w:t>
      </w:r>
      <w:r w:rsidRPr="005B4FD0">
        <w:rPr>
          <w:rFonts w:ascii="Palatino Linotype" w:hAnsi="Palatino Linotype"/>
          <w:lang w:val="fr-FR"/>
        </w:rPr>
        <w:t>, Note 7, pp 67-98.</w:t>
      </w:r>
    </w:p>
  </w:footnote>
  <w:footnote w:id="11">
    <w:p w14:paraId="3520A92F" w14:textId="58E4E328" w:rsidR="00F35073" w:rsidRPr="005B4FD0" w:rsidRDefault="00F35073">
      <w:pPr>
        <w:pStyle w:val="FootnoteText"/>
        <w:rPr>
          <w:rFonts w:ascii="Palatino Linotype" w:hAnsi="Palatino Linotype"/>
        </w:rPr>
      </w:pPr>
      <w:r w:rsidRPr="005B4FD0">
        <w:rPr>
          <w:rStyle w:val="FootnoteReference"/>
          <w:rFonts w:ascii="Palatino Linotype" w:hAnsi="Palatino Linotype"/>
        </w:rPr>
        <w:footnoteRef/>
      </w:r>
      <w:r w:rsidRPr="005B4FD0">
        <w:rPr>
          <w:rFonts w:ascii="Palatino Linotype" w:hAnsi="Palatino Linotype"/>
        </w:rPr>
        <w:t xml:space="preserve"> See generally, Evans </w:t>
      </w:r>
      <w:r w:rsidRPr="005B4FD0">
        <w:rPr>
          <w:rFonts w:ascii="Palatino Linotype" w:hAnsi="Palatino Linotype"/>
          <w:i/>
        </w:rPr>
        <w:t>et al</w:t>
      </w:r>
      <w:r w:rsidRPr="005B4FD0">
        <w:rPr>
          <w:rFonts w:ascii="Palatino Linotype" w:hAnsi="Palatino Linotype"/>
        </w:rPr>
        <w:t>, Note 7.</w:t>
      </w:r>
    </w:p>
  </w:footnote>
  <w:footnote w:id="12">
    <w:p w14:paraId="73141C74" w14:textId="0CB51F5F" w:rsidR="00F35073" w:rsidRPr="005B4FD0" w:rsidRDefault="00F35073">
      <w:pPr>
        <w:pStyle w:val="FootnoteText"/>
        <w:rPr>
          <w:rFonts w:ascii="Palatino Linotype" w:hAnsi="Palatino Linotype"/>
        </w:rPr>
      </w:pPr>
      <w:r w:rsidRPr="005B4FD0">
        <w:rPr>
          <w:rStyle w:val="FootnoteReference"/>
          <w:rFonts w:ascii="Palatino Linotype" w:hAnsi="Palatino Linotype"/>
        </w:rPr>
        <w:footnoteRef/>
      </w:r>
      <w:r w:rsidRPr="005B4FD0">
        <w:rPr>
          <w:rFonts w:ascii="Palatino Linotype" w:hAnsi="Palatino Linotype"/>
        </w:rPr>
        <w:t xml:space="preserve"> Best Practice 10 of </w:t>
      </w:r>
      <w:r w:rsidR="00D271C9" w:rsidRPr="005B4FD0">
        <w:rPr>
          <w:rFonts w:ascii="Palatino Linotype" w:hAnsi="Palatino Linotype"/>
          <w:i/>
        </w:rPr>
        <w:t>Best Practices in Australian Clinical Legal Education</w:t>
      </w:r>
      <w:r w:rsidR="00D271C9" w:rsidRPr="005B4FD0">
        <w:rPr>
          <w:rFonts w:ascii="Palatino Linotype" w:hAnsi="Palatino Linotype"/>
        </w:rPr>
        <w:t xml:space="preserve">, </w:t>
      </w:r>
      <w:r w:rsidR="00D271C9" w:rsidRPr="005B4FD0">
        <w:rPr>
          <w:rFonts w:ascii="Palatino Linotype" w:hAnsi="Palatino Linotype"/>
          <w:i/>
        </w:rPr>
        <w:t>Final Report</w:t>
      </w:r>
      <w:r w:rsidR="00D271C9" w:rsidRPr="005B4FD0">
        <w:rPr>
          <w:rFonts w:ascii="Palatino Linotype" w:hAnsi="Palatino Linotype"/>
        </w:rPr>
        <w:t xml:space="preserve">, </w:t>
      </w:r>
      <w:r w:rsidRPr="005B4FD0">
        <w:rPr>
          <w:rFonts w:ascii="Palatino Linotype" w:hAnsi="Palatino Linotype"/>
        </w:rPr>
        <w:t xml:space="preserve">Clinic Design, 2012, </w:t>
      </w:r>
      <w:r w:rsidR="00AE0747" w:rsidRPr="005B4FD0">
        <w:rPr>
          <w:rFonts w:ascii="Palatino Linotype" w:hAnsi="Palatino Linotype"/>
        </w:rPr>
        <w:t>p 13</w:t>
      </w:r>
      <w:r w:rsidR="00D271C9" w:rsidRPr="005B4FD0">
        <w:rPr>
          <w:rFonts w:ascii="Palatino Linotype" w:hAnsi="Palatino Linotype"/>
        </w:rPr>
        <w:t xml:space="preserve"> at https://cald.asn.au/wp-content/uploads/2017/11/Best-Practices-Australian-Clinical-Legal-Education-Sept-2012.pdf.</w:t>
      </w:r>
    </w:p>
  </w:footnote>
  <w:footnote w:id="13">
    <w:p w14:paraId="69FB8325" w14:textId="479AC058" w:rsidR="00F35073" w:rsidRPr="005B4FD0" w:rsidRDefault="00F35073">
      <w:pPr>
        <w:pStyle w:val="FootnoteText"/>
        <w:rPr>
          <w:rFonts w:ascii="Palatino Linotype" w:hAnsi="Palatino Linotype"/>
        </w:rPr>
      </w:pPr>
      <w:r w:rsidRPr="005B4FD0">
        <w:rPr>
          <w:rStyle w:val="FootnoteReference"/>
          <w:rFonts w:ascii="Palatino Linotype" w:hAnsi="Palatino Linotype"/>
        </w:rPr>
        <w:footnoteRef/>
      </w:r>
      <w:r w:rsidRPr="005B4FD0">
        <w:rPr>
          <w:rFonts w:ascii="Palatino Linotype" w:hAnsi="Palatino Linotype"/>
        </w:rPr>
        <w:t xml:space="preserve"> See https://www.fsb-tcfd.org</w:t>
      </w:r>
    </w:p>
  </w:footnote>
  <w:footnote w:id="14">
    <w:p w14:paraId="642848E1" w14:textId="3ABDD8E3" w:rsidR="00F35073" w:rsidRPr="005B4FD0" w:rsidRDefault="00F35073">
      <w:pPr>
        <w:pStyle w:val="FootnoteText"/>
        <w:rPr>
          <w:rFonts w:ascii="Palatino Linotype" w:hAnsi="Palatino Linotype"/>
        </w:rPr>
      </w:pPr>
      <w:r w:rsidRPr="005B4FD0">
        <w:rPr>
          <w:rStyle w:val="FootnoteReference"/>
          <w:rFonts w:ascii="Palatino Linotype" w:hAnsi="Palatino Linotype"/>
        </w:rPr>
        <w:footnoteRef/>
      </w:r>
      <w:r w:rsidRPr="005B4FD0">
        <w:rPr>
          <w:rFonts w:ascii="Palatino Linotype" w:hAnsi="Palatino Linotype"/>
        </w:rPr>
        <w:t xml:space="preserve"> The Financial Stability Board is an international organisation headquartered in the UK, with a global responsibility to build resilience into financial organisations. Established in the aftermath of the 2008-09 global financial crisis, its mission has since broadened to include the wider and deeper threat posed to financial stability by climate change. See http://www.fsb.org/what-we-do </w:t>
      </w:r>
    </w:p>
  </w:footnote>
  <w:footnote w:id="15">
    <w:p w14:paraId="63417565" w14:textId="6A4DEBA4" w:rsidR="00F35073" w:rsidRPr="005B4FD0" w:rsidRDefault="00F35073">
      <w:pPr>
        <w:pStyle w:val="FootnoteText"/>
        <w:rPr>
          <w:rFonts w:ascii="Palatino Linotype" w:hAnsi="Palatino Linotype"/>
        </w:rPr>
      </w:pPr>
      <w:r w:rsidRPr="005B4FD0">
        <w:rPr>
          <w:rStyle w:val="FootnoteReference"/>
          <w:rFonts w:ascii="Palatino Linotype" w:hAnsi="Palatino Linotype"/>
        </w:rPr>
        <w:footnoteRef/>
      </w:r>
      <w:r w:rsidRPr="005B4FD0">
        <w:rPr>
          <w:rFonts w:ascii="Palatino Linotype" w:hAnsi="Palatino Linotype"/>
        </w:rPr>
        <w:t xml:space="preserve"> This concept was the brainchild of a Monash Professorial Fellow, Dr Bruce Dyer who, well before the TCFD emerged in 2016, persuaded his then firm </w:t>
      </w:r>
      <w:proofErr w:type="spellStart"/>
      <w:r w:rsidRPr="005B4FD0">
        <w:rPr>
          <w:rFonts w:ascii="Palatino Linotype" w:hAnsi="Palatino Linotype"/>
        </w:rPr>
        <w:t>Ashworths</w:t>
      </w:r>
      <w:proofErr w:type="spellEnd"/>
      <w:r w:rsidRPr="005B4FD0">
        <w:rPr>
          <w:rFonts w:ascii="Palatino Linotype" w:hAnsi="Palatino Linotype"/>
        </w:rPr>
        <w:t xml:space="preserve">, to develop an environmental audit as a pro bono service to its own clients, in the interests of their own corporate social responsibility. </w:t>
      </w:r>
      <w:r w:rsidR="00D271C9" w:rsidRPr="005B4FD0">
        <w:rPr>
          <w:rFonts w:ascii="Palatino Linotype" w:hAnsi="Palatino Linotype"/>
        </w:rPr>
        <w:t>This clinic continues now as an externship partnership with King &amp; Wood Mallesons. See https://www.monash.edu/law/home/cle/types-of-clinics.</w:t>
      </w:r>
    </w:p>
  </w:footnote>
  <w:footnote w:id="16">
    <w:p w14:paraId="7F93C884" w14:textId="08764B25" w:rsidR="00F35073" w:rsidRPr="005B4FD0" w:rsidRDefault="00F35073">
      <w:pPr>
        <w:pStyle w:val="FootnoteText"/>
        <w:rPr>
          <w:rFonts w:ascii="Palatino Linotype" w:hAnsi="Palatino Linotype"/>
        </w:rPr>
      </w:pPr>
      <w:r w:rsidRPr="005B4FD0">
        <w:rPr>
          <w:rStyle w:val="FootnoteReference"/>
          <w:rFonts w:ascii="Palatino Linotype" w:hAnsi="Palatino Linotype"/>
        </w:rPr>
        <w:footnoteRef/>
      </w:r>
      <w:r w:rsidRPr="005B4FD0">
        <w:rPr>
          <w:rFonts w:ascii="Palatino Linotype" w:hAnsi="Palatino Linotype"/>
        </w:rPr>
        <w:t xml:space="preserve"> Julien Vincent, ‘It’s Time Super Funds Came </w:t>
      </w:r>
      <w:proofErr w:type="gramStart"/>
      <w:r w:rsidRPr="005B4FD0">
        <w:rPr>
          <w:rFonts w:ascii="Palatino Linotype" w:hAnsi="Palatino Linotype"/>
        </w:rPr>
        <w:t>Clean</w:t>
      </w:r>
      <w:proofErr w:type="gramEnd"/>
      <w:r w:rsidRPr="005B4FD0">
        <w:rPr>
          <w:rFonts w:ascii="Palatino Linotype" w:hAnsi="Palatino Linotype"/>
        </w:rPr>
        <w:t xml:space="preserve">’, </w:t>
      </w:r>
      <w:r w:rsidRPr="005B4FD0">
        <w:rPr>
          <w:rFonts w:ascii="Palatino Linotype" w:hAnsi="Palatino Linotype"/>
          <w:i/>
        </w:rPr>
        <w:t>Business</w:t>
      </w:r>
      <w:r w:rsidRPr="005B4FD0">
        <w:rPr>
          <w:rFonts w:ascii="Palatino Linotype" w:hAnsi="Palatino Linotype"/>
        </w:rPr>
        <w:t xml:space="preserve">, </w:t>
      </w:r>
      <w:r w:rsidRPr="005B4FD0">
        <w:rPr>
          <w:rFonts w:ascii="Palatino Linotype" w:hAnsi="Palatino Linotype"/>
          <w:i/>
        </w:rPr>
        <w:t>The Age</w:t>
      </w:r>
      <w:r w:rsidRPr="005B4FD0">
        <w:rPr>
          <w:rFonts w:ascii="Palatino Linotype" w:hAnsi="Palatino Linotype"/>
        </w:rPr>
        <w:t>, 2 August 2018, pp23-24.</w:t>
      </w:r>
    </w:p>
  </w:footnote>
  <w:footnote w:id="17">
    <w:p w14:paraId="5B644F68" w14:textId="50FB761D" w:rsidR="00F35073" w:rsidRPr="005B4FD0" w:rsidRDefault="00F35073" w:rsidP="00AA0C51">
      <w:pPr>
        <w:pStyle w:val="Default"/>
        <w:rPr>
          <w:rFonts w:ascii="Palatino Linotype" w:hAnsi="Palatino Linotype" w:cstheme="minorHAnsi"/>
          <w:sz w:val="20"/>
          <w:szCs w:val="20"/>
        </w:rPr>
      </w:pPr>
      <w:r w:rsidRPr="005B4FD0">
        <w:rPr>
          <w:rStyle w:val="FootnoteReference"/>
          <w:rFonts w:ascii="Palatino Linotype" w:hAnsi="Palatino Linotype" w:cstheme="minorHAnsi"/>
          <w:sz w:val="20"/>
          <w:szCs w:val="20"/>
        </w:rPr>
        <w:footnoteRef/>
      </w:r>
      <w:r w:rsidRPr="005B4FD0">
        <w:rPr>
          <w:rFonts w:ascii="Palatino Linotype" w:hAnsi="Palatino Linotype" w:cstheme="minorHAnsi"/>
          <w:sz w:val="20"/>
          <w:szCs w:val="20"/>
        </w:rPr>
        <w:t xml:space="preserve"> Mark Loth, ‘Too Big to Trial</w:t>
      </w:r>
      <w:proofErr w:type="gramStart"/>
      <w:r w:rsidRPr="005B4FD0">
        <w:rPr>
          <w:rFonts w:ascii="Palatino Linotype" w:hAnsi="Palatino Linotype" w:cstheme="minorHAnsi"/>
          <w:sz w:val="20"/>
          <w:szCs w:val="20"/>
        </w:rPr>
        <w:t>?:</w:t>
      </w:r>
      <w:proofErr w:type="gramEnd"/>
      <w:r w:rsidRPr="005B4FD0">
        <w:rPr>
          <w:rFonts w:ascii="Palatino Linotype" w:hAnsi="Palatino Linotype" w:cstheme="minorHAnsi"/>
          <w:sz w:val="20"/>
          <w:szCs w:val="20"/>
        </w:rPr>
        <w:t xml:space="preserve"> Lessons from the </w:t>
      </w:r>
      <w:proofErr w:type="spellStart"/>
      <w:r w:rsidRPr="005B4FD0">
        <w:rPr>
          <w:rFonts w:ascii="Palatino Linotype" w:hAnsi="Palatino Linotype" w:cstheme="minorHAnsi"/>
          <w:sz w:val="20"/>
          <w:szCs w:val="20"/>
        </w:rPr>
        <w:t>Urgenda</w:t>
      </w:r>
      <w:proofErr w:type="spellEnd"/>
      <w:r w:rsidRPr="005B4FD0">
        <w:rPr>
          <w:rFonts w:ascii="Palatino Linotype" w:hAnsi="Palatino Linotype" w:cstheme="minorHAnsi"/>
          <w:sz w:val="20"/>
          <w:szCs w:val="20"/>
        </w:rPr>
        <w:t xml:space="preserve"> case,’  Tilburg Private Law Working Paper Series, No. 02/2018, at  https://ssrn.com/abstract=3130614.</w:t>
      </w:r>
    </w:p>
  </w:footnote>
  <w:footnote w:id="18">
    <w:p w14:paraId="3E8C18C1" w14:textId="2B64B188" w:rsidR="00F35073" w:rsidRPr="005B4FD0" w:rsidRDefault="00F35073">
      <w:pPr>
        <w:pStyle w:val="FootnoteText"/>
        <w:rPr>
          <w:rFonts w:ascii="Palatino Linotype" w:hAnsi="Palatino Linotype"/>
        </w:rPr>
      </w:pPr>
      <w:r w:rsidRPr="005B4FD0">
        <w:rPr>
          <w:rStyle w:val="FootnoteReference"/>
          <w:rFonts w:ascii="Palatino Linotype" w:hAnsi="Palatino Linotype"/>
        </w:rPr>
        <w:footnoteRef/>
      </w:r>
      <w:r w:rsidRPr="005B4FD0">
        <w:rPr>
          <w:rFonts w:ascii="Palatino Linotype" w:hAnsi="Palatino Linotype"/>
        </w:rPr>
        <w:t xml:space="preserve"> See Climate Case Explained, at http://www.urgenda.nl/en/themas/climate-case/climate-case-explained. </w:t>
      </w:r>
    </w:p>
  </w:footnote>
  <w:footnote w:id="19">
    <w:p w14:paraId="754764F4" w14:textId="55931425" w:rsidR="003F25D7" w:rsidRPr="005B4FD0" w:rsidRDefault="003F25D7">
      <w:pPr>
        <w:pStyle w:val="FootnoteText"/>
        <w:rPr>
          <w:rFonts w:ascii="Palatino Linotype" w:hAnsi="Palatino Linotype"/>
          <w:lang w:val="en-US"/>
        </w:rPr>
      </w:pPr>
      <w:r w:rsidRPr="005B4FD0">
        <w:rPr>
          <w:rStyle w:val="FootnoteReference"/>
          <w:rFonts w:ascii="Palatino Linotype" w:hAnsi="Palatino Linotype"/>
        </w:rPr>
        <w:footnoteRef/>
      </w:r>
      <w:r w:rsidRPr="005B4FD0">
        <w:rPr>
          <w:rFonts w:ascii="Palatino Linotype" w:hAnsi="Palatino Linotype"/>
        </w:rPr>
        <w:t xml:space="preserve"> </w:t>
      </w:r>
      <w:r w:rsidRPr="005B4FD0">
        <w:rPr>
          <w:rFonts w:ascii="Palatino Linotype" w:hAnsi="Palatino Linotype"/>
          <w:lang w:val="en-US"/>
        </w:rPr>
        <w:t xml:space="preserve">Arthur </w:t>
      </w:r>
      <w:proofErr w:type="spellStart"/>
      <w:r w:rsidRPr="005B4FD0">
        <w:rPr>
          <w:rFonts w:ascii="Palatino Linotype" w:hAnsi="Palatino Linotype"/>
          <w:lang w:val="en-US"/>
        </w:rPr>
        <w:t>Neslen</w:t>
      </w:r>
      <w:proofErr w:type="spellEnd"/>
      <w:r w:rsidRPr="005B4FD0">
        <w:rPr>
          <w:rFonts w:ascii="Palatino Linotype" w:hAnsi="Palatino Linotype"/>
          <w:lang w:val="en-US"/>
        </w:rPr>
        <w:t>, ‘</w:t>
      </w:r>
      <w:r w:rsidRPr="005B4FD0">
        <w:rPr>
          <w:rFonts w:ascii="Palatino Linotype" w:hAnsi="Palatino Linotype" w:cstheme="minorHAnsi"/>
        </w:rPr>
        <w:t xml:space="preserve">Dutch appeals court upholds landmark climate change ruling’, The Guardian, 10 October 2018, at </w:t>
      </w:r>
      <w:hyperlink r:id="rId3" w:history="1">
        <w:r w:rsidR="00D031A4" w:rsidRPr="005B4FD0">
          <w:rPr>
            <w:rStyle w:val="Hyperlink"/>
            <w:rFonts w:ascii="Palatino Linotype" w:hAnsi="Palatino Linotype" w:cstheme="minorHAnsi"/>
            <w:color w:val="auto"/>
          </w:rPr>
          <w:t>https://www.theguardian.com/environment/2018/oct/09/dutch-appeals-court-upholds-landmark-climate-change-ruling</w:t>
        </w:r>
      </w:hyperlink>
      <w:r w:rsidR="00D031A4" w:rsidRPr="005B4FD0">
        <w:rPr>
          <w:rFonts w:ascii="Palatino Linotype" w:hAnsi="Palatino Linotype" w:cstheme="minorHAnsi"/>
        </w:rPr>
        <w:t xml:space="preserve">. See also </w:t>
      </w:r>
      <w:proofErr w:type="spellStart"/>
      <w:r w:rsidR="00D031A4" w:rsidRPr="005B4FD0">
        <w:rPr>
          <w:rFonts w:ascii="Palatino Linotype" w:hAnsi="Palatino Linotype" w:cstheme="minorHAnsi"/>
          <w:i/>
        </w:rPr>
        <w:t>Urgenda</w:t>
      </w:r>
      <w:proofErr w:type="spellEnd"/>
      <w:r w:rsidR="00D031A4" w:rsidRPr="005B4FD0">
        <w:rPr>
          <w:rFonts w:ascii="Palatino Linotype" w:hAnsi="Palatino Linotype" w:cstheme="minorHAnsi"/>
          <w:i/>
        </w:rPr>
        <w:t xml:space="preserve"> Foundation v The State of the Netherlands</w:t>
      </w:r>
      <w:r w:rsidR="00D031A4" w:rsidRPr="005B4FD0">
        <w:rPr>
          <w:rFonts w:ascii="Palatino Linotype" w:hAnsi="Palatino Linotype" w:cstheme="minorHAnsi"/>
        </w:rPr>
        <w:t>, C/09/456689/HA ZA 13-1396 (24 June 2015), at https://www.elaw.org/nl.urgenda.15</w:t>
      </w:r>
    </w:p>
  </w:footnote>
  <w:footnote w:id="20">
    <w:p w14:paraId="2F8E6784" w14:textId="7420A3B3" w:rsidR="00F35073" w:rsidRPr="005B4FD0" w:rsidRDefault="00F35073" w:rsidP="00F97DB9">
      <w:pPr>
        <w:pStyle w:val="Heading1"/>
        <w:spacing w:before="0" w:line="240" w:lineRule="auto"/>
        <w:rPr>
          <w:rFonts w:ascii="Palatino Linotype" w:hAnsi="Palatino Linotype" w:cstheme="minorHAnsi"/>
          <w:b w:val="0"/>
          <w:color w:val="auto"/>
          <w:sz w:val="20"/>
          <w:szCs w:val="20"/>
        </w:rPr>
      </w:pPr>
      <w:r w:rsidRPr="005B4FD0">
        <w:rPr>
          <w:rStyle w:val="FootnoteReference"/>
          <w:rFonts w:ascii="Palatino Linotype" w:hAnsi="Palatino Linotype" w:cstheme="minorHAnsi"/>
          <w:b w:val="0"/>
          <w:color w:val="auto"/>
          <w:sz w:val="20"/>
          <w:szCs w:val="20"/>
        </w:rPr>
        <w:footnoteRef/>
      </w:r>
      <w:r w:rsidRPr="005B4FD0">
        <w:rPr>
          <w:rFonts w:ascii="Palatino Linotype" w:hAnsi="Palatino Linotype" w:cstheme="minorHAnsi"/>
          <w:b w:val="0"/>
          <w:color w:val="auto"/>
          <w:sz w:val="20"/>
          <w:szCs w:val="20"/>
        </w:rPr>
        <w:t xml:space="preserve"> </w:t>
      </w:r>
      <w:hyperlink r:id="rId4" w:tgtFrame="_self" w:history="1">
        <w:r w:rsidRPr="005B4FD0">
          <w:rPr>
            <w:rStyle w:val="Hyperlink"/>
            <w:rFonts w:ascii="Palatino Linotype" w:hAnsi="Palatino Linotype" w:cstheme="minorHAnsi"/>
            <w:b w:val="0"/>
            <w:color w:val="auto"/>
            <w:sz w:val="20"/>
            <w:szCs w:val="20"/>
            <w:u w:val="none"/>
          </w:rPr>
          <w:t>Malcolm Sutton</w:t>
        </w:r>
      </w:hyperlink>
      <w:r w:rsidRPr="005B4FD0">
        <w:rPr>
          <w:rFonts w:ascii="Palatino Linotype" w:hAnsi="Palatino Linotype" w:cstheme="minorHAnsi"/>
          <w:b w:val="0"/>
          <w:color w:val="auto"/>
          <w:sz w:val="20"/>
          <w:szCs w:val="20"/>
        </w:rPr>
        <w:t xml:space="preserve">, </w:t>
      </w:r>
      <w:r w:rsidRPr="005B4FD0">
        <w:rPr>
          <w:rStyle w:val="BulletlistChar"/>
          <w:rFonts w:ascii="Palatino Linotype" w:hAnsi="Palatino Linotype"/>
          <w:b w:val="0"/>
          <w:sz w:val="20"/>
          <w:szCs w:val="20"/>
        </w:rPr>
        <w:t>‘Climate change litigation rising with the seas as victims revert to 'Plan B'’</w:t>
      </w:r>
      <w:r w:rsidRPr="005B4FD0">
        <w:rPr>
          <w:rFonts w:ascii="Palatino Linotype" w:hAnsi="Palatino Linotype" w:cstheme="minorHAnsi"/>
          <w:b w:val="0"/>
          <w:color w:val="auto"/>
          <w:spacing w:val="-15"/>
          <w:sz w:val="20"/>
          <w:szCs w:val="20"/>
        </w:rPr>
        <w:t xml:space="preserve">, </w:t>
      </w:r>
      <w:r w:rsidR="00FA5077" w:rsidRPr="005B4FD0">
        <w:rPr>
          <w:rFonts w:ascii="Palatino Linotype" w:hAnsi="Palatino Linotype" w:cstheme="minorHAnsi"/>
          <w:b w:val="0"/>
          <w:color w:val="auto"/>
          <w:spacing w:val="-15"/>
          <w:sz w:val="20"/>
          <w:szCs w:val="20"/>
        </w:rPr>
        <w:t xml:space="preserve"> </w:t>
      </w:r>
      <w:hyperlink r:id="rId5" w:history="1">
        <w:r w:rsidRPr="005B4FD0">
          <w:rPr>
            <w:rStyle w:val="Hyperlink"/>
            <w:rFonts w:ascii="Palatino Linotype" w:hAnsi="Palatino Linotype" w:cstheme="minorHAnsi"/>
            <w:b w:val="0"/>
            <w:bCs w:val="0"/>
            <w:color w:val="auto"/>
            <w:sz w:val="20"/>
            <w:szCs w:val="20"/>
            <w:u w:val="none"/>
          </w:rPr>
          <w:t>ABC Radio Adelaide</w:t>
        </w:r>
      </w:hyperlink>
      <w:r w:rsidRPr="005B4FD0">
        <w:rPr>
          <w:rFonts w:ascii="Palatino Linotype" w:hAnsi="Palatino Linotype" w:cstheme="minorHAnsi"/>
          <w:b w:val="0"/>
          <w:color w:val="auto"/>
          <w:sz w:val="20"/>
          <w:szCs w:val="20"/>
        </w:rPr>
        <w:t xml:space="preserve">, 10 April 2018, at </w:t>
      </w:r>
      <w:hyperlink r:id="rId6" w:history="1">
        <w:r w:rsidRPr="005B4FD0">
          <w:rPr>
            <w:rStyle w:val="Hyperlink"/>
            <w:rFonts w:ascii="Palatino Linotype" w:hAnsi="Palatino Linotype" w:cstheme="minorHAnsi"/>
            <w:b w:val="0"/>
            <w:color w:val="auto"/>
            <w:sz w:val="20"/>
            <w:szCs w:val="20"/>
            <w:u w:val="none"/>
          </w:rPr>
          <w:t>http://www.abc.net.au/news/2018-04-10/climate-change-litigation-rising-with-the-seas-plan-b/9627870</w:t>
        </w:r>
      </w:hyperlink>
      <w:r w:rsidRPr="005B4FD0">
        <w:rPr>
          <w:rFonts w:ascii="Palatino Linotype" w:hAnsi="Palatino Linotype" w:cstheme="minorHAnsi"/>
          <w:b w:val="0"/>
          <w:color w:val="auto"/>
          <w:sz w:val="20"/>
          <w:szCs w:val="20"/>
        </w:rPr>
        <w:t xml:space="preserve">. The action is listed for late 2018 and is listed as </w:t>
      </w:r>
      <w:r w:rsidRPr="005B4FD0">
        <w:rPr>
          <w:rFonts w:ascii="Palatino Linotype" w:hAnsi="Palatino Linotype" w:cstheme="minorHAnsi"/>
          <w:b w:val="0"/>
          <w:i/>
          <w:color w:val="auto"/>
          <w:sz w:val="20"/>
          <w:szCs w:val="20"/>
        </w:rPr>
        <w:t>United States</w:t>
      </w:r>
      <w:r w:rsidRPr="005B4FD0">
        <w:rPr>
          <w:rFonts w:ascii="Palatino Linotype" w:hAnsi="Palatino Linotype" w:cstheme="minorHAnsi"/>
          <w:b w:val="0"/>
          <w:color w:val="auto"/>
          <w:sz w:val="20"/>
          <w:szCs w:val="20"/>
        </w:rPr>
        <w:t xml:space="preserve"> v. </w:t>
      </w:r>
      <w:r w:rsidRPr="005B4FD0">
        <w:rPr>
          <w:rFonts w:ascii="Palatino Linotype" w:hAnsi="Palatino Linotype" w:cstheme="minorHAnsi"/>
          <w:b w:val="0"/>
          <w:i/>
          <w:color w:val="auto"/>
          <w:sz w:val="20"/>
          <w:szCs w:val="20"/>
        </w:rPr>
        <w:t>U.S. District Court for the District of Oregon, 18A65</w:t>
      </w:r>
      <w:r w:rsidRPr="005B4FD0">
        <w:rPr>
          <w:rFonts w:ascii="Palatino Linotype" w:hAnsi="Palatino Linotype" w:cstheme="minorHAnsi"/>
          <w:color w:val="auto"/>
          <w:sz w:val="20"/>
          <w:szCs w:val="20"/>
        </w:rPr>
        <w:t>.</w:t>
      </w:r>
    </w:p>
  </w:footnote>
  <w:footnote w:id="21">
    <w:p w14:paraId="7E810ED3" w14:textId="77777777" w:rsidR="00F35073" w:rsidRPr="005B4FD0" w:rsidRDefault="00F35073" w:rsidP="00F97DB9">
      <w:pPr>
        <w:pStyle w:val="FootnoteText"/>
        <w:rPr>
          <w:rFonts w:ascii="Palatino Linotype" w:hAnsi="Palatino Linotype"/>
        </w:rPr>
      </w:pPr>
      <w:r w:rsidRPr="005B4FD0">
        <w:rPr>
          <w:rStyle w:val="FootnoteReference"/>
          <w:rFonts w:ascii="Palatino Linotype" w:hAnsi="Palatino Linotype"/>
        </w:rPr>
        <w:footnoteRef/>
      </w:r>
      <w:r w:rsidRPr="005B4FD0">
        <w:rPr>
          <w:rFonts w:ascii="Palatino Linotype" w:hAnsi="Palatino Linotype"/>
        </w:rPr>
        <w:t xml:space="preserve"> See http://www.urgenda.nl/en/themas/climate-case/global-climate-litigation.</w:t>
      </w:r>
    </w:p>
  </w:footnote>
  <w:footnote w:id="22">
    <w:p w14:paraId="266DE73F" w14:textId="5D7BABBC" w:rsidR="00306537" w:rsidRPr="005B4FD0" w:rsidRDefault="00306537">
      <w:pPr>
        <w:pStyle w:val="FootnoteText"/>
        <w:rPr>
          <w:rFonts w:ascii="Palatino Linotype" w:hAnsi="Palatino Linotype"/>
        </w:rPr>
      </w:pPr>
      <w:r w:rsidRPr="005B4FD0">
        <w:rPr>
          <w:rStyle w:val="FootnoteReference"/>
          <w:rFonts w:ascii="Palatino Linotype" w:hAnsi="Palatino Linotype"/>
        </w:rPr>
        <w:footnoteRef/>
      </w:r>
      <w:r w:rsidRPr="005B4FD0">
        <w:rPr>
          <w:rFonts w:ascii="Palatino Linotype" w:hAnsi="Palatino Linotype"/>
        </w:rPr>
        <w:t xml:space="preserve"> The state of play of global climate change law is increasingly accessible. See for example </w:t>
      </w:r>
      <w:r w:rsidR="00ED4F35" w:rsidRPr="005B4FD0">
        <w:rPr>
          <w:rFonts w:ascii="Palatino Linotype" w:hAnsi="Palatino Linotype" w:cstheme="minorHAnsi"/>
        </w:rPr>
        <w:t>Daniel A. Farber</w:t>
      </w:r>
      <w:r w:rsidRPr="005B4FD0">
        <w:rPr>
          <w:rFonts w:ascii="Palatino Linotype" w:hAnsi="Palatino Linotype" w:cstheme="minorHAnsi"/>
        </w:rPr>
        <w:t xml:space="preserve"> and </w:t>
      </w:r>
      <w:proofErr w:type="spellStart"/>
      <w:r w:rsidRPr="005B4FD0">
        <w:rPr>
          <w:rFonts w:ascii="Palatino Linotype" w:hAnsi="Palatino Linotype" w:cstheme="minorHAnsi"/>
        </w:rPr>
        <w:t>Marjan</w:t>
      </w:r>
      <w:proofErr w:type="spellEnd"/>
      <w:r w:rsidRPr="005B4FD0">
        <w:rPr>
          <w:rFonts w:ascii="Palatino Linotype" w:hAnsi="Palatino Linotype" w:cstheme="minorHAnsi"/>
        </w:rPr>
        <w:t xml:space="preserve"> </w:t>
      </w:r>
      <w:proofErr w:type="spellStart"/>
      <w:r w:rsidRPr="005B4FD0">
        <w:rPr>
          <w:rFonts w:ascii="Palatino Linotype" w:hAnsi="Palatino Linotype" w:cstheme="minorHAnsi"/>
        </w:rPr>
        <w:t>Peeters</w:t>
      </w:r>
      <w:proofErr w:type="spellEnd"/>
      <w:r w:rsidRPr="005B4FD0">
        <w:rPr>
          <w:rFonts w:ascii="Palatino Linotype" w:hAnsi="Palatino Linotype" w:cstheme="minorHAnsi"/>
        </w:rPr>
        <w:t xml:space="preserve"> (</w:t>
      </w:r>
      <w:proofErr w:type="spellStart"/>
      <w:proofErr w:type="gramStart"/>
      <w:r w:rsidRPr="005B4FD0">
        <w:rPr>
          <w:rFonts w:ascii="Palatino Linotype" w:hAnsi="Palatino Linotype" w:cstheme="minorHAnsi"/>
        </w:rPr>
        <w:t>eds</w:t>
      </w:r>
      <w:proofErr w:type="spellEnd"/>
      <w:proofErr w:type="gramEnd"/>
      <w:r w:rsidRPr="005B4FD0">
        <w:rPr>
          <w:rFonts w:ascii="Palatino Linotype" w:hAnsi="Palatino Linotype" w:cstheme="minorHAnsi"/>
        </w:rPr>
        <w:t xml:space="preserve">), </w:t>
      </w:r>
      <w:r w:rsidRPr="005B4FD0">
        <w:rPr>
          <w:rFonts w:ascii="Palatino Linotype" w:hAnsi="Palatino Linotype" w:cstheme="minorHAnsi"/>
          <w:i/>
        </w:rPr>
        <w:t>Climate Change L</w:t>
      </w:r>
      <w:r w:rsidR="00ED4F35" w:rsidRPr="005B4FD0">
        <w:rPr>
          <w:rFonts w:ascii="Palatino Linotype" w:hAnsi="Palatino Linotype" w:cstheme="minorHAnsi"/>
          <w:i/>
        </w:rPr>
        <w:t>aw</w:t>
      </w:r>
      <w:r w:rsidRPr="005B4FD0">
        <w:rPr>
          <w:rFonts w:ascii="Palatino Linotype" w:hAnsi="Palatino Linotype" w:cstheme="minorHAnsi"/>
        </w:rPr>
        <w:t>, Edward Elgar,</w:t>
      </w:r>
      <w:r w:rsidR="00ED4F35" w:rsidRPr="005B4FD0">
        <w:rPr>
          <w:rFonts w:ascii="Palatino Linotype" w:hAnsi="Palatino Linotype"/>
        </w:rPr>
        <w:t xml:space="preserve"> 2016.</w:t>
      </w:r>
      <w:r w:rsidRPr="005B4FD0">
        <w:rPr>
          <w:rFonts w:ascii="Palatino Linotype" w:hAnsi="Palatino Linotype"/>
        </w:rPr>
        <w:t xml:space="preserve">  </w:t>
      </w:r>
    </w:p>
  </w:footnote>
  <w:footnote w:id="23">
    <w:p w14:paraId="6349521D" w14:textId="64B02043" w:rsidR="00F35073" w:rsidRPr="005B4FD0" w:rsidRDefault="00F35073">
      <w:pPr>
        <w:pStyle w:val="FootnoteText"/>
        <w:rPr>
          <w:rFonts w:ascii="Palatino Linotype" w:hAnsi="Palatino Linotype"/>
        </w:rPr>
      </w:pPr>
      <w:r w:rsidRPr="005B4FD0">
        <w:rPr>
          <w:rStyle w:val="FootnoteReference"/>
          <w:rFonts w:ascii="Palatino Linotype" w:hAnsi="Palatino Linotype"/>
        </w:rPr>
        <w:footnoteRef/>
      </w:r>
      <w:r w:rsidRPr="005B4FD0">
        <w:rPr>
          <w:rFonts w:ascii="Palatino Linotype" w:hAnsi="Palatino Linotype"/>
        </w:rPr>
        <w:t xml:space="preserve"> See Adrian Evans, ‘The Climate for Whistle Blowing’, </w:t>
      </w:r>
      <w:proofErr w:type="gramStart"/>
      <w:r w:rsidRPr="005B4FD0">
        <w:rPr>
          <w:rFonts w:ascii="Palatino Linotype" w:hAnsi="Palatino Linotype"/>
        </w:rPr>
        <w:t>Winter</w:t>
      </w:r>
      <w:proofErr w:type="gramEnd"/>
      <w:r w:rsidRPr="005B4FD0">
        <w:rPr>
          <w:rFonts w:ascii="Palatino Linotype" w:hAnsi="Palatino Linotype"/>
        </w:rPr>
        <w:t xml:space="preserve"> 2017, 27(2) </w:t>
      </w:r>
      <w:r w:rsidRPr="005B4FD0">
        <w:rPr>
          <w:rFonts w:ascii="Palatino Linotype" w:hAnsi="Palatino Linotype"/>
          <w:i/>
        </w:rPr>
        <w:t>The Australian Corporate Lawyer</w:t>
      </w:r>
      <w:r w:rsidRPr="005B4FD0">
        <w:rPr>
          <w:rFonts w:ascii="Palatino Linotype" w:hAnsi="Palatino Linotype"/>
        </w:rPr>
        <w:t xml:space="preserve"> 34, citing </w:t>
      </w:r>
      <w:r w:rsidR="005E147B" w:rsidRPr="005B4FD0">
        <w:rPr>
          <w:rFonts w:ascii="Palatino Linotype" w:hAnsi="Palatino Linotype"/>
        </w:rPr>
        <w:t xml:space="preserve">Anita </w:t>
      </w:r>
      <w:proofErr w:type="spellStart"/>
      <w:r w:rsidR="005E147B" w:rsidRPr="005B4FD0">
        <w:rPr>
          <w:rFonts w:ascii="Palatino Linotype" w:hAnsi="Palatino Linotype"/>
        </w:rPr>
        <w:t>Foerster</w:t>
      </w:r>
      <w:proofErr w:type="spellEnd"/>
      <w:r w:rsidR="005E147B" w:rsidRPr="005B4FD0">
        <w:rPr>
          <w:rFonts w:ascii="Palatino Linotype" w:hAnsi="Palatino Linotype"/>
        </w:rPr>
        <w:t xml:space="preserve">, Hari </w:t>
      </w:r>
      <w:proofErr w:type="spellStart"/>
      <w:r w:rsidR="005E147B" w:rsidRPr="005B4FD0">
        <w:rPr>
          <w:rFonts w:ascii="Palatino Linotype" w:hAnsi="Palatino Linotype"/>
        </w:rPr>
        <w:t>Osofsky</w:t>
      </w:r>
      <w:proofErr w:type="spellEnd"/>
      <w:r w:rsidR="005E147B" w:rsidRPr="005B4FD0">
        <w:rPr>
          <w:rFonts w:ascii="Palatino Linotype" w:hAnsi="Palatino Linotype"/>
        </w:rPr>
        <w:t xml:space="preserve"> and Jacqueline Peel, </w:t>
      </w:r>
      <w:r w:rsidR="005E147B" w:rsidRPr="005B4FD0">
        <w:rPr>
          <w:rFonts w:ascii="Palatino Linotype" w:hAnsi="Palatino Linotype"/>
          <w:i/>
        </w:rPr>
        <w:t>Shaping the Next Generation of Australian Climate Litigation</w:t>
      </w:r>
      <w:r w:rsidR="005E147B" w:rsidRPr="005B4FD0">
        <w:rPr>
          <w:rFonts w:ascii="Palatino Linotype" w:hAnsi="Palatino Linotype"/>
        </w:rPr>
        <w:t>, Report on a Melbourne Law School Workshop, 17 November, 2016 (unpublished).</w:t>
      </w:r>
      <w:r w:rsidRPr="005B4FD0">
        <w:rPr>
          <w:rFonts w:ascii="Palatino Linotype" w:hAnsi="Palatino Linotype"/>
        </w:rPr>
        <w:t xml:space="preserve"> </w:t>
      </w:r>
    </w:p>
  </w:footnote>
  <w:footnote w:id="24">
    <w:p w14:paraId="11DF1752" w14:textId="77777777" w:rsidR="0008532F" w:rsidRPr="005B4FD0" w:rsidRDefault="0008532F" w:rsidP="0008532F">
      <w:pPr>
        <w:pStyle w:val="FootnoteText"/>
        <w:rPr>
          <w:rFonts w:ascii="Palatino Linotype" w:hAnsi="Palatino Linotype"/>
        </w:rPr>
      </w:pPr>
      <w:r w:rsidRPr="005B4FD0">
        <w:rPr>
          <w:rStyle w:val="FootnoteReference"/>
          <w:rFonts w:ascii="Palatino Linotype" w:hAnsi="Palatino Linotype"/>
        </w:rPr>
        <w:footnoteRef/>
      </w:r>
      <w:r w:rsidRPr="005B4FD0">
        <w:rPr>
          <w:rFonts w:ascii="Palatino Linotype" w:hAnsi="Palatino Linotype"/>
        </w:rPr>
        <w:t xml:space="preserve"> See Evans </w:t>
      </w:r>
      <w:r w:rsidRPr="005B4FD0">
        <w:rPr>
          <w:rFonts w:ascii="Palatino Linotype" w:hAnsi="Palatino Linotype"/>
          <w:i/>
        </w:rPr>
        <w:t>et al</w:t>
      </w:r>
      <w:r w:rsidRPr="005B4FD0">
        <w:rPr>
          <w:rFonts w:ascii="Palatino Linotype" w:hAnsi="Palatino Linotype"/>
        </w:rPr>
        <w:t xml:space="preserve">, Note7, </w:t>
      </w:r>
      <w:proofErr w:type="spellStart"/>
      <w:r w:rsidRPr="005B4FD0">
        <w:rPr>
          <w:rFonts w:ascii="Palatino Linotype" w:hAnsi="Palatino Linotype"/>
        </w:rPr>
        <w:t>Ch</w:t>
      </w:r>
      <w:proofErr w:type="spellEnd"/>
      <w:r w:rsidRPr="005B4FD0">
        <w:rPr>
          <w:rFonts w:ascii="Palatino Linotype" w:hAnsi="Palatino Linotype"/>
        </w:rPr>
        <w:t xml:space="preserve"> 9 Resourcing live client clinics, pp 203-207.</w:t>
      </w:r>
    </w:p>
  </w:footnote>
  <w:footnote w:id="25">
    <w:p w14:paraId="368E677A" w14:textId="6CFFCD12" w:rsidR="0008532F" w:rsidRPr="005B4FD0" w:rsidRDefault="0008532F" w:rsidP="0008532F">
      <w:pPr>
        <w:pStyle w:val="FootnoteText"/>
        <w:rPr>
          <w:rFonts w:ascii="Palatino Linotype" w:hAnsi="Palatino Linotype"/>
        </w:rPr>
      </w:pPr>
      <w:r w:rsidRPr="005B4FD0">
        <w:rPr>
          <w:rStyle w:val="FootnoteReference"/>
          <w:rFonts w:ascii="Palatino Linotype" w:hAnsi="Palatino Linotype"/>
        </w:rPr>
        <w:footnoteRef/>
      </w:r>
      <w:r w:rsidRPr="005B4FD0">
        <w:rPr>
          <w:rFonts w:ascii="Palatino Linotype" w:hAnsi="Palatino Linotype"/>
        </w:rPr>
        <w:t xml:space="preserve"> </w:t>
      </w:r>
      <w:r w:rsidR="008508F3" w:rsidRPr="005B4FD0">
        <w:rPr>
          <w:rFonts w:ascii="Palatino Linotype" w:hAnsi="Palatino Linotype"/>
        </w:rPr>
        <w:t>Kingsford Legal Centre-UNSW for example, has a staff solicitor position seconded from Herbert Smith Freehills. See http://www.klc.unsw.edu.au/about-us/klc-staff.</w:t>
      </w:r>
    </w:p>
  </w:footnote>
  <w:footnote w:id="26">
    <w:p w14:paraId="4767A952" w14:textId="7D80A126" w:rsidR="00F35073" w:rsidRPr="005B4FD0" w:rsidRDefault="00F35073" w:rsidP="00063AA2">
      <w:pPr>
        <w:pStyle w:val="FootnoteText"/>
        <w:rPr>
          <w:rFonts w:ascii="Palatino Linotype" w:hAnsi="Palatino Linotype"/>
        </w:rPr>
      </w:pPr>
      <w:r w:rsidRPr="005B4FD0">
        <w:rPr>
          <w:rStyle w:val="FootnoteReference"/>
          <w:rFonts w:ascii="Palatino Linotype" w:hAnsi="Palatino Linotype"/>
        </w:rPr>
        <w:footnoteRef/>
      </w:r>
      <w:r w:rsidRPr="005B4FD0">
        <w:rPr>
          <w:rFonts w:ascii="Palatino Linotype" w:hAnsi="Palatino Linotype"/>
        </w:rPr>
        <w:t xml:space="preserve"> As for example (in the Australian context), in the Mabo litigation of the early 1990s, when the then utterly contentious concept of Native Title was developed by the High Court of Australia.  See </w:t>
      </w:r>
      <w:r w:rsidRPr="005B4FD0">
        <w:rPr>
          <w:rFonts w:ascii="Palatino Linotype" w:hAnsi="Palatino Linotype" w:cstheme="minorHAnsi"/>
          <w:i/>
        </w:rPr>
        <w:t>Mabo and Others</w:t>
      </w:r>
      <w:r w:rsidRPr="005B4FD0">
        <w:rPr>
          <w:rFonts w:ascii="Palatino Linotype" w:hAnsi="Palatino Linotype" w:cstheme="minorHAnsi"/>
        </w:rPr>
        <w:t xml:space="preserve"> v </w:t>
      </w:r>
      <w:r w:rsidRPr="005B4FD0">
        <w:rPr>
          <w:rFonts w:ascii="Palatino Linotype" w:hAnsi="Palatino Linotype" w:cstheme="minorHAnsi"/>
          <w:i/>
        </w:rPr>
        <w:t xml:space="preserve">Queensland </w:t>
      </w:r>
      <w:r w:rsidRPr="005B4FD0">
        <w:rPr>
          <w:rFonts w:ascii="Palatino Linotype" w:hAnsi="Palatino Linotype" w:cstheme="minorHAnsi"/>
        </w:rPr>
        <w:t>(1992) HCA 175 CLR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AEBD2" w14:textId="51878627" w:rsidR="005B4FD0" w:rsidRPr="005B4FD0" w:rsidRDefault="005B4FD0">
    <w:pPr>
      <w:pStyle w:val="Header"/>
      <w:rPr>
        <w:rFonts w:ascii="Palatino Linotype" w:hAnsi="Palatino Linotype"/>
        <w:i/>
      </w:rPr>
    </w:pPr>
    <w:r w:rsidRPr="005B4FD0">
      <w:rPr>
        <w:rFonts w:ascii="Palatino Linotype" w:hAnsi="Palatino Linotype"/>
        <w:i/>
      </w:rPr>
      <w:t>Reviewed Article – Clinic, the University and Society</w:t>
    </w:r>
  </w:p>
  <w:p w14:paraId="15E4C7C5" w14:textId="77777777" w:rsidR="005B4FD0" w:rsidRDefault="005B4F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63204"/>
    <w:multiLevelType w:val="hybridMultilevel"/>
    <w:tmpl w:val="A5BED68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205A4972"/>
    <w:multiLevelType w:val="hybridMultilevel"/>
    <w:tmpl w:val="E2A0B8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24B1592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ABC6BC4"/>
    <w:multiLevelType w:val="multilevel"/>
    <w:tmpl w:val="37261568"/>
    <w:lvl w:ilvl="0">
      <w:start w:val="1"/>
      <w:numFmt w:val="decimal"/>
      <w:lvlText w:val="%1."/>
      <w:lvlJc w:val="left"/>
      <w:pPr>
        <w:ind w:left="360" w:hanging="360"/>
      </w:pPr>
      <w:rPr>
        <w:rFonts w:hint="default"/>
      </w:rPr>
    </w:lvl>
    <w:lvl w:ilvl="1">
      <w:start w:val="3"/>
      <w:numFmt w:val="decimal"/>
      <w:isLgl/>
      <w:lvlText w:val="%1.%2"/>
      <w:lvlJc w:val="left"/>
      <w:pPr>
        <w:ind w:left="690" w:hanging="69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44F064E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966434"/>
    <w:multiLevelType w:val="hybridMultilevel"/>
    <w:tmpl w:val="C6A0971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50AB0081"/>
    <w:multiLevelType w:val="hybridMultilevel"/>
    <w:tmpl w:val="176E5C74"/>
    <w:lvl w:ilvl="0" w:tplc="4C1AD25E">
      <w:start w:val="1"/>
      <w:numFmt w:val="bullet"/>
      <w:pStyle w:val="Bulletlist"/>
      <w:lvlText w:val=""/>
      <w:lvlJc w:val="left"/>
      <w:pPr>
        <w:ind w:left="1854" w:hanging="360"/>
      </w:pPr>
      <w:rPr>
        <w:rFonts w:ascii="Symbol" w:hAnsi="Symbol" w:hint="default"/>
      </w:rPr>
    </w:lvl>
    <w:lvl w:ilvl="1" w:tplc="04090003">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7" w15:restartNumberingAfterBreak="0">
    <w:nsid w:val="7FA109A5"/>
    <w:multiLevelType w:val="hybridMultilevel"/>
    <w:tmpl w:val="66740F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3"/>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4"/>
  </w:num>
  <w:num w:numId="7">
    <w:abstractNumId w:val="7"/>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526"/>
    <w:rsid w:val="000003AA"/>
    <w:rsid w:val="0000507A"/>
    <w:rsid w:val="00010EDF"/>
    <w:rsid w:val="00026F6B"/>
    <w:rsid w:val="00031E53"/>
    <w:rsid w:val="00063AA2"/>
    <w:rsid w:val="00076ED3"/>
    <w:rsid w:val="00083001"/>
    <w:rsid w:val="0008532F"/>
    <w:rsid w:val="000C38CE"/>
    <w:rsid w:val="000D6109"/>
    <w:rsid w:val="000F0CCD"/>
    <w:rsid w:val="00112D20"/>
    <w:rsid w:val="0011344D"/>
    <w:rsid w:val="00140C58"/>
    <w:rsid w:val="0015485C"/>
    <w:rsid w:val="001555F0"/>
    <w:rsid w:val="00160A3D"/>
    <w:rsid w:val="00173786"/>
    <w:rsid w:val="00177C61"/>
    <w:rsid w:val="00177EBC"/>
    <w:rsid w:val="00181E3B"/>
    <w:rsid w:val="001A709B"/>
    <w:rsid w:val="001B59F4"/>
    <w:rsid w:val="001D7C8D"/>
    <w:rsid w:val="001F4DE1"/>
    <w:rsid w:val="0020373E"/>
    <w:rsid w:val="00211AC6"/>
    <w:rsid w:val="00285976"/>
    <w:rsid w:val="002B03DD"/>
    <w:rsid w:val="002B088A"/>
    <w:rsid w:val="002B6F0D"/>
    <w:rsid w:val="002C5431"/>
    <w:rsid w:val="002F23F4"/>
    <w:rsid w:val="00306537"/>
    <w:rsid w:val="0031283E"/>
    <w:rsid w:val="0032224F"/>
    <w:rsid w:val="003245DA"/>
    <w:rsid w:val="003267A0"/>
    <w:rsid w:val="00334837"/>
    <w:rsid w:val="00392676"/>
    <w:rsid w:val="003B45B4"/>
    <w:rsid w:val="003D3E47"/>
    <w:rsid w:val="003F25D7"/>
    <w:rsid w:val="003F77EC"/>
    <w:rsid w:val="00407102"/>
    <w:rsid w:val="00430D50"/>
    <w:rsid w:val="00432429"/>
    <w:rsid w:val="00433C05"/>
    <w:rsid w:val="0043453D"/>
    <w:rsid w:val="0043589D"/>
    <w:rsid w:val="004412FE"/>
    <w:rsid w:val="00445209"/>
    <w:rsid w:val="004461ED"/>
    <w:rsid w:val="004605B1"/>
    <w:rsid w:val="00487932"/>
    <w:rsid w:val="0049055D"/>
    <w:rsid w:val="004B0FAE"/>
    <w:rsid w:val="004B4799"/>
    <w:rsid w:val="004C0DA5"/>
    <w:rsid w:val="004C2EFD"/>
    <w:rsid w:val="004E15C2"/>
    <w:rsid w:val="004E35F6"/>
    <w:rsid w:val="004F1454"/>
    <w:rsid w:val="00503371"/>
    <w:rsid w:val="00520526"/>
    <w:rsid w:val="00542442"/>
    <w:rsid w:val="00561588"/>
    <w:rsid w:val="00571391"/>
    <w:rsid w:val="005744EB"/>
    <w:rsid w:val="00574C1C"/>
    <w:rsid w:val="00584F37"/>
    <w:rsid w:val="00595FC9"/>
    <w:rsid w:val="005A052F"/>
    <w:rsid w:val="005A42CC"/>
    <w:rsid w:val="005B21F8"/>
    <w:rsid w:val="005B4FD0"/>
    <w:rsid w:val="005C2DE9"/>
    <w:rsid w:val="005E147B"/>
    <w:rsid w:val="005E5B74"/>
    <w:rsid w:val="005F048F"/>
    <w:rsid w:val="00604436"/>
    <w:rsid w:val="006075B0"/>
    <w:rsid w:val="00611155"/>
    <w:rsid w:val="00612F6B"/>
    <w:rsid w:val="00642169"/>
    <w:rsid w:val="00643585"/>
    <w:rsid w:val="00656628"/>
    <w:rsid w:val="00656D1D"/>
    <w:rsid w:val="006602C1"/>
    <w:rsid w:val="0066113A"/>
    <w:rsid w:val="006644E2"/>
    <w:rsid w:val="006717FA"/>
    <w:rsid w:val="006A6919"/>
    <w:rsid w:val="006B1C7F"/>
    <w:rsid w:val="006B28C2"/>
    <w:rsid w:val="006C034E"/>
    <w:rsid w:val="006D6361"/>
    <w:rsid w:val="006E7439"/>
    <w:rsid w:val="006F2553"/>
    <w:rsid w:val="006F51AB"/>
    <w:rsid w:val="0070672C"/>
    <w:rsid w:val="007221C4"/>
    <w:rsid w:val="00763D70"/>
    <w:rsid w:val="0077125F"/>
    <w:rsid w:val="007729FB"/>
    <w:rsid w:val="00775DB3"/>
    <w:rsid w:val="007822BA"/>
    <w:rsid w:val="007B5453"/>
    <w:rsid w:val="007B55F1"/>
    <w:rsid w:val="007D7E94"/>
    <w:rsid w:val="007E521A"/>
    <w:rsid w:val="007E6AB7"/>
    <w:rsid w:val="007F342A"/>
    <w:rsid w:val="00820644"/>
    <w:rsid w:val="008508F3"/>
    <w:rsid w:val="00855965"/>
    <w:rsid w:val="008633A9"/>
    <w:rsid w:val="00886F28"/>
    <w:rsid w:val="008B73EC"/>
    <w:rsid w:val="008D6330"/>
    <w:rsid w:val="008E3F33"/>
    <w:rsid w:val="008F2919"/>
    <w:rsid w:val="008F7D65"/>
    <w:rsid w:val="00930589"/>
    <w:rsid w:val="00971D4E"/>
    <w:rsid w:val="00973A48"/>
    <w:rsid w:val="00975BCA"/>
    <w:rsid w:val="009871F8"/>
    <w:rsid w:val="009B1A9F"/>
    <w:rsid w:val="009D1CC3"/>
    <w:rsid w:val="009D28F5"/>
    <w:rsid w:val="00A03538"/>
    <w:rsid w:val="00A144BE"/>
    <w:rsid w:val="00A27C4A"/>
    <w:rsid w:val="00A60C43"/>
    <w:rsid w:val="00A6625D"/>
    <w:rsid w:val="00A760CC"/>
    <w:rsid w:val="00AA0A25"/>
    <w:rsid w:val="00AA0C51"/>
    <w:rsid w:val="00AA54FA"/>
    <w:rsid w:val="00AA77F5"/>
    <w:rsid w:val="00AB4E9B"/>
    <w:rsid w:val="00AC6A07"/>
    <w:rsid w:val="00AE0747"/>
    <w:rsid w:val="00B169CE"/>
    <w:rsid w:val="00B426EB"/>
    <w:rsid w:val="00B56532"/>
    <w:rsid w:val="00B86740"/>
    <w:rsid w:val="00B96395"/>
    <w:rsid w:val="00BA1FD2"/>
    <w:rsid w:val="00BB64BE"/>
    <w:rsid w:val="00BC0DFA"/>
    <w:rsid w:val="00BE63EF"/>
    <w:rsid w:val="00BF3EF8"/>
    <w:rsid w:val="00C2412E"/>
    <w:rsid w:val="00C468AF"/>
    <w:rsid w:val="00C6620C"/>
    <w:rsid w:val="00C82D9F"/>
    <w:rsid w:val="00CA4AE5"/>
    <w:rsid w:val="00CC2DC7"/>
    <w:rsid w:val="00CF0EDD"/>
    <w:rsid w:val="00D031A4"/>
    <w:rsid w:val="00D10CA9"/>
    <w:rsid w:val="00D10CDD"/>
    <w:rsid w:val="00D14921"/>
    <w:rsid w:val="00D271C9"/>
    <w:rsid w:val="00D27B8A"/>
    <w:rsid w:val="00D27EB3"/>
    <w:rsid w:val="00D3398E"/>
    <w:rsid w:val="00D50E70"/>
    <w:rsid w:val="00D576E7"/>
    <w:rsid w:val="00D626A7"/>
    <w:rsid w:val="00D67B89"/>
    <w:rsid w:val="00D735B9"/>
    <w:rsid w:val="00D735C6"/>
    <w:rsid w:val="00DB0449"/>
    <w:rsid w:val="00DB1981"/>
    <w:rsid w:val="00DC69EB"/>
    <w:rsid w:val="00DE371F"/>
    <w:rsid w:val="00DF4CCD"/>
    <w:rsid w:val="00E2070F"/>
    <w:rsid w:val="00E34AD1"/>
    <w:rsid w:val="00E819C3"/>
    <w:rsid w:val="00E92541"/>
    <w:rsid w:val="00EA6FBE"/>
    <w:rsid w:val="00EB0565"/>
    <w:rsid w:val="00ED4F35"/>
    <w:rsid w:val="00EE5398"/>
    <w:rsid w:val="00EE7A86"/>
    <w:rsid w:val="00EF33B3"/>
    <w:rsid w:val="00EF61AE"/>
    <w:rsid w:val="00EF7514"/>
    <w:rsid w:val="00F06F84"/>
    <w:rsid w:val="00F21F65"/>
    <w:rsid w:val="00F25F33"/>
    <w:rsid w:val="00F300A1"/>
    <w:rsid w:val="00F35073"/>
    <w:rsid w:val="00F56933"/>
    <w:rsid w:val="00F709F9"/>
    <w:rsid w:val="00F72B45"/>
    <w:rsid w:val="00F90D10"/>
    <w:rsid w:val="00F97DB9"/>
    <w:rsid w:val="00FA38E3"/>
    <w:rsid w:val="00FA5077"/>
    <w:rsid w:val="00FF1BB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C3867"/>
  <w15:docId w15:val="{4C13940E-5BAC-4D88-90AF-427923FF5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F255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qFormat/>
    <w:rsid w:val="00F72B45"/>
    <w:pPr>
      <w:spacing w:before="300" w:after="240" w:line="260" w:lineRule="exact"/>
      <w:outlineLvl w:val="1"/>
    </w:pPr>
    <w:rPr>
      <w:rFonts w:ascii="Calibri" w:eastAsia="MS Mincho" w:hAnsi="Calibri" w:cs="Arial"/>
      <w:sz w:val="32"/>
    </w:rPr>
  </w:style>
  <w:style w:type="paragraph" w:styleId="Heading3">
    <w:name w:val="heading 3"/>
    <w:basedOn w:val="Normal"/>
    <w:next w:val="Normal"/>
    <w:link w:val="Heading3Char"/>
    <w:qFormat/>
    <w:rsid w:val="00F72B45"/>
    <w:pPr>
      <w:keepNext/>
      <w:widowControl w:val="0"/>
      <w:suppressAutoHyphens/>
      <w:spacing w:before="240" w:after="240" w:line="240" w:lineRule="exact"/>
      <w:outlineLvl w:val="2"/>
    </w:pPr>
    <w:rPr>
      <w:rFonts w:ascii="Calibri" w:eastAsia="MS Mincho" w:hAnsi="Calibri" w:cs="Arial"/>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0526"/>
    <w:pPr>
      <w:ind w:left="720"/>
      <w:contextualSpacing/>
    </w:pPr>
  </w:style>
  <w:style w:type="paragraph" w:styleId="FootnoteText">
    <w:name w:val="footnote text"/>
    <w:basedOn w:val="Normal"/>
    <w:link w:val="FootnoteTextChar"/>
    <w:uiPriority w:val="99"/>
    <w:semiHidden/>
    <w:unhideWhenUsed/>
    <w:rsid w:val="00AA0C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0C51"/>
    <w:rPr>
      <w:sz w:val="20"/>
      <w:szCs w:val="20"/>
    </w:rPr>
  </w:style>
  <w:style w:type="character" w:styleId="FootnoteReference">
    <w:name w:val="footnote reference"/>
    <w:basedOn w:val="DefaultParagraphFont"/>
    <w:uiPriority w:val="99"/>
    <w:semiHidden/>
    <w:unhideWhenUsed/>
    <w:rsid w:val="00AA0C51"/>
    <w:rPr>
      <w:vertAlign w:val="superscript"/>
    </w:rPr>
  </w:style>
  <w:style w:type="paragraph" w:customStyle="1" w:styleId="Default">
    <w:name w:val="Default"/>
    <w:rsid w:val="00AA0C51"/>
    <w:pPr>
      <w:autoSpaceDE w:val="0"/>
      <w:autoSpaceDN w:val="0"/>
      <w:adjustRightInd w:val="0"/>
      <w:spacing w:after="0" w:line="240" w:lineRule="auto"/>
    </w:pPr>
    <w:rPr>
      <w:rFonts w:ascii="Book Antiqua" w:hAnsi="Book Antiqua" w:cs="Book Antiqua"/>
      <w:color w:val="000000"/>
      <w:sz w:val="24"/>
      <w:szCs w:val="24"/>
    </w:rPr>
  </w:style>
  <w:style w:type="character" w:styleId="CommentReference">
    <w:name w:val="annotation reference"/>
    <w:basedOn w:val="DefaultParagraphFont"/>
    <w:uiPriority w:val="99"/>
    <w:semiHidden/>
    <w:unhideWhenUsed/>
    <w:rsid w:val="000F0CCD"/>
    <w:rPr>
      <w:sz w:val="16"/>
      <w:szCs w:val="16"/>
    </w:rPr>
  </w:style>
  <w:style w:type="paragraph" w:styleId="CommentText">
    <w:name w:val="annotation text"/>
    <w:basedOn w:val="Normal"/>
    <w:link w:val="CommentTextChar"/>
    <w:uiPriority w:val="99"/>
    <w:semiHidden/>
    <w:unhideWhenUsed/>
    <w:rsid w:val="000F0CCD"/>
    <w:pPr>
      <w:spacing w:line="240" w:lineRule="auto"/>
    </w:pPr>
    <w:rPr>
      <w:sz w:val="20"/>
      <w:szCs w:val="20"/>
    </w:rPr>
  </w:style>
  <w:style w:type="character" w:customStyle="1" w:styleId="CommentTextChar">
    <w:name w:val="Comment Text Char"/>
    <w:basedOn w:val="DefaultParagraphFont"/>
    <w:link w:val="CommentText"/>
    <w:uiPriority w:val="99"/>
    <w:semiHidden/>
    <w:rsid w:val="000F0CCD"/>
    <w:rPr>
      <w:sz w:val="20"/>
      <w:szCs w:val="20"/>
    </w:rPr>
  </w:style>
  <w:style w:type="paragraph" w:styleId="CommentSubject">
    <w:name w:val="annotation subject"/>
    <w:basedOn w:val="CommentText"/>
    <w:next w:val="CommentText"/>
    <w:link w:val="CommentSubjectChar"/>
    <w:uiPriority w:val="99"/>
    <w:semiHidden/>
    <w:unhideWhenUsed/>
    <w:rsid w:val="000F0CCD"/>
    <w:rPr>
      <w:b/>
      <w:bCs/>
    </w:rPr>
  </w:style>
  <w:style w:type="character" w:customStyle="1" w:styleId="CommentSubjectChar">
    <w:name w:val="Comment Subject Char"/>
    <w:basedOn w:val="CommentTextChar"/>
    <w:link w:val="CommentSubject"/>
    <w:uiPriority w:val="99"/>
    <w:semiHidden/>
    <w:rsid w:val="000F0CCD"/>
    <w:rPr>
      <w:b/>
      <w:bCs/>
      <w:sz w:val="20"/>
      <w:szCs w:val="20"/>
    </w:rPr>
  </w:style>
  <w:style w:type="paragraph" w:styleId="BalloonText">
    <w:name w:val="Balloon Text"/>
    <w:basedOn w:val="Normal"/>
    <w:link w:val="BalloonTextChar"/>
    <w:uiPriority w:val="99"/>
    <w:semiHidden/>
    <w:unhideWhenUsed/>
    <w:rsid w:val="000F0C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CCD"/>
    <w:rPr>
      <w:rFonts w:ascii="Tahoma" w:hAnsi="Tahoma" w:cs="Tahoma"/>
      <w:sz w:val="16"/>
      <w:szCs w:val="16"/>
    </w:rPr>
  </w:style>
  <w:style w:type="character" w:styleId="Hyperlink">
    <w:name w:val="Hyperlink"/>
    <w:basedOn w:val="DefaultParagraphFont"/>
    <w:uiPriority w:val="99"/>
    <w:unhideWhenUsed/>
    <w:rsid w:val="0031283E"/>
    <w:rPr>
      <w:color w:val="0563C1" w:themeColor="hyperlink"/>
      <w:u w:val="single"/>
    </w:rPr>
  </w:style>
  <w:style w:type="character" w:customStyle="1" w:styleId="Heading2Char">
    <w:name w:val="Heading 2 Char"/>
    <w:basedOn w:val="DefaultParagraphFont"/>
    <w:link w:val="Heading2"/>
    <w:rsid w:val="00F72B45"/>
    <w:rPr>
      <w:rFonts w:ascii="Calibri" w:eastAsia="MS Mincho" w:hAnsi="Calibri" w:cs="Arial"/>
      <w:sz w:val="32"/>
    </w:rPr>
  </w:style>
  <w:style w:type="character" w:customStyle="1" w:styleId="Heading3Char">
    <w:name w:val="Heading 3 Char"/>
    <w:basedOn w:val="DefaultParagraphFont"/>
    <w:link w:val="Heading3"/>
    <w:rsid w:val="00F72B45"/>
    <w:rPr>
      <w:rFonts w:ascii="Calibri" w:eastAsia="MS Mincho" w:hAnsi="Calibri" w:cs="Arial"/>
      <w:bCs/>
      <w:sz w:val="28"/>
    </w:rPr>
  </w:style>
  <w:style w:type="paragraph" w:customStyle="1" w:styleId="Bulletlist">
    <w:name w:val="Bullet list"/>
    <w:basedOn w:val="Normal"/>
    <w:link w:val="BulletlistChar"/>
    <w:qFormat/>
    <w:rsid w:val="00F72B45"/>
    <w:pPr>
      <w:widowControl w:val="0"/>
      <w:numPr>
        <w:numId w:val="2"/>
      </w:numPr>
      <w:suppressAutoHyphens/>
      <w:spacing w:after="120" w:line="240" w:lineRule="exact"/>
    </w:pPr>
    <w:rPr>
      <w:rFonts w:ascii="Calibri" w:eastAsia="MS Mincho" w:hAnsi="Calibri" w:cs="Times New Roman"/>
      <w:color w:val="000000"/>
      <w:sz w:val="24"/>
      <w:lang w:val="x-none"/>
    </w:rPr>
  </w:style>
  <w:style w:type="character" w:customStyle="1" w:styleId="BulletlistChar">
    <w:name w:val="Bullet list Char"/>
    <w:link w:val="Bulletlist"/>
    <w:rsid w:val="00F72B45"/>
    <w:rPr>
      <w:rFonts w:ascii="Calibri" w:eastAsia="MS Mincho" w:hAnsi="Calibri" w:cs="Times New Roman"/>
      <w:color w:val="000000"/>
      <w:sz w:val="24"/>
      <w:lang w:val="x-none"/>
    </w:rPr>
  </w:style>
  <w:style w:type="paragraph" w:customStyle="1" w:styleId="ColorfulList-Accent11">
    <w:name w:val="Colorful List - Accent 11"/>
    <w:basedOn w:val="Normal"/>
    <w:link w:val="ColorfulList-Accent11Char"/>
    <w:uiPriority w:val="34"/>
    <w:qFormat/>
    <w:rsid w:val="00F72B45"/>
    <w:pPr>
      <w:widowControl w:val="0"/>
      <w:suppressAutoHyphens/>
      <w:spacing w:after="120" w:line="240" w:lineRule="exact"/>
    </w:pPr>
    <w:rPr>
      <w:rFonts w:ascii="Calibri" w:eastAsia="MS Mincho" w:hAnsi="Calibri" w:cs="Times New Roman"/>
      <w:color w:val="000000"/>
      <w:sz w:val="24"/>
    </w:rPr>
  </w:style>
  <w:style w:type="paragraph" w:customStyle="1" w:styleId="ExampleHeading">
    <w:name w:val="Example Heading"/>
    <w:basedOn w:val="ColorfulList-Accent11"/>
    <w:link w:val="ExampleHeadingChar"/>
    <w:qFormat/>
    <w:rsid w:val="00F72B45"/>
    <w:pPr>
      <w:spacing w:before="240"/>
    </w:pPr>
    <w:rPr>
      <w:b/>
      <w:bCs/>
    </w:rPr>
  </w:style>
  <w:style w:type="character" w:customStyle="1" w:styleId="ColorfulList-Accent11Char">
    <w:name w:val="Colorful List - Accent 11 Char"/>
    <w:link w:val="ColorfulList-Accent11"/>
    <w:uiPriority w:val="34"/>
    <w:rsid w:val="00F72B45"/>
    <w:rPr>
      <w:rFonts w:ascii="Calibri" w:eastAsia="MS Mincho" w:hAnsi="Calibri" w:cs="Times New Roman"/>
      <w:color w:val="000000"/>
      <w:sz w:val="24"/>
    </w:rPr>
  </w:style>
  <w:style w:type="character" w:customStyle="1" w:styleId="ExampleHeadingChar">
    <w:name w:val="Example Heading Char"/>
    <w:link w:val="ExampleHeading"/>
    <w:rsid w:val="00F72B45"/>
    <w:rPr>
      <w:rFonts w:ascii="Calibri" w:eastAsia="MS Mincho" w:hAnsi="Calibri" w:cs="Times New Roman"/>
      <w:b/>
      <w:bCs/>
      <w:color w:val="000000"/>
      <w:sz w:val="24"/>
    </w:rPr>
  </w:style>
  <w:style w:type="paragraph" w:styleId="Revision">
    <w:name w:val="Revision"/>
    <w:hidden/>
    <w:uiPriority w:val="99"/>
    <w:semiHidden/>
    <w:rsid w:val="005F048F"/>
    <w:pPr>
      <w:spacing w:after="0" w:line="240" w:lineRule="auto"/>
    </w:pPr>
  </w:style>
  <w:style w:type="character" w:customStyle="1" w:styleId="Heading1Char">
    <w:name w:val="Heading 1 Char"/>
    <w:basedOn w:val="DefaultParagraphFont"/>
    <w:link w:val="Heading1"/>
    <w:uiPriority w:val="9"/>
    <w:rsid w:val="006F2553"/>
    <w:rPr>
      <w:rFonts w:asciiTheme="majorHAnsi" w:eastAsiaTheme="majorEastAsia" w:hAnsiTheme="majorHAnsi" w:cstheme="majorBidi"/>
      <w:b/>
      <w:bCs/>
      <w:color w:val="2F5496" w:themeColor="accent1" w:themeShade="BF"/>
      <w:sz w:val="28"/>
      <w:szCs w:val="28"/>
    </w:rPr>
  </w:style>
  <w:style w:type="paragraph" w:styleId="NormalWeb">
    <w:name w:val="Normal (Web)"/>
    <w:basedOn w:val="Normal"/>
    <w:uiPriority w:val="99"/>
    <w:semiHidden/>
    <w:unhideWhenUsed/>
    <w:rsid w:val="00076ED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5B4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FD0"/>
  </w:style>
  <w:style w:type="paragraph" w:styleId="Footer">
    <w:name w:val="footer"/>
    <w:basedOn w:val="Normal"/>
    <w:link w:val="FooterChar"/>
    <w:uiPriority w:val="99"/>
    <w:unhideWhenUsed/>
    <w:rsid w:val="005B4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344894">
      <w:bodyDiv w:val="1"/>
      <w:marLeft w:val="0"/>
      <w:marRight w:val="0"/>
      <w:marTop w:val="0"/>
      <w:marBottom w:val="0"/>
      <w:divBdr>
        <w:top w:val="none" w:sz="0" w:space="0" w:color="auto"/>
        <w:left w:val="none" w:sz="0" w:space="0" w:color="auto"/>
        <w:bottom w:val="none" w:sz="0" w:space="0" w:color="auto"/>
        <w:right w:val="none" w:sz="0" w:space="0" w:color="auto"/>
      </w:divBdr>
      <w:divsChild>
        <w:div w:id="1919437778">
          <w:marLeft w:val="0"/>
          <w:marRight w:val="0"/>
          <w:marTop w:val="0"/>
          <w:marBottom w:val="90"/>
          <w:divBdr>
            <w:top w:val="none" w:sz="0" w:space="0" w:color="auto"/>
            <w:left w:val="none" w:sz="0" w:space="0" w:color="auto"/>
            <w:bottom w:val="none" w:sz="0" w:space="0" w:color="auto"/>
            <w:right w:val="none" w:sz="0" w:space="0" w:color="auto"/>
          </w:divBdr>
          <w:divsChild>
            <w:div w:id="3925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161370">
      <w:bodyDiv w:val="1"/>
      <w:marLeft w:val="0"/>
      <w:marRight w:val="0"/>
      <w:marTop w:val="0"/>
      <w:marBottom w:val="0"/>
      <w:divBdr>
        <w:top w:val="none" w:sz="0" w:space="0" w:color="auto"/>
        <w:left w:val="none" w:sz="0" w:space="0" w:color="auto"/>
        <w:bottom w:val="none" w:sz="0" w:space="0" w:color="auto"/>
        <w:right w:val="none" w:sz="0" w:space="0" w:color="auto"/>
      </w:divBdr>
      <w:divsChild>
        <w:div w:id="1237860666">
          <w:marLeft w:val="0"/>
          <w:marRight w:val="0"/>
          <w:marTop w:val="0"/>
          <w:marBottom w:val="0"/>
          <w:divBdr>
            <w:top w:val="none" w:sz="0" w:space="0" w:color="auto"/>
            <w:left w:val="none" w:sz="0" w:space="0" w:color="auto"/>
            <w:bottom w:val="none" w:sz="0" w:space="0" w:color="auto"/>
            <w:right w:val="none" w:sz="0" w:space="0" w:color="auto"/>
          </w:divBdr>
          <w:divsChild>
            <w:div w:id="435829746">
              <w:marLeft w:val="0"/>
              <w:marRight w:val="0"/>
              <w:marTop w:val="0"/>
              <w:marBottom w:val="0"/>
              <w:divBdr>
                <w:top w:val="none" w:sz="0" w:space="0" w:color="auto"/>
                <w:left w:val="none" w:sz="0" w:space="0" w:color="auto"/>
                <w:bottom w:val="none" w:sz="0" w:space="0" w:color="auto"/>
                <w:right w:val="none" w:sz="0" w:space="0" w:color="auto"/>
              </w:divBdr>
              <w:divsChild>
                <w:div w:id="170528096">
                  <w:marLeft w:val="0"/>
                  <w:marRight w:val="0"/>
                  <w:marTop w:val="0"/>
                  <w:marBottom w:val="0"/>
                  <w:divBdr>
                    <w:top w:val="none" w:sz="0" w:space="0" w:color="auto"/>
                    <w:left w:val="none" w:sz="0" w:space="0" w:color="auto"/>
                    <w:bottom w:val="none" w:sz="0" w:space="0" w:color="auto"/>
                    <w:right w:val="none" w:sz="0" w:space="0" w:color="auto"/>
                  </w:divBdr>
                  <w:divsChild>
                    <w:div w:id="1460301592">
                      <w:marLeft w:val="0"/>
                      <w:marRight w:val="0"/>
                      <w:marTop w:val="0"/>
                      <w:marBottom w:val="0"/>
                      <w:divBdr>
                        <w:top w:val="none" w:sz="0" w:space="0" w:color="auto"/>
                        <w:left w:val="none" w:sz="0" w:space="0" w:color="auto"/>
                        <w:bottom w:val="none" w:sz="0" w:space="0" w:color="auto"/>
                        <w:right w:val="none" w:sz="0" w:space="0" w:color="auto"/>
                      </w:divBdr>
                      <w:divsChild>
                        <w:div w:id="1664970329">
                          <w:marLeft w:val="300"/>
                          <w:marRight w:val="300"/>
                          <w:marTop w:val="0"/>
                          <w:marBottom w:val="300"/>
                          <w:divBdr>
                            <w:top w:val="none" w:sz="0" w:space="0" w:color="auto"/>
                            <w:left w:val="none" w:sz="0" w:space="0" w:color="auto"/>
                            <w:bottom w:val="none" w:sz="0" w:space="0" w:color="auto"/>
                            <w:right w:val="none" w:sz="0" w:space="0" w:color="auto"/>
                          </w:divBdr>
                        </w:div>
                        <w:div w:id="1647201364">
                          <w:marLeft w:val="2663"/>
                          <w:marRight w:val="2663"/>
                          <w:marTop w:val="0"/>
                          <w:marBottom w:val="0"/>
                          <w:divBdr>
                            <w:top w:val="none" w:sz="0" w:space="0" w:color="auto"/>
                            <w:left w:val="none" w:sz="0" w:space="0" w:color="auto"/>
                            <w:bottom w:val="none" w:sz="0" w:space="0" w:color="auto"/>
                            <w:right w:val="none" w:sz="0" w:space="0" w:color="auto"/>
                          </w:divBdr>
                        </w:div>
                        <w:div w:id="1133131125">
                          <w:marLeft w:val="300"/>
                          <w:marRight w:val="300"/>
                          <w:marTop w:val="0"/>
                          <w:marBottom w:val="300"/>
                          <w:divBdr>
                            <w:top w:val="none" w:sz="0" w:space="0" w:color="auto"/>
                            <w:left w:val="none" w:sz="0" w:space="0" w:color="auto"/>
                            <w:bottom w:val="none" w:sz="0" w:space="0" w:color="auto"/>
                            <w:right w:val="none" w:sz="0" w:space="0" w:color="auto"/>
                          </w:divBdr>
                        </w:div>
                        <w:div w:id="1951278199">
                          <w:marLeft w:val="300"/>
                          <w:marRight w:val="300"/>
                          <w:marTop w:val="0"/>
                          <w:marBottom w:val="300"/>
                          <w:divBdr>
                            <w:top w:val="none" w:sz="0" w:space="0" w:color="auto"/>
                            <w:left w:val="none" w:sz="0" w:space="0" w:color="auto"/>
                            <w:bottom w:val="none" w:sz="0" w:space="0" w:color="auto"/>
                            <w:right w:val="none" w:sz="0" w:space="0" w:color="auto"/>
                          </w:divBdr>
                        </w:div>
                        <w:div w:id="214631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theguardian.com/environment/2018/oct/09/dutch-appeals-court-upholds-landmark-climate-change-ruling" TargetMode="External"/><Relationship Id="rId2" Type="http://schemas.openxmlformats.org/officeDocument/2006/relationships/hyperlink" Target="https://www.clientearth.org/" TargetMode="External"/><Relationship Id="rId1" Type="http://schemas.openxmlformats.org/officeDocument/2006/relationships/hyperlink" Target="https://unfccc.int/process/the-convention/what-is-the-united-nations-framework-convention-on-climate-change" TargetMode="External"/><Relationship Id="rId6" Type="http://schemas.openxmlformats.org/officeDocument/2006/relationships/hyperlink" Target="http://www.abc.net.au/news/2018-04-10/climate-change-litigation-rising-with-the-seas-plan-b/9627870" TargetMode="External"/><Relationship Id="rId5" Type="http://schemas.openxmlformats.org/officeDocument/2006/relationships/hyperlink" Target="http://www.abc.net.au/adelaide/" TargetMode="External"/><Relationship Id="rId4" Type="http://schemas.openxmlformats.org/officeDocument/2006/relationships/hyperlink" Target="http://www.abc.net.au/news/58298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64F76-4007-487E-9B34-603457A74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3556</Words>
  <Characters>20275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dc:creator>
  <cp:keywords/>
  <dc:description/>
  <cp:lastModifiedBy>Paul Burns</cp:lastModifiedBy>
  <cp:revision>4</cp:revision>
  <dcterms:created xsi:type="dcterms:W3CDTF">2018-12-17T11:01:00Z</dcterms:created>
  <dcterms:modified xsi:type="dcterms:W3CDTF">2018-12-18T11:22:00Z</dcterms:modified>
</cp:coreProperties>
</file>