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BFADC" w14:textId="641BD11C" w:rsidR="00404D98" w:rsidRDefault="005D75EB" w:rsidP="00423CF6">
      <w:pPr>
        <w:spacing w:line="480" w:lineRule="auto"/>
        <w:jc w:val="center"/>
        <w:rPr>
          <w:rFonts w:ascii="Palatino Linotype" w:hAnsi="Palatino Linotype" w:cs="Times New Roman"/>
          <w:sz w:val="24"/>
          <w:szCs w:val="24"/>
        </w:rPr>
      </w:pPr>
      <w:r w:rsidRPr="005D75EB">
        <w:rPr>
          <w:rFonts w:ascii="Palatino Linotype" w:hAnsi="Palatino Linotype" w:cs="Times New Roman"/>
          <w:sz w:val="24"/>
          <w:szCs w:val="24"/>
        </w:rPr>
        <w:t xml:space="preserve">DISABILITY HUMAN RIGHTS CLINICS AS </w:t>
      </w:r>
      <w:proofErr w:type="gramStart"/>
      <w:r w:rsidRPr="005D75EB">
        <w:rPr>
          <w:rFonts w:ascii="Palatino Linotype" w:hAnsi="Palatino Linotype" w:cs="Times New Roman"/>
          <w:sz w:val="24"/>
          <w:szCs w:val="24"/>
        </w:rPr>
        <w:t>A</w:t>
      </w:r>
      <w:proofErr w:type="gramEnd"/>
      <w:r w:rsidRPr="005D75EB">
        <w:rPr>
          <w:rFonts w:ascii="Palatino Linotype" w:hAnsi="Palatino Linotype" w:cs="Times New Roman"/>
          <w:sz w:val="24"/>
          <w:szCs w:val="24"/>
        </w:rPr>
        <w:t xml:space="preserve"> MODEL FOR TEACHING PARTICIPATORY INTERNATIONAL HUMAN RIGHTS LAWYERING</w:t>
      </w:r>
    </w:p>
    <w:p w14:paraId="1A32187C" w14:textId="55DD5687" w:rsidR="005D75EB" w:rsidRDefault="005D6811" w:rsidP="005D75EB">
      <w:pPr>
        <w:spacing w:line="480" w:lineRule="auto"/>
        <w:jc w:val="both"/>
        <w:rPr>
          <w:rFonts w:ascii="Palatino Linotype" w:hAnsi="Palatino Linotype" w:cs="Times New Roman"/>
          <w:sz w:val="24"/>
          <w:szCs w:val="24"/>
        </w:rPr>
      </w:pPr>
      <w:r>
        <w:rPr>
          <w:rFonts w:ascii="Palatino Linotype" w:hAnsi="Palatino Linotype" w:cs="Times New Roman"/>
          <w:sz w:val="24"/>
          <w:szCs w:val="24"/>
        </w:rPr>
        <w:t>Yvette Maker, University of Melbourne, Australia</w:t>
      </w:r>
    </w:p>
    <w:p w14:paraId="7D119841" w14:textId="479B4E7D" w:rsidR="005D6811" w:rsidRDefault="005D6811" w:rsidP="005D75EB">
      <w:pPr>
        <w:spacing w:line="480" w:lineRule="auto"/>
        <w:jc w:val="both"/>
        <w:rPr>
          <w:rFonts w:ascii="Palatino Linotype" w:hAnsi="Palatino Linotype" w:cs="Times New Roman"/>
          <w:sz w:val="24"/>
          <w:szCs w:val="24"/>
        </w:rPr>
      </w:pPr>
      <w:r>
        <w:rPr>
          <w:rFonts w:ascii="Palatino Linotype" w:hAnsi="Palatino Linotype" w:cs="Times New Roman"/>
          <w:sz w:val="24"/>
          <w:szCs w:val="24"/>
        </w:rPr>
        <w:t xml:space="preserve">Jana </w:t>
      </w:r>
      <w:proofErr w:type="spellStart"/>
      <w:r>
        <w:rPr>
          <w:rFonts w:ascii="Palatino Linotype" w:hAnsi="Palatino Linotype" w:cs="Times New Roman"/>
          <w:sz w:val="24"/>
          <w:szCs w:val="24"/>
        </w:rPr>
        <w:t>Offerg</w:t>
      </w:r>
      <w:r w:rsidR="00423CF6">
        <w:rPr>
          <w:rFonts w:ascii="Palatino Linotype" w:hAnsi="Palatino Linotype" w:cs="Times New Roman"/>
          <w:sz w:val="24"/>
          <w:szCs w:val="24"/>
        </w:rPr>
        <w:t>e</w:t>
      </w:r>
      <w:r>
        <w:rPr>
          <w:rFonts w:ascii="Palatino Linotype" w:hAnsi="Palatino Linotype" w:cs="Times New Roman"/>
          <w:sz w:val="24"/>
          <w:szCs w:val="24"/>
        </w:rPr>
        <w:t>ld</w:t>
      </w:r>
      <w:proofErr w:type="spellEnd"/>
      <w:r>
        <w:rPr>
          <w:rFonts w:ascii="Palatino Linotype" w:hAnsi="Palatino Linotype" w:cs="Times New Roman"/>
          <w:sz w:val="24"/>
          <w:szCs w:val="24"/>
        </w:rPr>
        <w:t xml:space="preserve">, </w:t>
      </w:r>
      <w:proofErr w:type="spellStart"/>
      <w:r w:rsidRPr="005D6811">
        <w:rPr>
          <w:rFonts w:ascii="Palatino Linotype" w:hAnsi="Palatino Linotype" w:cs="Times New Roman"/>
          <w:sz w:val="24"/>
          <w:szCs w:val="24"/>
        </w:rPr>
        <w:t>Evangelische</w:t>
      </w:r>
      <w:proofErr w:type="spellEnd"/>
      <w:r w:rsidRPr="005D6811">
        <w:rPr>
          <w:rFonts w:ascii="Palatino Linotype" w:hAnsi="Palatino Linotype" w:cs="Times New Roman"/>
          <w:sz w:val="24"/>
          <w:szCs w:val="24"/>
        </w:rPr>
        <w:t xml:space="preserve"> </w:t>
      </w:r>
      <w:proofErr w:type="spellStart"/>
      <w:r w:rsidRPr="005D6811">
        <w:rPr>
          <w:rFonts w:ascii="Palatino Linotype" w:hAnsi="Palatino Linotype" w:cs="Times New Roman"/>
          <w:sz w:val="24"/>
          <w:szCs w:val="24"/>
        </w:rPr>
        <w:t>Hochschule</w:t>
      </w:r>
      <w:proofErr w:type="spellEnd"/>
      <w:r w:rsidRPr="005D6811">
        <w:rPr>
          <w:rFonts w:ascii="Palatino Linotype" w:hAnsi="Palatino Linotype" w:cs="Times New Roman"/>
          <w:sz w:val="24"/>
          <w:szCs w:val="24"/>
        </w:rPr>
        <w:t xml:space="preserve"> RWL (Protestant University of Applied Sciences RWL)</w:t>
      </w:r>
      <w:r>
        <w:rPr>
          <w:rFonts w:ascii="Palatino Linotype" w:hAnsi="Palatino Linotype" w:cs="Times New Roman"/>
          <w:sz w:val="24"/>
          <w:szCs w:val="24"/>
        </w:rPr>
        <w:t>, Germany</w:t>
      </w:r>
    </w:p>
    <w:p w14:paraId="2BE38166" w14:textId="0E63E286" w:rsidR="005D6811" w:rsidRPr="005D75EB" w:rsidRDefault="005D6811" w:rsidP="005D75EB">
      <w:pPr>
        <w:spacing w:line="480" w:lineRule="auto"/>
        <w:jc w:val="both"/>
        <w:rPr>
          <w:rFonts w:ascii="Palatino Linotype" w:hAnsi="Palatino Linotype" w:cs="Times New Roman"/>
          <w:sz w:val="24"/>
          <w:szCs w:val="24"/>
        </w:rPr>
      </w:pPr>
      <w:r>
        <w:rPr>
          <w:rFonts w:ascii="Palatino Linotype" w:hAnsi="Palatino Linotype" w:cs="Times New Roman"/>
          <w:sz w:val="24"/>
          <w:szCs w:val="24"/>
        </w:rPr>
        <w:t xml:space="preserve">Anna </w:t>
      </w:r>
      <w:proofErr w:type="spellStart"/>
      <w:r>
        <w:rPr>
          <w:rFonts w:ascii="Palatino Linotype" w:hAnsi="Palatino Linotype" w:cs="Times New Roman"/>
          <w:sz w:val="24"/>
          <w:szCs w:val="24"/>
        </w:rPr>
        <w:t>Arstein-Kerslake</w:t>
      </w:r>
      <w:proofErr w:type="spellEnd"/>
      <w:r>
        <w:rPr>
          <w:rFonts w:ascii="Palatino Linotype" w:hAnsi="Palatino Linotype" w:cs="Times New Roman"/>
          <w:sz w:val="24"/>
          <w:szCs w:val="24"/>
        </w:rPr>
        <w:t>, University of Melbourne, Australia</w:t>
      </w:r>
    </w:p>
    <w:p w14:paraId="2607AEDF" w14:textId="77777777" w:rsidR="00404D98" w:rsidRPr="005D75EB" w:rsidRDefault="00404D98" w:rsidP="005D75EB">
      <w:pPr>
        <w:spacing w:line="480" w:lineRule="auto"/>
        <w:jc w:val="both"/>
        <w:rPr>
          <w:rFonts w:ascii="Palatino Linotype" w:hAnsi="Palatino Linotype" w:cs="Times New Roman"/>
          <w:b/>
          <w:sz w:val="24"/>
          <w:szCs w:val="24"/>
        </w:rPr>
      </w:pPr>
      <w:r w:rsidRPr="005D75EB">
        <w:rPr>
          <w:rFonts w:ascii="Palatino Linotype" w:hAnsi="Palatino Linotype" w:cs="Times New Roman"/>
          <w:b/>
          <w:sz w:val="24"/>
          <w:szCs w:val="24"/>
        </w:rPr>
        <w:t>Introduction</w:t>
      </w:r>
    </w:p>
    <w:p w14:paraId="5F79F0A7" w14:textId="5391D959" w:rsidR="00EF1DE5" w:rsidRPr="005D75EB" w:rsidRDefault="002A0A09" w:rsidP="005D75EB">
      <w:pPr>
        <w:spacing w:line="480" w:lineRule="auto"/>
        <w:jc w:val="both"/>
        <w:rPr>
          <w:rFonts w:ascii="Palatino Linotype" w:hAnsi="Palatino Linotype" w:cs="Times New Roman"/>
          <w:sz w:val="24"/>
          <w:szCs w:val="24"/>
        </w:rPr>
      </w:pPr>
      <w:r w:rsidRPr="005D75EB">
        <w:rPr>
          <w:rFonts w:ascii="Palatino Linotype" w:hAnsi="Palatino Linotype" w:cs="Times New Roman"/>
          <w:sz w:val="24"/>
          <w:szCs w:val="24"/>
        </w:rPr>
        <w:t>T</w:t>
      </w:r>
      <w:r w:rsidR="001B5AD7" w:rsidRPr="005D75EB">
        <w:rPr>
          <w:rFonts w:ascii="Palatino Linotype" w:hAnsi="Palatino Linotype" w:cs="Times New Roman"/>
          <w:sz w:val="24"/>
          <w:szCs w:val="24"/>
        </w:rPr>
        <w:t>he Disability Human Rights Clinic (DHRC)</w:t>
      </w:r>
      <w:r w:rsidR="00C715B0" w:rsidRPr="005D75EB">
        <w:rPr>
          <w:rFonts w:ascii="Palatino Linotype" w:hAnsi="Palatino Linotype" w:cs="Times New Roman"/>
          <w:sz w:val="24"/>
          <w:szCs w:val="24"/>
        </w:rPr>
        <w:t xml:space="preserve"> </w:t>
      </w:r>
      <w:r w:rsidR="005573F6" w:rsidRPr="005D75EB">
        <w:rPr>
          <w:rFonts w:ascii="Palatino Linotype" w:hAnsi="Palatino Linotype" w:cs="Times New Roman"/>
          <w:sz w:val="24"/>
          <w:szCs w:val="24"/>
        </w:rPr>
        <w:t xml:space="preserve">was established </w:t>
      </w:r>
      <w:r w:rsidR="0088185D" w:rsidRPr="005D75EB">
        <w:rPr>
          <w:rFonts w:ascii="Palatino Linotype" w:hAnsi="Palatino Linotype" w:cs="Times New Roman"/>
          <w:sz w:val="24"/>
          <w:szCs w:val="24"/>
        </w:rPr>
        <w:t xml:space="preserve">at Melbourne Law </w:t>
      </w:r>
      <w:bookmarkStart w:id="0" w:name="_GoBack"/>
      <w:bookmarkEnd w:id="0"/>
      <w:r w:rsidR="0088185D" w:rsidRPr="005D75EB">
        <w:rPr>
          <w:rFonts w:ascii="Palatino Linotype" w:hAnsi="Palatino Linotype" w:cs="Times New Roman"/>
          <w:sz w:val="24"/>
          <w:szCs w:val="24"/>
        </w:rPr>
        <w:t>School</w:t>
      </w:r>
      <w:r w:rsidR="00E079B3" w:rsidRPr="005D75EB">
        <w:rPr>
          <w:rFonts w:ascii="Palatino Linotype" w:hAnsi="Palatino Linotype" w:cs="Times New Roman"/>
          <w:sz w:val="24"/>
          <w:szCs w:val="24"/>
        </w:rPr>
        <w:t xml:space="preserve">, </w:t>
      </w:r>
      <w:r w:rsidR="0088185D" w:rsidRPr="005D75EB">
        <w:rPr>
          <w:rFonts w:ascii="Palatino Linotype" w:hAnsi="Palatino Linotype" w:cs="Times New Roman"/>
          <w:sz w:val="24"/>
          <w:szCs w:val="24"/>
        </w:rPr>
        <w:t>the University of Melbourne</w:t>
      </w:r>
      <w:r w:rsidR="00E079B3" w:rsidRPr="005D75EB">
        <w:rPr>
          <w:rFonts w:ascii="Palatino Linotype" w:hAnsi="Palatino Linotype" w:cs="Times New Roman"/>
          <w:sz w:val="24"/>
          <w:szCs w:val="24"/>
        </w:rPr>
        <w:t>,</w:t>
      </w:r>
      <w:r w:rsidR="00C95C05" w:rsidRPr="005D75EB">
        <w:rPr>
          <w:rFonts w:ascii="Palatino Linotype" w:hAnsi="Palatino Linotype" w:cs="Times New Roman"/>
          <w:sz w:val="24"/>
          <w:szCs w:val="24"/>
        </w:rPr>
        <w:t xml:space="preserve"> in 2015</w:t>
      </w:r>
      <w:r w:rsidR="0088185D" w:rsidRPr="005D75EB">
        <w:rPr>
          <w:rFonts w:ascii="Palatino Linotype" w:hAnsi="Palatino Linotype" w:cs="Times New Roman"/>
          <w:sz w:val="24"/>
          <w:szCs w:val="24"/>
        </w:rPr>
        <w:t>.</w:t>
      </w:r>
      <w:r w:rsidR="00043283" w:rsidRPr="005D75EB">
        <w:rPr>
          <w:rFonts w:ascii="Palatino Linotype" w:hAnsi="Palatino Linotype" w:cs="Times New Roman"/>
          <w:sz w:val="24"/>
          <w:szCs w:val="24"/>
        </w:rPr>
        <w:t xml:space="preserve"> </w:t>
      </w:r>
      <w:r w:rsidR="00C715B0" w:rsidRPr="005D75EB">
        <w:rPr>
          <w:rFonts w:ascii="Palatino Linotype" w:hAnsi="Palatino Linotype" w:cs="Times New Roman"/>
          <w:sz w:val="24"/>
          <w:szCs w:val="24"/>
        </w:rPr>
        <w:t xml:space="preserve"> Its supervisors and students</w:t>
      </w:r>
      <w:r w:rsidR="00661ADA" w:rsidRPr="005D75EB">
        <w:rPr>
          <w:rFonts w:ascii="Palatino Linotype" w:hAnsi="Palatino Linotype" w:cs="Times New Roman"/>
          <w:sz w:val="24"/>
          <w:szCs w:val="24"/>
        </w:rPr>
        <w:t xml:space="preserve"> conduct</w:t>
      </w:r>
      <w:r w:rsidR="00C715B0" w:rsidRPr="005D75EB">
        <w:rPr>
          <w:rFonts w:ascii="Palatino Linotype" w:hAnsi="Palatino Linotype" w:cs="Times New Roman"/>
          <w:sz w:val="24"/>
          <w:szCs w:val="24"/>
        </w:rPr>
        <w:t xml:space="preserve"> </w:t>
      </w:r>
      <w:r w:rsidR="001B5AD7" w:rsidRPr="005D75EB">
        <w:rPr>
          <w:rFonts w:ascii="Palatino Linotype" w:hAnsi="Palatino Linotype" w:cs="Times New Roman"/>
          <w:sz w:val="24"/>
          <w:szCs w:val="24"/>
        </w:rPr>
        <w:t xml:space="preserve">legislative and policy reform projects as well as strategic litigation. </w:t>
      </w:r>
      <w:r w:rsidR="00C715B0" w:rsidRPr="005D75EB">
        <w:rPr>
          <w:rFonts w:ascii="Palatino Linotype" w:hAnsi="Palatino Linotype" w:cs="Times New Roman"/>
          <w:sz w:val="24"/>
          <w:szCs w:val="24"/>
        </w:rPr>
        <w:t>The DHRC</w:t>
      </w:r>
      <w:r w:rsidR="005573F6" w:rsidRPr="005D75EB">
        <w:rPr>
          <w:rFonts w:ascii="Palatino Linotype" w:hAnsi="Palatino Linotype" w:cs="Times New Roman"/>
          <w:sz w:val="24"/>
          <w:szCs w:val="24"/>
        </w:rPr>
        <w:t xml:space="preserve"> was created by </w:t>
      </w:r>
      <w:r w:rsidR="00E666B8">
        <w:rPr>
          <w:rFonts w:ascii="Palatino Linotype" w:hAnsi="Palatino Linotype" w:cs="Times New Roman"/>
          <w:sz w:val="24"/>
          <w:szCs w:val="24"/>
        </w:rPr>
        <w:t xml:space="preserve">Anna </w:t>
      </w:r>
      <w:proofErr w:type="spellStart"/>
      <w:r w:rsidR="00E666B8">
        <w:rPr>
          <w:rFonts w:ascii="Palatino Linotype" w:hAnsi="Palatino Linotype" w:cs="Times New Roman"/>
          <w:sz w:val="24"/>
          <w:szCs w:val="24"/>
        </w:rPr>
        <w:t>Arstein-Kerslake</w:t>
      </w:r>
      <w:proofErr w:type="spellEnd"/>
      <w:r w:rsidR="005573F6" w:rsidRPr="005D75EB">
        <w:rPr>
          <w:rFonts w:ascii="Palatino Linotype" w:hAnsi="Palatino Linotype" w:cs="Times New Roman"/>
          <w:sz w:val="24"/>
          <w:szCs w:val="24"/>
        </w:rPr>
        <w:t xml:space="preserve"> to address</w:t>
      </w:r>
      <w:r w:rsidR="00D7659E" w:rsidRPr="005D75EB">
        <w:rPr>
          <w:rFonts w:ascii="Palatino Linotype" w:hAnsi="Palatino Linotype" w:cs="Times New Roman"/>
          <w:sz w:val="24"/>
          <w:szCs w:val="24"/>
        </w:rPr>
        <w:t xml:space="preserve"> </w:t>
      </w:r>
      <w:r w:rsidR="001B5AD7" w:rsidRPr="005D75EB">
        <w:rPr>
          <w:rFonts w:ascii="Palatino Linotype" w:hAnsi="Palatino Linotype" w:cs="Times New Roman"/>
          <w:sz w:val="24"/>
          <w:szCs w:val="24"/>
        </w:rPr>
        <w:t>a significant lack of resources in community-based organisation</w:t>
      </w:r>
      <w:r w:rsidR="00D7659E" w:rsidRPr="005D75EB">
        <w:rPr>
          <w:rFonts w:ascii="Palatino Linotype" w:hAnsi="Palatino Linotype" w:cs="Times New Roman"/>
          <w:sz w:val="24"/>
          <w:szCs w:val="24"/>
        </w:rPr>
        <w:t>s</w:t>
      </w:r>
      <w:r w:rsidR="001B5AD7" w:rsidRPr="005D75EB">
        <w:rPr>
          <w:rFonts w:ascii="Palatino Linotype" w:hAnsi="Palatino Linotype" w:cs="Times New Roman"/>
          <w:sz w:val="24"/>
          <w:szCs w:val="24"/>
        </w:rPr>
        <w:t xml:space="preserve"> to undertake in-depth legal analysis</w:t>
      </w:r>
      <w:r w:rsidR="00D7659E" w:rsidRPr="005D75EB">
        <w:rPr>
          <w:rFonts w:ascii="Palatino Linotype" w:hAnsi="Palatino Linotype" w:cs="Times New Roman"/>
          <w:sz w:val="24"/>
          <w:szCs w:val="24"/>
        </w:rPr>
        <w:t xml:space="preserve">. </w:t>
      </w:r>
      <w:r w:rsidR="00C715B0" w:rsidRPr="005D75EB">
        <w:rPr>
          <w:rFonts w:ascii="Palatino Linotype" w:hAnsi="Palatino Linotype" w:cs="Times New Roman"/>
          <w:sz w:val="24"/>
          <w:szCs w:val="24"/>
        </w:rPr>
        <w:t>It</w:t>
      </w:r>
      <w:r w:rsidR="001B5AD7" w:rsidRPr="005D75EB">
        <w:rPr>
          <w:rFonts w:ascii="Palatino Linotype" w:hAnsi="Palatino Linotype" w:cs="Times New Roman"/>
          <w:sz w:val="24"/>
          <w:szCs w:val="24"/>
        </w:rPr>
        <w:t xml:space="preserve"> </w:t>
      </w:r>
      <w:r w:rsidR="00D7659E" w:rsidRPr="005D75EB">
        <w:rPr>
          <w:rFonts w:ascii="Palatino Linotype" w:hAnsi="Palatino Linotype" w:cs="Times New Roman"/>
          <w:sz w:val="24"/>
          <w:szCs w:val="24"/>
        </w:rPr>
        <w:t>use</w:t>
      </w:r>
      <w:r w:rsidR="005573F6" w:rsidRPr="005D75EB">
        <w:rPr>
          <w:rFonts w:ascii="Palatino Linotype" w:hAnsi="Palatino Linotype" w:cs="Times New Roman"/>
          <w:sz w:val="24"/>
          <w:szCs w:val="24"/>
        </w:rPr>
        <w:t>s</w:t>
      </w:r>
      <w:r w:rsidR="00D7659E" w:rsidRPr="005D75EB">
        <w:rPr>
          <w:rFonts w:ascii="Palatino Linotype" w:hAnsi="Palatino Linotype" w:cs="Times New Roman"/>
          <w:sz w:val="24"/>
          <w:szCs w:val="24"/>
        </w:rPr>
        <w:t xml:space="preserve"> </w:t>
      </w:r>
      <w:r w:rsidR="00C715B0" w:rsidRPr="005D75EB">
        <w:rPr>
          <w:rFonts w:ascii="Palatino Linotype" w:hAnsi="Palatino Linotype" w:cs="Times New Roman"/>
          <w:sz w:val="24"/>
          <w:szCs w:val="24"/>
        </w:rPr>
        <w:t xml:space="preserve">an innovative model of </w:t>
      </w:r>
      <w:r w:rsidR="00D7659E" w:rsidRPr="005D75EB">
        <w:rPr>
          <w:rFonts w:ascii="Palatino Linotype" w:hAnsi="Palatino Linotype" w:cs="Times New Roman"/>
          <w:sz w:val="24"/>
          <w:szCs w:val="24"/>
        </w:rPr>
        <w:t xml:space="preserve">clinical legal education to </w:t>
      </w:r>
      <w:r w:rsidR="001B5AD7" w:rsidRPr="005D75EB">
        <w:rPr>
          <w:rFonts w:ascii="Palatino Linotype" w:hAnsi="Palatino Linotype" w:cs="Times New Roman"/>
          <w:sz w:val="24"/>
          <w:szCs w:val="24"/>
        </w:rPr>
        <w:t xml:space="preserve">harness the </w:t>
      </w:r>
      <w:r w:rsidR="00D7659E" w:rsidRPr="005D75EB">
        <w:rPr>
          <w:rFonts w:ascii="Palatino Linotype" w:hAnsi="Palatino Linotype" w:cs="Times New Roman"/>
          <w:sz w:val="24"/>
          <w:szCs w:val="24"/>
        </w:rPr>
        <w:t xml:space="preserve">skills of law students to fill that gap and to expose a new generation of lawyers to the emerging field </w:t>
      </w:r>
      <w:r w:rsidR="0088185D" w:rsidRPr="005D75EB">
        <w:rPr>
          <w:rFonts w:ascii="Palatino Linotype" w:hAnsi="Palatino Linotype" w:cs="Times New Roman"/>
          <w:sz w:val="24"/>
          <w:szCs w:val="24"/>
        </w:rPr>
        <w:t>of disability human rights law</w:t>
      </w:r>
      <w:r w:rsidR="001D286B" w:rsidRPr="005D75EB">
        <w:rPr>
          <w:rFonts w:ascii="Palatino Linotype" w:hAnsi="Palatino Linotype" w:cs="Times New Roman"/>
          <w:sz w:val="24"/>
          <w:szCs w:val="24"/>
        </w:rPr>
        <w:t>.</w:t>
      </w:r>
      <w:r w:rsidR="005573F6" w:rsidRPr="005D75EB">
        <w:rPr>
          <w:rStyle w:val="FootnoteReference"/>
          <w:rFonts w:ascii="Palatino Linotype" w:hAnsi="Palatino Linotype" w:cs="Times New Roman"/>
          <w:sz w:val="24"/>
          <w:szCs w:val="24"/>
        </w:rPr>
        <w:footnoteReference w:id="1"/>
      </w:r>
      <w:r w:rsidR="001B5AD7" w:rsidRPr="005D75EB">
        <w:rPr>
          <w:rFonts w:ascii="Palatino Linotype" w:hAnsi="Palatino Linotype" w:cs="Times New Roman"/>
          <w:sz w:val="24"/>
          <w:szCs w:val="24"/>
        </w:rPr>
        <w:t xml:space="preserve"> </w:t>
      </w:r>
      <w:r w:rsidR="00965E33" w:rsidRPr="005D75EB">
        <w:rPr>
          <w:rFonts w:ascii="Palatino Linotype" w:hAnsi="Palatino Linotype" w:cs="Times New Roman"/>
          <w:sz w:val="24"/>
          <w:szCs w:val="24"/>
        </w:rPr>
        <w:t xml:space="preserve">In this article, we draw on our experiences running the DHRC </w:t>
      </w:r>
      <w:r w:rsidR="004F5023" w:rsidRPr="005D75EB">
        <w:rPr>
          <w:rFonts w:ascii="Palatino Linotype" w:hAnsi="Palatino Linotype" w:cs="Times New Roman"/>
          <w:sz w:val="24"/>
          <w:szCs w:val="24"/>
        </w:rPr>
        <w:t xml:space="preserve">to </w:t>
      </w:r>
      <w:r w:rsidR="00965E33" w:rsidRPr="005D75EB">
        <w:rPr>
          <w:rFonts w:ascii="Palatino Linotype" w:hAnsi="Palatino Linotype" w:cs="Times New Roman"/>
          <w:sz w:val="24"/>
          <w:szCs w:val="24"/>
        </w:rPr>
        <w:t>argue that t</w:t>
      </w:r>
      <w:r w:rsidR="009A0541" w:rsidRPr="005D75EB">
        <w:rPr>
          <w:rFonts w:ascii="Palatino Linotype" w:hAnsi="Palatino Linotype" w:cs="Times New Roman"/>
          <w:sz w:val="24"/>
          <w:szCs w:val="24"/>
        </w:rPr>
        <w:t>he model</w:t>
      </w:r>
      <w:r w:rsidR="00965E33" w:rsidRPr="005D75EB">
        <w:rPr>
          <w:rFonts w:ascii="Palatino Linotype" w:hAnsi="Palatino Linotype" w:cs="Times New Roman"/>
          <w:sz w:val="24"/>
          <w:szCs w:val="24"/>
        </w:rPr>
        <w:t xml:space="preserve"> it establishes</w:t>
      </w:r>
      <w:r w:rsidR="009A0541" w:rsidRPr="005D75EB">
        <w:rPr>
          <w:rFonts w:ascii="Palatino Linotype" w:hAnsi="Palatino Linotype" w:cs="Times New Roman"/>
          <w:sz w:val="24"/>
          <w:szCs w:val="24"/>
        </w:rPr>
        <w:t xml:space="preserve"> can create significant scholarly output in the human </w:t>
      </w:r>
      <w:r w:rsidR="009A0541" w:rsidRPr="005D75EB">
        <w:rPr>
          <w:rFonts w:ascii="Palatino Linotype" w:hAnsi="Palatino Linotype" w:cs="Times New Roman"/>
          <w:sz w:val="24"/>
          <w:szCs w:val="24"/>
        </w:rPr>
        <w:lastRenderedPageBreak/>
        <w:t xml:space="preserve">rights field, </w:t>
      </w:r>
      <w:proofErr w:type="gramStart"/>
      <w:r w:rsidR="009A0541" w:rsidRPr="005D75EB">
        <w:rPr>
          <w:rFonts w:ascii="Palatino Linotype" w:hAnsi="Palatino Linotype" w:cs="Times New Roman"/>
          <w:sz w:val="24"/>
          <w:szCs w:val="24"/>
        </w:rPr>
        <w:t>direct</w:t>
      </w:r>
      <w:proofErr w:type="gramEnd"/>
      <w:r w:rsidR="009A0541" w:rsidRPr="005D75EB">
        <w:rPr>
          <w:rFonts w:ascii="Palatino Linotype" w:hAnsi="Palatino Linotype" w:cs="Times New Roman"/>
          <w:sz w:val="24"/>
          <w:szCs w:val="24"/>
        </w:rPr>
        <w:t xml:space="preserve"> engagement with the community, and rich doctrinal and experiential learning for students.  </w:t>
      </w:r>
    </w:p>
    <w:p w14:paraId="0FCC68F2" w14:textId="5A851E6A" w:rsidR="005E4CFB" w:rsidRPr="005D75EB" w:rsidRDefault="009A0541" w:rsidP="005D75EB">
      <w:pPr>
        <w:spacing w:line="480" w:lineRule="auto"/>
        <w:jc w:val="both"/>
        <w:rPr>
          <w:rFonts w:ascii="Palatino Linotype" w:hAnsi="Palatino Linotype" w:cs="Times New Roman"/>
          <w:sz w:val="24"/>
          <w:szCs w:val="24"/>
        </w:rPr>
      </w:pPr>
      <w:r w:rsidRPr="005D75EB">
        <w:rPr>
          <w:rFonts w:ascii="Palatino Linotype" w:hAnsi="Palatino Linotype" w:cs="Times New Roman"/>
          <w:sz w:val="24"/>
          <w:szCs w:val="24"/>
        </w:rPr>
        <w:t xml:space="preserve">The work of the DHRC is </w:t>
      </w:r>
      <w:r w:rsidR="0088185D" w:rsidRPr="005D75EB">
        <w:rPr>
          <w:rFonts w:ascii="Palatino Linotype" w:hAnsi="Palatino Linotype" w:cs="Times New Roman"/>
          <w:sz w:val="24"/>
          <w:szCs w:val="24"/>
        </w:rPr>
        <w:t>guided by the</w:t>
      </w:r>
      <w:r w:rsidR="00616EFC" w:rsidRPr="005D75EB">
        <w:rPr>
          <w:rFonts w:ascii="Palatino Linotype" w:hAnsi="Palatino Linotype" w:cs="Times New Roman"/>
          <w:sz w:val="24"/>
          <w:szCs w:val="24"/>
        </w:rPr>
        <w:t xml:space="preserve"> U</w:t>
      </w:r>
      <w:r w:rsidR="00812F31" w:rsidRPr="005D75EB">
        <w:rPr>
          <w:rFonts w:ascii="Palatino Linotype" w:hAnsi="Palatino Linotype" w:cs="Times New Roman"/>
          <w:sz w:val="24"/>
          <w:szCs w:val="24"/>
        </w:rPr>
        <w:t xml:space="preserve">nited </w:t>
      </w:r>
      <w:r w:rsidR="00616EFC" w:rsidRPr="005D75EB">
        <w:rPr>
          <w:rFonts w:ascii="Palatino Linotype" w:hAnsi="Palatino Linotype" w:cs="Times New Roman"/>
          <w:sz w:val="24"/>
          <w:szCs w:val="24"/>
        </w:rPr>
        <w:t>N</w:t>
      </w:r>
      <w:r w:rsidR="00812F31" w:rsidRPr="005D75EB">
        <w:rPr>
          <w:rFonts w:ascii="Palatino Linotype" w:hAnsi="Palatino Linotype" w:cs="Times New Roman"/>
          <w:sz w:val="24"/>
          <w:szCs w:val="24"/>
        </w:rPr>
        <w:t>ations</w:t>
      </w:r>
      <w:r w:rsidR="00616EFC" w:rsidRPr="005D75EB">
        <w:rPr>
          <w:rFonts w:ascii="Palatino Linotype" w:hAnsi="Palatino Linotype" w:cs="Times New Roman"/>
          <w:sz w:val="24"/>
          <w:szCs w:val="24"/>
        </w:rPr>
        <w:t xml:space="preserve"> </w:t>
      </w:r>
      <w:r w:rsidR="00616EFC" w:rsidRPr="005D75EB">
        <w:rPr>
          <w:rFonts w:ascii="Palatino Linotype" w:hAnsi="Palatino Linotype" w:cs="Times New Roman"/>
          <w:i/>
          <w:sz w:val="24"/>
          <w:szCs w:val="24"/>
        </w:rPr>
        <w:t>Convention on the Rights of Persons with Disabilities</w:t>
      </w:r>
      <w:r w:rsidR="00085965" w:rsidRPr="005D75EB">
        <w:rPr>
          <w:rFonts w:ascii="Palatino Linotype" w:hAnsi="Palatino Linotype" w:cs="Times New Roman"/>
          <w:sz w:val="24"/>
          <w:szCs w:val="24"/>
        </w:rPr>
        <w:t xml:space="preserve"> (CRPD)</w:t>
      </w:r>
      <w:r w:rsidRPr="005D75EB">
        <w:rPr>
          <w:rFonts w:ascii="Palatino Linotype" w:hAnsi="Palatino Linotype" w:cs="Times New Roman"/>
          <w:sz w:val="24"/>
          <w:szCs w:val="24"/>
        </w:rPr>
        <w:t>.</w:t>
      </w:r>
      <w:r w:rsidR="00BD2050" w:rsidRPr="005D75EB">
        <w:rPr>
          <w:rStyle w:val="FootnoteReference"/>
          <w:rFonts w:ascii="Palatino Linotype" w:hAnsi="Palatino Linotype" w:cs="Times New Roman"/>
          <w:sz w:val="24"/>
          <w:szCs w:val="24"/>
        </w:rPr>
        <w:footnoteReference w:id="2"/>
      </w:r>
      <w:r w:rsidRPr="005D75EB">
        <w:rPr>
          <w:rFonts w:ascii="Palatino Linotype" w:hAnsi="Palatino Linotype" w:cs="Times New Roman"/>
          <w:sz w:val="24"/>
          <w:szCs w:val="24"/>
        </w:rPr>
        <w:t xml:space="preserve"> The CRPD</w:t>
      </w:r>
      <w:r w:rsidR="00616EFC" w:rsidRPr="005D75EB">
        <w:rPr>
          <w:rFonts w:ascii="Palatino Linotype" w:hAnsi="Palatino Linotype" w:cs="Times New Roman"/>
          <w:sz w:val="24"/>
          <w:szCs w:val="24"/>
        </w:rPr>
        <w:t xml:space="preserve"> obliges</w:t>
      </w:r>
      <w:r w:rsidR="00C41205" w:rsidRPr="005D75EB">
        <w:rPr>
          <w:rFonts w:ascii="Palatino Linotype" w:hAnsi="Palatino Linotype" w:cs="Times New Roman"/>
          <w:sz w:val="24"/>
          <w:szCs w:val="24"/>
        </w:rPr>
        <w:t xml:space="preserve"> governments</w:t>
      </w:r>
      <w:r w:rsidR="00616EFC" w:rsidRPr="005D75EB">
        <w:rPr>
          <w:rFonts w:ascii="Palatino Linotype" w:hAnsi="Palatino Linotype" w:cs="Times New Roman"/>
          <w:sz w:val="24"/>
          <w:szCs w:val="24"/>
        </w:rPr>
        <w:t xml:space="preserve"> around the world to</w:t>
      </w:r>
      <w:r w:rsidR="00355BC7" w:rsidRPr="005D75EB">
        <w:rPr>
          <w:rFonts w:ascii="Palatino Linotype" w:hAnsi="Palatino Linotype" w:cs="Times New Roman"/>
          <w:sz w:val="24"/>
          <w:szCs w:val="24"/>
        </w:rPr>
        <w:t xml:space="preserve"> respect, protect and fulfil the civil, political, economic, social and cultural rights of persons with disabilities. </w:t>
      </w:r>
      <w:r w:rsidR="005B24BA" w:rsidRPr="005D75EB">
        <w:rPr>
          <w:rFonts w:ascii="Palatino Linotype" w:hAnsi="Palatino Linotype" w:cs="Times New Roman"/>
          <w:sz w:val="24"/>
          <w:szCs w:val="24"/>
        </w:rPr>
        <w:t>T</w:t>
      </w:r>
      <w:r w:rsidR="00085965" w:rsidRPr="005D75EB">
        <w:rPr>
          <w:rFonts w:ascii="Palatino Linotype" w:hAnsi="Palatino Linotype" w:cs="Times New Roman"/>
          <w:sz w:val="24"/>
          <w:szCs w:val="24"/>
        </w:rPr>
        <w:t>he CRPD</w:t>
      </w:r>
      <w:r w:rsidR="00355BC7" w:rsidRPr="005D75EB">
        <w:rPr>
          <w:rFonts w:ascii="Palatino Linotype" w:hAnsi="Palatino Linotype" w:cs="Times New Roman"/>
          <w:sz w:val="24"/>
          <w:szCs w:val="24"/>
        </w:rPr>
        <w:t xml:space="preserve"> emerged as a response to persistent and serious violations of the human rights of persons with disabilities worldwide.</w:t>
      </w:r>
      <w:r w:rsidR="00302D98" w:rsidRPr="005D75EB">
        <w:rPr>
          <w:rStyle w:val="FootnoteReference"/>
          <w:rFonts w:ascii="Palatino Linotype" w:hAnsi="Palatino Linotype" w:cs="Times New Roman"/>
          <w:sz w:val="24"/>
          <w:szCs w:val="24"/>
        </w:rPr>
        <w:footnoteReference w:id="3"/>
      </w:r>
      <w:r w:rsidR="00E5431C" w:rsidRPr="005D75EB">
        <w:rPr>
          <w:rFonts w:ascii="Palatino Linotype" w:hAnsi="Palatino Linotype" w:cs="Times New Roman"/>
          <w:sz w:val="24"/>
          <w:szCs w:val="24"/>
        </w:rPr>
        <w:t xml:space="preserve"> </w:t>
      </w:r>
      <w:r w:rsidR="005B24BA" w:rsidRPr="005D75EB">
        <w:rPr>
          <w:rFonts w:ascii="Palatino Linotype" w:hAnsi="Palatino Linotype" w:cs="Times New Roman"/>
          <w:sz w:val="24"/>
          <w:szCs w:val="24"/>
        </w:rPr>
        <w:t>It does not create any rights that were not already guaranteed under ex</w:t>
      </w:r>
      <w:r w:rsidR="003D1F77" w:rsidRPr="005D75EB">
        <w:rPr>
          <w:rFonts w:ascii="Palatino Linotype" w:hAnsi="Palatino Linotype" w:cs="Times New Roman"/>
          <w:sz w:val="24"/>
          <w:szCs w:val="24"/>
        </w:rPr>
        <w:t>isting human rights instruments, including the Universal Declaration of Human Rights,</w:t>
      </w:r>
      <w:r w:rsidR="00061FB4" w:rsidRPr="005D75EB">
        <w:rPr>
          <w:rStyle w:val="FootnoteReference"/>
          <w:rFonts w:ascii="Palatino Linotype" w:hAnsi="Palatino Linotype" w:cs="Times New Roman"/>
          <w:sz w:val="24"/>
          <w:szCs w:val="24"/>
        </w:rPr>
        <w:footnoteReference w:id="4"/>
      </w:r>
      <w:r w:rsidR="003D1F77" w:rsidRPr="005D75EB">
        <w:rPr>
          <w:rFonts w:ascii="Palatino Linotype" w:hAnsi="Palatino Linotype" w:cs="Times New Roman"/>
          <w:sz w:val="24"/>
          <w:szCs w:val="24"/>
        </w:rPr>
        <w:t xml:space="preserve"> the </w:t>
      </w:r>
      <w:r w:rsidR="003E72A6" w:rsidRPr="005D75EB">
        <w:rPr>
          <w:rFonts w:ascii="Palatino Linotype" w:hAnsi="Palatino Linotype" w:cs="Times New Roman"/>
          <w:i/>
          <w:sz w:val="24"/>
          <w:szCs w:val="24"/>
        </w:rPr>
        <w:t xml:space="preserve">International Covenant on </w:t>
      </w:r>
      <w:r w:rsidR="003D1F77" w:rsidRPr="005D75EB">
        <w:rPr>
          <w:rFonts w:ascii="Palatino Linotype" w:hAnsi="Palatino Linotype" w:cs="Times New Roman"/>
          <w:i/>
          <w:sz w:val="24"/>
          <w:szCs w:val="24"/>
        </w:rPr>
        <w:t>Civil and Political Rights</w:t>
      </w:r>
      <w:r w:rsidR="005140CF" w:rsidRPr="005D75EB">
        <w:rPr>
          <w:rFonts w:ascii="Palatino Linotype" w:hAnsi="Palatino Linotype" w:cs="Times New Roman"/>
          <w:i/>
          <w:sz w:val="24"/>
          <w:szCs w:val="24"/>
        </w:rPr>
        <w:t xml:space="preserve"> </w:t>
      </w:r>
      <w:r w:rsidR="005140CF" w:rsidRPr="005D75EB">
        <w:rPr>
          <w:rFonts w:ascii="Palatino Linotype" w:hAnsi="Palatino Linotype" w:cs="Times New Roman"/>
          <w:sz w:val="24"/>
          <w:szCs w:val="24"/>
        </w:rPr>
        <w:t>(ICCPR)</w:t>
      </w:r>
      <w:r w:rsidR="003D1F77" w:rsidRPr="005D75EB">
        <w:rPr>
          <w:rFonts w:ascii="Palatino Linotype" w:hAnsi="Palatino Linotype" w:cs="Times New Roman"/>
          <w:sz w:val="24"/>
          <w:szCs w:val="24"/>
        </w:rPr>
        <w:t>,</w:t>
      </w:r>
      <w:r w:rsidR="00061FB4" w:rsidRPr="005D75EB">
        <w:rPr>
          <w:rStyle w:val="FootnoteReference"/>
          <w:rFonts w:ascii="Palatino Linotype" w:hAnsi="Palatino Linotype" w:cs="Times New Roman"/>
          <w:sz w:val="24"/>
          <w:szCs w:val="24"/>
        </w:rPr>
        <w:footnoteReference w:id="5"/>
      </w:r>
      <w:r w:rsidR="003D1F77" w:rsidRPr="005D75EB">
        <w:rPr>
          <w:rFonts w:ascii="Palatino Linotype" w:hAnsi="Palatino Linotype" w:cs="Times New Roman"/>
          <w:sz w:val="24"/>
          <w:szCs w:val="24"/>
        </w:rPr>
        <w:t xml:space="preserve"> and the </w:t>
      </w:r>
      <w:r w:rsidR="003E72A6" w:rsidRPr="005D75EB">
        <w:rPr>
          <w:rFonts w:ascii="Palatino Linotype" w:hAnsi="Palatino Linotype" w:cs="Times New Roman"/>
          <w:i/>
          <w:sz w:val="24"/>
          <w:szCs w:val="24"/>
        </w:rPr>
        <w:t>International Covenant on</w:t>
      </w:r>
      <w:r w:rsidR="003D1F77" w:rsidRPr="005D75EB">
        <w:rPr>
          <w:rFonts w:ascii="Palatino Linotype" w:hAnsi="Palatino Linotype" w:cs="Times New Roman"/>
          <w:i/>
          <w:sz w:val="24"/>
          <w:szCs w:val="24"/>
        </w:rPr>
        <w:t xml:space="preserve"> Economic, Social, and Cultural Rights</w:t>
      </w:r>
      <w:r w:rsidR="005140CF" w:rsidRPr="005D75EB">
        <w:rPr>
          <w:rFonts w:ascii="Palatino Linotype" w:hAnsi="Palatino Linotype" w:cs="Times New Roman"/>
          <w:sz w:val="24"/>
          <w:szCs w:val="24"/>
        </w:rPr>
        <w:t xml:space="preserve"> (ICESCR)</w:t>
      </w:r>
      <w:r w:rsidR="003D1F77" w:rsidRPr="005D75EB">
        <w:rPr>
          <w:rFonts w:ascii="Palatino Linotype" w:hAnsi="Palatino Linotype" w:cs="Times New Roman"/>
          <w:i/>
          <w:sz w:val="24"/>
          <w:szCs w:val="24"/>
        </w:rPr>
        <w:t>.</w:t>
      </w:r>
      <w:r w:rsidR="005B24BA" w:rsidRPr="005D75EB">
        <w:rPr>
          <w:rStyle w:val="FootnoteReference"/>
          <w:rFonts w:ascii="Palatino Linotype" w:hAnsi="Palatino Linotype" w:cs="Times New Roman"/>
          <w:sz w:val="24"/>
          <w:szCs w:val="24"/>
        </w:rPr>
        <w:footnoteReference w:id="6"/>
      </w:r>
      <w:r w:rsidR="005B24BA" w:rsidRPr="005D75EB">
        <w:rPr>
          <w:rFonts w:ascii="Palatino Linotype" w:hAnsi="Palatino Linotype" w:cs="Times New Roman"/>
          <w:sz w:val="24"/>
          <w:szCs w:val="24"/>
        </w:rPr>
        <w:t xml:space="preserve"> </w:t>
      </w:r>
      <w:r w:rsidR="00F0043B" w:rsidRPr="005D75EB">
        <w:rPr>
          <w:rFonts w:ascii="Palatino Linotype" w:hAnsi="Palatino Linotype" w:cs="Times New Roman"/>
          <w:sz w:val="24"/>
          <w:szCs w:val="24"/>
        </w:rPr>
        <w:t>H</w:t>
      </w:r>
      <w:r w:rsidR="005B24BA" w:rsidRPr="005D75EB">
        <w:rPr>
          <w:rFonts w:ascii="Palatino Linotype" w:hAnsi="Palatino Linotype" w:cs="Times New Roman"/>
          <w:sz w:val="24"/>
          <w:szCs w:val="24"/>
        </w:rPr>
        <w:t>owever</w:t>
      </w:r>
      <w:r w:rsidR="00F0043B" w:rsidRPr="005D75EB">
        <w:rPr>
          <w:rFonts w:ascii="Palatino Linotype" w:hAnsi="Palatino Linotype" w:cs="Times New Roman"/>
          <w:sz w:val="24"/>
          <w:szCs w:val="24"/>
        </w:rPr>
        <w:t>,</w:t>
      </w:r>
      <w:r w:rsidR="005B24BA" w:rsidRPr="005D75EB">
        <w:rPr>
          <w:rFonts w:ascii="Palatino Linotype" w:hAnsi="Palatino Linotype" w:cs="Times New Roman"/>
          <w:sz w:val="24"/>
          <w:szCs w:val="24"/>
        </w:rPr>
        <w:t xml:space="preserve"> </w:t>
      </w:r>
      <w:r w:rsidR="00F0043B" w:rsidRPr="005D75EB">
        <w:rPr>
          <w:rFonts w:ascii="Palatino Linotype" w:hAnsi="Palatino Linotype" w:cs="Times New Roman"/>
          <w:sz w:val="24"/>
          <w:szCs w:val="24"/>
        </w:rPr>
        <w:t>the CRPD</w:t>
      </w:r>
      <w:r w:rsidR="005B24BA" w:rsidRPr="005D75EB">
        <w:rPr>
          <w:rFonts w:ascii="Palatino Linotype" w:hAnsi="Palatino Linotype" w:cs="Times New Roman"/>
          <w:sz w:val="24"/>
          <w:szCs w:val="24"/>
        </w:rPr>
        <w:t xml:space="preserve"> does enumerate them in a novel manner, specifically tailored to the barriers that </w:t>
      </w:r>
      <w:r w:rsidR="0054300A" w:rsidRPr="005D75EB">
        <w:rPr>
          <w:rFonts w:ascii="Palatino Linotype" w:hAnsi="Palatino Linotype" w:cs="Times New Roman"/>
          <w:sz w:val="24"/>
          <w:szCs w:val="24"/>
        </w:rPr>
        <w:t xml:space="preserve">persons </w:t>
      </w:r>
      <w:r w:rsidR="005B24BA" w:rsidRPr="005D75EB">
        <w:rPr>
          <w:rFonts w:ascii="Palatino Linotype" w:hAnsi="Palatino Linotype" w:cs="Times New Roman"/>
          <w:sz w:val="24"/>
          <w:szCs w:val="24"/>
        </w:rPr>
        <w:t>with disabilities face to the realisation of their human rights.</w:t>
      </w:r>
      <w:bookmarkStart w:id="1" w:name="_Ref508782415"/>
      <w:r w:rsidR="005B24BA" w:rsidRPr="005D75EB">
        <w:rPr>
          <w:rStyle w:val="FootnoteReference"/>
          <w:rFonts w:ascii="Palatino Linotype" w:hAnsi="Palatino Linotype" w:cs="Times New Roman"/>
          <w:sz w:val="24"/>
          <w:szCs w:val="24"/>
        </w:rPr>
        <w:footnoteReference w:id="7"/>
      </w:r>
      <w:bookmarkEnd w:id="1"/>
      <w:r w:rsidR="005B24BA" w:rsidRPr="005D75EB">
        <w:rPr>
          <w:rFonts w:ascii="Palatino Linotype" w:hAnsi="Palatino Linotype" w:cs="Times New Roman"/>
          <w:sz w:val="24"/>
          <w:szCs w:val="24"/>
        </w:rPr>
        <w:t xml:space="preserve"> </w:t>
      </w:r>
      <w:r w:rsidR="00E5431C" w:rsidRPr="005D75EB">
        <w:rPr>
          <w:rFonts w:ascii="Palatino Linotype" w:hAnsi="Palatino Linotype" w:cs="Times New Roman"/>
          <w:sz w:val="24"/>
          <w:szCs w:val="24"/>
        </w:rPr>
        <w:t>The creation and passage of the CRPD was a victory for the international disability rights movement, with persons with disabilit</w:t>
      </w:r>
      <w:r w:rsidR="0091708A" w:rsidRPr="005D75EB">
        <w:rPr>
          <w:rFonts w:ascii="Palatino Linotype" w:hAnsi="Palatino Linotype" w:cs="Times New Roman"/>
          <w:sz w:val="24"/>
          <w:szCs w:val="24"/>
        </w:rPr>
        <w:t>ies</w:t>
      </w:r>
      <w:r w:rsidR="00E5431C" w:rsidRPr="005D75EB">
        <w:rPr>
          <w:rFonts w:ascii="Palatino Linotype" w:hAnsi="Palatino Linotype" w:cs="Times New Roman"/>
          <w:sz w:val="24"/>
          <w:szCs w:val="24"/>
        </w:rPr>
        <w:t xml:space="preserve"> and their representative organisations playing a major role in </w:t>
      </w:r>
      <w:r w:rsidR="00CA298B" w:rsidRPr="005D75EB">
        <w:rPr>
          <w:rFonts w:ascii="Palatino Linotype" w:hAnsi="Palatino Linotype" w:cs="Times New Roman"/>
          <w:sz w:val="24"/>
          <w:szCs w:val="24"/>
        </w:rPr>
        <w:t xml:space="preserve">the </w:t>
      </w:r>
      <w:r w:rsidR="00CA298B" w:rsidRPr="005D75EB">
        <w:rPr>
          <w:rFonts w:ascii="Palatino Linotype" w:hAnsi="Palatino Linotype" w:cs="Times New Roman"/>
          <w:sz w:val="24"/>
          <w:szCs w:val="24"/>
        </w:rPr>
        <w:lastRenderedPageBreak/>
        <w:t>initiation</w:t>
      </w:r>
      <w:r w:rsidR="00145BBD" w:rsidRPr="005D75EB">
        <w:rPr>
          <w:rFonts w:ascii="Palatino Linotype" w:hAnsi="Palatino Linotype" w:cs="Times New Roman"/>
          <w:sz w:val="24"/>
          <w:szCs w:val="24"/>
        </w:rPr>
        <w:t xml:space="preserve"> and drafting of the instrument.</w:t>
      </w:r>
      <w:r w:rsidR="00145BBD" w:rsidRPr="005D75EB">
        <w:rPr>
          <w:rStyle w:val="FootnoteReference"/>
          <w:rFonts w:ascii="Palatino Linotype" w:hAnsi="Palatino Linotype" w:cs="Times New Roman"/>
          <w:sz w:val="24"/>
          <w:szCs w:val="24"/>
        </w:rPr>
        <w:footnoteReference w:id="8"/>
      </w:r>
      <w:r w:rsidR="00CA298B" w:rsidRPr="005D75EB">
        <w:rPr>
          <w:rFonts w:ascii="Palatino Linotype" w:hAnsi="Palatino Linotype" w:cs="Times New Roman"/>
          <w:sz w:val="24"/>
          <w:szCs w:val="24"/>
        </w:rPr>
        <w:t xml:space="preserve"> </w:t>
      </w:r>
      <w:r w:rsidR="00C92904" w:rsidRPr="005D75EB">
        <w:rPr>
          <w:rFonts w:ascii="Palatino Linotype" w:hAnsi="Palatino Linotype" w:cs="Times New Roman"/>
          <w:sz w:val="24"/>
          <w:szCs w:val="24"/>
        </w:rPr>
        <w:t>The</w:t>
      </w:r>
      <w:r w:rsidR="00C41205" w:rsidRPr="005D75EB">
        <w:rPr>
          <w:rFonts w:ascii="Palatino Linotype" w:hAnsi="Palatino Linotype" w:cs="Times New Roman"/>
          <w:sz w:val="24"/>
          <w:szCs w:val="24"/>
        </w:rPr>
        <w:t xml:space="preserve"> role </w:t>
      </w:r>
      <w:r w:rsidR="00C92904" w:rsidRPr="005D75EB">
        <w:rPr>
          <w:rFonts w:ascii="Palatino Linotype" w:hAnsi="Palatino Linotype" w:cs="Times New Roman"/>
          <w:sz w:val="24"/>
          <w:szCs w:val="24"/>
        </w:rPr>
        <w:t>of persons with disabilities</w:t>
      </w:r>
      <w:r w:rsidR="00C41205" w:rsidRPr="005D75EB">
        <w:rPr>
          <w:rFonts w:ascii="Palatino Linotype" w:hAnsi="Palatino Linotype" w:cs="Times New Roman"/>
          <w:sz w:val="24"/>
          <w:szCs w:val="24"/>
        </w:rPr>
        <w:t xml:space="preserve"> </w:t>
      </w:r>
      <w:r w:rsidR="00C92904" w:rsidRPr="005D75EB">
        <w:rPr>
          <w:rFonts w:ascii="Palatino Linotype" w:hAnsi="Palatino Linotype" w:cs="Times New Roman"/>
          <w:sz w:val="24"/>
          <w:szCs w:val="24"/>
        </w:rPr>
        <w:t>did not end</w:t>
      </w:r>
      <w:r w:rsidR="00C41205" w:rsidRPr="005D75EB">
        <w:rPr>
          <w:rFonts w:ascii="Palatino Linotype" w:hAnsi="Palatino Linotype" w:cs="Times New Roman"/>
          <w:sz w:val="24"/>
          <w:szCs w:val="24"/>
        </w:rPr>
        <w:t xml:space="preserve"> when the CRPD entered into force in 2008</w:t>
      </w:r>
      <w:r w:rsidR="00C92904" w:rsidRPr="005D75EB">
        <w:rPr>
          <w:rFonts w:ascii="Palatino Linotype" w:hAnsi="Palatino Linotype" w:cs="Times New Roman"/>
          <w:sz w:val="24"/>
          <w:szCs w:val="24"/>
        </w:rPr>
        <w:t>;</w:t>
      </w:r>
      <w:r w:rsidR="00C41205" w:rsidRPr="005D75EB">
        <w:rPr>
          <w:rFonts w:ascii="Palatino Linotype" w:hAnsi="Palatino Linotype" w:cs="Times New Roman"/>
          <w:sz w:val="24"/>
          <w:szCs w:val="24"/>
        </w:rPr>
        <w:t xml:space="preserve"> th</w:t>
      </w:r>
      <w:r w:rsidR="00A12D5F" w:rsidRPr="005D75EB">
        <w:rPr>
          <w:rFonts w:ascii="Palatino Linotype" w:hAnsi="Palatino Linotype" w:cs="Times New Roman"/>
          <w:sz w:val="24"/>
          <w:szCs w:val="24"/>
        </w:rPr>
        <w:t xml:space="preserve">e CRPD obliges </w:t>
      </w:r>
      <w:r w:rsidR="00C41205" w:rsidRPr="005D75EB">
        <w:rPr>
          <w:rFonts w:ascii="Palatino Linotype" w:hAnsi="Palatino Linotype" w:cs="Times New Roman"/>
          <w:sz w:val="24"/>
          <w:szCs w:val="24"/>
        </w:rPr>
        <w:t xml:space="preserve">governments to </w:t>
      </w:r>
      <w:r w:rsidR="0075451F" w:rsidRPr="005D75EB">
        <w:rPr>
          <w:rFonts w:ascii="Palatino Linotype" w:hAnsi="Palatino Linotype" w:cs="Times New Roman"/>
          <w:sz w:val="24"/>
          <w:szCs w:val="24"/>
        </w:rPr>
        <w:t xml:space="preserve">involve them in all aspects </w:t>
      </w:r>
      <w:r w:rsidR="009857A9" w:rsidRPr="005D75EB">
        <w:rPr>
          <w:rFonts w:ascii="Palatino Linotype" w:hAnsi="Palatino Linotype" w:cs="Times New Roman"/>
          <w:sz w:val="24"/>
          <w:szCs w:val="24"/>
        </w:rPr>
        <w:t>of implementing the CRPD and monitoring the rights and circumstances of persons with disabilities.</w:t>
      </w:r>
      <w:r w:rsidR="009857A9" w:rsidRPr="005D75EB">
        <w:rPr>
          <w:rStyle w:val="FootnoteReference"/>
          <w:rFonts w:ascii="Palatino Linotype" w:hAnsi="Palatino Linotype" w:cs="Times New Roman"/>
          <w:sz w:val="24"/>
          <w:szCs w:val="24"/>
        </w:rPr>
        <w:footnoteReference w:id="9"/>
      </w:r>
    </w:p>
    <w:p w14:paraId="2FE2CDC7" w14:textId="2B2C610E" w:rsidR="00404D98" w:rsidRPr="005D75EB" w:rsidRDefault="005E4CFB" w:rsidP="005D75EB">
      <w:pPr>
        <w:spacing w:line="480" w:lineRule="auto"/>
        <w:jc w:val="both"/>
        <w:rPr>
          <w:rFonts w:ascii="Palatino Linotype" w:hAnsi="Palatino Linotype" w:cs="Times New Roman"/>
          <w:sz w:val="24"/>
          <w:szCs w:val="24"/>
        </w:rPr>
      </w:pPr>
      <w:r w:rsidRPr="005D75EB">
        <w:rPr>
          <w:rFonts w:ascii="Palatino Linotype" w:hAnsi="Palatino Linotype" w:cs="Times New Roman"/>
          <w:sz w:val="24"/>
          <w:szCs w:val="24"/>
        </w:rPr>
        <w:t xml:space="preserve">In this article, we argue that clinical legal education </w:t>
      </w:r>
      <w:r w:rsidR="00B00F96" w:rsidRPr="005D75EB">
        <w:rPr>
          <w:rFonts w:ascii="Palatino Linotype" w:hAnsi="Palatino Linotype" w:cs="Times New Roman"/>
          <w:sz w:val="24"/>
          <w:szCs w:val="24"/>
        </w:rPr>
        <w:t xml:space="preserve">offers a </w:t>
      </w:r>
      <w:r w:rsidR="008D1BB6" w:rsidRPr="005D75EB">
        <w:rPr>
          <w:rFonts w:ascii="Palatino Linotype" w:hAnsi="Palatino Linotype" w:cs="Times New Roman"/>
          <w:sz w:val="24"/>
          <w:szCs w:val="24"/>
        </w:rPr>
        <w:t>valuable avenue to</w:t>
      </w:r>
      <w:r w:rsidR="008D6884" w:rsidRPr="005D75EB">
        <w:rPr>
          <w:rFonts w:ascii="Palatino Linotype" w:hAnsi="Palatino Linotype" w:cs="Times New Roman"/>
          <w:sz w:val="24"/>
          <w:szCs w:val="24"/>
        </w:rPr>
        <w:t xml:space="preserve"> pursue the implementation of the CRPD at the local and national level, and particularly to</w:t>
      </w:r>
      <w:r w:rsidR="008D1BB6" w:rsidRPr="005D75EB">
        <w:rPr>
          <w:rFonts w:ascii="Palatino Linotype" w:hAnsi="Palatino Linotype" w:cs="Times New Roman"/>
          <w:sz w:val="24"/>
          <w:szCs w:val="24"/>
        </w:rPr>
        <w:t xml:space="preserve"> support persons with disabilities and their representative organisations to advocate for their rights and participate in the CRPD implementation and monitoring process.</w:t>
      </w:r>
      <w:r w:rsidR="00812F31" w:rsidRPr="005D75EB">
        <w:rPr>
          <w:rFonts w:ascii="Palatino Linotype" w:hAnsi="Palatino Linotype" w:cs="Times New Roman"/>
          <w:sz w:val="24"/>
          <w:szCs w:val="24"/>
        </w:rPr>
        <w:t xml:space="preserve"> At the same time, it can provide rich experiential learning to students and</w:t>
      </w:r>
      <w:r w:rsidR="00D876B4" w:rsidRPr="005D75EB">
        <w:rPr>
          <w:rFonts w:ascii="Palatino Linotype" w:hAnsi="Palatino Linotype" w:cs="Times New Roman"/>
          <w:sz w:val="24"/>
          <w:szCs w:val="24"/>
        </w:rPr>
        <w:t xml:space="preserve"> meet universities’ goal of engaging more meaningfully with the community</w:t>
      </w:r>
      <w:r w:rsidR="00812F31" w:rsidRPr="005D75EB">
        <w:rPr>
          <w:rFonts w:ascii="Palatino Linotype" w:hAnsi="Palatino Linotype" w:cs="Times New Roman"/>
          <w:sz w:val="24"/>
          <w:szCs w:val="24"/>
        </w:rPr>
        <w:t>.</w:t>
      </w:r>
      <w:r w:rsidR="008D1BB6" w:rsidRPr="005D75EB">
        <w:rPr>
          <w:rFonts w:ascii="Palatino Linotype" w:hAnsi="Palatino Linotype" w:cs="Times New Roman"/>
          <w:sz w:val="24"/>
          <w:szCs w:val="24"/>
        </w:rPr>
        <w:t xml:space="preserve"> </w:t>
      </w:r>
      <w:r w:rsidR="00BA1109" w:rsidRPr="005D75EB">
        <w:rPr>
          <w:rFonts w:ascii="Palatino Linotype" w:hAnsi="Palatino Linotype" w:cs="Times New Roman"/>
          <w:sz w:val="24"/>
          <w:szCs w:val="24"/>
        </w:rPr>
        <w:t xml:space="preserve">As </w:t>
      </w:r>
      <w:r w:rsidR="005A171E" w:rsidRPr="005D75EB">
        <w:rPr>
          <w:rFonts w:ascii="Palatino Linotype" w:hAnsi="Palatino Linotype" w:cs="Times New Roman"/>
          <w:sz w:val="24"/>
          <w:szCs w:val="24"/>
        </w:rPr>
        <w:t xml:space="preserve">Evans and his colleagues </w:t>
      </w:r>
      <w:r w:rsidR="00BA1109" w:rsidRPr="005D75EB">
        <w:rPr>
          <w:rFonts w:ascii="Palatino Linotype" w:hAnsi="Palatino Linotype" w:cs="Times New Roman"/>
          <w:sz w:val="24"/>
          <w:szCs w:val="24"/>
        </w:rPr>
        <w:t>note, while traditional clinical legal education in Australia ‘places students in the role of lawyers representing clients with legal questions or problems’</w:t>
      </w:r>
      <w:r w:rsidR="00F9483A" w:rsidRPr="005D75EB">
        <w:rPr>
          <w:rFonts w:ascii="Palatino Linotype" w:hAnsi="Palatino Linotype" w:cs="Times New Roman"/>
          <w:sz w:val="24"/>
          <w:szCs w:val="24"/>
        </w:rPr>
        <w:t>,</w:t>
      </w:r>
      <w:r w:rsidR="004A15FE" w:rsidRPr="005D75EB">
        <w:rPr>
          <w:rFonts w:ascii="Palatino Linotype" w:hAnsi="Palatino Linotype" w:cs="Times New Roman"/>
          <w:sz w:val="24"/>
          <w:szCs w:val="24"/>
        </w:rPr>
        <w:t xml:space="preserve"> </w:t>
      </w:r>
      <w:r w:rsidR="00BA1109" w:rsidRPr="005D75EB">
        <w:rPr>
          <w:rFonts w:ascii="Palatino Linotype" w:hAnsi="Palatino Linotype" w:cs="Times New Roman"/>
          <w:sz w:val="24"/>
          <w:szCs w:val="24"/>
        </w:rPr>
        <w:t xml:space="preserve"> the meaning of clinical legal education has evolved </w:t>
      </w:r>
      <w:r w:rsidR="005D3479" w:rsidRPr="005D75EB">
        <w:rPr>
          <w:rFonts w:ascii="Palatino Linotype" w:hAnsi="Palatino Linotype" w:cs="Times New Roman"/>
          <w:sz w:val="24"/>
          <w:szCs w:val="24"/>
        </w:rPr>
        <w:t>in recent decades.</w:t>
      </w:r>
      <w:r w:rsidR="00397932" w:rsidRPr="005D75EB">
        <w:rPr>
          <w:rStyle w:val="FootnoteReference"/>
          <w:rFonts w:ascii="Palatino Linotype" w:hAnsi="Palatino Linotype" w:cs="Times New Roman"/>
          <w:sz w:val="24"/>
          <w:szCs w:val="24"/>
        </w:rPr>
        <w:footnoteReference w:id="10"/>
      </w:r>
      <w:r w:rsidR="005D3479" w:rsidRPr="005D75EB">
        <w:rPr>
          <w:rFonts w:ascii="Palatino Linotype" w:hAnsi="Palatino Linotype" w:cs="Times New Roman"/>
          <w:sz w:val="24"/>
          <w:szCs w:val="24"/>
        </w:rPr>
        <w:t xml:space="preserve"> It now encompasses a wide range of models</w:t>
      </w:r>
      <w:r w:rsidR="00397932" w:rsidRPr="005D75EB">
        <w:rPr>
          <w:rFonts w:ascii="Palatino Linotype" w:hAnsi="Palatino Linotype" w:cs="Times New Roman"/>
          <w:sz w:val="24"/>
          <w:szCs w:val="24"/>
        </w:rPr>
        <w:t xml:space="preserve"> that share the ‘common element… [</w:t>
      </w:r>
      <w:proofErr w:type="gramStart"/>
      <w:r w:rsidR="00397932" w:rsidRPr="005D75EB">
        <w:rPr>
          <w:rFonts w:ascii="Palatino Linotype" w:hAnsi="Palatino Linotype" w:cs="Times New Roman"/>
          <w:sz w:val="24"/>
          <w:szCs w:val="24"/>
        </w:rPr>
        <w:t>of</w:t>
      </w:r>
      <w:proofErr w:type="gramEnd"/>
      <w:r w:rsidR="00397932" w:rsidRPr="005D75EB">
        <w:rPr>
          <w:rFonts w:ascii="Palatino Linotype" w:hAnsi="Palatino Linotype" w:cs="Times New Roman"/>
          <w:sz w:val="24"/>
          <w:szCs w:val="24"/>
        </w:rPr>
        <w:t>] “</w:t>
      </w:r>
      <w:proofErr w:type="gramStart"/>
      <w:r w:rsidR="00397932" w:rsidRPr="005D75EB">
        <w:rPr>
          <w:rFonts w:ascii="Palatino Linotype" w:hAnsi="Palatino Linotype" w:cs="Times New Roman"/>
          <w:sz w:val="24"/>
          <w:szCs w:val="24"/>
        </w:rPr>
        <w:t>real</w:t>
      </w:r>
      <w:proofErr w:type="gramEnd"/>
      <w:r w:rsidR="00397932" w:rsidRPr="005D75EB">
        <w:rPr>
          <w:rFonts w:ascii="Palatino Linotype" w:hAnsi="Palatino Linotype" w:cs="Times New Roman"/>
          <w:sz w:val="24"/>
          <w:szCs w:val="24"/>
        </w:rPr>
        <w:t>” experiences’</w:t>
      </w:r>
      <w:r w:rsidR="005D3479" w:rsidRPr="005D75EB">
        <w:rPr>
          <w:rFonts w:ascii="Palatino Linotype" w:hAnsi="Palatino Linotype" w:cs="Times New Roman"/>
          <w:sz w:val="24"/>
          <w:szCs w:val="24"/>
        </w:rPr>
        <w:t>,</w:t>
      </w:r>
      <w:r w:rsidR="00715480" w:rsidRPr="005D75EB">
        <w:rPr>
          <w:rStyle w:val="FootnoteReference"/>
          <w:rFonts w:ascii="Palatino Linotype" w:hAnsi="Palatino Linotype" w:cs="Times New Roman"/>
          <w:sz w:val="24"/>
          <w:szCs w:val="24"/>
        </w:rPr>
        <w:footnoteReference w:id="11"/>
      </w:r>
      <w:r w:rsidR="005D3479" w:rsidRPr="005D75EB">
        <w:rPr>
          <w:rFonts w:ascii="Palatino Linotype" w:hAnsi="Palatino Linotype" w:cs="Times New Roman"/>
          <w:sz w:val="24"/>
          <w:szCs w:val="24"/>
        </w:rPr>
        <w:t xml:space="preserve"> and t</w:t>
      </w:r>
      <w:r w:rsidR="0044126B" w:rsidRPr="005D75EB">
        <w:rPr>
          <w:rFonts w:ascii="Palatino Linotype" w:hAnsi="Palatino Linotype" w:cs="Times New Roman"/>
          <w:sz w:val="24"/>
          <w:szCs w:val="24"/>
        </w:rPr>
        <w:t xml:space="preserve">he </w:t>
      </w:r>
      <w:r w:rsidR="00A47D51" w:rsidRPr="005D75EB">
        <w:rPr>
          <w:rFonts w:ascii="Palatino Linotype" w:hAnsi="Palatino Linotype" w:cs="Times New Roman"/>
          <w:sz w:val="24"/>
          <w:szCs w:val="24"/>
        </w:rPr>
        <w:t xml:space="preserve">model developed in the </w:t>
      </w:r>
      <w:r w:rsidR="00AB3B61" w:rsidRPr="005D75EB">
        <w:rPr>
          <w:rFonts w:ascii="Palatino Linotype" w:hAnsi="Palatino Linotype" w:cs="Times New Roman"/>
          <w:sz w:val="24"/>
          <w:szCs w:val="24"/>
        </w:rPr>
        <w:t xml:space="preserve">DHRC </w:t>
      </w:r>
      <w:r w:rsidR="00A47D51" w:rsidRPr="005D75EB">
        <w:rPr>
          <w:rFonts w:ascii="Palatino Linotype" w:hAnsi="Palatino Linotype" w:cs="Times New Roman"/>
          <w:sz w:val="24"/>
          <w:szCs w:val="24"/>
        </w:rPr>
        <w:t xml:space="preserve">joins </w:t>
      </w:r>
      <w:r w:rsidR="005D3479" w:rsidRPr="005D75EB">
        <w:rPr>
          <w:rFonts w:ascii="Palatino Linotype" w:hAnsi="Palatino Linotype" w:cs="Times New Roman"/>
          <w:sz w:val="24"/>
          <w:szCs w:val="24"/>
        </w:rPr>
        <w:t>this</w:t>
      </w:r>
      <w:r w:rsidR="0044126B" w:rsidRPr="005D75EB">
        <w:rPr>
          <w:rFonts w:ascii="Palatino Linotype" w:hAnsi="Palatino Linotype" w:cs="Times New Roman"/>
          <w:sz w:val="24"/>
          <w:szCs w:val="24"/>
        </w:rPr>
        <w:t xml:space="preserve"> growing range of innovative</w:t>
      </w:r>
      <w:r w:rsidR="005D3479" w:rsidRPr="005D75EB">
        <w:rPr>
          <w:rFonts w:ascii="Palatino Linotype" w:hAnsi="Palatino Linotype" w:cs="Times New Roman"/>
          <w:sz w:val="24"/>
          <w:szCs w:val="24"/>
        </w:rPr>
        <w:t xml:space="preserve"> approaches</w:t>
      </w:r>
      <w:r w:rsidR="007A47D1" w:rsidRPr="005D75EB">
        <w:rPr>
          <w:rFonts w:ascii="Palatino Linotype" w:hAnsi="Palatino Linotype" w:cs="Times New Roman"/>
          <w:sz w:val="24"/>
          <w:szCs w:val="24"/>
        </w:rPr>
        <w:t xml:space="preserve"> that combine ‘student learning, community service, professional engagement, research and policy development’</w:t>
      </w:r>
      <w:r w:rsidR="00155B21" w:rsidRPr="005D75EB">
        <w:rPr>
          <w:rFonts w:ascii="Palatino Linotype" w:hAnsi="Palatino Linotype" w:cs="Times New Roman"/>
          <w:sz w:val="24"/>
          <w:szCs w:val="24"/>
        </w:rPr>
        <w:t>.</w:t>
      </w:r>
      <w:r w:rsidR="00DE2212" w:rsidRPr="005D75EB">
        <w:rPr>
          <w:rStyle w:val="FootnoteReference"/>
          <w:rFonts w:ascii="Palatino Linotype" w:hAnsi="Palatino Linotype" w:cs="Times New Roman"/>
          <w:sz w:val="24"/>
          <w:szCs w:val="24"/>
        </w:rPr>
        <w:footnoteReference w:id="12"/>
      </w:r>
    </w:p>
    <w:p w14:paraId="2AFD182C" w14:textId="3AE1CE84" w:rsidR="00404D98" w:rsidRPr="005D75EB" w:rsidRDefault="00CD2CF6" w:rsidP="005D75EB">
      <w:pPr>
        <w:spacing w:line="480" w:lineRule="auto"/>
        <w:jc w:val="both"/>
        <w:rPr>
          <w:rFonts w:ascii="Palatino Linotype" w:hAnsi="Palatino Linotype" w:cs="Times New Roman"/>
          <w:sz w:val="24"/>
          <w:szCs w:val="24"/>
        </w:rPr>
      </w:pPr>
      <w:r w:rsidRPr="005D75EB">
        <w:rPr>
          <w:rFonts w:ascii="Palatino Linotype" w:hAnsi="Palatino Linotype" w:cs="Times New Roman"/>
          <w:b/>
          <w:sz w:val="24"/>
          <w:szCs w:val="24"/>
        </w:rPr>
        <w:lastRenderedPageBreak/>
        <w:t>Addressing</w:t>
      </w:r>
      <w:r w:rsidR="000E49A9" w:rsidRPr="005D75EB">
        <w:rPr>
          <w:rFonts w:ascii="Palatino Linotype" w:hAnsi="Palatino Linotype" w:cs="Times New Roman"/>
          <w:b/>
          <w:sz w:val="24"/>
          <w:szCs w:val="24"/>
        </w:rPr>
        <w:t xml:space="preserve"> </w:t>
      </w:r>
      <w:r w:rsidR="00A30CCC" w:rsidRPr="005D75EB">
        <w:rPr>
          <w:rFonts w:ascii="Palatino Linotype" w:hAnsi="Palatino Linotype" w:cs="Times New Roman"/>
          <w:b/>
          <w:sz w:val="24"/>
          <w:szCs w:val="24"/>
        </w:rPr>
        <w:t>t</w:t>
      </w:r>
      <w:r w:rsidR="00404D98" w:rsidRPr="005D75EB">
        <w:rPr>
          <w:rFonts w:ascii="Palatino Linotype" w:hAnsi="Palatino Linotype" w:cs="Times New Roman"/>
          <w:b/>
          <w:sz w:val="24"/>
          <w:szCs w:val="24"/>
        </w:rPr>
        <w:t xml:space="preserve">he </w:t>
      </w:r>
      <w:r w:rsidR="00931C49" w:rsidRPr="005D75EB">
        <w:rPr>
          <w:rFonts w:ascii="Palatino Linotype" w:hAnsi="Palatino Linotype" w:cs="Times New Roman"/>
          <w:b/>
          <w:sz w:val="24"/>
          <w:szCs w:val="24"/>
        </w:rPr>
        <w:t>h</w:t>
      </w:r>
      <w:r w:rsidR="00DA2002" w:rsidRPr="005D75EB">
        <w:rPr>
          <w:rFonts w:ascii="Palatino Linotype" w:hAnsi="Palatino Linotype" w:cs="Times New Roman"/>
          <w:b/>
          <w:sz w:val="24"/>
          <w:szCs w:val="24"/>
        </w:rPr>
        <w:t xml:space="preserve">istory of </w:t>
      </w:r>
      <w:r w:rsidR="00931C49" w:rsidRPr="005D75EB">
        <w:rPr>
          <w:rFonts w:ascii="Palatino Linotype" w:hAnsi="Palatino Linotype" w:cs="Times New Roman"/>
          <w:b/>
          <w:sz w:val="24"/>
          <w:szCs w:val="24"/>
        </w:rPr>
        <w:t>m</w:t>
      </w:r>
      <w:r w:rsidRPr="005D75EB">
        <w:rPr>
          <w:rFonts w:ascii="Palatino Linotype" w:hAnsi="Palatino Linotype" w:cs="Times New Roman"/>
          <w:b/>
          <w:sz w:val="24"/>
          <w:szCs w:val="24"/>
        </w:rPr>
        <w:t>arginalisation</w:t>
      </w:r>
      <w:r w:rsidR="00931C49" w:rsidRPr="005D75EB">
        <w:rPr>
          <w:rFonts w:ascii="Palatino Linotype" w:hAnsi="Palatino Linotype" w:cs="Times New Roman"/>
          <w:b/>
          <w:sz w:val="24"/>
          <w:szCs w:val="24"/>
        </w:rPr>
        <w:t xml:space="preserve"> using a human rights framework</w:t>
      </w:r>
    </w:p>
    <w:p w14:paraId="6E9D9B05" w14:textId="7042D4A3" w:rsidR="00931C49" w:rsidRPr="005D75EB" w:rsidRDefault="00D54F9A" w:rsidP="005D75EB">
      <w:pPr>
        <w:spacing w:line="480" w:lineRule="auto"/>
        <w:jc w:val="both"/>
        <w:rPr>
          <w:rFonts w:ascii="Palatino Linotype" w:hAnsi="Palatino Linotype" w:cs="Times New Roman"/>
          <w:color w:val="000000" w:themeColor="text1"/>
          <w:sz w:val="24"/>
          <w:szCs w:val="24"/>
        </w:rPr>
      </w:pPr>
      <w:r w:rsidRPr="005D75EB">
        <w:rPr>
          <w:rFonts w:ascii="Palatino Linotype" w:hAnsi="Palatino Linotype" w:cs="Times New Roman"/>
          <w:color w:val="000000" w:themeColor="text1"/>
          <w:sz w:val="24"/>
          <w:szCs w:val="24"/>
        </w:rPr>
        <w:t>Disability research is a unique area because it deals with a group of people who are often marginalised</w:t>
      </w:r>
      <w:r w:rsidR="00931C49" w:rsidRPr="005D75EB">
        <w:rPr>
          <w:rFonts w:ascii="Palatino Linotype" w:hAnsi="Palatino Linotype" w:cs="Times New Roman"/>
          <w:color w:val="000000" w:themeColor="text1"/>
          <w:sz w:val="24"/>
          <w:szCs w:val="24"/>
        </w:rPr>
        <w:t>, and research</w:t>
      </w:r>
      <w:r w:rsidRPr="005D75EB">
        <w:rPr>
          <w:rFonts w:ascii="Palatino Linotype" w:hAnsi="Palatino Linotype" w:cs="Times New Roman"/>
          <w:color w:val="000000" w:themeColor="text1"/>
          <w:sz w:val="24"/>
          <w:szCs w:val="24"/>
        </w:rPr>
        <w:t xml:space="preserve"> itself has played a role in that marginalisation</w:t>
      </w:r>
      <w:r w:rsidR="003F2FB7" w:rsidRPr="005D75EB">
        <w:rPr>
          <w:rFonts w:ascii="Palatino Linotype" w:hAnsi="Palatino Linotype" w:cs="Times New Roman"/>
          <w:color w:val="000000" w:themeColor="text1"/>
          <w:sz w:val="24"/>
          <w:szCs w:val="24"/>
        </w:rPr>
        <w:t xml:space="preserve"> by, for instance, treating persons with disabilities</w:t>
      </w:r>
      <w:r w:rsidR="00026D92" w:rsidRPr="005D75EB">
        <w:rPr>
          <w:rFonts w:ascii="Palatino Linotype" w:hAnsi="Palatino Linotype" w:cs="Times New Roman"/>
          <w:color w:val="000000" w:themeColor="text1"/>
          <w:sz w:val="24"/>
          <w:szCs w:val="24"/>
        </w:rPr>
        <w:t xml:space="preserve"> </w:t>
      </w:r>
      <w:r w:rsidR="003F2FB7" w:rsidRPr="005D75EB">
        <w:rPr>
          <w:rFonts w:ascii="Palatino Linotype" w:hAnsi="Palatino Linotype" w:cs="Times New Roman"/>
          <w:color w:val="000000" w:themeColor="text1"/>
          <w:sz w:val="24"/>
          <w:szCs w:val="24"/>
        </w:rPr>
        <w:t>as objects of scientific study</w:t>
      </w:r>
      <w:r w:rsidR="00391B0B" w:rsidRPr="005D75EB">
        <w:rPr>
          <w:rFonts w:ascii="Palatino Linotype" w:hAnsi="Palatino Linotype" w:cs="Times New Roman"/>
          <w:color w:val="000000" w:themeColor="text1"/>
          <w:sz w:val="24"/>
          <w:szCs w:val="24"/>
        </w:rPr>
        <w:t xml:space="preserve">, </w:t>
      </w:r>
      <w:r w:rsidR="004D37DC" w:rsidRPr="005D75EB">
        <w:rPr>
          <w:rFonts w:ascii="Palatino Linotype" w:hAnsi="Palatino Linotype" w:cs="Times New Roman"/>
          <w:color w:val="000000" w:themeColor="text1"/>
          <w:sz w:val="24"/>
          <w:szCs w:val="24"/>
        </w:rPr>
        <w:t xml:space="preserve">supporting or </w:t>
      </w:r>
      <w:r w:rsidR="00822035" w:rsidRPr="005D75EB">
        <w:rPr>
          <w:rFonts w:ascii="Palatino Linotype" w:hAnsi="Palatino Linotype" w:cs="Times New Roman"/>
          <w:color w:val="000000" w:themeColor="text1"/>
          <w:sz w:val="24"/>
          <w:szCs w:val="24"/>
        </w:rPr>
        <w:t xml:space="preserve">justifying rights violations </w:t>
      </w:r>
      <w:r w:rsidR="00351CDC" w:rsidRPr="005D75EB">
        <w:rPr>
          <w:rFonts w:ascii="Palatino Linotype" w:hAnsi="Palatino Linotype" w:cs="Times New Roman"/>
          <w:color w:val="000000" w:themeColor="text1"/>
          <w:sz w:val="24"/>
          <w:szCs w:val="24"/>
        </w:rPr>
        <w:t xml:space="preserve">like segregation and </w:t>
      </w:r>
      <w:r w:rsidR="001E5421" w:rsidRPr="005D75EB">
        <w:rPr>
          <w:rFonts w:ascii="Palatino Linotype" w:hAnsi="Palatino Linotype" w:cs="Times New Roman"/>
          <w:color w:val="000000" w:themeColor="text1"/>
          <w:sz w:val="24"/>
          <w:szCs w:val="24"/>
        </w:rPr>
        <w:t>invasive medical ‘treatment’</w:t>
      </w:r>
      <w:r w:rsidR="00391B0B" w:rsidRPr="005D75EB">
        <w:rPr>
          <w:rFonts w:ascii="Palatino Linotype" w:hAnsi="Palatino Linotype" w:cs="Times New Roman"/>
          <w:color w:val="000000" w:themeColor="text1"/>
          <w:sz w:val="24"/>
          <w:szCs w:val="24"/>
        </w:rPr>
        <w:t xml:space="preserve">, and failing to take into account the </w:t>
      </w:r>
      <w:r w:rsidR="00BD70CA" w:rsidRPr="005D75EB">
        <w:rPr>
          <w:rFonts w:ascii="Palatino Linotype" w:hAnsi="Palatino Linotype" w:cs="Times New Roman"/>
          <w:color w:val="000000" w:themeColor="text1"/>
          <w:sz w:val="24"/>
          <w:szCs w:val="24"/>
        </w:rPr>
        <w:t>priorities and concerns of persons with disabilities</w:t>
      </w:r>
      <w:r w:rsidR="00026D92" w:rsidRPr="005D75EB">
        <w:rPr>
          <w:rFonts w:ascii="Palatino Linotype" w:hAnsi="Palatino Linotype" w:cs="Times New Roman"/>
          <w:color w:val="000000" w:themeColor="text1"/>
          <w:sz w:val="24"/>
          <w:szCs w:val="24"/>
        </w:rPr>
        <w:t xml:space="preserve"> in de</w:t>
      </w:r>
      <w:r w:rsidR="009F7BCE" w:rsidRPr="005D75EB">
        <w:rPr>
          <w:rFonts w:ascii="Palatino Linotype" w:hAnsi="Palatino Linotype" w:cs="Times New Roman"/>
          <w:color w:val="000000" w:themeColor="text1"/>
          <w:sz w:val="24"/>
          <w:szCs w:val="24"/>
        </w:rPr>
        <w:t>s</w:t>
      </w:r>
      <w:r w:rsidR="00026D92" w:rsidRPr="005D75EB">
        <w:rPr>
          <w:rFonts w:ascii="Palatino Linotype" w:hAnsi="Palatino Linotype" w:cs="Times New Roman"/>
          <w:color w:val="000000" w:themeColor="text1"/>
          <w:sz w:val="24"/>
          <w:szCs w:val="24"/>
        </w:rPr>
        <w:t>i</w:t>
      </w:r>
      <w:r w:rsidR="009F7BCE" w:rsidRPr="005D75EB">
        <w:rPr>
          <w:rFonts w:ascii="Palatino Linotype" w:hAnsi="Palatino Linotype" w:cs="Times New Roman"/>
          <w:color w:val="000000" w:themeColor="text1"/>
          <w:sz w:val="24"/>
          <w:szCs w:val="24"/>
        </w:rPr>
        <w:t>g</w:t>
      </w:r>
      <w:r w:rsidR="00026D92" w:rsidRPr="005D75EB">
        <w:rPr>
          <w:rFonts w:ascii="Palatino Linotype" w:hAnsi="Palatino Linotype" w:cs="Times New Roman"/>
          <w:color w:val="000000" w:themeColor="text1"/>
          <w:sz w:val="24"/>
          <w:szCs w:val="24"/>
        </w:rPr>
        <w:t xml:space="preserve">ning </w:t>
      </w:r>
      <w:r w:rsidR="009F7BCE" w:rsidRPr="005D75EB">
        <w:rPr>
          <w:rFonts w:ascii="Palatino Linotype" w:hAnsi="Palatino Linotype" w:cs="Times New Roman"/>
          <w:color w:val="000000" w:themeColor="text1"/>
          <w:sz w:val="24"/>
          <w:szCs w:val="24"/>
        </w:rPr>
        <w:t>and conducting research</w:t>
      </w:r>
      <w:r w:rsidRPr="005D75EB">
        <w:rPr>
          <w:rFonts w:ascii="Palatino Linotype" w:hAnsi="Palatino Linotype" w:cs="Times New Roman"/>
          <w:color w:val="000000" w:themeColor="text1"/>
          <w:sz w:val="24"/>
          <w:szCs w:val="24"/>
        </w:rPr>
        <w:t>.</w:t>
      </w:r>
      <w:bookmarkStart w:id="2" w:name="_Ref517949508"/>
      <w:r w:rsidR="0030320C" w:rsidRPr="005D75EB">
        <w:rPr>
          <w:rStyle w:val="FootnoteReference"/>
          <w:rFonts w:ascii="Palatino Linotype" w:hAnsi="Palatino Linotype" w:cs="Times New Roman"/>
          <w:color w:val="000000" w:themeColor="text1"/>
          <w:sz w:val="24"/>
          <w:szCs w:val="24"/>
        </w:rPr>
        <w:footnoteReference w:id="13"/>
      </w:r>
      <w:bookmarkEnd w:id="2"/>
      <w:r w:rsidR="00026D92" w:rsidRPr="005D75EB">
        <w:rPr>
          <w:rFonts w:ascii="Palatino Linotype" w:hAnsi="Palatino Linotype" w:cs="Times New Roman"/>
          <w:color w:val="000000" w:themeColor="text1"/>
          <w:sz w:val="24"/>
          <w:szCs w:val="24"/>
        </w:rPr>
        <w:t xml:space="preserve"> </w:t>
      </w:r>
      <w:r w:rsidR="00D241E5" w:rsidRPr="005D75EB">
        <w:rPr>
          <w:rFonts w:ascii="Palatino Linotype" w:hAnsi="Palatino Linotype" w:cs="Times New Roman"/>
          <w:color w:val="000000" w:themeColor="text1"/>
          <w:sz w:val="24"/>
          <w:szCs w:val="24"/>
        </w:rPr>
        <w:t>A</w:t>
      </w:r>
      <w:r w:rsidRPr="005D75EB">
        <w:rPr>
          <w:rFonts w:ascii="Palatino Linotype" w:hAnsi="Palatino Linotype" w:cs="Times New Roman"/>
          <w:color w:val="000000" w:themeColor="text1"/>
          <w:sz w:val="24"/>
          <w:szCs w:val="24"/>
        </w:rPr>
        <w:t xml:space="preserve"> clinic focused on research related to the rights of persons with disabilities must openly recognise this history of marginalisation and must structure itself in such a way that combats marginalisation in both its methodology and the content of its outputs. </w:t>
      </w:r>
      <w:r w:rsidR="00931C49" w:rsidRPr="005D75EB">
        <w:rPr>
          <w:rFonts w:ascii="Palatino Linotype" w:hAnsi="Palatino Linotype" w:cs="Times New Roman"/>
          <w:color w:val="000000" w:themeColor="text1"/>
          <w:sz w:val="24"/>
          <w:szCs w:val="24"/>
        </w:rPr>
        <w:t xml:space="preserve">One of the key ways in which we employ emancipatory methods is the use of the CRPD as the framework for the curriculum and projects of the DHRC. </w:t>
      </w:r>
    </w:p>
    <w:p w14:paraId="4A951165" w14:textId="4EE454B8" w:rsidR="00616EFC" w:rsidRPr="005D75EB" w:rsidRDefault="00616EFC" w:rsidP="005D75EB">
      <w:pPr>
        <w:spacing w:line="480" w:lineRule="auto"/>
        <w:jc w:val="both"/>
        <w:rPr>
          <w:rFonts w:ascii="Palatino Linotype" w:hAnsi="Palatino Linotype" w:cs="Times New Roman"/>
          <w:color w:val="000000" w:themeColor="text1"/>
          <w:sz w:val="24"/>
          <w:szCs w:val="24"/>
        </w:rPr>
      </w:pPr>
      <w:r w:rsidRPr="005D75EB">
        <w:rPr>
          <w:rFonts w:ascii="Palatino Linotype" w:hAnsi="Palatino Linotype" w:cs="Times New Roman"/>
          <w:color w:val="000000" w:themeColor="text1"/>
          <w:sz w:val="24"/>
          <w:szCs w:val="24"/>
        </w:rPr>
        <w:t xml:space="preserve">The </w:t>
      </w:r>
      <w:r w:rsidR="00150C19" w:rsidRPr="005D75EB">
        <w:rPr>
          <w:rFonts w:ascii="Palatino Linotype" w:hAnsi="Palatino Linotype" w:cs="Times New Roman"/>
          <w:color w:val="000000" w:themeColor="text1"/>
          <w:sz w:val="24"/>
          <w:szCs w:val="24"/>
        </w:rPr>
        <w:t>CRPD</w:t>
      </w:r>
      <w:r w:rsidRPr="005D75EB">
        <w:rPr>
          <w:rFonts w:ascii="Palatino Linotype" w:hAnsi="Palatino Linotype" w:cs="Times New Roman"/>
          <w:color w:val="000000" w:themeColor="text1"/>
          <w:sz w:val="24"/>
          <w:szCs w:val="24"/>
        </w:rPr>
        <w:t xml:space="preserve"> is one of the most recent United Nations human rights treaties. It establishes that ‘disability results from the interaction between persons with impairments and attitudinal and environmental barriers that hinders their full and effective participation in society on an equal basis with others’.</w:t>
      </w:r>
      <w:r w:rsidRPr="005D75EB">
        <w:rPr>
          <w:rStyle w:val="FootnoteReference"/>
          <w:rFonts w:ascii="Palatino Linotype" w:hAnsi="Palatino Linotype" w:cs="Times New Roman"/>
          <w:color w:val="000000" w:themeColor="text1"/>
          <w:sz w:val="24"/>
          <w:szCs w:val="24"/>
        </w:rPr>
        <w:footnoteReference w:id="14"/>
      </w:r>
      <w:r w:rsidRPr="005D75EB">
        <w:rPr>
          <w:rFonts w:ascii="Palatino Linotype" w:hAnsi="Palatino Linotype" w:cs="Times New Roman"/>
          <w:color w:val="000000" w:themeColor="text1"/>
          <w:sz w:val="24"/>
          <w:szCs w:val="24"/>
        </w:rPr>
        <w:t xml:space="preserve"> These </w:t>
      </w:r>
      <w:r w:rsidR="00074F28" w:rsidRPr="005D75EB">
        <w:rPr>
          <w:rFonts w:ascii="Palatino Linotype" w:hAnsi="Palatino Linotype" w:cs="Times New Roman"/>
          <w:color w:val="000000" w:themeColor="text1"/>
          <w:sz w:val="24"/>
          <w:szCs w:val="24"/>
        </w:rPr>
        <w:t xml:space="preserve">barriers </w:t>
      </w:r>
      <w:r w:rsidRPr="005D75EB">
        <w:rPr>
          <w:rFonts w:ascii="Palatino Linotype" w:hAnsi="Palatino Linotype" w:cs="Times New Roman"/>
          <w:color w:val="000000" w:themeColor="text1"/>
          <w:sz w:val="24"/>
          <w:szCs w:val="24"/>
        </w:rPr>
        <w:t>include a lack of accessible facilities and services, stigma and discrimination, and insufficient funding of services and supports. Such barriers produ</w:t>
      </w:r>
      <w:r w:rsidR="00074F28" w:rsidRPr="005D75EB">
        <w:rPr>
          <w:rFonts w:ascii="Palatino Linotype" w:hAnsi="Palatino Linotype" w:cs="Times New Roman"/>
          <w:color w:val="000000" w:themeColor="text1"/>
          <w:sz w:val="24"/>
          <w:szCs w:val="24"/>
        </w:rPr>
        <w:t xml:space="preserve">ce and perpetuate </w:t>
      </w:r>
      <w:r w:rsidR="00074F28" w:rsidRPr="005D75EB">
        <w:rPr>
          <w:rFonts w:ascii="Palatino Linotype" w:hAnsi="Palatino Linotype" w:cs="Times New Roman"/>
          <w:color w:val="000000" w:themeColor="text1"/>
          <w:sz w:val="24"/>
          <w:szCs w:val="24"/>
        </w:rPr>
        <w:lastRenderedPageBreak/>
        <w:t>the marginalis</w:t>
      </w:r>
      <w:r w:rsidRPr="005D75EB">
        <w:rPr>
          <w:rFonts w:ascii="Palatino Linotype" w:hAnsi="Palatino Linotype" w:cs="Times New Roman"/>
          <w:color w:val="000000" w:themeColor="text1"/>
          <w:sz w:val="24"/>
          <w:szCs w:val="24"/>
        </w:rPr>
        <w:t>ation of p</w:t>
      </w:r>
      <w:r w:rsidR="0054300A" w:rsidRPr="005D75EB">
        <w:rPr>
          <w:rFonts w:ascii="Palatino Linotype" w:hAnsi="Palatino Linotype" w:cs="Times New Roman"/>
          <w:color w:val="000000" w:themeColor="text1"/>
          <w:sz w:val="24"/>
          <w:szCs w:val="24"/>
        </w:rPr>
        <w:t xml:space="preserve">ersons </w:t>
      </w:r>
      <w:r w:rsidRPr="005D75EB">
        <w:rPr>
          <w:rFonts w:ascii="Palatino Linotype" w:hAnsi="Palatino Linotype" w:cs="Times New Roman"/>
          <w:color w:val="000000" w:themeColor="text1"/>
          <w:sz w:val="24"/>
          <w:szCs w:val="24"/>
        </w:rPr>
        <w:t>with disabilities in many spheres of life and contribute to the high rates of human rights violations of</w:t>
      </w:r>
      <w:r w:rsidR="0054300A" w:rsidRPr="005D75EB">
        <w:rPr>
          <w:rFonts w:ascii="Palatino Linotype" w:hAnsi="Palatino Linotype" w:cs="Times New Roman"/>
          <w:color w:val="000000" w:themeColor="text1"/>
          <w:sz w:val="24"/>
          <w:szCs w:val="24"/>
        </w:rPr>
        <w:t xml:space="preserve"> persons</w:t>
      </w:r>
      <w:r w:rsidRPr="005D75EB">
        <w:rPr>
          <w:rFonts w:ascii="Palatino Linotype" w:hAnsi="Palatino Linotype" w:cs="Times New Roman"/>
          <w:color w:val="000000" w:themeColor="text1"/>
          <w:sz w:val="24"/>
          <w:szCs w:val="24"/>
        </w:rPr>
        <w:t xml:space="preserve"> with disabilities around the world. For example, the World Health Organization reports that </w:t>
      </w:r>
      <w:r w:rsidR="0054300A" w:rsidRPr="005D75EB">
        <w:rPr>
          <w:rFonts w:ascii="Palatino Linotype" w:hAnsi="Palatino Linotype" w:cs="Times New Roman"/>
          <w:color w:val="000000" w:themeColor="text1"/>
          <w:sz w:val="24"/>
          <w:szCs w:val="24"/>
        </w:rPr>
        <w:t xml:space="preserve">persons </w:t>
      </w:r>
      <w:r w:rsidRPr="005D75EB">
        <w:rPr>
          <w:rFonts w:ascii="Palatino Linotype" w:hAnsi="Palatino Linotype" w:cs="Times New Roman"/>
          <w:color w:val="000000" w:themeColor="text1"/>
          <w:sz w:val="24"/>
          <w:szCs w:val="24"/>
        </w:rPr>
        <w:t>with disabilities have poorer health outcomes, lower educational achievements, less economic participation and higher rates of poverty than persons without disabilities.</w:t>
      </w:r>
      <w:r w:rsidRPr="005D75EB">
        <w:rPr>
          <w:rStyle w:val="FootnoteReference"/>
          <w:rFonts w:ascii="Palatino Linotype" w:hAnsi="Palatino Linotype" w:cs="Times New Roman"/>
          <w:color w:val="000000" w:themeColor="text1"/>
          <w:sz w:val="24"/>
          <w:szCs w:val="24"/>
        </w:rPr>
        <w:footnoteReference w:id="15"/>
      </w:r>
      <w:r w:rsidRPr="005D75EB">
        <w:rPr>
          <w:rFonts w:ascii="Palatino Linotype" w:hAnsi="Palatino Linotype" w:cs="Times New Roman"/>
          <w:color w:val="000000" w:themeColor="text1"/>
          <w:sz w:val="24"/>
          <w:szCs w:val="24"/>
        </w:rPr>
        <w:t xml:space="preserve"> </w:t>
      </w:r>
      <w:r w:rsidR="00A875B3" w:rsidRPr="005D75EB">
        <w:rPr>
          <w:rFonts w:ascii="Palatino Linotype" w:hAnsi="Palatino Linotype" w:cs="Times New Roman"/>
          <w:color w:val="000000" w:themeColor="text1"/>
          <w:sz w:val="24"/>
          <w:szCs w:val="24"/>
        </w:rPr>
        <w:t xml:space="preserve">Persons with disabilities are </w:t>
      </w:r>
      <w:r w:rsidR="006C4486" w:rsidRPr="005D75EB">
        <w:rPr>
          <w:rFonts w:ascii="Palatino Linotype" w:hAnsi="Palatino Linotype" w:cs="Times New Roman"/>
          <w:color w:val="000000" w:themeColor="text1"/>
          <w:sz w:val="24"/>
          <w:szCs w:val="24"/>
        </w:rPr>
        <w:t>frequently</w:t>
      </w:r>
      <w:r w:rsidR="00A875B3" w:rsidRPr="005D75EB">
        <w:rPr>
          <w:rFonts w:ascii="Palatino Linotype" w:hAnsi="Palatino Linotype" w:cs="Times New Roman"/>
          <w:color w:val="000000" w:themeColor="text1"/>
          <w:sz w:val="24"/>
          <w:szCs w:val="24"/>
        </w:rPr>
        <w:t xml:space="preserve"> subject to exclusion and segregation in many areas of life,</w:t>
      </w:r>
      <w:r w:rsidR="00A875B3" w:rsidRPr="005D75EB" w:rsidDel="00006155">
        <w:rPr>
          <w:rFonts w:ascii="Palatino Linotype" w:hAnsi="Palatino Linotype" w:cs="Times New Roman"/>
          <w:color w:val="000000" w:themeColor="text1"/>
          <w:sz w:val="24"/>
          <w:szCs w:val="24"/>
        </w:rPr>
        <w:t xml:space="preserve"> </w:t>
      </w:r>
      <w:r w:rsidR="00A875B3" w:rsidRPr="005D75EB">
        <w:rPr>
          <w:rFonts w:ascii="Palatino Linotype" w:hAnsi="Palatino Linotype" w:cs="Times New Roman"/>
          <w:color w:val="000000" w:themeColor="text1"/>
          <w:sz w:val="24"/>
          <w:szCs w:val="24"/>
        </w:rPr>
        <w:t>such as education, employment and accommodation.</w:t>
      </w:r>
      <w:r w:rsidR="006C4486" w:rsidRPr="005D75EB">
        <w:rPr>
          <w:rStyle w:val="FootnoteReference"/>
          <w:rFonts w:ascii="Palatino Linotype" w:hAnsi="Palatino Linotype" w:cs="Times New Roman"/>
          <w:color w:val="000000" w:themeColor="text1"/>
          <w:sz w:val="24"/>
          <w:szCs w:val="24"/>
        </w:rPr>
        <w:footnoteReference w:id="16"/>
      </w:r>
      <w:r w:rsidR="00A875B3" w:rsidRPr="005D75EB">
        <w:rPr>
          <w:rFonts w:ascii="Palatino Linotype" w:hAnsi="Palatino Linotype" w:cs="Times New Roman"/>
          <w:color w:val="000000" w:themeColor="text1"/>
          <w:sz w:val="24"/>
          <w:szCs w:val="24"/>
        </w:rPr>
        <w:t xml:space="preserve"> The ability of</w:t>
      </w:r>
      <w:r w:rsidR="0054300A" w:rsidRPr="005D75EB">
        <w:rPr>
          <w:rFonts w:ascii="Palatino Linotype" w:hAnsi="Palatino Linotype" w:cs="Times New Roman"/>
          <w:color w:val="000000" w:themeColor="text1"/>
          <w:sz w:val="24"/>
          <w:szCs w:val="24"/>
        </w:rPr>
        <w:t xml:space="preserve"> persons</w:t>
      </w:r>
      <w:r w:rsidR="00A875B3" w:rsidRPr="005D75EB">
        <w:rPr>
          <w:rFonts w:ascii="Palatino Linotype" w:hAnsi="Palatino Linotype" w:cs="Times New Roman"/>
          <w:color w:val="000000" w:themeColor="text1"/>
          <w:sz w:val="24"/>
          <w:szCs w:val="24"/>
        </w:rPr>
        <w:t xml:space="preserve"> with disabilities to live independently and to be included in the community is of</w:t>
      </w:r>
      <w:r w:rsidR="0054300A" w:rsidRPr="005D75EB">
        <w:rPr>
          <w:rFonts w:ascii="Palatino Linotype" w:hAnsi="Palatino Linotype" w:cs="Times New Roman"/>
          <w:color w:val="000000" w:themeColor="text1"/>
          <w:sz w:val="24"/>
          <w:szCs w:val="24"/>
        </w:rPr>
        <w:t xml:space="preserve">ten questioned, especially for persons </w:t>
      </w:r>
      <w:r w:rsidR="00A875B3" w:rsidRPr="005D75EB">
        <w:rPr>
          <w:rFonts w:ascii="Palatino Linotype" w:hAnsi="Palatino Linotype" w:cs="Times New Roman"/>
          <w:color w:val="000000" w:themeColor="text1"/>
          <w:sz w:val="24"/>
          <w:szCs w:val="24"/>
        </w:rPr>
        <w:t>with cognitive disability.</w:t>
      </w:r>
      <w:r w:rsidR="008A1699" w:rsidRPr="005D75EB">
        <w:rPr>
          <w:rStyle w:val="FootnoteReference"/>
          <w:rFonts w:ascii="Palatino Linotype" w:hAnsi="Palatino Linotype" w:cs="Times New Roman"/>
          <w:color w:val="000000" w:themeColor="text1"/>
          <w:sz w:val="24"/>
          <w:szCs w:val="24"/>
        </w:rPr>
        <w:footnoteReference w:id="17"/>
      </w:r>
      <w:r w:rsidR="00A875B3" w:rsidRPr="005D75EB">
        <w:rPr>
          <w:rFonts w:ascii="Palatino Linotype" w:hAnsi="Palatino Linotype" w:cs="Times New Roman"/>
          <w:color w:val="000000" w:themeColor="text1"/>
          <w:sz w:val="24"/>
          <w:szCs w:val="24"/>
        </w:rPr>
        <w:t xml:space="preserve"> Another crucial issue is the ongoing legal practice in most </w:t>
      </w:r>
      <w:r w:rsidR="00565217" w:rsidRPr="005D75EB">
        <w:rPr>
          <w:rFonts w:ascii="Palatino Linotype" w:hAnsi="Palatino Linotype" w:cs="Times New Roman"/>
          <w:color w:val="000000" w:themeColor="text1"/>
          <w:sz w:val="24"/>
          <w:szCs w:val="24"/>
        </w:rPr>
        <w:t>part</w:t>
      </w:r>
      <w:r w:rsidR="00A875B3" w:rsidRPr="005D75EB">
        <w:rPr>
          <w:rFonts w:ascii="Palatino Linotype" w:hAnsi="Palatino Linotype" w:cs="Times New Roman"/>
          <w:color w:val="000000" w:themeColor="text1"/>
          <w:sz w:val="24"/>
          <w:szCs w:val="24"/>
        </w:rPr>
        <w:t>s of</w:t>
      </w:r>
      <w:r w:rsidR="00565217" w:rsidRPr="005D75EB">
        <w:rPr>
          <w:rFonts w:ascii="Palatino Linotype" w:hAnsi="Palatino Linotype" w:cs="Times New Roman"/>
          <w:color w:val="000000" w:themeColor="text1"/>
          <w:sz w:val="24"/>
          <w:szCs w:val="24"/>
        </w:rPr>
        <w:t xml:space="preserve"> the world of</w:t>
      </w:r>
      <w:r w:rsidR="00A875B3" w:rsidRPr="005D75EB">
        <w:rPr>
          <w:rFonts w:ascii="Palatino Linotype" w:hAnsi="Palatino Linotype" w:cs="Times New Roman"/>
          <w:color w:val="000000" w:themeColor="text1"/>
          <w:sz w:val="24"/>
          <w:szCs w:val="24"/>
        </w:rPr>
        <w:t xml:space="preserve"> restricting a person’s legal capacity on the basis of disability.</w:t>
      </w:r>
      <w:r w:rsidR="00565217" w:rsidRPr="005D75EB">
        <w:rPr>
          <w:rStyle w:val="FootnoteReference"/>
          <w:rFonts w:ascii="Palatino Linotype" w:hAnsi="Palatino Linotype" w:cs="Times New Roman"/>
          <w:color w:val="000000" w:themeColor="text1"/>
          <w:sz w:val="24"/>
          <w:szCs w:val="24"/>
        </w:rPr>
        <w:footnoteReference w:id="18"/>
      </w:r>
      <w:r w:rsidR="00A875B3" w:rsidRPr="005D75EB">
        <w:rPr>
          <w:rFonts w:ascii="Palatino Linotype" w:hAnsi="Palatino Linotype" w:cs="Times New Roman"/>
          <w:color w:val="000000" w:themeColor="text1"/>
          <w:sz w:val="24"/>
          <w:szCs w:val="24"/>
        </w:rPr>
        <w:t xml:space="preserve"> This denial of legal capacity is commonly coupled with the legitimation of ‘substituted decision-making’ by third parties, for </w:t>
      </w:r>
      <w:r w:rsidR="00A875B3" w:rsidRPr="005D75EB">
        <w:rPr>
          <w:rFonts w:ascii="Palatino Linotype" w:hAnsi="Palatino Linotype" w:cs="Times New Roman"/>
          <w:color w:val="000000" w:themeColor="text1"/>
          <w:sz w:val="24"/>
          <w:szCs w:val="24"/>
        </w:rPr>
        <w:lastRenderedPageBreak/>
        <w:t>example, where a person can be involuntarily admitted and treated in a psychiatric facility on the basis of an assessment of their ‘best interests’, or where a legal guardian can be appointed to make financial, healthcare, lifestyle, or other decisions on the person’s behalf.</w:t>
      </w:r>
      <w:r w:rsidR="00A875B3" w:rsidRPr="005D75EB">
        <w:rPr>
          <w:rStyle w:val="FootnoteReference"/>
          <w:rFonts w:ascii="Palatino Linotype" w:hAnsi="Palatino Linotype" w:cs="Times New Roman"/>
          <w:color w:val="000000" w:themeColor="text1"/>
          <w:sz w:val="24"/>
          <w:szCs w:val="24"/>
        </w:rPr>
        <w:footnoteReference w:id="19"/>
      </w:r>
      <w:r w:rsidR="00A875B3" w:rsidRPr="005D75EB">
        <w:rPr>
          <w:rFonts w:ascii="Palatino Linotype" w:hAnsi="Palatino Linotype" w:cs="Times New Roman"/>
          <w:color w:val="000000" w:themeColor="text1"/>
          <w:sz w:val="24"/>
          <w:szCs w:val="24"/>
        </w:rPr>
        <w:t xml:space="preserve"> Other</w:t>
      </w:r>
      <w:r w:rsidRPr="005D75EB">
        <w:rPr>
          <w:rFonts w:ascii="Palatino Linotype" w:hAnsi="Palatino Linotype" w:cs="Times New Roman"/>
          <w:color w:val="000000" w:themeColor="text1"/>
          <w:sz w:val="24"/>
          <w:szCs w:val="24"/>
        </w:rPr>
        <w:t xml:space="preserve"> fundamental civil and political rights</w:t>
      </w:r>
      <w:r w:rsidR="00A875B3" w:rsidRPr="005D75EB">
        <w:rPr>
          <w:rFonts w:ascii="Palatino Linotype" w:hAnsi="Palatino Linotype" w:cs="Times New Roman"/>
          <w:color w:val="000000" w:themeColor="text1"/>
          <w:sz w:val="24"/>
          <w:szCs w:val="24"/>
        </w:rPr>
        <w:t>,</w:t>
      </w:r>
      <w:r w:rsidRPr="005D75EB">
        <w:rPr>
          <w:rFonts w:ascii="Palatino Linotype" w:hAnsi="Palatino Linotype" w:cs="Times New Roman"/>
          <w:color w:val="000000" w:themeColor="text1"/>
          <w:sz w:val="24"/>
          <w:szCs w:val="24"/>
        </w:rPr>
        <w:t xml:space="preserve"> such as the right to vote or protection from arbitrary deprivation of liberty</w:t>
      </w:r>
      <w:r w:rsidR="00A875B3" w:rsidRPr="005D75EB">
        <w:rPr>
          <w:rFonts w:ascii="Palatino Linotype" w:hAnsi="Palatino Linotype" w:cs="Times New Roman"/>
          <w:color w:val="000000" w:themeColor="text1"/>
          <w:sz w:val="24"/>
          <w:szCs w:val="24"/>
        </w:rPr>
        <w:t>,</w:t>
      </w:r>
      <w:r w:rsidRPr="005D75EB">
        <w:rPr>
          <w:rFonts w:ascii="Palatino Linotype" w:hAnsi="Palatino Linotype" w:cs="Times New Roman"/>
          <w:color w:val="000000" w:themeColor="text1"/>
          <w:sz w:val="24"/>
          <w:szCs w:val="24"/>
        </w:rPr>
        <w:t xml:space="preserve"> </w:t>
      </w:r>
      <w:r w:rsidR="009F3E44" w:rsidRPr="005D75EB">
        <w:rPr>
          <w:rFonts w:ascii="Palatino Linotype" w:hAnsi="Palatino Linotype" w:cs="Times New Roman"/>
          <w:color w:val="000000" w:themeColor="text1"/>
          <w:sz w:val="24"/>
          <w:szCs w:val="24"/>
        </w:rPr>
        <w:t>are</w:t>
      </w:r>
      <w:r w:rsidRPr="005D75EB">
        <w:rPr>
          <w:rFonts w:ascii="Palatino Linotype" w:hAnsi="Palatino Linotype" w:cs="Times New Roman"/>
          <w:color w:val="000000" w:themeColor="text1"/>
          <w:sz w:val="24"/>
          <w:szCs w:val="24"/>
        </w:rPr>
        <w:t xml:space="preserve"> restricted or fully denied because of impairment in many countries.</w:t>
      </w:r>
      <w:r w:rsidRPr="005D75EB">
        <w:rPr>
          <w:rStyle w:val="FootnoteReference"/>
          <w:rFonts w:ascii="Palatino Linotype" w:hAnsi="Palatino Linotype" w:cs="Times New Roman"/>
          <w:color w:val="000000" w:themeColor="text1"/>
          <w:sz w:val="24"/>
          <w:szCs w:val="24"/>
        </w:rPr>
        <w:footnoteReference w:id="20"/>
      </w:r>
    </w:p>
    <w:p w14:paraId="047FD631" w14:textId="1B9264C8" w:rsidR="009E6447" w:rsidRPr="005D75EB" w:rsidRDefault="00616EFC" w:rsidP="005D75EB">
      <w:pPr>
        <w:spacing w:line="480" w:lineRule="auto"/>
        <w:jc w:val="both"/>
        <w:rPr>
          <w:rFonts w:ascii="Palatino Linotype" w:hAnsi="Palatino Linotype" w:cs="Times New Roman"/>
          <w:color w:val="000000" w:themeColor="text1"/>
          <w:sz w:val="24"/>
          <w:szCs w:val="24"/>
        </w:rPr>
      </w:pPr>
      <w:r w:rsidRPr="005D75EB">
        <w:rPr>
          <w:rFonts w:ascii="Palatino Linotype" w:hAnsi="Palatino Linotype" w:cs="Times New Roman"/>
          <w:color w:val="000000" w:themeColor="text1"/>
          <w:sz w:val="24"/>
          <w:szCs w:val="24"/>
        </w:rPr>
        <w:t xml:space="preserve">The persistence of these barriers globally, coupled with decades of advocacy and activism by persons with disabilities, led to the creation of the </w:t>
      </w:r>
      <w:r w:rsidR="00E83F6D" w:rsidRPr="005D75EB">
        <w:rPr>
          <w:rFonts w:ascii="Palatino Linotype" w:hAnsi="Palatino Linotype" w:cs="Times New Roman"/>
          <w:color w:val="000000" w:themeColor="text1"/>
          <w:sz w:val="24"/>
          <w:szCs w:val="24"/>
        </w:rPr>
        <w:t xml:space="preserve">CRPD </w:t>
      </w:r>
      <w:r w:rsidRPr="005D75EB">
        <w:rPr>
          <w:rFonts w:ascii="Palatino Linotype" w:hAnsi="Palatino Linotype" w:cs="Times New Roman"/>
          <w:color w:val="000000" w:themeColor="text1"/>
          <w:sz w:val="24"/>
          <w:szCs w:val="24"/>
        </w:rPr>
        <w:t>to ‘promote, protect and ensure the full and equal enjoyment of all human rights and fundamental freedoms by all persons with disabilities, and to promote respect for their inherent dignity’.</w:t>
      </w:r>
      <w:r w:rsidRPr="005D75EB">
        <w:rPr>
          <w:rStyle w:val="FootnoteReference"/>
          <w:rFonts w:ascii="Palatino Linotype" w:hAnsi="Palatino Linotype" w:cs="Times New Roman"/>
          <w:color w:val="000000" w:themeColor="text1"/>
          <w:sz w:val="24"/>
          <w:szCs w:val="24"/>
        </w:rPr>
        <w:footnoteReference w:id="21"/>
      </w:r>
      <w:r w:rsidRPr="005D75EB">
        <w:rPr>
          <w:rFonts w:ascii="Palatino Linotype" w:hAnsi="Palatino Linotype" w:cs="Times New Roman"/>
          <w:color w:val="000000" w:themeColor="text1"/>
          <w:sz w:val="24"/>
          <w:szCs w:val="24"/>
        </w:rPr>
        <w:t xml:space="preserve"> </w:t>
      </w:r>
      <w:r w:rsidR="008877B5" w:rsidRPr="005D75EB">
        <w:rPr>
          <w:rFonts w:ascii="Palatino Linotype" w:eastAsia="Times New Roman" w:hAnsi="Palatino Linotype" w:cs="Times New Roman"/>
          <w:color w:val="000000" w:themeColor="text1"/>
          <w:sz w:val="24"/>
          <w:szCs w:val="24"/>
        </w:rPr>
        <w:t>As noted above, t</w:t>
      </w:r>
      <w:r w:rsidRPr="005D75EB">
        <w:rPr>
          <w:rFonts w:ascii="Palatino Linotype" w:eastAsia="Times New Roman" w:hAnsi="Palatino Linotype" w:cs="Times New Roman"/>
          <w:color w:val="000000" w:themeColor="text1"/>
          <w:sz w:val="24"/>
          <w:szCs w:val="24"/>
        </w:rPr>
        <w:t xml:space="preserve">he international disability community </w:t>
      </w:r>
      <w:r w:rsidRPr="005D75EB">
        <w:rPr>
          <w:rFonts w:ascii="Palatino Linotype" w:hAnsi="Palatino Linotype" w:cs="Times New Roman"/>
          <w:color w:val="000000" w:themeColor="text1"/>
          <w:sz w:val="24"/>
          <w:szCs w:val="24"/>
        </w:rPr>
        <w:t>played a key role in advocating for a human rights treaty on disability</w:t>
      </w:r>
      <w:r w:rsidR="00A04AE2" w:rsidRPr="005D75EB">
        <w:rPr>
          <w:rFonts w:ascii="Palatino Linotype" w:hAnsi="Palatino Linotype" w:cs="Times New Roman"/>
          <w:color w:val="000000" w:themeColor="text1"/>
          <w:sz w:val="24"/>
          <w:szCs w:val="24"/>
        </w:rPr>
        <w:t>,</w:t>
      </w:r>
      <w:r w:rsidRPr="005D75EB">
        <w:rPr>
          <w:rFonts w:ascii="Palatino Linotype" w:hAnsi="Palatino Linotype" w:cs="Times New Roman"/>
          <w:color w:val="000000" w:themeColor="text1"/>
          <w:sz w:val="24"/>
          <w:szCs w:val="24"/>
        </w:rPr>
        <w:t xml:space="preserve"> and a variety of national and international Disabled Persons’ Organisations (DPOs) contributed to the</w:t>
      </w:r>
      <w:r w:rsidR="00A04AE2" w:rsidRPr="005D75EB">
        <w:rPr>
          <w:rFonts w:ascii="Palatino Linotype" w:hAnsi="Palatino Linotype" w:cs="Times New Roman"/>
          <w:color w:val="000000" w:themeColor="text1"/>
          <w:sz w:val="24"/>
          <w:szCs w:val="24"/>
        </w:rPr>
        <w:t xml:space="preserve"> development and passage</w:t>
      </w:r>
      <w:r w:rsidRPr="005D75EB">
        <w:rPr>
          <w:rFonts w:ascii="Palatino Linotype" w:hAnsi="Palatino Linotype" w:cs="Times New Roman"/>
          <w:color w:val="000000" w:themeColor="text1"/>
          <w:sz w:val="24"/>
          <w:szCs w:val="24"/>
        </w:rPr>
        <w:t xml:space="preserve"> of the Convention. </w:t>
      </w:r>
      <w:r w:rsidR="00323D53" w:rsidRPr="005D75EB">
        <w:rPr>
          <w:rFonts w:ascii="Palatino Linotype" w:hAnsi="Palatino Linotype" w:cs="Times New Roman"/>
          <w:color w:val="000000" w:themeColor="text1"/>
          <w:sz w:val="24"/>
          <w:szCs w:val="24"/>
        </w:rPr>
        <w:t>DPOs are civil society organisations controlled and led by p</w:t>
      </w:r>
      <w:r w:rsidR="0054300A" w:rsidRPr="005D75EB">
        <w:rPr>
          <w:rFonts w:ascii="Palatino Linotype" w:hAnsi="Palatino Linotype" w:cs="Times New Roman"/>
          <w:color w:val="000000" w:themeColor="text1"/>
          <w:sz w:val="24"/>
          <w:szCs w:val="24"/>
        </w:rPr>
        <w:t>ersons</w:t>
      </w:r>
      <w:r w:rsidR="00323D53" w:rsidRPr="005D75EB">
        <w:rPr>
          <w:rFonts w:ascii="Palatino Linotype" w:hAnsi="Palatino Linotype" w:cs="Times New Roman"/>
          <w:color w:val="000000" w:themeColor="text1"/>
          <w:sz w:val="24"/>
          <w:szCs w:val="24"/>
        </w:rPr>
        <w:t xml:space="preserve"> with disabilities. They comprise a range of local, national and international non-government organisations with ‘the aim of collectively acting, </w:t>
      </w:r>
      <w:r w:rsidR="00323D53" w:rsidRPr="005D75EB">
        <w:rPr>
          <w:rFonts w:ascii="Palatino Linotype" w:hAnsi="Palatino Linotype" w:cs="Times New Roman"/>
          <w:color w:val="000000" w:themeColor="text1"/>
          <w:sz w:val="24"/>
          <w:szCs w:val="24"/>
        </w:rPr>
        <w:lastRenderedPageBreak/>
        <w:t>expressing, promoting, pursuing and/or defending a field of common interest’.</w:t>
      </w:r>
      <w:r w:rsidR="00323D53" w:rsidRPr="005D75EB">
        <w:rPr>
          <w:rStyle w:val="FootnoteReference"/>
          <w:rFonts w:ascii="Palatino Linotype" w:hAnsi="Palatino Linotype" w:cs="Times New Roman"/>
          <w:color w:val="000000" w:themeColor="text1"/>
          <w:sz w:val="24"/>
          <w:szCs w:val="24"/>
        </w:rPr>
        <w:t xml:space="preserve"> </w:t>
      </w:r>
      <w:r w:rsidR="00323D53" w:rsidRPr="005D75EB">
        <w:rPr>
          <w:rStyle w:val="FootnoteReference"/>
          <w:rFonts w:ascii="Palatino Linotype" w:hAnsi="Palatino Linotype" w:cs="Times New Roman"/>
          <w:color w:val="000000" w:themeColor="text1"/>
          <w:sz w:val="24"/>
          <w:szCs w:val="24"/>
        </w:rPr>
        <w:footnoteReference w:id="22"/>
      </w:r>
      <w:r w:rsidR="00323D53" w:rsidRPr="005D75EB">
        <w:rPr>
          <w:rFonts w:ascii="Palatino Linotype" w:hAnsi="Palatino Linotype" w:cs="Times New Roman"/>
          <w:color w:val="000000" w:themeColor="text1"/>
          <w:sz w:val="24"/>
          <w:szCs w:val="24"/>
        </w:rPr>
        <w:t xml:space="preserve"> </w:t>
      </w:r>
      <w:r w:rsidR="00860E7A" w:rsidRPr="005D75EB">
        <w:rPr>
          <w:rFonts w:ascii="Palatino Linotype" w:eastAsia="Times New Roman" w:hAnsi="Palatino Linotype" w:cs="Times New Roman"/>
          <w:color w:val="000000" w:themeColor="text1"/>
          <w:sz w:val="24"/>
          <w:szCs w:val="24"/>
        </w:rPr>
        <w:t>The drafting process was driven by active participation of</w:t>
      </w:r>
      <w:r w:rsidR="00A9411B" w:rsidRPr="005D75EB">
        <w:rPr>
          <w:rFonts w:ascii="Palatino Linotype" w:eastAsia="Times New Roman" w:hAnsi="Palatino Linotype" w:cs="Times New Roman"/>
          <w:color w:val="000000" w:themeColor="text1"/>
          <w:sz w:val="24"/>
          <w:szCs w:val="24"/>
        </w:rPr>
        <w:t xml:space="preserve"> DPOs and other civil society actors</w:t>
      </w:r>
      <w:r w:rsidR="00E33756" w:rsidRPr="005D75EB">
        <w:rPr>
          <w:rFonts w:ascii="Palatino Linotype" w:eastAsia="Times New Roman" w:hAnsi="Palatino Linotype" w:cs="Times New Roman"/>
          <w:color w:val="000000" w:themeColor="text1"/>
          <w:sz w:val="24"/>
          <w:szCs w:val="24"/>
        </w:rPr>
        <w:t xml:space="preserve"> to a greater extent than other treaties</w:t>
      </w:r>
      <w:r w:rsidR="00860E7A" w:rsidRPr="005D75EB">
        <w:rPr>
          <w:rFonts w:ascii="Palatino Linotype" w:eastAsia="Times New Roman" w:hAnsi="Palatino Linotype" w:cs="Times New Roman"/>
          <w:color w:val="000000" w:themeColor="text1"/>
          <w:sz w:val="24"/>
          <w:szCs w:val="24"/>
        </w:rPr>
        <w:t>.</w:t>
      </w:r>
      <w:r w:rsidR="00EF3F38" w:rsidRPr="005D75EB">
        <w:rPr>
          <w:rStyle w:val="FootnoteReference"/>
          <w:rFonts w:ascii="Palatino Linotype" w:eastAsia="Times New Roman" w:hAnsi="Palatino Linotype" w:cs="Times New Roman"/>
          <w:color w:val="000000" w:themeColor="text1"/>
          <w:sz w:val="24"/>
          <w:szCs w:val="24"/>
        </w:rPr>
        <w:footnoteReference w:id="23"/>
      </w:r>
      <w:r w:rsidR="00860E7A" w:rsidRPr="005D75EB">
        <w:rPr>
          <w:rFonts w:ascii="Palatino Linotype" w:eastAsia="Times New Roman" w:hAnsi="Palatino Linotype" w:cs="Times New Roman"/>
          <w:color w:val="000000" w:themeColor="text1"/>
          <w:sz w:val="24"/>
          <w:szCs w:val="24"/>
        </w:rPr>
        <w:t xml:space="preserve"> </w:t>
      </w:r>
      <w:r w:rsidRPr="005D75EB">
        <w:rPr>
          <w:rFonts w:ascii="Palatino Linotype" w:hAnsi="Palatino Linotype" w:cs="Times New Roman"/>
          <w:color w:val="000000" w:themeColor="text1"/>
          <w:sz w:val="24"/>
          <w:szCs w:val="24"/>
        </w:rPr>
        <w:t>The C</w:t>
      </w:r>
      <w:r w:rsidR="00E83F6D" w:rsidRPr="005D75EB">
        <w:rPr>
          <w:rFonts w:ascii="Palatino Linotype" w:hAnsi="Palatino Linotype" w:cs="Times New Roman"/>
          <w:color w:val="000000" w:themeColor="text1"/>
          <w:sz w:val="24"/>
          <w:szCs w:val="24"/>
        </w:rPr>
        <w:t>RPD</w:t>
      </w:r>
      <w:r w:rsidRPr="005D75EB">
        <w:rPr>
          <w:rFonts w:ascii="Palatino Linotype" w:hAnsi="Palatino Linotype" w:cs="Times New Roman"/>
          <w:color w:val="000000" w:themeColor="text1"/>
          <w:sz w:val="24"/>
          <w:szCs w:val="24"/>
        </w:rPr>
        <w:t xml:space="preserve"> was adopted in 2006 and entered into force on 3 May 2008. </w:t>
      </w:r>
      <w:r w:rsidR="00A9411B" w:rsidRPr="005D75EB">
        <w:rPr>
          <w:rFonts w:ascii="Palatino Linotype" w:hAnsi="Palatino Linotype" w:cs="Times New Roman"/>
          <w:color w:val="000000" w:themeColor="text1"/>
          <w:sz w:val="24"/>
          <w:szCs w:val="24"/>
        </w:rPr>
        <w:t xml:space="preserve">As of </w:t>
      </w:r>
      <w:r w:rsidR="00D00596" w:rsidRPr="005D75EB">
        <w:rPr>
          <w:rFonts w:ascii="Palatino Linotype" w:hAnsi="Palatino Linotype" w:cs="Times New Roman"/>
          <w:color w:val="000000" w:themeColor="text1"/>
          <w:sz w:val="24"/>
          <w:szCs w:val="24"/>
        </w:rPr>
        <w:t>March 2018</w:t>
      </w:r>
      <w:r w:rsidRPr="005D75EB">
        <w:rPr>
          <w:rFonts w:ascii="Palatino Linotype" w:hAnsi="Palatino Linotype" w:cs="Times New Roman"/>
          <w:color w:val="000000" w:themeColor="text1"/>
          <w:sz w:val="24"/>
          <w:szCs w:val="24"/>
        </w:rPr>
        <w:t xml:space="preserve">, </w:t>
      </w:r>
      <w:r w:rsidR="00E8248F" w:rsidRPr="005D75EB">
        <w:rPr>
          <w:rFonts w:ascii="Palatino Linotype" w:hAnsi="Palatino Linotype" w:cs="Times New Roman"/>
          <w:color w:val="000000" w:themeColor="text1"/>
          <w:sz w:val="24"/>
          <w:szCs w:val="24"/>
        </w:rPr>
        <w:t>17</w:t>
      </w:r>
      <w:r w:rsidR="00D00596" w:rsidRPr="005D75EB">
        <w:rPr>
          <w:rFonts w:ascii="Palatino Linotype" w:hAnsi="Palatino Linotype" w:cs="Times New Roman"/>
          <w:color w:val="000000" w:themeColor="text1"/>
          <w:sz w:val="24"/>
          <w:szCs w:val="24"/>
        </w:rPr>
        <w:t>6</w:t>
      </w:r>
      <w:r w:rsidRPr="005D75EB">
        <w:rPr>
          <w:rFonts w:ascii="Palatino Linotype" w:hAnsi="Palatino Linotype" w:cs="Times New Roman"/>
          <w:color w:val="000000" w:themeColor="text1"/>
          <w:sz w:val="24"/>
          <w:szCs w:val="24"/>
        </w:rPr>
        <w:t xml:space="preserve"> </w:t>
      </w:r>
      <w:r w:rsidR="009F3077" w:rsidRPr="005D75EB">
        <w:rPr>
          <w:rFonts w:ascii="Palatino Linotype" w:hAnsi="Palatino Linotype" w:cs="Times New Roman"/>
          <w:color w:val="000000" w:themeColor="text1"/>
          <w:sz w:val="24"/>
          <w:szCs w:val="24"/>
        </w:rPr>
        <w:t>States</w:t>
      </w:r>
      <w:r w:rsidRPr="005D75EB">
        <w:rPr>
          <w:rFonts w:ascii="Palatino Linotype" w:hAnsi="Palatino Linotype" w:cs="Times New Roman"/>
          <w:color w:val="000000" w:themeColor="text1"/>
          <w:sz w:val="24"/>
          <w:szCs w:val="24"/>
        </w:rPr>
        <w:t xml:space="preserve"> </w:t>
      </w:r>
      <w:r w:rsidR="00E83F6D" w:rsidRPr="005D75EB">
        <w:rPr>
          <w:rFonts w:ascii="Palatino Linotype" w:hAnsi="Palatino Linotype" w:cs="Times New Roman"/>
          <w:color w:val="000000" w:themeColor="text1"/>
          <w:sz w:val="24"/>
          <w:szCs w:val="24"/>
        </w:rPr>
        <w:t xml:space="preserve">are </w:t>
      </w:r>
      <w:r w:rsidR="00EE5225" w:rsidRPr="005D75EB">
        <w:rPr>
          <w:rFonts w:ascii="Palatino Linotype" w:hAnsi="Palatino Linotype" w:cs="Times New Roman"/>
          <w:color w:val="000000" w:themeColor="text1"/>
          <w:sz w:val="24"/>
          <w:szCs w:val="24"/>
        </w:rPr>
        <w:t>part</w:t>
      </w:r>
      <w:r w:rsidR="009805FD" w:rsidRPr="005D75EB">
        <w:rPr>
          <w:rFonts w:ascii="Palatino Linotype" w:hAnsi="Palatino Linotype" w:cs="Times New Roman"/>
          <w:color w:val="000000" w:themeColor="text1"/>
          <w:sz w:val="24"/>
          <w:szCs w:val="24"/>
        </w:rPr>
        <w:t>y</w:t>
      </w:r>
      <w:r w:rsidR="00EE5225" w:rsidRPr="005D75EB">
        <w:rPr>
          <w:rFonts w:ascii="Palatino Linotype" w:hAnsi="Palatino Linotype" w:cs="Times New Roman"/>
          <w:color w:val="000000" w:themeColor="text1"/>
          <w:sz w:val="24"/>
          <w:szCs w:val="24"/>
        </w:rPr>
        <w:t xml:space="preserve"> to it</w:t>
      </w:r>
      <w:r w:rsidRPr="005D75EB">
        <w:rPr>
          <w:rFonts w:ascii="Palatino Linotype" w:hAnsi="Palatino Linotype" w:cs="Times New Roman"/>
          <w:color w:val="000000" w:themeColor="text1"/>
          <w:sz w:val="24"/>
          <w:szCs w:val="24"/>
        </w:rPr>
        <w:t>.</w:t>
      </w:r>
      <w:r w:rsidRPr="005D75EB">
        <w:rPr>
          <w:rStyle w:val="FootnoteReference"/>
          <w:rFonts w:ascii="Palatino Linotype" w:hAnsi="Palatino Linotype" w:cs="Times New Roman"/>
          <w:color w:val="000000" w:themeColor="text1"/>
          <w:sz w:val="24"/>
          <w:szCs w:val="24"/>
        </w:rPr>
        <w:footnoteReference w:id="24"/>
      </w:r>
    </w:p>
    <w:p w14:paraId="53C93F7C" w14:textId="2892F914" w:rsidR="00616EFC" w:rsidRPr="005D75EB" w:rsidRDefault="00066967" w:rsidP="005D75EB">
      <w:pPr>
        <w:spacing w:line="480" w:lineRule="auto"/>
        <w:jc w:val="both"/>
        <w:rPr>
          <w:rFonts w:ascii="Palatino Linotype" w:hAnsi="Palatino Linotype" w:cs="Times New Roman"/>
          <w:color w:val="000000" w:themeColor="text1"/>
          <w:sz w:val="24"/>
          <w:szCs w:val="24"/>
        </w:rPr>
      </w:pPr>
      <w:r w:rsidRPr="005D75EB">
        <w:rPr>
          <w:rFonts w:ascii="Palatino Linotype" w:hAnsi="Palatino Linotype" w:cs="Times New Roman"/>
          <w:color w:val="000000" w:themeColor="text1"/>
          <w:sz w:val="24"/>
          <w:szCs w:val="24"/>
        </w:rPr>
        <w:t>While the</w:t>
      </w:r>
      <w:r w:rsidR="008B7693" w:rsidRPr="005D75EB">
        <w:rPr>
          <w:rFonts w:ascii="Palatino Linotype" w:hAnsi="Palatino Linotype" w:cs="Times New Roman"/>
          <w:color w:val="000000" w:themeColor="text1"/>
          <w:sz w:val="24"/>
          <w:szCs w:val="24"/>
        </w:rPr>
        <w:t xml:space="preserve"> international</w:t>
      </w:r>
      <w:r w:rsidRPr="005D75EB">
        <w:rPr>
          <w:rFonts w:ascii="Palatino Linotype" w:hAnsi="Palatino Linotype" w:cs="Times New Roman"/>
          <w:color w:val="000000" w:themeColor="text1"/>
          <w:sz w:val="24"/>
          <w:szCs w:val="24"/>
        </w:rPr>
        <w:t xml:space="preserve"> disability</w:t>
      </w:r>
      <w:r w:rsidR="007B1C64" w:rsidRPr="005D75EB">
        <w:rPr>
          <w:rFonts w:ascii="Palatino Linotype" w:hAnsi="Palatino Linotype" w:cs="Times New Roman"/>
          <w:color w:val="000000" w:themeColor="text1"/>
          <w:sz w:val="24"/>
          <w:szCs w:val="24"/>
        </w:rPr>
        <w:t xml:space="preserve"> rights</w:t>
      </w:r>
      <w:r w:rsidRPr="005D75EB">
        <w:rPr>
          <w:rFonts w:ascii="Palatino Linotype" w:hAnsi="Palatino Linotype" w:cs="Times New Roman"/>
          <w:color w:val="000000" w:themeColor="text1"/>
          <w:sz w:val="24"/>
          <w:szCs w:val="24"/>
        </w:rPr>
        <w:t xml:space="preserve"> movement </w:t>
      </w:r>
      <w:r w:rsidR="008B7693" w:rsidRPr="005D75EB">
        <w:rPr>
          <w:rFonts w:ascii="Palatino Linotype" w:hAnsi="Palatino Linotype" w:cs="Times New Roman"/>
          <w:color w:val="000000" w:themeColor="text1"/>
          <w:sz w:val="24"/>
          <w:szCs w:val="24"/>
        </w:rPr>
        <w:t xml:space="preserve">has </w:t>
      </w:r>
      <w:r w:rsidRPr="005D75EB">
        <w:rPr>
          <w:rFonts w:ascii="Palatino Linotype" w:hAnsi="Palatino Linotype" w:cs="Times New Roman"/>
          <w:color w:val="000000" w:themeColor="text1"/>
          <w:sz w:val="24"/>
          <w:szCs w:val="24"/>
        </w:rPr>
        <w:t>emphasise</w:t>
      </w:r>
      <w:r w:rsidR="008B7693" w:rsidRPr="005D75EB">
        <w:rPr>
          <w:rFonts w:ascii="Palatino Linotype" w:hAnsi="Palatino Linotype" w:cs="Times New Roman"/>
          <w:color w:val="000000" w:themeColor="text1"/>
          <w:sz w:val="24"/>
          <w:szCs w:val="24"/>
        </w:rPr>
        <w:t>d</w:t>
      </w:r>
      <w:r w:rsidRPr="005D75EB">
        <w:rPr>
          <w:rFonts w:ascii="Palatino Linotype" w:hAnsi="Palatino Linotype" w:cs="Times New Roman"/>
          <w:color w:val="000000" w:themeColor="text1"/>
          <w:sz w:val="24"/>
          <w:szCs w:val="24"/>
        </w:rPr>
        <w:t xml:space="preserve"> that</w:t>
      </w:r>
      <w:r w:rsidR="0054300A" w:rsidRPr="005D75EB">
        <w:rPr>
          <w:rFonts w:ascii="Palatino Linotype" w:hAnsi="Palatino Linotype" w:cs="Times New Roman"/>
          <w:color w:val="000000" w:themeColor="text1"/>
          <w:sz w:val="24"/>
          <w:szCs w:val="24"/>
        </w:rPr>
        <w:t xml:space="preserve"> persons</w:t>
      </w:r>
      <w:r w:rsidRPr="005D75EB">
        <w:rPr>
          <w:rFonts w:ascii="Palatino Linotype" w:hAnsi="Palatino Linotype" w:cs="Times New Roman"/>
          <w:color w:val="000000" w:themeColor="text1"/>
          <w:sz w:val="24"/>
          <w:szCs w:val="24"/>
        </w:rPr>
        <w:t xml:space="preserve"> with disabilities do not ask for special rights, the CRPD addresses specific challenges and human rights issues that are unique to the situation of persons with disabilities. </w:t>
      </w:r>
      <w:r w:rsidR="009E6447" w:rsidRPr="005D75EB">
        <w:rPr>
          <w:rFonts w:ascii="Palatino Linotype" w:hAnsi="Palatino Linotype" w:cs="Times New Roman"/>
          <w:color w:val="000000" w:themeColor="text1"/>
          <w:sz w:val="24"/>
          <w:szCs w:val="24"/>
        </w:rPr>
        <w:t>They include, for example, equal recognition before the law and the prohibition of all forms of discrimination on the basis of disability;</w:t>
      </w:r>
      <w:r w:rsidR="008339D2" w:rsidRPr="005D75EB">
        <w:rPr>
          <w:rStyle w:val="FootnoteReference"/>
          <w:rFonts w:ascii="Palatino Linotype" w:hAnsi="Palatino Linotype" w:cs="Times New Roman"/>
          <w:color w:val="000000" w:themeColor="text1"/>
          <w:sz w:val="24"/>
          <w:szCs w:val="24"/>
        </w:rPr>
        <w:footnoteReference w:id="25"/>
      </w:r>
      <w:r w:rsidR="009E6447" w:rsidRPr="005D75EB">
        <w:rPr>
          <w:rFonts w:ascii="Palatino Linotype" w:hAnsi="Palatino Linotype" w:cs="Times New Roman"/>
          <w:color w:val="000000" w:themeColor="text1"/>
          <w:sz w:val="24"/>
          <w:szCs w:val="24"/>
        </w:rPr>
        <w:t xml:space="preserve"> taking appropriate measures to ensure equal access to the physical environment, transportation, information and communications technologies, and other systems and facilities;</w:t>
      </w:r>
      <w:r w:rsidR="008339D2" w:rsidRPr="005D75EB">
        <w:rPr>
          <w:rStyle w:val="FootnoteReference"/>
          <w:rFonts w:ascii="Palatino Linotype" w:hAnsi="Palatino Linotype" w:cs="Times New Roman"/>
          <w:color w:val="000000" w:themeColor="text1"/>
          <w:sz w:val="24"/>
          <w:szCs w:val="24"/>
        </w:rPr>
        <w:footnoteReference w:id="26"/>
      </w:r>
      <w:r w:rsidR="009E6447" w:rsidRPr="005D75EB">
        <w:rPr>
          <w:rFonts w:ascii="Palatino Linotype" w:hAnsi="Palatino Linotype" w:cs="Times New Roman"/>
          <w:color w:val="000000" w:themeColor="text1"/>
          <w:sz w:val="24"/>
          <w:szCs w:val="24"/>
        </w:rPr>
        <w:t xml:space="preserve"> </w:t>
      </w:r>
      <w:r w:rsidR="008339D2" w:rsidRPr="005D75EB">
        <w:rPr>
          <w:rFonts w:ascii="Palatino Linotype" w:hAnsi="Palatino Linotype" w:cs="Times New Roman"/>
          <w:color w:val="000000" w:themeColor="text1"/>
          <w:sz w:val="24"/>
          <w:szCs w:val="24"/>
        </w:rPr>
        <w:t>ensuring against unlawful or arbitrary deprivation of liberty;</w:t>
      </w:r>
      <w:r w:rsidR="008339D2" w:rsidRPr="005D75EB">
        <w:rPr>
          <w:rStyle w:val="FootnoteReference"/>
          <w:rFonts w:ascii="Palatino Linotype" w:hAnsi="Palatino Linotype" w:cs="Times New Roman"/>
          <w:color w:val="000000" w:themeColor="text1"/>
          <w:sz w:val="24"/>
          <w:szCs w:val="24"/>
        </w:rPr>
        <w:footnoteReference w:id="27"/>
      </w:r>
      <w:r w:rsidR="00F4316F" w:rsidRPr="005D75EB">
        <w:rPr>
          <w:rFonts w:ascii="Palatino Linotype" w:hAnsi="Palatino Linotype" w:cs="Times New Roman"/>
          <w:color w:val="000000" w:themeColor="text1"/>
          <w:sz w:val="24"/>
          <w:szCs w:val="24"/>
        </w:rPr>
        <w:t xml:space="preserve"> realizing the right to</w:t>
      </w:r>
      <w:r w:rsidR="006C4E6A" w:rsidRPr="005D75EB">
        <w:rPr>
          <w:rFonts w:ascii="Palatino Linotype" w:hAnsi="Palatino Linotype" w:cs="Times New Roman"/>
          <w:color w:val="000000" w:themeColor="text1"/>
          <w:sz w:val="24"/>
          <w:szCs w:val="24"/>
        </w:rPr>
        <w:t xml:space="preserve"> inclusive</w:t>
      </w:r>
      <w:r w:rsidR="00F4316F" w:rsidRPr="005D75EB">
        <w:rPr>
          <w:rFonts w:ascii="Palatino Linotype" w:hAnsi="Palatino Linotype" w:cs="Times New Roman"/>
          <w:color w:val="000000" w:themeColor="text1"/>
          <w:sz w:val="24"/>
          <w:szCs w:val="24"/>
        </w:rPr>
        <w:t xml:space="preserve"> education;</w:t>
      </w:r>
      <w:r w:rsidR="00F4316F" w:rsidRPr="005D75EB">
        <w:rPr>
          <w:rStyle w:val="FootnoteReference"/>
          <w:rFonts w:ascii="Palatino Linotype" w:hAnsi="Palatino Linotype" w:cs="Times New Roman"/>
          <w:color w:val="000000" w:themeColor="text1"/>
          <w:sz w:val="24"/>
          <w:szCs w:val="24"/>
        </w:rPr>
        <w:footnoteReference w:id="28"/>
      </w:r>
      <w:r w:rsidR="00F4316F" w:rsidRPr="005D75EB">
        <w:rPr>
          <w:rFonts w:ascii="Palatino Linotype" w:hAnsi="Palatino Linotype" w:cs="Times New Roman"/>
          <w:color w:val="000000" w:themeColor="text1"/>
          <w:sz w:val="24"/>
          <w:szCs w:val="24"/>
        </w:rPr>
        <w:t xml:space="preserve"> and guaranteeing equal enjoyment of political rights, including the right to vote and be elected.</w:t>
      </w:r>
      <w:r w:rsidR="00F4316F" w:rsidRPr="005D75EB">
        <w:rPr>
          <w:rStyle w:val="FootnoteReference"/>
          <w:rFonts w:ascii="Palatino Linotype" w:hAnsi="Palatino Linotype" w:cs="Times New Roman"/>
          <w:color w:val="000000" w:themeColor="text1"/>
          <w:sz w:val="24"/>
          <w:szCs w:val="24"/>
        </w:rPr>
        <w:footnoteReference w:id="29"/>
      </w:r>
    </w:p>
    <w:p w14:paraId="2C419E72" w14:textId="52E00D77" w:rsidR="00181AE8" w:rsidRPr="005D75EB" w:rsidRDefault="006C7263" w:rsidP="005D75EB">
      <w:pPr>
        <w:spacing w:line="480" w:lineRule="auto"/>
        <w:jc w:val="both"/>
        <w:rPr>
          <w:rFonts w:ascii="Palatino Linotype" w:hAnsi="Palatino Linotype" w:cs="Times New Roman"/>
          <w:color w:val="000000" w:themeColor="text1"/>
          <w:sz w:val="24"/>
          <w:szCs w:val="24"/>
        </w:rPr>
      </w:pPr>
      <w:r w:rsidRPr="005D75EB">
        <w:rPr>
          <w:rFonts w:ascii="Palatino Linotype" w:hAnsi="Palatino Linotype" w:cs="Times New Roman"/>
          <w:color w:val="000000" w:themeColor="text1"/>
          <w:sz w:val="24"/>
          <w:szCs w:val="24"/>
        </w:rPr>
        <w:lastRenderedPageBreak/>
        <w:t>One of the guiding principles</w:t>
      </w:r>
      <w:r w:rsidR="00616EFC" w:rsidRPr="005D75EB">
        <w:rPr>
          <w:rFonts w:ascii="Palatino Linotype" w:hAnsi="Palatino Linotype" w:cs="Times New Roman"/>
          <w:color w:val="000000" w:themeColor="text1"/>
          <w:sz w:val="24"/>
          <w:szCs w:val="24"/>
        </w:rPr>
        <w:t xml:space="preserve"> of the</w:t>
      </w:r>
      <w:r w:rsidR="001545A6" w:rsidRPr="005D75EB">
        <w:rPr>
          <w:rFonts w:ascii="Palatino Linotype" w:hAnsi="Palatino Linotype" w:cs="Times New Roman"/>
          <w:color w:val="000000" w:themeColor="text1"/>
          <w:sz w:val="24"/>
          <w:szCs w:val="24"/>
        </w:rPr>
        <w:t xml:space="preserve"> international</w:t>
      </w:r>
      <w:r w:rsidR="00616EFC" w:rsidRPr="005D75EB">
        <w:rPr>
          <w:rFonts w:ascii="Palatino Linotype" w:hAnsi="Palatino Linotype" w:cs="Times New Roman"/>
          <w:color w:val="000000" w:themeColor="text1"/>
          <w:sz w:val="24"/>
          <w:szCs w:val="24"/>
        </w:rPr>
        <w:t xml:space="preserve"> disability rights movement, ‘nothing about us without us’, demands that all matters affecting persons with disabilities should involve persons with disabilities in positions of leadership and control.</w:t>
      </w:r>
      <w:r w:rsidR="001545A6" w:rsidRPr="005D75EB">
        <w:rPr>
          <w:rStyle w:val="FootnoteReference"/>
          <w:rFonts w:ascii="Palatino Linotype" w:hAnsi="Palatino Linotype" w:cs="Times New Roman"/>
          <w:color w:val="000000" w:themeColor="text1"/>
          <w:sz w:val="24"/>
          <w:szCs w:val="24"/>
        </w:rPr>
        <w:footnoteReference w:id="30"/>
      </w:r>
      <w:r w:rsidR="00616EFC" w:rsidRPr="005D75EB">
        <w:rPr>
          <w:rFonts w:ascii="Palatino Linotype" w:hAnsi="Palatino Linotype" w:cs="Times New Roman"/>
          <w:color w:val="000000" w:themeColor="text1"/>
          <w:sz w:val="24"/>
          <w:szCs w:val="24"/>
        </w:rPr>
        <w:t xml:space="preserve"> The</w:t>
      </w:r>
      <w:r w:rsidR="009F3077" w:rsidRPr="005D75EB">
        <w:rPr>
          <w:rFonts w:ascii="Palatino Linotype" w:hAnsi="Palatino Linotype" w:cs="Times New Roman"/>
          <w:color w:val="000000" w:themeColor="text1"/>
          <w:sz w:val="24"/>
          <w:szCs w:val="24"/>
        </w:rPr>
        <w:t xml:space="preserve"> CRPD</w:t>
      </w:r>
      <w:r w:rsidR="00616EFC" w:rsidRPr="005D75EB">
        <w:rPr>
          <w:rFonts w:ascii="Palatino Linotype" w:hAnsi="Palatino Linotype" w:cs="Times New Roman"/>
          <w:color w:val="000000" w:themeColor="text1"/>
          <w:sz w:val="24"/>
          <w:szCs w:val="24"/>
        </w:rPr>
        <w:t xml:space="preserve"> </w:t>
      </w:r>
      <w:r w:rsidR="00EE2291" w:rsidRPr="005D75EB">
        <w:rPr>
          <w:rFonts w:ascii="Palatino Linotype" w:hAnsi="Palatino Linotype" w:cs="Times New Roman"/>
          <w:color w:val="000000" w:themeColor="text1"/>
          <w:sz w:val="24"/>
          <w:szCs w:val="24"/>
        </w:rPr>
        <w:t>reflects this, explicitly obliging</w:t>
      </w:r>
      <w:r w:rsidR="00616EFC" w:rsidRPr="005D75EB">
        <w:rPr>
          <w:rFonts w:ascii="Palatino Linotype" w:hAnsi="Palatino Linotype" w:cs="Times New Roman"/>
          <w:color w:val="000000" w:themeColor="text1"/>
          <w:sz w:val="24"/>
          <w:szCs w:val="24"/>
        </w:rPr>
        <w:t xml:space="preserve"> States to closely consult with, and actively involve, persons with disabilities and DPOs in the development and implementation of the </w:t>
      </w:r>
      <w:r w:rsidR="009F3077" w:rsidRPr="005D75EB">
        <w:rPr>
          <w:rFonts w:ascii="Palatino Linotype" w:hAnsi="Palatino Linotype" w:cs="Times New Roman"/>
          <w:color w:val="000000" w:themeColor="text1"/>
          <w:sz w:val="24"/>
          <w:szCs w:val="24"/>
        </w:rPr>
        <w:t>CRPD</w:t>
      </w:r>
      <w:r w:rsidR="00616EFC" w:rsidRPr="005D75EB">
        <w:rPr>
          <w:rFonts w:ascii="Palatino Linotype" w:hAnsi="Palatino Linotype" w:cs="Times New Roman"/>
          <w:color w:val="000000" w:themeColor="text1"/>
          <w:sz w:val="24"/>
          <w:szCs w:val="24"/>
        </w:rPr>
        <w:t xml:space="preserve"> (art 4), and in monitoring </w:t>
      </w:r>
      <w:r w:rsidR="00C34047" w:rsidRPr="005D75EB">
        <w:rPr>
          <w:rFonts w:ascii="Palatino Linotype" w:hAnsi="Palatino Linotype" w:cs="Times New Roman"/>
          <w:color w:val="000000" w:themeColor="text1"/>
          <w:sz w:val="24"/>
          <w:szCs w:val="24"/>
        </w:rPr>
        <w:t>that</w:t>
      </w:r>
      <w:r w:rsidR="00616EFC" w:rsidRPr="005D75EB">
        <w:rPr>
          <w:rFonts w:ascii="Palatino Linotype" w:hAnsi="Palatino Linotype" w:cs="Times New Roman"/>
          <w:color w:val="000000" w:themeColor="text1"/>
          <w:sz w:val="24"/>
          <w:szCs w:val="24"/>
        </w:rPr>
        <w:t xml:space="preserve"> implementation (art 33).</w:t>
      </w:r>
      <w:r w:rsidR="00616EFC" w:rsidRPr="005D75EB">
        <w:rPr>
          <w:rFonts w:ascii="Palatino Linotype" w:hAnsi="Palatino Linotype" w:cs="Times New Roman"/>
          <w:color w:val="000000" w:themeColor="text1"/>
          <w:sz w:val="24"/>
          <w:szCs w:val="24"/>
          <w:vertAlign w:val="superscript"/>
        </w:rPr>
        <w:footnoteReference w:id="31"/>
      </w:r>
      <w:r w:rsidR="00616EFC" w:rsidRPr="005D75EB">
        <w:rPr>
          <w:rFonts w:ascii="Palatino Linotype" w:hAnsi="Palatino Linotype" w:cs="Times New Roman"/>
          <w:color w:val="000000" w:themeColor="text1"/>
          <w:sz w:val="24"/>
          <w:szCs w:val="24"/>
        </w:rPr>
        <w:t xml:space="preserve"> </w:t>
      </w:r>
      <w:r w:rsidR="00DE26EB" w:rsidRPr="005D75EB">
        <w:rPr>
          <w:rFonts w:ascii="Palatino Linotype" w:hAnsi="Palatino Linotype" w:cs="Times New Roman"/>
          <w:color w:val="000000" w:themeColor="text1"/>
          <w:sz w:val="24"/>
          <w:szCs w:val="24"/>
        </w:rPr>
        <w:t xml:space="preserve"> </w:t>
      </w:r>
    </w:p>
    <w:p w14:paraId="3B4331B1" w14:textId="0B9F9D20" w:rsidR="009330BB" w:rsidRPr="005D75EB" w:rsidRDefault="00616EFC" w:rsidP="005D75EB">
      <w:pPr>
        <w:spacing w:line="480" w:lineRule="auto"/>
        <w:jc w:val="both"/>
        <w:rPr>
          <w:rFonts w:ascii="Palatino Linotype" w:hAnsi="Palatino Linotype" w:cs="Times New Roman"/>
          <w:color w:val="000000" w:themeColor="text1"/>
          <w:sz w:val="24"/>
          <w:szCs w:val="24"/>
        </w:rPr>
      </w:pPr>
      <w:r w:rsidRPr="005D75EB">
        <w:rPr>
          <w:rFonts w:ascii="Palatino Linotype" w:hAnsi="Palatino Linotype" w:cs="Times New Roman"/>
          <w:color w:val="000000" w:themeColor="text1"/>
          <w:sz w:val="24"/>
          <w:szCs w:val="24"/>
        </w:rPr>
        <w:t xml:space="preserve">This </w:t>
      </w:r>
      <w:r w:rsidR="00DE26EB" w:rsidRPr="005D75EB">
        <w:rPr>
          <w:rFonts w:ascii="Palatino Linotype" w:hAnsi="Palatino Linotype" w:cs="Times New Roman"/>
          <w:color w:val="000000" w:themeColor="text1"/>
          <w:sz w:val="24"/>
          <w:szCs w:val="24"/>
        </w:rPr>
        <w:t xml:space="preserve">requirement </w:t>
      </w:r>
      <w:r w:rsidR="00181AE8" w:rsidRPr="005D75EB">
        <w:rPr>
          <w:rFonts w:ascii="Palatino Linotype" w:hAnsi="Palatino Linotype" w:cs="Times New Roman"/>
          <w:color w:val="000000" w:themeColor="text1"/>
          <w:sz w:val="24"/>
          <w:szCs w:val="24"/>
        </w:rPr>
        <w:t xml:space="preserve">to meaningfully include persons with disabilities applies to </w:t>
      </w:r>
      <w:r w:rsidRPr="005D75EB">
        <w:rPr>
          <w:rFonts w:ascii="Palatino Linotype" w:hAnsi="Palatino Linotype" w:cs="Times New Roman"/>
          <w:color w:val="000000" w:themeColor="text1"/>
          <w:sz w:val="24"/>
          <w:szCs w:val="24"/>
        </w:rPr>
        <w:t xml:space="preserve">research that </w:t>
      </w:r>
      <w:r w:rsidR="00212944" w:rsidRPr="005D75EB">
        <w:rPr>
          <w:rFonts w:ascii="Palatino Linotype" w:hAnsi="Palatino Linotype" w:cs="Times New Roman"/>
          <w:color w:val="000000" w:themeColor="text1"/>
          <w:sz w:val="24"/>
          <w:szCs w:val="24"/>
        </w:rPr>
        <w:t xml:space="preserve">assesses </w:t>
      </w:r>
      <w:r w:rsidRPr="005D75EB">
        <w:rPr>
          <w:rFonts w:ascii="Palatino Linotype" w:hAnsi="Palatino Linotype" w:cs="Times New Roman"/>
          <w:color w:val="000000" w:themeColor="text1"/>
          <w:sz w:val="24"/>
          <w:szCs w:val="24"/>
        </w:rPr>
        <w:t xml:space="preserve">the status quo in regard to the human rights situation of </w:t>
      </w:r>
      <w:r w:rsidR="0054300A" w:rsidRPr="005D75EB">
        <w:rPr>
          <w:rFonts w:ascii="Palatino Linotype" w:hAnsi="Palatino Linotype" w:cs="Times New Roman"/>
          <w:color w:val="000000" w:themeColor="text1"/>
          <w:sz w:val="24"/>
          <w:szCs w:val="24"/>
        </w:rPr>
        <w:t>persons</w:t>
      </w:r>
      <w:r w:rsidRPr="005D75EB">
        <w:rPr>
          <w:rFonts w:ascii="Palatino Linotype" w:hAnsi="Palatino Linotype" w:cs="Times New Roman"/>
          <w:color w:val="000000" w:themeColor="text1"/>
          <w:sz w:val="24"/>
          <w:szCs w:val="24"/>
        </w:rPr>
        <w:t xml:space="preserve"> with disabilities, analyses relevant legal, political and social structures</w:t>
      </w:r>
      <w:r w:rsidR="007E4BB6" w:rsidRPr="005D75EB">
        <w:rPr>
          <w:rFonts w:ascii="Palatino Linotype" w:hAnsi="Palatino Linotype" w:cs="Times New Roman"/>
          <w:color w:val="000000" w:themeColor="text1"/>
          <w:sz w:val="24"/>
          <w:szCs w:val="24"/>
        </w:rPr>
        <w:t>,</w:t>
      </w:r>
      <w:r w:rsidRPr="005D75EB">
        <w:rPr>
          <w:rFonts w:ascii="Palatino Linotype" w:hAnsi="Palatino Linotype" w:cs="Times New Roman"/>
          <w:color w:val="000000" w:themeColor="text1"/>
          <w:sz w:val="24"/>
          <w:szCs w:val="24"/>
        </w:rPr>
        <w:t xml:space="preserve"> and informs necessary policy and law reform.</w:t>
      </w:r>
      <w:r w:rsidR="00711D4C" w:rsidRPr="005D75EB">
        <w:rPr>
          <w:rFonts w:ascii="Palatino Linotype" w:hAnsi="Palatino Linotype" w:cs="Times New Roman"/>
          <w:color w:val="000000" w:themeColor="text1"/>
          <w:sz w:val="24"/>
          <w:szCs w:val="24"/>
        </w:rPr>
        <w:t xml:space="preserve"> </w:t>
      </w:r>
      <w:r w:rsidRPr="005D75EB">
        <w:rPr>
          <w:rFonts w:ascii="Palatino Linotype" w:hAnsi="Palatino Linotype" w:cs="Times New Roman"/>
          <w:color w:val="000000" w:themeColor="text1"/>
          <w:sz w:val="24"/>
          <w:szCs w:val="24"/>
        </w:rPr>
        <w:t xml:space="preserve">Historically however, </w:t>
      </w:r>
      <w:r w:rsidR="00372375" w:rsidRPr="005D75EB">
        <w:rPr>
          <w:rFonts w:ascii="Palatino Linotype" w:hAnsi="Palatino Linotype" w:cs="Times New Roman"/>
          <w:color w:val="000000" w:themeColor="text1"/>
          <w:sz w:val="24"/>
          <w:szCs w:val="24"/>
        </w:rPr>
        <w:t xml:space="preserve">as we noted above, </w:t>
      </w:r>
      <w:r w:rsidRPr="005D75EB">
        <w:rPr>
          <w:rFonts w:ascii="Palatino Linotype" w:hAnsi="Palatino Linotype" w:cs="Times New Roman"/>
          <w:color w:val="000000" w:themeColor="text1"/>
          <w:sz w:val="24"/>
          <w:szCs w:val="24"/>
        </w:rPr>
        <w:t xml:space="preserve">research on disability has been conducted from a medical and deficit-oriented perspective, focusing on individual impairments and identifying approaches to ‘fix’ or ‘cure’ them. </w:t>
      </w:r>
      <w:r w:rsidR="00CE65DF" w:rsidRPr="005D75EB">
        <w:rPr>
          <w:rFonts w:ascii="Palatino Linotype" w:hAnsi="Palatino Linotype" w:cs="Times New Roman"/>
          <w:color w:val="000000" w:themeColor="text1"/>
          <w:sz w:val="24"/>
          <w:szCs w:val="24"/>
        </w:rPr>
        <w:t>This is often referred to as a ‘medical model’ approach to disability.</w:t>
      </w:r>
      <w:bookmarkStart w:id="3" w:name="_Ref517949750"/>
      <w:r w:rsidR="00CE65DF" w:rsidRPr="005D75EB">
        <w:rPr>
          <w:rStyle w:val="FootnoteReference"/>
          <w:rFonts w:ascii="Palatino Linotype" w:hAnsi="Palatino Linotype" w:cs="Times New Roman"/>
          <w:color w:val="000000" w:themeColor="text1"/>
          <w:sz w:val="24"/>
          <w:szCs w:val="24"/>
        </w:rPr>
        <w:footnoteReference w:id="32"/>
      </w:r>
      <w:bookmarkEnd w:id="3"/>
      <w:r w:rsidR="00CE65DF" w:rsidRPr="005D75EB">
        <w:rPr>
          <w:rFonts w:ascii="Palatino Linotype" w:hAnsi="Palatino Linotype" w:cs="Times New Roman"/>
          <w:color w:val="000000" w:themeColor="text1"/>
          <w:sz w:val="24"/>
          <w:szCs w:val="24"/>
        </w:rPr>
        <w:t xml:space="preserve"> </w:t>
      </w:r>
      <w:r w:rsidRPr="005D75EB">
        <w:rPr>
          <w:rFonts w:ascii="Palatino Linotype" w:hAnsi="Palatino Linotype" w:cs="Times New Roman"/>
          <w:color w:val="000000" w:themeColor="text1"/>
          <w:sz w:val="24"/>
          <w:szCs w:val="24"/>
        </w:rPr>
        <w:t>While medical research on impairment and human functioning is of course valuable</w:t>
      </w:r>
      <w:r w:rsidR="002C186F" w:rsidRPr="005D75EB">
        <w:rPr>
          <w:rFonts w:ascii="Palatino Linotype" w:hAnsi="Palatino Linotype" w:cs="Times New Roman"/>
          <w:color w:val="000000" w:themeColor="text1"/>
          <w:sz w:val="24"/>
          <w:szCs w:val="24"/>
        </w:rPr>
        <w:t xml:space="preserve"> for some purposes</w:t>
      </w:r>
      <w:r w:rsidRPr="005D75EB">
        <w:rPr>
          <w:rFonts w:ascii="Palatino Linotype" w:hAnsi="Palatino Linotype" w:cs="Times New Roman"/>
          <w:color w:val="000000" w:themeColor="text1"/>
          <w:sz w:val="24"/>
          <w:szCs w:val="24"/>
        </w:rPr>
        <w:t>, the societal barriers facing persons with disabilities are complex and multi-faceted, and cannot be redressed through medical research alone. In their role as objects</w:t>
      </w:r>
      <w:r w:rsidR="00071A3D" w:rsidRPr="005D75EB">
        <w:rPr>
          <w:rFonts w:ascii="Palatino Linotype" w:hAnsi="Palatino Linotype" w:cs="Times New Roman"/>
          <w:color w:val="000000" w:themeColor="text1"/>
          <w:sz w:val="24"/>
          <w:szCs w:val="24"/>
        </w:rPr>
        <w:t xml:space="preserve"> of research</w:t>
      </w:r>
      <w:r w:rsidRPr="005D75EB">
        <w:rPr>
          <w:rFonts w:ascii="Palatino Linotype" w:hAnsi="Palatino Linotype" w:cs="Times New Roman"/>
          <w:color w:val="000000" w:themeColor="text1"/>
          <w:sz w:val="24"/>
          <w:szCs w:val="24"/>
        </w:rPr>
        <w:t xml:space="preserve">, </w:t>
      </w:r>
      <w:r w:rsidR="0054300A" w:rsidRPr="005D75EB">
        <w:rPr>
          <w:rFonts w:ascii="Palatino Linotype" w:hAnsi="Palatino Linotype" w:cs="Times New Roman"/>
          <w:color w:val="000000" w:themeColor="text1"/>
          <w:sz w:val="24"/>
          <w:szCs w:val="24"/>
        </w:rPr>
        <w:t>persons</w:t>
      </w:r>
      <w:r w:rsidRPr="005D75EB">
        <w:rPr>
          <w:rFonts w:ascii="Palatino Linotype" w:hAnsi="Palatino Linotype" w:cs="Times New Roman"/>
          <w:color w:val="000000" w:themeColor="text1"/>
          <w:sz w:val="24"/>
          <w:szCs w:val="24"/>
        </w:rPr>
        <w:t xml:space="preserve"> with disabilities have often been placed in a position of </w:t>
      </w:r>
      <w:r w:rsidRPr="005D75EB">
        <w:rPr>
          <w:rFonts w:ascii="Palatino Linotype" w:hAnsi="Palatino Linotype" w:cs="Times New Roman"/>
          <w:color w:val="000000" w:themeColor="text1"/>
          <w:sz w:val="24"/>
          <w:szCs w:val="24"/>
        </w:rPr>
        <w:lastRenderedPageBreak/>
        <w:t xml:space="preserve">silence and dependency and their lived experience has not been considered </w:t>
      </w:r>
      <w:r w:rsidR="002B2A8C" w:rsidRPr="005D75EB">
        <w:rPr>
          <w:rFonts w:ascii="Palatino Linotype" w:hAnsi="Palatino Linotype" w:cs="Times New Roman"/>
          <w:color w:val="000000" w:themeColor="text1"/>
          <w:sz w:val="24"/>
          <w:szCs w:val="24"/>
        </w:rPr>
        <w:t xml:space="preserve">to be </w:t>
      </w:r>
      <w:r w:rsidRPr="005D75EB">
        <w:rPr>
          <w:rFonts w:ascii="Palatino Linotype" w:hAnsi="Palatino Linotype" w:cs="Times New Roman"/>
          <w:color w:val="000000" w:themeColor="text1"/>
          <w:sz w:val="24"/>
          <w:szCs w:val="24"/>
        </w:rPr>
        <w:t>valuable or relevant knowledge.</w:t>
      </w:r>
      <w:r w:rsidRPr="005D75EB">
        <w:rPr>
          <w:rStyle w:val="FootnoteReference"/>
          <w:rFonts w:ascii="Palatino Linotype" w:hAnsi="Palatino Linotype" w:cs="Times New Roman"/>
          <w:color w:val="000000" w:themeColor="text1"/>
          <w:sz w:val="24"/>
          <w:szCs w:val="24"/>
        </w:rPr>
        <w:footnoteReference w:id="33"/>
      </w:r>
      <w:r w:rsidR="0054300A" w:rsidRPr="005D75EB">
        <w:rPr>
          <w:rFonts w:ascii="Palatino Linotype" w:hAnsi="Palatino Linotype" w:cs="Times New Roman"/>
          <w:color w:val="000000" w:themeColor="text1"/>
          <w:sz w:val="24"/>
          <w:szCs w:val="24"/>
        </w:rPr>
        <w:t xml:space="preserve"> Persons</w:t>
      </w:r>
      <w:r w:rsidRPr="005D75EB">
        <w:rPr>
          <w:rFonts w:ascii="Palatino Linotype" w:hAnsi="Palatino Linotype" w:cs="Times New Roman"/>
          <w:color w:val="000000" w:themeColor="text1"/>
          <w:sz w:val="24"/>
          <w:szCs w:val="24"/>
        </w:rPr>
        <w:t xml:space="preserve"> with psychosocial and intellectual disabilities in particular are often questioned in terms of their </w:t>
      </w:r>
      <w:r w:rsidR="002E65F4" w:rsidRPr="005D75EB">
        <w:rPr>
          <w:rFonts w:ascii="Palatino Linotype" w:hAnsi="Palatino Linotype" w:cs="Times New Roman"/>
          <w:color w:val="000000" w:themeColor="text1"/>
          <w:sz w:val="24"/>
          <w:szCs w:val="24"/>
        </w:rPr>
        <w:t xml:space="preserve">ability </w:t>
      </w:r>
      <w:r w:rsidRPr="005D75EB">
        <w:rPr>
          <w:rFonts w:ascii="Palatino Linotype" w:hAnsi="Palatino Linotype" w:cs="Times New Roman"/>
          <w:color w:val="000000" w:themeColor="text1"/>
          <w:sz w:val="24"/>
          <w:szCs w:val="24"/>
        </w:rPr>
        <w:t>to provide relevant and reliable information due to an assumed lack of mental capacity</w:t>
      </w:r>
      <w:r w:rsidR="00F0791B" w:rsidRPr="005D75EB">
        <w:rPr>
          <w:rFonts w:ascii="Palatino Linotype" w:hAnsi="Palatino Linotype" w:cs="Times New Roman"/>
          <w:color w:val="000000" w:themeColor="text1"/>
          <w:sz w:val="24"/>
          <w:szCs w:val="24"/>
        </w:rPr>
        <w:t>.</w:t>
      </w:r>
      <w:r w:rsidRPr="005D75EB">
        <w:rPr>
          <w:rStyle w:val="FootnoteReference"/>
          <w:rFonts w:ascii="Palatino Linotype" w:hAnsi="Palatino Linotype" w:cs="Times New Roman"/>
          <w:color w:val="000000" w:themeColor="text1"/>
          <w:sz w:val="24"/>
          <w:szCs w:val="24"/>
        </w:rPr>
        <w:footnoteReference w:id="34"/>
      </w:r>
      <w:r w:rsidR="00917A68" w:rsidRPr="005D75EB">
        <w:rPr>
          <w:rFonts w:ascii="Palatino Linotype" w:hAnsi="Palatino Linotype" w:cs="Times New Roman"/>
          <w:color w:val="000000" w:themeColor="text1"/>
          <w:sz w:val="24"/>
          <w:szCs w:val="24"/>
        </w:rPr>
        <w:t xml:space="preserve"> On this basis, a</w:t>
      </w:r>
      <w:r w:rsidRPr="005D75EB">
        <w:rPr>
          <w:rFonts w:ascii="Palatino Linotype" w:hAnsi="Palatino Linotype" w:cs="Times New Roman"/>
          <w:color w:val="000000" w:themeColor="text1"/>
          <w:sz w:val="24"/>
          <w:szCs w:val="24"/>
        </w:rPr>
        <w:t>cademia has been a particular target of criticism by disability rights scholars and activists.</w:t>
      </w:r>
      <w:r w:rsidR="00521072" w:rsidRPr="005D75EB">
        <w:rPr>
          <w:rStyle w:val="FootnoteReference"/>
          <w:rFonts w:ascii="Palatino Linotype" w:hAnsi="Palatino Linotype" w:cs="Times New Roman"/>
          <w:color w:val="000000" w:themeColor="text1"/>
          <w:sz w:val="24"/>
          <w:szCs w:val="24"/>
        </w:rPr>
        <w:footnoteReference w:id="35"/>
      </w:r>
      <w:r w:rsidRPr="005D75EB">
        <w:rPr>
          <w:rFonts w:ascii="Palatino Linotype" w:hAnsi="Palatino Linotype" w:cs="Times New Roman"/>
          <w:color w:val="000000" w:themeColor="text1"/>
          <w:sz w:val="24"/>
          <w:szCs w:val="24"/>
        </w:rPr>
        <w:t xml:space="preserve"> </w:t>
      </w:r>
    </w:p>
    <w:p w14:paraId="1BB9054D" w14:textId="5FAADA5C" w:rsidR="00C079BA" w:rsidRPr="005D75EB" w:rsidRDefault="00616EFC" w:rsidP="005D75EB">
      <w:pPr>
        <w:spacing w:line="480" w:lineRule="auto"/>
        <w:jc w:val="both"/>
        <w:rPr>
          <w:rFonts w:ascii="Palatino Linotype" w:hAnsi="Palatino Linotype" w:cs="Times New Roman"/>
          <w:color w:val="000000" w:themeColor="text1"/>
          <w:sz w:val="24"/>
          <w:szCs w:val="24"/>
        </w:rPr>
      </w:pPr>
      <w:r w:rsidRPr="005D75EB">
        <w:rPr>
          <w:rFonts w:ascii="Palatino Linotype" w:hAnsi="Palatino Linotype" w:cs="Times New Roman"/>
          <w:color w:val="000000" w:themeColor="text1"/>
          <w:sz w:val="24"/>
          <w:szCs w:val="24"/>
        </w:rPr>
        <w:t>The call for disability research to be participatory and co-pr</w:t>
      </w:r>
      <w:r w:rsidR="00AB4361" w:rsidRPr="005D75EB">
        <w:rPr>
          <w:rFonts w:ascii="Palatino Linotype" w:hAnsi="Palatino Linotype" w:cs="Times New Roman"/>
          <w:color w:val="000000" w:themeColor="text1"/>
          <w:sz w:val="24"/>
          <w:szCs w:val="24"/>
        </w:rPr>
        <w:t>oduced led to the formation of d</w:t>
      </w:r>
      <w:r w:rsidRPr="005D75EB">
        <w:rPr>
          <w:rFonts w:ascii="Palatino Linotype" w:hAnsi="Palatino Linotype" w:cs="Times New Roman"/>
          <w:color w:val="000000" w:themeColor="text1"/>
          <w:sz w:val="24"/>
          <w:szCs w:val="24"/>
        </w:rPr>
        <w:t xml:space="preserve">isability </w:t>
      </w:r>
      <w:r w:rsidR="00AB4361" w:rsidRPr="005D75EB">
        <w:rPr>
          <w:rFonts w:ascii="Palatino Linotype" w:hAnsi="Palatino Linotype" w:cs="Times New Roman"/>
          <w:color w:val="000000" w:themeColor="text1"/>
          <w:sz w:val="24"/>
          <w:szCs w:val="24"/>
        </w:rPr>
        <w:t>s</w:t>
      </w:r>
      <w:r w:rsidRPr="005D75EB">
        <w:rPr>
          <w:rFonts w:ascii="Palatino Linotype" w:hAnsi="Palatino Linotype" w:cs="Times New Roman"/>
          <w:color w:val="000000" w:themeColor="text1"/>
          <w:sz w:val="24"/>
          <w:szCs w:val="24"/>
        </w:rPr>
        <w:t>tudies</w:t>
      </w:r>
      <w:r w:rsidR="00F0791B" w:rsidRPr="005D75EB">
        <w:rPr>
          <w:rFonts w:ascii="Palatino Linotype" w:hAnsi="Palatino Linotype" w:cs="Times New Roman"/>
          <w:color w:val="000000" w:themeColor="text1"/>
          <w:sz w:val="24"/>
          <w:szCs w:val="24"/>
        </w:rPr>
        <w:t>,</w:t>
      </w:r>
      <w:bookmarkStart w:id="4" w:name="_Ref508965982"/>
      <w:r w:rsidRPr="005D75EB">
        <w:rPr>
          <w:rStyle w:val="FootnoteReference"/>
          <w:rFonts w:ascii="Palatino Linotype" w:hAnsi="Palatino Linotype" w:cs="Times New Roman"/>
          <w:color w:val="000000" w:themeColor="text1"/>
          <w:sz w:val="24"/>
          <w:szCs w:val="24"/>
        </w:rPr>
        <w:footnoteReference w:id="36"/>
      </w:r>
      <w:bookmarkEnd w:id="4"/>
      <w:r w:rsidR="00F0791B" w:rsidRPr="005D75EB">
        <w:rPr>
          <w:rFonts w:ascii="Palatino Linotype" w:hAnsi="Palatino Linotype" w:cs="Times New Roman"/>
          <w:color w:val="000000" w:themeColor="text1"/>
          <w:sz w:val="24"/>
          <w:szCs w:val="24"/>
        </w:rPr>
        <w:t xml:space="preserve"> </w:t>
      </w:r>
      <w:r w:rsidRPr="005D75EB">
        <w:rPr>
          <w:rFonts w:ascii="Palatino Linotype" w:hAnsi="Palatino Linotype" w:cs="Times New Roman"/>
          <w:color w:val="000000" w:themeColor="text1"/>
          <w:sz w:val="24"/>
          <w:szCs w:val="24"/>
        </w:rPr>
        <w:t xml:space="preserve">a research field characterised by the idea </w:t>
      </w:r>
      <w:r w:rsidR="003A2290" w:rsidRPr="005D75EB">
        <w:rPr>
          <w:rFonts w:ascii="Palatino Linotype" w:hAnsi="Palatino Linotype" w:cs="Times New Roman"/>
          <w:color w:val="000000" w:themeColor="text1"/>
          <w:sz w:val="24"/>
          <w:szCs w:val="24"/>
        </w:rPr>
        <w:t xml:space="preserve">that </w:t>
      </w:r>
      <w:r w:rsidRPr="005D75EB">
        <w:rPr>
          <w:rFonts w:ascii="Palatino Linotype" w:hAnsi="Palatino Linotype" w:cs="Times New Roman"/>
          <w:color w:val="000000" w:themeColor="text1"/>
          <w:sz w:val="24"/>
          <w:szCs w:val="24"/>
        </w:rPr>
        <w:t xml:space="preserve">persons with disabilities and their perspectives </w:t>
      </w:r>
      <w:r w:rsidR="003A2290" w:rsidRPr="005D75EB">
        <w:rPr>
          <w:rFonts w:ascii="Palatino Linotype" w:hAnsi="Palatino Linotype" w:cs="Times New Roman"/>
          <w:color w:val="000000" w:themeColor="text1"/>
          <w:sz w:val="24"/>
          <w:szCs w:val="24"/>
        </w:rPr>
        <w:t>should have control over</w:t>
      </w:r>
      <w:r w:rsidRPr="005D75EB">
        <w:rPr>
          <w:rFonts w:ascii="Palatino Linotype" w:hAnsi="Palatino Linotype" w:cs="Times New Roman"/>
          <w:color w:val="000000" w:themeColor="text1"/>
          <w:sz w:val="24"/>
          <w:szCs w:val="24"/>
        </w:rPr>
        <w:t xml:space="preserve"> research</w:t>
      </w:r>
      <w:r w:rsidR="003A2290" w:rsidRPr="005D75EB">
        <w:rPr>
          <w:rFonts w:ascii="Palatino Linotype" w:hAnsi="Palatino Linotype" w:cs="Times New Roman"/>
          <w:color w:val="000000" w:themeColor="text1"/>
          <w:sz w:val="24"/>
          <w:szCs w:val="24"/>
        </w:rPr>
        <w:t>,</w:t>
      </w:r>
      <w:r w:rsidRPr="005D75EB">
        <w:rPr>
          <w:rFonts w:ascii="Palatino Linotype" w:hAnsi="Palatino Linotype" w:cs="Times New Roman"/>
          <w:color w:val="000000" w:themeColor="text1"/>
          <w:sz w:val="24"/>
          <w:szCs w:val="24"/>
        </w:rPr>
        <w:t xml:space="preserve"> and providing them with decision-making powers regarding research questions, design and dissemination. In </w:t>
      </w:r>
      <w:r w:rsidR="00AB4361" w:rsidRPr="005D75EB">
        <w:rPr>
          <w:rFonts w:ascii="Palatino Linotype" w:hAnsi="Palatino Linotype" w:cs="Times New Roman"/>
          <w:color w:val="000000" w:themeColor="text1"/>
          <w:sz w:val="24"/>
          <w:szCs w:val="24"/>
        </w:rPr>
        <w:t>disability st</w:t>
      </w:r>
      <w:r w:rsidRPr="005D75EB">
        <w:rPr>
          <w:rFonts w:ascii="Palatino Linotype" w:hAnsi="Palatino Linotype" w:cs="Times New Roman"/>
          <w:color w:val="000000" w:themeColor="text1"/>
          <w:sz w:val="24"/>
          <w:szCs w:val="24"/>
        </w:rPr>
        <w:t>udies, researchers are held accountable by persons with disabilities and their representatives, who are involved in the research process wherever possible</w:t>
      </w:r>
      <w:r w:rsidR="003A2290" w:rsidRPr="005D75EB">
        <w:rPr>
          <w:rFonts w:ascii="Palatino Linotype" w:hAnsi="Palatino Linotype" w:cs="Times New Roman"/>
          <w:color w:val="000000" w:themeColor="text1"/>
          <w:sz w:val="24"/>
          <w:szCs w:val="24"/>
        </w:rPr>
        <w:t>, as either academic researchers and/or non-academic partners</w:t>
      </w:r>
      <w:r w:rsidR="008642B0" w:rsidRPr="005D75EB">
        <w:rPr>
          <w:rFonts w:ascii="Palatino Linotype" w:hAnsi="Palatino Linotype" w:cs="Times New Roman"/>
          <w:color w:val="000000" w:themeColor="text1"/>
          <w:sz w:val="24"/>
          <w:szCs w:val="24"/>
        </w:rPr>
        <w:t>.</w:t>
      </w:r>
      <w:r w:rsidRPr="005D75EB">
        <w:rPr>
          <w:rStyle w:val="FootnoteReference"/>
          <w:rFonts w:ascii="Palatino Linotype" w:hAnsi="Palatino Linotype" w:cs="Times New Roman"/>
          <w:color w:val="000000" w:themeColor="text1"/>
          <w:sz w:val="24"/>
          <w:szCs w:val="24"/>
        </w:rPr>
        <w:footnoteReference w:id="37"/>
      </w:r>
      <w:r w:rsidRPr="005D75EB">
        <w:rPr>
          <w:rFonts w:ascii="Palatino Linotype" w:hAnsi="Palatino Linotype" w:cs="Times New Roman"/>
          <w:color w:val="000000" w:themeColor="text1"/>
          <w:sz w:val="24"/>
          <w:szCs w:val="24"/>
        </w:rPr>
        <w:t xml:space="preserve"> This</w:t>
      </w:r>
      <w:r w:rsidR="00946B94" w:rsidRPr="005D75EB">
        <w:rPr>
          <w:rFonts w:ascii="Palatino Linotype" w:hAnsi="Palatino Linotype" w:cs="Times New Roman"/>
          <w:color w:val="000000" w:themeColor="text1"/>
          <w:sz w:val="24"/>
          <w:szCs w:val="24"/>
        </w:rPr>
        <w:t xml:space="preserve"> requires</w:t>
      </w:r>
      <w:r w:rsidRPr="005D75EB">
        <w:rPr>
          <w:rFonts w:ascii="Palatino Linotype" w:hAnsi="Palatino Linotype" w:cs="Times New Roman"/>
          <w:color w:val="000000" w:themeColor="text1"/>
          <w:sz w:val="24"/>
          <w:szCs w:val="24"/>
        </w:rPr>
        <w:t xml:space="preserve"> a questioning of traditional power hi</w:t>
      </w:r>
      <w:r w:rsidR="009B1C64" w:rsidRPr="005D75EB">
        <w:rPr>
          <w:rFonts w:ascii="Palatino Linotype" w:hAnsi="Palatino Linotype" w:cs="Times New Roman"/>
          <w:color w:val="000000" w:themeColor="text1"/>
          <w:sz w:val="24"/>
          <w:szCs w:val="24"/>
        </w:rPr>
        <w:t>erarchies within academia and</w:t>
      </w:r>
      <w:r w:rsidRPr="005D75EB">
        <w:rPr>
          <w:rFonts w:ascii="Palatino Linotype" w:hAnsi="Palatino Linotype" w:cs="Times New Roman"/>
          <w:color w:val="000000" w:themeColor="text1"/>
          <w:sz w:val="24"/>
          <w:szCs w:val="24"/>
        </w:rPr>
        <w:t xml:space="preserve"> the opening of knowledge production to a marginalized social group.</w:t>
      </w:r>
      <w:r w:rsidRPr="005D75EB">
        <w:rPr>
          <w:rStyle w:val="FootnoteReference"/>
          <w:rFonts w:ascii="Palatino Linotype" w:hAnsi="Palatino Linotype" w:cs="Times New Roman"/>
          <w:color w:val="000000" w:themeColor="text1"/>
          <w:sz w:val="24"/>
          <w:szCs w:val="24"/>
        </w:rPr>
        <w:footnoteReference w:id="38"/>
      </w:r>
      <w:r w:rsidRPr="005D75EB">
        <w:rPr>
          <w:rFonts w:ascii="Palatino Linotype" w:hAnsi="Palatino Linotype" w:cs="Times New Roman"/>
          <w:color w:val="000000" w:themeColor="text1"/>
          <w:sz w:val="24"/>
          <w:szCs w:val="24"/>
        </w:rPr>
        <w:t xml:space="preserve"> </w:t>
      </w:r>
      <w:r w:rsidR="00136542" w:rsidRPr="005D75EB">
        <w:rPr>
          <w:rFonts w:ascii="Palatino Linotype" w:hAnsi="Palatino Linotype" w:cs="Times New Roman"/>
          <w:color w:val="000000" w:themeColor="text1"/>
          <w:sz w:val="24"/>
          <w:szCs w:val="24"/>
        </w:rPr>
        <w:t>Disability r</w:t>
      </w:r>
      <w:r w:rsidRPr="005D75EB">
        <w:rPr>
          <w:rFonts w:ascii="Palatino Linotype" w:hAnsi="Palatino Linotype" w:cs="Times New Roman"/>
          <w:color w:val="000000" w:themeColor="text1"/>
          <w:sz w:val="24"/>
          <w:szCs w:val="24"/>
        </w:rPr>
        <w:t xml:space="preserve">esearch emerges from a variety of disciplines but is always characterized by its aim to </w:t>
      </w:r>
      <w:r w:rsidRPr="005D75EB">
        <w:rPr>
          <w:rFonts w:ascii="Palatino Linotype" w:hAnsi="Palatino Linotype" w:cs="Times New Roman"/>
          <w:color w:val="000000" w:themeColor="text1"/>
          <w:sz w:val="24"/>
          <w:szCs w:val="24"/>
        </w:rPr>
        <w:lastRenderedPageBreak/>
        <w:t>empower and liberate participants and to foster social change on a broader scale. As the academic arm of t</w:t>
      </w:r>
      <w:r w:rsidR="00AB4361" w:rsidRPr="005D75EB">
        <w:rPr>
          <w:rFonts w:ascii="Palatino Linotype" w:hAnsi="Palatino Linotype" w:cs="Times New Roman"/>
          <w:color w:val="000000" w:themeColor="text1"/>
          <w:sz w:val="24"/>
          <w:szCs w:val="24"/>
        </w:rPr>
        <w:t xml:space="preserve">he </w:t>
      </w:r>
      <w:r w:rsidR="009330BB" w:rsidRPr="005D75EB">
        <w:rPr>
          <w:rFonts w:ascii="Palatino Linotype" w:hAnsi="Palatino Linotype" w:cs="Times New Roman"/>
          <w:color w:val="000000" w:themeColor="text1"/>
          <w:sz w:val="24"/>
          <w:szCs w:val="24"/>
        </w:rPr>
        <w:t>disabled pe</w:t>
      </w:r>
      <w:r w:rsidR="00AB4361" w:rsidRPr="005D75EB">
        <w:rPr>
          <w:rFonts w:ascii="Palatino Linotype" w:hAnsi="Palatino Linotype" w:cs="Times New Roman"/>
          <w:color w:val="000000" w:themeColor="text1"/>
          <w:sz w:val="24"/>
          <w:szCs w:val="24"/>
        </w:rPr>
        <w:t xml:space="preserve">oples’ </w:t>
      </w:r>
      <w:r w:rsidR="009330BB" w:rsidRPr="005D75EB">
        <w:rPr>
          <w:rFonts w:ascii="Palatino Linotype" w:hAnsi="Palatino Linotype" w:cs="Times New Roman"/>
          <w:color w:val="000000" w:themeColor="text1"/>
          <w:sz w:val="24"/>
          <w:szCs w:val="24"/>
        </w:rPr>
        <w:t>m</w:t>
      </w:r>
      <w:r w:rsidR="00AB4361" w:rsidRPr="005D75EB">
        <w:rPr>
          <w:rFonts w:ascii="Palatino Linotype" w:hAnsi="Palatino Linotype" w:cs="Times New Roman"/>
          <w:color w:val="000000" w:themeColor="text1"/>
          <w:sz w:val="24"/>
          <w:szCs w:val="24"/>
        </w:rPr>
        <w:t>ovement, d</w:t>
      </w:r>
      <w:r w:rsidRPr="005D75EB">
        <w:rPr>
          <w:rFonts w:ascii="Palatino Linotype" w:hAnsi="Palatino Linotype" w:cs="Times New Roman"/>
          <w:color w:val="000000" w:themeColor="text1"/>
          <w:sz w:val="24"/>
          <w:szCs w:val="24"/>
        </w:rPr>
        <w:t xml:space="preserve">isability </w:t>
      </w:r>
      <w:r w:rsidR="00AB4361" w:rsidRPr="005D75EB">
        <w:rPr>
          <w:rFonts w:ascii="Palatino Linotype" w:hAnsi="Palatino Linotype" w:cs="Times New Roman"/>
          <w:color w:val="000000" w:themeColor="text1"/>
          <w:sz w:val="24"/>
          <w:szCs w:val="24"/>
        </w:rPr>
        <w:t>s</w:t>
      </w:r>
      <w:r w:rsidRPr="005D75EB">
        <w:rPr>
          <w:rFonts w:ascii="Palatino Linotype" w:hAnsi="Palatino Linotype" w:cs="Times New Roman"/>
          <w:color w:val="000000" w:themeColor="text1"/>
          <w:sz w:val="24"/>
          <w:szCs w:val="24"/>
        </w:rPr>
        <w:t xml:space="preserve">tudies informed the drafting of the </w:t>
      </w:r>
      <w:r w:rsidR="00AB4361" w:rsidRPr="005D75EB">
        <w:rPr>
          <w:rFonts w:ascii="Palatino Linotype" w:hAnsi="Palatino Linotype" w:cs="Times New Roman"/>
          <w:color w:val="000000" w:themeColor="text1"/>
          <w:sz w:val="24"/>
          <w:szCs w:val="24"/>
        </w:rPr>
        <w:t>CRPD</w:t>
      </w:r>
      <w:r w:rsidRPr="005D75EB">
        <w:rPr>
          <w:rFonts w:ascii="Palatino Linotype" w:hAnsi="Palatino Linotype" w:cs="Times New Roman"/>
          <w:color w:val="000000" w:themeColor="text1"/>
          <w:sz w:val="24"/>
          <w:szCs w:val="24"/>
        </w:rPr>
        <w:t xml:space="preserve"> and provided a theoretical framework for its implementation.</w:t>
      </w:r>
      <w:r w:rsidRPr="005D75EB">
        <w:rPr>
          <w:rStyle w:val="FootnoteReference"/>
          <w:rFonts w:ascii="Palatino Linotype" w:hAnsi="Palatino Linotype" w:cs="Times New Roman"/>
          <w:color w:val="000000" w:themeColor="text1"/>
          <w:sz w:val="24"/>
          <w:szCs w:val="24"/>
        </w:rPr>
        <w:footnoteReference w:id="39"/>
      </w:r>
      <w:r w:rsidR="009330BB" w:rsidRPr="005D75EB">
        <w:rPr>
          <w:rFonts w:ascii="Palatino Linotype" w:hAnsi="Palatino Linotype" w:cs="Times New Roman"/>
          <w:color w:val="000000" w:themeColor="text1"/>
          <w:sz w:val="24"/>
          <w:szCs w:val="24"/>
        </w:rPr>
        <w:t xml:space="preserve"> Most importantly, the CRPD is premised on a ‘</w:t>
      </w:r>
      <w:r w:rsidR="00511E8A" w:rsidRPr="005D75EB">
        <w:rPr>
          <w:rFonts w:ascii="Palatino Linotype" w:hAnsi="Palatino Linotype" w:cs="Times New Roman"/>
          <w:color w:val="000000" w:themeColor="text1"/>
          <w:sz w:val="24"/>
          <w:szCs w:val="24"/>
        </w:rPr>
        <w:t>human rights model</w:t>
      </w:r>
      <w:r w:rsidR="00471BD5" w:rsidRPr="005D75EB">
        <w:rPr>
          <w:rFonts w:ascii="Palatino Linotype" w:hAnsi="Palatino Linotype" w:cs="Times New Roman"/>
          <w:color w:val="000000" w:themeColor="text1"/>
          <w:sz w:val="24"/>
          <w:szCs w:val="24"/>
        </w:rPr>
        <w:t>’</w:t>
      </w:r>
      <w:r w:rsidR="00511E8A" w:rsidRPr="005D75EB">
        <w:rPr>
          <w:rFonts w:ascii="Palatino Linotype" w:hAnsi="Palatino Linotype" w:cs="Times New Roman"/>
          <w:color w:val="000000" w:themeColor="text1"/>
          <w:sz w:val="24"/>
          <w:szCs w:val="24"/>
        </w:rPr>
        <w:t xml:space="preserve"> </w:t>
      </w:r>
      <w:r w:rsidR="009330BB" w:rsidRPr="005D75EB">
        <w:rPr>
          <w:rFonts w:ascii="Palatino Linotype" w:hAnsi="Palatino Linotype" w:cs="Times New Roman"/>
          <w:color w:val="000000" w:themeColor="text1"/>
          <w:sz w:val="24"/>
          <w:szCs w:val="24"/>
        </w:rPr>
        <w:t xml:space="preserve">of disability, </w:t>
      </w:r>
      <w:r w:rsidR="00D17C0B" w:rsidRPr="005D75EB">
        <w:rPr>
          <w:rFonts w:ascii="Palatino Linotype" w:hAnsi="Palatino Linotype" w:cs="Times New Roman"/>
          <w:color w:val="000000" w:themeColor="text1"/>
          <w:sz w:val="24"/>
          <w:szCs w:val="24"/>
        </w:rPr>
        <w:t>which i</w:t>
      </w:r>
      <w:r w:rsidR="0011583E" w:rsidRPr="005D75EB">
        <w:rPr>
          <w:rFonts w:ascii="Palatino Linotype" w:hAnsi="Palatino Linotype" w:cs="Times New Roman"/>
          <w:color w:val="000000" w:themeColor="text1"/>
          <w:sz w:val="24"/>
          <w:szCs w:val="24"/>
        </w:rPr>
        <w:t>s</w:t>
      </w:r>
      <w:r w:rsidR="00D17C0B" w:rsidRPr="005D75EB">
        <w:rPr>
          <w:rFonts w:ascii="Palatino Linotype" w:hAnsi="Palatino Linotype" w:cs="Times New Roman"/>
          <w:color w:val="000000" w:themeColor="text1"/>
          <w:sz w:val="24"/>
          <w:szCs w:val="24"/>
        </w:rPr>
        <w:t xml:space="preserve"> a further development of the social model of disability.</w:t>
      </w:r>
      <w:r w:rsidR="00432F6E" w:rsidRPr="005D75EB">
        <w:rPr>
          <w:rStyle w:val="FootnoteReference"/>
          <w:rFonts w:ascii="Palatino Linotype" w:hAnsi="Palatino Linotype" w:cs="Times New Roman"/>
          <w:color w:val="000000" w:themeColor="text1"/>
          <w:sz w:val="24"/>
          <w:szCs w:val="24"/>
        </w:rPr>
        <w:footnoteReference w:id="40"/>
      </w:r>
      <w:r w:rsidR="00D17C0B" w:rsidRPr="005D75EB">
        <w:rPr>
          <w:rFonts w:ascii="Palatino Linotype" w:hAnsi="Palatino Linotype" w:cs="Times New Roman"/>
          <w:color w:val="000000" w:themeColor="text1"/>
          <w:sz w:val="24"/>
          <w:szCs w:val="24"/>
        </w:rPr>
        <w:t xml:space="preserve"> In comparison to the social model, the human rights model provides not only an explanation for the exclusion of</w:t>
      </w:r>
      <w:r w:rsidR="0054300A" w:rsidRPr="005D75EB">
        <w:rPr>
          <w:rFonts w:ascii="Palatino Linotype" w:hAnsi="Palatino Linotype" w:cs="Times New Roman"/>
          <w:color w:val="000000" w:themeColor="text1"/>
          <w:sz w:val="24"/>
          <w:szCs w:val="24"/>
        </w:rPr>
        <w:t xml:space="preserve"> persons with disabilities</w:t>
      </w:r>
      <w:r w:rsidR="00D17C0B" w:rsidRPr="005D75EB">
        <w:rPr>
          <w:rFonts w:ascii="Palatino Linotype" w:hAnsi="Palatino Linotype" w:cs="Times New Roman"/>
          <w:color w:val="000000" w:themeColor="text1"/>
          <w:sz w:val="24"/>
          <w:szCs w:val="24"/>
        </w:rPr>
        <w:t>, but also, through the appeal to universal human rights, a framework for political and legal measures to remedy them</w:t>
      </w:r>
      <w:r w:rsidR="00D17C0B" w:rsidRPr="005D75EB">
        <w:rPr>
          <w:rFonts w:ascii="Palatino Linotype" w:hAnsi="Palatino Linotype" w:cs="Times New Roman"/>
          <w:color w:val="000000" w:themeColor="text1"/>
          <w:sz w:val="24"/>
          <w:szCs w:val="24"/>
          <w:lang w:val="en-US"/>
        </w:rPr>
        <w:t>. The model focuses not only on non-discrimination</w:t>
      </w:r>
      <w:r w:rsidR="006E061A" w:rsidRPr="005D75EB">
        <w:rPr>
          <w:rFonts w:ascii="Palatino Linotype" w:hAnsi="Palatino Linotype" w:cs="Times New Roman"/>
          <w:color w:val="000000" w:themeColor="text1"/>
          <w:sz w:val="24"/>
          <w:szCs w:val="24"/>
          <w:lang w:val="en-US"/>
        </w:rPr>
        <w:t xml:space="preserve"> and civil rights,</w:t>
      </w:r>
      <w:r w:rsidR="00D17C0B" w:rsidRPr="005D75EB">
        <w:rPr>
          <w:rFonts w:ascii="Palatino Linotype" w:hAnsi="Palatino Linotype" w:cs="Times New Roman"/>
          <w:color w:val="000000" w:themeColor="text1"/>
          <w:sz w:val="24"/>
          <w:szCs w:val="24"/>
          <w:lang w:val="en-US"/>
        </w:rPr>
        <w:t xml:space="preserve"> but also on the social, economic and cultural rights of </w:t>
      </w:r>
      <w:r w:rsidR="006E061A" w:rsidRPr="005D75EB">
        <w:rPr>
          <w:rFonts w:ascii="Palatino Linotype" w:hAnsi="Palatino Linotype" w:cs="Times New Roman"/>
          <w:color w:val="000000" w:themeColor="text1"/>
          <w:sz w:val="24"/>
          <w:szCs w:val="24"/>
          <w:lang w:val="en-US"/>
        </w:rPr>
        <w:t>persons with disabilities</w:t>
      </w:r>
      <w:r w:rsidR="00D17C0B" w:rsidRPr="005D75EB">
        <w:rPr>
          <w:rFonts w:ascii="Palatino Linotype" w:hAnsi="Palatino Linotype" w:cs="Times New Roman"/>
          <w:color w:val="000000" w:themeColor="text1"/>
          <w:sz w:val="24"/>
          <w:szCs w:val="24"/>
          <w:lang w:val="en-US"/>
        </w:rPr>
        <w:t xml:space="preserve">. </w:t>
      </w:r>
      <w:r w:rsidR="00345913" w:rsidRPr="005D75EB">
        <w:rPr>
          <w:rFonts w:ascii="Palatino Linotype" w:hAnsi="Palatino Linotype" w:cs="Times New Roman"/>
          <w:color w:val="000000" w:themeColor="text1"/>
          <w:sz w:val="24"/>
          <w:szCs w:val="24"/>
        </w:rPr>
        <w:t>R</w:t>
      </w:r>
      <w:r w:rsidR="00521A6A" w:rsidRPr="005D75EB">
        <w:rPr>
          <w:rFonts w:ascii="Palatino Linotype" w:hAnsi="Palatino Linotype" w:cs="Times New Roman"/>
          <w:color w:val="000000" w:themeColor="text1"/>
          <w:sz w:val="24"/>
          <w:szCs w:val="24"/>
        </w:rPr>
        <w:t xml:space="preserve">esearch that adopts a </w:t>
      </w:r>
      <w:r w:rsidR="00862B14" w:rsidRPr="005D75EB">
        <w:rPr>
          <w:rFonts w:ascii="Palatino Linotype" w:hAnsi="Palatino Linotype" w:cs="Times New Roman"/>
          <w:color w:val="000000" w:themeColor="text1"/>
          <w:sz w:val="24"/>
          <w:szCs w:val="24"/>
        </w:rPr>
        <w:t>human rights-based model</w:t>
      </w:r>
      <w:r w:rsidR="00521A6A" w:rsidRPr="005D75EB">
        <w:rPr>
          <w:rFonts w:ascii="Palatino Linotype" w:hAnsi="Palatino Linotype" w:cs="Times New Roman"/>
          <w:color w:val="000000" w:themeColor="text1"/>
          <w:sz w:val="24"/>
          <w:szCs w:val="24"/>
        </w:rPr>
        <w:t xml:space="preserve"> </w:t>
      </w:r>
      <w:r w:rsidR="008B06C6" w:rsidRPr="005D75EB">
        <w:rPr>
          <w:rFonts w:ascii="Palatino Linotype" w:hAnsi="Palatino Linotype" w:cs="Times New Roman"/>
          <w:color w:val="000000" w:themeColor="text1"/>
          <w:sz w:val="24"/>
          <w:szCs w:val="24"/>
        </w:rPr>
        <w:t>definition of</w:t>
      </w:r>
      <w:r w:rsidR="00521A6A" w:rsidRPr="005D75EB">
        <w:rPr>
          <w:rFonts w:ascii="Palatino Linotype" w:hAnsi="Palatino Linotype" w:cs="Times New Roman"/>
          <w:color w:val="000000" w:themeColor="text1"/>
          <w:sz w:val="24"/>
          <w:szCs w:val="24"/>
        </w:rPr>
        <w:t xml:space="preserve"> disability, </w:t>
      </w:r>
      <w:r w:rsidR="00345913" w:rsidRPr="005D75EB">
        <w:rPr>
          <w:rFonts w:ascii="Palatino Linotype" w:hAnsi="Palatino Linotype" w:cs="Times New Roman"/>
          <w:color w:val="000000" w:themeColor="text1"/>
          <w:sz w:val="24"/>
          <w:szCs w:val="24"/>
        </w:rPr>
        <w:t xml:space="preserve">and that </w:t>
      </w:r>
      <w:r w:rsidR="008B06C6" w:rsidRPr="005D75EB">
        <w:rPr>
          <w:rFonts w:ascii="Palatino Linotype" w:hAnsi="Palatino Linotype" w:cs="Times New Roman"/>
          <w:color w:val="000000" w:themeColor="text1"/>
          <w:sz w:val="24"/>
          <w:szCs w:val="24"/>
        </w:rPr>
        <w:t>support</w:t>
      </w:r>
      <w:r w:rsidR="00DD624A" w:rsidRPr="005D75EB">
        <w:rPr>
          <w:rFonts w:ascii="Palatino Linotype" w:hAnsi="Palatino Linotype" w:cs="Times New Roman"/>
          <w:color w:val="000000" w:themeColor="text1"/>
          <w:sz w:val="24"/>
          <w:szCs w:val="24"/>
        </w:rPr>
        <w:t>s</w:t>
      </w:r>
      <w:r w:rsidR="008B06C6" w:rsidRPr="005D75EB">
        <w:rPr>
          <w:rFonts w:ascii="Palatino Linotype" w:hAnsi="Palatino Linotype" w:cs="Times New Roman"/>
          <w:color w:val="000000" w:themeColor="text1"/>
          <w:sz w:val="24"/>
          <w:szCs w:val="24"/>
        </w:rPr>
        <w:t xml:space="preserve"> the work of persons with disabilities</w:t>
      </w:r>
      <w:r w:rsidR="00377FF8" w:rsidRPr="005D75EB">
        <w:rPr>
          <w:rFonts w:ascii="Palatino Linotype" w:hAnsi="Palatino Linotype" w:cs="Times New Roman"/>
          <w:color w:val="000000" w:themeColor="text1"/>
          <w:sz w:val="24"/>
          <w:szCs w:val="24"/>
        </w:rPr>
        <w:t xml:space="preserve"> and their representative organisations</w:t>
      </w:r>
      <w:r w:rsidR="008B06C6" w:rsidRPr="005D75EB">
        <w:rPr>
          <w:rFonts w:ascii="Palatino Linotype" w:hAnsi="Palatino Linotype" w:cs="Times New Roman"/>
          <w:color w:val="000000" w:themeColor="text1"/>
          <w:sz w:val="24"/>
          <w:szCs w:val="24"/>
        </w:rPr>
        <w:t xml:space="preserve"> to achieve social change</w:t>
      </w:r>
      <w:r w:rsidR="00A72F8F" w:rsidRPr="005D75EB">
        <w:rPr>
          <w:rFonts w:ascii="Palatino Linotype" w:hAnsi="Palatino Linotype" w:cs="Times New Roman"/>
          <w:color w:val="000000" w:themeColor="text1"/>
          <w:sz w:val="24"/>
          <w:szCs w:val="24"/>
        </w:rPr>
        <w:t xml:space="preserve"> in</w:t>
      </w:r>
      <w:r w:rsidR="006335E0" w:rsidRPr="005D75EB">
        <w:rPr>
          <w:rFonts w:ascii="Palatino Linotype" w:hAnsi="Palatino Linotype" w:cs="Times New Roman"/>
          <w:color w:val="000000" w:themeColor="text1"/>
          <w:sz w:val="24"/>
          <w:szCs w:val="24"/>
        </w:rPr>
        <w:t xml:space="preserve"> a collaborative way</w:t>
      </w:r>
      <w:r w:rsidR="008B06C6" w:rsidRPr="005D75EB">
        <w:rPr>
          <w:rFonts w:ascii="Palatino Linotype" w:hAnsi="Palatino Linotype" w:cs="Times New Roman"/>
          <w:color w:val="000000" w:themeColor="text1"/>
          <w:sz w:val="24"/>
          <w:szCs w:val="24"/>
        </w:rPr>
        <w:t xml:space="preserve">, </w:t>
      </w:r>
      <w:r w:rsidR="001851A1" w:rsidRPr="005D75EB">
        <w:rPr>
          <w:rFonts w:ascii="Palatino Linotype" w:hAnsi="Palatino Linotype" w:cs="Times New Roman"/>
          <w:color w:val="000000" w:themeColor="text1"/>
          <w:sz w:val="24"/>
          <w:szCs w:val="24"/>
        </w:rPr>
        <w:t>can</w:t>
      </w:r>
      <w:r w:rsidR="00377FF8" w:rsidRPr="005D75EB">
        <w:rPr>
          <w:rFonts w:ascii="Palatino Linotype" w:hAnsi="Palatino Linotype" w:cs="Times New Roman"/>
          <w:color w:val="000000" w:themeColor="text1"/>
          <w:sz w:val="24"/>
          <w:szCs w:val="24"/>
        </w:rPr>
        <w:t xml:space="preserve"> contribute to </w:t>
      </w:r>
      <w:r w:rsidR="00106E4A" w:rsidRPr="005D75EB">
        <w:rPr>
          <w:rFonts w:ascii="Palatino Linotype" w:hAnsi="Palatino Linotype" w:cs="Times New Roman"/>
          <w:color w:val="000000" w:themeColor="text1"/>
          <w:sz w:val="24"/>
          <w:szCs w:val="24"/>
        </w:rPr>
        <w:t>the monitoring and implementation of the CRPD</w:t>
      </w:r>
      <w:r w:rsidR="00566724" w:rsidRPr="005D75EB">
        <w:rPr>
          <w:rFonts w:ascii="Palatino Linotype" w:hAnsi="Palatino Linotype" w:cs="Times New Roman"/>
          <w:color w:val="000000" w:themeColor="text1"/>
          <w:sz w:val="24"/>
          <w:szCs w:val="24"/>
        </w:rPr>
        <w:t xml:space="preserve"> at the national and international level</w:t>
      </w:r>
      <w:r w:rsidR="00C079BA" w:rsidRPr="005D75EB">
        <w:rPr>
          <w:rFonts w:ascii="Palatino Linotype" w:hAnsi="Palatino Linotype" w:cs="Times New Roman"/>
          <w:color w:val="000000" w:themeColor="text1"/>
          <w:sz w:val="24"/>
          <w:szCs w:val="24"/>
        </w:rPr>
        <w:t xml:space="preserve">. </w:t>
      </w:r>
      <w:r w:rsidR="006845B1" w:rsidRPr="005D75EB">
        <w:rPr>
          <w:rFonts w:ascii="Palatino Linotype" w:hAnsi="Palatino Linotype" w:cs="Times New Roman"/>
          <w:color w:val="000000" w:themeColor="text1"/>
          <w:sz w:val="24"/>
          <w:szCs w:val="24"/>
        </w:rPr>
        <w:t xml:space="preserve">Student law clinics offer one means to pursue research that accords with the human rights model of disability and contributes to the implementation and monitoring of the CRPD. In clinical legal education programmes, research that pursues these goals can be conducted while also </w:t>
      </w:r>
      <w:r w:rsidR="006845B1" w:rsidRPr="005D75EB">
        <w:rPr>
          <w:rFonts w:ascii="Palatino Linotype" w:hAnsi="Palatino Linotype" w:cs="Times New Roman"/>
          <w:color w:val="000000" w:themeColor="text1"/>
          <w:sz w:val="24"/>
          <w:szCs w:val="24"/>
        </w:rPr>
        <w:lastRenderedPageBreak/>
        <w:t xml:space="preserve">offering students crucial experiential and theoretical learning. In the next section, we </w:t>
      </w:r>
      <w:r w:rsidR="005150A8" w:rsidRPr="005D75EB">
        <w:rPr>
          <w:rFonts w:ascii="Palatino Linotype" w:hAnsi="Palatino Linotype" w:cs="Times New Roman"/>
          <w:color w:val="000000" w:themeColor="text1"/>
          <w:sz w:val="24"/>
          <w:szCs w:val="24"/>
        </w:rPr>
        <w:t xml:space="preserve">discuss this second </w:t>
      </w:r>
      <w:r w:rsidR="00441416" w:rsidRPr="005D75EB">
        <w:rPr>
          <w:rFonts w:ascii="Palatino Linotype" w:hAnsi="Palatino Linotype" w:cs="Times New Roman"/>
          <w:color w:val="000000" w:themeColor="text1"/>
          <w:sz w:val="24"/>
          <w:szCs w:val="24"/>
        </w:rPr>
        <w:t xml:space="preserve">contribution of </w:t>
      </w:r>
      <w:r w:rsidR="006D693D" w:rsidRPr="005D75EB">
        <w:rPr>
          <w:rFonts w:ascii="Palatino Linotype" w:hAnsi="Palatino Linotype" w:cs="Times New Roman"/>
          <w:color w:val="000000" w:themeColor="text1"/>
          <w:sz w:val="24"/>
          <w:szCs w:val="24"/>
        </w:rPr>
        <w:t>disability human rights clinics.</w:t>
      </w:r>
    </w:p>
    <w:p w14:paraId="63FB4144" w14:textId="1CD028F1" w:rsidR="00BD2613" w:rsidRPr="005D75EB" w:rsidRDefault="00B93688" w:rsidP="005D75EB">
      <w:pPr>
        <w:spacing w:line="480" w:lineRule="auto"/>
        <w:jc w:val="both"/>
        <w:rPr>
          <w:rFonts w:ascii="Palatino Linotype" w:hAnsi="Palatino Linotype" w:cs="Times New Roman"/>
          <w:color w:val="000000" w:themeColor="text1"/>
          <w:sz w:val="24"/>
          <w:szCs w:val="24"/>
        </w:rPr>
      </w:pPr>
      <w:r w:rsidRPr="005D75EB">
        <w:rPr>
          <w:rFonts w:ascii="Palatino Linotype" w:hAnsi="Palatino Linotype" w:cs="Times New Roman"/>
          <w:b/>
          <w:color w:val="000000" w:themeColor="text1"/>
          <w:sz w:val="24"/>
          <w:szCs w:val="24"/>
        </w:rPr>
        <w:t>C</w:t>
      </w:r>
      <w:r w:rsidR="00BD2613" w:rsidRPr="005D75EB">
        <w:rPr>
          <w:rFonts w:ascii="Palatino Linotype" w:hAnsi="Palatino Linotype" w:cs="Times New Roman"/>
          <w:b/>
          <w:color w:val="000000" w:themeColor="text1"/>
          <w:sz w:val="24"/>
          <w:szCs w:val="24"/>
        </w:rPr>
        <w:t>linical legal education</w:t>
      </w:r>
      <w:r w:rsidR="00C17242" w:rsidRPr="005D75EB">
        <w:rPr>
          <w:rFonts w:ascii="Palatino Linotype" w:hAnsi="Palatino Linotype" w:cs="Times New Roman"/>
          <w:b/>
          <w:color w:val="000000" w:themeColor="text1"/>
          <w:sz w:val="24"/>
          <w:szCs w:val="24"/>
        </w:rPr>
        <w:t xml:space="preserve"> – cause-based lawyering, experiential lawyering, and engagement</w:t>
      </w:r>
    </w:p>
    <w:p w14:paraId="60F97AB8" w14:textId="27C6234A" w:rsidR="00BD2613" w:rsidRPr="005D75EB" w:rsidRDefault="00A96874" w:rsidP="005D75EB">
      <w:pPr>
        <w:spacing w:line="480" w:lineRule="auto"/>
        <w:jc w:val="both"/>
        <w:rPr>
          <w:rFonts w:ascii="Palatino Linotype" w:hAnsi="Palatino Linotype" w:cs="Times New Roman"/>
          <w:sz w:val="24"/>
          <w:szCs w:val="24"/>
        </w:rPr>
      </w:pPr>
      <w:r w:rsidRPr="005D75EB">
        <w:rPr>
          <w:rFonts w:ascii="Palatino Linotype" w:hAnsi="Palatino Linotype" w:cs="Times New Roman"/>
          <w:sz w:val="24"/>
          <w:szCs w:val="24"/>
        </w:rPr>
        <w:t xml:space="preserve">Clinical legal </w:t>
      </w:r>
      <w:r w:rsidR="00842BEB" w:rsidRPr="005D75EB">
        <w:rPr>
          <w:rFonts w:ascii="Palatino Linotype" w:hAnsi="Palatino Linotype" w:cs="Times New Roman"/>
          <w:sz w:val="24"/>
          <w:szCs w:val="24"/>
        </w:rPr>
        <w:t>education</w:t>
      </w:r>
      <w:r w:rsidR="00513DB6" w:rsidRPr="005D75EB">
        <w:rPr>
          <w:rFonts w:ascii="Palatino Linotype" w:hAnsi="Palatino Linotype" w:cs="Times New Roman"/>
          <w:sz w:val="24"/>
          <w:szCs w:val="24"/>
        </w:rPr>
        <w:t xml:space="preserve"> is increasingly recognised as a valuable – if not essential – complement to </w:t>
      </w:r>
      <w:r w:rsidR="00B13CE2" w:rsidRPr="005D75EB">
        <w:rPr>
          <w:rFonts w:ascii="Palatino Linotype" w:hAnsi="Palatino Linotype" w:cs="Times New Roman"/>
          <w:sz w:val="24"/>
          <w:szCs w:val="24"/>
        </w:rPr>
        <w:t xml:space="preserve">traditional </w:t>
      </w:r>
      <w:r w:rsidR="00D17C0B" w:rsidRPr="005D75EB">
        <w:rPr>
          <w:rFonts w:ascii="Palatino Linotype" w:hAnsi="Palatino Linotype" w:cs="Times New Roman"/>
          <w:sz w:val="24"/>
          <w:szCs w:val="24"/>
        </w:rPr>
        <w:t xml:space="preserve">legal </w:t>
      </w:r>
      <w:r w:rsidR="00B13CE2" w:rsidRPr="005D75EB">
        <w:rPr>
          <w:rFonts w:ascii="Palatino Linotype" w:hAnsi="Palatino Linotype" w:cs="Times New Roman"/>
          <w:sz w:val="24"/>
          <w:szCs w:val="24"/>
        </w:rPr>
        <w:t>education</w:t>
      </w:r>
      <w:r w:rsidR="007F7C62" w:rsidRPr="005D75EB">
        <w:rPr>
          <w:rFonts w:ascii="Palatino Linotype" w:hAnsi="Palatino Linotype" w:cs="Times New Roman"/>
          <w:sz w:val="24"/>
          <w:szCs w:val="24"/>
        </w:rPr>
        <w:t>.</w:t>
      </w:r>
      <w:r w:rsidR="00842BEB" w:rsidRPr="005D75EB">
        <w:rPr>
          <w:rFonts w:ascii="Palatino Linotype" w:hAnsi="Palatino Linotype" w:cs="Times New Roman"/>
          <w:sz w:val="24"/>
          <w:szCs w:val="24"/>
        </w:rPr>
        <w:t xml:space="preserve"> </w:t>
      </w:r>
      <w:r w:rsidR="005133A4" w:rsidRPr="005D75EB">
        <w:rPr>
          <w:rFonts w:ascii="Palatino Linotype" w:hAnsi="Palatino Linotype" w:cs="Times New Roman"/>
          <w:sz w:val="24"/>
          <w:szCs w:val="24"/>
        </w:rPr>
        <w:t>S</w:t>
      </w:r>
      <w:r w:rsidR="00997801" w:rsidRPr="005D75EB">
        <w:rPr>
          <w:rFonts w:ascii="Palatino Linotype" w:hAnsi="Palatino Linotype" w:cs="Times New Roman"/>
          <w:sz w:val="24"/>
          <w:szCs w:val="24"/>
        </w:rPr>
        <w:t>tudent</w:t>
      </w:r>
      <w:r w:rsidR="00105F24" w:rsidRPr="005D75EB">
        <w:rPr>
          <w:rFonts w:ascii="Palatino Linotype" w:hAnsi="Palatino Linotype" w:cs="Times New Roman"/>
          <w:sz w:val="24"/>
          <w:szCs w:val="24"/>
        </w:rPr>
        <w:t xml:space="preserve"> clinics</w:t>
      </w:r>
      <w:r w:rsidR="00BD2613" w:rsidRPr="005D75EB">
        <w:rPr>
          <w:rFonts w:ascii="Palatino Linotype" w:hAnsi="Palatino Linotype" w:cs="Times New Roman"/>
          <w:sz w:val="24"/>
          <w:szCs w:val="24"/>
        </w:rPr>
        <w:t xml:space="preserve"> ensure that students develop valuable professional skills for their future careers as lawyers, including legal research and analysis, teamwork, client liaison, clear writing, and advocacy. </w:t>
      </w:r>
      <w:r w:rsidR="005150A8" w:rsidRPr="005D75EB">
        <w:rPr>
          <w:rFonts w:ascii="Palatino Linotype" w:hAnsi="Palatino Linotype" w:cs="Times New Roman"/>
          <w:color w:val="000000" w:themeColor="text1"/>
          <w:sz w:val="24"/>
          <w:szCs w:val="24"/>
        </w:rPr>
        <w:t xml:space="preserve">Students are then equipped with knowledge and skills for </w:t>
      </w:r>
      <w:r w:rsidR="00F45A8B" w:rsidRPr="005D75EB">
        <w:rPr>
          <w:rFonts w:ascii="Palatino Linotype" w:hAnsi="Palatino Linotype" w:cs="Times New Roman"/>
          <w:color w:val="000000" w:themeColor="text1"/>
          <w:sz w:val="24"/>
          <w:szCs w:val="24"/>
        </w:rPr>
        <w:t xml:space="preserve">lawyering in general, as well as </w:t>
      </w:r>
      <w:proofErr w:type="spellStart"/>
      <w:r w:rsidR="005150A8" w:rsidRPr="005D75EB">
        <w:rPr>
          <w:rFonts w:ascii="Palatino Linotype" w:hAnsi="Palatino Linotype" w:cs="Times New Roman"/>
          <w:color w:val="000000" w:themeColor="text1"/>
          <w:sz w:val="24"/>
          <w:szCs w:val="24"/>
        </w:rPr>
        <w:t>‘cause</w:t>
      </w:r>
      <w:proofErr w:type="spellEnd"/>
      <w:r w:rsidR="005150A8" w:rsidRPr="005D75EB">
        <w:rPr>
          <w:rFonts w:ascii="Palatino Linotype" w:hAnsi="Palatino Linotype" w:cs="Times New Roman"/>
          <w:color w:val="000000" w:themeColor="text1"/>
          <w:sz w:val="24"/>
          <w:szCs w:val="24"/>
        </w:rPr>
        <w:t>-based lawyering’ in the human rights field and beyond.</w:t>
      </w:r>
      <w:bookmarkStart w:id="5" w:name="_Ref508786310"/>
      <w:r w:rsidR="005150A8" w:rsidRPr="005D75EB">
        <w:rPr>
          <w:rStyle w:val="FootnoteReference"/>
          <w:rFonts w:ascii="Palatino Linotype" w:hAnsi="Palatino Linotype" w:cs="Times New Roman"/>
          <w:color w:val="000000" w:themeColor="text1"/>
          <w:sz w:val="24"/>
          <w:szCs w:val="24"/>
        </w:rPr>
        <w:footnoteReference w:id="41"/>
      </w:r>
      <w:bookmarkEnd w:id="5"/>
      <w:r w:rsidR="005150A8" w:rsidRPr="005D75EB">
        <w:rPr>
          <w:rFonts w:ascii="Palatino Linotype" w:hAnsi="Palatino Linotype" w:cs="Times New Roman"/>
          <w:color w:val="000000" w:themeColor="text1"/>
          <w:sz w:val="24"/>
          <w:szCs w:val="24"/>
        </w:rPr>
        <w:t xml:space="preserve"> </w:t>
      </w:r>
      <w:r w:rsidR="00562D0D" w:rsidRPr="005D75EB">
        <w:rPr>
          <w:rFonts w:ascii="Palatino Linotype" w:hAnsi="Palatino Linotype" w:cs="Times New Roman"/>
          <w:sz w:val="24"/>
          <w:szCs w:val="24"/>
        </w:rPr>
        <w:t>C</w:t>
      </w:r>
      <w:r w:rsidR="003976D4" w:rsidRPr="005D75EB">
        <w:rPr>
          <w:rFonts w:ascii="Palatino Linotype" w:hAnsi="Palatino Linotype" w:cs="Times New Roman"/>
          <w:sz w:val="24"/>
          <w:szCs w:val="24"/>
        </w:rPr>
        <w:t>linics also contribute to the ‘third mission’ of universities to engage with</w:t>
      </w:r>
      <w:r w:rsidR="00DD482F" w:rsidRPr="005D75EB">
        <w:rPr>
          <w:rFonts w:ascii="Palatino Linotype" w:hAnsi="Palatino Linotype" w:cs="Times New Roman"/>
          <w:sz w:val="24"/>
          <w:szCs w:val="24"/>
        </w:rPr>
        <w:t>, transfer knowledge to, and contribute to the development of, the community</w:t>
      </w:r>
      <w:r w:rsidR="00EF052A" w:rsidRPr="005D75EB">
        <w:rPr>
          <w:rFonts w:ascii="Palatino Linotype" w:hAnsi="Palatino Linotype" w:cs="Times New Roman"/>
          <w:sz w:val="24"/>
          <w:szCs w:val="24"/>
        </w:rPr>
        <w:t>.</w:t>
      </w:r>
      <w:r w:rsidR="00DD482F" w:rsidRPr="005D75EB">
        <w:rPr>
          <w:rStyle w:val="FootnoteReference"/>
          <w:rFonts w:ascii="Palatino Linotype" w:hAnsi="Palatino Linotype" w:cs="Times New Roman"/>
          <w:sz w:val="24"/>
          <w:szCs w:val="24"/>
        </w:rPr>
        <w:footnoteReference w:id="42"/>
      </w:r>
      <w:r w:rsidR="00005A7A" w:rsidRPr="005D75EB">
        <w:rPr>
          <w:rFonts w:ascii="Palatino Linotype" w:hAnsi="Palatino Linotype" w:cs="Times New Roman"/>
          <w:sz w:val="24"/>
          <w:szCs w:val="24"/>
        </w:rPr>
        <w:t xml:space="preserve"> </w:t>
      </w:r>
      <w:r w:rsidR="00EF052A" w:rsidRPr="005D75EB">
        <w:rPr>
          <w:rFonts w:ascii="Palatino Linotype" w:hAnsi="Palatino Linotype" w:cs="Times New Roman"/>
          <w:sz w:val="24"/>
          <w:szCs w:val="24"/>
        </w:rPr>
        <w:t>This</w:t>
      </w:r>
      <w:r w:rsidR="00005A7A" w:rsidRPr="005D75EB">
        <w:rPr>
          <w:rFonts w:ascii="Palatino Linotype" w:hAnsi="Palatino Linotype" w:cs="Times New Roman"/>
          <w:sz w:val="24"/>
          <w:szCs w:val="24"/>
        </w:rPr>
        <w:t xml:space="preserve"> </w:t>
      </w:r>
      <w:r w:rsidR="00A44D4A" w:rsidRPr="005D75EB">
        <w:rPr>
          <w:rFonts w:ascii="Palatino Linotype" w:hAnsi="Palatino Linotype" w:cs="Times New Roman"/>
          <w:sz w:val="24"/>
          <w:szCs w:val="24"/>
        </w:rPr>
        <w:t>responds to</w:t>
      </w:r>
      <w:r w:rsidR="00005A7A" w:rsidRPr="005D75EB">
        <w:rPr>
          <w:rFonts w:ascii="Palatino Linotype" w:hAnsi="Palatino Linotype" w:cs="Times New Roman"/>
          <w:sz w:val="24"/>
          <w:szCs w:val="24"/>
        </w:rPr>
        <w:t xml:space="preserve"> call</w:t>
      </w:r>
      <w:r w:rsidR="00A44D4A" w:rsidRPr="005D75EB">
        <w:rPr>
          <w:rFonts w:ascii="Palatino Linotype" w:hAnsi="Palatino Linotype" w:cs="Times New Roman"/>
          <w:sz w:val="24"/>
          <w:szCs w:val="24"/>
        </w:rPr>
        <w:t>s</w:t>
      </w:r>
      <w:r w:rsidR="00005A7A" w:rsidRPr="005D75EB">
        <w:rPr>
          <w:rFonts w:ascii="Palatino Linotype" w:hAnsi="Palatino Linotype" w:cs="Times New Roman"/>
          <w:sz w:val="24"/>
          <w:szCs w:val="24"/>
        </w:rPr>
        <w:t xml:space="preserve"> by public and private funding agencies for universities to</w:t>
      </w:r>
      <w:r w:rsidR="00343923" w:rsidRPr="005D75EB">
        <w:rPr>
          <w:rFonts w:ascii="Palatino Linotype" w:hAnsi="Palatino Linotype" w:cs="Times New Roman"/>
          <w:sz w:val="24"/>
          <w:szCs w:val="24"/>
        </w:rPr>
        <w:t xml:space="preserve"> leave the ‘ivory tower’ and </w:t>
      </w:r>
      <w:r w:rsidR="00005A7A" w:rsidRPr="005D75EB">
        <w:rPr>
          <w:rFonts w:ascii="Palatino Linotype" w:hAnsi="Palatino Linotype" w:cs="Times New Roman"/>
          <w:sz w:val="24"/>
          <w:szCs w:val="24"/>
        </w:rPr>
        <w:t xml:space="preserve">allow non-academic organizations and individuals to access and actively </w:t>
      </w:r>
      <w:r w:rsidR="00C34A46" w:rsidRPr="005D75EB">
        <w:rPr>
          <w:rFonts w:ascii="Palatino Linotype" w:hAnsi="Palatino Linotype" w:cs="Times New Roman"/>
          <w:sz w:val="24"/>
          <w:szCs w:val="24"/>
        </w:rPr>
        <w:t xml:space="preserve">participate </w:t>
      </w:r>
      <w:r w:rsidR="00005A7A" w:rsidRPr="005D75EB">
        <w:rPr>
          <w:rFonts w:ascii="Palatino Linotype" w:hAnsi="Palatino Linotype" w:cs="Times New Roman"/>
          <w:sz w:val="24"/>
          <w:szCs w:val="24"/>
        </w:rPr>
        <w:t>in research activities</w:t>
      </w:r>
      <w:r w:rsidR="00AB21C1" w:rsidRPr="005D75EB">
        <w:rPr>
          <w:rFonts w:ascii="Palatino Linotype" w:hAnsi="Palatino Linotype" w:cs="Times New Roman"/>
          <w:sz w:val="24"/>
          <w:szCs w:val="24"/>
        </w:rPr>
        <w:t>.</w:t>
      </w:r>
      <w:r w:rsidR="00005A7A" w:rsidRPr="005D75EB">
        <w:rPr>
          <w:rStyle w:val="FootnoteReference"/>
          <w:rFonts w:ascii="Palatino Linotype" w:hAnsi="Palatino Linotype" w:cs="Times New Roman"/>
          <w:sz w:val="24"/>
          <w:szCs w:val="24"/>
        </w:rPr>
        <w:footnoteReference w:id="43"/>
      </w:r>
      <w:r w:rsidR="00A44D4A" w:rsidRPr="005D75EB">
        <w:rPr>
          <w:rFonts w:ascii="Palatino Linotype" w:hAnsi="Palatino Linotype" w:cs="Times New Roman"/>
          <w:sz w:val="24"/>
          <w:szCs w:val="24"/>
        </w:rPr>
        <w:t xml:space="preserve"> </w:t>
      </w:r>
      <w:r w:rsidR="00562D0D" w:rsidRPr="005D75EB">
        <w:rPr>
          <w:rFonts w:ascii="Palatino Linotype" w:hAnsi="Palatino Linotype" w:cs="Times New Roman"/>
          <w:sz w:val="24"/>
          <w:szCs w:val="24"/>
        </w:rPr>
        <w:t>Most notably,</w:t>
      </w:r>
      <w:r w:rsidR="000509D6" w:rsidRPr="005D75EB">
        <w:rPr>
          <w:rFonts w:ascii="Palatino Linotype" w:hAnsi="Palatino Linotype" w:cs="Times New Roman"/>
          <w:sz w:val="24"/>
          <w:szCs w:val="24"/>
        </w:rPr>
        <w:t xml:space="preserve"> clinics</w:t>
      </w:r>
      <w:r w:rsidR="00562D0D" w:rsidRPr="005D75EB">
        <w:rPr>
          <w:rFonts w:ascii="Palatino Linotype" w:hAnsi="Palatino Linotype" w:cs="Times New Roman"/>
          <w:sz w:val="24"/>
          <w:szCs w:val="24"/>
        </w:rPr>
        <w:t xml:space="preserve"> can increase access to justice for people who have traditionally been denied this right, for instance, by sharing knowledge, </w:t>
      </w:r>
      <w:r w:rsidR="00562D0D" w:rsidRPr="005D75EB">
        <w:rPr>
          <w:rFonts w:ascii="Palatino Linotype" w:hAnsi="Palatino Linotype" w:cs="Times New Roman"/>
          <w:sz w:val="24"/>
          <w:szCs w:val="24"/>
        </w:rPr>
        <w:lastRenderedPageBreak/>
        <w:t xml:space="preserve">skills and resources with community organisations, by providing research support to community legal centres, or by contributing to reports or communications to </w:t>
      </w:r>
      <w:r w:rsidR="00B10497" w:rsidRPr="005D75EB">
        <w:rPr>
          <w:rFonts w:ascii="Palatino Linotype" w:hAnsi="Palatino Linotype" w:cs="Times New Roman"/>
          <w:sz w:val="24"/>
          <w:szCs w:val="24"/>
        </w:rPr>
        <w:t>law reform or other relevant bodies</w:t>
      </w:r>
      <w:r w:rsidR="00562D0D" w:rsidRPr="005D75EB">
        <w:rPr>
          <w:rFonts w:ascii="Palatino Linotype" w:hAnsi="Palatino Linotype" w:cs="Times New Roman"/>
          <w:sz w:val="24"/>
          <w:szCs w:val="24"/>
        </w:rPr>
        <w:t>.</w:t>
      </w:r>
    </w:p>
    <w:p w14:paraId="3903C716" w14:textId="5F22C65A" w:rsidR="00BD2613" w:rsidRPr="005D75EB" w:rsidRDefault="00CE29DD" w:rsidP="005D75EB">
      <w:pPr>
        <w:spacing w:line="480" w:lineRule="auto"/>
        <w:jc w:val="both"/>
        <w:rPr>
          <w:rFonts w:ascii="Palatino Linotype" w:hAnsi="Palatino Linotype" w:cs="Times New Roman"/>
          <w:sz w:val="24"/>
          <w:szCs w:val="24"/>
        </w:rPr>
      </w:pPr>
      <w:r w:rsidRPr="005D75EB">
        <w:rPr>
          <w:rFonts w:ascii="Palatino Linotype" w:hAnsi="Palatino Linotype" w:cs="Times New Roman"/>
          <w:sz w:val="24"/>
          <w:szCs w:val="24"/>
        </w:rPr>
        <w:t xml:space="preserve">In the next section, we describe the Disability Human Rights Clinic at Melbourne Law School, and propose that it has six key features that are necessary for the design and execution of clinical programs that can achieve these </w:t>
      </w:r>
      <w:r w:rsidR="00ED4A70" w:rsidRPr="005D75EB">
        <w:rPr>
          <w:rFonts w:ascii="Palatino Linotype" w:hAnsi="Palatino Linotype" w:cs="Times New Roman"/>
          <w:sz w:val="24"/>
          <w:szCs w:val="24"/>
        </w:rPr>
        <w:t xml:space="preserve">multiple </w:t>
      </w:r>
      <w:r w:rsidRPr="005D75EB">
        <w:rPr>
          <w:rFonts w:ascii="Palatino Linotype" w:hAnsi="Palatino Linotype" w:cs="Times New Roman"/>
          <w:sz w:val="24"/>
          <w:szCs w:val="24"/>
        </w:rPr>
        <w:t>purposes.</w:t>
      </w:r>
    </w:p>
    <w:p w14:paraId="02FD16AC" w14:textId="1FA95584" w:rsidR="001D56BF" w:rsidRPr="005D75EB" w:rsidRDefault="001D56BF" w:rsidP="005D75EB">
      <w:pPr>
        <w:spacing w:line="480" w:lineRule="auto"/>
        <w:jc w:val="both"/>
        <w:rPr>
          <w:rFonts w:ascii="Palatino Linotype" w:hAnsi="Palatino Linotype" w:cs="Times New Roman"/>
          <w:b/>
          <w:color w:val="000000" w:themeColor="text1"/>
          <w:sz w:val="24"/>
          <w:szCs w:val="24"/>
        </w:rPr>
      </w:pPr>
      <w:r w:rsidRPr="005D75EB">
        <w:rPr>
          <w:rFonts w:ascii="Palatino Linotype" w:hAnsi="Palatino Linotype" w:cs="Times New Roman"/>
          <w:b/>
          <w:color w:val="000000" w:themeColor="text1"/>
          <w:sz w:val="24"/>
          <w:szCs w:val="24"/>
        </w:rPr>
        <w:t>Disability human rights clinics as a means to pursue the goals of the CRPD</w:t>
      </w:r>
      <w:r w:rsidR="009C7EB1" w:rsidRPr="005D75EB">
        <w:rPr>
          <w:rFonts w:ascii="Palatino Linotype" w:hAnsi="Palatino Linotype" w:cs="Times New Roman"/>
          <w:b/>
          <w:color w:val="000000" w:themeColor="text1"/>
          <w:sz w:val="24"/>
          <w:szCs w:val="24"/>
        </w:rPr>
        <w:t xml:space="preserve"> and clinical legal education</w:t>
      </w:r>
    </w:p>
    <w:p w14:paraId="0CE504AE" w14:textId="77777777" w:rsidR="00404D98" w:rsidRPr="005D75EB" w:rsidRDefault="0000099E" w:rsidP="005D75EB">
      <w:pPr>
        <w:spacing w:line="480" w:lineRule="auto"/>
        <w:jc w:val="both"/>
        <w:rPr>
          <w:rFonts w:ascii="Palatino Linotype" w:hAnsi="Palatino Linotype" w:cs="Times New Roman"/>
          <w:sz w:val="24"/>
          <w:szCs w:val="24"/>
        </w:rPr>
      </w:pPr>
      <w:r w:rsidRPr="005D75EB">
        <w:rPr>
          <w:rFonts w:ascii="Palatino Linotype" w:hAnsi="Palatino Linotype" w:cs="Times New Roman"/>
          <w:i/>
          <w:sz w:val="24"/>
          <w:szCs w:val="24"/>
        </w:rPr>
        <w:t xml:space="preserve">The </w:t>
      </w:r>
      <w:r w:rsidR="00404D98" w:rsidRPr="005D75EB">
        <w:rPr>
          <w:rFonts w:ascii="Palatino Linotype" w:hAnsi="Palatino Linotype" w:cs="Times New Roman"/>
          <w:i/>
          <w:sz w:val="24"/>
          <w:szCs w:val="24"/>
        </w:rPr>
        <w:t>D</w:t>
      </w:r>
      <w:r w:rsidRPr="005D75EB">
        <w:rPr>
          <w:rFonts w:ascii="Palatino Linotype" w:hAnsi="Palatino Linotype" w:cs="Times New Roman"/>
          <w:i/>
          <w:sz w:val="24"/>
          <w:szCs w:val="24"/>
        </w:rPr>
        <w:t xml:space="preserve">isability </w:t>
      </w:r>
      <w:r w:rsidR="00404D98" w:rsidRPr="005D75EB">
        <w:rPr>
          <w:rFonts w:ascii="Palatino Linotype" w:hAnsi="Palatino Linotype" w:cs="Times New Roman"/>
          <w:i/>
          <w:sz w:val="24"/>
          <w:szCs w:val="24"/>
        </w:rPr>
        <w:t>H</w:t>
      </w:r>
      <w:r w:rsidRPr="005D75EB">
        <w:rPr>
          <w:rFonts w:ascii="Palatino Linotype" w:hAnsi="Palatino Linotype" w:cs="Times New Roman"/>
          <w:i/>
          <w:sz w:val="24"/>
          <w:szCs w:val="24"/>
        </w:rPr>
        <w:t xml:space="preserve">uman </w:t>
      </w:r>
      <w:r w:rsidR="00404D98" w:rsidRPr="005D75EB">
        <w:rPr>
          <w:rFonts w:ascii="Palatino Linotype" w:hAnsi="Palatino Linotype" w:cs="Times New Roman"/>
          <w:i/>
          <w:sz w:val="24"/>
          <w:szCs w:val="24"/>
        </w:rPr>
        <w:t>R</w:t>
      </w:r>
      <w:r w:rsidRPr="005D75EB">
        <w:rPr>
          <w:rFonts w:ascii="Palatino Linotype" w:hAnsi="Palatino Linotype" w:cs="Times New Roman"/>
          <w:i/>
          <w:sz w:val="24"/>
          <w:szCs w:val="24"/>
        </w:rPr>
        <w:t xml:space="preserve">ights </w:t>
      </w:r>
      <w:r w:rsidR="00404D98" w:rsidRPr="005D75EB">
        <w:rPr>
          <w:rFonts w:ascii="Palatino Linotype" w:hAnsi="Palatino Linotype" w:cs="Times New Roman"/>
          <w:i/>
          <w:sz w:val="24"/>
          <w:szCs w:val="24"/>
        </w:rPr>
        <w:t>C</w:t>
      </w:r>
      <w:r w:rsidRPr="005D75EB">
        <w:rPr>
          <w:rFonts w:ascii="Palatino Linotype" w:hAnsi="Palatino Linotype" w:cs="Times New Roman"/>
          <w:i/>
          <w:sz w:val="24"/>
          <w:szCs w:val="24"/>
        </w:rPr>
        <w:t>linic at Melbourne Law School</w:t>
      </w:r>
    </w:p>
    <w:p w14:paraId="48F14088" w14:textId="39454A17" w:rsidR="00EF0E35" w:rsidRPr="005D75EB" w:rsidRDefault="00063163" w:rsidP="005D75EB">
      <w:pPr>
        <w:spacing w:line="480" w:lineRule="auto"/>
        <w:jc w:val="both"/>
        <w:rPr>
          <w:rFonts w:ascii="Palatino Linotype" w:hAnsi="Palatino Linotype" w:cs="Times New Roman"/>
          <w:color w:val="000000" w:themeColor="text1"/>
          <w:sz w:val="24"/>
          <w:szCs w:val="24"/>
        </w:rPr>
      </w:pPr>
      <w:r w:rsidRPr="005D75EB">
        <w:rPr>
          <w:rFonts w:ascii="Palatino Linotype" w:hAnsi="Palatino Linotype" w:cs="Times New Roman"/>
          <w:sz w:val="24"/>
          <w:szCs w:val="24"/>
        </w:rPr>
        <w:t>While several other disability rights-focused law clinics are in existence</w:t>
      </w:r>
      <w:r w:rsidR="003054B4" w:rsidRPr="005D75EB">
        <w:rPr>
          <w:rFonts w:ascii="Palatino Linotype" w:hAnsi="Palatino Linotype" w:cs="Times New Roman"/>
          <w:sz w:val="24"/>
          <w:szCs w:val="24"/>
        </w:rPr>
        <w:t>,</w:t>
      </w:r>
      <w:r w:rsidR="009F52BB" w:rsidRPr="005D75EB">
        <w:rPr>
          <w:rStyle w:val="FootnoteReference"/>
          <w:rFonts w:ascii="Palatino Linotype" w:hAnsi="Palatino Linotype" w:cs="Times New Roman"/>
          <w:sz w:val="24"/>
          <w:szCs w:val="24"/>
        </w:rPr>
        <w:footnoteReference w:id="44"/>
      </w:r>
      <w:r w:rsidRPr="005D75EB">
        <w:rPr>
          <w:rFonts w:ascii="Palatino Linotype" w:hAnsi="Palatino Linotype" w:cs="Times New Roman"/>
          <w:sz w:val="24"/>
          <w:szCs w:val="24"/>
        </w:rPr>
        <w:t xml:space="preserve"> the DHRC</w:t>
      </w:r>
      <w:r w:rsidR="003054B4" w:rsidRPr="005D75EB">
        <w:rPr>
          <w:rFonts w:ascii="Palatino Linotype" w:hAnsi="Palatino Linotype" w:cs="Times New Roman"/>
          <w:sz w:val="24"/>
          <w:szCs w:val="24"/>
        </w:rPr>
        <w:t xml:space="preserve"> was the first</w:t>
      </w:r>
      <w:r w:rsidR="00D17C0B" w:rsidRPr="005D75EB">
        <w:rPr>
          <w:rFonts w:ascii="Palatino Linotype" w:hAnsi="Palatino Linotype" w:cs="Times New Roman"/>
          <w:sz w:val="24"/>
          <w:szCs w:val="24"/>
        </w:rPr>
        <w:t xml:space="preserve"> </w:t>
      </w:r>
      <w:r w:rsidR="003054B4" w:rsidRPr="005D75EB">
        <w:rPr>
          <w:rFonts w:ascii="Palatino Linotype" w:hAnsi="Palatino Linotype" w:cs="Times New Roman"/>
          <w:sz w:val="24"/>
          <w:szCs w:val="24"/>
        </w:rPr>
        <w:t>project-based clinic</w:t>
      </w:r>
      <w:r w:rsidR="00D62F48" w:rsidRPr="005D75EB">
        <w:rPr>
          <w:rFonts w:ascii="Palatino Linotype" w:hAnsi="Palatino Linotype" w:cs="Times New Roman"/>
          <w:sz w:val="24"/>
          <w:szCs w:val="24"/>
        </w:rPr>
        <w:t xml:space="preserve"> that is focused on systemic change,</w:t>
      </w:r>
      <w:r w:rsidR="003054B4" w:rsidRPr="005D75EB">
        <w:rPr>
          <w:rFonts w:ascii="Palatino Linotype" w:hAnsi="Palatino Linotype" w:cs="Times New Roman"/>
          <w:sz w:val="24"/>
          <w:szCs w:val="24"/>
        </w:rPr>
        <w:t xml:space="preserve"> and </w:t>
      </w:r>
      <w:r w:rsidR="00F859D7" w:rsidRPr="005D75EB">
        <w:rPr>
          <w:rFonts w:ascii="Palatino Linotype" w:hAnsi="Palatino Linotype" w:cs="Times New Roman"/>
          <w:sz w:val="24"/>
          <w:szCs w:val="24"/>
        </w:rPr>
        <w:t>the first to incorporate disability studies and disability human rights curriculum.</w:t>
      </w:r>
      <w:r w:rsidR="003054B4" w:rsidRPr="005D75EB">
        <w:rPr>
          <w:rFonts w:ascii="Palatino Linotype" w:hAnsi="Palatino Linotype" w:cs="Times New Roman"/>
          <w:sz w:val="24"/>
          <w:szCs w:val="24"/>
        </w:rPr>
        <w:t xml:space="preserve"> </w:t>
      </w:r>
      <w:r w:rsidR="001425C9" w:rsidRPr="005D75EB">
        <w:rPr>
          <w:rFonts w:ascii="Palatino Linotype" w:hAnsi="Palatino Linotype" w:cs="Times New Roman"/>
          <w:color w:val="000000" w:themeColor="text1"/>
          <w:sz w:val="24"/>
          <w:szCs w:val="24"/>
        </w:rPr>
        <w:t>It is offered to students completing the</w:t>
      </w:r>
      <w:r w:rsidR="00404D98" w:rsidRPr="005D75EB">
        <w:rPr>
          <w:rFonts w:ascii="Palatino Linotype" w:hAnsi="Palatino Linotype" w:cs="Times New Roman"/>
          <w:color w:val="000000" w:themeColor="text1"/>
          <w:sz w:val="24"/>
          <w:szCs w:val="24"/>
        </w:rPr>
        <w:t xml:space="preserve"> Juris Doctor (JD)</w:t>
      </w:r>
      <w:r w:rsidR="001425C9" w:rsidRPr="005D75EB">
        <w:rPr>
          <w:rFonts w:ascii="Palatino Linotype" w:hAnsi="Palatino Linotype" w:cs="Times New Roman"/>
          <w:color w:val="000000" w:themeColor="text1"/>
          <w:sz w:val="24"/>
          <w:szCs w:val="24"/>
        </w:rPr>
        <w:t xml:space="preserve"> </w:t>
      </w:r>
      <w:r w:rsidR="00404D98" w:rsidRPr="005D75EB">
        <w:rPr>
          <w:rFonts w:ascii="Palatino Linotype" w:hAnsi="Palatino Linotype" w:cs="Times New Roman"/>
          <w:color w:val="000000" w:themeColor="text1"/>
          <w:sz w:val="24"/>
          <w:szCs w:val="24"/>
        </w:rPr>
        <w:t>post-graduate law degree</w:t>
      </w:r>
      <w:r w:rsidR="001425C9" w:rsidRPr="005D75EB">
        <w:rPr>
          <w:rFonts w:ascii="Palatino Linotype" w:hAnsi="Palatino Linotype" w:cs="Times New Roman"/>
          <w:color w:val="000000" w:themeColor="text1"/>
          <w:sz w:val="24"/>
          <w:szCs w:val="24"/>
        </w:rPr>
        <w:t xml:space="preserve">. </w:t>
      </w:r>
      <w:r w:rsidR="004B7B1F" w:rsidRPr="005D75EB">
        <w:rPr>
          <w:rFonts w:ascii="Palatino Linotype" w:hAnsi="Palatino Linotype" w:cs="Times New Roman"/>
          <w:color w:val="000000" w:themeColor="text1"/>
          <w:sz w:val="24"/>
          <w:szCs w:val="24"/>
        </w:rPr>
        <w:t>The degree comprises both compulsory and elective subjects</w:t>
      </w:r>
      <w:r w:rsidR="00E3059B" w:rsidRPr="005D75EB">
        <w:rPr>
          <w:rFonts w:ascii="Palatino Linotype" w:hAnsi="Palatino Linotype" w:cs="Times New Roman"/>
          <w:color w:val="000000" w:themeColor="text1"/>
          <w:sz w:val="24"/>
          <w:szCs w:val="24"/>
        </w:rPr>
        <w:t>, and t</w:t>
      </w:r>
      <w:r w:rsidR="004B7B1F" w:rsidRPr="005D75EB">
        <w:rPr>
          <w:rFonts w:ascii="Palatino Linotype" w:hAnsi="Palatino Linotype" w:cs="Times New Roman"/>
          <w:color w:val="000000" w:themeColor="text1"/>
          <w:sz w:val="24"/>
          <w:szCs w:val="24"/>
        </w:rPr>
        <w:t xml:space="preserve">he DHRC </w:t>
      </w:r>
      <w:r w:rsidR="00D17C0B" w:rsidRPr="005D75EB">
        <w:rPr>
          <w:rFonts w:ascii="Palatino Linotype" w:hAnsi="Palatino Linotype" w:cs="Times New Roman"/>
          <w:color w:val="000000" w:themeColor="text1"/>
          <w:sz w:val="24"/>
          <w:szCs w:val="24"/>
        </w:rPr>
        <w:t>has been</w:t>
      </w:r>
      <w:r w:rsidR="004B7B1F" w:rsidRPr="005D75EB">
        <w:rPr>
          <w:rFonts w:ascii="Palatino Linotype" w:hAnsi="Palatino Linotype" w:cs="Times New Roman"/>
          <w:color w:val="000000" w:themeColor="text1"/>
          <w:sz w:val="24"/>
          <w:szCs w:val="24"/>
        </w:rPr>
        <w:t xml:space="preserve"> offered as a</w:t>
      </w:r>
      <w:r w:rsidR="00404D98" w:rsidRPr="005D75EB">
        <w:rPr>
          <w:rFonts w:ascii="Palatino Linotype" w:hAnsi="Palatino Linotype" w:cs="Times New Roman"/>
          <w:color w:val="000000" w:themeColor="text1"/>
          <w:sz w:val="24"/>
          <w:szCs w:val="24"/>
        </w:rPr>
        <w:t xml:space="preserve"> semester-long elective</w:t>
      </w:r>
      <w:r w:rsidR="00D17C0B" w:rsidRPr="005D75EB">
        <w:rPr>
          <w:rFonts w:ascii="Palatino Linotype" w:hAnsi="Palatino Linotype" w:cs="Times New Roman"/>
          <w:color w:val="000000" w:themeColor="text1"/>
          <w:sz w:val="24"/>
          <w:szCs w:val="24"/>
        </w:rPr>
        <w:t xml:space="preserve"> or a three week intensive subject. It </w:t>
      </w:r>
      <w:r w:rsidR="001425C9" w:rsidRPr="005D75EB">
        <w:rPr>
          <w:rFonts w:ascii="Palatino Linotype" w:hAnsi="Palatino Linotype" w:cs="Times New Roman"/>
          <w:color w:val="000000" w:themeColor="text1"/>
          <w:sz w:val="24"/>
          <w:szCs w:val="24"/>
        </w:rPr>
        <w:t>counts towards</w:t>
      </w:r>
      <w:r w:rsidR="000D591E" w:rsidRPr="005D75EB">
        <w:rPr>
          <w:rFonts w:ascii="Palatino Linotype" w:hAnsi="Palatino Linotype" w:cs="Times New Roman"/>
          <w:color w:val="000000" w:themeColor="text1"/>
          <w:sz w:val="24"/>
          <w:szCs w:val="24"/>
        </w:rPr>
        <w:t xml:space="preserve"> students’</w:t>
      </w:r>
      <w:r w:rsidR="001425C9" w:rsidRPr="005D75EB">
        <w:rPr>
          <w:rFonts w:ascii="Palatino Linotype" w:hAnsi="Palatino Linotype" w:cs="Times New Roman"/>
          <w:color w:val="000000" w:themeColor="text1"/>
          <w:sz w:val="24"/>
          <w:szCs w:val="24"/>
        </w:rPr>
        <w:t xml:space="preserve"> </w:t>
      </w:r>
      <w:r w:rsidR="00404D98" w:rsidRPr="005D75EB">
        <w:rPr>
          <w:rFonts w:ascii="Palatino Linotype" w:hAnsi="Palatino Linotype" w:cs="Times New Roman"/>
          <w:color w:val="000000" w:themeColor="text1"/>
          <w:sz w:val="24"/>
          <w:szCs w:val="24"/>
        </w:rPr>
        <w:t>academic credit.</w:t>
      </w:r>
      <w:r w:rsidR="004B4E3F" w:rsidRPr="005D75EB">
        <w:rPr>
          <w:rFonts w:ascii="Palatino Linotype" w:hAnsi="Palatino Linotype" w:cs="Times New Roman"/>
          <w:color w:val="000000" w:themeColor="text1"/>
          <w:sz w:val="24"/>
          <w:szCs w:val="24"/>
        </w:rPr>
        <w:t xml:space="preserve"> Students enrolled in the DHRC undertake 12 days of clinical work (one day per week during semester</w:t>
      </w:r>
      <w:r w:rsidR="00D17C0B" w:rsidRPr="005D75EB">
        <w:rPr>
          <w:rFonts w:ascii="Palatino Linotype" w:hAnsi="Palatino Linotype" w:cs="Times New Roman"/>
          <w:color w:val="000000" w:themeColor="text1"/>
          <w:sz w:val="24"/>
          <w:szCs w:val="24"/>
        </w:rPr>
        <w:t xml:space="preserve"> or four days per week during the intensive</w:t>
      </w:r>
      <w:r w:rsidR="004B4E3F" w:rsidRPr="005D75EB">
        <w:rPr>
          <w:rFonts w:ascii="Palatino Linotype" w:hAnsi="Palatino Linotype" w:cs="Times New Roman"/>
          <w:color w:val="000000" w:themeColor="text1"/>
          <w:sz w:val="24"/>
          <w:szCs w:val="24"/>
        </w:rPr>
        <w:t xml:space="preserve">). Each clinic day begins with a 90-minute seminar on international human rights law, </w:t>
      </w:r>
      <w:r w:rsidR="004B4E3F" w:rsidRPr="005D75EB">
        <w:rPr>
          <w:rFonts w:ascii="Palatino Linotype" w:hAnsi="Palatino Linotype" w:cs="Times New Roman"/>
          <w:color w:val="000000" w:themeColor="text1"/>
          <w:sz w:val="24"/>
          <w:szCs w:val="24"/>
        </w:rPr>
        <w:lastRenderedPageBreak/>
        <w:t>disability rights law and disability studies.</w:t>
      </w:r>
      <w:r w:rsidR="00D72BE6" w:rsidRPr="005D75EB">
        <w:rPr>
          <w:rFonts w:ascii="Palatino Linotype" w:hAnsi="Palatino Linotype" w:cs="Times New Roman"/>
          <w:color w:val="000000" w:themeColor="text1"/>
          <w:sz w:val="24"/>
          <w:szCs w:val="24"/>
        </w:rPr>
        <w:t xml:space="preserve"> Students</w:t>
      </w:r>
      <w:r w:rsidR="004B4E3F" w:rsidRPr="005D75EB">
        <w:rPr>
          <w:rFonts w:ascii="Palatino Linotype" w:hAnsi="Palatino Linotype" w:cs="Times New Roman"/>
          <w:color w:val="000000" w:themeColor="text1"/>
          <w:sz w:val="24"/>
          <w:szCs w:val="24"/>
        </w:rPr>
        <w:t xml:space="preserve"> spend the rest of the clinic day working in small teams on</w:t>
      </w:r>
      <w:r w:rsidR="00A242A4" w:rsidRPr="005D75EB">
        <w:rPr>
          <w:rFonts w:ascii="Palatino Linotype" w:hAnsi="Palatino Linotype" w:cs="Times New Roman"/>
          <w:color w:val="000000" w:themeColor="text1"/>
          <w:sz w:val="24"/>
          <w:szCs w:val="24"/>
        </w:rPr>
        <w:t xml:space="preserve"> </w:t>
      </w:r>
      <w:r w:rsidR="00D72BE6" w:rsidRPr="005D75EB">
        <w:rPr>
          <w:rFonts w:ascii="Palatino Linotype" w:hAnsi="Palatino Linotype" w:cs="Times New Roman"/>
          <w:color w:val="000000" w:themeColor="text1"/>
          <w:sz w:val="24"/>
          <w:szCs w:val="24"/>
        </w:rPr>
        <w:t xml:space="preserve">a </w:t>
      </w:r>
      <w:r w:rsidR="001713A0" w:rsidRPr="005D75EB">
        <w:rPr>
          <w:rFonts w:ascii="Palatino Linotype" w:hAnsi="Palatino Linotype" w:cs="Times New Roman"/>
          <w:color w:val="000000" w:themeColor="text1"/>
          <w:sz w:val="24"/>
          <w:szCs w:val="24"/>
        </w:rPr>
        <w:t>disability human rights-related</w:t>
      </w:r>
      <w:r w:rsidR="004B4E3F" w:rsidRPr="005D75EB">
        <w:rPr>
          <w:rFonts w:ascii="Palatino Linotype" w:hAnsi="Palatino Linotype" w:cs="Times New Roman"/>
          <w:color w:val="000000" w:themeColor="text1"/>
          <w:sz w:val="24"/>
          <w:szCs w:val="24"/>
        </w:rPr>
        <w:t xml:space="preserve"> clinical project</w:t>
      </w:r>
      <w:r w:rsidR="00A1045E" w:rsidRPr="005D75EB">
        <w:rPr>
          <w:rFonts w:ascii="Palatino Linotype" w:hAnsi="Palatino Linotype" w:cs="Times New Roman"/>
          <w:color w:val="000000" w:themeColor="text1"/>
          <w:sz w:val="24"/>
          <w:szCs w:val="24"/>
        </w:rPr>
        <w:t>, with the clinic director</w:t>
      </w:r>
      <w:r w:rsidR="00CD11E7" w:rsidRPr="005D75EB">
        <w:rPr>
          <w:rFonts w:ascii="Palatino Linotype" w:hAnsi="Palatino Linotype" w:cs="Times New Roman"/>
          <w:color w:val="000000" w:themeColor="text1"/>
          <w:sz w:val="24"/>
          <w:szCs w:val="24"/>
        </w:rPr>
        <w:t xml:space="preserve"> providing ongoing guidance through informal discussions and</w:t>
      </w:r>
      <w:r w:rsidR="00E2658E" w:rsidRPr="005D75EB">
        <w:rPr>
          <w:rFonts w:ascii="Palatino Linotype" w:hAnsi="Palatino Linotype" w:cs="Times New Roman"/>
          <w:color w:val="000000" w:themeColor="text1"/>
          <w:sz w:val="24"/>
          <w:szCs w:val="24"/>
        </w:rPr>
        <w:t xml:space="preserve"> scheduled</w:t>
      </w:r>
      <w:r w:rsidR="00CD11E7" w:rsidRPr="005D75EB">
        <w:rPr>
          <w:rFonts w:ascii="Palatino Linotype" w:hAnsi="Palatino Linotype" w:cs="Times New Roman"/>
          <w:color w:val="000000" w:themeColor="text1"/>
          <w:sz w:val="24"/>
          <w:szCs w:val="24"/>
        </w:rPr>
        <w:t xml:space="preserve"> meetings with each team</w:t>
      </w:r>
      <w:r w:rsidR="004B4E3F" w:rsidRPr="005D75EB">
        <w:rPr>
          <w:rFonts w:ascii="Palatino Linotype" w:hAnsi="Palatino Linotype" w:cs="Times New Roman"/>
          <w:color w:val="000000" w:themeColor="text1"/>
          <w:sz w:val="24"/>
          <w:szCs w:val="24"/>
        </w:rPr>
        <w:t>.</w:t>
      </w:r>
      <w:r w:rsidR="00D72BE6" w:rsidRPr="005D75EB">
        <w:rPr>
          <w:rFonts w:ascii="Palatino Linotype" w:hAnsi="Palatino Linotype" w:cs="Times New Roman"/>
          <w:color w:val="000000" w:themeColor="text1"/>
          <w:sz w:val="24"/>
          <w:szCs w:val="24"/>
        </w:rPr>
        <w:t xml:space="preserve"> Each group works on one major project for the duration of the course; </w:t>
      </w:r>
      <w:r w:rsidR="00172474" w:rsidRPr="005D75EB">
        <w:rPr>
          <w:rFonts w:ascii="Palatino Linotype" w:hAnsi="Palatino Linotype" w:cs="Times New Roman"/>
          <w:color w:val="000000" w:themeColor="text1"/>
          <w:sz w:val="24"/>
          <w:szCs w:val="24"/>
        </w:rPr>
        <w:t xml:space="preserve">on the first day of the clinic, </w:t>
      </w:r>
      <w:r w:rsidR="00A038B3" w:rsidRPr="005D75EB">
        <w:rPr>
          <w:rFonts w:ascii="Palatino Linotype" w:hAnsi="Palatino Linotype" w:cs="Times New Roman"/>
          <w:color w:val="000000" w:themeColor="text1"/>
          <w:sz w:val="24"/>
          <w:szCs w:val="24"/>
        </w:rPr>
        <w:t xml:space="preserve">students </w:t>
      </w:r>
      <w:r w:rsidR="00172474" w:rsidRPr="005D75EB">
        <w:rPr>
          <w:rFonts w:ascii="Palatino Linotype" w:hAnsi="Palatino Linotype" w:cs="Times New Roman"/>
          <w:color w:val="000000" w:themeColor="text1"/>
          <w:sz w:val="24"/>
          <w:szCs w:val="24"/>
        </w:rPr>
        <w:t>are invited to rank the projects that most interest them and are allocated to a group on that basis.</w:t>
      </w:r>
    </w:p>
    <w:p w14:paraId="6A457985" w14:textId="608443E0" w:rsidR="00F67322" w:rsidRPr="005D75EB" w:rsidRDefault="00D17C0B" w:rsidP="005D75EB">
      <w:pPr>
        <w:spacing w:line="480" w:lineRule="auto"/>
        <w:jc w:val="both"/>
        <w:rPr>
          <w:rFonts w:ascii="Palatino Linotype" w:hAnsi="Palatino Linotype" w:cs="Times New Roman"/>
          <w:color w:val="000000" w:themeColor="text1"/>
          <w:sz w:val="24"/>
          <w:szCs w:val="24"/>
        </w:rPr>
      </w:pPr>
      <w:r w:rsidRPr="005D75EB">
        <w:rPr>
          <w:rFonts w:ascii="Palatino Linotype" w:hAnsi="Palatino Linotype" w:cs="Times New Roman"/>
          <w:sz w:val="24"/>
          <w:szCs w:val="24"/>
        </w:rPr>
        <w:t>As a</w:t>
      </w:r>
      <w:r w:rsidR="00EF0E35" w:rsidRPr="005D75EB">
        <w:rPr>
          <w:rFonts w:ascii="Palatino Linotype" w:hAnsi="Palatino Linotype" w:cs="Times New Roman"/>
          <w:sz w:val="24"/>
          <w:szCs w:val="24"/>
        </w:rPr>
        <w:t xml:space="preserve"> project-based clinic,</w:t>
      </w:r>
      <w:r w:rsidRPr="005D75EB">
        <w:rPr>
          <w:rFonts w:ascii="Palatino Linotype" w:hAnsi="Palatino Linotype" w:cs="Times New Roman"/>
          <w:sz w:val="24"/>
          <w:szCs w:val="24"/>
        </w:rPr>
        <w:t xml:space="preserve"> </w:t>
      </w:r>
      <w:r w:rsidR="00EF0E35" w:rsidRPr="005D75EB">
        <w:rPr>
          <w:rFonts w:ascii="Palatino Linotype" w:hAnsi="Palatino Linotype" w:cs="Times New Roman"/>
          <w:sz w:val="24"/>
          <w:szCs w:val="24"/>
        </w:rPr>
        <w:t xml:space="preserve">students </w:t>
      </w:r>
      <w:r w:rsidRPr="005D75EB">
        <w:rPr>
          <w:rFonts w:ascii="Palatino Linotype" w:hAnsi="Palatino Linotype" w:cs="Times New Roman"/>
          <w:sz w:val="24"/>
          <w:szCs w:val="24"/>
        </w:rPr>
        <w:t xml:space="preserve">in the DHRC </w:t>
      </w:r>
      <w:r w:rsidR="00EF0E35" w:rsidRPr="005D75EB">
        <w:rPr>
          <w:rFonts w:ascii="Palatino Linotype" w:hAnsi="Palatino Linotype" w:cs="Times New Roman"/>
          <w:sz w:val="24"/>
          <w:szCs w:val="24"/>
        </w:rPr>
        <w:t xml:space="preserve">engage in research and/or advocacy </w:t>
      </w:r>
      <w:r w:rsidR="00231726" w:rsidRPr="005D75EB">
        <w:rPr>
          <w:rFonts w:ascii="Palatino Linotype" w:hAnsi="Palatino Linotype" w:cs="Times New Roman"/>
          <w:sz w:val="24"/>
          <w:szCs w:val="24"/>
        </w:rPr>
        <w:t xml:space="preserve">focused on </w:t>
      </w:r>
      <w:r w:rsidRPr="005D75EB">
        <w:rPr>
          <w:rFonts w:ascii="Palatino Linotype" w:hAnsi="Palatino Linotype" w:cs="Times New Roman"/>
          <w:sz w:val="24"/>
          <w:szCs w:val="24"/>
        </w:rPr>
        <w:t xml:space="preserve">systemic </w:t>
      </w:r>
      <w:r w:rsidR="00231726" w:rsidRPr="005D75EB">
        <w:rPr>
          <w:rFonts w:ascii="Palatino Linotype" w:hAnsi="Palatino Linotype" w:cs="Times New Roman"/>
          <w:sz w:val="24"/>
          <w:szCs w:val="24"/>
        </w:rPr>
        <w:t xml:space="preserve">change as opposed to individual client service. </w:t>
      </w:r>
      <w:r w:rsidR="00EF0E35" w:rsidRPr="005D75EB">
        <w:rPr>
          <w:rFonts w:ascii="Palatino Linotype" w:hAnsi="Palatino Linotype" w:cs="Times New Roman"/>
          <w:sz w:val="24"/>
          <w:szCs w:val="24"/>
        </w:rPr>
        <w:t>Clinical projects may include law or policy submissions, amicus briefs,</w:t>
      </w:r>
      <w:r w:rsidR="004B4E3F" w:rsidRPr="005D75EB">
        <w:rPr>
          <w:rFonts w:ascii="Palatino Linotype" w:hAnsi="Palatino Linotype" w:cs="Times New Roman"/>
          <w:sz w:val="24"/>
          <w:szCs w:val="24"/>
        </w:rPr>
        <w:t xml:space="preserve"> research support for strategic litigation,</w:t>
      </w:r>
      <w:r w:rsidR="00EF0E35" w:rsidRPr="005D75EB">
        <w:rPr>
          <w:rFonts w:ascii="Palatino Linotype" w:hAnsi="Palatino Linotype" w:cs="Times New Roman"/>
          <w:sz w:val="24"/>
          <w:szCs w:val="24"/>
        </w:rPr>
        <w:t xml:space="preserve"> or other projects that require legal analysis.</w:t>
      </w:r>
      <w:r w:rsidR="00744606" w:rsidRPr="005D75EB">
        <w:rPr>
          <w:rFonts w:ascii="Palatino Linotype" w:hAnsi="Palatino Linotype" w:cs="Times New Roman"/>
          <w:sz w:val="24"/>
          <w:szCs w:val="24"/>
        </w:rPr>
        <w:t xml:space="preserve"> Most</w:t>
      </w:r>
      <w:r w:rsidR="00EF0E35" w:rsidRPr="005D75EB">
        <w:rPr>
          <w:rFonts w:ascii="Palatino Linotype" w:hAnsi="Palatino Linotype" w:cs="Times New Roman"/>
          <w:sz w:val="24"/>
          <w:szCs w:val="24"/>
        </w:rPr>
        <w:t xml:space="preserve"> projects have a ‘</w:t>
      </w:r>
      <w:r w:rsidRPr="005D75EB">
        <w:rPr>
          <w:rFonts w:ascii="Palatino Linotype" w:hAnsi="Palatino Linotype" w:cs="Times New Roman"/>
          <w:sz w:val="24"/>
          <w:szCs w:val="24"/>
        </w:rPr>
        <w:t xml:space="preserve">client </w:t>
      </w:r>
      <w:r w:rsidR="00033747" w:rsidRPr="005D75EB">
        <w:rPr>
          <w:rFonts w:ascii="Palatino Linotype" w:hAnsi="Palatino Linotype" w:cs="Times New Roman"/>
          <w:sz w:val="24"/>
          <w:szCs w:val="24"/>
        </w:rPr>
        <w:t>partner</w:t>
      </w:r>
      <w:r w:rsidR="00EF0E35" w:rsidRPr="005D75EB">
        <w:rPr>
          <w:rFonts w:ascii="Palatino Linotype" w:hAnsi="Palatino Linotype" w:cs="Times New Roman"/>
          <w:sz w:val="24"/>
          <w:szCs w:val="24"/>
        </w:rPr>
        <w:t xml:space="preserve">’, which is an organisation that needs a specific project </w:t>
      </w:r>
      <w:r w:rsidR="00D805B4" w:rsidRPr="005D75EB">
        <w:rPr>
          <w:rFonts w:ascii="Palatino Linotype" w:hAnsi="Palatino Linotype" w:cs="Times New Roman"/>
          <w:sz w:val="24"/>
          <w:szCs w:val="24"/>
        </w:rPr>
        <w:t xml:space="preserve">to be </w:t>
      </w:r>
      <w:r w:rsidR="00EF0E35" w:rsidRPr="005D75EB">
        <w:rPr>
          <w:rFonts w:ascii="Palatino Linotype" w:hAnsi="Palatino Linotype" w:cs="Times New Roman"/>
          <w:sz w:val="24"/>
          <w:szCs w:val="24"/>
        </w:rPr>
        <w:t xml:space="preserve">completed. These may be documents that are internal to the organisation, </w:t>
      </w:r>
      <w:r w:rsidR="00231726" w:rsidRPr="005D75EB">
        <w:rPr>
          <w:rFonts w:ascii="Palatino Linotype" w:hAnsi="Palatino Linotype" w:cs="Times New Roman"/>
          <w:sz w:val="24"/>
          <w:szCs w:val="24"/>
        </w:rPr>
        <w:t>such as an</w:t>
      </w:r>
      <w:r w:rsidR="00EF0E35" w:rsidRPr="005D75EB">
        <w:rPr>
          <w:rFonts w:ascii="Palatino Linotype" w:hAnsi="Palatino Linotype" w:cs="Times New Roman"/>
          <w:sz w:val="24"/>
          <w:szCs w:val="24"/>
        </w:rPr>
        <w:t xml:space="preserve"> inclusion</w:t>
      </w:r>
      <w:r w:rsidR="00231726" w:rsidRPr="005D75EB">
        <w:rPr>
          <w:rFonts w:ascii="Palatino Linotype" w:hAnsi="Palatino Linotype" w:cs="Times New Roman"/>
          <w:sz w:val="24"/>
          <w:szCs w:val="24"/>
        </w:rPr>
        <w:t xml:space="preserve"> or diversity</w:t>
      </w:r>
      <w:r w:rsidR="00EF0E35" w:rsidRPr="005D75EB">
        <w:rPr>
          <w:rFonts w:ascii="Palatino Linotype" w:hAnsi="Palatino Linotype" w:cs="Times New Roman"/>
          <w:sz w:val="24"/>
          <w:szCs w:val="24"/>
        </w:rPr>
        <w:t xml:space="preserve"> policy review, or they may be public documents, such as a public report</w:t>
      </w:r>
      <w:r w:rsidR="00C37F7A" w:rsidRPr="005D75EB">
        <w:rPr>
          <w:rFonts w:ascii="Palatino Linotype" w:hAnsi="Palatino Linotype" w:cs="Times New Roman"/>
          <w:sz w:val="24"/>
          <w:szCs w:val="24"/>
        </w:rPr>
        <w:t xml:space="preserve"> or submission</w:t>
      </w:r>
      <w:r w:rsidR="00EF0E35" w:rsidRPr="005D75EB">
        <w:rPr>
          <w:rFonts w:ascii="Palatino Linotype" w:hAnsi="Palatino Linotype" w:cs="Times New Roman"/>
          <w:sz w:val="24"/>
          <w:szCs w:val="24"/>
        </w:rPr>
        <w:t>.</w:t>
      </w:r>
      <w:r w:rsidR="00462C7F" w:rsidRPr="005D75EB">
        <w:rPr>
          <w:rFonts w:ascii="Palatino Linotype" w:hAnsi="Palatino Linotype" w:cs="Times New Roman"/>
          <w:sz w:val="24"/>
          <w:szCs w:val="24"/>
        </w:rPr>
        <w:t xml:space="preserve"> Through</w:t>
      </w:r>
      <w:r w:rsidR="00AD4615" w:rsidRPr="005D75EB">
        <w:rPr>
          <w:rFonts w:ascii="Palatino Linotype" w:hAnsi="Palatino Linotype" w:cs="Times New Roman"/>
          <w:color w:val="000000" w:themeColor="text1"/>
          <w:sz w:val="24"/>
          <w:szCs w:val="24"/>
        </w:rPr>
        <w:t xml:space="preserve"> the DHRC website</w:t>
      </w:r>
      <w:r w:rsidR="000652D9" w:rsidRPr="005D75EB">
        <w:rPr>
          <w:rStyle w:val="FootnoteReference"/>
          <w:rFonts w:ascii="Palatino Linotype" w:hAnsi="Palatino Linotype" w:cs="Times New Roman"/>
          <w:color w:val="000000" w:themeColor="text1"/>
          <w:sz w:val="24"/>
          <w:szCs w:val="24"/>
        </w:rPr>
        <w:footnoteReference w:id="45"/>
      </w:r>
      <w:r w:rsidR="00AD4615" w:rsidRPr="005D75EB">
        <w:rPr>
          <w:rFonts w:ascii="Palatino Linotype" w:hAnsi="Palatino Linotype" w:cs="Times New Roman"/>
          <w:color w:val="000000" w:themeColor="text1"/>
          <w:sz w:val="24"/>
          <w:szCs w:val="24"/>
        </w:rPr>
        <w:t xml:space="preserve"> and the professional contacts of the clinic director</w:t>
      </w:r>
      <w:r w:rsidR="002E4B03" w:rsidRPr="005D75EB">
        <w:rPr>
          <w:rFonts w:ascii="Palatino Linotype" w:hAnsi="Palatino Linotype" w:cs="Times New Roman"/>
          <w:color w:val="000000" w:themeColor="text1"/>
          <w:sz w:val="24"/>
          <w:szCs w:val="24"/>
        </w:rPr>
        <w:t xml:space="preserve"> and fellows</w:t>
      </w:r>
      <w:r w:rsidR="00AD4615" w:rsidRPr="005D75EB">
        <w:rPr>
          <w:rFonts w:ascii="Palatino Linotype" w:hAnsi="Palatino Linotype" w:cs="Times New Roman"/>
          <w:color w:val="000000" w:themeColor="text1"/>
          <w:sz w:val="24"/>
          <w:szCs w:val="24"/>
        </w:rPr>
        <w:t>, p</w:t>
      </w:r>
      <w:r w:rsidR="00404D98" w:rsidRPr="005D75EB">
        <w:rPr>
          <w:rFonts w:ascii="Palatino Linotype" w:hAnsi="Palatino Linotype" w:cs="Times New Roman"/>
          <w:color w:val="000000" w:themeColor="text1"/>
          <w:sz w:val="24"/>
          <w:szCs w:val="24"/>
        </w:rPr>
        <w:t xml:space="preserve">roject proposals </w:t>
      </w:r>
      <w:r w:rsidR="003A0C0F" w:rsidRPr="005D75EB">
        <w:rPr>
          <w:rFonts w:ascii="Palatino Linotype" w:hAnsi="Palatino Linotype" w:cs="Times New Roman"/>
          <w:color w:val="000000" w:themeColor="text1"/>
          <w:sz w:val="24"/>
          <w:szCs w:val="24"/>
        </w:rPr>
        <w:t xml:space="preserve">on disability human rights issues </w:t>
      </w:r>
      <w:r w:rsidR="00404D98" w:rsidRPr="005D75EB">
        <w:rPr>
          <w:rFonts w:ascii="Palatino Linotype" w:hAnsi="Palatino Linotype" w:cs="Times New Roman"/>
          <w:color w:val="000000" w:themeColor="text1"/>
          <w:sz w:val="24"/>
          <w:szCs w:val="24"/>
        </w:rPr>
        <w:t>are invited from DPOs,</w:t>
      </w:r>
      <w:r w:rsidR="00400342" w:rsidRPr="005D75EB">
        <w:rPr>
          <w:rFonts w:ascii="Palatino Linotype" w:hAnsi="Palatino Linotype" w:cs="Times New Roman"/>
          <w:color w:val="000000" w:themeColor="text1"/>
          <w:sz w:val="24"/>
          <w:szCs w:val="24"/>
        </w:rPr>
        <w:t xml:space="preserve"> community legal services,</w:t>
      </w:r>
      <w:r w:rsidR="00404D98" w:rsidRPr="005D75EB">
        <w:rPr>
          <w:rFonts w:ascii="Palatino Linotype" w:hAnsi="Palatino Linotype" w:cs="Times New Roman"/>
          <w:color w:val="000000" w:themeColor="text1"/>
          <w:sz w:val="24"/>
          <w:szCs w:val="24"/>
        </w:rPr>
        <w:t xml:space="preserve"> state and federal government agencies, researchers in other faculties</w:t>
      </w:r>
      <w:r w:rsidR="00554F36" w:rsidRPr="005D75EB">
        <w:rPr>
          <w:rFonts w:ascii="Palatino Linotype" w:hAnsi="Palatino Linotype" w:cs="Times New Roman"/>
          <w:color w:val="000000" w:themeColor="text1"/>
          <w:sz w:val="24"/>
          <w:szCs w:val="24"/>
        </w:rPr>
        <w:t xml:space="preserve"> at the University of Melbourne</w:t>
      </w:r>
      <w:r w:rsidR="00404D98" w:rsidRPr="005D75EB">
        <w:rPr>
          <w:rFonts w:ascii="Palatino Linotype" w:hAnsi="Palatino Linotype" w:cs="Times New Roman"/>
          <w:color w:val="000000" w:themeColor="text1"/>
          <w:sz w:val="24"/>
          <w:szCs w:val="24"/>
        </w:rPr>
        <w:t>, and other stakeholders. The students</w:t>
      </w:r>
      <w:r w:rsidR="006303C8" w:rsidRPr="005D75EB">
        <w:rPr>
          <w:rFonts w:ascii="Palatino Linotype" w:hAnsi="Palatino Linotype" w:cs="Times New Roman"/>
          <w:color w:val="000000" w:themeColor="text1"/>
          <w:sz w:val="24"/>
          <w:szCs w:val="24"/>
        </w:rPr>
        <w:t xml:space="preserve"> work closely</w:t>
      </w:r>
      <w:r w:rsidR="00404D98" w:rsidRPr="005D75EB">
        <w:rPr>
          <w:rFonts w:ascii="Palatino Linotype" w:hAnsi="Palatino Linotype" w:cs="Times New Roman"/>
          <w:color w:val="000000" w:themeColor="text1"/>
          <w:sz w:val="24"/>
          <w:szCs w:val="24"/>
        </w:rPr>
        <w:t xml:space="preserve"> with </w:t>
      </w:r>
      <w:r w:rsidR="004462F9" w:rsidRPr="005D75EB">
        <w:rPr>
          <w:rFonts w:ascii="Palatino Linotype" w:hAnsi="Palatino Linotype" w:cs="Times New Roman"/>
          <w:color w:val="000000" w:themeColor="text1"/>
          <w:sz w:val="24"/>
          <w:szCs w:val="24"/>
        </w:rPr>
        <w:t xml:space="preserve">their </w:t>
      </w:r>
      <w:r w:rsidRPr="005D75EB">
        <w:rPr>
          <w:rFonts w:ascii="Palatino Linotype" w:hAnsi="Palatino Linotype" w:cs="Times New Roman"/>
          <w:color w:val="000000" w:themeColor="text1"/>
          <w:sz w:val="24"/>
          <w:szCs w:val="24"/>
        </w:rPr>
        <w:t xml:space="preserve">client </w:t>
      </w:r>
      <w:r w:rsidR="00404D98" w:rsidRPr="005D75EB">
        <w:rPr>
          <w:rFonts w:ascii="Palatino Linotype" w:hAnsi="Palatino Linotype" w:cs="Times New Roman"/>
          <w:color w:val="000000" w:themeColor="text1"/>
          <w:sz w:val="24"/>
          <w:szCs w:val="24"/>
        </w:rPr>
        <w:t>partner</w:t>
      </w:r>
      <w:r w:rsidR="004462F9" w:rsidRPr="005D75EB">
        <w:rPr>
          <w:rFonts w:ascii="Palatino Linotype" w:hAnsi="Palatino Linotype" w:cs="Times New Roman"/>
          <w:color w:val="000000" w:themeColor="text1"/>
          <w:sz w:val="24"/>
          <w:szCs w:val="24"/>
        </w:rPr>
        <w:t xml:space="preserve">, seeking </w:t>
      </w:r>
      <w:r w:rsidR="00404D98" w:rsidRPr="005D75EB">
        <w:rPr>
          <w:rFonts w:ascii="Palatino Linotype" w:hAnsi="Palatino Linotype" w:cs="Times New Roman"/>
          <w:color w:val="000000" w:themeColor="text1"/>
          <w:sz w:val="24"/>
          <w:szCs w:val="24"/>
        </w:rPr>
        <w:t>guidance</w:t>
      </w:r>
      <w:r w:rsidR="009B7EE6" w:rsidRPr="005D75EB">
        <w:rPr>
          <w:rFonts w:ascii="Palatino Linotype" w:hAnsi="Palatino Linotype" w:cs="Times New Roman"/>
          <w:color w:val="000000" w:themeColor="text1"/>
          <w:sz w:val="24"/>
          <w:szCs w:val="24"/>
        </w:rPr>
        <w:t xml:space="preserve"> when</w:t>
      </w:r>
      <w:r w:rsidR="00B4120E" w:rsidRPr="005D75EB">
        <w:rPr>
          <w:rFonts w:ascii="Palatino Linotype" w:hAnsi="Palatino Linotype" w:cs="Times New Roman"/>
          <w:color w:val="000000" w:themeColor="text1"/>
          <w:sz w:val="24"/>
          <w:szCs w:val="24"/>
        </w:rPr>
        <w:t xml:space="preserve"> developing</w:t>
      </w:r>
      <w:r w:rsidR="009B7EE6" w:rsidRPr="005D75EB">
        <w:rPr>
          <w:rFonts w:ascii="Palatino Linotype" w:hAnsi="Palatino Linotype" w:cs="Times New Roman"/>
          <w:color w:val="000000" w:themeColor="text1"/>
          <w:sz w:val="24"/>
          <w:szCs w:val="24"/>
        </w:rPr>
        <w:t xml:space="preserve"> the project and conducting the research</w:t>
      </w:r>
      <w:r w:rsidR="00B4120E" w:rsidRPr="005D75EB">
        <w:rPr>
          <w:rFonts w:ascii="Palatino Linotype" w:hAnsi="Palatino Linotype" w:cs="Times New Roman"/>
          <w:color w:val="000000" w:themeColor="text1"/>
          <w:sz w:val="24"/>
          <w:szCs w:val="24"/>
        </w:rPr>
        <w:t>,</w:t>
      </w:r>
      <w:r w:rsidR="00404D98" w:rsidRPr="005D75EB">
        <w:rPr>
          <w:rFonts w:ascii="Palatino Linotype" w:hAnsi="Palatino Linotype" w:cs="Times New Roman"/>
          <w:color w:val="000000" w:themeColor="text1"/>
          <w:sz w:val="24"/>
          <w:szCs w:val="24"/>
        </w:rPr>
        <w:t xml:space="preserve"> and</w:t>
      </w:r>
      <w:r w:rsidR="009D10FF" w:rsidRPr="005D75EB">
        <w:rPr>
          <w:rFonts w:ascii="Palatino Linotype" w:hAnsi="Palatino Linotype" w:cs="Times New Roman"/>
          <w:color w:val="000000" w:themeColor="text1"/>
          <w:sz w:val="24"/>
          <w:szCs w:val="24"/>
        </w:rPr>
        <w:t xml:space="preserve"> inviting</w:t>
      </w:r>
      <w:r w:rsidR="00404D98" w:rsidRPr="005D75EB">
        <w:rPr>
          <w:rFonts w:ascii="Palatino Linotype" w:hAnsi="Palatino Linotype" w:cs="Times New Roman"/>
          <w:color w:val="000000" w:themeColor="text1"/>
          <w:sz w:val="24"/>
          <w:szCs w:val="24"/>
        </w:rPr>
        <w:t xml:space="preserve"> feedback on drafts</w:t>
      </w:r>
      <w:r w:rsidR="00D94C85" w:rsidRPr="005D75EB">
        <w:rPr>
          <w:rFonts w:ascii="Palatino Linotype" w:hAnsi="Palatino Linotype" w:cs="Times New Roman"/>
          <w:color w:val="000000" w:themeColor="text1"/>
          <w:sz w:val="24"/>
          <w:szCs w:val="24"/>
        </w:rPr>
        <w:t>. At the end of semester, s</w:t>
      </w:r>
      <w:r w:rsidR="00D73F2F" w:rsidRPr="005D75EB">
        <w:rPr>
          <w:rFonts w:ascii="Palatino Linotype" w:hAnsi="Palatino Linotype" w:cs="Times New Roman"/>
          <w:color w:val="000000" w:themeColor="text1"/>
          <w:sz w:val="24"/>
          <w:szCs w:val="24"/>
        </w:rPr>
        <w:t>tudents</w:t>
      </w:r>
      <w:r w:rsidR="00404D98" w:rsidRPr="005D75EB">
        <w:rPr>
          <w:rFonts w:ascii="Palatino Linotype" w:hAnsi="Palatino Linotype" w:cs="Times New Roman"/>
          <w:color w:val="000000" w:themeColor="text1"/>
          <w:sz w:val="24"/>
          <w:szCs w:val="24"/>
        </w:rPr>
        <w:t xml:space="preserve"> deliver their resear</w:t>
      </w:r>
      <w:r w:rsidR="00D94C85" w:rsidRPr="005D75EB">
        <w:rPr>
          <w:rFonts w:ascii="Palatino Linotype" w:hAnsi="Palatino Linotype" w:cs="Times New Roman"/>
          <w:color w:val="000000" w:themeColor="text1"/>
          <w:sz w:val="24"/>
          <w:szCs w:val="24"/>
        </w:rPr>
        <w:t>ch findings to the</w:t>
      </w:r>
      <w:r w:rsidR="00404D98" w:rsidRPr="005D75EB">
        <w:rPr>
          <w:rFonts w:ascii="Palatino Linotype" w:hAnsi="Palatino Linotype" w:cs="Times New Roman"/>
          <w:color w:val="000000" w:themeColor="text1"/>
          <w:sz w:val="24"/>
          <w:szCs w:val="24"/>
        </w:rPr>
        <w:t xml:space="preserve"> partner and </w:t>
      </w:r>
      <w:r w:rsidR="004B05C4" w:rsidRPr="005D75EB">
        <w:rPr>
          <w:rFonts w:ascii="Palatino Linotype" w:hAnsi="Palatino Linotype" w:cs="Times New Roman"/>
          <w:color w:val="000000" w:themeColor="text1"/>
          <w:sz w:val="24"/>
          <w:szCs w:val="24"/>
        </w:rPr>
        <w:lastRenderedPageBreak/>
        <w:t>(</w:t>
      </w:r>
      <w:r w:rsidR="00404D98" w:rsidRPr="005D75EB">
        <w:rPr>
          <w:rFonts w:ascii="Palatino Linotype" w:hAnsi="Palatino Linotype" w:cs="Times New Roman"/>
          <w:color w:val="000000" w:themeColor="text1"/>
          <w:sz w:val="24"/>
          <w:szCs w:val="24"/>
        </w:rPr>
        <w:t>where appropriate</w:t>
      </w:r>
      <w:r w:rsidR="004B05C4" w:rsidRPr="005D75EB">
        <w:rPr>
          <w:rFonts w:ascii="Palatino Linotype" w:hAnsi="Palatino Linotype" w:cs="Times New Roman"/>
          <w:color w:val="000000" w:themeColor="text1"/>
          <w:sz w:val="24"/>
          <w:szCs w:val="24"/>
        </w:rPr>
        <w:t>)</w:t>
      </w:r>
      <w:r w:rsidR="00404D98" w:rsidRPr="005D75EB">
        <w:rPr>
          <w:rFonts w:ascii="Palatino Linotype" w:hAnsi="Palatino Linotype" w:cs="Times New Roman"/>
          <w:color w:val="000000" w:themeColor="text1"/>
          <w:sz w:val="24"/>
          <w:szCs w:val="24"/>
        </w:rPr>
        <w:t xml:space="preserve"> to the</w:t>
      </w:r>
      <w:r w:rsidR="004B05C4" w:rsidRPr="005D75EB">
        <w:rPr>
          <w:rFonts w:ascii="Palatino Linotype" w:hAnsi="Palatino Linotype" w:cs="Times New Roman"/>
          <w:color w:val="000000" w:themeColor="text1"/>
          <w:sz w:val="24"/>
          <w:szCs w:val="24"/>
        </w:rPr>
        <w:t xml:space="preserve"> academic and wider community,</w:t>
      </w:r>
      <w:r w:rsidR="00404D98" w:rsidRPr="005D75EB">
        <w:rPr>
          <w:rFonts w:ascii="Palatino Linotype" w:hAnsi="Palatino Linotype" w:cs="Times New Roman"/>
          <w:color w:val="000000" w:themeColor="text1"/>
          <w:sz w:val="24"/>
          <w:szCs w:val="24"/>
        </w:rPr>
        <w:t xml:space="preserve"> through</w:t>
      </w:r>
      <w:r w:rsidR="00A10432" w:rsidRPr="005D75EB">
        <w:rPr>
          <w:rFonts w:ascii="Palatino Linotype" w:hAnsi="Palatino Linotype" w:cs="Times New Roman"/>
          <w:color w:val="000000" w:themeColor="text1"/>
          <w:sz w:val="24"/>
          <w:szCs w:val="24"/>
        </w:rPr>
        <w:t xml:space="preserve"> both</w:t>
      </w:r>
      <w:r w:rsidR="00404D98" w:rsidRPr="005D75EB">
        <w:rPr>
          <w:rFonts w:ascii="Palatino Linotype" w:hAnsi="Palatino Linotype" w:cs="Times New Roman"/>
          <w:color w:val="000000" w:themeColor="text1"/>
          <w:sz w:val="24"/>
          <w:szCs w:val="24"/>
        </w:rPr>
        <w:t xml:space="preserve"> written </w:t>
      </w:r>
      <w:r w:rsidR="00DB4C00" w:rsidRPr="005D75EB">
        <w:rPr>
          <w:rFonts w:ascii="Palatino Linotype" w:hAnsi="Palatino Linotype" w:cs="Times New Roman"/>
          <w:color w:val="000000" w:themeColor="text1"/>
          <w:sz w:val="24"/>
          <w:szCs w:val="24"/>
        </w:rPr>
        <w:t xml:space="preserve">papers </w:t>
      </w:r>
      <w:r w:rsidR="00404D98" w:rsidRPr="005D75EB">
        <w:rPr>
          <w:rFonts w:ascii="Palatino Linotype" w:hAnsi="Palatino Linotype" w:cs="Times New Roman"/>
          <w:color w:val="000000" w:themeColor="text1"/>
          <w:sz w:val="24"/>
          <w:szCs w:val="24"/>
        </w:rPr>
        <w:t>and oral presentations or seminars.</w:t>
      </w:r>
    </w:p>
    <w:p w14:paraId="03D09953" w14:textId="7E7D4E08" w:rsidR="007F096A" w:rsidRPr="005D75EB" w:rsidRDefault="007F096A" w:rsidP="005D75EB">
      <w:pPr>
        <w:spacing w:line="480" w:lineRule="auto"/>
        <w:jc w:val="both"/>
        <w:rPr>
          <w:rFonts w:ascii="Palatino Linotype" w:hAnsi="Palatino Linotype" w:cs="Times New Roman"/>
          <w:sz w:val="24"/>
          <w:szCs w:val="24"/>
        </w:rPr>
      </w:pPr>
      <w:r w:rsidRPr="005D75EB">
        <w:rPr>
          <w:rFonts w:ascii="Palatino Linotype" w:hAnsi="Palatino Linotype" w:cs="Times New Roman"/>
          <w:sz w:val="24"/>
          <w:szCs w:val="24"/>
        </w:rPr>
        <w:t xml:space="preserve">Based on our experiences in the DHRC, we propose that clinics must have six essential features </w:t>
      </w:r>
      <w:r w:rsidR="00761632" w:rsidRPr="005D75EB">
        <w:rPr>
          <w:rFonts w:ascii="Palatino Linotype" w:hAnsi="Palatino Linotype" w:cs="Times New Roman"/>
          <w:sz w:val="24"/>
          <w:szCs w:val="24"/>
        </w:rPr>
        <w:t>in order to fulfil the</w:t>
      </w:r>
      <w:r w:rsidRPr="005D75EB">
        <w:rPr>
          <w:rFonts w:ascii="Palatino Linotype" w:hAnsi="Palatino Linotype" w:cs="Times New Roman"/>
          <w:sz w:val="24"/>
          <w:szCs w:val="24"/>
        </w:rPr>
        <w:t xml:space="preserve"> tripartite mission of human rights implementation, engaging with the community, and providing rich experiential learning for students. We propose that these features can also offer useful guidance to human rights clinics concerned with other groups of rights-holders such as </w:t>
      </w:r>
      <w:r w:rsidR="006A2F24" w:rsidRPr="005D75EB">
        <w:rPr>
          <w:rFonts w:ascii="Palatino Linotype" w:hAnsi="Palatino Linotype" w:cs="Times New Roman"/>
          <w:sz w:val="24"/>
          <w:szCs w:val="24"/>
        </w:rPr>
        <w:t xml:space="preserve">refugees and asylum seekers, </w:t>
      </w:r>
      <w:r w:rsidRPr="005D75EB">
        <w:rPr>
          <w:rFonts w:ascii="Palatino Linotype" w:hAnsi="Palatino Linotype" w:cs="Times New Roman"/>
          <w:sz w:val="24"/>
          <w:szCs w:val="24"/>
        </w:rPr>
        <w:t>women</w:t>
      </w:r>
      <w:r w:rsidR="006A2F24" w:rsidRPr="005D75EB">
        <w:rPr>
          <w:rFonts w:ascii="Palatino Linotype" w:hAnsi="Palatino Linotype" w:cs="Times New Roman"/>
          <w:sz w:val="24"/>
          <w:szCs w:val="24"/>
        </w:rPr>
        <w:t xml:space="preserve"> and</w:t>
      </w:r>
      <w:r w:rsidRPr="005D75EB">
        <w:rPr>
          <w:rFonts w:ascii="Palatino Linotype" w:hAnsi="Palatino Linotype" w:cs="Times New Roman"/>
          <w:sz w:val="24"/>
          <w:szCs w:val="24"/>
        </w:rPr>
        <w:t xml:space="preserve"> </w:t>
      </w:r>
      <w:r w:rsidR="00382E5C" w:rsidRPr="005D75EB">
        <w:rPr>
          <w:rFonts w:ascii="Palatino Linotype" w:hAnsi="Palatino Linotype" w:cs="Times New Roman"/>
          <w:sz w:val="24"/>
          <w:szCs w:val="24"/>
        </w:rPr>
        <w:t>older persons</w:t>
      </w:r>
      <w:r w:rsidRPr="005D75EB">
        <w:rPr>
          <w:rFonts w:ascii="Palatino Linotype" w:hAnsi="Palatino Linotype" w:cs="Times New Roman"/>
          <w:sz w:val="24"/>
          <w:szCs w:val="24"/>
        </w:rPr>
        <w:t xml:space="preserve">. </w:t>
      </w:r>
    </w:p>
    <w:p w14:paraId="0653D489" w14:textId="393EC2D0" w:rsidR="009B0E45" w:rsidRPr="005D6811" w:rsidRDefault="00C079C5" w:rsidP="005D75EB">
      <w:pPr>
        <w:spacing w:line="480" w:lineRule="auto"/>
        <w:jc w:val="both"/>
        <w:rPr>
          <w:rFonts w:ascii="Palatino Linotype" w:hAnsi="Palatino Linotype" w:cs="Times New Roman"/>
          <w:b/>
          <w:i/>
          <w:sz w:val="24"/>
          <w:szCs w:val="24"/>
        </w:rPr>
      </w:pPr>
      <w:r w:rsidRPr="005D6811">
        <w:rPr>
          <w:rFonts w:ascii="Palatino Linotype" w:hAnsi="Palatino Linotype" w:cs="Times New Roman"/>
          <w:b/>
          <w:i/>
          <w:sz w:val="24"/>
          <w:szCs w:val="24"/>
        </w:rPr>
        <w:t>S</w:t>
      </w:r>
      <w:r w:rsidR="00526E97" w:rsidRPr="005D6811">
        <w:rPr>
          <w:rFonts w:ascii="Palatino Linotype" w:hAnsi="Palatino Linotype" w:cs="Times New Roman"/>
          <w:b/>
          <w:i/>
          <w:sz w:val="24"/>
          <w:szCs w:val="24"/>
        </w:rPr>
        <w:t>ix</w:t>
      </w:r>
      <w:r w:rsidR="009B0E45" w:rsidRPr="005D6811">
        <w:rPr>
          <w:rFonts w:ascii="Palatino Linotype" w:hAnsi="Palatino Linotype" w:cs="Times New Roman"/>
          <w:b/>
          <w:i/>
          <w:sz w:val="24"/>
          <w:szCs w:val="24"/>
        </w:rPr>
        <w:t xml:space="preserve"> essential features of disability human rights clinics</w:t>
      </w:r>
    </w:p>
    <w:p w14:paraId="590D50DA" w14:textId="31E669B3" w:rsidR="009B0E45" w:rsidRPr="005D6811" w:rsidRDefault="009B0E45" w:rsidP="005D75EB">
      <w:pPr>
        <w:pStyle w:val="ListParagraph"/>
        <w:numPr>
          <w:ilvl w:val="0"/>
          <w:numId w:val="3"/>
        </w:numPr>
        <w:spacing w:line="480" w:lineRule="auto"/>
        <w:jc w:val="both"/>
        <w:rPr>
          <w:rFonts w:ascii="Palatino Linotype" w:hAnsi="Palatino Linotype" w:cs="Times New Roman"/>
          <w:b/>
          <w:i/>
          <w:sz w:val="24"/>
          <w:szCs w:val="24"/>
        </w:rPr>
      </w:pPr>
      <w:r w:rsidRPr="005D6811">
        <w:rPr>
          <w:rFonts w:ascii="Palatino Linotype" w:hAnsi="Palatino Linotype" w:cs="Times New Roman"/>
          <w:b/>
          <w:i/>
          <w:sz w:val="24"/>
          <w:szCs w:val="24"/>
        </w:rPr>
        <w:t>Conduct projects that share the objectives of the CRPD</w:t>
      </w:r>
    </w:p>
    <w:p w14:paraId="6EE3A72A" w14:textId="36A1E37C" w:rsidR="006E7BF6" w:rsidRPr="005D75EB" w:rsidRDefault="000426DC" w:rsidP="005D75EB">
      <w:pPr>
        <w:widowControl w:val="0"/>
        <w:autoSpaceDE w:val="0"/>
        <w:autoSpaceDN w:val="0"/>
        <w:adjustRightInd w:val="0"/>
        <w:spacing w:line="480" w:lineRule="auto"/>
        <w:jc w:val="both"/>
        <w:rPr>
          <w:rFonts w:ascii="Palatino Linotype" w:hAnsi="Palatino Linotype" w:cs="Times New Roman"/>
          <w:sz w:val="24"/>
          <w:szCs w:val="24"/>
        </w:rPr>
      </w:pPr>
      <w:r w:rsidRPr="005D75EB">
        <w:rPr>
          <w:rFonts w:ascii="Palatino Linotype" w:hAnsi="Palatino Linotype" w:cs="Times New Roman"/>
          <w:sz w:val="24"/>
          <w:szCs w:val="24"/>
        </w:rPr>
        <w:t>Disability human rights clinics</w:t>
      </w:r>
      <w:r w:rsidR="006A2E82" w:rsidRPr="005D75EB">
        <w:rPr>
          <w:rFonts w:ascii="Palatino Linotype" w:hAnsi="Palatino Linotype" w:cs="Times New Roman"/>
          <w:sz w:val="24"/>
          <w:szCs w:val="24"/>
        </w:rPr>
        <w:t xml:space="preserve"> should</w:t>
      </w:r>
      <w:r w:rsidRPr="005D75EB">
        <w:rPr>
          <w:rFonts w:ascii="Palatino Linotype" w:hAnsi="Palatino Linotype" w:cs="Times New Roman"/>
          <w:sz w:val="24"/>
          <w:szCs w:val="24"/>
        </w:rPr>
        <w:t xml:space="preserve"> have an </w:t>
      </w:r>
      <w:r w:rsidRPr="005D75EB">
        <w:rPr>
          <w:rStyle w:val="Absatz-Standardschriftart1"/>
          <w:rFonts w:ascii="Palatino Linotype" w:hAnsi="Palatino Linotype" w:cs="Times New Roman"/>
          <w:sz w:val="24"/>
          <w:szCs w:val="24"/>
          <w:lang w:val="en-US"/>
        </w:rPr>
        <w:t>overarching objective of improving</w:t>
      </w:r>
      <w:r w:rsidR="009B0E45" w:rsidRPr="005D75EB">
        <w:rPr>
          <w:rStyle w:val="Absatz-Standardschriftart1"/>
          <w:rFonts w:ascii="Palatino Linotype" w:hAnsi="Palatino Linotype" w:cs="Times New Roman"/>
          <w:sz w:val="24"/>
          <w:szCs w:val="24"/>
          <w:lang w:val="en-US"/>
        </w:rPr>
        <w:t xml:space="preserve"> the human rights situation of persons with disabilities </w:t>
      </w:r>
      <w:r w:rsidRPr="005D75EB">
        <w:rPr>
          <w:rStyle w:val="Absatz-Standardschriftart1"/>
          <w:rFonts w:ascii="Palatino Linotype" w:hAnsi="Palatino Linotype" w:cs="Times New Roman"/>
          <w:sz w:val="24"/>
          <w:szCs w:val="24"/>
          <w:lang w:val="en-US"/>
        </w:rPr>
        <w:t>through</w:t>
      </w:r>
      <w:r w:rsidR="00F62ABF" w:rsidRPr="005D75EB">
        <w:rPr>
          <w:rStyle w:val="Absatz-Standardschriftart1"/>
          <w:rFonts w:ascii="Palatino Linotype" w:hAnsi="Palatino Linotype" w:cs="Times New Roman"/>
          <w:sz w:val="24"/>
          <w:szCs w:val="24"/>
          <w:lang w:val="en-US"/>
        </w:rPr>
        <w:t xml:space="preserve"> legal analysis,</w:t>
      </w:r>
      <w:r w:rsidRPr="005D75EB">
        <w:rPr>
          <w:rStyle w:val="Absatz-Standardschriftart1"/>
          <w:rFonts w:ascii="Palatino Linotype" w:hAnsi="Palatino Linotype" w:cs="Times New Roman"/>
          <w:sz w:val="24"/>
          <w:szCs w:val="24"/>
          <w:lang w:val="en-US"/>
        </w:rPr>
        <w:t xml:space="preserve"> research and/or </w:t>
      </w:r>
      <w:r w:rsidR="00F62ABF" w:rsidRPr="005D75EB">
        <w:rPr>
          <w:rStyle w:val="Absatz-Standardschriftart1"/>
          <w:rFonts w:ascii="Palatino Linotype" w:hAnsi="Palatino Linotype" w:cs="Times New Roman"/>
          <w:sz w:val="24"/>
          <w:szCs w:val="24"/>
          <w:lang w:val="en-US"/>
        </w:rPr>
        <w:t xml:space="preserve">investigation of the </w:t>
      </w:r>
      <w:r w:rsidR="009B0E45" w:rsidRPr="005D75EB">
        <w:rPr>
          <w:rStyle w:val="Absatz-Standardschriftart1"/>
          <w:rFonts w:ascii="Palatino Linotype" w:hAnsi="Palatino Linotype" w:cs="Times New Roman"/>
          <w:sz w:val="24"/>
          <w:szCs w:val="24"/>
          <w:lang w:val="en-US"/>
        </w:rPr>
        <w:t xml:space="preserve">legal, </w:t>
      </w:r>
      <w:r w:rsidR="000200DF" w:rsidRPr="005D75EB">
        <w:rPr>
          <w:rStyle w:val="Absatz-Standardschriftart1"/>
          <w:rFonts w:ascii="Palatino Linotype" w:hAnsi="Palatino Linotype" w:cs="Times New Roman"/>
          <w:sz w:val="24"/>
          <w:szCs w:val="24"/>
          <w:lang w:val="en-US"/>
        </w:rPr>
        <w:t>political and social barriers to</w:t>
      </w:r>
      <w:r w:rsidR="009B0E45" w:rsidRPr="005D75EB">
        <w:rPr>
          <w:rStyle w:val="Absatz-Standardschriftart1"/>
          <w:rFonts w:ascii="Palatino Linotype" w:hAnsi="Palatino Linotype" w:cs="Times New Roman"/>
          <w:sz w:val="24"/>
          <w:szCs w:val="24"/>
          <w:lang w:val="en-US"/>
        </w:rPr>
        <w:t xml:space="preserve"> the realization of the rights enshrined in the CRPD. </w:t>
      </w:r>
      <w:r w:rsidR="00EA4A09" w:rsidRPr="005D75EB">
        <w:rPr>
          <w:rFonts w:ascii="Palatino Linotype" w:hAnsi="Palatino Linotype" w:cs="Times New Roman"/>
          <w:color w:val="000000" w:themeColor="text1"/>
          <w:sz w:val="24"/>
          <w:szCs w:val="24"/>
        </w:rPr>
        <w:t>U</w:t>
      </w:r>
      <w:r w:rsidR="00EA4A09" w:rsidRPr="005D75EB">
        <w:rPr>
          <w:rFonts w:ascii="Palatino Linotype" w:hAnsi="Palatino Linotype" w:cs="Times New Roman"/>
          <w:sz w:val="24"/>
          <w:szCs w:val="24"/>
        </w:rPr>
        <w:t>sing the CRPD as a framework for disability human rights clinics ensures that the research being conducted is underpinned by a set of principles and values that have been determined by the disability community itself. This places the clinic in the best position to co-produce research that mee</w:t>
      </w:r>
      <w:r w:rsidR="00A05496" w:rsidRPr="005D75EB">
        <w:rPr>
          <w:rFonts w:ascii="Palatino Linotype" w:hAnsi="Palatino Linotype" w:cs="Times New Roman"/>
          <w:sz w:val="24"/>
          <w:szCs w:val="24"/>
        </w:rPr>
        <w:t>ts the needs of that community.</w:t>
      </w:r>
    </w:p>
    <w:p w14:paraId="658933AE" w14:textId="3FD0D541" w:rsidR="00FA234B" w:rsidRPr="005D75EB" w:rsidRDefault="00FA234B" w:rsidP="005D75EB">
      <w:pPr>
        <w:spacing w:line="480" w:lineRule="auto"/>
        <w:jc w:val="both"/>
        <w:rPr>
          <w:rFonts w:ascii="Palatino Linotype" w:hAnsi="Palatino Linotype" w:cs="Times New Roman"/>
          <w:color w:val="000000" w:themeColor="text1"/>
          <w:sz w:val="24"/>
          <w:szCs w:val="24"/>
        </w:rPr>
      </w:pPr>
      <w:r w:rsidRPr="005D75EB">
        <w:rPr>
          <w:rFonts w:ascii="Palatino Linotype" w:hAnsi="Palatino Linotype" w:cs="Times New Roman"/>
          <w:color w:val="000000" w:themeColor="text1"/>
          <w:sz w:val="24"/>
          <w:szCs w:val="24"/>
        </w:rPr>
        <w:t xml:space="preserve">The DHRC operates under the human rights-based model. It uses the CRPD as a framework for its curriculum as well as a basis for the legal analysis within each </w:t>
      </w:r>
      <w:r w:rsidRPr="005D75EB">
        <w:rPr>
          <w:rFonts w:ascii="Palatino Linotype" w:hAnsi="Palatino Linotype" w:cs="Times New Roman"/>
          <w:color w:val="000000" w:themeColor="text1"/>
          <w:sz w:val="24"/>
          <w:szCs w:val="24"/>
        </w:rPr>
        <w:lastRenderedPageBreak/>
        <w:t xml:space="preserve">clinical project. Within that framework, it accepts and adopts a social model of disability that recognises that social barriers and law reform can be altered to meet the needs of </w:t>
      </w:r>
      <w:r w:rsidR="0054300A" w:rsidRPr="005D75EB">
        <w:rPr>
          <w:rFonts w:ascii="Palatino Linotype" w:hAnsi="Palatino Linotype" w:cs="Times New Roman"/>
          <w:color w:val="000000" w:themeColor="text1"/>
          <w:sz w:val="24"/>
          <w:szCs w:val="24"/>
        </w:rPr>
        <w:t>persons</w:t>
      </w:r>
      <w:r w:rsidRPr="005D75EB">
        <w:rPr>
          <w:rFonts w:ascii="Palatino Linotype" w:hAnsi="Palatino Linotype" w:cs="Times New Roman"/>
          <w:color w:val="000000" w:themeColor="text1"/>
          <w:sz w:val="24"/>
          <w:szCs w:val="24"/>
        </w:rPr>
        <w:t xml:space="preserve"> with disabilities. The DHRC rejects the concept that disability is a burden or that it is deficient in the individual. It also rejects the notion that disability is something that inherently needs to be ‘cured.’ Instead, in following with the CRPD and the social model, the DHRC celebrates diversity and strives to remove socially constructed barriers to full participation and equal rights for </w:t>
      </w:r>
      <w:r w:rsidR="0054300A" w:rsidRPr="005D75EB">
        <w:rPr>
          <w:rFonts w:ascii="Palatino Linotype" w:hAnsi="Palatino Linotype" w:cs="Times New Roman"/>
          <w:color w:val="000000" w:themeColor="text1"/>
          <w:sz w:val="24"/>
          <w:szCs w:val="24"/>
        </w:rPr>
        <w:t>persons</w:t>
      </w:r>
      <w:r w:rsidRPr="005D75EB">
        <w:rPr>
          <w:rFonts w:ascii="Palatino Linotype" w:hAnsi="Palatino Linotype" w:cs="Times New Roman"/>
          <w:color w:val="000000" w:themeColor="text1"/>
          <w:sz w:val="24"/>
          <w:szCs w:val="24"/>
        </w:rPr>
        <w:t xml:space="preserve"> with disabilit</w:t>
      </w:r>
      <w:r w:rsidR="0054300A" w:rsidRPr="005D75EB">
        <w:rPr>
          <w:rFonts w:ascii="Palatino Linotype" w:hAnsi="Palatino Linotype" w:cs="Times New Roman"/>
          <w:color w:val="000000" w:themeColor="text1"/>
          <w:sz w:val="24"/>
          <w:szCs w:val="24"/>
        </w:rPr>
        <w:t>ies</w:t>
      </w:r>
      <w:r w:rsidRPr="005D75EB">
        <w:rPr>
          <w:rFonts w:ascii="Palatino Linotype" w:hAnsi="Palatino Linotype" w:cs="Times New Roman"/>
          <w:color w:val="000000" w:themeColor="text1"/>
          <w:sz w:val="24"/>
          <w:szCs w:val="24"/>
        </w:rPr>
        <w:t xml:space="preserve">. </w:t>
      </w:r>
    </w:p>
    <w:p w14:paraId="2E90ECA5" w14:textId="409D6133" w:rsidR="002F551D" w:rsidRPr="005D75EB" w:rsidRDefault="009B0E45" w:rsidP="005D75EB">
      <w:pPr>
        <w:spacing w:line="480" w:lineRule="auto"/>
        <w:jc w:val="both"/>
        <w:rPr>
          <w:rStyle w:val="Absatz-Standardschriftart1"/>
          <w:rFonts w:ascii="Palatino Linotype" w:hAnsi="Palatino Linotype" w:cs="Times New Roman"/>
          <w:sz w:val="24"/>
          <w:szCs w:val="24"/>
          <w:lang w:val="en-US"/>
        </w:rPr>
      </w:pPr>
      <w:r w:rsidRPr="005D75EB">
        <w:rPr>
          <w:rStyle w:val="Absatz-Standardschriftart1"/>
          <w:rFonts w:ascii="Palatino Linotype" w:hAnsi="Palatino Linotype" w:cs="Times New Roman"/>
          <w:sz w:val="24"/>
          <w:szCs w:val="24"/>
          <w:lang w:val="en-US"/>
        </w:rPr>
        <w:t>Projects</w:t>
      </w:r>
      <w:r w:rsidR="00060652" w:rsidRPr="005D75EB">
        <w:rPr>
          <w:rStyle w:val="Absatz-Standardschriftart1"/>
          <w:rFonts w:ascii="Palatino Linotype" w:hAnsi="Palatino Linotype" w:cs="Times New Roman"/>
          <w:sz w:val="24"/>
          <w:szCs w:val="24"/>
          <w:lang w:val="en-US"/>
        </w:rPr>
        <w:t xml:space="preserve"> may</w:t>
      </w:r>
      <w:r w:rsidRPr="005D75EB">
        <w:rPr>
          <w:rStyle w:val="Absatz-Standardschriftart1"/>
          <w:rFonts w:ascii="Palatino Linotype" w:hAnsi="Palatino Linotype" w:cs="Times New Roman"/>
          <w:sz w:val="24"/>
          <w:szCs w:val="24"/>
          <w:lang w:val="en-US"/>
        </w:rPr>
        <w:t xml:space="preserve"> encompass ‘traditional’ legal research,</w:t>
      </w:r>
      <w:r w:rsidR="00060652" w:rsidRPr="005D75EB">
        <w:rPr>
          <w:rStyle w:val="Absatz-Standardschriftart1"/>
          <w:rFonts w:ascii="Palatino Linotype" w:hAnsi="Palatino Linotype" w:cs="Times New Roman"/>
          <w:sz w:val="24"/>
          <w:szCs w:val="24"/>
          <w:lang w:val="en-US"/>
        </w:rPr>
        <w:t xml:space="preserve"> such as</w:t>
      </w:r>
      <w:r w:rsidRPr="005D75EB">
        <w:rPr>
          <w:rStyle w:val="Absatz-Standardschriftart1"/>
          <w:rFonts w:ascii="Palatino Linotype" w:hAnsi="Palatino Linotype" w:cs="Times New Roman"/>
          <w:sz w:val="24"/>
          <w:szCs w:val="24"/>
          <w:lang w:val="en-US"/>
        </w:rPr>
        <w:t xml:space="preserve"> the preparation of legal submissions, amicus brief</w:t>
      </w:r>
      <w:r w:rsidR="002A5846" w:rsidRPr="005D75EB">
        <w:rPr>
          <w:rStyle w:val="Absatz-Standardschriftart1"/>
          <w:rFonts w:ascii="Palatino Linotype" w:hAnsi="Palatino Linotype" w:cs="Times New Roman"/>
          <w:sz w:val="24"/>
          <w:szCs w:val="24"/>
          <w:lang w:val="en-US"/>
        </w:rPr>
        <w:t>s</w:t>
      </w:r>
      <w:r w:rsidRPr="005D75EB">
        <w:rPr>
          <w:rStyle w:val="Absatz-Standardschriftart1"/>
          <w:rFonts w:ascii="Palatino Linotype" w:hAnsi="Palatino Linotype" w:cs="Times New Roman"/>
          <w:sz w:val="24"/>
          <w:szCs w:val="24"/>
          <w:lang w:val="en-US"/>
        </w:rPr>
        <w:t xml:space="preserve"> or information for public interest litigation, but also</w:t>
      </w:r>
      <w:r w:rsidR="0031100D" w:rsidRPr="005D75EB">
        <w:rPr>
          <w:rStyle w:val="Absatz-Standardschriftart1"/>
          <w:rFonts w:ascii="Palatino Linotype" w:hAnsi="Palatino Linotype" w:cs="Times New Roman"/>
          <w:sz w:val="24"/>
          <w:szCs w:val="24"/>
          <w:lang w:val="en-US"/>
        </w:rPr>
        <w:t xml:space="preserve"> more advocacy-focused</w:t>
      </w:r>
      <w:r w:rsidRPr="005D75EB">
        <w:rPr>
          <w:rStyle w:val="Absatz-Standardschriftart1"/>
          <w:rFonts w:ascii="Palatino Linotype" w:hAnsi="Palatino Linotype" w:cs="Times New Roman"/>
          <w:sz w:val="24"/>
          <w:szCs w:val="24"/>
          <w:lang w:val="en-US"/>
        </w:rPr>
        <w:t xml:space="preserve"> </w:t>
      </w:r>
      <w:proofErr w:type="spellStart"/>
      <w:r w:rsidRPr="005D75EB">
        <w:rPr>
          <w:rStyle w:val="Absatz-Standardschriftart1"/>
          <w:rFonts w:ascii="Palatino Linotype" w:hAnsi="Palatino Linotype" w:cs="Times New Roman"/>
          <w:sz w:val="24"/>
          <w:szCs w:val="24"/>
          <w:lang w:val="en-US"/>
        </w:rPr>
        <w:t>endeavo</w:t>
      </w:r>
      <w:r w:rsidR="0031100D" w:rsidRPr="005D75EB">
        <w:rPr>
          <w:rStyle w:val="Absatz-Standardschriftart1"/>
          <w:rFonts w:ascii="Palatino Linotype" w:hAnsi="Palatino Linotype" w:cs="Times New Roman"/>
          <w:sz w:val="24"/>
          <w:szCs w:val="24"/>
          <w:lang w:val="en-US"/>
        </w:rPr>
        <w:t>u</w:t>
      </w:r>
      <w:r w:rsidRPr="005D75EB">
        <w:rPr>
          <w:rStyle w:val="Absatz-Standardschriftart1"/>
          <w:rFonts w:ascii="Palatino Linotype" w:hAnsi="Palatino Linotype" w:cs="Times New Roman"/>
          <w:sz w:val="24"/>
          <w:szCs w:val="24"/>
          <w:lang w:val="en-US"/>
        </w:rPr>
        <w:t>rs</w:t>
      </w:r>
      <w:proofErr w:type="spellEnd"/>
      <w:r w:rsidRPr="005D75EB">
        <w:rPr>
          <w:rStyle w:val="Absatz-Standardschriftart1"/>
          <w:rFonts w:ascii="Palatino Linotype" w:hAnsi="Palatino Linotype" w:cs="Times New Roman"/>
          <w:sz w:val="24"/>
          <w:szCs w:val="24"/>
          <w:lang w:val="en-US"/>
        </w:rPr>
        <w:t xml:space="preserve"> such as assisting </w:t>
      </w:r>
      <w:r w:rsidR="0031100D" w:rsidRPr="005D75EB">
        <w:rPr>
          <w:rStyle w:val="Absatz-Standardschriftart1"/>
          <w:rFonts w:ascii="Palatino Linotype" w:hAnsi="Palatino Linotype" w:cs="Times New Roman"/>
          <w:sz w:val="24"/>
          <w:szCs w:val="24"/>
          <w:lang w:val="en-US"/>
        </w:rPr>
        <w:t xml:space="preserve">non-profit </w:t>
      </w:r>
      <w:proofErr w:type="spellStart"/>
      <w:r w:rsidR="0031100D" w:rsidRPr="005D75EB">
        <w:rPr>
          <w:rStyle w:val="Absatz-Standardschriftart1"/>
          <w:rFonts w:ascii="Palatino Linotype" w:hAnsi="Palatino Linotype" w:cs="Times New Roman"/>
          <w:sz w:val="24"/>
          <w:szCs w:val="24"/>
          <w:lang w:val="en-US"/>
        </w:rPr>
        <w:t>organisations</w:t>
      </w:r>
      <w:proofErr w:type="spellEnd"/>
      <w:r w:rsidR="0031100D" w:rsidRPr="005D75EB">
        <w:rPr>
          <w:rStyle w:val="Absatz-Standardschriftart1"/>
          <w:rFonts w:ascii="Palatino Linotype" w:hAnsi="Palatino Linotype" w:cs="Times New Roman"/>
          <w:sz w:val="24"/>
          <w:szCs w:val="24"/>
          <w:lang w:val="en-US"/>
        </w:rPr>
        <w:t xml:space="preserve"> to draft </w:t>
      </w:r>
      <w:r w:rsidRPr="005D75EB">
        <w:rPr>
          <w:rStyle w:val="Absatz-Standardschriftart1"/>
          <w:rFonts w:ascii="Palatino Linotype" w:hAnsi="Palatino Linotype" w:cs="Times New Roman"/>
          <w:sz w:val="24"/>
          <w:szCs w:val="24"/>
          <w:lang w:val="en-US"/>
        </w:rPr>
        <w:t>shadow report</w:t>
      </w:r>
      <w:r w:rsidR="0031100D" w:rsidRPr="005D75EB">
        <w:rPr>
          <w:rStyle w:val="Absatz-Standardschriftart1"/>
          <w:rFonts w:ascii="Palatino Linotype" w:hAnsi="Palatino Linotype" w:cs="Times New Roman"/>
          <w:sz w:val="24"/>
          <w:szCs w:val="24"/>
          <w:lang w:val="en-US"/>
        </w:rPr>
        <w:t>s</w:t>
      </w:r>
      <w:r w:rsidRPr="005D75EB">
        <w:rPr>
          <w:rStyle w:val="Absatz-Standardschriftart1"/>
          <w:rFonts w:ascii="Palatino Linotype" w:hAnsi="Palatino Linotype" w:cs="Times New Roman"/>
          <w:sz w:val="24"/>
          <w:szCs w:val="24"/>
          <w:lang w:val="en-US"/>
        </w:rPr>
        <w:t xml:space="preserve"> </w:t>
      </w:r>
      <w:r w:rsidR="0031100D" w:rsidRPr="005D75EB">
        <w:rPr>
          <w:rStyle w:val="Absatz-Standardschriftart1"/>
          <w:rFonts w:ascii="Palatino Linotype" w:hAnsi="Palatino Linotype" w:cs="Times New Roman"/>
          <w:sz w:val="24"/>
          <w:szCs w:val="24"/>
          <w:lang w:val="en-US"/>
        </w:rPr>
        <w:t>(which offer an alternative perspective to official State reporting) to the CRPD</w:t>
      </w:r>
      <w:r w:rsidR="00C427DB" w:rsidRPr="005D75EB">
        <w:rPr>
          <w:rStyle w:val="Absatz-Standardschriftart1"/>
          <w:rFonts w:ascii="Palatino Linotype" w:hAnsi="Palatino Linotype" w:cs="Times New Roman"/>
          <w:sz w:val="24"/>
          <w:szCs w:val="24"/>
          <w:lang w:val="en-US"/>
        </w:rPr>
        <w:t xml:space="preserve"> monitoring body, the Committee on the Rights of Persons with Disabilities</w:t>
      </w:r>
      <w:r w:rsidR="0031100D" w:rsidRPr="005D75EB">
        <w:rPr>
          <w:rStyle w:val="Absatz-Standardschriftart1"/>
          <w:rFonts w:ascii="Palatino Linotype" w:hAnsi="Palatino Linotype" w:cs="Times New Roman"/>
          <w:sz w:val="24"/>
          <w:szCs w:val="24"/>
          <w:lang w:val="en-US"/>
        </w:rPr>
        <w:t xml:space="preserve">, </w:t>
      </w:r>
      <w:r w:rsidRPr="005D75EB">
        <w:rPr>
          <w:rStyle w:val="Absatz-Standardschriftart1"/>
          <w:rFonts w:ascii="Palatino Linotype" w:hAnsi="Palatino Linotype" w:cs="Times New Roman"/>
          <w:sz w:val="24"/>
          <w:szCs w:val="24"/>
          <w:lang w:val="en-US"/>
        </w:rPr>
        <w:t>or the development of training material</w:t>
      </w:r>
      <w:r w:rsidR="00DE37A0" w:rsidRPr="005D75EB">
        <w:rPr>
          <w:rStyle w:val="Absatz-Standardschriftart1"/>
          <w:rFonts w:ascii="Palatino Linotype" w:hAnsi="Palatino Linotype" w:cs="Times New Roman"/>
          <w:sz w:val="24"/>
          <w:szCs w:val="24"/>
          <w:lang w:val="en-US"/>
        </w:rPr>
        <w:t>s</w:t>
      </w:r>
      <w:r w:rsidRPr="005D75EB">
        <w:rPr>
          <w:rStyle w:val="Absatz-Standardschriftart1"/>
          <w:rFonts w:ascii="Palatino Linotype" w:hAnsi="Palatino Linotype" w:cs="Times New Roman"/>
          <w:sz w:val="24"/>
          <w:szCs w:val="24"/>
          <w:lang w:val="en-US"/>
        </w:rPr>
        <w:t xml:space="preserve"> </w:t>
      </w:r>
      <w:r w:rsidR="00DE37A0" w:rsidRPr="005D75EB">
        <w:rPr>
          <w:rStyle w:val="Absatz-Standardschriftart1"/>
          <w:rFonts w:ascii="Palatino Linotype" w:hAnsi="Palatino Linotype" w:cs="Times New Roman"/>
          <w:sz w:val="24"/>
          <w:szCs w:val="24"/>
          <w:lang w:val="en-US"/>
        </w:rPr>
        <w:t>for self-advocates</w:t>
      </w:r>
      <w:r w:rsidRPr="005D75EB">
        <w:rPr>
          <w:rStyle w:val="Absatz-Standardschriftart1"/>
          <w:rFonts w:ascii="Palatino Linotype" w:hAnsi="Palatino Linotype" w:cs="Times New Roman"/>
          <w:sz w:val="24"/>
          <w:szCs w:val="24"/>
          <w:lang w:val="en-US"/>
        </w:rPr>
        <w:t xml:space="preserve"> and</w:t>
      </w:r>
      <w:r w:rsidR="00DE37A0" w:rsidRPr="005D75EB">
        <w:rPr>
          <w:rStyle w:val="Absatz-Standardschriftart1"/>
          <w:rFonts w:ascii="Palatino Linotype" w:hAnsi="Palatino Linotype" w:cs="Times New Roman"/>
          <w:sz w:val="24"/>
          <w:szCs w:val="24"/>
          <w:lang w:val="en-US"/>
        </w:rPr>
        <w:t xml:space="preserve"> other stakeholders (like </w:t>
      </w:r>
      <w:r w:rsidRPr="005D75EB">
        <w:rPr>
          <w:rStyle w:val="Absatz-Standardschriftart1"/>
          <w:rFonts w:ascii="Palatino Linotype" w:hAnsi="Palatino Linotype" w:cs="Times New Roman"/>
          <w:sz w:val="24"/>
          <w:szCs w:val="24"/>
          <w:lang w:val="en-US"/>
        </w:rPr>
        <w:t>judges</w:t>
      </w:r>
      <w:r w:rsidR="00DE37A0" w:rsidRPr="005D75EB">
        <w:rPr>
          <w:rStyle w:val="Absatz-Standardschriftart1"/>
          <w:rFonts w:ascii="Palatino Linotype" w:hAnsi="Palatino Linotype" w:cs="Times New Roman"/>
          <w:sz w:val="24"/>
          <w:szCs w:val="24"/>
          <w:lang w:val="en-US"/>
        </w:rPr>
        <w:t xml:space="preserve"> and</w:t>
      </w:r>
      <w:r w:rsidRPr="005D75EB">
        <w:rPr>
          <w:rStyle w:val="Absatz-Standardschriftart1"/>
          <w:rFonts w:ascii="Palatino Linotype" w:hAnsi="Palatino Linotype" w:cs="Times New Roman"/>
          <w:sz w:val="24"/>
          <w:szCs w:val="24"/>
          <w:lang w:val="en-US"/>
        </w:rPr>
        <w:t xml:space="preserve"> disability service providers) on the legal implications of the CRPD. </w:t>
      </w:r>
      <w:r w:rsidR="00F56E40" w:rsidRPr="005D75EB">
        <w:rPr>
          <w:rStyle w:val="Absatz-Standardschriftart1"/>
          <w:rFonts w:ascii="Palatino Linotype" w:hAnsi="Palatino Linotype" w:cs="Times New Roman"/>
          <w:sz w:val="24"/>
          <w:szCs w:val="24"/>
          <w:lang w:val="en-US"/>
        </w:rPr>
        <w:t xml:space="preserve">For example, projects completed by DHRC students have included research for strategic litigation being contemplated by </w:t>
      </w:r>
      <w:r w:rsidR="00D16E5B" w:rsidRPr="005D75EB">
        <w:rPr>
          <w:rStyle w:val="Absatz-Standardschriftart1"/>
          <w:rFonts w:ascii="Palatino Linotype" w:hAnsi="Palatino Linotype" w:cs="Times New Roman"/>
          <w:sz w:val="24"/>
          <w:szCs w:val="24"/>
          <w:lang w:val="en-US"/>
        </w:rPr>
        <w:t>the Australian Centre for Disability Law, a Specialist Communi</w:t>
      </w:r>
      <w:r w:rsidR="0004202E" w:rsidRPr="005D75EB">
        <w:rPr>
          <w:rStyle w:val="Absatz-Standardschriftart1"/>
          <w:rFonts w:ascii="Palatino Linotype" w:hAnsi="Palatino Linotype" w:cs="Times New Roman"/>
          <w:sz w:val="24"/>
          <w:szCs w:val="24"/>
          <w:lang w:val="en-US"/>
        </w:rPr>
        <w:t>ty Legal Centre based in Sydney</w:t>
      </w:r>
      <w:r w:rsidR="00E82E63" w:rsidRPr="005D75EB">
        <w:rPr>
          <w:rStyle w:val="Absatz-Standardschriftart1"/>
          <w:rFonts w:ascii="Palatino Linotype" w:hAnsi="Palatino Linotype" w:cs="Times New Roman"/>
          <w:sz w:val="24"/>
          <w:szCs w:val="24"/>
          <w:lang w:val="en-US"/>
        </w:rPr>
        <w:t>,</w:t>
      </w:r>
      <w:r w:rsidR="0004202E" w:rsidRPr="005D75EB">
        <w:rPr>
          <w:rStyle w:val="Absatz-Standardschriftart1"/>
          <w:rFonts w:ascii="Palatino Linotype" w:hAnsi="Palatino Linotype" w:cs="Times New Roman"/>
          <w:sz w:val="24"/>
          <w:szCs w:val="24"/>
          <w:lang w:val="en-US"/>
        </w:rPr>
        <w:t xml:space="preserve"> and </w:t>
      </w:r>
      <w:r w:rsidR="001013C1" w:rsidRPr="005D75EB">
        <w:rPr>
          <w:rStyle w:val="Absatz-Standardschriftart1"/>
          <w:rFonts w:ascii="Palatino Linotype" w:hAnsi="Palatino Linotype" w:cs="Times New Roman"/>
          <w:sz w:val="24"/>
          <w:szCs w:val="24"/>
          <w:lang w:val="en-US"/>
        </w:rPr>
        <w:t>contributing</w:t>
      </w:r>
      <w:r w:rsidR="00724016" w:rsidRPr="005D75EB">
        <w:rPr>
          <w:rStyle w:val="Absatz-Standardschriftart1"/>
          <w:rFonts w:ascii="Palatino Linotype" w:hAnsi="Palatino Linotype" w:cs="Times New Roman"/>
          <w:sz w:val="24"/>
          <w:szCs w:val="24"/>
          <w:lang w:val="en-US"/>
        </w:rPr>
        <w:t xml:space="preserve"> to the</w:t>
      </w:r>
      <w:r w:rsidR="001013C1" w:rsidRPr="005D75EB">
        <w:rPr>
          <w:rStyle w:val="Absatz-Standardschriftart1"/>
          <w:rFonts w:ascii="Palatino Linotype" w:hAnsi="Palatino Linotype" w:cs="Times New Roman"/>
          <w:sz w:val="24"/>
          <w:szCs w:val="24"/>
          <w:lang w:val="en-US"/>
        </w:rPr>
        <w:t xml:space="preserve"> annual</w:t>
      </w:r>
      <w:r w:rsidR="00724016" w:rsidRPr="005D75EB">
        <w:rPr>
          <w:rStyle w:val="Absatz-Standardschriftart1"/>
          <w:rFonts w:ascii="Palatino Linotype" w:hAnsi="Palatino Linotype" w:cs="Times New Roman"/>
          <w:sz w:val="24"/>
          <w:szCs w:val="24"/>
          <w:lang w:val="en-US"/>
        </w:rPr>
        <w:t xml:space="preserve"> report of </w:t>
      </w:r>
      <w:r w:rsidR="00921E16" w:rsidRPr="005D75EB">
        <w:rPr>
          <w:rStyle w:val="Absatz-Standardschriftart1"/>
          <w:rFonts w:ascii="Palatino Linotype" w:hAnsi="Palatino Linotype" w:cs="Times New Roman"/>
          <w:sz w:val="24"/>
          <w:szCs w:val="24"/>
          <w:lang w:val="en-US"/>
        </w:rPr>
        <w:t xml:space="preserve">Catalina </w:t>
      </w:r>
      <w:proofErr w:type="spellStart"/>
      <w:r w:rsidR="00921E16" w:rsidRPr="005D75EB">
        <w:rPr>
          <w:rStyle w:val="Absatz-Standardschriftart1"/>
          <w:rFonts w:ascii="Palatino Linotype" w:hAnsi="Palatino Linotype" w:cs="Times New Roman"/>
          <w:sz w:val="24"/>
          <w:szCs w:val="24"/>
          <w:lang w:val="en-US"/>
        </w:rPr>
        <w:t>Devandas</w:t>
      </w:r>
      <w:proofErr w:type="spellEnd"/>
      <w:r w:rsidR="00921E16" w:rsidRPr="005D75EB">
        <w:rPr>
          <w:rStyle w:val="Absatz-Standardschriftart1"/>
          <w:rFonts w:ascii="Palatino Linotype" w:hAnsi="Palatino Linotype" w:cs="Times New Roman"/>
          <w:sz w:val="24"/>
          <w:szCs w:val="24"/>
          <w:lang w:val="en-US"/>
        </w:rPr>
        <w:t xml:space="preserve"> Aguilar, </w:t>
      </w:r>
      <w:r w:rsidR="00724016" w:rsidRPr="005D75EB">
        <w:rPr>
          <w:rStyle w:val="Absatz-Standardschriftart1"/>
          <w:rFonts w:ascii="Palatino Linotype" w:hAnsi="Palatino Linotype" w:cs="Times New Roman"/>
          <w:sz w:val="24"/>
          <w:szCs w:val="24"/>
          <w:lang w:val="en-US"/>
        </w:rPr>
        <w:t>the United Nations Special Rapporteur on the Rights of Persons with Disabilities</w:t>
      </w:r>
      <w:r w:rsidR="009541A0" w:rsidRPr="005D75EB">
        <w:rPr>
          <w:rStyle w:val="Absatz-Standardschriftart1"/>
          <w:rFonts w:ascii="Palatino Linotype" w:hAnsi="Palatino Linotype" w:cs="Times New Roman"/>
          <w:sz w:val="24"/>
          <w:szCs w:val="24"/>
          <w:lang w:val="en-US"/>
        </w:rPr>
        <w:t>,</w:t>
      </w:r>
      <w:r w:rsidR="00724016" w:rsidRPr="005D75EB">
        <w:rPr>
          <w:rStyle w:val="Absatz-Standardschriftart1"/>
          <w:rFonts w:ascii="Palatino Linotype" w:hAnsi="Palatino Linotype" w:cs="Times New Roman"/>
          <w:sz w:val="24"/>
          <w:szCs w:val="24"/>
          <w:lang w:val="en-US"/>
        </w:rPr>
        <w:t xml:space="preserve"> </w:t>
      </w:r>
      <w:r w:rsidR="001013C1" w:rsidRPr="005D75EB">
        <w:rPr>
          <w:rStyle w:val="Absatz-Standardschriftart1"/>
          <w:rFonts w:ascii="Palatino Linotype" w:hAnsi="Palatino Linotype" w:cs="Times New Roman"/>
          <w:sz w:val="24"/>
          <w:szCs w:val="24"/>
          <w:lang w:val="en-US"/>
        </w:rPr>
        <w:t>to the Human Rights Council and General Assembly.</w:t>
      </w:r>
    </w:p>
    <w:p w14:paraId="08D34F7C" w14:textId="77777777" w:rsidR="008173C5" w:rsidRPr="005D75EB" w:rsidRDefault="00AC00E4" w:rsidP="005D75EB">
      <w:pPr>
        <w:spacing w:line="480" w:lineRule="auto"/>
        <w:jc w:val="both"/>
        <w:rPr>
          <w:rFonts w:ascii="Palatino Linotype" w:hAnsi="Palatino Linotype" w:cs="Times New Roman"/>
          <w:sz w:val="24"/>
          <w:szCs w:val="24"/>
        </w:rPr>
      </w:pPr>
      <w:r w:rsidRPr="005D75EB">
        <w:rPr>
          <w:rFonts w:ascii="Palatino Linotype" w:hAnsi="Palatino Linotype" w:cs="Times New Roman"/>
          <w:sz w:val="24"/>
          <w:szCs w:val="24"/>
        </w:rPr>
        <w:lastRenderedPageBreak/>
        <w:t>Project-based clinics are particularly well-suited to human rights subjects</w:t>
      </w:r>
      <w:bookmarkStart w:id="6" w:name="_Ref508787564"/>
      <w:r w:rsidRPr="005D75EB">
        <w:rPr>
          <w:rStyle w:val="FootnoteReference"/>
          <w:rFonts w:ascii="Palatino Linotype" w:hAnsi="Palatino Linotype" w:cs="Times New Roman"/>
          <w:sz w:val="24"/>
          <w:szCs w:val="24"/>
        </w:rPr>
        <w:footnoteReference w:id="46"/>
      </w:r>
      <w:bookmarkEnd w:id="6"/>
      <w:r w:rsidRPr="005D75EB">
        <w:rPr>
          <w:rFonts w:ascii="Palatino Linotype" w:hAnsi="Palatino Linotype" w:cs="Times New Roman"/>
          <w:sz w:val="24"/>
          <w:szCs w:val="24"/>
        </w:rPr>
        <w:t xml:space="preserve"> because human rights advocacy is often based on reporting, strategic litigation, and submissions to human rights bodies.</w:t>
      </w:r>
      <w:r w:rsidRPr="005D75EB">
        <w:rPr>
          <w:rStyle w:val="FootnoteReference"/>
          <w:rFonts w:ascii="Palatino Linotype" w:hAnsi="Palatino Linotype" w:cs="Times New Roman"/>
          <w:sz w:val="24"/>
          <w:szCs w:val="24"/>
        </w:rPr>
        <w:footnoteReference w:id="47"/>
      </w:r>
      <w:r w:rsidRPr="005D75EB">
        <w:rPr>
          <w:rFonts w:ascii="Palatino Linotype" w:hAnsi="Palatino Linotype" w:cs="Times New Roman"/>
          <w:sz w:val="24"/>
          <w:szCs w:val="24"/>
        </w:rPr>
        <w:t xml:space="preserve"> </w:t>
      </w:r>
      <w:r w:rsidR="008173C5" w:rsidRPr="005D75EB">
        <w:rPr>
          <w:rFonts w:ascii="Palatino Linotype" w:hAnsi="Palatino Linotype" w:cs="Times New Roman"/>
          <w:sz w:val="24"/>
          <w:szCs w:val="24"/>
        </w:rPr>
        <w:t xml:space="preserve">There are </w:t>
      </w:r>
      <w:r w:rsidRPr="005D75EB">
        <w:rPr>
          <w:rFonts w:ascii="Palatino Linotype" w:hAnsi="Palatino Linotype" w:cs="Times New Roman"/>
          <w:sz w:val="24"/>
          <w:szCs w:val="24"/>
        </w:rPr>
        <w:t>other b</w:t>
      </w:r>
      <w:r w:rsidR="008173C5" w:rsidRPr="005D75EB">
        <w:rPr>
          <w:rFonts w:ascii="Palatino Linotype" w:hAnsi="Palatino Linotype" w:cs="Times New Roman"/>
          <w:sz w:val="24"/>
          <w:szCs w:val="24"/>
        </w:rPr>
        <w:t>enef</w:t>
      </w:r>
      <w:r w:rsidRPr="005D75EB">
        <w:rPr>
          <w:rFonts w:ascii="Palatino Linotype" w:hAnsi="Palatino Linotype" w:cs="Times New Roman"/>
          <w:sz w:val="24"/>
          <w:szCs w:val="24"/>
        </w:rPr>
        <w:t>its to project-based clinics. The</w:t>
      </w:r>
      <w:r w:rsidR="000F5B37" w:rsidRPr="005D75EB">
        <w:rPr>
          <w:rFonts w:ascii="Palatino Linotype" w:hAnsi="Palatino Linotype" w:cs="Times New Roman"/>
          <w:sz w:val="24"/>
          <w:szCs w:val="24"/>
        </w:rPr>
        <w:t>y</w:t>
      </w:r>
      <w:r w:rsidR="008173C5" w:rsidRPr="005D75EB">
        <w:rPr>
          <w:rFonts w:ascii="Palatino Linotype" w:hAnsi="Palatino Linotype" w:cs="Times New Roman"/>
          <w:sz w:val="24"/>
          <w:szCs w:val="24"/>
        </w:rPr>
        <w:t xml:space="preserve"> allow the students to work on broader social issues</w:t>
      </w:r>
      <w:r w:rsidR="008173C5" w:rsidRPr="005D75EB">
        <w:rPr>
          <w:rStyle w:val="FootnoteReference"/>
          <w:rFonts w:ascii="Palatino Linotype" w:hAnsi="Palatino Linotype" w:cs="Times New Roman"/>
          <w:sz w:val="24"/>
          <w:szCs w:val="24"/>
        </w:rPr>
        <w:footnoteReference w:id="48"/>
      </w:r>
      <w:r w:rsidR="008173C5" w:rsidRPr="005D75EB">
        <w:rPr>
          <w:rFonts w:ascii="Palatino Linotype" w:hAnsi="Palatino Linotype" w:cs="Times New Roman"/>
          <w:sz w:val="24"/>
          <w:szCs w:val="24"/>
        </w:rPr>
        <w:t xml:space="preserve"> and to play a role in strategic litigation and law and policy reform efforts. There are also practical</w:t>
      </w:r>
      <w:r w:rsidR="00FF166E" w:rsidRPr="005D75EB">
        <w:rPr>
          <w:rFonts w:ascii="Palatino Linotype" w:hAnsi="Palatino Linotype" w:cs="Times New Roman"/>
          <w:sz w:val="24"/>
          <w:szCs w:val="24"/>
        </w:rPr>
        <w:t xml:space="preserve"> advantages of this structure</w:t>
      </w:r>
      <w:r w:rsidR="008173C5" w:rsidRPr="005D75EB">
        <w:rPr>
          <w:rFonts w:ascii="Palatino Linotype" w:hAnsi="Palatino Linotype" w:cs="Times New Roman"/>
          <w:sz w:val="24"/>
          <w:szCs w:val="24"/>
        </w:rPr>
        <w:t>. As long as the projects</w:t>
      </w:r>
      <w:r w:rsidR="00FF166E" w:rsidRPr="005D75EB">
        <w:rPr>
          <w:rFonts w:ascii="Palatino Linotype" w:hAnsi="Palatino Linotype" w:cs="Times New Roman"/>
          <w:sz w:val="24"/>
          <w:szCs w:val="24"/>
        </w:rPr>
        <w:t xml:space="preserve"> do not involve</w:t>
      </w:r>
      <w:r w:rsidR="00F70DF3" w:rsidRPr="005D75EB">
        <w:rPr>
          <w:rFonts w:ascii="Palatino Linotype" w:hAnsi="Palatino Linotype" w:cs="Times New Roman"/>
          <w:sz w:val="24"/>
          <w:szCs w:val="24"/>
        </w:rPr>
        <w:t xml:space="preserve"> the provision of</w:t>
      </w:r>
      <w:r w:rsidR="008173C5" w:rsidRPr="005D75EB">
        <w:rPr>
          <w:rFonts w:ascii="Palatino Linotype" w:hAnsi="Palatino Linotype" w:cs="Times New Roman"/>
          <w:sz w:val="24"/>
          <w:szCs w:val="24"/>
        </w:rPr>
        <w:t xml:space="preserve"> specific legal advice,</w:t>
      </w:r>
      <w:r w:rsidR="008173C5" w:rsidRPr="005D75EB">
        <w:rPr>
          <w:rStyle w:val="FootnoteReference"/>
          <w:rFonts w:ascii="Palatino Linotype" w:hAnsi="Palatino Linotype" w:cs="Times New Roman"/>
          <w:sz w:val="24"/>
          <w:szCs w:val="24"/>
        </w:rPr>
        <w:footnoteReference w:id="49"/>
      </w:r>
      <w:r w:rsidR="008173C5" w:rsidRPr="005D75EB">
        <w:rPr>
          <w:rFonts w:ascii="Palatino Linotype" w:hAnsi="Palatino Linotype" w:cs="Times New Roman"/>
          <w:sz w:val="24"/>
          <w:szCs w:val="24"/>
        </w:rPr>
        <w:t xml:space="preserve"> there is usually no need for student practice orders or for the supervisor to have a practicing certificate or admission to the local bar. In jurisdictions that do not have student practice orders, this is a significant benefit. This also allows international guests</w:t>
      </w:r>
      <w:r w:rsidR="00ED780E" w:rsidRPr="005D75EB">
        <w:rPr>
          <w:rFonts w:ascii="Palatino Linotype" w:hAnsi="Palatino Linotype" w:cs="Times New Roman"/>
          <w:sz w:val="24"/>
          <w:szCs w:val="24"/>
        </w:rPr>
        <w:t xml:space="preserve"> or partners</w:t>
      </w:r>
      <w:r w:rsidR="008173C5" w:rsidRPr="005D75EB">
        <w:rPr>
          <w:rFonts w:ascii="Palatino Linotype" w:hAnsi="Palatino Linotype" w:cs="Times New Roman"/>
          <w:sz w:val="24"/>
          <w:szCs w:val="24"/>
        </w:rPr>
        <w:t xml:space="preserve"> to engage more he</w:t>
      </w:r>
      <w:r w:rsidR="00ED780E" w:rsidRPr="005D75EB">
        <w:rPr>
          <w:rFonts w:ascii="Palatino Linotype" w:hAnsi="Palatino Linotype" w:cs="Times New Roman"/>
          <w:sz w:val="24"/>
          <w:szCs w:val="24"/>
        </w:rPr>
        <w:t>avily with clinic project</w:t>
      </w:r>
      <w:r w:rsidR="00B179C0" w:rsidRPr="005D75EB">
        <w:rPr>
          <w:rFonts w:ascii="Palatino Linotype" w:hAnsi="Palatino Linotype" w:cs="Times New Roman"/>
          <w:sz w:val="24"/>
          <w:szCs w:val="24"/>
        </w:rPr>
        <w:t>s</w:t>
      </w:r>
      <w:r w:rsidR="00ED780E" w:rsidRPr="005D75EB">
        <w:rPr>
          <w:rFonts w:ascii="Palatino Linotype" w:hAnsi="Palatino Linotype" w:cs="Times New Roman"/>
          <w:sz w:val="24"/>
          <w:szCs w:val="24"/>
        </w:rPr>
        <w:t>.</w:t>
      </w:r>
    </w:p>
    <w:p w14:paraId="2D9CFDD9" w14:textId="6F71CF64" w:rsidR="008D6884" w:rsidRPr="005D6811" w:rsidRDefault="008D6884" w:rsidP="005D75EB">
      <w:pPr>
        <w:pStyle w:val="ListParagraph"/>
        <w:numPr>
          <w:ilvl w:val="0"/>
          <w:numId w:val="3"/>
        </w:numPr>
        <w:spacing w:line="480" w:lineRule="auto"/>
        <w:jc w:val="both"/>
        <w:rPr>
          <w:rFonts w:ascii="Palatino Linotype" w:hAnsi="Palatino Linotype" w:cs="Times New Roman"/>
          <w:b/>
          <w:i/>
          <w:sz w:val="24"/>
          <w:szCs w:val="24"/>
        </w:rPr>
      </w:pPr>
      <w:r w:rsidRPr="005D6811">
        <w:rPr>
          <w:rFonts w:ascii="Palatino Linotype" w:hAnsi="Palatino Linotype" w:cs="Times New Roman"/>
          <w:b/>
          <w:i/>
          <w:sz w:val="24"/>
          <w:szCs w:val="24"/>
        </w:rPr>
        <w:t>Partner with DPOs (and, where appropriate, other organisations whose activities have implications for the rights of persons with disabilities)</w:t>
      </w:r>
    </w:p>
    <w:p w14:paraId="7AC33157" w14:textId="7EA4FAF1" w:rsidR="002369F8" w:rsidRPr="005D75EB" w:rsidRDefault="00EA2F47" w:rsidP="005D75EB">
      <w:pPr>
        <w:spacing w:line="480" w:lineRule="auto"/>
        <w:jc w:val="both"/>
        <w:rPr>
          <w:rStyle w:val="Absatz-Standardschriftart1"/>
          <w:rFonts w:ascii="Palatino Linotype" w:hAnsi="Palatino Linotype" w:cs="Times New Roman"/>
          <w:sz w:val="24"/>
          <w:szCs w:val="24"/>
          <w:lang w:val="en-US"/>
        </w:rPr>
      </w:pPr>
      <w:r w:rsidRPr="005D75EB">
        <w:rPr>
          <w:rFonts w:ascii="Palatino Linotype" w:hAnsi="Palatino Linotype" w:cs="Times New Roman"/>
          <w:sz w:val="24"/>
          <w:szCs w:val="24"/>
        </w:rPr>
        <w:t>It is vital that disability human rights clinics focused on the rights or needs of marginalized communities engage with relevant</w:t>
      </w:r>
      <w:r w:rsidR="00F20175" w:rsidRPr="005D75EB">
        <w:rPr>
          <w:rFonts w:ascii="Palatino Linotype" w:hAnsi="Palatino Linotype" w:cs="Times New Roman"/>
          <w:sz w:val="24"/>
          <w:szCs w:val="24"/>
        </w:rPr>
        <w:t xml:space="preserve"> non-government organizations</w:t>
      </w:r>
      <w:r w:rsidRPr="005D75EB">
        <w:rPr>
          <w:rFonts w:ascii="Palatino Linotype" w:hAnsi="Palatino Linotype" w:cs="Times New Roman"/>
          <w:sz w:val="24"/>
          <w:szCs w:val="24"/>
        </w:rPr>
        <w:t xml:space="preserve"> </w:t>
      </w:r>
      <w:r w:rsidR="00F20175" w:rsidRPr="005D75EB">
        <w:rPr>
          <w:rFonts w:ascii="Palatino Linotype" w:hAnsi="Palatino Linotype" w:cs="Times New Roman"/>
          <w:sz w:val="24"/>
          <w:szCs w:val="24"/>
        </w:rPr>
        <w:t>(</w:t>
      </w:r>
      <w:r w:rsidR="007F643D" w:rsidRPr="005D75EB">
        <w:rPr>
          <w:rFonts w:ascii="Palatino Linotype" w:hAnsi="Palatino Linotype" w:cs="Times New Roman"/>
          <w:sz w:val="24"/>
          <w:szCs w:val="24"/>
        </w:rPr>
        <w:t xml:space="preserve">especially Disabled Persons’ Organisations) </w:t>
      </w:r>
      <w:r w:rsidRPr="005D75EB">
        <w:rPr>
          <w:rFonts w:ascii="Palatino Linotype" w:hAnsi="Palatino Linotype" w:cs="Times New Roman"/>
          <w:sz w:val="24"/>
          <w:szCs w:val="24"/>
        </w:rPr>
        <w:t>and community groups. This ensure</w:t>
      </w:r>
      <w:r w:rsidR="003F6066" w:rsidRPr="005D75EB">
        <w:rPr>
          <w:rFonts w:ascii="Palatino Linotype" w:hAnsi="Palatino Linotype" w:cs="Times New Roman"/>
          <w:sz w:val="24"/>
          <w:szCs w:val="24"/>
        </w:rPr>
        <w:t>s</w:t>
      </w:r>
      <w:r w:rsidRPr="005D75EB">
        <w:rPr>
          <w:rFonts w:ascii="Palatino Linotype" w:hAnsi="Palatino Linotype" w:cs="Times New Roman"/>
          <w:sz w:val="24"/>
          <w:szCs w:val="24"/>
        </w:rPr>
        <w:t xml:space="preserve"> </w:t>
      </w:r>
      <w:r w:rsidRPr="005D75EB">
        <w:rPr>
          <w:rFonts w:ascii="Palatino Linotype" w:hAnsi="Palatino Linotype" w:cs="Times New Roman"/>
          <w:sz w:val="24"/>
          <w:szCs w:val="24"/>
        </w:rPr>
        <w:lastRenderedPageBreak/>
        <w:t xml:space="preserve">that they are up to date with the specific needs of the communities that they are working with. </w:t>
      </w:r>
      <w:r w:rsidR="00F26717" w:rsidRPr="005D75EB">
        <w:rPr>
          <w:rFonts w:ascii="Palatino Linotype" w:hAnsi="Palatino Linotype" w:cs="Times New Roman"/>
          <w:color w:val="000000" w:themeColor="text1"/>
          <w:sz w:val="24"/>
          <w:szCs w:val="24"/>
        </w:rPr>
        <w:t xml:space="preserve">In order to </w:t>
      </w:r>
      <w:r w:rsidR="007D4FA9" w:rsidRPr="005D75EB">
        <w:rPr>
          <w:rFonts w:ascii="Palatino Linotype" w:hAnsi="Palatino Linotype" w:cs="Times New Roman"/>
          <w:color w:val="000000" w:themeColor="text1"/>
          <w:sz w:val="24"/>
          <w:szCs w:val="24"/>
        </w:rPr>
        <w:t xml:space="preserve">meet the requirements of the CRPD in regard to the involvement of </w:t>
      </w:r>
      <w:r w:rsidR="0054300A" w:rsidRPr="005D75EB">
        <w:rPr>
          <w:rFonts w:ascii="Palatino Linotype" w:hAnsi="Palatino Linotype" w:cs="Times New Roman"/>
          <w:color w:val="000000" w:themeColor="text1"/>
          <w:sz w:val="24"/>
          <w:szCs w:val="24"/>
        </w:rPr>
        <w:t>persons</w:t>
      </w:r>
      <w:r w:rsidR="007D4FA9" w:rsidRPr="005D75EB">
        <w:rPr>
          <w:rFonts w:ascii="Palatino Linotype" w:hAnsi="Palatino Linotype" w:cs="Times New Roman"/>
          <w:color w:val="000000" w:themeColor="text1"/>
          <w:sz w:val="24"/>
          <w:szCs w:val="24"/>
        </w:rPr>
        <w:t xml:space="preserve"> with disabilities in implementing and monitoring the Convention, </w:t>
      </w:r>
      <w:r w:rsidR="00AE15BF" w:rsidRPr="005D75EB">
        <w:rPr>
          <w:rFonts w:ascii="Palatino Linotype" w:hAnsi="Palatino Linotype" w:cs="Times New Roman"/>
          <w:sz w:val="24"/>
          <w:szCs w:val="24"/>
        </w:rPr>
        <w:t xml:space="preserve">clinics of this kind should </w:t>
      </w:r>
      <w:r w:rsidR="00D96B87" w:rsidRPr="005D75EB">
        <w:rPr>
          <w:rFonts w:ascii="Palatino Linotype" w:hAnsi="Palatino Linotype" w:cs="Times New Roman"/>
          <w:sz w:val="24"/>
          <w:szCs w:val="24"/>
        </w:rPr>
        <w:t xml:space="preserve">also </w:t>
      </w:r>
      <w:r w:rsidR="00AE15BF" w:rsidRPr="005D75EB">
        <w:rPr>
          <w:rFonts w:ascii="Palatino Linotype" w:hAnsi="Palatino Linotype" w:cs="Times New Roman"/>
          <w:sz w:val="24"/>
          <w:szCs w:val="24"/>
        </w:rPr>
        <w:t>striv</w:t>
      </w:r>
      <w:r w:rsidR="00D96B87" w:rsidRPr="005D75EB">
        <w:rPr>
          <w:rFonts w:ascii="Palatino Linotype" w:hAnsi="Palatino Linotype" w:cs="Times New Roman"/>
          <w:sz w:val="24"/>
          <w:szCs w:val="24"/>
        </w:rPr>
        <w:t>e</w:t>
      </w:r>
      <w:r w:rsidR="00AE15BF" w:rsidRPr="005D75EB">
        <w:rPr>
          <w:rFonts w:ascii="Palatino Linotype" w:hAnsi="Palatino Linotype" w:cs="Times New Roman"/>
          <w:sz w:val="24"/>
          <w:szCs w:val="24"/>
        </w:rPr>
        <w:t xml:space="preserve"> to </w:t>
      </w:r>
      <w:r w:rsidR="0084318A" w:rsidRPr="005D75EB">
        <w:rPr>
          <w:rFonts w:ascii="Palatino Linotype" w:hAnsi="Palatino Linotype" w:cs="Times New Roman"/>
          <w:sz w:val="24"/>
          <w:szCs w:val="24"/>
        </w:rPr>
        <w:t>respond directly t</w:t>
      </w:r>
      <w:r w:rsidR="00AE15BF" w:rsidRPr="005D75EB">
        <w:rPr>
          <w:rFonts w:ascii="Palatino Linotype" w:hAnsi="Palatino Linotype" w:cs="Times New Roman"/>
          <w:sz w:val="24"/>
          <w:szCs w:val="24"/>
        </w:rPr>
        <w:t>o the needs of the specific community that they are working with.</w:t>
      </w:r>
      <w:r w:rsidR="00AE15BF" w:rsidRPr="005D75EB">
        <w:rPr>
          <w:rFonts w:ascii="Palatino Linotype" w:hAnsi="Palatino Linotype" w:cs="Times New Roman"/>
          <w:color w:val="000000" w:themeColor="text1"/>
          <w:sz w:val="24"/>
          <w:szCs w:val="24"/>
        </w:rPr>
        <w:t xml:space="preserve"> In practice, this means </w:t>
      </w:r>
      <w:r w:rsidR="007D4FA9" w:rsidRPr="005D75EB">
        <w:rPr>
          <w:rFonts w:ascii="Palatino Linotype" w:hAnsi="Palatino Linotype" w:cs="Times New Roman"/>
          <w:color w:val="000000" w:themeColor="text1"/>
          <w:sz w:val="24"/>
          <w:szCs w:val="24"/>
        </w:rPr>
        <w:t>clinical programs should in</w:t>
      </w:r>
      <w:r w:rsidR="00997C1C" w:rsidRPr="005D75EB">
        <w:rPr>
          <w:rFonts w:ascii="Palatino Linotype" w:hAnsi="Palatino Linotype" w:cs="Times New Roman"/>
          <w:color w:val="000000" w:themeColor="text1"/>
          <w:sz w:val="24"/>
          <w:szCs w:val="24"/>
        </w:rPr>
        <w:t xml:space="preserve">vite </w:t>
      </w:r>
      <w:r w:rsidR="00E05E8B" w:rsidRPr="005D75EB">
        <w:rPr>
          <w:rFonts w:ascii="Palatino Linotype" w:hAnsi="Palatino Linotype" w:cs="Times New Roman"/>
          <w:color w:val="000000" w:themeColor="text1"/>
          <w:sz w:val="24"/>
          <w:szCs w:val="24"/>
        </w:rPr>
        <w:t>perso</w:t>
      </w:r>
      <w:r w:rsidR="007D4FA9" w:rsidRPr="005D75EB">
        <w:rPr>
          <w:rFonts w:ascii="Palatino Linotype" w:hAnsi="Palatino Linotype" w:cs="Times New Roman"/>
          <w:color w:val="000000" w:themeColor="text1"/>
          <w:sz w:val="24"/>
          <w:szCs w:val="24"/>
        </w:rPr>
        <w:t>ns with disabilities and</w:t>
      </w:r>
      <w:r w:rsidR="00997C1C" w:rsidRPr="005D75EB">
        <w:rPr>
          <w:rFonts w:ascii="Palatino Linotype" w:hAnsi="Palatino Linotype" w:cs="Times New Roman"/>
          <w:color w:val="000000" w:themeColor="text1"/>
          <w:sz w:val="24"/>
          <w:szCs w:val="24"/>
        </w:rPr>
        <w:t xml:space="preserve"> </w:t>
      </w:r>
      <w:r w:rsidR="00904FB0" w:rsidRPr="005D75EB">
        <w:rPr>
          <w:rFonts w:ascii="Palatino Linotype" w:hAnsi="Palatino Linotype" w:cs="Times New Roman"/>
          <w:color w:val="000000" w:themeColor="text1"/>
          <w:sz w:val="24"/>
          <w:szCs w:val="24"/>
        </w:rPr>
        <w:t>DPOs</w:t>
      </w:r>
      <w:r w:rsidR="00E81CEC" w:rsidRPr="005D75EB">
        <w:rPr>
          <w:rFonts w:ascii="Palatino Linotype" w:hAnsi="Palatino Linotype" w:cs="Times New Roman"/>
          <w:color w:val="000000" w:themeColor="text1"/>
          <w:sz w:val="24"/>
          <w:szCs w:val="24"/>
        </w:rPr>
        <w:t xml:space="preserve"> to propose clinical projects that will provide what </w:t>
      </w:r>
      <w:r w:rsidR="00ED398A" w:rsidRPr="005D75EB">
        <w:rPr>
          <w:rFonts w:ascii="Palatino Linotype" w:hAnsi="Palatino Linotype" w:cs="Times New Roman"/>
          <w:color w:val="000000" w:themeColor="text1"/>
          <w:sz w:val="24"/>
          <w:szCs w:val="24"/>
        </w:rPr>
        <w:t xml:space="preserve">they </w:t>
      </w:r>
      <w:r w:rsidR="00E81CEC" w:rsidRPr="005D75EB">
        <w:rPr>
          <w:rFonts w:ascii="Palatino Linotype" w:hAnsi="Palatino Linotype" w:cs="Times New Roman"/>
          <w:color w:val="000000" w:themeColor="text1"/>
          <w:sz w:val="24"/>
          <w:szCs w:val="24"/>
        </w:rPr>
        <w:t xml:space="preserve">need to pursue disability human rights issues arising in relation to the CRPD. </w:t>
      </w:r>
    </w:p>
    <w:p w14:paraId="2D48C9B2" w14:textId="0CE1CF24" w:rsidR="00F20175" w:rsidRPr="005D75EB" w:rsidRDefault="00F20175" w:rsidP="005D75EB">
      <w:pPr>
        <w:spacing w:line="480" w:lineRule="auto"/>
        <w:jc w:val="both"/>
        <w:rPr>
          <w:rFonts w:ascii="Palatino Linotype" w:hAnsi="Palatino Linotype" w:cs="Times New Roman"/>
          <w:sz w:val="24"/>
          <w:szCs w:val="24"/>
        </w:rPr>
      </w:pPr>
      <w:r w:rsidRPr="005D75EB">
        <w:rPr>
          <w:rFonts w:ascii="Palatino Linotype" w:hAnsi="Palatino Linotype" w:cs="Times New Roman"/>
          <w:sz w:val="24"/>
          <w:szCs w:val="24"/>
        </w:rPr>
        <w:t>Project-based clinics</w:t>
      </w:r>
      <w:r w:rsidR="006F087A" w:rsidRPr="005D75EB">
        <w:rPr>
          <w:rFonts w:ascii="Palatino Linotype" w:hAnsi="Palatino Linotype" w:cs="Times New Roman"/>
          <w:sz w:val="24"/>
          <w:szCs w:val="24"/>
        </w:rPr>
        <w:t xml:space="preserve"> can</w:t>
      </w:r>
      <w:r w:rsidRPr="005D75EB">
        <w:rPr>
          <w:rFonts w:ascii="Palatino Linotype" w:hAnsi="Palatino Linotype" w:cs="Times New Roman"/>
          <w:sz w:val="24"/>
          <w:szCs w:val="24"/>
        </w:rPr>
        <w:t xml:space="preserve"> fill a gap in the DPO community</w:t>
      </w:r>
      <w:r w:rsidR="006F087A" w:rsidRPr="005D75EB">
        <w:rPr>
          <w:rFonts w:ascii="Palatino Linotype" w:hAnsi="Palatino Linotype" w:cs="Times New Roman"/>
          <w:sz w:val="24"/>
          <w:szCs w:val="24"/>
        </w:rPr>
        <w:t>’s resources</w:t>
      </w:r>
      <w:r w:rsidRPr="005D75EB">
        <w:rPr>
          <w:rFonts w:ascii="Palatino Linotype" w:hAnsi="Palatino Linotype" w:cs="Times New Roman"/>
          <w:sz w:val="24"/>
          <w:szCs w:val="24"/>
        </w:rPr>
        <w:t>.</w:t>
      </w:r>
      <w:r w:rsidRPr="005D75EB">
        <w:rPr>
          <w:rStyle w:val="FootnoteReference"/>
          <w:rFonts w:ascii="Palatino Linotype" w:hAnsi="Palatino Linotype" w:cs="Times New Roman"/>
          <w:sz w:val="24"/>
          <w:szCs w:val="24"/>
        </w:rPr>
        <w:footnoteReference w:id="50"/>
      </w:r>
      <w:r w:rsidR="00CC3BD7" w:rsidRPr="005D75EB">
        <w:rPr>
          <w:rFonts w:ascii="Palatino Linotype" w:hAnsi="Palatino Linotype" w:cs="Times New Roman"/>
          <w:sz w:val="24"/>
          <w:szCs w:val="24"/>
        </w:rPr>
        <w:t xml:space="preserve"> These bodies</w:t>
      </w:r>
      <w:r w:rsidRPr="005D75EB">
        <w:rPr>
          <w:rFonts w:ascii="Palatino Linotype" w:hAnsi="Palatino Linotype" w:cs="Times New Roman"/>
          <w:sz w:val="24"/>
          <w:szCs w:val="24"/>
        </w:rPr>
        <w:t xml:space="preserve"> are often under-funded and under-resourced with little capa</w:t>
      </w:r>
      <w:r w:rsidR="00F36561" w:rsidRPr="005D75EB">
        <w:rPr>
          <w:rFonts w:ascii="Palatino Linotype" w:hAnsi="Palatino Linotype" w:cs="Times New Roman"/>
          <w:sz w:val="24"/>
          <w:szCs w:val="24"/>
        </w:rPr>
        <w:t>city for writing and analysis, while p</w:t>
      </w:r>
      <w:r w:rsidRPr="005D75EB">
        <w:rPr>
          <w:rFonts w:ascii="Palatino Linotype" w:hAnsi="Palatino Linotype" w:cs="Times New Roman"/>
          <w:sz w:val="24"/>
          <w:szCs w:val="24"/>
        </w:rPr>
        <w:t xml:space="preserve">roject-based clinics have a student group that has designated time specifically for </w:t>
      </w:r>
      <w:r w:rsidR="003A2290" w:rsidRPr="005D75EB">
        <w:rPr>
          <w:rFonts w:ascii="Palatino Linotype" w:hAnsi="Palatino Linotype" w:cs="Times New Roman"/>
          <w:sz w:val="24"/>
          <w:szCs w:val="24"/>
        </w:rPr>
        <w:t>these tasks</w:t>
      </w:r>
      <w:r w:rsidRPr="005D75EB">
        <w:rPr>
          <w:rFonts w:ascii="Palatino Linotype" w:hAnsi="Palatino Linotype" w:cs="Times New Roman"/>
          <w:sz w:val="24"/>
          <w:szCs w:val="24"/>
        </w:rPr>
        <w:t xml:space="preserve">. Juris Doctor </w:t>
      </w:r>
      <w:r w:rsidR="00362018" w:rsidRPr="005D75EB">
        <w:rPr>
          <w:rFonts w:ascii="Palatino Linotype" w:hAnsi="Palatino Linotype" w:cs="Times New Roman"/>
          <w:sz w:val="24"/>
          <w:szCs w:val="24"/>
        </w:rPr>
        <w:t xml:space="preserve">and other graduate </w:t>
      </w:r>
      <w:r w:rsidRPr="005D75EB">
        <w:rPr>
          <w:rFonts w:ascii="Palatino Linotype" w:hAnsi="Palatino Linotype" w:cs="Times New Roman"/>
          <w:sz w:val="24"/>
          <w:szCs w:val="24"/>
        </w:rPr>
        <w:t>students</w:t>
      </w:r>
      <w:r w:rsidR="00016380" w:rsidRPr="005D75EB">
        <w:rPr>
          <w:rFonts w:ascii="Palatino Linotype" w:hAnsi="Palatino Linotype" w:cs="Times New Roman"/>
          <w:sz w:val="24"/>
          <w:szCs w:val="24"/>
        </w:rPr>
        <w:t xml:space="preserve"> </w:t>
      </w:r>
      <w:r w:rsidRPr="005D75EB">
        <w:rPr>
          <w:rFonts w:ascii="Palatino Linotype" w:hAnsi="Palatino Linotype" w:cs="Times New Roman"/>
          <w:sz w:val="24"/>
          <w:szCs w:val="24"/>
        </w:rPr>
        <w:t xml:space="preserve">are usually </w:t>
      </w:r>
      <w:r w:rsidR="00892760" w:rsidRPr="005D75EB">
        <w:rPr>
          <w:rFonts w:ascii="Palatino Linotype" w:hAnsi="Palatino Linotype" w:cs="Times New Roman"/>
          <w:sz w:val="24"/>
          <w:szCs w:val="24"/>
        </w:rPr>
        <w:t xml:space="preserve">particularly </w:t>
      </w:r>
      <w:r w:rsidRPr="005D75EB">
        <w:rPr>
          <w:rFonts w:ascii="Palatino Linotype" w:hAnsi="Palatino Linotype" w:cs="Times New Roman"/>
          <w:sz w:val="24"/>
          <w:szCs w:val="24"/>
        </w:rPr>
        <w:t xml:space="preserve">well suited to this type of work because they are post-graduate students with well-developed research and writing skills. Collaboration between project-based clinics and NGOs can often produce the best results because they combine the grassroots knowledge of the NGOs with the research and writing skills of the students and the resources of the </w:t>
      </w:r>
      <w:r w:rsidR="002F0087" w:rsidRPr="005D75EB">
        <w:rPr>
          <w:rFonts w:ascii="Palatino Linotype" w:hAnsi="Palatino Linotype" w:cs="Times New Roman"/>
          <w:sz w:val="24"/>
          <w:szCs w:val="24"/>
        </w:rPr>
        <w:t>u</w:t>
      </w:r>
      <w:r w:rsidRPr="005D75EB">
        <w:rPr>
          <w:rFonts w:ascii="Palatino Linotype" w:hAnsi="Palatino Linotype" w:cs="Times New Roman"/>
          <w:sz w:val="24"/>
          <w:szCs w:val="24"/>
        </w:rPr>
        <w:t xml:space="preserve">niversity clinic. </w:t>
      </w:r>
    </w:p>
    <w:p w14:paraId="17EAA58A" w14:textId="2C1D7543" w:rsidR="00A057E9" w:rsidRPr="005D75EB" w:rsidRDefault="00F768A0" w:rsidP="005D75EB">
      <w:pPr>
        <w:spacing w:line="480" w:lineRule="auto"/>
        <w:jc w:val="both"/>
        <w:rPr>
          <w:rFonts w:ascii="Palatino Linotype" w:hAnsi="Palatino Linotype" w:cs="Times New Roman"/>
          <w:color w:val="000000" w:themeColor="text1"/>
          <w:sz w:val="24"/>
          <w:szCs w:val="24"/>
        </w:rPr>
      </w:pPr>
      <w:r w:rsidRPr="005D75EB">
        <w:rPr>
          <w:rFonts w:ascii="Palatino Linotype" w:hAnsi="Palatino Linotype" w:cs="Times New Roman"/>
          <w:color w:val="000000" w:themeColor="text1"/>
          <w:sz w:val="24"/>
          <w:szCs w:val="24"/>
        </w:rPr>
        <w:t xml:space="preserve">While partnerships with </w:t>
      </w:r>
      <w:r w:rsidR="0054300A" w:rsidRPr="005D75EB">
        <w:rPr>
          <w:rFonts w:ascii="Palatino Linotype" w:hAnsi="Palatino Linotype" w:cs="Times New Roman"/>
          <w:color w:val="000000" w:themeColor="text1"/>
          <w:sz w:val="24"/>
          <w:szCs w:val="24"/>
        </w:rPr>
        <w:t>persons</w:t>
      </w:r>
      <w:r w:rsidRPr="005D75EB">
        <w:rPr>
          <w:rFonts w:ascii="Palatino Linotype" w:hAnsi="Palatino Linotype" w:cs="Times New Roman"/>
          <w:color w:val="000000" w:themeColor="text1"/>
          <w:sz w:val="24"/>
          <w:szCs w:val="24"/>
        </w:rPr>
        <w:t xml:space="preserve"> with disabilities and their representative organisations should be prioritised, </w:t>
      </w:r>
      <w:r w:rsidR="004A0CC5" w:rsidRPr="005D75EB">
        <w:rPr>
          <w:rFonts w:ascii="Palatino Linotype" w:hAnsi="Palatino Linotype" w:cs="Times New Roman"/>
          <w:color w:val="000000" w:themeColor="text1"/>
          <w:sz w:val="24"/>
          <w:szCs w:val="24"/>
        </w:rPr>
        <w:t xml:space="preserve">projects with or for other stakeholders may also </w:t>
      </w:r>
      <w:r w:rsidR="004A0CC5" w:rsidRPr="005D75EB">
        <w:rPr>
          <w:rFonts w:ascii="Palatino Linotype" w:hAnsi="Palatino Linotype" w:cs="Times New Roman"/>
          <w:color w:val="000000" w:themeColor="text1"/>
          <w:sz w:val="24"/>
          <w:szCs w:val="24"/>
        </w:rPr>
        <w:lastRenderedPageBreak/>
        <w:t>be appropriate and consistent with</w:t>
      </w:r>
      <w:r w:rsidRPr="005D75EB">
        <w:rPr>
          <w:rFonts w:ascii="Palatino Linotype" w:hAnsi="Palatino Linotype" w:cs="Times New Roman"/>
          <w:color w:val="000000" w:themeColor="text1"/>
          <w:sz w:val="24"/>
          <w:szCs w:val="24"/>
        </w:rPr>
        <w:t xml:space="preserve"> </w:t>
      </w:r>
      <w:r w:rsidR="00B42D59" w:rsidRPr="005D75EB">
        <w:rPr>
          <w:rFonts w:ascii="Palatino Linotype" w:hAnsi="Palatino Linotype" w:cs="Times New Roman"/>
          <w:color w:val="000000" w:themeColor="text1"/>
          <w:sz w:val="24"/>
          <w:szCs w:val="24"/>
        </w:rPr>
        <w:t xml:space="preserve">the </w:t>
      </w:r>
      <w:r w:rsidRPr="005D75EB">
        <w:rPr>
          <w:rFonts w:ascii="Palatino Linotype" w:hAnsi="Palatino Linotype" w:cs="Times New Roman"/>
          <w:color w:val="000000" w:themeColor="text1"/>
          <w:sz w:val="24"/>
          <w:szCs w:val="24"/>
        </w:rPr>
        <w:t>overarching objective</w:t>
      </w:r>
      <w:r w:rsidR="00B42D59" w:rsidRPr="005D75EB">
        <w:rPr>
          <w:rFonts w:ascii="Palatino Linotype" w:hAnsi="Palatino Linotype" w:cs="Times New Roman"/>
          <w:color w:val="000000" w:themeColor="text1"/>
          <w:sz w:val="24"/>
          <w:szCs w:val="24"/>
        </w:rPr>
        <w:t>s</w:t>
      </w:r>
      <w:r w:rsidRPr="005D75EB">
        <w:rPr>
          <w:rFonts w:ascii="Palatino Linotype" w:hAnsi="Palatino Linotype" w:cs="Times New Roman"/>
          <w:color w:val="000000" w:themeColor="text1"/>
          <w:sz w:val="24"/>
          <w:szCs w:val="24"/>
        </w:rPr>
        <w:t xml:space="preserve"> of disability human rights clinics.</w:t>
      </w:r>
      <w:r w:rsidR="00CA2F66" w:rsidRPr="005D75EB">
        <w:rPr>
          <w:rFonts w:ascii="Palatino Linotype" w:hAnsi="Palatino Linotype" w:cs="Times New Roman"/>
          <w:color w:val="000000" w:themeColor="text1"/>
          <w:sz w:val="24"/>
          <w:szCs w:val="24"/>
        </w:rPr>
        <w:t xml:space="preserve"> </w:t>
      </w:r>
      <w:r w:rsidR="00465AD4" w:rsidRPr="005D75EB">
        <w:rPr>
          <w:rFonts w:ascii="Palatino Linotype" w:hAnsi="Palatino Linotype" w:cs="Times New Roman"/>
          <w:color w:val="000000" w:themeColor="text1"/>
          <w:sz w:val="24"/>
          <w:szCs w:val="24"/>
        </w:rPr>
        <w:t>In particular, clinic students can offer training, advice and detailed analysis of the human rights implications of laws, policies and practices to government bodies, disability service providers and other organisations that may not otherwise adopt a human rights lens.</w:t>
      </w:r>
      <w:r w:rsidR="00686C0A" w:rsidRPr="005D75EB">
        <w:rPr>
          <w:rFonts w:ascii="Palatino Linotype" w:hAnsi="Palatino Linotype" w:cs="Times New Roman"/>
          <w:color w:val="000000" w:themeColor="text1"/>
          <w:sz w:val="24"/>
          <w:szCs w:val="24"/>
        </w:rPr>
        <w:t xml:space="preserve"> </w:t>
      </w:r>
      <w:r w:rsidR="00CA2F66" w:rsidRPr="005D75EB">
        <w:rPr>
          <w:rFonts w:ascii="Palatino Linotype" w:hAnsi="Palatino Linotype" w:cs="Times New Roman"/>
          <w:color w:val="000000" w:themeColor="text1"/>
          <w:sz w:val="24"/>
          <w:szCs w:val="24"/>
        </w:rPr>
        <w:t xml:space="preserve">Clinical projects of this nature </w:t>
      </w:r>
      <w:r w:rsidR="00A04E53" w:rsidRPr="005D75EB">
        <w:rPr>
          <w:rFonts w:ascii="Palatino Linotype" w:hAnsi="Palatino Linotype" w:cs="Times New Roman"/>
          <w:color w:val="000000" w:themeColor="text1"/>
          <w:sz w:val="24"/>
          <w:szCs w:val="24"/>
        </w:rPr>
        <w:t xml:space="preserve">can </w:t>
      </w:r>
      <w:r w:rsidR="00CA2F66" w:rsidRPr="005D75EB">
        <w:rPr>
          <w:rFonts w:ascii="Palatino Linotype" w:hAnsi="Palatino Linotype" w:cs="Times New Roman"/>
          <w:color w:val="000000" w:themeColor="text1"/>
          <w:sz w:val="24"/>
          <w:szCs w:val="24"/>
        </w:rPr>
        <w:t xml:space="preserve">contribute to raising awareness about the rights of persons with disabilities (as guaranteed in article 8 of the </w:t>
      </w:r>
      <w:r w:rsidR="00A04E53" w:rsidRPr="005D75EB">
        <w:rPr>
          <w:rFonts w:ascii="Palatino Linotype" w:hAnsi="Palatino Linotype" w:cs="Times New Roman"/>
          <w:sz w:val="24"/>
          <w:szCs w:val="24"/>
        </w:rPr>
        <w:t xml:space="preserve">CRPD) and </w:t>
      </w:r>
      <w:r w:rsidR="000B51DB" w:rsidRPr="005D75EB">
        <w:rPr>
          <w:rFonts w:ascii="Palatino Linotype" w:hAnsi="Palatino Linotype" w:cs="Times New Roman"/>
          <w:sz w:val="24"/>
          <w:szCs w:val="24"/>
        </w:rPr>
        <w:t>increasing access to justice for persons with disabili</w:t>
      </w:r>
      <w:r w:rsidR="00A04E53" w:rsidRPr="005D75EB">
        <w:rPr>
          <w:rFonts w:ascii="Palatino Linotype" w:hAnsi="Palatino Linotype" w:cs="Times New Roman"/>
          <w:sz w:val="24"/>
          <w:szCs w:val="24"/>
        </w:rPr>
        <w:t>ties (article 13), among others.</w:t>
      </w:r>
      <w:r w:rsidR="006A310A" w:rsidRPr="005D75EB">
        <w:rPr>
          <w:rFonts w:ascii="Palatino Linotype" w:hAnsi="Palatino Linotype" w:cs="Times New Roman"/>
          <w:color w:val="000000" w:themeColor="text1"/>
          <w:sz w:val="24"/>
          <w:szCs w:val="24"/>
        </w:rPr>
        <w:t xml:space="preserve"> For example,</w:t>
      </w:r>
      <w:r w:rsidR="00CA2F66" w:rsidRPr="005D75EB">
        <w:rPr>
          <w:rFonts w:ascii="Palatino Linotype" w:hAnsi="Palatino Linotype" w:cs="Times New Roman"/>
          <w:color w:val="000000" w:themeColor="text1"/>
          <w:sz w:val="24"/>
          <w:szCs w:val="24"/>
        </w:rPr>
        <w:t xml:space="preserve"> students in the inaugural DHRC partnered with the Administrative Appeals Tribunal, an independent statutory body that decides appeals on </w:t>
      </w:r>
      <w:r w:rsidR="00170997" w:rsidRPr="005D75EB">
        <w:rPr>
          <w:rFonts w:ascii="Palatino Linotype" w:hAnsi="Palatino Linotype" w:cs="Times New Roman"/>
          <w:color w:val="000000" w:themeColor="text1"/>
          <w:sz w:val="24"/>
          <w:szCs w:val="24"/>
        </w:rPr>
        <w:t xml:space="preserve">certain </w:t>
      </w:r>
      <w:r w:rsidR="00CA2F66" w:rsidRPr="005D75EB">
        <w:rPr>
          <w:rFonts w:ascii="Palatino Linotype" w:hAnsi="Palatino Linotype" w:cs="Times New Roman"/>
          <w:color w:val="000000" w:themeColor="text1"/>
          <w:sz w:val="24"/>
          <w:szCs w:val="24"/>
        </w:rPr>
        <w:t>administrative decisions</w:t>
      </w:r>
      <w:r w:rsidR="00DA3A3E" w:rsidRPr="005D75EB">
        <w:rPr>
          <w:rFonts w:ascii="Palatino Linotype" w:hAnsi="Palatino Linotype" w:cs="Times New Roman"/>
          <w:color w:val="000000" w:themeColor="text1"/>
          <w:sz w:val="24"/>
          <w:szCs w:val="24"/>
        </w:rPr>
        <w:t xml:space="preserve"> </w:t>
      </w:r>
      <w:r w:rsidR="003D793B" w:rsidRPr="005D75EB">
        <w:rPr>
          <w:rFonts w:ascii="Palatino Linotype" w:hAnsi="Palatino Linotype" w:cs="Times New Roman"/>
          <w:color w:val="000000" w:themeColor="text1"/>
          <w:sz w:val="24"/>
          <w:szCs w:val="24"/>
        </w:rPr>
        <w:t>made</w:t>
      </w:r>
      <w:r w:rsidR="00B71D97" w:rsidRPr="005D75EB">
        <w:rPr>
          <w:rFonts w:ascii="Palatino Linotype" w:hAnsi="Palatino Linotype" w:cs="Times New Roman"/>
          <w:color w:val="000000" w:themeColor="text1"/>
          <w:sz w:val="24"/>
          <w:szCs w:val="24"/>
        </w:rPr>
        <w:t xml:space="preserve"> by the Australian </w:t>
      </w:r>
      <w:r w:rsidR="00015058" w:rsidRPr="005D75EB">
        <w:rPr>
          <w:rFonts w:ascii="Palatino Linotype" w:hAnsi="Palatino Linotype" w:cs="Times New Roman"/>
          <w:color w:val="000000" w:themeColor="text1"/>
          <w:sz w:val="24"/>
          <w:szCs w:val="24"/>
        </w:rPr>
        <w:t>g</w:t>
      </w:r>
      <w:r w:rsidR="00B71D97" w:rsidRPr="005D75EB">
        <w:rPr>
          <w:rFonts w:ascii="Palatino Linotype" w:hAnsi="Palatino Linotype" w:cs="Times New Roman"/>
          <w:color w:val="000000" w:themeColor="text1"/>
          <w:sz w:val="24"/>
          <w:szCs w:val="24"/>
        </w:rPr>
        <w:t>overnment</w:t>
      </w:r>
      <w:r w:rsidR="003D793B" w:rsidRPr="005D75EB">
        <w:rPr>
          <w:rFonts w:ascii="Palatino Linotype" w:hAnsi="Palatino Linotype" w:cs="Times New Roman"/>
          <w:color w:val="000000" w:themeColor="text1"/>
          <w:sz w:val="24"/>
          <w:szCs w:val="24"/>
        </w:rPr>
        <w:t xml:space="preserve"> under Commonwealth laws</w:t>
      </w:r>
      <w:r w:rsidR="009F1880" w:rsidRPr="005D75EB">
        <w:rPr>
          <w:rFonts w:ascii="Palatino Linotype" w:hAnsi="Palatino Linotype" w:cs="Times New Roman"/>
          <w:color w:val="000000" w:themeColor="text1"/>
          <w:sz w:val="24"/>
          <w:szCs w:val="24"/>
        </w:rPr>
        <w:t>. Its mandate includes reviewing</w:t>
      </w:r>
      <w:r w:rsidR="00CA2F66" w:rsidRPr="005D75EB">
        <w:rPr>
          <w:rFonts w:ascii="Palatino Linotype" w:hAnsi="Palatino Linotype" w:cs="Times New Roman"/>
          <w:color w:val="000000" w:themeColor="text1"/>
          <w:sz w:val="24"/>
          <w:szCs w:val="24"/>
        </w:rPr>
        <w:t xml:space="preserve"> decisions about</w:t>
      </w:r>
      <w:r w:rsidR="009F1880" w:rsidRPr="005D75EB">
        <w:rPr>
          <w:rFonts w:ascii="Palatino Linotype" w:hAnsi="Palatino Linotype" w:cs="Times New Roman"/>
          <w:color w:val="000000" w:themeColor="text1"/>
          <w:sz w:val="24"/>
          <w:szCs w:val="24"/>
        </w:rPr>
        <w:t xml:space="preserve"> individuals’</w:t>
      </w:r>
      <w:r w:rsidR="00CA2F66" w:rsidRPr="005D75EB">
        <w:rPr>
          <w:rFonts w:ascii="Palatino Linotype" w:hAnsi="Palatino Linotype" w:cs="Times New Roman"/>
          <w:color w:val="000000" w:themeColor="text1"/>
          <w:sz w:val="24"/>
          <w:szCs w:val="24"/>
        </w:rPr>
        <w:t xml:space="preserve"> access to the National Disability Insurance Scheme (NDIS)</w:t>
      </w:r>
      <w:r w:rsidR="009F1880" w:rsidRPr="005D75EB">
        <w:rPr>
          <w:rFonts w:ascii="Palatino Linotype" w:hAnsi="Palatino Linotype" w:cs="Times New Roman"/>
          <w:color w:val="000000" w:themeColor="text1"/>
          <w:sz w:val="24"/>
          <w:szCs w:val="24"/>
        </w:rPr>
        <w:t>,</w:t>
      </w:r>
      <w:r w:rsidR="003231FD" w:rsidRPr="005D75EB">
        <w:rPr>
          <w:rFonts w:ascii="Palatino Linotype" w:hAnsi="Palatino Linotype" w:cs="Times New Roman"/>
          <w:color w:val="000000" w:themeColor="text1"/>
          <w:sz w:val="24"/>
          <w:szCs w:val="24"/>
        </w:rPr>
        <w:t xml:space="preserve"> </w:t>
      </w:r>
      <w:r w:rsidR="009F1880" w:rsidRPr="005D75EB">
        <w:rPr>
          <w:rFonts w:ascii="Palatino Linotype" w:hAnsi="Palatino Linotype" w:cs="Times New Roman"/>
          <w:color w:val="000000" w:themeColor="text1"/>
          <w:sz w:val="24"/>
          <w:szCs w:val="24"/>
        </w:rPr>
        <w:t xml:space="preserve">a new national scheme </w:t>
      </w:r>
      <w:r w:rsidR="00CB378C" w:rsidRPr="005D75EB">
        <w:rPr>
          <w:rFonts w:ascii="Palatino Linotype" w:hAnsi="Palatino Linotype" w:cs="Times New Roman"/>
          <w:color w:val="000000" w:themeColor="text1"/>
          <w:sz w:val="24"/>
          <w:szCs w:val="24"/>
        </w:rPr>
        <w:t>designed to give persons with disabilities acces</w:t>
      </w:r>
      <w:r w:rsidR="009F1880" w:rsidRPr="005D75EB">
        <w:rPr>
          <w:rFonts w:ascii="Palatino Linotype" w:hAnsi="Palatino Linotype" w:cs="Times New Roman"/>
          <w:color w:val="000000" w:themeColor="text1"/>
          <w:sz w:val="24"/>
          <w:szCs w:val="24"/>
        </w:rPr>
        <w:t>s to individualised funding to purchase disability-related supports.</w:t>
      </w:r>
      <w:r w:rsidR="006819B8" w:rsidRPr="005D75EB">
        <w:rPr>
          <w:rFonts w:ascii="Palatino Linotype" w:hAnsi="Palatino Linotype" w:cs="Times New Roman"/>
          <w:color w:val="000000" w:themeColor="text1"/>
          <w:sz w:val="24"/>
          <w:szCs w:val="24"/>
        </w:rPr>
        <w:t xml:space="preserve"> </w:t>
      </w:r>
      <w:r w:rsidR="00884BF5" w:rsidRPr="005D75EB">
        <w:rPr>
          <w:rFonts w:ascii="Palatino Linotype" w:hAnsi="Palatino Linotype" w:cs="Times New Roman"/>
          <w:color w:val="000000" w:themeColor="text1"/>
          <w:sz w:val="24"/>
          <w:szCs w:val="24"/>
        </w:rPr>
        <w:t>The first object of the legislation establishing the NDIS is to ‘in conjunction with other laws, give effect to Australia’s obligations under the Convention on the Rights of Persons with Disabilities’.</w:t>
      </w:r>
      <w:r w:rsidR="00884BF5" w:rsidRPr="005D75EB">
        <w:rPr>
          <w:rStyle w:val="FootnoteReference"/>
          <w:rFonts w:ascii="Palatino Linotype" w:hAnsi="Palatino Linotype" w:cs="Times New Roman"/>
          <w:color w:val="000000" w:themeColor="text1"/>
          <w:sz w:val="24"/>
          <w:szCs w:val="24"/>
        </w:rPr>
        <w:footnoteReference w:id="51"/>
      </w:r>
      <w:r w:rsidR="00884BF5" w:rsidRPr="005D75EB">
        <w:rPr>
          <w:rFonts w:ascii="Palatino Linotype" w:hAnsi="Palatino Linotype" w:cs="Times New Roman"/>
          <w:color w:val="000000" w:themeColor="text1"/>
          <w:sz w:val="24"/>
          <w:szCs w:val="24"/>
        </w:rPr>
        <w:t xml:space="preserve"> In light of this, t</w:t>
      </w:r>
      <w:r w:rsidR="00871B84" w:rsidRPr="005D75EB">
        <w:rPr>
          <w:rFonts w:ascii="Palatino Linotype" w:hAnsi="Palatino Linotype" w:cs="Times New Roman"/>
          <w:color w:val="000000" w:themeColor="text1"/>
          <w:sz w:val="24"/>
          <w:szCs w:val="24"/>
        </w:rPr>
        <w:t>he DHRC students developed</w:t>
      </w:r>
      <w:r w:rsidR="00756CAE" w:rsidRPr="005D75EB">
        <w:rPr>
          <w:rFonts w:ascii="Palatino Linotype" w:hAnsi="Palatino Linotype" w:cs="Times New Roman"/>
          <w:color w:val="000000" w:themeColor="text1"/>
          <w:sz w:val="24"/>
          <w:szCs w:val="24"/>
        </w:rPr>
        <w:t xml:space="preserve"> and presented</w:t>
      </w:r>
      <w:r w:rsidR="00871B84" w:rsidRPr="005D75EB">
        <w:rPr>
          <w:rFonts w:ascii="Palatino Linotype" w:hAnsi="Palatino Linotype" w:cs="Times New Roman"/>
          <w:color w:val="000000" w:themeColor="text1"/>
          <w:sz w:val="24"/>
          <w:szCs w:val="24"/>
        </w:rPr>
        <w:t xml:space="preserve"> a toolkit</w:t>
      </w:r>
      <w:r w:rsidR="00756CAE" w:rsidRPr="005D75EB">
        <w:rPr>
          <w:rFonts w:ascii="Palatino Linotype" w:hAnsi="Palatino Linotype" w:cs="Times New Roman"/>
          <w:color w:val="000000" w:themeColor="text1"/>
          <w:sz w:val="24"/>
          <w:szCs w:val="24"/>
        </w:rPr>
        <w:t xml:space="preserve"> to assist Tribunal mem</w:t>
      </w:r>
      <w:r w:rsidR="00786094" w:rsidRPr="005D75EB">
        <w:rPr>
          <w:rFonts w:ascii="Palatino Linotype" w:hAnsi="Palatino Linotype" w:cs="Times New Roman"/>
          <w:color w:val="000000" w:themeColor="text1"/>
          <w:sz w:val="24"/>
          <w:szCs w:val="24"/>
        </w:rPr>
        <w:t>bers to make decisions that are compliant with the CRPD.</w:t>
      </w:r>
    </w:p>
    <w:p w14:paraId="1FDD5229" w14:textId="00E758D2" w:rsidR="004A0CC5" w:rsidRPr="005D75EB" w:rsidRDefault="003231FD" w:rsidP="005D75EB">
      <w:pPr>
        <w:spacing w:line="480" w:lineRule="auto"/>
        <w:jc w:val="both"/>
        <w:rPr>
          <w:rFonts w:ascii="Palatino Linotype" w:hAnsi="Palatino Linotype" w:cs="Times New Roman"/>
          <w:color w:val="000000" w:themeColor="text1"/>
          <w:sz w:val="24"/>
          <w:szCs w:val="24"/>
        </w:rPr>
      </w:pPr>
      <w:r w:rsidRPr="005D75EB">
        <w:rPr>
          <w:rFonts w:ascii="Palatino Linotype" w:hAnsi="Palatino Linotype" w:cs="Times New Roman"/>
          <w:color w:val="000000" w:themeColor="text1"/>
          <w:sz w:val="24"/>
          <w:szCs w:val="24"/>
        </w:rPr>
        <w:t>In cases</w:t>
      </w:r>
      <w:r w:rsidR="00772E15" w:rsidRPr="005D75EB">
        <w:rPr>
          <w:rFonts w:ascii="Palatino Linotype" w:hAnsi="Palatino Linotype" w:cs="Times New Roman"/>
          <w:color w:val="000000" w:themeColor="text1"/>
          <w:sz w:val="24"/>
          <w:szCs w:val="24"/>
        </w:rPr>
        <w:t xml:space="preserve"> were person with disabilities and their representative organisations are not the primary project partners</w:t>
      </w:r>
      <w:r w:rsidRPr="005D75EB">
        <w:rPr>
          <w:rFonts w:ascii="Palatino Linotype" w:hAnsi="Palatino Linotype" w:cs="Times New Roman"/>
          <w:color w:val="000000" w:themeColor="text1"/>
          <w:sz w:val="24"/>
          <w:szCs w:val="24"/>
        </w:rPr>
        <w:t>,</w:t>
      </w:r>
      <w:r w:rsidR="008F3C87" w:rsidRPr="005D75EB">
        <w:rPr>
          <w:rFonts w:ascii="Palatino Linotype" w:hAnsi="Palatino Linotype" w:cs="Times New Roman"/>
          <w:color w:val="000000" w:themeColor="text1"/>
          <w:sz w:val="24"/>
          <w:szCs w:val="24"/>
        </w:rPr>
        <w:t xml:space="preserve"> it is especially crucial to ensure that </w:t>
      </w:r>
      <w:r w:rsidR="00AF5639" w:rsidRPr="005D75EB">
        <w:rPr>
          <w:rFonts w:ascii="Palatino Linotype" w:hAnsi="Palatino Linotype" w:cs="Times New Roman"/>
          <w:color w:val="000000" w:themeColor="text1"/>
          <w:sz w:val="24"/>
          <w:szCs w:val="24"/>
        </w:rPr>
        <w:t xml:space="preserve">the voices of the </w:t>
      </w:r>
      <w:r w:rsidR="00AF5639" w:rsidRPr="005D75EB">
        <w:rPr>
          <w:rFonts w:ascii="Palatino Linotype" w:hAnsi="Palatino Linotype" w:cs="Times New Roman"/>
          <w:color w:val="000000" w:themeColor="text1"/>
          <w:sz w:val="24"/>
          <w:szCs w:val="24"/>
        </w:rPr>
        <w:lastRenderedPageBreak/>
        <w:t>disability community still guide the research. For example, research projects will only be selected if their goals are consistent with the CRPD and the statements of DPOs, the Committee</w:t>
      </w:r>
      <w:r w:rsidRPr="005D75EB">
        <w:rPr>
          <w:rFonts w:ascii="Palatino Linotype" w:hAnsi="Palatino Linotype" w:cs="Times New Roman"/>
          <w:color w:val="000000" w:themeColor="text1"/>
          <w:sz w:val="24"/>
          <w:szCs w:val="24"/>
        </w:rPr>
        <w:t xml:space="preserve"> </w:t>
      </w:r>
      <w:r w:rsidR="00AF5639" w:rsidRPr="005D75EB">
        <w:rPr>
          <w:rFonts w:ascii="Palatino Linotype" w:hAnsi="Palatino Linotype" w:cs="Times New Roman"/>
          <w:color w:val="000000" w:themeColor="text1"/>
          <w:sz w:val="24"/>
          <w:szCs w:val="24"/>
        </w:rPr>
        <w:t>on the Rights of Person with Disabilities or other U</w:t>
      </w:r>
      <w:r w:rsidR="00F81155" w:rsidRPr="005D75EB">
        <w:rPr>
          <w:rFonts w:ascii="Palatino Linotype" w:hAnsi="Palatino Linotype" w:cs="Times New Roman"/>
          <w:color w:val="000000" w:themeColor="text1"/>
          <w:sz w:val="24"/>
          <w:szCs w:val="24"/>
        </w:rPr>
        <w:t xml:space="preserve">nited </w:t>
      </w:r>
      <w:r w:rsidR="00AF5639" w:rsidRPr="005D75EB">
        <w:rPr>
          <w:rFonts w:ascii="Palatino Linotype" w:hAnsi="Palatino Linotype" w:cs="Times New Roman"/>
          <w:color w:val="000000" w:themeColor="text1"/>
          <w:sz w:val="24"/>
          <w:szCs w:val="24"/>
        </w:rPr>
        <w:t>N</w:t>
      </w:r>
      <w:r w:rsidR="00F81155" w:rsidRPr="005D75EB">
        <w:rPr>
          <w:rFonts w:ascii="Palatino Linotype" w:hAnsi="Palatino Linotype" w:cs="Times New Roman"/>
          <w:color w:val="000000" w:themeColor="text1"/>
          <w:sz w:val="24"/>
          <w:szCs w:val="24"/>
        </w:rPr>
        <w:t xml:space="preserve">ations mechanisms </w:t>
      </w:r>
      <w:r w:rsidR="00AF5639" w:rsidRPr="005D75EB">
        <w:rPr>
          <w:rFonts w:ascii="Palatino Linotype" w:hAnsi="Palatino Linotype" w:cs="Times New Roman"/>
          <w:color w:val="000000" w:themeColor="text1"/>
          <w:sz w:val="24"/>
          <w:szCs w:val="24"/>
        </w:rPr>
        <w:t xml:space="preserve">and agencies. In the DHRC, </w:t>
      </w:r>
      <w:r w:rsidRPr="005D75EB">
        <w:rPr>
          <w:rFonts w:ascii="Palatino Linotype" w:hAnsi="Palatino Linotype" w:cs="Times New Roman"/>
          <w:color w:val="000000" w:themeColor="text1"/>
          <w:sz w:val="24"/>
          <w:szCs w:val="24"/>
        </w:rPr>
        <w:t xml:space="preserve">students are expected to make contact with relevant DPOs during the course of their projects, in order to seek their perspective </w:t>
      </w:r>
      <w:r w:rsidR="0041524B" w:rsidRPr="005D75EB">
        <w:rPr>
          <w:rFonts w:ascii="Palatino Linotype" w:hAnsi="Palatino Linotype" w:cs="Times New Roman"/>
          <w:color w:val="000000" w:themeColor="text1"/>
          <w:sz w:val="24"/>
          <w:szCs w:val="24"/>
        </w:rPr>
        <w:t xml:space="preserve">and guidance </w:t>
      </w:r>
      <w:r w:rsidRPr="005D75EB">
        <w:rPr>
          <w:rFonts w:ascii="Palatino Linotype" w:hAnsi="Palatino Linotype" w:cs="Times New Roman"/>
          <w:color w:val="000000" w:themeColor="text1"/>
          <w:sz w:val="24"/>
          <w:szCs w:val="24"/>
        </w:rPr>
        <w:t xml:space="preserve">on the issue and </w:t>
      </w:r>
      <w:r w:rsidR="0041524B" w:rsidRPr="005D75EB">
        <w:rPr>
          <w:rFonts w:ascii="Palatino Linotype" w:hAnsi="Palatino Linotype" w:cs="Times New Roman"/>
          <w:color w:val="000000" w:themeColor="text1"/>
          <w:sz w:val="24"/>
          <w:szCs w:val="24"/>
        </w:rPr>
        <w:t xml:space="preserve">to </w:t>
      </w:r>
      <w:r w:rsidRPr="005D75EB">
        <w:rPr>
          <w:rFonts w:ascii="Palatino Linotype" w:hAnsi="Palatino Linotype" w:cs="Times New Roman"/>
          <w:color w:val="000000" w:themeColor="text1"/>
          <w:sz w:val="24"/>
          <w:szCs w:val="24"/>
        </w:rPr>
        <w:t xml:space="preserve">invite their input. </w:t>
      </w:r>
      <w:r w:rsidR="006007D1" w:rsidRPr="005D75EB">
        <w:rPr>
          <w:rFonts w:ascii="Palatino Linotype" w:hAnsi="Palatino Linotype" w:cs="Times New Roman"/>
          <w:color w:val="000000" w:themeColor="text1"/>
          <w:sz w:val="24"/>
          <w:szCs w:val="24"/>
        </w:rPr>
        <w:t xml:space="preserve"> Ideally, students will also share their research outputs with interested DPOs, and produce versions of their materials that may be useful to that group. For example, </w:t>
      </w:r>
      <w:r w:rsidR="00211BD4" w:rsidRPr="005D75EB">
        <w:rPr>
          <w:rFonts w:ascii="Palatino Linotype" w:hAnsi="Palatino Linotype" w:cs="Times New Roman"/>
          <w:color w:val="000000" w:themeColor="text1"/>
          <w:sz w:val="24"/>
          <w:szCs w:val="24"/>
        </w:rPr>
        <w:t>one group of DHRC students</w:t>
      </w:r>
      <w:r w:rsidR="00032286" w:rsidRPr="005D75EB">
        <w:rPr>
          <w:rFonts w:ascii="Palatino Linotype" w:hAnsi="Palatino Linotype" w:cs="Times New Roman"/>
          <w:color w:val="000000" w:themeColor="text1"/>
          <w:sz w:val="24"/>
          <w:szCs w:val="24"/>
        </w:rPr>
        <w:t xml:space="preserve"> who</w:t>
      </w:r>
      <w:r w:rsidR="00211BD4" w:rsidRPr="005D75EB">
        <w:rPr>
          <w:rFonts w:ascii="Palatino Linotype" w:hAnsi="Palatino Linotype" w:cs="Times New Roman"/>
          <w:color w:val="000000" w:themeColor="text1"/>
          <w:sz w:val="24"/>
          <w:szCs w:val="24"/>
        </w:rPr>
        <w:t xml:space="preserve"> </w:t>
      </w:r>
      <w:r w:rsidR="006007D1" w:rsidRPr="005D75EB">
        <w:rPr>
          <w:rFonts w:ascii="Palatino Linotype" w:hAnsi="Palatino Linotype" w:cs="Times New Roman"/>
          <w:color w:val="000000" w:themeColor="text1"/>
          <w:sz w:val="24"/>
          <w:szCs w:val="24"/>
        </w:rPr>
        <w:t xml:space="preserve">conducted comparative research on Australian and German guardianship </w:t>
      </w:r>
      <w:r w:rsidR="000D0C87" w:rsidRPr="005D75EB">
        <w:rPr>
          <w:rFonts w:ascii="Palatino Linotype" w:hAnsi="Palatino Linotype" w:cs="Times New Roman"/>
          <w:color w:val="000000" w:themeColor="text1"/>
          <w:sz w:val="24"/>
          <w:szCs w:val="24"/>
        </w:rPr>
        <w:t xml:space="preserve">laws </w:t>
      </w:r>
      <w:r w:rsidR="00CF677A" w:rsidRPr="005D75EB">
        <w:rPr>
          <w:rFonts w:ascii="Palatino Linotype" w:hAnsi="Palatino Linotype" w:cs="Times New Roman"/>
          <w:color w:val="000000" w:themeColor="text1"/>
          <w:sz w:val="24"/>
          <w:szCs w:val="24"/>
        </w:rPr>
        <w:t xml:space="preserve">for partners at the </w:t>
      </w:r>
      <w:r w:rsidR="007408A4" w:rsidRPr="005D75EB">
        <w:rPr>
          <w:rFonts w:ascii="Palatino Linotype" w:hAnsi="Palatino Linotype" w:cs="Times New Roman"/>
          <w:color w:val="000000" w:themeColor="text1"/>
          <w:sz w:val="24"/>
          <w:szCs w:val="24"/>
        </w:rPr>
        <w:t>Bochum Centre for Disability Studies</w:t>
      </w:r>
      <w:r w:rsidR="00BC7A19" w:rsidRPr="005D75EB">
        <w:rPr>
          <w:rFonts w:ascii="Palatino Linotype" w:hAnsi="Palatino Linotype" w:cs="Times New Roman"/>
          <w:color w:val="000000" w:themeColor="text1"/>
          <w:sz w:val="24"/>
          <w:szCs w:val="24"/>
        </w:rPr>
        <w:t xml:space="preserve"> (BODYS)</w:t>
      </w:r>
      <w:r w:rsidR="007408A4" w:rsidRPr="005D75EB">
        <w:rPr>
          <w:rFonts w:ascii="Palatino Linotype" w:hAnsi="Palatino Linotype" w:cs="Times New Roman"/>
          <w:color w:val="000000" w:themeColor="text1"/>
          <w:sz w:val="24"/>
          <w:szCs w:val="24"/>
        </w:rPr>
        <w:t xml:space="preserve"> at the </w:t>
      </w:r>
      <w:r w:rsidR="00CF677A" w:rsidRPr="005D75EB">
        <w:rPr>
          <w:rFonts w:ascii="Palatino Linotype" w:hAnsi="Palatino Linotype" w:cs="Times New Roman"/>
          <w:color w:val="000000" w:themeColor="text1"/>
          <w:sz w:val="24"/>
          <w:szCs w:val="24"/>
        </w:rPr>
        <w:t>Protestant University of Applied Sciences</w:t>
      </w:r>
      <w:r w:rsidR="00117173" w:rsidRPr="005D75EB">
        <w:rPr>
          <w:rFonts w:ascii="Palatino Linotype" w:hAnsi="Palatino Linotype" w:cs="Times New Roman"/>
          <w:color w:val="000000" w:themeColor="text1"/>
          <w:sz w:val="24"/>
          <w:szCs w:val="24"/>
        </w:rPr>
        <w:t xml:space="preserve"> RWL (Germany)</w:t>
      </w:r>
      <w:r w:rsidR="00211BD4" w:rsidRPr="005D75EB">
        <w:rPr>
          <w:rFonts w:ascii="Palatino Linotype" w:hAnsi="Palatino Linotype" w:cs="Times New Roman"/>
          <w:color w:val="000000" w:themeColor="text1"/>
          <w:sz w:val="24"/>
          <w:szCs w:val="24"/>
        </w:rPr>
        <w:t xml:space="preserve"> also ran a workshop </w:t>
      </w:r>
      <w:r w:rsidR="004054D2" w:rsidRPr="005D75EB">
        <w:rPr>
          <w:rFonts w:ascii="Palatino Linotype" w:hAnsi="Palatino Linotype" w:cs="Times New Roman"/>
          <w:color w:val="000000" w:themeColor="text1"/>
          <w:sz w:val="24"/>
          <w:szCs w:val="24"/>
        </w:rPr>
        <w:t xml:space="preserve">on Victorian guardianship laws </w:t>
      </w:r>
      <w:r w:rsidR="00211BD4" w:rsidRPr="005D75EB">
        <w:rPr>
          <w:rFonts w:ascii="Palatino Linotype" w:hAnsi="Palatino Linotype" w:cs="Times New Roman"/>
          <w:color w:val="000000" w:themeColor="text1"/>
          <w:sz w:val="24"/>
          <w:szCs w:val="24"/>
        </w:rPr>
        <w:t>and sought feedback on the</w:t>
      </w:r>
      <w:r w:rsidR="00DB5EA3" w:rsidRPr="005D75EB">
        <w:rPr>
          <w:rFonts w:ascii="Palatino Linotype" w:hAnsi="Palatino Linotype" w:cs="Times New Roman"/>
          <w:color w:val="000000" w:themeColor="text1"/>
          <w:sz w:val="24"/>
          <w:szCs w:val="24"/>
        </w:rPr>
        <w:t>ir</w:t>
      </w:r>
      <w:r w:rsidR="00211BD4" w:rsidRPr="005D75EB">
        <w:rPr>
          <w:rFonts w:ascii="Palatino Linotype" w:hAnsi="Palatino Linotype" w:cs="Times New Roman"/>
          <w:color w:val="000000" w:themeColor="text1"/>
          <w:sz w:val="24"/>
          <w:szCs w:val="24"/>
        </w:rPr>
        <w:t xml:space="preserve"> researc</w:t>
      </w:r>
      <w:r w:rsidR="006403FC" w:rsidRPr="005D75EB">
        <w:rPr>
          <w:rFonts w:ascii="Palatino Linotype" w:hAnsi="Palatino Linotype" w:cs="Times New Roman"/>
          <w:color w:val="000000" w:themeColor="text1"/>
          <w:sz w:val="24"/>
          <w:szCs w:val="24"/>
        </w:rPr>
        <w:t xml:space="preserve">h from the leadership group at </w:t>
      </w:r>
      <w:proofErr w:type="spellStart"/>
      <w:r w:rsidR="006403FC" w:rsidRPr="005D75EB">
        <w:rPr>
          <w:rFonts w:ascii="Palatino Linotype" w:hAnsi="Palatino Linotype" w:cs="Times New Roman"/>
          <w:color w:val="000000" w:themeColor="text1"/>
          <w:sz w:val="24"/>
          <w:szCs w:val="24"/>
        </w:rPr>
        <w:t>VALiD</w:t>
      </w:r>
      <w:proofErr w:type="spellEnd"/>
      <w:r w:rsidR="006403FC" w:rsidRPr="005D75EB">
        <w:rPr>
          <w:rFonts w:ascii="Palatino Linotype" w:hAnsi="Palatino Linotype" w:cs="Times New Roman"/>
          <w:color w:val="000000" w:themeColor="text1"/>
          <w:sz w:val="24"/>
          <w:szCs w:val="24"/>
        </w:rPr>
        <w:t>, a</w:t>
      </w:r>
      <w:r w:rsidR="00A06B86" w:rsidRPr="005D75EB">
        <w:rPr>
          <w:rFonts w:ascii="Palatino Linotype" w:hAnsi="Palatino Linotype" w:cs="Times New Roman"/>
          <w:color w:val="000000" w:themeColor="text1"/>
          <w:sz w:val="24"/>
          <w:szCs w:val="24"/>
        </w:rPr>
        <w:t xml:space="preserve"> Victorian</w:t>
      </w:r>
      <w:r w:rsidR="00211BD4" w:rsidRPr="005D75EB">
        <w:rPr>
          <w:rFonts w:ascii="Palatino Linotype" w:hAnsi="Palatino Linotype" w:cs="Times New Roman"/>
          <w:color w:val="000000" w:themeColor="text1"/>
          <w:sz w:val="24"/>
          <w:szCs w:val="24"/>
        </w:rPr>
        <w:t xml:space="preserve"> </w:t>
      </w:r>
      <w:r w:rsidR="00BD068A" w:rsidRPr="005D75EB">
        <w:rPr>
          <w:rFonts w:ascii="Palatino Linotype" w:hAnsi="Palatino Linotype" w:cs="Times New Roman"/>
          <w:color w:val="000000" w:themeColor="text1"/>
          <w:sz w:val="24"/>
          <w:szCs w:val="24"/>
        </w:rPr>
        <w:t>organisation run by and for</w:t>
      </w:r>
      <w:r w:rsidR="00211BD4" w:rsidRPr="005D75EB">
        <w:rPr>
          <w:rFonts w:ascii="Palatino Linotype" w:hAnsi="Palatino Linotype" w:cs="Times New Roman"/>
          <w:color w:val="000000" w:themeColor="text1"/>
          <w:sz w:val="24"/>
          <w:szCs w:val="24"/>
        </w:rPr>
        <w:t xml:space="preserve"> persons with intellectual disability </w:t>
      </w:r>
      <w:r w:rsidR="00BD068A" w:rsidRPr="005D75EB">
        <w:rPr>
          <w:rFonts w:ascii="Palatino Linotype" w:hAnsi="Palatino Linotype" w:cs="Times New Roman"/>
          <w:color w:val="000000" w:themeColor="text1"/>
          <w:sz w:val="24"/>
          <w:szCs w:val="24"/>
        </w:rPr>
        <w:t>and families.</w:t>
      </w:r>
    </w:p>
    <w:p w14:paraId="1BE23701" w14:textId="09C9FFD4" w:rsidR="000F4CDB" w:rsidRPr="005D75EB" w:rsidRDefault="00EE71CC" w:rsidP="005D75EB">
      <w:pPr>
        <w:spacing w:line="480" w:lineRule="auto"/>
        <w:jc w:val="both"/>
        <w:rPr>
          <w:rFonts w:ascii="Palatino Linotype" w:hAnsi="Palatino Linotype" w:cs="Times New Roman"/>
          <w:color w:val="000000" w:themeColor="text1"/>
          <w:sz w:val="24"/>
          <w:szCs w:val="24"/>
        </w:rPr>
      </w:pPr>
      <w:r w:rsidRPr="005D75EB">
        <w:rPr>
          <w:rFonts w:ascii="Palatino Linotype" w:hAnsi="Palatino Linotype" w:cs="Times New Roman"/>
          <w:color w:val="000000" w:themeColor="text1"/>
          <w:sz w:val="24"/>
          <w:szCs w:val="24"/>
        </w:rPr>
        <w:t>The DHRC</w:t>
      </w:r>
      <w:r w:rsidR="000123DF" w:rsidRPr="005D75EB">
        <w:rPr>
          <w:rFonts w:ascii="Palatino Linotype" w:hAnsi="Palatino Linotype" w:cs="Times New Roman"/>
          <w:color w:val="000000" w:themeColor="text1"/>
          <w:sz w:val="24"/>
          <w:szCs w:val="24"/>
        </w:rPr>
        <w:t xml:space="preserve"> use</w:t>
      </w:r>
      <w:r w:rsidR="00D3163B" w:rsidRPr="005D75EB">
        <w:rPr>
          <w:rFonts w:ascii="Palatino Linotype" w:hAnsi="Palatino Linotype" w:cs="Times New Roman"/>
          <w:color w:val="000000" w:themeColor="text1"/>
          <w:sz w:val="24"/>
          <w:szCs w:val="24"/>
        </w:rPr>
        <w:t>s</w:t>
      </w:r>
      <w:r w:rsidR="000123DF" w:rsidRPr="005D75EB">
        <w:rPr>
          <w:rFonts w:ascii="Palatino Linotype" w:hAnsi="Palatino Linotype" w:cs="Times New Roman"/>
          <w:color w:val="000000" w:themeColor="text1"/>
          <w:sz w:val="24"/>
          <w:szCs w:val="24"/>
        </w:rPr>
        <w:t xml:space="preserve"> several methods to engage</w:t>
      </w:r>
      <w:r w:rsidRPr="005D75EB">
        <w:rPr>
          <w:rFonts w:ascii="Palatino Linotype" w:hAnsi="Palatino Linotype" w:cs="Times New Roman"/>
          <w:color w:val="000000" w:themeColor="text1"/>
          <w:sz w:val="24"/>
          <w:szCs w:val="24"/>
        </w:rPr>
        <w:t xml:space="preserve"> with DPOs and other potential partners</w:t>
      </w:r>
      <w:r w:rsidR="000F4CDB" w:rsidRPr="005D75EB">
        <w:rPr>
          <w:rFonts w:ascii="Palatino Linotype" w:hAnsi="Palatino Linotype" w:cs="Times New Roman"/>
          <w:color w:val="000000" w:themeColor="text1"/>
          <w:sz w:val="24"/>
          <w:szCs w:val="24"/>
        </w:rPr>
        <w:t xml:space="preserve">. The DHRC website (hosted by Melbourne Law School) invites DPOs and persons with disabilities to propose research topics and collaborate with students and researchers to investigate those topics and produce research outputs. The clinic director and her colleagues also refer potential partners to the clinic when they are approached or otherwise hear about suitable projects. Information about human rights violations and issues of concern are also sought from other stakeholders, such as domestic </w:t>
      </w:r>
      <w:r w:rsidR="000F4CDB" w:rsidRPr="005D75EB">
        <w:rPr>
          <w:rFonts w:ascii="Palatino Linotype" w:hAnsi="Palatino Linotype" w:cs="Times New Roman"/>
          <w:color w:val="000000" w:themeColor="text1"/>
          <w:sz w:val="24"/>
          <w:szCs w:val="24"/>
        </w:rPr>
        <w:lastRenderedPageBreak/>
        <w:t>government bodies, non-DPO civil society organisations, disability service providers, and United Nations mandates and mechanisms (including members of the CRPD Committee and the Special Rapporteur on the Rights of Persons with Disabilities), although these voices are always considered to be secondary to those of persons with disabilities.</w:t>
      </w:r>
    </w:p>
    <w:p w14:paraId="08A5BD20" w14:textId="05F76B6A" w:rsidR="008D6884" w:rsidRPr="005D6811" w:rsidRDefault="00802C0E" w:rsidP="005D75EB">
      <w:pPr>
        <w:pStyle w:val="ListParagraph"/>
        <w:numPr>
          <w:ilvl w:val="0"/>
          <w:numId w:val="3"/>
        </w:numPr>
        <w:spacing w:line="480" w:lineRule="auto"/>
        <w:jc w:val="both"/>
        <w:rPr>
          <w:rFonts w:ascii="Palatino Linotype" w:hAnsi="Palatino Linotype" w:cs="Times New Roman"/>
          <w:b/>
          <w:i/>
          <w:sz w:val="24"/>
          <w:szCs w:val="24"/>
        </w:rPr>
      </w:pPr>
      <w:r w:rsidRPr="005D6811">
        <w:rPr>
          <w:rFonts w:ascii="Palatino Linotype" w:hAnsi="Palatino Linotype" w:cs="Times New Roman"/>
          <w:b/>
          <w:i/>
          <w:sz w:val="24"/>
          <w:szCs w:val="24"/>
        </w:rPr>
        <w:t>Par</w:t>
      </w:r>
      <w:r w:rsidR="008F6176" w:rsidRPr="005D6811">
        <w:rPr>
          <w:rFonts w:ascii="Palatino Linotype" w:hAnsi="Palatino Linotype" w:cs="Times New Roman"/>
          <w:b/>
          <w:i/>
          <w:sz w:val="24"/>
          <w:szCs w:val="24"/>
        </w:rPr>
        <w:t>ticipatory research methodology</w:t>
      </w:r>
    </w:p>
    <w:p w14:paraId="36471B1E" w14:textId="4F8DA5DA" w:rsidR="0092011F" w:rsidRPr="005D75EB" w:rsidRDefault="00CF4CCE" w:rsidP="005D75EB">
      <w:pPr>
        <w:spacing w:line="480" w:lineRule="auto"/>
        <w:jc w:val="both"/>
        <w:rPr>
          <w:rFonts w:ascii="Palatino Linotype" w:hAnsi="Palatino Linotype" w:cs="Times New Roman"/>
          <w:color w:val="000000" w:themeColor="text1"/>
          <w:sz w:val="24"/>
          <w:szCs w:val="24"/>
        </w:rPr>
      </w:pPr>
      <w:r w:rsidRPr="005D75EB">
        <w:rPr>
          <w:rFonts w:ascii="Palatino Linotype" w:hAnsi="Palatino Linotype" w:cs="Times New Roman"/>
          <w:color w:val="000000" w:themeColor="text1"/>
          <w:sz w:val="24"/>
          <w:szCs w:val="24"/>
        </w:rPr>
        <w:t xml:space="preserve">Partnerships with DPOs in disability human rights </w:t>
      </w:r>
      <w:r w:rsidR="00D46832" w:rsidRPr="005D75EB">
        <w:rPr>
          <w:rFonts w:ascii="Palatino Linotype" w:hAnsi="Palatino Linotype" w:cs="Times New Roman"/>
          <w:color w:val="000000" w:themeColor="text1"/>
          <w:sz w:val="24"/>
          <w:szCs w:val="24"/>
        </w:rPr>
        <w:t>clinics</w:t>
      </w:r>
      <w:r w:rsidRPr="005D75EB">
        <w:rPr>
          <w:rFonts w:ascii="Palatino Linotype" w:hAnsi="Palatino Linotype" w:cs="Times New Roman"/>
          <w:color w:val="000000" w:themeColor="text1"/>
          <w:sz w:val="24"/>
          <w:szCs w:val="24"/>
        </w:rPr>
        <w:t xml:space="preserve"> should not be restricted to </w:t>
      </w:r>
      <w:r w:rsidR="00D46832" w:rsidRPr="005D75EB">
        <w:rPr>
          <w:rFonts w:ascii="Palatino Linotype" w:hAnsi="Palatino Linotype" w:cs="Times New Roman"/>
          <w:color w:val="000000" w:themeColor="text1"/>
          <w:sz w:val="24"/>
          <w:szCs w:val="24"/>
        </w:rPr>
        <w:t>commissioning</w:t>
      </w:r>
      <w:r w:rsidRPr="005D75EB">
        <w:rPr>
          <w:rFonts w:ascii="Palatino Linotype" w:hAnsi="Palatino Linotype" w:cs="Times New Roman"/>
          <w:color w:val="000000" w:themeColor="text1"/>
          <w:sz w:val="24"/>
          <w:szCs w:val="24"/>
        </w:rPr>
        <w:t xml:space="preserve"> </w:t>
      </w:r>
      <w:r w:rsidR="00642622" w:rsidRPr="005D75EB">
        <w:rPr>
          <w:rFonts w:ascii="Palatino Linotype" w:hAnsi="Palatino Linotype" w:cs="Times New Roman"/>
          <w:color w:val="000000" w:themeColor="text1"/>
          <w:sz w:val="24"/>
          <w:szCs w:val="24"/>
        </w:rPr>
        <w:t xml:space="preserve">clinical </w:t>
      </w:r>
      <w:r w:rsidRPr="005D75EB">
        <w:rPr>
          <w:rFonts w:ascii="Palatino Linotype" w:hAnsi="Palatino Linotype" w:cs="Times New Roman"/>
          <w:color w:val="000000" w:themeColor="text1"/>
          <w:sz w:val="24"/>
          <w:szCs w:val="24"/>
        </w:rPr>
        <w:t xml:space="preserve">projects and </w:t>
      </w:r>
      <w:r w:rsidR="00DD4FB8" w:rsidRPr="005D75EB">
        <w:rPr>
          <w:rFonts w:ascii="Palatino Linotype" w:hAnsi="Palatino Linotype" w:cs="Times New Roman"/>
          <w:color w:val="000000" w:themeColor="text1"/>
          <w:sz w:val="24"/>
          <w:szCs w:val="24"/>
        </w:rPr>
        <w:t xml:space="preserve">taking receipt of research outputs. Rather, </w:t>
      </w:r>
      <w:r w:rsidRPr="005D75EB">
        <w:rPr>
          <w:rFonts w:ascii="Palatino Linotype" w:hAnsi="Palatino Linotype" w:cs="Times New Roman"/>
          <w:color w:val="000000" w:themeColor="text1"/>
          <w:sz w:val="24"/>
          <w:szCs w:val="24"/>
        </w:rPr>
        <w:t>individuals and organisations should be involved as co-designers and co-producers of the research</w:t>
      </w:r>
      <w:r w:rsidR="00A473CE" w:rsidRPr="005D75EB">
        <w:rPr>
          <w:rFonts w:ascii="Palatino Linotype" w:hAnsi="Palatino Linotype" w:cs="Times New Roman"/>
          <w:color w:val="000000" w:themeColor="text1"/>
          <w:sz w:val="24"/>
          <w:szCs w:val="24"/>
        </w:rPr>
        <w:t>, in-keeping with the principles of participatory and emancipatory research developed in disability studies and reinforced in the CRPD</w:t>
      </w:r>
      <w:r w:rsidRPr="005D75EB">
        <w:rPr>
          <w:rStyle w:val="Absatz-Standardschriftart1"/>
          <w:rFonts w:ascii="Palatino Linotype" w:hAnsi="Palatino Linotype" w:cs="Times New Roman"/>
          <w:sz w:val="24"/>
          <w:szCs w:val="24"/>
          <w:lang w:val="en-US"/>
        </w:rPr>
        <w:t>.</w:t>
      </w:r>
      <w:r w:rsidR="006B1B10" w:rsidRPr="005D75EB">
        <w:rPr>
          <w:rStyle w:val="Absatz-Standardschriftart1"/>
          <w:rFonts w:ascii="Palatino Linotype" w:hAnsi="Palatino Linotype" w:cs="Times New Roman"/>
          <w:sz w:val="24"/>
          <w:szCs w:val="24"/>
          <w:lang w:val="en-US"/>
        </w:rPr>
        <w:t xml:space="preserve"> </w:t>
      </w:r>
      <w:r w:rsidR="0092011F" w:rsidRPr="005D75EB">
        <w:rPr>
          <w:rFonts w:ascii="Palatino Linotype" w:hAnsi="Palatino Linotype" w:cs="Times New Roman"/>
          <w:color w:val="000000" w:themeColor="text1"/>
          <w:sz w:val="24"/>
          <w:szCs w:val="24"/>
        </w:rPr>
        <w:t>This means that research topics must designed on the basis of concerns raised by, or direct research requests</w:t>
      </w:r>
      <w:r w:rsidR="00D46832" w:rsidRPr="005D75EB">
        <w:rPr>
          <w:rFonts w:ascii="Palatino Linotype" w:hAnsi="Palatino Linotype" w:cs="Times New Roman"/>
          <w:color w:val="000000" w:themeColor="text1"/>
          <w:sz w:val="24"/>
          <w:szCs w:val="24"/>
        </w:rPr>
        <w:t xml:space="preserve"> from, the disability community. It also requires</w:t>
      </w:r>
      <w:r w:rsidR="0092011F" w:rsidRPr="005D75EB">
        <w:rPr>
          <w:rFonts w:ascii="Palatino Linotype" w:hAnsi="Palatino Linotype" w:cs="Times New Roman"/>
          <w:color w:val="000000" w:themeColor="text1"/>
          <w:sz w:val="24"/>
          <w:szCs w:val="24"/>
        </w:rPr>
        <w:t xml:space="preserve"> students and researchers </w:t>
      </w:r>
      <w:r w:rsidR="00D46832" w:rsidRPr="005D75EB">
        <w:rPr>
          <w:rFonts w:ascii="Palatino Linotype" w:hAnsi="Palatino Linotype" w:cs="Times New Roman"/>
          <w:color w:val="000000" w:themeColor="text1"/>
          <w:sz w:val="24"/>
          <w:szCs w:val="24"/>
        </w:rPr>
        <w:t xml:space="preserve">to </w:t>
      </w:r>
      <w:r w:rsidR="0092011F" w:rsidRPr="005D75EB">
        <w:rPr>
          <w:rFonts w:ascii="Palatino Linotype" w:hAnsi="Palatino Linotype" w:cs="Times New Roman"/>
          <w:color w:val="000000" w:themeColor="text1"/>
          <w:sz w:val="24"/>
          <w:szCs w:val="24"/>
        </w:rPr>
        <w:t>discuss and agree on the design and conduct of the research project with these partners, hold regular meetings to discuss and refine the research process, and incorporate feedback from community partners before finalising their research reports or oth</w:t>
      </w:r>
      <w:r w:rsidR="00470E7E" w:rsidRPr="005D75EB">
        <w:rPr>
          <w:rFonts w:ascii="Palatino Linotype" w:hAnsi="Palatino Linotype" w:cs="Times New Roman"/>
          <w:color w:val="000000" w:themeColor="text1"/>
          <w:sz w:val="24"/>
          <w:szCs w:val="24"/>
        </w:rPr>
        <w:t>er project outcomes, including identifying</w:t>
      </w:r>
      <w:r w:rsidR="0092011F" w:rsidRPr="005D75EB">
        <w:rPr>
          <w:rFonts w:ascii="Palatino Linotype" w:hAnsi="Palatino Linotype" w:cs="Times New Roman"/>
          <w:color w:val="000000" w:themeColor="text1"/>
          <w:sz w:val="24"/>
          <w:szCs w:val="24"/>
        </w:rPr>
        <w:t xml:space="preserve"> accessible ways of disseminating the reports (discussed further below).</w:t>
      </w:r>
    </w:p>
    <w:p w14:paraId="7923A39B" w14:textId="20A3CA48" w:rsidR="00992858" w:rsidRPr="005D75EB" w:rsidRDefault="00DC18EE" w:rsidP="005D75EB">
      <w:pPr>
        <w:pStyle w:val="Standard1"/>
        <w:spacing w:line="480" w:lineRule="auto"/>
        <w:jc w:val="both"/>
        <w:rPr>
          <w:rStyle w:val="Absatz-Standardschriftart1"/>
          <w:rFonts w:ascii="Palatino Linotype" w:hAnsi="Palatino Linotype"/>
          <w:sz w:val="24"/>
          <w:szCs w:val="24"/>
          <w:lang w:val="en-US"/>
        </w:rPr>
      </w:pPr>
      <w:r w:rsidRPr="005D75EB">
        <w:rPr>
          <w:rStyle w:val="Absatz-Standardschriftart1"/>
          <w:rFonts w:ascii="Palatino Linotype" w:hAnsi="Palatino Linotype"/>
          <w:sz w:val="24"/>
          <w:szCs w:val="24"/>
          <w:lang w:val="en-US"/>
        </w:rPr>
        <w:t>T</w:t>
      </w:r>
      <w:r w:rsidR="0058069C" w:rsidRPr="005D75EB">
        <w:rPr>
          <w:rStyle w:val="Absatz-Standardschriftart1"/>
          <w:rFonts w:ascii="Palatino Linotype" w:hAnsi="Palatino Linotype"/>
          <w:sz w:val="24"/>
          <w:szCs w:val="24"/>
          <w:lang w:val="en-US"/>
        </w:rPr>
        <w:t>his ongoing engagement has several advantages</w:t>
      </w:r>
      <w:r w:rsidRPr="005D75EB">
        <w:rPr>
          <w:rStyle w:val="Absatz-Standardschriftart1"/>
          <w:rFonts w:ascii="Palatino Linotype" w:hAnsi="Palatino Linotype"/>
          <w:sz w:val="24"/>
          <w:szCs w:val="24"/>
          <w:lang w:val="en-US"/>
        </w:rPr>
        <w:t>.</w:t>
      </w:r>
      <w:r w:rsidR="0058069C" w:rsidRPr="005D75EB">
        <w:rPr>
          <w:rStyle w:val="Absatz-Standardschriftart1"/>
          <w:rFonts w:ascii="Palatino Linotype" w:hAnsi="Palatino Linotype"/>
          <w:sz w:val="24"/>
          <w:szCs w:val="24"/>
          <w:lang w:val="en-US"/>
        </w:rPr>
        <w:t xml:space="preserve"> Resea</w:t>
      </w:r>
      <w:r w:rsidR="00D105E3" w:rsidRPr="005D75EB">
        <w:rPr>
          <w:rStyle w:val="Absatz-Standardschriftart1"/>
          <w:rFonts w:ascii="Palatino Linotype" w:hAnsi="Palatino Linotype"/>
          <w:sz w:val="24"/>
          <w:szCs w:val="24"/>
          <w:lang w:val="en-US"/>
        </w:rPr>
        <w:t>rch outcomes are not dictated</w:t>
      </w:r>
      <w:r w:rsidR="0058069C" w:rsidRPr="005D75EB">
        <w:rPr>
          <w:rStyle w:val="Absatz-Standardschriftart1"/>
          <w:rFonts w:ascii="Palatino Linotype" w:hAnsi="Palatino Linotype"/>
          <w:sz w:val="24"/>
          <w:szCs w:val="24"/>
          <w:lang w:val="en-US"/>
        </w:rPr>
        <w:t xml:space="preserve"> by the initial research question but also by decisions </w:t>
      </w:r>
      <w:r w:rsidR="00F9037E" w:rsidRPr="005D75EB">
        <w:rPr>
          <w:rStyle w:val="Absatz-Standardschriftart1"/>
          <w:rFonts w:ascii="Palatino Linotype" w:hAnsi="Palatino Linotype"/>
          <w:sz w:val="24"/>
          <w:szCs w:val="24"/>
          <w:lang w:val="en-US"/>
        </w:rPr>
        <w:t xml:space="preserve">made with the partners </w:t>
      </w:r>
      <w:r w:rsidR="0058069C" w:rsidRPr="005D75EB">
        <w:rPr>
          <w:rStyle w:val="Absatz-Standardschriftart1"/>
          <w:rFonts w:ascii="Palatino Linotype" w:hAnsi="Palatino Linotype"/>
          <w:sz w:val="24"/>
          <w:szCs w:val="24"/>
          <w:lang w:val="en-US"/>
        </w:rPr>
        <w:t>during the</w:t>
      </w:r>
      <w:r w:rsidRPr="005D75EB">
        <w:rPr>
          <w:rStyle w:val="Absatz-Standardschriftart1"/>
          <w:rFonts w:ascii="Palatino Linotype" w:hAnsi="Palatino Linotype"/>
          <w:sz w:val="24"/>
          <w:szCs w:val="24"/>
          <w:lang w:val="en-US"/>
        </w:rPr>
        <w:t xml:space="preserve"> research process itself, for example r</w:t>
      </w:r>
      <w:r w:rsidR="003D1F47" w:rsidRPr="005D75EB">
        <w:rPr>
          <w:rStyle w:val="Absatz-Standardschriftart1"/>
          <w:rFonts w:ascii="Palatino Linotype" w:hAnsi="Palatino Linotype"/>
          <w:sz w:val="24"/>
          <w:szCs w:val="24"/>
          <w:lang w:val="en-US"/>
        </w:rPr>
        <w:t xml:space="preserve">egarding the </w:t>
      </w:r>
      <w:proofErr w:type="spellStart"/>
      <w:r w:rsidR="003D1F47" w:rsidRPr="005D75EB">
        <w:rPr>
          <w:rStyle w:val="Absatz-Standardschriftart1"/>
          <w:rFonts w:ascii="Palatino Linotype" w:hAnsi="Palatino Linotype"/>
          <w:sz w:val="24"/>
          <w:szCs w:val="24"/>
          <w:lang w:val="en-US"/>
        </w:rPr>
        <w:t>operationalis</w:t>
      </w:r>
      <w:r w:rsidR="0058069C" w:rsidRPr="005D75EB">
        <w:rPr>
          <w:rStyle w:val="Absatz-Standardschriftart1"/>
          <w:rFonts w:ascii="Palatino Linotype" w:hAnsi="Palatino Linotype"/>
          <w:sz w:val="24"/>
          <w:szCs w:val="24"/>
          <w:lang w:val="en-US"/>
        </w:rPr>
        <w:t>ation</w:t>
      </w:r>
      <w:proofErr w:type="spellEnd"/>
      <w:r w:rsidR="0058069C" w:rsidRPr="005D75EB">
        <w:rPr>
          <w:rStyle w:val="Absatz-Standardschriftart1"/>
          <w:rFonts w:ascii="Palatino Linotype" w:hAnsi="Palatino Linotype"/>
          <w:sz w:val="24"/>
          <w:szCs w:val="24"/>
          <w:lang w:val="en-US"/>
        </w:rPr>
        <w:t xml:space="preserve"> of</w:t>
      </w:r>
      <w:r w:rsidR="003D1F47" w:rsidRPr="005D75EB">
        <w:rPr>
          <w:rStyle w:val="Absatz-Standardschriftart1"/>
          <w:rFonts w:ascii="Palatino Linotype" w:hAnsi="Palatino Linotype"/>
          <w:sz w:val="24"/>
          <w:szCs w:val="24"/>
          <w:lang w:val="en-US"/>
        </w:rPr>
        <w:t xml:space="preserve"> research</w:t>
      </w:r>
      <w:r w:rsidR="0058069C" w:rsidRPr="005D75EB">
        <w:rPr>
          <w:rStyle w:val="Absatz-Standardschriftart1"/>
          <w:rFonts w:ascii="Palatino Linotype" w:hAnsi="Palatino Linotype"/>
          <w:sz w:val="24"/>
          <w:szCs w:val="24"/>
          <w:lang w:val="en-US"/>
        </w:rPr>
        <w:t xml:space="preserve"> </w:t>
      </w:r>
      <w:r w:rsidR="0058069C" w:rsidRPr="005D75EB">
        <w:rPr>
          <w:rStyle w:val="Absatz-Standardschriftart1"/>
          <w:rFonts w:ascii="Palatino Linotype" w:hAnsi="Palatino Linotype"/>
          <w:sz w:val="24"/>
          <w:szCs w:val="24"/>
          <w:lang w:val="en-US"/>
        </w:rPr>
        <w:lastRenderedPageBreak/>
        <w:t xml:space="preserve">questions and the selection of methods. </w:t>
      </w:r>
      <w:r w:rsidR="009D0A1F" w:rsidRPr="005D75EB">
        <w:rPr>
          <w:rStyle w:val="Absatz-Standardschriftart1"/>
          <w:rFonts w:ascii="Palatino Linotype" w:hAnsi="Palatino Linotype"/>
          <w:sz w:val="24"/>
          <w:szCs w:val="24"/>
          <w:lang w:val="en-US"/>
        </w:rPr>
        <w:t xml:space="preserve">This </w:t>
      </w:r>
      <w:r w:rsidR="0058069C" w:rsidRPr="005D75EB">
        <w:rPr>
          <w:rStyle w:val="Absatz-Standardschriftart1"/>
          <w:rFonts w:ascii="Palatino Linotype" w:hAnsi="Palatino Linotype"/>
          <w:sz w:val="24"/>
          <w:szCs w:val="24"/>
          <w:lang w:val="en-US"/>
        </w:rPr>
        <w:t>enable</w:t>
      </w:r>
      <w:r w:rsidR="00594A9B" w:rsidRPr="005D75EB">
        <w:rPr>
          <w:rStyle w:val="Absatz-Standardschriftart1"/>
          <w:rFonts w:ascii="Palatino Linotype" w:hAnsi="Palatino Linotype"/>
          <w:sz w:val="24"/>
          <w:szCs w:val="24"/>
          <w:lang w:val="en-US"/>
        </w:rPr>
        <w:t>s</w:t>
      </w:r>
      <w:r w:rsidR="0058069C" w:rsidRPr="005D75EB">
        <w:rPr>
          <w:rStyle w:val="Absatz-Standardschriftart1"/>
          <w:rFonts w:ascii="Palatino Linotype" w:hAnsi="Palatino Linotype"/>
          <w:sz w:val="24"/>
          <w:szCs w:val="24"/>
          <w:lang w:val="en-US"/>
        </w:rPr>
        <w:t xml:space="preserve"> partners to understand and to actively take part in the necessary decisions-making processes.</w:t>
      </w:r>
      <w:r w:rsidR="000734A0" w:rsidRPr="005D75EB">
        <w:rPr>
          <w:rStyle w:val="FootnoteReference"/>
          <w:rFonts w:ascii="Palatino Linotype" w:hAnsi="Palatino Linotype"/>
          <w:sz w:val="24"/>
          <w:szCs w:val="24"/>
          <w:lang w:val="en-US"/>
        </w:rPr>
        <w:footnoteReference w:id="52"/>
      </w:r>
      <w:r w:rsidR="0058069C" w:rsidRPr="005D75EB">
        <w:rPr>
          <w:rStyle w:val="Absatz-Standardschriftart1"/>
          <w:rFonts w:ascii="Palatino Linotype" w:hAnsi="Palatino Linotype"/>
          <w:sz w:val="24"/>
          <w:szCs w:val="24"/>
          <w:lang w:val="en-US"/>
        </w:rPr>
        <w:t xml:space="preserve"> Intensive participation in the research process can be empowering for community partners who themselves gain</w:t>
      </w:r>
      <w:r w:rsidR="00F41863" w:rsidRPr="005D75EB">
        <w:rPr>
          <w:rStyle w:val="Absatz-Standardschriftart1"/>
          <w:rFonts w:ascii="Palatino Linotype" w:hAnsi="Palatino Linotype"/>
          <w:sz w:val="24"/>
          <w:szCs w:val="24"/>
          <w:lang w:val="en-US"/>
        </w:rPr>
        <w:t xml:space="preserve"> new</w:t>
      </w:r>
      <w:r w:rsidR="0058069C" w:rsidRPr="005D75EB">
        <w:rPr>
          <w:rStyle w:val="Absatz-Standardschriftart1"/>
          <w:rFonts w:ascii="Palatino Linotype" w:hAnsi="Palatino Linotype"/>
          <w:sz w:val="24"/>
          <w:szCs w:val="24"/>
          <w:lang w:val="en-US"/>
        </w:rPr>
        <w:t xml:space="preserve"> knowledge and skills</w:t>
      </w:r>
      <w:r w:rsidR="00E45872" w:rsidRPr="005D75EB">
        <w:rPr>
          <w:rStyle w:val="Absatz-Standardschriftart1"/>
          <w:rFonts w:ascii="Palatino Linotype" w:hAnsi="Palatino Linotype"/>
          <w:sz w:val="24"/>
          <w:szCs w:val="24"/>
          <w:lang w:val="en-US"/>
        </w:rPr>
        <w:t>, for example,</w:t>
      </w:r>
      <w:r w:rsidR="0058069C" w:rsidRPr="005D75EB">
        <w:rPr>
          <w:rStyle w:val="Absatz-Standardschriftart1"/>
          <w:rFonts w:ascii="Palatino Linotype" w:hAnsi="Palatino Linotype"/>
          <w:sz w:val="24"/>
          <w:szCs w:val="24"/>
          <w:lang w:val="en-US"/>
        </w:rPr>
        <w:t xml:space="preserve"> by learning how international and national law </w:t>
      </w:r>
      <w:r w:rsidR="009C486B" w:rsidRPr="005D75EB">
        <w:rPr>
          <w:rStyle w:val="Absatz-Standardschriftart1"/>
          <w:rFonts w:ascii="Palatino Linotype" w:hAnsi="Palatino Linotype"/>
          <w:sz w:val="24"/>
          <w:szCs w:val="24"/>
          <w:lang w:val="en-US"/>
        </w:rPr>
        <w:t xml:space="preserve">work </w:t>
      </w:r>
      <w:r w:rsidR="00205729" w:rsidRPr="005D75EB">
        <w:rPr>
          <w:rStyle w:val="Absatz-Standardschriftart1"/>
          <w:rFonts w:ascii="Palatino Linotype" w:hAnsi="Palatino Linotype"/>
          <w:sz w:val="24"/>
          <w:szCs w:val="24"/>
          <w:lang w:val="en-US"/>
        </w:rPr>
        <w:t>and how they</w:t>
      </w:r>
      <w:r w:rsidR="0058069C" w:rsidRPr="005D75EB">
        <w:rPr>
          <w:rStyle w:val="Absatz-Standardschriftart1"/>
          <w:rFonts w:ascii="Palatino Linotype" w:hAnsi="Palatino Linotype"/>
          <w:sz w:val="24"/>
          <w:szCs w:val="24"/>
          <w:lang w:val="en-US"/>
        </w:rPr>
        <w:t xml:space="preserve"> can be</w:t>
      </w:r>
      <w:r w:rsidR="00EA422B" w:rsidRPr="005D75EB">
        <w:rPr>
          <w:rStyle w:val="Absatz-Standardschriftart1"/>
          <w:rFonts w:ascii="Palatino Linotype" w:hAnsi="Palatino Linotype"/>
          <w:sz w:val="24"/>
          <w:szCs w:val="24"/>
          <w:lang w:val="en-US"/>
        </w:rPr>
        <w:t xml:space="preserve"> useful for their own advocacy</w:t>
      </w:r>
      <w:r w:rsidR="00B55D4B" w:rsidRPr="005D75EB">
        <w:rPr>
          <w:rStyle w:val="Absatz-Standardschriftart1"/>
          <w:rFonts w:ascii="Palatino Linotype" w:hAnsi="Palatino Linotype"/>
          <w:sz w:val="24"/>
          <w:szCs w:val="24"/>
          <w:lang w:val="en-US"/>
        </w:rPr>
        <w:t xml:space="preserve"> and</w:t>
      </w:r>
      <w:r w:rsidR="007238B2" w:rsidRPr="005D75EB">
        <w:rPr>
          <w:rStyle w:val="Absatz-Standardschriftart1"/>
          <w:rFonts w:ascii="Palatino Linotype" w:hAnsi="Palatino Linotype"/>
          <w:sz w:val="24"/>
          <w:szCs w:val="24"/>
          <w:lang w:val="en-US"/>
        </w:rPr>
        <w:t xml:space="preserve"> </w:t>
      </w:r>
      <w:r w:rsidR="00B55D4B" w:rsidRPr="005D75EB">
        <w:rPr>
          <w:rStyle w:val="Absatz-Standardschriftart1"/>
          <w:rFonts w:ascii="Palatino Linotype" w:hAnsi="Palatino Linotype"/>
          <w:sz w:val="24"/>
          <w:szCs w:val="24"/>
          <w:lang w:val="en-US"/>
        </w:rPr>
        <w:t>action</w:t>
      </w:r>
      <w:r w:rsidR="009C486B" w:rsidRPr="005D75EB">
        <w:rPr>
          <w:rStyle w:val="Absatz-Standardschriftart1"/>
          <w:rFonts w:ascii="Palatino Linotype" w:hAnsi="Palatino Linotype"/>
          <w:sz w:val="24"/>
          <w:szCs w:val="24"/>
          <w:lang w:val="en-US"/>
        </w:rPr>
        <w:t>.</w:t>
      </w:r>
      <w:r w:rsidR="0058069C" w:rsidRPr="005D75EB">
        <w:rPr>
          <w:rStyle w:val="Absatz-Standardschriftart1"/>
          <w:rFonts w:ascii="Palatino Linotype" w:hAnsi="Palatino Linotype"/>
          <w:sz w:val="24"/>
          <w:szCs w:val="24"/>
          <w:lang w:val="en-US"/>
        </w:rPr>
        <w:t xml:space="preserve"> At the same time, DPO involvement secures </w:t>
      </w:r>
      <w:r w:rsidR="00B21A5B" w:rsidRPr="005D75EB">
        <w:rPr>
          <w:rStyle w:val="Absatz-Standardschriftart1"/>
          <w:rFonts w:ascii="Palatino Linotype" w:hAnsi="Palatino Linotype"/>
          <w:sz w:val="24"/>
          <w:szCs w:val="24"/>
          <w:lang w:val="en-US"/>
        </w:rPr>
        <w:t xml:space="preserve">the </w:t>
      </w:r>
      <w:r w:rsidR="00374A06" w:rsidRPr="005D75EB">
        <w:rPr>
          <w:rStyle w:val="Absatz-Standardschriftart1"/>
          <w:rFonts w:ascii="Palatino Linotype" w:hAnsi="Palatino Linotype"/>
          <w:sz w:val="24"/>
          <w:szCs w:val="24"/>
          <w:lang w:val="en-US"/>
        </w:rPr>
        <w:t xml:space="preserve">student </w:t>
      </w:r>
      <w:r w:rsidR="00B21A5B" w:rsidRPr="005D75EB">
        <w:rPr>
          <w:rStyle w:val="Absatz-Standardschriftart1"/>
          <w:rFonts w:ascii="Palatino Linotype" w:hAnsi="Palatino Linotype"/>
          <w:sz w:val="24"/>
          <w:szCs w:val="24"/>
          <w:lang w:val="en-US"/>
        </w:rPr>
        <w:t xml:space="preserve">researchers’ </w:t>
      </w:r>
      <w:r w:rsidR="0058069C" w:rsidRPr="005D75EB">
        <w:rPr>
          <w:rStyle w:val="Absatz-Standardschriftart1"/>
          <w:rFonts w:ascii="Palatino Linotype" w:hAnsi="Palatino Linotype"/>
          <w:sz w:val="24"/>
          <w:szCs w:val="24"/>
          <w:lang w:val="en-US"/>
        </w:rPr>
        <w:t xml:space="preserve">access to </w:t>
      </w:r>
      <w:r w:rsidR="0032429F" w:rsidRPr="005D75EB">
        <w:rPr>
          <w:rStyle w:val="Absatz-Standardschriftart1"/>
          <w:rFonts w:ascii="Palatino Linotype" w:hAnsi="Palatino Linotype"/>
          <w:sz w:val="24"/>
          <w:szCs w:val="24"/>
          <w:lang w:val="en-US"/>
        </w:rPr>
        <w:t xml:space="preserve">relevant </w:t>
      </w:r>
      <w:r w:rsidR="0058069C" w:rsidRPr="005D75EB">
        <w:rPr>
          <w:rStyle w:val="Absatz-Standardschriftart1"/>
          <w:rFonts w:ascii="Palatino Linotype" w:hAnsi="Palatino Linotype"/>
          <w:sz w:val="24"/>
          <w:szCs w:val="24"/>
          <w:lang w:val="en-US"/>
        </w:rPr>
        <w:t xml:space="preserve">stakeholder knowledge. The two-sided knowledge exchange </w:t>
      </w:r>
      <w:r w:rsidR="007B3C6D" w:rsidRPr="005D75EB">
        <w:rPr>
          <w:rStyle w:val="Absatz-Standardschriftart1"/>
          <w:rFonts w:ascii="Palatino Linotype" w:hAnsi="Palatino Linotype"/>
          <w:sz w:val="24"/>
          <w:szCs w:val="24"/>
          <w:lang w:val="en-US"/>
        </w:rPr>
        <w:t xml:space="preserve">ensures </w:t>
      </w:r>
      <w:r w:rsidR="0058069C" w:rsidRPr="005D75EB">
        <w:rPr>
          <w:rStyle w:val="Absatz-Standardschriftart1"/>
          <w:rFonts w:ascii="Palatino Linotype" w:hAnsi="Palatino Linotype"/>
          <w:sz w:val="24"/>
          <w:szCs w:val="24"/>
          <w:lang w:val="en-US"/>
        </w:rPr>
        <w:t xml:space="preserve">that research outcomes </w:t>
      </w:r>
      <w:r w:rsidR="007B3C6D" w:rsidRPr="005D75EB">
        <w:rPr>
          <w:rStyle w:val="Absatz-Standardschriftart1"/>
          <w:rFonts w:ascii="Palatino Linotype" w:hAnsi="Palatino Linotype"/>
          <w:sz w:val="24"/>
          <w:szCs w:val="24"/>
          <w:lang w:val="en-US"/>
        </w:rPr>
        <w:t xml:space="preserve">can be </w:t>
      </w:r>
      <w:r w:rsidR="0058069C" w:rsidRPr="005D75EB">
        <w:rPr>
          <w:rStyle w:val="Absatz-Standardschriftart1"/>
          <w:rFonts w:ascii="Palatino Linotype" w:hAnsi="Palatino Linotype"/>
          <w:sz w:val="24"/>
          <w:szCs w:val="24"/>
          <w:lang w:val="en-US"/>
        </w:rPr>
        <w:t>a tool for change</w:t>
      </w:r>
      <w:r w:rsidR="007B3C6D" w:rsidRPr="005D75EB">
        <w:rPr>
          <w:rStyle w:val="Absatz-Standardschriftart1"/>
          <w:rFonts w:ascii="Palatino Linotype" w:hAnsi="Palatino Linotype"/>
          <w:sz w:val="24"/>
          <w:szCs w:val="24"/>
          <w:lang w:val="en-US"/>
        </w:rPr>
        <w:t xml:space="preserve"> – on one side, </w:t>
      </w:r>
      <w:r w:rsidR="001612AA" w:rsidRPr="005D75EB">
        <w:rPr>
          <w:rStyle w:val="Absatz-Standardschriftart1"/>
          <w:rFonts w:ascii="Palatino Linotype" w:hAnsi="Palatino Linotype"/>
          <w:sz w:val="24"/>
          <w:szCs w:val="24"/>
          <w:lang w:val="en-US"/>
        </w:rPr>
        <w:t>s</w:t>
      </w:r>
      <w:r w:rsidR="009322EA" w:rsidRPr="005D75EB">
        <w:rPr>
          <w:rStyle w:val="Absatz-Standardschriftart1"/>
          <w:rFonts w:ascii="Palatino Linotype" w:hAnsi="Palatino Linotype"/>
          <w:sz w:val="24"/>
          <w:szCs w:val="24"/>
          <w:lang w:val="en-US"/>
        </w:rPr>
        <w:t>tudents</w:t>
      </w:r>
      <w:r w:rsidR="007B3C6D" w:rsidRPr="005D75EB">
        <w:rPr>
          <w:rStyle w:val="Absatz-Standardschriftart1"/>
          <w:rFonts w:ascii="Palatino Linotype" w:hAnsi="Palatino Linotype"/>
          <w:sz w:val="24"/>
          <w:szCs w:val="24"/>
          <w:lang w:val="en-US"/>
        </w:rPr>
        <w:t xml:space="preserve"> are informed by needs or problems identified by the affected community, and on the other side, </w:t>
      </w:r>
      <w:r w:rsidR="00CC5C50" w:rsidRPr="005D75EB">
        <w:rPr>
          <w:rStyle w:val="Absatz-Standardschriftart1"/>
          <w:rFonts w:ascii="Palatino Linotype" w:hAnsi="Palatino Linotype"/>
          <w:sz w:val="24"/>
          <w:szCs w:val="24"/>
          <w:lang w:val="en-US"/>
        </w:rPr>
        <w:t xml:space="preserve">partnering </w:t>
      </w:r>
      <w:proofErr w:type="spellStart"/>
      <w:r w:rsidR="00CC5C50" w:rsidRPr="005D75EB">
        <w:rPr>
          <w:rStyle w:val="Absatz-Standardschriftart1"/>
          <w:rFonts w:ascii="Palatino Linotype" w:hAnsi="Palatino Linotype"/>
          <w:sz w:val="24"/>
          <w:szCs w:val="24"/>
          <w:lang w:val="en-US"/>
        </w:rPr>
        <w:t>organisations</w:t>
      </w:r>
      <w:proofErr w:type="spellEnd"/>
      <w:r w:rsidR="007B3C6D" w:rsidRPr="005D75EB">
        <w:rPr>
          <w:rStyle w:val="Absatz-Standardschriftart1"/>
          <w:rFonts w:ascii="Palatino Linotype" w:hAnsi="Palatino Linotype"/>
          <w:sz w:val="24"/>
          <w:szCs w:val="24"/>
          <w:lang w:val="en-US"/>
        </w:rPr>
        <w:t xml:space="preserve"> are supported by rigorous legal</w:t>
      </w:r>
      <w:r w:rsidR="005D65F5" w:rsidRPr="005D75EB">
        <w:rPr>
          <w:rStyle w:val="Absatz-Standardschriftart1"/>
          <w:rFonts w:ascii="Palatino Linotype" w:hAnsi="Palatino Linotype"/>
          <w:sz w:val="24"/>
          <w:szCs w:val="24"/>
          <w:lang w:val="en-US"/>
        </w:rPr>
        <w:t xml:space="preserve"> research and analysis</w:t>
      </w:r>
      <w:r w:rsidR="0058069C" w:rsidRPr="005D75EB">
        <w:rPr>
          <w:rStyle w:val="Absatz-Standardschriftart1"/>
          <w:rFonts w:ascii="Palatino Linotype" w:hAnsi="Palatino Linotype"/>
          <w:sz w:val="24"/>
          <w:szCs w:val="24"/>
          <w:lang w:val="en-US"/>
        </w:rPr>
        <w:t xml:space="preserve">. </w:t>
      </w:r>
    </w:p>
    <w:p w14:paraId="5E9B41D7" w14:textId="159D7FD9" w:rsidR="00CE7CA4" w:rsidRPr="005D75EB" w:rsidRDefault="0058069C" w:rsidP="005D75EB">
      <w:pPr>
        <w:pStyle w:val="Standard1"/>
        <w:spacing w:line="480" w:lineRule="auto"/>
        <w:jc w:val="both"/>
        <w:rPr>
          <w:rStyle w:val="Absatz-Standardschriftart1"/>
          <w:rFonts w:ascii="Palatino Linotype" w:hAnsi="Palatino Linotype"/>
          <w:sz w:val="24"/>
          <w:szCs w:val="24"/>
          <w:lang w:val="en-US"/>
        </w:rPr>
      </w:pPr>
      <w:r w:rsidRPr="005D75EB">
        <w:rPr>
          <w:rStyle w:val="Absatz-Standardschriftart1"/>
          <w:rFonts w:ascii="Palatino Linotype" w:hAnsi="Palatino Linotype"/>
          <w:sz w:val="24"/>
          <w:szCs w:val="24"/>
          <w:lang w:val="en-US"/>
        </w:rPr>
        <w:t>Clinic students profit just as much from working closely with the community partners, gaining career-relevant contacts and</w:t>
      </w:r>
      <w:r w:rsidR="002D2A45" w:rsidRPr="005D75EB">
        <w:rPr>
          <w:rStyle w:val="Absatz-Standardschriftart1"/>
          <w:rFonts w:ascii="Palatino Linotype" w:hAnsi="Palatino Linotype"/>
          <w:sz w:val="24"/>
          <w:szCs w:val="24"/>
          <w:lang w:val="en-US"/>
        </w:rPr>
        <w:t xml:space="preserve"> </w:t>
      </w:r>
      <w:r w:rsidR="002D2A45" w:rsidRPr="005D75EB">
        <w:rPr>
          <w:rFonts w:ascii="Palatino Linotype" w:hAnsi="Palatino Linotype"/>
          <w:color w:val="000000" w:themeColor="text1"/>
          <w:sz w:val="24"/>
          <w:szCs w:val="24"/>
          <w:lang w:val="en-US"/>
        </w:rPr>
        <w:t xml:space="preserve">developing </w:t>
      </w:r>
      <w:r w:rsidR="00B6431C" w:rsidRPr="005D75EB">
        <w:rPr>
          <w:rFonts w:ascii="Palatino Linotype" w:hAnsi="Palatino Linotype"/>
          <w:color w:val="000000" w:themeColor="text1"/>
          <w:sz w:val="24"/>
          <w:szCs w:val="24"/>
          <w:lang w:val="en-US"/>
        </w:rPr>
        <w:t>their skills in</w:t>
      </w:r>
      <w:r w:rsidR="002D2A45" w:rsidRPr="005D75EB">
        <w:rPr>
          <w:rFonts w:ascii="Palatino Linotype" w:hAnsi="Palatino Linotype"/>
          <w:color w:val="000000" w:themeColor="text1"/>
          <w:sz w:val="24"/>
          <w:szCs w:val="24"/>
          <w:lang w:val="en-US"/>
        </w:rPr>
        <w:t xml:space="preserve"> project design and management, client liaison, legal and social research, advocacy, teamwork, responsiveness and communication</w:t>
      </w:r>
      <w:r w:rsidRPr="005D75EB">
        <w:rPr>
          <w:rStyle w:val="Absatz-Standardschriftart1"/>
          <w:rFonts w:ascii="Palatino Linotype" w:hAnsi="Palatino Linotype"/>
          <w:sz w:val="24"/>
          <w:szCs w:val="24"/>
          <w:lang w:val="en-US"/>
        </w:rPr>
        <w:t>.</w:t>
      </w:r>
      <w:r w:rsidR="00390722" w:rsidRPr="005D75EB">
        <w:rPr>
          <w:rStyle w:val="Absatz-Standardschriftart1"/>
          <w:rFonts w:ascii="Palatino Linotype" w:hAnsi="Palatino Linotype"/>
          <w:sz w:val="24"/>
          <w:szCs w:val="24"/>
          <w:lang w:val="en-US"/>
        </w:rPr>
        <w:t xml:space="preserve"> For example, students in the DHRC have </w:t>
      </w:r>
      <w:r w:rsidR="00FB664E" w:rsidRPr="005D75EB">
        <w:rPr>
          <w:rStyle w:val="Absatz-Standardschriftart1"/>
          <w:rFonts w:ascii="Palatino Linotype" w:hAnsi="Palatino Linotype"/>
          <w:sz w:val="24"/>
          <w:szCs w:val="24"/>
          <w:lang w:val="en-US"/>
        </w:rPr>
        <w:t xml:space="preserve">formed working relationships </w:t>
      </w:r>
      <w:r w:rsidR="007F3742" w:rsidRPr="005D75EB">
        <w:rPr>
          <w:rStyle w:val="Absatz-Standardschriftart1"/>
          <w:rFonts w:ascii="Palatino Linotype" w:hAnsi="Palatino Linotype"/>
          <w:sz w:val="24"/>
          <w:szCs w:val="24"/>
          <w:lang w:val="en-US"/>
        </w:rPr>
        <w:t xml:space="preserve">that could lead to future work experience and employment, </w:t>
      </w:r>
      <w:r w:rsidR="0047204B" w:rsidRPr="005D75EB">
        <w:rPr>
          <w:rStyle w:val="Absatz-Standardschriftart1"/>
          <w:rFonts w:ascii="Palatino Linotype" w:hAnsi="Palatino Linotype"/>
          <w:sz w:val="24"/>
          <w:szCs w:val="24"/>
          <w:lang w:val="en-US"/>
        </w:rPr>
        <w:t>including peak</w:t>
      </w:r>
      <w:r w:rsidR="00FB664E" w:rsidRPr="005D75EB">
        <w:rPr>
          <w:rStyle w:val="Absatz-Standardschriftart1"/>
          <w:rFonts w:ascii="Palatino Linotype" w:hAnsi="Palatino Linotype"/>
          <w:sz w:val="24"/>
          <w:szCs w:val="24"/>
          <w:lang w:val="en-US"/>
        </w:rPr>
        <w:t xml:space="preserve"> </w:t>
      </w:r>
      <w:r w:rsidR="0047204B" w:rsidRPr="005D75EB">
        <w:rPr>
          <w:rStyle w:val="Absatz-Standardschriftart1"/>
          <w:rFonts w:ascii="Palatino Linotype" w:hAnsi="Palatino Linotype"/>
          <w:sz w:val="24"/>
          <w:szCs w:val="24"/>
          <w:lang w:val="en-US"/>
        </w:rPr>
        <w:t xml:space="preserve">national DPOs, </w:t>
      </w:r>
      <w:r w:rsidR="00FB664E" w:rsidRPr="005D75EB">
        <w:rPr>
          <w:rStyle w:val="Absatz-Standardschriftart1"/>
          <w:rFonts w:ascii="Palatino Linotype" w:hAnsi="Palatino Linotype"/>
          <w:sz w:val="24"/>
          <w:szCs w:val="24"/>
          <w:lang w:val="en-US"/>
        </w:rPr>
        <w:t xml:space="preserve">community legal </w:t>
      </w:r>
      <w:proofErr w:type="spellStart"/>
      <w:r w:rsidR="00FB664E" w:rsidRPr="005D75EB">
        <w:rPr>
          <w:rStyle w:val="Absatz-Standardschriftart1"/>
          <w:rFonts w:ascii="Palatino Linotype" w:hAnsi="Palatino Linotype"/>
          <w:sz w:val="24"/>
          <w:szCs w:val="24"/>
          <w:lang w:val="en-US"/>
        </w:rPr>
        <w:t>centres</w:t>
      </w:r>
      <w:proofErr w:type="spellEnd"/>
      <w:r w:rsidR="00FB664E" w:rsidRPr="005D75EB">
        <w:rPr>
          <w:rStyle w:val="Absatz-Standardschriftart1"/>
          <w:rFonts w:ascii="Palatino Linotype" w:hAnsi="Palatino Linotype"/>
          <w:sz w:val="24"/>
          <w:szCs w:val="24"/>
          <w:lang w:val="en-US"/>
        </w:rPr>
        <w:t xml:space="preserve">, United Nations </w:t>
      </w:r>
      <w:r w:rsidR="00133986" w:rsidRPr="005D75EB">
        <w:rPr>
          <w:rStyle w:val="Absatz-Standardschriftart1"/>
          <w:rFonts w:ascii="Palatino Linotype" w:hAnsi="Palatino Linotype"/>
          <w:sz w:val="24"/>
          <w:szCs w:val="24"/>
          <w:lang w:val="en-US"/>
        </w:rPr>
        <w:t>m</w:t>
      </w:r>
      <w:r w:rsidR="00FB664E" w:rsidRPr="005D75EB">
        <w:rPr>
          <w:rStyle w:val="Absatz-Standardschriftart1"/>
          <w:rFonts w:ascii="Palatino Linotype" w:hAnsi="Palatino Linotype"/>
          <w:sz w:val="24"/>
          <w:szCs w:val="24"/>
          <w:lang w:val="en-US"/>
        </w:rPr>
        <w:t>echanisms, and statutory authorities like the Victorian Office of the Public Advocate</w:t>
      </w:r>
      <w:r w:rsidR="0047204B" w:rsidRPr="005D75EB">
        <w:rPr>
          <w:rStyle w:val="Absatz-Standardschriftart1"/>
          <w:rFonts w:ascii="Palatino Linotype" w:hAnsi="Palatino Linotype"/>
          <w:sz w:val="24"/>
          <w:szCs w:val="24"/>
          <w:lang w:val="en-US"/>
        </w:rPr>
        <w:t xml:space="preserve"> and</w:t>
      </w:r>
      <w:r w:rsidR="00546A7E" w:rsidRPr="005D75EB">
        <w:rPr>
          <w:rStyle w:val="Absatz-Standardschriftart1"/>
          <w:rFonts w:ascii="Palatino Linotype" w:hAnsi="Palatino Linotype"/>
          <w:sz w:val="24"/>
          <w:szCs w:val="24"/>
          <w:lang w:val="en-US"/>
        </w:rPr>
        <w:t xml:space="preserve"> </w:t>
      </w:r>
      <w:r w:rsidR="00FB664E" w:rsidRPr="005D75EB">
        <w:rPr>
          <w:rStyle w:val="Absatz-Standardschriftart1"/>
          <w:rFonts w:ascii="Palatino Linotype" w:hAnsi="Palatino Linotype"/>
          <w:sz w:val="24"/>
          <w:szCs w:val="24"/>
          <w:lang w:val="en-US"/>
        </w:rPr>
        <w:t>Victoria Legal Aid</w:t>
      </w:r>
      <w:r w:rsidR="00546A7E" w:rsidRPr="005D75EB">
        <w:rPr>
          <w:rStyle w:val="Absatz-Standardschriftart1"/>
          <w:rFonts w:ascii="Palatino Linotype" w:hAnsi="Palatino Linotype"/>
          <w:sz w:val="24"/>
          <w:szCs w:val="24"/>
          <w:lang w:val="en-US"/>
        </w:rPr>
        <w:t>.</w:t>
      </w:r>
      <w:r w:rsidR="00FF029F" w:rsidRPr="005D75EB">
        <w:rPr>
          <w:rStyle w:val="Absatz-Standardschriftart1"/>
          <w:rFonts w:ascii="Palatino Linotype" w:hAnsi="Palatino Linotype"/>
          <w:sz w:val="24"/>
          <w:szCs w:val="24"/>
          <w:lang w:val="en-US"/>
        </w:rPr>
        <w:t xml:space="preserve"> </w:t>
      </w:r>
      <w:r w:rsidR="00737890" w:rsidRPr="005D75EB">
        <w:rPr>
          <w:rStyle w:val="Absatz-Standardschriftart1"/>
          <w:rFonts w:ascii="Palatino Linotype" w:hAnsi="Palatino Linotype"/>
          <w:sz w:val="24"/>
          <w:szCs w:val="24"/>
          <w:lang w:val="en-US"/>
        </w:rPr>
        <w:t xml:space="preserve">The project-based format enables students to gain lawyering skills that they </w:t>
      </w:r>
      <w:r w:rsidR="00737890" w:rsidRPr="005D75EB">
        <w:rPr>
          <w:rStyle w:val="Absatz-Standardschriftart1"/>
          <w:rFonts w:ascii="Palatino Linotype" w:hAnsi="Palatino Linotype"/>
          <w:sz w:val="24"/>
          <w:szCs w:val="24"/>
          <w:lang w:val="en-US"/>
        </w:rPr>
        <w:lastRenderedPageBreak/>
        <w:t>may not have the opportunity to develop in their other studies.</w:t>
      </w:r>
      <w:r w:rsidR="00CE7CA4" w:rsidRPr="005D75EB">
        <w:rPr>
          <w:rStyle w:val="Absatz-Standardschriftart1"/>
          <w:rFonts w:ascii="Palatino Linotype" w:hAnsi="Palatino Linotype"/>
          <w:sz w:val="24"/>
          <w:szCs w:val="24"/>
          <w:lang w:val="en-US"/>
        </w:rPr>
        <w:t xml:space="preserve"> Working with other students, supervisors and community partners requires high-level t</w:t>
      </w:r>
      <w:r w:rsidR="00CC5C50" w:rsidRPr="005D75EB">
        <w:rPr>
          <w:rStyle w:val="Absatz-Standardschriftart1"/>
          <w:rFonts w:ascii="Palatino Linotype" w:hAnsi="Palatino Linotype"/>
          <w:sz w:val="24"/>
          <w:szCs w:val="24"/>
          <w:lang w:val="en-US"/>
        </w:rPr>
        <w:t>eamwork and interviewing skills, and students are supported to develop these skills throughout the clinic teaching period.</w:t>
      </w:r>
    </w:p>
    <w:p w14:paraId="4000D5B1" w14:textId="44C3BF1A" w:rsidR="00E05E8B" w:rsidRPr="005D6811" w:rsidRDefault="00B932C4" w:rsidP="005D75EB">
      <w:pPr>
        <w:pStyle w:val="ListParagraph"/>
        <w:numPr>
          <w:ilvl w:val="0"/>
          <w:numId w:val="3"/>
        </w:numPr>
        <w:spacing w:line="480" w:lineRule="auto"/>
        <w:jc w:val="both"/>
        <w:rPr>
          <w:rFonts w:ascii="Palatino Linotype" w:hAnsi="Palatino Linotype" w:cs="Times New Roman"/>
          <w:b/>
          <w:i/>
          <w:sz w:val="24"/>
          <w:szCs w:val="24"/>
        </w:rPr>
      </w:pPr>
      <w:r w:rsidRPr="005D6811">
        <w:rPr>
          <w:rFonts w:ascii="Palatino Linotype" w:hAnsi="Palatino Linotype" w:cs="Times New Roman"/>
          <w:b/>
          <w:i/>
          <w:sz w:val="24"/>
          <w:szCs w:val="24"/>
        </w:rPr>
        <w:t>Produce a</w:t>
      </w:r>
      <w:r w:rsidR="00E05E8B" w:rsidRPr="005D6811">
        <w:rPr>
          <w:rFonts w:ascii="Palatino Linotype" w:hAnsi="Palatino Linotype" w:cs="Times New Roman"/>
          <w:b/>
          <w:i/>
          <w:sz w:val="24"/>
          <w:szCs w:val="24"/>
        </w:rPr>
        <w:t>ccessible and useful outputs</w:t>
      </w:r>
    </w:p>
    <w:p w14:paraId="7B12C9C1" w14:textId="3B6E81C7" w:rsidR="00E05E8B" w:rsidRPr="005D75EB" w:rsidRDefault="00992DD6" w:rsidP="005D75EB">
      <w:pPr>
        <w:pStyle w:val="Standard1"/>
        <w:spacing w:line="480" w:lineRule="auto"/>
        <w:jc w:val="both"/>
        <w:rPr>
          <w:rFonts w:ascii="Palatino Linotype" w:hAnsi="Palatino Linotype"/>
          <w:sz w:val="24"/>
          <w:szCs w:val="24"/>
          <w:lang w:val="en-US"/>
        </w:rPr>
      </w:pPr>
      <w:r w:rsidRPr="005D75EB">
        <w:rPr>
          <w:rStyle w:val="Absatz-Standardschriftart1"/>
          <w:rFonts w:ascii="Palatino Linotype" w:hAnsi="Palatino Linotype"/>
          <w:sz w:val="24"/>
          <w:szCs w:val="24"/>
          <w:lang w:val="en-US"/>
        </w:rPr>
        <w:t xml:space="preserve">Law students and lawyers have long been </w:t>
      </w:r>
      <w:proofErr w:type="spellStart"/>
      <w:r w:rsidRPr="005D75EB">
        <w:rPr>
          <w:rStyle w:val="Absatz-Standardschriftart1"/>
          <w:rFonts w:ascii="Palatino Linotype" w:hAnsi="Palatino Linotype"/>
          <w:sz w:val="24"/>
          <w:szCs w:val="24"/>
          <w:lang w:val="en-US"/>
        </w:rPr>
        <w:t>criticised</w:t>
      </w:r>
      <w:proofErr w:type="spellEnd"/>
      <w:r w:rsidRPr="005D75EB">
        <w:rPr>
          <w:rStyle w:val="Absatz-Standardschriftart1"/>
          <w:rFonts w:ascii="Palatino Linotype" w:hAnsi="Palatino Linotype"/>
          <w:sz w:val="24"/>
          <w:szCs w:val="24"/>
          <w:lang w:val="en-US"/>
        </w:rPr>
        <w:t xml:space="preserve"> for failing to ensure that their written communications are clear and accessible to lay clients.</w:t>
      </w:r>
      <w:r w:rsidR="00397C13" w:rsidRPr="005D75EB">
        <w:rPr>
          <w:rStyle w:val="FootnoteReference"/>
          <w:rFonts w:ascii="Palatino Linotype" w:hAnsi="Palatino Linotype"/>
          <w:sz w:val="24"/>
          <w:szCs w:val="24"/>
          <w:lang w:val="en-US"/>
        </w:rPr>
        <w:footnoteReference w:id="53"/>
      </w:r>
      <w:r w:rsidRPr="005D75EB">
        <w:rPr>
          <w:rStyle w:val="Absatz-Standardschriftart1"/>
          <w:rFonts w:ascii="Palatino Linotype" w:hAnsi="Palatino Linotype"/>
          <w:sz w:val="24"/>
          <w:szCs w:val="24"/>
          <w:lang w:val="en-US"/>
        </w:rPr>
        <w:t xml:space="preserve"> </w:t>
      </w:r>
      <w:r w:rsidR="00E05E8B" w:rsidRPr="005D75EB">
        <w:rPr>
          <w:rStyle w:val="Absatz-Standardschriftart1"/>
          <w:rFonts w:ascii="Palatino Linotype" w:hAnsi="Palatino Linotype"/>
          <w:sz w:val="24"/>
          <w:szCs w:val="24"/>
          <w:lang w:val="en-US"/>
        </w:rPr>
        <w:t>The issue of accessibility</w:t>
      </w:r>
      <w:r w:rsidRPr="005D75EB">
        <w:rPr>
          <w:rStyle w:val="Absatz-Standardschriftart1"/>
          <w:rFonts w:ascii="Palatino Linotype" w:hAnsi="Palatino Linotype"/>
          <w:sz w:val="24"/>
          <w:szCs w:val="24"/>
          <w:lang w:val="en-US"/>
        </w:rPr>
        <w:t xml:space="preserve"> </w:t>
      </w:r>
      <w:r w:rsidR="00A70893" w:rsidRPr="005D75EB">
        <w:rPr>
          <w:rStyle w:val="Absatz-Standardschriftart1"/>
          <w:rFonts w:ascii="Palatino Linotype" w:hAnsi="Palatino Linotype"/>
          <w:sz w:val="24"/>
          <w:szCs w:val="24"/>
          <w:lang w:val="en-US"/>
        </w:rPr>
        <w:t xml:space="preserve">is of particular </w:t>
      </w:r>
      <w:r w:rsidR="00E05E8B" w:rsidRPr="005D75EB">
        <w:rPr>
          <w:rStyle w:val="Absatz-Standardschriftart1"/>
          <w:rFonts w:ascii="Palatino Linotype" w:hAnsi="Palatino Linotype"/>
          <w:sz w:val="24"/>
          <w:szCs w:val="24"/>
          <w:lang w:val="en-US"/>
        </w:rPr>
        <w:t xml:space="preserve">relevance for </w:t>
      </w:r>
      <w:r w:rsidR="0054300A" w:rsidRPr="005D75EB">
        <w:rPr>
          <w:rFonts w:ascii="Palatino Linotype" w:hAnsi="Palatino Linotype"/>
          <w:color w:val="000000" w:themeColor="text1"/>
          <w:sz w:val="24"/>
          <w:szCs w:val="24"/>
          <w:lang w:val="en-US"/>
        </w:rPr>
        <w:t>persons</w:t>
      </w:r>
      <w:r w:rsidR="00E05E8B" w:rsidRPr="005D75EB">
        <w:rPr>
          <w:rStyle w:val="Absatz-Standardschriftart1"/>
          <w:rFonts w:ascii="Palatino Linotype" w:hAnsi="Palatino Linotype"/>
          <w:sz w:val="24"/>
          <w:szCs w:val="24"/>
          <w:lang w:val="en-US"/>
        </w:rPr>
        <w:t xml:space="preserve"> with disabilities</w:t>
      </w:r>
      <w:r w:rsidR="006443CA" w:rsidRPr="005D75EB">
        <w:rPr>
          <w:rStyle w:val="Absatz-Standardschriftart1"/>
          <w:rFonts w:ascii="Palatino Linotype" w:hAnsi="Palatino Linotype"/>
          <w:sz w:val="24"/>
          <w:szCs w:val="24"/>
          <w:lang w:val="en-US"/>
        </w:rPr>
        <w:t>,</w:t>
      </w:r>
      <w:r w:rsidR="00E05E8B" w:rsidRPr="005D75EB">
        <w:rPr>
          <w:rStyle w:val="Absatz-Standardschriftart1"/>
          <w:rFonts w:ascii="Palatino Linotype" w:hAnsi="Palatino Linotype"/>
          <w:sz w:val="24"/>
          <w:szCs w:val="24"/>
          <w:lang w:val="en-US"/>
        </w:rPr>
        <w:t xml:space="preserve"> as they commonly face exclusion </w:t>
      </w:r>
      <w:r w:rsidR="00286FAF" w:rsidRPr="005D75EB">
        <w:rPr>
          <w:rStyle w:val="Absatz-Standardschriftart1"/>
          <w:rFonts w:ascii="Palatino Linotype" w:hAnsi="Palatino Linotype"/>
          <w:sz w:val="24"/>
          <w:szCs w:val="24"/>
          <w:lang w:val="en-US"/>
        </w:rPr>
        <w:t xml:space="preserve">from accessing information </w:t>
      </w:r>
      <w:r w:rsidR="00E05E8B" w:rsidRPr="005D75EB">
        <w:rPr>
          <w:rStyle w:val="Absatz-Standardschriftart1"/>
          <w:rFonts w:ascii="Palatino Linotype" w:hAnsi="Palatino Linotype"/>
          <w:sz w:val="24"/>
          <w:szCs w:val="24"/>
          <w:lang w:val="en-US"/>
        </w:rPr>
        <w:t>due to communication barriers. This very much applies to</w:t>
      </w:r>
      <w:r w:rsidR="006D2DCF" w:rsidRPr="005D75EB">
        <w:rPr>
          <w:rStyle w:val="Absatz-Standardschriftart1"/>
          <w:rFonts w:ascii="Palatino Linotype" w:hAnsi="Palatino Linotype"/>
          <w:sz w:val="24"/>
          <w:szCs w:val="24"/>
          <w:lang w:val="en-US"/>
        </w:rPr>
        <w:t xml:space="preserve"> academic publications,</w:t>
      </w:r>
      <w:r w:rsidR="00087869" w:rsidRPr="005D75EB">
        <w:rPr>
          <w:rStyle w:val="Absatz-Standardschriftart1"/>
          <w:rFonts w:ascii="Palatino Linotype" w:hAnsi="Palatino Linotype"/>
          <w:sz w:val="24"/>
          <w:szCs w:val="24"/>
          <w:lang w:val="en-US"/>
        </w:rPr>
        <w:t xml:space="preserve"> with</w:t>
      </w:r>
      <w:r w:rsidR="006D2DCF" w:rsidRPr="005D75EB">
        <w:rPr>
          <w:rStyle w:val="Absatz-Standardschriftart1"/>
          <w:rFonts w:ascii="Palatino Linotype" w:hAnsi="Palatino Linotype"/>
          <w:sz w:val="24"/>
          <w:szCs w:val="24"/>
          <w:lang w:val="en-US"/>
        </w:rPr>
        <w:t xml:space="preserve"> journal articles, research reports</w:t>
      </w:r>
      <w:r w:rsidR="00E05E8B" w:rsidRPr="005D75EB">
        <w:rPr>
          <w:rStyle w:val="Absatz-Standardschriftart1"/>
          <w:rFonts w:ascii="Palatino Linotype" w:hAnsi="Palatino Linotype"/>
          <w:sz w:val="24"/>
          <w:szCs w:val="24"/>
          <w:lang w:val="en-US"/>
        </w:rPr>
        <w:t xml:space="preserve"> and scientific conferences rarely</w:t>
      </w:r>
      <w:r w:rsidR="00087869" w:rsidRPr="005D75EB">
        <w:rPr>
          <w:rStyle w:val="Absatz-Standardschriftart1"/>
          <w:rFonts w:ascii="Palatino Linotype" w:hAnsi="Palatino Linotype"/>
          <w:sz w:val="24"/>
          <w:szCs w:val="24"/>
          <w:lang w:val="en-US"/>
        </w:rPr>
        <w:t xml:space="preserve"> being</w:t>
      </w:r>
      <w:r w:rsidR="00E05E8B" w:rsidRPr="005D75EB">
        <w:rPr>
          <w:rStyle w:val="Absatz-Standardschriftart1"/>
          <w:rFonts w:ascii="Palatino Linotype" w:hAnsi="Palatino Linotype"/>
          <w:sz w:val="24"/>
          <w:szCs w:val="24"/>
          <w:lang w:val="en-US"/>
        </w:rPr>
        <w:t xml:space="preserve"> provided in accessible formats.</w:t>
      </w:r>
      <w:r w:rsidR="00284319" w:rsidRPr="005D75EB">
        <w:rPr>
          <w:rStyle w:val="Absatz-Standardschriftart1"/>
          <w:rFonts w:ascii="Palatino Linotype" w:hAnsi="Palatino Linotype"/>
          <w:sz w:val="24"/>
          <w:szCs w:val="24"/>
          <w:lang w:val="en-US"/>
        </w:rPr>
        <w:t xml:space="preserve"> Another crucial component of a disability human rights</w:t>
      </w:r>
      <w:r w:rsidR="00E05E8B" w:rsidRPr="005D75EB">
        <w:rPr>
          <w:rStyle w:val="Absatz-Standardschriftart1"/>
          <w:rFonts w:ascii="Palatino Linotype" w:hAnsi="Palatino Linotype"/>
          <w:sz w:val="24"/>
          <w:szCs w:val="24"/>
          <w:lang w:val="en-US"/>
        </w:rPr>
        <w:t xml:space="preserve"> clinic is therefore to create outputs in shared ownership that are accessible and tailored to the needs of the community partners</w:t>
      </w:r>
      <w:r w:rsidR="00C54AB0" w:rsidRPr="005D75EB">
        <w:rPr>
          <w:rStyle w:val="Absatz-Standardschriftart1"/>
          <w:rFonts w:ascii="Palatino Linotype" w:hAnsi="Palatino Linotype"/>
          <w:sz w:val="24"/>
          <w:szCs w:val="24"/>
          <w:lang w:val="en-US"/>
        </w:rPr>
        <w:t>.</w:t>
      </w:r>
    </w:p>
    <w:p w14:paraId="1AD2E4E1" w14:textId="3B615F24" w:rsidR="00E05E8B" w:rsidRPr="005D75EB" w:rsidRDefault="00E121D5" w:rsidP="005D75EB">
      <w:pPr>
        <w:spacing w:line="480" w:lineRule="auto"/>
        <w:jc w:val="both"/>
        <w:rPr>
          <w:rFonts w:ascii="Palatino Linotype" w:hAnsi="Palatino Linotype" w:cs="Times New Roman"/>
          <w:color w:val="000000" w:themeColor="text1"/>
          <w:sz w:val="24"/>
          <w:szCs w:val="24"/>
        </w:rPr>
      </w:pPr>
      <w:r w:rsidRPr="005D75EB">
        <w:rPr>
          <w:rFonts w:ascii="Palatino Linotype" w:hAnsi="Palatino Linotype" w:cs="Times New Roman"/>
          <w:color w:val="000000" w:themeColor="text1"/>
          <w:sz w:val="24"/>
          <w:szCs w:val="24"/>
        </w:rPr>
        <w:t>DHRC students are encouraged to</w:t>
      </w:r>
      <w:r w:rsidR="0014572C" w:rsidRPr="005D75EB">
        <w:rPr>
          <w:rFonts w:ascii="Palatino Linotype" w:hAnsi="Palatino Linotype" w:cs="Times New Roman"/>
          <w:color w:val="000000" w:themeColor="text1"/>
          <w:sz w:val="24"/>
          <w:szCs w:val="24"/>
        </w:rPr>
        <w:t xml:space="preserve"> identify</w:t>
      </w:r>
      <w:r w:rsidRPr="005D75EB">
        <w:rPr>
          <w:rFonts w:ascii="Palatino Linotype" w:hAnsi="Palatino Linotype" w:cs="Times New Roman"/>
          <w:color w:val="000000" w:themeColor="text1"/>
          <w:sz w:val="24"/>
          <w:szCs w:val="24"/>
        </w:rPr>
        <w:t xml:space="preserve"> the most useful and accessible formats for their research outputs</w:t>
      </w:r>
      <w:r w:rsidR="00132EE0" w:rsidRPr="005D75EB">
        <w:rPr>
          <w:rFonts w:ascii="Palatino Linotype" w:hAnsi="Palatino Linotype" w:cs="Times New Roman"/>
          <w:color w:val="000000" w:themeColor="text1"/>
          <w:sz w:val="24"/>
          <w:szCs w:val="24"/>
        </w:rPr>
        <w:t xml:space="preserve"> early in the project planning process and</w:t>
      </w:r>
      <w:r w:rsidR="0014572C" w:rsidRPr="005D75EB">
        <w:rPr>
          <w:rFonts w:ascii="Palatino Linotype" w:hAnsi="Palatino Linotype" w:cs="Times New Roman"/>
          <w:color w:val="000000" w:themeColor="text1"/>
          <w:sz w:val="24"/>
          <w:szCs w:val="24"/>
        </w:rPr>
        <w:t xml:space="preserve"> in consultation with the partner organisation. F</w:t>
      </w:r>
      <w:r w:rsidRPr="005D75EB">
        <w:rPr>
          <w:rFonts w:ascii="Palatino Linotype" w:hAnsi="Palatino Linotype" w:cs="Times New Roman"/>
          <w:color w:val="000000" w:themeColor="text1"/>
          <w:sz w:val="24"/>
          <w:szCs w:val="24"/>
        </w:rPr>
        <w:t>or example, several groups of students have developed mater</w:t>
      </w:r>
      <w:r w:rsidR="001D286C" w:rsidRPr="005D75EB">
        <w:rPr>
          <w:rFonts w:ascii="Palatino Linotype" w:hAnsi="Palatino Linotype" w:cs="Times New Roman"/>
          <w:color w:val="000000" w:themeColor="text1"/>
          <w:sz w:val="24"/>
          <w:szCs w:val="24"/>
        </w:rPr>
        <w:t xml:space="preserve">ials in </w:t>
      </w:r>
      <w:r w:rsidR="00FE6697" w:rsidRPr="005D75EB">
        <w:rPr>
          <w:rFonts w:ascii="Palatino Linotype" w:hAnsi="Palatino Linotype" w:cs="Times New Roman"/>
          <w:color w:val="000000" w:themeColor="text1"/>
          <w:sz w:val="24"/>
          <w:szCs w:val="24"/>
        </w:rPr>
        <w:t>‘</w:t>
      </w:r>
      <w:r w:rsidR="00000866" w:rsidRPr="005D75EB">
        <w:rPr>
          <w:rFonts w:ascii="Palatino Linotype" w:hAnsi="Palatino Linotype" w:cs="Times New Roman"/>
          <w:color w:val="000000" w:themeColor="text1"/>
          <w:sz w:val="24"/>
          <w:szCs w:val="24"/>
        </w:rPr>
        <w:t>easy-</w:t>
      </w:r>
      <w:r w:rsidR="00FE6697" w:rsidRPr="005D75EB">
        <w:rPr>
          <w:rFonts w:ascii="Palatino Linotype" w:hAnsi="Palatino Linotype" w:cs="Times New Roman"/>
          <w:color w:val="000000" w:themeColor="text1"/>
          <w:sz w:val="24"/>
          <w:szCs w:val="24"/>
        </w:rPr>
        <w:t>to-</w:t>
      </w:r>
      <w:proofErr w:type="gramStart"/>
      <w:r w:rsidR="00000866" w:rsidRPr="005D75EB">
        <w:rPr>
          <w:rFonts w:ascii="Palatino Linotype" w:hAnsi="Palatino Linotype" w:cs="Times New Roman"/>
          <w:color w:val="000000" w:themeColor="text1"/>
          <w:sz w:val="24"/>
          <w:szCs w:val="24"/>
        </w:rPr>
        <w:t>read</w:t>
      </w:r>
      <w:r w:rsidR="00FE6697" w:rsidRPr="005D75EB">
        <w:rPr>
          <w:rFonts w:ascii="Palatino Linotype" w:hAnsi="Palatino Linotype" w:cs="Times New Roman"/>
          <w:color w:val="000000" w:themeColor="text1"/>
          <w:sz w:val="24"/>
          <w:szCs w:val="24"/>
        </w:rPr>
        <w:t>‘</w:t>
      </w:r>
      <w:r w:rsidR="0077787F" w:rsidRPr="005D75EB">
        <w:rPr>
          <w:rFonts w:ascii="Palatino Linotype" w:hAnsi="Palatino Linotype" w:cs="Times New Roman"/>
          <w:color w:val="000000" w:themeColor="text1"/>
          <w:sz w:val="24"/>
          <w:szCs w:val="24"/>
        </w:rPr>
        <w:t xml:space="preserve"> </w:t>
      </w:r>
      <w:r w:rsidR="00CA728E" w:rsidRPr="005D75EB">
        <w:rPr>
          <w:rFonts w:ascii="Palatino Linotype" w:hAnsi="Palatino Linotype" w:cs="Times New Roman"/>
          <w:color w:val="000000" w:themeColor="text1"/>
          <w:sz w:val="24"/>
          <w:szCs w:val="24"/>
        </w:rPr>
        <w:t>format</w:t>
      </w:r>
      <w:proofErr w:type="gramEnd"/>
      <w:r w:rsidR="00CA728E" w:rsidRPr="005D75EB">
        <w:rPr>
          <w:rFonts w:ascii="Palatino Linotype" w:hAnsi="Palatino Linotype" w:cs="Times New Roman"/>
          <w:color w:val="000000" w:themeColor="text1"/>
          <w:sz w:val="24"/>
          <w:szCs w:val="24"/>
        </w:rPr>
        <w:t>, which they have utilised in</w:t>
      </w:r>
      <w:r w:rsidR="008F15A6" w:rsidRPr="005D75EB">
        <w:rPr>
          <w:rFonts w:ascii="Palatino Linotype" w:hAnsi="Palatino Linotype" w:cs="Times New Roman"/>
          <w:color w:val="000000" w:themeColor="text1"/>
          <w:sz w:val="24"/>
          <w:szCs w:val="24"/>
        </w:rPr>
        <w:t xml:space="preserve"> </w:t>
      </w:r>
      <w:r w:rsidR="00966832" w:rsidRPr="005D75EB">
        <w:rPr>
          <w:rFonts w:ascii="Palatino Linotype" w:hAnsi="Palatino Linotype" w:cs="Times New Roman"/>
          <w:color w:val="000000" w:themeColor="text1"/>
          <w:sz w:val="24"/>
          <w:szCs w:val="24"/>
        </w:rPr>
        <w:t xml:space="preserve">workshops with persons </w:t>
      </w:r>
      <w:r w:rsidR="004849D2" w:rsidRPr="005D75EB">
        <w:rPr>
          <w:rFonts w:ascii="Palatino Linotype" w:hAnsi="Palatino Linotype" w:cs="Times New Roman"/>
          <w:color w:val="000000" w:themeColor="text1"/>
          <w:sz w:val="24"/>
          <w:szCs w:val="24"/>
        </w:rPr>
        <w:t>with intellectual disability or</w:t>
      </w:r>
      <w:r w:rsidR="001D286C" w:rsidRPr="005D75EB">
        <w:rPr>
          <w:rFonts w:ascii="Palatino Linotype" w:hAnsi="Palatino Linotype" w:cs="Times New Roman"/>
          <w:color w:val="000000" w:themeColor="text1"/>
          <w:sz w:val="24"/>
          <w:szCs w:val="24"/>
        </w:rPr>
        <w:t xml:space="preserve"> their representative organisations.</w:t>
      </w:r>
      <w:r w:rsidR="001D286C" w:rsidRPr="005D75EB">
        <w:rPr>
          <w:rStyle w:val="FootnoteReference"/>
          <w:rFonts w:ascii="Palatino Linotype" w:hAnsi="Palatino Linotype" w:cs="Times New Roman"/>
          <w:color w:val="000000" w:themeColor="text1"/>
          <w:sz w:val="24"/>
          <w:szCs w:val="24"/>
        </w:rPr>
        <w:footnoteReference w:id="54"/>
      </w:r>
      <w:r w:rsidRPr="005D75EB">
        <w:rPr>
          <w:rFonts w:ascii="Palatino Linotype" w:hAnsi="Palatino Linotype" w:cs="Times New Roman"/>
          <w:color w:val="000000" w:themeColor="text1"/>
          <w:sz w:val="24"/>
          <w:szCs w:val="24"/>
        </w:rPr>
        <w:t xml:space="preserve"> </w:t>
      </w:r>
      <w:r w:rsidR="00E05E8B" w:rsidRPr="005D75EB">
        <w:rPr>
          <w:rFonts w:ascii="Palatino Linotype" w:hAnsi="Palatino Linotype" w:cs="Times New Roman"/>
          <w:color w:val="000000" w:themeColor="text1"/>
          <w:sz w:val="24"/>
          <w:szCs w:val="24"/>
        </w:rPr>
        <w:t xml:space="preserve">The </w:t>
      </w:r>
      <w:r w:rsidR="00E05E8B" w:rsidRPr="005D75EB">
        <w:rPr>
          <w:rFonts w:ascii="Palatino Linotype" w:hAnsi="Palatino Linotype" w:cs="Times New Roman"/>
          <w:color w:val="000000" w:themeColor="text1"/>
          <w:sz w:val="24"/>
          <w:szCs w:val="24"/>
        </w:rPr>
        <w:lastRenderedPageBreak/>
        <w:t xml:space="preserve">DHRC’s research </w:t>
      </w:r>
      <w:r w:rsidR="00F35560" w:rsidRPr="005D75EB">
        <w:rPr>
          <w:rFonts w:ascii="Palatino Linotype" w:hAnsi="Palatino Linotype" w:cs="Times New Roman"/>
          <w:color w:val="000000" w:themeColor="text1"/>
          <w:sz w:val="24"/>
          <w:szCs w:val="24"/>
        </w:rPr>
        <w:t>outputs</w:t>
      </w:r>
      <w:r w:rsidR="004C30F2" w:rsidRPr="005D75EB">
        <w:rPr>
          <w:rFonts w:ascii="Palatino Linotype" w:hAnsi="Palatino Linotype" w:cs="Times New Roman"/>
          <w:color w:val="000000" w:themeColor="text1"/>
          <w:sz w:val="24"/>
          <w:szCs w:val="24"/>
        </w:rPr>
        <w:t>, such as</w:t>
      </w:r>
      <w:r w:rsidR="00EB6028" w:rsidRPr="005D75EB">
        <w:rPr>
          <w:rFonts w:ascii="Palatino Linotype" w:hAnsi="Palatino Linotype" w:cs="Times New Roman"/>
          <w:color w:val="000000" w:themeColor="text1"/>
          <w:sz w:val="24"/>
          <w:szCs w:val="24"/>
        </w:rPr>
        <w:t xml:space="preserve"> written reports and videos</w:t>
      </w:r>
      <w:r w:rsidR="004C30F2" w:rsidRPr="005D75EB">
        <w:rPr>
          <w:rFonts w:ascii="Palatino Linotype" w:hAnsi="Palatino Linotype" w:cs="Times New Roman"/>
          <w:color w:val="000000" w:themeColor="text1"/>
          <w:sz w:val="24"/>
          <w:szCs w:val="24"/>
        </w:rPr>
        <w:t xml:space="preserve"> of presentations</w:t>
      </w:r>
      <w:r w:rsidR="00405DD2" w:rsidRPr="005D75EB">
        <w:rPr>
          <w:rFonts w:ascii="Palatino Linotype" w:hAnsi="Palatino Linotype" w:cs="Times New Roman"/>
          <w:color w:val="000000" w:themeColor="text1"/>
          <w:sz w:val="24"/>
          <w:szCs w:val="24"/>
        </w:rPr>
        <w:t>,</w:t>
      </w:r>
      <w:r w:rsidR="00EB6028" w:rsidRPr="005D75EB">
        <w:rPr>
          <w:rFonts w:ascii="Palatino Linotype" w:hAnsi="Palatino Linotype" w:cs="Times New Roman"/>
          <w:color w:val="000000" w:themeColor="text1"/>
          <w:sz w:val="24"/>
          <w:szCs w:val="24"/>
        </w:rPr>
        <w:t xml:space="preserve"> </w:t>
      </w:r>
      <w:r w:rsidR="00E05E8B" w:rsidRPr="005D75EB">
        <w:rPr>
          <w:rFonts w:ascii="Palatino Linotype" w:hAnsi="Palatino Linotype" w:cs="Times New Roman"/>
          <w:color w:val="000000" w:themeColor="text1"/>
          <w:sz w:val="24"/>
          <w:szCs w:val="24"/>
        </w:rPr>
        <w:t xml:space="preserve">are published in </w:t>
      </w:r>
      <w:r w:rsidR="005A5FE8" w:rsidRPr="005D75EB">
        <w:rPr>
          <w:rFonts w:ascii="Palatino Linotype" w:hAnsi="Palatino Linotype" w:cs="Times New Roman"/>
          <w:color w:val="000000" w:themeColor="text1"/>
          <w:sz w:val="24"/>
          <w:szCs w:val="24"/>
        </w:rPr>
        <w:t xml:space="preserve">multiple </w:t>
      </w:r>
      <w:r w:rsidR="00E05E8B" w:rsidRPr="005D75EB">
        <w:rPr>
          <w:rFonts w:ascii="Palatino Linotype" w:hAnsi="Palatino Linotype" w:cs="Times New Roman"/>
          <w:color w:val="000000" w:themeColor="text1"/>
          <w:sz w:val="24"/>
          <w:szCs w:val="24"/>
        </w:rPr>
        <w:t>formats on t</w:t>
      </w:r>
      <w:r w:rsidR="005A5FE8" w:rsidRPr="005D75EB">
        <w:rPr>
          <w:rFonts w:ascii="Palatino Linotype" w:hAnsi="Palatino Linotype" w:cs="Times New Roman"/>
          <w:color w:val="000000" w:themeColor="text1"/>
          <w:sz w:val="24"/>
          <w:szCs w:val="24"/>
        </w:rPr>
        <w:t xml:space="preserve">he </w:t>
      </w:r>
      <w:r w:rsidR="00821D8A" w:rsidRPr="005D75EB">
        <w:rPr>
          <w:rFonts w:ascii="Palatino Linotype" w:hAnsi="Palatino Linotype" w:cs="Times New Roman"/>
          <w:color w:val="000000" w:themeColor="text1"/>
          <w:sz w:val="24"/>
          <w:szCs w:val="24"/>
        </w:rPr>
        <w:t xml:space="preserve">(accessible) </w:t>
      </w:r>
      <w:r w:rsidR="005A5FE8" w:rsidRPr="005D75EB">
        <w:rPr>
          <w:rFonts w:ascii="Palatino Linotype" w:hAnsi="Palatino Linotype" w:cs="Times New Roman"/>
          <w:color w:val="000000" w:themeColor="text1"/>
          <w:sz w:val="24"/>
          <w:szCs w:val="24"/>
        </w:rPr>
        <w:t>Melbourne Law School website, including screen</w:t>
      </w:r>
      <w:r w:rsidR="00EB6028" w:rsidRPr="005D75EB">
        <w:rPr>
          <w:rFonts w:ascii="Palatino Linotype" w:hAnsi="Palatino Linotype" w:cs="Times New Roman"/>
          <w:color w:val="000000" w:themeColor="text1"/>
          <w:sz w:val="24"/>
          <w:szCs w:val="24"/>
        </w:rPr>
        <w:t xml:space="preserve">-reader accessible reports. </w:t>
      </w:r>
      <w:r w:rsidR="004C30F2" w:rsidRPr="005D75EB">
        <w:rPr>
          <w:rFonts w:ascii="Palatino Linotype" w:hAnsi="Palatino Linotype" w:cs="Times New Roman"/>
          <w:color w:val="000000" w:themeColor="text1"/>
          <w:sz w:val="24"/>
          <w:szCs w:val="24"/>
        </w:rPr>
        <w:t>The accessibility of presentations and seminars is also considered, with wheelchair accessible venues, sign-language interpretation, and other accessibility</w:t>
      </w:r>
      <w:r w:rsidR="007D6017" w:rsidRPr="005D75EB">
        <w:rPr>
          <w:rFonts w:ascii="Palatino Linotype" w:hAnsi="Palatino Linotype" w:cs="Times New Roman"/>
          <w:color w:val="000000" w:themeColor="text1"/>
          <w:sz w:val="24"/>
          <w:szCs w:val="24"/>
        </w:rPr>
        <w:t xml:space="preserve"> considerations factored into event planning. </w:t>
      </w:r>
      <w:r w:rsidRPr="005D75EB">
        <w:rPr>
          <w:rFonts w:ascii="Palatino Linotype" w:hAnsi="Palatino Linotype" w:cs="Times New Roman"/>
          <w:color w:val="000000" w:themeColor="text1"/>
          <w:sz w:val="24"/>
          <w:szCs w:val="24"/>
        </w:rPr>
        <w:t xml:space="preserve">This is a work in progress, with </w:t>
      </w:r>
      <w:r w:rsidR="001D286C" w:rsidRPr="005D75EB">
        <w:rPr>
          <w:rFonts w:ascii="Palatino Linotype" w:hAnsi="Palatino Linotype" w:cs="Times New Roman"/>
          <w:color w:val="000000" w:themeColor="text1"/>
          <w:sz w:val="24"/>
          <w:szCs w:val="24"/>
        </w:rPr>
        <w:t xml:space="preserve">future plans to develop more </w:t>
      </w:r>
      <w:r w:rsidR="007D6017" w:rsidRPr="005D75EB">
        <w:rPr>
          <w:rFonts w:ascii="Palatino Linotype" w:hAnsi="Palatino Linotype" w:cs="Times New Roman"/>
          <w:color w:val="000000" w:themeColor="text1"/>
          <w:sz w:val="24"/>
          <w:szCs w:val="24"/>
        </w:rPr>
        <w:t>easy-to-read outputs</w:t>
      </w:r>
      <w:r w:rsidR="00FA454A" w:rsidRPr="005D75EB">
        <w:rPr>
          <w:rFonts w:ascii="Palatino Linotype" w:hAnsi="Palatino Linotype" w:cs="Times New Roman"/>
          <w:color w:val="000000" w:themeColor="text1"/>
          <w:sz w:val="24"/>
          <w:szCs w:val="24"/>
        </w:rPr>
        <w:t xml:space="preserve"> and accessible events.</w:t>
      </w:r>
    </w:p>
    <w:p w14:paraId="27A357A4" w14:textId="0705A6B2" w:rsidR="00E05E8B" w:rsidRPr="005D75EB" w:rsidRDefault="009D3C5D" w:rsidP="005D75EB">
      <w:pPr>
        <w:spacing w:line="480" w:lineRule="auto"/>
        <w:jc w:val="both"/>
        <w:rPr>
          <w:rFonts w:ascii="Palatino Linotype" w:hAnsi="Palatino Linotype" w:cs="Times New Roman"/>
          <w:color w:val="000000" w:themeColor="text1"/>
          <w:sz w:val="24"/>
          <w:szCs w:val="24"/>
        </w:rPr>
      </w:pPr>
      <w:r w:rsidRPr="005D75EB">
        <w:rPr>
          <w:rFonts w:ascii="Palatino Linotype" w:hAnsi="Palatino Linotype" w:cs="Times New Roman"/>
          <w:color w:val="000000" w:themeColor="text1"/>
          <w:sz w:val="24"/>
          <w:szCs w:val="24"/>
        </w:rPr>
        <w:t xml:space="preserve">Where appropriate, disability human rights clinics can also provide advice and support to partner organisations to utilise the research outcomes to pursue social change by, </w:t>
      </w:r>
      <w:r w:rsidR="00E05E8B" w:rsidRPr="005D75EB">
        <w:rPr>
          <w:rFonts w:ascii="Palatino Linotype" w:hAnsi="Palatino Linotype" w:cs="Times New Roman"/>
          <w:color w:val="000000" w:themeColor="text1"/>
          <w:sz w:val="24"/>
          <w:szCs w:val="24"/>
        </w:rPr>
        <w:t>for instance, linking them with legal services to pursue strategic litigation, or providing guidance on pursuing formal redress through a communication to the Committee on the Rights of Persons with Disabilities or other</w:t>
      </w:r>
      <w:r w:rsidRPr="005D75EB">
        <w:rPr>
          <w:rFonts w:ascii="Palatino Linotype" w:hAnsi="Palatino Linotype" w:cs="Times New Roman"/>
          <w:color w:val="000000" w:themeColor="text1"/>
          <w:sz w:val="24"/>
          <w:szCs w:val="24"/>
        </w:rPr>
        <w:t xml:space="preserve"> domestic or international bodies.</w:t>
      </w:r>
      <w:r w:rsidR="00C107A1" w:rsidRPr="005D75EB">
        <w:rPr>
          <w:rFonts w:ascii="Palatino Linotype" w:hAnsi="Palatino Linotype" w:cs="Times New Roman"/>
          <w:color w:val="000000" w:themeColor="text1"/>
          <w:sz w:val="24"/>
          <w:szCs w:val="24"/>
        </w:rPr>
        <w:t xml:space="preserve"> </w:t>
      </w:r>
      <w:r w:rsidR="00A41043" w:rsidRPr="005D75EB">
        <w:rPr>
          <w:rFonts w:ascii="Palatino Linotype" w:hAnsi="Palatino Linotype" w:cs="Times New Roman"/>
          <w:color w:val="000000" w:themeColor="text1"/>
          <w:sz w:val="24"/>
          <w:szCs w:val="24"/>
        </w:rPr>
        <w:t xml:space="preserve">This </w:t>
      </w:r>
      <w:r w:rsidR="009C4359" w:rsidRPr="005D75EB">
        <w:rPr>
          <w:rFonts w:ascii="Palatino Linotype" w:hAnsi="Palatino Linotype" w:cs="Times New Roman"/>
          <w:color w:val="000000" w:themeColor="text1"/>
          <w:sz w:val="24"/>
          <w:szCs w:val="24"/>
        </w:rPr>
        <w:t xml:space="preserve">can also contribute to the realisation of the right to access to justice guaranteed in article 13 of the CRPD. </w:t>
      </w:r>
      <w:r w:rsidR="00C107A1" w:rsidRPr="005D75EB">
        <w:rPr>
          <w:rFonts w:ascii="Palatino Linotype" w:hAnsi="Palatino Linotype" w:cs="Times New Roman"/>
          <w:color w:val="000000" w:themeColor="text1"/>
          <w:sz w:val="24"/>
          <w:szCs w:val="24"/>
        </w:rPr>
        <w:t xml:space="preserve">Finally, to maximise the reach and impact of the research findings, partners are invited to share the research outputs with their members and networks. Permission is sought from the students and the partners </w:t>
      </w:r>
      <w:r w:rsidR="00332B17" w:rsidRPr="005D75EB">
        <w:rPr>
          <w:rFonts w:ascii="Palatino Linotype" w:hAnsi="Palatino Linotype" w:cs="Times New Roman"/>
          <w:color w:val="000000" w:themeColor="text1"/>
          <w:sz w:val="24"/>
          <w:szCs w:val="24"/>
        </w:rPr>
        <w:t xml:space="preserve">prior to </w:t>
      </w:r>
      <w:r w:rsidR="002277FF" w:rsidRPr="005D75EB">
        <w:rPr>
          <w:rFonts w:ascii="Palatino Linotype" w:hAnsi="Palatino Linotype" w:cs="Times New Roman"/>
          <w:color w:val="000000" w:themeColor="text1"/>
          <w:sz w:val="24"/>
          <w:szCs w:val="24"/>
        </w:rPr>
        <w:t xml:space="preserve">this </w:t>
      </w:r>
      <w:r w:rsidR="00332B17" w:rsidRPr="005D75EB">
        <w:rPr>
          <w:rFonts w:ascii="Palatino Linotype" w:hAnsi="Palatino Linotype" w:cs="Times New Roman"/>
          <w:color w:val="000000" w:themeColor="text1"/>
          <w:sz w:val="24"/>
          <w:szCs w:val="24"/>
        </w:rPr>
        <w:t>dissemination.</w:t>
      </w:r>
    </w:p>
    <w:p w14:paraId="2560A26A" w14:textId="28A347B3" w:rsidR="008D6884" w:rsidRPr="005D6811" w:rsidRDefault="008D6884" w:rsidP="005D75EB">
      <w:pPr>
        <w:pStyle w:val="ListParagraph"/>
        <w:numPr>
          <w:ilvl w:val="0"/>
          <w:numId w:val="3"/>
        </w:numPr>
        <w:spacing w:line="480" w:lineRule="auto"/>
        <w:jc w:val="both"/>
        <w:rPr>
          <w:rFonts w:ascii="Palatino Linotype" w:hAnsi="Palatino Linotype" w:cs="Times New Roman"/>
          <w:b/>
          <w:i/>
          <w:sz w:val="24"/>
          <w:szCs w:val="24"/>
        </w:rPr>
      </w:pPr>
      <w:r w:rsidRPr="005D6811">
        <w:rPr>
          <w:rFonts w:ascii="Palatino Linotype" w:hAnsi="Palatino Linotype" w:cs="Times New Roman"/>
          <w:b/>
          <w:i/>
          <w:sz w:val="24"/>
          <w:szCs w:val="24"/>
        </w:rPr>
        <w:t>Combine disability studies and human rights education</w:t>
      </w:r>
    </w:p>
    <w:p w14:paraId="47F53F4A" w14:textId="24D13411" w:rsidR="00443373" w:rsidRPr="005D75EB" w:rsidRDefault="002D2A45" w:rsidP="005D75EB">
      <w:pPr>
        <w:spacing w:line="480" w:lineRule="auto"/>
        <w:jc w:val="both"/>
        <w:rPr>
          <w:rFonts w:ascii="Palatino Linotype" w:hAnsi="Palatino Linotype" w:cs="Times New Roman"/>
          <w:color w:val="000000" w:themeColor="text1"/>
          <w:sz w:val="24"/>
          <w:szCs w:val="24"/>
        </w:rPr>
      </w:pPr>
      <w:r w:rsidRPr="005D75EB">
        <w:rPr>
          <w:rFonts w:ascii="Palatino Linotype" w:hAnsi="Palatino Linotype" w:cs="Times New Roman"/>
          <w:color w:val="000000" w:themeColor="text1"/>
          <w:sz w:val="24"/>
          <w:szCs w:val="24"/>
        </w:rPr>
        <w:t xml:space="preserve">A detailed background in disability studies and human rights education is essential for students engaged in disability human rights clinics. </w:t>
      </w:r>
      <w:r w:rsidR="00E05E8B" w:rsidRPr="005D75EB">
        <w:rPr>
          <w:rFonts w:ascii="Palatino Linotype" w:hAnsi="Palatino Linotype" w:cs="Times New Roman"/>
          <w:color w:val="000000" w:themeColor="text1"/>
          <w:sz w:val="24"/>
          <w:szCs w:val="24"/>
        </w:rPr>
        <w:t>The DHRC includes a teaching component</w:t>
      </w:r>
      <w:r w:rsidRPr="005D75EB">
        <w:rPr>
          <w:rFonts w:ascii="Palatino Linotype" w:hAnsi="Palatino Linotype" w:cs="Times New Roman"/>
          <w:color w:val="000000" w:themeColor="text1"/>
          <w:sz w:val="24"/>
          <w:szCs w:val="24"/>
        </w:rPr>
        <w:t xml:space="preserve"> – a </w:t>
      </w:r>
      <w:r w:rsidR="0081646B" w:rsidRPr="005D75EB">
        <w:rPr>
          <w:rFonts w:ascii="Palatino Linotype" w:hAnsi="Palatino Linotype" w:cs="Times New Roman"/>
          <w:color w:val="000000" w:themeColor="text1"/>
          <w:sz w:val="24"/>
          <w:szCs w:val="24"/>
        </w:rPr>
        <w:t>90-minute seminar or lecture at the beginning of every clinic day –</w:t>
      </w:r>
      <w:r w:rsidR="00E05E8B" w:rsidRPr="005D75EB">
        <w:rPr>
          <w:rFonts w:ascii="Palatino Linotype" w:hAnsi="Palatino Linotype" w:cs="Times New Roman"/>
          <w:color w:val="000000" w:themeColor="text1"/>
          <w:sz w:val="24"/>
          <w:szCs w:val="24"/>
        </w:rPr>
        <w:t xml:space="preserve"> to </w:t>
      </w:r>
      <w:r w:rsidR="00E05E8B" w:rsidRPr="005D75EB">
        <w:rPr>
          <w:rFonts w:ascii="Palatino Linotype" w:hAnsi="Palatino Linotype" w:cs="Times New Roman"/>
          <w:color w:val="000000" w:themeColor="text1"/>
          <w:sz w:val="24"/>
          <w:szCs w:val="24"/>
        </w:rPr>
        <w:lastRenderedPageBreak/>
        <w:t>equip students with a detailed knowledge of disability studies and disability human rights law and practice</w:t>
      </w:r>
      <w:r w:rsidRPr="005D75EB">
        <w:rPr>
          <w:rFonts w:ascii="Palatino Linotype" w:hAnsi="Palatino Linotype" w:cs="Times New Roman"/>
          <w:color w:val="000000" w:themeColor="text1"/>
          <w:sz w:val="24"/>
          <w:szCs w:val="24"/>
        </w:rPr>
        <w:t>.</w:t>
      </w:r>
      <w:r w:rsidR="003459E3" w:rsidRPr="005D75EB">
        <w:rPr>
          <w:rFonts w:ascii="Palatino Linotype" w:hAnsi="Palatino Linotype" w:cs="Times New Roman"/>
          <w:color w:val="000000" w:themeColor="text1"/>
          <w:sz w:val="24"/>
          <w:szCs w:val="24"/>
        </w:rPr>
        <w:t xml:space="preserve"> </w:t>
      </w:r>
      <w:r w:rsidR="00027201" w:rsidRPr="005D75EB">
        <w:rPr>
          <w:rFonts w:ascii="Palatino Linotype" w:hAnsi="Palatino Linotype" w:cs="Times New Roman"/>
          <w:color w:val="000000" w:themeColor="text1"/>
          <w:sz w:val="24"/>
          <w:szCs w:val="24"/>
        </w:rPr>
        <w:t xml:space="preserve">Seminars address the </w:t>
      </w:r>
      <w:r w:rsidR="00DE24B0" w:rsidRPr="005D75EB">
        <w:rPr>
          <w:rFonts w:ascii="Palatino Linotype" w:hAnsi="Palatino Linotype" w:cs="Times New Roman"/>
          <w:color w:val="000000" w:themeColor="text1"/>
          <w:sz w:val="24"/>
          <w:szCs w:val="24"/>
        </w:rPr>
        <w:t>key aspects of disability studies</w:t>
      </w:r>
      <w:r w:rsidR="00BF0EC7" w:rsidRPr="005D75EB">
        <w:rPr>
          <w:rFonts w:ascii="Palatino Linotype" w:hAnsi="Palatino Linotype" w:cs="Times New Roman"/>
          <w:color w:val="000000" w:themeColor="text1"/>
          <w:sz w:val="24"/>
          <w:szCs w:val="24"/>
        </w:rPr>
        <w:t xml:space="preserve"> and teach students about the </w:t>
      </w:r>
      <w:r w:rsidR="0059174C" w:rsidRPr="005D75EB">
        <w:rPr>
          <w:rFonts w:ascii="Palatino Linotype" w:hAnsi="Palatino Linotype" w:cs="Times New Roman"/>
          <w:color w:val="000000" w:themeColor="text1"/>
          <w:sz w:val="24"/>
          <w:szCs w:val="24"/>
        </w:rPr>
        <w:t xml:space="preserve">central ideas and </w:t>
      </w:r>
      <w:r w:rsidR="00BF0EC7" w:rsidRPr="005D75EB">
        <w:rPr>
          <w:rFonts w:ascii="Palatino Linotype" w:hAnsi="Palatino Linotype" w:cs="Times New Roman"/>
          <w:color w:val="000000" w:themeColor="text1"/>
          <w:sz w:val="24"/>
          <w:szCs w:val="24"/>
        </w:rPr>
        <w:t>shift of perspective that the emerge</w:t>
      </w:r>
      <w:r w:rsidR="00804793" w:rsidRPr="005D75EB">
        <w:rPr>
          <w:rFonts w:ascii="Palatino Linotype" w:hAnsi="Palatino Linotype" w:cs="Times New Roman"/>
          <w:color w:val="000000" w:themeColor="text1"/>
          <w:sz w:val="24"/>
          <w:szCs w:val="24"/>
        </w:rPr>
        <w:t>nce</w:t>
      </w:r>
      <w:r w:rsidR="00BF0EC7" w:rsidRPr="005D75EB">
        <w:rPr>
          <w:rFonts w:ascii="Palatino Linotype" w:hAnsi="Palatino Linotype" w:cs="Times New Roman"/>
          <w:color w:val="000000" w:themeColor="text1"/>
          <w:sz w:val="24"/>
          <w:szCs w:val="24"/>
        </w:rPr>
        <w:t xml:space="preserve"> of this interdisciplinary research field brought to the scientific </w:t>
      </w:r>
      <w:r w:rsidR="0059174C" w:rsidRPr="005D75EB">
        <w:rPr>
          <w:rFonts w:ascii="Palatino Linotype" w:hAnsi="Palatino Linotype" w:cs="Times New Roman"/>
          <w:color w:val="000000" w:themeColor="text1"/>
          <w:sz w:val="24"/>
          <w:szCs w:val="24"/>
        </w:rPr>
        <w:t>discussion of</w:t>
      </w:r>
      <w:r w:rsidR="00BF0EC7" w:rsidRPr="005D75EB">
        <w:rPr>
          <w:rFonts w:ascii="Palatino Linotype" w:hAnsi="Palatino Linotype" w:cs="Times New Roman"/>
          <w:color w:val="000000" w:themeColor="text1"/>
          <w:sz w:val="24"/>
          <w:szCs w:val="24"/>
        </w:rPr>
        <w:t xml:space="preserve"> disability.</w:t>
      </w:r>
      <w:r w:rsidR="0059174C" w:rsidRPr="005D75EB">
        <w:rPr>
          <w:rFonts w:ascii="Palatino Linotype" w:hAnsi="Palatino Linotype" w:cs="Times New Roman"/>
          <w:color w:val="000000" w:themeColor="text1"/>
          <w:sz w:val="24"/>
          <w:szCs w:val="24"/>
        </w:rPr>
        <w:t xml:space="preserve"> </w:t>
      </w:r>
      <w:r w:rsidR="00695D83" w:rsidRPr="005D75EB">
        <w:rPr>
          <w:rFonts w:ascii="Palatino Linotype" w:hAnsi="Palatino Linotype" w:cs="Times New Roman"/>
          <w:color w:val="000000" w:themeColor="text1"/>
          <w:sz w:val="24"/>
          <w:szCs w:val="24"/>
        </w:rPr>
        <w:t xml:space="preserve">This is particularly important for students in </w:t>
      </w:r>
      <w:r w:rsidR="00CB1155" w:rsidRPr="005D75EB">
        <w:rPr>
          <w:rFonts w:ascii="Palatino Linotype" w:hAnsi="Palatino Linotype" w:cs="Times New Roman"/>
          <w:color w:val="000000" w:themeColor="text1"/>
          <w:sz w:val="24"/>
          <w:szCs w:val="24"/>
        </w:rPr>
        <w:t xml:space="preserve">many </w:t>
      </w:r>
      <w:r w:rsidR="00695D83" w:rsidRPr="005D75EB">
        <w:rPr>
          <w:rFonts w:ascii="Palatino Linotype" w:hAnsi="Palatino Linotype" w:cs="Times New Roman"/>
          <w:color w:val="000000" w:themeColor="text1"/>
          <w:sz w:val="24"/>
          <w:szCs w:val="24"/>
        </w:rPr>
        <w:t>universities that do not have disability studies or disability law programs.</w:t>
      </w:r>
    </w:p>
    <w:p w14:paraId="0A355C24" w14:textId="482BCA40" w:rsidR="00C82428" w:rsidRPr="005D75EB" w:rsidRDefault="00B3093D" w:rsidP="005D75EB">
      <w:pPr>
        <w:spacing w:line="480" w:lineRule="auto"/>
        <w:jc w:val="both"/>
        <w:rPr>
          <w:rFonts w:ascii="Palatino Linotype" w:hAnsi="Palatino Linotype" w:cs="Times New Roman"/>
          <w:color w:val="000000" w:themeColor="text1"/>
          <w:sz w:val="24"/>
          <w:szCs w:val="24"/>
        </w:rPr>
      </w:pPr>
      <w:r w:rsidRPr="005D75EB">
        <w:rPr>
          <w:rFonts w:ascii="Palatino Linotype" w:hAnsi="Palatino Linotype" w:cs="Times New Roman"/>
          <w:color w:val="000000" w:themeColor="text1"/>
          <w:sz w:val="24"/>
          <w:szCs w:val="24"/>
        </w:rPr>
        <w:t xml:space="preserve">Topics addressed in the seminars include </w:t>
      </w:r>
      <w:r w:rsidR="00965615" w:rsidRPr="005D75EB">
        <w:rPr>
          <w:rFonts w:ascii="Palatino Linotype" w:hAnsi="Palatino Linotype" w:cs="Times New Roman"/>
          <w:color w:val="000000" w:themeColor="text1"/>
          <w:sz w:val="24"/>
          <w:szCs w:val="24"/>
        </w:rPr>
        <w:t>the medical</w:t>
      </w:r>
      <w:r w:rsidR="006C4B61" w:rsidRPr="005D75EB">
        <w:rPr>
          <w:rFonts w:ascii="Palatino Linotype" w:hAnsi="Palatino Linotype" w:cs="Times New Roman"/>
          <w:color w:val="000000" w:themeColor="text1"/>
          <w:sz w:val="24"/>
          <w:szCs w:val="24"/>
        </w:rPr>
        <w:t xml:space="preserve"> and</w:t>
      </w:r>
      <w:r w:rsidR="00091762" w:rsidRPr="005D75EB">
        <w:rPr>
          <w:rFonts w:ascii="Palatino Linotype" w:hAnsi="Palatino Linotype" w:cs="Times New Roman"/>
          <w:color w:val="000000" w:themeColor="text1"/>
          <w:sz w:val="24"/>
          <w:szCs w:val="24"/>
        </w:rPr>
        <w:t xml:space="preserve"> social</w:t>
      </w:r>
      <w:r w:rsidR="00CF2FEB" w:rsidRPr="005D75EB">
        <w:rPr>
          <w:rFonts w:ascii="Palatino Linotype" w:hAnsi="Palatino Linotype" w:cs="Times New Roman"/>
          <w:color w:val="000000" w:themeColor="text1"/>
          <w:sz w:val="24"/>
          <w:szCs w:val="24"/>
        </w:rPr>
        <w:t xml:space="preserve"> </w:t>
      </w:r>
      <w:r w:rsidR="00091762" w:rsidRPr="005D75EB">
        <w:rPr>
          <w:rFonts w:ascii="Palatino Linotype" w:hAnsi="Palatino Linotype" w:cs="Times New Roman"/>
          <w:color w:val="000000" w:themeColor="text1"/>
          <w:sz w:val="24"/>
          <w:szCs w:val="24"/>
        </w:rPr>
        <w:t>models of disability;</w:t>
      </w:r>
      <w:r w:rsidR="00D2750F" w:rsidRPr="005D75EB">
        <w:rPr>
          <w:rFonts w:ascii="Palatino Linotype" w:hAnsi="Palatino Linotype" w:cs="Times New Roman"/>
          <w:color w:val="000000" w:themeColor="text1"/>
          <w:sz w:val="24"/>
          <w:szCs w:val="24"/>
        </w:rPr>
        <w:t xml:space="preserve"> </w:t>
      </w:r>
      <w:r w:rsidR="009B02CD" w:rsidRPr="005D75EB">
        <w:rPr>
          <w:rFonts w:ascii="Palatino Linotype" w:hAnsi="Palatino Linotype" w:cs="Times New Roman"/>
          <w:color w:val="000000" w:themeColor="text1"/>
          <w:sz w:val="24"/>
          <w:szCs w:val="24"/>
        </w:rPr>
        <w:t>discrimination</w:t>
      </w:r>
      <w:r w:rsidR="00D2750F" w:rsidRPr="005D75EB">
        <w:rPr>
          <w:rFonts w:ascii="Palatino Linotype" w:hAnsi="Palatino Linotype" w:cs="Times New Roman"/>
          <w:color w:val="000000" w:themeColor="text1"/>
          <w:sz w:val="24"/>
          <w:szCs w:val="24"/>
        </w:rPr>
        <w:t xml:space="preserve"> (including intersectional discrimination)</w:t>
      </w:r>
      <w:r w:rsidR="00A056EF" w:rsidRPr="005D75EB">
        <w:rPr>
          <w:rFonts w:ascii="Palatino Linotype" w:hAnsi="Palatino Linotype" w:cs="Times New Roman"/>
          <w:color w:val="000000" w:themeColor="text1"/>
          <w:sz w:val="24"/>
          <w:szCs w:val="24"/>
        </w:rPr>
        <w:t>;</w:t>
      </w:r>
      <w:r w:rsidR="009A404D" w:rsidRPr="005D75EB">
        <w:rPr>
          <w:rFonts w:ascii="Palatino Linotype" w:hAnsi="Palatino Linotype" w:cs="Times New Roman"/>
          <w:color w:val="000000" w:themeColor="text1"/>
          <w:sz w:val="24"/>
          <w:szCs w:val="24"/>
        </w:rPr>
        <w:t xml:space="preserve"> legal capacity;</w:t>
      </w:r>
      <w:r w:rsidR="009B02CD" w:rsidRPr="005D75EB">
        <w:rPr>
          <w:rFonts w:ascii="Palatino Linotype" w:hAnsi="Palatino Linotype" w:cs="Times New Roman"/>
          <w:color w:val="000000" w:themeColor="text1"/>
          <w:sz w:val="24"/>
          <w:szCs w:val="24"/>
        </w:rPr>
        <w:t xml:space="preserve"> </w:t>
      </w:r>
      <w:r w:rsidR="00027201" w:rsidRPr="005D75EB">
        <w:rPr>
          <w:rFonts w:ascii="Palatino Linotype" w:hAnsi="Palatino Linotype" w:cs="Times New Roman"/>
          <w:color w:val="000000" w:themeColor="text1"/>
          <w:sz w:val="24"/>
          <w:szCs w:val="24"/>
        </w:rPr>
        <w:t>and accessibility.</w:t>
      </w:r>
      <w:r w:rsidR="00091762" w:rsidRPr="005D75EB">
        <w:rPr>
          <w:rFonts w:ascii="Palatino Linotype" w:hAnsi="Palatino Linotype" w:cs="Times New Roman"/>
          <w:color w:val="000000" w:themeColor="text1"/>
          <w:sz w:val="24"/>
          <w:szCs w:val="24"/>
        </w:rPr>
        <w:t xml:space="preserve"> </w:t>
      </w:r>
      <w:r w:rsidR="003C4C67" w:rsidRPr="005D75EB">
        <w:rPr>
          <w:rFonts w:ascii="Palatino Linotype" w:hAnsi="Palatino Linotype" w:cs="Times New Roman"/>
          <w:color w:val="000000" w:themeColor="text1"/>
          <w:sz w:val="24"/>
          <w:szCs w:val="24"/>
        </w:rPr>
        <w:t>Other seminars deal with</w:t>
      </w:r>
      <w:r w:rsidR="00363AE8" w:rsidRPr="005D75EB">
        <w:rPr>
          <w:rFonts w:ascii="Palatino Linotype" w:hAnsi="Palatino Linotype" w:cs="Times New Roman"/>
          <w:color w:val="000000" w:themeColor="text1"/>
          <w:sz w:val="24"/>
          <w:szCs w:val="24"/>
        </w:rPr>
        <w:t xml:space="preserve"> general</w:t>
      </w:r>
      <w:r w:rsidR="003C4C67" w:rsidRPr="005D75EB">
        <w:rPr>
          <w:rFonts w:ascii="Palatino Linotype" w:hAnsi="Palatino Linotype" w:cs="Times New Roman"/>
          <w:color w:val="000000" w:themeColor="text1"/>
          <w:sz w:val="24"/>
          <w:szCs w:val="24"/>
        </w:rPr>
        <w:t xml:space="preserve"> </w:t>
      </w:r>
      <w:r w:rsidR="00706995" w:rsidRPr="005D75EB">
        <w:rPr>
          <w:rFonts w:ascii="Palatino Linotype" w:hAnsi="Palatino Linotype" w:cs="Times New Roman"/>
          <w:color w:val="000000" w:themeColor="text1"/>
          <w:sz w:val="24"/>
          <w:szCs w:val="24"/>
        </w:rPr>
        <w:t xml:space="preserve">human rights </w:t>
      </w:r>
      <w:r w:rsidR="00F56D56" w:rsidRPr="005D75EB">
        <w:rPr>
          <w:rFonts w:ascii="Palatino Linotype" w:hAnsi="Palatino Linotype" w:cs="Times New Roman"/>
          <w:color w:val="000000" w:themeColor="text1"/>
          <w:sz w:val="24"/>
          <w:szCs w:val="24"/>
        </w:rPr>
        <w:t>principles, theory and law,</w:t>
      </w:r>
      <w:r w:rsidR="0059537B" w:rsidRPr="005D75EB">
        <w:rPr>
          <w:rFonts w:ascii="Palatino Linotype" w:hAnsi="Palatino Linotype" w:cs="Times New Roman"/>
          <w:color w:val="000000" w:themeColor="text1"/>
          <w:sz w:val="24"/>
          <w:szCs w:val="24"/>
        </w:rPr>
        <w:t xml:space="preserve"> including</w:t>
      </w:r>
      <w:r w:rsidR="00F56D56" w:rsidRPr="005D75EB">
        <w:rPr>
          <w:rFonts w:ascii="Palatino Linotype" w:hAnsi="Palatino Linotype" w:cs="Times New Roman"/>
          <w:color w:val="000000" w:themeColor="text1"/>
          <w:sz w:val="24"/>
          <w:szCs w:val="24"/>
        </w:rPr>
        <w:t xml:space="preserve"> the history </w:t>
      </w:r>
      <w:r w:rsidR="003C4C67" w:rsidRPr="005D75EB">
        <w:rPr>
          <w:rFonts w:ascii="Palatino Linotype" w:hAnsi="Palatino Linotype" w:cs="Times New Roman"/>
          <w:color w:val="000000" w:themeColor="text1"/>
          <w:sz w:val="24"/>
          <w:szCs w:val="24"/>
        </w:rPr>
        <w:t xml:space="preserve">and </w:t>
      </w:r>
      <w:r w:rsidR="007D0AF9" w:rsidRPr="005D75EB">
        <w:rPr>
          <w:rFonts w:ascii="Palatino Linotype" w:hAnsi="Palatino Linotype" w:cs="Times New Roman"/>
          <w:color w:val="000000" w:themeColor="text1"/>
          <w:sz w:val="24"/>
          <w:szCs w:val="24"/>
        </w:rPr>
        <w:t xml:space="preserve">enforceability </w:t>
      </w:r>
      <w:r w:rsidR="00F56D56" w:rsidRPr="005D75EB">
        <w:rPr>
          <w:rFonts w:ascii="Palatino Linotype" w:hAnsi="Palatino Linotype" w:cs="Times New Roman"/>
          <w:color w:val="000000" w:themeColor="text1"/>
          <w:sz w:val="24"/>
          <w:szCs w:val="24"/>
        </w:rPr>
        <w:t>of international human rights</w:t>
      </w:r>
      <w:r w:rsidR="002A37F7" w:rsidRPr="005D75EB">
        <w:rPr>
          <w:rFonts w:ascii="Palatino Linotype" w:hAnsi="Palatino Linotype" w:cs="Times New Roman"/>
          <w:color w:val="000000" w:themeColor="text1"/>
          <w:sz w:val="24"/>
          <w:szCs w:val="24"/>
        </w:rPr>
        <w:t>,</w:t>
      </w:r>
      <w:r w:rsidR="00033D97" w:rsidRPr="005D75EB">
        <w:rPr>
          <w:rFonts w:ascii="Palatino Linotype" w:hAnsi="Palatino Linotype" w:cs="Times New Roman"/>
          <w:color w:val="000000" w:themeColor="text1"/>
          <w:sz w:val="24"/>
          <w:szCs w:val="24"/>
        </w:rPr>
        <w:t xml:space="preserve"> and</w:t>
      </w:r>
      <w:r w:rsidR="003C4C67" w:rsidRPr="005D75EB">
        <w:rPr>
          <w:rFonts w:ascii="Palatino Linotype" w:hAnsi="Palatino Linotype" w:cs="Times New Roman"/>
          <w:color w:val="000000" w:themeColor="text1"/>
          <w:sz w:val="24"/>
          <w:szCs w:val="24"/>
        </w:rPr>
        <w:t xml:space="preserve"> t</w:t>
      </w:r>
      <w:r w:rsidR="0059537B" w:rsidRPr="005D75EB">
        <w:rPr>
          <w:rFonts w:ascii="Palatino Linotype" w:hAnsi="Palatino Linotype" w:cs="Times New Roman"/>
          <w:color w:val="000000" w:themeColor="text1"/>
          <w:sz w:val="24"/>
          <w:szCs w:val="24"/>
        </w:rPr>
        <w:t>he</w:t>
      </w:r>
      <w:r w:rsidR="003C4C67" w:rsidRPr="005D75EB">
        <w:rPr>
          <w:rFonts w:ascii="Palatino Linotype" w:hAnsi="Palatino Linotype" w:cs="Times New Roman"/>
          <w:color w:val="000000" w:themeColor="text1"/>
          <w:sz w:val="24"/>
          <w:szCs w:val="24"/>
        </w:rPr>
        <w:t xml:space="preserve"> universal</w:t>
      </w:r>
      <w:r w:rsidR="00EE5FDF" w:rsidRPr="005D75EB">
        <w:rPr>
          <w:rFonts w:ascii="Palatino Linotype" w:hAnsi="Palatino Linotype" w:cs="Times New Roman"/>
          <w:color w:val="000000" w:themeColor="text1"/>
          <w:sz w:val="24"/>
          <w:szCs w:val="24"/>
        </w:rPr>
        <w:t xml:space="preserve"> rights guaranteed in </w:t>
      </w:r>
      <w:r w:rsidR="00093169" w:rsidRPr="005D75EB">
        <w:rPr>
          <w:rFonts w:ascii="Palatino Linotype" w:hAnsi="Palatino Linotype" w:cs="Times New Roman"/>
          <w:color w:val="000000" w:themeColor="text1"/>
          <w:sz w:val="24"/>
          <w:szCs w:val="24"/>
        </w:rPr>
        <w:t xml:space="preserve">the </w:t>
      </w:r>
      <w:r w:rsidR="007F6A3F" w:rsidRPr="005D75EB">
        <w:rPr>
          <w:rFonts w:ascii="Palatino Linotype" w:hAnsi="Palatino Linotype" w:cs="Times New Roman"/>
          <w:color w:val="000000" w:themeColor="text1"/>
          <w:sz w:val="24"/>
          <w:szCs w:val="24"/>
        </w:rPr>
        <w:t>ICCPR</w:t>
      </w:r>
      <w:r w:rsidR="00093169" w:rsidRPr="005D75EB">
        <w:rPr>
          <w:rFonts w:ascii="Palatino Linotype" w:hAnsi="Palatino Linotype" w:cs="Times New Roman"/>
          <w:color w:val="000000" w:themeColor="text1"/>
          <w:sz w:val="24"/>
          <w:szCs w:val="24"/>
        </w:rPr>
        <w:t xml:space="preserve"> and the</w:t>
      </w:r>
      <w:r w:rsidR="007F6A3F" w:rsidRPr="005D75EB">
        <w:rPr>
          <w:rFonts w:ascii="Palatino Linotype" w:hAnsi="Palatino Linotype" w:cs="Times New Roman"/>
          <w:color w:val="000000" w:themeColor="text1"/>
          <w:sz w:val="24"/>
          <w:szCs w:val="24"/>
        </w:rPr>
        <w:t xml:space="preserve"> ICESCR</w:t>
      </w:r>
      <w:r w:rsidR="00093169" w:rsidRPr="005D75EB">
        <w:rPr>
          <w:rFonts w:ascii="Palatino Linotype" w:hAnsi="Palatino Linotype" w:cs="Times New Roman"/>
          <w:color w:val="000000" w:themeColor="text1"/>
          <w:sz w:val="24"/>
          <w:szCs w:val="24"/>
        </w:rPr>
        <w:t>.</w:t>
      </w:r>
      <w:r w:rsidR="00033D97" w:rsidRPr="005D75EB">
        <w:rPr>
          <w:rFonts w:ascii="Palatino Linotype" w:hAnsi="Palatino Linotype" w:cs="Times New Roman"/>
          <w:color w:val="000000" w:themeColor="text1"/>
          <w:sz w:val="24"/>
          <w:szCs w:val="24"/>
        </w:rPr>
        <w:t xml:space="preserve"> The</w:t>
      </w:r>
      <w:r w:rsidR="003C4C67" w:rsidRPr="005D75EB">
        <w:rPr>
          <w:rFonts w:ascii="Palatino Linotype" w:hAnsi="Palatino Linotype" w:cs="Times New Roman"/>
          <w:color w:val="000000" w:themeColor="text1"/>
          <w:sz w:val="24"/>
          <w:szCs w:val="24"/>
        </w:rPr>
        <w:t xml:space="preserve"> application of these rights </w:t>
      </w:r>
      <w:r w:rsidR="00EE5FDF" w:rsidRPr="005D75EB">
        <w:rPr>
          <w:rFonts w:ascii="Palatino Linotype" w:hAnsi="Palatino Linotype" w:cs="Times New Roman"/>
          <w:color w:val="000000" w:themeColor="text1"/>
          <w:sz w:val="24"/>
          <w:szCs w:val="24"/>
        </w:rPr>
        <w:t>specifically to perso</w:t>
      </w:r>
      <w:r w:rsidR="008A1E52" w:rsidRPr="005D75EB">
        <w:rPr>
          <w:rFonts w:ascii="Palatino Linotype" w:hAnsi="Palatino Linotype" w:cs="Times New Roman"/>
          <w:color w:val="000000" w:themeColor="text1"/>
          <w:sz w:val="24"/>
          <w:szCs w:val="24"/>
        </w:rPr>
        <w:t>ns</w:t>
      </w:r>
      <w:r w:rsidR="00455AA7" w:rsidRPr="005D75EB">
        <w:rPr>
          <w:rFonts w:ascii="Palatino Linotype" w:hAnsi="Palatino Linotype" w:cs="Times New Roman"/>
          <w:color w:val="000000" w:themeColor="text1"/>
          <w:sz w:val="24"/>
          <w:szCs w:val="24"/>
        </w:rPr>
        <w:t xml:space="preserve"> with disabilities in the CRPD</w:t>
      </w:r>
      <w:r w:rsidR="00033D97" w:rsidRPr="005D75EB">
        <w:rPr>
          <w:rFonts w:ascii="Palatino Linotype" w:hAnsi="Palatino Linotype" w:cs="Times New Roman"/>
          <w:color w:val="000000" w:themeColor="text1"/>
          <w:sz w:val="24"/>
          <w:szCs w:val="24"/>
        </w:rPr>
        <w:t>,</w:t>
      </w:r>
      <w:r w:rsidR="009C082C" w:rsidRPr="005D75EB">
        <w:rPr>
          <w:rFonts w:ascii="Palatino Linotype" w:hAnsi="Palatino Linotype" w:cs="Times New Roman"/>
          <w:color w:val="000000" w:themeColor="text1"/>
          <w:sz w:val="24"/>
          <w:szCs w:val="24"/>
        </w:rPr>
        <w:t xml:space="preserve"> </w:t>
      </w:r>
      <w:r w:rsidR="00744096" w:rsidRPr="005D75EB">
        <w:rPr>
          <w:rFonts w:ascii="Palatino Linotype" w:hAnsi="Palatino Linotype" w:cs="Times New Roman"/>
          <w:color w:val="000000" w:themeColor="text1"/>
          <w:sz w:val="24"/>
          <w:szCs w:val="24"/>
        </w:rPr>
        <w:t xml:space="preserve">the implementation of </w:t>
      </w:r>
      <w:r w:rsidR="00033D97" w:rsidRPr="005D75EB">
        <w:rPr>
          <w:rFonts w:ascii="Palatino Linotype" w:hAnsi="Palatino Linotype" w:cs="Times New Roman"/>
          <w:color w:val="000000" w:themeColor="text1"/>
          <w:sz w:val="24"/>
          <w:szCs w:val="24"/>
        </w:rPr>
        <w:t xml:space="preserve">disability human </w:t>
      </w:r>
      <w:r w:rsidR="00744096" w:rsidRPr="005D75EB">
        <w:rPr>
          <w:rFonts w:ascii="Palatino Linotype" w:hAnsi="Palatino Linotype" w:cs="Times New Roman"/>
          <w:color w:val="000000" w:themeColor="text1"/>
          <w:sz w:val="24"/>
          <w:szCs w:val="24"/>
        </w:rPr>
        <w:t>rights in domestic law in Austral</w:t>
      </w:r>
      <w:r w:rsidR="004C29AB" w:rsidRPr="005D75EB">
        <w:rPr>
          <w:rFonts w:ascii="Palatino Linotype" w:hAnsi="Palatino Linotype" w:cs="Times New Roman"/>
          <w:color w:val="000000" w:themeColor="text1"/>
          <w:sz w:val="24"/>
          <w:szCs w:val="24"/>
        </w:rPr>
        <w:t>ia and other parts of the world,</w:t>
      </w:r>
      <w:r w:rsidR="004F506C" w:rsidRPr="005D75EB">
        <w:rPr>
          <w:rFonts w:ascii="Palatino Linotype" w:hAnsi="Palatino Linotype" w:cs="Times New Roman"/>
          <w:color w:val="000000" w:themeColor="text1"/>
          <w:sz w:val="24"/>
          <w:szCs w:val="24"/>
        </w:rPr>
        <w:t xml:space="preserve"> and the mandates and activities of international human rights monitoring mechanisms</w:t>
      </w:r>
      <w:r w:rsidR="004C29AB" w:rsidRPr="005D75EB">
        <w:rPr>
          <w:rFonts w:ascii="Palatino Linotype" w:hAnsi="Palatino Linotype" w:cs="Times New Roman"/>
          <w:color w:val="000000" w:themeColor="text1"/>
          <w:sz w:val="24"/>
          <w:szCs w:val="24"/>
        </w:rPr>
        <w:t>, are also addressed</w:t>
      </w:r>
      <w:r w:rsidR="004F506C" w:rsidRPr="005D75EB">
        <w:rPr>
          <w:rFonts w:ascii="Palatino Linotype" w:hAnsi="Palatino Linotype" w:cs="Times New Roman"/>
          <w:color w:val="000000" w:themeColor="text1"/>
          <w:sz w:val="24"/>
          <w:szCs w:val="24"/>
        </w:rPr>
        <w:t>.</w:t>
      </w:r>
      <w:r w:rsidR="00FE103F" w:rsidRPr="005D75EB">
        <w:rPr>
          <w:rFonts w:ascii="Palatino Linotype" w:hAnsi="Palatino Linotype" w:cs="Times New Roman"/>
          <w:color w:val="000000" w:themeColor="text1"/>
          <w:sz w:val="24"/>
          <w:szCs w:val="24"/>
        </w:rPr>
        <w:t xml:space="preserve"> </w:t>
      </w:r>
      <w:r w:rsidR="003459E3" w:rsidRPr="005D75EB">
        <w:rPr>
          <w:rFonts w:ascii="Palatino Linotype" w:hAnsi="Palatino Linotype" w:cs="Times New Roman"/>
          <w:color w:val="000000" w:themeColor="text1"/>
          <w:sz w:val="24"/>
          <w:szCs w:val="24"/>
        </w:rPr>
        <w:t xml:space="preserve">In the DHRC, we have very intentionally ensured that the substantive curriculum that we teach also includes knowledge of the history of marginalisation of </w:t>
      </w:r>
      <w:r w:rsidR="0054300A" w:rsidRPr="005D75EB">
        <w:rPr>
          <w:rFonts w:ascii="Palatino Linotype" w:hAnsi="Palatino Linotype" w:cs="Times New Roman"/>
          <w:color w:val="000000" w:themeColor="text1"/>
          <w:sz w:val="24"/>
          <w:szCs w:val="24"/>
        </w:rPr>
        <w:t>persons with disabilities</w:t>
      </w:r>
      <w:r w:rsidR="003459E3" w:rsidRPr="005D75EB">
        <w:rPr>
          <w:rFonts w:ascii="Palatino Linotype" w:hAnsi="Palatino Linotype" w:cs="Times New Roman"/>
          <w:color w:val="000000" w:themeColor="text1"/>
          <w:sz w:val="24"/>
          <w:szCs w:val="24"/>
        </w:rPr>
        <w:t xml:space="preserve"> and the role that research has played. We also include an overview of new methods that have been proposed to shift research from marginalising to participatory and emancipatory.</w:t>
      </w:r>
      <w:bookmarkStart w:id="10" w:name="_Ref508727874"/>
      <w:r w:rsidR="003459E3" w:rsidRPr="005D75EB">
        <w:rPr>
          <w:rStyle w:val="FootnoteReference"/>
          <w:rFonts w:ascii="Palatino Linotype" w:hAnsi="Palatino Linotype" w:cs="Times New Roman"/>
          <w:color w:val="000000" w:themeColor="text1"/>
          <w:sz w:val="24"/>
          <w:szCs w:val="24"/>
        </w:rPr>
        <w:footnoteReference w:id="55"/>
      </w:r>
      <w:bookmarkEnd w:id="10"/>
      <w:r w:rsidR="003459E3" w:rsidRPr="005D75EB">
        <w:rPr>
          <w:rFonts w:ascii="Palatino Linotype" w:hAnsi="Palatino Linotype" w:cs="Times New Roman"/>
          <w:color w:val="000000" w:themeColor="text1"/>
          <w:sz w:val="24"/>
          <w:szCs w:val="24"/>
        </w:rPr>
        <w:t xml:space="preserve"> Finally, we ask the students </w:t>
      </w:r>
      <w:r w:rsidR="003459E3" w:rsidRPr="005D75EB">
        <w:rPr>
          <w:rFonts w:ascii="Palatino Linotype" w:hAnsi="Palatino Linotype" w:cs="Times New Roman"/>
          <w:color w:val="000000" w:themeColor="text1"/>
          <w:sz w:val="24"/>
          <w:szCs w:val="24"/>
        </w:rPr>
        <w:lastRenderedPageBreak/>
        <w:t>to explore how participatory and emancipatory methodologies can be employed in their work in the clinic and how the clinic as a whole uses those methodologies.</w:t>
      </w:r>
    </w:p>
    <w:p w14:paraId="49740E67" w14:textId="3F337275" w:rsidR="00C82428" w:rsidRPr="005D75EB" w:rsidRDefault="003566CA" w:rsidP="005D75EB">
      <w:pPr>
        <w:spacing w:line="480" w:lineRule="auto"/>
        <w:jc w:val="both"/>
        <w:rPr>
          <w:rStyle w:val="Absatz-Standardschriftart1"/>
          <w:rFonts w:ascii="Palatino Linotype" w:hAnsi="Palatino Linotype" w:cs="Times New Roman"/>
          <w:sz w:val="24"/>
          <w:szCs w:val="24"/>
          <w:lang w:val="en-US"/>
        </w:rPr>
      </w:pPr>
      <w:r w:rsidRPr="005D75EB">
        <w:rPr>
          <w:rStyle w:val="Absatz-Standardschriftart1"/>
          <w:rFonts w:ascii="Palatino Linotype" w:hAnsi="Palatino Linotype" w:cs="Times New Roman"/>
          <w:sz w:val="24"/>
          <w:szCs w:val="24"/>
        </w:rPr>
        <w:t>Lectures and seminars on disability studies and human rights (and associated readings and exercises) provide students with the background material that is essential to their</w:t>
      </w:r>
      <w:r w:rsidRPr="005D75EB">
        <w:rPr>
          <w:rStyle w:val="Absatz-Standardschriftart1"/>
          <w:rFonts w:ascii="Palatino Linotype" w:hAnsi="Palatino Linotype" w:cs="Times New Roman"/>
          <w:sz w:val="24"/>
          <w:szCs w:val="24"/>
          <w:lang w:val="en-US"/>
        </w:rPr>
        <w:t xml:space="preserve"> ability to produce useful and legally sound research outputs for their partner </w:t>
      </w:r>
      <w:proofErr w:type="spellStart"/>
      <w:r w:rsidRPr="005D75EB">
        <w:rPr>
          <w:rStyle w:val="Absatz-Standardschriftart1"/>
          <w:rFonts w:ascii="Palatino Linotype" w:hAnsi="Palatino Linotype" w:cs="Times New Roman"/>
          <w:sz w:val="24"/>
          <w:szCs w:val="24"/>
          <w:lang w:val="en-US"/>
        </w:rPr>
        <w:t>organisations</w:t>
      </w:r>
      <w:proofErr w:type="spellEnd"/>
      <w:r w:rsidRPr="005D75EB">
        <w:rPr>
          <w:rStyle w:val="Absatz-Standardschriftart1"/>
          <w:rFonts w:ascii="Palatino Linotype" w:hAnsi="Palatino Linotype" w:cs="Times New Roman"/>
          <w:sz w:val="24"/>
          <w:szCs w:val="24"/>
          <w:lang w:val="en-US"/>
        </w:rPr>
        <w:t>, and to develop essential legal knowledge for future lawyering and advocacy work in the national or international human rights fields.</w:t>
      </w:r>
      <w:r w:rsidR="0081646B" w:rsidRPr="005D75EB">
        <w:rPr>
          <w:rStyle w:val="Absatz-Standardschriftart1"/>
          <w:rFonts w:ascii="Palatino Linotype" w:hAnsi="Palatino Linotype" w:cs="Times New Roman"/>
          <w:sz w:val="24"/>
          <w:szCs w:val="24"/>
          <w:lang w:val="en-US"/>
        </w:rPr>
        <w:t xml:space="preserve"> </w:t>
      </w:r>
      <w:r w:rsidR="001335F7" w:rsidRPr="005D75EB">
        <w:rPr>
          <w:rStyle w:val="Absatz-Standardschriftart1"/>
          <w:rFonts w:ascii="Palatino Linotype" w:hAnsi="Palatino Linotype" w:cs="Times New Roman"/>
          <w:sz w:val="24"/>
          <w:szCs w:val="24"/>
          <w:lang w:val="en-US"/>
        </w:rPr>
        <w:t>While students’ learning</w:t>
      </w:r>
      <w:r w:rsidR="00281B60" w:rsidRPr="005D75EB">
        <w:rPr>
          <w:rStyle w:val="Absatz-Standardschriftart1"/>
          <w:rFonts w:ascii="Palatino Linotype" w:hAnsi="Palatino Linotype" w:cs="Times New Roman"/>
          <w:sz w:val="24"/>
          <w:szCs w:val="24"/>
          <w:lang w:val="en-US"/>
        </w:rPr>
        <w:t xml:space="preserve"> is assessed primarily through a</w:t>
      </w:r>
      <w:r w:rsidR="00BE07F0" w:rsidRPr="005D75EB">
        <w:rPr>
          <w:rStyle w:val="Absatz-Standardschriftart1"/>
          <w:rFonts w:ascii="Palatino Linotype" w:hAnsi="Palatino Linotype" w:cs="Times New Roman"/>
          <w:sz w:val="24"/>
          <w:szCs w:val="24"/>
          <w:lang w:val="en-US"/>
        </w:rPr>
        <w:t xml:space="preserve"> research report (or other output) produced for the partner, </w:t>
      </w:r>
      <w:r w:rsidR="006E70B0" w:rsidRPr="005D75EB">
        <w:rPr>
          <w:rStyle w:val="Absatz-Standardschriftart1"/>
          <w:rFonts w:ascii="Palatino Linotype" w:hAnsi="Palatino Linotype" w:cs="Times New Roman"/>
          <w:sz w:val="24"/>
          <w:szCs w:val="24"/>
          <w:lang w:val="en-US"/>
        </w:rPr>
        <w:t>they are also required to complete a short exam at the end of the semester. This ensures that students have engaged with the full breadth of relevant materials, and not just the specific subject matter involved in their clinical project.</w:t>
      </w:r>
    </w:p>
    <w:p w14:paraId="20F055A0" w14:textId="6A894806" w:rsidR="001F1A04" w:rsidRDefault="001F1A04" w:rsidP="005D75EB">
      <w:pPr>
        <w:spacing w:line="480" w:lineRule="auto"/>
        <w:jc w:val="both"/>
        <w:rPr>
          <w:rFonts w:ascii="Palatino Linotype" w:hAnsi="Palatino Linotype" w:cs="Times New Roman"/>
          <w:color w:val="000000" w:themeColor="text1"/>
          <w:sz w:val="24"/>
          <w:szCs w:val="24"/>
        </w:rPr>
      </w:pPr>
      <w:r w:rsidRPr="005D75EB">
        <w:rPr>
          <w:rFonts w:ascii="Palatino Linotype" w:hAnsi="Palatino Linotype" w:cs="Times New Roman"/>
          <w:color w:val="000000" w:themeColor="text1"/>
          <w:sz w:val="24"/>
          <w:szCs w:val="24"/>
        </w:rPr>
        <w:t>Importantly, the DHRC director and lecturers are aware of the sensitivity of some matters that arise during lectures and discussions</w:t>
      </w:r>
      <w:r w:rsidR="00653416" w:rsidRPr="005D75EB">
        <w:rPr>
          <w:rFonts w:ascii="Palatino Linotype" w:hAnsi="Palatino Linotype" w:cs="Times New Roman"/>
          <w:color w:val="000000" w:themeColor="text1"/>
          <w:sz w:val="24"/>
          <w:szCs w:val="24"/>
        </w:rPr>
        <w:t>, p</w:t>
      </w:r>
      <w:r w:rsidRPr="005D75EB">
        <w:rPr>
          <w:rFonts w:ascii="Palatino Linotype" w:hAnsi="Palatino Linotype" w:cs="Times New Roman"/>
          <w:color w:val="000000" w:themeColor="text1"/>
          <w:sz w:val="24"/>
          <w:szCs w:val="24"/>
        </w:rPr>
        <w:t xml:space="preserve">articularly because many of our students and lecturers are </w:t>
      </w:r>
      <w:r w:rsidR="00284C4D" w:rsidRPr="005D75EB">
        <w:rPr>
          <w:rFonts w:ascii="Palatino Linotype" w:hAnsi="Palatino Linotype" w:cs="Times New Roman"/>
          <w:color w:val="000000" w:themeColor="text1"/>
          <w:sz w:val="24"/>
          <w:szCs w:val="24"/>
        </w:rPr>
        <w:t xml:space="preserve">persons </w:t>
      </w:r>
      <w:r w:rsidRPr="005D75EB">
        <w:rPr>
          <w:rFonts w:ascii="Palatino Linotype" w:hAnsi="Palatino Linotype" w:cs="Times New Roman"/>
          <w:color w:val="000000" w:themeColor="text1"/>
          <w:sz w:val="24"/>
          <w:szCs w:val="24"/>
        </w:rPr>
        <w:t>with disability themselves. Trigger warnings are provided for students regularly throughout the course of the clinic</w:t>
      </w:r>
      <w:r w:rsidR="0015180C" w:rsidRPr="005D75EB">
        <w:rPr>
          <w:rFonts w:ascii="Palatino Linotype" w:hAnsi="Palatino Linotype" w:cs="Times New Roman"/>
          <w:color w:val="000000" w:themeColor="text1"/>
          <w:sz w:val="24"/>
          <w:szCs w:val="24"/>
        </w:rPr>
        <w:t>. S</w:t>
      </w:r>
      <w:r w:rsidRPr="005D75EB">
        <w:rPr>
          <w:rFonts w:ascii="Palatino Linotype" w:hAnsi="Palatino Linotype" w:cs="Times New Roman"/>
          <w:color w:val="000000" w:themeColor="text1"/>
          <w:sz w:val="24"/>
          <w:szCs w:val="24"/>
        </w:rPr>
        <w:t>tudents meet individually with the director to ensure that there is adequate space for all students to express themselves, including when they are having a difficult time and experiencing anxiety or are particularly impacted by the sensitive issues such as violence and discrimination that arise in this ar</w:t>
      </w:r>
      <w:r w:rsidR="007C6B23" w:rsidRPr="005D75EB">
        <w:rPr>
          <w:rFonts w:ascii="Palatino Linotype" w:hAnsi="Palatino Linotype" w:cs="Times New Roman"/>
          <w:color w:val="000000" w:themeColor="text1"/>
          <w:sz w:val="24"/>
          <w:szCs w:val="24"/>
        </w:rPr>
        <w:t>ea.</w:t>
      </w:r>
    </w:p>
    <w:p w14:paraId="2F9CFC7A" w14:textId="77777777" w:rsidR="005D6811" w:rsidRPr="005D75EB" w:rsidRDefault="005D6811" w:rsidP="005D75EB">
      <w:pPr>
        <w:spacing w:line="480" w:lineRule="auto"/>
        <w:jc w:val="both"/>
        <w:rPr>
          <w:rFonts w:ascii="Palatino Linotype" w:hAnsi="Palatino Linotype" w:cs="Times New Roman"/>
          <w:color w:val="000000" w:themeColor="text1"/>
          <w:sz w:val="24"/>
          <w:szCs w:val="24"/>
        </w:rPr>
      </w:pPr>
    </w:p>
    <w:p w14:paraId="65ABC326" w14:textId="19067AD7" w:rsidR="003566CA" w:rsidRPr="005D6811" w:rsidRDefault="00802C0E" w:rsidP="005D75EB">
      <w:pPr>
        <w:pStyle w:val="ListParagraph"/>
        <w:numPr>
          <w:ilvl w:val="0"/>
          <w:numId w:val="3"/>
        </w:numPr>
        <w:spacing w:line="480" w:lineRule="auto"/>
        <w:jc w:val="both"/>
        <w:rPr>
          <w:rFonts w:ascii="Palatino Linotype" w:hAnsi="Palatino Linotype" w:cs="Times New Roman"/>
          <w:b/>
          <w:i/>
          <w:sz w:val="24"/>
          <w:szCs w:val="24"/>
        </w:rPr>
      </w:pPr>
      <w:r w:rsidRPr="005D6811">
        <w:rPr>
          <w:rFonts w:ascii="Palatino Linotype" w:hAnsi="Palatino Linotype" w:cs="Times New Roman"/>
          <w:b/>
          <w:i/>
          <w:sz w:val="24"/>
          <w:szCs w:val="24"/>
        </w:rPr>
        <w:lastRenderedPageBreak/>
        <w:t xml:space="preserve">Ensure that the clinic and educational </w:t>
      </w:r>
      <w:r w:rsidR="00B932C4" w:rsidRPr="005D6811">
        <w:rPr>
          <w:rFonts w:ascii="Palatino Linotype" w:hAnsi="Palatino Linotype" w:cs="Times New Roman"/>
          <w:b/>
          <w:i/>
          <w:sz w:val="24"/>
          <w:szCs w:val="24"/>
        </w:rPr>
        <w:t>experience is accessible to all</w:t>
      </w:r>
    </w:p>
    <w:p w14:paraId="01E92C1E" w14:textId="5EC6CCE4" w:rsidR="00ED4CFD" w:rsidRPr="005D75EB" w:rsidRDefault="003566CA" w:rsidP="005D75EB">
      <w:pPr>
        <w:spacing w:line="480" w:lineRule="auto"/>
        <w:jc w:val="both"/>
        <w:rPr>
          <w:rFonts w:ascii="Palatino Linotype" w:hAnsi="Palatino Linotype" w:cs="Times New Roman"/>
          <w:sz w:val="24"/>
          <w:szCs w:val="24"/>
        </w:rPr>
      </w:pPr>
      <w:r w:rsidRPr="005D75EB">
        <w:rPr>
          <w:rFonts w:ascii="Palatino Linotype" w:hAnsi="Palatino Linotype" w:cs="Times New Roman"/>
          <w:sz w:val="24"/>
          <w:szCs w:val="24"/>
        </w:rPr>
        <w:t xml:space="preserve">In addition to </w:t>
      </w:r>
      <w:r w:rsidR="00804793" w:rsidRPr="005D75EB">
        <w:rPr>
          <w:rFonts w:ascii="Palatino Linotype" w:hAnsi="Palatino Linotype" w:cs="Times New Roman"/>
          <w:sz w:val="24"/>
          <w:szCs w:val="24"/>
        </w:rPr>
        <w:t xml:space="preserve">making sure </w:t>
      </w:r>
      <w:r w:rsidRPr="005D75EB">
        <w:rPr>
          <w:rFonts w:ascii="Palatino Linotype" w:hAnsi="Palatino Linotype" w:cs="Times New Roman"/>
          <w:sz w:val="24"/>
          <w:szCs w:val="24"/>
        </w:rPr>
        <w:t xml:space="preserve">that the research outputs of disability human rights clinics are accessible, </w:t>
      </w:r>
      <w:r w:rsidR="00997B80" w:rsidRPr="005D75EB">
        <w:rPr>
          <w:rFonts w:ascii="Palatino Linotype" w:hAnsi="Palatino Linotype" w:cs="Times New Roman"/>
          <w:sz w:val="24"/>
          <w:szCs w:val="24"/>
        </w:rPr>
        <w:t xml:space="preserve">clinics </w:t>
      </w:r>
      <w:r w:rsidR="00FB675B" w:rsidRPr="005D75EB">
        <w:rPr>
          <w:rFonts w:ascii="Palatino Linotype" w:hAnsi="Palatino Linotype" w:cs="Times New Roman"/>
          <w:sz w:val="24"/>
          <w:szCs w:val="24"/>
        </w:rPr>
        <w:t xml:space="preserve">(and all aspects of legal education) </w:t>
      </w:r>
      <w:r w:rsidR="00997B80" w:rsidRPr="005D75EB">
        <w:rPr>
          <w:rFonts w:ascii="Palatino Linotype" w:hAnsi="Palatino Linotype" w:cs="Times New Roman"/>
          <w:sz w:val="24"/>
          <w:szCs w:val="24"/>
        </w:rPr>
        <w:t xml:space="preserve">must also be accessible to </w:t>
      </w:r>
      <w:r w:rsidR="00FB675B" w:rsidRPr="005D75EB">
        <w:rPr>
          <w:rFonts w:ascii="Palatino Linotype" w:hAnsi="Palatino Linotype" w:cs="Times New Roman"/>
          <w:sz w:val="24"/>
          <w:szCs w:val="24"/>
        </w:rPr>
        <w:t xml:space="preserve">students. This means ensuring that </w:t>
      </w:r>
      <w:r w:rsidR="00BE0FC3" w:rsidRPr="005D75EB">
        <w:rPr>
          <w:rFonts w:ascii="Palatino Linotype" w:hAnsi="Palatino Linotype" w:cs="Times New Roman"/>
          <w:sz w:val="24"/>
          <w:szCs w:val="24"/>
        </w:rPr>
        <w:t>classrooms, learning materials and communications between lecturers, supervisors, studen</w:t>
      </w:r>
      <w:r w:rsidR="00F65E59" w:rsidRPr="005D75EB">
        <w:rPr>
          <w:rFonts w:ascii="Palatino Linotype" w:hAnsi="Palatino Linotype" w:cs="Times New Roman"/>
          <w:sz w:val="24"/>
          <w:szCs w:val="24"/>
        </w:rPr>
        <w:t>ts and partners are accessible</w:t>
      </w:r>
      <w:r w:rsidR="00FB2432" w:rsidRPr="005D75EB">
        <w:rPr>
          <w:rFonts w:ascii="Palatino Linotype" w:hAnsi="Palatino Linotype" w:cs="Times New Roman"/>
          <w:sz w:val="24"/>
          <w:szCs w:val="24"/>
        </w:rPr>
        <w:t xml:space="preserve">. </w:t>
      </w:r>
      <w:r w:rsidR="00ED4CFD" w:rsidRPr="005D75EB">
        <w:rPr>
          <w:rFonts w:ascii="Palatino Linotype" w:hAnsi="Palatino Linotype" w:cs="Times New Roman"/>
          <w:sz w:val="24"/>
          <w:szCs w:val="24"/>
        </w:rPr>
        <w:t>Frances Gibson has proposed that all clinical legal programs should follow a number of guidelines to ensure that clinics adhere to the requirements of the CRPD.</w:t>
      </w:r>
      <w:r w:rsidR="000B679F" w:rsidRPr="005D75EB">
        <w:rPr>
          <w:rStyle w:val="FootnoteReference"/>
          <w:rFonts w:ascii="Palatino Linotype" w:hAnsi="Palatino Linotype" w:cs="Times New Roman"/>
          <w:sz w:val="24"/>
          <w:szCs w:val="24"/>
        </w:rPr>
        <w:footnoteReference w:id="56"/>
      </w:r>
      <w:r w:rsidR="00ED4CFD" w:rsidRPr="005D75EB">
        <w:rPr>
          <w:rFonts w:ascii="Palatino Linotype" w:hAnsi="Palatino Linotype" w:cs="Times New Roman"/>
          <w:sz w:val="24"/>
          <w:szCs w:val="24"/>
        </w:rPr>
        <w:t xml:space="preserve"> The</w:t>
      </w:r>
      <w:r w:rsidR="00E736CB" w:rsidRPr="005D75EB">
        <w:rPr>
          <w:rFonts w:ascii="Palatino Linotype" w:hAnsi="Palatino Linotype" w:cs="Times New Roman"/>
          <w:sz w:val="24"/>
          <w:szCs w:val="24"/>
        </w:rPr>
        <w:t>se</w:t>
      </w:r>
      <w:r w:rsidR="00ED4CFD" w:rsidRPr="005D75EB">
        <w:rPr>
          <w:rFonts w:ascii="Palatino Linotype" w:hAnsi="Palatino Linotype" w:cs="Times New Roman"/>
          <w:sz w:val="24"/>
          <w:szCs w:val="24"/>
        </w:rPr>
        <w:t xml:space="preserve"> include mandatory skills-based disability training for staff and students, contributing to policy-making and activities to increase the enrolment of students with disabilities in law programs, encouraging students with disabilities to enrol in clinics, teaching critical analysis of the law’s approach to disability, and promoting employment of staff with disabilities.</w:t>
      </w:r>
    </w:p>
    <w:p w14:paraId="74D16C7A" w14:textId="677F2C80" w:rsidR="00B7653A" w:rsidRPr="005D75EB" w:rsidRDefault="00D0274A" w:rsidP="005D75EB">
      <w:pPr>
        <w:spacing w:line="480" w:lineRule="auto"/>
        <w:jc w:val="both"/>
        <w:rPr>
          <w:rFonts w:ascii="Palatino Linotype" w:hAnsi="Palatino Linotype" w:cs="Times New Roman"/>
          <w:sz w:val="24"/>
          <w:szCs w:val="24"/>
        </w:rPr>
      </w:pPr>
      <w:r w:rsidRPr="005D75EB">
        <w:rPr>
          <w:rFonts w:ascii="Palatino Linotype" w:hAnsi="Palatino Linotype" w:cs="Times New Roman"/>
          <w:sz w:val="24"/>
          <w:szCs w:val="24"/>
        </w:rPr>
        <w:t>The</w:t>
      </w:r>
      <w:r w:rsidR="00ED4CFD" w:rsidRPr="005D75EB">
        <w:rPr>
          <w:rFonts w:ascii="Palatino Linotype" w:hAnsi="Palatino Linotype" w:cs="Times New Roman"/>
          <w:sz w:val="24"/>
          <w:szCs w:val="24"/>
        </w:rPr>
        <w:t xml:space="preserve"> </w:t>
      </w:r>
      <w:r w:rsidRPr="005D75EB">
        <w:rPr>
          <w:rFonts w:ascii="Palatino Linotype" w:hAnsi="Palatino Linotype" w:cs="Times New Roman"/>
          <w:sz w:val="24"/>
          <w:szCs w:val="24"/>
        </w:rPr>
        <w:t xml:space="preserve">critical analysis of the law’s approach to disability is the centrepiece of the DHRC. In addition, </w:t>
      </w:r>
      <w:r w:rsidR="00ED4CFD" w:rsidRPr="005D75EB">
        <w:rPr>
          <w:rFonts w:ascii="Palatino Linotype" w:hAnsi="Palatino Linotype" w:cs="Times New Roman"/>
          <w:sz w:val="24"/>
          <w:szCs w:val="24"/>
        </w:rPr>
        <w:t>s</w:t>
      </w:r>
      <w:r w:rsidR="00FB2432" w:rsidRPr="005D75EB">
        <w:rPr>
          <w:rFonts w:ascii="Palatino Linotype" w:hAnsi="Palatino Linotype" w:cs="Times New Roman"/>
          <w:sz w:val="24"/>
          <w:szCs w:val="24"/>
        </w:rPr>
        <w:t>tudents are invited to note any accessibility requirements in their application</w:t>
      </w:r>
      <w:r w:rsidR="00E751EF" w:rsidRPr="005D75EB">
        <w:rPr>
          <w:rFonts w:ascii="Palatino Linotype" w:hAnsi="Palatino Linotype" w:cs="Times New Roman"/>
          <w:sz w:val="24"/>
          <w:szCs w:val="24"/>
        </w:rPr>
        <w:t xml:space="preserve"> to enrol in the</w:t>
      </w:r>
      <w:r w:rsidR="00ED4CFD" w:rsidRPr="005D75EB">
        <w:rPr>
          <w:rFonts w:ascii="Palatino Linotype" w:hAnsi="Palatino Linotype" w:cs="Times New Roman"/>
          <w:sz w:val="24"/>
          <w:szCs w:val="24"/>
        </w:rPr>
        <w:t xml:space="preserve"> clinic</w:t>
      </w:r>
      <w:r w:rsidR="00D244EB" w:rsidRPr="005D75EB">
        <w:rPr>
          <w:rFonts w:ascii="Palatino Linotype" w:hAnsi="Palatino Linotype" w:cs="Times New Roman"/>
          <w:sz w:val="24"/>
          <w:szCs w:val="24"/>
        </w:rPr>
        <w:t>, and to attend</w:t>
      </w:r>
      <w:r w:rsidR="00010569" w:rsidRPr="005D75EB">
        <w:rPr>
          <w:rFonts w:ascii="Palatino Linotype" w:hAnsi="Palatino Linotype" w:cs="Times New Roman"/>
          <w:sz w:val="24"/>
          <w:szCs w:val="24"/>
        </w:rPr>
        <w:t xml:space="preserve"> a meeting</w:t>
      </w:r>
      <w:r w:rsidR="00D244EB" w:rsidRPr="005D75EB">
        <w:rPr>
          <w:rFonts w:ascii="Palatino Linotype" w:hAnsi="Palatino Linotype" w:cs="Times New Roman"/>
          <w:sz w:val="24"/>
          <w:szCs w:val="24"/>
        </w:rPr>
        <w:t xml:space="preserve"> with the clinic director </w:t>
      </w:r>
      <w:r w:rsidR="002B1F83" w:rsidRPr="005D75EB">
        <w:rPr>
          <w:rFonts w:ascii="Palatino Linotype" w:hAnsi="Palatino Linotype" w:cs="Times New Roman"/>
          <w:sz w:val="24"/>
          <w:szCs w:val="24"/>
        </w:rPr>
        <w:t xml:space="preserve">prior to the commencement of the course </w:t>
      </w:r>
      <w:r w:rsidR="00D244EB" w:rsidRPr="005D75EB">
        <w:rPr>
          <w:rFonts w:ascii="Palatino Linotype" w:hAnsi="Palatino Linotype" w:cs="Times New Roman"/>
          <w:sz w:val="24"/>
          <w:szCs w:val="24"/>
        </w:rPr>
        <w:t xml:space="preserve">if they so desire. </w:t>
      </w:r>
      <w:r w:rsidR="00E751EF" w:rsidRPr="005D75EB">
        <w:rPr>
          <w:rFonts w:ascii="Palatino Linotype" w:hAnsi="Palatino Linotype" w:cs="Times New Roman"/>
          <w:sz w:val="24"/>
          <w:szCs w:val="24"/>
        </w:rPr>
        <w:t>Classes are conducted in an accessible room</w:t>
      </w:r>
      <w:r w:rsidR="001C42E6" w:rsidRPr="005D75EB">
        <w:rPr>
          <w:rFonts w:ascii="Palatino Linotype" w:hAnsi="Palatino Linotype" w:cs="Times New Roman"/>
          <w:sz w:val="24"/>
          <w:szCs w:val="24"/>
        </w:rPr>
        <w:t>, and materials (such as the course outline and electronic versions of</w:t>
      </w:r>
      <w:r w:rsidR="005E52F9" w:rsidRPr="005D75EB">
        <w:rPr>
          <w:rFonts w:ascii="Palatino Linotype" w:hAnsi="Palatino Linotype" w:cs="Times New Roman"/>
          <w:sz w:val="24"/>
          <w:szCs w:val="24"/>
        </w:rPr>
        <w:t xml:space="preserve"> assigned reading materials) are provided in multiple formats as required</w:t>
      </w:r>
      <w:r w:rsidR="00ED4CFD" w:rsidRPr="005D75EB">
        <w:rPr>
          <w:rFonts w:ascii="Palatino Linotype" w:hAnsi="Palatino Linotype" w:cs="Times New Roman"/>
          <w:sz w:val="24"/>
          <w:szCs w:val="24"/>
        </w:rPr>
        <w:t xml:space="preserve">. </w:t>
      </w:r>
      <w:r w:rsidR="009627EF" w:rsidRPr="005D75EB">
        <w:rPr>
          <w:rFonts w:ascii="Palatino Linotype" w:hAnsi="Palatino Linotype" w:cs="Times New Roman"/>
          <w:sz w:val="24"/>
          <w:szCs w:val="24"/>
        </w:rPr>
        <w:t xml:space="preserve">If requested, the director and fellows also provide support to students in their interactions with </w:t>
      </w:r>
      <w:r w:rsidR="009627EF" w:rsidRPr="005D75EB">
        <w:rPr>
          <w:rFonts w:ascii="Palatino Linotype" w:hAnsi="Palatino Linotype" w:cs="Times New Roman"/>
          <w:sz w:val="24"/>
          <w:szCs w:val="24"/>
        </w:rPr>
        <w:lastRenderedPageBreak/>
        <w:t xml:space="preserve">university services (such as the Student Equity and Disability Support service at the University of Melbourne) to make alternative exam arrangements and so on. </w:t>
      </w:r>
      <w:r w:rsidR="00427370" w:rsidRPr="005D75EB">
        <w:rPr>
          <w:rFonts w:ascii="Palatino Linotype" w:hAnsi="Palatino Linotype" w:cs="Times New Roman"/>
          <w:sz w:val="24"/>
          <w:szCs w:val="24"/>
        </w:rPr>
        <w:t>Staff involved in the DHRC all have a background in disability rights law. They are involved in other disability rights-related research and activities within the University of Melbourne, including consultation on disability policy and student inclusion.</w:t>
      </w:r>
    </w:p>
    <w:p w14:paraId="4866654F" w14:textId="213B837A" w:rsidR="008F6176" w:rsidRPr="005D75EB" w:rsidRDefault="004A54BF" w:rsidP="005D75EB">
      <w:pPr>
        <w:spacing w:line="480" w:lineRule="auto"/>
        <w:jc w:val="both"/>
        <w:rPr>
          <w:rFonts w:ascii="Palatino Linotype" w:hAnsi="Palatino Linotype" w:cs="Times New Roman"/>
          <w:sz w:val="24"/>
          <w:szCs w:val="24"/>
        </w:rPr>
      </w:pPr>
      <w:r w:rsidRPr="005D75EB">
        <w:rPr>
          <w:rFonts w:ascii="Palatino Linotype" w:hAnsi="Palatino Linotype" w:cs="Times New Roman"/>
          <w:b/>
          <w:sz w:val="24"/>
          <w:szCs w:val="24"/>
        </w:rPr>
        <w:t>The multi-directional b</w:t>
      </w:r>
      <w:r w:rsidR="005A7A2A" w:rsidRPr="005D75EB">
        <w:rPr>
          <w:rFonts w:ascii="Palatino Linotype" w:hAnsi="Palatino Linotype" w:cs="Times New Roman"/>
          <w:b/>
          <w:sz w:val="24"/>
          <w:szCs w:val="24"/>
        </w:rPr>
        <w:t>enefits of disability human rights clinics</w:t>
      </w:r>
    </w:p>
    <w:p w14:paraId="7A5141C9" w14:textId="787F9A9A" w:rsidR="004F21B9" w:rsidRPr="005D75EB" w:rsidRDefault="00071DAF" w:rsidP="005D75EB">
      <w:pPr>
        <w:spacing w:line="480" w:lineRule="auto"/>
        <w:jc w:val="both"/>
        <w:rPr>
          <w:rFonts w:ascii="Palatino Linotype" w:hAnsi="Palatino Linotype" w:cs="Times New Roman"/>
          <w:sz w:val="24"/>
          <w:szCs w:val="24"/>
        </w:rPr>
      </w:pPr>
      <w:r w:rsidRPr="005D75EB">
        <w:rPr>
          <w:rFonts w:ascii="Palatino Linotype" w:hAnsi="Palatino Linotype" w:cs="Times New Roman"/>
          <w:sz w:val="24"/>
          <w:szCs w:val="24"/>
        </w:rPr>
        <w:t>The six principles outlined above emphasise the role of disability human rights clinics in both supporting the mission of</w:t>
      </w:r>
      <w:r w:rsidR="00CD679A" w:rsidRPr="005D75EB">
        <w:rPr>
          <w:rFonts w:ascii="Palatino Linotype" w:hAnsi="Palatino Linotype" w:cs="Times New Roman"/>
          <w:sz w:val="24"/>
          <w:szCs w:val="24"/>
        </w:rPr>
        <w:t xml:space="preserve"> community organisations (especially</w:t>
      </w:r>
      <w:r w:rsidRPr="005D75EB">
        <w:rPr>
          <w:rFonts w:ascii="Palatino Linotype" w:hAnsi="Palatino Linotype" w:cs="Times New Roman"/>
          <w:sz w:val="24"/>
          <w:szCs w:val="24"/>
        </w:rPr>
        <w:t xml:space="preserve"> DPOs</w:t>
      </w:r>
      <w:r w:rsidR="00CD679A" w:rsidRPr="005D75EB">
        <w:rPr>
          <w:rFonts w:ascii="Palatino Linotype" w:hAnsi="Palatino Linotype" w:cs="Times New Roman"/>
          <w:sz w:val="24"/>
          <w:szCs w:val="24"/>
        </w:rPr>
        <w:t>)</w:t>
      </w:r>
      <w:r w:rsidRPr="005D75EB">
        <w:rPr>
          <w:rFonts w:ascii="Palatino Linotype" w:hAnsi="Palatino Linotype" w:cs="Times New Roman"/>
          <w:sz w:val="24"/>
          <w:szCs w:val="24"/>
        </w:rPr>
        <w:t xml:space="preserve"> and</w:t>
      </w:r>
      <w:r w:rsidR="00D748A7" w:rsidRPr="005D75EB">
        <w:rPr>
          <w:rFonts w:ascii="Palatino Linotype" w:hAnsi="Palatino Linotype" w:cs="Times New Roman"/>
          <w:sz w:val="24"/>
          <w:szCs w:val="24"/>
        </w:rPr>
        <w:t xml:space="preserve"> offering valuable experiential and traditional learning to students.</w:t>
      </w:r>
      <w:r w:rsidRPr="005D75EB">
        <w:rPr>
          <w:rFonts w:ascii="Palatino Linotype" w:hAnsi="Palatino Linotype" w:cs="Times New Roman"/>
          <w:sz w:val="24"/>
          <w:szCs w:val="24"/>
        </w:rPr>
        <w:t xml:space="preserve"> </w:t>
      </w:r>
      <w:r w:rsidR="006A286A" w:rsidRPr="005D75EB">
        <w:rPr>
          <w:rFonts w:ascii="Palatino Linotype" w:hAnsi="Palatino Linotype" w:cs="Times New Roman"/>
          <w:sz w:val="24"/>
          <w:szCs w:val="24"/>
        </w:rPr>
        <w:t>D</w:t>
      </w:r>
      <w:r w:rsidR="004F21B9" w:rsidRPr="005D75EB">
        <w:rPr>
          <w:rFonts w:ascii="Palatino Linotype" w:hAnsi="Palatino Linotype" w:cs="Times New Roman"/>
          <w:sz w:val="24"/>
          <w:szCs w:val="24"/>
        </w:rPr>
        <w:t>isability human rights clinics have obvious appeal for law schools and universities. They are relatively low cost – supervisors do not generally require a practising certificate for project-based clinical work, partner organisations mainly provide in-kind support rather than requiring funding, and the widespread availability of information and communication technology like video-conferencing reduces the need for travel to meet with partners or deliver research outputs.</w:t>
      </w:r>
      <w:r w:rsidR="004F21B9" w:rsidRPr="005D75EB">
        <w:rPr>
          <w:rStyle w:val="FootnoteReference"/>
          <w:rFonts w:ascii="Palatino Linotype" w:hAnsi="Palatino Linotype" w:cs="Times New Roman"/>
          <w:sz w:val="24"/>
          <w:szCs w:val="24"/>
        </w:rPr>
        <w:footnoteReference w:id="57"/>
      </w:r>
      <w:r w:rsidR="004F21B9" w:rsidRPr="005D75EB">
        <w:rPr>
          <w:rFonts w:ascii="Palatino Linotype" w:hAnsi="Palatino Linotype" w:cs="Times New Roman"/>
          <w:sz w:val="24"/>
          <w:szCs w:val="24"/>
        </w:rPr>
        <w:t xml:space="preserve"> Like other </w:t>
      </w:r>
      <w:r w:rsidR="00B1611F" w:rsidRPr="005D75EB">
        <w:rPr>
          <w:rFonts w:ascii="Palatino Linotype" w:hAnsi="Palatino Linotype" w:cs="Times New Roman"/>
          <w:sz w:val="24"/>
          <w:szCs w:val="24"/>
        </w:rPr>
        <w:t xml:space="preserve">forms of legal </w:t>
      </w:r>
      <w:r w:rsidR="004F21B9" w:rsidRPr="005D75EB">
        <w:rPr>
          <w:rFonts w:ascii="Palatino Linotype" w:hAnsi="Palatino Linotype" w:cs="Times New Roman"/>
          <w:sz w:val="24"/>
          <w:szCs w:val="24"/>
        </w:rPr>
        <w:t>clinics, they offer ‘work-integrated learning’, meaning they provide students with valuable, relevant work-experience that relates to their studies and their career aspirations, and results in new learning.</w:t>
      </w:r>
      <w:r w:rsidR="004F21B9" w:rsidRPr="005D75EB">
        <w:rPr>
          <w:rStyle w:val="FootnoteReference"/>
          <w:rFonts w:ascii="Palatino Linotype" w:hAnsi="Palatino Linotype" w:cs="Times New Roman"/>
          <w:sz w:val="24"/>
          <w:szCs w:val="24"/>
        </w:rPr>
        <w:footnoteReference w:id="58"/>
      </w:r>
      <w:r w:rsidR="004F21B9" w:rsidRPr="005D75EB">
        <w:rPr>
          <w:rFonts w:ascii="Palatino Linotype" w:hAnsi="Palatino Linotype" w:cs="Times New Roman"/>
          <w:sz w:val="24"/>
          <w:szCs w:val="24"/>
        </w:rPr>
        <w:t xml:space="preserve"> </w:t>
      </w:r>
    </w:p>
    <w:p w14:paraId="1A55A812" w14:textId="1A0365D2" w:rsidR="004F21B9" w:rsidRPr="005D75EB" w:rsidRDefault="00B400A4" w:rsidP="005D75EB">
      <w:pPr>
        <w:spacing w:line="480" w:lineRule="auto"/>
        <w:jc w:val="both"/>
        <w:rPr>
          <w:rFonts w:ascii="Palatino Linotype" w:hAnsi="Palatino Linotype" w:cs="Times New Roman"/>
          <w:sz w:val="24"/>
          <w:szCs w:val="24"/>
        </w:rPr>
      </w:pPr>
      <w:r w:rsidRPr="005D75EB">
        <w:rPr>
          <w:rFonts w:ascii="Palatino Linotype" w:hAnsi="Palatino Linotype" w:cs="Times New Roman"/>
          <w:sz w:val="24"/>
          <w:szCs w:val="24"/>
        </w:rPr>
        <w:lastRenderedPageBreak/>
        <w:t>By sharing knowledge, and the means of knowledge and research production, with the community specifically for the purpose of supporting human rights realisation, d</w:t>
      </w:r>
      <w:r w:rsidR="004F21B9" w:rsidRPr="005D75EB">
        <w:rPr>
          <w:rFonts w:ascii="Palatino Linotype" w:hAnsi="Palatino Linotype" w:cs="Times New Roman"/>
          <w:sz w:val="24"/>
          <w:szCs w:val="24"/>
        </w:rPr>
        <w:t xml:space="preserve">isability human rights clinics also contribute to universities’ ‘third mission’ of </w:t>
      </w:r>
      <w:r w:rsidR="00BC57F7" w:rsidRPr="005D75EB">
        <w:rPr>
          <w:rFonts w:ascii="Palatino Linotype" w:hAnsi="Palatino Linotype" w:cs="Times New Roman"/>
          <w:sz w:val="24"/>
          <w:szCs w:val="24"/>
        </w:rPr>
        <w:t>engagement, as well as the so-called ‘fourth mission’ of</w:t>
      </w:r>
      <w:r w:rsidR="000874BD" w:rsidRPr="005D75EB">
        <w:rPr>
          <w:rFonts w:ascii="Palatino Linotype" w:hAnsi="Palatino Linotype" w:cs="Times New Roman"/>
          <w:sz w:val="24"/>
          <w:szCs w:val="24"/>
        </w:rPr>
        <w:t xml:space="preserve"> establishing</w:t>
      </w:r>
      <w:r w:rsidR="00BC57F7" w:rsidRPr="005D75EB">
        <w:rPr>
          <w:rFonts w:ascii="Palatino Linotype" w:hAnsi="Palatino Linotype" w:cs="Times New Roman"/>
          <w:sz w:val="24"/>
          <w:szCs w:val="24"/>
        </w:rPr>
        <w:t xml:space="preserve"> long-term university-community partnerships</w:t>
      </w:r>
      <w:r w:rsidR="004F21B9" w:rsidRPr="005D75EB">
        <w:rPr>
          <w:rFonts w:ascii="Palatino Linotype" w:hAnsi="Palatino Linotype" w:cs="Times New Roman"/>
          <w:sz w:val="24"/>
          <w:szCs w:val="24"/>
        </w:rPr>
        <w:t>.</w:t>
      </w:r>
      <w:r w:rsidR="00A1739B" w:rsidRPr="005D75EB">
        <w:rPr>
          <w:rStyle w:val="FootnoteReference"/>
          <w:rFonts w:ascii="Palatino Linotype" w:hAnsi="Palatino Linotype" w:cs="Times New Roman"/>
          <w:sz w:val="24"/>
          <w:szCs w:val="24"/>
        </w:rPr>
        <w:footnoteReference w:id="59"/>
      </w:r>
      <w:r w:rsidR="004F21B9" w:rsidRPr="005D75EB">
        <w:rPr>
          <w:rFonts w:ascii="Palatino Linotype" w:hAnsi="Palatino Linotype" w:cs="Times New Roman"/>
          <w:sz w:val="24"/>
          <w:szCs w:val="24"/>
        </w:rPr>
        <w:t xml:space="preserve"> This can have wider flow-on effects for academia – civic engagement in research can help to rearrange traditional power structures in</w:t>
      </w:r>
      <w:r w:rsidR="00077A79" w:rsidRPr="005D75EB">
        <w:rPr>
          <w:rFonts w:ascii="Palatino Linotype" w:hAnsi="Palatino Linotype" w:cs="Times New Roman"/>
          <w:sz w:val="24"/>
          <w:szCs w:val="24"/>
        </w:rPr>
        <w:t xml:space="preserve"> research</w:t>
      </w:r>
      <w:r w:rsidR="004F21B9" w:rsidRPr="005D75EB">
        <w:rPr>
          <w:rFonts w:ascii="Palatino Linotype" w:hAnsi="Palatino Linotype" w:cs="Times New Roman"/>
          <w:sz w:val="24"/>
          <w:szCs w:val="24"/>
        </w:rPr>
        <w:t xml:space="preserve"> and enable participation of stakeholders</w:t>
      </w:r>
      <w:r w:rsidR="00D83005" w:rsidRPr="005D75EB">
        <w:rPr>
          <w:rFonts w:ascii="Palatino Linotype" w:hAnsi="Palatino Linotype" w:cs="Times New Roman"/>
          <w:sz w:val="24"/>
          <w:szCs w:val="24"/>
        </w:rPr>
        <w:t xml:space="preserve"> </w:t>
      </w:r>
      <w:r w:rsidR="00F400B9" w:rsidRPr="005D75EB">
        <w:rPr>
          <w:rFonts w:ascii="Palatino Linotype" w:hAnsi="Palatino Linotype" w:cs="Times New Roman"/>
          <w:sz w:val="24"/>
          <w:szCs w:val="24"/>
        </w:rPr>
        <w:t xml:space="preserve">who </w:t>
      </w:r>
      <w:r w:rsidR="004F21B9" w:rsidRPr="005D75EB">
        <w:rPr>
          <w:rFonts w:ascii="Palatino Linotype" w:hAnsi="Palatino Linotype" w:cs="Times New Roman"/>
          <w:sz w:val="24"/>
          <w:szCs w:val="24"/>
        </w:rPr>
        <w:t xml:space="preserve">traditionally have not been able to have a say, </w:t>
      </w:r>
      <w:r w:rsidR="00641CE0" w:rsidRPr="005D75EB">
        <w:rPr>
          <w:rFonts w:ascii="Palatino Linotype" w:hAnsi="Palatino Linotype" w:cs="Times New Roman"/>
          <w:sz w:val="24"/>
          <w:szCs w:val="24"/>
        </w:rPr>
        <w:t>despite the fact that they are often significantly impacted</w:t>
      </w:r>
      <w:r w:rsidR="00077A79" w:rsidRPr="005D75EB">
        <w:rPr>
          <w:rFonts w:ascii="Palatino Linotype" w:hAnsi="Palatino Linotype" w:cs="Times New Roman"/>
          <w:sz w:val="24"/>
          <w:szCs w:val="24"/>
        </w:rPr>
        <w:t xml:space="preserve"> by research activities and outcomes.</w:t>
      </w:r>
    </w:p>
    <w:p w14:paraId="327C129F" w14:textId="77777777" w:rsidR="0000099E" w:rsidRPr="005D75EB" w:rsidRDefault="0000099E" w:rsidP="005D75EB">
      <w:pPr>
        <w:spacing w:line="480" w:lineRule="auto"/>
        <w:jc w:val="both"/>
        <w:rPr>
          <w:rFonts w:ascii="Palatino Linotype" w:hAnsi="Palatino Linotype" w:cs="Times New Roman"/>
          <w:b/>
          <w:sz w:val="24"/>
          <w:szCs w:val="24"/>
        </w:rPr>
      </w:pPr>
      <w:r w:rsidRPr="005D75EB">
        <w:rPr>
          <w:rFonts w:ascii="Palatino Linotype" w:hAnsi="Palatino Linotype" w:cs="Times New Roman"/>
          <w:b/>
          <w:sz w:val="24"/>
          <w:szCs w:val="24"/>
        </w:rPr>
        <w:t>Conclusion</w:t>
      </w:r>
    </w:p>
    <w:p w14:paraId="7E7F3BC3" w14:textId="60423AF4" w:rsidR="00C562C3" w:rsidRPr="005D75EB" w:rsidRDefault="004B579D" w:rsidP="005D75EB">
      <w:pPr>
        <w:spacing w:line="480" w:lineRule="auto"/>
        <w:jc w:val="both"/>
        <w:rPr>
          <w:rFonts w:ascii="Palatino Linotype" w:hAnsi="Palatino Linotype" w:cs="Times New Roman"/>
          <w:sz w:val="24"/>
          <w:szCs w:val="24"/>
        </w:rPr>
      </w:pPr>
      <w:r w:rsidRPr="005D75EB">
        <w:rPr>
          <w:rFonts w:ascii="Palatino Linotype" w:hAnsi="Palatino Linotype" w:cs="Times New Roman"/>
          <w:sz w:val="24"/>
          <w:szCs w:val="24"/>
        </w:rPr>
        <w:t>Disability human rights clinics</w:t>
      </w:r>
      <w:r w:rsidR="00576080" w:rsidRPr="005D75EB">
        <w:rPr>
          <w:rFonts w:ascii="Palatino Linotype" w:hAnsi="Palatino Linotype" w:cs="Times New Roman"/>
          <w:sz w:val="24"/>
          <w:szCs w:val="24"/>
        </w:rPr>
        <w:t xml:space="preserve"> can be a valuable addition to clinical legal programs in law schools worldwide. </w:t>
      </w:r>
      <w:r w:rsidR="006E233C" w:rsidRPr="005D75EB">
        <w:rPr>
          <w:rFonts w:ascii="Palatino Linotype" w:hAnsi="Palatino Linotype" w:cs="Times New Roman"/>
          <w:sz w:val="24"/>
          <w:szCs w:val="24"/>
        </w:rPr>
        <w:t xml:space="preserve">Where they </w:t>
      </w:r>
      <w:r w:rsidR="00EF36B2" w:rsidRPr="005D75EB">
        <w:rPr>
          <w:rFonts w:ascii="Palatino Linotype" w:hAnsi="Palatino Linotype" w:cs="Times New Roman"/>
          <w:sz w:val="24"/>
          <w:szCs w:val="24"/>
        </w:rPr>
        <w:t>have the six features identified in this paper, t</w:t>
      </w:r>
      <w:r w:rsidR="008D0AC3" w:rsidRPr="005D75EB">
        <w:rPr>
          <w:rFonts w:ascii="Palatino Linotype" w:hAnsi="Palatino Linotype" w:cs="Times New Roman"/>
          <w:sz w:val="24"/>
          <w:szCs w:val="24"/>
        </w:rPr>
        <w:t>hese clinics meet each of the three key ‘motivations’ for clinical legal education identified by Kris Gledhill.</w:t>
      </w:r>
      <w:r w:rsidR="00EF36B2" w:rsidRPr="005D75EB">
        <w:rPr>
          <w:rStyle w:val="FootnoteReference"/>
          <w:rFonts w:ascii="Palatino Linotype" w:hAnsi="Palatino Linotype" w:cs="Times New Roman"/>
          <w:color w:val="000000" w:themeColor="text1"/>
          <w:sz w:val="24"/>
          <w:szCs w:val="24"/>
        </w:rPr>
        <w:footnoteReference w:id="60"/>
      </w:r>
      <w:r w:rsidR="00EF36B2" w:rsidRPr="005D75EB">
        <w:rPr>
          <w:rFonts w:ascii="Palatino Linotype" w:hAnsi="Palatino Linotype" w:cs="Times New Roman"/>
          <w:color w:val="000000" w:themeColor="text1"/>
          <w:sz w:val="24"/>
          <w:szCs w:val="24"/>
        </w:rPr>
        <w:t xml:space="preserve"> </w:t>
      </w:r>
      <w:r w:rsidR="008D0AC3" w:rsidRPr="005D75EB">
        <w:rPr>
          <w:rFonts w:ascii="Palatino Linotype" w:hAnsi="Palatino Linotype" w:cs="Times New Roman"/>
          <w:sz w:val="24"/>
          <w:szCs w:val="24"/>
        </w:rPr>
        <w:t xml:space="preserve"> First, they ensure that students develop valuable professional skills for their future careers as lawyers</w:t>
      </w:r>
      <w:r w:rsidR="00EF36B2" w:rsidRPr="005D75EB">
        <w:rPr>
          <w:rFonts w:ascii="Palatino Linotype" w:hAnsi="Palatino Linotype" w:cs="Times New Roman"/>
          <w:sz w:val="24"/>
          <w:szCs w:val="24"/>
        </w:rPr>
        <w:t xml:space="preserve">, </w:t>
      </w:r>
      <w:r w:rsidR="009F492D" w:rsidRPr="005D75EB">
        <w:rPr>
          <w:rFonts w:ascii="Palatino Linotype" w:hAnsi="Palatino Linotype" w:cs="Times New Roman"/>
          <w:sz w:val="24"/>
          <w:szCs w:val="24"/>
        </w:rPr>
        <w:t>including legal research and analysis, teamwork, clie</w:t>
      </w:r>
      <w:r w:rsidR="007238B2" w:rsidRPr="005D75EB">
        <w:rPr>
          <w:rFonts w:ascii="Palatino Linotype" w:hAnsi="Palatino Linotype" w:cs="Times New Roman"/>
          <w:sz w:val="24"/>
          <w:szCs w:val="24"/>
        </w:rPr>
        <w:t>nt liaison, clear writing, and advocacy</w:t>
      </w:r>
      <w:r w:rsidR="008D0AC3" w:rsidRPr="005D75EB">
        <w:rPr>
          <w:rFonts w:ascii="Palatino Linotype" w:hAnsi="Palatino Linotype" w:cs="Times New Roman"/>
          <w:sz w:val="24"/>
          <w:szCs w:val="24"/>
        </w:rPr>
        <w:t xml:space="preserve">. Secondly, they </w:t>
      </w:r>
      <w:r w:rsidR="000960A6" w:rsidRPr="005D75EB">
        <w:rPr>
          <w:rFonts w:ascii="Palatino Linotype" w:hAnsi="Palatino Linotype" w:cs="Times New Roman"/>
          <w:sz w:val="24"/>
          <w:szCs w:val="24"/>
        </w:rPr>
        <w:t xml:space="preserve">can increase access to justice for people who have traditionally been denied this right, </w:t>
      </w:r>
      <w:r w:rsidR="006B2C1D" w:rsidRPr="005D75EB">
        <w:rPr>
          <w:rFonts w:ascii="Palatino Linotype" w:hAnsi="Palatino Linotype" w:cs="Times New Roman"/>
          <w:sz w:val="24"/>
          <w:szCs w:val="24"/>
        </w:rPr>
        <w:t xml:space="preserve">for instance, </w:t>
      </w:r>
      <w:r w:rsidR="000960A6" w:rsidRPr="005D75EB">
        <w:rPr>
          <w:rFonts w:ascii="Palatino Linotype" w:hAnsi="Palatino Linotype" w:cs="Times New Roman"/>
          <w:sz w:val="24"/>
          <w:szCs w:val="24"/>
        </w:rPr>
        <w:t xml:space="preserve">by </w:t>
      </w:r>
      <w:r w:rsidR="00BA528D" w:rsidRPr="005D75EB">
        <w:rPr>
          <w:rFonts w:ascii="Palatino Linotype" w:hAnsi="Palatino Linotype" w:cs="Times New Roman"/>
          <w:sz w:val="24"/>
          <w:szCs w:val="24"/>
        </w:rPr>
        <w:t xml:space="preserve">sharing knowledge, skills and resources with community organisations, </w:t>
      </w:r>
      <w:r w:rsidR="006B2C1D" w:rsidRPr="005D75EB">
        <w:rPr>
          <w:rFonts w:ascii="Palatino Linotype" w:hAnsi="Palatino Linotype" w:cs="Times New Roman"/>
          <w:sz w:val="24"/>
          <w:szCs w:val="24"/>
        </w:rPr>
        <w:t xml:space="preserve">by providing </w:t>
      </w:r>
      <w:r w:rsidR="006B2C1D" w:rsidRPr="005D75EB">
        <w:rPr>
          <w:rFonts w:ascii="Palatino Linotype" w:hAnsi="Palatino Linotype" w:cs="Times New Roman"/>
          <w:sz w:val="24"/>
          <w:szCs w:val="24"/>
        </w:rPr>
        <w:lastRenderedPageBreak/>
        <w:t>research support to community legal centres, or by contributin</w:t>
      </w:r>
      <w:r w:rsidR="008C7D04" w:rsidRPr="005D75EB">
        <w:rPr>
          <w:rFonts w:ascii="Palatino Linotype" w:hAnsi="Palatino Linotype" w:cs="Times New Roman"/>
          <w:sz w:val="24"/>
          <w:szCs w:val="24"/>
        </w:rPr>
        <w:t xml:space="preserve">g to </w:t>
      </w:r>
      <w:r w:rsidR="00127E47" w:rsidRPr="005D75EB">
        <w:rPr>
          <w:rFonts w:ascii="Palatino Linotype" w:hAnsi="Palatino Linotype" w:cs="Times New Roman"/>
          <w:sz w:val="24"/>
          <w:szCs w:val="24"/>
        </w:rPr>
        <w:t xml:space="preserve">reports or communications to UN monitoring bodies. Finally, </w:t>
      </w:r>
      <w:r w:rsidR="00CA483D" w:rsidRPr="005D75EB">
        <w:rPr>
          <w:rFonts w:ascii="Palatino Linotype" w:hAnsi="Palatino Linotype" w:cs="Times New Roman"/>
          <w:sz w:val="24"/>
          <w:szCs w:val="24"/>
        </w:rPr>
        <w:t xml:space="preserve">disability human rights clinics can </w:t>
      </w:r>
      <w:r w:rsidR="003833C5" w:rsidRPr="005D75EB">
        <w:rPr>
          <w:rFonts w:ascii="Palatino Linotype" w:hAnsi="Palatino Linotype" w:cs="Times New Roman"/>
          <w:sz w:val="24"/>
          <w:szCs w:val="24"/>
        </w:rPr>
        <w:t>contribute to</w:t>
      </w:r>
      <w:r w:rsidR="00CA483D" w:rsidRPr="005D75EB">
        <w:rPr>
          <w:rFonts w:ascii="Palatino Linotype" w:hAnsi="Palatino Linotype" w:cs="Times New Roman"/>
          <w:sz w:val="24"/>
          <w:szCs w:val="24"/>
        </w:rPr>
        <w:t xml:space="preserve"> social change</w:t>
      </w:r>
      <w:r w:rsidR="003833C5" w:rsidRPr="005D75EB">
        <w:rPr>
          <w:rFonts w:ascii="Palatino Linotype" w:hAnsi="Palatino Linotype" w:cs="Times New Roman"/>
          <w:sz w:val="24"/>
          <w:szCs w:val="24"/>
        </w:rPr>
        <w:t xml:space="preserve"> by</w:t>
      </w:r>
      <w:r w:rsidR="00A34502" w:rsidRPr="005D75EB">
        <w:rPr>
          <w:rFonts w:ascii="Palatino Linotype" w:hAnsi="Palatino Linotype" w:cs="Times New Roman"/>
          <w:sz w:val="24"/>
          <w:szCs w:val="24"/>
        </w:rPr>
        <w:t xml:space="preserve"> supporting the disability community </w:t>
      </w:r>
      <w:r w:rsidR="00B84110" w:rsidRPr="005D75EB">
        <w:rPr>
          <w:rFonts w:ascii="Palatino Linotype" w:hAnsi="Palatino Linotype" w:cs="Times New Roman"/>
          <w:sz w:val="24"/>
          <w:szCs w:val="24"/>
        </w:rPr>
        <w:t>in its pursuit of</w:t>
      </w:r>
      <w:r w:rsidR="003833C5" w:rsidRPr="005D75EB">
        <w:rPr>
          <w:rFonts w:ascii="Palatino Linotype" w:hAnsi="Palatino Linotype" w:cs="Times New Roman"/>
          <w:sz w:val="24"/>
          <w:szCs w:val="24"/>
        </w:rPr>
        <w:t xml:space="preserve"> the realisation of the human rights of persons with disabilities at the local and international levels</w:t>
      </w:r>
      <w:r w:rsidR="00F83048" w:rsidRPr="005D75EB">
        <w:rPr>
          <w:rFonts w:ascii="Palatino Linotype" w:hAnsi="Palatino Linotype" w:cs="Times New Roman"/>
          <w:sz w:val="24"/>
          <w:szCs w:val="24"/>
        </w:rPr>
        <w:t>.</w:t>
      </w:r>
    </w:p>
    <w:p w14:paraId="2D42AAD8" w14:textId="5E6CD6E9" w:rsidR="00D52350" w:rsidRPr="005D75EB" w:rsidRDefault="006B66A8" w:rsidP="005D75EB">
      <w:pPr>
        <w:spacing w:line="480" w:lineRule="auto"/>
        <w:jc w:val="both"/>
        <w:rPr>
          <w:rFonts w:ascii="Palatino Linotype" w:hAnsi="Palatino Linotype" w:cs="Times New Roman"/>
          <w:sz w:val="24"/>
          <w:szCs w:val="24"/>
        </w:rPr>
      </w:pPr>
      <w:r w:rsidRPr="005D75EB">
        <w:rPr>
          <w:rFonts w:ascii="Palatino Linotype" w:hAnsi="Palatino Linotype" w:cs="Times New Roman"/>
          <w:sz w:val="24"/>
          <w:szCs w:val="24"/>
        </w:rPr>
        <w:t>The model proposed here could also provide the basis for human rights clinics concerned with other groups</w:t>
      </w:r>
      <w:r w:rsidR="0037370F" w:rsidRPr="005D75EB">
        <w:rPr>
          <w:rFonts w:ascii="Palatino Linotype" w:hAnsi="Palatino Linotype" w:cs="Times New Roman"/>
          <w:sz w:val="24"/>
          <w:szCs w:val="24"/>
        </w:rPr>
        <w:t xml:space="preserve"> of rights-holders</w:t>
      </w:r>
      <w:r w:rsidRPr="005D75EB">
        <w:rPr>
          <w:rFonts w:ascii="Palatino Linotype" w:hAnsi="Palatino Linotype" w:cs="Times New Roman"/>
          <w:sz w:val="24"/>
          <w:szCs w:val="24"/>
        </w:rPr>
        <w:t xml:space="preserve">, </w:t>
      </w:r>
      <w:r w:rsidR="00BC2866" w:rsidRPr="005D75EB">
        <w:rPr>
          <w:rFonts w:ascii="Palatino Linotype" w:hAnsi="Palatino Linotype" w:cs="Times New Roman"/>
          <w:sz w:val="24"/>
          <w:szCs w:val="24"/>
        </w:rPr>
        <w:t>such</w:t>
      </w:r>
      <w:r w:rsidR="008F6CE7" w:rsidRPr="005D75EB">
        <w:rPr>
          <w:rFonts w:ascii="Palatino Linotype" w:hAnsi="Palatino Linotype" w:cs="Times New Roman"/>
          <w:sz w:val="24"/>
          <w:szCs w:val="24"/>
        </w:rPr>
        <w:t xml:space="preserve"> as refugees and asylum seekers,</w:t>
      </w:r>
      <w:r w:rsidR="00BC2866" w:rsidRPr="005D75EB">
        <w:rPr>
          <w:rFonts w:ascii="Palatino Linotype" w:hAnsi="Palatino Linotype" w:cs="Times New Roman"/>
          <w:sz w:val="24"/>
          <w:szCs w:val="24"/>
        </w:rPr>
        <w:t xml:space="preserve"> women</w:t>
      </w:r>
      <w:r w:rsidR="00761632" w:rsidRPr="005D75EB">
        <w:rPr>
          <w:rFonts w:ascii="Palatino Linotype" w:hAnsi="Palatino Linotype" w:cs="Times New Roman"/>
          <w:sz w:val="24"/>
          <w:szCs w:val="24"/>
        </w:rPr>
        <w:t>,</w:t>
      </w:r>
      <w:r w:rsidR="008F6CE7" w:rsidRPr="005D75EB">
        <w:rPr>
          <w:rFonts w:ascii="Palatino Linotype" w:hAnsi="Palatino Linotype" w:cs="Times New Roman"/>
          <w:sz w:val="24"/>
          <w:szCs w:val="24"/>
        </w:rPr>
        <w:t xml:space="preserve"> and</w:t>
      </w:r>
      <w:r w:rsidR="00BC2866" w:rsidRPr="005D75EB">
        <w:rPr>
          <w:rFonts w:ascii="Palatino Linotype" w:hAnsi="Palatino Linotype" w:cs="Times New Roman"/>
          <w:sz w:val="24"/>
          <w:szCs w:val="24"/>
        </w:rPr>
        <w:t xml:space="preserve"> </w:t>
      </w:r>
      <w:r w:rsidR="00382E5C" w:rsidRPr="005D75EB">
        <w:rPr>
          <w:rFonts w:ascii="Palatino Linotype" w:hAnsi="Palatino Linotype" w:cs="Times New Roman"/>
          <w:sz w:val="24"/>
          <w:szCs w:val="24"/>
        </w:rPr>
        <w:t>older persons</w:t>
      </w:r>
      <w:r w:rsidR="00BC2866" w:rsidRPr="005D75EB">
        <w:rPr>
          <w:rFonts w:ascii="Palatino Linotype" w:hAnsi="Palatino Linotype" w:cs="Times New Roman"/>
          <w:sz w:val="24"/>
          <w:szCs w:val="24"/>
        </w:rPr>
        <w:t xml:space="preserve">. </w:t>
      </w:r>
      <w:r w:rsidR="003475E1" w:rsidRPr="005D75EB">
        <w:rPr>
          <w:rFonts w:ascii="Palatino Linotype" w:hAnsi="Palatino Linotype" w:cs="Times New Roman"/>
          <w:sz w:val="24"/>
          <w:szCs w:val="24"/>
        </w:rPr>
        <w:t>For example, the principles relating to</w:t>
      </w:r>
      <w:r w:rsidR="00BD1DA6" w:rsidRPr="005D75EB">
        <w:rPr>
          <w:rFonts w:ascii="Palatino Linotype" w:hAnsi="Palatino Linotype" w:cs="Times New Roman"/>
          <w:sz w:val="24"/>
          <w:szCs w:val="24"/>
        </w:rPr>
        <w:t xml:space="preserve"> participatory research and</w:t>
      </w:r>
      <w:r w:rsidR="003475E1" w:rsidRPr="005D75EB">
        <w:rPr>
          <w:rFonts w:ascii="Palatino Linotype" w:hAnsi="Palatino Linotype" w:cs="Times New Roman"/>
          <w:sz w:val="24"/>
          <w:szCs w:val="24"/>
        </w:rPr>
        <w:t xml:space="preserve"> the accessi</w:t>
      </w:r>
      <w:r w:rsidR="00765DBE" w:rsidRPr="005D75EB">
        <w:rPr>
          <w:rFonts w:ascii="Palatino Linotype" w:hAnsi="Palatino Linotype" w:cs="Times New Roman"/>
          <w:sz w:val="24"/>
          <w:szCs w:val="24"/>
        </w:rPr>
        <w:t>bility of research outputs, and of the clinic itself, are relevant for all</w:t>
      </w:r>
      <w:r w:rsidR="005704FD" w:rsidRPr="005D75EB">
        <w:rPr>
          <w:rFonts w:ascii="Palatino Linotype" w:hAnsi="Palatino Linotype" w:cs="Times New Roman"/>
          <w:sz w:val="24"/>
          <w:szCs w:val="24"/>
        </w:rPr>
        <w:t xml:space="preserve"> areas of research</w:t>
      </w:r>
      <w:r w:rsidR="00340A13" w:rsidRPr="005D75EB">
        <w:rPr>
          <w:rFonts w:ascii="Palatino Linotype" w:hAnsi="Palatino Linotype" w:cs="Times New Roman"/>
          <w:sz w:val="24"/>
          <w:szCs w:val="24"/>
        </w:rPr>
        <w:t xml:space="preserve"> and advocacy</w:t>
      </w:r>
      <w:r w:rsidR="00765DBE" w:rsidRPr="005D75EB">
        <w:rPr>
          <w:rFonts w:ascii="Palatino Linotype" w:hAnsi="Palatino Linotype" w:cs="Times New Roman"/>
          <w:sz w:val="24"/>
          <w:szCs w:val="24"/>
        </w:rPr>
        <w:t xml:space="preserve">. </w:t>
      </w:r>
      <w:r w:rsidR="00071109" w:rsidRPr="005D75EB">
        <w:rPr>
          <w:rFonts w:ascii="Palatino Linotype" w:hAnsi="Palatino Linotype" w:cs="Times New Roman"/>
          <w:sz w:val="24"/>
          <w:szCs w:val="24"/>
        </w:rPr>
        <w:t xml:space="preserve">While </w:t>
      </w:r>
      <w:r w:rsidR="00761632" w:rsidRPr="005D75EB">
        <w:rPr>
          <w:rFonts w:ascii="Palatino Linotype" w:hAnsi="Palatino Linotype" w:cs="Times New Roman"/>
          <w:sz w:val="24"/>
          <w:szCs w:val="24"/>
        </w:rPr>
        <w:t xml:space="preserve">the CRPD is the only human rights instrument to </w:t>
      </w:r>
      <w:r w:rsidR="0069036C" w:rsidRPr="005D75EB">
        <w:rPr>
          <w:rFonts w:ascii="Palatino Linotype" w:hAnsi="Palatino Linotype" w:cs="Times New Roman"/>
          <w:sz w:val="24"/>
          <w:szCs w:val="24"/>
        </w:rPr>
        <w:t xml:space="preserve">place such explicit emphasis on </w:t>
      </w:r>
      <w:r w:rsidR="00E35E27" w:rsidRPr="005D75EB">
        <w:rPr>
          <w:rFonts w:ascii="Palatino Linotype" w:hAnsi="Palatino Linotype" w:cs="Times New Roman"/>
          <w:sz w:val="24"/>
          <w:szCs w:val="24"/>
        </w:rPr>
        <w:t xml:space="preserve">the participation of </w:t>
      </w:r>
      <w:r w:rsidR="00D52350" w:rsidRPr="005D75EB">
        <w:rPr>
          <w:rFonts w:ascii="Palatino Linotype" w:hAnsi="Palatino Linotype" w:cs="Times New Roman"/>
          <w:sz w:val="24"/>
          <w:szCs w:val="24"/>
        </w:rPr>
        <w:t>the affected</w:t>
      </w:r>
      <w:r w:rsidR="006A543C" w:rsidRPr="005D75EB">
        <w:rPr>
          <w:rFonts w:ascii="Palatino Linotype" w:hAnsi="Palatino Linotype" w:cs="Times New Roman"/>
          <w:sz w:val="24"/>
          <w:szCs w:val="24"/>
        </w:rPr>
        <w:t xml:space="preserve"> persons</w:t>
      </w:r>
      <w:r w:rsidR="00D52350" w:rsidRPr="005D75EB">
        <w:rPr>
          <w:rFonts w:ascii="Palatino Linotype" w:hAnsi="Palatino Linotype" w:cs="Times New Roman"/>
          <w:sz w:val="24"/>
          <w:szCs w:val="24"/>
        </w:rPr>
        <w:t xml:space="preserve"> in the implementation and monitoring of human rights</w:t>
      </w:r>
      <w:r w:rsidR="00071109" w:rsidRPr="005D75EB">
        <w:rPr>
          <w:rFonts w:ascii="Palatino Linotype" w:hAnsi="Palatino Linotype" w:cs="Times New Roman"/>
          <w:sz w:val="24"/>
          <w:szCs w:val="24"/>
        </w:rPr>
        <w:t xml:space="preserve">, </w:t>
      </w:r>
      <w:r w:rsidR="006D75F2" w:rsidRPr="005D75EB">
        <w:rPr>
          <w:rFonts w:ascii="Palatino Linotype" w:hAnsi="Palatino Linotype" w:cs="Times New Roman"/>
          <w:sz w:val="24"/>
          <w:szCs w:val="24"/>
        </w:rPr>
        <w:t xml:space="preserve">Deena </w:t>
      </w:r>
      <w:r w:rsidR="00071109" w:rsidRPr="005D75EB">
        <w:rPr>
          <w:rFonts w:ascii="Palatino Linotype" w:hAnsi="Palatino Linotype" w:cs="Times New Roman"/>
          <w:sz w:val="24"/>
          <w:szCs w:val="24"/>
        </w:rPr>
        <w:t>Hurwitz explains that all human rights advocacy</w:t>
      </w:r>
    </w:p>
    <w:p w14:paraId="0358A082" w14:textId="707CF438" w:rsidR="003475E1" w:rsidRPr="005D75EB" w:rsidRDefault="00071109" w:rsidP="005D6811">
      <w:pPr>
        <w:spacing w:line="360" w:lineRule="auto"/>
        <w:ind w:left="720"/>
        <w:jc w:val="both"/>
        <w:rPr>
          <w:rFonts w:ascii="Palatino Linotype" w:hAnsi="Palatino Linotype" w:cs="Times New Roman"/>
          <w:sz w:val="24"/>
          <w:szCs w:val="24"/>
        </w:rPr>
      </w:pPr>
      <w:proofErr w:type="gramStart"/>
      <w:r w:rsidRPr="005D75EB">
        <w:rPr>
          <w:rFonts w:ascii="Palatino Linotype" w:hAnsi="Palatino Linotype" w:cs="Times New Roman"/>
          <w:sz w:val="24"/>
          <w:szCs w:val="24"/>
        </w:rPr>
        <w:t>is</w:t>
      </w:r>
      <w:proofErr w:type="gramEnd"/>
      <w:r w:rsidRPr="005D75EB">
        <w:rPr>
          <w:rFonts w:ascii="Palatino Linotype" w:hAnsi="Palatino Linotype" w:cs="Times New Roman"/>
          <w:sz w:val="24"/>
          <w:szCs w:val="24"/>
        </w:rPr>
        <w:t xml:space="preserve"> fundamentally participatory and equitable. That is, it requires active collaboration between</w:t>
      </w:r>
      <w:r w:rsidR="006B66A8" w:rsidRPr="005D75EB">
        <w:rPr>
          <w:rFonts w:ascii="Palatino Linotype" w:hAnsi="Palatino Linotype" w:cs="Times New Roman"/>
          <w:sz w:val="24"/>
          <w:szCs w:val="24"/>
        </w:rPr>
        <w:t xml:space="preserve"> </w:t>
      </w:r>
      <w:r w:rsidR="00D52350" w:rsidRPr="005D75EB">
        <w:rPr>
          <w:rFonts w:ascii="Palatino Linotype" w:hAnsi="Palatino Linotype" w:cs="Times New Roman"/>
          <w:sz w:val="24"/>
          <w:szCs w:val="24"/>
        </w:rPr>
        <w:t>lawyers, advocates, and those affected by the work (who may or may not be the clients</w:t>
      </w:r>
      <w:r w:rsidR="0036188E" w:rsidRPr="005D75EB">
        <w:rPr>
          <w:rFonts w:ascii="Palatino Linotype" w:hAnsi="Palatino Linotype" w:cs="Times New Roman"/>
          <w:sz w:val="24"/>
          <w:szCs w:val="24"/>
        </w:rPr>
        <w:t>)</w:t>
      </w:r>
      <w:r w:rsidR="00D52350" w:rsidRPr="005D75EB">
        <w:rPr>
          <w:rFonts w:ascii="Palatino Linotype" w:hAnsi="Palatino Linotype" w:cs="Times New Roman"/>
          <w:sz w:val="24"/>
          <w:szCs w:val="24"/>
        </w:rPr>
        <w:t>.</w:t>
      </w:r>
      <w:r w:rsidR="00D52350" w:rsidRPr="005D75EB">
        <w:rPr>
          <w:rStyle w:val="FootnoteReference"/>
          <w:rFonts w:ascii="Palatino Linotype" w:hAnsi="Palatino Linotype" w:cs="Times New Roman"/>
          <w:sz w:val="24"/>
          <w:szCs w:val="24"/>
        </w:rPr>
        <w:footnoteReference w:id="61"/>
      </w:r>
    </w:p>
    <w:p w14:paraId="45B86094" w14:textId="03091E1A" w:rsidR="00443373" w:rsidRPr="005D75EB" w:rsidRDefault="00E15053" w:rsidP="005D75EB">
      <w:pPr>
        <w:spacing w:line="480" w:lineRule="auto"/>
        <w:jc w:val="both"/>
        <w:rPr>
          <w:rFonts w:ascii="Palatino Linotype" w:hAnsi="Palatino Linotype" w:cs="Times New Roman"/>
          <w:sz w:val="24"/>
          <w:szCs w:val="24"/>
        </w:rPr>
      </w:pPr>
      <w:r w:rsidRPr="005D75EB">
        <w:rPr>
          <w:rFonts w:ascii="Palatino Linotype" w:hAnsi="Palatino Linotype" w:cs="Times New Roman"/>
          <w:sz w:val="24"/>
          <w:szCs w:val="24"/>
        </w:rPr>
        <w:t>The DHRC model exposes student to this particip</w:t>
      </w:r>
      <w:r w:rsidR="00D04D8A" w:rsidRPr="005D75EB">
        <w:rPr>
          <w:rFonts w:ascii="Palatino Linotype" w:hAnsi="Palatino Linotype" w:cs="Times New Roman"/>
          <w:sz w:val="24"/>
          <w:szCs w:val="24"/>
        </w:rPr>
        <w:t>atory methodology. Students who</w:t>
      </w:r>
      <w:r w:rsidRPr="005D75EB">
        <w:rPr>
          <w:rFonts w:ascii="Palatino Linotype" w:hAnsi="Palatino Linotype" w:cs="Times New Roman"/>
          <w:sz w:val="24"/>
          <w:szCs w:val="24"/>
        </w:rPr>
        <w:t xml:space="preserve"> have completed the clinic have often commented that their perspectives of disability and human rights have shifted. They often see human rights as much more connected to their daily lives than they had previously realised</w:t>
      </w:r>
      <w:r w:rsidR="00D04D8A" w:rsidRPr="005D75EB">
        <w:rPr>
          <w:rFonts w:ascii="Palatino Linotype" w:hAnsi="Palatino Linotype" w:cs="Times New Roman"/>
          <w:sz w:val="24"/>
          <w:szCs w:val="24"/>
        </w:rPr>
        <w:t>, and</w:t>
      </w:r>
      <w:r w:rsidRPr="005D75EB">
        <w:rPr>
          <w:rFonts w:ascii="Palatino Linotype" w:hAnsi="Palatino Linotype" w:cs="Times New Roman"/>
          <w:sz w:val="24"/>
          <w:szCs w:val="24"/>
        </w:rPr>
        <w:t xml:space="preserve"> often begin to see disability </w:t>
      </w:r>
      <w:r w:rsidRPr="005D75EB">
        <w:rPr>
          <w:rFonts w:ascii="Palatino Linotype" w:hAnsi="Palatino Linotype" w:cs="Times New Roman"/>
          <w:sz w:val="24"/>
          <w:szCs w:val="24"/>
        </w:rPr>
        <w:lastRenderedPageBreak/>
        <w:t>as something to celebrate in appreciation of the joy of human diversity. Through the humble platform of clinical legal education, the DHRC model has had a signi</w:t>
      </w:r>
      <w:r w:rsidR="00B0382B" w:rsidRPr="005D75EB">
        <w:rPr>
          <w:rFonts w:ascii="Palatino Linotype" w:hAnsi="Palatino Linotype" w:cs="Times New Roman"/>
          <w:sz w:val="24"/>
          <w:szCs w:val="24"/>
        </w:rPr>
        <w:t xml:space="preserve">ficant impact on the students </w:t>
      </w:r>
      <w:r w:rsidRPr="005D75EB">
        <w:rPr>
          <w:rFonts w:ascii="Palatino Linotype" w:hAnsi="Palatino Linotype" w:cs="Times New Roman"/>
          <w:sz w:val="24"/>
          <w:szCs w:val="24"/>
        </w:rPr>
        <w:t xml:space="preserve">as well as the many and varied partners that have been </w:t>
      </w:r>
      <w:r w:rsidR="00B40B7A" w:rsidRPr="005D75EB">
        <w:rPr>
          <w:rFonts w:ascii="Palatino Linotype" w:hAnsi="Palatino Linotype" w:cs="Times New Roman"/>
          <w:sz w:val="24"/>
          <w:szCs w:val="24"/>
        </w:rPr>
        <w:t xml:space="preserve">our </w:t>
      </w:r>
      <w:r w:rsidRPr="005D75EB">
        <w:rPr>
          <w:rFonts w:ascii="Palatino Linotype" w:hAnsi="Palatino Linotype" w:cs="Times New Roman"/>
          <w:sz w:val="24"/>
          <w:szCs w:val="24"/>
        </w:rPr>
        <w:t>clients – the United Nations Committee on the Rights of Persons with Disabilities, the United Nations Special Rapporteur on Disability, the Australian Disability Discrimin</w:t>
      </w:r>
      <w:r w:rsidR="00AE2145" w:rsidRPr="005D75EB">
        <w:rPr>
          <w:rFonts w:ascii="Palatino Linotype" w:hAnsi="Palatino Linotype" w:cs="Times New Roman"/>
          <w:sz w:val="24"/>
          <w:szCs w:val="24"/>
        </w:rPr>
        <w:t>ation Commissioner, and others.</w:t>
      </w:r>
    </w:p>
    <w:sectPr w:rsidR="00443373" w:rsidRPr="005D75EB" w:rsidSect="003D3F44">
      <w:headerReference w:type="default" r:id="rId8"/>
      <w:footerReference w:type="default" r:id="rId9"/>
      <w:pgSz w:w="11906" w:h="16838"/>
      <w:pgMar w:top="1440" w:right="1440" w:bottom="1440" w:left="1440" w:header="708" w:footer="708" w:gutter="0"/>
      <w:pgNumType w:start="23"/>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92701F" w16cid:durableId="1ED5F19A"/>
  <w16cid:commentId w16cid:paraId="658B2F35" w16cid:durableId="1ED5F19B"/>
  <w16cid:commentId w16cid:paraId="6A08C9D7" w16cid:durableId="1ED5F19C"/>
  <w16cid:commentId w16cid:paraId="4A69A3FC" w16cid:durableId="1ED5F19D"/>
  <w16cid:commentId w16cid:paraId="6F7895D2" w16cid:durableId="1ED5F19E"/>
  <w16cid:commentId w16cid:paraId="3F983392" w16cid:durableId="1ED5F19F"/>
  <w16cid:commentId w16cid:paraId="53D783DB" w16cid:durableId="1ED5F1A0"/>
  <w16cid:commentId w16cid:paraId="3B232D8D" w16cid:durableId="1ED5F1A1"/>
  <w16cid:commentId w16cid:paraId="1AF3FC1E" w16cid:durableId="1ED5F1A3"/>
  <w16cid:commentId w16cid:paraId="338CF3D3" w16cid:durableId="1ED5F1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146F0" w14:textId="77777777" w:rsidR="000C1054" w:rsidRDefault="000C1054" w:rsidP="00616EFC">
      <w:pPr>
        <w:spacing w:after="0" w:line="240" w:lineRule="auto"/>
      </w:pPr>
      <w:r>
        <w:separator/>
      </w:r>
    </w:p>
  </w:endnote>
  <w:endnote w:type="continuationSeparator" w:id="0">
    <w:p w14:paraId="0550D701" w14:textId="77777777" w:rsidR="000C1054" w:rsidRDefault="000C1054" w:rsidP="00616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595545"/>
      <w:docPartObj>
        <w:docPartGallery w:val="Page Numbers (Bottom of Page)"/>
        <w:docPartUnique/>
      </w:docPartObj>
    </w:sdtPr>
    <w:sdtEndPr>
      <w:rPr>
        <w:noProof/>
      </w:rPr>
    </w:sdtEndPr>
    <w:sdtContent>
      <w:p w14:paraId="2FD02B6A" w14:textId="7266CDD1" w:rsidR="003D3F44" w:rsidRDefault="003D3F44">
        <w:pPr>
          <w:pStyle w:val="Footer"/>
          <w:jc w:val="center"/>
        </w:pPr>
        <w:r>
          <w:fldChar w:fldCharType="begin"/>
        </w:r>
        <w:r>
          <w:instrText xml:space="preserve"> PAGE   \* MERGEFORMAT </w:instrText>
        </w:r>
        <w:r>
          <w:fldChar w:fldCharType="separate"/>
        </w:r>
        <w:r w:rsidR="00E666B8">
          <w:rPr>
            <w:noProof/>
          </w:rPr>
          <w:t>43</w:t>
        </w:r>
        <w:r>
          <w:rPr>
            <w:noProof/>
          </w:rPr>
          <w:fldChar w:fldCharType="end"/>
        </w:r>
      </w:p>
    </w:sdtContent>
  </w:sdt>
  <w:p w14:paraId="09B661DA" w14:textId="77777777" w:rsidR="003D3F44" w:rsidRDefault="003D3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3868B" w14:textId="77777777" w:rsidR="000C1054" w:rsidRDefault="000C1054" w:rsidP="00616EFC">
      <w:pPr>
        <w:spacing w:after="0" w:line="240" w:lineRule="auto"/>
      </w:pPr>
      <w:r>
        <w:separator/>
      </w:r>
    </w:p>
  </w:footnote>
  <w:footnote w:type="continuationSeparator" w:id="0">
    <w:p w14:paraId="7639FFA2" w14:textId="77777777" w:rsidR="000C1054" w:rsidRDefault="000C1054" w:rsidP="00616EFC">
      <w:pPr>
        <w:spacing w:after="0" w:line="240" w:lineRule="auto"/>
      </w:pPr>
      <w:r>
        <w:continuationSeparator/>
      </w:r>
    </w:p>
  </w:footnote>
  <w:footnote w:id="1">
    <w:p w14:paraId="1F4AFD83" w14:textId="2C1EDF7D" w:rsidR="005573F6" w:rsidRPr="005D6811" w:rsidRDefault="005573F6">
      <w:pPr>
        <w:pStyle w:val="FootnoteText"/>
        <w:rPr>
          <w:rFonts w:ascii="Palatino Linotype" w:hAnsi="Palatino Linotype"/>
          <w:sz w:val="20"/>
          <w:szCs w:val="20"/>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5D6811" w:rsidRPr="005D6811">
        <w:rPr>
          <w:rFonts w:ascii="Palatino Linotype" w:hAnsi="Palatino Linotype"/>
          <w:sz w:val="20"/>
          <w:szCs w:val="20"/>
        </w:rPr>
        <w:t>Yvette Maker</w:t>
      </w:r>
      <w:r w:rsidRPr="005D6811">
        <w:rPr>
          <w:rFonts w:ascii="Palatino Linotype" w:hAnsi="Palatino Linotype"/>
          <w:sz w:val="20"/>
          <w:szCs w:val="20"/>
        </w:rPr>
        <w:t xml:space="preserve"> has worked as a Research Fellow with </w:t>
      </w:r>
      <w:r w:rsidR="005D6811" w:rsidRPr="005D6811">
        <w:rPr>
          <w:rFonts w:ascii="Palatino Linotype" w:hAnsi="Palatino Linotype"/>
          <w:sz w:val="20"/>
          <w:szCs w:val="20"/>
        </w:rPr>
        <w:t xml:space="preserve">Anna </w:t>
      </w:r>
      <w:proofErr w:type="spellStart"/>
      <w:r w:rsidR="005D6811" w:rsidRPr="005D6811">
        <w:rPr>
          <w:rFonts w:ascii="Palatino Linotype" w:hAnsi="Palatino Linotype"/>
          <w:sz w:val="20"/>
          <w:szCs w:val="20"/>
        </w:rPr>
        <w:t>Arstein-Kerslake</w:t>
      </w:r>
      <w:proofErr w:type="spellEnd"/>
      <w:r w:rsidRPr="005D6811">
        <w:rPr>
          <w:rFonts w:ascii="Palatino Linotype" w:hAnsi="Palatino Linotype"/>
          <w:sz w:val="20"/>
          <w:szCs w:val="20"/>
        </w:rPr>
        <w:t xml:space="preserve"> since the inception of the clinic in 2015. She assists in leadership, supervision, and teaching. </w:t>
      </w:r>
      <w:r w:rsidR="005D6811" w:rsidRPr="005D6811">
        <w:rPr>
          <w:rFonts w:ascii="Palatino Linotype" w:hAnsi="Palatino Linotype"/>
          <w:sz w:val="20"/>
          <w:szCs w:val="20"/>
        </w:rPr>
        <w:t xml:space="preserve">Jana </w:t>
      </w:r>
      <w:proofErr w:type="spellStart"/>
      <w:r w:rsidR="005D6811" w:rsidRPr="005D6811">
        <w:rPr>
          <w:rFonts w:ascii="Palatino Linotype" w:hAnsi="Palatino Linotype"/>
          <w:sz w:val="20"/>
          <w:szCs w:val="20"/>
        </w:rPr>
        <w:t>Offergeld</w:t>
      </w:r>
      <w:proofErr w:type="spellEnd"/>
      <w:r w:rsidRPr="005D6811">
        <w:rPr>
          <w:rFonts w:ascii="Palatino Linotype" w:hAnsi="Palatino Linotype"/>
          <w:sz w:val="20"/>
          <w:szCs w:val="20"/>
        </w:rPr>
        <w:t xml:space="preserve"> is a Research Fellow at Bochum University of Applied Sciences in Germany and she spent a semester in 2016 as a Visiting Research Fellow in the clinic. She assisted in supervision and teaching.</w:t>
      </w:r>
    </w:p>
  </w:footnote>
  <w:footnote w:id="2">
    <w:p w14:paraId="40395175" w14:textId="642A2D53" w:rsidR="00BD2050" w:rsidRPr="005D6811" w:rsidRDefault="00BD2050">
      <w:pPr>
        <w:pStyle w:val="FootnoteText"/>
        <w:rPr>
          <w:rFonts w:ascii="Palatino Linotype" w:hAnsi="Palatino Linotype"/>
          <w:sz w:val="20"/>
          <w:szCs w:val="20"/>
          <w:lang w:val="en-AU"/>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Pr="005D6811">
        <w:rPr>
          <w:rFonts w:ascii="Palatino Linotype" w:hAnsi="Palatino Linotype"/>
          <w:i/>
          <w:sz w:val="20"/>
          <w:szCs w:val="20"/>
        </w:rPr>
        <w:t>Convention on the Rights of Persons with Disabilities</w:t>
      </w:r>
      <w:r w:rsidRPr="005D6811">
        <w:rPr>
          <w:rFonts w:ascii="Palatino Linotype" w:hAnsi="Palatino Linotype"/>
          <w:sz w:val="20"/>
          <w:szCs w:val="20"/>
        </w:rPr>
        <w:t>, opened for signature 30 March 2007, 2515 UNTS 3 (entered into force 3 May 2008) (‘</w:t>
      </w:r>
      <w:r w:rsidRPr="005D6811">
        <w:rPr>
          <w:rFonts w:ascii="Palatino Linotype" w:hAnsi="Palatino Linotype"/>
          <w:i/>
          <w:sz w:val="20"/>
          <w:szCs w:val="20"/>
        </w:rPr>
        <w:t>CRPD</w:t>
      </w:r>
      <w:r w:rsidRPr="005D6811">
        <w:rPr>
          <w:rFonts w:ascii="Palatino Linotype" w:hAnsi="Palatino Linotype"/>
          <w:sz w:val="20"/>
          <w:szCs w:val="20"/>
        </w:rPr>
        <w:t>’).</w:t>
      </w:r>
    </w:p>
  </w:footnote>
  <w:footnote w:id="3">
    <w:p w14:paraId="3FECB202" w14:textId="3818571B" w:rsidR="00302D98" w:rsidRPr="005D6811" w:rsidRDefault="00302D98">
      <w:pPr>
        <w:pStyle w:val="FootnoteText"/>
        <w:rPr>
          <w:rFonts w:ascii="Palatino Linotype" w:hAnsi="Palatino Linotype"/>
          <w:sz w:val="20"/>
          <w:szCs w:val="20"/>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4A6B80" w:rsidRPr="005D6811">
        <w:rPr>
          <w:rFonts w:ascii="Palatino Linotype" w:hAnsi="Palatino Linotype"/>
          <w:sz w:val="20"/>
          <w:szCs w:val="20"/>
        </w:rPr>
        <w:t xml:space="preserve">Gerard Quinn, </w:t>
      </w:r>
      <w:r w:rsidR="000C207B" w:rsidRPr="005D6811">
        <w:rPr>
          <w:rFonts w:ascii="Palatino Linotype" w:hAnsi="Palatino Linotype"/>
          <w:sz w:val="20"/>
          <w:szCs w:val="20"/>
        </w:rPr>
        <w:t>‘The United Nations Convention on the Rights of Persons with Disabilities: Toward a New International Politics of Disability’ (2009) 15</w:t>
      </w:r>
      <w:r w:rsidR="00A4695D" w:rsidRPr="005D6811">
        <w:rPr>
          <w:rFonts w:ascii="Palatino Linotype" w:hAnsi="Palatino Linotype"/>
          <w:sz w:val="20"/>
          <w:szCs w:val="20"/>
        </w:rPr>
        <w:t>(1)</w:t>
      </w:r>
      <w:r w:rsidR="000C207B" w:rsidRPr="005D6811">
        <w:rPr>
          <w:rFonts w:ascii="Palatino Linotype" w:hAnsi="Palatino Linotype"/>
          <w:sz w:val="20"/>
          <w:szCs w:val="20"/>
        </w:rPr>
        <w:t xml:space="preserve"> </w:t>
      </w:r>
      <w:r w:rsidR="000C207B" w:rsidRPr="005D6811">
        <w:rPr>
          <w:rFonts w:ascii="Palatino Linotype" w:hAnsi="Palatino Linotype"/>
          <w:i/>
          <w:sz w:val="20"/>
          <w:szCs w:val="20"/>
        </w:rPr>
        <w:t>Texas Journal on Civil Liberties &amp; Civil Rights</w:t>
      </w:r>
      <w:r w:rsidR="000C207B" w:rsidRPr="005D6811">
        <w:rPr>
          <w:rFonts w:ascii="Palatino Linotype" w:hAnsi="Palatino Linotype"/>
          <w:sz w:val="20"/>
          <w:szCs w:val="20"/>
        </w:rPr>
        <w:t xml:space="preserve"> </w:t>
      </w:r>
      <w:r w:rsidR="00A4695D" w:rsidRPr="005D6811">
        <w:rPr>
          <w:rFonts w:ascii="Palatino Linotype" w:hAnsi="Palatino Linotype"/>
          <w:sz w:val="20"/>
          <w:szCs w:val="20"/>
        </w:rPr>
        <w:t>33</w:t>
      </w:r>
      <w:r w:rsidR="00421120" w:rsidRPr="005D6811">
        <w:rPr>
          <w:rFonts w:ascii="Palatino Linotype" w:hAnsi="Palatino Linotype"/>
          <w:sz w:val="20"/>
          <w:szCs w:val="20"/>
        </w:rPr>
        <w:t>–</w:t>
      </w:r>
      <w:r w:rsidR="00A4695D" w:rsidRPr="005D6811">
        <w:rPr>
          <w:rFonts w:ascii="Palatino Linotype" w:hAnsi="Palatino Linotype"/>
          <w:sz w:val="20"/>
          <w:szCs w:val="20"/>
        </w:rPr>
        <w:t>52</w:t>
      </w:r>
      <w:r w:rsidR="00421120" w:rsidRPr="005D6811">
        <w:rPr>
          <w:rFonts w:ascii="Palatino Linotype" w:hAnsi="Palatino Linotype"/>
          <w:sz w:val="20"/>
          <w:szCs w:val="20"/>
        </w:rPr>
        <w:t>, 37–39</w:t>
      </w:r>
      <w:proofErr w:type="gramStart"/>
      <w:r w:rsidR="00421120" w:rsidRPr="005D6811">
        <w:rPr>
          <w:rFonts w:ascii="Palatino Linotype" w:hAnsi="Palatino Linotype"/>
          <w:sz w:val="20"/>
          <w:szCs w:val="20"/>
        </w:rPr>
        <w:t>;</w:t>
      </w:r>
      <w:r w:rsidR="00A4695D" w:rsidRPr="005D6811">
        <w:rPr>
          <w:rFonts w:ascii="Palatino Linotype" w:hAnsi="Palatino Linotype"/>
          <w:sz w:val="20"/>
          <w:szCs w:val="20"/>
        </w:rPr>
        <w:t xml:space="preserve"> </w:t>
      </w:r>
      <w:r w:rsidR="000C207B" w:rsidRPr="005D6811">
        <w:rPr>
          <w:rFonts w:ascii="Palatino Linotype" w:hAnsi="Palatino Linotype"/>
          <w:sz w:val="20"/>
          <w:szCs w:val="20"/>
        </w:rPr>
        <w:t xml:space="preserve"> </w:t>
      </w:r>
      <w:r w:rsidRPr="005D6811">
        <w:rPr>
          <w:rFonts w:ascii="Palatino Linotype" w:hAnsi="Palatino Linotype"/>
          <w:sz w:val="20"/>
          <w:szCs w:val="20"/>
          <w:lang w:val="en-AU"/>
        </w:rPr>
        <w:t>Paul</w:t>
      </w:r>
      <w:proofErr w:type="gramEnd"/>
      <w:r w:rsidRPr="005D6811">
        <w:rPr>
          <w:rFonts w:ascii="Palatino Linotype" w:hAnsi="Palatino Linotype"/>
          <w:sz w:val="20"/>
          <w:szCs w:val="20"/>
          <w:lang w:val="en-AU"/>
        </w:rPr>
        <w:t xml:space="preserve"> </w:t>
      </w:r>
      <w:proofErr w:type="spellStart"/>
      <w:r w:rsidRPr="005D6811">
        <w:rPr>
          <w:rFonts w:ascii="Palatino Linotype" w:hAnsi="Palatino Linotype"/>
          <w:sz w:val="20"/>
          <w:szCs w:val="20"/>
          <w:lang w:val="en-AU"/>
        </w:rPr>
        <w:t>Harpur</w:t>
      </w:r>
      <w:proofErr w:type="spellEnd"/>
      <w:r w:rsidRPr="005D6811">
        <w:rPr>
          <w:rFonts w:ascii="Palatino Linotype" w:hAnsi="Palatino Linotype"/>
          <w:sz w:val="20"/>
          <w:szCs w:val="20"/>
          <w:lang w:val="en-AU"/>
        </w:rPr>
        <w:t xml:space="preserve">, ‘Embracing the New Disability Rights Paradigm: the Importance of the Convention on the Rights of Persons with Disabilities’ (2012) 27(1) </w:t>
      </w:r>
      <w:r w:rsidRPr="005D6811">
        <w:rPr>
          <w:rFonts w:ascii="Palatino Linotype" w:hAnsi="Palatino Linotype"/>
          <w:i/>
          <w:sz w:val="20"/>
          <w:szCs w:val="20"/>
          <w:lang w:val="en-AU"/>
        </w:rPr>
        <w:t>Disability &amp; Society</w:t>
      </w:r>
      <w:r w:rsidRPr="005D6811">
        <w:rPr>
          <w:rFonts w:ascii="Palatino Linotype" w:hAnsi="Palatino Linotype"/>
          <w:sz w:val="20"/>
          <w:szCs w:val="20"/>
          <w:lang w:val="en-AU"/>
        </w:rPr>
        <w:t xml:space="preserve"> 1</w:t>
      </w:r>
      <w:r w:rsidRPr="005D6811">
        <w:rPr>
          <w:rFonts w:ascii="Palatino Linotype" w:hAnsi="Palatino Linotype"/>
          <w:sz w:val="20"/>
          <w:szCs w:val="20"/>
        </w:rPr>
        <w:t>–</w:t>
      </w:r>
      <w:r w:rsidRPr="005D6811">
        <w:rPr>
          <w:rFonts w:ascii="Palatino Linotype" w:hAnsi="Palatino Linotype"/>
          <w:sz w:val="20"/>
          <w:szCs w:val="20"/>
          <w:lang w:val="en-AU"/>
        </w:rPr>
        <w:t>14, 4.</w:t>
      </w:r>
    </w:p>
  </w:footnote>
  <w:footnote w:id="4">
    <w:p w14:paraId="350B5E7C" w14:textId="5AE3D98D" w:rsidR="00061FB4" w:rsidRPr="005D6811" w:rsidRDefault="00061FB4">
      <w:pPr>
        <w:pStyle w:val="FootnoteText"/>
        <w:rPr>
          <w:rFonts w:ascii="Palatino Linotype" w:hAnsi="Palatino Linotype"/>
          <w:sz w:val="20"/>
          <w:szCs w:val="20"/>
          <w:lang w:val="en-AU"/>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733AC2" w:rsidRPr="005D6811">
        <w:rPr>
          <w:rFonts w:ascii="Palatino Linotype" w:hAnsi="Palatino Linotype"/>
          <w:sz w:val="20"/>
          <w:szCs w:val="20"/>
        </w:rPr>
        <w:t xml:space="preserve">UN General Assembly, </w:t>
      </w:r>
      <w:r w:rsidR="00733AC2" w:rsidRPr="005D6811">
        <w:rPr>
          <w:rFonts w:ascii="Palatino Linotype" w:hAnsi="Palatino Linotype"/>
          <w:i/>
          <w:sz w:val="20"/>
          <w:szCs w:val="20"/>
        </w:rPr>
        <w:t>Universal Declaration of Human Rights</w:t>
      </w:r>
      <w:r w:rsidR="00733AC2" w:rsidRPr="005D6811">
        <w:rPr>
          <w:rFonts w:ascii="Palatino Linotype" w:hAnsi="Palatino Linotype"/>
          <w:sz w:val="20"/>
          <w:szCs w:val="20"/>
        </w:rPr>
        <w:t>,</w:t>
      </w:r>
      <w:r w:rsidR="00F81FD2" w:rsidRPr="005D6811">
        <w:rPr>
          <w:rFonts w:ascii="Palatino Linotype" w:hAnsi="Palatino Linotype"/>
          <w:sz w:val="20"/>
          <w:szCs w:val="20"/>
        </w:rPr>
        <w:t xml:space="preserve"> 10 December 1948 &lt;</w:t>
      </w:r>
      <w:hyperlink r:id="rId1" w:history="1">
        <w:r w:rsidR="00FB5222" w:rsidRPr="005D6811">
          <w:rPr>
            <w:rStyle w:val="Hyperlink"/>
            <w:rFonts w:ascii="Palatino Linotype" w:hAnsi="Palatino Linotype"/>
            <w:sz w:val="20"/>
            <w:szCs w:val="20"/>
          </w:rPr>
          <w:t>http://www.un.org/en/universal-declaration-human-rights/</w:t>
        </w:r>
      </w:hyperlink>
      <w:r w:rsidR="00FB5222" w:rsidRPr="005D6811">
        <w:rPr>
          <w:rFonts w:ascii="Palatino Linotype" w:hAnsi="Palatino Linotype"/>
          <w:sz w:val="20"/>
          <w:szCs w:val="20"/>
        </w:rPr>
        <w:t>&gt;</w:t>
      </w:r>
      <w:r w:rsidR="00282502" w:rsidRPr="005D6811">
        <w:rPr>
          <w:rFonts w:ascii="Palatino Linotype" w:hAnsi="Palatino Linotype"/>
          <w:sz w:val="20"/>
          <w:szCs w:val="20"/>
        </w:rPr>
        <w:t>.</w:t>
      </w:r>
    </w:p>
  </w:footnote>
  <w:footnote w:id="5">
    <w:p w14:paraId="3B86262C" w14:textId="0AF6C22C" w:rsidR="00061FB4" w:rsidRPr="005D6811" w:rsidRDefault="00061FB4">
      <w:pPr>
        <w:pStyle w:val="FootnoteText"/>
        <w:rPr>
          <w:rFonts w:ascii="Palatino Linotype" w:hAnsi="Palatino Linotype"/>
          <w:i/>
          <w:sz w:val="20"/>
          <w:szCs w:val="20"/>
          <w:lang w:val="en-AU"/>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3E72A6" w:rsidRPr="005D6811">
        <w:rPr>
          <w:rFonts w:ascii="Palatino Linotype" w:hAnsi="Palatino Linotype"/>
          <w:i/>
          <w:sz w:val="20"/>
          <w:szCs w:val="20"/>
        </w:rPr>
        <w:t xml:space="preserve">International Covenant on Civil and Political Rights, </w:t>
      </w:r>
      <w:r w:rsidR="003E72A6" w:rsidRPr="005D6811">
        <w:rPr>
          <w:rFonts w:ascii="Palatino Linotype" w:hAnsi="Palatino Linotype"/>
          <w:sz w:val="20"/>
          <w:szCs w:val="20"/>
        </w:rPr>
        <w:t>opened for signature 16 December 1966, 999 UNTS 171 (entered into force 23 March 1976</w:t>
      </w:r>
      <w:r w:rsidR="001A1036" w:rsidRPr="005D6811">
        <w:rPr>
          <w:rFonts w:ascii="Palatino Linotype" w:hAnsi="Palatino Linotype"/>
          <w:sz w:val="20"/>
          <w:szCs w:val="20"/>
        </w:rPr>
        <w:t>, except art 41, which entered into force 28 March 1979</w:t>
      </w:r>
      <w:r w:rsidR="003E72A6" w:rsidRPr="005D6811">
        <w:rPr>
          <w:rFonts w:ascii="Palatino Linotype" w:hAnsi="Palatino Linotype"/>
          <w:sz w:val="20"/>
          <w:szCs w:val="20"/>
        </w:rPr>
        <w:t>).</w:t>
      </w:r>
    </w:p>
  </w:footnote>
  <w:footnote w:id="6">
    <w:p w14:paraId="56B6671A" w14:textId="5F48BBE1" w:rsidR="00C14E9B" w:rsidRPr="005D6811" w:rsidRDefault="00C14E9B">
      <w:pPr>
        <w:pStyle w:val="FootnoteText"/>
        <w:rPr>
          <w:rFonts w:ascii="Palatino Linotype" w:hAnsi="Palatino Linotype"/>
          <w:sz w:val="20"/>
          <w:szCs w:val="20"/>
          <w:lang w:val="en-AU"/>
        </w:rPr>
      </w:pPr>
      <w:r w:rsidRPr="005D6811">
        <w:rPr>
          <w:rFonts w:ascii="Palatino Linotype" w:hAnsi="Palatino Linotype"/>
          <w:sz w:val="20"/>
          <w:szCs w:val="20"/>
          <w:lang w:val="en-AU"/>
        </w:rPr>
        <w:footnoteRef/>
      </w:r>
      <w:r w:rsidR="00061FB4" w:rsidRPr="005D6811">
        <w:rPr>
          <w:rFonts w:ascii="Palatino Linotype" w:hAnsi="Palatino Linotype"/>
          <w:sz w:val="20"/>
          <w:szCs w:val="20"/>
          <w:lang w:val="en-AU"/>
        </w:rPr>
        <w:t xml:space="preserve"> </w:t>
      </w:r>
      <w:r w:rsidR="003E72A6" w:rsidRPr="005D6811">
        <w:rPr>
          <w:rFonts w:ascii="Palatino Linotype" w:hAnsi="Palatino Linotype"/>
          <w:i/>
          <w:sz w:val="20"/>
          <w:szCs w:val="20"/>
        </w:rPr>
        <w:t>International Covenant on Economic, Social and Cultural Rights</w:t>
      </w:r>
      <w:r w:rsidR="003E72A6" w:rsidRPr="005D6811">
        <w:rPr>
          <w:rFonts w:ascii="Palatino Linotype" w:hAnsi="Palatino Linotype"/>
          <w:sz w:val="20"/>
          <w:szCs w:val="20"/>
          <w:lang w:val="en-US"/>
        </w:rPr>
        <w:t>, opened for signature 16 December 1966, 993 UNTS 3 (entered into force 3 January 1976).</w:t>
      </w:r>
    </w:p>
  </w:footnote>
  <w:footnote w:id="7">
    <w:p w14:paraId="318E3773" w14:textId="64729D13" w:rsidR="00C14E9B" w:rsidRPr="005D6811" w:rsidRDefault="00C14E9B">
      <w:pPr>
        <w:pStyle w:val="FootnoteText"/>
        <w:rPr>
          <w:rFonts w:ascii="Palatino Linotype" w:hAnsi="Palatino Linotype"/>
          <w:sz w:val="20"/>
          <w:szCs w:val="20"/>
          <w:lang w:val="en-AU"/>
        </w:rPr>
      </w:pPr>
      <w:r w:rsidRPr="005D6811">
        <w:rPr>
          <w:rFonts w:ascii="Palatino Linotype" w:hAnsi="Palatino Linotype"/>
          <w:sz w:val="20"/>
          <w:szCs w:val="20"/>
          <w:lang w:val="en-AU"/>
        </w:rPr>
        <w:footnoteRef/>
      </w:r>
      <w:r w:rsidRPr="005D6811">
        <w:rPr>
          <w:rFonts w:ascii="Palatino Linotype" w:hAnsi="Palatino Linotype"/>
          <w:sz w:val="20"/>
          <w:szCs w:val="20"/>
          <w:lang w:val="en-AU"/>
        </w:rPr>
        <w:t xml:space="preserve"> For a discussion, see </w:t>
      </w:r>
      <w:r w:rsidR="00BD2050" w:rsidRPr="005D6811">
        <w:rPr>
          <w:rFonts w:ascii="Palatino Linotype" w:hAnsi="Palatino Linotype"/>
          <w:sz w:val="20"/>
          <w:szCs w:val="20"/>
        </w:rPr>
        <w:t xml:space="preserve">Rosemary </w:t>
      </w:r>
      <w:proofErr w:type="spellStart"/>
      <w:r w:rsidR="00BD2050" w:rsidRPr="005D6811">
        <w:rPr>
          <w:rFonts w:ascii="Palatino Linotype" w:hAnsi="Palatino Linotype"/>
          <w:sz w:val="20"/>
          <w:szCs w:val="20"/>
        </w:rPr>
        <w:t>Kayess</w:t>
      </w:r>
      <w:proofErr w:type="spellEnd"/>
      <w:r w:rsidR="00BD2050" w:rsidRPr="005D6811">
        <w:rPr>
          <w:rFonts w:ascii="Palatino Linotype" w:hAnsi="Palatino Linotype"/>
          <w:sz w:val="20"/>
          <w:szCs w:val="20"/>
        </w:rPr>
        <w:t xml:space="preserve"> and Phillip French, ‘Out of Darkness into Light? Introducing the Convention on the Rights of Persons with Disabilities’ (2008) 8 </w:t>
      </w:r>
      <w:r w:rsidR="00BD2050" w:rsidRPr="005D6811">
        <w:rPr>
          <w:rFonts w:ascii="Palatino Linotype" w:hAnsi="Palatino Linotype"/>
          <w:i/>
          <w:sz w:val="20"/>
          <w:szCs w:val="20"/>
        </w:rPr>
        <w:t>Human Rights Law Review</w:t>
      </w:r>
      <w:r w:rsidR="00BD2050" w:rsidRPr="005D6811">
        <w:rPr>
          <w:rFonts w:ascii="Palatino Linotype" w:hAnsi="Palatino Linotype"/>
          <w:sz w:val="20"/>
          <w:szCs w:val="20"/>
        </w:rPr>
        <w:t xml:space="preserve"> 1, 3–4.</w:t>
      </w:r>
    </w:p>
  </w:footnote>
  <w:footnote w:id="8">
    <w:p w14:paraId="3EBCD4AF" w14:textId="6CCABEFE" w:rsidR="00C14E9B" w:rsidRPr="005D6811" w:rsidRDefault="00C14E9B" w:rsidP="00FE6697">
      <w:pPr>
        <w:pStyle w:val="FootnoteText"/>
        <w:rPr>
          <w:rFonts w:ascii="Palatino Linotype" w:hAnsi="Palatino Linotype"/>
          <w:sz w:val="20"/>
          <w:szCs w:val="20"/>
          <w:lang w:val="en-AU"/>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BD2050" w:rsidRPr="005D6811">
        <w:rPr>
          <w:rFonts w:ascii="Palatino Linotype" w:hAnsi="Palatino Linotype"/>
          <w:sz w:val="20"/>
          <w:szCs w:val="20"/>
          <w:lang w:val="en-AU"/>
        </w:rPr>
        <w:t>Ibid.</w:t>
      </w:r>
    </w:p>
  </w:footnote>
  <w:footnote w:id="9">
    <w:p w14:paraId="6D380966" w14:textId="2AA90EB1" w:rsidR="00C14E9B" w:rsidRPr="005D6811" w:rsidRDefault="00C14E9B" w:rsidP="00FE6697">
      <w:pPr>
        <w:pStyle w:val="FootnoteText"/>
        <w:rPr>
          <w:rFonts w:ascii="Palatino Linotype" w:hAnsi="Palatino Linotype"/>
          <w:sz w:val="20"/>
          <w:szCs w:val="20"/>
          <w:lang w:val="en-AU"/>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BD2050" w:rsidRPr="005D6811">
        <w:rPr>
          <w:rFonts w:ascii="Palatino Linotype" w:hAnsi="Palatino Linotype"/>
          <w:i/>
          <w:sz w:val="20"/>
          <w:szCs w:val="20"/>
        </w:rPr>
        <w:t xml:space="preserve">CRPD </w:t>
      </w:r>
      <w:r w:rsidR="00BD2050" w:rsidRPr="005D6811">
        <w:rPr>
          <w:rFonts w:ascii="Palatino Linotype" w:hAnsi="Palatino Linotype"/>
          <w:sz w:val="20"/>
          <w:szCs w:val="20"/>
        </w:rPr>
        <w:t>a</w:t>
      </w:r>
      <w:proofErr w:type="spellStart"/>
      <w:r w:rsidRPr="005D6811">
        <w:rPr>
          <w:rFonts w:ascii="Palatino Linotype" w:hAnsi="Palatino Linotype"/>
          <w:sz w:val="20"/>
          <w:szCs w:val="20"/>
          <w:lang w:val="en-AU"/>
        </w:rPr>
        <w:t>rts</w:t>
      </w:r>
      <w:proofErr w:type="spellEnd"/>
      <w:r w:rsidRPr="005D6811">
        <w:rPr>
          <w:rFonts w:ascii="Palatino Linotype" w:hAnsi="Palatino Linotype"/>
          <w:sz w:val="20"/>
          <w:szCs w:val="20"/>
          <w:lang w:val="en-AU"/>
        </w:rPr>
        <w:t xml:space="preserve"> 4(3), 31, 33(3)</w:t>
      </w:r>
      <w:r w:rsidR="00BD2050" w:rsidRPr="005D6811">
        <w:rPr>
          <w:rFonts w:ascii="Palatino Linotype" w:hAnsi="Palatino Linotype"/>
          <w:sz w:val="20"/>
          <w:szCs w:val="20"/>
          <w:lang w:val="en-AU"/>
        </w:rPr>
        <w:t>.</w:t>
      </w:r>
    </w:p>
  </w:footnote>
  <w:footnote w:id="10">
    <w:p w14:paraId="50E1B6B0" w14:textId="5698FD94" w:rsidR="00397932" w:rsidRPr="005D6811" w:rsidRDefault="00397932">
      <w:pPr>
        <w:pStyle w:val="FootnoteText"/>
        <w:rPr>
          <w:rFonts w:ascii="Palatino Linotype" w:hAnsi="Palatino Linotype"/>
          <w:sz w:val="20"/>
          <w:szCs w:val="20"/>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B12E21" w:rsidRPr="005D6811">
        <w:rPr>
          <w:rFonts w:ascii="Palatino Linotype" w:hAnsi="Palatino Linotype"/>
          <w:sz w:val="20"/>
          <w:szCs w:val="20"/>
        </w:rPr>
        <w:t xml:space="preserve">Adrian Evans, Anna Cody, Anna Copeland, Jeff Giddings, Peter Joy, Mary Anne </w:t>
      </w:r>
      <w:proofErr w:type="spellStart"/>
      <w:r w:rsidR="00B12E21" w:rsidRPr="005D6811">
        <w:rPr>
          <w:rFonts w:ascii="Palatino Linotype" w:hAnsi="Palatino Linotype"/>
          <w:sz w:val="20"/>
          <w:szCs w:val="20"/>
        </w:rPr>
        <w:t>Noone</w:t>
      </w:r>
      <w:proofErr w:type="spellEnd"/>
      <w:r w:rsidR="00B12E21" w:rsidRPr="005D6811">
        <w:rPr>
          <w:rFonts w:ascii="Palatino Linotype" w:hAnsi="Palatino Linotype"/>
          <w:sz w:val="20"/>
          <w:szCs w:val="20"/>
        </w:rPr>
        <w:t xml:space="preserve"> and Simon Rice, </w:t>
      </w:r>
      <w:r w:rsidR="00B12E21" w:rsidRPr="005D6811">
        <w:rPr>
          <w:rFonts w:ascii="Palatino Linotype" w:hAnsi="Palatino Linotype"/>
          <w:i/>
          <w:sz w:val="20"/>
          <w:szCs w:val="20"/>
        </w:rPr>
        <w:t>Australian Clinical Legal Education</w:t>
      </w:r>
      <w:r w:rsidR="00B12E21" w:rsidRPr="005D6811">
        <w:rPr>
          <w:rFonts w:ascii="Palatino Linotype" w:hAnsi="Palatino Linotype"/>
          <w:sz w:val="20"/>
          <w:szCs w:val="20"/>
        </w:rPr>
        <w:t xml:space="preserve"> (</w:t>
      </w:r>
      <w:r w:rsidR="00731C33" w:rsidRPr="005D6811">
        <w:rPr>
          <w:rFonts w:ascii="Palatino Linotype" w:hAnsi="Palatino Linotype"/>
          <w:sz w:val="20"/>
          <w:szCs w:val="20"/>
        </w:rPr>
        <w:t>ANU Press, 2017)</w:t>
      </w:r>
      <w:r w:rsidR="0006169D" w:rsidRPr="005D6811">
        <w:rPr>
          <w:rFonts w:ascii="Palatino Linotype" w:hAnsi="Palatino Linotype"/>
          <w:sz w:val="20"/>
          <w:szCs w:val="20"/>
        </w:rPr>
        <w:t xml:space="preserve"> </w:t>
      </w:r>
      <w:proofErr w:type="gramStart"/>
      <w:r w:rsidR="005A171E" w:rsidRPr="005D6811">
        <w:rPr>
          <w:rFonts w:ascii="Palatino Linotype" w:hAnsi="Palatino Linotype"/>
          <w:sz w:val="20"/>
          <w:szCs w:val="20"/>
        </w:rPr>
        <w:t>41</w:t>
      </w:r>
      <w:r w:rsidR="00715480" w:rsidRPr="005D6811">
        <w:rPr>
          <w:rFonts w:ascii="Palatino Linotype" w:hAnsi="Palatino Linotype"/>
          <w:sz w:val="20"/>
          <w:szCs w:val="20"/>
        </w:rPr>
        <w:t xml:space="preserve"> </w:t>
      </w:r>
      <w:r w:rsidR="00731C33" w:rsidRPr="005D6811">
        <w:rPr>
          <w:rFonts w:ascii="Palatino Linotype" w:hAnsi="Palatino Linotype"/>
          <w:sz w:val="20"/>
          <w:szCs w:val="20"/>
        </w:rPr>
        <w:t xml:space="preserve"> &lt;</w:t>
      </w:r>
      <w:proofErr w:type="gramEnd"/>
      <w:r w:rsidR="00731C33" w:rsidRPr="005D6811">
        <w:rPr>
          <w:rFonts w:ascii="Palatino Linotype" w:hAnsi="Palatino Linotype"/>
          <w:sz w:val="20"/>
          <w:szCs w:val="20"/>
        </w:rPr>
        <w:t>https://press.anu.edu.au/node/2366/download&gt;/</w:t>
      </w:r>
      <w:r w:rsidR="00D65C6D" w:rsidRPr="005D6811">
        <w:rPr>
          <w:rFonts w:ascii="Palatino Linotype" w:hAnsi="Palatino Linotype"/>
          <w:sz w:val="20"/>
          <w:szCs w:val="20"/>
        </w:rPr>
        <w:t>.</w:t>
      </w:r>
      <w:r w:rsidR="00B12E21" w:rsidRPr="005D6811">
        <w:rPr>
          <w:rFonts w:ascii="Palatino Linotype" w:hAnsi="Palatino Linotype"/>
          <w:sz w:val="20"/>
          <w:szCs w:val="20"/>
        </w:rPr>
        <w:t xml:space="preserve"> </w:t>
      </w:r>
    </w:p>
  </w:footnote>
  <w:footnote w:id="11">
    <w:p w14:paraId="3EB2D0A1" w14:textId="415615B9" w:rsidR="00715480" w:rsidRPr="005D6811" w:rsidRDefault="00715480">
      <w:pPr>
        <w:pStyle w:val="FootnoteText"/>
        <w:rPr>
          <w:rFonts w:ascii="Palatino Linotype" w:hAnsi="Palatino Linotype"/>
          <w:sz w:val="20"/>
          <w:szCs w:val="20"/>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Ibid.</w:t>
      </w:r>
    </w:p>
  </w:footnote>
  <w:footnote w:id="12">
    <w:p w14:paraId="56D0681C" w14:textId="7E1FE677" w:rsidR="00DE2212" w:rsidRPr="005D6811" w:rsidRDefault="00DE2212">
      <w:pPr>
        <w:pStyle w:val="FootnoteText"/>
        <w:rPr>
          <w:rFonts w:ascii="Palatino Linotype" w:hAnsi="Palatino Linotype"/>
          <w:i/>
          <w:sz w:val="20"/>
          <w:szCs w:val="20"/>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Ibid, </w:t>
      </w:r>
      <w:r w:rsidR="0087365E" w:rsidRPr="005D6811">
        <w:rPr>
          <w:rFonts w:ascii="Palatino Linotype" w:hAnsi="Palatino Linotype"/>
          <w:sz w:val="20"/>
          <w:szCs w:val="20"/>
        </w:rPr>
        <w:t xml:space="preserve">36 and citing Jeff Giddings, </w:t>
      </w:r>
      <w:r w:rsidR="0087365E" w:rsidRPr="005D6811">
        <w:rPr>
          <w:rFonts w:ascii="Palatino Linotype" w:hAnsi="Palatino Linotype"/>
          <w:i/>
          <w:sz w:val="20"/>
          <w:szCs w:val="20"/>
        </w:rPr>
        <w:t xml:space="preserve">Promoting Justice </w:t>
      </w:r>
      <w:proofErr w:type="gramStart"/>
      <w:r w:rsidR="0087365E" w:rsidRPr="005D6811">
        <w:rPr>
          <w:rFonts w:ascii="Palatino Linotype" w:hAnsi="Palatino Linotype"/>
          <w:i/>
          <w:sz w:val="20"/>
          <w:szCs w:val="20"/>
        </w:rPr>
        <w:t>Through</w:t>
      </w:r>
      <w:proofErr w:type="gramEnd"/>
      <w:r w:rsidR="0087365E" w:rsidRPr="005D6811">
        <w:rPr>
          <w:rFonts w:ascii="Palatino Linotype" w:hAnsi="Palatino Linotype"/>
          <w:i/>
          <w:sz w:val="20"/>
          <w:szCs w:val="20"/>
        </w:rPr>
        <w:t xml:space="preserve"> Clinical Legal Education</w:t>
      </w:r>
      <w:r w:rsidR="0087365E" w:rsidRPr="005D6811">
        <w:rPr>
          <w:rFonts w:ascii="Palatino Linotype" w:hAnsi="Palatino Linotype"/>
          <w:sz w:val="20"/>
          <w:szCs w:val="20"/>
        </w:rPr>
        <w:t xml:space="preserve"> (Justice Press, 2013) 39–73.</w:t>
      </w:r>
    </w:p>
  </w:footnote>
  <w:footnote w:id="13">
    <w:p w14:paraId="694DD01C" w14:textId="188BC308" w:rsidR="0030320C" w:rsidRPr="005D6811" w:rsidRDefault="0030320C">
      <w:pPr>
        <w:pStyle w:val="FootnoteText"/>
        <w:rPr>
          <w:rFonts w:ascii="Palatino Linotype" w:hAnsi="Palatino Linotype"/>
          <w:sz w:val="20"/>
          <w:szCs w:val="20"/>
          <w:lang w:val="en-US"/>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BD70CA" w:rsidRPr="005D6811">
        <w:rPr>
          <w:rFonts w:ascii="Palatino Linotype" w:hAnsi="Palatino Linotype"/>
          <w:sz w:val="20"/>
          <w:szCs w:val="20"/>
        </w:rPr>
        <w:t xml:space="preserve">Mike Oliver, ‘Changing the Social Relations of Research Production?’ </w:t>
      </w:r>
      <w:r w:rsidR="008116AE" w:rsidRPr="005D6811">
        <w:rPr>
          <w:rFonts w:ascii="Palatino Linotype" w:hAnsi="Palatino Linotype"/>
          <w:sz w:val="20"/>
          <w:szCs w:val="20"/>
        </w:rPr>
        <w:t>(1992) 7(2</w:t>
      </w:r>
      <w:r w:rsidR="008116AE" w:rsidRPr="005D6811">
        <w:rPr>
          <w:rFonts w:ascii="Palatino Linotype" w:hAnsi="Palatino Linotype"/>
          <w:i/>
          <w:sz w:val="20"/>
          <w:szCs w:val="20"/>
        </w:rPr>
        <w:t>)</w:t>
      </w:r>
      <w:r w:rsidR="008116AE" w:rsidRPr="005D6811">
        <w:rPr>
          <w:rFonts w:ascii="Palatino Linotype" w:hAnsi="Palatino Linotype"/>
          <w:sz w:val="20"/>
          <w:szCs w:val="20"/>
        </w:rPr>
        <w:t xml:space="preserve"> </w:t>
      </w:r>
      <w:r w:rsidR="008116AE" w:rsidRPr="005D6811">
        <w:rPr>
          <w:rFonts w:ascii="Palatino Linotype" w:hAnsi="Palatino Linotype"/>
          <w:i/>
          <w:sz w:val="20"/>
          <w:szCs w:val="20"/>
        </w:rPr>
        <w:t xml:space="preserve">Disability, Handicap &amp; Society </w:t>
      </w:r>
      <w:r w:rsidR="008116AE" w:rsidRPr="005D6811">
        <w:rPr>
          <w:rFonts w:ascii="Palatino Linotype" w:hAnsi="Palatino Linotype"/>
          <w:sz w:val="20"/>
          <w:szCs w:val="20"/>
        </w:rPr>
        <w:t xml:space="preserve">101–114 ; </w:t>
      </w:r>
      <w:r w:rsidRPr="005D6811">
        <w:rPr>
          <w:rFonts w:ascii="Palatino Linotype" w:hAnsi="Palatino Linotype"/>
          <w:sz w:val="20"/>
          <w:szCs w:val="20"/>
        </w:rPr>
        <w:t>Emma Stone and Mark Priestley, ‘Parasites, Pawns and Partners: Disability Research and the Role of Non-disabled Researchers’ (1996) 47(4) British Journal of Sociology 699</w:t>
      </w:r>
      <w:r w:rsidR="00E173BC" w:rsidRPr="005D6811">
        <w:rPr>
          <w:rFonts w:ascii="Palatino Linotype" w:hAnsi="Palatino Linotype"/>
          <w:sz w:val="20"/>
          <w:szCs w:val="20"/>
        </w:rPr>
        <w:t>–716</w:t>
      </w:r>
      <w:r w:rsidRPr="005D6811">
        <w:rPr>
          <w:rFonts w:ascii="Palatino Linotype" w:hAnsi="Palatino Linotype"/>
          <w:sz w:val="20"/>
          <w:szCs w:val="20"/>
        </w:rPr>
        <w:t xml:space="preserve">, </w:t>
      </w:r>
      <w:r w:rsidR="00533883" w:rsidRPr="005D6811">
        <w:rPr>
          <w:rFonts w:ascii="Palatino Linotype" w:hAnsi="Palatino Linotype"/>
          <w:sz w:val="20"/>
          <w:szCs w:val="20"/>
        </w:rPr>
        <w:t>700–701</w:t>
      </w:r>
      <w:r w:rsidR="0085509E" w:rsidRPr="005D6811">
        <w:rPr>
          <w:rFonts w:ascii="Palatino Linotype" w:hAnsi="Palatino Linotype"/>
          <w:sz w:val="20"/>
          <w:szCs w:val="20"/>
        </w:rPr>
        <w:t>;</w:t>
      </w:r>
      <w:r w:rsidR="004547D6" w:rsidRPr="005D6811">
        <w:rPr>
          <w:rFonts w:ascii="Palatino Linotype" w:hAnsi="Palatino Linotype"/>
          <w:sz w:val="20"/>
          <w:szCs w:val="20"/>
        </w:rPr>
        <w:t xml:space="preserve"> </w:t>
      </w:r>
      <w:r w:rsidR="000D0663" w:rsidRPr="005D6811">
        <w:rPr>
          <w:rFonts w:ascii="Palatino Linotype" w:hAnsi="Palatino Linotype"/>
          <w:sz w:val="20"/>
          <w:szCs w:val="20"/>
        </w:rPr>
        <w:t xml:space="preserve">Jan </w:t>
      </w:r>
      <w:proofErr w:type="spellStart"/>
      <w:r w:rsidR="004547D6" w:rsidRPr="005D6811">
        <w:rPr>
          <w:rFonts w:ascii="Palatino Linotype" w:hAnsi="Palatino Linotype"/>
          <w:sz w:val="20"/>
          <w:szCs w:val="20"/>
        </w:rPr>
        <w:t>Walmsley</w:t>
      </w:r>
      <w:proofErr w:type="spellEnd"/>
      <w:r w:rsidR="008B64CB" w:rsidRPr="005D6811">
        <w:rPr>
          <w:rFonts w:ascii="Palatino Linotype" w:hAnsi="Palatino Linotype"/>
          <w:sz w:val="20"/>
          <w:szCs w:val="20"/>
        </w:rPr>
        <w:t xml:space="preserve"> and</w:t>
      </w:r>
      <w:r w:rsidR="000D0663" w:rsidRPr="005D6811">
        <w:rPr>
          <w:rFonts w:ascii="Palatino Linotype" w:hAnsi="Palatino Linotype"/>
          <w:sz w:val="20"/>
          <w:szCs w:val="20"/>
        </w:rPr>
        <w:t xml:space="preserve"> Kelley</w:t>
      </w:r>
      <w:r w:rsidR="004547D6" w:rsidRPr="005D6811">
        <w:rPr>
          <w:rFonts w:ascii="Palatino Linotype" w:hAnsi="Palatino Linotype"/>
          <w:sz w:val="20"/>
          <w:szCs w:val="20"/>
        </w:rPr>
        <w:t xml:space="preserve"> Johnson, </w:t>
      </w:r>
      <w:r w:rsidR="004547D6" w:rsidRPr="005D6811">
        <w:rPr>
          <w:rFonts w:ascii="Palatino Linotype" w:hAnsi="Palatino Linotype"/>
          <w:i/>
          <w:sz w:val="20"/>
          <w:szCs w:val="20"/>
        </w:rPr>
        <w:t xml:space="preserve">Inclusive </w:t>
      </w:r>
      <w:r w:rsidR="000D0663" w:rsidRPr="005D6811">
        <w:rPr>
          <w:rFonts w:ascii="Palatino Linotype" w:hAnsi="Palatino Linotype"/>
          <w:i/>
          <w:sz w:val="20"/>
          <w:szCs w:val="20"/>
        </w:rPr>
        <w:t>R</w:t>
      </w:r>
      <w:r w:rsidR="004547D6" w:rsidRPr="005D6811">
        <w:rPr>
          <w:rFonts w:ascii="Palatino Linotype" w:hAnsi="Palatino Linotype"/>
          <w:i/>
          <w:sz w:val="20"/>
          <w:szCs w:val="20"/>
        </w:rPr>
        <w:t xml:space="preserve">esearch with </w:t>
      </w:r>
      <w:r w:rsidR="000D0663" w:rsidRPr="005D6811">
        <w:rPr>
          <w:rFonts w:ascii="Palatino Linotype" w:hAnsi="Palatino Linotype"/>
          <w:i/>
          <w:sz w:val="20"/>
          <w:szCs w:val="20"/>
        </w:rPr>
        <w:t>P</w:t>
      </w:r>
      <w:r w:rsidR="004547D6" w:rsidRPr="005D6811">
        <w:rPr>
          <w:rFonts w:ascii="Palatino Linotype" w:hAnsi="Palatino Linotype"/>
          <w:i/>
          <w:sz w:val="20"/>
          <w:szCs w:val="20"/>
        </w:rPr>
        <w:t xml:space="preserve">eople with </w:t>
      </w:r>
      <w:r w:rsidR="000D0663" w:rsidRPr="005D6811">
        <w:rPr>
          <w:rFonts w:ascii="Palatino Linotype" w:hAnsi="Palatino Linotype"/>
          <w:i/>
          <w:sz w:val="20"/>
          <w:szCs w:val="20"/>
        </w:rPr>
        <w:t>L</w:t>
      </w:r>
      <w:r w:rsidR="004547D6" w:rsidRPr="005D6811">
        <w:rPr>
          <w:rFonts w:ascii="Palatino Linotype" w:hAnsi="Palatino Linotype"/>
          <w:i/>
          <w:sz w:val="20"/>
          <w:szCs w:val="20"/>
        </w:rPr>
        <w:t xml:space="preserve">earning </w:t>
      </w:r>
      <w:r w:rsidR="000D0663" w:rsidRPr="005D6811">
        <w:rPr>
          <w:rFonts w:ascii="Palatino Linotype" w:hAnsi="Palatino Linotype"/>
          <w:i/>
          <w:sz w:val="20"/>
          <w:szCs w:val="20"/>
        </w:rPr>
        <w:t>D</w:t>
      </w:r>
      <w:r w:rsidR="004547D6" w:rsidRPr="005D6811">
        <w:rPr>
          <w:rFonts w:ascii="Palatino Linotype" w:hAnsi="Palatino Linotype"/>
          <w:i/>
          <w:sz w:val="20"/>
          <w:szCs w:val="20"/>
        </w:rPr>
        <w:t>isabilities</w:t>
      </w:r>
      <w:r w:rsidR="00B94B16" w:rsidRPr="005D6811">
        <w:rPr>
          <w:rFonts w:ascii="Palatino Linotype" w:hAnsi="Palatino Linotype"/>
          <w:i/>
          <w:sz w:val="20"/>
          <w:szCs w:val="20"/>
        </w:rPr>
        <w:t>:</w:t>
      </w:r>
      <w:r w:rsidR="008349B2" w:rsidRPr="005D6811">
        <w:rPr>
          <w:rFonts w:ascii="Palatino Linotype" w:hAnsi="Palatino Linotype"/>
          <w:i/>
          <w:sz w:val="20"/>
          <w:szCs w:val="20"/>
        </w:rPr>
        <w:t xml:space="preserve"> Past, </w:t>
      </w:r>
      <w:r w:rsidR="000D0663" w:rsidRPr="005D6811">
        <w:rPr>
          <w:rFonts w:ascii="Palatino Linotype" w:hAnsi="Palatino Linotype"/>
          <w:i/>
          <w:sz w:val="20"/>
          <w:szCs w:val="20"/>
        </w:rPr>
        <w:t>P</w:t>
      </w:r>
      <w:r w:rsidR="004547D6" w:rsidRPr="005D6811">
        <w:rPr>
          <w:rFonts w:ascii="Palatino Linotype" w:hAnsi="Palatino Linotype"/>
          <w:i/>
          <w:sz w:val="20"/>
          <w:szCs w:val="20"/>
        </w:rPr>
        <w:t xml:space="preserve">resent and </w:t>
      </w:r>
      <w:r w:rsidR="000D0663" w:rsidRPr="005D6811">
        <w:rPr>
          <w:rFonts w:ascii="Palatino Linotype" w:hAnsi="Palatino Linotype"/>
          <w:i/>
          <w:sz w:val="20"/>
          <w:szCs w:val="20"/>
        </w:rPr>
        <w:t>F</w:t>
      </w:r>
      <w:r w:rsidR="004547D6" w:rsidRPr="005D6811">
        <w:rPr>
          <w:rFonts w:ascii="Palatino Linotype" w:hAnsi="Palatino Linotype"/>
          <w:i/>
          <w:sz w:val="20"/>
          <w:szCs w:val="20"/>
        </w:rPr>
        <w:t>utures</w:t>
      </w:r>
      <w:r w:rsidR="004547D6" w:rsidRPr="005D6811">
        <w:rPr>
          <w:rFonts w:ascii="Palatino Linotype" w:hAnsi="Palatino Linotype"/>
          <w:sz w:val="20"/>
          <w:szCs w:val="20"/>
        </w:rPr>
        <w:t xml:space="preserve"> (J. Kingsley Publishers</w:t>
      </w:r>
      <w:r w:rsidR="000D0663" w:rsidRPr="005D6811">
        <w:rPr>
          <w:rFonts w:ascii="Palatino Linotype" w:hAnsi="Palatino Linotype"/>
          <w:sz w:val="20"/>
          <w:szCs w:val="20"/>
        </w:rPr>
        <w:t>, 2003).</w:t>
      </w:r>
    </w:p>
  </w:footnote>
  <w:footnote w:id="14">
    <w:p w14:paraId="19CD875E" w14:textId="01687306" w:rsidR="00C14E9B" w:rsidRPr="005D6811" w:rsidRDefault="00C14E9B" w:rsidP="00FE6697">
      <w:pPr>
        <w:pStyle w:val="FootnoteText"/>
        <w:rPr>
          <w:rFonts w:ascii="Palatino Linotype" w:hAnsi="Palatino Linotype"/>
          <w:sz w:val="20"/>
          <w:szCs w:val="20"/>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C61108" w:rsidRPr="005D6811">
        <w:rPr>
          <w:rFonts w:ascii="Palatino Linotype" w:hAnsi="Palatino Linotype"/>
          <w:i/>
          <w:sz w:val="20"/>
          <w:szCs w:val="20"/>
        </w:rPr>
        <w:t>CRPD</w:t>
      </w:r>
      <w:r w:rsidR="00C61108" w:rsidRPr="005D6811">
        <w:rPr>
          <w:rFonts w:ascii="Palatino Linotype" w:hAnsi="Palatino Linotype"/>
          <w:sz w:val="20"/>
          <w:szCs w:val="20"/>
        </w:rPr>
        <w:t xml:space="preserve"> Preamble para (e).</w:t>
      </w:r>
    </w:p>
  </w:footnote>
  <w:footnote w:id="15">
    <w:p w14:paraId="060E0AEE" w14:textId="6F22A8E7" w:rsidR="004A5768" w:rsidRPr="005D6811" w:rsidRDefault="00C14E9B" w:rsidP="004A5768">
      <w:pPr>
        <w:pStyle w:val="FootnoteText"/>
        <w:rPr>
          <w:rFonts w:ascii="Palatino Linotype" w:hAnsi="Palatino Linotype"/>
          <w:sz w:val="20"/>
          <w:szCs w:val="20"/>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4A5768" w:rsidRPr="005D6811">
        <w:rPr>
          <w:rFonts w:ascii="Palatino Linotype" w:hAnsi="Palatino Linotype"/>
          <w:sz w:val="20"/>
          <w:szCs w:val="20"/>
        </w:rPr>
        <w:t>World Health Organisation,</w:t>
      </w:r>
      <w:r w:rsidR="004A5768" w:rsidRPr="005D6811">
        <w:rPr>
          <w:rFonts w:ascii="Palatino Linotype" w:hAnsi="Palatino Linotype"/>
          <w:i/>
          <w:sz w:val="20"/>
          <w:szCs w:val="20"/>
        </w:rPr>
        <w:t xml:space="preserve"> Summary World Report on Disability</w:t>
      </w:r>
      <w:r w:rsidR="004A5768" w:rsidRPr="005D6811">
        <w:rPr>
          <w:rFonts w:ascii="Palatino Linotype" w:hAnsi="Palatino Linotype"/>
          <w:sz w:val="20"/>
          <w:szCs w:val="20"/>
        </w:rPr>
        <w:t xml:space="preserve"> (Report, World Health Organisation, 2011) 10-12</w:t>
      </w:r>
    </w:p>
    <w:p w14:paraId="7CCED79E" w14:textId="23C465A8" w:rsidR="00C14E9B" w:rsidRPr="005D6811" w:rsidRDefault="004A5768" w:rsidP="004A5768">
      <w:pPr>
        <w:pStyle w:val="FootnoteText"/>
        <w:rPr>
          <w:rFonts w:ascii="Palatino Linotype" w:hAnsi="Palatino Linotype"/>
          <w:sz w:val="20"/>
          <w:szCs w:val="20"/>
        </w:rPr>
      </w:pPr>
      <w:r w:rsidRPr="005D6811">
        <w:rPr>
          <w:rFonts w:ascii="Palatino Linotype" w:hAnsi="Palatino Linotype"/>
          <w:sz w:val="20"/>
          <w:szCs w:val="20"/>
        </w:rPr>
        <w:t>&lt;</w:t>
      </w:r>
      <w:hyperlink r:id="rId2" w:history="1">
        <w:r w:rsidRPr="005D6811">
          <w:rPr>
            <w:rStyle w:val="Hyperlink"/>
            <w:rFonts w:ascii="Palatino Linotype" w:hAnsi="Palatino Linotype"/>
            <w:sz w:val="20"/>
            <w:szCs w:val="20"/>
          </w:rPr>
          <w:t>http://apps.who.int/iris/bitstream/10665/70670/1/WHO_NMH_VIP_11.01_eng.pdf/</w:t>
        </w:r>
      </w:hyperlink>
      <w:r w:rsidRPr="005D6811">
        <w:rPr>
          <w:rFonts w:ascii="Palatino Linotype" w:hAnsi="Palatino Linotype"/>
          <w:sz w:val="20"/>
          <w:szCs w:val="20"/>
        </w:rPr>
        <w:t>&gt;.</w:t>
      </w:r>
    </w:p>
  </w:footnote>
  <w:footnote w:id="16">
    <w:p w14:paraId="590EA9F6" w14:textId="407CADFB" w:rsidR="006C4486" w:rsidRPr="005D6811" w:rsidRDefault="006C4486">
      <w:pPr>
        <w:pStyle w:val="FootnoteText"/>
        <w:rPr>
          <w:rFonts w:ascii="Palatino Linotype" w:hAnsi="Palatino Linotype"/>
          <w:sz w:val="20"/>
          <w:szCs w:val="20"/>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See for example Australian Government, </w:t>
      </w:r>
      <w:r w:rsidRPr="005D6811">
        <w:rPr>
          <w:rFonts w:ascii="Palatino Linotype" w:hAnsi="Palatino Linotype"/>
          <w:i/>
          <w:sz w:val="20"/>
          <w:szCs w:val="20"/>
        </w:rPr>
        <w:t>Shut Out: the Experience of People with Disabilities and their Families in Australia</w:t>
      </w:r>
      <w:r w:rsidRPr="005D6811">
        <w:rPr>
          <w:rFonts w:ascii="Palatino Linotype" w:hAnsi="Palatino Linotype"/>
          <w:sz w:val="20"/>
          <w:szCs w:val="20"/>
        </w:rPr>
        <w:t xml:space="preserve"> (National Disability Strategy Consultation Report, Commonwealth of Australia, 2009)</w:t>
      </w:r>
      <w:r w:rsidR="00A57B9A" w:rsidRPr="005D6811">
        <w:rPr>
          <w:rFonts w:ascii="Palatino Linotype" w:hAnsi="Palatino Linotype"/>
          <w:sz w:val="20"/>
          <w:szCs w:val="20"/>
        </w:rPr>
        <w:t xml:space="preserve"> &lt;</w:t>
      </w:r>
      <w:hyperlink r:id="rId3" w:history="1">
        <w:r w:rsidR="00A57B9A" w:rsidRPr="005D6811">
          <w:rPr>
            <w:rStyle w:val="Hyperlink"/>
            <w:rFonts w:ascii="Palatino Linotype" w:hAnsi="Palatino Linotype"/>
            <w:sz w:val="20"/>
            <w:szCs w:val="20"/>
          </w:rPr>
          <w:t>https://www.dss.gov.au/our-responsibilities/disability-and-carers/publications-articles/policy-research/shut-out-the-experience-of-people-with-disabilities-and-their-families-in-australia</w:t>
        </w:r>
      </w:hyperlink>
      <w:r w:rsidR="00A57B9A" w:rsidRPr="005D6811">
        <w:rPr>
          <w:rFonts w:ascii="Palatino Linotype" w:hAnsi="Palatino Linotype"/>
          <w:sz w:val="20"/>
          <w:szCs w:val="20"/>
        </w:rPr>
        <w:t xml:space="preserve">&gt; </w:t>
      </w:r>
      <w:r w:rsidRPr="005D6811">
        <w:rPr>
          <w:rFonts w:ascii="Palatino Linotype" w:hAnsi="Palatino Linotype"/>
          <w:sz w:val="20"/>
          <w:szCs w:val="20"/>
        </w:rPr>
        <w:t xml:space="preserve">; </w:t>
      </w:r>
    </w:p>
    <w:p w14:paraId="70DC7C76" w14:textId="354BF017" w:rsidR="00017499" w:rsidRPr="005D6811" w:rsidRDefault="00017499">
      <w:pPr>
        <w:pStyle w:val="FootnoteText"/>
        <w:rPr>
          <w:rFonts w:ascii="Palatino Linotype" w:hAnsi="Palatino Linotype"/>
          <w:sz w:val="20"/>
          <w:szCs w:val="20"/>
          <w:lang w:val="en-AU"/>
        </w:rPr>
      </w:pPr>
      <w:r w:rsidRPr="005D6811">
        <w:rPr>
          <w:rFonts w:ascii="Palatino Linotype" w:hAnsi="Palatino Linotype"/>
          <w:sz w:val="20"/>
          <w:szCs w:val="20"/>
          <w:lang w:val="en-US"/>
        </w:rPr>
        <w:t xml:space="preserve">Committee on the Rights of Persons with Disabilities, </w:t>
      </w:r>
      <w:r w:rsidRPr="005D6811">
        <w:rPr>
          <w:rFonts w:ascii="Palatino Linotype" w:hAnsi="Palatino Linotype"/>
          <w:i/>
          <w:sz w:val="20"/>
          <w:szCs w:val="20"/>
          <w:lang w:val="en-US"/>
        </w:rPr>
        <w:t>Concluding Observations on the Initial Periodic Report of Montenegro</w:t>
      </w:r>
      <w:r w:rsidRPr="005D6811">
        <w:rPr>
          <w:rFonts w:ascii="Palatino Linotype" w:hAnsi="Palatino Linotype"/>
          <w:sz w:val="20"/>
          <w:szCs w:val="20"/>
          <w:lang w:val="en-US"/>
        </w:rPr>
        <w:t xml:space="preserve">, </w:t>
      </w:r>
      <w:r w:rsidR="00360811" w:rsidRPr="005D6811">
        <w:rPr>
          <w:rFonts w:ascii="Palatino Linotype" w:hAnsi="Palatino Linotype"/>
          <w:sz w:val="20"/>
          <w:szCs w:val="20"/>
          <w:lang w:val="en-US"/>
        </w:rPr>
        <w:t>1</w:t>
      </w:r>
      <w:r w:rsidRPr="005D6811">
        <w:rPr>
          <w:rFonts w:ascii="Palatino Linotype" w:hAnsi="Palatino Linotype"/>
          <w:sz w:val="20"/>
          <w:szCs w:val="20"/>
          <w:lang w:val="en-US"/>
        </w:rPr>
        <w:t>8</w:t>
      </w:r>
      <w:r w:rsidRPr="005D6811">
        <w:rPr>
          <w:rFonts w:ascii="Palatino Linotype" w:hAnsi="Palatino Linotype"/>
          <w:sz w:val="20"/>
          <w:szCs w:val="20"/>
          <w:vertAlign w:val="superscript"/>
          <w:lang w:val="en-US"/>
        </w:rPr>
        <w:t>th</w:t>
      </w:r>
      <w:r w:rsidRPr="005D6811">
        <w:rPr>
          <w:rFonts w:ascii="Palatino Linotype" w:hAnsi="Palatino Linotype"/>
          <w:sz w:val="20"/>
          <w:szCs w:val="20"/>
          <w:lang w:val="en-US"/>
        </w:rPr>
        <w:t xml:space="preserve"> </w:t>
      </w:r>
      <w:proofErr w:type="spellStart"/>
      <w:r w:rsidRPr="005D6811">
        <w:rPr>
          <w:rFonts w:ascii="Palatino Linotype" w:hAnsi="Palatino Linotype"/>
          <w:sz w:val="20"/>
          <w:szCs w:val="20"/>
          <w:lang w:val="en-US"/>
        </w:rPr>
        <w:t>sess</w:t>
      </w:r>
      <w:proofErr w:type="spellEnd"/>
      <w:r w:rsidRPr="005D6811">
        <w:rPr>
          <w:rFonts w:ascii="Palatino Linotype" w:hAnsi="Palatino Linotype"/>
          <w:sz w:val="20"/>
          <w:szCs w:val="20"/>
          <w:lang w:val="en-US"/>
        </w:rPr>
        <w:t>, UN Doc CRPD/C/MNE/CO/1 (22 September 2017</w:t>
      </w:r>
      <w:r w:rsidR="00360811" w:rsidRPr="005D6811">
        <w:rPr>
          <w:rFonts w:ascii="Palatino Linotype" w:hAnsi="Palatino Linotype"/>
          <w:sz w:val="20"/>
          <w:szCs w:val="20"/>
          <w:lang w:val="en-US"/>
        </w:rPr>
        <w:t>) para</w:t>
      </w:r>
      <w:r w:rsidR="007B7B34" w:rsidRPr="005D6811">
        <w:rPr>
          <w:rFonts w:ascii="Palatino Linotype" w:hAnsi="Palatino Linotype"/>
          <w:sz w:val="20"/>
          <w:szCs w:val="20"/>
          <w:lang w:val="en-US"/>
        </w:rPr>
        <w:t>s 14,</w:t>
      </w:r>
      <w:r w:rsidR="00360811" w:rsidRPr="005D6811">
        <w:rPr>
          <w:rFonts w:ascii="Palatino Linotype" w:hAnsi="Palatino Linotype"/>
          <w:sz w:val="20"/>
          <w:szCs w:val="20"/>
          <w:lang w:val="en-US"/>
        </w:rPr>
        <w:t xml:space="preserve"> 36(c)</w:t>
      </w:r>
      <w:r w:rsidRPr="005D6811">
        <w:rPr>
          <w:rFonts w:ascii="Palatino Linotype" w:hAnsi="Palatino Linotype"/>
          <w:sz w:val="20"/>
          <w:szCs w:val="20"/>
          <w:lang w:val="en-US"/>
        </w:rPr>
        <w:t>;</w:t>
      </w:r>
      <w:r w:rsidR="00360811" w:rsidRPr="005D6811">
        <w:rPr>
          <w:rFonts w:ascii="Palatino Linotype" w:hAnsi="Palatino Linotype"/>
          <w:sz w:val="20"/>
          <w:szCs w:val="20"/>
          <w:lang w:val="en-US"/>
        </w:rPr>
        <w:t xml:space="preserve"> Committee on the Rights of Persons with Disabilities, </w:t>
      </w:r>
      <w:r w:rsidR="00360811" w:rsidRPr="005D6811">
        <w:rPr>
          <w:rFonts w:ascii="Palatino Linotype" w:hAnsi="Palatino Linotype"/>
          <w:i/>
          <w:sz w:val="20"/>
          <w:szCs w:val="20"/>
          <w:lang w:val="en-US"/>
        </w:rPr>
        <w:t>Concluding Observations on the Initial Report of Luxembourg</w:t>
      </w:r>
      <w:r w:rsidR="00360811" w:rsidRPr="005D6811">
        <w:rPr>
          <w:rFonts w:ascii="Palatino Linotype" w:hAnsi="Palatino Linotype"/>
          <w:sz w:val="20"/>
          <w:szCs w:val="20"/>
          <w:lang w:val="en-US"/>
        </w:rPr>
        <w:t>, 18</w:t>
      </w:r>
      <w:r w:rsidR="00360811" w:rsidRPr="005D6811">
        <w:rPr>
          <w:rFonts w:ascii="Palatino Linotype" w:hAnsi="Palatino Linotype"/>
          <w:sz w:val="20"/>
          <w:szCs w:val="20"/>
          <w:vertAlign w:val="superscript"/>
          <w:lang w:val="en-US"/>
        </w:rPr>
        <w:t>th</w:t>
      </w:r>
      <w:r w:rsidR="00360811" w:rsidRPr="005D6811">
        <w:rPr>
          <w:rFonts w:ascii="Palatino Linotype" w:hAnsi="Palatino Linotype"/>
          <w:sz w:val="20"/>
          <w:szCs w:val="20"/>
          <w:lang w:val="en-US"/>
        </w:rPr>
        <w:t xml:space="preserve"> </w:t>
      </w:r>
      <w:proofErr w:type="spellStart"/>
      <w:r w:rsidR="00360811" w:rsidRPr="005D6811">
        <w:rPr>
          <w:rFonts w:ascii="Palatino Linotype" w:hAnsi="Palatino Linotype"/>
          <w:sz w:val="20"/>
          <w:szCs w:val="20"/>
          <w:lang w:val="en-US"/>
        </w:rPr>
        <w:t>sess</w:t>
      </w:r>
      <w:proofErr w:type="spellEnd"/>
      <w:r w:rsidR="00360811" w:rsidRPr="005D6811">
        <w:rPr>
          <w:rFonts w:ascii="Palatino Linotype" w:hAnsi="Palatino Linotype"/>
          <w:sz w:val="20"/>
          <w:szCs w:val="20"/>
          <w:lang w:val="en-US"/>
        </w:rPr>
        <w:t>, UN Do</w:t>
      </w:r>
      <w:r w:rsidR="004A5C91" w:rsidRPr="005D6811">
        <w:rPr>
          <w:rFonts w:ascii="Palatino Linotype" w:hAnsi="Palatino Linotype"/>
          <w:sz w:val="20"/>
          <w:szCs w:val="20"/>
          <w:lang w:val="en-US"/>
        </w:rPr>
        <w:t>c CRPD/C/LUX</w:t>
      </w:r>
      <w:r w:rsidR="00360811" w:rsidRPr="005D6811">
        <w:rPr>
          <w:rFonts w:ascii="Palatino Linotype" w:hAnsi="Palatino Linotype"/>
          <w:sz w:val="20"/>
          <w:szCs w:val="20"/>
          <w:lang w:val="en-US"/>
        </w:rPr>
        <w:t>/CO/1 (</w:t>
      </w:r>
      <w:r w:rsidR="004A5C91" w:rsidRPr="005D6811">
        <w:rPr>
          <w:rFonts w:ascii="Palatino Linotype" w:hAnsi="Palatino Linotype"/>
          <w:sz w:val="20"/>
          <w:szCs w:val="20"/>
          <w:lang w:val="en-US"/>
        </w:rPr>
        <w:t xml:space="preserve">10 October </w:t>
      </w:r>
      <w:r w:rsidR="00360811" w:rsidRPr="005D6811">
        <w:rPr>
          <w:rFonts w:ascii="Palatino Linotype" w:hAnsi="Palatino Linotype"/>
          <w:sz w:val="20"/>
          <w:szCs w:val="20"/>
          <w:lang w:val="en-US"/>
        </w:rPr>
        <w:t xml:space="preserve">2017) </w:t>
      </w:r>
      <w:r w:rsidR="004A5C91" w:rsidRPr="005D6811">
        <w:rPr>
          <w:rFonts w:ascii="Palatino Linotype" w:hAnsi="Palatino Linotype"/>
          <w:sz w:val="20"/>
          <w:szCs w:val="20"/>
          <w:lang w:val="en-US"/>
        </w:rPr>
        <w:t>para</w:t>
      </w:r>
      <w:r w:rsidR="007B7B34" w:rsidRPr="005D6811">
        <w:rPr>
          <w:rFonts w:ascii="Palatino Linotype" w:hAnsi="Palatino Linotype"/>
          <w:sz w:val="20"/>
          <w:szCs w:val="20"/>
          <w:lang w:val="en-US"/>
        </w:rPr>
        <w:t>s</w:t>
      </w:r>
      <w:r w:rsidR="004A5C91" w:rsidRPr="005D6811">
        <w:rPr>
          <w:rFonts w:ascii="Palatino Linotype" w:hAnsi="Palatino Linotype"/>
          <w:sz w:val="20"/>
          <w:szCs w:val="20"/>
          <w:lang w:val="en-US"/>
        </w:rPr>
        <w:t xml:space="preserve"> 42</w:t>
      </w:r>
      <w:r w:rsidR="007B7B34" w:rsidRPr="005D6811">
        <w:rPr>
          <w:rFonts w:ascii="Palatino Linotype" w:hAnsi="Palatino Linotype"/>
          <w:sz w:val="20"/>
          <w:szCs w:val="20"/>
          <w:lang w:val="en-US"/>
        </w:rPr>
        <w:t>, 48</w:t>
      </w:r>
      <w:r w:rsidR="004A5C91" w:rsidRPr="005D6811">
        <w:rPr>
          <w:rFonts w:ascii="Palatino Linotype" w:hAnsi="Palatino Linotype"/>
          <w:sz w:val="20"/>
          <w:szCs w:val="20"/>
          <w:lang w:val="en-US"/>
        </w:rPr>
        <w:t xml:space="preserve">; </w:t>
      </w:r>
      <w:r w:rsidR="006B2F12" w:rsidRPr="005D6811">
        <w:rPr>
          <w:rFonts w:ascii="Palatino Linotype" w:hAnsi="Palatino Linotype"/>
          <w:sz w:val="20"/>
          <w:szCs w:val="20"/>
          <w:lang w:val="en-US"/>
        </w:rPr>
        <w:t xml:space="preserve">Committee on the Rights of Persons with Disabilities, </w:t>
      </w:r>
      <w:r w:rsidR="006B2F12" w:rsidRPr="005D6811">
        <w:rPr>
          <w:rFonts w:ascii="Palatino Linotype" w:hAnsi="Palatino Linotype"/>
          <w:i/>
          <w:sz w:val="20"/>
          <w:szCs w:val="20"/>
          <w:lang w:val="en-US"/>
        </w:rPr>
        <w:t xml:space="preserve">Concluding Observations on the Initial Report of Serbia, </w:t>
      </w:r>
      <w:r w:rsidR="006B2F12" w:rsidRPr="005D6811">
        <w:rPr>
          <w:rFonts w:ascii="Palatino Linotype" w:hAnsi="Palatino Linotype"/>
          <w:sz w:val="20"/>
          <w:szCs w:val="20"/>
          <w:lang w:val="en-US"/>
        </w:rPr>
        <w:t>1</w:t>
      </w:r>
      <w:r w:rsidR="001B3C28" w:rsidRPr="005D6811">
        <w:rPr>
          <w:rFonts w:ascii="Palatino Linotype" w:hAnsi="Palatino Linotype"/>
          <w:sz w:val="20"/>
          <w:szCs w:val="20"/>
          <w:lang w:val="en-US"/>
        </w:rPr>
        <w:t>5</w:t>
      </w:r>
      <w:r w:rsidR="006B2F12" w:rsidRPr="005D6811">
        <w:rPr>
          <w:rFonts w:ascii="Palatino Linotype" w:hAnsi="Palatino Linotype"/>
          <w:sz w:val="20"/>
          <w:szCs w:val="20"/>
          <w:vertAlign w:val="superscript"/>
          <w:lang w:val="en-US"/>
        </w:rPr>
        <w:t>th</w:t>
      </w:r>
      <w:r w:rsidR="006B2F12" w:rsidRPr="005D6811">
        <w:rPr>
          <w:rFonts w:ascii="Palatino Linotype" w:hAnsi="Palatino Linotype"/>
          <w:sz w:val="20"/>
          <w:szCs w:val="20"/>
          <w:lang w:val="en-US"/>
        </w:rPr>
        <w:t xml:space="preserve"> </w:t>
      </w:r>
      <w:proofErr w:type="spellStart"/>
      <w:r w:rsidR="006B2F12" w:rsidRPr="005D6811">
        <w:rPr>
          <w:rFonts w:ascii="Palatino Linotype" w:hAnsi="Palatino Linotype"/>
          <w:sz w:val="20"/>
          <w:szCs w:val="20"/>
          <w:lang w:val="en-US"/>
        </w:rPr>
        <w:t>sess</w:t>
      </w:r>
      <w:proofErr w:type="spellEnd"/>
      <w:r w:rsidR="006B2F12" w:rsidRPr="005D6811">
        <w:rPr>
          <w:rFonts w:ascii="Palatino Linotype" w:hAnsi="Palatino Linotype"/>
          <w:sz w:val="20"/>
          <w:szCs w:val="20"/>
          <w:lang w:val="en-US"/>
        </w:rPr>
        <w:t>, UN Do</w:t>
      </w:r>
      <w:r w:rsidR="00325629" w:rsidRPr="005D6811">
        <w:rPr>
          <w:rFonts w:ascii="Palatino Linotype" w:hAnsi="Palatino Linotype"/>
          <w:sz w:val="20"/>
          <w:szCs w:val="20"/>
          <w:lang w:val="en-US"/>
        </w:rPr>
        <w:t>c CRPD/C/SRB</w:t>
      </w:r>
      <w:r w:rsidR="006B2F12" w:rsidRPr="005D6811">
        <w:rPr>
          <w:rFonts w:ascii="Palatino Linotype" w:hAnsi="Palatino Linotype"/>
          <w:sz w:val="20"/>
          <w:szCs w:val="20"/>
          <w:lang w:val="en-US"/>
        </w:rPr>
        <w:t>/CO/1 (</w:t>
      </w:r>
      <w:r w:rsidR="00325629" w:rsidRPr="005D6811">
        <w:rPr>
          <w:rFonts w:ascii="Palatino Linotype" w:hAnsi="Palatino Linotype"/>
          <w:sz w:val="20"/>
          <w:szCs w:val="20"/>
          <w:lang w:val="en-US"/>
        </w:rPr>
        <w:t>21 April</w:t>
      </w:r>
      <w:r w:rsidR="006B2F12" w:rsidRPr="005D6811">
        <w:rPr>
          <w:rFonts w:ascii="Palatino Linotype" w:hAnsi="Palatino Linotype"/>
          <w:sz w:val="20"/>
          <w:szCs w:val="20"/>
          <w:lang w:val="en-US"/>
        </w:rPr>
        <w:t xml:space="preserve"> 201</w:t>
      </w:r>
      <w:r w:rsidR="00325629" w:rsidRPr="005D6811">
        <w:rPr>
          <w:rFonts w:ascii="Palatino Linotype" w:hAnsi="Palatino Linotype"/>
          <w:sz w:val="20"/>
          <w:szCs w:val="20"/>
          <w:lang w:val="en-US"/>
        </w:rPr>
        <w:t>6</w:t>
      </w:r>
      <w:r w:rsidR="006B2F12" w:rsidRPr="005D6811">
        <w:rPr>
          <w:rFonts w:ascii="Palatino Linotype" w:hAnsi="Palatino Linotype"/>
          <w:sz w:val="20"/>
          <w:szCs w:val="20"/>
          <w:lang w:val="en-US"/>
        </w:rPr>
        <w:t>) para</w:t>
      </w:r>
      <w:r w:rsidR="00E05043" w:rsidRPr="005D6811">
        <w:rPr>
          <w:rFonts w:ascii="Palatino Linotype" w:hAnsi="Palatino Linotype"/>
          <w:sz w:val="20"/>
          <w:szCs w:val="20"/>
          <w:lang w:val="en-US"/>
        </w:rPr>
        <w:t xml:space="preserve"> 13; Committee on the Rights of Persons with Disabilities, </w:t>
      </w:r>
      <w:r w:rsidR="00E05043" w:rsidRPr="005D6811">
        <w:rPr>
          <w:rFonts w:ascii="Palatino Linotype" w:hAnsi="Palatino Linotype"/>
          <w:i/>
          <w:sz w:val="20"/>
          <w:szCs w:val="20"/>
          <w:lang w:val="en-US"/>
        </w:rPr>
        <w:t>Concluding Observations on the Initial Report of the European Union</w:t>
      </w:r>
      <w:r w:rsidR="00E05043" w:rsidRPr="005D6811">
        <w:rPr>
          <w:rFonts w:ascii="Palatino Linotype" w:hAnsi="Palatino Linotype"/>
          <w:sz w:val="20"/>
          <w:szCs w:val="20"/>
          <w:lang w:val="en-US"/>
        </w:rPr>
        <w:t>, 14</w:t>
      </w:r>
      <w:r w:rsidR="00E05043" w:rsidRPr="005D6811">
        <w:rPr>
          <w:rFonts w:ascii="Palatino Linotype" w:hAnsi="Palatino Linotype"/>
          <w:sz w:val="20"/>
          <w:szCs w:val="20"/>
          <w:vertAlign w:val="superscript"/>
          <w:lang w:val="en-US"/>
        </w:rPr>
        <w:t>th</w:t>
      </w:r>
      <w:r w:rsidR="00E05043" w:rsidRPr="005D6811">
        <w:rPr>
          <w:rFonts w:ascii="Palatino Linotype" w:hAnsi="Palatino Linotype"/>
          <w:sz w:val="20"/>
          <w:szCs w:val="20"/>
          <w:lang w:val="en-US"/>
        </w:rPr>
        <w:t xml:space="preserve"> </w:t>
      </w:r>
      <w:proofErr w:type="spellStart"/>
      <w:r w:rsidR="00E05043" w:rsidRPr="005D6811">
        <w:rPr>
          <w:rFonts w:ascii="Palatino Linotype" w:hAnsi="Palatino Linotype"/>
          <w:sz w:val="20"/>
          <w:szCs w:val="20"/>
          <w:lang w:val="en-US"/>
        </w:rPr>
        <w:t>sess</w:t>
      </w:r>
      <w:proofErr w:type="spellEnd"/>
      <w:r w:rsidR="00E05043" w:rsidRPr="005D6811">
        <w:rPr>
          <w:rFonts w:ascii="Palatino Linotype" w:hAnsi="Palatino Linotype"/>
          <w:sz w:val="20"/>
          <w:szCs w:val="20"/>
          <w:lang w:val="en-US"/>
        </w:rPr>
        <w:t>, UN Doc CRPD/C/EU/CO/1 (2 October 2015) para 22.</w:t>
      </w:r>
    </w:p>
  </w:footnote>
  <w:footnote w:id="17">
    <w:p w14:paraId="2C29BFA2" w14:textId="71EE3FE4" w:rsidR="008A1699" w:rsidRPr="005D6811" w:rsidRDefault="008A1699">
      <w:pPr>
        <w:pStyle w:val="FootnoteText"/>
        <w:rPr>
          <w:rFonts w:ascii="Palatino Linotype" w:hAnsi="Palatino Linotype"/>
          <w:sz w:val="20"/>
          <w:szCs w:val="20"/>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E56166" w:rsidRPr="005D6811">
        <w:rPr>
          <w:rFonts w:ascii="Palatino Linotype" w:hAnsi="Palatino Linotype"/>
          <w:sz w:val="20"/>
          <w:szCs w:val="20"/>
        </w:rPr>
        <w:t xml:space="preserve">Jenny Morris, ‘Independent Living and Community Care: A Disempowering Framework’ (2004) 19(5) </w:t>
      </w:r>
      <w:r w:rsidR="00E56166" w:rsidRPr="005D6811">
        <w:rPr>
          <w:rFonts w:ascii="Palatino Linotype" w:hAnsi="Palatino Linotype"/>
          <w:i/>
          <w:sz w:val="20"/>
          <w:szCs w:val="20"/>
        </w:rPr>
        <w:t>Disability &amp; Society</w:t>
      </w:r>
      <w:r w:rsidR="00E56166" w:rsidRPr="005D6811">
        <w:rPr>
          <w:rFonts w:ascii="Palatino Linotype" w:hAnsi="Palatino Linotype"/>
          <w:sz w:val="20"/>
          <w:szCs w:val="20"/>
        </w:rPr>
        <w:t xml:space="preserve"> 427–442, 431–2.</w:t>
      </w:r>
    </w:p>
  </w:footnote>
  <w:footnote w:id="18">
    <w:p w14:paraId="5D9879FC" w14:textId="74B64DE0" w:rsidR="00565217" w:rsidRPr="005D6811" w:rsidRDefault="00565217">
      <w:pPr>
        <w:pStyle w:val="FootnoteText"/>
        <w:rPr>
          <w:rFonts w:ascii="Palatino Linotype" w:hAnsi="Palatino Linotype"/>
          <w:sz w:val="20"/>
          <w:szCs w:val="20"/>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Pr="005D6811">
        <w:rPr>
          <w:rFonts w:ascii="Palatino Linotype" w:hAnsi="Palatino Linotype"/>
          <w:sz w:val="20"/>
          <w:szCs w:val="20"/>
          <w:lang w:val="en-US"/>
        </w:rPr>
        <w:t xml:space="preserve">Committee on the Rights of Persons with Disabilities, </w:t>
      </w:r>
      <w:r w:rsidRPr="005D6811">
        <w:rPr>
          <w:rFonts w:ascii="Palatino Linotype" w:hAnsi="Palatino Linotype"/>
          <w:i/>
          <w:sz w:val="20"/>
          <w:szCs w:val="20"/>
          <w:lang w:val="en-US"/>
        </w:rPr>
        <w:t xml:space="preserve">General Comment No 1: Article 12: Equal Recognition </w:t>
      </w:r>
      <w:proofErr w:type="gramStart"/>
      <w:r w:rsidRPr="005D6811">
        <w:rPr>
          <w:rFonts w:ascii="Palatino Linotype" w:hAnsi="Palatino Linotype"/>
          <w:i/>
          <w:sz w:val="20"/>
          <w:szCs w:val="20"/>
          <w:lang w:val="en-US"/>
        </w:rPr>
        <w:t>Before</w:t>
      </w:r>
      <w:proofErr w:type="gramEnd"/>
      <w:r w:rsidRPr="005D6811">
        <w:rPr>
          <w:rFonts w:ascii="Palatino Linotype" w:hAnsi="Palatino Linotype"/>
          <w:i/>
          <w:sz w:val="20"/>
          <w:szCs w:val="20"/>
          <w:lang w:val="en-US"/>
        </w:rPr>
        <w:t xml:space="preserve"> the Law</w:t>
      </w:r>
      <w:r w:rsidRPr="005D6811">
        <w:rPr>
          <w:rFonts w:ascii="Palatino Linotype" w:hAnsi="Palatino Linotype"/>
          <w:sz w:val="20"/>
          <w:szCs w:val="20"/>
          <w:lang w:val="en-US"/>
        </w:rPr>
        <w:t>, 11</w:t>
      </w:r>
      <w:r w:rsidRPr="005D6811">
        <w:rPr>
          <w:rFonts w:ascii="Palatino Linotype" w:hAnsi="Palatino Linotype"/>
          <w:sz w:val="20"/>
          <w:szCs w:val="20"/>
          <w:vertAlign w:val="superscript"/>
          <w:lang w:val="en-US"/>
        </w:rPr>
        <w:t>th</w:t>
      </w:r>
      <w:r w:rsidRPr="005D6811">
        <w:rPr>
          <w:rFonts w:ascii="Palatino Linotype" w:hAnsi="Palatino Linotype"/>
          <w:sz w:val="20"/>
          <w:szCs w:val="20"/>
          <w:lang w:val="en-US"/>
        </w:rPr>
        <w:t xml:space="preserve"> </w:t>
      </w:r>
      <w:proofErr w:type="spellStart"/>
      <w:r w:rsidRPr="005D6811">
        <w:rPr>
          <w:rFonts w:ascii="Palatino Linotype" w:hAnsi="Palatino Linotype"/>
          <w:sz w:val="20"/>
          <w:szCs w:val="20"/>
          <w:lang w:val="en-US"/>
        </w:rPr>
        <w:t>sess</w:t>
      </w:r>
      <w:proofErr w:type="spellEnd"/>
      <w:r w:rsidRPr="005D6811">
        <w:rPr>
          <w:rFonts w:ascii="Palatino Linotype" w:hAnsi="Palatino Linotype"/>
          <w:sz w:val="20"/>
          <w:szCs w:val="20"/>
          <w:lang w:val="en-US"/>
        </w:rPr>
        <w:t>, UN Doc CRPD/C/GC/1 (19 May 2014)</w:t>
      </w:r>
      <w:r w:rsidR="00EA2CA3" w:rsidRPr="005D6811">
        <w:rPr>
          <w:rFonts w:ascii="Palatino Linotype" w:hAnsi="Palatino Linotype"/>
          <w:sz w:val="20"/>
          <w:szCs w:val="20"/>
          <w:lang w:val="en-US"/>
        </w:rPr>
        <w:t xml:space="preserve"> para 8</w:t>
      </w:r>
      <w:r w:rsidRPr="005D6811">
        <w:rPr>
          <w:rFonts w:ascii="Palatino Linotype" w:hAnsi="Palatino Linotype"/>
          <w:sz w:val="20"/>
          <w:szCs w:val="20"/>
          <w:lang w:val="en-US"/>
        </w:rPr>
        <w:t>.</w:t>
      </w:r>
      <w:r w:rsidR="00016AB8" w:rsidRPr="005D6811">
        <w:rPr>
          <w:rFonts w:ascii="Palatino Linotype" w:hAnsi="Palatino Linotype"/>
          <w:sz w:val="20"/>
          <w:szCs w:val="20"/>
          <w:lang w:val="en-US"/>
        </w:rPr>
        <w:t xml:space="preserve"> </w:t>
      </w:r>
      <w:r w:rsidR="00016AB8" w:rsidRPr="005D6811">
        <w:rPr>
          <w:rFonts w:ascii="Palatino Linotype" w:hAnsi="Palatino Linotype"/>
          <w:sz w:val="20"/>
          <w:szCs w:val="20"/>
        </w:rPr>
        <w:t xml:space="preserve">For a discussion, see </w:t>
      </w:r>
      <w:r w:rsidR="004779DE" w:rsidRPr="005D6811">
        <w:rPr>
          <w:rFonts w:ascii="Palatino Linotype" w:hAnsi="Palatino Linotype"/>
          <w:sz w:val="20"/>
          <w:szCs w:val="20"/>
        </w:rPr>
        <w:t>Author 2017.</w:t>
      </w:r>
    </w:p>
  </w:footnote>
  <w:footnote w:id="19">
    <w:p w14:paraId="6F2CE2CC" w14:textId="2857E8C2" w:rsidR="00A875B3" w:rsidRPr="005D6811" w:rsidRDefault="00A875B3" w:rsidP="00A875B3">
      <w:pPr>
        <w:pStyle w:val="FootnoteText"/>
        <w:rPr>
          <w:rFonts w:ascii="Palatino Linotype" w:hAnsi="Palatino Linotype"/>
          <w:sz w:val="20"/>
          <w:szCs w:val="20"/>
          <w:lang w:val="en-AU"/>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565217" w:rsidRPr="005D6811">
        <w:rPr>
          <w:rFonts w:ascii="Palatino Linotype" w:hAnsi="Palatino Linotype"/>
          <w:sz w:val="20"/>
          <w:szCs w:val="20"/>
        </w:rPr>
        <w:t xml:space="preserve">Ibid, </w:t>
      </w:r>
      <w:r w:rsidR="00EA2CA3" w:rsidRPr="005D6811">
        <w:rPr>
          <w:rFonts w:ascii="Palatino Linotype" w:hAnsi="Palatino Linotype"/>
          <w:sz w:val="20"/>
          <w:szCs w:val="20"/>
        </w:rPr>
        <w:t>para</w:t>
      </w:r>
      <w:r w:rsidR="00F81698" w:rsidRPr="005D6811">
        <w:rPr>
          <w:rFonts w:ascii="Palatino Linotype" w:hAnsi="Palatino Linotype"/>
          <w:sz w:val="20"/>
          <w:szCs w:val="20"/>
        </w:rPr>
        <w:t>s</w:t>
      </w:r>
      <w:r w:rsidR="00EA2CA3" w:rsidRPr="005D6811">
        <w:rPr>
          <w:rFonts w:ascii="Palatino Linotype" w:hAnsi="Palatino Linotype"/>
          <w:sz w:val="20"/>
          <w:szCs w:val="20"/>
        </w:rPr>
        <w:t xml:space="preserve"> </w:t>
      </w:r>
      <w:r w:rsidR="00F81698" w:rsidRPr="005D6811">
        <w:rPr>
          <w:rFonts w:ascii="Palatino Linotype" w:hAnsi="Palatino Linotype"/>
          <w:sz w:val="20"/>
          <w:szCs w:val="20"/>
        </w:rPr>
        <w:t>7, 27</w:t>
      </w:r>
      <w:r w:rsidR="001B6E4E" w:rsidRPr="005D6811">
        <w:rPr>
          <w:rFonts w:ascii="Palatino Linotype" w:hAnsi="Palatino Linotype"/>
          <w:sz w:val="20"/>
          <w:szCs w:val="20"/>
        </w:rPr>
        <w:t>, 42</w:t>
      </w:r>
      <w:r w:rsidR="00EA2CA3" w:rsidRPr="005D6811">
        <w:rPr>
          <w:rFonts w:ascii="Palatino Linotype" w:hAnsi="Palatino Linotype"/>
          <w:sz w:val="20"/>
          <w:szCs w:val="20"/>
        </w:rPr>
        <w:t>.</w:t>
      </w:r>
    </w:p>
  </w:footnote>
  <w:footnote w:id="20">
    <w:p w14:paraId="2632CAA0" w14:textId="3992F466" w:rsidR="00C14E9B" w:rsidRPr="005D6811" w:rsidRDefault="00C14E9B" w:rsidP="00FE6697">
      <w:pPr>
        <w:pStyle w:val="FootnoteText"/>
        <w:rPr>
          <w:rFonts w:ascii="Palatino Linotype" w:hAnsi="Palatino Linotype"/>
          <w:sz w:val="20"/>
          <w:szCs w:val="20"/>
        </w:rPr>
      </w:pPr>
      <w:r w:rsidRPr="005D6811">
        <w:rPr>
          <w:rStyle w:val="FootnoteReference"/>
          <w:rFonts w:ascii="Palatino Linotype" w:hAnsi="Palatino Linotype"/>
          <w:sz w:val="20"/>
          <w:szCs w:val="20"/>
        </w:rPr>
        <w:footnoteRef/>
      </w:r>
      <w:r w:rsidR="004A5768" w:rsidRPr="005D6811">
        <w:rPr>
          <w:rFonts w:ascii="Palatino Linotype" w:hAnsi="Palatino Linotype"/>
          <w:sz w:val="20"/>
          <w:szCs w:val="20"/>
        </w:rPr>
        <w:t xml:space="preserve"> See for example the European Union Agency for Fundamental Rights’ (FRA)</w:t>
      </w:r>
      <w:r w:rsidRPr="005D6811">
        <w:rPr>
          <w:rFonts w:ascii="Palatino Linotype" w:hAnsi="Palatino Linotype"/>
          <w:sz w:val="20"/>
          <w:szCs w:val="20"/>
        </w:rPr>
        <w:t xml:space="preserve"> reports on the ri</w:t>
      </w:r>
      <w:r w:rsidR="004A5768" w:rsidRPr="005D6811">
        <w:rPr>
          <w:rFonts w:ascii="Palatino Linotype" w:hAnsi="Palatino Linotype"/>
          <w:sz w:val="20"/>
          <w:szCs w:val="20"/>
        </w:rPr>
        <w:t>ght to political participation and</w:t>
      </w:r>
      <w:r w:rsidRPr="005D6811">
        <w:rPr>
          <w:rFonts w:ascii="Palatino Linotype" w:hAnsi="Palatino Linotype"/>
          <w:sz w:val="20"/>
          <w:szCs w:val="20"/>
        </w:rPr>
        <w:t xml:space="preserve"> violence against</w:t>
      </w:r>
      <w:r w:rsidR="004A5768" w:rsidRPr="005D6811">
        <w:rPr>
          <w:rFonts w:ascii="Palatino Linotype" w:hAnsi="Palatino Linotype"/>
          <w:sz w:val="20"/>
          <w:szCs w:val="20"/>
        </w:rPr>
        <w:t xml:space="preserve"> children: FRA, </w:t>
      </w:r>
      <w:r w:rsidR="004A5768" w:rsidRPr="005D6811">
        <w:rPr>
          <w:rFonts w:ascii="Palatino Linotype" w:hAnsi="Palatino Linotype"/>
          <w:i/>
          <w:sz w:val="20"/>
          <w:szCs w:val="20"/>
        </w:rPr>
        <w:t xml:space="preserve">The </w:t>
      </w:r>
      <w:r w:rsidR="00DB37A1" w:rsidRPr="005D6811">
        <w:rPr>
          <w:rFonts w:ascii="Palatino Linotype" w:hAnsi="Palatino Linotype"/>
          <w:i/>
          <w:sz w:val="20"/>
          <w:szCs w:val="20"/>
        </w:rPr>
        <w:t xml:space="preserve">Right to Political Participation of Persons with Mental Health Problems and Persons with Intellectual Disabilities </w:t>
      </w:r>
      <w:r w:rsidR="004A5768" w:rsidRPr="005D6811">
        <w:rPr>
          <w:rFonts w:ascii="Palatino Linotype" w:hAnsi="Palatino Linotype"/>
          <w:sz w:val="20"/>
          <w:szCs w:val="20"/>
        </w:rPr>
        <w:t>(Report, FRA, 2010) &lt;</w:t>
      </w:r>
      <w:hyperlink r:id="rId4" w:history="1">
        <w:r w:rsidR="004A5768" w:rsidRPr="005D6811">
          <w:rPr>
            <w:rStyle w:val="Hyperlink"/>
            <w:rFonts w:ascii="Palatino Linotype" w:hAnsi="Palatino Linotype"/>
            <w:sz w:val="20"/>
            <w:szCs w:val="20"/>
          </w:rPr>
          <w:t>http://fra.europa.eu/sites/default/files/fra-2010-report-vote-disability_en.pdf</w:t>
        </w:r>
      </w:hyperlink>
      <w:r w:rsidR="004A5768" w:rsidRPr="005D6811">
        <w:rPr>
          <w:rFonts w:ascii="Palatino Linotype" w:hAnsi="Palatino Linotype"/>
          <w:sz w:val="20"/>
          <w:szCs w:val="20"/>
        </w:rPr>
        <w:t xml:space="preserve">&gt;; FRA, </w:t>
      </w:r>
      <w:r w:rsidR="004A5768" w:rsidRPr="005D6811">
        <w:rPr>
          <w:rFonts w:ascii="Palatino Linotype" w:hAnsi="Palatino Linotype"/>
          <w:i/>
          <w:sz w:val="20"/>
          <w:szCs w:val="20"/>
        </w:rPr>
        <w:t xml:space="preserve">Violence </w:t>
      </w:r>
      <w:r w:rsidR="00DB37A1" w:rsidRPr="005D6811">
        <w:rPr>
          <w:rFonts w:ascii="Palatino Linotype" w:hAnsi="Palatino Linotype"/>
          <w:i/>
          <w:sz w:val="20"/>
          <w:szCs w:val="20"/>
        </w:rPr>
        <w:t>A</w:t>
      </w:r>
      <w:r w:rsidR="004A5768" w:rsidRPr="005D6811">
        <w:rPr>
          <w:rFonts w:ascii="Palatino Linotype" w:hAnsi="Palatino Linotype"/>
          <w:i/>
          <w:sz w:val="20"/>
          <w:szCs w:val="20"/>
        </w:rPr>
        <w:t xml:space="preserve">gainst </w:t>
      </w:r>
      <w:r w:rsidR="00DB37A1" w:rsidRPr="005D6811">
        <w:rPr>
          <w:rFonts w:ascii="Palatino Linotype" w:hAnsi="Palatino Linotype"/>
          <w:i/>
          <w:sz w:val="20"/>
          <w:szCs w:val="20"/>
        </w:rPr>
        <w:t>C</w:t>
      </w:r>
      <w:r w:rsidR="004A5768" w:rsidRPr="005D6811">
        <w:rPr>
          <w:rFonts w:ascii="Palatino Linotype" w:hAnsi="Palatino Linotype"/>
          <w:i/>
          <w:sz w:val="20"/>
          <w:szCs w:val="20"/>
        </w:rPr>
        <w:t xml:space="preserve">hildren with </w:t>
      </w:r>
      <w:r w:rsidR="00DB37A1" w:rsidRPr="005D6811">
        <w:rPr>
          <w:rFonts w:ascii="Palatino Linotype" w:hAnsi="Palatino Linotype"/>
          <w:i/>
          <w:sz w:val="20"/>
          <w:szCs w:val="20"/>
        </w:rPr>
        <w:t>D</w:t>
      </w:r>
      <w:r w:rsidR="004A5768" w:rsidRPr="005D6811">
        <w:rPr>
          <w:rFonts w:ascii="Palatino Linotype" w:hAnsi="Palatino Linotype"/>
          <w:i/>
          <w:sz w:val="20"/>
          <w:szCs w:val="20"/>
        </w:rPr>
        <w:t xml:space="preserve">isabilities: </w:t>
      </w:r>
      <w:r w:rsidR="00DB37A1" w:rsidRPr="005D6811">
        <w:rPr>
          <w:rFonts w:ascii="Palatino Linotype" w:hAnsi="Palatino Linotype"/>
          <w:i/>
          <w:sz w:val="20"/>
          <w:szCs w:val="20"/>
        </w:rPr>
        <w:t>Legislation, P</w:t>
      </w:r>
      <w:r w:rsidR="004A5768" w:rsidRPr="005D6811">
        <w:rPr>
          <w:rFonts w:ascii="Palatino Linotype" w:hAnsi="Palatino Linotype"/>
          <w:i/>
          <w:sz w:val="20"/>
          <w:szCs w:val="20"/>
        </w:rPr>
        <w:t xml:space="preserve">olicies and </w:t>
      </w:r>
      <w:r w:rsidR="00DB37A1" w:rsidRPr="005D6811">
        <w:rPr>
          <w:rFonts w:ascii="Palatino Linotype" w:hAnsi="Palatino Linotype"/>
          <w:i/>
          <w:sz w:val="20"/>
          <w:szCs w:val="20"/>
        </w:rPr>
        <w:t>P</w:t>
      </w:r>
      <w:r w:rsidR="004A5768" w:rsidRPr="005D6811">
        <w:rPr>
          <w:rFonts w:ascii="Palatino Linotype" w:hAnsi="Palatino Linotype"/>
          <w:i/>
          <w:sz w:val="20"/>
          <w:szCs w:val="20"/>
        </w:rPr>
        <w:t>rogrammes in the EU</w:t>
      </w:r>
      <w:r w:rsidR="004A5768" w:rsidRPr="005D6811">
        <w:rPr>
          <w:rFonts w:ascii="Palatino Linotype" w:hAnsi="Palatino Linotype"/>
          <w:sz w:val="20"/>
          <w:szCs w:val="20"/>
        </w:rPr>
        <w:t xml:space="preserve"> (Report, FRA, 2015) &lt;</w:t>
      </w:r>
      <w:hyperlink r:id="rId5" w:history="1">
        <w:r w:rsidR="004A5768" w:rsidRPr="005D6811">
          <w:rPr>
            <w:rStyle w:val="Hyperlink"/>
            <w:rFonts w:ascii="Palatino Linotype" w:hAnsi="Palatino Linotype"/>
            <w:sz w:val="20"/>
            <w:szCs w:val="20"/>
          </w:rPr>
          <w:t>http://fra.europa.eu/sites/default/files/fra_uploads/fra-2015-violence-against-children-with-disabilities_en.pdf</w:t>
        </w:r>
      </w:hyperlink>
      <w:r w:rsidR="004A5768" w:rsidRPr="005D6811">
        <w:rPr>
          <w:rFonts w:ascii="Palatino Linotype" w:hAnsi="Palatino Linotype"/>
          <w:sz w:val="20"/>
          <w:szCs w:val="20"/>
        </w:rPr>
        <w:t>&gt;</w:t>
      </w:r>
      <w:r w:rsidR="005731E1" w:rsidRPr="005D6811">
        <w:rPr>
          <w:rFonts w:ascii="Palatino Linotype" w:hAnsi="Palatino Linotype"/>
          <w:sz w:val="20"/>
          <w:szCs w:val="20"/>
        </w:rPr>
        <w:t>.</w:t>
      </w:r>
    </w:p>
  </w:footnote>
  <w:footnote w:id="21">
    <w:p w14:paraId="05942A47" w14:textId="6B3C4157" w:rsidR="00C14E9B" w:rsidRPr="005D6811" w:rsidRDefault="00C14E9B" w:rsidP="00FE6697">
      <w:pPr>
        <w:pStyle w:val="FootnoteText"/>
        <w:rPr>
          <w:rFonts w:ascii="Palatino Linotype" w:hAnsi="Palatino Linotype"/>
          <w:sz w:val="20"/>
          <w:szCs w:val="20"/>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7C1B7F" w:rsidRPr="005D6811">
        <w:rPr>
          <w:rFonts w:ascii="Palatino Linotype" w:hAnsi="Palatino Linotype"/>
          <w:i/>
          <w:sz w:val="20"/>
          <w:szCs w:val="20"/>
        </w:rPr>
        <w:t>CRPD</w:t>
      </w:r>
      <w:r w:rsidR="007C1B7F" w:rsidRPr="005D6811">
        <w:rPr>
          <w:rFonts w:ascii="Palatino Linotype" w:hAnsi="Palatino Linotype"/>
          <w:sz w:val="20"/>
          <w:szCs w:val="20"/>
        </w:rPr>
        <w:t xml:space="preserve"> art 1.</w:t>
      </w:r>
    </w:p>
  </w:footnote>
  <w:footnote w:id="22">
    <w:p w14:paraId="3267C15F" w14:textId="55B6B030" w:rsidR="00323D53" w:rsidRPr="005D6811" w:rsidRDefault="00323D53" w:rsidP="00323D53">
      <w:pPr>
        <w:pStyle w:val="FootnoteText"/>
        <w:rPr>
          <w:rFonts w:ascii="Palatino Linotype" w:hAnsi="Palatino Linotype"/>
          <w:sz w:val="20"/>
          <w:szCs w:val="20"/>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United Nations General Assembly, </w:t>
      </w:r>
      <w:r w:rsidRPr="005D6811">
        <w:rPr>
          <w:rFonts w:ascii="Palatino Linotype" w:hAnsi="Palatino Linotype"/>
          <w:i/>
          <w:sz w:val="20"/>
          <w:szCs w:val="20"/>
        </w:rPr>
        <w:t>Report of the Special Rapporteur on the Rights of Persons with Disabilities</w:t>
      </w:r>
      <w:r w:rsidRPr="005D6811">
        <w:rPr>
          <w:rFonts w:ascii="Palatino Linotype" w:hAnsi="Palatino Linotype"/>
          <w:sz w:val="20"/>
          <w:szCs w:val="20"/>
        </w:rPr>
        <w:t>, 31</w:t>
      </w:r>
      <w:r w:rsidRPr="005D6811">
        <w:rPr>
          <w:rFonts w:ascii="Palatino Linotype" w:hAnsi="Palatino Linotype"/>
          <w:sz w:val="20"/>
          <w:szCs w:val="20"/>
          <w:vertAlign w:val="superscript"/>
        </w:rPr>
        <w:t>st</w:t>
      </w:r>
      <w:r w:rsidRPr="005D6811">
        <w:rPr>
          <w:rFonts w:ascii="Palatino Linotype" w:hAnsi="Palatino Linotype"/>
          <w:sz w:val="20"/>
          <w:szCs w:val="20"/>
        </w:rPr>
        <w:t xml:space="preserve"> </w:t>
      </w:r>
      <w:proofErr w:type="spellStart"/>
      <w:r w:rsidRPr="005D6811">
        <w:rPr>
          <w:rFonts w:ascii="Palatino Linotype" w:hAnsi="Palatino Linotype"/>
          <w:sz w:val="20"/>
          <w:szCs w:val="20"/>
        </w:rPr>
        <w:t>sess</w:t>
      </w:r>
      <w:proofErr w:type="spellEnd"/>
      <w:r w:rsidRPr="005D6811">
        <w:rPr>
          <w:rFonts w:ascii="Palatino Linotype" w:hAnsi="Palatino Linotype"/>
          <w:sz w:val="20"/>
          <w:szCs w:val="20"/>
        </w:rPr>
        <w:t>, UN Doc A/HRC/</w:t>
      </w:r>
      <w:r w:rsidR="002B5A16" w:rsidRPr="005D6811">
        <w:rPr>
          <w:rFonts w:ascii="Palatino Linotype" w:hAnsi="Palatino Linotype"/>
          <w:sz w:val="20"/>
          <w:szCs w:val="20"/>
        </w:rPr>
        <w:t>31/62 (12 January 2016) para 36 &lt;</w:t>
      </w:r>
      <w:hyperlink r:id="rId6" w:history="1">
        <w:r w:rsidR="002B5A16" w:rsidRPr="005D6811">
          <w:rPr>
            <w:rStyle w:val="Hyperlink"/>
            <w:rFonts w:ascii="Palatino Linotype" w:hAnsi="Palatino Linotype"/>
            <w:sz w:val="20"/>
            <w:szCs w:val="20"/>
          </w:rPr>
          <w:t>http://www.ohchr.org/EN/HRBodies/HRC/RegularSessions/Session31/Documents/A_HRC_31_62_E.doc</w:t>
        </w:r>
      </w:hyperlink>
      <w:r w:rsidR="002B5A16" w:rsidRPr="005D6811">
        <w:rPr>
          <w:rFonts w:ascii="Palatino Linotype" w:hAnsi="Palatino Linotype"/>
          <w:sz w:val="20"/>
          <w:szCs w:val="20"/>
        </w:rPr>
        <w:t>&gt;.</w:t>
      </w:r>
    </w:p>
  </w:footnote>
  <w:footnote w:id="23">
    <w:p w14:paraId="311ADE9E" w14:textId="6BB172CD" w:rsidR="00C14E9B" w:rsidRPr="005D6811" w:rsidRDefault="00C14E9B">
      <w:pPr>
        <w:pStyle w:val="FootnoteText"/>
        <w:rPr>
          <w:rFonts w:ascii="Palatino Linotype" w:hAnsi="Palatino Linotype"/>
          <w:sz w:val="20"/>
          <w:szCs w:val="20"/>
          <w:highlight w:val="yellow"/>
          <w:lang w:val="en-AU"/>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E33756" w:rsidRPr="005D6811">
        <w:rPr>
          <w:rFonts w:ascii="Palatino Linotype" w:hAnsi="Palatino Linotype"/>
          <w:sz w:val="20"/>
          <w:szCs w:val="20"/>
        </w:rPr>
        <w:t xml:space="preserve">See </w:t>
      </w:r>
      <w:proofErr w:type="spellStart"/>
      <w:r w:rsidR="00E33756" w:rsidRPr="005D6811">
        <w:rPr>
          <w:rFonts w:ascii="Palatino Linotype" w:hAnsi="Palatino Linotype"/>
          <w:sz w:val="20"/>
          <w:szCs w:val="20"/>
        </w:rPr>
        <w:t>Kayess</w:t>
      </w:r>
      <w:proofErr w:type="spellEnd"/>
      <w:r w:rsidR="00E33756" w:rsidRPr="005D6811">
        <w:rPr>
          <w:rFonts w:ascii="Palatino Linotype" w:hAnsi="Palatino Linotype"/>
          <w:sz w:val="20"/>
          <w:szCs w:val="20"/>
        </w:rPr>
        <w:t xml:space="preserve"> and French, above n </w:t>
      </w:r>
      <w:r w:rsidR="00E33756" w:rsidRPr="005D6811">
        <w:rPr>
          <w:rFonts w:ascii="Palatino Linotype" w:hAnsi="Palatino Linotype"/>
          <w:sz w:val="20"/>
          <w:szCs w:val="20"/>
        </w:rPr>
        <w:fldChar w:fldCharType="begin"/>
      </w:r>
      <w:r w:rsidR="00E33756" w:rsidRPr="005D6811">
        <w:rPr>
          <w:rFonts w:ascii="Palatino Linotype" w:hAnsi="Palatino Linotype"/>
          <w:sz w:val="20"/>
          <w:szCs w:val="20"/>
        </w:rPr>
        <w:instrText xml:space="preserve"> NOTEREF _Ref508782415 \h </w:instrText>
      </w:r>
      <w:r w:rsidR="00733AC2" w:rsidRPr="005D6811">
        <w:rPr>
          <w:rFonts w:ascii="Palatino Linotype" w:hAnsi="Palatino Linotype"/>
          <w:sz w:val="20"/>
          <w:szCs w:val="20"/>
        </w:rPr>
        <w:instrText xml:space="preserve"> \* MERGEFORMAT </w:instrText>
      </w:r>
      <w:r w:rsidR="00E33756" w:rsidRPr="005D6811">
        <w:rPr>
          <w:rFonts w:ascii="Palatino Linotype" w:hAnsi="Palatino Linotype"/>
          <w:sz w:val="20"/>
          <w:szCs w:val="20"/>
        </w:rPr>
      </w:r>
      <w:r w:rsidR="00E33756" w:rsidRPr="005D6811">
        <w:rPr>
          <w:rFonts w:ascii="Palatino Linotype" w:hAnsi="Palatino Linotype"/>
          <w:sz w:val="20"/>
          <w:szCs w:val="20"/>
        </w:rPr>
        <w:fldChar w:fldCharType="separate"/>
      </w:r>
      <w:r w:rsidR="00E41F77" w:rsidRPr="005D6811">
        <w:rPr>
          <w:rFonts w:ascii="Palatino Linotype" w:hAnsi="Palatino Linotype"/>
          <w:sz w:val="20"/>
          <w:szCs w:val="20"/>
        </w:rPr>
        <w:t>5</w:t>
      </w:r>
      <w:r w:rsidR="00E33756" w:rsidRPr="005D6811">
        <w:rPr>
          <w:rFonts w:ascii="Palatino Linotype" w:hAnsi="Palatino Linotype"/>
          <w:sz w:val="20"/>
          <w:szCs w:val="20"/>
        </w:rPr>
        <w:fldChar w:fldCharType="end"/>
      </w:r>
      <w:r w:rsidR="00E33756" w:rsidRPr="005D6811">
        <w:rPr>
          <w:rFonts w:ascii="Palatino Linotype" w:hAnsi="Palatino Linotype"/>
          <w:sz w:val="20"/>
          <w:szCs w:val="20"/>
        </w:rPr>
        <w:t>.</w:t>
      </w:r>
    </w:p>
  </w:footnote>
  <w:footnote w:id="24">
    <w:p w14:paraId="066ABFDE" w14:textId="118E18A3" w:rsidR="00C14E9B" w:rsidRPr="005D6811" w:rsidRDefault="00C14E9B" w:rsidP="00FE6697">
      <w:pPr>
        <w:pStyle w:val="FootnoteText"/>
        <w:rPr>
          <w:rFonts w:ascii="Palatino Linotype" w:hAnsi="Palatino Linotype"/>
          <w:sz w:val="20"/>
          <w:szCs w:val="20"/>
        </w:rPr>
      </w:pPr>
      <w:r w:rsidRPr="005D6811">
        <w:rPr>
          <w:rStyle w:val="FootnoteReference"/>
          <w:rFonts w:ascii="Palatino Linotype" w:hAnsi="Palatino Linotype"/>
          <w:sz w:val="20"/>
          <w:szCs w:val="20"/>
        </w:rPr>
        <w:footnoteRef/>
      </w:r>
      <w:r w:rsidR="007548F5" w:rsidRPr="005D6811">
        <w:rPr>
          <w:rFonts w:ascii="Palatino Linotype" w:hAnsi="Palatino Linotype"/>
          <w:sz w:val="20"/>
          <w:szCs w:val="20"/>
        </w:rPr>
        <w:t xml:space="preserve"> Office of the High Commissioner for Human Rights, United Nations, </w:t>
      </w:r>
      <w:r w:rsidR="007548F5" w:rsidRPr="005D6811">
        <w:rPr>
          <w:rFonts w:ascii="Palatino Linotype" w:hAnsi="Palatino Linotype"/>
          <w:i/>
          <w:sz w:val="20"/>
          <w:szCs w:val="20"/>
        </w:rPr>
        <w:t>Status of Ratification Interactive Dashboard</w:t>
      </w:r>
      <w:r w:rsidR="007548F5" w:rsidRPr="005D6811">
        <w:rPr>
          <w:rFonts w:ascii="Palatino Linotype" w:hAnsi="Palatino Linotype"/>
          <w:sz w:val="20"/>
          <w:szCs w:val="20"/>
        </w:rPr>
        <w:t xml:space="preserve"> (13 March 2018) &lt;</w:t>
      </w:r>
      <w:hyperlink r:id="rId7" w:history="1">
        <w:r w:rsidR="006750B1" w:rsidRPr="005D6811">
          <w:rPr>
            <w:rStyle w:val="Hyperlink"/>
            <w:rFonts w:ascii="Palatino Linotype" w:hAnsi="Palatino Linotype"/>
            <w:sz w:val="20"/>
            <w:szCs w:val="20"/>
          </w:rPr>
          <w:t>http://indicators.ohchr.org/</w:t>
        </w:r>
      </w:hyperlink>
      <w:r w:rsidR="007548F5" w:rsidRPr="005D6811">
        <w:rPr>
          <w:rFonts w:ascii="Palatino Linotype" w:hAnsi="Palatino Linotype"/>
          <w:sz w:val="20"/>
          <w:szCs w:val="20"/>
        </w:rPr>
        <w:t>&gt;.</w:t>
      </w:r>
    </w:p>
  </w:footnote>
  <w:footnote w:id="25">
    <w:p w14:paraId="080E1117" w14:textId="4924B928" w:rsidR="00C14E9B" w:rsidRPr="005D6811" w:rsidRDefault="00C14E9B">
      <w:pPr>
        <w:pStyle w:val="FootnoteText"/>
        <w:rPr>
          <w:rFonts w:ascii="Palatino Linotype" w:hAnsi="Palatino Linotype"/>
          <w:sz w:val="20"/>
          <w:szCs w:val="20"/>
          <w:lang w:val="en-AU"/>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BD2D2F" w:rsidRPr="005D6811">
        <w:rPr>
          <w:rFonts w:ascii="Palatino Linotype" w:hAnsi="Palatino Linotype"/>
          <w:i/>
          <w:sz w:val="20"/>
          <w:szCs w:val="20"/>
        </w:rPr>
        <w:t xml:space="preserve">CRPD </w:t>
      </w:r>
      <w:r w:rsidR="00BD2D2F" w:rsidRPr="005D6811">
        <w:rPr>
          <w:rFonts w:ascii="Palatino Linotype" w:hAnsi="Palatino Linotype"/>
          <w:sz w:val="20"/>
          <w:szCs w:val="20"/>
        </w:rPr>
        <w:t>a</w:t>
      </w:r>
      <w:proofErr w:type="spellStart"/>
      <w:r w:rsidRPr="005D6811">
        <w:rPr>
          <w:rFonts w:ascii="Palatino Linotype" w:hAnsi="Palatino Linotype"/>
          <w:sz w:val="20"/>
          <w:szCs w:val="20"/>
          <w:lang w:val="en-AU"/>
        </w:rPr>
        <w:t>r</w:t>
      </w:r>
      <w:r w:rsidR="00BD2D2F" w:rsidRPr="005D6811">
        <w:rPr>
          <w:rFonts w:ascii="Palatino Linotype" w:hAnsi="Palatino Linotype"/>
          <w:sz w:val="20"/>
          <w:szCs w:val="20"/>
          <w:lang w:val="en-AU"/>
        </w:rPr>
        <w:t>t</w:t>
      </w:r>
      <w:r w:rsidRPr="005D6811">
        <w:rPr>
          <w:rFonts w:ascii="Palatino Linotype" w:hAnsi="Palatino Linotype"/>
          <w:sz w:val="20"/>
          <w:szCs w:val="20"/>
          <w:lang w:val="en-AU"/>
        </w:rPr>
        <w:t>s</w:t>
      </w:r>
      <w:proofErr w:type="spellEnd"/>
      <w:r w:rsidRPr="005D6811">
        <w:rPr>
          <w:rFonts w:ascii="Palatino Linotype" w:hAnsi="Palatino Linotype"/>
          <w:sz w:val="20"/>
          <w:szCs w:val="20"/>
          <w:lang w:val="en-AU"/>
        </w:rPr>
        <w:t xml:space="preserve"> 5, 12</w:t>
      </w:r>
      <w:r w:rsidR="00BD2D2F" w:rsidRPr="005D6811">
        <w:rPr>
          <w:rFonts w:ascii="Palatino Linotype" w:hAnsi="Palatino Linotype"/>
          <w:sz w:val="20"/>
          <w:szCs w:val="20"/>
          <w:lang w:val="en-AU"/>
        </w:rPr>
        <w:t>.</w:t>
      </w:r>
    </w:p>
  </w:footnote>
  <w:footnote w:id="26">
    <w:p w14:paraId="5D52BE1D" w14:textId="7D4AAE9B" w:rsidR="00C14E9B" w:rsidRPr="005D6811" w:rsidRDefault="00C14E9B">
      <w:pPr>
        <w:pStyle w:val="FootnoteText"/>
        <w:rPr>
          <w:rFonts w:ascii="Palatino Linotype" w:hAnsi="Palatino Linotype"/>
          <w:sz w:val="20"/>
          <w:szCs w:val="20"/>
          <w:lang w:val="en-AU"/>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BD2D2F" w:rsidRPr="005D6811">
        <w:rPr>
          <w:rFonts w:ascii="Palatino Linotype" w:hAnsi="Palatino Linotype"/>
          <w:i/>
          <w:sz w:val="20"/>
          <w:szCs w:val="20"/>
        </w:rPr>
        <w:t xml:space="preserve">CRPD </w:t>
      </w:r>
      <w:r w:rsidR="00BD2D2F" w:rsidRPr="005D6811">
        <w:rPr>
          <w:rFonts w:ascii="Palatino Linotype" w:hAnsi="Palatino Linotype"/>
          <w:sz w:val="20"/>
          <w:szCs w:val="20"/>
        </w:rPr>
        <w:t>a</w:t>
      </w:r>
      <w:proofErr w:type="spellStart"/>
      <w:r w:rsidRPr="005D6811">
        <w:rPr>
          <w:rFonts w:ascii="Palatino Linotype" w:hAnsi="Palatino Linotype"/>
          <w:sz w:val="20"/>
          <w:szCs w:val="20"/>
          <w:lang w:val="en-AU"/>
        </w:rPr>
        <w:t>r</w:t>
      </w:r>
      <w:r w:rsidR="00BD2D2F" w:rsidRPr="005D6811">
        <w:rPr>
          <w:rFonts w:ascii="Palatino Linotype" w:hAnsi="Palatino Linotype"/>
          <w:sz w:val="20"/>
          <w:szCs w:val="20"/>
          <w:lang w:val="en-AU"/>
        </w:rPr>
        <w:t>t</w:t>
      </w:r>
      <w:proofErr w:type="spellEnd"/>
      <w:r w:rsidR="00BD2D2F" w:rsidRPr="005D6811">
        <w:rPr>
          <w:rFonts w:ascii="Palatino Linotype" w:hAnsi="Palatino Linotype"/>
          <w:sz w:val="20"/>
          <w:szCs w:val="20"/>
          <w:lang w:val="en-AU"/>
        </w:rPr>
        <w:t xml:space="preserve"> 9.</w:t>
      </w:r>
    </w:p>
  </w:footnote>
  <w:footnote w:id="27">
    <w:p w14:paraId="7CEACE8A" w14:textId="54EC2727" w:rsidR="00C14E9B" w:rsidRPr="005D6811" w:rsidRDefault="00C14E9B">
      <w:pPr>
        <w:pStyle w:val="FootnoteText"/>
        <w:rPr>
          <w:rFonts w:ascii="Palatino Linotype" w:hAnsi="Palatino Linotype"/>
          <w:sz w:val="20"/>
          <w:szCs w:val="20"/>
          <w:lang w:val="en-AU"/>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BD2D2F" w:rsidRPr="005D6811">
        <w:rPr>
          <w:rFonts w:ascii="Palatino Linotype" w:hAnsi="Palatino Linotype"/>
          <w:i/>
          <w:sz w:val="20"/>
          <w:szCs w:val="20"/>
        </w:rPr>
        <w:t xml:space="preserve">CRPD </w:t>
      </w:r>
      <w:r w:rsidR="00BD2D2F" w:rsidRPr="005D6811">
        <w:rPr>
          <w:rFonts w:ascii="Palatino Linotype" w:hAnsi="Palatino Linotype"/>
          <w:sz w:val="20"/>
          <w:szCs w:val="20"/>
        </w:rPr>
        <w:t>a</w:t>
      </w:r>
      <w:proofErr w:type="spellStart"/>
      <w:r w:rsidRPr="005D6811">
        <w:rPr>
          <w:rFonts w:ascii="Palatino Linotype" w:hAnsi="Palatino Linotype"/>
          <w:sz w:val="20"/>
          <w:szCs w:val="20"/>
          <w:lang w:val="en-AU"/>
        </w:rPr>
        <w:t>rt</w:t>
      </w:r>
      <w:proofErr w:type="spellEnd"/>
      <w:r w:rsidRPr="005D6811">
        <w:rPr>
          <w:rFonts w:ascii="Palatino Linotype" w:hAnsi="Palatino Linotype"/>
          <w:sz w:val="20"/>
          <w:szCs w:val="20"/>
          <w:lang w:val="en-AU"/>
        </w:rPr>
        <w:t xml:space="preserve"> 14</w:t>
      </w:r>
      <w:r w:rsidR="00BD2D2F" w:rsidRPr="005D6811">
        <w:rPr>
          <w:rFonts w:ascii="Palatino Linotype" w:hAnsi="Palatino Linotype"/>
          <w:sz w:val="20"/>
          <w:szCs w:val="20"/>
          <w:lang w:val="en-AU"/>
        </w:rPr>
        <w:t>.</w:t>
      </w:r>
    </w:p>
  </w:footnote>
  <w:footnote w:id="28">
    <w:p w14:paraId="1E7AC30F" w14:textId="04CFCA9F" w:rsidR="00C14E9B" w:rsidRPr="005D6811" w:rsidRDefault="00C14E9B">
      <w:pPr>
        <w:pStyle w:val="FootnoteText"/>
        <w:rPr>
          <w:rFonts w:ascii="Palatino Linotype" w:hAnsi="Palatino Linotype"/>
          <w:sz w:val="20"/>
          <w:szCs w:val="20"/>
          <w:lang w:val="en-AU"/>
        </w:rPr>
      </w:pPr>
      <w:r w:rsidRPr="005D6811">
        <w:rPr>
          <w:rStyle w:val="FootnoteReference"/>
          <w:rFonts w:ascii="Palatino Linotype" w:hAnsi="Palatino Linotype"/>
          <w:sz w:val="20"/>
          <w:szCs w:val="20"/>
        </w:rPr>
        <w:footnoteRef/>
      </w:r>
      <w:r w:rsidR="00BD2D2F" w:rsidRPr="005D6811">
        <w:rPr>
          <w:rFonts w:ascii="Palatino Linotype" w:hAnsi="Palatino Linotype"/>
          <w:sz w:val="20"/>
          <w:szCs w:val="20"/>
        </w:rPr>
        <w:t xml:space="preserve"> </w:t>
      </w:r>
      <w:r w:rsidR="00BD2D2F" w:rsidRPr="005D6811">
        <w:rPr>
          <w:rFonts w:ascii="Palatino Linotype" w:hAnsi="Palatino Linotype"/>
          <w:i/>
          <w:sz w:val="20"/>
          <w:szCs w:val="20"/>
        </w:rPr>
        <w:t xml:space="preserve">CRPD </w:t>
      </w:r>
      <w:r w:rsidR="00BD2D2F" w:rsidRPr="005D6811">
        <w:rPr>
          <w:rFonts w:ascii="Palatino Linotype" w:hAnsi="Palatino Linotype"/>
          <w:sz w:val="20"/>
          <w:szCs w:val="20"/>
        </w:rPr>
        <w:t>a</w:t>
      </w:r>
      <w:r w:rsidRPr="005D6811">
        <w:rPr>
          <w:rFonts w:ascii="Palatino Linotype" w:hAnsi="Palatino Linotype"/>
          <w:sz w:val="20"/>
          <w:szCs w:val="20"/>
        </w:rPr>
        <w:t>rt 24</w:t>
      </w:r>
      <w:r w:rsidR="00BD2D2F" w:rsidRPr="005D6811">
        <w:rPr>
          <w:rFonts w:ascii="Palatino Linotype" w:hAnsi="Palatino Linotype"/>
          <w:sz w:val="20"/>
          <w:szCs w:val="20"/>
        </w:rPr>
        <w:t>.</w:t>
      </w:r>
    </w:p>
  </w:footnote>
  <w:footnote w:id="29">
    <w:p w14:paraId="173E4414" w14:textId="6543632D" w:rsidR="00C14E9B" w:rsidRPr="005D6811" w:rsidRDefault="00C14E9B">
      <w:pPr>
        <w:pStyle w:val="FootnoteText"/>
        <w:rPr>
          <w:rFonts w:ascii="Palatino Linotype" w:hAnsi="Palatino Linotype"/>
          <w:sz w:val="20"/>
          <w:szCs w:val="20"/>
          <w:lang w:val="en-AU"/>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BD2D2F" w:rsidRPr="005D6811">
        <w:rPr>
          <w:rFonts w:ascii="Palatino Linotype" w:hAnsi="Palatino Linotype"/>
          <w:i/>
          <w:sz w:val="20"/>
          <w:szCs w:val="20"/>
        </w:rPr>
        <w:t xml:space="preserve">CRPD </w:t>
      </w:r>
      <w:r w:rsidR="00BD2D2F" w:rsidRPr="005D6811">
        <w:rPr>
          <w:rFonts w:ascii="Palatino Linotype" w:hAnsi="Palatino Linotype"/>
          <w:sz w:val="20"/>
          <w:szCs w:val="20"/>
        </w:rPr>
        <w:t>a</w:t>
      </w:r>
      <w:proofErr w:type="spellStart"/>
      <w:r w:rsidRPr="005D6811">
        <w:rPr>
          <w:rFonts w:ascii="Palatino Linotype" w:hAnsi="Palatino Linotype"/>
          <w:sz w:val="20"/>
          <w:szCs w:val="20"/>
          <w:lang w:val="en-AU"/>
        </w:rPr>
        <w:t>rt</w:t>
      </w:r>
      <w:proofErr w:type="spellEnd"/>
      <w:r w:rsidRPr="005D6811">
        <w:rPr>
          <w:rFonts w:ascii="Palatino Linotype" w:hAnsi="Palatino Linotype"/>
          <w:sz w:val="20"/>
          <w:szCs w:val="20"/>
          <w:lang w:val="en-AU"/>
        </w:rPr>
        <w:t xml:space="preserve"> 29</w:t>
      </w:r>
      <w:r w:rsidR="00BD2D2F" w:rsidRPr="005D6811">
        <w:rPr>
          <w:rFonts w:ascii="Palatino Linotype" w:hAnsi="Palatino Linotype"/>
          <w:sz w:val="20"/>
          <w:szCs w:val="20"/>
          <w:lang w:val="en-AU"/>
        </w:rPr>
        <w:t>.</w:t>
      </w:r>
    </w:p>
  </w:footnote>
  <w:footnote w:id="30">
    <w:p w14:paraId="78717E65" w14:textId="2DD74A70" w:rsidR="001545A6" w:rsidRPr="005D6811" w:rsidRDefault="001545A6">
      <w:pPr>
        <w:pStyle w:val="FootnoteText"/>
        <w:rPr>
          <w:rFonts w:ascii="Palatino Linotype" w:hAnsi="Palatino Linotype"/>
          <w:sz w:val="20"/>
          <w:szCs w:val="20"/>
          <w:lang w:val="en-AU"/>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proofErr w:type="spellStart"/>
      <w:r w:rsidRPr="005D6811">
        <w:rPr>
          <w:rFonts w:ascii="Palatino Linotype" w:hAnsi="Palatino Linotype"/>
          <w:sz w:val="20"/>
          <w:szCs w:val="20"/>
          <w:lang w:val="en-AU"/>
        </w:rPr>
        <w:t>Kayess</w:t>
      </w:r>
      <w:proofErr w:type="spellEnd"/>
      <w:r w:rsidRPr="005D6811">
        <w:rPr>
          <w:rFonts w:ascii="Palatino Linotype" w:hAnsi="Palatino Linotype"/>
          <w:sz w:val="20"/>
          <w:szCs w:val="20"/>
          <w:lang w:val="en-AU"/>
        </w:rPr>
        <w:t xml:space="preserve"> and French, above n </w:t>
      </w:r>
      <w:r w:rsidRPr="005D6811">
        <w:rPr>
          <w:rFonts w:ascii="Palatino Linotype" w:hAnsi="Palatino Linotype"/>
          <w:sz w:val="20"/>
          <w:szCs w:val="20"/>
          <w:lang w:val="en-AU"/>
        </w:rPr>
        <w:fldChar w:fldCharType="begin"/>
      </w:r>
      <w:r w:rsidRPr="005D6811">
        <w:rPr>
          <w:rFonts w:ascii="Palatino Linotype" w:hAnsi="Palatino Linotype"/>
          <w:sz w:val="20"/>
          <w:szCs w:val="20"/>
          <w:lang w:val="en-AU"/>
        </w:rPr>
        <w:instrText xml:space="preserve"> NOTEREF _Ref508782415 \h </w:instrText>
      </w:r>
      <w:r w:rsidR="008B7693" w:rsidRPr="005D6811">
        <w:rPr>
          <w:rFonts w:ascii="Palatino Linotype" w:hAnsi="Palatino Linotype"/>
          <w:sz w:val="20"/>
          <w:szCs w:val="20"/>
          <w:lang w:val="en-AU"/>
        </w:rPr>
        <w:instrText xml:space="preserve"> \* MERGEFORMAT </w:instrText>
      </w:r>
      <w:r w:rsidRPr="005D6811">
        <w:rPr>
          <w:rFonts w:ascii="Palatino Linotype" w:hAnsi="Palatino Linotype"/>
          <w:sz w:val="20"/>
          <w:szCs w:val="20"/>
          <w:lang w:val="en-AU"/>
        </w:rPr>
      </w:r>
      <w:r w:rsidRPr="005D6811">
        <w:rPr>
          <w:rFonts w:ascii="Palatino Linotype" w:hAnsi="Palatino Linotype"/>
          <w:sz w:val="20"/>
          <w:szCs w:val="20"/>
          <w:lang w:val="en-AU"/>
        </w:rPr>
        <w:fldChar w:fldCharType="separate"/>
      </w:r>
      <w:r w:rsidRPr="005D6811">
        <w:rPr>
          <w:rFonts w:ascii="Palatino Linotype" w:hAnsi="Palatino Linotype"/>
          <w:sz w:val="20"/>
          <w:szCs w:val="20"/>
          <w:lang w:val="en-AU"/>
        </w:rPr>
        <w:t>5</w:t>
      </w:r>
      <w:r w:rsidRPr="005D6811">
        <w:rPr>
          <w:rFonts w:ascii="Palatino Linotype" w:hAnsi="Palatino Linotype"/>
          <w:sz w:val="20"/>
          <w:szCs w:val="20"/>
          <w:lang w:val="en-AU"/>
        </w:rPr>
        <w:fldChar w:fldCharType="end"/>
      </w:r>
      <w:r w:rsidRPr="005D6811">
        <w:rPr>
          <w:rFonts w:ascii="Palatino Linotype" w:hAnsi="Palatino Linotype"/>
          <w:sz w:val="20"/>
          <w:szCs w:val="20"/>
          <w:lang w:val="en-AU"/>
        </w:rPr>
        <w:t xml:space="preserve">, </w:t>
      </w:r>
      <w:r w:rsidR="00B43E87" w:rsidRPr="005D6811">
        <w:rPr>
          <w:rFonts w:ascii="Palatino Linotype" w:hAnsi="Palatino Linotype"/>
          <w:sz w:val="20"/>
          <w:szCs w:val="20"/>
          <w:lang w:val="en-AU"/>
        </w:rPr>
        <w:t>12</w:t>
      </w:r>
      <w:r w:rsidR="008B7693" w:rsidRPr="005D6811">
        <w:rPr>
          <w:rFonts w:ascii="Palatino Linotype" w:hAnsi="Palatino Linotype"/>
          <w:sz w:val="20"/>
          <w:szCs w:val="20"/>
          <w:lang w:val="en-AU"/>
        </w:rPr>
        <w:t xml:space="preserve">; Paul </w:t>
      </w:r>
      <w:proofErr w:type="spellStart"/>
      <w:r w:rsidR="008B7693" w:rsidRPr="005D6811">
        <w:rPr>
          <w:rFonts w:ascii="Palatino Linotype" w:hAnsi="Palatino Linotype"/>
          <w:sz w:val="20"/>
          <w:szCs w:val="20"/>
          <w:lang w:val="en-AU"/>
        </w:rPr>
        <w:t>Harpur</w:t>
      </w:r>
      <w:proofErr w:type="spellEnd"/>
      <w:r w:rsidR="008B7693" w:rsidRPr="005D6811">
        <w:rPr>
          <w:rFonts w:ascii="Palatino Linotype" w:hAnsi="Palatino Linotype"/>
          <w:sz w:val="20"/>
          <w:szCs w:val="20"/>
          <w:lang w:val="en-AU"/>
        </w:rPr>
        <w:t xml:space="preserve">, ‘Embracing the New Disability Rights Paradigm: the Importance of the Convention on the Rights of Persons with Disabilities’ (2012) 27(1) </w:t>
      </w:r>
      <w:r w:rsidR="008B7693" w:rsidRPr="005D6811">
        <w:rPr>
          <w:rFonts w:ascii="Palatino Linotype" w:hAnsi="Palatino Linotype"/>
          <w:i/>
          <w:sz w:val="20"/>
          <w:szCs w:val="20"/>
          <w:lang w:val="en-AU"/>
        </w:rPr>
        <w:t>Disability &amp; Society</w:t>
      </w:r>
      <w:r w:rsidR="008B7693" w:rsidRPr="005D6811">
        <w:rPr>
          <w:rFonts w:ascii="Palatino Linotype" w:hAnsi="Palatino Linotype"/>
          <w:sz w:val="20"/>
          <w:szCs w:val="20"/>
          <w:lang w:val="en-AU"/>
        </w:rPr>
        <w:t xml:space="preserve"> 1</w:t>
      </w:r>
      <w:r w:rsidR="008B7693" w:rsidRPr="005D6811">
        <w:rPr>
          <w:rFonts w:ascii="Palatino Linotype" w:hAnsi="Palatino Linotype"/>
          <w:sz w:val="20"/>
          <w:szCs w:val="20"/>
        </w:rPr>
        <w:t>–</w:t>
      </w:r>
      <w:r w:rsidR="008B7693" w:rsidRPr="005D6811">
        <w:rPr>
          <w:rFonts w:ascii="Palatino Linotype" w:hAnsi="Palatino Linotype"/>
          <w:sz w:val="20"/>
          <w:szCs w:val="20"/>
          <w:lang w:val="en-AU"/>
        </w:rPr>
        <w:t>14.</w:t>
      </w:r>
    </w:p>
  </w:footnote>
  <w:footnote w:id="31">
    <w:p w14:paraId="484F61CB" w14:textId="1353E9ED" w:rsidR="00C14E9B" w:rsidRPr="005D6811" w:rsidRDefault="00C14E9B" w:rsidP="00FE6697">
      <w:pPr>
        <w:pStyle w:val="FootnoteText"/>
        <w:rPr>
          <w:rFonts w:ascii="Palatino Linotype" w:hAnsi="Palatino Linotype"/>
          <w:sz w:val="20"/>
          <w:szCs w:val="20"/>
        </w:rPr>
      </w:pPr>
      <w:r w:rsidRPr="005D6811">
        <w:rPr>
          <w:rStyle w:val="FootnoteReference"/>
          <w:rFonts w:ascii="Palatino Linotype" w:hAnsi="Palatino Linotype"/>
          <w:sz w:val="20"/>
          <w:szCs w:val="20"/>
        </w:rPr>
        <w:footnoteRef/>
      </w:r>
      <w:r w:rsidR="00BD2D2F" w:rsidRPr="005D6811">
        <w:rPr>
          <w:rFonts w:ascii="Palatino Linotype" w:hAnsi="Palatino Linotype"/>
          <w:sz w:val="20"/>
          <w:szCs w:val="20"/>
        </w:rPr>
        <w:t xml:space="preserve"> For further information</w:t>
      </w:r>
      <w:r w:rsidRPr="005D6811">
        <w:rPr>
          <w:rFonts w:ascii="Palatino Linotype" w:hAnsi="Palatino Linotype"/>
          <w:sz w:val="20"/>
          <w:szCs w:val="20"/>
        </w:rPr>
        <w:t xml:space="preserve"> abou</w:t>
      </w:r>
      <w:r w:rsidR="00BD2D2F" w:rsidRPr="005D6811">
        <w:rPr>
          <w:rFonts w:ascii="Palatino Linotype" w:hAnsi="Palatino Linotype"/>
          <w:sz w:val="20"/>
          <w:szCs w:val="20"/>
        </w:rPr>
        <w:t xml:space="preserve">t legal mechanisms for involving and consulting DPOs, see FRA, </w:t>
      </w:r>
      <w:r w:rsidR="00BD2D2F" w:rsidRPr="005D6811">
        <w:rPr>
          <w:rFonts w:ascii="Palatino Linotype" w:hAnsi="Palatino Linotype"/>
          <w:i/>
          <w:sz w:val="20"/>
          <w:szCs w:val="20"/>
        </w:rPr>
        <w:t xml:space="preserve">DPO Involvement: Indicators on Political Participation of Persons with </w:t>
      </w:r>
      <w:r w:rsidR="00BD2D2F" w:rsidRPr="005D6811">
        <w:rPr>
          <w:rFonts w:ascii="Palatino Linotype" w:hAnsi="Palatino Linotype"/>
          <w:sz w:val="20"/>
          <w:szCs w:val="20"/>
        </w:rPr>
        <w:t>Disabilities (Background Information Report, FRA, 2014) &lt;</w:t>
      </w:r>
      <w:hyperlink r:id="rId8" w:history="1">
        <w:r w:rsidR="00BD2D2F" w:rsidRPr="005D6811">
          <w:rPr>
            <w:rStyle w:val="Hyperlink"/>
            <w:rFonts w:ascii="Palatino Linotype" w:hAnsi="Palatino Linotype"/>
            <w:sz w:val="20"/>
            <w:szCs w:val="20"/>
          </w:rPr>
          <w:t>http://fra.europa.eu/en/publications-and-resources/data-and-maps/comparative-data/political-participation/dpo-laws</w:t>
        </w:r>
      </w:hyperlink>
      <w:r w:rsidR="00BD2D2F" w:rsidRPr="005D6811">
        <w:rPr>
          <w:rFonts w:ascii="Palatino Linotype" w:hAnsi="Palatino Linotype"/>
          <w:sz w:val="20"/>
          <w:szCs w:val="20"/>
        </w:rPr>
        <w:t>&gt;.</w:t>
      </w:r>
    </w:p>
  </w:footnote>
  <w:footnote w:id="32">
    <w:p w14:paraId="60E45580" w14:textId="7EA6BD38" w:rsidR="00C14E9B" w:rsidRPr="005D6811" w:rsidRDefault="00C14E9B">
      <w:pPr>
        <w:pStyle w:val="FootnoteText"/>
        <w:rPr>
          <w:rFonts w:ascii="Palatino Linotype" w:hAnsi="Palatino Linotype"/>
          <w:sz w:val="20"/>
          <w:szCs w:val="20"/>
          <w:highlight w:val="yellow"/>
          <w:lang w:val="en-AU"/>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proofErr w:type="spellStart"/>
      <w:r w:rsidR="00C605D7" w:rsidRPr="005D6811">
        <w:rPr>
          <w:rFonts w:ascii="Palatino Linotype" w:hAnsi="Palatino Linotype"/>
          <w:sz w:val="20"/>
          <w:szCs w:val="20"/>
        </w:rPr>
        <w:t>Theresia</w:t>
      </w:r>
      <w:proofErr w:type="spellEnd"/>
      <w:r w:rsidR="00C605D7" w:rsidRPr="005D6811">
        <w:rPr>
          <w:rFonts w:ascii="Palatino Linotype" w:hAnsi="Palatino Linotype"/>
          <w:sz w:val="20"/>
          <w:szCs w:val="20"/>
        </w:rPr>
        <w:t xml:space="preserve"> </w:t>
      </w:r>
      <w:proofErr w:type="spellStart"/>
      <w:r w:rsidR="00C605D7" w:rsidRPr="005D6811">
        <w:rPr>
          <w:rFonts w:ascii="Palatino Linotype" w:hAnsi="Palatino Linotype"/>
          <w:sz w:val="20"/>
          <w:szCs w:val="20"/>
        </w:rPr>
        <w:t>Degener</w:t>
      </w:r>
      <w:proofErr w:type="spellEnd"/>
      <w:r w:rsidR="00C605D7" w:rsidRPr="005D6811">
        <w:rPr>
          <w:rFonts w:ascii="Palatino Linotype" w:hAnsi="Palatino Linotype"/>
          <w:sz w:val="20"/>
          <w:szCs w:val="20"/>
        </w:rPr>
        <w:t xml:space="preserve">, ‘Disability in a Human Rights Context’ (2016) 5(3) </w:t>
      </w:r>
      <w:r w:rsidR="00C605D7" w:rsidRPr="005D6811">
        <w:rPr>
          <w:rFonts w:ascii="Palatino Linotype" w:hAnsi="Palatino Linotype"/>
          <w:i/>
          <w:sz w:val="20"/>
          <w:szCs w:val="20"/>
        </w:rPr>
        <w:t>Laws</w:t>
      </w:r>
      <w:r w:rsidR="002D00AF" w:rsidRPr="005D6811">
        <w:rPr>
          <w:rFonts w:ascii="Palatino Linotype" w:hAnsi="Palatino Linotype"/>
          <w:sz w:val="20"/>
          <w:szCs w:val="20"/>
        </w:rPr>
        <w:t xml:space="preserve"> 35</w:t>
      </w:r>
      <w:r w:rsidR="00C605D7" w:rsidRPr="005D6811">
        <w:rPr>
          <w:rFonts w:ascii="Palatino Linotype" w:hAnsi="Palatino Linotype"/>
          <w:sz w:val="20"/>
          <w:szCs w:val="20"/>
        </w:rPr>
        <w:t xml:space="preserve"> &lt;</w:t>
      </w:r>
      <w:hyperlink r:id="rId9" w:history="1">
        <w:r w:rsidR="00C605D7" w:rsidRPr="005D6811">
          <w:rPr>
            <w:rStyle w:val="Hyperlink"/>
            <w:rFonts w:ascii="Palatino Linotype" w:hAnsi="Palatino Linotype"/>
            <w:sz w:val="20"/>
            <w:szCs w:val="20"/>
          </w:rPr>
          <w:t>http://www.mdpi.com/2075-471X/5/3/35</w:t>
        </w:r>
      </w:hyperlink>
      <w:r w:rsidR="00C605D7" w:rsidRPr="005D6811">
        <w:rPr>
          <w:rFonts w:ascii="Palatino Linotype" w:hAnsi="Palatino Linotype"/>
          <w:sz w:val="20"/>
          <w:szCs w:val="20"/>
        </w:rPr>
        <w:t>&gt;.</w:t>
      </w:r>
    </w:p>
  </w:footnote>
  <w:footnote w:id="33">
    <w:p w14:paraId="286780CA" w14:textId="4BEDDE0D" w:rsidR="00C14E9B" w:rsidRPr="005D6811" w:rsidRDefault="00C14E9B" w:rsidP="00FE6697">
      <w:pPr>
        <w:pStyle w:val="FootnoteText"/>
        <w:rPr>
          <w:rFonts w:ascii="Palatino Linotype" w:hAnsi="Palatino Linotype"/>
          <w:sz w:val="20"/>
          <w:szCs w:val="20"/>
          <w:highlight w:val="yellow"/>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proofErr w:type="spellStart"/>
      <w:r w:rsidR="005D2EE2" w:rsidRPr="005D6811">
        <w:rPr>
          <w:rFonts w:ascii="Palatino Linotype" w:hAnsi="Palatino Linotype"/>
          <w:sz w:val="20"/>
          <w:szCs w:val="20"/>
        </w:rPr>
        <w:t>Jasna</w:t>
      </w:r>
      <w:proofErr w:type="spellEnd"/>
      <w:r w:rsidR="005D2EE2" w:rsidRPr="005D6811">
        <w:rPr>
          <w:rFonts w:ascii="Palatino Linotype" w:hAnsi="Palatino Linotype"/>
          <w:sz w:val="20"/>
          <w:szCs w:val="20"/>
        </w:rPr>
        <w:t xml:space="preserve"> </w:t>
      </w:r>
      <w:r w:rsidRPr="005D6811">
        <w:rPr>
          <w:rFonts w:ascii="Palatino Linotype" w:hAnsi="Palatino Linotype"/>
          <w:sz w:val="20"/>
          <w:szCs w:val="20"/>
        </w:rPr>
        <w:t>Russo</w:t>
      </w:r>
      <w:r w:rsidR="005D2EE2" w:rsidRPr="005D6811">
        <w:rPr>
          <w:rFonts w:ascii="Palatino Linotype" w:hAnsi="Palatino Linotype"/>
          <w:sz w:val="20"/>
          <w:szCs w:val="20"/>
        </w:rPr>
        <w:t xml:space="preserve"> and Peter</w:t>
      </w:r>
      <w:r w:rsidRPr="005D6811">
        <w:rPr>
          <w:rFonts w:ascii="Palatino Linotype" w:hAnsi="Palatino Linotype"/>
          <w:sz w:val="20"/>
          <w:szCs w:val="20"/>
        </w:rPr>
        <w:t xml:space="preserve"> Beresford</w:t>
      </w:r>
      <w:r w:rsidR="005D2EE2" w:rsidRPr="005D6811">
        <w:rPr>
          <w:rFonts w:ascii="Palatino Linotype" w:hAnsi="Palatino Linotype"/>
          <w:sz w:val="20"/>
          <w:szCs w:val="20"/>
        </w:rPr>
        <w:t>,</w:t>
      </w:r>
      <w:r w:rsidRPr="005D6811">
        <w:rPr>
          <w:rFonts w:ascii="Palatino Linotype" w:hAnsi="Palatino Linotype"/>
          <w:sz w:val="20"/>
          <w:szCs w:val="20"/>
        </w:rPr>
        <w:t xml:space="preserve"> </w:t>
      </w:r>
      <w:r w:rsidR="005D2EE2" w:rsidRPr="005D6811">
        <w:rPr>
          <w:rFonts w:ascii="Palatino Linotype" w:hAnsi="Palatino Linotype"/>
          <w:sz w:val="20"/>
          <w:szCs w:val="20"/>
        </w:rPr>
        <w:t>‘Between E</w:t>
      </w:r>
      <w:r w:rsidRPr="005D6811">
        <w:rPr>
          <w:rFonts w:ascii="Palatino Linotype" w:hAnsi="Palatino Linotype"/>
          <w:sz w:val="20"/>
          <w:szCs w:val="20"/>
        </w:rPr>
        <w:t xml:space="preserve">xclusion and </w:t>
      </w:r>
      <w:r w:rsidR="005D2EE2" w:rsidRPr="005D6811">
        <w:rPr>
          <w:rFonts w:ascii="Palatino Linotype" w:hAnsi="Palatino Linotype"/>
          <w:sz w:val="20"/>
          <w:szCs w:val="20"/>
        </w:rPr>
        <w:t>Colonisation: S</w:t>
      </w:r>
      <w:r w:rsidRPr="005D6811">
        <w:rPr>
          <w:rFonts w:ascii="Palatino Linotype" w:hAnsi="Palatino Linotype"/>
          <w:sz w:val="20"/>
          <w:szCs w:val="20"/>
        </w:rPr>
        <w:t xml:space="preserve">eeking a </w:t>
      </w:r>
      <w:r w:rsidR="005D2EE2" w:rsidRPr="005D6811">
        <w:rPr>
          <w:rFonts w:ascii="Palatino Linotype" w:hAnsi="Palatino Linotype"/>
          <w:sz w:val="20"/>
          <w:szCs w:val="20"/>
        </w:rPr>
        <w:t>Place for M</w:t>
      </w:r>
      <w:r w:rsidRPr="005D6811">
        <w:rPr>
          <w:rFonts w:ascii="Palatino Linotype" w:hAnsi="Palatino Linotype"/>
          <w:sz w:val="20"/>
          <w:szCs w:val="20"/>
        </w:rPr>
        <w:t xml:space="preserve">ad </w:t>
      </w:r>
      <w:r w:rsidR="005D2EE2" w:rsidRPr="005D6811">
        <w:rPr>
          <w:rFonts w:ascii="Palatino Linotype" w:hAnsi="Palatino Linotype"/>
          <w:sz w:val="20"/>
          <w:szCs w:val="20"/>
        </w:rPr>
        <w:t>P</w:t>
      </w:r>
      <w:r w:rsidRPr="005D6811">
        <w:rPr>
          <w:rFonts w:ascii="Palatino Linotype" w:hAnsi="Palatino Linotype"/>
          <w:sz w:val="20"/>
          <w:szCs w:val="20"/>
        </w:rPr>
        <w:t>eople</w:t>
      </w:r>
      <w:r w:rsidR="005D2EE2" w:rsidRPr="005D6811">
        <w:rPr>
          <w:rFonts w:ascii="Palatino Linotype" w:hAnsi="Palatino Linotype"/>
          <w:sz w:val="20"/>
          <w:szCs w:val="20"/>
        </w:rPr>
        <w:t>’</w:t>
      </w:r>
      <w:r w:rsidRPr="005D6811">
        <w:rPr>
          <w:rFonts w:ascii="Palatino Linotype" w:hAnsi="Palatino Linotype"/>
          <w:sz w:val="20"/>
          <w:szCs w:val="20"/>
        </w:rPr>
        <w:t xml:space="preserve">s </w:t>
      </w:r>
      <w:r w:rsidR="005D2EE2" w:rsidRPr="005D6811">
        <w:rPr>
          <w:rFonts w:ascii="Palatino Linotype" w:hAnsi="Palatino Linotype"/>
          <w:sz w:val="20"/>
          <w:szCs w:val="20"/>
        </w:rPr>
        <w:t>K</w:t>
      </w:r>
      <w:r w:rsidRPr="005D6811">
        <w:rPr>
          <w:rFonts w:ascii="Palatino Linotype" w:hAnsi="Palatino Linotype"/>
          <w:sz w:val="20"/>
          <w:szCs w:val="20"/>
        </w:rPr>
        <w:t xml:space="preserve">nowledge in </w:t>
      </w:r>
      <w:r w:rsidR="005D2EE2" w:rsidRPr="005D6811">
        <w:rPr>
          <w:rFonts w:ascii="Palatino Linotype" w:hAnsi="Palatino Linotype"/>
          <w:sz w:val="20"/>
          <w:szCs w:val="20"/>
        </w:rPr>
        <w:t xml:space="preserve">Academia (2015) 30(1) </w:t>
      </w:r>
      <w:r w:rsidRPr="005D6811">
        <w:rPr>
          <w:rFonts w:ascii="Palatino Linotype" w:hAnsi="Palatino Linotype"/>
          <w:i/>
          <w:sz w:val="20"/>
          <w:szCs w:val="20"/>
        </w:rPr>
        <w:t>Disability &amp; Society</w:t>
      </w:r>
      <w:r w:rsidR="005D2EE2" w:rsidRPr="005D6811">
        <w:rPr>
          <w:rFonts w:ascii="Palatino Linotype" w:hAnsi="Palatino Linotype"/>
          <w:i/>
          <w:sz w:val="20"/>
          <w:szCs w:val="20"/>
        </w:rPr>
        <w:t xml:space="preserve"> </w:t>
      </w:r>
      <w:r w:rsidRPr="005D6811">
        <w:rPr>
          <w:rFonts w:ascii="Palatino Linotype" w:hAnsi="Palatino Linotype"/>
          <w:sz w:val="20"/>
          <w:szCs w:val="20"/>
        </w:rPr>
        <w:t>153.</w:t>
      </w:r>
    </w:p>
  </w:footnote>
  <w:footnote w:id="34">
    <w:p w14:paraId="25C48945" w14:textId="71755E74" w:rsidR="00C14E9B" w:rsidRPr="005D6811" w:rsidRDefault="00C14E9B" w:rsidP="00FE6697">
      <w:pPr>
        <w:pStyle w:val="FootnoteText"/>
        <w:rPr>
          <w:rFonts w:ascii="Palatino Linotype" w:hAnsi="Palatino Linotype"/>
          <w:sz w:val="20"/>
          <w:szCs w:val="20"/>
          <w:highlight w:val="yellow"/>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E40066" w:rsidRPr="005D6811">
        <w:rPr>
          <w:rFonts w:ascii="Palatino Linotype" w:hAnsi="Palatino Linotype"/>
          <w:sz w:val="20"/>
          <w:szCs w:val="20"/>
        </w:rPr>
        <w:t xml:space="preserve">See for instance Carol K </w:t>
      </w:r>
      <w:proofErr w:type="spellStart"/>
      <w:r w:rsidR="00E40066" w:rsidRPr="005D6811">
        <w:rPr>
          <w:rFonts w:ascii="Palatino Linotype" w:hAnsi="Palatino Linotype"/>
          <w:sz w:val="20"/>
          <w:szCs w:val="20"/>
        </w:rPr>
        <w:t>Sigelman</w:t>
      </w:r>
      <w:proofErr w:type="spellEnd"/>
      <w:r w:rsidR="00E40066" w:rsidRPr="005D6811">
        <w:rPr>
          <w:rFonts w:ascii="Palatino Linotype" w:hAnsi="Palatino Linotype"/>
          <w:sz w:val="20"/>
          <w:szCs w:val="20"/>
        </w:rPr>
        <w:t>, Edward C</w:t>
      </w:r>
      <w:r w:rsidRPr="005D6811">
        <w:rPr>
          <w:rFonts w:ascii="Palatino Linotype" w:hAnsi="Palatino Linotype"/>
          <w:sz w:val="20"/>
          <w:szCs w:val="20"/>
        </w:rPr>
        <w:t xml:space="preserve"> Budd, </w:t>
      </w:r>
      <w:r w:rsidR="00E40066" w:rsidRPr="005D6811">
        <w:rPr>
          <w:rFonts w:ascii="Palatino Linotype" w:hAnsi="Palatino Linotype"/>
          <w:sz w:val="20"/>
          <w:szCs w:val="20"/>
        </w:rPr>
        <w:t xml:space="preserve">Cynthia L </w:t>
      </w:r>
      <w:proofErr w:type="spellStart"/>
      <w:r w:rsidR="00E40066" w:rsidRPr="005D6811">
        <w:rPr>
          <w:rFonts w:ascii="Palatino Linotype" w:hAnsi="Palatino Linotype"/>
          <w:sz w:val="20"/>
          <w:szCs w:val="20"/>
        </w:rPr>
        <w:t>Spanhel</w:t>
      </w:r>
      <w:proofErr w:type="spellEnd"/>
      <w:r w:rsidR="00E40066" w:rsidRPr="005D6811">
        <w:rPr>
          <w:rFonts w:ascii="Palatino Linotype" w:hAnsi="Palatino Linotype"/>
          <w:sz w:val="20"/>
          <w:szCs w:val="20"/>
        </w:rPr>
        <w:t xml:space="preserve"> and Carol J </w:t>
      </w:r>
      <w:proofErr w:type="spellStart"/>
      <w:r w:rsidR="00E40066" w:rsidRPr="005D6811">
        <w:rPr>
          <w:rFonts w:ascii="Palatino Linotype" w:hAnsi="Palatino Linotype"/>
          <w:sz w:val="20"/>
          <w:szCs w:val="20"/>
        </w:rPr>
        <w:t>Shoenrock</w:t>
      </w:r>
      <w:proofErr w:type="spellEnd"/>
      <w:r w:rsidR="00E40066" w:rsidRPr="005D6811">
        <w:rPr>
          <w:rFonts w:ascii="Palatino Linotype" w:hAnsi="Palatino Linotype"/>
          <w:sz w:val="20"/>
          <w:szCs w:val="20"/>
        </w:rPr>
        <w:t>,</w:t>
      </w:r>
      <w:r w:rsidRPr="005D6811">
        <w:rPr>
          <w:rFonts w:ascii="Palatino Linotype" w:hAnsi="Palatino Linotype"/>
          <w:sz w:val="20"/>
          <w:szCs w:val="20"/>
        </w:rPr>
        <w:t xml:space="preserve"> </w:t>
      </w:r>
      <w:r w:rsidR="00E40066" w:rsidRPr="005D6811">
        <w:rPr>
          <w:rFonts w:ascii="Palatino Linotype" w:hAnsi="Palatino Linotype"/>
          <w:sz w:val="20"/>
          <w:szCs w:val="20"/>
        </w:rPr>
        <w:t>‘</w:t>
      </w:r>
      <w:r w:rsidR="00673DA0" w:rsidRPr="005D6811">
        <w:rPr>
          <w:rFonts w:ascii="Palatino Linotype" w:hAnsi="Palatino Linotype"/>
          <w:sz w:val="20"/>
          <w:szCs w:val="20"/>
        </w:rPr>
        <w:t>Asking Q</w:t>
      </w:r>
      <w:r w:rsidRPr="005D6811">
        <w:rPr>
          <w:rFonts w:ascii="Palatino Linotype" w:hAnsi="Palatino Linotype"/>
          <w:sz w:val="20"/>
          <w:szCs w:val="20"/>
        </w:rPr>
        <w:t xml:space="preserve">uestions of </w:t>
      </w:r>
      <w:r w:rsidR="00673DA0" w:rsidRPr="005D6811">
        <w:rPr>
          <w:rFonts w:ascii="Palatino Linotype" w:hAnsi="Palatino Linotype"/>
          <w:sz w:val="20"/>
          <w:szCs w:val="20"/>
        </w:rPr>
        <w:t>Retarded Persons:</w:t>
      </w:r>
      <w:r w:rsidRPr="005D6811">
        <w:rPr>
          <w:rFonts w:ascii="Palatino Linotype" w:hAnsi="Palatino Linotype"/>
          <w:sz w:val="20"/>
          <w:szCs w:val="20"/>
        </w:rPr>
        <w:t xml:space="preserve"> </w:t>
      </w:r>
      <w:r w:rsidR="00673DA0" w:rsidRPr="005D6811">
        <w:rPr>
          <w:rFonts w:ascii="Palatino Linotype" w:hAnsi="Palatino Linotype"/>
          <w:sz w:val="20"/>
          <w:szCs w:val="20"/>
        </w:rPr>
        <w:t>A Co</w:t>
      </w:r>
      <w:r w:rsidRPr="005D6811">
        <w:rPr>
          <w:rFonts w:ascii="Palatino Linotype" w:hAnsi="Palatino Linotype"/>
          <w:sz w:val="20"/>
          <w:szCs w:val="20"/>
        </w:rPr>
        <w:t xml:space="preserve">mparison of </w:t>
      </w:r>
      <w:r w:rsidR="00673DA0" w:rsidRPr="005D6811">
        <w:rPr>
          <w:rFonts w:ascii="Palatino Linotype" w:hAnsi="Palatino Linotype"/>
          <w:sz w:val="20"/>
          <w:szCs w:val="20"/>
        </w:rPr>
        <w:t>Yes-n</w:t>
      </w:r>
      <w:r w:rsidRPr="005D6811">
        <w:rPr>
          <w:rFonts w:ascii="Palatino Linotype" w:hAnsi="Palatino Linotype"/>
          <w:sz w:val="20"/>
          <w:szCs w:val="20"/>
        </w:rPr>
        <w:t xml:space="preserve">o and </w:t>
      </w:r>
      <w:r w:rsidR="00673DA0" w:rsidRPr="005D6811">
        <w:rPr>
          <w:rFonts w:ascii="Palatino Linotype" w:hAnsi="Palatino Linotype"/>
          <w:sz w:val="20"/>
          <w:szCs w:val="20"/>
        </w:rPr>
        <w:t>E</w:t>
      </w:r>
      <w:r w:rsidRPr="005D6811">
        <w:rPr>
          <w:rFonts w:ascii="Palatino Linotype" w:hAnsi="Palatino Linotype"/>
          <w:sz w:val="20"/>
          <w:szCs w:val="20"/>
        </w:rPr>
        <w:t>ither</w:t>
      </w:r>
      <w:r w:rsidR="00673DA0" w:rsidRPr="005D6811">
        <w:rPr>
          <w:rFonts w:ascii="Palatino Linotype" w:hAnsi="Palatino Linotype"/>
          <w:sz w:val="20"/>
          <w:szCs w:val="20"/>
        </w:rPr>
        <w:t>-or</w:t>
      </w:r>
      <w:r w:rsidRPr="005D6811">
        <w:rPr>
          <w:rFonts w:ascii="Palatino Linotype" w:hAnsi="Palatino Linotype"/>
          <w:sz w:val="20"/>
          <w:szCs w:val="20"/>
        </w:rPr>
        <w:t xml:space="preserve"> </w:t>
      </w:r>
      <w:r w:rsidR="00673DA0" w:rsidRPr="005D6811">
        <w:rPr>
          <w:rFonts w:ascii="Palatino Linotype" w:hAnsi="Palatino Linotype"/>
          <w:sz w:val="20"/>
          <w:szCs w:val="20"/>
        </w:rPr>
        <w:t>F</w:t>
      </w:r>
      <w:r w:rsidRPr="005D6811">
        <w:rPr>
          <w:rFonts w:ascii="Palatino Linotype" w:hAnsi="Palatino Linotype"/>
          <w:sz w:val="20"/>
          <w:szCs w:val="20"/>
        </w:rPr>
        <w:t>ormats</w:t>
      </w:r>
      <w:r w:rsidR="00E40066" w:rsidRPr="005D6811">
        <w:rPr>
          <w:rFonts w:ascii="Palatino Linotype" w:hAnsi="Palatino Linotype"/>
          <w:sz w:val="20"/>
          <w:szCs w:val="20"/>
        </w:rPr>
        <w:t xml:space="preserve">’ (1981) 2(4) </w:t>
      </w:r>
      <w:r w:rsidR="00E40066" w:rsidRPr="005D6811">
        <w:rPr>
          <w:rFonts w:ascii="Palatino Linotype" w:hAnsi="Palatino Linotype"/>
          <w:i/>
          <w:sz w:val="20"/>
          <w:szCs w:val="20"/>
        </w:rPr>
        <w:t>Applied Research in Mental Retardation</w:t>
      </w:r>
      <w:r w:rsidR="00E40066" w:rsidRPr="005D6811">
        <w:rPr>
          <w:rFonts w:ascii="Palatino Linotype" w:hAnsi="Palatino Linotype"/>
          <w:sz w:val="20"/>
          <w:szCs w:val="20"/>
        </w:rPr>
        <w:t xml:space="preserve"> 347.</w:t>
      </w:r>
    </w:p>
  </w:footnote>
  <w:footnote w:id="35">
    <w:p w14:paraId="055B7D51" w14:textId="4F8926E7" w:rsidR="00521072" w:rsidRPr="005D6811" w:rsidRDefault="00521072">
      <w:pPr>
        <w:pStyle w:val="FootnoteText"/>
        <w:rPr>
          <w:rFonts w:ascii="Palatino Linotype" w:hAnsi="Palatino Linotype"/>
          <w:sz w:val="20"/>
          <w:szCs w:val="20"/>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See above, n </w:t>
      </w:r>
      <w:r w:rsidRPr="005D6811">
        <w:rPr>
          <w:rFonts w:ascii="Palatino Linotype" w:hAnsi="Palatino Linotype"/>
          <w:sz w:val="20"/>
          <w:szCs w:val="20"/>
        </w:rPr>
        <w:fldChar w:fldCharType="begin"/>
      </w:r>
      <w:r w:rsidRPr="005D6811">
        <w:rPr>
          <w:rFonts w:ascii="Palatino Linotype" w:hAnsi="Palatino Linotype"/>
          <w:sz w:val="20"/>
          <w:szCs w:val="20"/>
        </w:rPr>
        <w:instrText xml:space="preserve"> NOTEREF _Ref517949508 \h  \* MERGEFORMAT </w:instrText>
      </w:r>
      <w:r w:rsidRPr="005D6811">
        <w:rPr>
          <w:rFonts w:ascii="Palatino Linotype" w:hAnsi="Palatino Linotype"/>
          <w:sz w:val="20"/>
          <w:szCs w:val="20"/>
        </w:rPr>
      </w:r>
      <w:r w:rsidRPr="005D6811">
        <w:rPr>
          <w:rFonts w:ascii="Palatino Linotype" w:hAnsi="Palatino Linotype"/>
          <w:sz w:val="20"/>
          <w:szCs w:val="20"/>
        </w:rPr>
        <w:fldChar w:fldCharType="separate"/>
      </w:r>
      <w:r w:rsidR="00393718" w:rsidRPr="005D6811">
        <w:rPr>
          <w:rFonts w:ascii="Palatino Linotype" w:hAnsi="Palatino Linotype"/>
          <w:sz w:val="20"/>
          <w:szCs w:val="20"/>
        </w:rPr>
        <w:t>13</w:t>
      </w:r>
      <w:r w:rsidRPr="005D6811">
        <w:rPr>
          <w:rFonts w:ascii="Palatino Linotype" w:hAnsi="Palatino Linotype"/>
          <w:sz w:val="20"/>
          <w:szCs w:val="20"/>
        </w:rPr>
        <w:fldChar w:fldCharType="end"/>
      </w:r>
      <w:r w:rsidRPr="005D6811">
        <w:rPr>
          <w:rFonts w:ascii="Palatino Linotype" w:hAnsi="Palatino Linotype"/>
          <w:sz w:val="20"/>
          <w:szCs w:val="20"/>
        </w:rPr>
        <w:t>.</w:t>
      </w:r>
    </w:p>
  </w:footnote>
  <w:footnote w:id="36">
    <w:p w14:paraId="7FD2E545" w14:textId="1552E59B" w:rsidR="00C14E9B" w:rsidRPr="005D6811" w:rsidRDefault="00C14E9B" w:rsidP="00FE6697">
      <w:pPr>
        <w:pStyle w:val="FootnoteText"/>
        <w:rPr>
          <w:rFonts w:ascii="Palatino Linotype" w:hAnsi="Palatino Linotype"/>
          <w:sz w:val="20"/>
          <w:szCs w:val="20"/>
        </w:rPr>
      </w:pPr>
      <w:r w:rsidRPr="005D6811">
        <w:rPr>
          <w:rStyle w:val="FootnoteReference"/>
          <w:rFonts w:ascii="Palatino Linotype" w:hAnsi="Palatino Linotype"/>
          <w:sz w:val="20"/>
          <w:szCs w:val="20"/>
        </w:rPr>
        <w:footnoteRef/>
      </w:r>
      <w:r w:rsidR="00331F8A" w:rsidRPr="005D6811">
        <w:rPr>
          <w:rFonts w:ascii="Palatino Linotype" w:hAnsi="Palatino Linotype"/>
          <w:sz w:val="20"/>
          <w:szCs w:val="20"/>
        </w:rPr>
        <w:t xml:space="preserve"> </w:t>
      </w:r>
      <w:r w:rsidR="009A4FF0" w:rsidRPr="005D6811">
        <w:rPr>
          <w:rFonts w:ascii="Palatino Linotype" w:hAnsi="Palatino Linotype"/>
          <w:sz w:val="20"/>
          <w:szCs w:val="20"/>
        </w:rPr>
        <w:t xml:space="preserve">Stone and Priestley, above n </w:t>
      </w:r>
      <w:r w:rsidR="009A4FF0" w:rsidRPr="005D6811">
        <w:rPr>
          <w:rFonts w:ascii="Palatino Linotype" w:hAnsi="Palatino Linotype"/>
          <w:sz w:val="20"/>
          <w:szCs w:val="20"/>
        </w:rPr>
        <w:fldChar w:fldCharType="begin"/>
      </w:r>
      <w:r w:rsidR="009A4FF0" w:rsidRPr="005D6811">
        <w:rPr>
          <w:rFonts w:ascii="Palatino Linotype" w:hAnsi="Palatino Linotype"/>
          <w:sz w:val="20"/>
          <w:szCs w:val="20"/>
        </w:rPr>
        <w:instrText xml:space="preserve"> NOTEREF _Ref517949508 \h </w:instrText>
      </w:r>
      <w:r w:rsidR="005D6811" w:rsidRPr="005D6811">
        <w:rPr>
          <w:rFonts w:ascii="Palatino Linotype" w:hAnsi="Palatino Linotype"/>
          <w:sz w:val="20"/>
          <w:szCs w:val="20"/>
        </w:rPr>
        <w:instrText xml:space="preserve"> \* MERGEFORMAT </w:instrText>
      </w:r>
      <w:r w:rsidR="009A4FF0" w:rsidRPr="005D6811">
        <w:rPr>
          <w:rFonts w:ascii="Palatino Linotype" w:hAnsi="Palatino Linotype"/>
          <w:sz w:val="20"/>
          <w:szCs w:val="20"/>
        </w:rPr>
      </w:r>
      <w:r w:rsidR="009A4FF0" w:rsidRPr="005D6811">
        <w:rPr>
          <w:rFonts w:ascii="Palatino Linotype" w:hAnsi="Palatino Linotype"/>
          <w:sz w:val="20"/>
          <w:szCs w:val="20"/>
        </w:rPr>
        <w:fldChar w:fldCharType="separate"/>
      </w:r>
      <w:r w:rsidR="009A4FF0" w:rsidRPr="005D6811">
        <w:rPr>
          <w:rFonts w:ascii="Palatino Linotype" w:hAnsi="Palatino Linotype"/>
          <w:sz w:val="20"/>
          <w:szCs w:val="20"/>
        </w:rPr>
        <w:t>13</w:t>
      </w:r>
      <w:r w:rsidR="009A4FF0" w:rsidRPr="005D6811">
        <w:rPr>
          <w:rFonts w:ascii="Palatino Linotype" w:hAnsi="Palatino Linotype"/>
          <w:sz w:val="20"/>
          <w:szCs w:val="20"/>
        </w:rPr>
        <w:fldChar w:fldCharType="end"/>
      </w:r>
      <w:r w:rsidR="00331F8A" w:rsidRPr="005D6811">
        <w:rPr>
          <w:rFonts w:ascii="Palatino Linotype" w:hAnsi="Palatino Linotype"/>
          <w:sz w:val="20"/>
          <w:szCs w:val="20"/>
        </w:rPr>
        <w:t>.</w:t>
      </w:r>
    </w:p>
  </w:footnote>
  <w:footnote w:id="37">
    <w:p w14:paraId="58B273AA" w14:textId="4D5D34A3" w:rsidR="00C14E9B" w:rsidRPr="005D6811" w:rsidRDefault="00C14E9B" w:rsidP="00FE6697">
      <w:pPr>
        <w:pStyle w:val="FootnoteText"/>
        <w:rPr>
          <w:rFonts w:ascii="Palatino Linotype" w:hAnsi="Palatino Linotype"/>
          <w:sz w:val="20"/>
          <w:szCs w:val="20"/>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BB53B7" w:rsidRPr="005D6811">
        <w:rPr>
          <w:rFonts w:ascii="Palatino Linotype" w:hAnsi="Palatino Linotype"/>
          <w:sz w:val="20"/>
          <w:szCs w:val="20"/>
        </w:rPr>
        <w:t xml:space="preserve">Gerry </w:t>
      </w:r>
      <w:proofErr w:type="spellStart"/>
      <w:r w:rsidR="00BB53B7" w:rsidRPr="005D6811">
        <w:rPr>
          <w:rFonts w:ascii="Palatino Linotype" w:hAnsi="Palatino Linotype"/>
          <w:sz w:val="20"/>
          <w:szCs w:val="20"/>
        </w:rPr>
        <w:t>Zarb</w:t>
      </w:r>
      <w:proofErr w:type="spellEnd"/>
      <w:r w:rsidR="00BB53B7" w:rsidRPr="005D6811">
        <w:rPr>
          <w:rFonts w:ascii="Palatino Linotype" w:hAnsi="Palatino Linotype"/>
          <w:sz w:val="20"/>
          <w:szCs w:val="20"/>
        </w:rPr>
        <w:t>,</w:t>
      </w:r>
      <w:r w:rsidRPr="005D6811">
        <w:rPr>
          <w:rFonts w:ascii="Palatino Linotype" w:hAnsi="Palatino Linotype"/>
          <w:sz w:val="20"/>
          <w:szCs w:val="20"/>
        </w:rPr>
        <w:t xml:space="preserve"> </w:t>
      </w:r>
      <w:r w:rsidR="003B3901" w:rsidRPr="005D6811">
        <w:rPr>
          <w:rFonts w:ascii="Palatino Linotype" w:hAnsi="Palatino Linotype"/>
          <w:sz w:val="20"/>
          <w:szCs w:val="20"/>
        </w:rPr>
        <w:t>‘</w:t>
      </w:r>
      <w:r w:rsidRPr="005D6811">
        <w:rPr>
          <w:rFonts w:ascii="Palatino Linotype" w:hAnsi="Palatino Linotype"/>
          <w:sz w:val="20"/>
          <w:szCs w:val="20"/>
        </w:rPr>
        <w:t xml:space="preserve">On the Road to Damascus: First Steps </w:t>
      </w:r>
      <w:r w:rsidR="00E51CD8" w:rsidRPr="005D6811">
        <w:rPr>
          <w:rFonts w:ascii="Palatino Linotype" w:hAnsi="Palatino Linotype"/>
          <w:sz w:val="20"/>
          <w:szCs w:val="20"/>
        </w:rPr>
        <w:t>t</w:t>
      </w:r>
      <w:r w:rsidRPr="005D6811">
        <w:rPr>
          <w:rFonts w:ascii="Palatino Linotype" w:hAnsi="Palatino Linotype"/>
          <w:sz w:val="20"/>
          <w:szCs w:val="20"/>
        </w:rPr>
        <w:t xml:space="preserve">owards Changing </w:t>
      </w:r>
      <w:r w:rsidR="00E51CD8" w:rsidRPr="005D6811">
        <w:rPr>
          <w:rFonts w:ascii="Palatino Linotype" w:hAnsi="Palatino Linotype"/>
          <w:sz w:val="20"/>
          <w:szCs w:val="20"/>
        </w:rPr>
        <w:t xml:space="preserve">the </w:t>
      </w:r>
      <w:r w:rsidRPr="005D6811">
        <w:rPr>
          <w:rFonts w:ascii="Palatino Linotype" w:hAnsi="Palatino Linotype"/>
          <w:sz w:val="20"/>
          <w:szCs w:val="20"/>
        </w:rPr>
        <w:t>Relations of Di</w:t>
      </w:r>
      <w:r w:rsidR="00E51CD8" w:rsidRPr="005D6811">
        <w:rPr>
          <w:rFonts w:ascii="Palatino Linotype" w:hAnsi="Palatino Linotype"/>
          <w:sz w:val="20"/>
          <w:szCs w:val="20"/>
        </w:rPr>
        <w:t xml:space="preserve">sability Research Production’ (1992) 7(2) </w:t>
      </w:r>
      <w:r w:rsidR="00E51CD8" w:rsidRPr="005D6811">
        <w:rPr>
          <w:rFonts w:ascii="Palatino Linotype" w:hAnsi="Palatino Linotype"/>
          <w:i/>
          <w:sz w:val="20"/>
          <w:szCs w:val="20"/>
        </w:rPr>
        <w:t xml:space="preserve">Disability, </w:t>
      </w:r>
      <w:r w:rsidRPr="005D6811">
        <w:rPr>
          <w:rFonts w:ascii="Palatino Linotype" w:hAnsi="Palatino Linotype"/>
          <w:i/>
          <w:sz w:val="20"/>
          <w:szCs w:val="20"/>
        </w:rPr>
        <w:t>Handicap &amp; Society</w:t>
      </w:r>
      <w:r w:rsidR="00E51CD8" w:rsidRPr="005D6811">
        <w:rPr>
          <w:rFonts w:ascii="Palatino Linotype" w:hAnsi="Palatino Linotype"/>
          <w:sz w:val="20"/>
          <w:szCs w:val="20"/>
        </w:rPr>
        <w:t xml:space="preserve"> </w:t>
      </w:r>
      <w:r w:rsidRPr="005D6811">
        <w:rPr>
          <w:rFonts w:ascii="Palatino Linotype" w:hAnsi="Palatino Linotype"/>
          <w:sz w:val="20"/>
          <w:szCs w:val="20"/>
        </w:rPr>
        <w:t>125.</w:t>
      </w:r>
    </w:p>
  </w:footnote>
  <w:footnote w:id="38">
    <w:p w14:paraId="510C144D" w14:textId="5042D556" w:rsidR="00C14E9B" w:rsidRPr="005D6811" w:rsidRDefault="00C14E9B" w:rsidP="00FE6697">
      <w:pPr>
        <w:autoSpaceDE w:val="0"/>
        <w:autoSpaceDN w:val="0"/>
        <w:adjustRightInd w:val="0"/>
        <w:spacing w:after="0" w:line="240" w:lineRule="auto"/>
        <w:rPr>
          <w:rFonts w:ascii="Palatino Linotype" w:hAnsi="Palatino Linotype" w:cs="Times New Roman"/>
          <w:sz w:val="20"/>
          <w:szCs w:val="20"/>
        </w:rPr>
      </w:pPr>
      <w:r w:rsidRPr="005D6811">
        <w:rPr>
          <w:rStyle w:val="FootnoteReference"/>
          <w:rFonts w:ascii="Palatino Linotype" w:hAnsi="Palatino Linotype" w:cs="Times New Roman"/>
          <w:sz w:val="20"/>
          <w:szCs w:val="20"/>
        </w:rPr>
        <w:footnoteRef/>
      </w:r>
      <w:r w:rsidRPr="005D6811">
        <w:rPr>
          <w:rFonts w:ascii="Palatino Linotype" w:hAnsi="Palatino Linotype" w:cs="Times New Roman"/>
          <w:sz w:val="20"/>
          <w:szCs w:val="20"/>
        </w:rPr>
        <w:t xml:space="preserve"> </w:t>
      </w:r>
      <w:proofErr w:type="spellStart"/>
      <w:r w:rsidR="00BB53B7" w:rsidRPr="005D6811">
        <w:rPr>
          <w:rFonts w:ascii="Palatino Linotype" w:hAnsi="Palatino Linotype" w:cs="Times New Roman"/>
          <w:sz w:val="20"/>
          <w:szCs w:val="20"/>
        </w:rPr>
        <w:t>Rannveig</w:t>
      </w:r>
      <w:proofErr w:type="spellEnd"/>
      <w:r w:rsidR="00BB53B7" w:rsidRPr="005D6811">
        <w:rPr>
          <w:rFonts w:ascii="Palatino Linotype" w:hAnsi="Palatino Linotype" w:cs="Times New Roman"/>
          <w:sz w:val="20"/>
          <w:szCs w:val="20"/>
        </w:rPr>
        <w:t xml:space="preserve"> </w:t>
      </w:r>
      <w:proofErr w:type="spellStart"/>
      <w:r w:rsidRPr="005D6811">
        <w:rPr>
          <w:rFonts w:ascii="Palatino Linotype" w:hAnsi="Palatino Linotype" w:cs="Times New Roman"/>
          <w:sz w:val="20"/>
          <w:szCs w:val="20"/>
        </w:rPr>
        <w:t>Traustadóttir</w:t>
      </w:r>
      <w:proofErr w:type="spellEnd"/>
      <w:r w:rsidR="00BB53B7" w:rsidRPr="005D6811">
        <w:rPr>
          <w:rFonts w:ascii="Palatino Linotype" w:hAnsi="Palatino Linotype" w:cs="Times New Roman"/>
          <w:sz w:val="20"/>
          <w:szCs w:val="20"/>
        </w:rPr>
        <w:t>,</w:t>
      </w:r>
      <w:r w:rsidRPr="005D6811">
        <w:rPr>
          <w:rFonts w:ascii="Palatino Linotype" w:hAnsi="Palatino Linotype" w:cs="Times New Roman"/>
          <w:sz w:val="20"/>
          <w:szCs w:val="20"/>
        </w:rPr>
        <w:t xml:space="preserve"> </w:t>
      </w:r>
      <w:r w:rsidR="00BB53B7" w:rsidRPr="005D6811">
        <w:rPr>
          <w:rFonts w:ascii="Palatino Linotype" w:hAnsi="Palatino Linotype" w:cs="Times New Roman"/>
          <w:sz w:val="20"/>
          <w:szCs w:val="20"/>
        </w:rPr>
        <w:t>‘Research with Others: Reflections on R</w:t>
      </w:r>
      <w:r w:rsidRPr="005D6811">
        <w:rPr>
          <w:rFonts w:ascii="Palatino Linotype" w:hAnsi="Palatino Linotype" w:cs="Times New Roman"/>
          <w:sz w:val="20"/>
          <w:szCs w:val="20"/>
        </w:rPr>
        <w:t xml:space="preserve">epresentation, </w:t>
      </w:r>
      <w:r w:rsidR="00BB53B7" w:rsidRPr="005D6811">
        <w:rPr>
          <w:rFonts w:ascii="Palatino Linotype" w:hAnsi="Palatino Linotype" w:cs="Times New Roman"/>
          <w:sz w:val="20"/>
          <w:szCs w:val="20"/>
        </w:rPr>
        <w:t>D</w:t>
      </w:r>
      <w:r w:rsidRPr="005D6811">
        <w:rPr>
          <w:rFonts w:ascii="Palatino Linotype" w:hAnsi="Palatino Linotype" w:cs="Times New Roman"/>
          <w:sz w:val="20"/>
          <w:szCs w:val="20"/>
        </w:rPr>
        <w:t xml:space="preserve">ifference and </w:t>
      </w:r>
      <w:r w:rsidR="00BB53B7" w:rsidRPr="005D6811">
        <w:rPr>
          <w:rFonts w:ascii="Palatino Linotype" w:hAnsi="Palatino Linotype" w:cs="Times New Roman"/>
          <w:sz w:val="20"/>
          <w:szCs w:val="20"/>
        </w:rPr>
        <w:t>O</w:t>
      </w:r>
      <w:r w:rsidRPr="005D6811">
        <w:rPr>
          <w:rFonts w:ascii="Palatino Linotype" w:hAnsi="Palatino Linotype" w:cs="Times New Roman"/>
          <w:sz w:val="20"/>
          <w:szCs w:val="20"/>
        </w:rPr>
        <w:t>thering</w:t>
      </w:r>
      <w:r w:rsidR="00BB53B7" w:rsidRPr="005D6811">
        <w:rPr>
          <w:rFonts w:ascii="Palatino Linotype" w:hAnsi="Palatino Linotype" w:cs="Times New Roman"/>
          <w:sz w:val="20"/>
          <w:szCs w:val="20"/>
        </w:rPr>
        <w:t>’ (2001) 3(2)</w:t>
      </w:r>
      <w:r w:rsidRPr="005D6811">
        <w:rPr>
          <w:rFonts w:ascii="Palatino Linotype" w:hAnsi="Palatino Linotype" w:cs="Times New Roman"/>
          <w:sz w:val="20"/>
          <w:szCs w:val="20"/>
        </w:rPr>
        <w:t xml:space="preserve"> </w:t>
      </w:r>
      <w:r w:rsidRPr="005D6811">
        <w:rPr>
          <w:rFonts w:ascii="Palatino Linotype" w:hAnsi="Palatino Linotype" w:cs="Times New Roman"/>
          <w:i/>
          <w:sz w:val="20"/>
          <w:szCs w:val="20"/>
        </w:rPr>
        <w:t>Scandinavian Journal of Disability Research</w:t>
      </w:r>
      <w:r w:rsidR="00BB53B7" w:rsidRPr="005D6811">
        <w:rPr>
          <w:rFonts w:ascii="Palatino Linotype" w:hAnsi="Palatino Linotype" w:cs="Times New Roman"/>
          <w:sz w:val="20"/>
          <w:szCs w:val="20"/>
        </w:rPr>
        <w:t xml:space="preserve"> </w:t>
      </w:r>
      <w:r w:rsidRPr="005D6811">
        <w:rPr>
          <w:rFonts w:ascii="Palatino Linotype" w:hAnsi="Palatino Linotype" w:cs="Times New Roman"/>
          <w:sz w:val="20"/>
          <w:szCs w:val="20"/>
        </w:rPr>
        <w:t>9</w:t>
      </w:r>
      <w:r w:rsidR="00F973A2" w:rsidRPr="005D6811">
        <w:rPr>
          <w:rFonts w:ascii="Palatino Linotype" w:hAnsi="Palatino Linotype" w:cs="Times New Roman"/>
          <w:sz w:val="20"/>
          <w:szCs w:val="20"/>
        </w:rPr>
        <w:t>.</w:t>
      </w:r>
    </w:p>
  </w:footnote>
  <w:footnote w:id="39">
    <w:p w14:paraId="5773BC1E" w14:textId="0495D0B2" w:rsidR="00C14E9B" w:rsidRPr="005D6811" w:rsidRDefault="00C14E9B" w:rsidP="00FE6697">
      <w:pPr>
        <w:spacing w:after="0" w:line="240" w:lineRule="auto"/>
        <w:rPr>
          <w:rFonts w:ascii="Palatino Linotype" w:hAnsi="Palatino Linotype" w:cs="Times New Roman"/>
          <w:sz w:val="20"/>
          <w:szCs w:val="20"/>
        </w:rPr>
      </w:pPr>
      <w:r w:rsidRPr="005D6811">
        <w:rPr>
          <w:rStyle w:val="FootnoteReference"/>
          <w:rFonts w:ascii="Palatino Linotype" w:hAnsi="Palatino Linotype" w:cs="Times New Roman"/>
          <w:sz w:val="20"/>
          <w:szCs w:val="20"/>
        </w:rPr>
        <w:footnoteRef/>
      </w:r>
      <w:r w:rsidRPr="005D6811">
        <w:rPr>
          <w:rFonts w:ascii="Palatino Linotype" w:hAnsi="Palatino Linotype" w:cs="Times New Roman"/>
          <w:sz w:val="20"/>
          <w:szCs w:val="20"/>
        </w:rPr>
        <w:t xml:space="preserve"> </w:t>
      </w:r>
      <w:r w:rsidR="00EB2F89" w:rsidRPr="005D6811">
        <w:rPr>
          <w:rFonts w:ascii="Palatino Linotype" w:hAnsi="Palatino Linotype" w:cs="Times New Roman"/>
          <w:sz w:val="20"/>
          <w:szCs w:val="20"/>
        </w:rPr>
        <w:t xml:space="preserve">See Arlene S </w:t>
      </w:r>
      <w:proofErr w:type="spellStart"/>
      <w:r w:rsidR="00EB2F89" w:rsidRPr="005D6811">
        <w:rPr>
          <w:rFonts w:ascii="Palatino Linotype" w:eastAsia="Times New Roman" w:hAnsi="Palatino Linotype" w:cs="Times New Roman"/>
          <w:color w:val="222222"/>
          <w:sz w:val="20"/>
          <w:szCs w:val="20"/>
          <w:shd w:val="clear" w:color="auto" w:fill="FFFFFF"/>
        </w:rPr>
        <w:t>Kanter</w:t>
      </w:r>
      <w:proofErr w:type="spellEnd"/>
      <w:r w:rsidR="00EB2F89" w:rsidRPr="005D6811">
        <w:rPr>
          <w:rFonts w:ascii="Palatino Linotype" w:eastAsia="Times New Roman" w:hAnsi="Palatino Linotype" w:cs="Times New Roman"/>
          <w:color w:val="222222"/>
          <w:sz w:val="20"/>
          <w:szCs w:val="20"/>
          <w:shd w:val="clear" w:color="auto" w:fill="FFFFFF"/>
        </w:rPr>
        <w:t xml:space="preserve"> ‘The Law: What’s Disability S</w:t>
      </w:r>
      <w:r w:rsidRPr="005D6811">
        <w:rPr>
          <w:rFonts w:ascii="Palatino Linotype" w:eastAsia="Times New Roman" w:hAnsi="Palatino Linotype" w:cs="Times New Roman"/>
          <w:color w:val="222222"/>
          <w:sz w:val="20"/>
          <w:szCs w:val="20"/>
          <w:shd w:val="clear" w:color="auto" w:fill="FFFFFF"/>
        </w:rPr>
        <w:t xml:space="preserve">tudies </w:t>
      </w:r>
      <w:r w:rsidR="00EB2F89" w:rsidRPr="005D6811">
        <w:rPr>
          <w:rFonts w:ascii="Palatino Linotype" w:eastAsia="Times New Roman" w:hAnsi="Palatino Linotype" w:cs="Times New Roman"/>
          <w:color w:val="222222"/>
          <w:sz w:val="20"/>
          <w:szCs w:val="20"/>
          <w:shd w:val="clear" w:color="auto" w:fill="FFFFFF"/>
        </w:rPr>
        <w:t>Got to D</w:t>
      </w:r>
      <w:r w:rsidRPr="005D6811">
        <w:rPr>
          <w:rFonts w:ascii="Palatino Linotype" w:eastAsia="Times New Roman" w:hAnsi="Palatino Linotype" w:cs="Times New Roman"/>
          <w:color w:val="222222"/>
          <w:sz w:val="20"/>
          <w:szCs w:val="20"/>
          <w:shd w:val="clear" w:color="auto" w:fill="FFFFFF"/>
        </w:rPr>
        <w:t xml:space="preserve">o with </w:t>
      </w:r>
      <w:r w:rsidR="00EB2F89" w:rsidRPr="005D6811">
        <w:rPr>
          <w:rFonts w:ascii="Palatino Linotype" w:eastAsia="Times New Roman" w:hAnsi="Palatino Linotype" w:cs="Times New Roman"/>
          <w:color w:val="222222"/>
          <w:sz w:val="20"/>
          <w:szCs w:val="20"/>
          <w:shd w:val="clear" w:color="auto" w:fill="FFFFFF"/>
        </w:rPr>
        <w:t>I</w:t>
      </w:r>
      <w:r w:rsidRPr="005D6811">
        <w:rPr>
          <w:rFonts w:ascii="Palatino Linotype" w:eastAsia="Times New Roman" w:hAnsi="Palatino Linotype" w:cs="Times New Roman"/>
          <w:color w:val="222222"/>
          <w:sz w:val="20"/>
          <w:szCs w:val="20"/>
          <w:shd w:val="clear" w:color="auto" w:fill="FFFFFF"/>
        </w:rPr>
        <w:t xml:space="preserve">t or </w:t>
      </w:r>
      <w:r w:rsidR="00EB2F89" w:rsidRPr="005D6811">
        <w:rPr>
          <w:rFonts w:ascii="Palatino Linotype" w:eastAsia="Times New Roman" w:hAnsi="Palatino Linotype" w:cs="Times New Roman"/>
          <w:color w:val="222222"/>
          <w:sz w:val="20"/>
          <w:szCs w:val="20"/>
          <w:shd w:val="clear" w:color="auto" w:fill="FFFFFF"/>
        </w:rPr>
        <w:t>A</w:t>
      </w:r>
      <w:r w:rsidRPr="005D6811">
        <w:rPr>
          <w:rFonts w:ascii="Palatino Linotype" w:eastAsia="Times New Roman" w:hAnsi="Palatino Linotype" w:cs="Times New Roman"/>
          <w:color w:val="222222"/>
          <w:sz w:val="20"/>
          <w:szCs w:val="20"/>
          <w:shd w:val="clear" w:color="auto" w:fill="FFFFFF"/>
        </w:rPr>
        <w:t xml:space="preserve">n </w:t>
      </w:r>
      <w:r w:rsidR="00EB2F89" w:rsidRPr="005D6811">
        <w:rPr>
          <w:rFonts w:ascii="Palatino Linotype" w:eastAsia="Times New Roman" w:hAnsi="Palatino Linotype" w:cs="Times New Roman"/>
          <w:color w:val="222222"/>
          <w:sz w:val="20"/>
          <w:szCs w:val="20"/>
          <w:shd w:val="clear" w:color="auto" w:fill="FFFFFF"/>
        </w:rPr>
        <w:t>I</w:t>
      </w:r>
      <w:r w:rsidRPr="005D6811">
        <w:rPr>
          <w:rFonts w:ascii="Palatino Linotype" w:eastAsia="Times New Roman" w:hAnsi="Palatino Linotype" w:cs="Times New Roman"/>
          <w:color w:val="222222"/>
          <w:sz w:val="20"/>
          <w:szCs w:val="20"/>
          <w:shd w:val="clear" w:color="auto" w:fill="FFFFFF"/>
        </w:rPr>
        <w:t xml:space="preserve">ntroduction to </w:t>
      </w:r>
      <w:r w:rsidR="00EB2F89" w:rsidRPr="005D6811">
        <w:rPr>
          <w:rFonts w:ascii="Palatino Linotype" w:eastAsia="Times New Roman" w:hAnsi="Palatino Linotype" w:cs="Times New Roman"/>
          <w:color w:val="222222"/>
          <w:sz w:val="20"/>
          <w:szCs w:val="20"/>
          <w:shd w:val="clear" w:color="auto" w:fill="FFFFFF"/>
        </w:rPr>
        <w:t>D</w:t>
      </w:r>
      <w:r w:rsidRPr="005D6811">
        <w:rPr>
          <w:rFonts w:ascii="Palatino Linotype" w:eastAsia="Times New Roman" w:hAnsi="Palatino Linotype" w:cs="Times New Roman"/>
          <w:color w:val="222222"/>
          <w:sz w:val="20"/>
          <w:szCs w:val="20"/>
          <w:shd w:val="clear" w:color="auto" w:fill="FFFFFF"/>
        </w:rPr>
        <w:t xml:space="preserve">isability </w:t>
      </w:r>
      <w:r w:rsidR="00EB2F89" w:rsidRPr="005D6811">
        <w:rPr>
          <w:rFonts w:ascii="Palatino Linotype" w:eastAsia="Times New Roman" w:hAnsi="Palatino Linotype" w:cs="Times New Roman"/>
          <w:color w:val="222222"/>
          <w:sz w:val="20"/>
          <w:szCs w:val="20"/>
          <w:shd w:val="clear" w:color="auto" w:fill="FFFFFF"/>
        </w:rPr>
        <w:t>Legal S</w:t>
      </w:r>
      <w:r w:rsidRPr="005D6811">
        <w:rPr>
          <w:rFonts w:ascii="Palatino Linotype" w:eastAsia="Times New Roman" w:hAnsi="Palatino Linotype" w:cs="Times New Roman"/>
          <w:color w:val="222222"/>
          <w:sz w:val="20"/>
          <w:szCs w:val="20"/>
          <w:shd w:val="clear" w:color="auto" w:fill="FFFFFF"/>
        </w:rPr>
        <w:t>tudies’</w:t>
      </w:r>
      <w:r w:rsidR="00EB2F89" w:rsidRPr="005D6811">
        <w:rPr>
          <w:rFonts w:ascii="Palatino Linotype" w:eastAsia="Times New Roman" w:hAnsi="Palatino Linotype" w:cs="Times New Roman"/>
          <w:color w:val="222222"/>
          <w:sz w:val="20"/>
          <w:szCs w:val="20"/>
          <w:shd w:val="clear" w:color="auto" w:fill="FFFFFF"/>
        </w:rPr>
        <w:t xml:space="preserve"> (2011) 42(2)</w:t>
      </w:r>
      <w:r w:rsidRPr="005D6811">
        <w:rPr>
          <w:rStyle w:val="apple-converted-space"/>
          <w:rFonts w:ascii="Palatino Linotype" w:eastAsia="Times New Roman" w:hAnsi="Palatino Linotype" w:cs="Times New Roman"/>
          <w:i/>
          <w:color w:val="222222"/>
          <w:sz w:val="20"/>
          <w:szCs w:val="20"/>
          <w:shd w:val="clear" w:color="auto" w:fill="FFFFFF"/>
        </w:rPr>
        <w:t> </w:t>
      </w:r>
      <w:r w:rsidRPr="005D6811">
        <w:rPr>
          <w:rFonts w:ascii="Palatino Linotype" w:eastAsia="Times New Roman" w:hAnsi="Palatino Linotype" w:cs="Times New Roman"/>
          <w:i/>
          <w:iCs/>
          <w:color w:val="222222"/>
          <w:sz w:val="20"/>
          <w:szCs w:val="20"/>
          <w:shd w:val="clear" w:color="auto" w:fill="FFFFFF"/>
        </w:rPr>
        <w:t>Columbia Human Rights Law Review</w:t>
      </w:r>
      <w:r w:rsidR="00EB2F89" w:rsidRPr="005D6811">
        <w:rPr>
          <w:rFonts w:ascii="Palatino Linotype" w:eastAsia="Times New Roman" w:hAnsi="Palatino Linotype" w:cs="Times New Roman"/>
          <w:iCs/>
          <w:color w:val="222222"/>
          <w:sz w:val="20"/>
          <w:szCs w:val="20"/>
          <w:shd w:val="clear" w:color="auto" w:fill="FFFFFF"/>
        </w:rPr>
        <w:t xml:space="preserve"> </w:t>
      </w:r>
      <w:r w:rsidRPr="005D6811">
        <w:rPr>
          <w:rFonts w:ascii="Palatino Linotype" w:eastAsia="Times New Roman" w:hAnsi="Palatino Linotype" w:cs="Times New Roman"/>
          <w:color w:val="222222"/>
          <w:sz w:val="20"/>
          <w:szCs w:val="20"/>
          <w:shd w:val="clear" w:color="auto" w:fill="FFFFFF"/>
        </w:rPr>
        <w:t xml:space="preserve">40; </w:t>
      </w:r>
      <w:proofErr w:type="spellStart"/>
      <w:r w:rsidR="00EB2F89" w:rsidRPr="005D6811">
        <w:rPr>
          <w:rFonts w:ascii="Palatino Linotype" w:eastAsia="Times New Roman" w:hAnsi="Palatino Linotype" w:cs="Times New Roman"/>
          <w:color w:val="222222"/>
          <w:sz w:val="20"/>
          <w:szCs w:val="20"/>
          <w:shd w:val="clear" w:color="auto" w:fill="FFFFFF"/>
        </w:rPr>
        <w:t>Rannveig</w:t>
      </w:r>
      <w:proofErr w:type="spellEnd"/>
      <w:r w:rsidR="00EB2F89" w:rsidRPr="005D6811">
        <w:rPr>
          <w:rFonts w:ascii="Palatino Linotype" w:eastAsia="Times New Roman" w:hAnsi="Palatino Linotype" w:cs="Times New Roman"/>
          <w:color w:val="222222"/>
          <w:sz w:val="20"/>
          <w:szCs w:val="20"/>
          <w:shd w:val="clear" w:color="auto" w:fill="FFFFFF"/>
        </w:rPr>
        <w:t xml:space="preserve"> </w:t>
      </w:r>
      <w:proofErr w:type="spellStart"/>
      <w:r w:rsidRPr="005D6811">
        <w:rPr>
          <w:rFonts w:ascii="Palatino Linotype" w:hAnsi="Palatino Linotype" w:cs="Times New Roman"/>
          <w:sz w:val="20"/>
          <w:szCs w:val="20"/>
        </w:rPr>
        <w:t>Traustadóttir</w:t>
      </w:r>
      <w:proofErr w:type="spellEnd"/>
      <w:r w:rsidR="00EB2F89" w:rsidRPr="005D6811">
        <w:rPr>
          <w:rFonts w:ascii="Palatino Linotype" w:hAnsi="Palatino Linotype" w:cs="Times New Roman"/>
          <w:sz w:val="20"/>
          <w:szCs w:val="20"/>
        </w:rPr>
        <w:t>, ‘</w:t>
      </w:r>
      <w:r w:rsidRPr="005D6811">
        <w:rPr>
          <w:rFonts w:ascii="Palatino Linotype" w:hAnsi="Palatino Linotype" w:cs="Times New Roman"/>
          <w:sz w:val="20"/>
          <w:szCs w:val="20"/>
        </w:rPr>
        <w:t xml:space="preserve">Disability </w:t>
      </w:r>
      <w:r w:rsidR="00EB2F89" w:rsidRPr="005D6811">
        <w:rPr>
          <w:rFonts w:ascii="Palatino Linotype" w:hAnsi="Palatino Linotype" w:cs="Times New Roman"/>
          <w:sz w:val="20"/>
          <w:szCs w:val="20"/>
        </w:rPr>
        <w:t>S</w:t>
      </w:r>
      <w:r w:rsidRPr="005D6811">
        <w:rPr>
          <w:rFonts w:ascii="Palatino Linotype" w:hAnsi="Palatino Linotype" w:cs="Times New Roman"/>
          <w:sz w:val="20"/>
          <w:szCs w:val="20"/>
        </w:rPr>
        <w:t xml:space="preserve">tudies, the </w:t>
      </w:r>
      <w:r w:rsidR="00EB2F89" w:rsidRPr="005D6811">
        <w:rPr>
          <w:rFonts w:ascii="Palatino Linotype" w:hAnsi="Palatino Linotype" w:cs="Times New Roman"/>
          <w:sz w:val="20"/>
          <w:szCs w:val="20"/>
        </w:rPr>
        <w:t>Social M</w:t>
      </w:r>
      <w:r w:rsidRPr="005D6811">
        <w:rPr>
          <w:rFonts w:ascii="Palatino Linotype" w:hAnsi="Palatino Linotype" w:cs="Times New Roman"/>
          <w:sz w:val="20"/>
          <w:szCs w:val="20"/>
        </w:rPr>
        <w:t xml:space="preserve">odel and </w:t>
      </w:r>
      <w:r w:rsidR="00EB2F89" w:rsidRPr="005D6811">
        <w:rPr>
          <w:rFonts w:ascii="Palatino Linotype" w:hAnsi="Palatino Linotype" w:cs="Times New Roman"/>
          <w:sz w:val="20"/>
          <w:szCs w:val="20"/>
        </w:rPr>
        <w:t>L</w:t>
      </w:r>
      <w:r w:rsidRPr="005D6811">
        <w:rPr>
          <w:rFonts w:ascii="Palatino Linotype" w:hAnsi="Palatino Linotype" w:cs="Times New Roman"/>
          <w:sz w:val="20"/>
          <w:szCs w:val="20"/>
        </w:rPr>
        <w:t>egal</w:t>
      </w:r>
      <w:r w:rsidR="00EB2F89" w:rsidRPr="005D6811">
        <w:rPr>
          <w:rFonts w:ascii="Palatino Linotype" w:hAnsi="Palatino Linotype" w:cs="Times New Roman"/>
          <w:sz w:val="20"/>
          <w:szCs w:val="20"/>
        </w:rPr>
        <w:t xml:space="preserve"> De</w:t>
      </w:r>
      <w:r w:rsidRPr="005D6811">
        <w:rPr>
          <w:rFonts w:ascii="Palatino Linotype" w:hAnsi="Palatino Linotype" w:cs="Times New Roman"/>
          <w:sz w:val="20"/>
          <w:szCs w:val="20"/>
        </w:rPr>
        <w:t>velopments</w:t>
      </w:r>
      <w:r w:rsidR="00EB2F89" w:rsidRPr="005D6811">
        <w:rPr>
          <w:rFonts w:ascii="Palatino Linotype" w:hAnsi="Palatino Linotype" w:cs="Times New Roman"/>
          <w:sz w:val="20"/>
          <w:szCs w:val="20"/>
        </w:rPr>
        <w:t xml:space="preserve">’ in </w:t>
      </w:r>
      <w:proofErr w:type="spellStart"/>
      <w:r w:rsidR="00EB2F89" w:rsidRPr="005D6811">
        <w:rPr>
          <w:rFonts w:ascii="Palatino Linotype" w:hAnsi="Palatino Linotype" w:cs="Times New Roman"/>
          <w:sz w:val="20"/>
          <w:szCs w:val="20"/>
        </w:rPr>
        <w:t>Oddný</w:t>
      </w:r>
      <w:proofErr w:type="spellEnd"/>
      <w:r w:rsidR="00EB2F89" w:rsidRPr="005D6811">
        <w:rPr>
          <w:rFonts w:ascii="Palatino Linotype" w:hAnsi="Palatino Linotype" w:cs="Times New Roman"/>
          <w:sz w:val="20"/>
          <w:szCs w:val="20"/>
        </w:rPr>
        <w:t xml:space="preserve"> </w:t>
      </w:r>
      <w:proofErr w:type="spellStart"/>
      <w:r w:rsidR="00EB2F89" w:rsidRPr="005D6811">
        <w:rPr>
          <w:rFonts w:ascii="Palatino Linotype" w:hAnsi="Palatino Linotype" w:cs="Times New Roman"/>
          <w:sz w:val="20"/>
          <w:szCs w:val="20"/>
        </w:rPr>
        <w:t>Mjöll</w:t>
      </w:r>
      <w:proofErr w:type="spellEnd"/>
      <w:r w:rsidR="00EB2F89" w:rsidRPr="005D6811">
        <w:rPr>
          <w:rFonts w:ascii="Palatino Linotype" w:hAnsi="Palatino Linotype" w:cs="Times New Roman"/>
          <w:sz w:val="20"/>
          <w:szCs w:val="20"/>
        </w:rPr>
        <w:t xml:space="preserve"> </w:t>
      </w:r>
      <w:proofErr w:type="spellStart"/>
      <w:r w:rsidR="00EB2F89" w:rsidRPr="005D6811">
        <w:rPr>
          <w:rFonts w:ascii="Palatino Linotype" w:hAnsi="Palatino Linotype" w:cs="Times New Roman"/>
          <w:sz w:val="20"/>
          <w:szCs w:val="20"/>
        </w:rPr>
        <w:t>Arnardóttir</w:t>
      </w:r>
      <w:proofErr w:type="spellEnd"/>
      <w:r w:rsidR="00EB2F89" w:rsidRPr="005D6811">
        <w:rPr>
          <w:rFonts w:ascii="Palatino Linotype" w:hAnsi="Palatino Linotype" w:cs="Times New Roman"/>
          <w:sz w:val="20"/>
          <w:szCs w:val="20"/>
        </w:rPr>
        <w:t xml:space="preserve"> and</w:t>
      </w:r>
      <w:r w:rsidRPr="005D6811">
        <w:rPr>
          <w:rFonts w:ascii="Palatino Linotype" w:hAnsi="Palatino Linotype" w:cs="Times New Roman"/>
          <w:sz w:val="20"/>
          <w:szCs w:val="20"/>
        </w:rPr>
        <w:t xml:space="preserve"> G</w:t>
      </w:r>
      <w:r w:rsidR="00EB2F89" w:rsidRPr="005D6811">
        <w:rPr>
          <w:rFonts w:ascii="Palatino Linotype" w:hAnsi="Palatino Linotype" w:cs="Times New Roman"/>
          <w:sz w:val="20"/>
          <w:szCs w:val="20"/>
        </w:rPr>
        <w:t>erard</w:t>
      </w:r>
      <w:r w:rsidRPr="005D6811">
        <w:rPr>
          <w:rFonts w:ascii="Palatino Linotype" w:hAnsi="Palatino Linotype" w:cs="Times New Roman"/>
          <w:sz w:val="20"/>
          <w:szCs w:val="20"/>
        </w:rPr>
        <w:t xml:space="preserve"> Quinn (</w:t>
      </w:r>
      <w:proofErr w:type="spellStart"/>
      <w:r w:rsidRPr="005D6811">
        <w:rPr>
          <w:rFonts w:ascii="Palatino Linotype" w:hAnsi="Palatino Linotype" w:cs="Times New Roman"/>
          <w:sz w:val="20"/>
          <w:szCs w:val="20"/>
        </w:rPr>
        <w:t>eds</w:t>
      </w:r>
      <w:proofErr w:type="spellEnd"/>
      <w:r w:rsidR="00EB2F89" w:rsidRPr="005D6811">
        <w:rPr>
          <w:rFonts w:ascii="Palatino Linotype" w:hAnsi="Palatino Linotype" w:cs="Times New Roman"/>
          <w:sz w:val="20"/>
          <w:szCs w:val="20"/>
        </w:rPr>
        <w:t xml:space="preserve">), </w:t>
      </w:r>
      <w:r w:rsidRPr="005D6811">
        <w:rPr>
          <w:rFonts w:ascii="Palatino Linotype" w:hAnsi="Palatino Linotype" w:cs="Times New Roman"/>
          <w:i/>
          <w:sz w:val="20"/>
          <w:szCs w:val="20"/>
        </w:rPr>
        <w:t>The Un</w:t>
      </w:r>
      <w:r w:rsidR="00EB2F89" w:rsidRPr="005D6811">
        <w:rPr>
          <w:rFonts w:ascii="Palatino Linotype" w:hAnsi="Palatino Linotype" w:cs="Times New Roman"/>
          <w:i/>
          <w:sz w:val="20"/>
          <w:szCs w:val="20"/>
        </w:rPr>
        <w:t>ited Nations Convention on the R</w:t>
      </w:r>
      <w:r w:rsidRPr="005D6811">
        <w:rPr>
          <w:rFonts w:ascii="Palatino Linotype" w:hAnsi="Palatino Linotype" w:cs="Times New Roman"/>
          <w:i/>
          <w:sz w:val="20"/>
          <w:szCs w:val="20"/>
        </w:rPr>
        <w:t xml:space="preserve">ights of </w:t>
      </w:r>
      <w:r w:rsidR="00EB2F89" w:rsidRPr="005D6811">
        <w:rPr>
          <w:rFonts w:ascii="Palatino Linotype" w:hAnsi="Palatino Linotype" w:cs="Times New Roman"/>
          <w:i/>
          <w:sz w:val="20"/>
          <w:szCs w:val="20"/>
        </w:rPr>
        <w:t>Persons with D</w:t>
      </w:r>
      <w:r w:rsidRPr="005D6811">
        <w:rPr>
          <w:rFonts w:ascii="Palatino Linotype" w:hAnsi="Palatino Linotype" w:cs="Times New Roman"/>
          <w:i/>
          <w:sz w:val="20"/>
          <w:szCs w:val="20"/>
        </w:rPr>
        <w:t xml:space="preserve">isabilities: European and Scandinavian </w:t>
      </w:r>
      <w:r w:rsidR="00EB2F89" w:rsidRPr="005D6811">
        <w:rPr>
          <w:rFonts w:ascii="Palatino Linotype" w:hAnsi="Palatino Linotype" w:cs="Times New Roman"/>
          <w:i/>
          <w:sz w:val="20"/>
          <w:szCs w:val="20"/>
        </w:rPr>
        <w:t>P</w:t>
      </w:r>
      <w:r w:rsidRPr="005D6811">
        <w:rPr>
          <w:rFonts w:ascii="Palatino Linotype" w:hAnsi="Palatino Linotype" w:cs="Times New Roman"/>
          <w:i/>
          <w:sz w:val="20"/>
          <w:szCs w:val="20"/>
        </w:rPr>
        <w:t xml:space="preserve">erspectives </w:t>
      </w:r>
      <w:r w:rsidR="0019630B" w:rsidRPr="005D6811">
        <w:rPr>
          <w:rFonts w:ascii="Palatino Linotype" w:hAnsi="Palatino Linotype" w:cs="Times New Roman"/>
          <w:sz w:val="20"/>
          <w:szCs w:val="20"/>
        </w:rPr>
        <w:t>(</w:t>
      </w:r>
      <w:proofErr w:type="spellStart"/>
      <w:r w:rsidR="0019630B" w:rsidRPr="005D6811">
        <w:rPr>
          <w:rFonts w:ascii="Palatino Linotype" w:hAnsi="Palatino Linotype" w:cs="Times New Roman"/>
          <w:sz w:val="20"/>
          <w:szCs w:val="20"/>
        </w:rPr>
        <w:t>Martinus</w:t>
      </w:r>
      <w:proofErr w:type="spellEnd"/>
      <w:r w:rsidR="00A16449" w:rsidRPr="005D6811">
        <w:rPr>
          <w:rFonts w:ascii="Palatino Linotype" w:hAnsi="Palatino Linotype" w:cs="Times New Roman"/>
          <w:sz w:val="20"/>
          <w:szCs w:val="20"/>
        </w:rPr>
        <w:t xml:space="preserve"> </w:t>
      </w:r>
      <w:proofErr w:type="spellStart"/>
      <w:r w:rsidR="00A16449" w:rsidRPr="005D6811">
        <w:rPr>
          <w:rFonts w:ascii="Palatino Linotype" w:hAnsi="Palatino Linotype" w:cs="Times New Roman"/>
          <w:sz w:val="20"/>
          <w:szCs w:val="20"/>
        </w:rPr>
        <w:t>Nijhoff</w:t>
      </w:r>
      <w:proofErr w:type="spellEnd"/>
      <w:r w:rsidR="00A16449" w:rsidRPr="005D6811">
        <w:rPr>
          <w:rFonts w:ascii="Palatino Linotype" w:hAnsi="Palatino Linotype" w:cs="Times New Roman"/>
          <w:sz w:val="20"/>
          <w:szCs w:val="20"/>
        </w:rPr>
        <w:t xml:space="preserve"> Publishers, 2009) 1.</w:t>
      </w:r>
    </w:p>
  </w:footnote>
  <w:footnote w:id="40">
    <w:p w14:paraId="33A35EDE" w14:textId="57E072CD" w:rsidR="00432F6E" w:rsidRPr="005D6811" w:rsidRDefault="00432F6E">
      <w:pPr>
        <w:pStyle w:val="FootnoteText"/>
        <w:rPr>
          <w:rFonts w:ascii="Palatino Linotype" w:hAnsi="Palatino Linotype"/>
          <w:sz w:val="20"/>
          <w:szCs w:val="20"/>
        </w:rPr>
      </w:pPr>
      <w:r w:rsidRPr="005D6811">
        <w:rPr>
          <w:rStyle w:val="FootnoteReference"/>
          <w:rFonts w:ascii="Palatino Linotype" w:hAnsi="Palatino Linotype"/>
          <w:sz w:val="20"/>
          <w:szCs w:val="20"/>
        </w:rPr>
        <w:footnoteRef/>
      </w:r>
      <w:r w:rsidR="00EC675F" w:rsidRPr="005D6811">
        <w:rPr>
          <w:rFonts w:ascii="Palatino Linotype" w:hAnsi="Palatino Linotype"/>
          <w:sz w:val="20"/>
          <w:szCs w:val="20"/>
        </w:rPr>
        <w:t xml:space="preserve"> </w:t>
      </w:r>
      <w:proofErr w:type="spellStart"/>
      <w:r w:rsidR="00EC675F" w:rsidRPr="005D6811">
        <w:rPr>
          <w:rFonts w:ascii="Palatino Linotype" w:hAnsi="Palatino Linotype"/>
          <w:sz w:val="20"/>
          <w:szCs w:val="20"/>
        </w:rPr>
        <w:t>Degener</w:t>
      </w:r>
      <w:proofErr w:type="spellEnd"/>
      <w:r w:rsidR="00EC675F" w:rsidRPr="005D6811">
        <w:rPr>
          <w:rFonts w:ascii="Palatino Linotype" w:hAnsi="Palatino Linotype"/>
          <w:sz w:val="20"/>
          <w:szCs w:val="20"/>
        </w:rPr>
        <w:t xml:space="preserve">, above n </w:t>
      </w:r>
      <w:r w:rsidR="00EC675F" w:rsidRPr="005D6811">
        <w:rPr>
          <w:rFonts w:ascii="Palatino Linotype" w:hAnsi="Palatino Linotype"/>
          <w:sz w:val="20"/>
          <w:szCs w:val="20"/>
        </w:rPr>
        <w:fldChar w:fldCharType="begin"/>
      </w:r>
      <w:r w:rsidR="00EC675F" w:rsidRPr="005D6811">
        <w:rPr>
          <w:rFonts w:ascii="Palatino Linotype" w:hAnsi="Palatino Linotype"/>
          <w:sz w:val="20"/>
          <w:szCs w:val="20"/>
        </w:rPr>
        <w:instrText xml:space="preserve"> NOTEREF _Ref517949750 \h  \* MERGEFORMAT </w:instrText>
      </w:r>
      <w:r w:rsidR="00EC675F" w:rsidRPr="005D6811">
        <w:rPr>
          <w:rFonts w:ascii="Palatino Linotype" w:hAnsi="Palatino Linotype"/>
          <w:sz w:val="20"/>
          <w:szCs w:val="20"/>
        </w:rPr>
      </w:r>
      <w:r w:rsidR="00EC675F" w:rsidRPr="005D6811">
        <w:rPr>
          <w:rFonts w:ascii="Palatino Linotype" w:hAnsi="Palatino Linotype"/>
          <w:sz w:val="20"/>
          <w:szCs w:val="20"/>
        </w:rPr>
        <w:fldChar w:fldCharType="separate"/>
      </w:r>
      <w:r w:rsidR="00EC675F" w:rsidRPr="005D6811">
        <w:rPr>
          <w:rFonts w:ascii="Palatino Linotype" w:hAnsi="Palatino Linotype"/>
          <w:sz w:val="20"/>
          <w:szCs w:val="20"/>
        </w:rPr>
        <w:t>29</w:t>
      </w:r>
      <w:r w:rsidR="00EC675F" w:rsidRPr="005D6811">
        <w:rPr>
          <w:rFonts w:ascii="Palatino Linotype" w:hAnsi="Palatino Linotype"/>
          <w:sz w:val="20"/>
          <w:szCs w:val="20"/>
        </w:rPr>
        <w:fldChar w:fldCharType="end"/>
      </w:r>
      <w:r w:rsidR="00EC675F" w:rsidRPr="005D6811">
        <w:rPr>
          <w:rFonts w:ascii="Palatino Linotype" w:hAnsi="Palatino Linotype"/>
          <w:sz w:val="20"/>
          <w:szCs w:val="20"/>
        </w:rPr>
        <w:t>.</w:t>
      </w:r>
    </w:p>
  </w:footnote>
  <w:footnote w:id="41">
    <w:p w14:paraId="0A7D01F8" w14:textId="2AAB9732" w:rsidR="005150A8" w:rsidRPr="005D6811" w:rsidRDefault="005150A8" w:rsidP="005150A8">
      <w:pPr>
        <w:pStyle w:val="FootnoteText"/>
        <w:rPr>
          <w:rFonts w:ascii="Palatino Linotype" w:hAnsi="Palatino Linotype"/>
          <w:sz w:val="20"/>
          <w:szCs w:val="20"/>
          <w:lang w:val="en-AU"/>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Pr="005D6811">
        <w:rPr>
          <w:rFonts w:ascii="Palatino Linotype" w:hAnsi="Palatino Linotype"/>
          <w:sz w:val="20"/>
          <w:szCs w:val="20"/>
          <w:lang w:val="en-AU"/>
        </w:rPr>
        <w:t xml:space="preserve">Kris Gledhill, ‘Establishing </w:t>
      </w:r>
      <w:proofErr w:type="gramStart"/>
      <w:r w:rsidRPr="005D6811">
        <w:rPr>
          <w:rFonts w:ascii="Palatino Linotype" w:hAnsi="Palatino Linotype"/>
          <w:sz w:val="20"/>
          <w:szCs w:val="20"/>
          <w:lang w:val="en-AU"/>
        </w:rPr>
        <w:t>An</w:t>
      </w:r>
      <w:proofErr w:type="gramEnd"/>
      <w:r w:rsidRPr="005D6811">
        <w:rPr>
          <w:rFonts w:ascii="Palatino Linotype" w:hAnsi="Palatino Linotype"/>
          <w:sz w:val="20"/>
          <w:szCs w:val="20"/>
          <w:lang w:val="en-AU"/>
        </w:rPr>
        <w:t xml:space="preserve"> International Human Rights Clinic in the New Zealand Context’ (2013) 19 </w:t>
      </w:r>
      <w:r w:rsidRPr="005D6811">
        <w:rPr>
          <w:rFonts w:ascii="Palatino Linotype" w:hAnsi="Palatino Linotype"/>
          <w:i/>
          <w:sz w:val="20"/>
          <w:szCs w:val="20"/>
          <w:lang w:val="en-AU"/>
        </w:rPr>
        <w:t>International Journal of Clinical Legal Education</w:t>
      </w:r>
      <w:r w:rsidR="00282502" w:rsidRPr="005D6811">
        <w:rPr>
          <w:rFonts w:ascii="Palatino Linotype" w:hAnsi="Palatino Linotype"/>
          <w:sz w:val="20"/>
          <w:szCs w:val="20"/>
          <w:lang w:val="en-AU"/>
        </w:rPr>
        <w:t xml:space="preserve"> 295</w:t>
      </w:r>
      <w:r w:rsidRPr="005D6811">
        <w:rPr>
          <w:rFonts w:ascii="Palatino Linotype" w:hAnsi="Palatino Linotype"/>
          <w:sz w:val="20"/>
          <w:szCs w:val="20"/>
          <w:lang w:val="en-AU"/>
        </w:rPr>
        <w:t xml:space="preserve"> &lt;</w:t>
      </w:r>
      <w:hyperlink r:id="rId10" w:history="1">
        <w:r w:rsidRPr="005D6811">
          <w:rPr>
            <w:rStyle w:val="Hyperlink"/>
            <w:rFonts w:ascii="Palatino Linotype" w:hAnsi="Palatino Linotype"/>
            <w:sz w:val="20"/>
            <w:szCs w:val="20"/>
            <w:lang w:val="en-AU"/>
          </w:rPr>
          <w:t>http://dx.doi.org/10.19164/ijcle.v19i0.31</w:t>
        </w:r>
      </w:hyperlink>
      <w:r w:rsidRPr="005D6811">
        <w:rPr>
          <w:rFonts w:ascii="Palatino Linotype" w:hAnsi="Palatino Linotype"/>
          <w:sz w:val="20"/>
          <w:szCs w:val="20"/>
          <w:lang w:val="en-AU"/>
        </w:rPr>
        <w:t>&gt;.</w:t>
      </w:r>
      <w:r w:rsidRPr="005D6811">
        <w:rPr>
          <w:rFonts w:ascii="Palatino Linotype" w:hAnsi="Palatino Linotype"/>
          <w:sz w:val="20"/>
          <w:szCs w:val="20"/>
          <w:lang w:val="en-AU"/>
        </w:rPr>
        <w:tab/>
      </w:r>
    </w:p>
  </w:footnote>
  <w:footnote w:id="42">
    <w:p w14:paraId="198580F8" w14:textId="6EB61145" w:rsidR="00C14E9B" w:rsidRPr="005D6811" w:rsidRDefault="00C14E9B">
      <w:pPr>
        <w:pStyle w:val="FootnoteText"/>
        <w:rPr>
          <w:rFonts w:ascii="Palatino Linotype" w:hAnsi="Palatino Linotype"/>
          <w:sz w:val="20"/>
          <w:szCs w:val="20"/>
          <w:lang w:val="en-AU"/>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Pr="005D6811">
        <w:rPr>
          <w:rFonts w:ascii="Palatino Linotype" w:hAnsi="Palatino Linotype"/>
          <w:sz w:val="20"/>
          <w:szCs w:val="20"/>
          <w:lang w:val="en-AU"/>
        </w:rPr>
        <w:t xml:space="preserve">Michael </w:t>
      </w:r>
      <w:proofErr w:type="spellStart"/>
      <w:r w:rsidRPr="005D6811">
        <w:rPr>
          <w:rFonts w:ascii="Palatino Linotype" w:hAnsi="Palatino Linotype"/>
          <w:sz w:val="20"/>
          <w:szCs w:val="20"/>
          <w:lang w:val="en-AU"/>
        </w:rPr>
        <w:t>Loi</w:t>
      </w:r>
      <w:proofErr w:type="spellEnd"/>
      <w:r w:rsidRPr="005D6811">
        <w:rPr>
          <w:rFonts w:ascii="Palatino Linotype" w:hAnsi="Palatino Linotype"/>
          <w:sz w:val="20"/>
          <w:szCs w:val="20"/>
          <w:lang w:val="en-AU"/>
        </w:rPr>
        <w:t xml:space="preserve"> &amp; Maria </w:t>
      </w:r>
      <w:proofErr w:type="spellStart"/>
      <w:r w:rsidRPr="005D6811">
        <w:rPr>
          <w:rFonts w:ascii="Palatino Linotype" w:hAnsi="Palatino Linotype"/>
          <w:sz w:val="20"/>
          <w:szCs w:val="20"/>
          <w:lang w:val="en-AU"/>
        </w:rPr>
        <w:t>Chaira</w:t>
      </w:r>
      <w:proofErr w:type="spellEnd"/>
      <w:r w:rsidRPr="005D6811">
        <w:rPr>
          <w:rFonts w:ascii="Palatino Linotype" w:hAnsi="Palatino Linotype"/>
          <w:sz w:val="20"/>
          <w:szCs w:val="20"/>
          <w:lang w:val="en-AU"/>
        </w:rPr>
        <w:t xml:space="preserve"> Di </w:t>
      </w:r>
      <w:proofErr w:type="spellStart"/>
      <w:r w:rsidRPr="005D6811">
        <w:rPr>
          <w:rFonts w:ascii="Palatino Linotype" w:hAnsi="Palatino Linotype"/>
          <w:sz w:val="20"/>
          <w:szCs w:val="20"/>
          <w:lang w:val="en-AU"/>
        </w:rPr>
        <w:t>Guardo</w:t>
      </w:r>
      <w:proofErr w:type="spellEnd"/>
      <w:r w:rsidRPr="005D6811">
        <w:rPr>
          <w:rFonts w:ascii="Palatino Linotype" w:hAnsi="Palatino Linotype"/>
          <w:sz w:val="20"/>
          <w:szCs w:val="20"/>
          <w:lang w:val="en-AU"/>
        </w:rPr>
        <w:t>, ‘</w:t>
      </w:r>
      <w:proofErr w:type="gramStart"/>
      <w:r w:rsidRPr="005D6811">
        <w:rPr>
          <w:rFonts w:ascii="Palatino Linotype" w:hAnsi="Palatino Linotype"/>
          <w:sz w:val="20"/>
          <w:szCs w:val="20"/>
          <w:lang w:val="en-AU"/>
        </w:rPr>
        <w:t>The</w:t>
      </w:r>
      <w:proofErr w:type="gramEnd"/>
      <w:r w:rsidRPr="005D6811">
        <w:rPr>
          <w:rFonts w:ascii="Palatino Linotype" w:hAnsi="Palatino Linotype"/>
          <w:sz w:val="20"/>
          <w:szCs w:val="20"/>
          <w:lang w:val="en-AU"/>
        </w:rPr>
        <w:t xml:space="preserve"> </w:t>
      </w:r>
      <w:r w:rsidR="00787D4D" w:rsidRPr="005D6811">
        <w:rPr>
          <w:rFonts w:ascii="Palatino Linotype" w:hAnsi="Palatino Linotype"/>
          <w:sz w:val="20"/>
          <w:szCs w:val="20"/>
          <w:lang w:val="en-AU"/>
        </w:rPr>
        <w:t>T</w:t>
      </w:r>
      <w:r w:rsidRPr="005D6811">
        <w:rPr>
          <w:rFonts w:ascii="Palatino Linotype" w:hAnsi="Palatino Linotype"/>
          <w:sz w:val="20"/>
          <w:szCs w:val="20"/>
          <w:lang w:val="en-AU"/>
        </w:rPr>
        <w:t xml:space="preserve">hird </w:t>
      </w:r>
      <w:r w:rsidR="00787D4D" w:rsidRPr="005D6811">
        <w:rPr>
          <w:rFonts w:ascii="Palatino Linotype" w:hAnsi="Palatino Linotype"/>
          <w:sz w:val="20"/>
          <w:szCs w:val="20"/>
          <w:lang w:val="en-AU"/>
        </w:rPr>
        <w:t>M</w:t>
      </w:r>
      <w:r w:rsidRPr="005D6811">
        <w:rPr>
          <w:rFonts w:ascii="Palatino Linotype" w:hAnsi="Palatino Linotype"/>
          <w:sz w:val="20"/>
          <w:szCs w:val="20"/>
          <w:lang w:val="en-AU"/>
        </w:rPr>
        <w:t xml:space="preserve">ission of </w:t>
      </w:r>
      <w:r w:rsidR="00787D4D" w:rsidRPr="005D6811">
        <w:rPr>
          <w:rFonts w:ascii="Palatino Linotype" w:hAnsi="Palatino Linotype"/>
          <w:sz w:val="20"/>
          <w:szCs w:val="20"/>
          <w:lang w:val="en-AU"/>
        </w:rPr>
        <w:t>U</w:t>
      </w:r>
      <w:r w:rsidRPr="005D6811">
        <w:rPr>
          <w:rFonts w:ascii="Palatino Linotype" w:hAnsi="Palatino Linotype"/>
          <w:sz w:val="20"/>
          <w:szCs w:val="20"/>
          <w:lang w:val="en-AU"/>
        </w:rPr>
        <w:t xml:space="preserve">niversities: An </w:t>
      </w:r>
      <w:r w:rsidR="00787D4D" w:rsidRPr="005D6811">
        <w:rPr>
          <w:rFonts w:ascii="Palatino Linotype" w:hAnsi="Palatino Linotype"/>
          <w:sz w:val="20"/>
          <w:szCs w:val="20"/>
          <w:lang w:val="en-AU"/>
        </w:rPr>
        <w:t>I</w:t>
      </w:r>
      <w:r w:rsidRPr="005D6811">
        <w:rPr>
          <w:rFonts w:ascii="Palatino Linotype" w:hAnsi="Palatino Linotype"/>
          <w:sz w:val="20"/>
          <w:szCs w:val="20"/>
          <w:lang w:val="en-AU"/>
        </w:rPr>
        <w:t xml:space="preserve">nvestigation of the </w:t>
      </w:r>
      <w:r w:rsidR="00787D4D" w:rsidRPr="005D6811">
        <w:rPr>
          <w:rFonts w:ascii="Palatino Linotype" w:hAnsi="Palatino Linotype"/>
          <w:sz w:val="20"/>
          <w:szCs w:val="20"/>
          <w:lang w:val="en-AU"/>
        </w:rPr>
        <w:t>E</w:t>
      </w:r>
      <w:r w:rsidRPr="005D6811">
        <w:rPr>
          <w:rFonts w:ascii="Palatino Linotype" w:hAnsi="Palatino Linotype"/>
          <w:sz w:val="20"/>
          <w:szCs w:val="20"/>
          <w:lang w:val="en-AU"/>
        </w:rPr>
        <w:t xml:space="preserve">spoused </w:t>
      </w:r>
      <w:r w:rsidR="00787D4D" w:rsidRPr="005D6811">
        <w:rPr>
          <w:rFonts w:ascii="Palatino Linotype" w:hAnsi="Palatino Linotype"/>
          <w:sz w:val="20"/>
          <w:szCs w:val="20"/>
          <w:lang w:val="en-AU"/>
        </w:rPr>
        <w:t>V</w:t>
      </w:r>
      <w:r w:rsidRPr="005D6811">
        <w:rPr>
          <w:rFonts w:ascii="Palatino Linotype" w:hAnsi="Palatino Linotype"/>
          <w:sz w:val="20"/>
          <w:szCs w:val="20"/>
          <w:lang w:val="en-AU"/>
        </w:rPr>
        <w:t xml:space="preserve">alues’ (2015) 42 </w:t>
      </w:r>
      <w:r w:rsidRPr="005D6811">
        <w:rPr>
          <w:rFonts w:ascii="Palatino Linotype" w:hAnsi="Palatino Linotype"/>
          <w:i/>
          <w:sz w:val="20"/>
          <w:szCs w:val="20"/>
          <w:lang w:val="en-AU"/>
        </w:rPr>
        <w:t>Science and Public Policy</w:t>
      </w:r>
      <w:r w:rsidR="0035568B" w:rsidRPr="005D6811">
        <w:rPr>
          <w:rFonts w:ascii="Palatino Linotype" w:hAnsi="Palatino Linotype"/>
          <w:sz w:val="20"/>
          <w:szCs w:val="20"/>
          <w:lang w:val="en-AU"/>
        </w:rPr>
        <w:t xml:space="preserve"> 855.</w:t>
      </w:r>
      <w:r w:rsidRPr="005D6811">
        <w:rPr>
          <w:rFonts w:ascii="Palatino Linotype" w:hAnsi="Palatino Linotype"/>
          <w:sz w:val="20"/>
          <w:szCs w:val="20"/>
          <w:lang w:val="en-AU"/>
        </w:rPr>
        <w:t xml:space="preserve"> </w:t>
      </w:r>
    </w:p>
  </w:footnote>
  <w:footnote w:id="43">
    <w:p w14:paraId="2597D0E6" w14:textId="0192DDD8" w:rsidR="00C14E9B" w:rsidRPr="005D6811" w:rsidRDefault="00C14E9B" w:rsidP="00005A7A">
      <w:pPr>
        <w:pStyle w:val="FootnoteText"/>
        <w:rPr>
          <w:rFonts w:ascii="Palatino Linotype" w:hAnsi="Palatino Linotype"/>
          <w:sz w:val="20"/>
          <w:szCs w:val="20"/>
          <w:lang w:val="en-US"/>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proofErr w:type="spellStart"/>
      <w:r w:rsidRPr="005D6811">
        <w:rPr>
          <w:rFonts w:ascii="Palatino Linotype" w:hAnsi="Palatino Linotype"/>
          <w:sz w:val="20"/>
          <w:szCs w:val="20"/>
        </w:rPr>
        <w:t>Henk</w:t>
      </w:r>
      <w:proofErr w:type="spellEnd"/>
      <w:r w:rsidRPr="005D6811">
        <w:rPr>
          <w:rFonts w:ascii="Palatino Linotype" w:hAnsi="Palatino Linotype"/>
          <w:sz w:val="20"/>
          <w:szCs w:val="20"/>
        </w:rPr>
        <w:t xml:space="preserve"> A. J. </w:t>
      </w:r>
      <w:r w:rsidR="00310087" w:rsidRPr="005D6811">
        <w:rPr>
          <w:rFonts w:ascii="Palatino Linotype" w:hAnsi="Palatino Linotype"/>
          <w:sz w:val="20"/>
          <w:szCs w:val="20"/>
        </w:rPr>
        <w:t>Mulder</w:t>
      </w:r>
      <w:r w:rsidR="00D42C87" w:rsidRPr="005D6811">
        <w:rPr>
          <w:rFonts w:ascii="Palatino Linotype" w:hAnsi="Palatino Linotype"/>
          <w:sz w:val="20"/>
          <w:szCs w:val="20"/>
        </w:rPr>
        <w:t xml:space="preserve"> and</w:t>
      </w:r>
      <w:r w:rsidRPr="005D6811">
        <w:rPr>
          <w:rFonts w:ascii="Palatino Linotype" w:hAnsi="Palatino Linotype"/>
          <w:sz w:val="20"/>
          <w:szCs w:val="20"/>
        </w:rPr>
        <w:t xml:space="preserve"> Caspar F. M. </w:t>
      </w:r>
      <w:r w:rsidR="00310087" w:rsidRPr="005D6811">
        <w:rPr>
          <w:rFonts w:ascii="Palatino Linotype" w:hAnsi="Palatino Linotype"/>
          <w:sz w:val="20"/>
          <w:szCs w:val="20"/>
        </w:rPr>
        <w:t>De Bok,</w:t>
      </w:r>
      <w:r w:rsidRPr="005D6811">
        <w:rPr>
          <w:rFonts w:ascii="Palatino Linotype" w:hAnsi="Palatino Linotype"/>
          <w:sz w:val="20"/>
          <w:szCs w:val="20"/>
        </w:rPr>
        <w:t xml:space="preserve"> </w:t>
      </w:r>
      <w:r w:rsidR="00310087" w:rsidRPr="005D6811">
        <w:rPr>
          <w:rFonts w:ascii="Palatino Linotype" w:hAnsi="Palatino Linotype"/>
          <w:sz w:val="20"/>
          <w:szCs w:val="20"/>
        </w:rPr>
        <w:t>‘</w:t>
      </w:r>
      <w:r w:rsidRPr="005D6811">
        <w:rPr>
          <w:rFonts w:ascii="Palatino Linotype" w:hAnsi="Palatino Linotype"/>
          <w:sz w:val="20"/>
          <w:szCs w:val="20"/>
        </w:rPr>
        <w:t>Science</w:t>
      </w:r>
      <w:r w:rsidR="00310087" w:rsidRPr="005D6811">
        <w:rPr>
          <w:rFonts w:ascii="Palatino Linotype" w:hAnsi="Palatino Linotype"/>
          <w:sz w:val="20"/>
          <w:szCs w:val="20"/>
        </w:rPr>
        <w:t xml:space="preserve"> Shops as Un</w:t>
      </w:r>
      <w:r w:rsidRPr="005D6811">
        <w:rPr>
          <w:rFonts w:ascii="Palatino Linotype" w:hAnsi="Palatino Linotype"/>
          <w:sz w:val="20"/>
          <w:szCs w:val="20"/>
        </w:rPr>
        <w:t xml:space="preserve">iversity–community </w:t>
      </w:r>
      <w:r w:rsidR="00310087" w:rsidRPr="005D6811">
        <w:rPr>
          <w:rFonts w:ascii="Palatino Linotype" w:hAnsi="Palatino Linotype"/>
          <w:sz w:val="20"/>
          <w:szCs w:val="20"/>
        </w:rPr>
        <w:t>I</w:t>
      </w:r>
      <w:r w:rsidRPr="005D6811">
        <w:rPr>
          <w:rFonts w:ascii="Palatino Linotype" w:hAnsi="Palatino Linotype"/>
          <w:sz w:val="20"/>
          <w:szCs w:val="20"/>
        </w:rPr>
        <w:t>nterfaces:</w:t>
      </w:r>
      <w:r w:rsidR="00310087" w:rsidRPr="005D6811">
        <w:rPr>
          <w:rFonts w:ascii="Palatino Linotype" w:hAnsi="Palatino Linotype"/>
          <w:sz w:val="20"/>
          <w:szCs w:val="20"/>
        </w:rPr>
        <w:t xml:space="preserve"> A</w:t>
      </w:r>
      <w:r w:rsidRPr="005D6811">
        <w:rPr>
          <w:rFonts w:ascii="Palatino Linotype" w:hAnsi="Palatino Linotype"/>
          <w:sz w:val="20"/>
          <w:szCs w:val="20"/>
        </w:rPr>
        <w:t xml:space="preserve">n </w:t>
      </w:r>
      <w:r w:rsidR="00310087" w:rsidRPr="005D6811">
        <w:rPr>
          <w:rFonts w:ascii="Palatino Linotype" w:hAnsi="Palatino Linotype"/>
          <w:sz w:val="20"/>
          <w:szCs w:val="20"/>
        </w:rPr>
        <w:t>Interactive A</w:t>
      </w:r>
      <w:r w:rsidRPr="005D6811">
        <w:rPr>
          <w:rFonts w:ascii="Palatino Linotype" w:hAnsi="Palatino Linotype"/>
          <w:sz w:val="20"/>
          <w:szCs w:val="20"/>
        </w:rPr>
        <w:t xml:space="preserve">pproach in </w:t>
      </w:r>
      <w:r w:rsidR="00310087" w:rsidRPr="005D6811">
        <w:rPr>
          <w:rFonts w:ascii="Palatino Linotype" w:hAnsi="Palatino Linotype"/>
          <w:sz w:val="20"/>
          <w:szCs w:val="20"/>
        </w:rPr>
        <w:t>Science C</w:t>
      </w:r>
      <w:r w:rsidRPr="005D6811">
        <w:rPr>
          <w:rFonts w:ascii="Palatino Linotype" w:hAnsi="Palatino Linotype"/>
          <w:sz w:val="20"/>
          <w:szCs w:val="20"/>
        </w:rPr>
        <w:t>ommunication</w:t>
      </w:r>
      <w:r w:rsidR="00310087" w:rsidRPr="005D6811">
        <w:rPr>
          <w:rFonts w:ascii="Palatino Linotype" w:hAnsi="Palatino Linotype"/>
          <w:sz w:val="20"/>
          <w:szCs w:val="20"/>
        </w:rPr>
        <w:t>’ i</w:t>
      </w:r>
      <w:r w:rsidRPr="005D6811">
        <w:rPr>
          <w:rFonts w:ascii="Palatino Linotype" w:hAnsi="Palatino Linotype"/>
          <w:sz w:val="20"/>
          <w:szCs w:val="20"/>
        </w:rPr>
        <w:t>n</w:t>
      </w:r>
      <w:r w:rsidR="00310087" w:rsidRPr="005D6811">
        <w:rPr>
          <w:rFonts w:ascii="Palatino Linotype" w:hAnsi="Palatino Linotype"/>
          <w:sz w:val="20"/>
          <w:szCs w:val="20"/>
        </w:rPr>
        <w:t xml:space="preserve"> Cheng </w:t>
      </w:r>
      <w:proofErr w:type="spellStart"/>
      <w:r w:rsidR="00310087" w:rsidRPr="005D6811">
        <w:rPr>
          <w:rFonts w:ascii="Palatino Linotype" w:hAnsi="Palatino Linotype"/>
          <w:sz w:val="20"/>
          <w:szCs w:val="20"/>
        </w:rPr>
        <w:t>Donghong</w:t>
      </w:r>
      <w:proofErr w:type="spellEnd"/>
      <w:r w:rsidR="00310087" w:rsidRPr="005D6811">
        <w:rPr>
          <w:rFonts w:ascii="Palatino Linotype" w:hAnsi="Palatino Linotype"/>
          <w:sz w:val="20"/>
          <w:szCs w:val="20"/>
        </w:rPr>
        <w:t xml:space="preserve">, Jenni Metcalfe and Bernard </w:t>
      </w:r>
      <w:proofErr w:type="spellStart"/>
      <w:r w:rsidR="00310087" w:rsidRPr="005D6811">
        <w:rPr>
          <w:rFonts w:ascii="Palatino Linotype" w:hAnsi="Palatino Linotype"/>
          <w:sz w:val="20"/>
          <w:szCs w:val="20"/>
        </w:rPr>
        <w:t>Schiele</w:t>
      </w:r>
      <w:proofErr w:type="spellEnd"/>
      <w:r w:rsidR="00310087" w:rsidRPr="005D6811">
        <w:rPr>
          <w:rFonts w:ascii="Palatino Linotype" w:hAnsi="Palatino Linotype"/>
          <w:sz w:val="20"/>
          <w:szCs w:val="20"/>
        </w:rPr>
        <w:t xml:space="preserve"> (</w:t>
      </w:r>
      <w:proofErr w:type="spellStart"/>
      <w:r w:rsidR="00310087" w:rsidRPr="005D6811">
        <w:rPr>
          <w:rFonts w:ascii="Palatino Linotype" w:hAnsi="Palatino Linotype"/>
          <w:sz w:val="20"/>
          <w:szCs w:val="20"/>
        </w:rPr>
        <w:t>eds</w:t>
      </w:r>
      <w:proofErr w:type="spellEnd"/>
      <w:r w:rsidR="00310087" w:rsidRPr="005D6811">
        <w:rPr>
          <w:rFonts w:ascii="Palatino Linotype" w:hAnsi="Palatino Linotype"/>
          <w:sz w:val="20"/>
          <w:szCs w:val="20"/>
        </w:rPr>
        <w:t xml:space="preserve">) </w:t>
      </w:r>
      <w:r w:rsidRPr="005D6811">
        <w:rPr>
          <w:rFonts w:ascii="Palatino Linotype" w:hAnsi="Palatino Linotype"/>
          <w:i/>
          <w:sz w:val="20"/>
          <w:szCs w:val="20"/>
        </w:rPr>
        <w:t xml:space="preserve">At the Human Scale </w:t>
      </w:r>
      <w:r w:rsidR="00D42C87" w:rsidRPr="005D6811">
        <w:rPr>
          <w:rFonts w:ascii="Palatino Linotype" w:hAnsi="Palatino Linotype"/>
          <w:sz w:val="20"/>
          <w:szCs w:val="20"/>
        </w:rPr>
        <w:t>–</w:t>
      </w:r>
      <w:r w:rsidRPr="005D6811">
        <w:rPr>
          <w:rFonts w:ascii="Palatino Linotype" w:hAnsi="Palatino Linotype"/>
          <w:i/>
          <w:sz w:val="20"/>
          <w:szCs w:val="20"/>
        </w:rPr>
        <w:t xml:space="preserve"> International Practices in Science Communication</w:t>
      </w:r>
      <w:r w:rsidR="00310087" w:rsidRPr="005D6811">
        <w:rPr>
          <w:rFonts w:ascii="Palatino Linotype" w:hAnsi="Palatino Linotype"/>
          <w:i/>
          <w:sz w:val="20"/>
          <w:szCs w:val="20"/>
        </w:rPr>
        <w:t xml:space="preserve"> </w:t>
      </w:r>
      <w:r w:rsidR="00310087" w:rsidRPr="005D6811">
        <w:rPr>
          <w:rFonts w:ascii="Palatino Linotype" w:hAnsi="Palatino Linotype"/>
          <w:sz w:val="20"/>
          <w:szCs w:val="20"/>
        </w:rPr>
        <w:t>(</w:t>
      </w:r>
      <w:r w:rsidRPr="005D6811">
        <w:rPr>
          <w:rFonts w:ascii="Palatino Linotype" w:hAnsi="Palatino Linotype"/>
          <w:sz w:val="20"/>
          <w:szCs w:val="20"/>
        </w:rPr>
        <w:t>Science Press, 2006</w:t>
      </w:r>
      <w:r w:rsidR="00310087" w:rsidRPr="005D6811">
        <w:rPr>
          <w:rFonts w:ascii="Palatino Linotype" w:hAnsi="Palatino Linotype"/>
          <w:sz w:val="20"/>
          <w:szCs w:val="20"/>
        </w:rPr>
        <w:t>)</w:t>
      </w:r>
      <w:r w:rsidRPr="005D6811">
        <w:rPr>
          <w:rFonts w:ascii="Palatino Linotype" w:hAnsi="Palatino Linotype"/>
          <w:sz w:val="20"/>
          <w:szCs w:val="20"/>
        </w:rPr>
        <w:t xml:space="preserve"> 2</w:t>
      </w:r>
      <w:r w:rsidR="00310087" w:rsidRPr="005D6811">
        <w:rPr>
          <w:rFonts w:ascii="Palatino Linotype" w:hAnsi="Palatino Linotype"/>
          <w:sz w:val="20"/>
          <w:szCs w:val="20"/>
        </w:rPr>
        <w:t>.</w:t>
      </w:r>
    </w:p>
  </w:footnote>
  <w:footnote w:id="44">
    <w:p w14:paraId="2001E687" w14:textId="1F18ED13" w:rsidR="009F52BB" w:rsidRPr="005D6811" w:rsidRDefault="009F52BB" w:rsidP="009F52BB">
      <w:pPr>
        <w:pStyle w:val="FootnoteText"/>
        <w:rPr>
          <w:rFonts w:ascii="Palatino Linotype" w:hAnsi="Palatino Linotype"/>
          <w:sz w:val="20"/>
          <w:szCs w:val="20"/>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For example, the Disability Legal Information Clinic at the National University of Ireland, Galway’s Centre for Disability Law and Policy</w:t>
      </w:r>
      <w:r w:rsidR="0083576B" w:rsidRPr="005D6811">
        <w:rPr>
          <w:rFonts w:ascii="Palatino Linotype" w:hAnsi="Palatino Linotype"/>
          <w:sz w:val="20"/>
          <w:szCs w:val="20"/>
        </w:rPr>
        <w:t xml:space="preserve"> (see &lt;</w:t>
      </w:r>
      <w:hyperlink r:id="rId11" w:history="1">
        <w:r w:rsidR="0083576B" w:rsidRPr="005D6811">
          <w:rPr>
            <w:rStyle w:val="Hyperlink"/>
            <w:rFonts w:ascii="Palatino Linotype" w:hAnsi="Palatino Linotype"/>
            <w:sz w:val="20"/>
            <w:szCs w:val="20"/>
          </w:rPr>
          <w:t>https://www.nuigalway.ie/centre-disability-law-policy/dlic/</w:t>
        </w:r>
      </w:hyperlink>
      <w:r w:rsidR="0083576B" w:rsidRPr="005D6811">
        <w:rPr>
          <w:rFonts w:ascii="Palatino Linotype" w:hAnsi="Palatino Linotype"/>
          <w:sz w:val="20"/>
          <w:szCs w:val="20"/>
        </w:rPr>
        <w:t>&gt;)</w:t>
      </w:r>
      <w:r w:rsidR="00D92213" w:rsidRPr="005D6811">
        <w:rPr>
          <w:rFonts w:ascii="Palatino Linotype" w:hAnsi="Palatino Linotype"/>
          <w:sz w:val="20"/>
          <w:szCs w:val="20"/>
        </w:rPr>
        <w:t xml:space="preserve"> and the </w:t>
      </w:r>
      <w:r w:rsidR="007B3031" w:rsidRPr="005D6811">
        <w:rPr>
          <w:rFonts w:ascii="Palatino Linotype" w:hAnsi="Palatino Linotype"/>
          <w:sz w:val="20"/>
          <w:szCs w:val="20"/>
        </w:rPr>
        <w:t>Cerebra Pro Bono Research Programme at the University of Leeds</w:t>
      </w:r>
      <w:r w:rsidR="0083576B" w:rsidRPr="005D6811">
        <w:rPr>
          <w:rFonts w:ascii="Palatino Linotype" w:hAnsi="Palatino Linotype"/>
          <w:sz w:val="20"/>
          <w:szCs w:val="20"/>
        </w:rPr>
        <w:t xml:space="preserve"> (see &lt;</w:t>
      </w:r>
      <w:hyperlink r:id="rId12" w:history="1">
        <w:r w:rsidR="0083576B" w:rsidRPr="005D6811">
          <w:rPr>
            <w:rStyle w:val="Hyperlink"/>
            <w:rFonts w:ascii="Palatino Linotype" w:hAnsi="Palatino Linotype"/>
            <w:sz w:val="20"/>
            <w:szCs w:val="20"/>
          </w:rPr>
          <w:t>http://www.law.leeds.ac.uk/about/extra/cerebra-pro-bono-research-programme</w:t>
        </w:r>
      </w:hyperlink>
      <w:r w:rsidR="0083576B" w:rsidRPr="005D6811">
        <w:rPr>
          <w:rFonts w:ascii="Palatino Linotype" w:hAnsi="Palatino Linotype"/>
          <w:sz w:val="20"/>
          <w:szCs w:val="20"/>
        </w:rPr>
        <w:t>&gt;)</w:t>
      </w:r>
      <w:r w:rsidR="00D92213" w:rsidRPr="005D6811">
        <w:rPr>
          <w:rFonts w:ascii="Palatino Linotype" w:hAnsi="Palatino Linotype"/>
          <w:sz w:val="20"/>
          <w:szCs w:val="20"/>
        </w:rPr>
        <w:t>.</w:t>
      </w:r>
    </w:p>
  </w:footnote>
  <w:footnote w:id="45">
    <w:p w14:paraId="6341F78E" w14:textId="4B498F53" w:rsidR="00C14E9B" w:rsidRPr="005D6811" w:rsidRDefault="00C14E9B" w:rsidP="00FE6697">
      <w:pPr>
        <w:pStyle w:val="FootnoteText"/>
        <w:rPr>
          <w:rFonts w:ascii="Palatino Linotype" w:hAnsi="Palatino Linotype"/>
          <w:sz w:val="20"/>
          <w:szCs w:val="20"/>
          <w:lang w:val="en-AU"/>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331F8A" w:rsidRPr="005D6811">
        <w:rPr>
          <w:rFonts w:ascii="Palatino Linotype" w:hAnsi="Palatino Linotype"/>
          <w:sz w:val="20"/>
          <w:szCs w:val="20"/>
        </w:rPr>
        <w:t>See &lt;</w:t>
      </w:r>
      <w:hyperlink r:id="rId13" w:history="1">
        <w:r w:rsidRPr="005D6811">
          <w:rPr>
            <w:rStyle w:val="Hyperlink"/>
            <w:rFonts w:ascii="Palatino Linotype" w:hAnsi="Palatino Linotype"/>
            <w:sz w:val="20"/>
            <w:szCs w:val="20"/>
          </w:rPr>
          <w:t>http://law.unimelb.edu.au/students/jd/enrichment/pili/subjects/disability-human-rights-clinic</w:t>
        </w:r>
      </w:hyperlink>
      <w:r w:rsidR="00331F8A" w:rsidRPr="005D6811">
        <w:rPr>
          <w:rFonts w:ascii="Palatino Linotype" w:hAnsi="Palatino Linotype"/>
          <w:sz w:val="20"/>
          <w:szCs w:val="20"/>
        </w:rPr>
        <w:t>&gt;</w:t>
      </w:r>
    </w:p>
  </w:footnote>
  <w:footnote w:id="46">
    <w:p w14:paraId="7488FC81" w14:textId="46F542A5" w:rsidR="00C14E9B" w:rsidRPr="005D6811" w:rsidRDefault="00C14E9B" w:rsidP="00FE6697">
      <w:pPr>
        <w:pStyle w:val="FootnoteText"/>
        <w:rPr>
          <w:rFonts w:ascii="Palatino Linotype" w:hAnsi="Palatino Linotype"/>
          <w:sz w:val="20"/>
          <w:szCs w:val="20"/>
          <w:lang w:val="en-US"/>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Pr="005D6811">
        <w:rPr>
          <w:rFonts w:ascii="Palatino Linotype" w:hAnsi="Palatino Linotype"/>
          <w:sz w:val="20"/>
          <w:szCs w:val="20"/>
          <w:lang w:val="en-US"/>
        </w:rPr>
        <w:t xml:space="preserve">See </w:t>
      </w:r>
      <w:r w:rsidR="00D52C83" w:rsidRPr="005D6811">
        <w:rPr>
          <w:rFonts w:ascii="Palatino Linotype" w:hAnsi="Palatino Linotype"/>
          <w:sz w:val="20"/>
          <w:szCs w:val="20"/>
          <w:lang w:val="en-US"/>
        </w:rPr>
        <w:t xml:space="preserve">Deena R </w:t>
      </w:r>
      <w:r w:rsidRPr="005D6811">
        <w:rPr>
          <w:rFonts w:ascii="Palatino Linotype" w:hAnsi="Palatino Linotype"/>
          <w:sz w:val="20"/>
          <w:szCs w:val="20"/>
          <w:lang w:val="en-US"/>
        </w:rPr>
        <w:t>Hurwitz</w:t>
      </w:r>
      <w:r w:rsidR="00D52C83" w:rsidRPr="005D6811">
        <w:rPr>
          <w:rFonts w:ascii="Palatino Linotype" w:hAnsi="Palatino Linotype"/>
          <w:sz w:val="20"/>
          <w:szCs w:val="20"/>
          <w:lang w:val="en-US"/>
        </w:rPr>
        <w:t>,</w:t>
      </w:r>
      <w:r w:rsidRPr="005D6811">
        <w:rPr>
          <w:rFonts w:ascii="Palatino Linotype" w:hAnsi="Palatino Linotype"/>
          <w:sz w:val="20"/>
          <w:szCs w:val="20"/>
          <w:lang w:val="en-US"/>
        </w:rPr>
        <w:t xml:space="preserve"> </w:t>
      </w:r>
      <w:r w:rsidR="00D52C83" w:rsidRPr="005D6811">
        <w:rPr>
          <w:rFonts w:ascii="Palatino Linotype" w:hAnsi="Palatino Linotype"/>
          <w:sz w:val="20"/>
          <w:szCs w:val="20"/>
          <w:lang w:val="en-US"/>
        </w:rPr>
        <w:t>‘</w:t>
      </w:r>
      <w:r w:rsidRPr="005D6811">
        <w:rPr>
          <w:rFonts w:ascii="Palatino Linotype" w:hAnsi="Palatino Linotype"/>
          <w:sz w:val="20"/>
          <w:szCs w:val="20"/>
          <w:lang w:val="en-US"/>
        </w:rPr>
        <w:t>Lawyering for Justice and the Inevitab</w:t>
      </w:r>
      <w:r w:rsidR="00917BDD" w:rsidRPr="005D6811">
        <w:rPr>
          <w:rFonts w:ascii="Palatino Linotype" w:hAnsi="Palatino Linotype"/>
          <w:sz w:val="20"/>
          <w:szCs w:val="20"/>
          <w:lang w:val="en-US"/>
        </w:rPr>
        <w:t>i</w:t>
      </w:r>
      <w:r w:rsidRPr="005D6811">
        <w:rPr>
          <w:rFonts w:ascii="Palatino Linotype" w:hAnsi="Palatino Linotype"/>
          <w:sz w:val="20"/>
          <w:szCs w:val="20"/>
          <w:lang w:val="en-US"/>
        </w:rPr>
        <w:t>lity of Int</w:t>
      </w:r>
      <w:r w:rsidR="00D52C83" w:rsidRPr="005D6811">
        <w:rPr>
          <w:rFonts w:ascii="Palatino Linotype" w:hAnsi="Palatino Linotype"/>
          <w:sz w:val="20"/>
          <w:szCs w:val="20"/>
          <w:lang w:val="en-US"/>
        </w:rPr>
        <w:t xml:space="preserve">ernational Human Rights Clinics’ </w:t>
      </w:r>
      <w:r w:rsidR="00BA0147" w:rsidRPr="005D6811">
        <w:rPr>
          <w:rFonts w:ascii="Palatino Linotype" w:hAnsi="Palatino Linotype"/>
          <w:sz w:val="20"/>
          <w:szCs w:val="20"/>
          <w:lang w:val="en-US"/>
        </w:rPr>
        <w:t xml:space="preserve">(2003) </w:t>
      </w:r>
      <w:r w:rsidR="00D52C83" w:rsidRPr="005D6811">
        <w:rPr>
          <w:rFonts w:ascii="Palatino Linotype" w:hAnsi="Palatino Linotype"/>
          <w:sz w:val="20"/>
          <w:szCs w:val="20"/>
          <w:lang w:val="en-US"/>
        </w:rPr>
        <w:t>28</w:t>
      </w:r>
      <w:r w:rsidR="00241E1B" w:rsidRPr="005D6811">
        <w:rPr>
          <w:rFonts w:ascii="Palatino Linotype" w:hAnsi="Palatino Linotype"/>
          <w:sz w:val="20"/>
          <w:szCs w:val="20"/>
          <w:lang w:val="en-US"/>
        </w:rPr>
        <w:t>(2)</w:t>
      </w:r>
      <w:r w:rsidR="00BA0147" w:rsidRPr="005D6811">
        <w:rPr>
          <w:rFonts w:ascii="Palatino Linotype" w:hAnsi="Palatino Linotype"/>
          <w:sz w:val="20"/>
          <w:szCs w:val="20"/>
          <w:lang w:val="en-US"/>
        </w:rPr>
        <w:t xml:space="preserve"> </w:t>
      </w:r>
      <w:r w:rsidRPr="005D6811">
        <w:rPr>
          <w:rFonts w:ascii="Palatino Linotype" w:hAnsi="Palatino Linotype"/>
          <w:i/>
          <w:sz w:val="20"/>
          <w:szCs w:val="20"/>
          <w:lang w:val="en-US"/>
        </w:rPr>
        <w:t xml:space="preserve">Yale </w:t>
      </w:r>
      <w:r w:rsidR="00D52C83" w:rsidRPr="005D6811">
        <w:rPr>
          <w:rFonts w:ascii="Palatino Linotype" w:hAnsi="Palatino Linotype"/>
          <w:i/>
          <w:sz w:val="20"/>
          <w:szCs w:val="20"/>
          <w:lang w:val="en-US"/>
        </w:rPr>
        <w:t>Journal of</w:t>
      </w:r>
      <w:r w:rsidRPr="005D6811">
        <w:rPr>
          <w:rFonts w:ascii="Palatino Linotype" w:hAnsi="Palatino Linotype"/>
          <w:i/>
          <w:sz w:val="20"/>
          <w:szCs w:val="20"/>
          <w:lang w:val="en-US"/>
        </w:rPr>
        <w:t xml:space="preserve"> Int</w:t>
      </w:r>
      <w:r w:rsidR="00D52C83" w:rsidRPr="005D6811">
        <w:rPr>
          <w:rFonts w:ascii="Palatino Linotype" w:hAnsi="Palatino Linotype"/>
          <w:i/>
          <w:sz w:val="20"/>
          <w:szCs w:val="20"/>
          <w:lang w:val="en-US"/>
        </w:rPr>
        <w:t>ernationa</w:t>
      </w:r>
      <w:r w:rsidRPr="005D6811">
        <w:rPr>
          <w:rFonts w:ascii="Palatino Linotype" w:hAnsi="Palatino Linotype"/>
          <w:i/>
          <w:sz w:val="20"/>
          <w:szCs w:val="20"/>
          <w:lang w:val="en-US"/>
        </w:rPr>
        <w:t>l L</w:t>
      </w:r>
      <w:r w:rsidR="00D52C83" w:rsidRPr="005D6811">
        <w:rPr>
          <w:rFonts w:ascii="Palatino Linotype" w:hAnsi="Palatino Linotype"/>
          <w:i/>
          <w:sz w:val="20"/>
          <w:szCs w:val="20"/>
          <w:lang w:val="en-US"/>
        </w:rPr>
        <w:t>aw</w:t>
      </w:r>
      <w:r w:rsidRPr="005D6811">
        <w:rPr>
          <w:rFonts w:ascii="Palatino Linotype" w:hAnsi="Palatino Linotype"/>
          <w:sz w:val="20"/>
          <w:szCs w:val="20"/>
          <w:lang w:val="en-US"/>
        </w:rPr>
        <w:t xml:space="preserve"> </w:t>
      </w:r>
      <w:r w:rsidR="00282502" w:rsidRPr="005D6811">
        <w:rPr>
          <w:rFonts w:ascii="Palatino Linotype" w:hAnsi="Palatino Linotype"/>
          <w:sz w:val="20"/>
          <w:szCs w:val="20"/>
          <w:lang w:val="en-US"/>
        </w:rPr>
        <w:t xml:space="preserve">505 </w:t>
      </w:r>
      <w:r w:rsidR="00BA0147" w:rsidRPr="005D6811">
        <w:rPr>
          <w:rFonts w:ascii="Palatino Linotype" w:hAnsi="Palatino Linotype"/>
          <w:sz w:val="20"/>
          <w:szCs w:val="20"/>
          <w:lang w:val="en-US"/>
        </w:rPr>
        <w:t>&lt;</w:t>
      </w:r>
      <w:hyperlink r:id="rId14" w:history="1">
        <w:r w:rsidR="00BA0147" w:rsidRPr="005D6811">
          <w:rPr>
            <w:rStyle w:val="Hyperlink"/>
            <w:rFonts w:ascii="Palatino Linotype" w:hAnsi="Palatino Linotype"/>
            <w:sz w:val="20"/>
            <w:szCs w:val="20"/>
            <w:lang w:val="en-US"/>
          </w:rPr>
          <w:t>http://digitalcommons.law.yale.edu/cgi/viewcontent.cgi?article=1221&amp;context=yjil</w:t>
        </w:r>
      </w:hyperlink>
      <w:r w:rsidR="00BA0147" w:rsidRPr="005D6811">
        <w:rPr>
          <w:rFonts w:ascii="Palatino Linotype" w:hAnsi="Palatino Linotype"/>
          <w:sz w:val="20"/>
          <w:szCs w:val="20"/>
          <w:lang w:val="en-US"/>
        </w:rPr>
        <w:t>&gt;.</w:t>
      </w:r>
    </w:p>
  </w:footnote>
  <w:footnote w:id="47">
    <w:p w14:paraId="464BE45D" w14:textId="04D14061" w:rsidR="00C14E9B" w:rsidRPr="005D6811" w:rsidRDefault="00C14E9B" w:rsidP="00FE6697">
      <w:pPr>
        <w:pStyle w:val="FootnoteText"/>
        <w:rPr>
          <w:rFonts w:ascii="Palatino Linotype" w:hAnsi="Palatino Linotype"/>
          <w:sz w:val="20"/>
          <w:szCs w:val="20"/>
          <w:lang w:val="en-US"/>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Pr="005D6811">
        <w:rPr>
          <w:rFonts w:ascii="Palatino Linotype" w:hAnsi="Palatino Linotype"/>
          <w:sz w:val="20"/>
          <w:szCs w:val="20"/>
          <w:lang w:val="en-US"/>
        </w:rPr>
        <w:t xml:space="preserve">For a discussion of human rights clinics, see </w:t>
      </w:r>
      <w:r w:rsidR="00956AA7" w:rsidRPr="005D6811">
        <w:rPr>
          <w:rFonts w:ascii="Palatino Linotype" w:hAnsi="Palatino Linotype"/>
          <w:sz w:val="20"/>
          <w:szCs w:val="20"/>
          <w:lang w:val="en-US"/>
        </w:rPr>
        <w:t>Arturo J Carrillo,</w:t>
      </w:r>
      <w:r w:rsidRPr="005D6811">
        <w:rPr>
          <w:rFonts w:ascii="Palatino Linotype" w:hAnsi="Palatino Linotype"/>
          <w:sz w:val="20"/>
          <w:szCs w:val="20"/>
          <w:lang w:val="en-US"/>
        </w:rPr>
        <w:t xml:space="preserve"> </w:t>
      </w:r>
      <w:r w:rsidR="00956AA7" w:rsidRPr="005D6811">
        <w:rPr>
          <w:rFonts w:ascii="Palatino Linotype" w:hAnsi="Palatino Linotype"/>
          <w:sz w:val="20"/>
          <w:szCs w:val="20"/>
          <w:lang w:val="en-US"/>
        </w:rPr>
        <w:t>‘</w:t>
      </w:r>
      <w:r w:rsidRPr="005D6811">
        <w:rPr>
          <w:rFonts w:ascii="Palatino Linotype" w:hAnsi="Palatino Linotype"/>
          <w:sz w:val="20"/>
          <w:szCs w:val="20"/>
          <w:lang w:val="en-US"/>
        </w:rPr>
        <w:t>Bringing International Law Home: The Innovative Role of Human Rights Clinics in the Transnational Legal Process</w:t>
      </w:r>
      <w:r w:rsidR="00956AA7" w:rsidRPr="005D6811">
        <w:rPr>
          <w:rFonts w:ascii="Palatino Linotype" w:hAnsi="Palatino Linotype"/>
          <w:sz w:val="20"/>
          <w:szCs w:val="20"/>
          <w:lang w:val="en-US"/>
        </w:rPr>
        <w:t>’ (2003) 35</w:t>
      </w:r>
      <w:r w:rsidRPr="005D6811">
        <w:rPr>
          <w:rFonts w:ascii="Palatino Linotype" w:hAnsi="Palatino Linotype"/>
          <w:sz w:val="20"/>
          <w:szCs w:val="20"/>
          <w:lang w:val="en-US"/>
        </w:rPr>
        <w:t xml:space="preserve"> </w:t>
      </w:r>
      <w:r w:rsidRPr="005D6811">
        <w:rPr>
          <w:rFonts w:ascii="Palatino Linotype" w:hAnsi="Palatino Linotype"/>
          <w:i/>
          <w:sz w:val="20"/>
          <w:szCs w:val="20"/>
          <w:lang w:val="en-US"/>
        </w:rPr>
        <w:t>Colum</w:t>
      </w:r>
      <w:r w:rsidR="00956AA7" w:rsidRPr="005D6811">
        <w:rPr>
          <w:rFonts w:ascii="Palatino Linotype" w:hAnsi="Palatino Linotype"/>
          <w:i/>
          <w:sz w:val="20"/>
          <w:szCs w:val="20"/>
          <w:lang w:val="en-US"/>
        </w:rPr>
        <w:t>bia</w:t>
      </w:r>
      <w:r w:rsidRPr="005D6811">
        <w:rPr>
          <w:rFonts w:ascii="Palatino Linotype" w:hAnsi="Palatino Linotype"/>
          <w:i/>
          <w:sz w:val="20"/>
          <w:szCs w:val="20"/>
          <w:lang w:val="en-US"/>
        </w:rPr>
        <w:t xml:space="preserve"> Hum</w:t>
      </w:r>
      <w:r w:rsidR="00956AA7" w:rsidRPr="005D6811">
        <w:rPr>
          <w:rFonts w:ascii="Palatino Linotype" w:hAnsi="Palatino Linotype"/>
          <w:i/>
          <w:sz w:val="20"/>
          <w:szCs w:val="20"/>
          <w:lang w:val="en-US"/>
        </w:rPr>
        <w:t>an</w:t>
      </w:r>
      <w:r w:rsidRPr="005D6811">
        <w:rPr>
          <w:rFonts w:ascii="Palatino Linotype" w:hAnsi="Palatino Linotype"/>
          <w:i/>
          <w:sz w:val="20"/>
          <w:szCs w:val="20"/>
          <w:lang w:val="en-US"/>
        </w:rPr>
        <w:t xml:space="preserve"> R</w:t>
      </w:r>
      <w:r w:rsidR="00956AA7" w:rsidRPr="005D6811">
        <w:rPr>
          <w:rFonts w:ascii="Palatino Linotype" w:hAnsi="Palatino Linotype"/>
          <w:i/>
          <w:sz w:val="20"/>
          <w:szCs w:val="20"/>
          <w:lang w:val="en-US"/>
        </w:rPr>
        <w:t>ight</w:t>
      </w:r>
      <w:r w:rsidRPr="005D6811">
        <w:rPr>
          <w:rFonts w:ascii="Palatino Linotype" w:hAnsi="Palatino Linotype"/>
          <w:i/>
          <w:sz w:val="20"/>
          <w:szCs w:val="20"/>
          <w:lang w:val="en-US"/>
        </w:rPr>
        <w:t>s L</w:t>
      </w:r>
      <w:r w:rsidR="00956AA7" w:rsidRPr="005D6811">
        <w:rPr>
          <w:rFonts w:ascii="Palatino Linotype" w:hAnsi="Palatino Linotype"/>
          <w:i/>
          <w:sz w:val="20"/>
          <w:szCs w:val="20"/>
          <w:lang w:val="en-US"/>
        </w:rPr>
        <w:t>aw</w:t>
      </w:r>
      <w:r w:rsidRPr="005D6811">
        <w:rPr>
          <w:rFonts w:ascii="Palatino Linotype" w:hAnsi="Palatino Linotype"/>
          <w:i/>
          <w:sz w:val="20"/>
          <w:szCs w:val="20"/>
          <w:lang w:val="en-US"/>
        </w:rPr>
        <w:t xml:space="preserve"> Rev</w:t>
      </w:r>
      <w:r w:rsidR="00956AA7" w:rsidRPr="005D6811">
        <w:rPr>
          <w:rFonts w:ascii="Palatino Linotype" w:hAnsi="Palatino Linotype"/>
          <w:i/>
          <w:sz w:val="20"/>
          <w:szCs w:val="20"/>
          <w:lang w:val="en-US"/>
        </w:rPr>
        <w:t>iew</w:t>
      </w:r>
      <w:r w:rsidRPr="005D6811">
        <w:rPr>
          <w:rFonts w:ascii="Palatino Linotype" w:hAnsi="Palatino Linotype"/>
          <w:sz w:val="20"/>
          <w:szCs w:val="20"/>
          <w:lang w:val="en-US"/>
        </w:rPr>
        <w:t xml:space="preserve"> </w:t>
      </w:r>
      <w:r w:rsidR="00282502" w:rsidRPr="005D6811">
        <w:rPr>
          <w:rFonts w:ascii="Palatino Linotype" w:hAnsi="Palatino Linotype"/>
          <w:sz w:val="20"/>
          <w:szCs w:val="20"/>
          <w:lang w:val="en-US"/>
        </w:rPr>
        <w:t xml:space="preserve">527 </w:t>
      </w:r>
      <w:r w:rsidR="00FF4B3F" w:rsidRPr="005D6811">
        <w:rPr>
          <w:rFonts w:ascii="Palatino Linotype" w:hAnsi="Palatino Linotype"/>
          <w:sz w:val="20"/>
          <w:szCs w:val="20"/>
          <w:lang w:val="en-US"/>
        </w:rPr>
        <w:t>&lt;</w:t>
      </w:r>
      <w:hyperlink r:id="rId15" w:history="1">
        <w:r w:rsidR="00FF4B3F" w:rsidRPr="005D6811">
          <w:rPr>
            <w:rStyle w:val="Hyperlink"/>
            <w:rFonts w:ascii="Palatino Linotype" w:hAnsi="Palatino Linotype"/>
            <w:sz w:val="20"/>
            <w:szCs w:val="20"/>
            <w:lang w:val="en-US"/>
          </w:rPr>
          <w:t>https://www.law.gwu.edu/sites/www.law.gwu.edu/files/downloads/IHRC_article_AC.pdf</w:t>
        </w:r>
      </w:hyperlink>
      <w:r w:rsidR="00FF4B3F" w:rsidRPr="005D6811">
        <w:rPr>
          <w:rFonts w:ascii="Palatino Linotype" w:hAnsi="Palatino Linotype"/>
          <w:sz w:val="20"/>
          <w:szCs w:val="20"/>
          <w:lang w:val="en-US"/>
        </w:rPr>
        <w:t>&gt;.</w:t>
      </w:r>
    </w:p>
  </w:footnote>
  <w:footnote w:id="48">
    <w:p w14:paraId="6884953B" w14:textId="4D70ADA6" w:rsidR="00C14E9B" w:rsidRPr="005D6811" w:rsidRDefault="00C14E9B" w:rsidP="00FE6697">
      <w:pPr>
        <w:pStyle w:val="FootnoteText"/>
        <w:rPr>
          <w:rFonts w:ascii="Palatino Linotype" w:hAnsi="Palatino Linotype"/>
          <w:sz w:val="20"/>
          <w:szCs w:val="20"/>
          <w:lang w:val="en-US"/>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Pr="005D6811">
        <w:rPr>
          <w:rFonts w:ascii="Palatino Linotype" w:hAnsi="Palatino Linotype"/>
          <w:sz w:val="20"/>
          <w:szCs w:val="20"/>
          <w:lang w:val="en-US"/>
        </w:rPr>
        <w:t xml:space="preserve">For a discussion, see </w:t>
      </w:r>
      <w:r w:rsidR="00CE262A" w:rsidRPr="005D6811">
        <w:rPr>
          <w:rFonts w:ascii="Palatino Linotype" w:hAnsi="Palatino Linotype"/>
          <w:sz w:val="20"/>
          <w:szCs w:val="20"/>
          <w:lang w:val="en-US"/>
        </w:rPr>
        <w:t xml:space="preserve">Katherine R </w:t>
      </w:r>
      <w:r w:rsidRPr="005D6811">
        <w:rPr>
          <w:rFonts w:ascii="Palatino Linotype" w:hAnsi="Palatino Linotype"/>
          <w:sz w:val="20"/>
          <w:szCs w:val="20"/>
          <w:lang w:val="en-US"/>
        </w:rPr>
        <w:t>Kruse</w:t>
      </w:r>
      <w:r w:rsidR="00CE262A" w:rsidRPr="005D6811">
        <w:rPr>
          <w:rFonts w:ascii="Palatino Linotype" w:hAnsi="Palatino Linotype"/>
          <w:sz w:val="20"/>
          <w:szCs w:val="20"/>
          <w:lang w:val="en-US"/>
        </w:rPr>
        <w:t xml:space="preserve">, ‘Biting </w:t>
      </w:r>
      <w:proofErr w:type="gramStart"/>
      <w:r w:rsidR="00CE262A" w:rsidRPr="005D6811">
        <w:rPr>
          <w:rFonts w:ascii="Palatino Linotype" w:hAnsi="Palatino Linotype"/>
          <w:sz w:val="20"/>
          <w:szCs w:val="20"/>
          <w:lang w:val="en-US"/>
        </w:rPr>
        <w:t>Off</w:t>
      </w:r>
      <w:proofErr w:type="gramEnd"/>
      <w:r w:rsidR="00CE262A" w:rsidRPr="005D6811">
        <w:rPr>
          <w:rFonts w:ascii="Palatino Linotype" w:hAnsi="Palatino Linotype"/>
          <w:sz w:val="20"/>
          <w:szCs w:val="20"/>
          <w:lang w:val="en-US"/>
        </w:rPr>
        <w:t xml:space="preserve"> W</w:t>
      </w:r>
      <w:r w:rsidRPr="005D6811">
        <w:rPr>
          <w:rFonts w:ascii="Palatino Linotype" w:hAnsi="Palatino Linotype"/>
          <w:sz w:val="20"/>
          <w:szCs w:val="20"/>
          <w:lang w:val="en-US"/>
        </w:rPr>
        <w:t xml:space="preserve">hat </w:t>
      </w:r>
      <w:r w:rsidR="00CE262A" w:rsidRPr="005D6811">
        <w:rPr>
          <w:rFonts w:ascii="Palatino Linotype" w:hAnsi="Palatino Linotype"/>
          <w:sz w:val="20"/>
          <w:szCs w:val="20"/>
          <w:lang w:val="en-US"/>
        </w:rPr>
        <w:t>They Ca</w:t>
      </w:r>
      <w:r w:rsidRPr="005D6811">
        <w:rPr>
          <w:rFonts w:ascii="Palatino Linotype" w:hAnsi="Palatino Linotype"/>
          <w:sz w:val="20"/>
          <w:szCs w:val="20"/>
          <w:lang w:val="en-US"/>
        </w:rPr>
        <w:t>n Chew: Strategies for Inv</w:t>
      </w:r>
      <w:r w:rsidR="00CE262A" w:rsidRPr="005D6811">
        <w:rPr>
          <w:rFonts w:ascii="Palatino Linotype" w:hAnsi="Palatino Linotype"/>
          <w:sz w:val="20"/>
          <w:szCs w:val="20"/>
          <w:lang w:val="en-US"/>
        </w:rPr>
        <w:t>olving Law Students in Problem-s</w:t>
      </w:r>
      <w:r w:rsidRPr="005D6811">
        <w:rPr>
          <w:rFonts w:ascii="Palatino Linotype" w:hAnsi="Palatino Linotype"/>
          <w:sz w:val="20"/>
          <w:szCs w:val="20"/>
          <w:lang w:val="en-US"/>
        </w:rPr>
        <w:t>olving Beyond Individual Client Representation</w:t>
      </w:r>
      <w:r w:rsidR="00CE262A" w:rsidRPr="005D6811">
        <w:rPr>
          <w:rFonts w:ascii="Palatino Linotype" w:hAnsi="Palatino Linotype"/>
          <w:sz w:val="20"/>
          <w:szCs w:val="20"/>
          <w:lang w:val="en-US"/>
        </w:rPr>
        <w:t>’</w:t>
      </w:r>
      <w:r w:rsidRPr="005D6811">
        <w:rPr>
          <w:rFonts w:ascii="Palatino Linotype" w:hAnsi="Palatino Linotype"/>
          <w:sz w:val="20"/>
          <w:szCs w:val="20"/>
          <w:lang w:val="en-US"/>
        </w:rPr>
        <w:t xml:space="preserve"> </w:t>
      </w:r>
      <w:r w:rsidR="00CE262A" w:rsidRPr="005D6811">
        <w:rPr>
          <w:rFonts w:ascii="Palatino Linotype" w:hAnsi="Palatino Linotype"/>
          <w:sz w:val="20"/>
          <w:szCs w:val="20"/>
          <w:lang w:val="en-US"/>
        </w:rPr>
        <w:t xml:space="preserve">(2002) 8 </w:t>
      </w:r>
      <w:r w:rsidRPr="005D6811">
        <w:rPr>
          <w:rFonts w:ascii="Palatino Linotype" w:hAnsi="Palatino Linotype"/>
          <w:i/>
          <w:sz w:val="20"/>
          <w:szCs w:val="20"/>
          <w:lang w:val="en-US"/>
        </w:rPr>
        <w:t>Clinical Law Review</w:t>
      </w:r>
      <w:r w:rsidRPr="005D6811">
        <w:rPr>
          <w:rFonts w:ascii="Palatino Linotype" w:hAnsi="Palatino Linotype"/>
          <w:sz w:val="20"/>
          <w:szCs w:val="20"/>
          <w:lang w:val="en-US"/>
        </w:rPr>
        <w:t xml:space="preserve"> 405</w:t>
      </w:r>
      <w:r w:rsidR="00CE262A" w:rsidRPr="005D6811">
        <w:rPr>
          <w:rFonts w:ascii="Palatino Linotype" w:hAnsi="Palatino Linotype"/>
          <w:sz w:val="20"/>
          <w:szCs w:val="20"/>
          <w:lang w:val="en-US"/>
        </w:rPr>
        <w:t xml:space="preserve"> &lt;</w:t>
      </w:r>
      <w:hyperlink r:id="rId16" w:history="1">
        <w:r w:rsidRPr="005D6811">
          <w:rPr>
            <w:rStyle w:val="Hyperlink"/>
            <w:rFonts w:ascii="Palatino Linotype" w:hAnsi="Palatino Linotype"/>
            <w:sz w:val="20"/>
            <w:szCs w:val="20"/>
            <w:lang w:val="en-US"/>
          </w:rPr>
          <w:t>https://ssrn.com/abstract=2172346</w:t>
        </w:r>
      </w:hyperlink>
      <w:r w:rsidR="00CE262A" w:rsidRPr="005D6811">
        <w:rPr>
          <w:rFonts w:ascii="Palatino Linotype" w:hAnsi="Palatino Linotype"/>
          <w:sz w:val="20"/>
          <w:szCs w:val="20"/>
          <w:lang w:val="en-US"/>
        </w:rPr>
        <w:t>&gt;</w:t>
      </w:r>
      <w:r w:rsidR="008372AC" w:rsidRPr="005D6811">
        <w:rPr>
          <w:rFonts w:ascii="Palatino Linotype" w:hAnsi="Palatino Linotype"/>
          <w:sz w:val="20"/>
          <w:szCs w:val="20"/>
          <w:lang w:val="en-US"/>
        </w:rPr>
        <w:t>.</w:t>
      </w:r>
    </w:p>
  </w:footnote>
  <w:footnote w:id="49">
    <w:p w14:paraId="415DE348" w14:textId="77777777" w:rsidR="00C14E9B" w:rsidRPr="005D6811" w:rsidRDefault="00C14E9B" w:rsidP="00FE6697">
      <w:pPr>
        <w:pStyle w:val="FootnoteText"/>
        <w:rPr>
          <w:rFonts w:ascii="Palatino Linotype" w:hAnsi="Palatino Linotype"/>
          <w:sz w:val="20"/>
          <w:szCs w:val="20"/>
          <w:lang w:val="en-US"/>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Pr="005D6811">
        <w:rPr>
          <w:rFonts w:ascii="Palatino Linotype" w:hAnsi="Palatino Linotype"/>
          <w:sz w:val="20"/>
          <w:szCs w:val="20"/>
          <w:lang w:val="en-US"/>
        </w:rPr>
        <w:t>The definition of ‘legal advice’ varies based on jurisdiction and should be verified in any jurisdiction where a project-based clinic is running.</w:t>
      </w:r>
    </w:p>
  </w:footnote>
  <w:footnote w:id="50">
    <w:p w14:paraId="49E51BBF" w14:textId="13B0D8BA" w:rsidR="00C14E9B" w:rsidRPr="005D6811" w:rsidRDefault="00C14E9B" w:rsidP="00FE6697">
      <w:pPr>
        <w:pStyle w:val="FootnoteText"/>
        <w:rPr>
          <w:rFonts w:ascii="Palatino Linotype" w:hAnsi="Palatino Linotype"/>
          <w:sz w:val="20"/>
          <w:szCs w:val="20"/>
          <w:lang w:val="en-US"/>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Pr="005D6811">
        <w:rPr>
          <w:rFonts w:ascii="Palatino Linotype" w:hAnsi="Palatino Linotype"/>
          <w:sz w:val="20"/>
          <w:szCs w:val="20"/>
          <w:lang w:val="en-US"/>
        </w:rPr>
        <w:t xml:space="preserve">For </w:t>
      </w:r>
      <w:r w:rsidR="009C6D56" w:rsidRPr="005D6811">
        <w:rPr>
          <w:rFonts w:ascii="Palatino Linotype" w:hAnsi="Palatino Linotype"/>
          <w:sz w:val="20"/>
          <w:szCs w:val="20"/>
          <w:lang w:val="en-US"/>
        </w:rPr>
        <w:t xml:space="preserve">a discussion of the need </w:t>
      </w:r>
      <w:r w:rsidR="005B017C" w:rsidRPr="005D6811">
        <w:rPr>
          <w:rFonts w:ascii="Palatino Linotype" w:hAnsi="Palatino Linotype"/>
          <w:sz w:val="20"/>
          <w:szCs w:val="20"/>
          <w:lang w:val="en-US"/>
        </w:rPr>
        <w:t xml:space="preserve">for </w:t>
      </w:r>
      <w:r w:rsidRPr="005D6811">
        <w:rPr>
          <w:rFonts w:ascii="Palatino Linotype" w:hAnsi="Palatino Linotype"/>
          <w:sz w:val="20"/>
          <w:szCs w:val="20"/>
          <w:lang w:val="en-US"/>
        </w:rPr>
        <w:t>clinics to be res</w:t>
      </w:r>
      <w:r w:rsidR="00CE6229" w:rsidRPr="005D6811">
        <w:rPr>
          <w:rFonts w:ascii="Palatino Linotype" w:hAnsi="Palatino Linotype"/>
          <w:sz w:val="20"/>
          <w:szCs w:val="20"/>
          <w:lang w:val="en-US"/>
        </w:rPr>
        <w:t xml:space="preserve">ponsive to community need, see </w:t>
      </w:r>
      <w:bookmarkStart w:id="7" w:name="_Hlk508965850"/>
      <w:r w:rsidR="00CE6229" w:rsidRPr="005D6811">
        <w:rPr>
          <w:rFonts w:ascii="Palatino Linotype" w:hAnsi="Palatino Linotype"/>
          <w:sz w:val="20"/>
          <w:szCs w:val="20"/>
          <w:lang w:val="en-US"/>
        </w:rPr>
        <w:t xml:space="preserve">Sameer </w:t>
      </w:r>
      <w:proofErr w:type="spellStart"/>
      <w:r w:rsidRPr="005D6811">
        <w:rPr>
          <w:rFonts w:ascii="Palatino Linotype" w:hAnsi="Palatino Linotype"/>
          <w:sz w:val="20"/>
          <w:szCs w:val="20"/>
          <w:lang w:val="en-US"/>
        </w:rPr>
        <w:t>Ash</w:t>
      </w:r>
      <w:r w:rsidR="00CE6229" w:rsidRPr="005D6811">
        <w:rPr>
          <w:rFonts w:ascii="Palatino Linotype" w:hAnsi="Palatino Linotype"/>
          <w:sz w:val="20"/>
          <w:szCs w:val="20"/>
          <w:lang w:val="en-US"/>
        </w:rPr>
        <w:t>a</w:t>
      </w:r>
      <w:r w:rsidRPr="005D6811">
        <w:rPr>
          <w:rFonts w:ascii="Palatino Linotype" w:hAnsi="Palatino Linotype"/>
          <w:sz w:val="20"/>
          <w:szCs w:val="20"/>
          <w:lang w:val="en-US"/>
        </w:rPr>
        <w:t>r</w:t>
      </w:r>
      <w:proofErr w:type="spellEnd"/>
      <w:r w:rsidR="00CE6229" w:rsidRPr="005D6811">
        <w:rPr>
          <w:rFonts w:ascii="Palatino Linotype" w:hAnsi="Palatino Linotype"/>
          <w:sz w:val="20"/>
          <w:szCs w:val="20"/>
          <w:lang w:val="en-US"/>
        </w:rPr>
        <w:t>, ‘Law Clinics and Collective Mobilization’</w:t>
      </w:r>
      <w:r w:rsidRPr="005D6811">
        <w:rPr>
          <w:rFonts w:ascii="Palatino Linotype" w:hAnsi="Palatino Linotype"/>
          <w:sz w:val="20"/>
          <w:szCs w:val="20"/>
          <w:lang w:val="en-US"/>
        </w:rPr>
        <w:t xml:space="preserve"> </w:t>
      </w:r>
      <w:r w:rsidR="00CE6229" w:rsidRPr="005D6811">
        <w:rPr>
          <w:rFonts w:ascii="Palatino Linotype" w:hAnsi="Palatino Linotype"/>
          <w:sz w:val="20"/>
          <w:szCs w:val="20"/>
          <w:lang w:val="en-US"/>
        </w:rPr>
        <w:t>(</w:t>
      </w:r>
      <w:r w:rsidRPr="005D6811">
        <w:rPr>
          <w:rFonts w:ascii="Palatino Linotype" w:hAnsi="Palatino Linotype"/>
          <w:sz w:val="20"/>
          <w:szCs w:val="20"/>
          <w:lang w:val="en-US"/>
        </w:rPr>
        <w:t>2008</w:t>
      </w:r>
      <w:r w:rsidR="00CE6229" w:rsidRPr="005D6811">
        <w:rPr>
          <w:rFonts w:ascii="Palatino Linotype" w:hAnsi="Palatino Linotype"/>
          <w:sz w:val="20"/>
          <w:szCs w:val="20"/>
          <w:lang w:val="en-US"/>
        </w:rPr>
        <w:t xml:space="preserve">) 14 </w:t>
      </w:r>
      <w:r w:rsidR="00CE6229" w:rsidRPr="005D6811">
        <w:rPr>
          <w:rFonts w:ascii="Palatino Linotype" w:hAnsi="Palatino Linotype"/>
          <w:i/>
          <w:sz w:val="20"/>
          <w:szCs w:val="20"/>
          <w:lang w:val="en-US"/>
        </w:rPr>
        <w:t>Clinical Law Review</w:t>
      </w:r>
      <w:r w:rsidR="00CE6229" w:rsidRPr="005D6811">
        <w:rPr>
          <w:rFonts w:ascii="Palatino Linotype" w:hAnsi="Palatino Linotype"/>
          <w:sz w:val="20"/>
          <w:szCs w:val="20"/>
          <w:lang w:val="en-US"/>
        </w:rPr>
        <w:t xml:space="preserve"> 355.</w:t>
      </w:r>
      <w:bookmarkEnd w:id="7"/>
    </w:p>
  </w:footnote>
  <w:footnote w:id="51">
    <w:p w14:paraId="1E9E4D55" w14:textId="5839EE72" w:rsidR="00884BF5" w:rsidRPr="005D6811" w:rsidRDefault="00884BF5">
      <w:pPr>
        <w:pStyle w:val="FootnoteText"/>
        <w:rPr>
          <w:rFonts w:ascii="Palatino Linotype" w:hAnsi="Palatino Linotype"/>
          <w:sz w:val="20"/>
          <w:szCs w:val="20"/>
          <w:lang w:val="en-AU"/>
        </w:rPr>
      </w:pPr>
      <w:bookmarkStart w:id="8" w:name="_Hlk508965855"/>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Pr="005D6811">
        <w:rPr>
          <w:rFonts w:ascii="Palatino Linotype" w:hAnsi="Palatino Linotype"/>
          <w:i/>
          <w:sz w:val="20"/>
          <w:szCs w:val="20"/>
          <w:lang w:val="en-AU"/>
        </w:rPr>
        <w:t>National Disability Insurance Scheme Act 2013</w:t>
      </w:r>
      <w:r w:rsidRPr="005D6811">
        <w:rPr>
          <w:rFonts w:ascii="Palatino Linotype" w:hAnsi="Palatino Linotype"/>
          <w:sz w:val="20"/>
          <w:szCs w:val="20"/>
          <w:lang w:val="en-AU"/>
        </w:rPr>
        <w:t xml:space="preserve"> (</w:t>
      </w:r>
      <w:proofErr w:type="spellStart"/>
      <w:r w:rsidRPr="005D6811">
        <w:rPr>
          <w:rFonts w:ascii="Palatino Linotype" w:hAnsi="Palatino Linotype"/>
          <w:sz w:val="20"/>
          <w:szCs w:val="20"/>
          <w:lang w:val="en-AU"/>
        </w:rPr>
        <w:t>Cth</w:t>
      </w:r>
      <w:proofErr w:type="spellEnd"/>
      <w:r w:rsidRPr="005D6811">
        <w:rPr>
          <w:rFonts w:ascii="Palatino Linotype" w:hAnsi="Palatino Linotype"/>
          <w:sz w:val="20"/>
          <w:szCs w:val="20"/>
          <w:lang w:val="en-AU"/>
        </w:rPr>
        <w:t>) s 3(1</w:t>
      </w:r>
      <w:proofErr w:type="gramStart"/>
      <w:r w:rsidRPr="005D6811">
        <w:rPr>
          <w:rFonts w:ascii="Palatino Linotype" w:hAnsi="Palatino Linotype"/>
          <w:sz w:val="20"/>
          <w:szCs w:val="20"/>
          <w:lang w:val="en-AU"/>
        </w:rPr>
        <w:t>)(</w:t>
      </w:r>
      <w:proofErr w:type="gramEnd"/>
      <w:r w:rsidRPr="005D6811">
        <w:rPr>
          <w:rFonts w:ascii="Palatino Linotype" w:hAnsi="Palatino Linotype"/>
          <w:sz w:val="20"/>
          <w:szCs w:val="20"/>
          <w:lang w:val="en-AU"/>
        </w:rPr>
        <w:t>a).</w:t>
      </w:r>
      <w:bookmarkEnd w:id="8"/>
    </w:p>
  </w:footnote>
  <w:footnote w:id="52">
    <w:p w14:paraId="690F3836" w14:textId="5F5FBFC7" w:rsidR="00C14E9B" w:rsidRPr="005D6811" w:rsidRDefault="00C14E9B">
      <w:pPr>
        <w:pStyle w:val="FootnoteText"/>
        <w:rPr>
          <w:rFonts w:ascii="Palatino Linotype" w:hAnsi="Palatino Linotype"/>
          <w:sz w:val="20"/>
          <w:szCs w:val="20"/>
          <w:lang w:val="en-AU"/>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See </w:t>
      </w:r>
      <w:bookmarkStart w:id="9" w:name="_Hlk508965864"/>
      <w:r w:rsidRPr="005D6811">
        <w:rPr>
          <w:rFonts w:ascii="Palatino Linotype" w:hAnsi="Palatino Linotype"/>
          <w:sz w:val="20"/>
          <w:szCs w:val="20"/>
          <w:lang w:val="en-AU"/>
        </w:rPr>
        <w:t>Vivien Runnels &amp; Car</w:t>
      </w:r>
      <w:r w:rsidR="00934426" w:rsidRPr="005D6811">
        <w:rPr>
          <w:rFonts w:ascii="Palatino Linotype" w:hAnsi="Palatino Linotype"/>
          <w:sz w:val="20"/>
          <w:szCs w:val="20"/>
          <w:lang w:val="en-AU"/>
        </w:rPr>
        <w:t>oline Andrew, ‘Community-based R</w:t>
      </w:r>
      <w:r w:rsidRPr="005D6811">
        <w:rPr>
          <w:rFonts w:ascii="Palatino Linotype" w:hAnsi="Palatino Linotype"/>
          <w:sz w:val="20"/>
          <w:szCs w:val="20"/>
          <w:lang w:val="en-AU"/>
        </w:rPr>
        <w:t xml:space="preserve">esearch </w:t>
      </w:r>
      <w:r w:rsidR="00934426" w:rsidRPr="005D6811">
        <w:rPr>
          <w:rFonts w:ascii="Palatino Linotype" w:hAnsi="Palatino Linotype"/>
          <w:sz w:val="20"/>
          <w:szCs w:val="20"/>
          <w:lang w:val="en-AU"/>
        </w:rPr>
        <w:t>D</w:t>
      </w:r>
      <w:r w:rsidRPr="005D6811">
        <w:rPr>
          <w:rFonts w:ascii="Palatino Linotype" w:hAnsi="Palatino Linotype"/>
          <w:sz w:val="20"/>
          <w:szCs w:val="20"/>
          <w:lang w:val="en-AU"/>
        </w:rPr>
        <w:t xml:space="preserve">ecision-making: Experiences and </w:t>
      </w:r>
      <w:r w:rsidR="00934426" w:rsidRPr="005D6811">
        <w:rPr>
          <w:rFonts w:ascii="Palatino Linotype" w:hAnsi="Palatino Linotype"/>
          <w:sz w:val="20"/>
          <w:szCs w:val="20"/>
          <w:lang w:val="en-AU"/>
        </w:rPr>
        <w:t>F</w:t>
      </w:r>
      <w:r w:rsidRPr="005D6811">
        <w:rPr>
          <w:rFonts w:ascii="Palatino Linotype" w:hAnsi="Palatino Linotype"/>
          <w:sz w:val="20"/>
          <w:szCs w:val="20"/>
          <w:lang w:val="en-AU"/>
        </w:rPr>
        <w:t xml:space="preserve">actors </w:t>
      </w:r>
      <w:r w:rsidR="00934426" w:rsidRPr="005D6811">
        <w:rPr>
          <w:rFonts w:ascii="Palatino Linotype" w:hAnsi="Palatino Linotype"/>
          <w:sz w:val="20"/>
          <w:szCs w:val="20"/>
          <w:lang w:val="en-AU"/>
        </w:rPr>
        <w:t>A</w:t>
      </w:r>
      <w:r w:rsidRPr="005D6811">
        <w:rPr>
          <w:rFonts w:ascii="Palatino Linotype" w:hAnsi="Palatino Linotype"/>
          <w:sz w:val="20"/>
          <w:szCs w:val="20"/>
          <w:lang w:val="en-AU"/>
        </w:rPr>
        <w:t xml:space="preserve">ffecting </w:t>
      </w:r>
      <w:r w:rsidR="00934426" w:rsidRPr="005D6811">
        <w:rPr>
          <w:rFonts w:ascii="Palatino Linotype" w:hAnsi="Palatino Linotype"/>
          <w:sz w:val="20"/>
          <w:szCs w:val="20"/>
          <w:lang w:val="en-AU"/>
        </w:rPr>
        <w:t>P</w:t>
      </w:r>
      <w:r w:rsidRPr="005D6811">
        <w:rPr>
          <w:rFonts w:ascii="Palatino Linotype" w:hAnsi="Palatino Linotype"/>
          <w:sz w:val="20"/>
          <w:szCs w:val="20"/>
          <w:lang w:val="en-AU"/>
        </w:rPr>
        <w:t xml:space="preserve">articipation’ (2013) 6 </w:t>
      </w:r>
      <w:r w:rsidRPr="005D6811">
        <w:rPr>
          <w:rFonts w:ascii="Palatino Linotype" w:hAnsi="Palatino Linotype"/>
          <w:i/>
          <w:sz w:val="20"/>
          <w:szCs w:val="20"/>
          <w:lang w:val="en-AU"/>
        </w:rPr>
        <w:t>Gateways: International Journal of Community Research and Engagement</w:t>
      </w:r>
      <w:r w:rsidRPr="005D6811">
        <w:rPr>
          <w:rFonts w:ascii="Palatino Linotype" w:hAnsi="Palatino Linotype"/>
          <w:sz w:val="20"/>
          <w:szCs w:val="20"/>
          <w:lang w:val="en-AU"/>
        </w:rPr>
        <w:t xml:space="preserve"> 22</w:t>
      </w:r>
      <w:bookmarkEnd w:id="9"/>
      <w:r w:rsidRPr="005D6811">
        <w:rPr>
          <w:rFonts w:ascii="Palatino Linotype" w:hAnsi="Palatino Linotype"/>
          <w:sz w:val="20"/>
          <w:szCs w:val="20"/>
          <w:lang w:val="en-AU"/>
        </w:rPr>
        <w:t>.</w:t>
      </w:r>
    </w:p>
  </w:footnote>
  <w:footnote w:id="53">
    <w:p w14:paraId="465C7790" w14:textId="74201F1B" w:rsidR="00C14E9B" w:rsidRPr="005D6811" w:rsidRDefault="00C14E9B" w:rsidP="00FE6697">
      <w:pPr>
        <w:pStyle w:val="FootnoteText"/>
        <w:rPr>
          <w:rFonts w:ascii="Palatino Linotype" w:hAnsi="Palatino Linotype"/>
          <w:sz w:val="20"/>
          <w:szCs w:val="20"/>
        </w:rPr>
      </w:pPr>
      <w:r w:rsidRPr="005D6811">
        <w:rPr>
          <w:rStyle w:val="FootnoteReference"/>
          <w:rFonts w:ascii="Palatino Linotype" w:hAnsi="Palatino Linotype"/>
          <w:sz w:val="20"/>
          <w:szCs w:val="20"/>
        </w:rPr>
        <w:footnoteRef/>
      </w:r>
      <w:r w:rsidR="00C61486" w:rsidRPr="005D6811">
        <w:rPr>
          <w:rFonts w:ascii="Palatino Linotype" w:hAnsi="Palatino Linotype"/>
          <w:sz w:val="20"/>
          <w:szCs w:val="20"/>
        </w:rPr>
        <w:t xml:space="preserve"> See for example </w:t>
      </w:r>
      <w:proofErr w:type="spellStart"/>
      <w:r w:rsidR="00C61486" w:rsidRPr="005D6811">
        <w:rPr>
          <w:rFonts w:ascii="Palatino Linotype" w:hAnsi="Palatino Linotype"/>
          <w:sz w:val="20"/>
          <w:szCs w:val="20"/>
        </w:rPr>
        <w:t>Ros</w:t>
      </w:r>
      <w:proofErr w:type="spellEnd"/>
      <w:r w:rsidR="00C61486" w:rsidRPr="005D6811">
        <w:rPr>
          <w:rFonts w:ascii="Palatino Linotype" w:hAnsi="Palatino Linotype"/>
          <w:sz w:val="20"/>
          <w:szCs w:val="20"/>
        </w:rPr>
        <w:t xml:space="preserve"> Macdonald and</w:t>
      </w:r>
      <w:r w:rsidRPr="005D6811">
        <w:rPr>
          <w:rFonts w:ascii="Palatino Linotype" w:hAnsi="Palatino Linotype"/>
          <w:sz w:val="20"/>
          <w:szCs w:val="20"/>
        </w:rPr>
        <w:t xml:space="preserve"> Deborah Clark-Dickson, </w:t>
      </w:r>
      <w:r w:rsidRPr="005D6811">
        <w:rPr>
          <w:rFonts w:ascii="Palatino Linotype" w:hAnsi="Palatino Linotype"/>
          <w:i/>
          <w:sz w:val="20"/>
          <w:szCs w:val="20"/>
        </w:rPr>
        <w:t xml:space="preserve">Clear and Precise Writing for Today’s Lawyer </w:t>
      </w:r>
      <w:r w:rsidRPr="005D6811">
        <w:rPr>
          <w:rFonts w:ascii="Palatino Linotype" w:hAnsi="Palatino Linotype"/>
          <w:sz w:val="20"/>
          <w:szCs w:val="20"/>
        </w:rPr>
        <w:t>(</w:t>
      </w:r>
      <w:r w:rsidR="00EF7CEE" w:rsidRPr="005D6811">
        <w:rPr>
          <w:rFonts w:ascii="Palatino Linotype" w:hAnsi="Palatino Linotype"/>
          <w:sz w:val="20"/>
          <w:szCs w:val="20"/>
        </w:rPr>
        <w:t>Queensland Law Society, 2000</w:t>
      </w:r>
      <w:r w:rsidRPr="005D6811">
        <w:rPr>
          <w:rFonts w:ascii="Palatino Linotype" w:hAnsi="Palatino Linotype"/>
          <w:sz w:val="20"/>
          <w:szCs w:val="20"/>
        </w:rPr>
        <w:t>).</w:t>
      </w:r>
    </w:p>
  </w:footnote>
  <w:footnote w:id="54">
    <w:p w14:paraId="292B83AB" w14:textId="7C9AD93D" w:rsidR="00C14E9B" w:rsidRPr="005D6811" w:rsidRDefault="00C14E9B" w:rsidP="00FE6697">
      <w:pPr>
        <w:spacing w:after="0" w:line="240" w:lineRule="auto"/>
        <w:jc w:val="both"/>
        <w:rPr>
          <w:rFonts w:ascii="Palatino Linotype" w:hAnsi="Palatino Linotype" w:cs="Times New Roman"/>
          <w:sz w:val="20"/>
          <w:szCs w:val="20"/>
        </w:rPr>
      </w:pPr>
      <w:r w:rsidRPr="005D6811">
        <w:rPr>
          <w:rStyle w:val="FootnoteReference"/>
          <w:rFonts w:ascii="Palatino Linotype" w:hAnsi="Palatino Linotype" w:cs="Times New Roman"/>
          <w:sz w:val="20"/>
          <w:szCs w:val="20"/>
        </w:rPr>
        <w:footnoteRef/>
      </w:r>
      <w:r w:rsidRPr="005D6811">
        <w:rPr>
          <w:rFonts w:ascii="Palatino Linotype" w:hAnsi="Palatino Linotype" w:cs="Times New Roman"/>
          <w:sz w:val="20"/>
          <w:szCs w:val="20"/>
        </w:rPr>
        <w:t xml:space="preserve"> Misako Nomura, </w:t>
      </w:r>
      <w:proofErr w:type="spellStart"/>
      <w:r w:rsidRPr="005D6811">
        <w:rPr>
          <w:rFonts w:ascii="Palatino Linotype" w:hAnsi="Palatino Linotype" w:cs="Times New Roman"/>
          <w:sz w:val="20"/>
          <w:szCs w:val="20"/>
        </w:rPr>
        <w:t>Gyda</w:t>
      </w:r>
      <w:proofErr w:type="spellEnd"/>
      <w:r w:rsidRPr="005D6811">
        <w:rPr>
          <w:rFonts w:ascii="Palatino Linotype" w:hAnsi="Palatino Linotype" w:cs="Times New Roman"/>
          <w:sz w:val="20"/>
          <w:szCs w:val="20"/>
        </w:rPr>
        <w:t xml:space="preserve"> Skat Nielsen and </w:t>
      </w:r>
      <w:proofErr w:type="spellStart"/>
      <w:r w:rsidRPr="005D6811">
        <w:rPr>
          <w:rFonts w:ascii="Palatino Linotype" w:hAnsi="Palatino Linotype" w:cs="Times New Roman"/>
          <w:sz w:val="20"/>
          <w:szCs w:val="20"/>
        </w:rPr>
        <w:t>Bror</w:t>
      </w:r>
      <w:proofErr w:type="spellEnd"/>
      <w:r w:rsidRPr="005D6811">
        <w:rPr>
          <w:rFonts w:ascii="Palatino Linotype" w:hAnsi="Palatino Linotype" w:cs="Times New Roman"/>
          <w:sz w:val="20"/>
          <w:szCs w:val="20"/>
        </w:rPr>
        <w:t xml:space="preserve"> </w:t>
      </w:r>
      <w:proofErr w:type="spellStart"/>
      <w:r w:rsidRPr="005D6811">
        <w:rPr>
          <w:rFonts w:ascii="Palatino Linotype" w:hAnsi="Palatino Linotype" w:cs="Times New Roman"/>
          <w:sz w:val="20"/>
          <w:szCs w:val="20"/>
        </w:rPr>
        <w:t>Tronbacke</w:t>
      </w:r>
      <w:proofErr w:type="spellEnd"/>
      <w:r w:rsidRPr="005D6811">
        <w:rPr>
          <w:rFonts w:ascii="Palatino Linotype" w:hAnsi="Palatino Linotype" w:cs="Times New Roman"/>
          <w:sz w:val="20"/>
          <w:szCs w:val="20"/>
        </w:rPr>
        <w:t xml:space="preserve">, </w:t>
      </w:r>
      <w:r w:rsidRPr="005D6811">
        <w:rPr>
          <w:rFonts w:ascii="Palatino Linotype" w:hAnsi="Palatino Linotype" w:cs="Times New Roman"/>
          <w:i/>
          <w:sz w:val="20"/>
          <w:szCs w:val="20"/>
        </w:rPr>
        <w:t>Guidelines for Easy-to-Read Materials</w:t>
      </w:r>
      <w:r w:rsidR="008F2BF4" w:rsidRPr="005D6811">
        <w:rPr>
          <w:rFonts w:ascii="Palatino Linotype" w:hAnsi="Palatino Linotype" w:cs="Times New Roman"/>
          <w:sz w:val="20"/>
          <w:szCs w:val="20"/>
        </w:rPr>
        <w:t xml:space="preserve"> (</w:t>
      </w:r>
      <w:r w:rsidRPr="005D6811">
        <w:rPr>
          <w:rFonts w:ascii="Palatino Linotype" w:hAnsi="Palatino Linotype" w:cs="Times New Roman"/>
          <w:sz w:val="20"/>
          <w:szCs w:val="20"/>
        </w:rPr>
        <w:t xml:space="preserve">IFLA Professional Reports No 120, International Federation of Library Associations and Institutions, </w:t>
      </w:r>
      <w:r w:rsidR="008F2BF4" w:rsidRPr="005D6811">
        <w:rPr>
          <w:rFonts w:ascii="Palatino Linotype" w:hAnsi="Palatino Linotype" w:cs="Times New Roman"/>
          <w:sz w:val="20"/>
          <w:szCs w:val="20"/>
        </w:rPr>
        <w:t xml:space="preserve">2010) </w:t>
      </w:r>
      <w:r w:rsidRPr="005D6811">
        <w:rPr>
          <w:rFonts w:ascii="Palatino Linotype" w:hAnsi="Palatino Linotype" w:cs="Times New Roman"/>
          <w:sz w:val="20"/>
          <w:szCs w:val="20"/>
        </w:rPr>
        <w:t>&lt;</w:t>
      </w:r>
      <w:hyperlink r:id="rId17" w:history="1">
        <w:r w:rsidRPr="005D6811">
          <w:rPr>
            <w:rStyle w:val="Hyperlink"/>
            <w:rFonts w:ascii="Palatino Linotype" w:hAnsi="Palatino Linotype" w:cs="Times New Roman"/>
            <w:sz w:val="20"/>
            <w:szCs w:val="20"/>
          </w:rPr>
          <w:t>https://www.ifla.org/publications/guidelines-for-easy-to-read-materials</w:t>
        </w:r>
      </w:hyperlink>
      <w:r w:rsidRPr="005D6811">
        <w:rPr>
          <w:rFonts w:ascii="Palatino Linotype" w:hAnsi="Palatino Linotype" w:cs="Times New Roman"/>
          <w:sz w:val="20"/>
          <w:szCs w:val="20"/>
        </w:rPr>
        <w:t>&gt;.</w:t>
      </w:r>
    </w:p>
  </w:footnote>
  <w:footnote w:id="55">
    <w:p w14:paraId="5F38DB17" w14:textId="283F2E85" w:rsidR="003459E3" w:rsidRPr="005D6811" w:rsidRDefault="003459E3" w:rsidP="003459E3">
      <w:pPr>
        <w:pStyle w:val="FootnoteText"/>
        <w:rPr>
          <w:rFonts w:ascii="Palatino Linotype" w:hAnsi="Palatino Linotype"/>
          <w:sz w:val="20"/>
          <w:szCs w:val="20"/>
          <w:lang w:val="en-AU"/>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282502" w:rsidRPr="005D6811">
        <w:rPr>
          <w:rFonts w:ascii="Palatino Linotype" w:hAnsi="Palatino Linotype"/>
          <w:sz w:val="20"/>
          <w:szCs w:val="20"/>
        </w:rPr>
        <w:t>S</w:t>
      </w:r>
      <w:r w:rsidRPr="005D6811">
        <w:rPr>
          <w:rFonts w:ascii="Palatino Linotype" w:hAnsi="Palatino Linotype"/>
          <w:sz w:val="20"/>
          <w:szCs w:val="20"/>
        </w:rPr>
        <w:t xml:space="preserve">ee </w:t>
      </w:r>
      <w:r w:rsidR="00282502" w:rsidRPr="005D6811">
        <w:rPr>
          <w:rFonts w:ascii="Palatino Linotype" w:hAnsi="Palatino Linotype"/>
          <w:sz w:val="20"/>
          <w:szCs w:val="20"/>
        </w:rPr>
        <w:t xml:space="preserve">for example </w:t>
      </w:r>
      <w:r w:rsidR="00331F8A" w:rsidRPr="005D6811">
        <w:rPr>
          <w:rFonts w:ascii="Palatino Linotype" w:hAnsi="Palatino Linotype"/>
          <w:sz w:val="20"/>
          <w:szCs w:val="20"/>
        </w:rPr>
        <w:t xml:space="preserve">Stone and Priestley, above n </w:t>
      </w:r>
      <w:r w:rsidR="00331F8A" w:rsidRPr="005D6811">
        <w:rPr>
          <w:rFonts w:ascii="Palatino Linotype" w:hAnsi="Palatino Linotype"/>
          <w:sz w:val="20"/>
          <w:szCs w:val="20"/>
        </w:rPr>
        <w:fldChar w:fldCharType="begin"/>
      </w:r>
      <w:r w:rsidR="00331F8A" w:rsidRPr="005D6811">
        <w:rPr>
          <w:rFonts w:ascii="Palatino Linotype" w:hAnsi="Palatino Linotype"/>
          <w:sz w:val="20"/>
          <w:szCs w:val="20"/>
        </w:rPr>
        <w:instrText xml:space="preserve"> NOTEREF _Ref508965982 \h </w:instrText>
      </w:r>
      <w:r w:rsidR="005D6811" w:rsidRPr="005D6811">
        <w:rPr>
          <w:rFonts w:ascii="Palatino Linotype" w:hAnsi="Palatino Linotype"/>
          <w:sz w:val="20"/>
          <w:szCs w:val="20"/>
        </w:rPr>
        <w:instrText xml:space="preserve"> \* MERGEFORMAT </w:instrText>
      </w:r>
      <w:r w:rsidR="00331F8A" w:rsidRPr="005D6811">
        <w:rPr>
          <w:rFonts w:ascii="Palatino Linotype" w:hAnsi="Palatino Linotype"/>
          <w:sz w:val="20"/>
          <w:szCs w:val="20"/>
        </w:rPr>
      </w:r>
      <w:r w:rsidR="00331F8A" w:rsidRPr="005D6811">
        <w:rPr>
          <w:rFonts w:ascii="Palatino Linotype" w:hAnsi="Palatino Linotype"/>
          <w:sz w:val="20"/>
          <w:szCs w:val="20"/>
        </w:rPr>
        <w:fldChar w:fldCharType="separate"/>
      </w:r>
      <w:r w:rsidR="00E41F77" w:rsidRPr="005D6811">
        <w:rPr>
          <w:rFonts w:ascii="Palatino Linotype" w:hAnsi="Palatino Linotype"/>
          <w:sz w:val="20"/>
          <w:szCs w:val="20"/>
        </w:rPr>
        <w:t>26</w:t>
      </w:r>
      <w:r w:rsidR="00331F8A" w:rsidRPr="005D6811">
        <w:rPr>
          <w:rFonts w:ascii="Palatino Linotype" w:hAnsi="Palatino Linotype"/>
          <w:sz w:val="20"/>
          <w:szCs w:val="20"/>
        </w:rPr>
        <w:fldChar w:fldCharType="end"/>
      </w:r>
      <w:r w:rsidR="00331F8A" w:rsidRPr="005D6811">
        <w:rPr>
          <w:rFonts w:ascii="Palatino Linotype" w:hAnsi="Palatino Linotype"/>
          <w:sz w:val="20"/>
          <w:szCs w:val="20"/>
        </w:rPr>
        <w:t>.</w:t>
      </w:r>
    </w:p>
  </w:footnote>
  <w:footnote w:id="56">
    <w:p w14:paraId="4E672F62" w14:textId="548F10AA" w:rsidR="00C14E9B" w:rsidRPr="005D6811" w:rsidRDefault="00C14E9B" w:rsidP="000B679F">
      <w:pPr>
        <w:pStyle w:val="FootnoteText"/>
        <w:rPr>
          <w:rFonts w:ascii="Palatino Linotype" w:hAnsi="Palatino Linotype"/>
          <w:sz w:val="20"/>
          <w:szCs w:val="20"/>
          <w:lang w:val="en-AU"/>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bookmarkStart w:id="11" w:name="_Hlk508965888"/>
      <w:r w:rsidRPr="005D6811">
        <w:rPr>
          <w:rFonts w:ascii="Palatino Linotype" w:hAnsi="Palatino Linotype"/>
          <w:sz w:val="20"/>
          <w:szCs w:val="20"/>
        </w:rPr>
        <w:t>Frances Gibson, ‘“The Convention on the Rights of Persons with Disabilities”: The Response of the Clinic’ (2011)</w:t>
      </w:r>
      <w:r w:rsidR="001B674D" w:rsidRPr="005D6811">
        <w:rPr>
          <w:rFonts w:ascii="Palatino Linotype" w:hAnsi="Palatino Linotype"/>
          <w:sz w:val="20"/>
          <w:szCs w:val="20"/>
        </w:rPr>
        <w:t xml:space="preserve"> 15</w:t>
      </w:r>
      <w:r w:rsidRPr="005D6811">
        <w:rPr>
          <w:rFonts w:ascii="Palatino Linotype" w:hAnsi="Palatino Linotype"/>
          <w:sz w:val="20"/>
          <w:szCs w:val="20"/>
        </w:rPr>
        <w:t xml:space="preserve"> </w:t>
      </w:r>
      <w:r w:rsidRPr="005D6811">
        <w:rPr>
          <w:rFonts w:ascii="Palatino Linotype" w:hAnsi="Palatino Linotype"/>
          <w:i/>
          <w:sz w:val="20"/>
          <w:szCs w:val="20"/>
        </w:rPr>
        <w:t>International Journal of Clinical Legal Education</w:t>
      </w:r>
      <w:r w:rsidR="004556DD" w:rsidRPr="005D6811">
        <w:rPr>
          <w:rFonts w:ascii="Palatino Linotype" w:hAnsi="Palatino Linotype"/>
          <w:sz w:val="20"/>
          <w:szCs w:val="20"/>
        </w:rPr>
        <w:t xml:space="preserve"> 11 &lt;</w:t>
      </w:r>
      <w:hyperlink r:id="rId18" w:history="1">
        <w:r w:rsidR="0085561C" w:rsidRPr="005D6811">
          <w:rPr>
            <w:rStyle w:val="Hyperlink"/>
            <w:rFonts w:ascii="Palatino Linotype" w:hAnsi="Palatino Linotype"/>
            <w:sz w:val="20"/>
            <w:szCs w:val="20"/>
          </w:rPr>
          <w:t>http://dx.doi.org/10.19164/ijcle.v15i0.53</w:t>
        </w:r>
      </w:hyperlink>
      <w:r w:rsidR="004556DD" w:rsidRPr="005D6811">
        <w:rPr>
          <w:rFonts w:ascii="Palatino Linotype" w:hAnsi="Palatino Linotype"/>
          <w:sz w:val="20"/>
          <w:szCs w:val="20"/>
        </w:rPr>
        <w:t xml:space="preserve">&gt;. </w:t>
      </w:r>
      <w:bookmarkEnd w:id="11"/>
    </w:p>
  </w:footnote>
  <w:footnote w:id="57">
    <w:p w14:paraId="631D6B51" w14:textId="1E09594A" w:rsidR="00C14E9B" w:rsidRPr="005D6811" w:rsidRDefault="00C14E9B" w:rsidP="004F21B9">
      <w:pPr>
        <w:pStyle w:val="FootnoteText"/>
        <w:rPr>
          <w:rFonts w:ascii="Palatino Linotype" w:hAnsi="Palatino Linotype"/>
          <w:sz w:val="20"/>
          <w:szCs w:val="20"/>
          <w:lang w:val="en-AU"/>
        </w:rPr>
      </w:pPr>
      <w:r w:rsidRPr="005D6811">
        <w:rPr>
          <w:rStyle w:val="FootnoteReference"/>
          <w:rFonts w:ascii="Palatino Linotype" w:hAnsi="Palatino Linotype"/>
          <w:sz w:val="20"/>
          <w:szCs w:val="20"/>
        </w:rPr>
        <w:footnoteRef/>
      </w:r>
      <w:r w:rsidR="0033067A" w:rsidRPr="005D6811">
        <w:rPr>
          <w:rFonts w:ascii="Palatino Linotype" w:hAnsi="Palatino Linotype"/>
          <w:sz w:val="20"/>
          <w:szCs w:val="20"/>
        </w:rPr>
        <w:t xml:space="preserve"> See Gledhill, above n </w:t>
      </w:r>
      <w:r w:rsidR="0033067A" w:rsidRPr="005D6811">
        <w:rPr>
          <w:rFonts w:ascii="Palatino Linotype" w:hAnsi="Palatino Linotype"/>
          <w:sz w:val="20"/>
          <w:szCs w:val="20"/>
        </w:rPr>
        <w:fldChar w:fldCharType="begin"/>
      </w:r>
      <w:r w:rsidR="0033067A" w:rsidRPr="005D6811">
        <w:rPr>
          <w:rFonts w:ascii="Palatino Linotype" w:hAnsi="Palatino Linotype"/>
          <w:sz w:val="20"/>
          <w:szCs w:val="20"/>
        </w:rPr>
        <w:instrText xml:space="preserve"> NOTEREF _Ref508786310 \h </w:instrText>
      </w:r>
      <w:r w:rsidR="00733AC2" w:rsidRPr="005D6811">
        <w:rPr>
          <w:rFonts w:ascii="Palatino Linotype" w:hAnsi="Palatino Linotype"/>
          <w:sz w:val="20"/>
          <w:szCs w:val="20"/>
        </w:rPr>
        <w:instrText xml:space="preserve"> \* MERGEFORMAT </w:instrText>
      </w:r>
      <w:r w:rsidR="0033067A" w:rsidRPr="005D6811">
        <w:rPr>
          <w:rFonts w:ascii="Palatino Linotype" w:hAnsi="Palatino Linotype"/>
          <w:sz w:val="20"/>
          <w:szCs w:val="20"/>
        </w:rPr>
      </w:r>
      <w:r w:rsidR="0033067A" w:rsidRPr="005D6811">
        <w:rPr>
          <w:rFonts w:ascii="Palatino Linotype" w:hAnsi="Palatino Linotype"/>
          <w:sz w:val="20"/>
          <w:szCs w:val="20"/>
        </w:rPr>
        <w:fldChar w:fldCharType="separate"/>
      </w:r>
      <w:r w:rsidR="00E41F77" w:rsidRPr="005D6811">
        <w:rPr>
          <w:rFonts w:ascii="Palatino Linotype" w:hAnsi="Palatino Linotype"/>
          <w:sz w:val="20"/>
          <w:szCs w:val="20"/>
        </w:rPr>
        <w:t>30</w:t>
      </w:r>
      <w:r w:rsidR="0033067A" w:rsidRPr="005D6811">
        <w:rPr>
          <w:rFonts w:ascii="Palatino Linotype" w:hAnsi="Palatino Linotype"/>
          <w:sz w:val="20"/>
          <w:szCs w:val="20"/>
        </w:rPr>
        <w:fldChar w:fldCharType="end"/>
      </w:r>
      <w:r w:rsidR="0033067A" w:rsidRPr="005D6811">
        <w:rPr>
          <w:rFonts w:ascii="Palatino Linotype" w:hAnsi="Palatino Linotype"/>
          <w:sz w:val="20"/>
          <w:szCs w:val="20"/>
        </w:rPr>
        <w:t>.</w:t>
      </w:r>
    </w:p>
  </w:footnote>
  <w:footnote w:id="58">
    <w:p w14:paraId="7AAAE5C7" w14:textId="67B31C82" w:rsidR="00C14E9B" w:rsidRPr="005D6811" w:rsidRDefault="00C14E9B" w:rsidP="004F21B9">
      <w:pPr>
        <w:pStyle w:val="FootnoteText"/>
        <w:rPr>
          <w:rFonts w:ascii="Palatino Linotype" w:hAnsi="Palatino Linotype"/>
          <w:sz w:val="20"/>
          <w:szCs w:val="20"/>
          <w:lang w:val="en-AU"/>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B22426" w:rsidRPr="005D6811">
        <w:rPr>
          <w:rFonts w:ascii="Palatino Linotype" w:hAnsi="Palatino Linotype"/>
          <w:sz w:val="20"/>
          <w:szCs w:val="20"/>
          <w:lang w:val="en-AU"/>
        </w:rPr>
        <w:t xml:space="preserve">Melinda Shirley, </w:t>
      </w:r>
      <w:proofErr w:type="spellStart"/>
      <w:r w:rsidR="00B22426" w:rsidRPr="005D6811">
        <w:rPr>
          <w:rFonts w:ascii="Palatino Linotype" w:hAnsi="Palatino Linotype"/>
          <w:sz w:val="20"/>
          <w:szCs w:val="20"/>
          <w:lang w:val="en-AU"/>
        </w:rPr>
        <w:t>Iyla</w:t>
      </w:r>
      <w:proofErr w:type="spellEnd"/>
      <w:r w:rsidR="00B22426" w:rsidRPr="005D6811">
        <w:rPr>
          <w:rFonts w:ascii="Palatino Linotype" w:hAnsi="Palatino Linotype"/>
          <w:sz w:val="20"/>
          <w:szCs w:val="20"/>
          <w:lang w:val="en-AU"/>
        </w:rPr>
        <w:t xml:space="preserve"> Davies, Tina Cockburn and Tracey Carver,</w:t>
      </w:r>
      <w:r w:rsidRPr="005D6811">
        <w:rPr>
          <w:rFonts w:ascii="Palatino Linotype" w:hAnsi="Palatino Linotype"/>
          <w:sz w:val="20"/>
          <w:szCs w:val="20"/>
          <w:lang w:val="en-AU"/>
        </w:rPr>
        <w:t xml:space="preserve"> ‘The </w:t>
      </w:r>
      <w:r w:rsidR="00B22426" w:rsidRPr="005D6811">
        <w:rPr>
          <w:rFonts w:ascii="Palatino Linotype" w:hAnsi="Palatino Linotype"/>
          <w:sz w:val="20"/>
          <w:szCs w:val="20"/>
          <w:lang w:val="en-AU"/>
        </w:rPr>
        <w:t>C</w:t>
      </w:r>
      <w:r w:rsidRPr="005D6811">
        <w:rPr>
          <w:rFonts w:ascii="Palatino Linotype" w:hAnsi="Palatino Linotype"/>
          <w:sz w:val="20"/>
          <w:szCs w:val="20"/>
          <w:lang w:val="en-AU"/>
        </w:rPr>
        <w:t>hallenge of</w:t>
      </w:r>
      <w:r w:rsidR="00B22426" w:rsidRPr="005D6811">
        <w:rPr>
          <w:rFonts w:ascii="Palatino Linotype" w:hAnsi="Palatino Linotype"/>
          <w:sz w:val="20"/>
          <w:szCs w:val="20"/>
          <w:lang w:val="en-AU"/>
        </w:rPr>
        <w:t xml:space="preserve"> P</w:t>
      </w:r>
      <w:r w:rsidRPr="005D6811">
        <w:rPr>
          <w:rFonts w:ascii="Palatino Linotype" w:hAnsi="Palatino Linotype"/>
          <w:sz w:val="20"/>
          <w:szCs w:val="20"/>
          <w:lang w:val="en-AU"/>
        </w:rPr>
        <w:t xml:space="preserve">roviding </w:t>
      </w:r>
      <w:r w:rsidR="00B22426" w:rsidRPr="005D6811">
        <w:rPr>
          <w:rFonts w:ascii="Palatino Linotype" w:hAnsi="Palatino Linotype"/>
          <w:sz w:val="20"/>
          <w:szCs w:val="20"/>
          <w:lang w:val="en-AU"/>
        </w:rPr>
        <w:t>Work-integrated Learning for Law Students – the QUT E</w:t>
      </w:r>
      <w:r w:rsidRPr="005D6811">
        <w:rPr>
          <w:rFonts w:ascii="Palatino Linotype" w:hAnsi="Palatino Linotype"/>
          <w:sz w:val="20"/>
          <w:szCs w:val="20"/>
          <w:lang w:val="en-AU"/>
        </w:rPr>
        <w:t xml:space="preserve">xperience’ (2006) 10 </w:t>
      </w:r>
      <w:r w:rsidRPr="005D6811">
        <w:rPr>
          <w:rFonts w:ascii="Palatino Linotype" w:hAnsi="Palatino Linotype"/>
          <w:i/>
          <w:sz w:val="20"/>
          <w:szCs w:val="20"/>
          <w:lang w:val="en-AU"/>
        </w:rPr>
        <w:t>Journal of Clinical Legal Education</w:t>
      </w:r>
      <w:r w:rsidRPr="005D6811">
        <w:rPr>
          <w:rFonts w:ascii="Palatino Linotype" w:hAnsi="Palatino Linotype"/>
          <w:sz w:val="20"/>
          <w:szCs w:val="20"/>
          <w:lang w:val="en-AU"/>
        </w:rPr>
        <w:t xml:space="preserve"> 134, 135-6</w:t>
      </w:r>
      <w:r w:rsidR="008C3BB0" w:rsidRPr="005D6811">
        <w:rPr>
          <w:rFonts w:ascii="Palatino Linotype" w:hAnsi="Palatino Linotype"/>
          <w:sz w:val="20"/>
          <w:szCs w:val="20"/>
          <w:lang w:val="en-AU"/>
        </w:rPr>
        <w:t xml:space="preserve"> &lt;</w:t>
      </w:r>
      <w:hyperlink r:id="rId19" w:history="1">
        <w:r w:rsidR="008C3BB0" w:rsidRPr="005D6811">
          <w:rPr>
            <w:rStyle w:val="Hyperlink"/>
            <w:rFonts w:ascii="Palatino Linotype" w:hAnsi="Palatino Linotype"/>
            <w:sz w:val="20"/>
            <w:szCs w:val="20"/>
            <w:lang w:val="en-AU"/>
          </w:rPr>
          <w:t>http://dx.doi.org/10.19164/ijcle.v10i0.81</w:t>
        </w:r>
      </w:hyperlink>
      <w:r w:rsidR="008C3BB0" w:rsidRPr="005D6811">
        <w:rPr>
          <w:rFonts w:ascii="Palatino Linotype" w:hAnsi="Palatino Linotype"/>
          <w:sz w:val="20"/>
          <w:szCs w:val="20"/>
          <w:lang w:val="en-AU"/>
        </w:rPr>
        <w:t>&gt;</w:t>
      </w:r>
      <w:r w:rsidR="00E6376E" w:rsidRPr="005D6811">
        <w:rPr>
          <w:rFonts w:ascii="Palatino Linotype" w:hAnsi="Palatino Linotype"/>
          <w:sz w:val="20"/>
          <w:szCs w:val="20"/>
          <w:lang w:val="en-AU"/>
        </w:rPr>
        <w:t>.</w:t>
      </w:r>
    </w:p>
  </w:footnote>
  <w:footnote w:id="59">
    <w:p w14:paraId="39C58E0C" w14:textId="614008C9" w:rsidR="00A1739B" w:rsidRPr="005D6811" w:rsidRDefault="00A1739B" w:rsidP="00A1739B">
      <w:pPr>
        <w:pStyle w:val="FootnoteText"/>
        <w:rPr>
          <w:rFonts w:ascii="Palatino Linotype" w:hAnsi="Palatino Linotype"/>
          <w:sz w:val="20"/>
          <w:szCs w:val="20"/>
          <w:lang w:val="en-AU"/>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On the third</w:t>
      </w:r>
      <w:r w:rsidR="00BC57F7" w:rsidRPr="005D6811">
        <w:rPr>
          <w:rFonts w:ascii="Palatino Linotype" w:hAnsi="Palatino Linotype"/>
          <w:sz w:val="20"/>
          <w:szCs w:val="20"/>
        </w:rPr>
        <w:t xml:space="preserve"> and fourth missions, </w:t>
      </w:r>
      <w:r w:rsidRPr="005D6811">
        <w:rPr>
          <w:rFonts w:ascii="Palatino Linotype" w:hAnsi="Palatino Linotype"/>
          <w:sz w:val="20"/>
          <w:szCs w:val="20"/>
        </w:rPr>
        <w:t xml:space="preserve">see Jill </w:t>
      </w:r>
      <w:proofErr w:type="spellStart"/>
      <w:r w:rsidRPr="005D6811">
        <w:rPr>
          <w:rFonts w:ascii="Palatino Linotype" w:hAnsi="Palatino Linotype"/>
          <w:sz w:val="20"/>
          <w:szCs w:val="20"/>
        </w:rPr>
        <w:t>Chopyak</w:t>
      </w:r>
      <w:proofErr w:type="spellEnd"/>
      <w:r w:rsidRPr="005D6811">
        <w:rPr>
          <w:rFonts w:ascii="Palatino Linotype" w:hAnsi="Palatino Linotype"/>
          <w:sz w:val="20"/>
          <w:szCs w:val="20"/>
        </w:rPr>
        <w:t xml:space="preserve"> and Peter N Levesque, ‘Community-based Research and Changes in the Research Landscape’ (2002) 22(3) </w:t>
      </w:r>
      <w:r w:rsidRPr="005D6811">
        <w:rPr>
          <w:rFonts w:ascii="Palatino Linotype" w:hAnsi="Palatino Linotype"/>
          <w:i/>
          <w:sz w:val="20"/>
          <w:szCs w:val="20"/>
        </w:rPr>
        <w:t>Bulletin of Science, Technology and Society</w:t>
      </w:r>
      <w:r w:rsidRPr="005D6811">
        <w:rPr>
          <w:rFonts w:ascii="Palatino Linotype" w:hAnsi="Palatino Linotype"/>
          <w:sz w:val="20"/>
          <w:szCs w:val="20"/>
        </w:rPr>
        <w:t xml:space="preserve"> 203; </w:t>
      </w:r>
      <w:r w:rsidR="00BC57F7" w:rsidRPr="005D6811">
        <w:rPr>
          <w:rFonts w:ascii="Palatino Linotype" w:hAnsi="Palatino Linotype"/>
          <w:sz w:val="20"/>
          <w:szCs w:val="20"/>
        </w:rPr>
        <w:t xml:space="preserve">Gregory </w:t>
      </w:r>
      <w:r w:rsidRPr="005D6811">
        <w:rPr>
          <w:rFonts w:ascii="Palatino Linotype" w:hAnsi="Palatino Linotype"/>
          <w:sz w:val="20"/>
          <w:szCs w:val="20"/>
        </w:rPr>
        <w:t>Trencher</w:t>
      </w:r>
      <w:r w:rsidR="00BC57F7" w:rsidRPr="005D6811">
        <w:rPr>
          <w:rFonts w:ascii="Palatino Linotype" w:hAnsi="Palatino Linotype"/>
          <w:sz w:val="20"/>
          <w:szCs w:val="20"/>
        </w:rPr>
        <w:t xml:space="preserve">, Masaru </w:t>
      </w:r>
      <w:proofErr w:type="spellStart"/>
      <w:r w:rsidR="00BC57F7" w:rsidRPr="005D6811">
        <w:rPr>
          <w:rFonts w:ascii="Palatino Linotype" w:hAnsi="Palatino Linotype"/>
          <w:sz w:val="20"/>
          <w:szCs w:val="20"/>
        </w:rPr>
        <w:t>Yarime</w:t>
      </w:r>
      <w:proofErr w:type="spellEnd"/>
      <w:r w:rsidR="00BC57F7" w:rsidRPr="005D6811">
        <w:rPr>
          <w:rFonts w:ascii="Palatino Linotype" w:hAnsi="Palatino Linotype"/>
          <w:sz w:val="20"/>
          <w:szCs w:val="20"/>
        </w:rPr>
        <w:t xml:space="preserve">, </w:t>
      </w:r>
      <w:proofErr w:type="spellStart"/>
      <w:r w:rsidR="00BC57F7" w:rsidRPr="005D6811">
        <w:rPr>
          <w:rFonts w:ascii="Palatino Linotype" w:hAnsi="Palatino Linotype"/>
          <w:sz w:val="20"/>
          <w:szCs w:val="20"/>
        </w:rPr>
        <w:t>Kes</w:t>
      </w:r>
      <w:proofErr w:type="spellEnd"/>
      <w:r w:rsidR="00BC57F7" w:rsidRPr="005D6811">
        <w:rPr>
          <w:rFonts w:ascii="Palatino Linotype" w:hAnsi="Palatino Linotype"/>
          <w:sz w:val="20"/>
          <w:szCs w:val="20"/>
        </w:rPr>
        <w:t xml:space="preserve"> B McCormick, Christopher N H Doll and Steven B </w:t>
      </w:r>
      <w:proofErr w:type="spellStart"/>
      <w:r w:rsidR="00BC57F7" w:rsidRPr="005D6811">
        <w:rPr>
          <w:rFonts w:ascii="Palatino Linotype" w:hAnsi="Palatino Linotype"/>
          <w:sz w:val="20"/>
          <w:szCs w:val="20"/>
        </w:rPr>
        <w:t>Kraines</w:t>
      </w:r>
      <w:proofErr w:type="spellEnd"/>
      <w:r w:rsidR="00BC57F7" w:rsidRPr="005D6811">
        <w:rPr>
          <w:rFonts w:ascii="Palatino Linotype" w:hAnsi="Palatino Linotype"/>
          <w:sz w:val="20"/>
          <w:szCs w:val="20"/>
        </w:rPr>
        <w:t>, ‘Beyond the Third Mission: Exploring the Emerging University Function of Co-creation for Sustainability’</w:t>
      </w:r>
      <w:r w:rsidRPr="005D6811">
        <w:rPr>
          <w:rFonts w:ascii="Palatino Linotype" w:hAnsi="Palatino Linotype"/>
          <w:sz w:val="20"/>
          <w:szCs w:val="20"/>
        </w:rPr>
        <w:t xml:space="preserve"> </w:t>
      </w:r>
      <w:r w:rsidR="00BC57F7" w:rsidRPr="005D6811">
        <w:rPr>
          <w:rFonts w:ascii="Palatino Linotype" w:hAnsi="Palatino Linotype"/>
          <w:sz w:val="20"/>
          <w:szCs w:val="20"/>
        </w:rPr>
        <w:t xml:space="preserve">(2014) 41 </w:t>
      </w:r>
      <w:r w:rsidR="00BC57F7" w:rsidRPr="005D6811">
        <w:rPr>
          <w:rFonts w:ascii="Palatino Linotype" w:hAnsi="Palatino Linotype"/>
          <w:i/>
          <w:sz w:val="20"/>
          <w:szCs w:val="20"/>
        </w:rPr>
        <w:t>Science and Public Policy</w:t>
      </w:r>
      <w:r w:rsidR="00BC57F7" w:rsidRPr="005D6811">
        <w:rPr>
          <w:rFonts w:ascii="Palatino Linotype" w:hAnsi="Palatino Linotype"/>
          <w:sz w:val="20"/>
          <w:szCs w:val="20"/>
        </w:rPr>
        <w:t xml:space="preserve"> 151.</w:t>
      </w:r>
    </w:p>
  </w:footnote>
  <w:footnote w:id="60">
    <w:p w14:paraId="2D3D4456" w14:textId="52CF6043" w:rsidR="00C14E9B" w:rsidRPr="005D6811" w:rsidRDefault="00C14E9B" w:rsidP="00EF36B2">
      <w:pPr>
        <w:pStyle w:val="FootnoteText"/>
        <w:rPr>
          <w:rFonts w:ascii="Palatino Linotype" w:hAnsi="Palatino Linotype"/>
          <w:sz w:val="20"/>
          <w:szCs w:val="20"/>
          <w:lang w:val="en-AU"/>
        </w:rPr>
      </w:pPr>
      <w:r w:rsidRPr="005D6811">
        <w:rPr>
          <w:rStyle w:val="FootnoteReference"/>
          <w:rFonts w:ascii="Palatino Linotype" w:hAnsi="Palatino Linotype"/>
          <w:sz w:val="20"/>
          <w:szCs w:val="20"/>
        </w:rPr>
        <w:footnoteRef/>
      </w:r>
      <w:r w:rsidR="0000249B" w:rsidRPr="005D6811">
        <w:rPr>
          <w:rFonts w:ascii="Palatino Linotype" w:hAnsi="Palatino Linotype"/>
          <w:sz w:val="20"/>
          <w:szCs w:val="20"/>
          <w:lang w:val="en-AU"/>
        </w:rPr>
        <w:t xml:space="preserve"> Gledhill, above n </w:t>
      </w:r>
      <w:r w:rsidR="0000249B" w:rsidRPr="005D6811">
        <w:rPr>
          <w:rFonts w:ascii="Palatino Linotype" w:hAnsi="Palatino Linotype"/>
          <w:sz w:val="20"/>
          <w:szCs w:val="20"/>
          <w:lang w:val="en-AU"/>
        </w:rPr>
        <w:fldChar w:fldCharType="begin"/>
      </w:r>
      <w:r w:rsidR="0000249B" w:rsidRPr="005D6811">
        <w:rPr>
          <w:rFonts w:ascii="Palatino Linotype" w:hAnsi="Palatino Linotype"/>
          <w:sz w:val="20"/>
          <w:szCs w:val="20"/>
          <w:lang w:val="en-AU"/>
        </w:rPr>
        <w:instrText xml:space="preserve"> NOTEREF _Ref508786310 \h </w:instrText>
      </w:r>
      <w:r w:rsidR="00733AC2" w:rsidRPr="005D6811">
        <w:rPr>
          <w:rFonts w:ascii="Palatino Linotype" w:hAnsi="Palatino Linotype"/>
          <w:sz w:val="20"/>
          <w:szCs w:val="20"/>
          <w:lang w:val="en-AU"/>
        </w:rPr>
        <w:instrText xml:space="preserve"> \* MERGEFORMAT </w:instrText>
      </w:r>
      <w:r w:rsidR="0000249B" w:rsidRPr="005D6811">
        <w:rPr>
          <w:rFonts w:ascii="Palatino Linotype" w:hAnsi="Palatino Linotype"/>
          <w:sz w:val="20"/>
          <w:szCs w:val="20"/>
          <w:lang w:val="en-AU"/>
        </w:rPr>
      </w:r>
      <w:r w:rsidR="0000249B" w:rsidRPr="005D6811">
        <w:rPr>
          <w:rFonts w:ascii="Palatino Linotype" w:hAnsi="Palatino Linotype"/>
          <w:sz w:val="20"/>
          <w:szCs w:val="20"/>
          <w:lang w:val="en-AU"/>
        </w:rPr>
        <w:fldChar w:fldCharType="separate"/>
      </w:r>
      <w:r w:rsidR="00E41F77" w:rsidRPr="005D6811">
        <w:rPr>
          <w:rFonts w:ascii="Palatino Linotype" w:hAnsi="Palatino Linotype"/>
          <w:sz w:val="20"/>
          <w:szCs w:val="20"/>
          <w:lang w:val="en-AU"/>
        </w:rPr>
        <w:t>30</w:t>
      </w:r>
      <w:r w:rsidR="0000249B" w:rsidRPr="005D6811">
        <w:rPr>
          <w:rFonts w:ascii="Palatino Linotype" w:hAnsi="Palatino Linotype"/>
          <w:sz w:val="20"/>
          <w:szCs w:val="20"/>
          <w:lang w:val="en-AU"/>
        </w:rPr>
        <w:fldChar w:fldCharType="end"/>
      </w:r>
      <w:r w:rsidRPr="005D6811">
        <w:rPr>
          <w:rFonts w:ascii="Palatino Linotype" w:hAnsi="Palatino Linotype"/>
          <w:sz w:val="20"/>
          <w:szCs w:val="20"/>
          <w:lang w:val="en-AU"/>
        </w:rPr>
        <w:t>, 297.</w:t>
      </w:r>
    </w:p>
  </w:footnote>
  <w:footnote w:id="61">
    <w:p w14:paraId="53B1320A" w14:textId="18CEF4CA" w:rsidR="00C14E9B" w:rsidRPr="005D6811" w:rsidRDefault="00C14E9B">
      <w:pPr>
        <w:pStyle w:val="FootnoteText"/>
        <w:rPr>
          <w:rFonts w:ascii="Palatino Linotype" w:hAnsi="Palatino Linotype"/>
          <w:sz w:val="20"/>
          <w:szCs w:val="20"/>
        </w:rPr>
      </w:pPr>
      <w:r w:rsidRPr="005D6811">
        <w:rPr>
          <w:rStyle w:val="FootnoteReference"/>
          <w:rFonts w:ascii="Palatino Linotype" w:hAnsi="Palatino Linotype"/>
          <w:sz w:val="20"/>
          <w:szCs w:val="20"/>
        </w:rPr>
        <w:footnoteRef/>
      </w:r>
      <w:r w:rsidRPr="005D6811">
        <w:rPr>
          <w:rFonts w:ascii="Palatino Linotype" w:hAnsi="Palatino Linotype"/>
          <w:sz w:val="20"/>
          <w:szCs w:val="20"/>
        </w:rPr>
        <w:t xml:space="preserve"> </w:t>
      </w:r>
      <w:r w:rsidR="00E83996" w:rsidRPr="005D6811">
        <w:rPr>
          <w:rFonts w:ascii="Palatino Linotype" w:hAnsi="Palatino Linotype"/>
          <w:sz w:val="20"/>
          <w:szCs w:val="20"/>
        </w:rPr>
        <w:t xml:space="preserve">Hurwitz, above n </w:t>
      </w:r>
      <w:r w:rsidR="00E83996" w:rsidRPr="005D6811">
        <w:rPr>
          <w:rFonts w:ascii="Palatino Linotype" w:hAnsi="Palatino Linotype"/>
          <w:sz w:val="20"/>
          <w:szCs w:val="20"/>
        </w:rPr>
        <w:fldChar w:fldCharType="begin"/>
      </w:r>
      <w:r w:rsidR="00E83996" w:rsidRPr="005D6811">
        <w:rPr>
          <w:rFonts w:ascii="Palatino Linotype" w:hAnsi="Palatino Linotype"/>
          <w:sz w:val="20"/>
          <w:szCs w:val="20"/>
        </w:rPr>
        <w:instrText xml:space="preserve"> NOTEREF _Ref508787564 \h </w:instrText>
      </w:r>
      <w:r w:rsidR="00733AC2" w:rsidRPr="005D6811">
        <w:rPr>
          <w:rFonts w:ascii="Palatino Linotype" w:hAnsi="Palatino Linotype"/>
          <w:sz w:val="20"/>
          <w:szCs w:val="20"/>
        </w:rPr>
        <w:instrText xml:space="preserve"> \* MERGEFORMAT </w:instrText>
      </w:r>
      <w:r w:rsidR="00E83996" w:rsidRPr="005D6811">
        <w:rPr>
          <w:rFonts w:ascii="Palatino Linotype" w:hAnsi="Palatino Linotype"/>
          <w:sz w:val="20"/>
          <w:szCs w:val="20"/>
        </w:rPr>
      </w:r>
      <w:r w:rsidR="00E83996" w:rsidRPr="005D6811">
        <w:rPr>
          <w:rFonts w:ascii="Palatino Linotype" w:hAnsi="Palatino Linotype"/>
          <w:sz w:val="20"/>
          <w:szCs w:val="20"/>
        </w:rPr>
        <w:fldChar w:fldCharType="separate"/>
      </w:r>
      <w:r w:rsidR="00E41F77" w:rsidRPr="005D6811">
        <w:rPr>
          <w:rFonts w:ascii="Palatino Linotype" w:hAnsi="Palatino Linotype"/>
          <w:sz w:val="20"/>
          <w:szCs w:val="20"/>
        </w:rPr>
        <w:t>35</w:t>
      </w:r>
      <w:r w:rsidR="00E83996" w:rsidRPr="005D6811">
        <w:rPr>
          <w:rFonts w:ascii="Palatino Linotype" w:hAnsi="Palatino Linotype"/>
          <w:sz w:val="20"/>
          <w:szCs w:val="20"/>
        </w:rPr>
        <w:fldChar w:fldCharType="end"/>
      </w:r>
      <w:r w:rsidR="00E83996" w:rsidRPr="005D6811">
        <w:rPr>
          <w:rFonts w:ascii="Palatino Linotype" w:hAnsi="Palatino Linotype"/>
          <w:sz w:val="20"/>
          <w:szCs w:val="20"/>
        </w:rPr>
        <w:t>,</w:t>
      </w:r>
      <w:r w:rsidRPr="005D6811">
        <w:rPr>
          <w:rFonts w:ascii="Palatino Linotype" w:hAnsi="Palatino Linotype"/>
          <w:sz w:val="20"/>
          <w:szCs w:val="20"/>
        </w:rPr>
        <w:t xml:space="preserve"> 521</w:t>
      </w:r>
      <w:r w:rsidR="00E83996" w:rsidRPr="005D6811">
        <w:rPr>
          <w:rFonts w:ascii="Palatino Linotype" w:hAnsi="Palatino Linotype"/>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A6A8D" w14:textId="7A82911E" w:rsidR="005D75EB" w:rsidRDefault="005D75EB">
    <w:pPr>
      <w:pStyle w:val="Header"/>
    </w:pPr>
    <w:r w:rsidRPr="005D75EB">
      <w:rPr>
        <w:rFonts w:ascii="Palatino Linotype" w:hAnsi="Palatino Linotype"/>
        <w:i/>
      </w:rPr>
      <w:t>Reviewed Article – Clinic, the University and Society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77A58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8315DC"/>
    <w:multiLevelType w:val="hybridMultilevel"/>
    <w:tmpl w:val="031C96FC"/>
    <w:lvl w:ilvl="0" w:tplc="0C09000F">
      <w:start w:val="1"/>
      <w:numFmt w:val="decimal"/>
      <w:lvlText w:val="%1."/>
      <w:lvlJc w:val="left"/>
      <w:pPr>
        <w:ind w:left="360" w:hanging="360"/>
      </w:pPr>
      <w:rPr>
        <w:rFonts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BB21F39"/>
    <w:multiLevelType w:val="hybridMultilevel"/>
    <w:tmpl w:val="A9A6DD6C"/>
    <w:lvl w:ilvl="0" w:tplc="E73A4474">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1745D72"/>
    <w:multiLevelType w:val="hybridMultilevel"/>
    <w:tmpl w:val="3506B8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5F3CCA"/>
    <w:multiLevelType w:val="hybridMultilevel"/>
    <w:tmpl w:val="031C96FC"/>
    <w:lvl w:ilvl="0" w:tplc="0C09000F">
      <w:start w:val="1"/>
      <w:numFmt w:val="decimal"/>
      <w:lvlText w:val="%1."/>
      <w:lvlJc w:val="left"/>
      <w:pPr>
        <w:ind w:left="360" w:hanging="360"/>
      </w:pPr>
      <w:rPr>
        <w:rFonts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6" w:nlCheck="1" w:checkStyle="0"/>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98"/>
    <w:rsid w:val="0000011D"/>
    <w:rsid w:val="00000866"/>
    <w:rsid w:val="0000099E"/>
    <w:rsid w:val="0000249B"/>
    <w:rsid w:val="00004D28"/>
    <w:rsid w:val="00005A7A"/>
    <w:rsid w:val="00005B1C"/>
    <w:rsid w:val="00006155"/>
    <w:rsid w:val="00010569"/>
    <w:rsid w:val="000123DF"/>
    <w:rsid w:val="00013E2C"/>
    <w:rsid w:val="00015058"/>
    <w:rsid w:val="00016380"/>
    <w:rsid w:val="00016AB8"/>
    <w:rsid w:val="00017499"/>
    <w:rsid w:val="000200DF"/>
    <w:rsid w:val="000225CE"/>
    <w:rsid w:val="000243E7"/>
    <w:rsid w:val="00026AE5"/>
    <w:rsid w:val="00026D92"/>
    <w:rsid w:val="00027201"/>
    <w:rsid w:val="000303A8"/>
    <w:rsid w:val="00032286"/>
    <w:rsid w:val="00032499"/>
    <w:rsid w:val="00032538"/>
    <w:rsid w:val="00033747"/>
    <w:rsid w:val="00033D97"/>
    <w:rsid w:val="00034FF5"/>
    <w:rsid w:val="0003543B"/>
    <w:rsid w:val="00035CD1"/>
    <w:rsid w:val="000413F4"/>
    <w:rsid w:val="0004202E"/>
    <w:rsid w:val="000426DC"/>
    <w:rsid w:val="00043283"/>
    <w:rsid w:val="00044B36"/>
    <w:rsid w:val="0004746A"/>
    <w:rsid w:val="0004776E"/>
    <w:rsid w:val="000509D6"/>
    <w:rsid w:val="00056CC5"/>
    <w:rsid w:val="00056D44"/>
    <w:rsid w:val="00060652"/>
    <w:rsid w:val="0006169D"/>
    <w:rsid w:val="00061CA8"/>
    <w:rsid w:val="00061FB4"/>
    <w:rsid w:val="00063163"/>
    <w:rsid w:val="000652D9"/>
    <w:rsid w:val="00066967"/>
    <w:rsid w:val="00067AD0"/>
    <w:rsid w:val="00071109"/>
    <w:rsid w:val="00071A3D"/>
    <w:rsid w:val="00071DAF"/>
    <w:rsid w:val="000734A0"/>
    <w:rsid w:val="00074F28"/>
    <w:rsid w:val="00077A79"/>
    <w:rsid w:val="00085965"/>
    <w:rsid w:val="000874BD"/>
    <w:rsid w:val="00087869"/>
    <w:rsid w:val="00091762"/>
    <w:rsid w:val="00093169"/>
    <w:rsid w:val="00093234"/>
    <w:rsid w:val="000960A6"/>
    <w:rsid w:val="000A0EEF"/>
    <w:rsid w:val="000A71C3"/>
    <w:rsid w:val="000B51DB"/>
    <w:rsid w:val="000B679F"/>
    <w:rsid w:val="000C045E"/>
    <w:rsid w:val="000C1054"/>
    <w:rsid w:val="000C207B"/>
    <w:rsid w:val="000C3475"/>
    <w:rsid w:val="000D0663"/>
    <w:rsid w:val="000D0C87"/>
    <w:rsid w:val="000D21F4"/>
    <w:rsid w:val="000D2637"/>
    <w:rsid w:val="000D28BF"/>
    <w:rsid w:val="000D497A"/>
    <w:rsid w:val="000D591E"/>
    <w:rsid w:val="000E49A9"/>
    <w:rsid w:val="000F0772"/>
    <w:rsid w:val="000F2762"/>
    <w:rsid w:val="000F2821"/>
    <w:rsid w:val="000F4CDB"/>
    <w:rsid w:val="000F5B37"/>
    <w:rsid w:val="000F7E89"/>
    <w:rsid w:val="001013C1"/>
    <w:rsid w:val="00103667"/>
    <w:rsid w:val="00104DC6"/>
    <w:rsid w:val="00105F24"/>
    <w:rsid w:val="0010680E"/>
    <w:rsid w:val="00106E4A"/>
    <w:rsid w:val="00111E08"/>
    <w:rsid w:val="00112435"/>
    <w:rsid w:val="0011583E"/>
    <w:rsid w:val="00117173"/>
    <w:rsid w:val="00117F5A"/>
    <w:rsid w:val="0012327D"/>
    <w:rsid w:val="00127E47"/>
    <w:rsid w:val="00130B84"/>
    <w:rsid w:val="00131216"/>
    <w:rsid w:val="00132EE0"/>
    <w:rsid w:val="001334D6"/>
    <w:rsid w:val="001335F7"/>
    <w:rsid w:val="00133986"/>
    <w:rsid w:val="0013522A"/>
    <w:rsid w:val="001352D4"/>
    <w:rsid w:val="00135AA5"/>
    <w:rsid w:val="00136542"/>
    <w:rsid w:val="001367F2"/>
    <w:rsid w:val="00140E3D"/>
    <w:rsid w:val="00140E5F"/>
    <w:rsid w:val="001425C9"/>
    <w:rsid w:val="00143EB8"/>
    <w:rsid w:val="00144F8C"/>
    <w:rsid w:val="0014572C"/>
    <w:rsid w:val="00145BBD"/>
    <w:rsid w:val="00146060"/>
    <w:rsid w:val="0014613C"/>
    <w:rsid w:val="00150C19"/>
    <w:rsid w:val="0015180C"/>
    <w:rsid w:val="00153232"/>
    <w:rsid w:val="00153DE3"/>
    <w:rsid w:val="001542BF"/>
    <w:rsid w:val="001545A6"/>
    <w:rsid w:val="00155833"/>
    <w:rsid w:val="00155B21"/>
    <w:rsid w:val="001612AA"/>
    <w:rsid w:val="001622B4"/>
    <w:rsid w:val="00163D5F"/>
    <w:rsid w:val="0016689D"/>
    <w:rsid w:val="00170997"/>
    <w:rsid w:val="001713A0"/>
    <w:rsid w:val="00172474"/>
    <w:rsid w:val="001746E3"/>
    <w:rsid w:val="0017625B"/>
    <w:rsid w:val="00181AE8"/>
    <w:rsid w:val="00183486"/>
    <w:rsid w:val="001851A1"/>
    <w:rsid w:val="00192512"/>
    <w:rsid w:val="00194CDA"/>
    <w:rsid w:val="0019630B"/>
    <w:rsid w:val="001A1036"/>
    <w:rsid w:val="001A2718"/>
    <w:rsid w:val="001A2EFA"/>
    <w:rsid w:val="001A495B"/>
    <w:rsid w:val="001A673D"/>
    <w:rsid w:val="001A7158"/>
    <w:rsid w:val="001A748E"/>
    <w:rsid w:val="001B0DE3"/>
    <w:rsid w:val="001B1F31"/>
    <w:rsid w:val="001B3C28"/>
    <w:rsid w:val="001B5AD7"/>
    <w:rsid w:val="001B674D"/>
    <w:rsid w:val="001B6E4E"/>
    <w:rsid w:val="001B74AA"/>
    <w:rsid w:val="001B78CA"/>
    <w:rsid w:val="001C29DB"/>
    <w:rsid w:val="001C4079"/>
    <w:rsid w:val="001C42BC"/>
    <w:rsid w:val="001C42E6"/>
    <w:rsid w:val="001D286B"/>
    <w:rsid w:val="001D286C"/>
    <w:rsid w:val="001D4926"/>
    <w:rsid w:val="001D56BF"/>
    <w:rsid w:val="001E0A2F"/>
    <w:rsid w:val="001E2560"/>
    <w:rsid w:val="001E2CB2"/>
    <w:rsid w:val="001E4970"/>
    <w:rsid w:val="001E5421"/>
    <w:rsid w:val="001F1A04"/>
    <w:rsid w:val="001F1AC7"/>
    <w:rsid w:val="001F6F1B"/>
    <w:rsid w:val="001F78CA"/>
    <w:rsid w:val="00204BE1"/>
    <w:rsid w:val="002051DF"/>
    <w:rsid w:val="00205729"/>
    <w:rsid w:val="00211BD4"/>
    <w:rsid w:val="002125E3"/>
    <w:rsid w:val="00212944"/>
    <w:rsid w:val="002258F4"/>
    <w:rsid w:val="00226F34"/>
    <w:rsid w:val="002277FF"/>
    <w:rsid w:val="00230A8F"/>
    <w:rsid w:val="00231726"/>
    <w:rsid w:val="00231AEB"/>
    <w:rsid w:val="002369F8"/>
    <w:rsid w:val="0024034D"/>
    <w:rsid w:val="00241E1B"/>
    <w:rsid w:val="00243A4E"/>
    <w:rsid w:val="00243AD6"/>
    <w:rsid w:val="0025092C"/>
    <w:rsid w:val="002512E8"/>
    <w:rsid w:val="00253917"/>
    <w:rsid w:val="00254039"/>
    <w:rsid w:val="00255274"/>
    <w:rsid w:val="00260B17"/>
    <w:rsid w:val="00262335"/>
    <w:rsid w:val="002652D9"/>
    <w:rsid w:val="002654AA"/>
    <w:rsid w:val="00267317"/>
    <w:rsid w:val="002674EB"/>
    <w:rsid w:val="00272F8F"/>
    <w:rsid w:val="00280246"/>
    <w:rsid w:val="00280D3B"/>
    <w:rsid w:val="00281B60"/>
    <w:rsid w:val="00281BBB"/>
    <w:rsid w:val="00282502"/>
    <w:rsid w:val="00284319"/>
    <w:rsid w:val="00284C4D"/>
    <w:rsid w:val="00285A40"/>
    <w:rsid w:val="00286FAF"/>
    <w:rsid w:val="0029028F"/>
    <w:rsid w:val="002903D0"/>
    <w:rsid w:val="00291000"/>
    <w:rsid w:val="00293B52"/>
    <w:rsid w:val="00294DA9"/>
    <w:rsid w:val="002A0A09"/>
    <w:rsid w:val="002A37F7"/>
    <w:rsid w:val="002A5846"/>
    <w:rsid w:val="002B0439"/>
    <w:rsid w:val="002B1F83"/>
    <w:rsid w:val="002B2A8C"/>
    <w:rsid w:val="002B412C"/>
    <w:rsid w:val="002B5A16"/>
    <w:rsid w:val="002C186F"/>
    <w:rsid w:val="002C398E"/>
    <w:rsid w:val="002D00AF"/>
    <w:rsid w:val="002D0235"/>
    <w:rsid w:val="002D2A45"/>
    <w:rsid w:val="002E0C72"/>
    <w:rsid w:val="002E1D66"/>
    <w:rsid w:val="002E2AC8"/>
    <w:rsid w:val="002E3EFA"/>
    <w:rsid w:val="002E4B03"/>
    <w:rsid w:val="002E65F4"/>
    <w:rsid w:val="002E6BFA"/>
    <w:rsid w:val="002E7D4C"/>
    <w:rsid w:val="002F0087"/>
    <w:rsid w:val="002F1232"/>
    <w:rsid w:val="002F2E86"/>
    <w:rsid w:val="002F551D"/>
    <w:rsid w:val="00302D98"/>
    <w:rsid w:val="0030320C"/>
    <w:rsid w:val="003038B5"/>
    <w:rsid w:val="003054B4"/>
    <w:rsid w:val="00310087"/>
    <w:rsid w:val="00310398"/>
    <w:rsid w:val="0031100D"/>
    <w:rsid w:val="00321514"/>
    <w:rsid w:val="003231FD"/>
    <w:rsid w:val="0032338E"/>
    <w:rsid w:val="00323D53"/>
    <w:rsid w:val="0032429F"/>
    <w:rsid w:val="00325202"/>
    <w:rsid w:val="00325629"/>
    <w:rsid w:val="0033067A"/>
    <w:rsid w:val="00331F8A"/>
    <w:rsid w:val="00332B17"/>
    <w:rsid w:val="003406C4"/>
    <w:rsid w:val="00340A13"/>
    <w:rsid w:val="00340DBE"/>
    <w:rsid w:val="00343923"/>
    <w:rsid w:val="00345913"/>
    <w:rsid w:val="003459E3"/>
    <w:rsid w:val="00345B67"/>
    <w:rsid w:val="003475E1"/>
    <w:rsid w:val="00351CDC"/>
    <w:rsid w:val="00352CAF"/>
    <w:rsid w:val="0035429F"/>
    <w:rsid w:val="00355127"/>
    <w:rsid w:val="0035568B"/>
    <w:rsid w:val="00355BC7"/>
    <w:rsid w:val="003566CA"/>
    <w:rsid w:val="00357700"/>
    <w:rsid w:val="00360811"/>
    <w:rsid w:val="00361812"/>
    <w:rsid w:val="0036188E"/>
    <w:rsid w:val="00362018"/>
    <w:rsid w:val="003623BC"/>
    <w:rsid w:val="00363AE8"/>
    <w:rsid w:val="00363C15"/>
    <w:rsid w:val="00365798"/>
    <w:rsid w:val="00365CC2"/>
    <w:rsid w:val="0036644B"/>
    <w:rsid w:val="00366906"/>
    <w:rsid w:val="00372375"/>
    <w:rsid w:val="0037370F"/>
    <w:rsid w:val="00374A06"/>
    <w:rsid w:val="00376650"/>
    <w:rsid w:val="003772F1"/>
    <w:rsid w:val="00377FF8"/>
    <w:rsid w:val="00381D53"/>
    <w:rsid w:val="003825D1"/>
    <w:rsid w:val="00382E5C"/>
    <w:rsid w:val="003833C5"/>
    <w:rsid w:val="003869CC"/>
    <w:rsid w:val="00390722"/>
    <w:rsid w:val="00391B0B"/>
    <w:rsid w:val="00393718"/>
    <w:rsid w:val="00396B27"/>
    <w:rsid w:val="003976D4"/>
    <w:rsid w:val="00397932"/>
    <w:rsid w:val="00397C13"/>
    <w:rsid w:val="003A0C0F"/>
    <w:rsid w:val="003A2290"/>
    <w:rsid w:val="003A31A0"/>
    <w:rsid w:val="003A3466"/>
    <w:rsid w:val="003A4140"/>
    <w:rsid w:val="003B3901"/>
    <w:rsid w:val="003B64D0"/>
    <w:rsid w:val="003C4C67"/>
    <w:rsid w:val="003D17BD"/>
    <w:rsid w:val="003D1D29"/>
    <w:rsid w:val="003D1E36"/>
    <w:rsid w:val="003D1F47"/>
    <w:rsid w:val="003D1F77"/>
    <w:rsid w:val="003D3F44"/>
    <w:rsid w:val="003D4A80"/>
    <w:rsid w:val="003D793B"/>
    <w:rsid w:val="003E39BD"/>
    <w:rsid w:val="003E599F"/>
    <w:rsid w:val="003E72A6"/>
    <w:rsid w:val="003F2FB7"/>
    <w:rsid w:val="003F3180"/>
    <w:rsid w:val="003F4A57"/>
    <w:rsid w:val="003F53F2"/>
    <w:rsid w:val="003F6066"/>
    <w:rsid w:val="00400342"/>
    <w:rsid w:val="00401AB4"/>
    <w:rsid w:val="00403D8A"/>
    <w:rsid w:val="00404D98"/>
    <w:rsid w:val="004054D2"/>
    <w:rsid w:val="00405DD2"/>
    <w:rsid w:val="00407D5B"/>
    <w:rsid w:val="00411577"/>
    <w:rsid w:val="00413A3C"/>
    <w:rsid w:val="0041524B"/>
    <w:rsid w:val="004207A6"/>
    <w:rsid w:val="00420917"/>
    <w:rsid w:val="00421120"/>
    <w:rsid w:val="00423CF6"/>
    <w:rsid w:val="00427370"/>
    <w:rsid w:val="00432F6E"/>
    <w:rsid w:val="00434604"/>
    <w:rsid w:val="00434BF1"/>
    <w:rsid w:val="00435403"/>
    <w:rsid w:val="0044126B"/>
    <w:rsid w:val="00441416"/>
    <w:rsid w:val="004425B1"/>
    <w:rsid w:val="00443373"/>
    <w:rsid w:val="00445490"/>
    <w:rsid w:val="004462F9"/>
    <w:rsid w:val="00452D64"/>
    <w:rsid w:val="00452DF0"/>
    <w:rsid w:val="00453776"/>
    <w:rsid w:val="004537BF"/>
    <w:rsid w:val="004547D6"/>
    <w:rsid w:val="00454B0A"/>
    <w:rsid w:val="004556DD"/>
    <w:rsid w:val="00455AA7"/>
    <w:rsid w:val="0046108F"/>
    <w:rsid w:val="00462C7F"/>
    <w:rsid w:val="004630C2"/>
    <w:rsid w:val="00463CA6"/>
    <w:rsid w:val="0046572D"/>
    <w:rsid w:val="00465AD4"/>
    <w:rsid w:val="004700B1"/>
    <w:rsid w:val="00470E7E"/>
    <w:rsid w:val="00471528"/>
    <w:rsid w:val="00471BD5"/>
    <w:rsid w:val="0047204B"/>
    <w:rsid w:val="004774CA"/>
    <w:rsid w:val="004779DE"/>
    <w:rsid w:val="00482D6D"/>
    <w:rsid w:val="00483B90"/>
    <w:rsid w:val="004849D2"/>
    <w:rsid w:val="00487BA5"/>
    <w:rsid w:val="004904FD"/>
    <w:rsid w:val="00491E2A"/>
    <w:rsid w:val="004A0CC5"/>
    <w:rsid w:val="004A15FE"/>
    <w:rsid w:val="004A54BF"/>
    <w:rsid w:val="004A5768"/>
    <w:rsid w:val="004A5C91"/>
    <w:rsid w:val="004A6B80"/>
    <w:rsid w:val="004B05C4"/>
    <w:rsid w:val="004B1BAC"/>
    <w:rsid w:val="004B3814"/>
    <w:rsid w:val="004B4790"/>
    <w:rsid w:val="004B4E3F"/>
    <w:rsid w:val="004B579D"/>
    <w:rsid w:val="004B7B1F"/>
    <w:rsid w:val="004C29AB"/>
    <w:rsid w:val="004C2ABB"/>
    <w:rsid w:val="004C30F2"/>
    <w:rsid w:val="004C3C73"/>
    <w:rsid w:val="004C4DF7"/>
    <w:rsid w:val="004C6183"/>
    <w:rsid w:val="004C67E6"/>
    <w:rsid w:val="004D37DC"/>
    <w:rsid w:val="004D5639"/>
    <w:rsid w:val="004D6DB3"/>
    <w:rsid w:val="004D73D5"/>
    <w:rsid w:val="004F21B9"/>
    <w:rsid w:val="004F45C3"/>
    <w:rsid w:val="004F5023"/>
    <w:rsid w:val="004F506C"/>
    <w:rsid w:val="004F74D0"/>
    <w:rsid w:val="005061D7"/>
    <w:rsid w:val="00511E8A"/>
    <w:rsid w:val="005133A4"/>
    <w:rsid w:val="00513DB6"/>
    <w:rsid w:val="00513FD1"/>
    <w:rsid w:val="005140CF"/>
    <w:rsid w:val="0051411C"/>
    <w:rsid w:val="005150A8"/>
    <w:rsid w:val="00521072"/>
    <w:rsid w:val="00521A6A"/>
    <w:rsid w:val="00524100"/>
    <w:rsid w:val="00526E97"/>
    <w:rsid w:val="0053383C"/>
    <w:rsid w:val="00533883"/>
    <w:rsid w:val="0054300A"/>
    <w:rsid w:val="00546A7E"/>
    <w:rsid w:val="00546BED"/>
    <w:rsid w:val="005510DB"/>
    <w:rsid w:val="00552C04"/>
    <w:rsid w:val="00554F2B"/>
    <w:rsid w:val="00554F36"/>
    <w:rsid w:val="005573F6"/>
    <w:rsid w:val="00562D0D"/>
    <w:rsid w:val="00563337"/>
    <w:rsid w:val="00565217"/>
    <w:rsid w:val="00565ED7"/>
    <w:rsid w:val="0056621C"/>
    <w:rsid w:val="00566268"/>
    <w:rsid w:val="00566724"/>
    <w:rsid w:val="005704FD"/>
    <w:rsid w:val="005731E1"/>
    <w:rsid w:val="00576080"/>
    <w:rsid w:val="0058069C"/>
    <w:rsid w:val="005833DD"/>
    <w:rsid w:val="0059174C"/>
    <w:rsid w:val="00594A9B"/>
    <w:rsid w:val="00594C4C"/>
    <w:rsid w:val="0059537B"/>
    <w:rsid w:val="005961F7"/>
    <w:rsid w:val="005A171E"/>
    <w:rsid w:val="005A54BD"/>
    <w:rsid w:val="005A5FE8"/>
    <w:rsid w:val="005A6F03"/>
    <w:rsid w:val="005A7A2A"/>
    <w:rsid w:val="005B017C"/>
    <w:rsid w:val="005B24BA"/>
    <w:rsid w:val="005B3520"/>
    <w:rsid w:val="005C65DF"/>
    <w:rsid w:val="005D09DD"/>
    <w:rsid w:val="005D22E5"/>
    <w:rsid w:val="005D2EE2"/>
    <w:rsid w:val="005D3479"/>
    <w:rsid w:val="005D65F5"/>
    <w:rsid w:val="005D6811"/>
    <w:rsid w:val="005D70E1"/>
    <w:rsid w:val="005D7324"/>
    <w:rsid w:val="005D75EB"/>
    <w:rsid w:val="005E4CFB"/>
    <w:rsid w:val="005E4F71"/>
    <w:rsid w:val="005E5114"/>
    <w:rsid w:val="005E51FB"/>
    <w:rsid w:val="005E52F9"/>
    <w:rsid w:val="005E5D12"/>
    <w:rsid w:val="005E6677"/>
    <w:rsid w:val="005E6CD1"/>
    <w:rsid w:val="005F5B3B"/>
    <w:rsid w:val="006007D1"/>
    <w:rsid w:val="006012D9"/>
    <w:rsid w:val="00601E10"/>
    <w:rsid w:val="00604D7B"/>
    <w:rsid w:val="00605428"/>
    <w:rsid w:val="0060566C"/>
    <w:rsid w:val="0061524F"/>
    <w:rsid w:val="00616355"/>
    <w:rsid w:val="00616EFC"/>
    <w:rsid w:val="00622042"/>
    <w:rsid w:val="00623371"/>
    <w:rsid w:val="00626AF4"/>
    <w:rsid w:val="006303C8"/>
    <w:rsid w:val="006335E0"/>
    <w:rsid w:val="00633DFD"/>
    <w:rsid w:val="00634558"/>
    <w:rsid w:val="006403FC"/>
    <w:rsid w:val="0064162C"/>
    <w:rsid w:val="00641CE0"/>
    <w:rsid w:val="00642622"/>
    <w:rsid w:val="006443CA"/>
    <w:rsid w:val="00653416"/>
    <w:rsid w:val="00654756"/>
    <w:rsid w:val="00656605"/>
    <w:rsid w:val="0065755F"/>
    <w:rsid w:val="006602B2"/>
    <w:rsid w:val="00661ADA"/>
    <w:rsid w:val="00662E23"/>
    <w:rsid w:val="00664007"/>
    <w:rsid w:val="0067246C"/>
    <w:rsid w:val="00673DA0"/>
    <w:rsid w:val="006750B1"/>
    <w:rsid w:val="00675949"/>
    <w:rsid w:val="0068105D"/>
    <w:rsid w:val="00681966"/>
    <w:rsid w:val="006819B8"/>
    <w:rsid w:val="00681AEC"/>
    <w:rsid w:val="006845B1"/>
    <w:rsid w:val="0068479D"/>
    <w:rsid w:val="00686C0A"/>
    <w:rsid w:val="0069036C"/>
    <w:rsid w:val="0069205D"/>
    <w:rsid w:val="0069513E"/>
    <w:rsid w:val="006954CE"/>
    <w:rsid w:val="00695D83"/>
    <w:rsid w:val="006A286A"/>
    <w:rsid w:val="006A2E82"/>
    <w:rsid w:val="006A2F24"/>
    <w:rsid w:val="006A310A"/>
    <w:rsid w:val="006A543C"/>
    <w:rsid w:val="006B1B10"/>
    <w:rsid w:val="006B2C1D"/>
    <w:rsid w:val="006B2F12"/>
    <w:rsid w:val="006B460D"/>
    <w:rsid w:val="006B66A8"/>
    <w:rsid w:val="006C4486"/>
    <w:rsid w:val="006C4B61"/>
    <w:rsid w:val="006C4E6A"/>
    <w:rsid w:val="006C7263"/>
    <w:rsid w:val="006C7C06"/>
    <w:rsid w:val="006D2DCF"/>
    <w:rsid w:val="006D693D"/>
    <w:rsid w:val="006D75F2"/>
    <w:rsid w:val="006D7C8B"/>
    <w:rsid w:val="006E061A"/>
    <w:rsid w:val="006E233C"/>
    <w:rsid w:val="006E50E1"/>
    <w:rsid w:val="006E70B0"/>
    <w:rsid w:val="006E7209"/>
    <w:rsid w:val="006E7BF6"/>
    <w:rsid w:val="006E7EBE"/>
    <w:rsid w:val="006F087A"/>
    <w:rsid w:val="006F166A"/>
    <w:rsid w:val="006F3233"/>
    <w:rsid w:val="006F66D3"/>
    <w:rsid w:val="006F7508"/>
    <w:rsid w:val="0070006B"/>
    <w:rsid w:val="00700751"/>
    <w:rsid w:val="00703D37"/>
    <w:rsid w:val="00706995"/>
    <w:rsid w:val="00711D4C"/>
    <w:rsid w:val="00712C61"/>
    <w:rsid w:val="00713BED"/>
    <w:rsid w:val="00714D5E"/>
    <w:rsid w:val="00715480"/>
    <w:rsid w:val="0071633E"/>
    <w:rsid w:val="00721077"/>
    <w:rsid w:val="0072223A"/>
    <w:rsid w:val="00722588"/>
    <w:rsid w:val="007238B2"/>
    <w:rsid w:val="00724016"/>
    <w:rsid w:val="00727FB5"/>
    <w:rsid w:val="007303A1"/>
    <w:rsid w:val="00731C33"/>
    <w:rsid w:val="00733AC2"/>
    <w:rsid w:val="0073403A"/>
    <w:rsid w:val="0073736E"/>
    <w:rsid w:val="00737890"/>
    <w:rsid w:val="007408A4"/>
    <w:rsid w:val="00740A0F"/>
    <w:rsid w:val="00740B10"/>
    <w:rsid w:val="00740FF5"/>
    <w:rsid w:val="00744096"/>
    <w:rsid w:val="00744606"/>
    <w:rsid w:val="00746EC9"/>
    <w:rsid w:val="00750F92"/>
    <w:rsid w:val="0075451F"/>
    <w:rsid w:val="007548F5"/>
    <w:rsid w:val="007559CC"/>
    <w:rsid w:val="00756CAE"/>
    <w:rsid w:val="00761632"/>
    <w:rsid w:val="00765731"/>
    <w:rsid w:val="00765DBE"/>
    <w:rsid w:val="00766071"/>
    <w:rsid w:val="00767583"/>
    <w:rsid w:val="007709C0"/>
    <w:rsid w:val="007709FB"/>
    <w:rsid w:val="00772B6F"/>
    <w:rsid w:val="00772E15"/>
    <w:rsid w:val="0077787F"/>
    <w:rsid w:val="00785802"/>
    <w:rsid w:val="00785DB1"/>
    <w:rsid w:val="00786094"/>
    <w:rsid w:val="00787366"/>
    <w:rsid w:val="00787D4D"/>
    <w:rsid w:val="007923DC"/>
    <w:rsid w:val="007957BF"/>
    <w:rsid w:val="007A1F81"/>
    <w:rsid w:val="007A2331"/>
    <w:rsid w:val="007A39E0"/>
    <w:rsid w:val="007A47D1"/>
    <w:rsid w:val="007B007C"/>
    <w:rsid w:val="007B1265"/>
    <w:rsid w:val="007B1C64"/>
    <w:rsid w:val="007B230E"/>
    <w:rsid w:val="007B3031"/>
    <w:rsid w:val="007B38F4"/>
    <w:rsid w:val="007B3C6D"/>
    <w:rsid w:val="007B716A"/>
    <w:rsid w:val="007B7B34"/>
    <w:rsid w:val="007C031E"/>
    <w:rsid w:val="007C1B7F"/>
    <w:rsid w:val="007C6B23"/>
    <w:rsid w:val="007D0AF9"/>
    <w:rsid w:val="007D29D3"/>
    <w:rsid w:val="007D3FDB"/>
    <w:rsid w:val="007D4FA9"/>
    <w:rsid w:val="007D6017"/>
    <w:rsid w:val="007E0BD5"/>
    <w:rsid w:val="007E4BB6"/>
    <w:rsid w:val="007E5E79"/>
    <w:rsid w:val="007E796C"/>
    <w:rsid w:val="007F096A"/>
    <w:rsid w:val="007F0DE4"/>
    <w:rsid w:val="007F3742"/>
    <w:rsid w:val="007F643D"/>
    <w:rsid w:val="007F6A3F"/>
    <w:rsid w:val="007F7C62"/>
    <w:rsid w:val="008025F4"/>
    <w:rsid w:val="00802C0E"/>
    <w:rsid w:val="00804385"/>
    <w:rsid w:val="00804793"/>
    <w:rsid w:val="008116AE"/>
    <w:rsid w:val="00812F31"/>
    <w:rsid w:val="0081646B"/>
    <w:rsid w:val="0081683C"/>
    <w:rsid w:val="008173C5"/>
    <w:rsid w:val="00817847"/>
    <w:rsid w:val="00821D8A"/>
    <w:rsid w:val="00822035"/>
    <w:rsid w:val="00823554"/>
    <w:rsid w:val="00825B77"/>
    <w:rsid w:val="0082680F"/>
    <w:rsid w:val="008339D2"/>
    <w:rsid w:val="008349B2"/>
    <w:rsid w:val="00834A1D"/>
    <w:rsid w:val="0083576B"/>
    <w:rsid w:val="008372AC"/>
    <w:rsid w:val="00841B3F"/>
    <w:rsid w:val="008429A3"/>
    <w:rsid w:val="00842BEB"/>
    <w:rsid w:val="0084318A"/>
    <w:rsid w:val="00844BE0"/>
    <w:rsid w:val="00854FCA"/>
    <w:rsid w:val="0085509E"/>
    <w:rsid w:val="0085561C"/>
    <w:rsid w:val="00860E7A"/>
    <w:rsid w:val="008619A6"/>
    <w:rsid w:val="00861E76"/>
    <w:rsid w:val="00862B14"/>
    <w:rsid w:val="008642B0"/>
    <w:rsid w:val="00870046"/>
    <w:rsid w:val="00871B84"/>
    <w:rsid w:val="0087365E"/>
    <w:rsid w:val="0088185D"/>
    <w:rsid w:val="00884BF5"/>
    <w:rsid w:val="008877B5"/>
    <w:rsid w:val="00887A41"/>
    <w:rsid w:val="008925F0"/>
    <w:rsid w:val="00892760"/>
    <w:rsid w:val="00892F70"/>
    <w:rsid w:val="008A09A3"/>
    <w:rsid w:val="008A1699"/>
    <w:rsid w:val="008A1E52"/>
    <w:rsid w:val="008A3B04"/>
    <w:rsid w:val="008A5F91"/>
    <w:rsid w:val="008A77E0"/>
    <w:rsid w:val="008B06C6"/>
    <w:rsid w:val="008B64CB"/>
    <w:rsid w:val="008B7693"/>
    <w:rsid w:val="008C1E0C"/>
    <w:rsid w:val="008C2EF8"/>
    <w:rsid w:val="008C3BB0"/>
    <w:rsid w:val="008C44B8"/>
    <w:rsid w:val="008C7752"/>
    <w:rsid w:val="008C7D04"/>
    <w:rsid w:val="008D0AC3"/>
    <w:rsid w:val="008D1BB6"/>
    <w:rsid w:val="008D6884"/>
    <w:rsid w:val="008F0F9D"/>
    <w:rsid w:val="008F15A6"/>
    <w:rsid w:val="008F22A2"/>
    <w:rsid w:val="008F280E"/>
    <w:rsid w:val="008F2BF4"/>
    <w:rsid w:val="008F3C87"/>
    <w:rsid w:val="008F6176"/>
    <w:rsid w:val="008F6CE7"/>
    <w:rsid w:val="009038E4"/>
    <w:rsid w:val="0090394C"/>
    <w:rsid w:val="00904FB0"/>
    <w:rsid w:val="00906D88"/>
    <w:rsid w:val="009105FB"/>
    <w:rsid w:val="009108A8"/>
    <w:rsid w:val="00912D5C"/>
    <w:rsid w:val="009157C7"/>
    <w:rsid w:val="0091708A"/>
    <w:rsid w:val="00917A68"/>
    <w:rsid w:val="00917BDD"/>
    <w:rsid w:val="0092011F"/>
    <w:rsid w:val="00921E16"/>
    <w:rsid w:val="009231EA"/>
    <w:rsid w:val="00930051"/>
    <w:rsid w:val="00931C49"/>
    <w:rsid w:val="009322EA"/>
    <w:rsid w:val="009330BB"/>
    <w:rsid w:val="009339D8"/>
    <w:rsid w:val="0093424C"/>
    <w:rsid w:val="00934426"/>
    <w:rsid w:val="009346A2"/>
    <w:rsid w:val="00934A2D"/>
    <w:rsid w:val="00936CC6"/>
    <w:rsid w:val="009412B0"/>
    <w:rsid w:val="00941A40"/>
    <w:rsid w:val="00946B94"/>
    <w:rsid w:val="00951C1E"/>
    <w:rsid w:val="009541A0"/>
    <w:rsid w:val="00954C30"/>
    <w:rsid w:val="00956267"/>
    <w:rsid w:val="009566E9"/>
    <w:rsid w:val="00956AA7"/>
    <w:rsid w:val="009578FA"/>
    <w:rsid w:val="009627EF"/>
    <w:rsid w:val="00962AC0"/>
    <w:rsid w:val="00964B2D"/>
    <w:rsid w:val="00965285"/>
    <w:rsid w:val="009655D5"/>
    <w:rsid w:val="00965615"/>
    <w:rsid w:val="00965E33"/>
    <w:rsid w:val="00966115"/>
    <w:rsid w:val="00966832"/>
    <w:rsid w:val="0096693D"/>
    <w:rsid w:val="009703E9"/>
    <w:rsid w:val="009752EB"/>
    <w:rsid w:val="009805FD"/>
    <w:rsid w:val="009857A9"/>
    <w:rsid w:val="00992858"/>
    <w:rsid w:val="00992DD6"/>
    <w:rsid w:val="009944E2"/>
    <w:rsid w:val="00997801"/>
    <w:rsid w:val="00997B80"/>
    <w:rsid w:val="00997C1C"/>
    <w:rsid w:val="009A0541"/>
    <w:rsid w:val="009A404D"/>
    <w:rsid w:val="009A4F03"/>
    <w:rsid w:val="009A4FF0"/>
    <w:rsid w:val="009B02CD"/>
    <w:rsid w:val="009B0E45"/>
    <w:rsid w:val="009B1C64"/>
    <w:rsid w:val="009B3ED3"/>
    <w:rsid w:val="009B7EE6"/>
    <w:rsid w:val="009C060F"/>
    <w:rsid w:val="009C082C"/>
    <w:rsid w:val="009C0B65"/>
    <w:rsid w:val="009C4359"/>
    <w:rsid w:val="009C486B"/>
    <w:rsid w:val="009C52D1"/>
    <w:rsid w:val="009C5EA2"/>
    <w:rsid w:val="009C63DB"/>
    <w:rsid w:val="009C6D56"/>
    <w:rsid w:val="009C7EB1"/>
    <w:rsid w:val="009D0A1F"/>
    <w:rsid w:val="009D10FF"/>
    <w:rsid w:val="009D2581"/>
    <w:rsid w:val="009D3C5D"/>
    <w:rsid w:val="009D4D8E"/>
    <w:rsid w:val="009D5696"/>
    <w:rsid w:val="009D67ED"/>
    <w:rsid w:val="009E2E2E"/>
    <w:rsid w:val="009E4B4B"/>
    <w:rsid w:val="009E6447"/>
    <w:rsid w:val="009E65D6"/>
    <w:rsid w:val="009E676C"/>
    <w:rsid w:val="009E7288"/>
    <w:rsid w:val="009E7446"/>
    <w:rsid w:val="009F067A"/>
    <w:rsid w:val="009F1880"/>
    <w:rsid w:val="009F2BDB"/>
    <w:rsid w:val="009F3077"/>
    <w:rsid w:val="009F3E44"/>
    <w:rsid w:val="009F492D"/>
    <w:rsid w:val="009F52BB"/>
    <w:rsid w:val="009F736B"/>
    <w:rsid w:val="009F7697"/>
    <w:rsid w:val="009F7BCE"/>
    <w:rsid w:val="00A038B3"/>
    <w:rsid w:val="00A04AE2"/>
    <w:rsid w:val="00A04C38"/>
    <w:rsid w:val="00A04E53"/>
    <w:rsid w:val="00A05496"/>
    <w:rsid w:val="00A056EF"/>
    <w:rsid w:val="00A057E9"/>
    <w:rsid w:val="00A06B86"/>
    <w:rsid w:val="00A10432"/>
    <w:rsid w:val="00A1045E"/>
    <w:rsid w:val="00A12B5A"/>
    <w:rsid w:val="00A12D5F"/>
    <w:rsid w:val="00A13512"/>
    <w:rsid w:val="00A16449"/>
    <w:rsid w:val="00A1739B"/>
    <w:rsid w:val="00A20DF5"/>
    <w:rsid w:val="00A242A4"/>
    <w:rsid w:val="00A2686C"/>
    <w:rsid w:val="00A30CCC"/>
    <w:rsid w:val="00A34502"/>
    <w:rsid w:val="00A346DB"/>
    <w:rsid w:val="00A356F8"/>
    <w:rsid w:val="00A4004C"/>
    <w:rsid w:val="00A41043"/>
    <w:rsid w:val="00A42087"/>
    <w:rsid w:val="00A43FDD"/>
    <w:rsid w:val="00A44D4A"/>
    <w:rsid w:val="00A464CF"/>
    <w:rsid w:val="00A4695D"/>
    <w:rsid w:val="00A46FD5"/>
    <w:rsid w:val="00A473CE"/>
    <w:rsid w:val="00A47D51"/>
    <w:rsid w:val="00A54272"/>
    <w:rsid w:val="00A57B9A"/>
    <w:rsid w:val="00A64586"/>
    <w:rsid w:val="00A64F08"/>
    <w:rsid w:val="00A704AC"/>
    <w:rsid w:val="00A70893"/>
    <w:rsid w:val="00A72F8F"/>
    <w:rsid w:val="00A80062"/>
    <w:rsid w:val="00A80566"/>
    <w:rsid w:val="00A807F6"/>
    <w:rsid w:val="00A82C3F"/>
    <w:rsid w:val="00A86450"/>
    <w:rsid w:val="00A875B3"/>
    <w:rsid w:val="00A87C32"/>
    <w:rsid w:val="00A91BAA"/>
    <w:rsid w:val="00A9411B"/>
    <w:rsid w:val="00A96874"/>
    <w:rsid w:val="00A97F25"/>
    <w:rsid w:val="00AA7345"/>
    <w:rsid w:val="00AB21C1"/>
    <w:rsid w:val="00AB3B61"/>
    <w:rsid w:val="00AB4361"/>
    <w:rsid w:val="00AB6F11"/>
    <w:rsid w:val="00AC00E4"/>
    <w:rsid w:val="00AC1178"/>
    <w:rsid w:val="00AC19F5"/>
    <w:rsid w:val="00AC5B8C"/>
    <w:rsid w:val="00AD1C6F"/>
    <w:rsid w:val="00AD4615"/>
    <w:rsid w:val="00AD544A"/>
    <w:rsid w:val="00AD7998"/>
    <w:rsid w:val="00AE15BF"/>
    <w:rsid w:val="00AE2145"/>
    <w:rsid w:val="00AE6C12"/>
    <w:rsid w:val="00AE7A9C"/>
    <w:rsid w:val="00AF0794"/>
    <w:rsid w:val="00AF506E"/>
    <w:rsid w:val="00AF5129"/>
    <w:rsid w:val="00AF5639"/>
    <w:rsid w:val="00AF6339"/>
    <w:rsid w:val="00B003E7"/>
    <w:rsid w:val="00B00D21"/>
    <w:rsid w:val="00B00F96"/>
    <w:rsid w:val="00B032FA"/>
    <w:rsid w:val="00B0382B"/>
    <w:rsid w:val="00B03EA0"/>
    <w:rsid w:val="00B10497"/>
    <w:rsid w:val="00B11062"/>
    <w:rsid w:val="00B12E21"/>
    <w:rsid w:val="00B13CE2"/>
    <w:rsid w:val="00B1611F"/>
    <w:rsid w:val="00B179C0"/>
    <w:rsid w:val="00B21A5B"/>
    <w:rsid w:val="00B22426"/>
    <w:rsid w:val="00B228B9"/>
    <w:rsid w:val="00B23120"/>
    <w:rsid w:val="00B23C35"/>
    <w:rsid w:val="00B3093D"/>
    <w:rsid w:val="00B31F8F"/>
    <w:rsid w:val="00B33465"/>
    <w:rsid w:val="00B400A4"/>
    <w:rsid w:val="00B40B7A"/>
    <w:rsid w:val="00B4120E"/>
    <w:rsid w:val="00B42D59"/>
    <w:rsid w:val="00B43A79"/>
    <w:rsid w:val="00B43E87"/>
    <w:rsid w:val="00B44A93"/>
    <w:rsid w:val="00B468C5"/>
    <w:rsid w:val="00B50778"/>
    <w:rsid w:val="00B52D46"/>
    <w:rsid w:val="00B532EA"/>
    <w:rsid w:val="00B53862"/>
    <w:rsid w:val="00B55D4B"/>
    <w:rsid w:val="00B56D39"/>
    <w:rsid w:val="00B62BF0"/>
    <w:rsid w:val="00B62F75"/>
    <w:rsid w:val="00B6431C"/>
    <w:rsid w:val="00B6675A"/>
    <w:rsid w:val="00B67B35"/>
    <w:rsid w:val="00B7060E"/>
    <w:rsid w:val="00B71D97"/>
    <w:rsid w:val="00B7653A"/>
    <w:rsid w:val="00B80352"/>
    <w:rsid w:val="00B829D0"/>
    <w:rsid w:val="00B84110"/>
    <w:rsid w:val="00B870CA"/>
    <w:rsid w:val="00B87B94"/>
    <w:rsid w:val="00B932C4"/>
    <w:rsid w:val="00B93688"/>
    <w:rsid w:val="00B948D8"/>
    <w:rsid w:val="00B94B16"/>
    <w:rsid w:val="00B963C0"/>
    <w:rsid w:val="00B97159"/>
    <w:rsid w:val="00BA0147"/>
    <w:rsid w:val="00BA1109"/>
    <w:rsid w:val="00BA152B"/>
    <w:rsid w:val="00BA2BBB"/>
    <w:rsid w:val="00BA4DA8"/>
    <w:rsid w:val="00BA528D"/>
    <w:rsid w:val="00BA6967"/>
    <w:rsid w:val="00BB0AC7"/>
    <w:rsid w:val="00BB3D84"/>
    <w:rsid w:val="00BB4329"/>
    <w:rsid w:val="00BB53B7"/>
    <w:rsid w:val="00BB73D5"/>
    <w:rsid w:val="00BC2866"/>
    <w:rsid w:val="00BC57F7"/>
    <w:rsid w:val="00BC7A19"/>
    <w:rsid w:val="00BD068A"/>
    <w:rsid w:val="00BD1773"/>
    <w:rsid w:val="00BD1DA6"/>
    <w:rsid w:val="00BD2050"/>
    <w:rsid w:val="00BD2613"/>
    <w:rsid w:val="00BD2D2F"/>
    <w:rsid w:val="00BD70CA"/>
    <w:rsid w:val="00BE07F0"/>
    <w:rsid w:val="00BE0FC3"/>
    <w:rsid w:val="00BE1574"/>
    <w:rsid w:val="00BE5469"/>
    <w:rsid w:val="00BE742B"/>
    <w:rsid w:val="00BF068A"/>
    <w:rsid w:val="00BF0EC7"/>
    <w:rsid w:val="00BF148A"/>
    <w:rsid w:val="00C079BA"/>
    <w:rsid w:val="00C079C5"/>
    <w:rsid w:val="00C107A1"/>
    <w:rsid w:val="00C13B7B"/>
    <w:rsid w:val="00C14E9B"/>
    <w:rsid w:val="00C17242"/>
    <w:rsid w:val="00C23016"/>
    <w:rsid w:val="00C239EC"/>
    <w:rsid w:val="00C27F95"/>
    <w:rsid w:val="00C311C5"/>
    <w:rsid w:val="00C3270F"/>
    <w:rsid w:val="00C33889"/>
    <w:rsid w:val="00C34047"/>
    <w:rsid w:val="00C34A46"/>
    <w:rsid w:val="00C34EE1"/>
    <w:rsid w:val="00C36B16"/>
    <w:rsid w:val="00C37F7A"/>
    <w:rsid w:val="00C40A9B"/>
    <w:rsid w:val="00C41205"/>
    <w:rsid w:val="00C427DB"/>
    <w:rsid w:val="00C4307D"/>
    <w:rsid w:val="00C54AB0"/>
    <w:rsid w:val="00C562C3"/>
    <w:rsid w:val="00C6032A"/>
    <w:rsid w:val="00C605D7"/>
    <w:rsid w:val="00C61108"/>
    <w:rsid w:val="00C61486"/>
    <w:rsid w:val="00C66D92"/>
    <w:rsid w:val="00C715B0"/>
    <w:rsid w:val="00C7205A"/>
    <w:rsid w:val="00C80780"/>
    <w:rsid w:val="00C82428"/>
    <w:rsid w:val="00C83358"/>
    <w:rsid w:val="00C83773"/>
    <w:rsid w:val="00C85CC5"/>
    <w:rsid w:val="00C92904"/>
    <w:rsid w:val="00C9321B"/>
    <w:rsid w:val="00C95C05"/>
    <w:rsid w:val="00CA0AB9"/>
    <w:rsid w:val="00CA298B"/>
    <w:rsid w:val="00CA2F66"/>
    <w:rsid w:val="00CA483D"/>
    <w:rsid w:val="00CA728E"/>
    <w:rsid w:val="00CB1155"/>
    <w:rsid w:val="00CB1BBE"/>
    <w:rsid w:val="00CB378C"/>
    <w:rsid w:val="00CB3FAC"/>
    <w:rsid w:val="00CB5C3A"/>
    <w:rsid w:val="00CC287B"/>
    <w:rsid w:val="00CC3BD7"/>
    <w:rsid w:val="00CC5C50"/>
    <w:rsid w:val="00CC5F04"/>
    <w:rsid w:val="00CC7C24"/>
    <w:rsid w:val="00CC7CDB"/>
    <w:rsid w:val="00CD11E7"/>
    <w:rsid w:val="00CD20A3"/>
    <w:rsid w:val="00CD2CF6"/>
    <w:rsid w:val="00CD4670"/>
    <w:rsid w:val="00CD679A"/>
    <w:rsid w:val="00CE01AC"/>
    <w:rsid w:val="00CE0837"/>
    <w:rsid w:val="00CE262A"/>
    <w:rsid w:val="00CE29DD"/>
    <w:rsid w:val="00CE3121"/>
    <w:rsid w:val="00CE3758"/>
    <w:rsid w:val="00CE3F21"/>
    <w:rsid w:val="00CE6229"/>
    <w:rsid w:val="00CE65DF"/>
    <w:rsid w:val="00CE7CA4"/>
    <w:rsid w:val="00CF2FEB"/>
    <w:rsid w:val="00CF4CCE"/>
    <w:rsid w:val="00CF58BE"/>
    <w:rsid w:val="00CF677A"/>
    <w:rsid w:val="00D00596"/>
    <w:rsid w:val="00D014A1"/>
    <w:rsid w:val="00D0274A"/>
    <w:rsid w:val="00D04D8A"/>
    <w:rsid w:val="00D105E3"/>
    <w:rsid w:val="00D12B88"/>
    <w:rsid w:val="00D14BFD"/>
    <w:rsid w:val="00D16902"/>
    <w:rsid w:val="00D16E5B"/>
    <w:rsid w:val="00D17C0B"/>
    <w:rsid w:val="00D241E5"/>
    <w:rsid w:val="00D244EB"/>
    <w:rsid w:val="00D2750F"/>
    <w:rsid w:val="00D277B5"/>
    <w:rsid w:val="00D27877"/>
    <w:rsid w:val="00D3163B"/>
    <w:rsid w:val="00D376C4"/>
    <w:rsid w:val="00D425F0"/>
    <w:rsid w:val="00D42C87"/>
    <w:rsid w:val="00D46832"/>
    <w:rsid w:val="00D504E6"/>
    <w:rsid w:val="00D52350"/>
    <w:rsid w:val="00D52C83"/>
    <w:rsid w:val="00D54F9A"/>
    <w:rsid w:val="00D62F48"/>
    <w:rsid w:val="00D65C6D"/>
    <w:rsid w:val="00D72BE6"/>
    <w:rsid w:val="00D73F2F"/>
    <w:rsid w:val="00D7467D"/>
    <w:rsid w:val="00D748A7"/>
    <w:rsid w:val="00D75EF6"/>
    <w:rsid w:val="00D7659E"/>
    <w:rsid w:val="00D765DA"/>
    <w:rsid w:val="00D76C10"/>
    <w:rsid w:val="00D76DA5"/>
    <w:rsid w:val="00D8001B"/>
    <w:rsid w:val="00D805B4"/>
    <w:rsid w:val="00D81AFF"/>
    <w:rsid w:val="00D82EC1"/>
    <w:rsid w:val="00D83005"/>
    <w:rsid w:val="00D83357"/>
    <w:rsid w:val="00D83EE0"/>
    <w:rsid w:val="00D85DAE"/>
    <w:rsid w:val="00D876B4"/>
    <w:rsid w:val="00D92213"/>
    <w:rsid w:val="00D924BC"/>
    <w:rsid w:val="00D9455C"/>
    <w:rsid w:val="00D94C85"/>
    <w:rsid w:val="00D96B87"/>
    <w:rsid w:val="00DA0AD9"/>
    <w:rsid w:val="00DA117D"/>
    <w:rsid w:val="00DA18C0"/>
    <w:rsid w:val="00DA2002"/>
    <w:rsid w:val="00DA3A3E"/>
    <w:rsid w:val="00DA4124"/>
    <w:rsid w:val="00DB37A1"/>
    <w:rsid w:val="00DB4C00"/>
    <w:rsid w:val="00DB5EA3"/>
    <w:rsid w:val="00DC18EE"/>
    <w:rsid w:val="00DC409E"/>
    <w:rsid w:val="00DD482F"/>
    <w:rsid w:val="00DD4FB8"/>
    <w:rsid w:val="00DD624A"/>
    <w:rsid w:val="00DD6369"/>
    <w:rsid w:val="00DE1823"/>
    <w:rsid w:val="00DE1C41"/>
    <w:rsid w:val="00DE21F2"/>
    <w:rsid w:val="00DE2212"/>
    <w:rsid w:val="00DE2320"/>
    <w:rsid w:val="00DE24B0"/>
    <w:rsid w:val="00DE26EB"/>
    <w:rsid w:val="00DE37A0"/>
    <w:rsid w:val="00DE773B"/>
    <w:rsid w:val="00DF7D75"/>
    <w:rsid w:val="00DF7E55"/>
    <w:rsid w:val="00E00ECE"/>
    <w:rsid w:val="00E011FB"/>
    <w:rsid w:val="00E028C0"/>
    <w:rsid w:val="00E041C1"/>
    <w:rsid w:val="00E05043"/>
    <w:rsid w:val="00E05E8B"/>
    <w:rsid w:val="00E0685D"/>
    <w:rsid w:val="00E079B3"/>
    <w:rsid w:val="00E11C83"/>
    <w:rsid w:val="00E121D5"/>
    <w:rsid w:val="00E12A7B"/>
    <w:rsid w:val="00E130C6"/>
    <w:rsid w:val="00E13422"/>
    <w:rsid w:val="00E14BE7"/>
    <w:rsid w:val="00E15053"/>
    <w:rsid w:val="00E1574C"/>
    <w:rsid w:val="00E15D80"/>
    <w:rsid w:val="00E173BC"/>
    <w:rsid w:val="00E20B84"/>
    <w:rsid w:val="00E2302A"/>
    <w:rsid w:val="00E2658E"/>
    <w:rsid w:val="00E3059B"/>
    <w:rsid w:val="00E315F1"/>
    <w:rsid w:val="00E322E2"/>
    <w:rsid w:val="00E33756"/>
    <w:rsid w:val="00E33AA8"/>
    <w:rsid w:val="00E34C1D"/>
    <w:rsid w:val="00E35E27"/>
    <w:rsid w:val="00E40066"/>
    <w:rsid w:val="00E41F77"/>
    <w:rsid w:val="00E43A50"/>
    <w:rsid w:val="00E45872"/>
    <w:rsid w:val="00E51CD8"/>
    <w:rsid w:val="00E5431C"/>
    <w:rsid w:val="00E56166"/>
    <w:rsid w:val="00E56CE4"/>
    <w:rsid w:val="00E607B3"/>
    <w:rsid w:val="00E624BD"/>
    <w:rsid w:val="00E6376E"/>
    <w:rsid w:val="00E63CE4"/>
    <w:rsid w:val="00E666B8"/>
    <w:rsid w:val="00E672BF"/>
    <w:rsid w:val="00E7202B"/>
    <w:rsid w:val="00E736CB"/>
    <w:rsid w:val="00E740DA"/>
    <w:rsid w:val="00E751EF"/>
    <w:rsid w:val="00E75911"/>
    <w:rsid w:val="00E81CEC"/>
    <w:rsid w:val="00E81E7B"/>
    <w:rsid w:val="00E8248F"/>
    <w:rsid w:val="00E82E63"/>
    <w:rsid w:val="00E83996"/>
    <w:rsid w:val="00E83F6D"/>
    <w:rsid w:val="00E9087A"/>
    <w:rsid w:val="00E942B8"/>
    <w:rsid w:val="00E952E1"/>
    <w:rsid w:val="00E963B3"/>
    <w:rsid w:val="00E9679B"/>
    <w:rsid w:val="00E97A91"/>
    <w:rsid w:val="00E97E91"/>
    <w:rsid w:val="00EA2CA3"/>
    <w:rsid w:val="00EA2F47"/>
    <w:rsid w:val="00EA422B"/>
    <w:rsid w:val="00EA4A09"/>
    <w:rsid w:val="00EA5E32"/>
    <w:rsid w:val="00EB2F89"/>
    <w:rsid w:val="00EB3641"/>
    <w:rsid w:val="00EB5270"/>
    <w:rsid w:val="00EB6028"/>
    <w:rsid w:val="00EB66C3"/>
    <w:rsid w:val="00EC1B22"/>
    <w:rsid w:val="00EC675F"/>
    <w:rsid w:val="00ED221E"/>
    <w:rsid w:val="00ED398A"/>
    <w:rsid w:val="00ED4970"/>
    <w:rsid w:val="00ED4A70"/>
    <w:rsid w:val="00ED4CFD"/>
    <w:rsid w:val="00ED780E"/>
    <w:rsid w:val="00EE2291"/>
    <w:rsid w:val="00EE3E68"/>
    <w:rsid w:val="00EE5225"/>
    <w:rsid w:val="00EE5FDF"/>
    <w:rsid w:val="00EE71CC"/>
    <w:rsid w:val="00EF052A"/>
    <w:rsid w:val="00EF0E35"/>
    <w:rsid w:val="00EF1C21"/>
    <w:rsid w:val="00EF1DE5"/>
    <w:rsid w:val="00EF36B2"/>
    <w:rsid w:val="00EF3BAB"/>
    <w:rsid w:val="00EF3F38"/>
    <w:rsid w:val="00EF49CF"/>
    <w:rsid w:val="00EF6438"/>
    <w:rsid w:val="00EF76C8"/>
    <w:rsid w:val="00EF7A7F"/>
    <w:rsid w:val="00EF7CEE"/>
    <w:rsid w:val="00F0043B"/>
    <w:rsid w:val="00F00A9E"/>
    <w:rsid w:val="00F04830"/>
    <w:rsid w:val="00F0791B"/>
    <w:rsid w:val="00F20175"/>
    <w:rsid w:val="00F2075D"/>
    <w:rsid w:val="00F22EBC"/>
    <w:rsid w:val="00F252E5"/>
    <w:rsid w:val="00F26127"/>
    <w:rsid w:val="00F26717"/>
    <w:rsid w:val="00F35560"/>
    <w:rsid w:val="00F36561"/>
    <w:rsid w:val="00F400B9"/>
    <w:rsid w:val="00F41116"/>
    <w:rsid w:val="00F41863"/>
    <w:rsid w:val="00F41F30"/>
    <w:rsid w:val="00F4316F"/>
    <w:rsid w:val="00F44D3D"/>
    <w:rsid w:val="00F45A8B"/>
    <w:rsid w:val="00F46D7F"/>
    <w:rsid w:val="00F53ECB"/>
    <w:rsid w:val="00F541BB"/>
    <w:rsid w:val="00F56D56"/>
    <w:rsid w:val="00F56E40"/>
    <w:rsid w:val="00F60D5A"/>
    <w:rsid w:val="00F62830"/>
    <w:rsid w:val="00F62ABF"/>
    <w:rsid w:val="00F63FDD"/>
    <w:rsid w:val="00F65E59"/>
    <w:rsid w:val="00F67322"/>
    <w:rsid w:val="00F70D0B"/>
    <w:rsid w:val="00F70DF3"/>
    <w:rsid w:val="00F71582"/>
    <w:rsid w:val="00F724B4"/>
    <w:rsid w:val="00F74A8D"/>
    <w:rsid w:val="00F765EC"/>
    <w:rsid w:val="00F768A0"/>
    <w:rsid w:val="00F7736F"/>
    <w:rsid w:val="00F800E3"/>
    <w:rsid w:val="00F80147"/>
    <w:rsid w:val="00F80D33"/>
    <w:rsid w:val="00F81155"/>
    <w:rsid w:val="00F81698"/>
    <w:rsid w:val="00F81FD2"/>
    <w:rsid w:val="00F83048"/>
    <w:rsid w:val="00F859D7"/>
    <w:rsid w:val="00F9037E"/>
    <w:rsid w:val="00F907A1"/>
    <w:rsid w:val="00F934A0"/>
    <w:rsid w:val="00F93738"/>
    <w:rsid w:val="00F93C27"/>
    <w:rsid w:val="00F9483A"/>
    <w:rsid w:val="00F95638"/>
    <w:rsid w:val="00F973A2"/>
    <w:rsid w:val="00FA234B"/>
    <w:rsid w:val="00FA454A"/>
    <w:rsid w:val="00FB2394"/>
    <w:rsid w:val="00FB2432"/>
    <w:rsid w:val="00FB5222"/>
    <w:rsid w:val="00FB664E"/>
    <w:rsid w:val="00FB675B"/>
    <w:rsid w:val="00FC1611"/>
    <w:rsid w:val="00FC184A"/>
    <w:rsid w:val="00FC2537"/>
    <w:rsid w:val="00FC2D87"/>
    <w:rsid w:val="00FC59CC"/>
    <w:rsid w:val="00FC7CCF"/>
    <w:rsid w:val="00FD2702"/>
    <w:rsid w:val="00FE103F"/>
    <w:rsid w:val="00FE4003"/>
    <w:rsid w:val="00FE619D"/>
    <w:rsid w:val="00FE6697"/>
    <w:rsid w:val="00FF029F"/>
    <w:rsid w:val="00FF166E"/>
    <w:rsid w:val="00FF4B3F"/>
    <w:rsid w:val="00FF6E40"/>
    <w:rsid w:val="00FF7A2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C19FE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231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B0E45"/>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D98"/>
    <w:pPr>
      <w:ind w:left="720"/>
      <w:contextualSpacing/>
    </w:pPr>
  </w:style>
  <w:style w:type="paragraph" w:styleId="FootnoteText">
    <w:name w:val="footnote text"/>
    <w:aliases w:val="Footnotes,Footnote Text Char2 Char,Footnote Text Char1 Char Char2,Footnote Text Char Char Char Char2,Footnote Text Char2 Char Char Char Char1,Footnote Text Char1 Char Char Char Char Char1,Footnote Text Char2,Footnote Text Char Char Char"/>
    <w:basedOn w:val="Normal"/>
    <w:link w:val="FootnoteTextChar"/>
    <w:uiPriority w:val="99"/>
    <w:qFormat/>
    <w:rsid w:val="00616EFC"/>
    <w:pPr>
      <w:spacing w:after="0" w:line="240" w:lineRule="auto"/>
    </w:pPr>
    <w:rPr>
      <w:rFonts w:ascii="Times New Roman" w:hAnsi="Times New Roman" w:cs="Times New Roman"/>
      <w:sz w:val="24"/>
      <w:szCs w:val="24"/>
      <w:lang w:val="en-GB"/>
    </w:rPr>
  </w:style>
  <w:style w:type="character" w:customStyle="1" w:styleId="FootnoteTextChar">
    <w:name w:val="Footnote Text Char"/>
    <w:aliases w:val="Footnotes Char,Footnote Text Char2 Char Char,Footnote Text Char1 Char Char2 Char,Footnote Text Char Char Char Char2 Char,Footnote Text Char2 Char Char Char Char1 Char,Footnote Text Char1 Char Char Char Char Char1 Char"/>
    <w:basedOn w:val="DefaultParagraphFont"/>
    <w:link w:val="FootnoteText"/>
    <w:uiPriority w:val="99"/>
    <w:rsid w:val="00616EFC"/>
    <w:rPr>
      <w:rFonts w:ascii="Times New Roman" w:hAnsi="Times New Roman" w:cs="Times New Roman"/>
      <w:sz w:val="24"/>
      <w:szCs w:val="24"/>
      <w:lang w:val="en-GB"/>
    </w:rPr>
  </w:style>
  <w:style w:type="character" w:styleId="FootnoteReference">
    <w:name w:val="footnote reference"/>
    <w:basedOn w:val="DefaultParagraphFont"/>
    <w:uiPriority w:val="99"/>
    <w:rsid w:val="00616EFC"/>
    <w:rPr>
      <w:vertAlign w:val="superscript"/>
    </w:rPr>
  </w:style>
  <w:style w:type="character" w:styleId="Hyperlink">
    <w:name w:val="Hyperlink"/>
    <w:basedOn w:val="DefaultParagraphFont"/>
    <w:uiPriority w:val="99"/>
    <w:rsid w:val="00616EFC"/>
    <w:rPr>
      <w:color w:val="0563C1" w:themeColor="hyperlink"/>
      <w:u w:val="single"/>
    </w:rPr>
  </w:style>
  <w:style w:type="character" w:customStyle="1" w:styleId="apple-converted-space">
    <w:name w:val="apple-converted-space"/>
    <w:basedOn w:val="DefaultParagraphFont"/>
    <w:rsid w:val="00616EFC"/>
  </w:style>
  <w:style w:type="paragraph" w:customStyle="1" w:styleId="Standard1">
    <w:name w:val="Standard1"/>
    <w:rsid w:val="009B0E45"/>
    <w:pPr>
      <w:suppressAutoHyphens/>
      <w:autoSpaceDN w:val="0"/>
      <w:spacing w:line="251" w:lineRule="auto"/>
      <w:textAlignment w:val="baseline"/>
    </w:pPr>
    <w:rPr>
      <w:rFonts w:ascii="Calibri" w:eastAsia="Calibri" w:hAnsi="Calibri" w:cs="Times New Roman"/>
      <w:lang w:val="de-DE"/>
    </w:rPr>
  </w:style>
  <w:style w:type="character" w:customStyle="1" w:styleId="Absatz-Standardschriftart1">
    <w:name w:val="Absatz-Standardschriftart1"/>
    <w:rsid w:val="009B0E45"/>
  </w:style>
  <w:style w:type="paragraph" w:customStyle="1" w:styleId="Funotentext1">
    <w:name w:val="Fußnotentext1"/>
    <w:basedOn w:val="Standard1"/>
    <w:rsid w:val="009B0E45"/>
    <w:pPr>
      <w:spacing w:after="0" w:line="240" w:lineRule="auto"/>
    </w:pPr>
    <w:rPr>
      <w:sz w:val="20"/>
      <w:szCs w:val="20"/>
    </w:rPr>
  </w:style>
  <w:style w:type="character" w:customStyle="1" w:styleId="Funotenzeichen1">
    <w:name w:val="Fußnotenzeichen1"/>
    <w:basedOn w:val="Absatz-Standardschriftart1"/>
    <w:rsid w:val="009B0E45"/>
    <w:rPr>
      <w:position w:val="0"/>
      <w:vertAlign w:val="superscript"/>
    </w:rPr>
  </w:style>
  <w:style w:type="character" w:customStyle="1" w:styleId="Heading3Char">
    <w:name w:val="Heading 3 Char"/>
    <w:basedOn w:val="DefaultParagraphFont"/>
    <w:link w:val="Heading3"/>
    <w:uiPriority w:val="9"/>
    <w:rsid w:val="009B0E45"/>
    <w:rPr>
      <w:rFonts w:asciiTheme="majorHAnsi" w:eastAsiaTheme="majorEastAsia" w:hAnsiTheme="majorHAnsi" w:cstheme="majorBidi"/>
      <w:color w:val="1F4D78" w:themeColor="accent1" w:themeShade="7F"/>
      <w:sz w:val="24"/>
      <w:szCs w:val="24"/>
      <w:lang w:val="en-US"/>
    </w:rPr>
  </w:style>
  <w:style w:type="character" w:customStyle="1" w:styleId="Heading2Char">
    <w:name w:val="Heading 2 Char"/>
    <w:basedOn w:val="DefaultParagraphFont"/>
    <w:link w:val="Heading2"/>
    <w:uiPriority w:val="9"/>
    <w:semiHidden/>
    <w:rsid w:val="009231EA"/>
    <w:rPr>
      <w:rFonts w:asciiTheme="majorHAnsi" w:eastAsiaTheme="majorEastAsia" w:hAnsiTheme="majorHAnsi" w:cstheme="majorBidi"/>
      <w:color w:val="2E74B5" w:themeColor="accent1" w:themeShade="BF"/>
      <w:sz w:val="26"/>
      <w:szCs w:val="26"/>
    </w:rPr>
  </w:style>
  <w:style w:type="paragraph" w:styleId="ListBullet">
    <w:name w:val="List Bullet"/>
    <w:basedOn w:val="Normal"/>
    <w:uiPriority w:val="99"/>
    <w:unhideWhenUsed/>
    <w:rsid w:val="003772F1"/>
    <w:pPr>
      <w:numPr>
        <w:numId w:val="5"/>
      </w:numPr>
      <w:contextualSpacing/>
    </w:pPr>
  </w:style>
  <w:style w:type="character" w:styleId="CommentReference">
    <w:name w:val="annotation reference"/>
    <w:basedOn w:val="DefaultParagraphFont"/>
    <w:uiPriority w:val="99"/>
    <w:semiHidden/>
    <w:unhideWhenUsed/>
    <w:rsid w:val="009108A8"/>
    <w:rPr>
      <w:sz w:val="16"/>
      <w:szCs w:val="16"/>
    </w:rPr>
  </w:style>
  <w:style w:type="paragraph" w:styleId="CommentText">
    <w:name w:val="annotation text"/>
    <w:basedOn w:val="Normal"/>
    <w:link w:val="CommentTextChar"/>
    <w:uiPriority w:val="99"/>
    <w:semiHidden/>
    <w:unhideWhenUsed/>
    <w:rsid w:val="009108A8"/>
    <w:pPr>
      <w:spacing w:line="240" w:lineRule="auto"/>
    </w:pPr>
    <w:rPr>
      <w:sz w:val="20"/>
      <w:szCs w:val="20"/>
    </w:rPr>
  </w:style>
  <w:style w:type="character" w:customStyle="1" w:styleId="CommentTextChar">
    <w:name w:val="Comment Text Char"/>
    <w:basedOn w:val="DefaultParagraphFont"/>
    <w:link w:val="CommentText"/>
    <w:uiPriority w:val="99"/>
    <w:semiHidden/>
    <w:rsid w:val="009108A8"/>
    <w:rPr>
      <w:sz w:val="20"/>
      <w:szCs w:val="20"/>
    </w:rPr>
  </w:style>
  <w:style w:type="paragraph" w:styleId="CommentSubject">
    <w:name w:val="annotation subject"/>
    <w:basedOn w:val="CommentText"/>
    <w:next w:val="CommentText"/>
    <w:link w:val="CommentSubjectChar"/>
    <w:uiPriority w:val="99"/>
    <w:semiHidden/>
    <w:unhideWhenUsed/>
    <w:rsid w:val="009108A8"/>
    <w:rPr>
      <w:b/>
      <w:bCs/>
    </w:rPr>
  </w:style>
  <w:style w:type="character" w:customStyle="1" w:styleId="CommentSubjectChar">
    <w:name w:val="Comment Subject Char"/>
    <w:basedOn w:val="CommentTextChar"/>
    <w:link w:val="CommentSubject"/>
    <w:uiPriority w:val="99"/>
    <w:semiHidden/>
    <w:rsid w:val="009108A8"/>
    <w:rPr>
      <w:b/>
      <w:bCs/>
      <w:sz w:val="20"/>
      <w:szCs w:val="20"/>
    </w:rPr>
  </w:style>
  <w:style w:type="paragraph" w:styleId="BalloonText">
    <w:name w:val="Balloon Text"/>
    <w:basedOn w:val="Normal"/>
    <w:link w:val="BalloonTextChar"/>
    <w:uiPriority w:val="99"/>
    <w:semiHidden/>
    <w:unhideWhenUsed/>
    <w:rsid w:val="0091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8A8"/>
    <w:rPr>
      <w:rFonts w:ascii="Segoe UI" w:hAnsi="Segoe UI" w:cs="Segoe UI"/>
      <w:sz w:val="18"/>
      <w:szCs w:val="18"/>
    </w:rPr>
  </w:style>
  <w:style w:type="character" w:customStyle="1" w:styleId="UnresolvedMention1">
    <w:name w:val="Unresolved Mention1"/>
    <w:basedOn w:val="DefaultParagraphFont"/>
    <w:uiPriority w:val="99"/>
    <w:semiHidden/>
    <w:unhideWhenUsed/>
    <w:rsid w:val="004A5768"/>
    <w:rPr>
      <w:color w:val="808080"/>
      <w:shd w:val="clear" w:color="auto" w:fill="E6E6E6"/>
    </w:rPr>
  </w:style>
  <w:style w:type="paragraph" w:styleId="Header">
    <w:name w:val="header"/>
    <w:basedOn w:val="Normal"/>
    <w:link w:val="HeaderChar"/>
    <w:uiPriority w:val="99"/>
    <w:unhideWhenUsed/>
    <w:rsid w:val="00DE21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1F2"/>
  </w:style>
  <w:style w:type="paragraph" w:styleId="Footer">
    <w:name w:val="footer"/>
    <w:basedOn w:val="Normal"/>
    <w:link w:val="FooterChar"/>
    <w:uiPriority w:val="99"/>
    <w:unhideWhenUsed/>
    <w:rsid w:val="00DE21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1F2"/>
  </w:style>
  <w:style w:type="character" w:styleId="FollowedHyperlink">
    <w:name w:val="FollowedHyperlink"/>
    <w:basedOn w:val="DefaultParagraphFont"/>
    <w:uiPriority w:val="99"/>
    <w:semiHidden/>
    <w:unhideWhenUsed/>
    <w:rsid w:val="00917BDD"/>
    <w:rPr>
      <w:color w:val="954F72" w:themeColor="followedHyperlink"/>
      <w:u w:val="single"/>
    </w:rPr>
  </w:style>
  <w:style w:type="paragraph" w:styleId="Revision">
    <w:name w:val="Revision"/>
    <w:hidden/>
    <w:uiPriority w:val="99"/>
    <w:semiHidden/>
    <w:rsid w:val="00E759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727781">
      <w:bodyDiv w:val="1"/>
      <w:marLeft w:val="0"/>
      <w:marRight w:val="0"/>
      <w:marTop w:val="0"/>
      <w:marBottom w:val="0"/>
      <w:divBdr>
        <w:top w:val="none" w:sz="0" w:space="0" w:color="auto"/>
        <w:left w:val="none" w:sz="0" w:space="0" w:color="auto"/>
        <w:bottom w:val="none" w:sz="0" w:space="0" w:color="auto"/>
        <w:right w:val="none" w:sz="0" w:space="0" w:color="auto"/>
      </w:divBdr>
    </w:div>
    <w:div w:id="1597976990">
      <w:bodyDiv w:val="1"/>
      <w:marLeft w:val="0"/>
      <w:marRight w:val="0"/>
      <w:marTop w:val="0"/>
      <w:marBottom w:val="0"/>
      <w:divBdr>
        <w:top w:val="none" w:sz="0" w:space="0" w:color="auto"/>
        <w:left w:val="none" w:sz="0" w:space="0" w:color="auto"/>
        <w:bottom w:val="none" w:sz="0" w:space="0" w:color="auto"/>
        <w:right w:val="none" w:sz="0" w:space="0" w:color="auto"/>
      </w:divBdr>
    </w:div>
    <w:div w:id="174614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fra.europa.eu/en/publications-and-resources/data-and-maps/comparative-data/political-participation/dpo-laws" TargetMode="External"/><Relationship Id="rId13" Type="http://schemas.openxmlformats.org/officeDocument/2006/relationships/hyperlink" Target="http://law.unimelb.edu.au/students/jd/enrichment/pili/subjects/disability-human-rights-clinic" TargetMode="External"/><Relationship Id="rId18" Type="http://schemas.openxmlformats.org/officeDocument/2006/relationships/hyperlink" Target="http://dx.doi.org/10.19164/ijcle.v15i0.53" TargetMode="External"/><Relationship Id="rId3" Type="http://schemas.openxmlformats.org/officeDocument/2006/relationships/hyperlink" Target="https://www.dss.gov.au/our-responsibilities/disability-and-carers/publications-articles/policy-research/shut-out-the-experience-of-people-with-disabilities-and-their-families-in-australia" TargetMode="External"/><Relationship Id="rId7" Type="http://schemas.openxmlformats.org/officeDocument/2006/relationships/hyperlink" Target="http://indicators.ohchr.org/" TargetMode="External"/><Relationship Id="rId12" Type="http://schemas.openxmlformats.org/officeDocument/2006/relationships/hyperlink" Target="http://www.law.leeds.ac.uk/about/extra/cerebra-pro-bono-research-programme" TargetMode="External"/><Relationship Id="rId17" Type="http://schemas.openxmlformats.org/officeDocument/2006/relationships/hyperlink" Target="https://www.ifla.org/publications/guidelines-for-easy-to-read-materials" TargetMode="External"/><Relationship Id="rId2" Type="http://schemas.openxmlformats.org/officeDocument/2006/relationships/hyperlink" Target="http://apps.who.int/iris/bitstream/10665/70670/1/WHO_NMH_VIP_11.01_eng.pdf/" TargetMode="External"/><Relationship Id="rId16" Type="http://schemas.openxmlformats.org/officeDocument/2006/relationships/hyperlink" Target="https://ssrn.com/abstract=2172346" TargetMode="External"/><Relationship Id="rId1" Type="http://schemas.openxmlformats.org/officeDocument/2006/relationships/hyperlink" Target="http://www.un.org/en/universal-declaration-human-rights/" TargetMode="External"/><Relationship Id="rId6" Type="http://schemas.openxmlformats.org/officeDocument/2006/relationships/hyperlink" Target="http://www.ohchr.org/EN/HRBodies/HRC/RegularSessions/Session31/Documents/A_HRC_31_62_E.doc" TargetMode="External"/><Relationship Id="rId11" Type="http://schemas.openxmlformats.org/officeDocument/2006/relationships/hyperlink" Target="https://www.nuigalway.ie/centre-disability-law-policy/dlic/" TargetMode="External"/><Relationship Id="rId5" Type="http://schemas.openxmlformats.org/officeDocument/2006/relationships/hyperlink" Target="http://fra.europa.eu/sites/default/files/fra_uploads/fra-2015-violence-against-children-with-disabilities_en.pdf" TargetMode="External"/><Relationship Id="rId15" Type="http://schemas.openxmlformats.org/officeDocument/2006/relationships/hyperlink" Target="https://www.law.gwu.edu/sites/www.law.gwu.edu/files/downloads/IHRC_article_AC.pdf" TargetMode="External"/><Relationship Id="rId10" Type="http://schemas.openxmlformats.org/officeDocument/2006/relationships/hyperlink" Target="http://dx.doi.org/10.19164/ijcle.v19i0.31" TargetMode="External"/><Relationship Id="rId19" Type="http://schemas.openxmlformats.org/officeDocument/2006/relationships/hyperlink" Target="http://dx.doi.org/10.19164/ijcle.v10i0.81" TargetMode="External"/><Relationship Id="rId4" Type="http://schemas.openxmlformats.org/officeDocument/2006/relationships/hyperlink" Target="http://fra.europa.eu/sites/default/files/fra-2010-report-vote-disability_en.pdf" TargetMode="External"/><Relationship Id="rId9" Type="http://schemas.openxmlformats.org/officeDocument/2006/relationships/hyperlink" Target="http://www.mdpi.com/2075-471X/5/3/35" TargetMode="External"/><Relationship Id="rId14" Type="http://schemas.openxmlformats.org/officeDocument/2006/relationships/hyperlink" Target="http://digitalcommons.law.yale.edu/cgi/viewcontent.cgi?article=1221&amp;context=yj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016C7-182D-4FFB-A8C2-EE16689D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6117</Words>
  <Characters>35297</Characters>
  <Application>Microsoft Office Word</Application>
  <DocSecurity>0</DocSecurity>
  <Lines>294</Lines>
  <Paragraphs>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2018-12-17T11:15:00Z</dcterms:created>
  <dcterms:modified xsi:type="dcterms:W3CDTF">2018-12-18T11:53:00Z</dcterms:modified>
</cp:coreProperties>
</file>