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73F" w:rsidRPr="00613946" w:rsidRDefault="00D0773F" w:rsidP="00D0773F">
      <w:pPr>
        <w:spacing w:line="480" w:lineRule="auto"/>
        <w:rPr>
          <w:rFonts w:ascii="Palatino Linotype" w:hAnsi="Palatino Linotype"/>
          <w:b/>
          <w:i/>
          <w:sz w:val="24"/>
          <w:szCs w:val="24"/>
        </w:rPr>
      </w:pPr>
      <w:r w:rsidRPr="00613946">
        <w:rPr>
          <w:rFonts w:ascii="Palatino Linotype" w:hAnsi="Palatino Linotype"/>
          <w:b/>
          <w:i/>
          <w:sz w:val="24"/>
          <w:szCs w:val="24"/>
        </w:rPr>
        <w:t>Editorial</w:t>
      </w:r>
    </w:p>
    <w:p w:rsidR="00D0773F" w:rsidRPr="0011569F" w:rsidRDefault="00D0773F" w:rsidP="00D0773F">
      <w:pPr>
        <w:rPr>
          <w:rStyle w:val="SubtleEmphasis"/>
        </w:rPr>
      </w:pPr>
      <w:r>
        <w:rPr>
          <w:rFonts w:ascii="Palatino Linotype" w:hAnsi="Palatino Linotype"/>
          <w:b/>
          <w:sz w:val="28"/>
          <w:szCs w:val="28"/>
        </w:rPr>
        <w:t xml:space="preserve">The ‘No Apology’ Apology </w:t>
      </w:r>
    </w:p>
    <w:p w:rsidR="00D0773F" w:rsidRDefault="00D0773F" w:rsidP="00D0773F">
      <w:pPr>
        <w:rPr>
          <w:rFonts w:ascii="Palatino Linotype" w:hAnsi="Palatino Linotype"/>
          <w:sz w:val="24"/>
          <w:szCs w:val="24"/>
        </w:rPr>
      </w:pPr>
      <w:r>
        <w:rPr>
          <w:rFonts w:ascii="Palatino Linotype" w:hAnsi="Palatino Linotype"/>
          <w:sz w:val="24"/>
          <w:szCs w:val="24"/>
        </w:rPr>
        <w:t>Elaine Hall</w:t>
      </w:r>
    </w:p>
    <w:p w:rsidR="00D0773F" w:rsidRDefault="00D0773F" w:rsidP="00D0773F">
      <w:pPr>
        <w:rPr>
          <w:rFonts w:ascii="Palatino Linotype" w:hAnsi="Palatino Linotype"/>
          <w:sz w:val="24"/>
          <w:szCs w:val="24"/>
        </w:rPr>
      </w:pPr>
      <w:r>
        <w:rPr>
          <w:rFonts w:ascii="Palatino Linotype" w:hAnsi="Palatino Linotype"/>
          <w:sz w:val="24"/>
          <w:szCs w:val="24"/>
        </w:rPr>
        <w:t>Northumbria University, UK</w:t>
      </w:r>
    </w:p>
    <w:p w:rsidR="00D0773F" w:rsidRDefault="00D0773F" w:rsidP="00D0773F">
      <w:pPr>
        <w:rPr>
          <w:rStyle w:val="Hyperlink"/>
          <w:rFonts w:ascii="Palatino Linotype" w:hAnsi="Palatino Linotype"/>
          <w:sz w:val="24"/>
          <w:szCs w:val="24"/>
        </w:rPr>
      </w:pPr>
      <w:hyperlink r:id="rId7" w:history="1">
        <w:r w:rsidRPr="00935DD6">
          <w:rPr>
            <w:rStyle w:val="Hyperlink"/>
            <w:rFonts w:ascii="Palatino Linotype" w:hAnsi="Palatino Linotype"/>
            <w:sz w:val="24"/>
            <w:szCs w:val="24"/>
          </w:rPr>
          <w:t>Elaine.Hall@northumbria.ac.uk</w:t>
        </w:r>
      </w:hyperlink>
    </w:p>
    <w:p w:rsidR="00D0773F" w:rsidRDefault="00D0773F" w:rsidP="00D0773F">
      <w:pPr>
        <w:spacing w:line="480" w:lineRule="auto"/>
        <w:jc w:val="both"/>
        <w:rPr>
          <w:rFonts w:ascii="Palatino Linotype" w:hAnsi="Palatino Linotype"/>
          <w:i/>
          <w:sz w:val="24"/>
          <w:szCs w:val="24"/>
          <w:lang w:val="en-US"/>
        </w:rPr>
      </w:pPr>
    </w:p>
    <w:p w:rsidR="00D0773F" w:rsidRDefault="00D0773F" w:rsidP="00D0773F">
      <w:pPr>
        <w:spacing w:line="480" w:lineRule="auto"/>
        <w:jc w:val="both"/>
        <w:rPr>
          <w:rFonts w:ascii="Palatino Linotype" w:hAnsi="Palatino Linotype"/>
          <w:sz w:val="24"/>
          <w:szCs w:val="24"/>
          <w:lang w:val="en-US"/>
        </w:rPr>
      </w:pPr>
      <w:r>
        <w:rPr>
          <w:rFonts w:ascii="Palatino Linotype" w:hAnsi="Palatino Linotype"/>
          <w:sz w:val="24"/>
          <w:szCs w:val="24"/>
          <w:lang w:val="en-US"/>
        </w:rPr>
        <w:t xml:space="preserve">Dear Colleagues, </w:t>
      </w:r>
    </w:p>
    <w:p w:rsidR="00D0773F" w:rsidRPr="00C25F42" w:rsidRDefault="00D0773F" w:rsidP="00D0773F">
      <w:pPr>
        <w:spacing w:line="480" w:lineRule="auto"/>
        <w:jc w:val="both"/>
        <w:rPr>
          <w:rFonts w:ascii="Palatino Linotype" w:hAnsi="Palatino Linotype"/>
          <w:sz w:val="24"/>
          <w:szCs w:val="24"/>
          <w:lang w:val="en-US"/>
        </w:rPr>
      </w:pPr>
      <w:r>
        <w:rPr>
          <w:rFonts w:ascii="Palatino Linotype" w:hAnsi="Palatino Linotype"/>
          <w:sz w:val="24"/>
          <w:szCs w:val="24"/>
          <w:lang w:val="en-US"/>
        </w:rPr>
        <w:t xml:space="preserve">It has been a very busy year so far and at the recent Association of Law Teachers conference I attended many sessions on wellbeing – for law students, practicing lawyers and for legal academics.  This led me to think about my own wellbeing, the many strands of my work and how I position myself in relation to each strand.  I love being the editor of this journal, discussing ideas, reading early drafts and managing the review process.  It is an ‘iceberg’ process – there is much more going on under the surface than shows up in the issue and that’s fine, except that in the final moments I have to construct an editorial and in those final moments I find I have little to say.  The pieces speak for themselves, with their own eloquent voices and the process of introducing and linking them seems, to me, redundant. </w:t>
      </w:r>
      <w:r w:rsidRPr="00C25F42">
        <w:rPr>
          <w:rFonts w:ascii="Palatino Linotype" w:hAnsi="Palatino Linotype"/>
          <w:sz w:val="24"/>
          <w:szCs w:val="24"/>
          <w:lang w:val="en-US"/>
        </w:rPr>
        <w:t xml:space="preserve"> </w:t>
      </w:r>
      <w:r>
        <w:rPr>
          <w:rFonts w:ascii="Palatino Linotype" w:hAnsi="Palatino Linotype"/>
          <w:sz w:val="24"/>
          <w:szCs w:val="24"/>
          <w:lang w:val="en-US"/>
        </w:rPr>
        <w:t xml:space="preserve">So this time, at least, I’m not going to do it.  Please let me know if this significantly detracts from your enjoyment of the journal and I will reconsider it.  Meanwhile, welcome to your late-blossoming Spring Edition.  </w:t>
      </w:r>
    </w:p>
    <w:p w:rsidR="00D0773F" w:rsidRDefault="00D0773F" w:rsidP="00D0773F">
      <w:pPr>
        <w:spacing w:line="480" w:lineRule="auto"/>
        <w:jc w:val="both"/>
        <w:rPr>
          <w:rFonts w:ascii="Palatino Linotype" w:hAnsi="Palatino Linotype"/>
          <w:i/>
          <w:sz w:val="24"/>
          <w:szCs w:val="24"/>
          <w:lang w:val="en-US"/>
        </w:rPr>
      </w:pPr>
      <w:r>
        <w:rPr>
          <w:rFonts w:ascii="Palatino Linotype" w:hAnsi="Palatino Linotype"/>
          <w:i/>
          <w:sz w:val="24"/>
          <w:szCs w:val="24"/>
          <w:lang w:val="en-US"/>
        </w:rPr>
        <w:br w:type="page"/>
      </w:r>
      <w:bookmarkStart w:id="0" w:name="_GoBack"/>
      <w:bookmarkEnd w:id="0"/>
    </w:p>
    <w:p w:rsidR="00D0773F" w:rsidRDefault="00D0773F" w:rsidP="00D0773F">
      <w:pPr>
        <w:spacing w:line="480" w:lineRule="auto"/>
        <w:jc w:val="both"/>
        <w:rPr>
          <w:rFonts w:ascii="Palatino Linotype" w:hAnsi="Palatino Linotype"/>
          <w:i/>
          <w:sz w:val="24"/>
          <w:szCs w:val="24"/>
          <w:lang w:val="en-US"/>
        </w:rPr>
      </w:pPr>
      <w:r>
        <w:rPr>
          <w:rFonts w:ascii="Palatino Linotype" w:hAnsi="Palatino Linotype"/>
          <w:i/>
          <w:sz w:val="24"/>
          <w:szCs w:val="24"/>
          <w:lang w:val="en-US"/>
        </w:rPr>
        <w:lastRenderedPageBreak/>
        <w:t>Research Opportunity</w:t>
      </w:r>
    </w:p>
    <w:p w:rsidR="00D0773F" w:rsidRDefault="00D0773F" w:rsidP="00D0773F">
      <w:pPr>
        <w:pStyle w:val="Heading1"/>
        <w:spacing w:before="240" w:beforeAutospacing="0" w:after="0" w:afterAutospacing="0"/>
        <w:jc w:val="center"/>
        <w:rPr>
          <w:rFonts w:ascii="Calibri Light" w:eastAsiaTheme="minorEastAsia" w:hAnsi="Calibri Light"/>
          <w:b w:val="0"/>
          <w:bCs w:val="0"/>
          <w:color w:val="2F5496"/>
          <w:sz w:val="32"/>
          <w:szCs w:val="32"/>
        </w:rPr>
      </w:pPr>
      <w:r>
        <w:rPr>
          <w:rFonts w:ascii="Calibri Light" w:eastAsiaTheme="minorEastAsia" w:hAnsi="Calibri Light"/>
          <w:b w:val="0"/>
          <w:bCs w:val="0"/>
          <w:color w:val="2F5496"/>
          <w:sz w:val="28"/>
          <w:szCs w:val="28"/>
        </w:rPr>
        <w:t>Promoting Wellbeing through Clinical Legal Education</w:t>
      </w:r>
    </w:p>
    <w:p w:rsidR="00D0773F" w:rsidRDefault="00D0773F" w:rsidP="00D0773F">
      <w:pPr>
        <w:rPr>
          <w:rFonts w:ascii="Calibri" w:eastAsiaTheme="minorEastAsia" w:hAnsi="Calibri"/>
          <w:color w:val="000000"/>
          <w:sz w:val="24"/>
          <w:szCs w:val="24"/>
        </w:rPr>
      </w:pPr>
      <w:r>
        <w:rPr>
          <w:rFonts w:ascii="Calibri" w:hAnsi="Calibri"/>
          <w:color w:val="000000"/>
          <w:sz w:val="28"/>
          <w:szCs w:val="28"/>
        </w:rPr>
        <w:t> </w:t>
      </w:r>
    </w:p>
    <w:p w:rsidR="00D0773F" w:rsidRDefault="00D0773F" w:rsidP="00D0773F">
      <w:pPr>
        <w:jc w:val="center"/>
        <w:rPr>
          <w:rFonts w:ascii="Calibri" w:hAnsi="Calibri"/>
          <w:color w:val="000000"/>
        </w:rPr>
      </w:pPr>
      <w:r>
        <w:rPr>
          <w:rFonts w:ascii="Calibri" w:hAnsi="Calibri"/>
          <w:color w:val="000000"/>
        </w:rPr>
        <w:t>Calling all Legal Academics and Clinical Legal Educators!</w:t>
      </w:r>
    </w:p>
    <w:p w:rsidR="00D0773F" w:rsidRDefault="00D0773F" w:rsidP="00D0773F">
      <w:pPr>
        <w:jc w:val="center"/>
        <w:rPr>
          <w:rFonts w:ascii="Calibri" w:hAnsi="Calibri"/>
          <w:color w:val="000000"/>
        </w:rPr>
      </w:pPr>
      <w:r>
        <w:rPr>
          <w:rFonts w:ascii="Calibri" w:hAnsi="Calibri"/>
          <w:color w:val="000000"/>
        </w:rPr>
        <w:t> </w:t>
      </w:r>
    </w:p>
    <w:p w:rsidR="00D0773F" w:rsidRDefault="00D0773F" w:rsidP="00D0773F">
      <w:pPr>
        <w:jc w:val="center"/>
        <w:rPr>
          <w:rFonts w:ascii="Calibri" w:hAnsi="Calibri"/>
          <w:color w:val="000000"/>
        </w:rPr>
      </w:pPr>
      <w:r>
        <w:rPr>
          <w:rFonts w:ascii="Calibri" w:hAnsi="Calibri"/>
          <w:i/>
          <w:iCs/>
          <w:color w:val="000000"/>
        </w:rPr>
        <w:t>Are you actively involved in teaching a clinical subject?</w:t>
      </w:r>
    </w:p>
    <w:p w:rsidR="00D0773F" w:rsidRDefault="00D0773F" w:rsidP="00D0773F">
      <w:pPr>
        <w:jc w:val="center"/>
        <w:rPr>
          <w:rFonts w:ascii="Calibri" w:hAnsi="Calibri"/>
          <w:color w:val="000000"/>
        </w:rPr>
      </w:pPr>
      <w:r>
        <w:rPr>
          <w:rFonts w:ascii="Calibri" w:hAnsi="Calibri"/>
          <w:i/>
          <w:iCs/>
          <w:color w:val="000000"/>
        </w:rPr>
        <w:t>Have you taught a clinical subject in the past?</w:t>
      </w:r>
    </w:p>
    <w:p w:rsidR="00D0773F" w:rsidRDefault="00D0773F" w:rsidP="00D0773F">
      <w:pPr>
        <w:jc w:val="center"/>
        <w:rPr>
          <w:rFonts w:ascii="Calibri" w:hAnsi="Calibri"/>
          <w:color w:val="000000"/>
        </w:rPr>
      </w:pPr>
      <w:r>
        <w:rPr>
          <w:rFonts w:ascii="Calibri" w:hAnsi="Calibri"/>
          <w:i/>
          <w:iCs/>
          <w:color w:val="000000"/>
        </w:rPr>
        <w:t>Have you contributed to teaching a clinical subject?</w:t>
      </w:r>
    </w:p>
    <w:p w:rsidR="00D0773F" w:rsidRDefault="00D0773F" w:rsidP="00D0773F">
      <w:pPr>
        <w:rPr>
          <w:rFonts w:ascii="Calibri" w:hAnsi="Calibri"/>
          <w:color w:val="000000"/>
        </w:rPr>
      </w:pPr>
      <w:r>
        <w:rPr>
          <w:rFonts w:ascii="Calibri" w:hAnsi="Calibri"/>
          <w:i/>
          <w:iCs/>
          <w:color w:val="000000"/>
        </w:rPr>
        <w:t> </w:t>
      </w:r>
    </w:p>
    <w:p w:rsidR="00D0773F" w:rsidRDefault="00D0773F" w:rsidP="00D0773F">
      <w:pPr>
        <w:jc w:val="center"/>
        <w:rPr>
          <w:rFonts w:ascii="Calibri" w:hAnsi="Calibri"/>
          <w:color w:val="000000"/>
        </w:rPr>
      </w:pPr>
      <w:r>
        <w:rPr>
          <w:rFonts w:ascii="Calibri" w:hAnsi="Calibri"/>
          <w:color w:val="000000"/>
        </w:rPr>
        <w:t>A research team at Monash Law Faculty would like to invite you to complete brief questionnaire which provides an indication of your motivational orientation. Your involvement will contribute to clinical legal education scholarship, and it will help the research team to explore ways in which clinical legal education might be associated with law student wellbeing. You may also benefit from reflecting on your own motivations for teaching! </w:t>
      </w:r>
    </w:p>
    <w:p w:rsidR="00D0773F" w:rsidRDefault="00D0773F" w:rsidP="00D0773F">
      <w:pPr>
        <w:rPr>
          <w:rFonts w:ascii="Calibri" w:hAnsi="Calibri"/>
          <w:color w:val="000000"/>
        </w:rPr>
      </w:pPr>
      <w:r>
        <w:rPr>
          <w:rFonts w:ascii="Calibri" w:hAnsi="Calibri"/>
          <w:color w:val="000000"/>
        </w:rPr>
        <w:t>For further information please contact:</w:t>
      </w:r>
    </w:p>
    <w:p w:rsidR="00D0773F" w:rsidRDefault="00D0773F" w:rsidP="00D0773F">
      <w:pPr>
        <w:rPr>
          <w:rFonts w:ascii="Calibri" w:hAnsi="Calibri"/>
          <w:color w:val="000000"/>
        </w:rPr>
      </w:pPr>
      <w:r>
        <w:rPr>
          <w:rFonts w:ascii="Calibri" w:hAnsi="Calibri"/>
          <w:b/>
          <w:bCs/>
          <w:color w:val="000000"/>
        </w:rPr>
        <w:t>Claire Carroll, Student Researcher    </w:t>
      </w:r>
      <w:r>
        <w:rPr>
          <w:rFonts w:ascii="Calibri" w:hAnsi="Calibri"/>
          <w:color w:val="000000"/>
        </w:rPr>
        <w:br/>
        <w:t>Faculty of Law</w:t>
      </w:r>
      <w:r>
        <w:rPr>
          <w:rFonts w:ascii="Calibri" w:hAnsi="Calibri"/>
          <w:color w:val="000000"/>
        </w:rPr>
        <w:br/>
        <w:t>Phone:  0484006270</w:t>
      </w:r>
      <w:r>
        <w:rPr>
          <w:rFonts w:ascii="Calibri" w:hAnsi="Calibri"/>
          <w:color w:val="000000"/>
        </w:rPr>
        <w:br/>
        <w:t xml:space="preserve">Email: </w:t>
      </w:r>
      <w:hyperlink r:id="rId8" w:history="1">
        <w:r>
          <w:rPr>
            <w:rStyle w:val="Hyperlink"/>
            <w:rFonts w:ascii="Calibri" w:hAnsi="Calibri"/>
          </w:rPr>
          <w:t>claire.carroll@monash.edu</w:t>
        </w:r>
      </w:hyperlink>
    </w:p>
    <w:p w:rsidR="00D0773F" w:rsidRPr="0085112D" w:rsidRDefault="00D0773F" w:rsidP="00D0773F">
      <w:pPr>
        <w:spacing w:line="480" w:lineRule="auto"/>
        <w:jc w:val="both"/>
        <w:rPr>
          <w:rFonts w:ascii="Palatino Linotype" w:hAnsi="Palatino Linotype"/>
          <w:i/>
          <w:sz w:val="24"/>
          <w:szCs w:val="24"/>
        </w:rPr>
      </w:pPr>
    </w:p>
    <w:p w:rsidR="00D0773F" w:rsidRDefault="00D0773F">
      <w:pPr>
        <w:spacing w:after="160" w:line="259" w:lineRule="auto"/>
        <w:rPr>
          <w:rFonts w:ascii="Palatino Linotype" w:hAnsi="Palatino Linotype"/>
          <w:i/>
          <w:sz w:val="24"/>
          <w:szCs w:val="24"/>
        </w:rPr>
      </w:pPr>
      <w:r>
        <w:rPr>
          <w:rFonts w:ascii="Palatino Linotype" w:hAnsi="Palatino Linotype"/>
          <w:i/>
          <w:sz w:val="24"/>
          <w:szCs w:val="24"/>
        </w:rPr>
        <w:br w:type="page"/>
      </w:r>
    </w:p>
    <w:p w:rsidR="00D0773F" w:rsidRPr="00671F03" w:rsidRDefault="00D0773F" w:rsidP="00D0773F">
      <w:pPr>
        <w:spacing w:line="480" w:lineRule="auto"/>
        <w:jc w:val="both"/>
        <w:rPr>
          <w:rFonts w:ascii="Palatino Linotype" w:hAnsi="Palatino Linotype"/>
          <w:i/>
          <w:sz w:val="24"/>
          <w:szCs w:val="24"/>
        </w:rPr>
      </w:pPr>
      <w:r w:rsidRPr="00671F03">
        <w:rPr>
          <w:rFonts w:ascii="Palatino Linotype" w:hAnsi="Palatino Linotype"/>
          <w:i/>
          <w:sz w:val="24"/>
          <w:szCs w:val="24"/>
        </w:rPr>
        <w:lastRenderedPageBreak/>
        <w:t xml:space="preserve">Clinical events </w:t>
      </w:r>
    </w:p>
    <w:p w:rsidR="00D0773F" w:rsidRDefault="00D0773F" w:rsidP="00D0773F">
      <w:pPr>
        <w:spacing w:line="480" w:lineRule="auto"/>
        <w:jc w:val="both"/>
        <w:rPr>
          <w:rFonts w:ascii="Palatino Linotype" w:hAnsi="Palatino Linotype"/>
          <w:sz w:val="24"/>
          <w:szCs w:val="24"/>
        </w:rPr>
      </w:pPr>
      <w:r w:rsidRPr="00067BF7">
        <w:rPr>
          <w:rFonts w:ascii="Palatino Linotype" w:hAnsi="Palatino Linotype"/>
          <w:sz w:val="24"/>
          <w:szCs w:val="24"/>
        </w:rPr>
        <w:t>The Association for Canadian Clinical Legal Education (ACCLE) will be returning to Western Univer</w:t>
      </w:r>
      <w:r>
        <w:rPr>
          <w:rFonts w:ascii="Palatino Linotype" w:hAnsi="Palatino Linotype"/>
          <w:sz w:val="24"/>
          <w:szCs w:val="24"/>
        </w:rPr>
        <w:t>sity, Faculty of Law, for their</w:t>
      </w:r>
      <w:r w:rsidRPr="00067BF7">
        <w:rPr>
          <w:rFonts w:ascii="Palatino Linotype" w:hAnsi="Palatino Linotype"/>
          <w:sz w:val="24"/>
          <w:szCs w:val="24"/>
        </w:rPr>
        <w:t xml:space="preserve"> 10th Annual Conference, </w:t>
      </w:r>
    </w:p>
    <w:p w:rsidR="00D0773F" w:rsidRPr="00067BF7" w:rsidRDefault="00D0773F" w:rsidP="00D0773F">
      <w:pPr>
        <w:spacing w:line="480" w:lineRule="auto"/>
        <w:jc w:val="center"/>
        <w:rPr>
          <w:rFonts w:ascii="Palatino Linotype" w:hAnsi="Palatino Linotype"/>
          <w:b/>
          <w:sz w:val="24"/>
          <w:szCs w:val="24"/>
        </w:rPr>
      </w:pPr>
      <w:r w:rsidRPr="00067BF7">
        <w:rPr>
          <w:rFonts w:ascii="Palatino Linotype" w:hAnsi="Palatino Linotype"/>
          <w:b/>
          <w:sz w:val="24"/>
          <w:szCs w:val="24"/>
        </w:rPr>
        <w:t>“Looking Back, Moving Forward: Future Challenges for Clinical Legal Education in Canada”.</w:t>
      </w:r>
    </w:p>
    <w:p w:rsidR="00D0773F" w:rsidRPr="00067BF7" w:rsidRDefault="00D0773F" w:rsidP="00D0773F">
      <w:pPr>
        <w:spacing w:line="480" w:lineRule="auto"/>
        <w:jc w:val="both"/>
        <w:rPr>
          <w:rFonts w:ascii="Palatino Linotype" w:hAnsi="Palatino Linotype"/>
          <w:sz w:val="24"/>
          <w:szCs w:val="24"/>
        </w:rPr>
      </w:pPr>
      <w:r w:rsidRPr="00067BF7">
        <w:rPr>
          <w:rFonts w:ascii="Palatino Linotype" w:hAnsi="Palatino Linotype"/>
          <w:sz w:val="24"/>
          <w:szCs w:val="24"/>
        </w:rPr>
        <w:t>June 12-14, 2019.</w:t>
      </w:r>
      <w:r>
        <w:rPr>
          <w:rFonts w:ascii="Palatino Linotype" w:hAnsi="Palatino Linotype"/>
          <w:sz w:val="24"/>
          <w:szCs w:val="24"/>
        </w:rPr>
        <w:t xml:space="preserve">  </w:t>
      </w:r>
    </w:p>
    <w:p w:rsidR="00D0773F" w:rsidRPr="00067BF7" w:rsidRDefault="00D0773F" w:rsidP="00D0773F">
      <w:pPr>
        <w:jc w:val="center"/>
        <w:rPr>
          <w:rFonts w:ascii="Palatino Linotype" w:hAnsi="Palatino Linotype"/>
          <w:b/>
          <w:sz w:val="24"/>
          <w:szCs w:val="24"/>
        </w:rPr>
      </w:pPr>
      <w:r w:rsidRPr="00067BF7">
        <w:rPr>
          <w:rFonts w:ascii="Palatino Linotype" w:hAnsi="Palatino Linotype"/>
          <w:b/>
          <w:sz w:val="24"/>
          <w:szCs w:val="24"/>
        </w:rPr>
        <w:t>ENCLE – IJCLE 2019</w:t>
      </w:r>
    </w:p>
    <w:p w:rsidR="00D0773F" w:rsidRPr="00DC2A95" w:rsidRDefault="00D0773F" w:rsidP="00D0773F">
      <w:pPr>
        <w:jc w:val="center"/>
        <w:rPr>
          <w:rFonts w:ascii="Palatino Linotype" w:hAnsi="Palatino Linotype"/>
          <w:sz w:val="24"/>
          <w:szCs w:val="24"/>
        </w:rPr>
      </w:pPr>
      <w:r w:rsidRPr="00DC2A95">
        <w:rPr>
          <w:rFonts w:ascii="Palatino Linotype" w:hAnsi="Palatino Linotype"/>
          <w:sz w:val="24"/>
          <w:szCs w:val="24"/>
        </w:rPr>
        <w:t>Comenius University, Bratislava, Slovakia</w:t>
      </w:r>
    </w:p>
    <w:p w:rsidR="00D0773F" w:rsidRDefault="00D0773F" w:rsidP="00D0773F">
      <w:pPr>
        <w:jc w:val="center"/>
        <w:rPr>
          <w:rFonts w:ascii="Palatino Linotype" w:hAnsi="Palatino Linotype"/>
          <w:sz w:val="24"/>
          <w:szCs w:val="24"/>
        </w:rPr>
      </w:pPr>
      <w:r w:rsidRPr="00DC2A95">
        <w:rPr>
          <w:rFonts w:ascii="Palatino Linotype" w:hAnsi="Palatino Linotype"/>
          <w:sz w:val="24"/>
          <w:szCs w:val="24"/>
        </w:rPr>
        <w:t>3-5</w:t>
      </w:r>
      <w:r w:rsidRPr="00DC2A95">
        <w:rPr>
          <w:rFonts w:ascii="Palatino Linotype" w:hAnsi="Palatino Linotype"/>
          <w:sz w:val="24"/>
          <w:szCs w:val="24"/>
          <w:vertAlign w:val="superscript"/>
        </w:rPr>
        <w:t>th</w:t>
      </w:r>
      <w:r w:rsidRPr="00DC2A95">
        <w:rPr>
          <w:rFonts w:ascii="Palatino Linotype" w:hAnsi="Palatino Linotype"/>
          <w:sz w:val="24"/>
          <w:szCs w:val="24"/>
        </w:rPr>
        <w:t>July</w:t>
      </w:r>
    </w:p>
    <w:p w:rsidR="00D0773F" w:rsidRDefault="00D0773F" w:rsidP="00D0773F">
      <w:pPr>
        <w:jc w:val="center"/>
        <w:rPr>
          <w:rFonts w:ascii="Palatino Linotype" w:hAnsi="Palatino Linotype"/>
          <w:sz w:val="24"/>
          <w:szCs w:val="24"/>
        </w:rPr>
      </w:pPr>
    </w:p>
    <w:p w:rsidR="00D0773F" w:rsidRPr="00067BF7" w:rsidRDefault="00D0773F" w:rsidP="00D0773F">
      <w:pPr>
        <w:jc w:val="center"/>
        <w:rPr>
          <w:rFonts w:ascii="Palatino Linotype" w:hAnsi="Palatino Linotype"/>
          <w:b/>
          <w:sz w:val="28"/>
          <w:szCs w:val="28"/>
        </w:rPr>
      </w:pPr>
      <w:r w:rsidRPr="00067BF7">
        <w:rPr>
          <w:rFonts w:ascii="Palatino Linotype" w:hAnsi="Palatino Linotype"/>
          <w:b/>
          <w:sz w:val="28"/>
          <w:szCs w:val="28"/>
        </w:rPr>
        <w:t>Improving the Future:</w:t>
      </w:r>
    </w:p>
    <w:p w:rsidR="00D0773F" w:rsidRPr="00067BF7" w:rsidRDefault="00D0773F" w:rsidP="00D0773F">
      <w:pPr>
        <w:jc w:val="center"/>
        <w:rPr>
          <w:rFonts w:ascii="Palatino Linotype" w:hAnsi="Palatino Linotype"/>
          <w:b/>
          <w:sz w:val="28"/>
          <w:szCs w:val="28"/>
        </w:rPr>
      </w:pPr>
      <w:r w:rsidRPr="00067BF7">
        <w:rPr>
          <w:rFonts w:ascii="Palatino Linotype" w:hAnsi="Palatino Linotype"/>
          <w:b/>
          <w:sz w:val="28"/>
          <w:szCs w:val="28"/>
        </w:rPr>
        <w:t>using Clinical Legal Education to educate Lawyers for a Just Society</w:t>
      </w:r>
    </w:p>
    <w:p w:rsidR="00D0773F" w:rsidRDefault="00D0773F" w:rsidP="00D0773F">
      <w:pPr>
        <w:jc w:val="center"/>
        <w:rPr>
          <w:rFonts w:ascii="Palatino Linotype" w:hAnsi="Palatino Linotype"/>
          <w:sz w:val="28"/>
          <w:szCs w:val="28"/>
        </w:rPr>
      </w:pPr>
    </w:p>
    <w:p w:rsidR="00D0773F" w:rsidRPr="005F69D5" w:rsidRDefault="00D0773F" w:rsidP="00D0773F">
      <w:pPr>
        <w:jc w:val="both"/>
        <w:rPr>
          <w:rFonts w:ascii="Palatino Linotype" w:hAnsi="Palatino Linotype"/>
          <w:sz w:val="24"/>
          <w:szCs w:val="24"/>
        </w:rPr>
      </w:pPr>
      <w:r w:rsidRPr="005F69D5">
        <w:rPr>
          <w:rFonts w:ascii="Palatino Linotype" w:hAnsi="Palatino Linotype"/>
          <w:sz w:val="24"/>
          <w:szCs w:val="24"/>
        </w:rPr>
        <w:t xml:space="preserve">In this year’s conference we look at a core goal of Clinical Legal Education – Justice.  As the world faces unprecedented challenges in terms of climate, challenge to the rule of law and political and social upheaval, the conference provides an opportunity to consider and plan for the role of Clinical Legal Education in this new environment.  </w:t>
      </w:r>
    </w:p>
    <w:p w:rsidR="00D0773F" w:rsidRPr="005F69D5" w:rsidRDefault="00D0773F" w:rsidP="00D0773F">
      <w:pPr>
        <w:jc w:val="both"/>
        <w:rPr>
          <w:rFonts w:ascii="Palatino Linotype" w:hAnsi="Palatino Linotype"/>
          <w:sz w:val="24"/>
          <w:szCs w:val="24"/>
        </w:rPr>
      </w:pPr>
      <w:r w:rsidRPr="005F69D5">
        <w:rPr>
          <w:rFonts w:ascii="Palatino Linotype" w:hAnsi="Palatino Linotype"/>
          <w:sz w:val="24"/>
          <w:szCs w:val="24"/>
        </w:rPr>
        <w:t>As always papers are welcomed from the broad spectrum of Clinical Legal Education and particularly on the following themes:</w:t>
      </w:r>
    </w:p>
    <w:p w:rsidR="00D0773F" w:rsidRPr="005F69D5" w:rsidRDefault="00D0773F" w:rsidP="00D0773F">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The role of Clinic in maintaining liberty rights and advancing the rule of law</w:t>
      </w:r>
    </w:p>
    <w:p w:rsidR="00D0773F" w:rsidRPr="005F69D5" w:rsidRDefault="00D0773F" w:rsidP="00D0773F">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Climate change and environmental justice through Clinical Legal Education</w:t>
      </w:r>
    </w:p>
    <w:p w:rsidR="00D0773F" w:rsidRPr="005F69D5" w:rsidRDefault="00D0773F" w:rsidP="00D0773F">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Educating future lawyers – in what ways can clinic shape future lawyers’ aspirations and contributions to a just society?</w:t>
      </w:r>
    </w:p>
    <w:p w:rsidR="00D0773F" w:rsidRPr="005F69D5" w:rsidRDefault="00D0773F" w:rsidP="00D0773F">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 xml:space="preserve">Researching the impact of clinic </w:t>
      </w:r>
    </w:p>
    <w:p w:rsidR="00D0773F" w:rsidRPr="005F69D5" w:rsidRDefault="00D0773F" w:rsidP="00D0773F">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t>Interdisciplinary approaches to advancing justice and educating for a just society</w:t>
      </w:r>
    </w:p>
    <w:p w:rsidR="00D0773F" w:rsidRPr="005F69D5" w:rsidRDefault="00D0773F" w:rsidP="00D0773F">
      <w:pPr>
        <w:pStyle w:val="ListParagraph"/>
        <w:numPr>
          <w:ilvl w:val="0"/>
          <w:numId w:val="1"/>
        </w:numPr>
        <w:jc w:val="both"/>
        <w:rPr>
          <w:rFonts w:ascii="Palatino Linotype" w:hAnsi="Palatino Linotype"/>
          <w:sz w:val="24"/>
          <w:szCs w:val="24"/>
        </w:rPr>
      </w:pPr>
      <w:r w:rsidRPr="005F69D5">
        <w:rPr>
          <w:rFonts w:ascii="Palatino Linotype" w:hAnsi="Palatino Linotype"/>
          <w:sz w:val="24"/>
          <w:szCs w:val="24"/>
        </w:rPr>
        <w:lastRenderedPageBreak/>
        <w:t>Technological innovation in the pursuit of a just society: access and information for all in the law</w:t>
      </w:r>
    </w:p>
    <w:p w:rsidR="00D0773F" w:rsidRPr="005F69D5" w:rsidRDefault="00D0773F" w:rsidP="00D0773F">
      <w:pPr>
        <w:jc w:val="both"/>
        <w:rPr>
          <w:rFonts w:ascii="Palatino Linotype" w:hAnsi="Palatino Linotype"/>
          <w:sz w:val="24"/>
          <w:szCs w:val="24"/>
        </w:rPr>
      </w:pPr>
    </w:p>
    <w:p w:rsidR="00D0773F" w:rsidRDefault="00D0773F" w:rsidP="00D0773F">
      <w:pPr>
        <w:jc w:val="both"/>
        <w:rPr>
          <w:rFonts w:ascii="Palatino Linotype" w:hAnsi="Palatino Linotype"/>
          <w:sz w:val="24"/>
          <w:szCs w:val="24"/>
        </w:rPr>
      </w:pPr>
    </w:p>
    <w:p w:rsidR="00D0773F" w:rsidRPr="005F69D5" w:rsidRDefault="00D0773F" w:rsidP="00D0773F">
      <w:pPr>
        <w:jc w:val="both"/>
        <w:rPr>
          <w:rFonts w:ascii="Palatino Linotype" w:hAnsi="Palatino Linotype"/>
          <w:sz w:val="24"/>
          <w:szCs w:val="24"/>
        </w:rPr>
      </w:pPr>
      <w:r>
        <w:rPr>
          <w:rFonts w:ascii="Palatino Linotype" w:hAnsi="Palatino Linotype"/>
          <w:sz w:val="24"/>
          <w:szCs w:val="24"/>
        </w:rPr>
        <w:t>Conference Registration still</w:t>
      </w:r>
      <w:r w:rsidRPr="005F69D5">
        <w:rPr>
          <w:rFonts w:ascii="Palatino Linotype" w:hAnsi="Palatino Linotype"/>
          <w:sz w:val="24"/>
          <w:szCs w:val="24"/>
        </w:rPr>
        <w:t xml:space="preserve"> Open</w:t>
      </w:r>
      <w:r w:rsidRPr="005F69D5">
        <w:rPr>
          <w:rFonts w:ascii="Palatino Linotype" w:hAnsi="Palatino Linotype"/>
          <w:sz w:val="24"/>
          <w:szCs w:val="24"/>
        </w:rPr>
        <w:tab/>
      </w:r>
      <w:r w:rsidRPr="005F69D5">
        <w:rPr>
          <w:rFonts w:ascii="Palatino Linotype" w:hAnsi="Palatino Linotype"/>
          <w:sz w:val="24"/>
          <w:szCs w:val="24"/>
        </w:rPr>
        <w:tab/>
      </w:r>
      <w:r w:rsidRPr="005F69D5">
        <w:rPr>
          <w:rFonts w:ascii="Palatino Linotype" w:hAnsi="Palatino Linotype"/>
          <w:sz w:val="24"/>
          <w:szCs w:val="24"/>
        </w:rPr>
        <w:tab/>
      </w:r>
      <w:r w:rsidRPr="005F69D5">
        <w:rPr>
          <w:rFonts w:ascii="Palatino Linotype" w:hAnsi="Palatino Linotype"/>
          <w:sz w:val="24"/>
          <w:szCs w:val="24"/>
        </w:rPr>
        <w:tab/>
      </w:r>
      <w:r w:rsidRPr="005F69D5">
        <w:rPr>
          <w:rFonts w:ascii="Palatino Linotype" w:hAnsi="Palatino Linotype"/>
          <w:sz w:val="24"/>
          <w:szCs w:val="24"/>
        </w:rPr>
        <w:tab/>
      </w:r>
    </w:p>
    <w:p w:rsidR="00D0773F" w:rsidRDefault="00D0773F" w:rsidP="00D0773F"/>
    <w:p w:rsidR="00D0773F" w:rsidRDefault="00D0773F" w:rsidP="00D0773F">
      <w:pPr>
        <w:jc w:val="center"/>
        <w:rPr>
          <w:rFonts w:ascii="Palatino Linotype" w:hAnsi="Palatino Linotype"/>
          <w:b/>
          <w:sz w:val="24"/>
          <w:szCs w:val="24"/>
          <w:lang w:val="en-US"/>
        </w:rPr>
      </w:pPr>
    </w:p>
    <w:p w:rsidR="00D0773F" w:rsidRDefault="00D0773F" w:rsidP="00D0773F">
      <w:pPr>
        <w:jc w:val="center"/>
        <w:rPr>
          <w:rFonts w:ascii="Palatino Linotype" w:hAnsi="Palatino Linotype"/>
          <w:b/>
          <w:sz w:val="24"/>
          <w:szCs w:val="24"/>
          <w:lang w:val="en-US"/>
        </w:rPr>
      </w:pPr>
    </w:p>
    <w:p w:rsidR="00D0773F" w:rsidRPr="00671F03" w:rsidRDefault="00D0773F" w:rsidP="00D0773F">
      <w:pPr>
        <w:jc w:val="center"/>
        <w:rPr>
          <w:rFonts w:ascii="Palatino Linotype" w:hAnsi="Palatino Linotype"/>
          <w:b/>
          <w:sz w:val="24"/>
          <w:szCs w:val="24"/>
          <w:lang w:val="en-US"/>
        </w:rPr>
      </w:pPr>
      <w:r w:rsidRPr="00671F03">
        <w:rPr>
          <w:rFonts w:ascii="Palatino Linotype" w:hAnsi="Palatino Linotype"/>
          <w:b/>
          <w:sz w:val="24"/>
          <w:szCs w:val="24"/>
          <w:lang w:val="en-US"/>
        </w:rPr>
        <w:t>GAJE Worldwide Conference to be held in Indonesia 4-10 December 2019</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 xml:space="preserve">Here are the particulars (full details, including the online registration form, can be found on the GAJE website at: </w:t>
      </w:r>
      <w:hyperlink r:id="rId9" w:history="1">
        <w:r w:rsidRPr="0027533D">
          <w:rPr>
            <w:rStyle w:val="Hyperlink"/>
            <w:rFonts w:ascii="Palatino Linotype" w:hAnsi="Palatino Linotype"/>
            <w:sz w:val="24"/>
            <w:szCs w:val="24"/>
            <w:lang w:val="en-US"/>
          </w:rPr>
          <w:t>www.gaje.org/2019_conference_home</w:t>
        </w:r>
      </w:hyperlink>
      <w:r>
        <w:rPr>
          <w:rFonts w:ascii="Palatino Linotype" w:hAnsi="Palatino Linotype"/>
          <w:sz w:val="24"/>
          <w:szCs w:val="24"/>
          <w:lang w:val="en-US"/>
        </w:rPr>
        <w:t xml:space="preserve"> </w:t>
      </w:r>
      <w:r w:rsidRPr="00671F03">
        <w:rPr>
          <w:rFonts w:ascii="Palatino Linotype" w:hAnsi="Palatino Linotype"/>
          <w:sz w:val="24"/>
          <w:szCs w:val="24"/>
          <w:lang w:val="en-US"/>
        </w:rPr>
        <w:t xml:space="preserve">). </w:t>
      </w:r>
    </w:p>
    <w:p w:rsidR="00D0773F" w:rsidRPr="00671F03" w:rsidRDefault="00D0773F" w:rsidP="00D0773F">
      <w:pPr>
        <w:jc w:val="both"/>
        <w:rPr>
          <w:rFonts w:ascii="Palatino Linotype" w:hAnsi="Palatino Linotype"/>
          <w:sz w:val="24"/>
          <w:szCs w:val="24"/>
          <w:lang w:val="en-US"/>
        </w:rPr>
      </w:pP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 xml:space="preserve">Location and format: The conference will take place on the campus of </w:t>
      </w:r>
      <w:proofErr w:type="spellStart"/>
      <w:r w:rsidRPr="00671F03">
        <w:rPr>
          <w:rFonts w:ascii="Palatino Linotype" w:hAnsi="Palatino Linotype"/>
          <w:sz w:val="24"/>
          <w:szCs w:val="24"/>
          <w:lang w:val="en-US"/>
        </w:rPr>
        <w:t>Pasundan</w:t>
      </w:r>
      <w:proofErr w:type="spellEnd"/>
      <w:r w:rsidRPr="00671F03">
        <w:rPr>
          <w:rFonts w:ascii="Palatino Linotype" w:hAnsi="Palatino Linotype"/>
          <w:sz w:val="24"/>
          <w:szCs w:val="24"/>
          <w:lang w:val="en-US"/>
        </w:rPr>
        <w:t xml:space="preserve"> University in Bandung, Indonesia (approximately 100 miles southeast of the Jakarta International Airport).  The conference will consist of two parts: 1) a General Conference with plenaries and concurrent sessions on various themes and topics (4-8 December); and 2) a Training-of-Trainers (TOT) workshop on practical aspects for implementing justice education, including clinical teaching methods (9-10 December).  </w:t>
      </w:r>
    </w:p>
    <w:p w:rsidR="00D0773F" w:rsidRPr="00671F03" w:rsidRDefault="00D0773F" w:rsidP="00D0773F">
      <w:pPr>
        <w:jc w:val="both"/>
        <w:rPr>
          <w:rFonts w:ascii="Palatino Linotype" w:hAnsi="Palatino Linotype"/>
          <w:sz w:val="24"/>
          <w:szCs w:val="24"/>
          <w:lang w:val="en-US"/>
        </w:rPr>
      </w:pP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 xml:space="preserve">Conference theme and streams: The overall conference topic is “The Inspiration and Diversification of Justice Education”; sessions will be organized into fourteen thematic streams: </w:t>
      </w:r>
    </w:p>
    <w:p w:rsidR="00D0773F" w:rsidRPr="00671F03" w:rsidRDefault="00D0773F" w:rsidP="00D0773F">
      <w:pPr>
        <w:jc w:val="both"/>
        <w:rPr>
          <w:rFonts w:ascii="Palatino Linotype" w:hAnsi="Palatino Linotype"/>
          <w:sz w:val="24"/>
          <w:szCs w:val="24"/>
          <w:lang w:val="en-US"/>
        </w:rPr>
      </w:pP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Achieving Greater Rule of Law and Access to Rights and Justice for Marginalized, Excluded or Vulnerable Clients/Communities (such as persons with HIV, disabilities, migrants etc.) through Justice Education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The Science of Learning: Latest Developments and Challenges - multiple and multidisciplinary approaches from neuroscience, psychology, medicine, pedagogy, etc.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lastRenderedPageBreak/>
        <w:t>o</w:t>
      </w:r>
      <w:r w:rsidRPr="00671F03">
        <w:rPr>
          <w:rFonts w:ascii="Palatino Linotype" w:hAnsi="Palatino Linotype"/>
          <w:sz w:val="24"/>
          <w:szCs w:val="24"/>
          <w:lang w:val="en-US"/>
        </w:rPr>
        <w:tab/>
        <w:t xml:space="preserve">Legal Empowerment and Justice Education (this includes Community Legal Education/Legal Literacy/Street Law)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Pro Bono and Justice Education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Academic Writing/Scholarship and Justice Education (research design, interdisciplinary research, measuring impact of justice education, etc.)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How To – Sharing Best Teaching Methods, Information Technology and Innovative Ideas for Justice Education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The Development and Sustainability of Justice Education Initiatives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Justice Education Collaboration (networking, multidisciplinary collaborations, international and cross-border projects, etc.)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Professional Responsibility, Legal Ethics, and Professional Identity Formation</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Through Justice Education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Justice Education from the Students’ Perspectives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Well-being and Reflective Legal Practice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Cross-cultural Lawyering and Justice Education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Achieving the Sustainable Development Goals through Justice Education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o</w:t>
      </w:r>
      <w:r w:rsidRPr="00671F03">
        <w:rPr>
          <w:rFonts w:ascii="Palatino Linotype" w:hAnsi="Palatino Linotype"/>
          <w:sz w:val="24"/>
          <w:szCs w:val="24"/>
          <w:lang w:val="en-US"/>
        </w:rPr>
        <w:tab/>
        <w:t xml:space="preserve">The Justice Education Inspiration Hub: (Justice Education Posters/Banners) </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Fees, waivers and grants: The registration fee is $US 350 for the General Conference and $US 425 for both the General Conference and the Training-of-Trainers (TOT) workshop.  (Starting on September 15 there will be late fees of $US 425 for the General Conference and $US 500 for both the General Conference and the TOT workshop.)  Persons who cannot pay the full conference fee can request a fee waiver or a fee reduction by completing a special section of the registration form.  GAJE also provides a limited number of grants for travel and accommodations.</w:t>
      </w:r>
    </w:p>
    <w:p w:rsidR="00D0773F" w:rsidRPr="00671F03" w:rsidRDefault="00D0773F" w:rsidP="00D0773F">
      <w:pPr>
        <w:jc w:val="both"/>
        <w:rPr>
          <w:rFonts w:ascii="Palatino Linotype" w:hAnsi="Palatino Linotype"/>
          <w:sz w:val="24"/>
          <w:szCs w:val="24"/>
          <w:lang w:val="en-US"/>
        </w:rPr>
      </w:pPr>
    </w:p>
    <w:p w:rsidR="00D0773F" w:rsidRPr="00671F03" w:rsidRDefault="00D0773F" w:rsidP="00D0773F">
      <w:pPr>
        <w:jc w:val="both"/>
        <w:rPr>
          <w:rFonts w:ascii="Palatino Linotype" w:hAnsi="Palatino Linotype"/>
          <w:b/>
          <w:sz w:val="24"/>
          <w:szCs w:val="24"/>
          <w:lang w:val="en-US"/>
        </w:rPr>
      </w:pPr>
      <w:r w:rsidRPr="00671F03">
        <w:rPr>
          <w:rFonts w:ascii="Palatino Linotype" w:hAnsi="Palatino Linotype"/>
          <w:sz w:val="24"/>
          <w:szCs w:val="24"/>
          <w:lang w:val="en-US"/>
        </w:rPr>
        <w:t xml:space="preserve">PLEASE NOTE THE FOLLOWING DEADLINES: </w:t>
      </w:r>
      <w:r w:rsidRPr="00671F03">
        <w:rPr>
          <w:rFonts w:ascii="Palatino Linotype" w:hAnsi="Palatino Linotype"/>
          <w:b/>
          <w:sz w:val="24"/>
          <w:szCs w:val="24"/>
          <w:lang w:val="en-US"/>
        </w:rPr>
        <w:t>The registration deadline is 1 November.</w:t>
      </w:r>
      <w:r w:rsidRPr="00671F03">
        <w:rPr>
          <w:rFonts w:ascii="Palatino Linotype" w:hAnsi="Palatino Linotype"/>
          <w:sz w:val="24"/>
          <w:szCs w:val="24"/>
          <w:lang w:val="en-US"/>
        </w:rPr>
        <w:t xml:space="preserve">  HOWEVER: The deadline for applications for travel/accommodation grants (including those requesting both a grant and fee waiver/reduction) </w:t>
      </w:r>
      <w:r w:rsidRPr="00671F03">
        <w:rPr>
          <w:rFonts w:ascii="Palatino Linotype" w:hAnsi="Palatino Linotype"/>
          <w:b/>
          <w:sz w:val="24"/>
          <w:szCs w:val="24"/>
          <w:lang w:val="en-US"/>
        </w:rPr>
        <w:t>is 1 June</w:t>
      </w:r>
      <w:r w:rsidRPr="00671F03">
        <w:rPr>
          <w:rFonts w:ascii="Palatino Linotype" w:hAnsi="Palatino Linotype"/>
          <w:sz w:val="24"/>
          <w:szCs w:val="24"/>
          <w:lang w:val="en-US"/>
        </w:rPr>
        <w:t xml:space="preserve">; the deadline for submission of proposals is also </w:t>
      </w:r>
      <w:r w:rsidRPr="00671F03">
        <w:rPr>
          <w:rFonts w:ascii="Palatino Linotype" w:hAnsi="Palatino Linotype"/>
          <w:b/>
          <w:sz w:val="24"/>
          <w:szCs w:val="24"/>
          <w:lang w:val="en-US"/>
        </w:rPr>
        <w:t>1 June</w:t>
      </w:r>
      <w:r w:rsidRPr="00671F03">
        <w:rPr>
          <w:rFonts w:ascii="Palatino Linotype" w:hAnsi="Palatino Linotype"/>
          <w:sz w:val="24"/>
          <w:szCs w:val="24"/>
          <w:lang w:val="en-US"/>
        </w:rPr>
        <w:t xml:space="preserve">; the deadline for applications </w:t>
      </w:r>
      <w:r w:rsidRPr="00671F03">
        <w:rPr>
          <w:rFonts w:ascii="Palatino Linotype" w:hAnsi="Palatino Linotype"/>
          <w:sz w:val="24"/>
          <w:szCs w:val="24"/>
          <w:lang w:val="en-US"/>
        </w:rPr>
        <w:lastRenderedPageBreak/>
        <w:t xml:space="preserve">requesting only a fee waiver/reduction (that is, without also requesting a grant) </w:t>
      </w:r>
      <w:r w:rsidRPr="00671F03">
        <w:rPr>
          <w:rFonts w:ascii="Palatino Linotype" w:hAnsi="Palatino Linotype"/>
          <w:b/>
          <w:sz w:val="24"/>
          <w:szCs w:val="24"/>
          <w:lang w:val="en-US"/>
        </w:rPr>
        <w:t>is 1 August.</w:t>
      </w:r>
    </w:p>
    <w:p w:rsidR="00D0773F" w:rsidRPr="00671F03" w:rsidRDefault="00D0773F" w:rsidP="00D0773F">
      <w:pPr>
        <w:jc w:val="both"/>
        <w:rPr>
          <w:rFonts w:ascii="Palatino Linotype" w:hAnsi="Palatino Linotype"/>
          <w:sz w:val="24"/>
          <w:szCs w:val="24"/>
          <w:lang w:val="en-US"/>
        </w:rPr>
      </w:pP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If you have any questions about the registration process or seek clarification of any conference policies or instructions, you may send an email to registration@gaje.org.</w:t>
      </w:r>
    </w:p>
    <w:p w:rsidR="00D0773F" w:rsidRPr="00671F03" w:rsidRDefault="00D0773F" w:rsidP="00D0773F">
      <w:pPr>
        <w:jc w:val="both"/>
        <w:rPr>
          <w:rFonts w:ascii="Palatino Linotype" w:hAnsi="Palatino Linotype"/>
          <w:sz w:val="24"/>
          <w:szCs w:val="24"/>
          <w:lang w:val="en-US"/>
        </w:rPr>
      </w:pPr>
      <w:r w:rsidRPr="00671F03">
        <w:rPr>
          <w:rFonts w:ascii="Palatino Linotype" w:hAnsi="Palatino Linotype"/>
          <w:sz w:val="24"/>
          <w:szCs w:val="24"/>
          <w:lang w:val="en-US"/>
        </w:rPr>
        <w:t>Further information about GAJE’s past eight worldwide conferences is available on the GAJE website at www.gaje.org/conferences/past-conferences.</w:t>
      </w:r>
    </w:p>
    <w:p w:rsidR="00D0773F" w:rsidRPr="00671F03" w:rsidRDefault="00D0773F" w:rsidP="00D0773F">
      <w:pPr>
        <w:jc w:val="both"/>
        <w:rPr>
          <w:lang w:val="en-US"/>
        </w:rPr>
      </w:pPr>
    </w:p>
    <w:p w:rsidR="00F949B4" w:rsidRDefault="00F949B4"/>
    <w:sectPr w:rsidR="00F949B4" w:rsidSect="00B05CEC">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117" w:rsidRDefault="00A34117" w:rsidP="00A34117">
      <w:pPr>
        <w:spacing w:after="0" w:line="240" w:lineRule="auto"/>
      </w:pPr>
      <w:r>
        <w:separator/>
      </w:r>
    </w:p>
  </w:endnote>
  <w:endnote w:type="continuationSeparator" w:id="0">
    <w:p w:rsidR="00A34117" w:rsidRDefault="00A34117" w:rsidP="00A3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9085"/>
      <w:docPartObj>
        <w:docPartGallery w:val="Page Numbers (Bottom of Page)"/>
        <w:docPartUnique/>
      </w:docPartObj>
    </w:sdtPr>
    <w:sdtEndPr>
      <w:rPr>
        <w:noProof/>
      </w:rPr>
    </w:sdtEndPr>
    <w:sdtContent>
      <w:p w:rsidR="00A34117" w:rsidRDefault="00A3411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34117" w:rsidRDefault="00A3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117" w:rsidRDefault="00A34117" w:rsidP="00A34117">
      <w:pPr>
        <w:spacing w:after="0" w:line="240" w:lineRule="auto"/>
      </w:pPr>
      <w:r>
        <w:separator/>
      </w:r>
    </w:p>
  </w:footnote>
  <w:footnote w:type="continuationSeparator" w:id="0">
    <w:p w:rsidR="00A34117" w:rsidRDefault="00A34117" w:rsidP="00A34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96A31"/>
    <w:multiLevelType w:val="hybridMultilevel"/>
    <w:tmpl w:val="60C4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3F"/>
    <w:rsid w:val="00A34117"/>
    <w:rsid w:val="00D0773F"/>
    <w:rsid w:val="00F9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59A0A-7187-4294-9937-215829A3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3F"/>
    <w:pPr>
      <w:spacing w:after="200" w:line="276" w:lineRule="auto"/>
    </w:pPr>
  </w:style>
  <w:style w:type="paragraph" w:styleId="Heading1">
    <w:name w:val="heading 1"/>
    <w:basedOn w:val="Normal"/>
    <w:link w:val="Heading1Char"/>
    <w:uiPriority w:val="9"/>
    <w:qFormat/>
    <w:rsid w:val="00D077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73F"/>
    <w:rPr>
      <w:rFonts w:ascii="Times New Roman" w:eastAsia="Times New Roman" w:hAnsi="Times New Roman" w:cs="Times New Roman"/>
      <w:b/>
      <w:bCs/>
      <w:kern w:val="36"/>
      <w:sz w:val="48"/>
      <w:szCs w:val="48"/>
      <w:lang w:eastAsia="zh-CN"/>
    </w:rPr>
  </w:style>
  <w:style w:type="character" w:styleId="Hyperlink">
    <w:name w:val="Hyperlink"/>
    <w:basedOn w:val="DefaultParagraphFont"/>
    <w:uiPriority w:val="99"/>
    <w:unhideWhenUsed/>
    <w:rsid w:val="00D0773F"/>
    <w:rPr>
      <w:color w:val="0563C1" w:themeColor="hyperlink"/>
      <w:u w:val="single"/>
    </w:rPr>
  </w:style>
  <w:style w:type="character" w:styleId="SubtleEmphasis">
    <w:name w:val="Subtle Emphasis"/>
    <w:basedOn w:val="DefaultParagraphFont"/>
    <w:uiPriority w:val="19"/>
    <w:qFormat/>
    <w:rsid w:val="00D0773F"/>
    <w:rPr>
      <w:i/>
      <w:iCs/>
      <w:color w:val="404040" w:themeColor="text1" w:themeTint="BF"/>
    </w:rPr>
  </w:style>
  <w:style w:type="paragraph" w:styleId="ListParagraph">
    <w:name w:val="List Paragraph"/>
    <w:basedOn w:val="Normal"/>
    <w:uiPriority w:val="34"/>
    <w:qFormat/>
    <w:rsid w:val="00D0773F"/>
    <w:pPr>
      <w:spacing w:after="160" w:line="259" w:lineRule="auto"/>
      <w:ind w:left="720"/>
      <w:contextualSpacing/>
    </w:pPr>
    <w:rPr>
      <w:rFonts w:eastAsiaTheme="minorEastAsia"/>
      <w:lang w:eastAsia="zh-CN"/>
    </w:rPr>
  </w:style>
  <w:style w:type="paragraph" w:styleId="Header">
    <w:name w:val="header"/>
    <w:basedOn w:val="Normal"/>
    <w:link w:val="HeaderChar"/>
    <w:uiPriority w:val="99"/>
    <w:unhideWhenUsed/>
    <w:rsid w:val="00A34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117"/>
  </w:style>
  <w:style w:type="paragraph" w:styleId="Footer">
    <w:name w:val="footer"/>
    <w:basedOn w:val="Normal"/>
    <w:link w:val="FooterChar"/>
    <w:uiPriority w:val="99"/>
    <w:unhideWhenUsed/>
    <w:rsid w:val="00A34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carroll@monash.edu" TargetMode="External"/><Relationship Id="rId3" Type="http://schemas.openxmlformats.org/officeDocument/2006/relationships/settings" Target="settings.xml"/><Relationship Id="rId7" Type="http://schemas.openxmlformats.org/officeDocument/2006/relationships/hyperlink" Target="mailto:Elaine.Hall@northumbria.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je.org/2019_conferenc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2</cp:revision>
  <dcterms:created xsi:type="dcterms:W3CDTF">2019-05-09T15:24:00Z</dcterms:created>
  <dcterms:modified xsi:type="dcterms:W3CDTF">2019-05-09T15:28:00Z</dcterms:modified>
</cp:coreProperties>
</file>