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A5" w:rsidRPr="006E7CA1" w:rsidRDefault="002B25A5" w:rsidP="00AA64A2">
      <w:pPr>
        <w:spacing w:line="480" w:lineRule="auto"/>
        <w:jc w:val="center"/>
        <w:rPr>
          <w:rFonts w:ascii="Palatino Linotype" w:hAnsi="Palatino Linotype" w:cs="Arial"/>
          <w:b/>
          <w:sz w:val="28"/>
          <w:szCs w:val="28"/>
        </w:rPr>
      </w:pPr>
      <w:r w:rsidRPr="006E7CA1">
        <w:rPr>
          <w:rFonts w:ascii="Palatino Linotype" w:hAnsi="Palatino Linotype" w:cs="Arial"/>
          <w:b/>
          <w:sz w:val="28"/>
          <w:szCs w:val="28"/>
        </w:rPr>
        <w:t>EVOLVING JURISPRUDENCE IN CLINICAL LEGAL EDUCATION – A CONTEMPORA</w:t>
      </w:r>
      <w:r w:rsidR="00AA64A2">
        <w:rPr>
          <w:rFonts w:ascii="Palatino Linotype" w:hAnsi="Palatino Linotype" w:cs="Arial"/>
          <w:b/>
          <w:sz w:val="28"/>
          <w:szCs w:val="28"/>
        </w:rPr>
        <w:t>RY STUDY IN THEORY AND PRACTICE</w:t>
      </w:r>
    </w:p>
    <w:p w:rsidR="002B25A5" w:rsidRPr="006E7CA1" w:rsidRDefault="000578AC" w:rsidP="006E7CA1">
      <w:pPr>
        <w:spacing w:line="480" w:lineRule="auto"/>
        <w:jc w:val="both"/>
        <w:rPr>
          <w:rFonts w:ascii="Palatino Linotype" w:hAnsi="Palatino Linotype" w:cs="Arial"/>
          <w:b/>
          <w:sz w:val="24"/>
          <w:szCs w:val="24"/>
        </w:rPr>
      </w:pPr>
      <w:r>
        <w:rPr>
          <w:rFonts w:ascii="Palatino Linotype" w:hAnsi="Palatino Linotype" w:cs="Arial"/>
          <w:b/>
          <w:sz w:val="24"/>
          <w:szCs w:val="24"/>
        </w:rPr>
        <w:t>Kwame Akuffo, University of West London, UK</w:t>
      </w:r>
      <w:r w:rsidR="00AA64A2">
        <w:rPr>
          <w:rFonts w:ascii="Palatino Linotype" w:hAnsi="Palatino Linotype" w:cs="Arial"/>
          <w:b/>
          <w:sz w:val="24"/>
          <w:szCs w:val="24"/>
        </w:rPr>
        <w:t>*</w:t>
      </w:r>
    </w:p>
    <w:p w:rsidR="002B25A5" w:rsidRPr="006E7CA1" w:rsidRDefault="002B25A5" w:rsidP="006E7CA1">
      <w:pPr>
        <w:spacing w:line="480" w:lineRule="auto"/>
        <w:jc w:val="both"/>
        <w:rPr>
          <w:rFonts w:ascii="Palatino Linotype" w:hAnsi="Palatino Linotype" w:cs="Arial"/>
          <w:b/>
          <w:i/>
          <w:sz w:val="24"/>
          <w:szCs w:val="24"/>
        </w:rPr>
      </w:pPr>
    </w:p>
    <w:p w:rsidR="007A37C6" w:rsidRPr="006E7CA1" w:rsidRDefault="007A37C6" w:rsidP="006E7CA1">
      <w:pPr>
        <w:spacing w:line="480" w:lineRule="auto"/>
        <w:ind w:left="426" w:right="804"/>
        <w:jc w:val="both"/>
        <w:rPr>
          <w:rFonts w:ascii="Palatino Linotype" w:hAnsi="Palatino Linotype" w:cs="Arial"/>
          <w:sz w:val="24"/>
          <w:szCs w:val="24"/>
        </w:rPr>
      </w:pPr>
      <w:r w:rsidRPr="006E7CA1">
        <w:rPr>
          <w:rFonts w:ascii="Palatino Linotype" w:hAnsi="Palatino Linotype" w:cs="Arial"/>
          <w:b/>
          <w:i/>
          <w:sz w:val="24"/>
          <w:szCs w:val="24"/>
        </w:rPr>
        <w:t xml:space="preserve">Tell me, and I will forget. Show me, and I may remember. Involve me, and I will understand. – </w:t>
      </w:r>
      <w:r w:rsidRPr="006E7CA1">
        <w:rPr>
          <w:rFonts w:ascii="Palatino Linotype" w:hAnsi="Palatino Linotype" w:cs="Arial"/>
          <w:sz w:val="24"/>
          <w:szCs w:val="24"/>
        </w:rPr>
        <w:t xml:space="preserve">Confucius, </w:t>
      </w:r>
      <w:r w:rsidRPr="006E7CA1">
        <w:rPr>
          <w:rFonts w:ascii="Palatino Linotype" w:hAnsi="Palatino Linotype" w:cs="Arial"/>
          <w:i/>
          <w:sz w:val="24"/>
          <w:szCs w:val="24"/>
        </w:rPr>
        <w:t xml:space="preserve">circa </w:t>
      </w:r>
      <w:r w:rsidRPr="006E7CA1">
        <w:rPr>
          <w:rFonts w:ascii="Palatino Linotype" w:hAnsi="Palatino Linotype" w:cs="Arial"/>
          <w:sz w:val="24"/>
          <w:szCs w:val="24"/>
        </w:rPr>
        <w:t>450 BC</w:t>
      </w:r>
      <w:r w:rsidR="00991958" w:rsidRPr="006E7CA1">
        <w:rPr>
          <w:rStyle w:val="FootnoteReference"/>
          <w:rFonts w:ascii="Palatino Linotype" w:hAnsi="Palatino Linotype" w:cs="Arial"/>
          <w:sz w:val="24"/>
          <w:szCs w:val="24"/>
        </w:rPr>
        <w:footnoteReference w:id="1"/>
      </w:r>
    </w:p>
    <w:p w:rsidR="007A37C6" w:rsidRPr="006E7CA1" w:rsidRDefault="007A37C6"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t>1</w:t>
      </w:r>
      <w:r w:rsidR="006E7CA1" w:rsidRPr="006E7CA1">
        <w:rPr>
          <w:rFonts w:ascii="Palatino Linotype" w:hAnsi="Palatino Linotype" w:cs="Arial"/>
          <w:b/>
          <w:sz w:val="24"/>
          <w:szCs w:val="24"/>
        </w:rPr>
        <w:t>. INTRODUCTION</w:t>
      </w:r>
    </w:p>
    <w:p w:rsidR="007A37C6" w:rsidRPr="006E7CA1" w:rsidRDefault="007A37C6"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In concept and practice, clinical legal education is widely affirmed by </w:t>
      </w:r>
      <w:r w:rsidR="00187AD5" w:rsidRPr="006E7CA1">
        <w:rPr>
          <w:rFonts w:ascii="Palatino Linotype" w:hAnsi="Palatino Linotype" w:cs="Arial"/>
          <w:sz w:val="24"/>
          <w:szCs w:val="24"/>
        </w:rPr>
        <w:t xml:space="preserve">its global </w:t>
      </w:r>
      <w:r w:rsidRPr="006E7CA1">
        <w:rPr>
          <w:rFonts w:ascii="Palatino Linotype" w:hAnsi="Palatino Linotype" w:cs="Arial"/>
          <w:sz w:val="24"/>
          <w:szCs w:val="24"/>
        </w:rPr>
        <w:t>success</w:t>
      </w:r>
      <w:r w:rsidR="00187AD5" w:rsidRPr="006E7CA1">
        <w:rPr>
          <w:rFonts w:ascii="Palatino Linotype" w:hAnsi="Palatino Linotype" w:cs="Arial"/>
          <w:sz w:val="24"/>
          <w:szCs w:val="24"/>
        </w:rPr>
        <w:t>.</w:t>
      </w:r>
      <w:r w:rsidR="00A40818" w:rsidRPr="006E7CA1">
        <w:rPr>
          <w:rStyle w:val="FootnoteReference"/>
          <w:rFonts w:ascii="Palatino Linotype" w:hAnsi="Palatino Linotype" w:cs="Arial"/>
          <w:sz w:val="24"/>
          <w:szCs w:val="24"/>
        </w:rPr>
        <w:footnoteReference w:id="2"/>
      </w:r>
      <w:r w:rsidR="00A40818" w:rsidRPr="006E7CA1">
        <w:rPr>
          <w:rFonts w:ascii="Palatino Linotype" w:hAnsi="Palatino Linotype" w:cs="Arial"/>
          <w:sz w:val="24"/>
          <w:szCs w:val="24"/>
        </w:rPr>
        <w:t xml:space="preserve"> </w:t>
      </w:r>
      <w:r w:rsidR="008D46EB" w:rsidRPr="006E7CA1">
        <w:rPr>
          <w:rFonts w:ascii="Palatino Linotype" w:hAnsi="Palatino Linotype" w:cs="Arial"/>
          <w:sz w:val="24"/>
          <w:szCs w:val="24"/>
        </w:rPr>
        <w:t xml:space="preserve">As R.J. Wilson puts it, clinical legal education is an </w:t>
      </w:r>
      <w:r w:rsidR="00852AAC" w:rsidRPr="006E7CA1">
        <w:rPr>
          <w:rFonts w:ascii="Palatino Linotype" w:hAnsi="Palatino Linotype" w:cs="Arial"/>
          <w:sz w:val="24"/>
          <w:szCs w:val="24"/>
        </w:rPr>
        <w:t>“</w:t>
      </w:r>
      <w:r w:rsidR="008D46EB" w:rsidRPr="006E7CA1">
        <w:rPr>
          <w:rFonts w:ascii="Palatino Linotype" w:hAnsi="Palatino Linotype" w:cs="Arial"/>
          <w:sz w:val="24"/>
          <w:szCs w:val="24"/>
        </w:rPr>
        <w:t>…ongoing and growing revolution that is assaulting the deepest traditions of the legal academy.</w:t>
      </w:r>
      <w:r w:rsidR="00852AAC" w:rsidRPr="006E7CA1">
        <w:rPr>
          <w:rFonts w:ascii="Palatino Linotype" w:hAnsi="Palatino Linotype" w:cs="Arial"/>
          <w:sz w:val="24"/>
          <w:szCs w:val="24"/>
        </w:rPr>
        <w:t>”</w:t>
      </w:r>
      <w:r w:rsidR="008D46EB" w:rsidRPr="006E7CA1">
        <w:rPr>
          <w:rStyle w:val="FootnoteReference"/>
          <w:rFonts w:ascii="Palatino Linotype" w:hAnsi="Palatino Linotype" w:cs="Arial"/>
          <w:sz w:val="24"/>
          <w:szCs w:val="24"/>
        </w:rPr>
        <w:footnoteReference w:id="3"/>
      </w:r>
      <w:r w:rsidR="00852AAC" w:rsidRPr="006E7CA1">
        <w:rPr>
          <w:rFonts w:ascii="Palatino Linotype" w:hAnsi="Palatino Linotype" w:cs="Arial"/>
          <w:sz w:val="24"/>
          <w:szCs w:val="24"/>
        </w:rPr>
        <w:t xml:space="preserve"> It is also asserted by others that “the trend across the globe has shifted from traditional legal education to justice education which is inspired by justice </w:t>
      </w:r>
      <w:r w:rsidR="00852AAC" w:rsidRPr="006E7CA1">
        <w:rPr>
          <w:rFonts w:ascii="Palatino Linotype" w:hAnsi="Palatino Linotype" w:cs="Arial"/>
          <w:sz w:val="24"/>
          <w:szCs w:val="24"/>
        </w:rPr>
        <w:lastRenderedPageBreak/>
        <w:t>education campaigns.”</w:t>
      </w:r>
      <w:r w:rsidR="00852AAC" w:rsidRPr="006E7CA1">
        <w:rPr>
          <w:rStyle w:val="FootnoteReference"/>
          <w:rFonts w:ascii="Palatino Linotype" w:hAnsi="Palatino Linotype" w:cs="Arial"/>
          <w:sz w:val="24"/>
          <w:szCs w:val="24"/>
        </w:rPr>
        <w:footnoteReference w:id="4"/>
      </w:r>
      <w:r w:rsidR="008D46EB" w:rsidRPr="006E7CA1">
        <w:rPr>
          <w:rFonts w:ascii="Palatino Linotype" w:hAnsi="Palatino Linotype" w:cs="Arial"/>
          <w:sz w:val="24"/>
          <w:szCs w:val="24"/>
        </w:rPr>
        <w:t xml:space="preserve"> </w:t>
      </w:r>
      <w:r w:rsidR="00A40818" w:rsidRPr="006E7CA1">
        <w:rPr>
          <w:rFonts w:ascii="Palatino Linotype" w:hAnsi="Palatino Linotype" w:cs="Arial"/>
          <w:sz w:val="24"/>
          <w:szCs w:val="24"/>
        </w:rPr>
        <w:t>This success is howeve</w:t>
      </w:r>
      <w:r w:rsidR="008D46EB" w:rsidRPr="006E7CA1">
        <w:rPr>
          <w:rFonts w:ascii="Palatino Linotype" w:hAnsi="Palatino Linotype" w:cs="Arial"/>
          <w:sz w:val="24"/>
          <w:szCs w:val="24"/>
        </w:rPr>
        <w:t>r marked</w:t>
      </w:r>
      <w:r w:rsidRPr="006E7CA1">
        <w:rPr>
          <w:rFonts w:ascii="Palatino Linotype" w:hAnsi="Palatino Linotype" w:cs="Arial"/>
          <w:sz w:val="24"/>
          <w:szCs w:val="24"/>
        </w:rPr>
        <w:t xml:space="preserve"> by the absence of a coheren</w:t>
      </w:r>
      <w:r w:rsidR="00A40818" w:rsidRPr="006E7CA1">
        <w:rPr>
          <w:rFonts w:ascii="Palatino Linotype" w:hAnsi="Palatino Linotype" w:cs="Arial"/>
          <w:sz w:val="24"/>
          <w:szCs w:val="24"/>
        </w:rPr>
        <w:t>t and articulate jurisprudence that unifies the essence of clinical legal education. This may be largely due to the sheer diversity of forms, conceptualisations and justifications of what has become a movement in recent decades. This globalised movement presents as a complexity of diverse thinking and practice.</w:t>
      </w:r>
      <w:r w:rsidR="008D46EB" w:rsidRPr="006E7CA1">
        <w:rPr>
          <w:rStyle w:val="FootnoteReference"/>
          <w:rFonts w:ascii="Palatino Linotype" w:hAnsi="Palatino Linotype" w:cs="Arial"/>
          <w:sz w:val="24"/>
          <w:szCs w:val="24"/>
        </w:rPr>
        <w:footnoteReference w:id="5"/>
      </w:r>
      <w:r w:rsidR="00A40818" w:rsidRPr="006E7CA1">
        <w:rPr>
          <w:rFonts w:ascii="Palatino Linotype" w:hAnsi="Palatino Linotype" w:cs="Arial"/>
          <w:sz w:val="24"/>
          <w:szCs w:val="24"/>
        </w:rPr>
        <w:t xml:space="preserve"> Nevertheless, </w:t>
      </w:r>
      <w:r w:rsidR="00151839" w:rsidRPr="006E7CA1">
        <w:rPr>
          <w:rFonts w:ascii="Palatino Linotype" w:hAnsi="Palatino Linotype" w:cs="Arial"/>
          <w:sz w:val="24"/>
          <w:szCs w:val="24"/>
        </w:rPr>
        <w:t>upon careful examination, it becomes evident that there are many unifying strands of thinking underpin</w:t>
      </w:r>
      <w:r w:rsidR="00222C83" w:rsidRPr="006E7CA1">
        <w:rPr>
          <w:rFonts w:ascii="Palatino Linotype" w:hAnsi="Palatino Linotype" w:cs="Arial"/>
          <w:sz w:val="24"/>
          <w:szCs w:val="24"/>
        </w:rPr>
        <w:t>ning</w:t>
      </w:r>
      <w:r w:rsidR="00151839" w:rsidRPr="006E7CA1">
        <w:rPr>
          <w:rFonts w:ascii="Palatino Linotype" w:hAnsi="Palatino Linotype" w:cs="Arial"/>
          <w:sz w:val="24"/>
          <w:szCs w:val="24"/>
        </w:rPr>
        <w:t xml:space="preserve"> clinical legal education</w:t>
      </w:r>
      <w:r w:rsidR="003C4D46" w:rsidRPr="006E7CA1">
        <w:rPr>
          <w:rFonts w:ascii="Palatino Linotype" w:hAnsi="Palatino Linotype" w:cs="Arial"/>
          <w:sz w:val="24"/>
          <w:szCs w:val="24"/>
        </w:rPr>
        <w:t xml:space="preserve"> that make it possible to theorise clinical legal education whether as pedagogy or legal philosophy.</w:t>
      </w:r>
      <w:r w:rsidR="00151839" w:rsidRPr="006E7CA1">
        <w:rPr>
          <w:rFonts w:ascii="Palatino Linotype" w:hAnsi="Palatino Linotype" w:cs="Arial"/>
          <w:sz w:val="24"/>
          <w:szCs w:val="24"/>
        </w:rPr>
        <w:t xml:space="preserve"> The ambition of this </w:t>
      </w:r>
      <w:r w:rsidR="004A4763" w:rsidRPr="006E7CA1">
        <w:rPr>
          <w:rFonts w:ascii="Palatino Linotype" w:hAnsi="Palatino Linotype" w:cs="Arial"/>
          <w:sz w:val="24"/>
          <w:szCs w:val="24"/>
        </w:rPr>
        <w:t>article</w:t>
      </w:r>
      <w:r w:rsidR="00151839" w:rsidRPr="006E7CA1">
        <w:rPr>
          <w:rFonts w:ascii="Palatino Linotype" w:hAnsi="Palatino Linotype" w:cs="Arial"/>
          <w:sz w:val="24"/>
          <w:szCs w:val="24"/>
        </w:rPr>
        <w:t xml:space="preserve"> </w:t>
      </w:r>
      <w:r w:rsidR="00E955DC" w:rsidRPr="006E7CA1">
        <w:rPr>
          <w:rFonts w:ascii="Palatino Linotype" w:hAnsi="Palatino Linotype" w:cs="Arial"/>
          <w:sz w:val="24"/>
          <w:szCs w:val="24"/>
        </w:rPr>
        <w:t xml:space="preserve">therefore </w:t>
      </w:r>
      <w:r w:rsidR="00151839" w:rsidRPr="006E7CA1">
        <w:rPr>
          <w:rFonts w:ascii="Palatino Linotype" w:hAnsi="Palatino Linotype" w:cs="Arial"/>
          <w:sz w:val="24"/>
          <w:szCs w:val="24"/>
        </w:rPr>
        <w:t>is to seek to give jurisprudential expression to clinical legal education</w:t>
      </w:r>
      <w:r w:rsidR="00852AAC" w:rsidRPr="006E7CA1">
        <w:rPr>
          <w:rFonts w:ascii="Palatino Linotype" w:hAnsi="Palatino Linotype" w:cs="Arial"/>
          <w:sz w:val="24"/>
          <w:szCs w:val="24"/>
        </w:rPr>
        <w:t xml:space="preserve"> a</w:t>
      </w:r>
      <w:r w:rsidR="00151839" w:rsidRPr="006E7CA1">
        <w:rPr>
          <w:rFonts w:ascii="Palatino Linotype" w:hAnsi="Palatino Linotype" w:cs="Arial"/>
          <w:sz w:val="24"/>
          <w:szCs w:val="24"/>
        </w:rPr>
        <w:t>s an articulate but integral category of legal philosophy.</w:t>
      </w:r>
      <w:r w:rsidR="00A40818" w:rsidRPr="006E7CA1">
        <w:rPr>
          <w:rFonts w:ascii="Palatino Linotype" w:hAnsi="Palatino Linotype" w:cs="Arial"/>
          <w:sz w:val="24"/>
          <w:szCs w:val="24"/>
        </w:rPr>
        <w:t xml:space="preserve"> </w:t>
      </w:r>
      <w:r w:rsidR="00151839" w:rsidRPr="006E7CA1">
        <w:rPr>
          <w:rFonts w:ascii="Palatino Linotype" w:hAnsi="Palatino Linotype" w:cs="Arial"/>
          <w:sz w:val="24"/>
          <w:szCs w:val="24"/>
        </w:rPr>
        <w:t>The author will draw on a unique clinical project based in the London Borough of Ealing that has successfully partnered the local law school and the principal human rights and equalities body in the borough to create the Community Advice Programme (CAP) as a substantial expression of the essence of clinical legal education</w:t>
      </w:r>
      <w:r w:rsidR="008A1913" w:rsidRPr="006E7CA1">
        <w:rPr>
          <w:rFonts w:ascii="Palatino Linotype" w:hAnsi="Palatino Linotype" w:cs="Arial"/>
          <w:sz w:val="24"/>
          <w:szCs w:val="24"/>
        </w:rPr>
        <w:t xml:space="preserve"> in a modern globalised world.</w:t>
      </w:r>
      <w:r w:rsidR="00151839" w:rsidRPr="006E7CA1">
        <w:rPr>
          <w:rFonts w:ascii="Palatino Linotype" w:hAnsi="Palatino Linotype" w:cs="Arial"/>
          <w:sz w:val="24"/>
          <w:szCs w:val="24"/>
        </w:rPr>
        <w:t xml:space="preserve"> </w:t>
      </w:r>
      <w:r w:rsidR="003C4D46" w:rsidRPr="006E7CA1">
        <w:rPr>
          <w:rFonts w:ascii="Palatino Linotype" w:hAnsi="Palatino Linotype" w:cs="Arial"/>
          <w:sz w:val="24"/>
          <w:szCs w:val="24"/>
        </w:rPr>
        <w:t xml:space="preserve">The </w:t>
      </w:r>
      <w:r w:rsidR="00933E2F" w:rsidRPr="006E7CA1">
        <w:rPr>
          <w:rFonts w:ascii="Palatino Linotype" w:hAnsi="Palatino Linotype" w:cs="Arial"/>
          <w:sz w:val="24"/>
          <w:szCs w:val="24"/>
        </w:rPr>
        <w:t>essay</w:t>
      </w:r>
      <w:r w:rsidR="003C4D46" w:rsidRPr="006E7CA1">
        <w:rPr>
          <w:rFonts w:ascii="Palatino Linotype" w:hAnsi="Palatino Linotype" w:cs="Arial"/>
          <w:sz w:val="24"/>
          <w:szCs w:val="24"/>
        </w:rPr>
        <w:t xml:space="preserve"> will firstly offer a brief contemporary contextual framework</w:t>
      </w:r>
      <w:r w:rsidR="008E3D95" w:rsidRPr="006E7CA1">
        <w:rPr>
          <w:rFonts w:ascii="Palatino Linotype" w:hAnsi="Palatino Linotype" w:cs="Arial"/>
          <w:sz w:val="24"/>
          <w:szCs w:val="24"/>
        </w:rPr>
        <w:t xml:space="preserve"> of analysis</w:t>
      </w:r>
      <w:r w:rsidR="003C4D46" w:rsidRPr="006E7CA1">
        <w:rPr>
          <w:rFonts w:ascii="Palatino Linotype" w:hAnsi="Palatino Linotype" w:cs="Arial"/>
          <w:sz w:val="24"/>
          <w:szCs w:val="24"/>
        </w:rPr>
        <w:t xml:space="preserve"> </w:t>
      </w:r>
      <w:r w:rsidR="00F27574" w:rsidRPr="006E7CA1">
        <w:rPr>
          <w:rFonts w:ascii="Palatino Linotype" w:hAnsi="Palatino Linotype" w:cs="Arial"/>
          <w:sz w:val="24"/>
          <w:szCs w:val="24"/>
        </w:rPr>
        <w:t>which</w:t>
      </w:r>
      <w:r w:rsidR="008A1913" w:rsidRPr="006E7CA1">
        <w:rPr>
          <w:rFonts w:ascii="Palatino Linotype" w:hAnsi="Palatino Linotype" w:cs="Arial"/>
          <w:sz w:val="24"/>
          <w:szCs w:val="24"/>
        </w:rPr>
        <w:t xml:space="preserve"> reveals a</w:t>
      </w:r>
      <w:r w:rsidR="00852AAC" w:rsidRPr="006E7CA1">
        <w:rPr>
          <w:rFonts w:ascii="Palatino Linotype" w:hAnsi="Palatino Linotype" w:cs="Arial"/>
          <w:sz w:val="24"/>
          <w:szCs w:val="24"/>
        </w:rPr>
        <w:t xml:space="preserve"> significant</w:t>
      </w:r>
      <w:r w:rsidR="008A1913" w:rsidRPr="006E7CA1">
        <w:rPr>
          <w:rFonts w:ascii="Palatino Linotype" w:hAnsi="Palatino Linotype" w:cs="Arial"/>
          <w:sz w:val="24"/>
          <w:szCs w:val="24"/>
        </w:rPr>
        <w:t xml:space="preserve"> level of intersectionality in many parts of the world between clinical legal education and practice and other social, economic, political and cultural </w:t>
      </w:r>
      <w:r w:rsidR="008A1913" w:rsidRPr="006E7CA1">
        <w:rPr>
          <w:rFonts w:ascii="Palatino Linotype" w:hAnsi="Palatino Linotype" w:cs="Arial"/>
          <w:sz w:val="24"/>
          <w:szCs w:val="24"/>
        </w:rPr>
        <w:lastRenderedPageBreak/>
        <w:t>developments that challenge traditional models of clinical legal education.</w:t>
      </w:r>
      <w:r w:rsidR="008A1913" w:rsidRPr="006E7CA1">
        <w:rPr>
          <w:rStyle w:val="FootnoteReference"/>
          <w:rFonts w:ascii="Palatino Linotype" w:hAnsi="Palatino Linotype" w:cs="Arial"/>
          <w:sz w:val="24"/>
          <w:szCs w:val="24"/>
        </w:rPr>
        <w:footnoteReference w:id="6"/>
      </w:r>
      <w:r w:rsidR="008A1913" w:rsidRPr="006E7CA1">
        <w:rPr>
          <w:rFonts w:ascii="Palatino Linotype" w:hAnsi="Palatino Linotype" w:cs="Arial"/>
          <w:sz w:val="24"/>
          <w:szCs w:val="24"/>
        </w:rPr>
        <w:t xml:space="preserve"> The article will then</w:t>
      </w:r>
      <w:r w:rsidR="003C4D46" w:rsidRPr="006E7CA1">
        <w:rPr>
          <w:rFonts w:ascii="Palatino Linotype" w:hAnsi="Palatino Linotype" w:cs="Arial"/>
          <w:sz w:val="24"/>
          <w:szCs w:val="24"/>
        </w:rPr>
        <w:t xml:space="preserve"> examine clinical legal education in theory and practice and conclude with </w:t>
      </w:r>
      <w:r w:rsidR="008A1913" w:rsidRPr="006E7CA1">
        <w:rPr>
          <w:rFonts w:ascii="Palatino Linotype" w:hAnsi="Palatino Linotype" w:cs="Arial"/>
          <w:sz w:val="24"/>
          <w:szCs w:val="24"/>
        </w:rPr>
        <w:t>reflections on an</w:t>
      </w:r>
      <w:r w:rsidR="003C4D46" w:rsidRPr="006E7CA1">
        <w:rPr>
          <w:rFonts w:ascii="Palatino Linotype" w:hAnsi="Palatino Linotype" w:cs="Arial"/>
          <w:sz w:val="24"/>
          <w:szCs w:val="24"/>
        </w:rPr>
        <w:t xml:space="preserve"> evolving </w:t>
      </w:r>
      <w:r w:rsidR="008A1913" w:rsidRPr="006E7CA1">
        <w:rPr>
          <w:rFonts w:ascii="Palatino Linotype" w:hAnsi="Palatino Linotype" w:cs="Arial"/>
          <w:sz w:val="24"/>
          <w:szCs w:val="24"/>
        </w:rPr>
        <w:t xml:space="preserve">clinical </w:t>
      </w:r>
      <w:r w:rsidR="003C4D46" w:rsidRPr="006E7CA1">
        <w:rPr>
          <w:rFonts w:ascii="Palatino Linotype" w:hAnsi="Palatino Linotype" w:cs="Arial"/>
          <w:sz w:val="24"/>
          <w:szCs w:val="24"/>
        </w:rPr>
        <w:t>jurisprudence.</w:t>
      </w:r>
      <w:r w:rsidR="00A40818" w:rsidRPr="006E7CA1">
        <w:rPr>
          <w:rFonts w:ascii="Palatino Linotype" w:hAnsi="Palatino Linotype" w:cs="Arial"/>
          <w:sz w:val="24"/>
          <w:szCs w:val="24"/>
        </w:rPr>
        <w:t xml:space="preserve"> </w:t>
      </w:r>
      <w:r w:rsidR="000F106F" w:rsidRPr="006E7CA1">
        <w:rPr>
          <w:rFonts w:ascii="Palatino Linotype" w:hAnsi="Palatino Linotype" w:cs="Arial"/>
          <w:sz w:val="24"/>
          <w:szCs w:val="24"/>
        </w:rPr>
        <w:t xml:space="preserve">In undertaking this task, </w:t>
      </w:r>
      <w:r w:rsidR="00F27574" w:rsidRPr="006E7CA1">
        <w:rPr>
          <w:rFonts w:ascii="Palatino Linotype" w:hAnsi="Palatino Linotype" w:cs="Arial"/>
          <w:sz w:val="24"/>
          <w:szCs w:val="24"/>
        </w:rPr>
        <w:t xml:space="preserve">it is important to acknowledge at the outset the particularity of clinical experience as conditioned by the realities of its environment and the objective character of the society even within certain shared global realities. Thus, the global reader is encouraged to accommodate diverse experience of clinical practice in the developing world for example, where poverty and conflict are the necessary backdrop </w:t>
      </w:r>
      <w:r w:rsidR="00852AAC" w:rsidRPr="006E7CA1">
        <w:rPr>
          <w:rFonts w:ascii="Palatino Linotype" w:hAnsi="Palatino Linotype" w:cs="Arial"/>
          <w:sz w:val="24"/>
          <w:szCs w:val="24"/>
        </w:rPr>
        <w:t>for</w:t>
      </w:r>
      <w:r w:rsidR="00F27574" w:rsidRPr="006E7CA1">
        <w:rPr>
          <w:rFonts w:ascii="Palatino Linotype" w:hAnsi="Palatino Linotype" w:cs="Arial"/>
          <w:sz w:val="24"/>
          <w:szCs w:val="24"/>
        </w:rPr>
        <w:t xml:space="preserve"> most clinicians and where clinical legal education is unlikely to be about simply </w:t>
      </w:r>
      <w:r w:rsidR="00852AAC" w:rsidRPr="006E7CA1">
        <w:rPr>
          <w:rFonts w:ascii="Palatino Linotype" w:hAnsi="Palatino Linotype" w:cs="Arial"/>
          <w:sz w:val="24"/>
          <w:szCs w:val="24"/>
        </w:rPr>
        <w:t xml:space="preserve">improving legal skills training. Thus, </w:t>
      </w:r>
      <w:r w:rsidR="00F27574" w:rsidRPr="006E7CA1">
        <w:rPr>
          <w:rFonts w:ascii="Palatino Linotype" w:hAnsi="Palatino Linotype" w:cs="Arial"/>
          <w:sz w:val="24"/>
          <w:szCs w:val="24"/>
        </w:rPr>
        <w:t>an inner city experience in West London,</w:t>
      </w:r>
      <w:r w:rsidR="00852AAC" w:rsidRPr="006E7CA1">
        <w:rPr>
          <w:rFonts w:ascii="Palatino Linotype" w:hAnsi="Palatino Linotype" w:cs="Arial"/>
          <w:sz w:val="24"/>
          <w:szCs w:val="24"/>
        </w:rPr>
        <w:t xml:space="preserve"> for example, </w:t>
      </w:r>
      <w:r w:rsidR="00F27574" w:rsidRPr="006E7CA1">
        <w:rPr>
          <w:rFonts w:ascii="Palatino Linotype" w:hAnsi="Palatino Linotype" w:cs="Arial"/>
          <w:sz w:val="24"/>
          <w:szCs w:val="24"/>
        </w:rPr>
        <w:t>defined as it is by the comingling of migration and refuge</w:t>
      </w:r>
      <w:r w:rsidR="00852AAC" w:rsidRPr="006E7CA1">
        <w:rPr>
          <w:rFonts w:ascii="Palatino Linotype" w:hAnsi="Palatino Linotype" w:cs="Arial"/>
          <w:sz w:val="24"/>
          <w:szCs w:val="24"/>
        </w:rPr>
        <w:t>e issues, poverty and affluence and</w:t>
      </w:r>
      <w:r w:rsidR="00F27574" w:rsidRPr="006E7CA1">
        <w:rPr>
          <w:rFonts w:ascii="Palatino Linotype" w:hAnsi="Palatino Linotype" w:cs="Arial"/>
          <w:sz w:val="24"/>
          <w:szCs w:val="24"/>
        </w:rPr>
        <w:t xml:space="preserve"> significant established </w:t>
      </w:r>
      <w:r w:rsidR="00852AAC" w:rsidRPr="006E7CA1">
        <w:rPr>
          <w:rFonts w:ascii="Palatino Linotype" w:hAnsi="Palatino Linotype" w:cs="Arial"/>
          <w:sz w:val="24"/>
          <w:szCs w:val="24"/>
        </w:rPr>
        <w:t>minority</w:t>
      </w:r>
      <w:r w:rsidR="00F27574" w:rsidRPr="006E7CA1">
        <w:rPr>
          <w:rFonts w:ascii="Palatino Linotype" w:hAnsi="Palatino Linotype" w:cs="Arial"/>
          <w:sz w:val="24"/>
          <w:szCs w:val="24"/>
        </w:rPr>
        <w:t xml:space="preserve"> communities</w:t>
      </w:r>
      <w:r w:rsidR="00852AAC" w:rsidRPr="006E7CA1">
        <w:rPr>
          <w:rFonts w:ascii="Palatino Linotype" w:hAnsi="Palatino Linotype" w:cs="Arial"/>
          <w:sz w:val="24"/>
          <w:szCs w:val="24"/>
        </w:rPr>
        <w:t xml:space="preserve">, is confronted by </w:t>
      </w:r>
      <w:r w:rsidR="00F27574" w:rsidRPr="006E7CA1">
        <w:rPr>
          <w:rFonts w:ascii="Palatino Linotype" w:hAnsi="Palatino Linotype" w:cs="Arial"/>
          <w:sz w:val="24"/>
          <w:szCs w:val="24"/>
        </w:rPr>
        <w:t>issues relating to community cohesion and integration, extremist ideology and violence, hate and honour crimes, etc.</w:t>
      </w:r>
      <w:r w:rsidR="00852AAC" w:rsidRPr="006E7CA1">
        <w:rPr>
          <w:rFonts w:ascii="Palatino Linotype" w:hAnsi="Palatino Linotype" w:cs="Arial"/>
          <w:sz w:val="24"/>
          <w:szCs w:val="24"/>
        </w:rPr>
        <w:t>, that are not present elsewhere.</w:t>
      </w:r>
      <w:r w:rsidR="00F27574" w:rsidRPr="006E7CA1">
        <w:rPr>
          <w:rStyle w:val="FootnoteReference"/>
          <w:rFonts w:ascii="Palatino Linotype" w:hAnsi="Palatino Linotype" w:cs="Arial"/>
          <w:sz w:val="24"/>
          <w:szCs w:val="24"/>
        </w:rPr>
        <w:footnoteReference w:id="7"/>
      </w:r>
    </w:p>
    <w:p w:rsidR="007A37C6" w:rsidRPr="006E7CA1" w:rsidRDefault="007A37C6" w:rsidP="006E7CA1">
      <w:pPr>
        <w:pStyle w:val="NoSpacing"/>
        <w:spacing w:line="480" w:lineRule="auto"/>
        <w:jc w:val="both"/>
        <w:rPr>
          <w:rFonts w:ascii="Palatino Linotype" w:hAnsi="Palatino Linotype" w:cs="Arial"/>
          <w:sz w:val="24"/>
          <w:szCs w:val="24"/>
        </w:rPr>
      </w:pPr>
    </w:p>
    <w:p w:rsidR="00E955DC" w:rsidRPr="006E7CA1" w:rsidRDefault="006E7CA1"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t>2. THE CONTEXT</w:t>
      </w:r>
    </w:p>
    <w:p w:rsidR="004573AF" w:rsidRPr="006E7CA1" w:rsidRDefault="00FC1F62"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Contemporary global developments have had severe impacts on social cohesion in the modern diverse European state.</w:t>
      </w:r>
      <w:r w:rsidR="008D46EB" w:rsidRPr="006E7CA1">
        <w:rPr>
          <w:rStyle w:val="FootnoteReference"/>
          <w:rFonts w:ascii="Palatino Linotype" w:hAnsi="Palatino Linotype" w:cs="Arial"/>
          <w:sz w:val="24"/>
          <w:szCs w:val="24"/>
        </w:rPr>
        <w:footnoteReference w:id="8"/>
      </w:r>
      <w:r w:rsidRPr="006E7CA1">
        <w:rPr>
          <w:rFonts w:ascii="Palatino Linotype" w:hAnsi="Palatino Linotype" w:cs="Arial"/>
          <w:sz w:val="24"/>
          <w:szCs w:val="24"/>
        </w:rPr>
        <w:t xml:space="preserve"> Community cohesion</w:t>
      </w:r>
      <w:r w:rsidR="00F65629" w:rsidRPr="006E7CA1">
        <w:rPr>
          <w:rFonts w:ascii="Palatino Linotype" w:hAnsi="Palatino Linotype" w:cs="Arial"/>
          <w:sz w:val="24"/>
          <w:szCs w:val="24"/>
        </w:rPr>
        <w:t xml:space="preserve"> </w:t>
      </w:r>
      <w:r w:rsidR="00585C0E" w:rsidRPr="006E7CA1">
        <w:rPr>
          <w:rFonts w:ascii="Palatino Linotype" w:hAnsi="Palatino Linotype" w:cs="Arial"/>
          <w:sz w:val="24"/>
          <w:szCs w:val="24"/>
        </w:rPr>
        <w:t>and integration have</w:t>
      </w:r>
      <w:r w:rsidR="00F65629" w:rsidRPr="006E7CA1">
        <w:rPr>
          <w:rFonts w:ascii="Palatino Linotype" w:hAnsi="Palatino Linotype" w:cs="Arial"/>
          <w:sz w:val="24"/>
          <w:szCs w:val="24"/>
        </w:rPr>
        <w:t xml:space="preserve"> </w:t>
      </w:r>
      <w:r w:rsidR="00F65629" w:rsidRPr="006E7CA1">
        <w:rPr>
          <w:rFonts w:ascii="Palatino Linotype" w:hAnsi="Palatino Linotype" w:cs="Arial"/>
          <w:sz w:val="24"/>
          <w:szCs w:val="24"/>
        </w:rPr>
        <w:lastRenderedPageBreak/>
        <w:t>been strained by extremist</w:t>
      </w:r>
      <w:r w:rsidRPr="006E7CA1">
        <w:rPr>
          <w:rFonts w:ascii="Palatino Linotype" w:hAnsi="Palatino Linotype" w:cs="Arial"/>
          <w:sz w:val="24"/>
          <w:szCs w:val="24"/>
        </w:rPr>
        <w:t xml:space="preserve"> violence, ideology and reactions to these</w:t>
      </w:r>
      <w:r w:rsidR="00F65629" w:rsidRPr="006E7CA1">
        <w:rPr>
          <w:rFonts w:ascii="Palatino Linotype" w:hAnsi="Palatino Linotype" w:cs="Arial"/>
          <w:sz w:val="24"/>
          <w:szCs w:val="24"/>
        </w:rPr>
        <w:t>.</w:t>
      </w:r>
      <w:r w:rsidR="00F27574" w:rsidRPr="006E7CA1">
        <w:rPr>
          <w:rStyle w:val="FootnoteReference"/>
          <w:rFonts w:ascii="Palatino Linotype" w:hAnsi="Palatino Linotype" w:cs="Arial"/>
          <w:sz w:val="24"/>
          <w:szCs w:val="24"/>
        </w:rPr>
        <w:footnoteReference w:id="9"/>
      </w:r>
      <w:r w:rsidR="00F65629" w:rsidRPr="006E7CA1">
        <w:rPr>
          <w:rFonts w:ascii="Palatino Linotype" w:hAnsi="Palatino Linotype" w:cs="Arial"/>
          <w:sz w:val="24"/>
          <w:szCs w:val="24"/>
        </w:rPr>
        <w:t xml:space="preserve"> </w:t>
      </w:r>
      <w:r w:rsidR="000C7645" w:rsidRPr="006E7CA1">
        <w:rPr>
          <w:rFonts w:ascii="Palatino Linotype" w:hAnsi="Palatino Linotype" w:cs="Arial"/>
          <w:sz w:val="24"/>
          <w:szCs w:val="24"/>
        </w:rPr>
        <w:t>P</w:t>
      </w:r>
      <w:r w:rsidR="00F65629" w:rsidRPr="006E7CA1">
        <w:rPr>
          <w:rFonts w:ascii="Palatino Linotype" w:hAnsi="Palatino Linotype" w:cs="Arial"/>
          <w:sz w:val="24"/>
          <w:szCs w:val="24"/>
        </w:rPr>
        <w:t>rofound social, economic and political consequences</w:t>
      </w:r>
      <w:r w:rsidR="000C7645" w:rsidRPr="006E7CA1">
        <w:rPr>
          <w:rFonts w:ascii="Palatino Linotype" w:hAnsi="Palatino Linotype" w:cs="Arial"/>
          <w:sz w:val="24"/>
          <w:szCs w:val="24"/>
        </w:rPr>
        <w:t xml:space="preserve"> have convulsed</w:t>
      </w:r>
      <w:r w:rsidR="00F65629" w:rsidRPr="006E7CA1">
        <w:rPr>
          <w:rFonts w:ascii="Palatino Linotype" w:hAnsi="Palatino Linotype" w:cs="Arial"/>
          <w:sz w:val="24"/>
          <w:szCs w:val="24"/>
        </w:rPr>
        <w:t xml:space="preserve"> much of Europe</w:t>
      </w:r>
      <w:r w:rsidR="000C7645" w:rsidRPr="006E7CA1">
        <w:rPr>
          <w:rFonts w:ascii="Palatino Linotype" w:hAnsi="Palatino Linotype" w:cs="Arial"/>
          <w:sz w:val="24"/>
          <w:szCs w:val="24"/>
        </w:rPr>
        <w:t xml:space="preserve"> in recent times</w:t>
      </w:r>
      <w:r w:rsidR="00F65629" w:rsidRPr="006E7CA1">
        <w:rPr>
          <w:rFonts w:ascii="Palatino Linotype" w:hAnsi="Palatino Linotype" w:cs="Arial"/>
          <w:sz w:val="24"/>
          <w:szCs w:val="24"/>
        </w:rPr>
        <w:t>, including the referendum decision on June 23</w:t>
      </w:r>
      <w:r w:rsidR="00F65629" w:rsidRPr="006E7CA1">
        <w:rPr>
          <w:rFonts w:ascii="Palatino Linotype" w:hAnsi="Palatino Linotype" w:cs="Arial"/>
          <w:sz w:val="24"/>
          <w:szCs w:val="24"/>
          <w:vertAlign w:val="superscript"/>
        </w:rPr>
        <w:t>rd</w:t>
      </w:r>
      <w:r w:rsidR="00F65629" w:rsidRPr="006E7CA1">
        <w:rPr>
          <w:rFonts w:ascii="Palatino Linotype" w:hAnsi="Palatino Linotype" w:cs="Arial"/>
          <w:sz w:val="24"/>
          <w:szCs w:val="24"/>
        </w:rPr>
        <w:t xml:space="preserve"> 2016 by the United Kingdom to leave the European Union</w:t>
      </w:r>
      <w:r w:rsidR="007A37C6" w:rsidRPr="006E7CA1">
        <w:rPr>
          <w:rFonts w:ascii="Palatino Linotype" w:hAnsi="Palatino Linotype" w:cs="Arial"/>
          <w:sz w:val="24"/>
          <w:szCs w:val="24"/>
        </w:rPr>
        <w:t xml:space="preserve"> and the terrorist suicide bombing at a pop concert for mainly children and young people that killed 22 people on 22</w:t>
      </w:r>
      <w:r w:rsidR="007A37C6" w:rsidRPr="006E7CA1">
        <w:rPr>
          <w:rFonts w:ascii="Palatino Linotype" w:hAnsi="Palatino Linotype" w:cs="Arial"/>
          <w:sz w:val="24"/>
          <w:szCs w:val="24"/>
          <w:vertAlign w:val="superscript"/>
        </w:rPr>
        <w:t>nd</w:t>
      </w:r>
      <w:r w:rsidR="007A37C6" w:rsidRPr="006E7CA1">
        <w:rPr>
          <w:rFonts w:ascii="Palatino Linotype" w:hAnsi="Palatino Linotype" w:cs="Arial"/>
          <w:sz w:val="24"/>
          <w:szCs w:val="24"/>
        </w:rPr>
        <w:t xml:space="preserve"> May 2017</w:t>
      </w:r>
      <w:r w:rsidR="008E3D95" w:rsidRPr="006E7CA1">
        <w:rPr>
          <w:rFonts w:ascii="Palatino Linotype" w:hAnsi="Palatino Linotype" w:cs="Arial"/>
          <w:sz w:val="24"/>
          <w:szCs w:val="24"/>
        </w:rPr>
        <w:t xml:space="preserve"> in Manchester</w:t>
      </w:r>
      <w:r w:rsidR="003C4D46" w:rsidRPr="006E7CA1">
        <w:rPr>
          <w:rFonts w:ascii="Palatino Linotype" w:hAnsi="Palatino Linotype" w:cs="Arial"/>
          <w:sz w:val="24"/>
          <w:szCs w:val="24"/>
        </w:rPr>
        <w:t>, as well as other equally dastardly acts of extremist violence</w:t>
      </w:r>
      <w:r w:rsidR="004A4763" w:rsidRPr="006E7CA1">
        <w:rPr>
          <w:rFonts w:ascii="Palatino Linotype" w:hAnsi="Palatino Linotype" w:cs="Arial"/>
          <w:sz w:val="24"/>
          <w:szCs w:val="24"/>
        </w:rPr>
        <w:t xml:space="preserve"> across Europe</w:t>
      </w:r>
      <w:r w:rsidR="003C4D46" w:rsidRPr="006E7CA1">
        <w:rPr>
          <w:rFonts w:ascii="Palatino Linotype" w:hAnsi="Palatino Linotype" w:cs="Arial"/>
          <w:sz w:val="24"/>
          <w:szCs w:val="24"/>
        </w:rPr>
        <w:t>.</w:t>
      </w:r>
      <w:r w:rsidR="00052185" w:rsidRPr="006E7CA1">
        <w:rPr>
          <w:rStyle w:val="FootnoteReference"/>
          <w:rFonts w:ascii="Palatino Linotype" w:hAnsi="Palatino Linotype" w:cs="Arial"/>
          <w:sz w:val="24"/>
          <w:szCs w:val="24"/>
        </w:rPr>
        <w:footnoteReference w:id="10"/>
      </w:r>
      <w:r w:rsidR="007A37C6" w:rsidRPr="006E7CA1">
        <w:rPr>
          <w:rFonts w:ascii="Palatino Linotype" w:hAnsi="Palatino Linotype" w:cs="Arial"/>
          <w:sz w:val="24"/>
          <w:szCs w:val="24"/>
        </w:rPr>
        <w:t xml:space="preserve"> </w:t>
      </w:r>
      <w:r w:rsidR="00E955DC" w:rsidRPr="006E7CA1">
        <w:rPr>
          <w:rFonts w:ascii="Palatino Linotype" w:hAnsi="Palatino Linotype" w:cs="Arial"/>
          <w:sz w:val="24"/>
          <w:szCs w:val="24"/>
        </w:rPr>
        <w:t>These developments are themselves linked to the broader global turbulence and civil strife in parts of the Middle East, North Africa and Asia</w:t>
      </w:r>
      <w:r w:rsidR="00852AAC" w:rsidRPr="006E7CA1">
        <w:rPr>
          <w:rStyle w:val="FootnoteReference"/>
          <w:rFonts w:ascii="Palatino Linotype" w:hAnsi="Palatino Linotype" w:cs="Arial"/>
          <w:sz w:val="24"/>
          <w:szCs w:val="24"/>
        </w:rPr>
        <w:footnoteReference w:id="11"/>
      </w:r>
      <w:r w:rsidR="003C4D46" w:rsidRPr="006E7CA1">
        <w:rPr>
          <w:rFonts w:ascii="Palatino Linotype" w:hAnsi="Palatino Linotype" w:cs="Arial"/>
          <w:sz w:val="24"/>
          <w:szCs w:val="24"/>
        </w:rPr>
        <w:t xml:space="preserve">. In turn, </w:t>
      </w:r>
      <w:r w:rsidR="00E955DC" w:rsidRPr="006E7CA1">
        <w:rPr>
          <w:rFonts w:ascii="Palatino Linotype" w:hAnsi="Palatino Linotype" w:cs="Arial"/>
          <w:sz w:val="24"/>
          <w:szCs w:val="24"/>
        </w:rPr>
        <w:t>the</w:t>
      </w:r>
      <w:r w:rsidR="003C4D46" w:rsidRPr="006E7CA1">
        <w:rPr>
          <w:rFonts w:ascii="Palatino Linotype" w:hAnsi="Palatino Linotype" w:cs="Arial"/>
          <w:sz w:val="24"/>
          <w:szCs w:val="24"/>
        </w:rPr>
        <w:t>re has also been a blowback expressed by the</w:t>
      </w:r>
      <w:r w:rsidR="00E955DC" w:rsidRPr="006E7CA1">
        <w:rPr>
          <w:rFonts w:ascii="Palatino Linotype" w:hAnsi="Palatino Linotype" w:cs="Arial"/>
          <w:sz w:val="24"/>
          <w:szCs w:val="24"/>
        </w:rPr>
        <w:t xml:space="preserve"> general anti-migration</w:t>
      </w:r>
      <w:r w:rsidR="0049510E" w:rsidRPr="006E7CA1">
        <w:rPr>
          <w:rFonts w:ascii="Palatino Linotype" w:hAnsi="Palatino Linotype" w:cs="Arial"/>
          <w:sz w:val="24"/>
          <w:szCs w:val="24"/>
        </w:rPr>
        <w:t>/refugee</w:t>
      </w:r>
      <w:r w:rsidR="00E955DC" w:rsidRPr="006E7CA1">
        <w:rPr>
          <w:rFonts w:ascii="Palatino Linotype" w:hAnsi="Palatino Linotype" w:cs="Arial"/>
          <w:sz w:val="24"/>
          <w:szCs w:val="24"/>
        </w:rPr>
        <w:t xml:space="preserve"> sentiment</w:t>
      </w:r>
      <w:r w:rsidR="003C4D46" w:rsidRPr="006E7CA1">
        <w:rPr>
          <w:rFonts w:ascii="Palatino Linotype" w:hAnsi="Palatino Linotype" w:cs="Arial"/>
          <w:sz w:val="24"/>
          <w:szCs w:val="24"/>
        </w:rPr>
        <w:t xml:space="preserve"> across Europe and consequent political shift to the right</w:t>
      </w:r>
      <w:r w:rsidR="00E955DC" w:rsidRPr="006E7CA1">
        <w:rPr>
          <w:rFonts w:ascii="Palatino Linotype" w:hAnsi="Palatino Linotype" w:cs="Arial"/>
          <w:sz w:val="24"/>
          <w:szCs w:val="24"/>
        </w:rPr>
        <w:t>.</w:t>
      </w:r>
      <w:r w:rsidR="00F65629" w:rsidRPr="006E7CA1">
        <w:rPr>
          <w:rFonts w:ascii="Palatino Linotype" w:hAnsi="Palatino Linotype" w:cs="Arial"/>
          <w:sz w:val="24"/>
          <w:szCs w:val="24"/>
        </w:rPr>
        <w:t xml:space="preserve"> Clinical legal practice </w:t>
      </w:r>
      <w:r w:rsidR="00645C72" w:rsidRPr="006E7CA1">
        <w:rPr>
          <w:rFonts w:ascii="Palatino Linotype" w:hAnsi="Palatino Linotype" w:cs="Arial"/>
          <w:sz w:val="24"/>
          <w:szCs w:val="24"/>
        </w:rPr>
        <w:t xml:space="preserve">in many places </w:t>
      </w:r>
      <w:r w:rsidR="00F65629" w:rsidRPr="006E7CA1">
        <w:rPr>
          <w:rFonts w:ascii="Palatino Linotype" w:hAnsi="Palatino Linotype" w:cs="Arial"/>
          <w:sz w:val="24"/>
          <w:szCs w:val="24"/>
        </w:rPr>
        <w:t>finds itself, perhaps unexpectedly</w:t>
      </w:r>
      <w:r w:rsidR="00835E99" w:rsidRPr="006E7CA1">
        <w:rPr>
          <w:rFonts w:ascii="Palatino Linotype" w:hAnsi="Palatino Linotype" w:cs="Arial"/>
          <w:sz w:val="24"/>
          <w:szCs w:val="24"/>
        </w:rPr>
        <w:t xml:space="preserve">, at the heart of the legal and social consequences </w:t>
      </w:r>
      <w:r w:rsidR="00F65629" w:rsidRPr="006E7CA1">
        <w:rPr>
          <w:rFonts w:ascii="Palatino Linotype" w:hAnsi="Palatino Linotype" w:cs="Arial"/>
          <w:sz w:val="24"/>
          <w:szCs w:val="24"/>
        </w:rPr>
        <w:t>of</w:t>
      </w:r>
      <w:r w:rsidR="00B052EB" w:rsidRPr="006E7CA1">
        <w:rPr>
          <w:rFonts w:ascii="Palatino Linotype" w:hAnsi="Palatino Linotype" w:cs="Arial"/>
          <w:sz w:val="24"/>
          <w:szCs w:val="24"/>
        </w:rPr>
        <w:t xml:space="preserve"> these </w:t>
      </w:r>
      <w:r w:rsidR="008D46EB" w:rsidRPr="006E7CA1">
        <w:rPr>
          <w:rFonts w:ascii="Palatino Linotype" w:hAnsi="Palatino Linotype" w:cs="Arial"/>
          <w:sz w:val="24"/>
          <w:szCs w:val="24"/>
        </w:rPr>
        <w:t>d</w:t>
      </w:r>
      <w:r w:rsidR="00B052EB" w:rsidRPr="006E7CA1">
        <w:rPr>
          <w:rFonts w:ascii="Palatino Linotype" w:hAnsi="Palatino Linotype" w:cs="Arial"/>
          <w:sz w:val="24"/>
          <w:szCs w:val="24"/>
        </w:rPr>
        <w:t>evelopments</w:t>
      </w:r>
      <w:r w:rsidR="00161DC0" w:rsidRPr="006E7CA1">
        <w:rPr>
          <w:rFonts w:ascii="Palatino Linotype" w:hAnsi="Palatino Linotype" w:cs="Arial"/>
          <w:sz w:val="24"/>
          <w:szCs w:val="24"/>
        </w:rPr>
        <w:t xml:space="preserve"> in many European practices</w:t>
      </w:r>
      <w:r w:rsidR="00161DC0" w:rsidRPr="006E7CA1">
        <w:rPr>
          <w:rStyle w:val="FootnoteReference"/>
          <w:rFonts w:ascii="Palatino Linotype" w:hAnsi="Palatino Linotype" w:cs="Arial"/>
          <w:sz w:val="24"/>
          <w:szCs w:val="24"/>
        </w:rPr>
        <w:footnoteReference w:id="12"/>
      </w:r>
      <w:r w:rsidR="00645C72" w:rsidRPr="006E7CA1">
        <w:rPr>
          <w:rFonts w:ascii="Palatino Linotype" w:hAnsi="Palatino Linotype" w:cs="Arial"/>
          <w:sz w:val="24"/>
          <w:szCs w:val="24"/>
        </w:rPr>
        <w:t xml:space="preserve"> especially in areas such as immigration, its backlash and hate </w:t>
      </w:r>
      <w:r w:rsidR="00645C72" w:rsidRPr="006E7CA1">
        <w:rPr>
          <w:rFonts w:ascii="Palatino Linotype" w:hAnsi="Palatino Linotype" w:cs="Arial"/>
          <w:sz w:val="24"/>
          <w:szCs w:val="24"/>
        </w:rPr>
        <w:lastRenderedPageBreak/>
        <w:t>crime</w:t>
      </w:r>
      <w:r w:rsidR="00B052EB" w:rsidRPr="006E7CA1">
        <w:rPr>
          <w:rFonts w:ascii="Palatino Linotype" w:hAnsi="Palatino Linotype" w:cs="Arial"/>
          <w:sz w:val="24"/>
          <w:szCs w:val="24"/>
        </w:rPr>
        <w:t xml:space="preserve">, in addition to the </w:t>
      </w:r>
      <w:r w:rsidR="00AE5703" w:rsidRPr="006E7CA1">
        <w:rPr>
          <w:rFonts w:ascii="Palatino Linotype" w:hAnsi="Palatino Linotype" w:cs="Arial"/>
          <w:sz w:val="24"/>
          <w:szCs w:val="24"/>
        </w:rPr>
        <w:t xml:space="preserve">traditional </w:t>
      </w:r>
      <w:r w:rsidR="00B052EB" w:rsidRPr="006E7CA1">
        <w:rPr>
          <w:rFonts w:ascii="Palatino Linotype" w:hAnsi="Palatino Linotype" w:cs="Arial"/>
          <w:sz w:val="24"/>
          <w:szCs w:val="24"/>
        </w:rPr>
        <w:t>challenge of identifying unmet legal need and supporting rights and social provision for some of the most vulnerable individual</w:t>
      </w:r>
      <w:r w:rsidR="00E31CA4" w:rsidRPr="006E7CA1">
        <w:rPr>
          <w:rFonts w:ascii="Palatino Linotype" w:hAnsi="Palatino Linotype" w:cs="Arial"/>
          <w:sz w:val="24"/>
          <w:szCs w:val="24"/>
        </w:rPr>
        <w:t>s</w:t>
      </w:r>
      <w:r w:rsidR="00B052EB" w:rsidRPr="006E7CA1">
        <w:rPr>
          <w:rFonts w:ascii="Palatino Linotype" w:hAnsi="Palatino Linotype" w:cs="Arial"/>
          <w:sz w:val="24"/>
          <w:szCs w:val="24"/>
        </w:rPr>
        <w:t xml:space="preserve"> and</w:t>
      </w:r>
      <w:r w:rsidR="00852AAC" w:rsidRPr="006E7CA1">
        <w:rPr>
          <w:rFonts w:ascii="Palatino Linotype" w:hAnsi="Palatino Linotype" w:cs="Arial"/>
          <w:sz w:val="24"/>
          <w:szCs w:val="24"/>
        </w:rPr>
        <w:t xml:space="preserve"> marginalised </w:t>
      </w:r>
      <w:r w:rsidR="00B052EB" w:rsidRPr="006E7CA1">
        <w:rPr>
          <w:rFonts w:ascii="Palatino Linotype" w:hAnsi="Palatino Linotype" w:cs="Arial"/>
          <w:sz w:val="24"/>
          <w:szCs w:val="24"/>
        </w:rPr>
        <w:t>communities</w:t>
      </w:r>
      <w:r w:rsidR="00AE5703" w:rsidRPr="006E7CA1">
        <w:rPr>
          <w:rFonts w:ascii="Palatino Linotype" w:hAnsi="Palatino Linotype" w:cs="Arial"/>
          <w:sz w:val="24"/>
          <w:szCs w:val="24"/>
        </w:rPr>
        <w:t xml:space="preserve"> through student practice</w:t>
      </w:r>
      <w:r w:rsidR="00B052EB" w:rsidRPr="006E7CA1">
        <w:rPr>
          <w:rFonts w:ascii="Palatino Linotype" w:hAnsi="Palatino Linotype" w:cs="Arial"/>
          <w:sz w:val="24"/>
          <w:szCs w:val="24"/>
        </w:rPr>
        <w:t>.</w:t>
      </w:r>
      <w:r w:rsidR="00645C72" w:rsidRPr="006E7CA1">
        <w:rPr>
          <w:rStyle w:val="FootnoteReference"/>
          <w:rFonts w:ascii="Palatino Linotype" w:hAnsi="Palatino Linotype" w:cs="Arial"/>
          <w:sz w:val="24"/>
          <w:szCs w:val="24"/>
        </w:rPr>
        <w:footnoteReference w:id="13"/>
      </w:r>
      <w:r w:rsidR="000C7645" w:rsidRPr="006E7CA1">
        <w:rPr>
          <w:rFonts w:ascii="Palatino Linotype" w:hAnsi="Palatino Linotype" w:cs="Arial"/>
          <w:sz w:val="24"/>
          <w:szCs w:val="24"/>
        </w:rPr>
        <w:t xml:space="preserve"> In this role</w:t>
      </w:r>
      <w:r w:rsidR="00F867D0" w:rsidRPr="006E7CA1">
        <w:rPr>
          <w:rFonts w:ascii="Palatino Linotype" w:hAnsi="Palatino Linotype" w:cs="Arial"/>
          <w:sz w:val="24"/>
          <w:szCs w:val="24"/>
        </w:rPr>
        <w:t xml:space="preserve">, it is contended that </w:t>
      </w:r>
      <w:r w:rsidR="00AE5703" w:rsidRPr="006E7CA1">
        <w:rPr>
          <w:rFonts w:ascii="Palatino Linotype" w:hAnsi="Palatino Linotype" w:cs="Arial"/>
          <w:sz w:val="24"/>
          <w:szCs w:val="24"/>
        </w:rPr>
        <w:t>the law clinic</w:t>
      </w:r>
      <w:r w:rsidR="00F867D0" w:rsidRPr="006E7CA1">
        <w:rPr>
          <w:rFonts w:ascii="Palatino Linotype" w:hAnsi="Palatino Linotype" w:cs="Arial"/>
          <w:sz w:val="24"/>
          <w:szCs w:val="24"/>
        </w:rPr>
        <w:t xml:space="preserve"> has become</w:t>
      </w:r>
      <w:r w:rsidR="00BF3806" w:rsidRPr="006E7CA1">
        <w:rPr>
          <w:rFonts w:ascii="Palatino Linotype" w:hAnsi="Palatino Linotype" w:cs="Arial"/>
          <w:sz w:val="24"/>
          <w:szCs w:val="24"/>
        </w:rPr>
        <w:t xml:space="preserve">, objectively, </w:t>
      </w:r>
      <w:r w:rsidR="00F867D0" w:rsidRPr="006E7CA1">
        <w:rPr>
          <w:rFonts w:ascii="Palatino Linotype" w:hAnsi="Palatino Linotype" w:cs="Arial"/>
          <w:sz w:val="24"/>
          <w:szCs w:val="24"/>
        </w:rPr>
        <w:t xml:space="preserve">politicised and </w:t>
      </w:r>
      <w:r w:rsidR="000C7645" w:rsidRPr="006E7CA1">
        <w:rPr>
          <w:rFonts w:ascii="Palatino Linotype" w:hAnsi="Palatino Linotype" w:cs="Arial"/>
          <w:sz w:val="24"/>
          <w:szCs w:val="24"/>
        </w:rPr>
        <w:t xml:space="preserve">is </w:t>
      </w:r>
      <w:r w:rsidR="00AE5703" w:rsidRPr="006E7CA1">
        <w:rPr>
          <w:rFonts w:ascii="Palatino Linotype" w:hAnsi="Palatino Linotype" w:cs="Arial"/>
          <w:sz w:val="24"/>
          <w:szCs w:val="24"/>
        </w:rPr>
        <w:t>making a significant</w:t>
      </w:r>
      <w:r w:rsidR="007A37C6" w:rsidRPr="006E7CA1">
        <w:rPr>
          <w:rFonts w:ascii="Palatino Linotype" w:hAnsi="Palatino Linotype" w:cs="Arial"/>
          <w:sz w:val="24"/>
          <w:szCs w:val="24"/>
        </w:rPr>
        <w:t xml:space="preserve"> but </w:t>
      </w:r>
      <w:r w:rsidR="00933E2F" w:rsidRPr="006E7CA1">
        <w:rPr>
          <w:rFonts w:ascii="Palatino Linotype" w:hAnsi="Palatino Linotype" w:cs="Arial"/>
          <w:sz w:val="24"/>
          <w:szCs w:val="24"/>
        </w:rPr>
        <w:t xml:space="preserve">largely </w:t>
      </w:r>
      <w:r w:rsidR="007A37C6" w:rsidRPr="006E7CA1">
        <w:rPr>
          <w:rFonts w:ascii="Palatino Linotype" w:hAnsi="Palatino Linotype" w:cs="Arial"/>
          <w:sz w:val="24"/>
          <w:szCs w:val="24"/>
        </w:rPr>
        <w:t xml:space="preserve">unarticulated </w:t>
      </w:r>
      <w:r w:rsidR="000C7645" w:rsidRPr="006E7CA1">
        <w:rPr>
          <w:rFonts w:ascii="Palatino Linotype" w:hAnsi="Palatino Linotype" w:cs="Arial"/>
          <w:sz w:val="24"/>
          <w:szCs w:val="24"/>
        </w:rPr>
        <w:t>contribut</w:t>
      </w:r>
      <w:r w:rsidR="00835E99" w:rsidRPr="006E7CA1">
        <w:rPr>
          <w:rFonts w:ascii="Palatino Linotype" w:hAnsi="Palatino Linotype" w:cs="Arial"/>
          <w:sz w:val="24"/>
          <w:szCs w:val="24"/>
        </w:rPr>
        <w:t xml:space="preserve">ion </w:t>
      </w:r>
      <w:r w:rsidR="000C7645" w:rsidRPr="006E7CA1">
        <w:rPr>
          <w:rFonts w:ascii="Palatino Linotype" w:hAnsi="Palatino Linotype" w:cs="Arial"/>
          <w:sz w:val="24"/>
          <w:szCs w:val="24"/>
        </w:rPr>
        <w:t xml:space="preserve">to the evolving jurisprudence </w:t>
      </w:r>
      <w:r w:rsidR="00AE5703" w:rsidRPr="006E7CA1">
        <w:rPr>
          <w:rFonts w:ascii="Palatino Linotype" w:hAnsi="Palatino Linotype" w:cs="Arial"/>
          <w:sz w:val="24"/>
          <w:szCs w:val="24"/>
        </w:rPr>
        <w:t>of clinical legal education</w:t>
      </w:r>
      <w:r w:rsidR="003C4D46" w:rsidRPr="006E7CA1">
        <w:rPr>
          <w:rFonts w:ascii="Palatino Linotype" w:hAnsi="Palatino Linotype" w:cs="Arial"/>
          <w:sz w:val="24"/>
          <w:szCs w:val="24"/>
        </w:rPr>
        <w:t xml:space="preserve"> against the backdrop of the consequential effects on rights and citizenship of the troubles indicated above</w:t>
      </w:r>
      <w:r w:rsidR="00AE5703" w:rsidRPr="006E7CA1">
        <w:rPr>
          <w:rFonts w:ascii="Palatino Linotype" w:hAnsi="Palatino Linotype" w:cs="Arial"/>
          <w:sz w:val="24"/>
          <w:szCs w:val="24"/>
        </w:rPr>
        <w:t>.</w:t>
      </w:r>
      <w:r w:rsidR="003C4D46" w:rsidRPr="006E7CA1">
        <w:rPr>
          <w:rStyle w:val="FootnoteReference"/>
          <w:rFonts w:ascii="Palatino Linotype" w:hAnsi="Palatino Linotype" w:cs="Arial"/>
          <w:sz w:val="24"/>
          <w:szCs w:val="24"/>
        </w:rPr>
        <w:footnoteReference w:id="14"/>
      </w:r>
      <w:r w:rsidR="00AE5703" w:rsidRPr="006E7CA1">
        <w:rPr>
          <w:rFonts w:ascii="Palatino Linotype" w:hAnsi="Palatino Linotype" w:cs="Arial"/>
          <w:sz w:val="24"/>
          <w:szCs w:val="24"/>
        </w:rPr>
        <w:t xml:space="preserve"> This </w:t>
      </w:r>
      <w:r w:rsidR="00933E2F" w:rsidRPr="006E7CA1">
        <w:rPr>
          <w:rFonts w:ascii="Palatino Linotype" w:hAnsi="Palatino Linotype" w:cs="Arial"/>
          <w:sz w:val="24"/>
          <w:szCs w:val="24"/>
        </w:rPr>
        <w:t>essay</w:t>
      </w:r>
      <w:r w:rsidR="00AE5703" w:rsidRPr="006E7CA1">
        <w:rPr>
          <w:rFonts w:ascii="Palatino Linotype" w:hAnsi="Palatino Linotype" w:cs="Arial"/>
          <w:sz w:val="24"/>
          <w:szCs w:val="24"/>
        </w:rPr>
        <w:t xml:space="preserve"> seeks to explore the central role that clinical legal </w:t>
      </w:r>
      <w:r w:rsidR="00F867D0" w:rsidRPr="006E7CA1">
        <w:rPr>
          <w:rFonts w:ascii="Palatino Linotype" w:hAnsi="Palatino Linotype" w:cs="Arial"/>
          <w:sz w:val="24"/>
          <w:szCs w:val="24"/>
        </w:rPr>
        <w:t xml:space="preserve">education and </w:t>
      </w:r>
      <w:r w:rsidR="00AE5703" w:rsidRPr="006E7CA1">
        <w:rPr>
          <w:rFonts w:ascii="Palatino Linotype" w:hAnsi="Palatino Linotype" w:cs="Arial"/>
          <w:sz w:val="24"/>
          <w:szCs w:val="24"/>
        </w:rPr>
        <w:t>practice ha</w:t>
      </w:r>
      <w:r w:rsidR="00F867D0" w:rsidRPr="006E7CA1">
        <w:rPr>
          <w:rFonts w:ascii="Palatino Linotype" w:hAnsi="Palatino Linotype" w:cs="Arial"/>
          <w:sz w:val="24"/>
          <w:szCs w:val="24"/>
        </w:rPr>
        <w:t>ve</w:t>
      </w:r>
      <w:r w:rsidR="00AE5703" w:rsidRPr="006E7CA1">
        <w:rPr>
          <w:rFonts w:ascii="Palatino Linotype" w:hAnsi="Palatino Linotype" w:cs="Arial"/>
          <w:sz w:val="24"/>
          <w:szCs w:val="24"/>
        </w:rPr>
        <w:t xml:space="preserve"> assumed in</w:t>
      </w:r>
      <w:r w:rsidR="00E31CA4" w:rsidRPr="006E7CA1">
        <w:rPr>
          <w:rFonts w:ascii="Palatino Linotype" w:hAnsi="Palatino Linotype" w:cs="Arial"/>
          <w:sz w:val="24"/>
          <w:szCs w:val="24"/>
        </w:rPr>
        <w:t xml:space="preserve"> some communities</w:t>
      </w:r>
      <w:r w:rsidR="00AE5703" w:rsidRPr="006E7CA1">
        <w:rPr>
          <w:rFonts w:ascii="Palatino Linotype" w:hAnsi="Palatino Linotype" w:cs="Arial"/>
          <w:sz w:val="24"/>
          <w:szCs w:val="24"/>
        </w:rPr>
        <w:t xml:space="preserve"> </w:t>
      </w:r>
      <w:r w:rsidR="00E31CA4" w:rsidRPr="006E7CA1">
        <w:rPr>
          <w:rFonts w:ascii="Palatino Linotype" w:hAnsi="Palatino Linotype" w:cs="Arial"/>
          <w:sz w:val="24"/>
          <w:szCs w:val="24"/>
        </w:rPr>
        <w:t xml:space="preserve">in </w:t>
      </w:r>
      <w:r w:rsidR="00AE5703" w:rsidRPr="006E7CA1">
        <w:rPr>
          <w:rFonts w:ascii="Palatino Linotype" w:hAnsi="Palatino Linotype" w:cs="Arial"/>
          <w:sz w:val="24"/>
          <w:szCs w:val="24"/>
        </w:rPr>
        <w:t xml:space="preserve">dealing with community legal need in the context of </w:t>
      </w:r>
      <w:r w:rsidR="00835E99" w:rsidRPr="006E7CA1">
        <w:rPr>
          <w:rFonts w:ascii="Palatino Linotype" w:hAnsi="Palatino Linotype" w:cs="Arial"/>
          <w:sz w:val="24"/>
          <w:szCs w:val="24"/>
        </w:rPr>
        <w:t>the U</w:t>
      </w:r>
      <w:r w:rsidR="00AE5703" w:rsidRPr="006E7CA1">
        <w:rPr>
          <w:rFonts w:ascii="Palatino Linotype" w:hAnsi="Palatino Linotype" w:cs="Arial"/>
          <w:sz w:val="24"/>
          <w:szCs w:val="24"/>
        </w:rPr>
        <w:t>nited Kingdom</w:t>
      </w:r>
      <w:r w:rsidR="00E31CA4" w:rsidRPr="006E7CA1">
        <w:rPr>
          <w:rFonts w:ascii="Palatino Linotype" w:hAnsi="Palatino Linotype" w:cs="Arial"/>
          <w:sz w:val="24"/>
          <w:szCs w:val="24"/>
        </w:rPr>
        <w:t xml:space="preserve"> </w:t>
      </w:r>
      <w:r w:rsidR="005D41B9" w:rsidRPr="006E7CA1">
        <w:rPr>
          <w:rFonts w:ascii="Palatino Linotype" w:hAnsi="Palatino Linotype" w:cs="Arial"/>
          <w:sz w:val="24"/>
          <w:szCs w:val="24"/>
        </w:rPr>
        <w:t>government’s policy</w:t>
      </w:r>
      <w:r w:rsidR="00E31CA4" w:rsidRPr="006E7CA1">
        <w:rPr>
          <w:rFonts w:ascii="Palatino Linotype" w:hAnsi="Palatino Linotype" w:cs="Arial"/>
          <w:sz w:val="24"/>
          <w:szCs w:val="24"/>
        </w:rPr>
        <w:t xml:space="preserve"> of </w:t>
      </w:r>
      <w:r w:rsidR="0049510E" w:rsidRPr="006E7CA1">
        <w:rPr>
          <w:rFonts w:ascii="Palatino Linotype" w:hAnsi="Palatino Linotype" w:cs="Arial"/>
          <w:sz w:val="24"/>
          <w:szCs w:val="24"/>
        </w:rPr>
        <w:t xml:space="preserve">austerity that includes the drastic reduction in resources </w:t>
      </w:r>
      <w:r w:rsidR="00E31CA4" w:rsidRPr="006E7CA1">
        <w:rPr>
          <w:rFonts w:ascii="Palatino Linotype" w:hAnsi="Palatino Linotype" w:cs="Arial"/>
          <w:sz w:val="24"/>
          <w:szCs w:val="24"/>
        </w:rPr>
        <w:t>for</w:t>
      </w:r>
      <w:r w:rsidR="00AE5703" w:rsidRPr="006E7CA1">
        <w:rPr>
          <w:rFonts w:ascii="Palatino Linotype" w:hAnsi="Palatino Linotype" w:cs="Arial"/>
          <w:sz w:val="24"/>
          <w:szCs w:val="24"/>
        </w:rPr>
        <w:t xml:space="preserve"> the provision of legal services and access to justice</w:t>
      </w:r>
      <w:r w:rsidR="004A4763" w:rsidRPr="006E7CA1">
        <w:rPr>
          <w:rStyle w:val="FootnoteReference"/>
          <w:rFonts w:ascii="Palatino Linotype" w:hAnsi="Palatino Linotype" w:cs="Arial"/>
          <w:sz w:val="24"/>
          <w:szCs w:val="24"/>
        </w:rPr>
        <w:footnoteReference w:id="15"/>
      </w:r>
      <w:r w:rsidR="007A37C6" w:rsidRPr="006E7CA1">
        <w:rPr>
          <w:rFonts w:ascii="Palatino Linotype" w:hAnsi="Palatino Linotype" w:cs="Arial"/>
          <w:sz w:val="24"/>
          <w:szCs w:val="24"/>
        </w:rPr>
        <w:t>, in addition to their educational impacts</w:t>
      </w:r>
      <w:r w:rsidR="00AE5703" w:rsidRPr="006E7CA1">
        <w:rPr>
          <w:rFonts w:ascii="Palatino Linotype" w:hAnsi="Palatino Linotype" w:cs="Arial"/>
          <w:sz w:val="24"/>
          <w:szCs w:val="24"/>
        </w:rPr>
        <w:t>.</w:t>
      </w:r>
      <w:r w:rsidR="00BF3806" w:rsidRPr="006E7CA1">
        <w:rPr>
          <w:rFonts w:ascii="Palatino Linotype" w:hAnsi="Palatino Linotype" w:cs="Arial"/>
          <w:sz w:val="24"/>
          <w:szCs w:val="24"/>
        </w:rPr>
        <w:t xml:space="preserve"> Clinical legal education as a socio-educational response to extant reality cannot, by definition, be politically neutral as clinical programmes are designed and therefore purposeful beyond skills training. Thus, as </w:t>
      </w:r>
      <w:proofErr w:type="spellStart"/>
      <w:r w:rsidR="00BF3806" w:rsidRPr="006E7CA1">
        <w:rPr>
          <w:rFonts w:ascii="Palatino Linotype" w:hAnsi="Palatino Linotype" w:cs="Arial"/>
          <w:sz w:val="24"/>
          <w:szCs w:val="24"/>
        </w:rPr>
        <w:t>Brayne</w:t>
      </w:r>
      <w:proofErr w:type="spellEnd"/>
      <w:r w:rsidR="00BF3806" w:rsidRPr="006E7CA1">
        <w:rPr>
          <w:rFonts w:ascii="Palatino Linotype" w:hAnsi="Palatino Linotype" w:cs="Arial"/>
          <w:sz w:val="24"/>
          <w:szCs w:val="24"/>
        </w:rPr>
        <w:t xml:space="preserve"> </w:t>
      </w:r>
      <w:r w:rsidR="00BF3806" w:rsidRPr="006E7CA1">
        <w:rPr>
          <w:rFonts w:ascii="Palatino Linotype" w:hAnsi="Palatino Linotype" w:cs="Arial"/>
          <w:i/>
          <w:sz w:val="24"/>
          <w:szCs w:val="24"/>
        </w:rPr>
        <w:t xml:space="preserve">et al </w:t>
      </w:r>
      <w:r w:rsidR="00BF3806" w:rsidRPr="006E7CA1">
        <w:rPr>
          <w:rFonts w:ascii="Palatino Linotype" w:hAnsi="Palatino Linotype" w:cs="Arial"/>
          <w:sz w:val="24"/>
          <w:szCs w:val="24"/>
        </w:rPr>
        <w:t>point out in the American context, “the take-off point for the US clinical movement was the anti-poverty and civil rights campaigns of the early 1960s…(and observe of contemporary times that)…</w:t>
      </w:r>
      <w:r w:rsidR="00C11365" w:rsidRPr="006E7CA1">
        <w:rPr>
          <w:rFonts w:ascii="Palatino Linotype" w:hAnsi="Palatino Linotype" w:cs="Arial"/>
          <w:sz w:val="24"/>
          <w:szCs w:val="24"/>
        </w:rPr>
        <w:t>m</w:t>
      </w:r>
      <w:r w:rsidR="00BF3806" w:rsidRPr="006E7CA1">
        <w:rPr>
          <w:rFonts w:ascii="Palatino Linotype" w:hAnsi="Palatino Linotype" w:cs="Arial"/>
          <w:sz w:val="24"/>
          <w:szCs w:val="24"/>
        </w:rPr>
        <w:t xml:space="preserve">any US clinics have taken up a welfare brief serving the needs of the local minority groups and the indigent </w:t>
      </w:r>
      <w:r w:rsidR="00BF3806" w:rsidRPr="006E7CA1">
        <w:rPr>
          <w:rFonts w:ascii="Palatino Linotype" w:hAnsi="Palatino Linotype" w:cs="Arial"/>
          <w:sz w:val="24"/>
          <w:szCs w:val="24"/>
        </w:rPr>
        <w:lastRenderedPageBreak/>
        <w:t>population.”</w:t>
      </w:r>
      <w:r w:rsidR="00BF3806" w:rsidRPr="006E7CA1">
        <w:rPr>
          <w:rStyle w:val="FootnoteReference"/>
          <w:rFonts w:ascii="Palatino Linotype" w:hAnsi="Palatino Linotype" w:cs="Arial"/>
          <w:sz w:val="24"/>
          <w:szCs w:val="24"/>
        </w:rPr>
        <w:footnoteReference w:id="16"/>
      </w:r>
      <w:r w:rsidR="00852AAC" w:rsidRPr="006E7CA1">
        <w:rPr>
          <w:rFonts w:ascii="Palatino Linotype" w:hAnsi="Palatino Linotype" w:cs="Arial"/>
          <w:sz w:val="24"/>
          <w:szCs w:val="24"/>
        </w:rPr>
        <w:t xml:space="preserve"> Indeed, </w:t>
      </w:r>
      <w:r w:rsidR="00631C5B" w:rsidRPr="006E7CA1">
        <w:rPr>
          <w:rFonts w:ascii="Palatino Linotype" w:hAnsi="Palatino Linotype" w:cs="Arial"/>
          <w:sz w:val="24"/>
          <w:szCs w:val="24"/>
        </w:rPr>
        <w:t xml:space="preserve">according to Jon </w:t>
      </w:r>
      <w:proofErr w:type="spellStart"/>
      <w:r w:rsidR="00631C5B" w:rsidRPr="006E7CA1">
        <w:rPr>
          <w:rFonts w:ascii="Palatino Linotype" w:hAnsi="Palatino Linotype" w:cs="Arial"/>
          <w:sz w:val="24"/>
          <w:szCs w:val="24"/>
        </w:rPr>
        <w:t>Dubin</w:t>
      </w:r>
      <w:proofErr w:type="spellEnd"/>
      <w:r w:rsidR="00631C5B" w:rsidRPr="006E7CA1">
        <w:rPr>
          <w:rFonts w:ascii="Palatino Linotype" w:hAnsi="Palatino Linotype" w:cs="Arial"/>
          <w:sz w:val="24"/>
          <w:szCs w:val="24"/>
        </w:rPr>
        <w:t>, clinical legal education promotes the essentials of social justice primarily in three ways: 1. by promoting access to justice for the underprivileged through representing them in various forums; 2. by exposing law students to the responsibility for public service or pro bono work; and 3. by creating an understanding of the relationship between law and social justice among the law students.</w:t>
      </w:r>
      <w:r w:rsidR="00631C5B" w:rsidRPr="006E7CA1">
        <w:rPr>
          <w:rStyle w:val="FootnoteReference"/>
          <w:rFonts w:ascii="Palatino Linotype" w:hAnsi="Palatino Linotype" w:cs="Arial"/>
          <w:sz w:val="24"/>
          <w:szCs w:val="24"/>
        </w:rPr>
        <w:footnoteReference w:id="17"/>
      </w:r>
      <w:r w:rsidR="00631C5B" w:rsidRPr="006E7CA1">
        <w:rPr>
          <w:rFonts w:ascii="Palatino Linotype" w:hAnsi="Palatino Linotype" w:cs="Arial"/>
          <w:sz w:val="24"/>
          <w:szCs w:val="24"/>
        </w:rPr>
        <w:t xml:space="preserve"> “All three ways have some effect on the learning of a law student about social justice values because the unique experience that is gained cannot be properly explained by the student’s prior understanding of law and legal procedure.41 The student is required to properly follow up on a process that can help him to think critically beyond any beliefs, values and norms.”</w:t>
      </w:r>
      <w:r w:rsidR="00631C5B" w:rsidRPr="006E7CA1">
        <w:rPr>
          <w:rStyle w:val="FootnoteReference"/>
          <w:rFonts w:ascii="Palatino Linotype" w:hAnsi="Palatino Linotype" w:cs="Arial"/>
          <w:sz w:val="24"/>
          <w:szCs w:val="24"/>
        </w:rPr>
        <w:footnoteReference w:id="18"/>
      </w:r>
    </w:p>
    <w:p w:rsidR="003C4D46" w:rsidRPr="006E7CA1" w:rsidRDefault="007A37C6"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sz w:val="24"/>
          <w:szCs w:val="24"/>
        </w:rPr>
        <w:t xml:space="preserve">The </w:t>
      </w:r>
      <w:r w:rsidR="0005286C" w:rsidRPr="006E7CA1">
        <w:rPr>
          <w:rFonts w:ascii="Palatino Linotype" w:hAnsi="Palatino Linotype" w:cs="Arial"/>
          <w:sz w:val="24"/>
          <w:szCs w:val="24"/>
        </w:rPr>
        <w:t>article</w:t>
      </w:r>
      <w:r w:rsidRPr="006E7CA1">
        <w:rPr>
          <w:rFonts w:ascii="Palatino Linotype" w:hAnsi="Palatino Linotype" w:cs="Arial"/>
          <w:sz w:val="24"/>
          <w:szCs w:val="24"/>
        </w:rPr>
        <w:t xml:space="preserve"> exposes the work of a unique collaborative clinical project based at the University of West London and delivered through a community partnership between Ealing Equality Council and the Community Advice </w:t>
      </w:r>
      <w:r w:rsidR="008E3D95" w:rsidRPr="006E7CA1">
        <w:rPr>
          <w:rFonts w:ascii="Palatino Linotype" w:hAnsi="Palatino Linotype" w:cs="Arial"/>
          <w:sz w:val="24"/>
          <w:szCs w:val="24"/>
        </w:rPr>
        <w:t>P</w:t>
      </w:r>
      <w:r w:rsidRPr="006E7CA1">
        <w:rPr>
          <w:rFonts w:ascii="Palatino Linotype" w:hAnsi="Palatino Linotype" w:cs="Arial"/>
          <w:sz w:val="24"/>
          <w:szCs w:val="24"/>
        </w:rPr>
        <w:t>rogramme in Ealing. The bringing together of equality and human rights, diversity and community cohesion in the practice of the law clinic has energised and challenged clinical legal practice, the clinician, the academic and student alike, as well as local stakeholders</w:t>
      </w:r>
      <w:r w:rsidR="003C4D46" w:rsidRPr="006E7CA1">
        <w:rPr>
          <w:rFonts w:ascii="Palatino Linotype" w:hAnsi="Palatino Linotype" w:cs="Arial"/>
          <w:sz w:val="24"/>
          <w:szCs w:val="24"/>
        </w:rPr>
        <w:t xml:space="preserve"> </w:t>
      </w:r>
      <w:r w:rsidR="004A4763" w:rsidRPr="006E7CA1">
        <w:rPr>
          <w:rFonts w:ascii="Palatino Linotype" w:hAnsi="Palatino Linotype" w:cs="Arial"/>
          <w:sz w:val="24"/>
          <w:szCs w:val="24"/>
        </w:rPr>
        <w:t xml:space="preserve">in West London </w:t>
      </w:r>
      <w:r w:rsidR="003C4D46" w:rsidRPr="006E7CA1">
        <w:rPr>
          <w:rFonts w:ascii="Palatino Linotype" w:hAnsi="Palatino Linotype" w:cs="Arial"/>
          <w:sz w:val="24"/>
          <w:szCs w:val="24"/>
        </w:rPr>
        <w:t>such as local authorities</w:t>
      </w:r>
      <w:r w:rsidR="002861B3" w:rsidRPr="006E7CA1">
        <w:rPr>
          <w:rFonts w:ascii="Palatino Linotype" w:hAnsi="Palatino Linotype" w:cs="Arial"/>
          <w:sz w:val="24"/>
          <w:szCs w:val="24"/>
        </w:rPr>
        <w:t>, the Quakers</w:t>
      </w:r>
      <w:r w:rsidR="003C4D46" w:rsidRPr="006E7CA1">
        <w:rPr>
          <w:rFonts w:ascii="Palatino Linotype" w:hAnsi="Palatino Linotype" w:cs="Arial"/>
          <w:sz w:val="24"/>
          <w:szCs w:val="24"/>
        </w:rPr>
        <w:t xml:space="preserve"> and the police</w:t>
      </w:r>
      <w:r w:rsidRPr="006E7CA1">
        <w:rPr>
          <w:rFonts w:ascii="Palatino Linotype" w:hAnsi="Palatino Linotype" w:cs="Arial"/>
          <w:sz w:val="24"/>
          <w:szCs w:val="24"/>
        </w:rPr>
        <w:t>.</w:t>
      </w:r>
      <w:r w:rsidR="008E3D95" w:rsidRPr="006E7CA1">
        <w:rPr>
          <w:rFonts w:ascii="Palatino Linotype" w:hAnsi="Palatino Linotype" w:cs="Arial"/>
          <w:sz w:val="24"/>
          <w:szCs w:val="24"/>
        </w:rPr>
        <w:t xml:space="preserve"> This evolution at the same time, provides the opportunity for, and the basis to</w:t>
      </w:r>
      <w:r w:rsidR="004A4763" w:rsidRPr="006E7CA1">
        <w:rPr>
          <w:rFonts w:ascii="Palatino Linotype" w:hAnsi="Palatino Linotype" w:cs="Arial"/>
          <w:sz w:val="24"/>
          <w:szCs w:val="24"/>
        </w:rPr>
        <w:t>,</w:t>
      </w:r>
      <w:r w:rsidR="008E3D95" w:rsidRPr="006E7CA1">
        <w:rPr>
          <w:rFonts w:ascii="Palatino Linotype" w:hAnsi="Palatino Linotype" w:cs="Arial"/>
          <w:sz w:val="24"/>
          <w:szCs w:val="24"/>
        </w:rPr>
        <w:t xml:space="preserve"> found an underlying clinical jurisprudence </w:t>
      </w:r>
      <w:r w:rsidR="00933E2F" w:rsidRPr="006E7CA1">
        <w:rPr>
          <w:rFonts w:ascii="Palatino Linotype" w:hAnsi="Palatino Linotype" w:cs="Arial"/>
          <w:sz w:val="24"/>
          <w:szCs w:val="24"/>
        </w:rPr>
        <w:t>up</w:t>
      </w:r>
      <w:r w:rsidR="008E3D95" w:rsidRPr="006E7CA1">
        <w:rPr>
          <w:rFonts w:ascii="Palatino Linotype" w:hAnsi="Palatino Linotype" w:cs="Arial"/>
          <w:sz w:val="24"/>
          <w:szCs w:val="24"/>
        </w:rPr>
        <w:t>on.</w:t>
      </w:r>
    </w:p>
    <w:p w:rsidR="003C4D46" w:rsidRPr="006E7CA1" w:rsidRDefault="006E7CA1"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lastRenderedPageBreak/>
        <w:t>3. CLINICAL LEGAL EDUCATION: PROVENANCE AND PURPOSE</w:t>
      </w:r>
    </w:p>
    <w:p w:rsidR="00CB6873" w:rsidRPr="006E7CA1" w:rsidRDefault="003C4D46"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Clinical legal education as an idea, emerged as a pedagogical challenge to the teaching and learning of law in the United States reaching as far back as the 1930s</w:t>
      </w:r>
      <w:r w:rsidR="008E3D95" w:rsidRPr="006E7CA1">
        <w:rPr>
          <w:rFonts w:ascii="Palatino Linotype" w:hAnsi="Palatino Linotype" w:cs="Arial"/>
          <w:sz w:val="24"/>
          <w:szCs w:val="24"/>
        </w:rPr>
        <w:t>, if not earlier</w:t>
      </w:r>
      <w:r w:rsidRPr="006E7CA1">
        <w:rPr>
          <w:rFonts w:ascii="Palatino Linotype" w:hAnsi="Palatino Linotype" w:cs="Arial"/>
          <w:sz w:val="24"/>
          <w:szCs w:val="24"/>
        </w:rPr>
        <w:t>.</w:t>
      </w:r>
      <w:r w:rsidR="00D32063" w:rsidRPr="006E7CA1">
        <w:rPr>
          <w:rStyle w:val="FootnoteReference"/>
          <w:rFonts w:ascii="Palatino Linotype" w:hAnsi="Palatino Linotype" w:cs="Arial"/>
          <w:sz w:val="24"/>
          <w:szCs w:val="24"/>
        </w:rPr>
        <w:footnoteReference w:id="19"/>
      </w:r>
      <w:r w:rsidRPr="006E7CA1">
        <w:rPr>
          <w:rFonts w:ascii="Palatino Linotype" w:hAnsi="Palatino Linotype" w:cs="Arial"/>
          <w:sz w:val="24"/>
          <w:szCs w:val="24"/>
        </w:rPr>
        <w:t xml:space="preserve"> According to McCrimmon </w:t>
      </w:r>
      <w:r w:rsidRPr="006E7CA1">
        <w:rPr>
          <w:rFonts w:ascii="Palatino Linotype" w:hAnsi="Palatino Linotype" w:cs="Arial"/>
          <w:i/>
          <w:sz w:val="24"/>
          <w:szCs w:val="24"/>
        </w:rPr>
        <w:t xml:space="preserve">et al, </w:t>
      </w:r>
      <w:r w:rsidRPr="006E7CA1">
        <w:rPr>
          <w:rFonts w:ascii="Palatino Linotype" w:hAnsi="Palatino Linotype" w:cs="Arial"/>
          <w:sz w:val="24"/>
          <w:szCs w:val="24"/>
        </w:rPr>
        <w:t>“an early iteration of</w:t>
      </w:r>
      <w:r w:rsidR="000E72FB" w:rsidRPr="006E7CA1">
        <w:rPr>
          <w:rFonts w:ascii="Palatino Linotype" w:hAnsi="Palatino Linotype" w:cs="Arial"/>
          <w:sz w:val="24"/>
          <w:szCs w:val="24"/>
        </w:rPr>
        <w:t xml:space="preserve"> clinical legal education was that conceptualised by the American academic a</w:t>
      </w:r>
      <w:r w:rsidR="00052185" w:rsidRPr="006E7CA1">
        <w:rPr>
          <w:rFonts w:ascii="Palatino Linotype" w:hAnsi="Palatino Linotype" w:cs="Arial"/>
          <w:sz w:val="24"/>
          <w:szCs w:val="24"/>
        </w:rPr>
        <w:t>nd legal philosopher and jurist,</w:t>
      </w:r>
      <w:r w:rsidR="000E72FB" w:rsidRPr="006E7CA1">
        <w:rPr>
          <w:rFonts w:ascii="Palatino Linotype" w:hAnsi="Palatino Linotype" w:cs="Arial"/>
          <w:sz w:val="24"/>
          <w:szCs w:val="24"/>
        </w:rPr>
        <w:t xml:space="preserve"> Jerome Frank in the 1930s.</w:t>
      </w:r>
      <w:r w:rsidR="008E3D95" w:rsidRPr="006E7CA1">
        <w:rPr>
          <w:rFonts w:ascii="Palatino Linotype" w:hAnsi="Palatino Linotype" w:cs="Arial"/>
          <w:sz w:val="24"/>
          <w:szCs w:val="24"/>
        </w:rPr>
        <w:t>”</w:t>
      </w:r>
      <w:r w:rsidR="000E72FB" w:rsidRPr="006E7CA1">
        <w:rPr>
          <w:rStyle w:val="FootnoteReference"/>
          <w:rFonts w:ascii="Palatino Linotype" w:hAnsi="Palatino Linotype" w:cs="Arial"/>
          <w:sz w:val="24"/>
          <w:szCs w:val="24"/>
        </w:rPr>
        <w:footnoteReference w:id="20"/>
      </w:r>
      <w:r w:rsidR="000E72FB" w:rsidRPr="006E7CA1">
        <w:rPr>
          <w:rFonts w:ascii="Palatino Linotype" w:hAnsi="Palatino Linotype" w:cs="Arial"/>
          <w:sz w:val="24"/>
          <w:szCs w:val="24"/>
        </w:rPr>
        <w:t xml:space="preserve"> </w:t>
      </w:r>
      <w:r w:rsidR="00CB6873" w:rsidRPr="006E7CA1">
        <w:rPr>
          <w:rFonts w:ascii="Palatino Linotype" w:hAnsi="Palatino Linotype" w:cs="Arial"/>
          <w:sz w:val="24"/>
          <w:szCs w:val="24"/>
        </w:rPr>
        <w:t>As the authors note, although Frank was not the first to agitate for change in the method of teaching law in American law schools</w:t>
      </w:r>
      <w:r w:rsidR="004E7D9A" w:rsidRPr="006E7CA1">
        <w:rPr>
          <w:rFonts w:ascii="Palatino Linotype" w:hAnsi="Palatino Linotype" w:cs="Arial"/>
          <w:sz w:val="24"/>
          <w:szCs w:val="24"/>
        </w:rPr>
        <w:t xml:space="preserve"> and taking inspiration from the clinical m</w:t>
      </w:r>
      <w:r w:rsidR="007C61FF" w:rsidRPr="006E7CA1">
        <w:rPr>
          <w:rFonts w:ascii="Palatino Linotype" w:hAnsi="Palatino Linotype" w:cs="Arial"/>
          <w:sz w:val="24"/>
          <w:szCs w:val="24"/>
        </w:rPr>
        <w:t>ethod of medical school</w:t>
      </w:r>
      <w:r w:rsidR="00CB6873" w:rsidRPr="006E7CA1">
        <w:rPr>
          <w:rFonts w:ascii="Palatino Linotype" w:hAnsi="Palatino Linotype" w:cs="Arial"/>
          <w:sz w:val="24"/>
          <w:szCs w:val="24"/>
        </w:rPr>
        <w:t xml:space="preserve">, he was certainly an early advocate of clinical legal education and perhaps of </w:t>
      </w:r>
      <w:r w:rsidR="00F867D0" w:rsidRPr="006E7CA1">
        <w:rPr>
          <w:rFonts w:ascii="Palatino Linotype" w:hAnsi="Palatino Linotype" w:cs="Arial"/>
          <w:sz w:val="24"/>
          <w:szCs w:val="24"/>
        </w:rPr>
        <w:t>equal</w:t>
      </w:r>
      <w:r w:rsidR="00CB6873" w:rsidRPr="006E7CA1">
        <w:rPr>
          <w:rFonts w:ascii="Palatino Linotype" w:hAnsi="Palatino Linotype" w:cs="Arial"/>
          <w:sz w:val="24"/>
          <w:szCs w:val="24"/>
        </w:rPr>
        <w:t xml:space="preserve"> significance, he was also a leading light in the </w:t>
      </w:r>
      <w:r w:rsidR="0049510E" w:rsidRPr="006E7CA1">
        <w:rPr>
          <w:rFonts w:ascii="Palatino Linotype" w:hAnsi="Palatino Linotype" w:cs="Arial"/>
          <w:sz w:val="24"/>
          <w:szCs w:val="24"/>
        </w:rPr>
        <w:t xml:space="preserve">American </w:t>
      </w:r>
      <w:r w:rsidR="00CB6873" w:rsidRPr="006E7CA1">
        <w:rPr>
          <w:rFonts w:ascii="Palatino Linotype" w:hAnsi="Palatino Linotype" w:cs="Arial"/>
          <w:sz w:val="24"/>
          <w:szCs w:val="24"/>
        </w:rPr>
        <w:t>legal realist philosophical movement.</w:t>
      </w:r>
      <w:r w:rsidR="00CB6873" w:rsidRPr="006E7CA1">
        <w:rPr>
          <w:rStyle w:val="FootnoteReference"/>
          <w:rFonts w:ascii="Palatino Linotype" w:hAnsi="Palatino Linotype" w:cs="Arial"/>
          <w:sz w:val="24"/>
          <w:szCs w:val="24"/>
        </w:rPr>
        <w:footnoteReference w:id="21"/>
      </w:r>
      <w:r w:rsidR="00CB6873" w:rsidRPr="006E7CA1">
        <w:rPr>
          <w:rFonts w:ascii="Palatino Linotype" w:hAnsi="Palatino Linotype" w:cs="Arial"/>
          <w:sz w:val="24"/>
          <w:szCs w:val="24"/>
        </w:rPr>
        <w:t xml:space="preserve"> Implic</w:t>
      </w:r>
      <w:r w:rsidR="004E7D9A" w:rsidRPr="006E7CA1">
        <w:rPr>
          <w:rFonts w:ascii="Palatino Linotype" w:hAnsi="Palatino Linotype" w:cs="Arial"/>
          <w:sz w:val="24"/>
          <w:szCs w:val="24"/>
        </w:rPr>
        <w:t>i</w:t>
      </w:r>
      <w:r w:rsidR="00CB6873" w:rsidRPr="006E7CA1">
        <w:rPr>
          <w:rFonts w:ascii="Palatino Linotype" w:hAnsi="Palatino Linotype" w:cs="Arial"/>
          <w:sz w:val="24"/>
          <w:szCs w:val="24"/>
        </w:rPr>
        <w:t>t in the contribution of Frank therefore lies an un</w:t>
      </w:r>
      <w:r w:rsidR="00933E2F" w:rsidRPr="006E7CA1">
        <w:rPr>
          <w:rFonts w:ascii="Palatino Linotype" w:hAnsi="Palatino Linotype" w:cs="Arial"/>
          <w:sz w:val="24"/>
          <w:szCs w:val="24"/>
        </w:rPr>
        <w:t>expressed</w:t>
      </w:r>
      <w:r w:rsidR="00CB6873" w:rsidRPr="006E7CA1">
        <w:rPr>
          <w:rFonts w:ascii="Palatino Linotype" w:hAnsi="Palatino Linotype" w:cs="Arial"/>
          <w:sz w:val="24"/>
          <w:szCs w:val="24"/>
        </w:rPr>
        <w:t xml:space="preserve"> realist jurisprudence</w:t>
      </w:r>
      <w:r w:rsidR="004E7D9A" w:rsidRPr="006E7CA1">
        <w:rPr>
          <w:rFonts w:ascii="Palatino Linotype" w:hAnsi="Palatino Linotype" w:cs="Arial"/>
          <w:sz w:val="24"/>
          <w:szCs w:val="24"/>
        </w:rPr>
        <w:t xml:space="preserve"> which, it is s</w:t>
      </w:r>
      <w:r w:rsidR="0049510E" w:rsidRPr="006E7CA1">
        <w:rPr>
          <w:rFonts w:ascii="Palatino Linotype" w:hAnsi="Palatino Linotype" w:cs="Arial"/>
          <w:sz w:val="24"/>
          <w:szCs w:val="24"/>
        </w:rPr>
        <w:t>ubmitted</w:t>
      </w:r>
      <w:r w:rsidR="004E7D9A" w:rsidRPr="006E7CA1">
        <w:rPr>
          <w:rFonts w:ascii="Palatino Linotype" w:hAnsi="Palatino Linotype" w:cs="Arial"/>
          <w:sz w:val="24"/>
          <w:szCs w:val="24"/>
        </w:rPr>
        <w:t>, contradicts the usual presentation of clinical legal education simply as methodology or legal service provision. The research evidence shows that there was a revolutionary impetus through the 1960s that saw the “establishment of law clinics in a number of law schools.”</w:t>
      </w:r>
      <w:r w:rsidR="004E7D9A" w:rsidRPr="006E7CA1">
        <w:rPr>
          <w:rStyle w:val="FootnoteReference"/>
          <w:rFonts w:ascii="Palatino Linotype" w:hAnsi="Palatino Linotype" w:cs="Arial"/>
          <w:sz w:val="24"/>
          <w:szCs w:val="24"/>
        </w:rPr>
        <w:footnoteReference w:id="22"/>
      </w:r>
      <w:r w:rsidR="004E7D9A" w:rsidRPr="006E7CA1">
        <w:rPr>
          <w:rFonts w:ascii="Palatino Linotype" w:hAnsi="Palatino Linotype" w:cs="Arial"/>
          <w:sz w:val="24"/>
          <w:szCs w:val="24"/>
        </w:rPr>
        <w:t xml:space="preserve"> These early clinics “…focused on legal service delivery, usually to disadvantaged members of the community.”</w:t>
      </w:r>
      <w:r w:rsidR="004E7D9A" w:rsidRPr="006E7CA1">
        <w:rPr>
          <w:rStyle w:val="FootnoteReference"/>
          <w:rFonts w:ascii="Palatino Linotype" w:hAnsi="Palatino Linotype" w:cs="Arial"/>
          <w:sz w:val="24"/>
          <w:szCs w:val="24"/>
        </w:rPr>
        <w:footnoteReference w:id="23"/>
      </w:r>
      <w:r w:rsidR="004E7D9A" w:rsidRPr="006E7CA1">
        <w:rPr>
          <w:rFonts w:ascii="Palatino Linotype" w:hAnsi="Palatino Linotype" w:cs="Arial"/>
          <w:sz w:val="24"/>
          <w:szCs w:val="24"/>
        </w:rPr>
        <w:t xml:space="preserve"> It is also suggested that the </w:t>
      </w:r>
      <w:r w:rsidR="004E7D9A" w:rsidRPr="006E7CA1">
        <w:rPr>
          <w:rFonts w:ascii="Palatino Linotype" w:hAnsi="Palatino Linotype" w:cs="Arial"/>
          <w:sz w:val="24"/>
          <w:szCs w:val="24"/>
        </w:rPr>
        <w:lastRenderedPageBreak/>
        <w:t xml:space="preserve">objective of law clinics </w:t>
      </w:r>
      <w:r w:rsidR="00F867D0" w:rsidRPr="006E7CA1">
        <w:rPr>
          <w:rFonts w:ascii="Palatino Linotype" w:hAnsi="Palatino Linotype" w:cs="Arial"/>
          <w:sz w:val="24"/>
          <w:szCs w:val="24"/>
        </w:rPr>
        <w:t xml:space="preserve">at the time </w:t>
      </w:r>
      <w:r w:rsidR="004E7D9A" w:rsidRPr="006E7CA1">
        <w:rPr>
          <w:rFonts w:ascii="Palatino Linotype" w:hAnsi="Palatino Linotype" w:cs="Arial"/>
          <w:sz w:val="24"/>
          <w:szCs w:val="24"/>
        </w:rPr>
        <w:t>was not educational but community service provision</w:t>
      </w:r>
      <w:r w:rsidR="00BF3806" w:rsidRPr="006E7CA1">
        <w:rPr>
          <w:rFonts w:ascii="Palatino Linotype" w:hAnsi="Palatino Linotype" w:cs="Arial"/>
          <w:sz w:val="24"/>
          <w:szCs w:val="24"/>
        </w:rPr>
        <w:t xml:space="preserve"> (although the </w:t>
      </w:r>
      <w:r w:rsidR="00BF3806" w:rsidRPr="006E7CA1">
        <w:rPr>
          <w:rFonts w:ascii="Palatino Linotype" w:hAnsi="Palatino Linotype" w:cs="Arial"/>
          <w:i/>
          <w:sz w:val="24"/>
          <w:szCs w:val="24"/>
        </w:rPr>
        <w:t xml:space="preserve">raison </w:t>
      </w:r>
      <w:proofErr w:type="spellStart"/>
      <w:r w:rsidR="00BF3806" w:rsidRPr="006E7CA1">
        <w:rPr>
          <w:rFonts w:ascii="Palatino Linotype" w:hAnsi="Palatino Linotype" w:cs="Arial"/>
          <w:i/>
          <w:sz w:val="24"/>
          <w:szCs w:val="24"/>
        </w:rPr>
        <w:t>d’etre</w:t>
      </w:r>
      <w:proofErr w:type="spellEnd"/>
      <w:r w:rsidR="00BF3806" w:rsidRPr="006E7CA1">
        <w:rPr>
          <w:rFonts w:ascii="Palatino Linotype" w:hAnsi="Palatino Linotype" w:cs="Arial"/>
          <w:i/>
          <w:sz w:val="24"/>
          <w:szCs w:val="24"/>
        </w:rPr>
        <w:t xml:space="preserve"> </w:t>
      </w:r>
      <w:r w:rsidR="00BF3806" w:rsidRPr="006E7CA1">
        <w:rPr>
          <w:rFonts w:ascii="Palatino Linotype" w:hAnsi="Palatino Linotype" w:cs="Arial"/>
          <w:sz w:val="24"/>
          <w:szCs w:val="24"/>
        </w:rPr>
        <w:t xml:space="preserve">of the American law clinic appears to have altered considerably over time to embrace fundamental issues of social justice such as racial discrimination, poverty and civil rights generally. </w:t>
      </w:r>
    </w:p>
    <w:p w:rsidR="006F2B13" w:rsidRPr="006E7CA1" w:rsidRDefault="009870E4"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As a pedagogical </w:t>
      </w:r>
      <w:r w:rsidR="00042B40" w:rsidRPr="006E7CA1">
        <w:rPr>
          <w:rFonts w:ascii="Palatino Linotype" w:hAnsi="Palatino Linotype" w:cs="Arial"/>
          <w:sz w:val="24"/>
          <w:szCs w:val="24"/>
        </w:rPr>
        <w:t>method</w:t>
      </w:r>
      <w:r w:rsidRPr="006E7CA1">
        <w:rPr>
          <w:rFonts w:ascii="Palatino Linotype" w:hAnsi="Palatino Linotype" w:cs="Arial"/>
          <w:sz w:val="24"/>
          <w:szCs w:val="24"/>
        </w:rPr>
        <w:t>, “educating students through experiential learning and by using a hands-on approach is nothing new.”</w:t>
      </w:r>
      <w:r w:rsidRPr="006E7CA1">
        <w:rPr>
          <w:rStyle w:val="FootnoteReference"/>
          <w:rFonts w:ascii="Palatino Linotype" w:hAnsi="Palatino Linotype" w:cs="Arial"/>
          <w:sz w:val="24"/>
          <w:szCs w:val="24"/>
        </w:rPr>
        <w:footnoteReference w:id="24"/>
      </w:r>
      <w:r w:rsidR="00042B40" w:rsidRPr="006E7CA1">
        <w:rPr>
          <w:rFonts w:ascii="Palatino Linotype" w:hAnsi="Palatino Linotype" w:cs="Arial"/>
          <w:sz w:val="24"/>
          <w:szCs w:val="24"/>
        </w:rPr>
        <w:t xml:space="preserve"> Indeed, as the same authors acknowledge</w:t>
      </w:r>
      <w:r w:rsidR="00AC379E" w:rsidRPr="006E7CA1">
        <w:rPr>
          <w:rFonts w:ascii="Palatino Linotype" w:hAnsi="Palatino Linotype" w:cs="Arial"/>
          <w:sz w:val="24"/>
          <w:szCs w:val="24"/>
        </w:rPr>
        <w:t>,</w:t>
      </w:r>
      <w:r w:rsidR="00042B40" w:rsidRPr="006E7CA1">
        <w:rPr>
          <w:rFonts w:ascii="Palatino Linotype" w:hAnsi="Palatino Linotype" w:cs="Arial"/>
          <w:sz w:val="24"/>
          <w:szCs w:val="24"/>
        </w:rPr>
        <w:t xml:space="preserve"> “…clinical methods have long been used in the education and training of a range of students from doctors and nurses to engineers, linguists, teachers and computer programmers. At a practical level, who would want to consult a medic who had not yet met a patient or did not have practical experience to complement his or he</w:t>
      </w:r>
      <w:r w:rsidR="0049510E" w:rsidRPr="006E7CA1">
        <w:rPr>
          <w:rFonts w:ascii="Palatino Linotype" w:hAnsi="Palatino Linotype" w:cs="Arial"/>
          <w:sz w:val="24"/>
          <w:szCs w:val="24"/>
        </w:rPr>
        <w:t>r</w:t>
      </w:r>
      <w:r w:rsidR="00042B40" w:rsidRPr="006E7CA1">
        <w:rPr>
          <w:rFonts w:ascii="Palatino Linotype" w:hAnsi="Palatino Linotype" w:cs="Arial"/>
          <w:sz w:val="24"/>
          <w:szCs w:val="24"/>
        </w:rPr>
        <w:t xml:space="preserve"> theoretical knowledge</w:t>
      </w:r>
      <w:r w:rsidR="003D76A8" w:rsidRPr="006E7CA1">
        <w:rPr>
          <w:rFonts w:ascii="Palatino Linotype" w:hAnsi="Palatino Linotype" w:cs="Arial"/>
          <w:sz w:val="24"/>
          <w:szCs w:val="24"/>
        </w:rPr>
        <w:t>?</w:t>
      </w:r>
      <w:r w:rsidR="00042B40" w:rsidRPr="006E7CA1">
        <w:rPr>
          <w:rFonts w:ascii="Palatino Linotype" w:hAnsi="Palatino Linotype" w:cs="Arial"/>
          <w:sz w:val="24"/>
          <w:szCs w:val="24"/>
        </w:rPr>
        <w:t>”</w:t>
      </w:r>
      <w:r w:rsidR="00042B40" w:rsidRPr="006E7CA1">
        <w:rPr>
          <w:rStyle w:val="FootnoteReference"/>
          <w:rFonts w:ascii="Palatino Linotype" w:hAnsi="Palatino Linotype" w:cs="Arial"/>
          <w:sz w:val="24"/>
          <w:szCs w:val="24"/>
        </w:rPr>
        <w:footnoteReference w:id="25"/>
      </w:r>
      <w:r w:rsidR="00042B40" w:rsidRPr="006E7CA1">
        <w:rPr>
          <w:rFonts w:ascii="Palatino Linotype" w:hAnsi="Palatino Linotype" w:cs="Arial"/>
          <w:sz w:val="24"/>
          <w:szCs w:val="24"/>
        </w:rPr>
        <w:t xml:space="preserve"> In short, experiential learning is asserted to be the most effective way to study skills-based disciplines and to demonstrate and apply requisite competencies</w:t>
      </w:r>
      <w:r w:rsidR="0049510E" w:rsidRPr="006E7CA1">
        <w:rPr>
          <w:rStyle w:val="FootnoteReference"/>
          <w:rFonts w:ascii="Palatino Linotype" w:hAnsi="Palatino Linotype" w:cs="Arial"/>
          <w:sz w:val="24"/>
          <w:szCs w:val="24"/>
        </w:rPr>
        <w:footnoteReference w:id="26"/>
      </w:r>
      <w:r w:rsidR="00042B40" w:rsidRPr="006E7CA1">
        <w:rPr>
          <w:rFonts w:ascii="Palatino Linotype" w:hAnsi="Palatino Linotype" w:cs="Arial"/>
          <w:sz w:val="24"/>
          <w:szCs w:val="24"/>
        </w:rPr>
        <w:t>.</w:t>
      </w:r>
      <w:r w:rsidR="00F867D0" w:rsidRPr="006E7CA1">
        <w:rPr>
          <w:rFonts w:ascii="Palatino Linotype" w:hAnsi="Palatino Linotype" w:cs="Arial"/>
          <w:sz w:val="24"/>
          <w:szCs w:val="24"/>
        </w:rPr>
        <w:t xml:space="preserve"> </w:t>
      </w:r>
      <w:r w:rsidR="00322FEE" w:rsidRPr="006E7CA1">
        <w:rPr>
          <w:rFonts w:ascii="Palatino Linotype" w:hAnsi="Palatino Linotype" w:cs="Arial"/>
          <w:sz w:val="24"/>
          <w:szCs w:val="24"/>
        </w:rPr>
        <w:t>As Wilson describes it, clinical legal education ‘…involves law students learning law by guided practice during law school. Ideally, that setting involves real cases, clients or other project-based work with client communities, usually with the poor or other marginalized populations without access to counsel.’</w:t>
      </w:r>
      <w:r w:rsidR="00322FEE" w:rsidRPr="006E7CA1">
        <w:rPr>
          <w:rStyle w:val="FootnoteReference"/>
          <w:rFonts w:ascii="Palatino Linotype" w:hAnsi="Palatino Linotype" w:cs="Arial"/>
          <w:sz w:val="24"/>
          <w:szCs w:val="24"/>
        </w:rPr>
        <w:footnoteReference w:id="27"/>
      </w:r>
      <w:r w:rsidR="00322FEE" w:rsidRPr="006E7CA1">
        <w:rPr>
          <w:rFonts w:ascii="Palatino Linotype" w:hAnsi="Palatino Linotype" w:cs="Arial"/>
          <w:sz w:val="24"/>
          <w:szCs w:val="24"/>
        </w:rPr>
        <w:t xml:space="preserve"> </w:t>
      </w:r>
      <w:r w:rsidR="00F867D0" w:rsidRPr="006E7CA1">
        <w:rPr>
          <w:rFonts w:ascii="Palatino Linotype" w:hAnsi="Palatino Linotype" w:cs="Arial"/>
          <w:sz w:val="24"/>
          <w:szCs w:val="24"/>
        </w:rPr>
        <w:t xml:space="preserve">However, experiential learning is more </w:t>
      </w:r>
      <w:r w:rsidR="00F867D0" w:rsidRPr="006E7CA1">
        <w:rPr>
          <w:rFonts w:ascii="Palatino Linotype" w:hAnsi="Palatino Linotype" w:cs="Arial"/>
          <w:sz w:val="24"/>
          <w:szCs w:val="24"/>
        </w:rPr>
        <w:lastRenderedPageBreak/>
        <w:t>than</w:t>
      </w:r>
      <w:r w:rsidR="00991958" w:rsidRPr="006E7CA1">
        <w:rPr>
          <w:rFonts w:ascii="Palatino Linotype" w:hAnsi="Palatino Linotype" w:cs="Arial"/>
          <w:sz w:val="24"/>
          <w:szCs w:val="24"/>
        </w:rPr>
        <w:t xml:space="preserve"> didactic learning or simply a mode of </w:t>
      </w:r>
      <w:r w:rsidR="00F867D0" w:rsidRPr="006E7CA1">
        <w:rPr>
          <w:rFonts w:ascii="Palatino Linotype" w:hAnsi="Palatino Linotype" w:cs="Arial"/>
          <w:sz w:val="24"/>
          <w:szCs w:val="24"/>
        </w:rPr>
        <w:t xml:space="preserve">skill acquisition. </w:t>
      </w:r>
      <w:r w:rsidR="00991958" w:rsidRPr="006E7CA1">
        <w:rPr>
          <w:rFonts w:ascii="Palatino Linotype" w:hAnsi="Palatino Linotype" w:cs="Arial"/>
          <w:sz w:val="24"/>
          <w:szCs w:val="24"/>
        </w:rPr>
        <w:t>As analysed by one of the leading exponents</w:t>
      </w:r>
      <w:r w:rsidR="0049510E" w:rsidRPr="006E7CA1">
        <w:rPr>
          <w:rFonts w:ascii="Palatino Linotype" w:hAnsi="Palatino Linotype" w:cs="Arial"/>
          <w:sz w:val="24"/>
          <w:szCs w:val="24"/>
        </w:rPr>
        <w:t>,</w:t>
      </w:r>
      <w:r w:rsidR="00991958" w:rsidRPr="006E7CA1">
        <w:rPr>
          <w:rStyle w:val="FootnoteReference"/>
          <w:rFonts w:ascii="Palatino Linotype" w:hAnsi="Palatino Linotype" w:cs="Arial"/>
          <w:sz w:val="24"/>
          <w:szCs w:val="24"/>
        </w:rPr>
        <w:footnoteReference w:id="28"/>
      </w:r>
      <w:r w:rsidR="00991958" w:rsidRPr="006E7CA1">
        <w:rPr>
          <w:rFonts w:ascii="Palatino Linotype" w:hAnsi="Palatino Linotype" w:cs="Arial"/>
          <w:sz w:val="24"/>
          <w:szCs w:val="24"/>
        </w:rPr>
        <w:t xml:space="preserve"> experiential learning engages the learner as active subject who </w:t>
      </w:r>
      <w:r w:rsidR="00991958" w:rsidRPr="006E7CA1">
        <w:rPr>
          <w:rFonts w:ascii="Palatino Linotype" w:hAnsi="Palatino Linotype" w:cs="Arial"/>
          <w:i/>
          <w:sz w:val="24"/>
          <w:szCs w:val="24"/>
        </w:rPr>
        <w:t>reflects</w:t>
      </w:r>
      <w:r w:rsidR="00991958" w:rsidRPr="006E7CA1">
        <w:rPr>
          <w:rFonts w:ascii="Palatino Linotype" w:hAnsi="Palatino Linotype" w:cs="Arial"/>
          <w:sz w:val="24"/>
          <w:szCs w:val="24"/>
        </w:rPr>
        <w:t xml:space="preserve"> and has a measure of control over their learning. </w:t>
      </w:r>
      <w:r w:rsidR="0005286C" w:rsidRPr="006E7CA1">
        <w:rPr>
          <w:rFonts w:ascii="Palatino Linotype" w:hAnsi="Palatino Linotype" w:cs="Arial"/>
          <w:sz w:val="24"/>
          <w:szCs w:val="24"/>
        </w:rPr>
        <w:t>A</w:t>
      </w:r>
      <w:r w:rsidR="00991958" w:rsidRPr="006E7CA1">
        <w:rPr>
          <w:rFonts w:ascii="Palatino Linotype" w:hAnsi="Palatino Linotype" w:cs="Arial"/>
          <w:sz w:val="24"/>
          <w:szCs w:val="24"/>
        </w:rPr>
        <w:t xml:space="preserve">s Patrick Felicia puts it, </w:t>
      </w:r>
      <w:r w:rsidR="00AC379E" w:rsidRPr="006E7CA1">
        <w:rPr>
          <w:rFonts w:ascii="Palatino Linotype" w:hAnsi="Palatino Linotype" w:cs="Arial"/>
          <w:sz w:val="24"/>
          <w:szCs w:val="24"/>
        </w:rPr>
        <w:t xml:space="preserve">it is </w:t>
      </w:r>
      <w:r w:rsidR="00991958" w:rsidRPr="006E7CA1">
        <w:rPr>
          <w:rFonts w:ascii="Palatino Linotype" w:hAnsi="Palatino Linotype" w:cs="Arial"/>
          <w:sz w:val="24"/>
          <w:szCs w:val="24"/>
        </w:rPr>
        <w:t>“…learning through reflection on doing.”</w:t>
      </w:r>
      <w:r w:rsidR="00991958" w:rsidRPr="006E7CA1">
        <w:rPr>
          <w:rStyle w:val="FootnoteReference"/>
          <w:rFonts w:ascii="Palatino Linotype" w:hAnsi="Palatino Linotype" w:cs="Arial"/>
          <w:sz w:val="24"/>
          <w:szCs w:val="24"/>
        </w:rPr>
        <w:footnoteReference w:id="29"/>
      </w:r>
      <w:r w:rsidR="00991958" w:rsidRPr="006E7CA1">
        <w:rPr>
          <w:rFonts w:ascii="Palatino Linotype" w:hAnsi="Palatino Linotype" w:cs="Arial"/>
          <w:sz w:val="24"/>
          <w:szCs w:val="24"/>
        </w:rPr>
        <w:t xml:space="preserve"> </w:t>
      </w:r>
    </w:p>
    <w:p w:rsidR="00991958" w:rsidRPr="006E7CA1" w:rsidRDefault="006F2B13"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Reflection is </w:t>
      </w:r>
      <w:r w:rsidR="00933E2F" w:rsidRPr="006E7CA1">
        <w:rPr>
          <w:rFonts w:ascii="Palatino Linotype" w:hAnsi="Palatino Linotype" w:cs="Arial"/>
          <w:sz w:val="24"/>
          <w:szCs w:val="24"/>
        </w:rPr>
        <w:t xml:space="preserve">thus postulated as </w:t>
      </w:r>
      <w:r w:rsidRPr="006E7CA1">
        <w:rPr>
          <w:rFonts w:ascii="Palatino Linotype" w:hAnsi="Palatino Linotype" w:cs="Arial"/>
          <w:sz w:val="24"/>
          <w:szCs w:val="24"/>
        </w:rPr>
        <w:t>the point of departure for clinical legal education – the point that distinguishes legal skills training of the vocational stage of legal education for entry into the legal professions in the United Kingdom (where law school is an undergraduate endeavour.) Clinical legal education is</w:t>
      </w:r>
      <w:r w:rsidR="00F0293D" w:rsidRPr="006E7CA1">
        <w:rPr>
          <w:rFonts w:ascii="Palatino Linotype" w:hAnsi="Palatino Linotype" w:cs="Arial"/>
          <w:sz w:val="24"/>
          <w:szCs w:val="24"/>
        </w:rPr>
        <w:t>, as indicated earlier, not simply doing, but “</w:t>
      </w:r>
      <w:r w:rsidR="00F0293D" w:rsidRPr="006E7CA1">
        <w:rPr>
          <w:rFonts w:ascii="Palatino Linotype" w:hAnsi="Palatino Linotype" w:cs="Arial"/>
          <w:i/>
          <w:sz w:val="24"/>
          <w:szCs w:val="24"/>
        </w:rPr>
        <w:t>learning from doing.</w:t>
      </w:r>
      <w:r w:rsidR="00F0293D" w:rsidRPr="006E7CA1">
        <w:rPr>
          <w:rFonts w:ascii="Palatino Linotype" w:hAnsi="Palatino Linotype" w:cs="Arial"/>
          <w:sz w:val="24"/>
          <w:szCs w:val="24"/>
        </w:rPr>
        <w:t>”</w:t>
      </w:r>
      <w:r w:rsidR="00F0293D" w:rsidRPr="006E7CA1">
        <w:rPr>
          <w:rStyle w:val="FootnoteReference"/>
          <w:rFonts w:ascii="Palatino Linotype" w:hAnsi="Palatino Linotype" w:cs="Arial"/>
          <w:sz w:val="24"/>
          <w:szCs w:val="24"/>
        </w:rPr>
        <w:footnoteReference w:id="30"/>
      </w:r>
      <w:r w:rsidRPr="006E7CA1">
        <w:rPr>
          <w:rFonts w:ascii="Palatino Linotype" w:hAnsi="Palatino Linotype" w:cs="Arial"/>
          <w:sz w:val="24"/>
          <w:szCs w:val="24"/>
        </w:rPr>
        <w:t xml:space="preserve">  </w:t>
      </w:r>
      <w:r w:rsidR="00991958" w:rsidRPr="006E7CA1">
        <w:rPr>
          <w:rFonts w:ascii="Palatino Linotype" w:hAnsi="Palatino Linotype" w:cs="Arial"/>
          <w:sz w:val="24"/>
          <w:szCs w:val="24"/>
        </w:rPr>
        <w:t xml:space="preserve">Further, it is suggested that even in a milieu of the increasing commodification of higher education where the law school product must justify itself in the modern market place and is therefore expressed in the contemporary </w:t>
      </w:r>
      <w:r w:rsidR="00BF3806" w:rsidRPr="006E7CA1">
        <w:rPr>
          <w:rFonts w:ascii="Palatino Linotype" w:hAnsi="Palatino Linotype" w:cs="Arial"/>
          <w:sz w:val="24"/>
          <w:szCs w:val="24"/>
        </w:rPr>
        <w:t>jargon</w:t>
      </w:r>
      <w:r w:rsidR="00991958" w:rsidRPr="006E7CA1">
        <w:rPr>
          <w:rFonts w:ascii="Palatino Linotype" w:hAnsi="Palatino Linotype" w:cs="Arial"/>
          <w:sz w:val="24"/>
          <w:szCs w:val="24"/>
        </w:rPr>
        <w:t xml:space="preserve"> of ‘employability skills’, these skills are typically cast in qualitative terms which embrace the idea of the law student as a reflective subject rather than the mere possessor of a set of marketable skills. Thus, even in the following two different definitions of employability skills, one detects an acknowledgment </w:t>
      </w:r>
      <w:r w:rsidR="0049510E" w:rsidRPr="006E7CA1">
        <w:rPr>
          <w:rFonts w:ascii="Palatino Linotype" w:hAnsi="Palatino Linotype" w:cs="Arial"/>
          <w:sz w:val="24"/>
          <w:szCs w:val="24"/>
        </w:rPr>
        <w:t xml:space="preserve">of </w:t>
      </w:r>
      <w:r w:rsidR="00991958" w:rsidRPr="006E7CA1">
        <w:rPr>
          <w:rFonts w:ascii="Palatino Linotype" w:hAnsi="Palatino Linotype" w:cs="Arial"/>
          <w:sz w:val="24"/>
          <w:szCs w:val="24"/>
        </w:rPr>
        <w:t>attributes that relate to the community and the wider world which can only be achieved through reflection:</w:t>
      </w:r>
    </w:p>
    <w:p w:rsidR="00F0293D" w:rsidRPr="006E7CA1" w:rsidRDefault="00991958" w:rsidP="006E7CA1">
      <w:pPr>
        <w:pStyle w:val="NoSpacing"/>
        <w:spacing w:line="360" w:lineRule="auto"/>
        <w:ind w:left="284" w:right="237"/>
        <w:jc w:val="both"/>
        <w:rPr>
          <w:rFonts w:ascii="Palatino Linotype" w:hAnsi="Palatino Linotype" w:cs="Arial"/>
          <w:sz w:val="24"/>
          <w:szCs w:val="24"/>
        </w:rPr>
      </w:pPr>
      <w:r w:rsidRPr="006E7CA1">
        <w:rPr>
          <w:rFonts w:ascii="Palatino Linotype" w:hAnsi="Palatino Linotype" w:cs="Arial"/>
          <w:sz w:val="24"/>
          <w:szCs w:val="24"/>
        </w:rPr>
        <w:t>“A set of attributes</w:t>
      </w:r>
      <w:r w:rsidR="00F0293D" w:rsidRPr="006E7CA1">
        <w:rPr>
          <w:rFonts w:ascii="Palatino Linotype" w:hAnsi="Palatino Linotype" w:cs="Arial"/>
          <w:sz w:val="24"/>
          <w:szCs w:val="24"/>
        </w:rPr>
        <w:t xml:space="preserve">, skills and knowledge that all labour market participants should possess to ensure they have the capacity of being effective in the </w:t>
      </w:r>
      <w:r w:rsidR="00703993" w:rsidRPr="006E7CA1">
        <w:rPr>
          <w:rFonts w:ascii="Palatino Linotype" w:hAnsi="Palatino Linotype" w:cs="Arial"/>
          <w:sz w:val="24"/>
          <w:szCs w:val="24"/>
        </w:rPr>
        <w:lastRenderedPageBreak/>
        <w:t>workplace to</w:t>
      </w:r>
      <w:r w:rsidR="00F0293D" w:rsidRPr="006E7CA1">
        <w:rPr>
          <w:rFonts w:ascii="Palatino Linotype" w:hAnsi="Palatino Linotype" w:cs="Arial"/>
          <w:sz w:val="24"/>
          <w:szCs w:val="24"/>
        </w:rPr>
        <w:t xml:space="preserve"> the benefit of themselves, their </w:t>
      </w:r>
      <w:r w:rsidR="006E7CA1">
        <w:rPr>
          <w:rFonts w:ascii="Palatino Linotype" w:hAnsi="Palatino Linotype" w:cs="Arial"/>
          <w:sz w:val="24"/>
          <w:szCs w:val="24"/>
        </w:rPr>
        <w:t>employer and the wider economy”</w:t>
      </w:r>
      <w:r w:rsidR="00F0293D" w:rsidRPr="006E7CA1">
        <w:rPr>
          <w:rStyle w:val="FootnoteReference"/>
          <w:rFonts w:ascii="Palatino Linotype" w:hAnsi="Palatino Linotype" w:cs="Arial"/>
          <w:sz w:val="24"/>
          <w:szCs w:val="24"/>
        </w:rPr>
        <w:footnoteReference w:id="31"/>
      </w:r>
    </w:p>
    <w:p w:rsidR="00BF3806" w:rsidRPr="006E7CA1" w:rsidRDefault="0049510E"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a</w:t>
      </w:r>
      <w:r w:rsidR="00BF3806" w:rsidRPr="006E7CA1">
        <w:rPr>
          <w:rFonts w:ascii="Palatino Linotype" w:hAnsi="Palatino Linotype" w:cs="Arial"/>
          <w:sz w:val="24"/>
          <w:szCs w:val="24"/>
        </w:rPr>
        <w:t>nd</w:t>
      </w:r>
      <w:r w:rsidRPr="006E7CA1">
        <w:rPr>
          <w:rFonts w:ascii="Palatino Linotype" w:hAnsi="Palatino Linotype" w:cs="Arial"/>
          <w:sz w:val="24"/>
          <w:szCs w:val="24"/>
        </w:rPr>
        <w:t>,</w:t>
      </w:r>
    </w:p>
    <w:p w:rsidR="00991958" w:rsidRPr="006E7CA1" w:rsidRDefault="00991958" w:rsidP="006E7CA1">
      <w:pPr>
        <w:pStyle w:val="NoSpacing"/>
        <w:spacing w:line="360" w:lineRule="auto"/>
        <w:ind w:left="284" w:right="237"/>
        <w:jc w:val="both"/>
        <w:rPr>
          <w:rFonts w:ascii="Palatino Linotype" w:hAnsi="Palatino Linotype" w:cs="Arial"/>
          <w:sz w:val="24"/>
          <w:szCs w:val="24"/>
        </w:rPr>
      </w:pPr>
      <w:r w:rsidRPr="006E7CA1">
        <w:rPr>
          <w:rFonts w:ascii="Palatino Linotype" w:hAnsi="Palatino Linotype" w:cs="Arial"/>
          <w:sz w:val="24"/>
          <w:szCs w:val="24"/>
        </w:rPr>
        <w:t>“A set o</w:t>
      </w:r>
      <w:r w:rsidR="00F0293D" w:rsidRPr="006E7CA1">
        <w:rPr>
          <w:rFonts w:ascii="Palatino Linotype" w:hAnsi="Palatino Linotype" w:cs="Arial"/>
          <w:sz w:val="24"/>
          <w:szCs w:val="24"/>
        </w:rPr>
        <w:t>f achievements</w:t>
      </w:r>
      <w:r w:rsidR="00BF3806" w:rsidRPr="006E7CA1">
        <w:rPr>
          <w:rFonts w:ascii="Palatino Linotype" w:hAnsi="Palatino Linotype" w:cs="Arial"/>
          <w:sz w:val="24"/>
          <w:szCs w:val="24"/>
        </w:rPr>
        <w:t xml:space="preserve"> – skills</w:t>
      </w:r>
      <w:r w:rsidR="00F0293D" w:rsidRPr="006E7CA1">
        <w:rPr>
          <w:rFonts w:ascii="Palatino Linotype" w:hAnsi="Palatino Linotype" w:cs="Arial"/>
          <w:sz w:val="24"/>
          <w:szCs w:val="24"/>
        </w:rPr>
        <w:t>, understanding and personal attributes</w:t>
      </w:r>
      <w:r w:rsidR="00BF3806" w:rsidRPr="006E7CA1">
        <w:rPr>
          <w:rFonts w:ascii="Palatino Linotype" w:hAnsi="Palatino Linotype" w:cs="Arial"/>
          <w:sz w:val="24"/>
          <w:szCs w:val="24"/>
        </w:rPr>
        <w:t xml:space="preserve"> – </w:t>
      </w:r>
      <w:r w:rsidR="00F0293D" w:rsidRPr="006E7CA1">
        <w:rPr>
          <w:rFonts w:ascii="Palatino Linotype" w:hAnsi="Palatino Linotype" w:cs="Arial"/>
          <w:sz w:val="24"/>
          <w:szCs w:val="24"/>
        </w:rPr>
        <w:t>that makes graduates more likely to gain employment and be successful in their chosen occupations, which benefits themselves, the workforce, the community and the economy</w:t>
      </w:r>
      <w:r w:rsidR="0062005C" w:rsidRPr="006E7CA1">
        <w:rPr>
          <w:rFonts w:ascii="Palatino Linotype" w:hAnsi="Palatino Linotype" w:cs="Arial"/>
          <w:sz w:val="24"/>
          <w:szCs w:val="24"/>
        </w:rPr>
        <w:t>.</w:t>
      </w:r>
      <w:r w:rsidR="00F0293D" w:rsidRPr="006E7CA1">
        <w:rPr>
          <w:rFonts w:ascii="Palatino Linotype" w:hAnsi="Palatino Linotype" w:cs="Arial"/>
          <w:sz w:val="24"/>
          <w:szCs w:val="24"/>
        </w:rPr>
        <w:t xml:space="preserve">” </w:t>
      </w:r>
      <w:r w:rsidR="00F0293D" w:rsidRPr="006E7CA1">
        <w:rPr>
          <w:rStyle w:val="FootnoteReference"/>
          <w:rFonts w:ascii="Palatino Linotype" w:hAnsi="Palatino Linotype" w:cs="Arial"/>
          <w:sz w:val="24"/>
          <w:szCs w:val="24"/>
        </w:rPr>
        <w:footnoteReference w:id="32"/>
      </w:r>
    </w:p>
    <w:p w:rsidR="00991958" w:rsidRPr="006E7CA1" w:rsidRDefault="00991958"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It is instructive also that in the particularisation of such employability skills by Finch and </w:t>
      </w:r>
      <w:proofErr w:type="spellStart"/>
      <w:r w:rsidRPr="006E7CA1">
        <w:rPr>
          <w:rFonts w:ascii="Palatino Linotype" w:hAnsi="Palatino Linotype" w:cs="Arial"/>
          <w:sz w:val="24"/>
          <w:szCs w:val="24"/>
        </w:rPr>
        <w:t>Fafinski</w:t>
      </w:r>
      <w:proofErr w:type="spellEnd"/>
      <w:r w:rsidRPr="006E7CA1">
        <w:rPr>
          <w:rStyle w:val="FootnoteReference"/>
          <w:rFonts w:ascii="Palatino Linotype" w:hAnsi="Palatino Linotype" w:cs="Arial"/>
          <w:sz w:val="24"/>
          <w:szCs w:val="24"/>
        </w:rPr>
        <w:footnoteReference w:id="33"/>
      </w:r>
      <w:r w:rsidRPr="006E7CA1">
        <w:rPr>
          <w:rFonts w:ascii="Palatino Linotype" w:hAnsi="Palatino Linotype" w:cs="Arial"/>
          <w:sz w:val="24"/>
          <w:szCs w:val="24"/>
        </w:rPr>
        <w:t>, the elements of active engagement and reflection on the part of the subject are quite implicit:</w:t>
      </w:r>
    </w:p>
    <w:p w:rsidR="00991958"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self-management</w:t>
      </w:r>
    </w:p>
    <w:p w:rsidR="00991958"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team working</w:t>
      </w:r>
    </w:p>
    <w:p w:rsidR="00991958"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problem solving</w:t>
      </w:r>
    </w:p>
    <w:p w:rsidR="00991958" w:rsidRPr="006E7CA1" w:rsidRDefault="00AC379E"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ap</w:t>
      </w:r>
      <w:r w:rsidR="00991958" w:rsidRPr="006E7CA1">
        <w:rPr>
          <w:rFonts w:ascii="Palatino Linotype" w:hAnsi="Palatino Linotype" w:cs="Arial"/>
          <w:sz w:val="24"/>
          <w:szCs w:val="24"/>
        </w:rPr>
        <w:t>plication of information technology</w:t>
      </w:r>
    </w:p>
    <w:p w:rsidR="00991958"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communication</w:t>
      </w:r>
    </w:p>
    <w:p w:rsidR="00991958"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application of numeracy</w:t>
      </w:r>
    </w:p>
    <w:p w:rsidR="00BF3806" w:rsidRPr="006E7CA1" w:rsidRDefault="00991958" w:rsidP="006E7CA1">
      <w:pPr>
        <w:pStyle w:val="NoSpacing"/>
        <w:numPr>
          <w:ilvl w:val="0"/>
          <w:numId w:val="2"/>
        </w:numPr>
        <w:spacing w:line="360" w:lineRule="auto"/>
        <w:jc w:val="both"/>
        <w:rPr>
          <w:rFonts w:ascii="Palatino Linotype" w:hAnsi="Palatino Linotype" w:cs="Arial"/>
          <w:sz w:val="24"/>
          <w:szCs w:val="24"/>
        </w:rPr>
      </w:pPr>
      <w:r w:rsidRPr="006E7CA1">
        <w:rPr>
          <w:rFonts w:ascii="Palatino Linotype" w:hAnsi="Palatino Linotype" w:cs="Arial"/>
          <w:sz w:val="24"/>
          <w:szCs w:val="24"/>
        </w:rPr>
        <w:t>business</w:t>
      </w:r>
      <w:r w:rsidR="00EA3CF2" w:rsidRPr="006E7CA1">
        <w:rPr>
          <w:rFonts w:ascii="Palatino Linotype" w:hAnsi="Palatino Linotype" w:cs="Arial"/>
          <w:sz w:val="24"/>
          <w:szCs w:val="24"/>
        </w:rPr>
        <w:t>/commercial</w:t>
      </w:r>
      <w:r w:rsidRPr="006E7CA1">
        <w:rPr>
          <w:rFonts w:ascii="Palatino Linotype" w:hAnsi="Palatino Linotype" w:cs="Arial"/>
          <w:sz w:val="24"/>
          <w:szCs w:val="24"/>
        </w:rPr>
        <w:t xml:space="preserve"> and customer awareness</w:t>
      </w:r>
    </w:p>
    <w:p w:rsidR="00EA3CF2" w:rsidRPr="006E7CA1" w:rsidRDefault="00EA3CF2"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To these we may also add the following:</w:t>
      </w:r>
    </w:p>
    <w:p w:rsidR="00AC379E" w:rsidRPr="006E7CA1" w:rsidRDefault="00EA3CF2" w:rsidP="006E7CA1">
      <w:pPr>
        <w:pStyle w:val="NoSpacing"/>
        <w:numPr>
          <w:ilvl w:val="0"/>
          <w:numId w:val="7"/>
        </w:numPr>
        <w:spacing w:line="480" w:lineRule="auto"/>
        <w:jc w:val="both"/>
        <w:rPr>
          <w:rFonts w:ascii="Palatino Linotype" w:hAnsi="Palatino Linotype" w:cs="Arial"/>
          <w:sz w:val="24"/>
          <w:szCs w:val="24"/>
        </w:rPr>
      </w:pPr>
      <w:r w:rsidRPr="006E7CA1">
        <w:rPr>
          <w:rFonts w:ascii="Palatino Linotype" w:hAnsi="Palatino Linotype" w:cs="Arial"/>
          <w:sz w:val="24"/>
          <w:szCs w:val="24"/>
        </w:rPr>
        <w:t>sound judgment/decision making</w:t>
      </w:r>
      <w:r w:rsidR="00FB3D05" w:rsidRPr="006E7CA1">
        <w:rPr>
          <w:rFonts w:ascii="Palatino Linotype" w:hAnsi="Palatino Linotype" w:cs="Arial"/>
          <w:sz w:val="24"/>
          <w:szCs w:val="24"/>
        </w:rPr>
        <w:t xml:space="preserve"> </w:t>
      </w:r>
    </w:p>
    <w:p w:rsidR="00BF3806" w:rsidRPr="006E7CA1" w:rsidRDefault="00260C0F"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Carefully considered, it would be fair to say that</w:t>
      </w:r>
      <w:r w:rsidR="00BF3806" w:rsidRPr="006E7CA1">
        <w:rPr>
          <w:rFonts w:ascii="Palatino Linotype" w:hAnsi="Palatino Linotype" w:cs="Arial"/>
          <w:sz w:val="24"/>
          <w:szCs w:val="24"/>
        </w:rPr>
        <w:t xml:space="preserve"> in their nature, most of these skills involve reflective thinking.</w:t>
      </w:r>
    </w:p>
    <w:p w:rsidR="00991958" w:rsidRPr="006E7CA1" w:rsidRDefault="00991958"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lastRenderedPageBreak/>
        <w:t>Beyond skills acquisition, larger claims are made for clinical legal education: “It has been argued that clinical learning offers the potential to provide much more than enhanced skills – it enables a richer understanding of legal rules, legal processes, the role of the legal professional and the impact of the legal system on people and organisations.”</w:t>
      </w:r>
      <w:r w:rsidRPr="006E7CA1">
        <w:rPr>
          <w:rStyle w:val="FootnoteReference"/>
          <w:rFonts w:ascii="Palatino Linotype" w:hAnsi="Palatino Linotype" w:cs="Arial"/>
          <w:sz w:val="24"/>
          <w:szCs w:val="24"/>
        </w:rPr>
        <w:footnoteReference w:id="34"/>
      </w:r>
      <w:r w:rsidRPr="006E7CA1">
        <w:rPr>
          <w:rFonts w:ascii="Palatino Linotype" w:hAnsi="Palatino Linotype" w:cs="Arial"/>
          <w:sz w:val="24"/>
          <w:szCs w:val="24"/>
        </w:rPr>
        <w:t xml:space="preserve"> </w:t>
      </w:r>
      <w:r w:rsidR="00BF3806" w:rsidRPr="006E7CA1">
        <w:rPr>
          <w:rFonts w:ascii="Palatino Linotype" w:hAnsi="Palatino Linotype" w:cs="Arial"/>
          <w:sz w:val="24"/>
          <w:szCs w:val="24"/>
        </w:rPr>
        <w:t>Indeed, so fundamental is the role of reflection in clinical legal education that some authorities have felt it necessary to state that “…to count as clinical legal education, a programme must include reflection. If there is no opportunity or expectation to reflect then an activity is likely to be a valuable pro bono experience but it will not amount to clinic.”</w:t>
      </w:r>
      <w:r w:rsidR="00BF3806" w:rsidRPr="006E7CA1">
        <w:rPr>
          <w:rStyle w:val="FootnoteReference"/>
          <w:rFonts w:ascii="Palatino Linotype" w:hAnsi="Palatino Linotype" w:cs="Arial"/>
          <w:sz w:val="24"/>
          <w:szCs w:val="24"/>
        </w:rPr>
        <w:footnoteReference w:id="35"/>
      </w:r>
      <w:r w:rsidR="00BF3806" w:rsidRPr="006E7CA1">
        <w:rPr>
          <w:rFonts w:ascii="Palatino Linotype" w:hAnsi="Palatino Linotype" w:cs="Arial"/>
          <w:sz w:val="24"/>
          <w:szCs w:val="24"/>
        </w:rPr>
        <w:t xml:space="preserve"> The educational aspect of clinical legal education which is indicated here is the key to theorising clinical legal education and deserves particular emphasis because the law clinic “is the vehicle through which (the) educational process can be advanced in a way to which students readily relate and by which they are stimulated.”</w:t>
      </w:r>
      <w:r w:rsidR="00BF3806" w:rsidRPr="006E7CA1">
        <w:rPr>
          <w:rStyle w:val="FootnoteReference"/>
          <w:rFonts w:ascii="Palatino Linotype" w:hAnsi="Palatino Linotype" w:cs="Arial"/>
          <w:sz w:val="24"/>
          <w:szCs w:val="24"/>
        </w:rPr>
        <w:footnoteReference w:id="36"/>
      </w:r>
      <w:r w:rsidR="00BF3806" w:rsidRPr="006E7CA1">
        <w:rPr>
          <w:rFonts w:ascii="Palatino Linotype" w:hAnsi="Palatino Linotype" w:cs="Arial"/>
          <w:sz w:val="24"/>
          <w:szCs w:val="24"/>
        </w:rPr>
        <w:t xml:space="preserve"> The evolving jurisprudence of clinical legal education advanced by this</w:t>
      </w:r>
      <w:r w:rsidR="00933E2F" w:rsidRPr="006E7CA1">
        <w:rPr>
          <w:rFonts w:ascii="Palatino Linotype" w:hAnsi="Palatino Linotype" w:cs="Arial"/>
          <w:sz w:val="24"/>
          <w:szCs w:val="24"/>
        </w:rPr>
        <w:t xml:space="preserve"> </w:t>
      </w:r>
      <w:r w:rsidR="00C77F4C" w:rsidRPr="006E7CA1">
        <w:rPr>
          <w:rFonts w:ascii="Palatino Linotype" w:hAnsi="Palatino Linotype" w:cs="Arial"/>
          <w:sz w:val="24"/>
          <w:szCs w:val="24"/>
        </w:rPr>
        <w:t>article</w:t>
      </w:r>
      <w:r w:rsidR="00BF3806" w:rsidRPr="006E7CA1">
        <w:rPr>
          <w:rFonts w:ascii="Palatino Linotype" w:hAnsi="Palatino Linotype" w:cs="Arial"/>
          <w:sz w:val="24"/>
          <w:szCs w:val="24"/>
        </w:rPr>
        <w:t xml:space="preserve"> will be considered in the final section.</w:t>
      </w:r>
      <w:r w:rsidR="002F6DD2" w:rsidRPr="006E7CA1">
        <w:rPr>
          <w:rFonts w:ascii="Palatino Linotype" w:hAnsi="Palatino Linotype" w:cs="Arial"/>
          <w:sz w:val="24"/>
          <w:szCs w:val="24"/>
        </w:rPr>
        <w:t xml:space="preserve"> </w:t>
      </w:r>
    </w:p>
    <w:p w:rsidR="002F6DD2" w:rsidRPr="006E7CA1" w:rsidRDefault="002F6DD2"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It may be useful at this point to outline the many claims that are made as the beneficial outcomes of clinical legal education. These outcomes are also the evidence of the putative global triumph of clinical legal education</w:t>
      </w:r>
      <w:r w:rsidR="00185AD8" w:rsidRPr="006E7CA1">
        <w:rPr>
          <w:rFonts w:ascii="Palatino Linotype" w:hAnsi="Palatino Linotype" w:cs="Arial"/>
          <w:sz w:val="24"/>
          <w:szCs w:val="24"/>
        </w:rPr>
        <w:t xml:space="preserve"> indicated at the </w:t>
      </w:r>
      <w:r w:rsidR="00185AD8" w:rsidRPr="006E7CA1">
        <w:rPr>
          <w:rFonts w:ascii="Palatino Linotype" w:hAnsi="Palatino Linotype" w:cs="Arial"/>
          <w:sz w:val="24"/>
          <w:szCs w:val="24"/>
        </w:rPr>
        <w:lastRenderedPageBreak/>
        <w:t xml:space="preserve">beginning of this </w:t>
      </w:r>
      <w:r w:rsidR="00C77F4C" w:rsidRPr="006E7CA1">
        <w:rPr>
          <w:rFonts w:ascii="Palatino Linotype" w:hAnsi="Palatino Linotype" w:cs="Arial"/>
          <w:sz w:val="24"/>
          <w:szCs w:val="24"/>
        </w:rPr>
        <w:t>article</w:t>
      </w:r>
      <w:r w:rsidR="00185AD8" w:rsidRPr="006E7CA1">
        <w:rPr>
          <w:rFonts w:ascii="Palatino Linotype" w:hAnsi="Palatino Linotype" w:cs="Arial"/>
          <w:sz w:val="24"/>
          <w:szCs w:val="24"/>
        </w:rPr>
        <w:t>. According</w:t>
      </w:r>
      <w:r w:rsidR="00260C0F" w:rsidRPr="006E7CA1">
        <w:rPr>
          <w:rFonts w:ascii="Palatino Linotype" w:hAnsi="Palatino Linotype" w:cs="Arial"/>
          <w:sz w:val="24"/>
          <w:szCs w:val="24"/>
        </w:rPr>
        <w:t>ly,</w:t>
      </w:r>
      <w:r w:rsidR="00185AD8" w:rsidRPr="006E7CA1">
        <w:rPr>
          <w:rFonts w:ascii="Palatino Linotype" w:hAnsi="Palatino Linotype" w:cs="Arial"/>
          <w:sz w:val="24"/>
          <w:szCs w:val="24"/>
        </w:rPr>
        <w:t xml:space="preserve"> Kerrigan and Murray</w:t>
      </w:r>
      <w:r w:rsidR="00185AD8" w:rsidRPr="006E7CA1">
        <w:rPr>
          <w:rStyle w:val="FootnoteReference"/>
          <w:rFonts w:ascii="Palatino Linotype" w:hAnsi="Palatino Linotype" w:cs="Arial"/>
          <w:sz w:val="24"/>
          <w:szCs w:val="24"/>
        </w:rPr>
        <w:footnoteReference w:id="37"/>
      </w:r>
      <w:r w:rsidR="00185AD8" w:rsidRPr="006E7CA1">
        <w:rPr>
          <w:rFonts w:ascii="Palatino Linotype" w:hAnsi="Palatino Linotype" w:cs="Arial"/>
          <w:sz w:val="24"/>
          <w:szCs w:val="24"/>
        </w:rPr>
        <w:t xml:space="preserve"> attribute the beneficial outcomes to the following: students </w:t>
      </w:r>
    </w:p>
    <w:p w:rsidR="00185AD8" w:rsidRPr="006E7CA1" w:rsidRDefault="00185AD8" w:rsidP="006E7CA1">
      <w:pPr>
        <w:pStyle w:val="NoSpacing"/>
        <w:numPr>
          <w:ilvl w:val="0"/>
          <w:numId w:val="3"/>
        </w:numPr>
        <w:spacing w:line="360" w:lineRule="auto"/>
        <w:jc w:val="both"/>
        <w:rPr>
          <w:rFonts w:ascii="Palatino Linotype" w:hAnsi="Palatino Linotype" w:cs="Arial"/>
          <w:sz w:val="24"/>
          <w:szCs w:val="24"/>
        </w:rPr>
      </w:pPr>
      <w:r w:rsidRPr="006E7CA1">
        <w:rPr>
          <w:rFonts w:ascii="Palatino Linotype" w:hAnsi="Palatino Linotype" w:cs="Arial"/>
          <w:sz w:val="24"/>
          <w:szCs w:val="24"/>
        </w:rPr>
        <w:t>learn through interacting in-role as a lawyer or other participant in the legal system;</w:t>
      </w:r>
    </w:p>
    <w:p w:rsidR="00185AD8" w:rsidRPr="006E7CA1" w:rsidRDefault="00185AD8" w:rsidP="006E7CA1">
      <w:pPr>
        <w:pStyle w:val="NoSpacing"/>
        <w:numPr>
          <w:ilvl w:val="0"/>
          <w:numId w:val="3"/>
        </w:numPr>
        <w:spacing w:line="360" w:lineRule="auto"/>
        <w:jc w:val="both"/>
        <w:rPr>
          <w:rFonts w:ascii="Palatino Linotype" w:hAnsi="Palatino Linotype" w:cs="Arial"/>
          <w:sz w:val="24"/>
          <w:szCs w:val="24"/>
        </w:rPr>
      </w:pPr>
      <w:r w:rsidRPr="006E7CA1">
        <w:rPr>
          <w:rFonts w:ascii="Palatino Linotype" w:hAnsi="Palatino Linotype" w:cs="Arial"/>
          <w:sz w:val="24"/>
          <w:szCs w:val="24"/>
        </w:rPr>
        <w:t>learn by reflecting on their experience;</w:t>
      </w:r>
    </w:p>
    <w:p w:rsidR="00BF3806" w:rsidRPr="006E7CA1" w:rsidRDefault="00185AD8" w:rsidP="006E7CA1">
      <w:pPr>
        <w:pStyle w:val="NoSpacing"/>
        <w:numPr>
          <w:ilvl w:val="0"/>
          <w:numId w:val="3"/>
        </w:numPr>
        <w:spacing w:line="360" w:lineRule="auto"/>
        <w:jc w:val="both"/>
        <w:rPr>
          <w:rFonts w:ascii="Palatino Linotype" w:hAnsi="Palatino Linotype" w:cs="Arial"/>
          <w:sz w:val="24"/>
          <w:szCs w:val="24"/>
        </w:rPr>
      </w:pPr>
      <w:r w:rsidRPr="006E7CA1">
        <w:rPr>
          <w:rFonts w:ascii="Palatino Linotype" w:hAnsi="Palatino Linotype" w:cs="Arial"/>
          <w:sz w:val="24"/>
          <w:szCs w:val="24"/>
        </w:rPr>
        <w:t>address real or realistic legal issues.</w:t>
      </w:r>
    </w:p>
    <w:p w:rsidR="00BF3806" w:rsidRPr="006E7CA1" w:rsidRDefault="00285591"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Also, Giddings refers to another pedagogical attribute of clinical legal education as “…a clinical continuum which relates to the degree of control exercised over the teaching setting. The emphasis on critique and reflection is a constant while control over the environment varies.”</w:t>
      </w:r>
      <w:r w:rsidRPr="006E7CA1">
        <w:rPr>
          <w:rStyle w:val="FootnoteReference"/>
          <w:rFonts w:ascii="Palatino Linotype" w:hAnsi="Palatino Linotype" w:cs="Arial"/>
          <w:sz w:val="24"/>
          <w:szCs w:val="24"/>
        </w:rPr>
        <w:footnoteReference w:id="38"/>
      </w:r>
    </w:p>
    <w:p w:rsidR="00285591" w:rsidRPr="006E7CA1" w:rsidRDefault="002D2D5E"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Additionally, the global proliferation of clinical legal education may be presented as a contemporary attribute, not just as a signifier of its success. Thus, it can be asserted that c</w:t>
      </w:r>
      <w:r w:rsidR="00285591" w:rsidRPr="006E7CA1">
        <w:rPr>
          <w:rFonts w:ascii="Palatino Linotype" w:hAnsi="Palatino Linotype" w:cs="Arial"/>
          <w:sz w:val="24"/>
          <w:szCs w:val="24"/>
        </w:rPr>
        <w:t xml:space="preserve">linical legal education has triumphed on the world stage. This global success is, </w:t>
      </w:r>
      <w:r w:rsidR="00285591" w:rsidRPr="006E7CA1">
        <w:rPr>
          <w:rFonts w:ascii="Palatino Linotype" w:hAnsi="Palatino Linotype" w:cs="Arial"/>
          <w:i/>
          <w:sz w:val="24"/>
          <w:szCs w:val="24"/>
        </w:rPr>
        <w:t>inter alia,</w:t>
      </w:r>
      <w:r w:rsidR="00285591" w:rsidRPr="006E7CA1">
        <w:rPr>
          <w:rFonts w:ascii="Palatino Linotype" w:hAnsi="Palatino Linotype" w:cs="Arial"/>
          <w:sz w:val="24"/>
          <w:szCs w:val="24"/>
        </w:rPr>
        <w:t xml:space="preserve"> evidenced by “the large number of transnational collaborations among clinicians from all over the world; the existence of truly global organisations such as the Global Alliance for Justice Education (GAJE) which at its eighth world conference held in </w:t>
      </w:r>
      <w:proofErr w:type="spellStart"/>
      <w:r w:rsidR="00285591" w:rsidRPr="006E7CA1">
        <w:rPr>
          <w:rFonts w:ascii="Palatino Linotype" w:hAnsi="Palatino Linotype" w:cs="Arial"/>
          <w:sz w:val="24"/>
          <w:szCs w:val="24"/>
        </w:rPr>
        <w:t>Eskişehir</w:t>
      </w:r>
      <w:proofErr w:type="spellEnd"/>
      <w:r w:rsidR="00285591" w:rsidRPr="006E7CA1">
        <w:rPr>
          <w:rFonts w:ascii="Palatino Linotype" w:hAnsi="Palatino Linotype" w:cs="Arial"/>
          <w:sz w:val="24"/>
          <w:szCs w:val="24"/>
        </w:rPr>
        <w:t xml:space="preserve">, Turkey in July 2015, attracted 350 delegates (most of whom were clinicians) from all regions of the world; the ever-increasing incorporation </w:t>
      </w:r>
      <w:r w:rsidRPr="006E7CA1">
        <w:rPr>
          <w:rFonts w:ascii="Palatino Linotype" w:hAnsi="Palatino Linotype" w:cs="Arial"/>
          <w:sz w:val="24"/>
          <w:szCs w:val="24"/>
        </w:rPr>
        <w:t>o</w:t>
      </w:r>
      <w:r w:rsidR="00285591" w:rsidRPr="006E7CA1">
        <w:rPr>
          <w:rFonts w:ascii="Palatino Linotype" w:hAnsi="Palatino Linotype" w:cs="Arial"/>
          <w:sz w:val="24"/>
          <w:szCs w:val="24"/>
        </w:rPr>
        <w:t xml:space="preserve">f clinical teaching methodology in law school curricula worldwide; and legal publications dedicated to fostering </w:t>
      </w:r>
      <w:r w:rsidR="00285591" w:rsidRPr="006E7CA1">
        <w:rPr>
          <w:rFonts w:ascii="Palatino Linotype" w:hAnsi="Palatino Linotype" w:cs="Arial"/>
          <w:sz w:val="24"/>
          <w:szCs w:val="24"/>
        </w:rPr>
        <w:lastRenderedPageBreak/>
        <w:t>international clinical legal education,</w:t>
      </w:r>
      <w:r w:rsidR="00C77F4C" w:rsidRPr="006E7CA1">
        <w:rPr>
          <w:rFonts w:ascii="Palatino Linotype" w:hAnsi="Palatino Linotype" w:cs="Arial"/>
          <w:sz w:val="24"/>
          <w:szCs w:val="24"/>
        </w:rPr>
        <w:t xml:space="preserve"> perhaps</w:t>
      </w:r>
      <w:r w:rsidR="00285591" w:rsidRPr="006E7CA1">
        <w:rPr>
          <w:rFonts w:ascii="Palatino Linotype" w:hAnsi="Palatino Linotype" w:cs="Arial"/>
          <w:sz w:val="24"/>
          <w:szCs w:val="24"/>
        </w:rPr>
        <w:t xml:space="preserve"> the most prominent being in the </w:t>
      </w:r>
      <w:r w:rsidR="00285591" w:rsidRPr="006E7CA1">
        <w:rPr>
          <w:rFonts w:ascii="Palatino Linotype" w:hAnsi="Palatino Linotype" w:cs="Arial"/>
          <w:i/>
          <w:sz w:val="24"/>
          <w:szCs w:val="24"/>
        </w:rPr>
        <w:t>International Journal of Clinical Legal Education</w:t>
      </w:r>
      <w:r w:rsidR="00285591" w:rsidRPr="006E7CA1">
        <w:rPr>
          <w:rFonts w:ascii="Palatino Linotype" w:hAnsi="Palatino Linotype" w:cs="Arial"/>
          <w:sz w:val="24"/>
          <w:szCs w:val="24"/>
        </w:rPr>
        <w:t xml:space="preserve"> published in the United Kingdom, and the book, </w:t>
      </w:r>
      <w:r w:rsidR="00285591" w:rsidRPr="006E7CA1">
        <w:rPr>
          <w:rFonts w:ascii="Palatino Linotype" w:hAnsi="Palatino Linotype" w:cs="Arial"/>
          <w:i/>
          <w:sz w:val="24"/>
          <w:szCs w:val="24"/>
        </w:rPr>
        <w:t>The Global Clinical Movement:</w:t>
      </w:r>
      <w:r w:rsidR="00285591" w:rsidRPr="006E7CA1">
        <w:rPr>
          <w:rFonts w:ascii="Palatino Linotype" w:hAnsi="Palatino Linotype" w:cs="Arial"/>
          <w:sz w:val="24"/>
          <w:szCs w:val="24"/>
        </w:rPr>
        <w:t xml:space="preserve"> </w:t>
      </w:r>
      <w:r w:rsidR="00285591" w:rsidRPr="006E7CA1">
        <w:rPr>
          <w:rFonts w:ascii="Palatino Linotype" w:hAnsi="Palatino Linotype" w:cs="Arial"/>
          <w:i/>
          <w:sz w:val="24"/>
          <w:szCs w:val="24"/>
        </w:rPr>
        <w:t>Educating Lawyers for Social Justice</w:t>
      </w:r>
      <w:r w:rsidR="00285591" w:rsidRPr="006E7CA1">
        <w:rPr>
          <w:rFonts w:ascii="Palatino Linotype" w:hAnsi="Palatino Linotype" w:cs="Arial"/>
          <w:sz w:val="24"/>
          <w:szCs w:val="24"/>
        </w:rPr>
        <w:t xml:space="preserve"> edited by Professor Frank Bloch (OUP, 2011).”</w:t>
      </w:r>
      <w:r w:rsidR="00285591" w:rsidRPr="006E7CA1">
        <w:rPr>
          <w:rStyle w:val="FootnoteReference"/>
          <w:rFonts w:ascii="Palatino Linotype" w:hAnsi="Palatino Linotype" w:cs="Arial"/>
          <w:sz w:val="24"/>
          <w:szCs w:val="24"/>
        </w:rPr>
        <w:footnoteReference w:id="39"/>
      </w:r>
    </w:p>
    <w:p w:rsidR="00285591" w:rsidRPr="006E7CA1" w:rsidRDefault="00285591"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Of course, the fact of global success in itself would not be the qualitative measure of </w:t>
      </w:r>
      <w:r w:rsidR="005768B7" w:rsidRPr="006E7CA1">
        <w:rPr>
          <w:rFonts w:ascii="Palatino Linotype" w:hAnsi="Palatino Linotype" w:cs="Arial"/>
          <w:sz w:val="24"/>
          <w:szCs w:val="24"/>
        </w:rPr>
        <w:t>usefulness or goodness</w:t>
      </w:r>
      <w:r w:rsidRPr="006E7CA1">
        <w:rPr>
          <w:rFonts w:ascii="Palatino Linotype" w:hAnsi="Palatino Linotype" w:cs="Arial"/>
          <w:sz w:val="24"/>
          <w:szCs w:val="24"/>
        </w:rPr>
        <w:t>. The political left, for example, recognise the ubiquity and entrenchment of global capitalism or globalisation but are antithetical</w:t>
      </w:r>
      <w:r w:rsidR="002D2D5E" w:rsidRPr="006E7CA1">
        <w:rPr>
          <w:rFonts w:ascii="Palatino Linotype" w:hAnsi="Palatino Linotype" w:cs="Arial"/>
          <w:sz w:val="24"/>
          <w:szCs w:val="24"/>
        </w:rPr>
        <w:t xml:space="preserve"> to it</w:t>
      </w:r>
      <w:r w:rsidRPr="006E7CA1">
        <w:rPr>
          <w:rFonts w:ascii="Palatino Linotype" w:hAnsi="Palatino Linotype" w:cs="Arial"/>
          <w:sz w:val="24"/>
          <w:szCs w:val="24"/>
        </w:rPr>
        <w:t xml:space="preserve"> because they consider the phenomenon to be inimical to global social justice. In the case of clinical legal education however, the benefits of experiential learning and the law clinic are well recognised and documented.</w:t>
      </w:r>
      <w:r w:rsidRPr="006E7CA1">
        <w:rPr>
          <w:rStyle w:val="FootnoteReference"/>
          <w:rFonts w:ascii="Palatino Linotype" w:hAnsi="Palatino Linotype" w:cs="Arial"/>
          <w:sz w:val="24"/>
          <w:szCs w:val="24"/>
        </w:rPr>
        <w:footnoteReference w:id="40"/>
      </w:r>
      <w:r w:rsidRPr="006E7CA1">
        <w:rPr>
          <w:rFonts w:ascii="Palatino Linotype" w:hAnsi="Palatino Linotype" w:cs="Arial"/>
          <w:sz w:val="24"/>
          <w:szCs w:val="24"/>
        </w:rPr>
        <w:t xml:space="preserve"> </w:t>
      </w:r>
      <w:r w:rsidR="005768B7" w:rsidRPr="006E7CA1">
        <w:rPr>
          <w:rFonts w:ascii="Palatino Linotype" w:hAnsi="Palatino Linotype" w:cs="Arial"/>
          <w:sz w:val="24"/>
          <w:szCs w:val="24"/>
        </w:rPr>
        <w:t xml:space="preserve">But perhaps the seminal distillation of what succeeds in clinical legal education </w:t>
      </w:r>
      <w:r w:rsidR="002D2D5E" w:rsidRPr="006E7CA1">
        <w:rPr>
          <w:rFonts w:ascii="Palatino Linotype" w:hAnsi="Palatino Linotype" w:cs="Arial"/>
          <w:sz w:val="24"/>
          <w:szCs w:val="24"/>
        </w:rPr>
        <w:t xml:space="preserve">is </w:t>
      </w:r>
      <w:r w:rsidR="005768B7" w:rsidRPr="006E7CA1">
        <w:rPr>
          <w:rFonts w:ascii="Palatino Linotype" w:hAnsi="Palatino Linotype" w:cs="Arial"/>
          <w:sz w:val="24"/>
          <w:szCs w:val="24"/>
        </w:rPr>
        <w:t>captured by the following</w:t>
      </w:r>
      <w:r w:rsidR="00260C0F" w:rsidRPr="006E7CA1">
        <w:rPr>
          <w:rFonts w:ascii="Palatino Linotype" w:hAnsi="Palatino Linotype" w:cs="Arial"/>
          <w:sz w:val="24"/>
          <w:szCs w:val="24"/>
        </w:rPr>
        <w:t xml:space="preserve"> observation</w:t>
      </w:r>
      <w:r w:rsidR="005768B7" w:rsidRPr="006E7CA1">
        <w:rPr>
          <w:rFonts w:ascii="Palatino Linotype" w:hAnsi="Palatino Linotype" w:cs="Arial"/>
          <w:sz w:val="24"/>
          <w:szCs w:val="24"/>
        </w:rPr>
        <w:t>:</w:t>
      </w:r>
    </w:p>
    <w:p w:rsidR="005768B7" w:rsidRPr="006E7CA1" w:rsidRDefault="005768B7" w:rsidP="006E7CA1">
      <w:pPr>
        <w:pStyle w:val="NoSpacing"/>
        <w:spacing w:line="360" w:lineRule="auto"/>
        <w:ind w:left="284" w:right="237"/>
        <w:jc w:val="both"/>
        <w:rPr>
          <w:rFonts w:ascii="Palatino Linotype" w:hAnsi="Palatino Linotype" w:cs="Arial"/>
          <w:sz w:val="24"/>
          <w:szCs w:val="24"/>
        </w:rPr>
      </w:pPr>
      <w:r w:rsidRPr="006E7CA1">
        <w:rPr>
          <w:rFonts w:ascii="Palatino Linotype" w:hAnsi="Palatino Linotype" w:cs="Arial"/>
          <w:sz w:val="24"/>
          <w:szCs w:val="24"/>
        </w:rPr>
        <w:t xml:space="preserve">“…the study of law is of limited value unless it is directed at understanding the law which is practised, the law which affects the lives of real people. This is the hard evidence from which legal theory can be constructed and hypotheses tested. To study the theory without the evidence in that sense is unscientific. An understanding of law and an ability to apply that understanding requires the study of law in its operational context…this applies equally to those students who wish to practise law </w:t>
      </w:r>
      <w:r w:rsidRPr="006E7CA1">
        <w:rPr>
          <w:rFonts w:ascii="Palatino Linotype" w:hAnsi="Palatino Linotype" w:cs="Arial"/>
          <w:i/>
          <w:sz w:val="24"/>
          <w:szCs w:val="24"/>
        </w:rPr>
        <w:t xml:space="preserve">and </w:t>
      </w:r>
      <w:r w:rsidRPr="006E7CA1">
        <w:rPr>
          <w:rFonts w:ascii="Palatino Linotype" w:hAnsi="Palatino Linotype" w:cs="Arial"/>
          <w:sz w:val="24"/>
          <w:szCs w:val="24"/>
        </w:rPr>
        <w:t xml:space="preserve">to those who do not. Law studied out of the context of practice is an artificial concept. The law clinic is a vehicle through which this educational process can be </w:t>
      </w:r>
      <w:r w:rsidRPr="006E7CA1">
        <w:rPr>
          <w:rFonts w:ascii="Palatino Linotype" w:hAnsi="Palatino Linotype" w:cs="Arial"/>
          <w:sz w:val="24"/>
          <w:szCs w:val="24"/>
        </w:rPr>
        <w:lastRenderedPageBreak/>
        <w:t>advanced in a way to which students readily relate and by which they are stimulated.”</w:t>
      </w:r>
      <w:r w:rsidRPr="006E7CA1">
        <w:rPr>
          <w:rStyle w:val="FootnoteReference"/>
          <w:rFonts w:ascii="Palatino Linotype" w:hAnsi="Palatino Linotype" w:cs="Arial"/>
          <w:sz w:val="24"/>
          <w:szCs w:val="24"/>
        </w:rPr>
        <w:footnoteReference w:id="41"/>
      </w:r>
    </w:p>
    <w:p w:rsidR="00260C0F" w:rsidRPr="006E7CA1" w:rsidRDefault="005768B7"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In the final part of this section some consideration must be given to the relationship and relative perspective of the teacher clinician and the student. In this context, it is helpful to recall that one of the attributes of clinical legal education acknowledged in the earlier part of this section is the relative degree of autonomy that a successful clinical experience invests in the student as a reflective learner. Equally, the teacher clinician is liberated by a different </w:t>
      </w:r>
      <w:proofErr w:type="spellStart"/>
      <w:r w:rsidRPr="006E7CA1">
        <w:rPr>
          <w:rFonts w:ascii="Palatino Linotype" w:hAnsi="Palatino Linotype" w:cs="Arial"/>
          <w:sz w:val="24"/>
          <w:szCs w:val="24"/>
        </w:rPr>
        <w:t>relation</w:t>
      </w:r>
      <w:r w:rsidR="00003A73" w:rsidRPr="006E7CA1">
        <w:rPr>
          <w:rFonts w:ascii="Palatino Linotype" w:hAnsi="Palatino Linotype" w:cs="Arial"/>
          <w:sz w:val="24"/>
          <w:szCs w:val="24"/>
        </w:rPr>
        <w:t>ehip</w:t>
      </w:r>
      <w:proofErr w:type="spellEnd"/>
      <w:r w:rsidRPr="006E7CA1">
        <w:rPr>
          <w:rFonts w:ascii="Palatino Linotype" w:hAnsi="Palatino Linotype" w:cs="Arial"/>
          <w:sz w:val="24"/>
          <w:szCs w:val="24"/>
        </w:rPr>
        <w:t xml:space="preserve"> engendered by the guided independence of the clinical student. Thus, it is perhaps best to characterise the new model relationship as one in which teaching and learning become a necessary partnership which is most effective if students are guided to own their own learning by motivation based on an understanding of the link between effort and outcomes. </w:t>
      </w:r>
    </w:p>
    <w:p w:rsidR="004E7D9A" w:rsidRPr="006E7CA1" w:rsidRDefault="005768B7"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The student is not an intellectual object who receives instruction and knowledge but an active learner who reflects on information and is able to understand and evaluate such information in real or realistic context. The author as teacher-clinician has found over the years that students are best able to become critical and reflective learners if they are </w:t>
      </w:r>
      <w:r w:rsidR="003752DB" w:rsidRPr="006E7CA1">
        <w:rPr>
          <w:rFonts w:ascii="Palatino Linotype" w:hAnsi="Palatino Linotype" w:cs="Arial"/>
          <w:sz w:val="24"/>
          <w:szCs w:val="24"/>
        </w:rPr>
        <w:t>enabled</w:t>
      </w:r>
      <w:r w:rsidRPr="006E7CA1">
        <w:rPr>
          <w:rFonts w:ascii="Palatino Linotype" w:hAnsi="Palatino Linotype" w:cs="Arial"/>
          <w:sz w:val="24"/>
          <w:szCs w:val="24"/>
        </w:rPr>
        <w:t xml:space="preserve"> to plac</w:t>
      </w:r>
      <w:r w:rsidR="003752DB" w:rsidRPr="006E7CA1">
        <w:rPr>
          <w:rFonts w:ascii="Palatino Linotype" w:hAnsi="Palatino Linotype" w:cs="Arial"/>
          <w:sz w:val="24"/>
          <w:szCs w:val="24"/>
        </w:rPr>
        <w:t>e</w:t>
      </w:r>
      <w:r w:rsidRPr="006E7CA1">
        <w:rPr>
          <w:rFonts w:ascii="Palatino Linotype" w:hAnsi="Palatino Linotype" w:cs="Arial"/>
          <w:sz w:val="24"/>
          <w:szCs w:val="24"/>
        </w:rPr>
        <w:t xml:space="preserve"> the subject matter of study into appropriate context (history, economics, politics, purpose, etc.) Learning in context means approaching legal principles and processes by </w:t>
      </w:r>
      <w:r w:rsidR="003752DB" w:rsidRPr="006E7CA1">
        <w:rPr>
          <w:rFonts w:ascii="Palatino Linotype" w:hAnsi="Palatino Linotype" w:cs="Arial"/>
          <w:sz w:val="24"/>
          <w:szCs w:val="24"/>
        </w:rPr>
        <w:t>connecting</w:t>
      </w:r>
      <w:r w:rsidRPr="006E7CA1">
        <w:rPr>
          <w:rFonts w:ascii="Palatino Linotype" w:hAnsi="Palatino Linotype" w:cs="Arial"/>
          <w:sz w:val="24"/>
          <w:szCs w:val="24"/>
        </w:rPr>
        <w:t xml:space="preserve"> theory and practice. If law is a </w:t>
      </w:r>
      <w:r w:rsidRPr="006E7CA1">
        <w:rPr>
          <w:rFonts w:ascii="Palatino Linotype" w:hAnsi="Palatino Linotype" w:cs="Arial"/>
          <w:i/>
          <w:sz w:val="24"/>
          <w:szCs w:val="24"/>
        </w:rPr>
        <w:t xml:space="preserve">social </w:t>
      </w:r>
      <w:r w:rsidRPr="006E7CA1">
        <w:rPr>
          <w:rFonts w:ascii="Palatino Linotype" w:hAnsi="Palatino Linotype" w:cs="Arial"/>
          <w:sz w:val="24"/>
          <w:szCs w:val="24"/>
        </w:rPr>
        <w:t xml:space="preserve">institution then the student of law must be </w:t>
      </w:r>
      <w:r w:rsidR="003752DB" w:rsidRPr="006E7CA1">
        <w:rPr>
          <w:rFonts w:ascii="Palatino Linotype" w:hAnsi="Palatino Linotype" w:cs="Arial"/>
          <w:sz w:val="24"/>
          <w:szCs w:val="24"/>
        </w:rPr>
        <w:t>guided</w:t>
      </w:r>
      <w:r w:rsidRPr="006E7CA1">
        <w:rPr>
          <w:rFonts w:ascii="Palatino Linotype" w:hAnsi="Palatino Linotype" w:cs="Arial"/>
          <w:sz w:val="24"/>
          <w:szCs w:val="24"/>
        </w:rPr>
        <w:t xml:space="preserve"> to </w:t>
      </w:r>
      <w:r w:rsidRPr="006E7CA1">
        <w:rPr>
          <w:rFonts w:ascii="Palatino Linotype" w:hAnsi="Palatino Linotype" w:cs="Arial"/>
          <w:sz w:val="24"/>
          <w:szCs w:val="24"/>
        </w:rPr>
        <w:lastRenderedPageBreak/>
        <w:t xml:space="preserve">adopt a critical approach to the study of law </w:t>
      </w:r>
      <w:r w:rsidR="00933E2F" w:rsidRPr="006E7CA1">
        <w:rPr>
          <w:rFonts w:ascii="Palatino Linotype" w:hAnsi="Palatino Linotype" w:cs="Arial"/>
          <w:sz w:val="24"/>
          <w:szCs w:val="24"/>
        </w:rPr>
        <w:t xml:space="preserve">and legal processes </w:t>
      </w:r>
      <w:r w:rsidRPr="006E7CA1">
        <w:rPr>
          <w:rFonts w:ascii="Palatino Linotype" w:hAnsi="Palatino Linotype" w:cs="Arial"/>
          <w:sz w:val="24"/>
          <w:szCs w:val="24"/>
        </w:rPr>
        <w:t xml:space="preserve">that gives them an understanding of agency. With this approach, the student will hopefully understand that law is an instrument for the achievement of social goals. As such, the knowledge that the student derives from the experience empowers them as active social functionaries who have the capacity to affect how law works in society. Equally, a teacher-clinician is a product of their own experience of matters </w:t>
      </w:r>
      <w:r w:rsidR="003752DB" w:rsidRPr="006E7CA1">
        <w:rPr>
          <w:rFonts w:ascii="Palatino Linotype" w:hAnsi="Palatino Linotype" w:cs="Arial"/>
          <w:sz w:val="24"/>
          <w:szCs w:val="24"/>
        </w:rPr>
        <w:t>requisite</w:t>
      </w:r>
      <w:r w:rsidRPr="006E7CA1">
        <w:rPr>
          <w:rFonts w:ascii="Palatino Linotype" w:hAnsi="Palatino Linotype" w:cs="Arial"/>
          <w:sz w:val="24"/>
          <w:szCs w:val="24"/>
        </w:rPr>
        <w:t xml:space="preserve"> such as diversity and inequality and the values of the higher education sector</w:t>
      </w:r>
      <w:r w:rsidR="003752DB" w:rsidRPr="006E7CA1">
        <w:rPr>
          <w:rStyle w:val="FootnoteReference"/>
          <w:rFonts w:ascii="Palatino Linotype" w:hAnsi="Palatino Linotype" w:cs="Arial"/>
          <w:sz w:val="24"/>
          <w:szCs w:val="24"/>
        </w:rPr>
        <w:footnoteReference w:id="42"/>
      </w:r>
      <w:r w:rsidRPr="006E7CA1">
        <w:rPr>
          <w:rFonts w:ascii="Palatino Linotype" w:hAnsi="Palatino Linotype" w:cs="Arial"/>
          <w:sz w:val="24"/>
          <w:szCs w:val="24"/>
        </w:rPr>
        <w:t xml:space="preserve"> that they may subscribe to individually or institutionally such as widening participation and equality of opportunity, adopting approaches that best help diverse learning communities to achieve high quality educational outcomes, etc. (progressive modes of assessment for example.)</w:t>
      </w:r>
    </w:p>
    <w:p w:rsidR="002E7CB2" w:rsidRPr="006E7CA1" w:rsidRDefault="002E7CB2" w:rsidP="006E7CA1">
      <w:pPr>
        <w:pStyle w:val="NoSpacing"/>
        <w:spacing w:line="480" w:lineRule="auto"/>
        <w:jc w:val="both"/>
        <w:rPr>
          <w:rFonts w:ascii="Palatino Linotype" w:hAnsi="Palatino Linotype" w:cs="Arial"/>
          <w:sz w:val="24"/>
          <w:szCs w:val="24"/>
        </w:rPr>
      </w:pPr>
    </w:p>
    <w:p w:rsidR="005768B7" w:rsidRPr="006E7CA1" w:rsidRDefault="005768B7"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t>4</w:t>
      </w:r>
      <w:r w:rsidR="006E7CA1" w:rsidRPr="006E7CA1">
        <w:rPr>
          <w:rFonts w:ascii="Palatino Linotype" w:hAnsi="Palatino Linotype" w:cs="Arial"/>
          <w:b/>
          <w:sz w:val="24"/>
          <w:szCs w:val="24"/>
        </w:rPr>
        <w:t>. TYPES OF LAW CLINICS AND THEIR EDUCATIONAL VALUE</w:t>
      </w:r>
    </w:p>
    <w:p w:rsidR="005768B7" w:rsidRPr="006E7CA1" w:rsidRDefault="005768B7" w:rsidP="000578AC">
      <w:pPr>
        <w:pStyle w:val="NoSpacing"/>
        <w:spacing w:line="360" w:lineRule="auto"/>
        <w:jc w:val="both"/>
        <w:rPr>
          <w:rFonts w:ascii="Palatino Linotype" w:hAnsi="Palatino Linotype" w:cs="Arial"/>
          <w:sz w:val="24"/>
          <w:szCs w:val="24"/>
        </w:rPr>
      </w:pPr>
      <w:r w:rsidRPr="006E7CA1">
        <w:rPr>
          <w:rFonts w:ascii="Palatino Linotype" w:hAnsi="Palatino Linotype" w:cs="Arial"/>
          <w:sz w:val="24"/>
          <w:szCs w:val="24"/>
        </w:rPr>
        <w:t>Clinical legal education is expressed in a diversity of clinical projects and programmes ranging from in-house variants to externships.</w:t>
      </w:r>
      <w:r w:rsidR="002E7CB2" w:rsidRPr="006E7CA1">
        <w:rPr>
          <w:rFonts w:ascii="Palatino Linotype" w:hAnsi="Palatino Linotype" w:cs="Arial"/>
          <w:sz w:val="24"/>
          <w:szCs w:val="24"/>
        </w:rPr>
        <w:t xml:space="preserve"> The most common are:</w:t>
      </w:r>
      <w:r w:rsidR="00C77F4C" w:rsidRPr="006E7CA1">
        <w:rPr>
          <w:rStyle w:val="FootnoteReference"/>
          <w:rFonts w:ascii="Palatino Linotype" w:hAnsi="Palatino Linotype" w:cs="Arial"/>
          <w:sz w:val="24"/>
          <w:szCs w:val="24"/>
        </w:rPr>
        <w:footnoteReference w:id="43"/>
      </w:r>
    </w:p>
    <w:p w:rsidR="002E7CB2" w:rsidRPr="006E7CA1" w:rsidRDefault="002E7CB2" w:rsidP="000578AC">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in-house real-client clinics;</w:t>
      </w:r>
    </w:p>
    <w:p w:rsidR="002E7CB2" w:rsidRPr="006E7CA1" w:rsidRDefault="002E7CB2"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externally-located real-client clinics;</w:t>
      </w:r>
    </w:p>
    <w:p w:rsidR="002E7CB2" w:rsidRPr="006E7CA1" w:rsidRDefault="002E7CB2"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simulated clinics;</w:t>
      </w:r>
    </w:p>
    <w:p w:rsidR="002E7CB2" w:rsidRPr="006E7CA1" w:rsidRDefault="002E7CB2"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externship and placement schemes;</w:t>
      </w:r>
    </w:p>
    <w:p w:rsidR="002E7CB2" w:rsidRPr="006E7CA1" w:rsidRDefault="002E7CB2"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street law projects;</w:t>
      </w:r>
    </w:p>
    <w:p w:rsidR="002E7CB2" w:rsidRPr="006E7CA1" w:rsidRDefault="002E7CB2"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lastRenderedPageBreak/>
        <w:t xml:space="preserve">specialist clinic projects; and </w:t>
      </w:r>
    </w:p>
    <w:p w:rsidR="002E7CB2" w:rsidRPr="006E7CA1" w:rsidRDefault="00703993" w:rsidP="006E7CA1">
      <w:pPr>
        <w:pStyle w:val="NoSpacing"/>
        <w:numPr>
          <w:ilvl w:val="0"/>
          <w:numId w:val="6"/>
        </w:numPr>
        <w:spacing w:line="360" w:lineRule="auto"/>
        <w:jc w:val="both"/>
        <w:rPr>
          <w:rFonts w:ascii="Palatino Linotype" w:hAnsi="Palatino Linotype" w:cs="Arial"/>
          <w:sz w:val="24"/>
          <w:szCs w:val="24"/>
        </w:rPr>
      </w:pPr>
      <w:r w:rsidRPr="006E7CA1">
        <w:rPr>
          <w:rFonts w:ascii="Palatino Linotype" w:hAnsi="Palatino Linotype" w:cs="Arial"/>
          <w:sz w:val="24"/>
          <w:szCs w:val="24"/>
        </w:rPr>
        <w:t>Advice/gateway</w:t>
      </w:r>
      <w:r w:rsidR="002E7CB2" w:rsidRPr="006E7CA1">
        <w:rPr>
          <w:rFonts w:ascii="Palatino Linotype" w:hAnsi="Palatino Linotype" w:cs="Arial"/>
          <w:sz w:val="24"/>
          <w:szCs w:val="24"/>
        </w:rPr>
        <w:t xml:space="preserve"> clinics.</w:t>
      </w:r>
    </w:p>
    <w:p w:rsidR="004E7D9A" w:rsidRPr="006E7CA1" w:rsidRDefault="002E7CB2"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Regardless of the particula</w:t>
      </w:r>
      <w:r w:rsidR="00933E2F" w:rsidRPr="006E7CA1">
        <w:rPr>
          <w:rFonts w:ascii="Palatino Linotype" w:hAnsi="Palatino Linotype" w:cs="Arial"/>
          <w:sz w:val="24"/>
          <w:szCs w:val="24"/>
        </w:rPr>
        <w:t>r</w:t>
      </w:r>
      <w:r w:rsidRPr="006E7CA1">
        <w:rPr>
          <w:rFonts w:ascii="Palatino Linotype" w:hAnsi="Palatino Linotype" w:cs="Arial"/>
          <w:sz w:val="24"/>
          <w:szCs w:val="24"/>
        </w:rPr>
        <w:t xml:space="preserve"> nature of each of these various </w:t>
      </w:r>
      <w:r w:rsidR="003752DB" w:rsidRPr="006E7CA1">
        <w:rPr>
          <w:rFonts w:ascii="Palatino Linotype" w:hAnsi="Palatino Linotype" w:cs="Arial"/>
          <w:sz w:val="24"/>
          <w:szCs w:val="24"/>
        </w:rPr>
        <w:t>schemes</w:t>
      </w:r>
      <w:r w:rsidRPr="006E7CA1">
        <w:rPr>
          <w:rFonts w:ascii="Palatino Linotype" w:hAnsi="Palatino Linotype" w:cs="Arial"/>
          <w:sz w:val="24"/>
          <w:szCs w:val="24"/>
        </w:rPr>
        <w:t xml:space="preserve">, with the possible exception of street law projects, the purposes of </w:t>
      </w:r>
      <w:r w:rsidR="00703993" w:rsidRPr="006E7CA1">
        <w:rPr>
          <w:rFonts w:ascii="Palatino Linotype" w:hAnsi="Palatino Linotype" w:cs="Arial"/>
          <w:sz w:val="24"/>
          <w:szCs w:val="24"/>
        </w:rPr>
        <w:t>these</w:t>
      </w:r>
      <w:r w:rsidRPr="006E7CA1">
        <w:rPr>
          <w:rFonts w:ascii="Palatino Linotype" w:hAnsi="Palatino Linotype" w:cs="Arial"/>
          <w:sz w:val="24"/>
          <w:szCs w:val="24"/>
        </w:rPr>
        <w:t xml:space="preserve"> clinics are relatively similar. These are said to be to expose students to law in a practice setting and to the analysis, management and process of the problems arising.</w:t>
      </w:r>
      <w:r w:rsidRPr="006E7CA1">
        <w:rPr>
          <w:rStyle w:val="FootnoteReference"/>
          <w:rFonts w:ascii="Palatino Linotype" w:hAnsi="Palatino Linotype" w:cs="Arial"/>
          <w:sz w:val="24"/>
          <w:szCs w:val="24"/>
        </w:rPr>
        <w:footnoteReference w:id="44"/>
      </w:r>
      <w:r w:rsidRPr="006E7CA1">
        <w:rPr>
          <w:rFonts w:ascii="Palatino Linotype" w:hAnsi="Palatino Linotype" w:cs="Arial"/>
          <w:sz w:val="24"/>
          <w:szCs w:val="24"/>
        </w:rPr>
        <w:t xml:space="preserve"> The in-house clinic involves the replication of a real solicitors practice </w:t>
      </w:r>
      <w:r w:rsidR="003752DB" w:rsidRPr="006E7CA1">
        <w:rPr>
          <w:rFonts w:ascii="Palatino Linotype" w:hAnsi="Palatino Linotype" w:cs="Arial"/>
          <w:sz w:val="24"/>
          <w:szCs w:val="24"/>
        </w:rPr>
        <w:t>within</w:t>
      </w:r>
      <w:r w:rsidRPr="006E7CA1">
        <w:rPr>
          <w:rFonts w:ascii="Palatino Linotype" w:hAnsi="Palatino Linotype" w:cs="Arial"/>
          <w:sz w:val="24"/>
          <w:szCs w:val="24"/>
        </w:rPr>
        <w:t xml:space="preserve"> the law school. Such clinics typically deliver a full range of legal services to the public under the supervision of a practitioner academic. This type of clinic requires the commitment of substantial resources by the law school or the broader university – premises, salaries, insurance and other running costs. Some consider this type of clinic as ‘the ‘gold standard’</w:t>
      </w:r>
      <w:r w:rsidRPr="006E7CA1">
        <w:rPr>
          <w:rStyle w:val="FootnoteReference"/>
          <w:rFonts w:ascii="Palatino Linotype" w:hAnsi="Palatino Linotype" w:cs="Arial"/>
          <w:sz w:val="24"/>
          <w:szCs w:val="24"/>
        </w:rPr>
        <w:footnoteReference w:id="45"/>
      </w:r>
      <w:r w:rsidRPr="006E7CA1">
        <w:rPr>
          <w:rFonts w:ascii="Palatino Linotype" w:hAnsi="Palatino Linotype" w:cs="Arial"/>
          <w:sz w:val="24"/>
          <w:szCs w:val="24"/>
        </w:rPr>
        <w:t xml:space="preserve"> but there are severe limitations on the scope of service delivery because of the cost</w:t>
      </w:r>
      <w:r w:rsidR="00C543FB" w:rsidRPr="006E7CA1">
        <w:rPr>
          <w:rFonts w:ascii="Palatino Linotype" w:hAnsi="Palatino Linotype" w:cs="Arial"/>
          <w:sz w:val="24"/>
          <w:szCs w:val="24"/>
        </w:rPr>
        <w:t>.</w:t>
      </w:r>
      <w:r w:rsidRPr="006E7CA1">
        <w:rPr>
          <w:rFonts w:ascii="Palatino Linotype" w:hAnsi="Palatino Linotype" w:cs="Arial"/>
          <w:sz w:val="24"/>
          <w:szCs w:val="24"/>
        </w:rPr>
        <w:t xml:space="preserve"> For example, the number of clients dealt with per year would tend to be small.</w:t>
      </w:r>
      <w:r w:rsidRPr="006E7CA1">
        <w:rPr>
          <w:rStyle w:val="FootnoteReference"/>
          <w:rFonts w:ascii="Palatino Linotype" w:hAnsi="Palatino Linotype" w:cs="Arial"/>
          <w:sz w:val="24"/>
          <w:szCs w:val="24"/>
        </w:rPr>
        <w:footnoteReference w:id="46"/>
      </w:r>
      <w:r w:rsidRPr="006E7CA1">
        <w:rPr>
          <w:rFonts w:ascii="Palatino Linotype" w:hAnsi="Palatino Linotype" w:cs="Arial"/>
          <w:sz w:val="24"/>
          <w:szCs w:val="24"/>
        </w:rPr>
        <w:t xml:space="preserve"> In contrast to the in-house clinic, there are gateway/advice only service</w:t>
      </w:r>
      <w:r w:rsidR="00C543FB" w:rsidRPr="006E7CA1">
        <w:rPr>
          <w:rFonts w:ascii="Palatino Linotype" w:hAnsi="Palatino Linotype" w:cs="Arial"/>
          <w:sz w:val="24"/>
          <w:szCs w:val="24"/>
        </w:rPr>
        <w:t>s which provide</w:t>
      </w:r>
      <w:r w:rsidRPr="006E7CA1">
        <w:rPr>
          <w:rFonts w:ascii="Palatino Linotype" w:hAnsi="Palatino Linotype" w:cs="Arial"/>
          <w:sz w:val="24"/>
          <w:szCs w:val="24"/>
        </w:rPr>
        <w:t xml:space="preserve"> initial advice and referral to members of the public, usually over a wide range of areas of law but sometimes limited and specific, with no continuing or retainer relationship </w:t>
      </w:r>
      <w:r w:rsidR="00703993" w:rsidRPr="006E7CA1">
        <w:rPr>
          <w:rFonts w:ascii="Palatino Linotype" w:hAnsi="Palatino Linotype" w:cs="Arial"/>
          <w:sz w:val="24"/>
          <w:szCs w:val="24"/>
        </w:rPr>
        <w:t>between</w:t>
      </w:r>
      <w:r w:rsidRPr="006E7CA1">
        <w:rPr>
          <w:rFonts w:ascii="Palatino Linotype" w:hAnsi="Palatino Linotype" w:cs="Arial"/>
          <w:sz w:val="24"/>
          <w:szCs w:val="24"/>
        </w:rPr>
        <w:t xml:space="preserve"> the client and the clinic. This type of clinic has the advantage of being cheaper to run and without most of the professional requirements of the Solicitors’ </w:t>
      </w:r>
      <w:r w:rsidR="00F96320" w:rsidRPr="006E7CA1">
        <w:rPr>
          <w:rFonts w:ascii="Palatino Linotype" w:hAnsi="Palatino Linotype" w:cs="Arial"/>
          <w:sz w:val="24"/>
          <w:szCs w:val="24"/>
        </w:rPr>
        <w:t>R</w:t>
      </w:r>
      <w:r w:rsidRPr="006E7CA1">
        <w:rPr>
          <w:rFonts w:ascii="Palatino Linotype" w:hAnsi="Palatino Linotype" w:cs="Arial"/>
          <w:sz w:val="24"/>
          <w:szCs w:val="24"/>
        </w:rPr>
        <w:t>egulation Authority (SRA)</w:t>
      </w:r>
      <w:r w:rsidR="00813B3F" w:rsidRPr="006E7CA1">
        <w:rPr>
          <w:rFonts w:ascii="Palatino Linotype" w:hAnsi="Palatino Linotype" w:cs="Arial"/>
          <w:sz w:val="24"/>
          <w:szCs w:val="24"/>
        </w:rPr>
        <w:t xml:space="preserve">, the professional body in England and Wales responsible for the regulation </w:t>
      </w:r>
      <w:r w:rsidR="00813B3F" w:rsidRPr="006E7CA1">
        <w:rPr>
          <w:rFonts w:ascii="Palatino Linotype" w:hAnsi="Palatino Linotype" w:cs="Arial"/>
          <w:sz w:val="24"/>
          <w:szCs w:val="24"/>
        </w:rPr>
        <w:lastRenderedPageBreak/>
        <w:t>of entry into the profession and the profession itself.</w:t>
      </w:r>
      <w:r w:rsidRPr="006E7CA1">
        <w:rPr>
          <w:rFonts w:ascii="Palatino Linotype" w:hAnsi="Palatino Linotype" w:cs="Arial"/>
          <w:sz w:val="24"/>
          <w:szCs w:val="24"/>
        </w:rPr>
        <w:t xml:space="preserve"> Simulated</w:t>
      </w:r>
      <w:r w:rsidR="006A0A63" w:rsidRPr="006E7CA1">
        <w:rPr>
          <w:rFonts w:ascii="Palatino Linotype" w:hAnsi="Palatino Linotype" w:cs="Arial"/>
          <w:sz w:val="24"/>
          <w:szCs w:val="24"/>
        </w:rPr>
        <w:t xml:space="preserve"> </w:t>
      </w:r>
      <w:r w:rsidRPr="006E7CA1">
        <w:rPr>
          <w:rFonts w:ascii="Palatino Linotype" w:hAnsi="Palatino Linotype" w:cs="Arial"/>
          <w:sz w:val="24"/>
          <w:szCs w:val="24"/>
        </w:rPr>
        <w:t>clinics</w:t>
      </w:r>
      <w:r w:rsidR="00C24647" w:rsidRPr="006E7CA1">
        <w:rPr>
          <w:rFonts w:ascii="Palatino Linotype" w:hAnsi="Palatino Linotype" w:cs="Arial"/>
          <w:sz w:val="24"/>
          <w:szCs w:val="24"/>
        </w:rPr>
        <w:t xml:space="preserve"> </w:t>
      </w:r>
      <w:r w:rsidRPr="006E7CA1">
        <w:rPr>
          <w:rFonts w:ascii="Palatino Linotype" w:hAnsi="Palatino Linotype" w:cs="Arial"/>
          <w:sz w:val="24"/>
          <w:szCs w:val="24"/>
        </w:rPr>
        <w:t>use hypothetical cases and students role-play as legal advisers. Simulated legal activity as a type of clinical legal education is dismissed by some as not being proper law clinics but it is clear that they can be a very useful vehicle to deliver clinical education or, at least, many of the benefits of clinical legal education. Externships/placements and street law may not be considered to be clinical legal education activities properly so-called, although there is little doubt in their value as vehicles for experiential or work-based learning. Externships are the structured placement of law students in law firms or advice or other agencies</w:t>
      </w:r>
      <w:r w:rsidR="002F3414" w:rsidRPr="006E7CA1">
        <w:rPr>
          <w:rFonts w:ascii="Palatino Linotype" w:hAnsi="Palatino Linotype" w:cs="Arial"/>
          <w:sz w:val="24"/>
          <w:szCs w:val="24"/>
        </w:rPr>
        <w:t xml:space="preserve"> such as local authorities, or community organisations with or without pay.</w:t>
      </w:r>
      <w:r w:rsidR="00703993" w:rsidRPr="006E7CA1">
        <w:rPr>
          <w:rFonts w:ascii="Palatino Linotype" w:hAnsi="Palatino Linotype" w:cs="Arial"/>
          <w:sz w:val="24"/>
          <w:szCs w:val="24"/>
        </w:rPr>
        <w:t xml:space="preserve"> </w:t>
      </w:r>
      <w:r w:rsidRPr="006E7CA1">
        <w:rPr>
          <w:rFonts w:ascii="Palatino Linotype" w:hAnsi="Palatino Linotype" w:cs="Arial"/>
          <w:sz w:val="24"/>
          <w:szCs w:val="24"/>
        </w:rPr>
        <w:t>The obvious challenges that may</w:t>
      </w:r>
      <w:r w:rsidR="002F3414" w:rsidRPr="006E7CA1">
        <w:rPr>
          <w:rFonts w:ascii="Palatino Linotype" w:hAnsi="Palatino Linotype" w:cs="Arial"/>
          <w:sz w:val="24"/>
          <w:szCs w:val="24"/>
        </w:rPr>
        <w:t xml:space="preserve"> limit the effectiveness of such programmes is the fact that there is no assurance of quality control or indeed anything else because of the variability of placement possibilities.</w:t>
      </w:r>
      <w:r w:rsidR="00C24647" w:rsidRPr="006E7CA1">
        <w:rPr>
          <w:rFonts w:ascii="Palatino Linotype" w:hAnsi="Palatino Linotype" w:cs="Arial"/>
          <w:sz w:val="24"/>
          <w:szCs w:val="24"/>
        </w:rPr>
        <w:t xml:space="preserve"> </w:t>
      </w:r>
      <w:r w:rsidR="00B6708E" w:rsidRPr="006E7CA1">
        <w:rPr>
          <w:rFonts w:ascii="Palatino Linotype" w:hAnsi="Palatino Linotype" w:cs="Arial"/>
          <w:sz w:val="24"/>
          <w:szCs w:val="24"/>
        </w:rPr>
        <w:t>Street law, another American idea, involves projects in which law students are engaged with raising legal literacy and awareness in local communities or with s</w:t>
      </w:r>
      <w:r w:rsidR="0062081B" w:rsidRPr="006E7CA1">
        <w:rPr>
          <w:rFonts w:ascii="Palatino Linotype" w:hAnsi="Palatino Linotype" w:cs="Arial"/>
          <w:sz w:val="24"/>
          <w:szCs w:val="24"/>
        </w:rPr>
        <w:t>p</w:t>
      </w:r>
      <w:r w:rsidR="00B6708E" w:rsidRPr="006E7CA1">
        <w:rPr>
          <w:rFonts w:ascii="Palatino Linotype" w:hAnsi="Palatino Linotype" w:cs="Arial"/>
          <w:sz w:val="24"/>
          <w:szCs w:val="24"/>
        </w:rPr>
        <w:t xml:space="preserve">ecific interest groups. The general objective is </w:t>
      </w:r>
      <w:r w:rsidR="0062081B" w:rsidRPr="006E7CA1">
        <w:rPr>
          <w:rFonts w:ascii="Palatino Linotype" w:hAnsi="Palatino Linotype" w:cs="Arial"/>
          <w:sz w:val="24"/>
          <w:szCs w:val="24"/>
        </w:rPr>
        <w:t xml:space="preserve">to </w:t>
      </w:r>
      <w:r w:rsidR="00B6708E" w:rsidRPr="006E7CA1">
        <w:rPr>
          <w:rFonts w:ascii="Palatino Linotype" w:hAnsi="Palatino Linotype" w:cs="Arial"/>
          <w:sz w:val="24"/>
          <w:szCs w:val="24"/>
        </w:rPr>
        <w:t xml:space="preserve">raise </w:t>
      </w:r>
      <w:r w:rsidR="0062081B" w:rsidRPr="006E7CA1">
        <w:rPr>
          <w:rFonts w:ascii="Palatino Linotype" w:hAnsi="Palatino Linotype" w:cs="Arial"/>
          <w:sz w:val="24"/>
          <w:szCs w:val="24"/>
        </w:rPr>
        <w:t>c</w:t>
      </w:r>
      <w:r w:rsidR="00B6708E" w:rsidRPr="006E7CA1">
        <w:rPr>
          <w:rFonts w:ascii="Palatino Linotype" w:hAnsi="Palatino Linotype" w:cs="Arial"/>
          <w:sz w:val="24"/>
          <w:szCs w:val="24"/>
        </w:rPr>
        <w:t>ommunity awareness of rights</w:t>
      </w:r>
      <w:r w:rsidR="005F3970" w:rsidRPr="006E7CA1">
        <w:rPr>
          <w:rFonts w:ascii="Palatino Linotype" w:hAnsi="Palatino Linotype" w:cs="Arial"/>
          <w:sz w:val="24"/>
          <w:szCs w:val="24"/>
        </w:rPr>
        <w:t xml:space="preserve"> or seek to bring about policy reform or change.</w:t>
      </w:r>
      <w:r w:rsidR="005F3970" w:rsidRPr="006E7CA1">
        <w:rPr>
          <w:rStyle w:val="FootnoteReference"/>
          <w:rFonts w:ascii="Palatino Linotype" w:hAnsi="Palatino Linotype" w:cs="Arial"/>
          <w:sz w:val="24"/>
          <w:szCs w:val="24"/>
        </w:rPr>
        <w:footnoteReference w:id="47"/>
      </w:r>
      <w:r w:rsidR="00B6708E" w:rsidRPr="006E7CA1">
        <w:rPr>
          <w:rFonts w:ascii="Palatino Linotype" w:hAnsi="Palatino Linotype" w:cs="Arial"/>
          <w:sz w:val="24"/>
          <w:szCs w:val="24"/>
        </w:rPr>
        <w:t>.</w:t>
      </w:r>
      <w:r w:rsidR="0062081B" w:rsidRPr="006E7CA1">
        <w:rPr>
          <w:rFonts w:ascii="Palatino Linotype" w:hAnsi="Palatino Linotype" w:cs="Arial"/>
          <w:sz w:val="24"/>
          <w:szCs w:val="24"/>
        </w:rPr>
        <w:t xml:space="preserve"> For example. A project to educate a group or community about their rights against police harassment or unlawful stop-and-search in</w:t>
      </w:r>
      <w:r w:rsidR="00F96320" w:rsidRPr="006E7CA1">
        <w:rPr>
          <w:rFonts w:ascii="Palatino Linotype" w:hAnsi="Palatino Linotype" w:cs="Arial"/>
          <w:sz w:val="24"/>
          <w:szCs w:val="24"/>
        </w:rPr>
        <w:t xml:space="preserve">, </w:t>
      </w:r>
      <w:r w:rsidR="0062081B" w:rsidRPr="006E7CA1">
        <w:rPr>
          <w:rFonts w:ascii="Palatino Linotype" w:hAnsi="Palatino Linotype" w:cs="Arial"/>
          <w:sz w:val="24"/>
          <w:szCs w:val="24"/>
        </w:rPr>
        <w:t>say</w:t>
      </w:r>
      <w:r w:rsidR="00F96320" w:rsidRPr="006E7CA1">
        <w:rPr>
          <w:rFonts w:ascii="Palatino Linotype" w:hAnsi="Palatino Linotype" w:cs="Arial"/>
          <w:sz w:val="24"/>
          <w:szCs w:val="24"/>
        </w:rPr>
        <w:t>,</w:t>
      </w:r>
      <w:r w:rsidR="0062081B" w:rsidRPr="006E7CA1">
        <w:rPr>
          <w:rFonts w:ascii="Palatino Linotype" w:hAnsi="Palatino Linotype" w:cs="Arial"/>
          <w:sz w:val="24"/>
          <w:szCs w:val="24"/>
        </w:rPr>
        <w:t xml:space="preserve"> Brixton in South London with a high population of ethnic minority residents. Such </w:t>
      </w:r>
      <w:r w:rsidR="0062081B" w:rsidRPr="006E7CA1">
        <w:rPr>
          <w:rFonts w:ascii="Palatino Linotype" w:hAnsi="Palatino Linotype" w:cs="Arial"/>
          <w:sz w:val="24"/>
          <w:szCs w:val="24"/>
        </w:rPr>
        <w:lastRenderedPageBreak/>
        <w:t xml:space="preserve">consciousness-raising undoubtedly benefits groups, usually minority or disadvantaged or indigent groups, but has clinical benefits for student and academic participants who in the process of engagement, inevitably deal with real people, the law and the community and live issues. </w:t>
      </w:r>
      <w:r w:rsidR="00275B24" w:rsidRPr="006E7CA1">
        <w:rPr>
          <w:rFonts w:ascii="Palatino Linotype" w:hAnsi="Palatino Linotype" w:cs="Arial"/>
          <w:sz w:val="24"/>
          <w:szCs w:val="24"/>
        </w:rPr>
        <w:t>In this regard, particular mention must be made of the way in which the global expansion of clinical legal education, so well chronicled by the significant work of R.J. Wilson referred to repeatedly previously,</w:t>
      </w:r>
      <w:r w:rsidR="00275B24" w:rsidRPr="006E7CA1">
        <w:rPr>
          <w:rStyle w:val="FootnoteReference"/>
          <w:rFonts w:ascii="Palatino Linotype" w:hAnsi="Palatino Linotype" w:cs="Arial"/>
          <w:sz w:val="24"/>
          <w:szCs w:val="24"/>
        </w:rPr>
        <w:footnoteReference w:id="48"/>
      </w:r>
      <w:r w:rsidR="00275B24" w:rsidRPr="006E7CA1">
        <w:rPr>
          <w:rFonts w:ascii="Palatino Linotype" w:hAnsi="Palatino Linotype" w:cs="Arial"/>
          <w:sz w:val="24"/>
          <w:szCs w:val="24"/>
        </w:rPr>
        <w:t xml:space="preserve">has accommodated regional and local nuances to produce models of clinical projects and practice that are redolent of location. The significance of the attributes of location is the subject of an informed article by </w:t>
      </w:r>
      <w:proofErr w:type="spellStart"/>
      <w:r w:rsidR="00275B24" w:rsidRPr="006E7CA1">
        <w:rPr>
          <w:rFonts w:ascii="Palatino Linotype" w:hAnsi="Palatino Linotype" w:cs="Arial"/>
          <w:sz w:val="24"/>
          <w:szCs w:val="24"/>
        </w:rPr>
        <w:t>Lasky</w:t>
      </w:r>
      <w:proofErr w:type="spellEnd"/>
      <w:r w:rsidR="00275B24" w:rsidRPr="006E7CA1">
        <w:rPr>
          <w:rFonts w:ascii="Palatino Linotype" w:hAnsi="Palatino Linotype" w:cs="Arial"/>
          <w:sz w:val="24"/>
          <w:szCs w:val="24"/>
        </w:rPr>
        <w:t xml:space="preserve"> and </w:t>
      </w:r>
      <w:proofErr w:type="spellStart"/>
      <w:r w:rsidR="00275B24" w:rsidRPr="006E7CA1">
        <w:rPr>
          <w:rFonts w:ascii="Palatino Linotype" w:hAnsi="Palatino Linotype" w:cs="Arial"/>
          <w:sz w:val="24"/>
          <w:szCs w:val="24"/>
        </w:rPr>
        <w:t>Sarker</w:t>
      </w:r>
      <w:proofErr w:type="spellEnd"/>
      <w:r w:rsidR="00275B24" w:rsidRPr="006E7CA1">
        <w:rPr>
          <w:rStyle w:val="FootnoteReference"/>
          <w:rFonts w:ascii="Palatino Linotype" w:hAnsi="Palatino Linotype" w:cs="Arial"/>
          <w:sz w:val="24"/>
          <w:szCs w:val="24"/>
        </w:rPr>
        <w:footnoteReference w:id="49"/>
      </w:r>
      <w:r w:rsidR="00275B24" w:rsidRPr="006E7CA1">
        <w:rPr>
          <w:rFonts w:ascii="Palatino Linotype" w:hAnsi="Palatino Linotype" w:cs="Arial"/>
          <w:sz w:val="24"/>
          <w:szCs w:val="24"/>
        </w:rPr>
        <w:t xml:space="preserve"> on the Asian characteristics of the regional clinical legal education movement which observes as follows:</w:t>
      </w:r>
    </w:p>
    <w:p w:rsidR="00275B24" w:rsidRPr="006E7CA1" w:rsidRDefault="00275B24" w:rsidP="006E7CA1">
      <w:pPr>
        <w:pStyle w:val="NoSpacing"/>
        <w:spacing w:line="276" w:lineRule="auto"/>
        <w:ind w:left="284"/>
        <w:rPr>
          <w:rFonts w:ascii="Palatino Linotype" w:hAnsi="Palatino Linotype"/>
          <w:sz w:val="24"/>
          <w:szCs w:val="24"/>
        </w:rPr>
      </w:pPr>
      <w:r w:rsidRPr="006E7CA1">
        <w:rPr>
          <w:rFonts w:ascii="Palatino Linotype" w:hAnsi="Palatino Linotype"/>
          <w:sz w:val="24"/>
          <w:szCs w:val="24"/>
        </w:rPr>
        <w:t xml:space="preserve">“An examination of this regional CLE movement would show that it reflects its own Asian characteristics. For example, one contemporary core commonality of most of these Asian university-based CLE programmes can be found in their focused social justice mission of delivering legal assistance and empowerment to the poor and marginalized while simultaneously developing legal knowledge, skills, ethics and pro bono values within the participating university students. A number of CLE programmes, including the </w:t>
      </w:r>
      <w:proofErr w:type="spellStart"/>
      <w:r w:rsidRPr="006E7CA1">
        <w:rPr>
          <w:rFonts w:ascii="Palatino Linotype" w:hAnsi="Palatino Linotype"/>
          <w:sz w:val="24"/>
          <w:szCs w:val="24"/>
        </w:rPr>
        <w:t>Ateneo</w:t>
      </w:r>
      <w:proofErr w:type="spellEnd"/>
      <w:r w:rsidRPr="006E7CA1">
        <w:rPr>
          <w:rFonts w:ascii="Palatino Linotype" w:hAnsi="Palatino Linotype"/>
          <w:sz w:val="24"/>
          <w:szCs w:val="24"/>
        </w:rPr>
        <w:t xml:space="preserve"> University Human Rights Center (AHRC) in</w:t>
      </w:r>
    </w:p>
    <w:p w:rsidR="00275B24" w:rsidRPr="006E7CA1" w:rsidRDefault="00275B24" w:rsidP="006E7CA1">
      <w:pPr>
        <w:pStyle w:val="NoSpacing"/>
        <w:spacing w:after="240" w:line="276" w:lineRule="auto"/>
        <w:ind w:left="284"/>
        <w:rPr>
          <w:rFonts w:ascii="Palatino Linotype" w:hAnsi="Palatino Linotype"/>
          <w:sz w:val="24"/>
          <w:szCs w:val="24"/>
        </w:rPr>
      </w:pPr>
      <w:r w:rsidRPr="006E7CA1">
        <w:rPr>
          <w:rFonts w:ascii="Palatino Linotype" w:hAnsi="Palatino Linotype"/>
          <w:sz w:val="24"/>
          <w:szCs w:val="24"/>
        </w:rPr>
        <w:t>the Philippines,</w:t>
      </w:r>
      <w:r w:rsidR="00AE6E17" w:rsidRPr="006E7CA1">
        <w:rPr>
          <w:rFonts w:ascii="Palatino Linotype" w:hAnsi="Palatino Linotype"/>
          <w:sz w:val="24"/>
          <w:szCs w:val="24"/>
        </w:rPr>
        <w:t xml:space="preserve"> </w:t>
      </w:r>
      <w:r w:rsidRPr="006E7CA1">
        <w:rPr>
          <w:rFonts w:ascii="Palatino Linotype" w:hAnsi="Palatino Linotype"/>
          <w:sz w:val="24"/>
          <w:szCs w:val="24"/>
        </w:rPr>
        <w:t xml:space="preserve">47 train students to use a participatory method of representation when working with clients. Rather than utilizing a top-down approach, clients are treated as equals throughout the representation process. In this manner, the lawyer’s role is not restricted to just solving a client’s problem and delivering the answers or solutions through a one-way exchange. Rather, the client is involved as a co-decision-maker. This mode of alternative lawyering enables clients to decide for themselves and find solutions to their own problematic situations based on a better understanding </w:t>
      </w:r>
      <w:r w:rsidRPr="006E7CA1">
        <w:rPr>
          <w:rFonts w:ascii="Palatino Linotype" w:hAnsi="Palatino Linotype"/>
          <w:sz w:val="24"/>
          <w:szCs w:val="24"/>
        </w:rPr>
        <w:lastRenderedPageBreak/>
        <w:t>of the issues involved. It is a means of achieving a break in the often cycle of need. Conventionally, clients meet lawyers looking to have their legal problems resolved. In these scenarios, once the immediate need is worked out, it is not unusual for these persons to return to the same environment from which they came. This frequently leads, often only a short time later, to the development of similar or identical problems. It is a type of Band-Aid approach to problem-solving. Traditional lawyering is seen as a mechanism that ‘promotes a client dependency on  the lawyer instead of encouraging legal self-reliance on the part of marginalized groups’.”</w:t>
      </w:r>
      <w:r w:rsidR="0062005C" w:rsidRPr="006E7CA1">
        <w:rPr>
          <w:rStyle w:val="FootnoteReference"/>
          <w:rFonts w:ascii="Palatino Linotype" w:hAnsi="Palatino Linotype"/>
          <w:sz w:val="24"/>
          <w:szCs w:val="24"/>
        </w:rPr>
        <w:footnoteReference w:id="50"/>
      </w:r>
    </w:p>
    <w:p w:rsidR="0062081B" w:rsidRPr="006E7CA1" w:rsidRDefault="00275B24"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Thus, i</w:t>
      </w:r>
      <w:r w:rsidR="0062081B" w:rsidRPr="006E7CA1">
        <w:rPr>
          <w:rFonts w:ascii="Palatino Linotype" w:hAnsi="Palatino Linotype" w:cs="Arial"/>
          <w:sz w:val="24"/>
          <w:szCs w:val="24"/>
        </w:rPr>
        <w:t xml:space="preserve">n seeking to advance the thesis of </w:t>
      </w:r>
      <w:r w:rsidR="00F96320" w:rsidRPr="006E7CA1">
        <w:rPr>
          <w:rFonts w:ascii="Palatino Linotype" w:hAnsi="Palatino Linotype" w:cs="Arial"/>
          <w:sz w:val="24"/>
          <w:szCs w:val="24"/>
        </w:rPr>
        <w:t xml:space="preserve">this </w:t>
      </w:r>
      <w:r w:rsidRPr="006E7CA1">
        <w:rPr>
          <w:rFonts w:ascii="Palatino Linotype" w:hAnsi="Palatino Linotype" w:cs="Arial"/>
          <w:sz w:val="24"/>
          <w:szCs w:val="24"/>
        </w:rPr>
        <w:t>article</w:t>
      </w:r>
      <w:r w:rsidR="0062081B" w:rsidRPr="006E7CA1">
        <w:rPr>
          <w:rFonts w:ascii="Palatino Linotype" w:hAnsi="Palatino Linotype" w:cs="Arial"/>
          <w:sz w:val="24"/>
          <w:szCs w:val="24"/>
        </w:rPr>
        <w:t xml:space="preserve"> </w:t>
      </w:r>
      <w:r w:rsidR="00ED48D7" w:rsidRPr="006E7CA1">
        <w:rPr>
          <w:rFonts w:ascii="Palatino Linotype" w:hAnsi="Palatino Linotype" w:cs="Arial"/>
          <w:sz w:val="24"/>
          <w:szCs w:val="24"/>
        </w:rPr>
        <w:t>which aims to</w:t>
      </w:r>
      <w:r w:rsidR="0062081B" w:rsidRPr="006E7CA1">
        <w:rPr>
          <w:rFonts w:ascii="Palatino Linotype" w:hAnsi="Palatino Linotype" w:cs="Arial"/>
          <w:sz w:val="24"/>
          <w:szCs w:val="24"/>
        </w:rPr>
        <w:t xml:space="preserve"> expos</w:t>
      </w:r>
      <w:r w:rsidR="00ED48D7" w:rsidRPr="006E7CA1">
        <w:rPr>
          <w:rFonts w:ascii="Palatino Linotype" w:hAnsi="Palatino Linotype" w:cs="Arial"/>
          <w:sz w:val="24"/>
          <w:szCs w:val="24"/>
        </w:rPr>
        <w:t>e</w:t>
      </w:r>
      <w:r w:rsidR="0062081B" w:rsidRPr="006E7CA1">
        <w:rPr>
          <w:rFonts w:ascii="Palatino Linotype" w:hAnsi="Palatino Linotype" w:cs="Arial"/>
          <w:sz w:val="24"/>
          <w:szCs w:val="24"/>
        </w:rPr>
        <w:t xml:space="preserve"> the political and jurisprudential basis of clinical legal education, the different strands of clinical practice discussed above provide the hard evidence that </w:t>
      </w:r>
      <w:proofErr w:type="spellStart"/>
      <w:r w:rsidR="0062081B" w:rsidRPr="006E7CA1">
        <w:rPr>
          <w:rFonts w:ascii="Palatino Linotype" w:hAnsi="Palatino Linotype" w:cs="Arial"/>
          <w:sz w:val="24"/>
          <w:szCs w:val="24"/>
        </w:rPr>
        <w:t>Brayne</w:t>
      </w:r>
      <w:proofErr w:type="spellEnd"/>
      <w:r w:rsidR="0062081B" w:rsidRPr="006E7CA1">
        <w:rPr>
          <w:rFonts w:ascii="Palatino Linotype" w:hAnsi="Palatino Linotype" w:cs="Arial"/>
          <w:sz w:val="24"/>
          <w:szCs w:val="24"/>
        </w:rPr>
        <w:t xml:space="preserve"> </w:t>
      </w:r>
      <w:r w:rsidR="0062081B" w:rsidRPr="006E7CA1">
        <w:rPr>
          <w:rFonts w:ascii="Palatino Linotype" w:hAnsi="Palatino Linotype" w:cs="Arial"/>
          <w:i/>
          <w:sz w:val="24"/>
          <w:szCs w:val="24"/>
        </w:rPr>
        <w:t>et al</w:t>
      </w:r>
      <w:r w:rsidR="0062081B" w:rsidRPr="006E7CA1">
        <w:rPr>
          <w:rFonts w:ascii="Palatino Linotype" w:hAnsi="Palatino Linotype" w:cs="Arial"/>
          <w:sz w:val="24"/>
          <w:szCs w:val="24"/>
        </w:rPr>
        <w:t xml:space="preserve"> suggest are the basis upon which we are able to construct relevant theory. But this is only possible because clinical legal education is premised on the learner </w:t>
      </w:r>
      <w:r w:rsidR="00703993" w:rsidRPr="006E7CA1">
        <w:rPr>
          <w:rFonts w:ascii="Palatino Linotype" w:hAnsi="Palatino Linotype" w:cs="Arial"/>
          <w:sz w:val="24"/>
          <w:szCs w:val="24"/>
        </w:rPr>
        <w:t>as a</w:t>
      </w:r>
      <w:r w:rsidR="0062081B" w:rsidRPr="006E7CA1">
        <w:rPr>
          <w:rFonts w:ascii="Palatino Linotype" w:hAnsi="Palatino Linotype" w:cs="Arial"/>
          <w:sz w:val="24"/>
          <w:szCs w:val="24"/>
        </w:rPr>
        <w:t xml:space="preserve"> reflective subject</w:t>
      </w:r>
      <w:r w:rsidR="00813B3F" w:rsidRPr="006E7CA1">
        <w:rPr>
          <w:rFonts w:ascii="Palatino Linotype" w:hAnsi="Palatino Linotype" w:cs="Arial"/>
          <w:sz w:val="24"/>
          <w:szCs w:val="24"/>
        </w:rPr>
        <w:t xml:space="preserve"> as acknowledged earlier</w:t>
      </w:r>
      <w:r w:rsidR="0062081B" w:rsidRPr="006E7CA1">
        <w:rPr>
          <w:rFonts w:ascii="Palatino Linotype" w:hAnsi="Palatino Linotype" w:cs="Arial"/>
          <w:sz w:val="24"/>
          <w:szCs w:val="24"/>
        </w:rPr>
        <w:t xml:space="preserve">. An appreciation of the fundamental nature of this attribute is essential for </w:t>
      </w:r>
      <w:r w:rsidR="00F96320" w:rsidRPr="006E7CA1">
        <w:rPr>
          <w:rFonts w:ascii="Palatino Linotype" w:hAnsi="Palatino Linotype" w:cs="Arial"/>
          <w:sz w:val="24"/>
          <w:szCs w:val="24"/>
        </w:rPr>
        <w:t xml:space="preserve">an </w:t>
      </w:r>
      <w:r w:rsidR="0062081B" w:rsidRPr="006E7CA1">
        <w:rPr>
          <w:rFonts w:ascii="Palatino Linotype" w:hAnsi="Palatino Linotype" w:cs="Arial"/>
          <w:sz w:val="24"/>
          <w:szCs w:val="24"/>
        </w:rPr>
        <w:t>understanding of the analysis that comprises the final se</w:t>
      </w:r>
      <w:r w:rsidR="00F96320" w:rsidRPr="006E7CA1">
        <w:rPr>
          <w:rFonts w:ascii="Palatino Linotype" w:hAnsi="Palatino Linotype" w:cs="Arial"/>
          <w:sz w:val="24"/>
          <w:szCs w:val="24"/>
        </w:rPr>
        <w:t>ction</w:t>
      </w:r>
      <w:r w:rsidR="00813B3F" w:rsidRPr="006E7CA1">
        <w:rPr>
          <w:rFonts w:ascii="Palatino Linotype" w:hAnsi="Palatino Linotype" w:cs="Arial"/>
          <w:sz w:val="24"/>
          <w:szCs w:val="24"/>
        </w:rPr>
        <w:t xml:space="preserve">s of this article. </w:t>
      </w:r>
      <w:r w:rsidR="00F96320" w:rsidRPr="006E7CA1">
        <w:rPr>
          <w:rFonts w:ascii="Palatino Linotype" w:hAnsi="Palatino Linotype" w:cs="Arial"/>
          <w:sz w:val="24"/>
          <w:szCs w:val="24"/>
        </w:rPr>
        <w:t xml:space="preserve"> </w:t>
      </w:r>
      <w:r w:rsidRPr="006E7CA1">
        <w:rPr>
          <w:rFonts w:ascii="Palatino Linotype" w:hAnsi="Palatino Linotype" w:cs="Arial"/>
          <w:sz w:val="24"/>
          <w:szCs w:val="24"/>
        </w:rPr>
        <w:t>It would now be appropriate to consider the case study which is the basis of much of the evidence base for the theor</w:t>
      </w:r>
      <w:r w:rsidR="00ED48D7" w:rsidRPr="006E7CA1">
        <w:rPr>
          <w:rFonts w:ascii="Palatino Linotype" w:hAnsi="Palatino Linotype" w:cs="Arial"/>
          <w:sz w:val="24"/>
          <w:szCs w:val="24"/>
        </w:rPr>
        <w:t>etical arguments of this article advanced in the final section of this article</w:t>
      </w:r>
      <w:r w:rsidR="00AE6E17" w:rsidRPr="006E7CA1">
        <w:rPr>
          <w:rFonts w:ascii="Palatino Linotype" w:hAnsi="Palatino Linotype" w:cs="Arial"/>
          <w:sz w:val="24"/>
          <w:szCs w:val="24"/>
        </w:rPr>
        <w:t>...</w:t>
      </w:r>
    </w:p>
    <w:p w:rsidR="0062081B" w:rsidRPr="006E7CA1" w:rsidRDefault="0062081B" w:rsidP="006E7CA1">
      <w:pPr>
        <w:pStyle w:val="NoSpacing"/>
        <w:spacing w:line="480" w:lineRule="auto"/>
        <w:jc w:val="both"/>
        <w:rPr>
          <w:rFonts w:ascii="Palatino Linotype" w:hAnsi="Palatino Linotype" w:cs="Arial"/>
          <w:sz w:val="24"/>
          <w:szCs w:val="24"/>
        </w:rPr>
      </w:pPr>
    </w:p>
    <w:p w:rsidR="007B1D02" w:rsidRDefault="007B1D02">
      <w:pPr>
        <w:rPr>
          <w:rFonts w:ascii="Palatino Linotype" w:hAnsi="Palatino Linotype" w:cs="Arial"/>
          <w:b/>
          <w:sz w:val="24"/>
          <w:szCs w:val="24"/>
        </w:rPr>
      </w:pPr>
      <w:r>
        <w:rPr>
          <w:rFonts w:ascii="Palatino Linotype" w:hAnsi="Palatino Linotype" w:cs="Arial"/>
          <w:b/>
          <w:sz w:val="24"/>
          <w:szCs w:val="24"/>
        </w:rPr>
        <w:br w:type="page"/>
      </w:r>
    </w:p>
    <w:p w:rsidR="0062081B" w:rsidRPr="006E7CA1" w:rsidRDefault="0062081B"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lastRenderedPageBreak/>
        <w:t xml:space="preserve">5. </w:t>
      </w:r>
      <w:r w:rsidR="006E7CA1" w:rsidRPr="006E7CA1">
        <w:rPr>
          <w:rFonts w:ascii="Palatino Linotype" w:hAnsi="Palatino Linotype" w:cs="Arial"/>
          <w:b/>
          <w:sz w:val="24"/>
          <w:szCs w:val="24"/>
        </w:rPr>
        <w:t>CASE STUDY – THE COMMUNITY ADVICE PROGRAMME (CAP – IN PARTNERSHIP WITH THE WEST LONDON EQUALITY CENTRE.)</w:t>
      </w:r>
    </w:p>
    <w:p w:rsidR="0097403E" w:rsidRPr="006E7CA1" w:rsidRDefault="0097403E"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i. The Project – General</w:t>
      </w:r>
    </w:p>
    <w:p w:rsidR="006F63EF" w:rsidRPr="006E7CA1" w:rsidRDefault="006F63EF"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The School of Law and Criminology at the University </w:t>
      </w:r>
      <w:r w:rsidR="00EE1BDD" w:rsidRPr="006E7CA1">
        <w:rPr>
          <w:rFonts w:ascii="Palatino Linotype" w:eastAsia="Times New Roman" w:hAnsi="Palatino Linotype" w:cs="Arial"/>
          <w:sz w:val="24"/>
          <w:szCs w:val="24"/>
          <w:lang w:eastAsia="en-GB"/>
        </w:rPr>
        <w:t xml:space="preserve">of </w:t>
      </w:r>
      <w:r w:rsidRPr="006E7CA1">
        <w:rPr>
          <w:rFonts w:ascii="Palatino Linotype" w:eastAsia="Times New Roman" w:hAnsi="Palatino Linotype" w:cs="Arial"/>
          <w:sz w:val="24"/>
          <w:szCs w:val="24"/>
          <w:lang w:eastAsia="en-GB"/>
        </w:rPr>
        <w:t xml:space="preserve">West London </w:t>
      </w:r>
      <w:r w:rsidR="000477A4" w:rsidRPr="006E7CA1">
        <w:rPr>
          <w:rFonts w:ascii="Palatino Linotype" w:eastAsia="Times New Roman" w:hAnsi="Palatino Linotype" w:cs="Arial"/>
          <w:sz w:val="24"/>
          <w:szCs w:val="24"/>
          <w:lang w:eastAsia="en-GB"/>
        </w:rPr>
        <w:t xml:space="preserve">(UWL) </w:t>
      </w:r>
      <w:r w:rsidRPr="006E7CA1">
        <w:rPr>
          <w:rFonts w:ascii="Palatino Linotype" w:eastAsia="Times New Roman" w:hAnsi="Palatino Linotype" w:cs="Arial"/>
          <w:sz w:val="24"/>
          <w:szCs w:val="24"/>
          <w:lang w:eastAsia="en-GB"/>
        </w:rPr>
        <w:t xml:space="preserve">has operated one of the most successful law clinics in the </w:t>
      </w:r>
      <w:r w:rsidR="000477A4" w:rsidRPr="006E7CA1">
        <w:rPr>
          <w:rFonts w:ascii="Palatino Linotype" w:eastAsia="Times New Roman" w:hAnsi="Palatino Linotype" w:cs="Arial"/>
          <w:sz w:val="24"/>
          <w:szCs w:val="24"/>
          <w:lang w:eastAsia="en-GB"/>
        </w:rPr>
        <w:t>United Kingdom</w:t>
      </w:r>
      <w:r w:rsidRPr="006E7CA1">
        <w:rPr>
          <w:rFonts w:ascii="Palatino Linotype" w:eastAsia="Times New Roman" w:hAnsi="Palatino Linotype" w:cs="Arial"/>
          <w:sz w:val="24"/>
          <w:szCs w:val="24"/>
          <w:lang w:eastAsia="en-GB"/>
        </w:rPr>
        <w:t xml:space="preserve"> since 1992, serving the community </w:t>
      </w:r>
      <w:r w:rsidR="000477A4" w:rsidRPr="006E7CA1">
        <w:rPr>
          <w:rFonts w:ascii="Palatino Linotype" w:eastAsia="Times New Roman" w:hAnsi="Palatino Linotype" w:cs="Arial"/>
          <w:sz w:val="24"/>
          <w:szCs w:val="24"/>
          <w:lang w:eastAsia="en-GB"/>
        </w:rPr>
        <w:t>of</w:t>
      </w:r>
      <w:r w:rsidRPr="006E7CA1">
        <w:rPr>
          <w:rFonts w:ascii="Palatino Linotype" w:eastAsia="Times New Roman" w:hAnsi="Palatino Linotype" w:cs="Arial"/>
          <w:sz w:val="24"/>
          <w:szCs w:val="24"/>
          <w:lang w:eastAsia="en-GB"/>
        </w:rPr>
        <w:t xml:space="preserve"> West London. CAP celebrate</w:t>
      </w:r>
      <w:r w:rsidR="00275B24" w:rsidRPr="006E7CA1">
        <w:rPr>
          <w:rFonts w:ascii="Palatino Linotype" w:eastAsia="Times New Roman" w:hAnsi="Palatino Linotype" w:cs="Arial"/>
          <w:sz w:val="24"/>
          <w:szCs w:val="24"/>
          <w:lang w:eastAsia="en-GB"/>
        </w:rPr>
        <w:t>s</w:t>
      </w:r>
      <w:r w:rsidR="000477A4" w:rsidRPr="006E7CA1">
        <w:rPr>
          <w:rFonts w:ascii="Palatino Linotype" w:eastAsia="Times New Roman" w:hAnsi="Palatino Linotype" w:cs="Arial"/>
          <w:sz w:val="24"/>
          <w:szCs w:val="24"/>
          <w:lang w:eastAsia="en-GB"/>
        </w:rPr>
        <w:t xml:space="preserve"> its </w:t>
      </w:r>
      <w:r w:rsidRPr="006E7CA1">
        <w:rPr>
          <w:rFonts w:ascii="Palatino Linotype" w:eastAsia="Times New Roman" w:hAnsi="Palatino Linotype" w:cs="Arial"/>
          <w:sz w:val="24"/>
          <w:szCs w:val="24"/>
          <w:lang w:eastAsia="en-GB"/>
        </w:rPr>
        <w:t>2</w:t>
      </w:r>
      <w:r w:rsidR="00275B24" w:rsidRPr="006E7CA1">
        <w:rPr>
          <w:rFonts w:ascii="Palatino Linotype" w:eastAsia="Times New Roman" w:hAnsi="Palatino Linotype" w:cs="Arial"/>
          <w:sz w:val="24"/>
          <w:szCs w:val="24"/>
          <w:lang w:eastAsia="en-GB"/>
        </w:rPr>
        <w:t>6</w:t>
      </w:r>
      <w:r w:rsidRPr="006E7CA1">
        <w:rPr>
          <w:rFonts w:ascii="Palatino Linotype" w:eastAsia="Times New Roman" w:hAnsi="Palatino Linotype" w:cs="Arial"/>
          <w:sz w:val="24"/>
          <w:szCs w:val="24"/>
          <w:vertAlign w:val="superscript"/>
          <w:lang w:eastAsia="en-GB"/>
        </w:rPr>
        <w:t>th</w:t>
      </w:r>
      <w:r w:rsidRPr="006E7CA1">
        <w:rPr>
          <w:rFonts w:ascii="Palatino Linotype" w:eastAsia="Times New Roman" w:hAnsi="Palatino Linotype" w:cs="Arial"/>
          <w:sz w:val="24"/>
          <w:szCs w:val="24"/>
          <w:lang w:eastAsia="en-GB"/>
        </w:rPr>
        <w:t xml:space="preserve"> Anniversary </w:t>
      </w:r>
      <w:r w:rsidR="00275B24" w:rsidRPr="006E7CA1">
        <w:rPr>
          <w:rFonts w:ascii="Palatino Linotype" w:eastAsia="Times New Roman" w:hAnsi="Palatino Linotype" w:cs="Arial"/>
          <w:sz w:val="24"/>
          <w:szCs w:val="24"/>
          <w:lang w:eastAsia="en-GB"/>
        </w:rPr>
        <w:t>this year, 2018</w:t>
      </w:r>
      <w:r w:rsidRPr="006E7CA1">
        <w:rPr>
          <w:rFonts w:ascii="Palatino Linotype" w:eastAsia="Times New Roman" w:hAnsi="Palatino Linotype" w:cs="Arial"/>
          <w:sz w:val="24"/>
          <w:szCs w:val="24"/>
          <w:lang w:eastAsia="en-GB"/>
        </w:rPr>
        <w:t xml:space="preserve">. The main project, called Community Advice Programme (CAP), is a legal advice and assistance service which runs in </w:t>
      </w:r>
      <w:r w:rsidR="000477A4" w:rsidRPr="006E7CA1">
        <w:rPr>
          <w:rFonts w:ascii="Palatino Linotype" w:eastAsia="Times New Roman" w:hAnsi="Palatino Linotype" w:cs="Arial"/>
          <w:sz w:val="24"/>
          <w:szCs w:val="24"/>
          <w:lang w:eastAsia="en-GB"/>
        </w:rPr>
        <w:t>partnership</w:t>
      </w:r>
      <w:r w:rsidRPr="006E7CA1">
        <w:rPr>
          <w:rFonts w:ascii="Palatino Linotype" w:eastAsia="Times New Roman" w:hAnsi="Palatino Linotype" w:cs="Arial"/>
          <w:sz w:val="24"/>
          <w:szCs w:val="24"/>
          <w:lang w:eastAsia="en-GB"/>
        </w:rPr>
        <w:t xml:space="preserve"> with Ealing Equality Council (EEC</w:t>
      </w:r>
      <w:r w:rsidR="000477A4" w:rsidRPr="006E7CA1">
        <w:rPr>
          <w:rStyle w:val="FootnoteReference"/>
          <w:rFonts w:ascii="Palatino Linotype" w:eastAsia="Times New Roman" w:hAnsi="Palatino Linotype" w:cs="Arial"/>
          <w:sz w:val="24"/>
          <w:szCs w:val="24"/>
          <w:lang w:eastAsia="en-GB"/>
        </w:rPr>
        <w:footnoteReference w:id="51"/>
      </w:r>
      <w:r w:rsidR="00275B24" w:rsidRPr="006E7CA1">
        <w:rPr>
          <w:rFonts w:ascii="Palatino Linotype" w:eastAsia="Times New Roman" w:hAnsi="Palatino Linotype" w:cs="Arial"/>
          <w:sz w:val="24"/>
          <w:szCs w:val="24"/>
          <w:lang w:eastAsia="en-GB"/>
        </w:rPr>
        <w:t xml:space="preserve"> (now, West London Equality Centre)</w:t>
      </w:r>
      <w:r w:rsidRPr="006E7CA1">
        <w:rPr>
          <w:rFonts w:ascii="Palatino Linotype" w:eastAsia="Times New Roman" w:hAnsi="Palatino Linotype" w:cs="Arial"/>
          <w:sz w:val="24"/>
          <w:szCs w:val="24"/>
          <w:lang w:eastAsia="en-GB"/>
        </w:rPr>
        <w:t xml:space="preserve">, the principal equalities and human rights body in </w:t>
      </w:r>
      <w:r w:rsidR="00275B24" w:rsidRPr="006E7CA1">
        <w:rPr>
          <w:rFonts w:ascii="Palatino Linotype" w:eastAsia="Times New Roman" w:hAnsi="Palatino Linotype" w:cs="Arial"/>
          <w:sz w:val="24"/>
          <w:szCs w:val="24"/>
          <w:lang w:eastAsia="en-GB"/>
        </w:rPr>
        <w:t>th</w:t>
      </w:r>
      <w:r w:rsidRPr="006E7CA1">
        <w:rPr>
          <w:rFonts w:ascii="Palatino Linotype" w:eastAsia="Times New Roman" w:hAnsi="Palatino Linotype" w:cs="Arial"/>
          <w:sz w:val="24"/>
          <w:szCs w:val="24"/>
          <w:lang w:eastAsia="en-GB"/>
        </w:rPr>
        <w:t>e London Borough of Ealing</w:t>
      </w:r>
      <w:r w:rsidR="00275B24" w:rsidRPr="006E7CA1">
        <w:rPr>
          <w:rFonts w:ascii="Palatino Linotype" w:eastAsia="Times New Roman" w:hAnsi="Palatino Linotype" w:cs="Arial"/>
          <w:sz w:val="24"/>
          <w:szCs w:val="24"/>
          <w:lang w:eastAsia="en-GB"/>
        </w:rPr>
        <w:t xml:space="preserve"> and West London generally</w:t>
      </w:r>
      <w:r w:rsidRPr="006E7CA1">
        <w:rPr>
          <w:rFonts w:ascii="Palatino Linotype" w:eastAsia="Times New Roman" w:hAnsi="Palatino Linotype" w:cs="Arial"/>
          <w:sz w:val="24"/>
          <w:szCs w:val="24"/>
          <w:lang w:eastAsia="en-GB"/>
        </w:rPr>
        <w:t>).</w:t>
      </w:r>
      <w:r w:rsidR="00EE1BDD" w:rsidRPr="006E7CA1">
        <w:rPr>
          <w:rFonts w:ascii="Palatino Linotype" w:eastAsia="Times New Roman" w:hAnsi="Palatino Linotype" w:cs="Arial"/>
          <w:sz w:val="24"/>
          <w:szCs w:val="24"/>
          <w:lang w:eastAsia="en-GB"/>
        </w:rPr>
        <w:t xml:space="preserve"> EEC was established in 1963 as the Southall International Friendship Association, then Ealing Community Relations Council, Ealing Racial Equality Council (quasi-statutory affiliate of the Commission for Racial Equality), and finally, Ealing Equality Council in 2011 (and </w:t>
      </w:r>
      <w:r w:rsidR="00275B24" w:rsidRPr="006E7CA1">
        <w:rPr>
          <w:rFonts w:ascii="Palatino Linotype" w:eastAsia="Times New Roman" w:hAnsi="Palatino Linotype" w:cs="Arial"/>
          <w:sz w:val="24"/>
          <w:szCs w:val="24"/>
          <w:lang w:eastAsia="en-GB"/>
        </w:rPr>
        <w:t>now,</w:t>
      </w:r>
      <w:r w:rsidR="00EE1BDD" w:rsidRPr="006E7CA1">
        <w:rPr>
          <w:rFonts w:ascii="Palatino Linotype" w:eastAsia="Times New Roman" w:hAnsi="Palatino Linotype" w:cs="Arial"/>
          <w:sz w:val="24"/>
          <w:szCs w:val="24"/>
          <w:lang w:eastAsia="en-GB"/>
        </w:rPr>
        <w:t xml:space="preserve"> West London Equality Centre</w:t>
      </w:r>
      <w:r w:rsidR="00275B24" w:rsidRPr="006E7CA1">
        <w:rPr>
          <w:rFonts w:ascii="Palatino Linotype" w:eastAsia="Times New Roman" w:hAnsi="Palatino Linotype" w:cs="Arial"/>
          <w:sz w:val="24"/>
          <w:szCs w:val="24"/>
          <w:lang w:eastAsia="en-GB"/>
        </w:rPr>
        <w:t xml:space="preserve"> – WLEC</w:t>
      </w:r>
      <w:r w:rsidR="00EE1BDD" w:rsidRPr="006E7CA1">
        <w:rPr>
          <w:rFonts w:ascii="Palatino Linotype" w:eastAsia="Times New Roman" w:hAnsi="Palatino Linotype" w:cs="Arial"/>
          <w:sz w:val="24"/>
          <w:szCs w:val="24"/>
          <w:lang w:eastAsia="en-GB"/>
        </w:rPr>
        <w:t>.</w:t>
      </w:r>
      <w:r w:rsidR="00EE1BDD" w:rsidRPr="006E7CA1">
        <w:rPr>
          <w:rStyle w:val="FootnoteReference"/>
          <w:rFonts w:ascii="Palatino Linotype" w:eastAsia="Times New Roman" w:hAnsi="Palatino Linotype" w:cs="Arial"/>
          <w:sz w:val="24"/>
          <w:szCs w:val="24"/>
          <w:lang w:eastAsia="en-GB"/>
        </w:rPr>
        <w:footnoteReference w:id="52"/>
      </w:r>
      <w:r w:rsidR="00EE1BDD" w:rsidRPr="006E7CA1">
        <w:rPr>
          <w:rFonts w:ascii="Palatino Linotype" w:eastAsia="Times New Roman" w:hAnsi="Palatino Linotype" w:cs="Arial"/>
          <w:sz w:val="24"/>
          <w:szCs w:val="24"/>
          <w:lang w:eastAsia="en-GB"/>
        </w:rPr>
        <w:t>)</w:t>
      </w:r>
      <w:r w:rsidR="00275B24" w:rsidRPr="006E7CA1">
        <w:rPr>
          <w:rFonts w:ascii="Palatino Linotype" w:eastAsia="Times New Roman" w:hAnsi="Palatino Linotype" w:cs="Arial"/>
          <w:sz w:val="24"/>
          <w:szCs w:val="24"/>
          <w:lang w:eastAsia="en-GB"/>
        </w:rPr>
        <w:t xml:space="preserve"> </w:t>
      </w:r>
      <w:r w:rsidRPr="006E7CA1">
        <w:rPr>
          <w:rFonts w:ascii="Palatino Linotype" w:eastAsia="Times New Roman" w:hAnsi="Palatino Linotype" w:cs="Arial"/>
          <w:sz w:val="24"/>
          <w:szCs w:val="24"/>
          <w:lang w:eastAsia="en-GB"/>
        </w:rPr>
        <w:t xml:space="preserve">CAP functions as a fortnightly </w:t>
      </w:r>
      <w:r w:rsidR="000477A4" w:rsidRPr="006E7CA1">
        <w:rPr>
          <w:rFonts w:ascii="Palatino Linotype" w:eastAsia="Times New Roman" w:hAnsi="Palatino Linotype" w:cs="Arial"/>
          <w:sz w:val="24"/>
          <w:szCs w:val="24"/>
          <w:lang w:eastAsia="en-GB"/>
        </w:rPr>
        <w:t xml:space="preserve">weekend </w:t>
      </w:r>
      <w:r w:rsidRPr="006E7CA1">
        <w:rPr>
          <w:rFonts w:ascii="Palatino Linotype" w:eastAsia="Times New Roman" w:hAnsi="Palatino Linotype" w:cs="Arial"/>
          <w:sz w:val="24"/>
          <w:szCs w:val="24"/>
          <w:lang w:eastAsia="en-GB"/>
        </w:rPr>
        <w:t xml:space="preserve">service from </w:t>
      </w:r>
      <w:r w:rsidRPr="006E7CA1">
        <w:rPr>
          <w:rFonts w:ascii="Palatino Linotype" w:eastAsia="Times New Roman" w:hAnsi="Palatino Linotype" w:cs="Arial"/>
          <w:i/>
          <w:sz w:val="24"/>
          <w:szCs w:val="24"/>
          <w:lang w:eastAsia="en-GB"/>
        </w:rPr>
        <w:t>The Street,</w:t>
      </w:r>
      <w:r w:rsidRPr="006E7CA1">
        <w:rPr>
          <w:rFonts w:ascii="Palatino Linotype" w:eastAsia="Times New Roman" w:hAnsi="Palatino Linotype" w:cs="Arial"/>
          <w:sz w:val="24"/>
          <w:szCs w:val="24"/>
          <w:lang w:eastAsia="en-GB"/>
        </w:rPr>
        <w:t xml:space="preserve"> </w:t>
      </w:r>
      <w:r w:rsidR="000477A4" w:rsidRPr="006E7CA1">
        <w:rPr>
          <w:rFonts w:ascii="Palatino Linotype" w:eastAsia="Times New Roman" w:hAnsi="Palatino Linotype" w:cs="Arial"/>
          <w:sz w:val="24"/>
          <w:szCs w:val="24"/>
          <w:lang w:eastAsia="en-GB"/>
        </w:rPr>
        <w:t xml:space="preserve">at </w:t>
      </w:r>
      <w:r w:rsidR="00ED48D7" w:rsidRPr="006E7CA1">
        <w:rPr>
          <w:rFonts w:ascii="Palatino Linotype" w:eastAsia="Times New Roman" w:hAnsi="Palatino Linotype" w:cs="Arial"/>
          <w:sz w:val="24"/>
          <w:szCs w:val="24"/>
          <w:lang w:eastAsia="en-GB"/>
        </w:rPr>
        <w:t xml:space="preserve">the </w:t>
      </w:r>
      <w:r w:rsidRPr="006E7CA1">
        <w:rPr>
          <w:rFonts w:ascii="Palatino Linotype" w:eastAsia="Times New Roman" w:hAnsi="Palatino Linotype" w:cs="Arial"/>
          <w:sz w:val="24"/>
          <w:szCs w:val="24"/>
          <w:lang w:eastAsia="en-GB"/>
        </w:rPr>
        <w:t>St Mary’s Road</w:t>
      </w:r>
      <w:r w:rsidR="00ED48D7" w:rsidRPr="006E7CA1">
        <w:rPr>
          <w:rFonts w:ascii="Palatino Linotype" w:eastAsia="Times New Roman" w:hAnsi="Palatino Linotype" w:cs="Arial"/>
          <w:sz w:val="24"/>
          <w:szCs w:val="24"/>
          <w:lang w:eastAsia="en-GB"/>
        </w:rPr>
        <w:t xml:space="preserve"> Campus of the</w:t>
      </w:r>
      <w:r w:rsidRPr="006E7CA1">
        <w:rPr>
          <w:rFonts w:ascii="Palatino Linotype" w:eastAsia="Times New Roman" w:hAnsi="Palatino Linotype" w:cs="Arial"/>
          <w:sz w:val="24"/>
          <w:szCs w:val="24"/>
          <w:lang w:eastAsia="en-GB"/>
        </w:rPr>
        <w:t xml:space="preserve"> </w:t>
      </w:r>
      <w:r w:rsidR="000477A4" w:rsidRPr="006E7CA1">
        <w:rPr>
          <w:rFonts w:ascii="Palatino Linotype" w:eastAsia="Times New Roman" w:hAnsi="Palatino Linotype" w:cs="Arial"/>
          <w:sz w:val="24"/>
          <w:szCs w:val="24"/>
          <w:lang w:eastAsia="en-GB"/>
        </w:rPr>
        <w:t>University of West London</w:t>
      </w:r>
      <w:r w:rsidR="00ED48D7" w:rsidRPr="006E7CA1">
        <w:rPr>
          <w:rFonts w:ascii="Palatino Linotype" w:eastAsia="Times New Roman" w:hAnsi="Palatino Linotype" w:cs="Arial"/>
          <w:sz w:val="24"/>
          <w:szCs w:val="24"/>
          <w:lang w:eastAsia="en-GB"/>
        </w:rPr>
        <w:t>,</w:t>
      </w:r>
      <w:r w:rsidR="000477A4" w:rsidRPr="006E7CA1">
        <w:rPr>
          <w:rFonts w:ascii="Palatino Linotype" w:eastAsia="Times New Roman" w:hAnsi="Palatino Linotype" w:cs="Arial"/>
          <w:sz w:val="24"/>
          <w:szCs w:val="24"/>
          <w:lang w:eastAsia="en-GB"/>
        </w:rPr>
        <w:t xml:space="preserve"> with</w:t>
      </w:r>
      <w:r w:rsidRPr="006E7CA1">
        <w:rPr>
          <w:rFonts w:ascii="Palatino Linotype" w:eastAsia="Times New Roman" w:hAnsi="Palatino Linotype" w:cs="Arial"/>
          <w:sz w:val="24"/>
          <w:szCs w:val="24"/>
          <w:lang w:eastAsia="en-GB"/>
        </w:rPr>
        <w:t xml:space="preserve"> offices located at Villiers House, Ealing Broadway Station where there are also special student/client engaged </w:t>
      </w:r>
      <w:r w:rsidR="000477A4" w:rsidRPr="006E7CA1">
        <w:rPr>
          <w:rFonts w:ascii="Palatino Linotype" w:eastAsia="Times New Roman" w:hAnsi="Palatino Linotype" w:cs="Arial"/>
          <w:sz w:val="24"/>
          <w:szCs w:val="24"/>
          <w:lang w:eastAsia="en-GB"/>
        </w:rPr>
        <w:t>daily</w:t>
      </w:r>
      <w:r w:rsidRPr="006E7CA1">
        <w:rPr>
          <w:rFonts w:ascii="Palatino Linotype" w:eastAsia="Times New Roman" w:hAnsi="Palatino Linotype" w:cs="Arial"/>
          <w:sz w:val="24"/>
          <w:szCs w:val="24"/>
          <w:lang w:eastAsia="en-GB"/>
        </w:rPr>
        <w:t xml:space="preserve"> </w:t>
      </w:r>
      <w:r w:rsidRPr="006E7CA1">
        <w:rPr>
          <w:rFonts w:ascii="Palatino Linotype" w:eastAsia="Times New Roman" w:hAnsi="Palatino Linotype" w:cs="Arial"/>
          <w:sz w:val="24"/>
          <w:szCs w:val="24"/>
          <w:lang w:eastAsia="en-GB"/>
        </w:rPr>
        <w:lastRenderedPageBreak/>
        <w:t xml:space="preserve">advice sessions. CAP is serviced by volunteer legal practitioners, </w:t>
      </w:r>
      <w:r w:rsidR="000477A4" w:rsidRPr="006E7CA1">
        <w:rPr>
          <w:rFonts w:ascii="Palatino Linotype" w:eastAsia="Times New Roman" w:hAnsi="Palatino Linotype" w:cs="Arial"/>
          <w:sz w:val="24"/>
          <w:szCs w:val="24"/>
          <w:lang w:eastAsia="en-GB"/>
        </w:rPr>
        <w:t>including so</w:t>
      </w:r>
      <w:r w:rsidRPr="006E7CA1">
        <w:rPr>
          <w:rFonts w:ascii="Palatino Linotype" w:eastAsia="Times New Roman" w:hAnsi="Palatino Linotype" w:cs="Arial"/>
          <w:sz w:val="24"/>
          <w:szCs w:val="24"/>
          <w:lang w:eastAsia="en-GB"/>
        </w:rPr>
        <w:t>licitors</w:t>
      </w:r>
      <w:r w:rsidR="000477A4" w:rsidRPr="006E7CA1">
        <w:rPr>
          <w:rFonts w:ascii="Palatino Linotype" w:eastAsia="Times New Roman" w:hAnsi="Palatino Linotype" w:cs="Arial"/>
          <w:sz w:val="24"/>
          <w:szCs w:val="24"/>
          <w:lang w:eastAsia="en-GB"/>
        </w:rPr>
        <w:t>,</w:t>
      </w:r>
      <w:r w:rsidRPr="006E7CA1">
        <w:rPr>
          <w:rFonts w:ascii="Palatino Linotype" w:eastAsia="Times New Roman" w:hAnsi="Palatino Linotype" w:cs="Arial"/>
          <w:sz w:val="24"/>
          <w:szCs w:val="24"/>
          <w:lang w:eastAsia="en-GB"/>
        </w:rPr>
        <w:t xml:space="preserve"> barristers, judges, trainees, law teachers</w:t>
      </w:r>
      <w:r w:rsidR="000477A4" w:rsidRPr="006E7CA1">
        <w:rPr>
          <w:rFonts w:ascii="Palatino Linotype" w:eastAsia="Times New Roman" w:hAnsi="Palatino Linotype" w:cs="Arial"/>
          <w:sz w:val="24"/>
          <w:szCs w:val="24"/>
          <w:lang w:eastAsia="en-GB"/>
        </w:rPr>
        <w:t>, students and other legal professionals.</w:t>
      </w:r>
      <w:r w:rsidRPr="006E7CA1">
        <w:rPr>
          <w:rFonts w:ascii="Palatino Linotype" w:eastAsia="Times New Roman" w:hAnsi="Palatino Linotype" w:cs="Arial"/>
          <w:sz w:val="24"/>
          <w:szCs w:val="24"/>
          <w:lang w:eastAsia="en-GB"/>
        </w:rPr>
        <w:t xml:space="preserve"> </w:t>
      </w:r>
    </w:p>
    <w:p w:rsidR="006F63EF" w:rsidRPr="006E7CA1" w:rsidRDefault="006F63EF"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CAP assists members of the local community in West London with legal advice and other help </w:t>
      </w:r>
      <w:r w:rsidR="000477A4" w:rsidRPr="006E7CA1">
        <w:rPr>
          <w:rFonts w:ascii="Palatino Linotype" w:eastAsia="Times New Roman" w:hAnsi="Palatino Linotype" w:cs="Arial"/>
          <w:sz w:val="24"/>
          <w:szCs w:val="24"/>
          <w:lang w:eastAsia="en-GB"/>
        </w:rPr>
        <w:t>such as drafting documents</w:t>
      </w:r>
      <w:r w:rsidR="00ED48D7" w:rsidRPr="006E7CA1">
        <w:rPr>
          <w:rFonts w:ascii="Palatino Linotype" w:eastAsia="Times New Roman" w:hAnsi="Palatino Linotype" w:cs="Arial"/>
          <w:sz w:val="24"/>
          <w:szCs w:val="24"/>
          <w:lang w:eastAsia="en-GB"/>
        </w:rPr>
        <w:t>, making representations on behalf of clients to a variety of agencies</w:t>
      </w:r>
      <w:r w:rsidR="000477A4" w:rsidRPr="006E7CA1">
        <w:rPr>
          <w:rFonts w:ascii="Palatino Linotype" w:eastAsia="Times New Roman" w:hAnsi="Palatino Linotype" w:cs="Arial"/>
          <w:sz w:val="24"/>
          <w:szCs w:val="24"/>
          <w:lang w:eastAsia="en-GB"/>
        </w:rPr>
        <w:t xml:space="preserve"> or filling in forms </w:t>
      </w:r>
      <w:r w:rsidRPr="006E7CA1">
        <w:rPr>
          <w:rFonts w:ascii="Palatino Linotype" w:eastAsia="Times New Roman" w:hAnsi="Palatino Linotype" w:cs="Arial"/>
          <w:sz w:val="24"/>
          <w:szCs w:val="24"/>
          <w:lang w:eastAsia="en-GB"/>
        </w:rPr>
        <w:t xml:space="preserve">covering areas such as employment, housing, family, discrimination, human rights, consumer, welfare, debt, crime, police and immigration law. CAP also offers placement and training opportunities to law </w:t>
      </w:r>
      <w:r w:rsidR="000477A4" w:rsidRPr="006E7CA1">
        <w:rPr>
          <w:rFonts w:ascii="Palatino Linotype" w:eastAsia="Times New Roman" w:hAnsi="Palatino Linotype" w:cs="Arial"/>
          <w:sz w:val="24"/>
          <w:szCs w:val="24"/>
          <w:lang w:eastAsia="en-GB"/>
        </w:rPr>
        <w:t>and criminology students, as well as local secondary school students</w:t>
      </w:r>
      <w:r w:rsidRPr="006E7CA1">
        <w:rPr>
          <w:rFonts w:ascii="Palatino Linotype" w:eastAsia="Times New Roman" w:hAnsi="Palatino Linotype" w:cs="Arial"/>
          <w:sz w:val="24"/>
          <w:szCs w:val="24"/>
          <w:lang w:eastAsia="en-GB"/>
        </w:rPr>
        <w:t xml:space="preserve"> and therefore makes an important contribution to student employability, career development and community engagement through clinical practice.</w:t>
      </w:r>
      <w:r w:rsidR="000477A4" w:rsidRPr="006E7CA1">
        <w:rPr>
          <w:rFonts w:ascii="Palatino Linotype" w:eastAsia="Times New Roman" w:hAnsi="Palatino Linotype" w:cs="Arial"/>
          <w:sz w:val="24"/>
          <w:szCs w:val="24"/>
          <w:lang w:eastAsia="en-GB"/>
        </w:rPr>
        <w:t xml:space="preserve"> CAP does not engage in direct litigation or court proceedings although it typically advises and prepares documents for clients where referrals to solicitors or barristers are inappropriate or not possible.</w:t>
      </w:r>
    </w:p>
    <w:p w:rsidR="006F63EF" w:rsidRPr="006E7CA1" w:rsidRDefault="006F63EF"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The close partnership with the Equality </w:t>
      </w:r>
      <w:r w:rsidR="00684C32" w:rsidRPr="006E7CA1">
        <w:rPr>
          <w:rFonts w:ascii="Palatino Linotype" w:eastAsia="Times New Roman" w:hAnsi="Palatino Linotype" w:cs="Arial"/>
          <w:sz w:val="24"/>
          <w:szCs w:val="24"/>
          <w:lang w:eastAsia="en-GB"/>
        </w:rPr>
        <w:t>Centre</w:t>
      </w:r>
      <w:r w:rsidRPr="006E7CA1">
        <w:rPr>
          <w:rFonts w:ascii="Palatino Linotype" w:eastAsia="Times New Roman" w:hAnsi="Palatino Linotype" w:cs="Arial"/>
          <w:sz w:val="24"/>
          <w:szCs w:val="24"/>
          <w:lang w:eastAsia="en-GB"/>
        </w:rPr>
        <w:t xml:space="preserve"> has enabled students to gain access to placements and practical experience on </w:t>
      </w:r>
      <w:r w:rsidR="00684C32" w:rsidRPr="006E7CA1">
        <w:rPr>
          <w:rFonts w:ascii="Palatino Linotype" w:eastAsia="Times New Roman" w:hAnsi="Palatino Linotype" w:cs="Arial"/>
          <w:sz w:val="24"/>
          <w:szCs w:val="24"/>
          <w:lang w:eastAsia="en-GB"/>
        </w:rPr>
        <w:t>a myriad of pro</w:t>
      </w:r>
      <w:r w:rsidRPr="006E7CA1">
        <w:rPr>
          <w:rFonts w:ascii="Palatino Linotype" w:eastAsia="Times New Roman" w:hAnsi="Palatino Linotype" w:cs="Arial"/>
          <w:sz w:val="24"/>
          <w:szCs w:val="24"/>
          <w:lang w:eastAsia="en-GB"/>
        </w:rPr>
        <w:t>jects</w:t>
      </w:r>
      <w:r w:rsidR="00684C32" w:rsidRPr="006E7CA1">
        <w:rPr>
          <w:rFonts w:ascii="Palatino Linotype" w:eastAsia="Times New Roman" w:hAnsi="Palatino Linotype" w:cs="Arial"/>
          <w:sz w:val="24"/>
          <w:szCs w:val="24"/>
          <w:lang w:eastAsia="en-GB"/>
        </w:rPr>
        <w:t xml:space="preserve"> and activities </w:t>
      </w:r>
      <w:r w:rsidRPr="006E7CA1">
        <w:rPr>
          <w:rFonts w:ascii="Palatino Linotype" w:eastAsia="Times New Roman" w:hAnsi="Palatino Linotype" w:cs="Arial"/>
          <w:sz w:val="24"/>
          <w:szCs w:val="24"/>
          <w:lang w:eastAsia="en-GB"/>
        </w:rPr>
        <w:t xml:space="preserve">in West London such as hate crime, homelessness, </w:t>
      </w:r>
      <w:r w:rsidR="00684C32" w:rsidRPr="006E7CA1">
        <w:rPr>
          <w:rFonts w:ascii="Palatino Linotype" w:eastAsia="Times New Roman" w:hAnsi="Palatino Linotype" w:cs="Arial"/>
          <w:sz w:val="24"/>
          <w:szCs w:val="24"/>
          <w:lang w:eastAsia="en-GB"/>
        </w:rPr>
        <w:t>refugee projects,</w:t>
      </w:r>
      <w:r w:rsidR="000477A4" w:rsidRPr="006E7CA1">
        <w:rPr>
          <w:rFonts w:ascii="Palatino Linotype" w:eastAsia="Times New Roman" w:hAnsi="Palatino Linotype" w:cs="Arial"/>
          <w:sz w:val="24"/>
          <w:szCs w:val="24"/>
          <w:lang w:eastAsia="en-GB"/>
        </w:rPr>
        <w:t xml:space="preserve"> debt</w:t>
      </w:r>
      <w:r w:rsidRPr="006E7CA1">
        <w:rPr>
          <w:rFonts w:ascii="Palatino Linotype" w:eastAsia="Times New Roman" w:hAnsi="Palatino Linotype" w:cs="Arial"/>
          <w:sz w:val="24"/>
          <w:szCs w:val="24"/>
          <w:lang w:eastAsia="en-GB"/>
        </w:rPr>
        <w:t xml:space="preserve"> and poverty reduction. </w:t>
      </w:r>
      <w:r w:rsidR="00684C32" w:rsidRPr="006E7CA1">
        <w:rPr>
          <w:rFonts w:ascii="Palatino Linotype" w:eastAsia="Times New Roman" w:hAnsi="Palatino Linotype" w:cs="Arial"/>
          <w:sz w:val="24"/>
          <w:szCs w:val="24"/>
          <w:lang w:eastAsia="en-GB"/>
        </w:rPr>
        <w:t>The services and projects include the following:</w:t>
      </w:r>
      <w:r w:rsidR="00684C32" w:rsidRPr="006E7CA1">
        <w:rPr>
          <w:rStyle w:val="FootnoteReference"/>
          <w:rFonts w:ascii="Palatino Linotype" w:eastAsia="Times New Roman" w:hAnsi="Palatino Linotype" w:cs="Arial"/>
          <w:sz w:val="24"/>
          <w:szCs w:val="24"/>
          <w:lang w:eastAsia="en-GB"/>
        </w:rPr>
        <w:footnoteReference w:id="53"/>
      </w:r>
    </w:p>
    <w:p w:rsidR="00684C32" w:rsidRPr="006E7CA1" w:rsidRDefault="00684C32" w:rsidP="006E7CA1">
      <w:pPr>
        <w:pStyle w:val="ListParagraph"/>
        <w:numPr>
          <w:ilvl w:val="0"/>
          <w:numId w:val="11"/>
        </w:numPr>
        <w:spacing w:after="200" w:line="36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lastRenderedPageBreak/>
        <w:t>The MILAR Project, an ERASMUS+ refugee integration project funded by the European Commission (with partner universities in Italy, Sweden and Germany);</w:t>
      </w:r>
    </w:p>
    <w:p w:rsidR="00684C32" w:rsidRPr="006E7CA1" w:rsidRDefault="00684C32" w:rsidP="006E7CA1">
      <w:pPr>
        <w:pStyle w:val="ListParagraph"/>
        <w:numPr>
          <w:ilvl w:val="0"/>
          <w:numId w:val="11"/>
        </w:numPr>
        <w:spacing w:after="200" w:line="36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Help Through Crisis - A Foodbank project funded by the Big Lottery Fund with operational sites at Northolt, Brentford, Greenford, Acton, Southall and Hanwell (all in West London);</w:t>
      </w:r>
    </w:p>
    <w:p w:rsidR="00684C32" w:rsidRPr="006E7CA1" w:rsidRDefault="00684C32" w:rsidP="006E7CA1">
      <w:pPr>
        <w:pStyle w:val="ListParagraph"/>
        <w:numPr>
          <w:ilvl w:val="0"/>
          <w:numId w:val="11"/>
        </w:numPr>
        <w:spacing w:after="200" w:line="36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Positive Link – a UK Home Office Strengthening Communities project; and </w:t>
      </w:r>
    </w:p>
    <w:p w:rsidR="00684C32" w:rsidRPr="006E7CA1" w:rsidRDefault="00684C32" w:rsidP="006E7CA1">
      <w:pPr>
        <w:pStyle w:val="ListParagraph"/>
        <w:numPr>
          <w:ilvl w:val="0"/>
          <w:numId w:val="11"/>
        </w:numPr>
        <w:spacing w:after="200" w:line="36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Hate Crime Project – a National Lottery substantial project which has enabled 90 placement places to be made available to University of West London Students over a period of 3 years which has only recently commenced.</w:t>
      </w:r>
    </w:p>
    <w:p w:rsidR="00684C32" w:rsidRPr="006E7CA1" w:rsidRDefault="00684C32"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The range of placement activities that CAP students are able to engage as</w:t>
      </w:r>
      <w:r w:rsidR="0097403E" w:rsidRPr="006E7CA1">
        <w:rPr>
          <w:rFonts w:ascii="Palatino Linotype" w:eastAsia="Times New Roman" w:hAnsi="Palatino Linotype" w:cs="Arial"/>
          <w:sz w:val="24"/>
          <w:szCs w:val="24"/>
          <w:lang w:eastAsia="en-GB"/>
        </w:rPr>
        <w:t xml:space="preserve"> indicated above perhaps has no equal in the UK in its particularity. However, </w:t>
      </w:r>
      <w:r w:rsidR="00AE6E17" w:rsidRPr="006E7CA1">
        <w:rPr>
          <w:rFonts w:ascii="Palatino Linotype" w:eastAsia="Times New Roman" w:hAnsi="Palatino Linotype" w:cs="Arial"/>
          <w:sz w:val="24"/>
          <w:szCs w:val="24"/>
          <w:lang w:eastAsia="en-GB"/>
        </w:rPr>
        <w:t>this may</w:t>
      </w:r>
      <w:r w:rsidR="0097403E" w:rsidRPr="006E7CA1">
        <w:rPr>
          <w:rFonts w:ascii="Palatino Linotype" w:eastAsia="Times New Roman" w:hAnsi="Palatino Linotype" w:cs="Arial"/>
          <w:sz w:val="24"/>
          <w:szCs w:val="24"/>
          <w:lang w:eastAsia="en-GB"/>
        </w:rPr>
        <w:t xml:space="preserve"> be offered as evidence of the inter-connection between local communities and pro bono legal service provision typical of community-based law clinics. </w:t>
      </w:r>
      <w:r w:rsidRPr="006E7CA1">
        <w:rPr>
          <w:rFonts w:ascii="Palatino Linotype" w:eastAsia="Times New Roman" w:hAnsi="Palatino Linotype" w:cs="Arial"/>
          <w:sz w:val="24"/>
          <w:szCs w:val="24"/>
          <w:lang w:eastAsia="en-GB"/>
        </w:rPr>
        <w:t xml:space="preserve"> </w:t>
      </w:r>
    </w:p>
    <w:p w:rsidR="006F63EF" w:rsidRPr="006E7CA1" w:rsidRDefault="0097403E"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A further illustration of CAP’s community intersectionality is provided by a project that was instituted in</w:t>
      </w:r>
      <w:r w:rsidR="006F63EF" w:rsidRPr="006E7CA1">
        <w:rPr>
          <w:rFonts w:ascii="Palatino Linotype" w:eastAsia="Times New Roman" w:hAnsi="Palatino Linotype" w:cs="Arial"/>
          <w:sz w:val="24"/>
          <w:szCs w:val="24"/>
          <w:lang w:eastAsia="en-GB"/>
        </w:rPr>
        <w:t xml:space="preserve"> 2016</w:t>
      </w:r>
      <w:r w:rsidRPr="006E7CA1">
        <w:rPr>
          <w:rFonts w:ascii="Palatino Linotype" w:eastAsia="Times New Roman" w:hAnsi="Palatino Linotype" w:cs="Arial"/>
          <w:sz w:val="24"/>
          <w:szCs w:val="24"/>
          <w:lang w:eastAsia="en-GB"/>
        </w:rPr>
        <w:t>.</w:t>
      </w:r>
      <w:r w:rsidR="006F63EF" w:rsidRPr="006E7CA1">
        <w:rPr>
          <w:rFonts w:ascii="Palatino Linotype" w:eastAsia="Times New Roman" w:hAnsi="Palatino Linotype" w:cs="Arial"/>
          <w:sz w:val="24"/>
          <w:szCs w:val="24"/>
          <w:lang w:eastAsia="en-GB"/>
        </w:rPr>
        <w:t xml:space="preserve"> CAP at UWL was a pioneering partner along with LSE, UCL, Queen Mary, University of London </w:t>
      </w:r>
      <w:r w:rsidRPr="006E7CA1">
        <w:rPr>
          <w:rFonts w:ascii="Palatino Linotype" w:eastAsia="Times New Roman" w:hAnsi="Palatino Linotype" w:cs="Arial"/>
          <w:sz w:val="24"/>
          <w:szCs w:val="24"/>
          <w:lang w:eastAsia="en-GB"/>
        </w:rPr>
        <w:t>(</w:t>
      </w:r>
      <w:r w:rsidR="006F63EF" w:rsidRPr="006E7CA1">
        <w:rPr>
          <w:rFonts w:ascii="Palatino Linotype" w:eastAsia="Times New Roman" w:hAnsi="Palatino Linotype" w:cs="Arial"/>
          <w:sz w:val="24"/>
          <w:szCs w:val="24"/>
          <w:lang w:eastAsia="en-GB"/>
        </w:rPr>
        <w:t xml:space="preserve">and </w:t>
      </w:r>
      <w:r w:rsidR="007247C4" w:rsidRPr="006E7CA1">
        <w:rPr>
          <w:rFonts w:ascii="Palatino Linotype" w:eastAsia="Times New Roman" w:hAnsi="Palatino Linotype" w:cs="Arial"/>
          <w:sz w:val="24"/>
          <w:szCs w:val="24"/>
          <w:lang w:eastAsia="en-GB"/>
        </w:rPr>
        <w:t>now College of Law)</w:t>
      </w:r>
      <w:r w:rsidR="000477A4" w:rsidRPr="006E7CA1">
        <w:rPr>
          <w:rFonts w:ascii="Palatino Linotype" w:eastAsia="Times New Roman" w:hAnsi="Palatino Linotype" w:cs="Arial"/>
          <w:sz w:val="24"/>
          <w:szCs w:val="24"/>
          <w:lang w:eastAsia="en-GB"/>
        </w:rPr>
        <w:t xml:space="preserve"> </w:t>
      </w:r>
      <w:r w:rsidR="006F63EF" w:rsidRPr="006E7CA1">
        <w:rPr>
          <w:rFonts w:ascii="Palatino Linotype" w:eastAsia="Times New Roman" w:hAnsi="Palatino Linotype" w:cs="Arial"/>
          <w:sz w:val="24"/>
          <w:szCs w:val="24"/>
          <w:lang w:eastAsia="en-GB"/>
        </w:rPr>
        <w:t xml:space="preserve">with the City of London Criminal Appeals Clinic where students engaged miscarriage of justice cases to research and prepare worthy cases for submission to the Criminal Cases Review </w:t>
      </w:r>
      <w:r w:rsidRPr="006E7CA1">
        <w:rPr>
          <w:rFonts w:ascii="Palatino Linotype" w:eastAsia="Times New Roman" w:hAnsi="Palatino Linotype" w:cs="Arial"/>
          <w:sz w:val="24"/>
          <w:szCs w:val="24"/>
          <w:lang w:eastAsia="en-GB"/>
        </w:rPr>
        <w:t>Commission</w:t>
      </w:r>
      <w:r w:rsidRPr="006E7CA1">
        <w:rPr>
          <w:rStyle w:val="FootnoteReference"/>
          <w:rFonts w:ascii="Palatino Linotype" w:eastAsia="Times New Roman" w:hAnsi="Palatino Linotype" w:cs="Arial"/>
          <w:sz w:val="24"/>
          <w:szCs w:val="24"/>
          <w:lang w:eastAsia="en-GB"/>
        </w:rPr>
        <w:footnoteReference w:id="54"/>
      </w:r>
      <w:r w:rsidRPr="006E7CA1">
        <w:rPr>
          <w:rFonts w:ascii="Palatino Linotype" w:eastAsia="Times New Roman" w:hAnsi="Palatino Linotype" w:cs="Arial"/>
          <w:sz w:val="24"/>
          <w:szCs w:val="24"/>
          <w:lang w:eastAsia="en-GB"/>
        </w:rPr>
        <w:t xml:space="preserve">, the body in the UK that reviews and presents cases of alleged miscarriage of justice in criminal matters to the Court of </w:t>
      </w:r>
      <w:r w:rsidRPr="006E7CA1">
        <w:rPr>
          <w:rFonts w:ascii="Palatino Linotype" w:eastAsia="Times New Roman" w:hAnsi="Palatino Linotype" w:cs="Arial"/>
          <w:sz w:val="24"/>
          <w:szCs w:val="24"/>
          <w:lang w:eastAsia="en-GB"/>
        </w:rPr>
        <w:lastRenderedPageBreak/>
        <w:t>Appeal for determination.</w:t>
      </w:r>
      <w:r w:rsidR="006F63EF" w:rsidRPr="006E7CA1">
        <w:rPr>
          <w:rFonts w:ascii="Palatino Linotype" w:eastAsia="Times New Roman" w:hAnsi="Palatino Linotype" w:cs="Arial"/>
          <w:sz w:val="24"/>
          <w:szCs w:val="24"/>
          <w:lang w:eastAsia="en-GB"/>
        </w:rPr>
        <w:t xml:space="preserve"> In th</w:t>
      </w:r>
      <w:r w:rsidRPr="006E7CA1">
        <w:rPr>
          <w:rFonts w:ascii="Palatino Linotype" w:eastAsia="Times New Roman" w:hAnsi="Palatino Linotype" w:cs="Arial"/>
          <w:sz w:val="24"/>
          <w:szCs w:val="24"/>
          <w:lang w:eastAsia="en-GB"/>
        </w:rPr>
        <w:t xml:space="preserve">e first season of the </w:t>
      </w:r>
      <w:r w:rsidR="006F63EF" w:rsidRPr="006E7CA1">
        <w:rPr>
          <w:rFonts w:ascii="Palatino Linotype" w:eastAsia="Times New Roman" w:hAnsi="Palatino Linotype" w:cs="Arial"/>
          <w:sz w:val="24"/>
          <w:szCs w:val="24"/>
          <w:lang w:eastAsia="en-GB"/>
        </w:rPr>
        <w:t>project, CAP UWL was awarded the prize for the Best Performing institution</w:t>
      </w:r>
      <w:r w:rsidRPr="006E7CA1">
        <w:rPr>
          <w:rFonts w:ascii="Palatino Linotype" w:eastAsia="Times New Roman" w:hAnsi="Palatino Linotype" w:cs="Arial"/>
          <w:sz w:val="24"/>
          <w:szCs w:val="24"/>
          <w:lang w:eastAsia="en-GB"/>
        </w:rPr>
        <w:t xml:space="preserve"> in 2016</w:t>
      </w:r>
      <w:r w:rsidR="006F63EF" w:rsidRPr="006E7CA1">
        <w:rPr>
          <w:rFonts w:ascii="Palatino Linotype" w:eastAsia="Times New Roman" w:hAnsi="Palatino Linotype" w:cs="Arial"/>
          <w:sz w:val="24"/>
          <w:szCs w:val="24"/>
          <w:lang w:eastAsia="en-GB"/>
        </w:rPr>
        <w:t>.</w:t>
      </w:r>
    </w:p>
    <w:p w:rsidR="0097403E" w:rsidRPr="006E7CA1" w:rsidRDefault="0097403E"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ii The Academic Module – Community Legal Advice</w:t>
      </w:r>
    </w:p>
    <w:p w:rsidR="0097403E" w:rsidRPr="006E7CA1" w:rsidRDefault="0097403E"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One of </w:t>
      </w:r>
      <w:r w:rsidR="006F63EF" w:rsidRPr="006E7CA1">
        <w:rPr>
          <w:rFonts w:ascii="Palatino Linotype" w:eastAsia="Times New Roman" w:hAnsi="Palatino Linotype" w:cs="Arial"/>
          <w:sz w:val="24"/>
          <w:szCs w:val="24"/>
          <w:lang w:eastAsia="en-GB"/>
        </w:rPr>
        <w:t>CAP</w:t>
      </w:r>
      <w:r w:rsidRPr="006E7CA1">
        <w:rPr>
          <w:rFonts w:ascii="Palatino Linotype" w:eastAsia="Times New Roman" w:hAnsi="Palatino Linotype" w:cs="Arial"/>
          <w:sz w:val="24"/>
          <w:szCs w:val="24"/>
          <w:lang w:eastAsia="en-GB"/>
        </w:rPr>
        <w:t xml:space="preserve">’s most important functions is that it </w:t>
      </w:r>
      <w:r w:rsidR="006F63EF" w:rsidRPr="006E7CA1">
        <w:rPr>
          <w:rFonts w:ascii="Palatino Linotype" w:eastAsia="Times New Roman" w:hAnsi="Palatino Linotype" w:cs="Arial"/>
          <w:sz w:val="24"/>
          <w:szCs w:val="24"/>
          <w:lang w:eastAsia="en-GB"/>
        </w:rPr>
        <w:t>supports the University of West London law students with guaranteed placements for the LL.B clinical module, Community Legal Advice</w:t>
      </w:r>
      <w:r w:rsidRPr="006E7CA1">
        <w:rPr>
          <w:rFonts w:ascii="Palatino Linotype" w:eastAsia="Times New Roman" w:hAnsi="Palatino Linotype" w:cs="Arial"/>
          <w:sz w:val="24"/>
          <w:szCs w:val="24"/>
          <w:lang w:eastAsia="en-GB"/>
        </w:rPr>
        <w:t xml:space="preserve"> (CLA)</w:t>
      </w:r>
      <w:r w:rsidR="006F63EF" w:rsidRPr="006E7CA1">
        <w:rPr>
          <w:rFonts w:ascii="Palatino Linotype" w:eastAsia="Times New Roman" w:hAnsi="Palatino Linotype" w:cs="Arial"/>
          <w:sz w:val="24"/>
          <w:szCs w:val="24"/>
          <w:lang w:eastAsia="en-GB"/>
        </w:rPr>
        <w:t xml:space="preserve"> which currently has a cohort of 42 students.</w:t>
      </w:r>
      <w:r w:rsidR="000477A4" w:rsidRPr="006E7CA1">
        <w:rPr>
          <w:rFonts w:ascii="Palatino Linotype" w:eastAsia="Times New Roman" w:hAnsi="Palatino Linotype" w:cs="Arial"/>
          <w:sz w:val="24"/>
          <w:szCs w:val="24"/>
          <w:lang w:eastAsia="en-GB"/>
        </w:rPr>
        <w:t xml:space="preserve"> This helps to overcome the significant problem clinical students experience in securing externship placements</w:t>
      </w:r>
      <w:r w:rsidRPr="006E7CA1">
        <w:rPr>
          <w:rFonts w:ascii="Palatino Linotype" w:eastAsia="Times New Roman" w:hAnsi="Palatino Linotype" w:cs="Arial"/>
          <w:sz w:val="24"/>
          <w:szCs w:val="24"/>
          <w:lang w:eastAsia="en-GB"/>
        </w:rPr>
        <w:t xml:space="preserve"> with live clients</w:t>
      </w:r>
      <w:r w:rsidR="000477A4" w:rsidRPr="006E7CA1">
        <w:rPr>
          <w:rFonts w:ascii="Palatino Linotype" w:eastAsia="Times New Roman" w:hAnsi="Palatino Linotype" w:cs="Arial"/>
          <w:sz w:val="24"/>
          <w:szCs w:val="24"/>
          <w:lang w:eastAsia="en-GB"/>
        </w:rPr>
        <w:t>.</w:t>
      </w:r>
      <w:r w:rsidRPr="006E7CA1">
        <w:rPr>
          <w:rFonts w:ascii="Palatino Linotype" w:eastAsia="Times New Roman" w:hAnsi="Palatino Linotype" w:cs="Arial"/>
          <w:sz w:val="24"/>
          <w:szCs w:val="24"/>
          <w:lang w:eastAsia="en-GB"/>
        </w:rPr>
        <w:t xml:space="preserve"> The module is a 20-creditfinal year elective</w:t>
      </w:r>
      <w:r w:rsidR="007A3493" w:rsidRPr="006E7CA1">
        <w:rPr>
          <w:rFonts w:ascii="Palatino Linotype" w:eastAsia="Times New Roman" w:hAnsi="Palatino Linotype" w:cs="Arial"/>
          <w:sz w:val="24"/>
          <w:szCs w:val="24"/>
          <w:lang w:eastAsia="en-GB"/>
        </w:rPr>
        <w:t xml:space="preserve"> and its methodology is described as follows in the Module Study Guide:</w:t>
      </w:r>
    </w:p>
    <w:p w:rsidR="007A3493" w:rsidRPr="006E7CA1" w:rsidRDefault="007A3493" w:rsidP="000578AC">
      <w:pPr>
        <w:widowControl w:val="0"/>
        <w:spacing w:after="0" w:line="360" w:lineRule="auto"/>
        <w:ind w:left="284" w:right="403"/>
        <w:rPr>
          <w:rFonts w:ascii="Palatino Linotype" w:hAnsi="Palatino Linotype"/>
          <w:sz w:val="24"/>
          <w:szCs w:val="24"/>
        </w:rPr>
      </w:pPr>
      <w:r w:rsidRPr="006E7CA1">
        <w:rPr>
          <w:rFonts w:ascii="Palatino Linotype" w:eastAsia="Times New Roman" w:hAnsi="Palatino Linotype" w:cs="Arial"/>
          <w:sz w:val="24"/>
          <w:szCs w:val="24"/>
        </w:rPr>
        <w:t>“As a Clinical Legal Education module, the teaching and learning method places you at the centre of the delivery of the outcomes of the module. You have ownership of your learning because you largely control your placement and its activities or at least exercise a large measure of autonomy. Learning in the classroom is therefore a partnership which requires you to be an active learner who owns your learning. With this methodology, you can map with confidence, a clear path between effort and success.”</w:t>
      </w:r>
      <w:r w:rsidRPr="006E7CA1">
        <w:rPr>
          <w:rStyle w:val="FootnoteReference"/>
          <w:rFonts w:ascii="Palatino Linotype" w:eastAsia="Times New Roman" w:hAnsi="Palatino Linotype" w:cs="Arial"/>
          <w:sz w:val="24"/>
          <w:szCs w:val="24"/>
        </w:rPr>
        <w:footnoteReference w:id="55"/>
      </w:r>
    </w:p>
    <w:p w:rsidR="006E499F" w:rsidRPr="006E7CA1" w:rsidRDefault="007A3493" w:rsidP="006E7CA1">
      <w:pPr>
        <w:spacing w:after="0" w:line="480" w:lineRule="auto"/>
        <w:jc w:val="both"/>
        <w:rPr>
          <w:rFonts w:ascii="Palatino Linotype" w:hAnsi="Palatino Linotype" w:cs="Arial"/>
          <w:sz w:val="24"/>
          <w:szCs w:val="24"/>
          <w:lang w:eastAsia="en-GB"/>
        </w:rPr>
      </w:pPr>
      <w:r w:rsidRPr="006E7CA1">
        <w:rPr>
          <w:rFonts w:ascii="Palatino Linotype" w:eastAsia="Times New Roman" w:hAnsi="Palatino Linotype" w:cs="Arial"/>
          <w:sz w:val="24"/>
          <w:szCs w:val="24"/>
          <w:lang w:eastAsia="en-GB"/>
        </w:rPr>
        <w:t xml:space="preserve">The module requires students to be </w:t>
      </w:r>
      <w:r w:rsidR="006E499F" w:rsidRPr="006E7CA1">
        <w:rPr>
          <w:rFonts w:ascii="Palatino Linotype" w:eastAsia="Times New Roman" w:hAnsi="Palatino Linotype" w:cs="Arial"/>
          <w:sz w:val="24"/>
          <w:szCs w:val="24"/>
          <w:lang w:eastAsia="en-GB"/>
        </w:rPr>
        <w:t>i</w:t>
      </w:r>
      <w:r w:rsidRPr="006E7CA1">
        <w:rPr>
          <w:rFonts w:ascii="Palatino Linotype" w:eastAsia="Times New Roman" w:hAnsi="Palatino Linotype" w:cs="Arial"/>
          <w:sz w:val="24"/>
          <w:szCs w:val="24"/>
          <w:lang w:eastAsia="en-GB"/>
        </w:rPr>
        <w:t>n placement with law firms, community advice organisations, etc., for at least the duration of the module</w:t>
      </w:r>
      <w:r w:rsidR="006E499F" w:rsidRPr="006E7CA1">
        <w:rPr>
          <w:rFonts w:ascii="Palatino Linotype" w:eastAsia="Times New Roman" w:hAnsi="Palatino Linotype" w:cs="Arial"/>
          <w:sz w:val="24"/>
          <w:szCs w:val="24"/>
          <w:lang w:eastAsia="en-GB"/>
        </w:rPr>
        <w:t xml:space="preserve">. Students participate in scheduled classroom activities including discussion of clinical legal education and experiential learning, skills training in research methodology and </w:t>
      </w:r>
      <w:r w:rsidR="006E499F" w:rsidRPr="006E7CA1">
        <w:rPr>
          <w:rFonts w:ascii="Palatino Linotype" w:eastAsia="Times New Roman" w:hAnsi="Palatino Linotype" w:cs="Arial"/>
          <w:sz w:val="24"/>
          <w:szCs w:val="24"/>
          <w:lang w:eastAsia="en-GB"/>
        </w:rPr>
        <w:lastRenderedPageBreak/>
        <w:t>electronic databases, employability, drafting, negotiation and conciliation, written and oral communication, policy issues such as legal services and access to justice, social justice ethics and law</w:t>
      </w:r>
      <w:r w:rsidR="00AE6E17" w:rsidRPr="006E7CA1">
        <w:rPr>
          <w:rFonts w:ascii="Palatino Linotype" w:eastAsia="Times New Roman" w:hAnsi="Palatino Linotype" w:cs="Arial"/>
          <w:sz w:val="24"/>
          <w:szCs w:val="24"/>
          <w:lang w:eastAsia="en-GB"/>
        </w:rPr>
        <w:t xml:space="preserve">, </w:t>
      </w:r>
      <w:r w:rsidR="006E499F" w:rsidRPr="006E7CA1">
        <w:rPr>
          <w:rFonts w:ascii="Palatino Linotype" w:eastAsia="Times New Roman" w:hAnsi="Palatino Linotype" w:cs="Arial"/>
          <w:sz w:val="24"/>
          <w:szCs w:val="24"/>
          <w:lang w:eastAsia="en-GB"/>
        </w:rPr>
        <w:t>etc. The module is assessed by the submission of a</w:t>
      </w:r>
      <w:r w:rsidRPr="006E7CA1">
        <w:rPr>
          <w:rFonts w:ascii="Palatino Linotype" w:eastAsia="Times New Roman" w:hAnsi="Palatino Linotype" w:cs="Arial"/>
          <w:sz w:val="24"/>
          <w:szCs w:val="24"/>
          <w:lang w:eastAsia="en-GB"/>
        </w:rPr>
        <w:t xml:space="preserve"> compulsory Reflective Journal, recording their placement activities and their reflection on these. This journal is submitted along with the student’s placement report</w:t>
      </w:r>
      <w:r w:rsidR="006E499F" w:rsidRPr="006E7CA1">
        <w:rPr>
          <w:rFonts w:ascii="Palatino Linotype" w:eastAsia="Times New Roman" w:hAnsi="Palatino Linotype" w:cs="Arial"/>
          <w:sz w:val="24"/>
          <w:szCs w:val="24"/>
          <w:lang w:eastAsia="en-GB"/>
        </w:rPr>
        <w:t xml:space="preserve"> at the end of the module. The report is a critical account of, and reflection upon, their placement activities and their personal journey of development as a student clinician in the community. Student reflections often chronicle transformation and epipha</w:t>
      </w:r>
      <w:r w:rsidR="00A943A2" w:rsidRPr="006E7CA1">
        <w:rPr>
          <w:rFonts w:ascii="Palatino Linotype" w:eastAsia="Times New Roman" w:hAnsi="Palatino Linotype" w:cs="Arial"/>
          <w:sz w:val="24"/>
          <w:szCs w:val="24"/>
          <w:lang w:eastAsia="en-GB"/>
        </w:rPr>
        <w:t>ny. The following excerpts from</w:t>
      </w:r>
      <w:r w:rsidR="006E7CA1">
        <w:rPr>
          <w:rFonts w:ascii="Palatino Linotype" w:eastAsia="Times New Roman" w:hAnsi="Palatino Linotype" w:cs="Arial"/>
          <w:sz w:val="24"/>
          <w:szCs w:val="24"/>
          <w:lang w:eastAsia="en-GB"/>
        </w:rPr>
        <w:t xml:space="preserve"> </w:t>
      </w:r>
      <w:r w:rsidR="006E499F" w:rsidRPr="006E7CA1">
        <w:rPr>
          <w:rFonts w:ascii="Palatino Linotype" w:hAnsi="Palatino Linotype" w:cs="Arial"/>
          <w:sz w:val="24"/>
          <w:szCs w:val="24"/>
          <w:lang w:eastAsia="en-GB"/>
        </w:rPr>
        <w:t>two student reports in 2018 are illustrative:</w:t>
      </w:r>
    </w:p>
    <w:p w:rsidR="00A943A2" w:rsidRPr="006E7CA1" w:rsidRDefault="00A943A2" w:rsidP="006E7CA1">
      <w:pPr>
        <w:pStyle w:val="NoSpacing"/>
        <w:spacing w:line="360" w:lineRule="auto"/>
        <w:ind w:left="284" w:right="403"/>
        <w:rPr>
          <w:rFonts w:ascii="Palatino Linotype" w:eastAsia="Calibri" w:hAnsi="Palatino Linotype" w:cs="Arial"/>
          <w:sz w:val="24"/>
          <w:szCs w:val="24"/>
        </w:rPr>
      </w:pPr>
      <w:r w:rsidRPr="006E7CA1">
        <w:rPr>
          <w:rFonts w:ascii="Palatino Linotype" w:hAnsi="Palatino Linotype" w:cs="Arial"/>
          <w:sz w:val="24"/>
          <w:szCs w:val="24"/>
          <w:lang w:eastAsia="en-GB"/>
        </w:rPr>
        <w:t>“</w:t>
      </w:r>
      <w:r w:rsidRPr="006E7CA1">
        <w:rPr>
          <w:rFonts w:ascii="Palatino Linotype" w:eastAsia="Calibri" w:hAnsi="Palatino Linotype" w:cs="Arial"/>
          <w:sz w:val="24"/>
          <w:szCs w:val="24"/>
        </w:rPr>
        <w:t xml:space="preserve">By studying CLA I became acutely aware of the importance of access to justice. The public rely on services such as CRB and CAP to give free advice to the public who do not have the funds to hire a solicitor to take on their cases. The cut backs that are made in legal aid have forced individuals to </w:t>
      </w:r>
      <w:r w:rsidR="00AE6E17" w:rsidRPr="006E7CA1">
        <w:rPr>
          <w:rFonts w:ascii="Palatino Linotype" w:eastAsia="Calibri" w:hAnsi="Palatino Linotype" w:cs="Arial"/>
          <w:sz w:val="24"/>
          <w:szCs w:val="24"/>
        </w:rPr>
        <w:t>self-help</w:t>
      </w:r>
      <w:r w:rsidRPr="006E7CA1">
        <w:rPr>
          <w:rFonts w:ascii="Palatino Linotype" w:eastAsia="Calibri" w:hAnsi="Palatino Linotype" w:cs="Arial"/>
          <w:sz w:val="24"/>
          <w:szCs w:val="24"/>
        </w:rPr>
        <w:t xml:space="preserve"> or rely on agencies to give them advice is so large. This is morally and ethically wrong as this effects the great number of the public who have no funds available for a solicitor or to pay court fees. Every individual should be entitled to a fair justice system not just the high paid citizens, the justice system has failed to help the lower class citizens who suffer the most, I have seen this first hand by interviewing clients at CAP many of the problems are caused my debt and arrears, these clients would never be able to afford a solicitor and pay the high fees. Relying on services like CAP benefits the community a great deal on providing advice and writing letters on behalf of the clients. </w:t>
      </w:r>
    </w:p>
    <w:p w:rsidR="00A943A2" w:rsidRPr="006E7CA1" w:rsidRDefault="00A943A2" w:rsidP="006E7CA1">
      <w:pPr>
        <w:pStyle w:val="NoSpacing"/>
        <w:spacing w:line="360" w:lineRule="auto"/>
        <w:ind w:left="284" w:right="403"/>
        <w:rPr>
          <w:rFonts w:ascii="Palatino Linotype" w:eastAsia="Calibri" w:hAnsi="Palatino Linotype" w:cs="Arial"/>
          <w:sz w:val="24"/>
          <w:szCs w:val="24"/>
        </w:rPr>
      </w:pPr>
      <w:r w:rsidRPr="006E7CA1">
        <w:rPr>
          <w:rFonts w:ascii="Palatino Linotype" w:eastAsia="Calibri" w:hAnsi="Palatino Linotype" w:cs="Arial"/>
          <w:sz w:val="24"/>
          <w:szCs w:val="24"/>
        </w:rPr>
        <w:lastRenderedPageBreak/>
        <w:t xml:space="preserve">The government are aware that these agencies are run by volunteers who offer their time and advice to help people but do not fund these agencies, considering we play an active role in helping the public. </w:t>
      </w:r>
    </w:p>
    <w:p w:rsidR="00A943A2" w:rsidRPr="006E7CA1" w:rsidRDefault="00A943A2" w:rsidP="006E7CA1">
      <w:pPr>
        <w:pStyle w:val="NoSpacing"/>
        <w:spacing w:line="360" w:lineRule="auto"/>
        <w:ind w:left="284" w:right="403"/>
        <w:rPr>
          <w:rFonts w:ascii="Palatino Linotype" w:eastAsia="Calibri" w:hAnsi="Palatino Linotype" w:cs="Arial"/>
          <w:sz w:val="24"/>
          <w:szCs w:val="24"/>
        </w:rPr>
      </w:pPr>
      <w:r w:rsidRPr="006E7CA1">
        <w:rPr>
          <w:rFonts w:ascii="Palatino Linotype" w:eastAsia="Calibri" w:hAnsi="Palatino Linotype" w:cs="Arial"/>
          <w:sz w:val="24"/>
          <w:szCs w:val="24"/>
        </w:rPr>
        <w:t>I did not know the extent of access to justice and how important it is until studying this module, I have developed a good understanding of this area and continue to do so in my legal profession.”</w:t>
      </w:r>
    </w:p>
    <w:p w:rsidR="00A943A2" w:rsidRPr="006E7CA1" w:rsidRDefault="00A943A2" w:rsidP="006E7CA1">
      <w:pPr>
        <w:pStyle w:val="NoSpacing"/>
        <w:spacing w:line="480" w:lineRule="auto"/>
        <w:rPr>
          <w:rFonts w:ascii="Palatino Linotype" w:eastAsia="Calibri" w:hAnsi="Palatino Linotype" w:cs="Arial"/>
          <w:sz w:val="24"/>
          <w:szCs w:val="24"/>
        </w:rPr>
      </w:pPr>
    </w:p>
    <w:p w:rsidR="00A943A2" w:rsidRPr="006E7CA1" w:rsidRDefault="00A943A2" w:rsidP="006E7CA1">
      <w:pPr>
        <w:pStyle w:val="NoSpacing"/>
        <w:spacing w:line="360" w:lineRule="auto"/>
        <w:ind w:left="284" w:right="403"/>
        <w:rPr>
          <w:rFonts w:ascii="Palatino Linotype" w:hAnsi="Palatino Linotype"/>
          <w:sz w:val="24"/>
          <w:szCs w:val="24"/>
        </w:rPr>
      </w:pPr>
      <w:r w:rsidRPr="006E7CA1">
        <w:rPr>
          <w:rFonts w:ascii="Palatino Linotype" w:hAnsi="Palatino Linotype"/>
          <w:sz w:val="24"/>
          <w:szCs w:val="24"/>
        </w:rPr>
        <w:t>“</w:t>
      </w:r>
      <w:r w:rsidR="00046BAC" w:rsidRPr="006E7CA1">
        <w:rPr>
          <w:rFonts w:ascii="Palatino Linotype" w:hAnsi="Palatino Linotype"/>
          <w:sz w:val="24"/>
          <w:szCs w:val="24"/>
        </w:rPr>
        <w:t>During my reflective learning journey, I expressed large amounts of empathy and compassion and felt responsibility and purpose in a different form. I had challenged my own opinions on humanity and coming to find myself more intrigued and supportive of a communist regime in western society or perhaps globally.”</w:t>
      </w:r>
    </w:p>
    <w:p w:rsidR="007A3493" w:rsidRPr="006E7CA1" w:rsidRDefault="009D3DF6"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Thus, it may be concluded that the student clinicians have the opportunity to become socially conscious practitioners whose experience of the practical legal world intersects the lives of the communities that they serve.</w:t>
      </w:r>
      <w:r w:rsidR="007A3493" w:rsidRPr="006E7CA1">
        <w:rPr>
          <w:rFonts w:ascii="Palatino Linotype" w:eastAsia="Times New Roman" w:hAnsi="Palatino Linotype" w:cs="Arial"/>
          <w:sz w:val="24"/>
          <w:szCs w:val="24"/>
          <w:lang w:eastAsia="en-GB"/>
        </w:rPr>
        <w:t xml:space="preserve"> </w:t>
      </w:r>
    </w:p>
    <w:p w:rsidR="006F63EF" w:rsidRPr="006E7CA1" w:rsidRDefault="000477A4"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In addition</w:t>
      </w:r>
      <w:r w:rsidR="009D3DF6" w:rsidRPr="006E7CA1">
        <w:rPr>
          <w:rFonts w:ascii="Palatino Linotype" w:eastAsia="Times New Roman" w:hAnsi="Palatino Linotype" w:cs="Arial"/>
          <w:sz w:val="24"/>
          <w:szCs w:val="24"/>
          <w:lang w:eastAsia="en-GB"/>
        </w:rPr>
        <w:t xml:space="preserve">, </w:t>
      </w:r>
      <w:r w:rsidRPr="006E7CA1">
        <w:rPr>
          <w:rFonts w:ascii="Palatino Linotype" w:eastAsia="Times New Roman" w:hAnsi="Palatino Linotype" w:cs="Arial"/>
          <w:sz w:val="24"/>
          <w:szCs w:val="24"/>
          <w:lang w:eastAsia="en-GB"/>
        </w:rPr>
        <w:t xml:space="preserve">one of the most significant developments at CAP over the past two years, has been the successful submission by </w:t>
      </w:r>
      <w:r w:rsidR="00127370" w:rsidRPr="006E7CA1">
        <w:rPr>
          <w:rFonts w:ascii="Palatino Linotype" w:eastAsia="Times New Roman" w:hAnsi="Palatino Linotype" w:cs="Arial"/>
          <w:sz w:val="24"/>
          <w:szCs w:val="24"/>
          <w:lang w:eastAsia="en-GB"/>
        </w:rPr>
        <w:t>four</w:t>
      </w:r>
      <w:r w:rsidRPr="006E7CA1">
        <w:rPr>
          <w:rFonts w:ascii="Palatino Linotype" w:eastAsia="Times New Roman" w:hAnsi="Palatino Linotype" w:cs="Arial"/>
          <w:sz w:val="24"/>
          <w:szCs w:val="24"/>
          <w:lang w:eastAsia="en-GB"/>
        </w:rPr>
        <w:t xml:space="preserve"> trainee solicitors on the work-based </w:t>
      </w:r>
      <w:r w:rsidR="00127370" w:rsidRPr="006E7CA1">
        <w:rPr>
          <w:rFonts w:ascii="Palatino Linotype" w:eastAsia="Times New Roman" w:hAnsi="Palatino Linotype" w:cs="Arial"/>
          <w:sz w:val="24"/>
          <w:szCs w:val="24"/>
          <w:lang w:eastAsia="en-GB"/>
        </w:rPr>
        <w:t>“equivalent means” route</w:t>
      </w:r>
      <w:r w:rsidR="00127370" w:rsidRPr="006E7CA1">
        <w:rPr>
          <w:rStyle w:val="FootnoteReference"/>
          <w:rFonts w:ascii="Palatino Linotype" w:eastAsia="Times New Roman" w:hAnsi="Palatino Linotype" w:cs="Arial"/>
          <w:sz w:val="24"/>
          <w:szCs w:val="24"/>
          <w:lang w:eastAsia="en-GB"/>
        </w:rPr>
        <w:footnoteReference w:id="56"/>
      </w:r>
      <w:r w:rsidRPr="006E7CA1">
        <w:rPr>
          <w:rFonts w:ascii="Palatino Linotype" w:eastAsia="Times New Roman" w:hAnsi="Palatino Linotype" w:cs="Arial"/>
          <w:sz w:val="24"/>
          <w:szCs w:val="24"/>
          <w:lang w:eastAsia="en-GB"/>
        </w:rPr>
        <w:t xml:space="preserve"> through their work at CAP. </w:t>
      </w:r>
      <w:r w:rsidR="009D3DF6" w:rsidRPr="006E7CA1">
        <w:rPr>
          <w:rFonts w:ascii="Palatino Linotype" w:eastAsia="Times New Roman" w:hAnsi="Palatino Linotype" w:cs="Arial"/>
          <w:sz w:val="24"/>
          <w:szCs w:val="24"/>
          <w:lang w:eastAsia="en-GB"/>
        </w:rPr>
        <w:t xml:space="preserve">Upon completion of the law degree and the required vocational </w:t>
      </w:r>
      <w:r w:rsidR="00F52FD8" w:rsidRPr="006E7CA1">
        <w:rPr>
          <w:rFonts w:ascii="Palatino Linotype" w:eastAsia="Times New Roman" w:hAnsi="Palatino Linotype" w:cs="Arial"/>
          <w:sz w:val="24"/>
          <w:szCs w:val="24"/>
          <w:lang w:eastAsia="en-GB"/>
        </w:rPr>
        <w:t>course, the Legal Practice Course, a prospective solicitor in England and Wales must obtain</w:t>
      </w:r>
      <w:r w:rsidR="00AE6E17" w:rsidRPr="006E7CA1">
        <w:rPr>
          <w:rFonts w:ascii="Palatino Linotype" w:eastAsia="Times New Roman" w:hAnsi="Palatino Linotype" w:cs="Arial"/>
          <w:sz w:val="24"/>
          <w:szCs w:val="24"/>
          <w:lang w:eastAsia="en-GB"/>
        </w:rPr>
        <w:t xml:space="preserve"> </w:t>
      </w:r>
      <w:r w:rsidR="00F52FD8" w:rsidRPr="006E7CA1">
        <w:rPr>
          <w:rFonts w:ascii="Palatino Linotype" w:eastAsia="Times New Roman" w:hAnsi="Palatino Linotype" w:cs="Arial"/>
          <w:sz w:val="24"/>
          <w:szCs w:val="24"/>
          <w:lang w:eastAsia="en-GB"/>
        </w:rPr>
        <w:t xml:space="preserve">a training contract with a law firm and serve their solicitor’s apprenticeship for two years before formal admission to the role of registered solicitors. Training contracts are notoriously limited in number, especially after the financial crash of 2008 and subsequent </w:t>
      </w:r>
      <w:r w:rsidR="00F52FD8" w:rsidRPr="006E7CA1">
        <w:rPr>
          <w:rFonts w:ascii="Palatino Linotype" w:eastAsia="Times New Roman" w:hAnsi="Palatino Linotype" w:cs="Arial"/>
          <w:sz w:val="24"/>
          <w:szCs w:val="24"/>
          <w:lang w:eastAsia="en-GB"/>
        </w:rPr>
        <w:lastRenderedPageBreak/>
        <w:t xml:space="preserve">regulatory changes by the Solicitors Regulation Authority (SRA) that led to many medium and small size high street practices folding. </w:t>
      </w:r>
      <w:r w:rsidRPr="006E7CA1">
        <w:rPr>
          <w:rFonts w:ascii="Palatino Linotype" w:eastAsia="Times New Roman" w:hAnsi="Palatino Linotype" w:cs="Arial"/>
          <w:sz w:val="24"/>
          <w:szCs w:val="24"/>
          <w:lang w:eastAsia="en-GB"/>
        </w:rPr>
        <w:t xml:space="preserve">The recognition by the </w:t>
      </w:r>
      <w:r w:rsidR="00F52FD8" w:rsidRPr="006E7CA1">
        <w:rPr>
          <w:rFonts w:ascii="Palatino Linotype" w:eastAsia="Times New Roman" w:hAnsi="Palatino Linotype" w:cs="Arial"/>
          <w:sz w:val="24"/>
          <w:szCs w:val="24"/>
          <w:lang w:eastAsia="en-GB"/>
        </w:rPr>
        <w:t xml:space="preserve">SRA </w:t>
      </w:r>
      <w:r w:rsidRPr="006E7CA1">
        <w:rPr>
          <w:rFonts w:ascii="Palatino Linotype" w:eastAsia="Times New Roman" w:hAnsi="Palatino Linotype" w:cs="Arial"/>
          <w:sz w:val="24"/>
          <w:szCs w:val="24"/>
          <w:lang w:eastAsia="en-GB"/>
        </w:rPr>
        <w:t xml:space="preserve">of the appropriateness of CAP work and supervision is an important step in overcoming the age-old barrier students from diverse backgrounds and newer universities have when they try to enter the legal profession upon completion of the academic and vocational stages of their legal education. </w:t>
      </w:r>
    </w:p>
    <w:p w:rsidR="000477A4" w:rsidRPr="006E7CA1" w:rsidRDefault="000477A4" w:rsidP="006E7CA1">
      <w:pPr>
        <w:spacing w:after="200"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Arguably, the most significant aspect of the CAP/</w:t>
      </w:r>
      <w:r w:rsidR="009D3DF6" w:rsidRPr="006E7CA1">
        <w:rPr>
          <w:rFonts w:ascii="Palatino Linotype" w:eastAsia="Times New Roman" w:hAnsi="Palatino Linotype" w:cs="Arial"/>
          <w:sz w:val="24"/>
          <w:szCs w:val="24"/>
          <w:lang w:eastAsia="en-GB"/>
        </w:rPr>
        <w:t>WLEC</w:t>
      </w:r>
      <w:r w:rsidRPr="006E7CA1">
        <w:rPr>
          <w:rFonts w:ascii="Palatino Linotype" w:eastAsia="Times New Roman" w:hAnsi="Palatino Linotype" w:cs="Arial"/>
          <w:sz w:val="24"/>
          <w:szCs w:val="24"/>
          <w:lang w:eastAsia="en-GB"/>
        </w:rPr>
        <w:t xml:space="preserve"> project is the community and institutional networking that is made possible as well as the incidence of real community engagement across different issues and at different levels by clinicians. It is the usual practice for CAP sessions on Saturdays to end in seminars and lectures </w:t>
      </w:r>
      <w:r w:rsidR="00A86FD7" w:rsidRPr="006E7CA1">
        <w:rPr>
          <w:rFonts w:ascii="Palatino Linotype" w:eastAsia="Times New Roman" w:hAnsi="Palatino Linotype" w:cs="Arial"/>
          <w:sz w:val="24"/>
          <w:szCs w:val="24"/>
          <w:lang w:eastAsia="en-GB"/>
        </w:rPr>
        <w:t xml:space="preserve">given by </w:t>
      </w:r>
      <w:r w:rsidRPr="006E7CA1">
        <w:rPr>
          <w:rFonts w:ascii="Palatino Linotype" w:eastAsia="Times New Roman" w:hAnsi="Palatino Linotype" w:cs="Arial"/>
          <w:sz w:val="24"/>
          <w:szCs w:val="24"/>
          <w:lang w:eastAsia="en-GB"/>
        </w:rPr>
        <w:t xml:space="preserve">experts on key socio-legal issues such as </w:t>
      </w:r>
      <w:r w:rsidR="00A86FD7" w:rsidRPr="006E7CA1">
        <w:rPr>
          <w:rFonts w:ascii="Palatino Linotype" w:eastAsia="Times New Roman" w:hAnsi="Palatino Linotype" w:cs="Arial"/>
          <w:sz w:val="24"/>
          <w:szCs w:val="24"/>
          <w:lang w:eastAsia="en-GB"/>
        </w:rPr>
        <w:t>immigration, h</w:t>
      </w:r>
      <w:r w:rsidRPr="006E7CA1">
        <w:rPr>
          <w:rFonts w:ascii="Palatino Linotype" w:eastAsia="Times New Roman" w:hAnsi="Palatino Linotype" w:cs="Arial"/>
          <w:sz w:val="24"/>
          <w:szCs w:val="24"/>
          <w:lang w:eastAsia="en-GB"/>
        </w:rPr>
        <w:t xml:space="preserve">ate crime, </w:t>
      </w:r>
      <w:r w:rsidR="00A86FD7" w:rsidRPr="006E7CA1">
        <w:rPr>
          <w:rFonts w:ascii="Palatino Linotype" w:eastAsia="Times New Roman" w:hAnsi="Palatino Linotype" w:cs="Arial"/>
          <w:sz w:val="24"/>
          <w:szCs w:val="24"/>
          <w:lang w:eastAsia="en-GB"/>
        </w:rPr>
        <w:t>i</w:t>
      </w:r>
      <w:r w:rsidRPr="006E7CA1">
        <w:rPr>
          <w:rFonts w:ascii="Palatino Linotype" w:eastAsia="Times New Roman" w:hAnsi="Palatino Linotype" w:cs="Arial"/>
          <w:sz w:val="24"/>
          <w:szCs w:val="24"/>
          <w:lang w:eastAsia="en-GB"/>
        </w:rPr>
        <w:t xml:space="preserve">slamophobia, terrorism, </w:t>
      </w:r>
      <w:r w:rsidR="00A86FD7" w:rsidRPr="006E7CA1">
        <w:rPr>
          <w:rFonts w:ascii="Palatino Linotype" w:eastAsia="Times New Roman" w:hAnsi="Palatino Linotype" w:cs="Arial"/>
          <w:sz w:val="24"/>
          <w:szCs w:val="24"/>
          <w:lang w:eastAsia="en-GB"/>
        </w:rPr>
        <w:t xml:space="preserve">refugees, </w:t>
      </w:r>
      <w:r w:rsidRPr="006E7CA1">
        <w:rPr>
          <w:rFonts w:ascii="Palatino Linotype" w:eastAsia="Times New Roman" w:hAnsi="Palatino Linotype" w:cs="Arial"/>
          <w:sz w:val="24"/>
          <w:szCs w:val="24"/>
          <w:lang w:eastAsia="en-GB"/>
        </w:rPr>
        <w:t>food banks</w:t>
      </w:r>
      <w:r w:rsidR="00A86FD7" w:rsidRPr="006E7CA1">
        <w:rPr>
          <w:rFonts w:ascii="Palatino Linotype" w:eastAsia="Times New Roman" w:hAnsi="Palatino Linotype" w:cs="Arial"/>
          <w:sz w:val="24"/>
          <w:szCs w:val="24"/>
          <w:lang w:eastAsia="en-GB"/>
        </w:rPr>
        <w:t xml:space="preserve"> and poverty alleviation, debt prevention, social security, family, human rights and </w:t>
      </w:r>
      <w:proofErr w:type="spellStart"/>
      <w:r w:rsidR="00A86FD7" w:rsidRPr="006E7CA1">
        <w:rPr>
          <w:rFonts w:ascii="Palatino Linotype" w:eastAsia="Times New Roman" w:hAnsi="Palatino Linotype" w:cs="Arial"/>
          <w:sz w:val="24"/>
          <w:szCs w:val="24"/>
          <w:lang w:eastAsia="en-GB"/>
        </w:rPr>
        <w:t>Brexit</w:t>
      </w:r>
      <w:proofErr w:type="spellEnd"/>
      <w:r w:rsidR="00A86FD7" w:rsidRPr="006E7CA1">
        <w:rPr>
          <w:rFonts w:ascii="Palatino Linotype" w:eastAsia="Times New Roman" w:hAnsi="Palatino Linotype" w:cs="Arial"/>
          <w:sz w:val="24"/>
          <w:szCs w:val="24"/>
          <w:lang w:eastAsia="en-GB"/>
        </w:rPr>
        <w:t>. All these matters have been covered over the past two years by CAP/EEC.</w:t>
      </w:r>
      <w:r w:rsidR="00EE1BDD" w:rsidRPr="006E7CA1">
        <w:rPr>
          <w:rFonts w:ascii="Palatino Linotype" w:eastAsia="Times New Roman" w:hAnsi="Palatino Linotype" w:cs="Arial"/>
          <w:sz w:val="24"/>
          <w:szCs w:val="24"/>
          <w:lang w:eastAsia="en-GB"/>
        </w:rPr>
        <w:t xml:space="preserve"> Thus, there is a deeply enriching experience of intersectionality and community engagement within which the teacher and student-clinician interpret the law and enables the theorising of clinical legal education.</w:t>
      </w:r>
    </w:p>
    <w:p w:rsidR="00C45AF9" w:rsidRPr="006E7CA1" w:rsidRDefault="00C45AF9" w:rsidP="006E7CA1">
      <w:pPr>
        <w:pStyle w:val="NoSpacing"/>
        <w:spacing w:line="480" w:lineRule="auto"/>
        <w:jc w:val="both"/>
        <w:rPr>
          <w:rFonts w:ascii="Palatino Linotype" w:hAnsi="Palatino Linotype" w:cs="Arial"/>
          <w:b/>
          <w:sz w:val="24"/>
          <w:szCs w:val="24"/>
        </w:rPr>
      </w:pPr>
    </w:p>
    <w:p w:rsidR="0062081B" w:rsidRPr="006E7CA1" w:rsidRDefault="006E7CA1" w:rsidP="006E7CA1">
      <w:pPr>
        <w:pStyle w:val="NoSpacing"/>
        <w:spacing w:line="480" w:lineRule="auto"/>
        <w:jc w:val="both"/>
        <w:rPr>
          <w:rFonts w:ascii="Palatino Linotype" w:hAnsi="Palatino Linotype" w:cs="Arial"/>
          <w:b/>
          <w:sz w:val="24"/>
          <w:szCs w:val="24"/>
        </w:rPr>
      </w:pPr>
      <w:r w:rsidRPr="006E7CA1">
        <w:rPr>
          <w:rFonts w:ascii="Palatino Linotype" w:hAnsi="Palatino Linotype" w:cs="Arial"/>
          <w:b/>
          <w:sz w:val="24"/>
          <w:szCs w:val="24"/>
        </w:rPr>
        <w:t>6.  CONSTRUCTING AN UNDERLYING JURISPRUDENCE</w:t>
      </w:r>
    </w:p>
    <w:p w:rsidR="00F52FD8" w:rsidRPr="006E7CA1" w:rsidRDefault="00F52FD8"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What emerges from the CAP/WLEC project is the practical evidence of a particular model of clinical legal education acknowledged for its success in legal service </w:t>
      </w:r>
      <w:r w:rsidRPr="006E7CA1">
        <w:rPr>
          <w:rFonts w:ascii="Palatino Linotype" w:hAnsi="Palatino Linotype" w:cs="Arial"/>
          <w:sz w:val="24"/>
          <w:szCs w:val="24"/>
        </w:rPr>
        <w:lastRenderedPageBreak/>
        <w:t xml:space="preserve">provision for the local community and clinical development </w:t>
      </w:r>
      <w:r w:rsidR="00F7325C" w:rsidRPr="006E7CA1">
        <w:rPr>
          <w:rFonts w:ascii="Palatino Linotype" w:hAnsi="Palatino Linotype" w:cs="Arial"/>
          <w:sz w:val="24"/>
          <w:szCs w:val="24"/>
        </w:rPr>
        <w:t>of</w:t>
      </w:r>
      <w:r w:rsidRPr="006E7CA1">
        <w:rPr>
          <w:rFonts w:ascii="Palatino Linotype" w:hAnsi="Palatino Linotype" w:cs="Arial"/>
          <w:sz w:val="24"/>
          <w:szCs w:val="24"/>
        </w:rPr>
        <w:t xml:space="preserve"> student participants</w:t>
      </w:r>
      <w:r w:rsidR="00F7325C" w:rsidRPr="006E7CA1">
        <w:rPr>
          <w:rFonts w:ascii="Palatino Linotype" w:hAnsi="Palatino Linotype" w:cs="Arial"/>
          <w:sz w:val="24"/>
          <w:szCs w:val="24"/>
        </w:rPr>
        <w:t xml:space="preserve"> for over 25 years</w:t>
      </w:r>
      <w:r w:rsidRPr="006E7CA1">
        <w:rPr>
          <w:rFonts w:ascii="Palatino Linotype" w:hAnsi="Palatino Linotype" w:cs="Arial"/>
          <w:sz w:val="24"/>
          <w:szCs w:val="24"/>
        </w:rPr>
        <w:t xml:space="preserve">. </w:t>
      </w:r>
      <w:r w:rsidR="00F7325C" w:rsidRPr="006E7CA1">
        <w:rPr>
          <w:rFonts w:ascii="Palatino Linotype" w:hAnsi="Palatino Linotype" w:cs="Arial"/>
          <w:sz w:val="24"/>
          <w:szCs w:val="24"/>
        </w:rPr>
        <w:t>I</w:t>
      </w:r>
      <w:r w:rsidRPr="006E7CA1">
        <w:rPr>
          <w:rFonts w:ascii="Palatino Linotype" w:hAnsi="Palatino Linotype" w:cs="Arial"/>
          <w:sz w:val="24"/>
          <w:szCs w:val="24"/>
        </w:rPr>
        <w:t xml:space="preserve">t may </w:t>
      </w:r>
      <w:r w:rsidR="00F7325C" w:rsidRPr="006E7CA1">
        <w:rPr>
          <w:rFonts w:ascii="Palatino Linotype" w:hAnsi="Palatino Linotype" w:cs="Arial"/>
          <w:sz w:val="24"/>
          <w:szCs w:val="24"/>
        </w:rPr>
        <w:t xml:space="preserve">also </w:t>
      </w:r>
      <w:r w:rsidRPr="006E7CA1">
        <w:rPr>
          <w:rFonts w:ascii="Palatino Linotype" w:hAnsi="Palatino Linotype" w:cs="Arial"/>
          <w:sz w:val="24"/>
          <w:szCs w:val="24"/>
        </w:rPr>
        <w:t xml:space="preserve">be useful to observe the striking commonality of the CAP experience of interconnection with the issues of poverty and </w:t>
      </w:r>
      <w:r w:rsidR="00F7325C" w:rsidRPr="006E7CA1">
        <w:rPr>
          <w:rFonts w:ascii="Palatino Linotype" w:hAnsi="Palatino Linotype" w:cs="Arial"/>
          <w:sz w:val="24"/>
          <w:szCs w:val="24"/>
        </w:rPr>
        <w:t xml:space="preserve">social </w:t>
      </w:r>
      <w:r w:rsidRPr="006E7CA1">
        <w:rPr>
          <w:rFonts w:ascii="Palatino Linotype" w:hAnsi="Palatino Linotype" w:cs="Arial"/>
          <w:sz w:val="24"/>
          <w:szCs w:val="24"/>
        </w:rPr>
        <w:t>disadvantage with experience else</w:t>
      </w:r>
      <w:r w:rsidR="00F7325C" w:rsidRPr="006E7CA1">
        <w:rPr>
          <w:rFonts w:ascii="Palatino Linotype" w:hAnsi="Palatino Linotype" w:cs="Arial"/>
          <w:sz w:val="24"/>
          <w:szCs w:val="24"/>
        </w:rPr>
        <w:t>where</w:t>
      </w:r>
      <w:r w:rsidR="00F7325C" w:rsidRPr="006E7CA1">
        <w:rPr>
          <w:rStyle w:val="FootnoteReference"/>
          <w:rFonts w:ascii="Palatino Linotype" w:hAnsi="Palatino Linotype" w:cs="Arial"/>
          <w:sz w:val="24"/>
          <w:szCs w:val="24"/>
        </w:rPr>
        <w:footnoteReference w:id="57"/>
      </w:r>
      <w:r w:rsidRPr="006E7CA1">
        <w:rPr>
          <w:rFonts w:ascii="Palatino Linotype" w:hAnsi="Palatino Linotype" w:cs="Arial"/>
          <w:sz w:val="24"/>
          <w:szCs w:val="24"/>
        </w:rPr>
        <w:t xml:space="preserve"> consistent with the earliest social justice mission at the root of the vision of the realist founders of</w:t>
      </w:r>
      <w:r w:rsidR="00F7325C" w:rsidRPr="006E7CA1">
        <w:rPr>
          <w:rFonts w:ascii="Palatino Linotype" w:hAnsi="Palatino Linotype" w:cs="Arial"/>
          <w:sz w:val="24"/>
          <w:szCs w:val="24"/>
        </w:rPr>
        <w:t xml:space="preserve"> the idea of</w:t>
      </w:r>
      <w:r w:rsidRPr="006E7CA1">
        <w:rPr>
          <w:rFonts w:ascii="Palatino Linotype" w:hAnsi="Palatino Linotype" w:cs="Arial"/>
          <w:sz w:val="24"/>
          <w:szCs w:val="24"/>
        </w:rPr>
        <w:t xml:space="preserve"> clinical legal education. On this basis, it is appropriate now to attempt to identify a unifying philosophical basis for clinical legal education in contemporary times.</w:t>
      </w:r>
    </w:p>
    <w:p w:rsidR="005F3970" w:rsidRPr="006E7CA1" w:rsidRDefault="005F3970" w:rsidP="006E7CA1">
      <w:pPr>
        <w:pStyle w:val="NoSpacing"/>
        <w:spacing w:line="480" w:lineRule="auto"/>
        <w:jc w:val="both"/>
        <w:rPr>
          <w:rFonts w:ascii="Palatino Linotype" w:hAnsi="Palatino Linotype" w:cs="Arial"/>
          <w:i/>
          <w:sz w:val="24"/>
          <w:szCs w:val="24"/>
        </w:rPr>
      </w:pPr>
      <w:r w:rsidRPr="006E7CA1">
        <w:rPr>
          <w:rFonts w:ascii="Palatino Linotype" w:hAnsi="Palatino Linotype" w:cs="Arial"/>
          <w:sz w:val="24"/>
          <w:szCs w:val="24"/>
        </w:rPr>
        <w:t xml:space="preserve">i. </w:t>
      </w:r>
      <w:r w:rsidRPr="006E7CA1">
        <w:rPr>
          <w:rFonts w:ascii="Palatino Linotype" w:hAnsi="Palatino Linotype" w:cs="Arial"/>
          <w:i/>
          <w:sz w:val="24"/>
          <w:szCs w:val="24"/>
        </w:rPr>
        <w:t>Philosophical context</w:t>
      </w:r>
    </w:p>
    <w:p w:rsidR="0062081B" w:rsidRPr="006E7CA1" w:rsidRDefault="0062081B"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“A spider conducts operations resembling those of a weaver, and a bee puts to shame many an architect in the construction of her cells. But what distinguishes the worst architect from the best bees is this, that the architect raises the structure in imagination before he creates it in reality.”</w:t>
      </w:r>
      <w:r w:rsidRPr="006E7CA1">
        <w:rPr>
          <w:rStyle w:val="FootnoteReference"/>
          <w:rFonts w:ascii="Palatino Linotype" w:hAnsi="Palatino Linotype" w:cs="Arial"/>
          <w:sz w:val="24"/>
          <w:szCs w:val="24"/>
        </w:rPr>
        <w:footnoteReference w:id="58"/>
      </w:r>
      <w:r w:rsidRPr="006E7CA1">
        <w:rPr>
          <w:rFonts w:ascii="Palatino Linotype" w:hAnsi="Palatino Linotype" w:cs="Arial"/>
          <w:sz w:val="24"/>
          <w:szCs w:val="24"/>
        </w:rPr>
        <w:t xml:space="preserve"> </w:t>
      </w:r>
    </w:p>
    <w:p w:rsidR="0062081B" w:rsidRPr="006E7CA1" w:rsidRDefault="0062081B"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The centrality of reflection in clinical legal education emphasised throughout this </w:t>
      </w:r>
      <w:r w:rsidR="00F96320" w:rsidRPr="006E7CA1">
        <w:rPr>
          <w:rFonts w:ascii="Palatino Linotype" w:hAnsi="Palatino Linotype" w:cs="Arial"/>
          <w:sz w:val="24"/>
          <w:szCs w:val="24"/>
        </w:rPr>
        <w:t>article</w:t>
      </w:r>
      <w:r w:rsidRPr="006E7CA1">
        <w:rPr>
          <w:rFonts w:ascii="Palatino Linotype" w:hAnsi="Palatino Linotype" w:cs="Arial"/>
          <w:sz w:val="24"/>
          <w:szCs w:val="24"/>
        </w:rPr>
        <w:t xml:space="preserve"> means that any theory of clinical legal education must recognise the conscious choices that clinical programmes are based upon even if their philosophical underpinnings are not given </w:t>
      </w:r>
      <w:r w:rsidR="00547761" w:rsidRPr="006E7CA1">
        <w:rPr>
          <w:rFonts w:ascii="Palatino Linotype" w:hAnsi="Palatino Linotype" w:cs="Arial"/>
          <w:sz w:val="24"/>
          <w:szCs w:val="24"/>
        </w:rPr>
        <w:t>specific</w:t>
      </w:r>
      <w:r w:rsidRPr="006E7CA1">
        <w:rPr>
          <w:rFonts w:ascii="Palatino Linotype" w:hAnsi="Palatino Linotype" w:cs="Arial"/>
          <w:sz w:val="24"/>
          <w:szCs w:val="24"/>
        </w:rPr>
        <w:t xml:space="preserve"> expression. Thus, as human architects</w:t>
      </w:r>
      <w:r w:rsidR="00547761" w:rsidRPr="006E7CA1">
        <w:rPr>
          <w:rFonts w:ascii="Palatino Linotype" w:hAnsi="Palatino Linotype" w:cs="Arial"/>
          <w:sz w:val="24"/>
          <w:szCs w:val="24"/>
        </w:rPr>
        <w:t xml:space="preserve"> (human agency in other words)</w:t>
      </w:r>
      <w:r w:rsidRPr="006E7CA1">
        <w:rPr>
          <w:rFonts w:ascii="Palatino Linotype" w:hAnsi="Palatino Linotype" w:cs="Arial"/>
          <w:sz w:val="24"/>
          <w:szCs w:val="24"/>
        </w:rPr>
        <w:t xml:space="preserve"> we first raise structures in imaginatio</w:t>
      </w:r>
      <w:r w:rsidR="00C45AF9" w:rsidRPr="006E7CA1">
        <w:rPr>
          <w:rFonts w:ascii="Palatino Linotype" w:hAnsi="Palatino Linotype" w:cs="Arial"/>
          <w:sz w:val="24"/>
          <w:szCs w:val="24"/>
        </w:rPr>
        <w:t>n</w:t>
      </w:r>
      <w:r w:rsidRPr="006E7CA1">
        <w:rPr>
          <w:rFonts w:ascii="Palatino Linotype" w:hAnsi="Palatino Linotype" w:cs="Arial"/>
          <w:sz w:val="24"/>
          <w:szCs w:val="24"/>
        </w:rPr>
        <w:t>. Philosophy enables us to do this in a conscious way</w:t>
      </w:r>
      <w:r w:rsidR="00855DFF" w:rsidRPr="006E7CA1">
        <w:rPr>
          <w:rFonts w:ascii="Palatino Linotype" w:hAnsi="Palatino Linotype" w:cs="Arial"/>
          <w:sz w:val="24"/>
          <w:szCs w:val="24"/>
        </w:rPr>
        <w:t xml:space="preserve"> and therefore we are able to </w:t>
      </w:r>
      <w:r w:rsidR="00855DFF" w:rsidRPr="006E7CA1">
        <w:rPr>
          <w:rFonts w:ascii="Palatino Linotype" w:hAnsi="Palatino Linotype" w:cs="Arial"/>
          <w:sz w:val="24"/>
          <w:szCs w:val="24"/>
        </w:rPr>
        <w:lastRenderedPageBreak/>
        <w:t>assert that clinical legal education, by definition, has a philosophical basis</w:t>
      </w:r>
      <w:r w:rsidR="00C45AF9" w:rsidRPr="006E7CA1">
        <w:rPr>
          <w:rFonts w:ascii="Palatino Linotype" w:hAnsi="Palatino Linotype" w:cs="Arial"/>
          <w:sz w:val="24"/>
          <w:szCs w:val="24"/>
        </w:rPr>
        <w:t xml:space="preserve"> and that this </w:t>
      </w:r>
      <w:r w:rsidR="00855DFF" w:rsidRPr="006E7CA1">
        <w:rPr>
          <w:rFonts w:ascii="Palatino Linotype" w:hAnsi="Palatino Linotype" w:cs="Arial"/>
          <w:sz w:val="24"/>
          <w:szCs w:val="24"/>
        </w:rPr>
        <w:t>requires expression. What follows is therefore an attempt to explore an appropriate theory</w:t>
      </w:r>
      <w:r w:rsidR="00B57CC5" w:rsidRPr="006E7CA1">
        <w:rPr>
          <w:rFonts w:ascii="Palatino Linotype" w:hAnsi="Palatino Linotype" w:cs="Arial"/>
          <w:sz w:val="24"/>
          <w:szCs w:val="24"/>
        </w:rPr>
        <w:t xml:space="preserve"> of clinical legal education</w:t>
      </w:r>
      <w:r w:rsidR="00855DFF" w:rsidRPr="006E7CA1">
        <w:rPr>
          <w:rFonts w:ascii="Palatino Linotype" w:hAnsi="Palatino Linotype" w:cs="Arial"/>
          <w:sz w:val="24"/>
          <w:szCs w:val="24"/>
        </w:rPr>
        <w:t>.</w:t>
      </w:r>
    </w:p>
    <w:p w:rsidR="004E7D9A" w:rsidRPr="006E7CA1" w:rsidRDefault="0062081B"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Philosophy</w:t>
      </w:r>
      <w:r w:rsidR="00855DFF" w:rsidRPr="006E7CA1">
        <w:rPr>
          <w:rFonts w:ascii="Palatino Linotype" w:hAnsi="Palatino Linotype" w:cs="Arial"/>
          <w:sz w:val="24"/>
          <w:szCs w:val="24"/>
        </w:rPr>
        <w:t xml:space="preserve"> as </w:t>
      </w:r>
      <w:r w:rsidRPr="006E7CA1">
        <w:rPr>
          <w:rFonts w:ascii="Palatino Linotype" w:hAnsi="Palatino Linotype" w:cs="Arial"/>
          <w:sz w:val="24"/>
          <w:szCs w:val="24"/>
        </w:rPr>
        <w:t>an epistemological category</w:t>
      </w:r>
      <w:r w:rsidR="00855DFF" w:rsidRPr="006E7CA1">
        <w:rPr>
          <w:rFonts w:ascii="Palatino Linotype" w:hAnsi="Palatino Linotype" w:cs="Arial"/>
          <w:sz w:val="24"/>
          <w:szCs w:val="24"/>
        </w:rPr>
        <w:t>, rep</w:t>
      </w:r>
      <w:r w:rsidRPr="006E7CA1">
        <w:rPr>
          <w:rFonts w:ascii="Palatino Linotype" w:hAnsi="Palatino Linotype" w:cs="Arial"/>
          <w:sz w:val="24"/>
          <w:szCs w:val="24"/>
        </w:rPr>
        <w:t>resents the capacity of human beings to conceptualise and reflect their world. Philosophy therefore represents the sum total of our world view and enables us to develop an integrated idea or conception of the phenomena of our world and thereby helping us to order our everyday activities and behaviour. But more than constructing our world outlook, philosophy provides us with a method of cognition.</w:t>
      </w:r>
      <w:r w:rsidR="00855DFF" w:rsidRPr="006E7CA1">
        <w:rPr>
          <w:rFonts w:ascii="Palatino Linotype" w:hAnsi="Palatino Linotype" w:cs="Arial"/>
          <w:sz w:val="24"/>
          <w:szCs w:val="24"/>
        </w:rPr>
        <w:t xml:space="preserve"> In this sense, philosophy is pervasive and integral to intellectual activity.</w:t>
      </w:r>
      <w:r w:rsidRPr="006E7CA1">
        <w:rPr>
          <w:rFonts w:ascii="Palatino Linotype" w:hAnsi="Palatino Linotype" w:cs="Arial"/>
          <w:sz w:val="24"/>
          <w:szCs w:val="24"/>
        </w:rPr>
        <w:t xml:space="preserve"> </w:t>
      </w:r>
      <w:r w:rsidR="00855DFF" w:rsidRPr="006E7CA1">
        <w:rPr>
          <w:rFonts w:ascii="Palatino Linotype" w:hAnsi="Palatino Linotype" w:cs="Arial"/>
          <w:sz w:val="24"/>
          <w:szCs w:val="24"/>
        </w:rPr>
        <w:t xml:space="preserve">Thus, as recognised earlier in this </w:t>
      </w:r>
      <w:r w:rsidR="00F7325C" w:rsidRPr="006E7CA1">
        <w:rPr>
          <w:rFonts w:ascii="Palatino Linotype" w:hAnsi="Palatino Linotype" w:cs="Arial"/>
          <w:sz w:val="24"/>
          <w:szCs w:val="24"/>
        </w:rPr>
        <w:t>article</w:t>
      </w:r>
      <w:r w:rsidR="00855DFF" w:rsidRPr="006E7CA1">
        <w:rPr>
          <w:rFonts w:ascii="Palatino Linotype" w:hAnsi="Palatino Linotype" w:cs="Arial"/>
          <w:sz w:val="24"/>
          <w:szCs w:val="24"/>
        </w:rPr>
        <w:t>, out of clinical practice emerges the “hard evidence” that enables us to build a theory of clinical legal education.</w:t>
      </w:r>
      <w:r w:rsidR="00547761" w:rsidRPr="006E7CA1">
        <w:rPr>
          <w:rStyle w:val="FootnoteReference"/>
          <w:rFonts w:ascii="Palatino Linotype" w:hAnsi="Palatino Linotype" w:cs="Arial"/>
          <w:sz w:val="24"/>
          <w:szCs w:val="24"/>
        </w:rPr>
        <w:footnoteReference w:id="59"/>
      </w:r>
    </w:p>
    <w:p w:rsidR="00855DFF" w:rsidRDefault="00855DFF"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It was suggested at the beginning</w:t>
      </w:r>
      <w:r w:rsidRPr="006E7CA1">
        <w:rPr>
          <w:rStyle w:val="FootnoteReference"/>
          <w:rFonts w:ascii="Palatino Linotype" w:hAnsi="Palatino Linotype" w:cs="Arial"/>
          <w:sz w:val="24"/>
          <w:szCs w:val="24"/>
        </w:rPr>
        <w:footnoteReference w:id="60"/>
      </w:r>
      <w:r w:rsidRPr="006E7CA1">
        <w:rPr>
          <w:rFonts w:ascii="Palatino Linotype" w:hAnsi="Palatino Linotype" w:cs="Arial"/>
          <w:sz w:val="24"/>
          <w:szCs w:val="24"/>
        </w:rPr>
        <w:t xml:space="preserve"> of this </w:t>
      </w:r>
      <w:r w:rsidR="00F96320" w:rsidRPr="006E7CA1">
        <w:rPr>
          <w:rFonts w:ascii="Palatino Linotype" w:hAnsi="Palatino Linotype" w:cs="Arial"/>
          <w:sz w:val="24"/>
          <w:szCs w:val="24"/>
        </w:rPr>
        <w:t>article</w:t>
      </w:r>
      <w:r w:rsidRPr="006E7CA1">
        <w:rPr>
          <w:rFonts w:ascii="Palatino Linotype" w:hAnsi="Palatino Linotype" w:cs="Arial"/>
          <w:sz w:val="24"/>
          <w:szCs w:val="24"/>
        </w:rPr>
        <w:t xml:space="preserve"> that</w:t>
      </w:r>
      <w:r w:rsidR="00547761" w:rsidRPr="006E7CA1">
        <w:rPr>
          <w:rFonts w:ascii="Palatino Linotype" w:hAnsi="Palatino Linotype" w:cs="Arial"/>
          <w:sz w:val="24"/>
          <w:szCs w:val="24"/>
        </w:rPr>
        <w:t>, to a large extent,</w:t>
      </w:r>
      <w:r w:rsidRPr="006E7CA1">
        <w:rPr>
          <w:rFonts w:ascii="Palatino Linotype" w:hAnsi="Palatino Linotype" w:cs="Arial"/>
          <w:sz w:val="24"/>
          <w:szCs w:val="24"/>
        </w:rPr>
        <w:t xml:space="preserve"> clinical legal education lacks an articulate and coherent jurisprudence. However, this state of affairs</w:t>
      </w:r>
      <w:r w:rsidR="003F314F" w:rsidRPr="006E7CA1">
        <w:rPr>
          <w:rFonts w:ascii="Palatino Linotype" w:hAnsi="Palatino Linotype" w:cs="Arial"/>
          <w:sz w:val="24"/>
          <w:szCs w:val="24"/>
        </w:rPr>
        <w:t xml:space="preserve"> even in contemporary times</w:t>
      </w:r>
      <w:r w:rsidRPr="006E7CA1">
        <w:rPr>
          <w:rFonts w:ascii="Palatino Linotype" w:hAnsi="Palatino Linotype" w:cs="Arial"/>
          <w:sz w:val="24"/>
          <w:szCs w:val="24"/>
        </w:rPr>
        <w:t xml:space="preserve"> is somewhat at odds with </w:t>
      </w:r>
      <w:r w:rsidR="003F314F" w:rsidRPr="006E7CA1">
        <w:rPr>
          <w:rFonts w:ascii="Palatino Linotype" w:hAnsi="Palatino Linotype" w:cs="Arial"/>
          <w:sz w:val="24"/>
          <w:szCs w:val="24"/>
        </w:rPr>
        <w:t>the early promise offered by the critics of the standard teaching model of American law schools and</w:t>
      </w:r>
      <w:r w:rsidRPr="006E7CA1">
        <w:rPr>
          <w:rFonts w:ascii="Palatino Linotype" w:hAnsi="Palatino Linotype" w:cs="Arial"/>
          <w:sz w:val="24"/>
          <w:szCs w:val="24"/>
        </w:rPr>
        <w:t xml:space="preserve"> some of the originators of the idea of clinical legal education such as Frank</w:t>
      </w:r>
      <w:r w:rsidR="003F314F" w:rsidRPr="006E7CA1">
        <w:rPr>
          <w:rStyle w:val="FootnoteReference"/>
          <w:rFonts w:ascii="Palatino Linotype" w:hAnsi="Palatino Linotype" w:cs="Arial"/>
          <w:sz w:val="24"/>
          <w:szCs w:val="24"/>
        </w:rPr>
        <w:footnoteReference w:id="61"/>
      </w:r>
      <w:r w:rsidRPr="006E7CA1">
        <w:rPr>
          <w:rFonts w:ascii="Palatino Linotype" w:hAnsi="Palatino Linotype" w:cs="Arial"/>
          <w:sz w:val="24"/>
          <w:szCs w:val="24"/>
        </w:rPr>
        <w:t xml:space="preserve"> </w:t>
      </w:r>
      <w:r w:rsidR="003F314F" w:rsidRPr="006E7CA1">
        <w:rPr>
          <w:rFonts w:ascii="Palatino Linotype" w:hAnsi="Palatino Linotype" w:cs="Arial"/>
          <w:sz w:val="24"/>
          <w:szCs w:val="24"/>
        </w:rPr>
        <w:t>and Llewelyn</w:t>
      </w:r>
      <w:r w:rsidR="003F314F" w:rsidRPr="006E7CA1">
        <w:rPr>
          <w:rStyle w:val="FootnoteReference"/>
          <w:rFonts w:ascii="Palatino Linotype" w:hAnsi="Palatino Linotype" w:cs="Arial"/>
          <w:sz w:val="24"/>
          <w:szCs w:val="24"/>
        </w:rPr>
        <w:footnoteReference w:id="62"/>
      </w:r>
      <w:r w:rsidR="003F314F" w:rsidRPr="006E7CA1">
        <w:rPr>
          <w:rFonts w:ascii="Palatino Linotype" w:hAnsi="Palatino Linotype" w:cs="Arial"/>
          <w:sz w:val="24"/>
          <w:szCs w:val="24"/>
        </w:rPr>
        <w:t xml:space="preserve"> in </w:t>
      </w:r>
      <w:r w:rsidRPr="006E7CA1">
        <w:rPr>
          <w:rFonts w:ascii="Palatino Linotype" w:hAnsi="Palatino Linotype" w:cs="Arial"/>
          <w:sz w:val="24"/>
          <w:szCs w:val="24"/>
        </w:rPr>
        <w:t>the 1930s</w:t>
      </w:r>
      <w:r w:rsidR="003F314F" w:rsidRPr="006E7CA1">
        <w:rPr>
          <w:rFonts w:ascii="Palatino Linotype" w:hAnsi="Palatino Linotype" w:cs="Arial"/>
          <w:sz w:val="24"/>
          <w:szCs w:val="24"/>
        </w:rPr>
        <w:t xml:space="preserve"> who were</w:t>
      </w:r>
      <w:r w:rsidRPr="006E7CA1">
        <w:rPr>
          <w:rFonts w:ascii="Palatino Linotype" w:hAnsi="Palatino Linotype" w:cs="Arial"/>
          <w:sz w:val="24"/>
          <w:szCs w:val="24"/>
        </w:rPr>
        <w:t xml:space="preserve"> firmly rooted in legal realism.</w:t>
      </w:r>
      <w:r w:rsidR="003F314F" w:rsidRPr="006E7CA1">
        <w:rPr>
          <w:rFonts w:ascii="Palatino Linotype" w:hAnsi="Palatino Linotype" w:cs="Arial"/>
          <w:sz w:val="24"/>
          <w:szCs w:val="24"/>
        </w:rPr>
        <w:t xml:space="preserve"> Also, as </w:t>
      </w:r>
      <w:proofErr w:type="spellStart"/>
      <w:r w:rsidR="003F314F" w:rsidRPr="006E7CA1">
        <w:rPr>
          <w:rFonts w:ascii="Palatino Linotype" w:hAnsi="Palatino Linotype" w:cs="Arial"/>
          <w:sz w:val="24"/>
          <w:szCs w:val="24"/>
        </w:rPr>
        <w:t>Brayne</w:t>
      </w:r>
      <w:proofErr w:type="spellEnd"/>
      <w:r w:rsidR="003F314F" w:rsidRPr="006E7CA1">
        <w:rPr>
          <w:rFonts w:ascii="Palatino Linotype" w:hAnsi="Palatino Linotype" w:cs="Arial"/>
          <w:sz w:val="24"/>
          <w:szCs w:val="24"/>
        </w:rPr>
        <w:t xml:space="preserve"> </w:t>
      </w:r>
      <w:r w:rsidR="003F314F" w:rsidRPr="006E7CA1">
        <w:rPr>
          <w:rFonts w:ascii="Palatino Linotype" w:hAnsi="Palatino Linotype" w:cs="Arial"/>
          <w:i/>
          <w:sz w:val="24"/>
          <w:szCs w:val="24"/>
        </w:rPr>
        <w:t xml:space="preserve">et al </w:t>
      </w:r>
      <w:r w:rsidR="003F314F" w:rsidRPr="006E7CA1">
        <w:rPr>
          <w:rFonts w:ascii="Palatino Linotype" w:hAnsi="Palatino Linotype" w:cs="Arial"/>
          <w:sz w:val="24"/>
          <w:szCs w:val="24"/>
        </w:rPr>
        <w:t xml:space="preserve">point out, well after the entrenchment of clinical legal education, “…the critical </w:t>
      </w:r>
      <w:r w:rsidR="003F314F" w:rsidRPr="006E7CA1">
        <w:rPr>
          <w:rFonts w:ascii="Palatino Linotype" w:hAnsi="Palatino Linotype" w:cs="Arial"/>
          <w:sz w:val="24"/>
          <w:szCs w:val="24"/>
        </w:rPr>
        <w:lastRenderedPageBreak/>
        <w:t>legal studies advocate, the feminist jurist and those supporting a law in context approach have all found the narrow doctrinal system (of law teaching) wanting</w:t>
      </w:r>
      <w:r w:rsidR="00703993" w:rsidRPr="006E7CA1">
        <w:rPr>
          <w:rFonts w:ascii="Palatino Linotype" w:hAnsi="Palatino Linotype" w:cs="Arial"/>
          <w:sz w:val="24"/>
          <w:szCs w:val="24"/>
        </w:rPr>
        <w:t>…(</w:t>
      </w:r>
      <w:r w:rsidR="003F314F" w:rsidRPr="006E7CA1">
        <w:rPr>
          <w:rFonts w:ascii="Palatino Linotype" w:hAnsi="Palatino Linotype" w:cs="Arial"/>
          <w:sz w:val="24"/>
          <w:szCs w:val="24"/>
        </w:rPr>
        <w:t>because) it does not take into account the realities of law in practice, the economic and political context in which law is made and operates.”</w:t>
      </w:r>
      <w:r w:rsidR="003F314F" w:rsidRPr="006E7CA1">
        <w:rPr>
          <w:rStyle w:val="FootnoteReference"/>
          <w:rFonts w:ascii="Palatino Linotype" w:hAnsi="Palatino Linotype" w:cs="Arial"/>
          <w:sz w:val="24"/>
          <w:szCs w:val="24"/>
        </w:rPr>
        <w:footnoteReference w:id="63"/>
      </w:r>
      <w:r w:rsidR="003F314F" w:rsidRPr="006E7CA1">
        <w:rPr>
          <w:rFonts w:ascii="Palatino Linotype" w:hAnsi="Palatino Linotype" w:cs="Arial"/>
          <w:sz w:val="24"/>
          <w:szCs w:val="24"/>
        </w:rPr>
        <w:t xml:space="preserve"> These antagonists are also united by the fact of their assumed different legal philosophical </w:t>
      </w:r>
      <w:r w:rsidR="005F3970" w:rsidRPr="006E7CA1">
        <w:rPr>
          <w:rFonts w:ascii="Palatino Linotype" w:hAnsi="Palatino Linotype" w:cs="Arial"/>
          <w:sz w:val="24"/>
          <w:szCs w:val="24"/>
        </w:rPr>
        <w:t>position</w:t>
      </w:r>
      <w:r w:rsidR="00C45AF9" w:rsidRPr="006E7CA1">
        <w:rPr>
          <w:rFonts w:ascii="Palatino Linotype" w:hAnsi="Palatino Linotype" w:cs="Arial"/>
          <w:sz w:val="24"/>
          <w:szCs w:val="24"/>
        </w:rPr>
        <w:t>s</w:t>
      </w:r>
      <w:r w:rsidR="003F314F" w:rsidRPr="006E7CA1">
        <w:rPr>
          <w:rFonts w:ascii="Palatino Linotype" w:hAnsi="Palatino Linotype" w:cs="Arial"/>
          <w:sz w:val="24"/>
          <w:szCs w:val="24"/>
        </w:rPr>
        <w:t>.</w:t>
      </w:r>
      <w:r w:rsidR="005F3970" w:rsidRPr="006E7CA1">
        <w:rPr>
          <w:rFonts w:ascii="Palatino Linotype" w:hAnsi="Palatino Linotype" w:cs="Arial"/>
          <w:sz w:val="24"/>
          <w:szCs w:val="24"/>
        </w:rPr>
        <w:t xml:space="preserve"> The point here is </w:t>
      </w:r>
      <w:r w:rsidR="00C45AF9" w:rsidRPr="006E7CA1">
        <w:rPr>
          <w:rFonts w:ascii="Palatino Linotype" w:hAnsi="Palatino Linotype" w:cs="Arial"/>
          <w:sz w:val="24"/>
          <w:szCs w:val="24"/>
        </w:rPr>
        <w:t xml:space="preserve">this: </w:t>
      </w:r>
      <w:r w:rsidR="005F3970" w:rsidRPr="006E7CA1">
        <w:rPr>
          <w:rFonts w:ascii="Palatino Linotype" w:hAnsi="Palatino Linotype" w:cs="Arial"/>
          <w:sz w:val="24"/>
          <w:szCs w:val="24"/>
        </w:rPr>
        <w:t xml:space="preserve">there is a clear connection between clinical legal education and jurisprudence – those who depart from the standard operating model of teaching and learning law are marked by an ideological, political or philosophical departure from the standard position. For this reason, clinical legal education is neither politically or jurisprudentially neutral. This is a matter which is illuminated by the globalisation of clinical legal education and the enhanced contemporary focus (in tandem with legal skills training and experiential learning) on a social justice objective advanced as a contribution to enabling disadvantaged </w:t>
      </w:r>
      <w:r w:rsidR="002B25A5" w:rsidRPr="006E7CA1">
        <w:rPr>
          <w:rFonts w:ascii="Palatino Linotype" w:hAnsi="Palatino Linotype" w:cs="Arial"/>
          <w:sz w:val="24"/>
          <w:szCs w:val="24"/>
        </w:rPr>
        <w:t>group’s</w:t>
      </w:r>
      <w:r w:rsidR="00B57CC5" w:rsidRPr="006E7CA1">
        <w:rPr>
          <w:rFonts w:ascii="Palatino Linotype" w:hAnsi="Palatino Linotype" w:cs="Arial"/>
          <w:sz w:val="24"/>
          <w:szCs w:val="24"/>
        </w:rPr>
        <w:t xml:space="preserve"> </w:t>
      </w:r>
      <w:r w:rsidR="005F3970" w:rsidRPr="006E7CA1">
        <w:rPr>
          <w:rFonts w:ascii="Palatino Linotype" w:hAnsi="Palatino Linotype" w:cs="Arial"/>
          <w:sz w:val="24"/>
          <w:szCs w:val="24"/>
        </w:rPr>
        <w:t xml:space="preserve">access to justice. Of course, any deep analysis of the global problem of access to justice for the poor and the disadvantaged immediately </w:t>
      </w:r>
      <w:r w:rsidR="00703993" w:rsidRPr="006E7CA1">
        <w:rPr>
          <w:rFonts w:ascii="Palatino Linotype" w:hAnsi="Palatino Linotype" w:cs="Arial"/>
          <w:sz w:val="24"/>
          <w:szCs w:val="24"/>
        </w:rPr>
        <w:t>confronts</w:t>
      </w:r>
      <w:r w:rsidR="005F3970" w:rsidRPr="006E7CA1">
        <w:rPr>
          <w:rFonts w:ascii="Palatino Linotype" w:hAnsi="Palatino Linotype" w:cs="Arial"/>
          <w:sz w:val="24"/>
          <w:szCs w:val="24"/>
        </w:rPr>
        <w:t xml:space="preserve"> the more fundamental problem of all societies – social and economic inequality. </w:t>
      </w:r>
    </w:p>
    <w:p w:rsidR="000578AC" w:rsidRDefault="000578AC" w:rsidP="006E7CA1">
      <w:pPr>
        <w:pStyle w:val="NoSpacing"/>
        <w:spacing w:line="480" w:lineRule="auto"/>
        <w:jc w:val="both"/>
        <w:rPr>
          <w:rFonts w:ascii="Palatino Linotype" w:hAnsi="Palatino Linotype" w:cs="Arial"/>
          <w:sz w:val="24"/>
          <w:szCs w:val="24"/>
        </w:rPr>
      </w:pPr>
    </w:p>
    <w:p w:rsidR="000578AC" w:rsidRDefault="000578AC" w:rsidP="006E7CA1">
      <w:pPr>
        <w:pStyle w:val="NoSpacing"/>
        <w:spacing w:line="480" w:lineRule="auto"/>
        <w:jc w:val="both"/>
        <w:rPr>
          <w:rFonts w:ascii="Palatino Linotype" w:hAnsi="Palatino Linotype" w:cs="Arial"/>
          <w:sz w:val="24"/>
          <w:szCs w:val="24"/>
        </w:rPr>
      </w:pPr>
    </w:p>
    <w:p w:rsidR="000578AC" w:rsidRPr="006E7CA1" w:rsidRDefault="000578AC" w:rsidP="006E7CA1">
      <w:pPr>
        <w:pStyle w:val="NoSpacing"/>
        <w:spacing w:line="480" w:lineRule="auto"/>
        <w:jc w:val="both"/>
        <w:rPr>
          <w:rFonts w:ascii="Palatino Linotype" w:hAnsi="Palatino Linotype" w:cs="Arial"/>
          <w:sz w:val="24"/>
          <w:szCs w:val="24"/>
        </w:rPr>
      </w:pPr>
    </w:p>
    <w:p w:rsidR="005F3970" w:rsidRPr="006E7CA1" w:rsidRDefault="005F3970" w:rsidP="006E7CA1">
      <w:pPr>
        <w:pStyle w:val="NoSpacing"/>
        <w:spacing w:line="480" w:lineRule="auto"/>
        <w:jc w:val="both"/>
        <w:rPr>
          <w:rFonts w:ascii="Palatino Linotype" w:hAnsi="Palatino Linotype" w:cs="Arial"/>
          <w:i/>
          <w:sz w:val="24"/>
          <w:szCs w:val="24"/>
        </w:rPr>
      </w:pPr>
      <w:r w:rsidRPr="006E7CA1">
        <w:rPr>
          <w:rFonts w:ascii="Palatino Linotype" w:hAnsi="Palatino Linotype" w:cs="Arial"/>
          <w:sz w:val="24"/>
          <w:szCs w:val="24"/>
        </w:rPr>
        <w:t xml:space="preserve">ii. </w:t>
      </w:r>
      <w:r w:rsidRPr="006E7CA1">
        <w:rPr>
          <w:rFonts w:ascii="Palatino Linotype" w:hAnsi="Palatino Linotype" w:cs="Arial"/>
          <w:i/>
          <w:sz w:val="24"/>
          <w:szCs w:val="24"/>
        </w:rPr>
        <w:t xml:space="preserve">Clinical Legal Education and </w:t>
      </w:r>
      <w:r w:rsidR="00547761" w:rsidRPr="006E7CA1">
        <w:rPr>
          <w:rFonts w:ascii="Palatino Linotype" w:hAnsi="Palatino Linotype" w:cs="Arial"/>
          <w:i/>
          <w:sz w:val="24"/>
          <w:szCs w:val="24"/>
        </w:rPr>
        <w:t>S</w:t>
      </w:r>
      <w:r w:rsidRPr="006E7CA1">
        <w:rPr>
          <w:rFonts w:ascii="Palatino Linotype" w:hAnsi="Palatino Linotype" w:cs="Arial"/>
          <w:i/>
          <w:sz w:val="24"/>
          <w:szCs w:val="24"/>
        </w:rPr>
        <w:t xml:space="preserve">ocial </w:t>
      </w:r>
      <w:r w:rsidR="00547761" w:rsidRPr="006E7CA1">
        <w:rPr>
          <w:rFonts w:ascii="Palatino Linotype" w:hAnsi="Palatino Linotype" w:cs="Arial"/>
          <w:i/>
          <w:sz w:val="24"/>
          <w:szCs w:val="24"/>
        </w:rPr>
        <w:t>I</w:t>
      </w:r>
      <w:r w:rsidRPr="006E7CA1">
        <w:rPr>
          <w:rFonts w:ascii="Palatino Linotype" w:hAnsi="Palatino Linotype" w:cs="Arial"/>
          <w:i/>
          <w:sz w:val="24"/>
          <w:szCs w:val="24"/>
        </w:rPr>
        <w:t>nequality</w:t>
      </w:r>
    </w:p>
    <w:p w:rsidR="00C45AF9" w:rsidRPr="006E7CA1" w:rsidRDefault="00B051D9"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We saw in Section 5 above that the existence of law clinics such as the C</w:t>
      </w:r>
      <w:r w:rsidR="00F7325C" w:rsidRPr="006E7CA1">
        <w:rPr>
          <w:rFonts w:ascii="Palatino Linotype" w:hAnsi="Palatino Linotype" w:cs="Arial"/>
          <w:sz w:val="24"/>
          <w:szCs w:val="24"/>
        </w:rPr>
        <w:t>ommunity Advice Programme (CAP)</w:t>
      </w:r>
      <w:r w:rsidR="00C45AF9" w:rsidRPr="006E7CA1">
        <w:rPr>
          <w:rFonts w:ascii="Palatino Linotype" w:hAnsi="Palatino Linotype" w:cs="Arial"/>
          <w:sz w:val="24"/>
          <w:szCs w:val="24"/>
        </w:rPr>
        <w:t>,</w:t>
      </w:r>
      <w:r w:rsidRPr="006E7CA1">
        <w:rPr>
          <w:rFonts w:ascii="Palatino Linotype" w:hAnsi="Palatino Linotype" w:cs="Arial"/>
          <w:sz w:val="24"/>
          <w:szCs w:val="24"/>
        </w:rPr>
        <w:t xml:space="preserve"> is justified not only by the</w:t>
      </w:r>
      <w:r w:rsidR="00C45AF9" w:rsidRPr="006E7CA1">
        <w:rPr>
          <w:rFonts w:ascii="Palatino Linotype" w:hAnsi="Palatino Linotype" w:cs="Arial"/>
          <w:sz w:val="24"/>
          <w:szCs w:val="24"/>
        </w:rPr>
        <w:t>ir</w:t>
      </w:r>
      <w:r w:rsidRPr="006E7CA1">
        <w:rPr>
          <w:rFonts w:ascii="Palatino Linotype" w:hAnsi="Palatino Linotype" w:cs="Arial"/>
          <w:sz w:val="24"/>
          <w:szCs w:val="24"/>
        </w:rPr>
        <w:t xml:space="preserve"> legal skills and experiential </w:t>
      </w:r>
      <w:r w:rsidR="00C45AF9" w:rsidRPr="006E7CA1">
        <w:rPr>
          <w:rFonts w:ascii="Palatino Linotype" w:hAnsi="Palatino Linotype" w:cs="Arial"/>
          <w:sz w:val="24"/>
          <w:szCs w:val="24"/>
        </w:rPr>
        <w:t xml:space="preserve">learning </w:t>
      </w:r>
      <w:r w:rsidRPr="006E7CA1">
        <w:rPr>
          <w:rFonts w:ascii="Palatino Linotype" w:hAnsi="Palatino Linotype" w:cs="Arial"/>
          <w:sz w:val="24"/>
          <w:szCs w:val="24"/>
        </w:rPr>
        <w:t xml:space="preserve">aspects but </w:t>
      </w:r>
      <w:r w:rsidR="00547761" w:rsidRPr="006E7CA1">
        <w:rPr>
          <w:rFonts w:ascii="Palatino Linotype" w:hAnsi="Palatino Linotype" w:cs="Arial"/>
          <w:sz w:val="24"/>
          <w:szCs w:val="24"/>
        </w:rPr>
        <w:t xml:space="preserve">also as </w:t>
      </w:r>
      <w:r w:rsidRPr="006E7CA1">
        <w:rPr>
          <w:rFonts w:ascii="Palatino Linotype" w:hAnsi="Palatino Linotype" w:cs="Arial"/>
          <w:sz w:val="24"/>
          <w:szCs w:val="24"/>
        </w:rPr>
        <w:t xml:space="preserve">service provision for unmet public need. </w:t>
      </w:r>
    </w:p>
    <w:p w:rsidR="00C45AF9" w:rsidRPr="006E7CA1" w:rsidRDefault="00C45AF9"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Unmet legal service need is a huge global problem as acute in most advanced economies as it is in developing societies</w:t>
      </w:r>
      <w:r w:rsidR="00547761" w:rsidRPr="006E7CA1">
        <w:rPr>
          <w:rFonts w:ascii="Palatino Linotype" w:hAnsi="Palatino Linotype" w:cs="Arial"/>
          <w:sz w:val="24"/>
          <w:szCs w:val="24"/>
        </w:rPr>
        <w:t>,</w:t>
      </w:r>
      <w:r w:rsidR="00B57CC5" w:rsidRPr="006E7CA1">
        <w:rPr>
          <w:rStyle w:val="FootnoteReference"/>
          <w:rFonts w:ascii="Palatino Linotype" w:hAnsi="Palatino Linotype" w:cs="Arial"/>
          <w:sz w:val="24"/>
          <w:szCs w:val="24"/>
        </w:rPr>
        <w:footnoteReference w:id="64"/>
      </w:r>
      <w:r w:rsidRPr="006E7CA1">
        <w:rPr>
          <w:rFonts w:ascii="Palatino Linotype" w:hAnsi="Palatino Linotype" w:cs="Arial"/>
          <w:sz w:val="24"/>
          <w:szCs w:val="24"/>
        </w:rPr>
        <w:t xml:space="preserve"> with equally devastating consequences for hundreds of millions of people who are unable to vindicate their rights. In turn, unmet legal need is a reflection and consequence of socio-economic status and inequality. Thus, in a real sense, contemporary clinical legal education is inextricably connected to socio-economic inequality and the battle cry of “access to justice” is not simply intended to indicate the closing of the gap in communities between those who have access to the law</w:t>
      </w:r>
      <w:r w:rsidR="00547761" w:rsidRPr="006E7CA1">
        <w:rPr>
          <w:rFonts w:ascii="Palatino Linotype" w:hAnsi="Palatino Linotype" w:cs="Arial"/>
          <w:sz w:val="24"/>
          <w:szCs w:val="24"/>
        </w:rPr>
        <w:t>,</w:t>
      </w:r>
      <w:r w:rsidRPr="006E7CA1">
        <w:rPr>
          <w:rFonts w:ascii="Palatino Linotype" w:hAnsi="Palatino Linotype" w:cs="Arial"/>
          <w:sz w:val="24"/>
          <w:szCs w:val="24"/>
        </w:rPr>
        <w:t xml:space="preserve"> but </w:t>
      </w:r>
      <w:r w:rsidR="00F96320" w:rsidRPr="006E7CA1">
        <w:rPr>
          <w:rFonts w:ascii="Palatino Linotype" w:hAnsi="Palatino Linotype" w:cs="Arial"/>
          <w:sz w:val="24"/>
          <w:szCs w:val="24"/>
        </w:rPr>
        <w:t xml:space="preserve">also </w:t>
      </w:r>
      <w:r w:rsidRPr="006E7CA1">
        <w:rPr>
          <w:rFonts w:ascii="Palatino Linotype" w:hAnsi="Palatino Linotype" w:cs="Arial"/>
          <w:sz w:val="24"/>
          <w:szCs w:val="24"/>
        </w:rPr>
        <w:t>signifies a more profound social justice mission. The problem though is that most of the analyses of clinical legal education traditionally fail to cast law clinics in such terms – terms that are much more readily understood as a political or philosophical positioning. This failure creates the danger of neut</w:t>
      </w:r>
      <w:r w:rsidR="00F96320" w:rsidRPr="006E7CA1">
        <w:rPr>
          <w:rFonts w:ascii="Palatino Linotype" w:hAnsi="Palatino Linotype" w:cs="Arial"/>
          <w:sz w:val="24"/>
          <w:szCs w:val="24"/>
        </w:rPr>
        <w:t>ering or masking the power</w:t>
      </w:r>
      <w:r w:rsidRPr="006E7CA1">
        <w:rPr>
          <w:rFonts w:ascii="Palatino Linotype" w:hAnsi="Palatino Linotype" w:cs="Arial"/>
          <w:sz w:val="24"/>
          <w:szCs w:val="24"/>
        </w:rPr>
        <w:t xml:space="preserve"> of dynamic activism that is an integral part of the reflective process of clinical legal education. An illustration is </w:t>
      </w:r>
      <w:r w:rsidR="00B57CC5" w:rsidRPr="006E7CA1">
        <w:rPr>
          <w:rFonts w:ascii="Palatino Linotype" w:hAnsi="Palatino Linotype" w:cs="Arial"/>
          <w:sz w:val="24"/>
          <w:szCs w:val="24"/>
        </w:rPr>
        <w:t>provided</w:t>
      </w:r>
      <w:r w:rsidRPr="006E7CA1">
        <w:rPr>
          <w:rFonts w:ascii="Palatino Linotype" w:hAnsi="Palatino Linotype" w:cs="Arial"/>
          <w:sz w:val="24"/>
          <w:szCs w:val="24"/>
        </w:rPr>
        <w:t xml:space="preserve"> by the following description of the law clinic by Evans: a clinic involves “…supervised experiential encounters between clients and their </w:t>
      </w:r>
      <w:r w:rsidRPr="006E7CA1">
        <w:rPr>
          <w:rFonts w:ascii="Palatino Linotype" w:hAnsi="Palatino Linotype" w:cs="Arial"/>
          <w:sz w:val="24"/>
          <w:szCs w:val="24"/>
        </w:rPr>
        <w:lastRenderedPageBreak/>
        <w:t>legal advisors, in the interest of just case outcomes, the processes of law reform and political renewal.”</w:t>
      </w:r>
      <w:r w:rsidRPr="006E7CA1">
        <w:rPr>
          <w:rStyle w:val="FootnoteReference"/>
          <w:rFonts w:ascii="Palatino Linotype" w:hAnsi="Palatino Linotype" w:cs="Arial"/>
          <w:sz w:val="24"/>
          <w:szCs w:val="24"/>
        </w:rPr>
        <w:footnoteReference w:id="65"/>
      </w:r>
      <w:r w:rsidRPr="006E7CA1">
        <w:rPr>
          <w:rFonts w:ascii="Palatino Linotype" w:hAnsi="Palatino Linotype" w:cs="Arial"/>
          <w:sz w:val="24"/>
          <w:szCs w:val="24"/>
        </w:rPr>
        <w:t xml:space="preserve">  This otherwise embracive and progressive description would have been better encapsulated by a</w:t>
      </w:r>
      <w:r w:rsidR="00F96320" w:rsidRPr="006E7CA1">
        <w:rPr>
          <w:rFonts w:ascii="Palatino Linotype" w:hAnsi="Palatino Linotype" w:cs="Arial"/>
          <w:sz w:val="24"/>
          <w:szCs w:val="24"/>
        </w:rPr>
        <w:t>n explicit declaration of a</w:t>
      </w:r>
      <w:r w:rsidRPr="006E7CA1">
        <w:rPr>
          <w:rFonts w:ascii="Palatino Linotype" w:hAnsi="Palatino Linotype" w:cs="Arial"/>
          <w:sz w:val="24"/>
          <w:szCs w:val="24"/>
        </w:rPr>
        <w:t xml:space="preserve"> social justice objective</w:t>
      </w:r>
      <w:r w:rsidR="00547761" w:rsidRPr="006E7CA1">
        <w:rPr>
          <w:rFonts w:ascii="Palatino Linotype" w:hAnsi="Palatino Linotype" w:cs="Arial"/>
          <w:sz w:val="24"/>
          <w:szCs w:val="24"/>
        </w:rPr>
        <w:t xml:space="preserve"> – for such is </w:t>
      </w:r>
      <w:r w:rsidRPr="006E7CA1">
        <w:rPr>
          <w:rFonts w:ascii="Palatino Linotype" w:hAnsi="Palatino Linotype" w:cs="Arial"/>
          <w:sz w:val="24"/>
          <w:szCs w:val="24"/>
        </w:rPr>
        <w:t xml:space="preserve">the clear underlying purpose expressed by Evans. </w:t>
      </w:r>
    </w:p>
    <w:p w:rsidR="00D01193" w:rsidRPr="006E7CA1" w:rsidRDefault="00C45AF9"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 xml:space="preserve">One may </w:t>
      </w:r>
      <w:r w:rsidR="00F96320" w:rsidRPr="006E7CA1">
        <w:rPr>
          <w:rFonts w:ascii="Palatino Linotype" w:hAnsi="Palatino Linotype" w:cs="Arial"/>
          <w:sz w:val="24"/>
          <w:szCs w:val="24"/>
        </w:rPr>
        <w:t xml:space="preserve">then </w:t>
      </w:r>
      <w:r w:rsidRPr="006E7CA1">
        <w:rPr>
          <w:rFonts w:ascii="Palatino Linotype" w:hAnsi="Palatino Linotype" w:cs="Arial"/>
          <w:sz w:val="24"/>
          <w:szCs w:val="24"/>
        </w:rPr>
        <w:t>ask why it matters that clinical legal education is given jurisprudential expression</w:t>
      </w:r>
      <w:r w:rsidR="00F7325C" w:rsidRPr="006E7CA1">
        <w:rPr>
          <w:rFonts w:ascii="Palatino Linotype" w:hAnsi="Palatino Linotype" w:cs="Arial"/>
          <w:sz w:val="24"/>
          <w:szCs w:val="24"/>
        </w:rPr>
        <w:t>?</w:t>
      </w:r>
      <w:r w:rsidRPr="006E7CA1">
        <w:rPr>
          <w:rFonts w:ascii="Palatino Linotype" w:hAnsi="Palatino Linotype" w:cs="Arial"/>
          <w:sz w:val="24"/>
          <w:szCs w:val="24"/>
        </w:rPr>
        <w:t xml:space="preserve"> The answer relates to the matter of social consciousness, or even a narrower legal consciousness that is essential for an active reflective role for </w:t>
      </w:r>
      <w:r w:rsidR="00F96320" w:rsidRPr="006E7CA1">
        <w:rPr>
          <w:rFonts w:ascii="Palatino Linotype" w:hAnsi="Palatino Linotype" w:cs="Arial"/>
          <w:sz w:val="24"/>
          <w:szCs w:val="24"/>
        </w:rPr>
        <w:t xml:space="preserve">the student and clinician alike, such consciousness being prerequisite for desirable social change. A conscious student or clinician is an agent for social change. Social change is necessary to redress the problem of social inequality which is deeply embedded in international society; not only </w:t>
      </w:r>
      <w:r w:rsidR="00547761" w:rsidRPr="006E7CA1">
        <w:rPr>
          <w:rFonts w:ascii="Palatino Linotype" w:hAnsi="Palatino Linotype" w:cs="Arial"/>
          <w:sz w:val="24"/>
          <w:szCs w:val="24"/>
        </w:rPr>
        <w:t xml:space="preserve">within </w:t>
      </w:r>
      <w:r w:rsidR="00F96320" w:rsidRPr="006E7CA1">
        <w:rPr>
          <w:rFonts w:ascii="Palatino Linotype" w:hAnsi="Palatino Linotype" w:cs="Arial"/>
          <w:sz w:val="24"/>
          <w:szCs w:val="24"/>
        </w:rPr>
        <w:t xml:space="preserve">the familiar North- South divide, but marked inequalities within both the </w:t>
      </w:r>
      <w:r w:rsidR="00B57CC5" w:rsidRPr="006E7CA1">
        <w:rPr>
          <w:rFonts w:ascii="Palatino Linotype" w:hAnsi="Palatino Linotype" w:cs="Arial"/>
          <w:sz w:val="24"/>
          <w:szCs w:val="24"/>
        </w:rPr>
        <w:t>N</w:t>
      </w:r>
      <w:r w:rsidR="00F96320" w:rsidRPr="006E7CA1">
        <w:rPr>
          <w:rFonts w:ascii="Palatino Linotype" w:hAnsi="Palatino Linotype" w:cs="Arial"/>
          <w:sz w:val="24"/>
          <w:szCs w:val="24"/>
        </w:rPr>
        <w:t xml:space="preserve">orth and the South, and also as between genders, ethnicity, </w:t>
      </w:r>
      <w:r w:rsidR="00D01193" w:rsidRPr="006E7CA1">
        <w:rPr>
          <w:rFonts w:ascii="Palatino Linotype" w:hAnsi="Palatino Linotype" w:cs="Arial"/>
          <w:sz w:val="24"/>
          <w:szCs w:val="24"/>
        </w:rPr>
        <w:t xml:space="preserve">religion, </w:t>
      </w:r>
      <w:r w:rsidR="00F96320" w:rsidRPr="006E7CA1">
        <w:rPr>
          <w:rFonts w:ascii="Palatino Linotype" w:hAnsi="Palatino Linotype" w:cs="Arial"/>
          <w:sz w:val="24"/>
          <w:szCs w:val="24"/>
        </w:rPr>
        <w:t>etc.</w:t>
      </w:r>
      <w:r w:rsidR="00D01193" w:rsidRPr="006E7CA1">
        <w:rPr>
          <w:rFonts w:ascii="Palatino Linotype" w:hAnsi="Palatino Linotype" w:cs="Arial"/>
          <w:sz w:val="24"/>
          <w:szCs w:val="24"/>
        </w:rPr>
        <w:t xml:space="preserve"> </w:t>
      </w:r>
      <w:r w:rsidR="00F7325C" w:rsidRPr="006E7CA1">
        <w:rPr>
          <w:rFonts w:ascii="Palatino Linotype" w:hAnsi="Palatino Linotype" w:cs="Arial"/>
          <w:sz w:val="24"/>
          <w:szCs w:val="24"/>
        </w:rPr>
        <w:t>If we accept the globalised reach of clini</w:t>
      </w:r>
      <w:r w:rsidR="00A943A2" w:rsidRPr="006E7CA1">
        <w:rPr>
          <w:rFonts w:ascii="Palatino Linotype" w:hAnsi="Palatino Linotype" w:cs="Arial"/>
          <w:sz w:val="24"/>
          <w:szCs w:val="24"/>
        </w:rPr>
        <w:t xml:space="preserve">cal legal education carries with it a concomitant social justice mission, then a proper understanding of the philosophical underpinning of the movement is best achieved by also understanding the globalised nature of poverty and social inequality. On this basis, it is submitted that a unified theory of clinical legal education must encompass global socio-economic realities as indicated below; the student clinician </w:t>
      </w:r>
      <w:r w:rsidR="00AE6E17" w:rsidRPr="006E7CA1">
        <w:rPr>
          <w:rFonts w:ascii="Palatino Linotype" w:hAnsi="Palatino Linotype" w:cs="Arial"/>
          <w:sz w:val="24"/>
          <w:szCs w:val="24"/>
        </w:rPr>
        <w:t>and teacher</w:t>
      </w:r>
      <w:r w:rsidR="00D01193" w:rsidRPr="006E7CA1">
        <w:rPr>
          <w:rFonts w:ascii="Palatino Linotype" w:hAnsi="Palatino Linotype" w:cs="Arial"/>
          <w:sz w:val="24"/>
          <w:szCs w:val="24"/>
        </w:rPr>
        <w:t xml:space="preserve"> practitioner operate within the </w:t>
      </w:r>
      <w:r w:rsidR="00D01193" w:rsidRPr="006E7CA1">
        <w:rPr>
          <w:rFonts w:ascii="Palatino Linotype" w:hAnsi="Palatino Linotype" w:cs="Arial"/>
          <w:sz w:val="24"/>
          <w:szCs w:val="24"/>
        </w:rPr>
        <w:lastRenderedPageBreak/>
        <w:t xml:space="preserve">much broader </w:t>
      </w:r>
      <w:r w:rsidR="00A943A2" w:rsidRPr="006E7CA1">
        <w:rPr>
          <w:rFonts w:ascii="Palatino Linotype" w:hAnsi="Palatino Linotype" w:cs="Arial"/>
          <w:sz w:val="24"/>
          <w:szCs w:val="24"/>
        </w:rPr>
        <w:t xml:space="preserve">spectrum of </w:t>
      </w:r>
      <w:r w:rsidR="00D01193" w:rsidRPr="006E7CA1">
        <w:rPr>
          <w:rFonts w:ascii="Palatino Linotype" w:hAnsi="Palatino Linotype" w:cs="Arial"/>
          <w:sz w:val="24"/>
          <w:szCs w:val="24"/>
        </w:rPr>
        <w:t>income and wealth inequalities as indicated by the following vignettes:</w:t>
      </w:r>
    </w:p>
    <w:p w:rsidR="006E7CA1" w:rsidRDefault="00D01193" w:rsidP="006E7CA1">
      <w:pPr>
        <w:pStyle w:val="NoSpacing"/>
        <w:spacing w:line="360" w:lineRule="auto"/>
        <w:ind w:left="284" w:right="403"/>
        <w:rPr>
          <w:rFonts w:ascii="Palatino Linotype" w:hAnsi="Palatino Linotype" w:cs="Arial"/>
          <w:sz w:val="24"/>
          <w:szCs w:val="24"/>
        </w:rPr>
      </w:pPr>
      <w:r w:rsidRPr="006E7CA1">
        <w:rPr>
          <w:rFonts w:ascii="Palatino Linotype" w:hAnsi="Palatino Linotype" w:cs="Arial"/>
          <w:sz w:val="24"/>
          <w:szCs w:val="24"/>
        </w:rPr>
        <w:t>“More than 1 billion people in the world live on</w:t>
      </w:r>
      <w:r w:rsidR="00A850D6" w:rsidRPr="006E7CA1">
        <w:rPr>
          <w:rFonts w:ascii="Palatino Linotype" w:hAnsi="Palatino Linotype" w:cs="Arial"/>
          <w:sz w:val="24"/>
          <w:szCs w:val="24"/>
        </w:rPr>
        <w:t xml:space="preserve"> less</w:t>
      </w:r>
      <w:r w:rsidR="00B57CC5" w:rsidRPr="006E7CA1">
        <w:rPr>
          <w:rFonts w:ascii="Palatino Linotype" w:hAnsi="Palatino Linotype" w:cs="Arial"/>
          <w:sz w:val="24"/>
          <w:szCs w:val="24"/>
        </w:rPr>
        <w:t xml:space="preserve"> than $1 a day;</w:t>
      </w:r>
      <w:r w:rsidRPr="006E7CA1">
        <w:rPr>
          <w:rFonts w:ascii="Palatino Linotype" w:hAnsi="Palatino Linotype" w:cs="Arial"/>
          <w:sz w:val="24"/>
          <w:szCs w:val="24"/>
        </w:rPr>
        <w:t>”</w:t>
      </w:r>
      <w:r w:rsidRPr="006E7CA1">
        <w:rPr>
          <w:rStyle w:val="FootnoteReference"/>
          <w:rFonts w:ascii="Palatino Linotype" w:hAnsi="Palatino Linotype" w:cs="Arial"/>
          <w:sz w:val="24"/>
          <w:szCs w:val="24"/>
        </w:rPr>
        <w:footnoteReference w:id="66"/>
      </w:r>
      <w:r w:rsidR="00A850D6" w:rsidRPr="006E7CA1">
        <w:rPr>
          <w:rFonts w:ascii="Palatino Linotype" w:hAnsi="Palatino Linotype" w:cs="Arial"/>
          <w:sz w:val="24"/>
          <w:szCs w:val="24"/>
        </w:rPr>
        <w:t xml:space="preserve"> </w:t>
      </w:r>
    </w:p>
    <w:p w:rsidR="00C14478" w:rsidRPr="006E7CA1" w:rsidRDefault="00A850D6" w:rsidP="006E7CA1">
      <w:pPr>
        <w:pStyle w:val="NoSpacing"/>
        <w:spacing w:line="360" w:lineRule="auto"/>
        <w:ind w:left="284" w:right="403"/>
        <w:rPr>
          <w:rFonts w:ascii="Palatino Linotype" w:hAnsi="Palatino Linotype" w:cs="Arial"/>
          <w:sz w:val="24"/>
          <w:szCs w:val="24"/>
        </w:rPr>
      </w:pPr>
      <w:r w:rsidRPr="006E7CA1">
        <w:rPr>
          <w:rFonts w:ascii="Palatino Linotype" w:hAnsi="Palatino Linotype" w:cs="Arial"/>
          <w:sz w:val="24"/>
          <w:szCs w:val="24"/>
        </w:rPr>
        <w:t xml:space="preserve">“pre-Davos report shows how 1% now own more than </w:t>
      </w:r>
      <w:r w:rsidR="00B57CC5" w:rsidRPr="006E7CA1">
        <w:rPr>
          <w:rFonts w:ascii="Palatino Linotype" w:hAnsi="Palatino Linotype" w:cs="Arial"/>
          <w:sz w:val="24"/>
          <w:szCs w:val="24"/>
        </w:rPr>
        <w:t xml:space="preserve">the </w:t>
      </w:r>
      <w:r w:rsidRPr="006E7CA1">
        <w:rPr>
          <w:rFonts w:ascii="Palatino Linotype" w:hAnsi="Palatino Linotype" w:cs="Arial"/>
          <w:sz w:val="24"/>
          <w:szCs w:val="24"/>
        </w:rPr>
        <w:t>rest of us combined. Runaway inequality has created a world where 62 people own as much as the poorest half of the world's population, according to an</w:t>
      </w:r>
      <w:r w:rsidR="00B57CC5" w:rsidRPr="006E7CA1">
        <w:rPr>
          <w:rFonts w:ascii="Palatino Linotype" w:hAnsi="Palatino Linotype" w:cs="Arial"/>
          <w:sz w:val="24"/>
          <w:szCs w:val="24"/>
        </w:rPr>
        <w:t xml:space="preserve"> Oxfam Report</w:t>
      </w:r>
      <w:r w:rsidRPr="006E7CA1">
        <w:rPr>
          <w:rFonts w:ascii="Palatino Linotype" w:hAnsi="Palatino Linotype" w:cs="Arial"/>
          <w:sz w:val="24"/>
          <w:szCs w:val="24"/>
        </w:rPr>
        <w:t> published today ahead of the annual gathering of the world's financial and political elites in Davos. This number has fallen dramatically from 388 as recently as 2010 and 80 last year. An Economy for the 1%, shows that the wealth of the poorest half of the world's population - that's 3.6 billion people - has fallen by a trillion dollars since 2010. This 38 per cent drop has occurred despite the global population increasing by around 400 million people during that period. Meanwhile the wealth of the richest 62 has increased by more than half a trillion dollars to $1.76tr. Just nine of the '62' are women.”</w:t>
      </w:r>
      <w:r w:rsidRPr="006E7CA1">
        <w:rPr>
          <w:rStyle w:val="FootnoteReference"/>
          <w:rFonts w:ascii="Palatino Linotype" w:hAnsi="Palatino Linotype" w:cs="Arial"/>
          <w:sz w:val="24"/>
          <w:szCs w:val="24"/>
        </w:rPr>
        <w:footnoteReference w:id="67"/>
      </w:r>
    </w:p>
    <w:p w:rsidR="00C14478" w:rsidRPr="006E7CA1" w:rsidRDefault="00C14478" w:rsidP="006E7CA1">
      <w:pPr>
        <w:pStyle w:val="NormalWeb"/>
        <w:spacing w:line="480" w:lineRule="auto"/>
        <w:jc w:val="both"/>
        <w:rPr>
          <w:rFonts w:ascii="Palatino Linotype" w:eastAsia="Times New Roman" w:hAnsi="Palatino Linotype" w:cs="Arial"/>
          <w:lang w:eastAsia="en-GB"/>
        </w:rPr>
      </w:pPr>
      <w:r w:rsidRPr="006E7CA1">
        <w:rPr>
          <w:rFonts w:ascii="Palatino Linotype" w:hAnsi="Palatino Linotype" w:cs="Arial"/>
        </w:rPr>
        <w:t xml:space="preserve">Africa, for example, is a </w:t>
      </w:r>
      <w:r w:rsidRPr="006E7CA1">
        <w:rPr>
          <w:rFonts w:ascii="Palatino Linotype" w:eastAsia="Times New Roman" w:hAnsi="Palatino Linotype" w:cs="Arial"/>
          <w:lang w:eastAsia="en-GB"/>
        </w:rPr>
        <w:t xml:space="preserve">continent hardly contradicted by mass social and economic progress. Riven with mass poverty, hunger, disease, corruption, political instability and internecine warfare in many parts, the continent has been ravaged by over two centuries of structural underdevelopment, the evidence of poverty and deprivation is as clear as it is grim: The UN Food and Agriculture Organisation estimates that 239 million people in sub-Saharan Africa were </w:t>
      </w:r>
      <w:r w:rsidRPr="006E7CA1">
        <w:rPr>
          <w:rFonts w:ascii="Palatino Linotype" w:eastAsia="Times New Roman" w:hAnsi="Palatino Linotype" w:cs="Arial"/>
          <w:lang w:eastAsia="en-GB"/>
        </w:rPr>
        <w:lastRenderedPageBreak/>
        <w:t>hungry/undernourished in 2010 (its most recent estimate) and 925 million people were hungry worldwide. Africa was the continent with the second largest number of hungry people, as Asia and the Pacific had 578 million, principally due to the much larger population of Asia when compared to sub-Saharan Africa. Sub-Saharan Africa actually had the largest proportion of its population undernourished, an estimated 30 per cent in 2010, compared to 16 per cent in Asia and the Pacific (FAO 2010). Thus almost one in three people who live in sub-Saharan Africa were hungry, far higher than any other region of the world, with the exception of South Asia In 2008, 47 per cent of the population of sub-Saharan Africa lived on $1.25 a day or less. (United Nations 2012)</w:t>
      </w:r>
    </w:p>
    <w:p w:rsidR="00547761" w:rsidRPr="006E7CA1" w:rsidRDefault="00547761" w:rsidP="006E7CA1">
      <w:pPr>
        <w:pStyle w:val="NormalWeb"/>
        <w:spacing w:line="480" w:lineRule="auto"/>
        <w:jc w:val="both"/>
        <w:rPr>
          <w:rFonts w:ascii="Palatino Linotype" w:eastAsia="Times New Roman" w:hAnsi="Palatino Linotype" w:cs="Arial"/>
          <w:lang w:eastAsia="en-GB"/>
        </w:rPr>
      </w:pPr>
      <w:r w:rsidRPr="006E7CA1">
        <w:rPr>
          <w:rFonts w:ascii="Palatino Linotype" w:eastAsia="Times New Roman" w:hAnsi="Palatino Linotype" w:cs="Arial"/>
          <w:lang w:eastAsia="en-GB"/>
        </w:rPr>
        <w:t>In the meantime, the world’s most expensive car has a price tag of $4.8 million</w:t>
      </w:r>
      <w:r w:rsidRPr="006E7CA1">
        <w:rPr>
          <w:rStyle w:val="FootnoteReference"/>
          <w:rFonts w:ascii="Palatino Linotype" w:eastAsia="Times New Roman" w:hAnsi="Palatino Linotype" w:cs="Arial"/>
          <w:lang w:eastAsia="en-GB"/>
        </w:rPr>
        <w:footnoteReference w:id="68"/>
      </w:r>
      <w:r w:rsidRPr="006E7CA1">
        <w:rPr>
          <w:rFonts w:ascii="Palatino Linotype" w:eastAsia="Times New Roman" w:hAnsi="Palatino Linotype" w:cs="Arial"/>
          <w:lang w:eastAsia="en-GB"/>
        </w:rPr>
        <w:t xml:space="preserve">; the most expensive painting sold at auction, Leonardo Da Vinci’s </w:t>
      </w:r>
      <w:r w:rsidR="002B25A5" w:rsidRPr="006E7CA1">
        <w:rPr>
          <w:rFonts w:ascii="Palatino Linotype" w:eastAsia="Times New Roman" w:hAnsi="Palatino Linotype" w:cs="Arial"/>
          <w:i/>
          <w:lang w:eastAsia="en-GB"/>
        </w:rPr>
        <w:t>Salvatore</w:t>
      </w:r>
      <w:r w:rsidRPr="006E7CA1">
        <w:rPr>
          <w:rFonts w:ascii="Palatino Linotype" w:eastAsia="Times New Roman" w:hAnsi="Palatino Linotype" w:cs="Arial"/>
          <w:i/>
          <w:lang w:eastAsia="en-GB"/>
        </w:rPr>
        <w:t xml:space="preserve"> Mundi</w:t>
      </w:r>
      <w:r w:rsidRPr="006E7CA1">
        <w:rPr>
          <w:rFonts w:ascii="Palatino Linotype" w:eastAsia="Times New Roman" w:hAnsi="Palatino Linotype" w:cs="Arial"/>
          <w:lang w:eastAsia="en-GB"/>
        </w:rPr>
        <w:t>, at a price of $400 million</w:t>
      </w:r>
      <w:r w:rsidRPr="006E7CA1">
        <w:rPr>
          <w:rStyle w:val="FootnoteReference"/>
          <w:rFonts w:ascii="Palatino Linotype" w:eastAsia="Times New Roman" w:hAnsi="Palatino Linotype" w:cs="Arial"/>
          <w:lang w:eastAsia="en-GB"/>
        </w:rPr>
        <w:footnoteReference w:id="69"/>
      </w:r>
      <w:r w:rsidRPr="006E7CA1">
        <w:rPr>
          <w:rFonts w:ascii="Palatino Linotype" w:eastAsia="Times New Roman" w:hAnsi="Palatino Linotype" w:cs="Arial"/>
          <w:lang w:eastAsia="en-GB"/>
        </w:rPr>
        <w:t xml:space="preserve">and in the United Kingdom, according to </w:t>
      </w:r>
      <w:r w:rsidRPr="006E7CA1">
        <w:rPr>
          <w:rFonts w:ascii="Palatino Linotype" w:eastAsia="Times New Roman" w:hAnsi="Palatino Linotype" w:cs="Arial"/>
          <w:i/>
          <w:lang w:eastAsia="en-GB"/>
        </w:rPr>
        <w:t xml:space="preserve">The Guardian, </w:t>
      </w:r>
      <w:r w:rsidRPr="006E7CA1">
        <w:rPr>
          <w:rFonts w:ascii="Palatino Linotype" w:eastAsia="Times New Roman" w:hAnsi="Palatino Linotype" w:cs="Arial"/>
          <w:lang w:eastAsia="en-GB"/>
        </w:rPr>
        <w:t>within the first three days of January 2018, the top business executives in the UK had earned the equivalent annual salary of the average worker.</w:t>
      </w:r>
      <w:r w:rsidRPr="006E7CA1">
        <w:rPr>
          <w:rStyle w:val="FootnoteReference"/>
          <w:rFonts w:ascii="Palatino Linotype" w:eastAsia="Times New Roman" w:hAnsi="Palatino Linotype" w:cs="Arial"/>
          <w:lang w:eastAsia="en-GB"/>
        </w:rPr>
        <w:footnoteReference w:id="70"/>
      </w:r>
      <w:r w:rsidR="00AC041E" w:rsidRPr="006E7CA1">
        <w:rPr>
          <w:rFonts w:ascii="Palatino Linotype" w:eastAsia="Times New Roman" w:hAnsi="Palatino Linotype" w:cs="Arial"/>
          <w:lang w:eastAsia="en-GB"/>
        </w:rPr>
        <w:t xml:space="preserve"> To top it all in the absurdity of inequality, the BBC reported on 5</w:t>
      </w:r>
      <w:r w:rsidR="00AC041E" w:rsidRPr="006E7CA1">
        <w:rPr>
          <w:rFonts w:ascii="Palatino Linotype" w:eastAsia="Times New Roman" w:hAnsi="Palatino Linotype" w:cs="Arial"/>
          <w:vertAlign w:val="superscript"/>
          <w:lang w:eastAsia="en-GB"/>
        </w:rPr>
        <w:t>th</w:t>
      </w:r>
      <w:r w:rsidR="00AC041E" w:rsidRPr="006E7CA1">
        <w:rPr>
          <w:rFonts w:ascii="Palatino Linotype" w:eastAsia="Times New Roman" w:hAnsi="Palatino Linotype" w:cs="Arial"/>
          <w:lang w:eastAsia="en-GB"/>
        </w:rPr>
        <w:t xml:space="preserve"> January 2018, the theft from a bar in Denmark of the most expensive bottle of vodka in the world claimed to be valued at $1.3 million.</w:t>
      </w:r>
      <w:r w:rsidR="00AC041E" w:rsidRPr="006E7CA1">
        <w:rPr>
          <w:rStyle w:val="FootnoteReference"/>
          <w:rFonts w:ascii="Palatino Linotype" w:eastAsia="Times New Roman" w:hAnsi="Palatino Linotype" w:cs="Arial"/>
          <w:lang w:eastAsia="en-GB"/>
        </w:rPr>
        <w:footnoteReference w:id="71"/>
      </w:r>
    </w:p>
    <w:p w:rsidR="00C14478" w:rsidRPr="006E7CA1" w:rsidRDefault="00C14478" w:rsidP="00CF01C4">
      <w:pPr>
        <w:pStyle w:val="NoSpacing"/>
        <w:spacing w:line="480" w:lineRule="auto"/>
        <w:jc w:val="both"/>
        <w:rPr>
          <w:rFonts w:ascii="Palatino Linotype" w:hAnsi="Palatino Linotype" w:cs="Arial"/>
          <w:sz w:val="24"/>
          <w:szCs w:val="24"/>
          <w:lang w:eastAsia="en-GB"/>
        </w:rPr>
      </w:pPr>
      <w:r w:rsidRPr="006E7CA1">
        <w:rPr>
          <w:rFonts w:ascii="Palatino Linotype" w:hAnsi="Palatino Linotype" w:cs="Arial"/>
          <w:sz w:val="24"/>
          <w:szCs w:val="24"/>
          <w:lang w:eastAsia="en-GB"/>
        </w:rPr>
        <w:lastRenderedPageBreak/>
        <w:t xml:space="preserve">Poverty and social inequality divide classes and communities in the United Kingdom. </w:t>
      </w:r>
      <w:r w:rsidR="00B57CC5" w:rsidRPr="006E7CA1">
        <w:rPr>
          <w:rFonts w:ascii="Palatino Linotype" w:hAnsi="Palatino Linotype" w:cs="Arial"/>
          <w:sz w:val="24"/>
          <w:szCs w:val="24"/>
          <w:lang w:eastAsia="en-GB"/>
        </w:rPr>
        <w:t>In the biggest ever review into race inequality in Great Britain, t</w:t>
      </w:r>
      <w:r w:rsidRPr="006E7CA1">
        <w:rPr>
          <w:rFonts w:ascii="Palatino Linotype" w:hAnsi="Palatino Linotype" w:cs="Arial"/>
          <w:sz w:val="24"/>
          <w:szCs w:val="24"/>
          <w:lang w:eastAsia="en-GB"/>
        </w:rPr>
        <w:t>he Equality and Human Rights</w:t>
      </w:r>
      <w:r w:rsidR="00B57CC5" w:rsidRPr="006E7CA1">
        <w:rPr>
          <w:rFonts w:ascii="Palatino Linotype" w:hAnsi="Palatino Linotype" w:cs="Arial"/>
          <w:sz w:val="24"/>
          <w:szCs w:val="24"/>
          <w:lang w:eastAsia="en-GB"/>
        </w:rPr>
        <w:t xml:space="preserve"> Commission in its 2016 race equality report</w:t>
      </w:r>
      <w:r w:rsidR="00B57CC5" w:rsidRPr="006E7CA1">
        <w:rPr>
          <w:rStyle w:val="FootnoteReference"/>
          <w:rFonts w:ascii="Palatino Linotype" w:eastAsia="Times New Roman" w:hAnsi="Palatino Linotype" w:cs="Arial"/>
          <w:sz w:val="24"/>
          <w:szCs w:val="24"/>
          <w:lang w:eastAsia="en-GB"/>
        </w:rPr>
        <w:footnoteReference w:id="72"/>
      </w:r>
      <w:r w:rsidR="00B57CC5" w:rsidRPr="006E7CA1">
        <w:rPr>
          <w:rFonts w:ascii="Palatino Linotype" w:hAnsi="Palatino Linotype" w:cs="Arial"/>
          <w:sz w:val="24"/>
          <w:szCs w:val="24"/>
          <w:lang w:eastAsia="en-GB"/>
        </w:rPr>
        <w:t xml:space="preserve"> reveals “…an alarming picture of the challenges to equality of opportunity that still remain in modern 21</w:t>
      </w:r>
      <w:r w:rsidR="00B57CC5" w:rsidRPr="006E7CA1">
        <w:rPr>
          <w:rFonts w:ascii="Palatino Linotype" w:hAnsi="Palatino Linotype" w:cs="Arial"/>
          <w:sz w:val="24"/>
          <w:szCs w:val="24"/>
          <w:vertAlign w:val="superscript"/>
          <w:lang w:eastAsia="en-GB"/>
        </w:rPr>
        <w:t>st</w:t>
      </w:r>
      <w:r w:rsidR="00B57CC5" w:rsidRPr="006E7CA1">
        <w:rPr>
          <w:rFonts w:ascii="Palatino Linotype" w:hAnsi="Palatino Linotype" w:cs="Arial"/>
          <w:sz w:val="24"/>
          <w:szCs w:val="24"/>
          <w:lang w:eastAsia="en-GB"/>
        </w:rPr>
        <w:t xml:space="preserve"> century Britain…It is indefensible that…Black workers with degrees earn over 23 per cent less on average than White workers with degrees and that if you are Black in England you are more than three times likely to be a victim of murder and four times more likely to be stopped by the police. ”</w:t>
      </w:r>
      <w:r w:rsidR="00B57CC5" w:rsidRPr="006E7CA1">
        <w:rPr>
          <w:rStyle w:val="FootnoteReference"/>
          <w:rFonts w:ascii="Palatino Linotype" w:eastAsia="Times New Roman" w:hAnsi="Palatino Linotype" w:cs="Arial"/>
          <w:sz w:val="24"/>
          <w:szCs w:val="24"/>
          <w:lang w:eastAsia="en-GB"/>
        </w:rPr>
        <w:footnoteReference w:id="73"/>
      </w:r>
      <w:r w:rsidR="00B57CC5" w:rsidRPr="006E7CA1">
        <w:rPr>
          <w:rFonts w:ascii="Palatino Linotype" w:hAnsi="Palatino Linotype" w:cs="Arial"/>
          <w:sz w:val="24"/>
          <w:szCs w:val="24"/>
          <w:lang w:eastAsia="en-GB"/>
        </w:rPr>
        <w:t xml:space="preserve"> Equally grimly, the report found that “If you are young and from an ethnic minority, your life chances have got much worse over the past five years and are at the most challenging for generations. Since 2010, there has been a 49% increase in the number of 16 to 24 year olds across the UK from ethnic minority communities who are long-term unemployed, compared with a fall of 2% if you are White</w:t>
      </w:r>
      <w:r w:rsidR="00B57CC5" w:rsidRPr="006E7CA1">
        <w:rPr>
          <w:rFonts w:ascii="Palatino Linotype" w:hAnsi="Palatino Linotype" w:cs="Arial"/>
          <w:b/>
          <w:bCs/>
          <w:sz w:val="24"/>
          <w:szCs w:val="24"/>
          <w:lang w:eastAsia="en-GB"/>
        </w:rPr>
        <w:t xml:space="preserve">. </w:t>
      </w:r>
      <w:r w:rsidR="00B57CC5" w:rsidRPr="006E7CA1">
        <w:rPr>
          <w:rFonts w:ascii="Palatino Linotype" w:hAnsi="Palatino Linotype" w:cs="Arial"/>
          <w:sz w:val="24"/>
          <w:szCs w:val="24"/>
          <w:lang w:eastAsia="en-GB"/>
        </w:rPr>
        <w:t>Black workers are also more than twice as likely to be in insecure forms of employment such as temporary contracts or working for an agency – which increased by nearly 40% for Black and Asian workers, compared with a 16% rise for White workers.</w:t>
      </w:r>
      <w:r w:rsidR="0060390D" w:rsidRPr="006E7CA1">
        <w:rPr>
          <w:rStyle w:val="FootnoteReference"/>
          <w:rFonts w:ascii="Palatino Linotype" w:eastAsia="Times New Roman" w:hAnsi="Palatino Linotype" w:cs="Arial"/>
          <w:sz w:val="24"/>
          <w:szCs w:val="24"/>
          <w:lang w:eastAsia="en-GB"/>
        </w:rPr>
        <w:footnoteReference w:id="74"/>
      </w:r>
      <w:r w:rsidR="0060390D" w:rsidRPr="006E7CA1">
        <w:rPr>
          <w:rFonts w:ascii="Palatino Linotype" w:hAnsi="Palatino Linotype" w:cs="Arial"/>
          <w:sz w:val="24"/>
          <w:szCs w:val="24"/>
          <w:lang w:eastAsia="en-GB"/>
        </w:rPr>
        <w:t xml:space="preserve"> Also, ethnic minority people are more likely to live in poverty than the white population.</w:t>
      </w:r>
      <w:r w:rsidR="0060390D" w:rsidRPr="006E7CA1">
        <w:rPr>
          <w:rStyle w:val="FootnoteReference"/>
          <w:rFonts w:ascii="Palatino Linotype" w:eastAsia="Times New Roman" w:hAnsi="Palatino Linotype" w:cs="Arial"/>
          <w:sz w:val="24"/>
          <w:szCs w:val="24"/>
          <w:lang w:eastAsia="en-GB"/>
        </w:rPr>
        <w:footnoteReference w:id="75"/>
      </w:r>
      <w:r w:rsidR="0060390D" w:rsidRPr="006E7CA1">
        <w:rPr>
          <w:rFonts w:ascii="Palatino Linotype" w:hAnsi="Palatino Linotype" w:cs="Arial"/>
          <w:sz w:val="24"/>
          <w:szCs w:val="24"/>
          <w:lang w:eastAsia="en-GB"/>
        </w:rPr>
        <w:t xml:space="preserve"> The same report details adverse statistics for Gypsy </w:t>
      </w:r>
      <w:r w:rsidR="0060390D" w:rsidRPr="006E7CA1">
        <w:rPr>
          <w:rFonts w:ascii="Palatino Linotype" w:hAnsi="Palatino Linotype" w:cs="Arial"/>
          <w:sz w:val="24"/>
          <w:szCs w:val="24"/>
          <w:lang w:eastAsia="en-GB"/>
        </w:rPr>
        <w:lastRenderedPageBreak/>
        <w:t>and Traveller communities and regional inequalities between different parts of the United Kingdom.</w:t>
      </w:r>
    </w:p>
    <w:p w:rsidR="0060390D" w:rsidRPr="006E7CA1" w:rsidRDefault="0060390D" w:rsidP="000578AC">
      <w:pPr>
        <w:pStyle w:val="NoSpacing"/>
        <w:spacing w:line="480" w:lineRule="auto"/>
        <w:jc w:val="both"/>
        <w:rPr>
          <w:rFonts w:ascii="Palatino Linotype" w:hAnsi="Palatino Linotype" w:cs="Arial"/>
          <w:sz w:val="24"/>
          <w:szCs w:val="24"/>
          <w:lang w:eastAsia="en-GB"/>
        </w:rPr>
      </w:pPr>
      <w:r w:rsidRPr="006E7CA1">
        <w:rPr>
          <w:rFonts w:ascii="Palatino Linotype" w:hAnsi="Palatino Linotype" w:cs="Arial"/>
          <w:sz w:val="24"/>
          <w:szCs w:val="24"/>
          <w:lang w:eastAsia="en-GB"/>
        </w:rPr>
        <w:t>In the field of health and wellbeing, there are again striking inequalities for different classes worldwide and in the UK.</w:t>
      </w:r>
      <w:r w:rsidR="00547761" w:rsidRPr="006E7CA1">
        <w:rPr>
          <w:rFonts w:ascii="Palatino Linotype" w:hAnsi="Palatino Linotype" w:cs="Arial"/>
          <w:sz w:val="24"/>
          <w:szCs w:val="24"/>
          <w:lang w:eastAsia="en-GB"/>
        </w:rPr>
        <w:t xml:space="preserve"> According to United Nations research statistics, average life expectancy in the highest developed economies is 80 years and 59 years in the lowest developed.</w:t>
      </w:r>
      <w:r w:rsidR="00547761" w:rsidRPr="006E7CA1">
        <w:rPr>
          <w:rStyle w:val="FootnoteReference"/>
          <w:rFonts w:ascii="Palatino Linotype" w:hAnsi="Palatino Linotype" w:cs="Arial"/>
          <w:sz w:val="24"/>
          <w:szCs w:val="24"/>
          <w:lang w:eastAsia="en-GB"/>
        </w:rPr>
        <w:footnoteReference w:id="76"/>
      </w:r>
      <w:r w:rsidR="00A943A2" w:rsidRPr="006E7CA1">
        <w:rPr>
          <w:rFonts w:ascii="Palatino Linotype" w:hAnsi="Palatino Linotype" w:cs="Arial"/>
          <w:sz w:val="24"/>
          <w:szCs w:val="24"/>
          <w:lang w:eastAsia="en-GB"/>
        </w:rPr>
        <w:t xml:space="preserve"> </w:t>
      </w:r>
      <w:r w:rsidR="006E7CA1">
        <w:rPr>
          <w:rFonts w:ascii="Palatino Linotype" w:hAnsi="Palatino Linotype" w:cs="Arial"/>
          <w:sz w:val="24"/>
          <w:szCs w:val="24"/>
          <w:lang w:eastAsia="en-GB"/>
        </w:rPr>
        <w:t xml:space="preserve">  </w:t>
      </w:r>
      <w:r w:rsidR="00A943A2" w:rsidRPr="006E7CA1">
        <w:rPr>
          <w:rFonts w:ascii="Palatino Linotype" w:hAnsi="Palatino Linotype" w:cs="Arial"/>
          <w:sz w:val="24"/>
          <w:szCs w:val="24"/>
          <w:lang w:eastAsia="en-GB"/>
        </w:rPr>
        <w:t>Thus, the global clinic is inextricably linked to global inequality. It is therefore necessary to examine the issues of access to justice and social justice more broadly.</w:t>
      </w:r>
    </w:p>
    <w:p w:rsidR="0060390D" w:rsidRPr="006E7CA1" w:rsidRDefault="0060390D" w:rsidP="006E7CA1">
      <w:pPr>
        <w:pStyle w:val="NormalWeb"/>
        <w:spacing w:line="480" w:lineRule="auto"/>
        <w:jc w:val="both"/>
        <w:rPr>
          <w:rFonts w:ascii="Palatino Linotype" w:eastAsia="Times New Roman" w:hAnsi="Palatino Linotype" w:cs="Arial"/>
          <w:lang w:eastAsia="en-GB"/>
        </w:rPr>
      </w:pPr>
    </w:p>
    <w:p w:rsidR="00F96320" w:rsidRPr="006E7CA1" w:rsidRDefault="00547761" w:rsidP="006E7CA1">
      <w:pPr>
        <w:pStyle w:val="NoSpacing"/>
        <w:spacing w:line="480" w:lineRule="auto"/>
        <w:rPr>
          <w:rFonts w:ascii="Palatino Linotype" w:hAnsi="Palatino Linotype" w:cs="Arial"/>
          <w:b/>
          <w:sz w:val="24"/>
          <w:szCs w:val="24"/>
        </w:rPr>
      </w:pPr>
      <w:r w:rsidRPr="006E7CA1">
        <w:rPr>
          <w:rFonts w:ascii="Palatino Linotype" w:hAnsi="Palatino Linotype" w:cs="Arial"/>
          <w:b/>
          <w:sz w:val="24"/>
          <w:szCs w:val="24"/>
        </w:rPr>
        <w:t>7</w:t>
      </w:r>
      <w:r w:rsidR="00CC0B5D" w:rsidRPr="006E7CA1">
        <w:rPr>
          <w:rFonts w:ascii="Palatino Linotype" w:hAnsi="Palatino Linotype" w:cs="Arial"/>
          <w:b/>
          <w:sz w:val="24"/>
          <w:szCs w:val="24"/>
        </w:rPr>
        <w:t>.  CLINICAL LEGAL EDUCATION AS AN EXPRESSION OF SOCIAL JUSTICE</w:t>
      </w:r>
    </w:p>
    <w:p w:rsidR="002A5654" w:rsidRPr="006E7CA1" w:rsidRDefault="002A5654" w:rsidP="006E7CA1">
      <w:pPr>
        <w:pStyle w:val="NoSpacing"/>
        <w:spacing w:line="480" w:lineRule="auto"/>
        <w:rPr>
          <w:rFonts w:ascii="Palatino Linotype" w:hAnsi="Palatino Linotype" w:cs="Arial"/>
          <w:i/>
          <w:sz w:val="24"/>
          <w:szCs w:val="24"/>
        </w:rPr>
      </w:pPr>
      <w:r w:rsidRPr="006E7CA1">
        <w:rPr>
          <w:rFonts w:ascii="Palatino Linotype" w:hAnsi="Palatino Linotype" w:cs="Arial"/>
          <w:sz w:val="24"/>
          <w:szCs w:val="24"/>
        </w:rPr>
        <w:t xml:space="preserve">i. </w:t>
      </w:r>
      <w:r w:rsidRPr="006E7CA1">
        <w:rPr>
          <w:rFonts w:ascii="Palatino Linotype" w:hAnsi="Palatino Linotype" w:cs="Arial"/>
          <w:i/>
          <w:sz w:val="24"/>
          <w:szCs w:val="24"/>
        </w:rPr>
        <w:t>Access to Justice</w:t>
      </w:r>
    </w:p>
    <w:p w:rsidR="00097D87" w:rsidRDefault="009F30CA" w:rsidP="000578AC">
      <w:pPr>
        <w:pStyle w:val="NoSpacing"/>
        <w:spacing w:line="360" w:lineRule="auto"/>
        <w:ind w:left="426"/>
        <w:rPr>
          <w:rFonts w:ascii="Palatino Linotype" w:hAnsi="Palatino Linotype" w:cs="Arial"/>
          <w:sz w:val="24"/>
          <w:szCs w:val="24"/>
        </w:rPr>
      </w:pPr>
      <w:r w:rsidRPr="006E7CA1">
        <w:rPr>
          <w:rFonts w:ascii="Palatino Linotype" w:hAnsi="Palatino Linotype" w:cs="Arial"/>
          <w:sz w:val="24"/>
          <w:szCs w:val="24"/>
        </w:rPr>
        <w:t>“The concept of access to justice has various connotations. In common parlance, it simply refers to the accessibility or otherwise of adjudicatory forums where individuals can have disputes between them resolved. At a more technical level, access to justice has many conceptions. It may refer to the ease with which participants in the various adjudication forums are able to understand both the substantive and procedural aspects of the law applied in resolving their disputes. Access to justice may also refer to the extent to which disputants can afford the costs involved in having their disputes resolved at various adjudication forums.”</w:t>
      </w:r>
      <w:r w:rsidRPr="006E7CA1">
        <w:rPr>
          <w:rStyle w:val="FootnoteReference"/>
          <w:rFonts w:ascii="Palatino Linotype" w:hAnsi="Palatino Linotype" w:cs="Arial"/>
          <w:sz w:val="24"/>
          <w:szCs w:val="24"/>
        </w:rPr>
        <w:footnoteReference w:id="77"/>
      </w:r>
      <w:r w:rsidRPr="006E7CA1">
        <w:rPr>
          <w:rFonts w:ascii="Palatino Linotype" w:hAnsi="Palatino Linotype" w:cs="Arial"/>
          <w:sz w:val="24"/>
          <w:szCs w:val="24"/>
        </w:rPr>
        <w:t xml:space="preserve"> </w:t>
      </w:r>
    </w:p>
    <w:p w:rsidR="002A5654" w:rsidRPr="006E7CA1" w:rsidRDefault="009F30CA" w:rsidP="000578AC">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lastRenderedPageBreak/>
        <w:t>Although the statement above conceptualises access to justice as a response to unmet legal need in various forms and thus extends beyond law clinics,</w:t>
      </w:r>
      <w:r w:rsidRPr="006E7CA1">
        <w:rPr>
          <w:rStyle w:val="FootnoteReference"/>
          <w:rFonts w:ascii="Palatino Linotype" w:hAnsi="Palatino Linotype" w:cs="Arial"/>
          <w:sz w:val="24"/>
          <w:szCs w:val="24"/>
        </w:rPr>
        <w:footnoteReference w:id="78"/>
      </w:r>
      <w:r w:rsidRPr="006E7CA1">
        <w:rPr>
          <w:rFonts w:ascii="Palatino Linotype" w:hAnsi="Palatino Linotype" w:cs="Arial"/>
          <w:sz w:val="24"/>
          <w:szCs w:val="24"/>
        </w:rPr>
        <w:t xml:space="preserve"> the authors also acknowledge “…law clinics in various countries in the world have continued to engage in activities aimed at the realization of the ideal of access to justice in its various conceptions.”</w:t>
      </w:r>
      <w:r w:rsidRPr="006E7CA1">
        <w:rPr>
          <w:rStyle w:val="FootnoteReference"/>
          <w:rFonts w:ascii="Palatino Linotype" w:hAnsi="Palatino Linotype" w:cs="Arial"/>
          <w:sz w:val="24"/>
          <w:szCs w:val="24"/>
        </w:rPr>
        <w:footnoteReference w:id="79"/>
      </w:r>
      <w:r w:rsidRPr="006E7CA1">
        <w:rPr>
          <w:rFonts w:ascii="Palatino Linotype" w:hAnsi="Palatino Linotype" w:cs="Arial"/>
          <w:sz w:val="24"/>
          <w:szCs w:val="24"/>
        </w:rPr>
        <w:t xml:space="preserve"> </w:t>
      </w:r>
      <w:r w:rsidR="00727341" w:rsidRPr="006E7CA1">
        <w:rPr>
          <w:rFonts w:ascii="Palatino Linotype" w:hAnsi="Palatino Linotype" w:cs="Arial"/>
          <w:sz w:val="24"/>
          <w:szCs w:val="24"/>
        </w:rPr>
        <w:t xml:space="preserve">Access to justice </w:t>
      </w:r>
      <w:r w:rsidRPr="006E7CA1">
        <w:rPr>
          <w:rFonts w:ascii="Palatino Linotype" w:hAnsi="Palatino Linotype" w:cs="Arial"/>
          <w:sz w:val="24"/>
          <w:szCs w:val="24"/>
        </w:rPr>
        <w:t>a</w:t>
      </w:r>
      <w:r w:rsidR="00727341" w:rsidRPr="006E7CA1">
        <w:rPr>
          <w:rFonts w:ascii="Palatino Linotype" w:hAnsi="Palatino Linotype" w:cs="Arial"/>
          <w:sz w:val="24"/>
          <w:szCs w:val="24"/>
        </w:rPr>
        <w:t xml:space="preserve">s an issue is </w:t>
      </w:r>
      <w:r w:rsidR="002A5654" w:rsidRPr="006E7CA1">
        <w:rPr>
          <w:rFonts w:ascii="Palatino Linotype" w:hAnsi="Palatino Linotype" w:cs="Arial"/>
          <w:sz w:val="24"/>
          <w:szCs w:val="24"/>
        </w:rPr>
        <w:t xml:space="preserve">therefore </w:t>
      </w:r>
      <w:r w:rsidR="00727341" w:rsidRPr="006E7CA1">
        <w:rPr>
          <w:rFonts w:ascii="Palatino Linotype" w:hAnsi="Palatino Linotype" w:cs="Arial"/>
          <w:sz w:val="24"/>
          <w:szCs w:val="24"/>
        </w:rPr>
        <w:t>very well under</w:t>
      </w:r>
      <w:r w:rsidRPr="006E7CA1">
        <w:rPr>
          <w:rFonts w:ascii="Palatino Linotype" w:hAnsi="Palatino Linotype" w:cs="Arial"/>
          <w:sz w:val="24"/>
          <w:szCs w:val="24"/>
        </w:rPr>
        <w:t>stood in the popular literature as a referent for unmet legal need</w:t>
      </w:r>
      <w:r w:rsidR="00727341" w:rsidRPr="006E7CA1">
        <w:rPr>
          <w:rStyle w:val="FootnoteReference"/>
          <w:rFonts w:ascii="Palatino Linotype" w:hAnsi="Palatino Linotype" w:cs="Arial"/>
          <w:sz w:val="24"/>
          <w:szCs w:val="24"/>
        </w:rPr>
        <w:footnoteReference w:id="80"/>
      </w:r>
      <w:r w:rsidRPr="006E7CA1">
        <w:rPr>
          <w:rFonts w:ascii="Palatino Linotype" w:hAnsi="Palatino Linotype" w:cs="Arial"/>
          <w:sz w:val="24"/>
          <w:szCs w:val="24"/>
        </w:rPr>
        <w:t xml:space="preserve"> and socio-economic inequality as discussed above. </w:t>
      </w:r>
      <w:r w:rsidR="002A5654" w:rsidRPr="006E7CA1">
        <w:rPr>
          <w:rFonts w:ascii="Palatino Linotype" w:hAnsi="Palatino Linotype" w:cs="Arial"/>
          <w:sz w:val="24"/>
          <w:szCs w:val="24"/>
        </w:rPr>
        <w:t xml:space="preserve">In this context, it would seem quite clear that the traditional approaches to access to justice as a variety of juridical responses to unmet legal need is reflective of much of clinical practice in the wider sense but narrower and limited in philosophical or jurisprudential sense as it misses the political economy context of law and of legal process. Ellie Palmer captures this critical point in the opening of her excellent book, </w:t>
      </w:r>
      <w:r w:rsidR="002A5654" w:rsidRPr="006E7CA1">
        <w:rPr>
          <w:rFonts w:ascii="Palatino Linotype" w:hAnsi="Palatino Linotype" w:cs="Arial"/>
          <w:i/>
          <w:sz w:val="24"/>
          <w:szCs w:val="24"/>
        </w:rPr>
        <w:t>Judicial Review, Socio-Economic Rights and the Human Rights Act</w:t>
      </w:r>
      <w:r w:rsidR="002A5654" w:rsidRPr="006E7CA1">
        <w:rPr>
          <w:rFonts w:ascii="Palatino Linotype" w:hAnsi="Palatino Linotype" w:cs="Arial"/>
          <w:sz w:val="24"/>
          <w:szCs w:val="24"/>
        </w:rPr>
        <w:t xml:space="preserve">: “During the past three decades individuals and groups have increasingly tested the extent to which governments and public authorities can be held to account through the judicial system for delay or failure to provide access to welfare services such as health treatment, education and housing. However, in the absence maladministration or flagrant breaches of public law duties, there is deep-routed scepticism about the potential for courts to make effective and constitutionally appropriate contributions to the resolution of </w:t>
      </w:r>
      <w:r w:rsidR="002A5654" w:rsidRPr="006E7CA1">
        <w:rPr>
          <w:rFonts w:ascii="Palatino Linotype" w:hAnsi="Palatino Linotype" w:cs="Arial"/>
          <w:sz w:val="24"/>
          <w:szCs w:val="24"/>
        </w:rPr>
        <w:lastRenderedPageBreak/>
        <w:t>such disputes. These doubts are not only based on widespread perceptions that courts are constitutionally and institutionally ill-suited to adjudicating in politically sensitive disputes involving issues of resource allocation, but also closely related to a prevailing understanding in Western style democracies that, by contrast with civil and political rights, socio-economic rights  - whether enshrined international, regional or domestic instruments – are ideological aspirations or programmatic goals, dependent on resources for the satisfaction, and therefore inherently unsuited to the mechanisms and techniques developed by courts for the protection of fundamental human rights.”</w:t>
      </w:r>
      <w:r w:rsidR="002A5654" w:rsidRPr="006E7CA1">
        <w:rPr>
          <w:rStyle w:val="FootnoteReference"/>
          <w:rFonts w:ascii="Palatino Linotype" w:hAnsi="Palatino Linotype" w:cs="Arial"/>
          <w:sz w:val="24"/>
          <w:szCs w:val="24"/>
        </w:rPr>
        <w:footnoteReference w:id="81"/>
      </w:r>
      <w:r w:rsidR="002A5654" w:rsidRPr="006E7CA1">
        <w:rPr>
          <w:rFonts w:ascii="Palatino Linotype" w:hAnsi="Palatino Linotype" w:cs="Arial"/>
          <w:sz w:val="24"/>
          <w:szCs w:val="24"/>
        </w:rPr>
        <w:t xml:space="preserve"> Given this contextual reality (rather redolent of the Legal Realism of the clinical legal education founders of the 1930s), clinical legal education, in addition to its educational role, is thus assigned a social justice function as an underlying attribute. It is therefore submitted that the jurisprudence of clinical legal education must be founded upon social justice theory. </w:t>
      </w:r>
    </w:p>
    <w:p w:rsidR="002A5654" w:rsidRPr="006E7CA1" w:rsidRDefault="002A5654" w:rsidP="006E7CA1">
      <w:pPr>
        <w:pStyle w:val="NoSpacing"/>
        <w:spacing w:line="480" w:lineRule="auto"/>
        <w:rPr>
          <w:rFonts w:ascii="Palatino Linotype" w:hAnsi="Palatino Linotype" w:cs="Arial"/>
          <w:sz w:val="24"/>
          <w:szCs w:val="24"/>
        </w:rPr>
      </w:pPr>
    </w:p>
    <w:p w:rsidR="002A5654" w:rsidRPr="006E7CA1" w:rsidRDefault="002A5654" w:rsidP="006E7CA1">
      <w:pPr>
        <w:pStyle w:val="NoSpacing"/>
        <w:spacing w:line="480" w:lineRule="auto"/>
        <w:rPr>
          <w:rFonts w:ascii="Palatino Linotype" w:hAnsi="Palatino Linotype" w:cs="Arial"/>
          <w:i/>
          <w:sz w:val="24"/>
          <w:szCs w:val="24"/>
        </w:rPr>
      </w:pPr>
      <w:r w:rsidRPr="006E7CA1">
        <w:rPr>
          <w:rFonts w:ascii="Palatino Linotype" w:hAnsi="Palatino Linotype" w:cs="Arial"/>
          <w:b/>
          <w:sz w:val="24"/>
          <w:szCs w:val="24"/>
        </w:rPr>
        <w:t xml:space="preserve">ii. </w:t>
      </w:r>
      <w:r w:rsidRPr="006E7CA1">
        <w:rPr>
          <w:rFonts w:ascii="Palatino Linotype" w:hAnsi="Palatino Linotype" w:cs="Arial"/>
          <w:i/>
          <w:sz w:val="24"/>
          <w:szCs w:val="24"/>
        </w:rPr>
        <w:t>The jurisprudence of Clinical Legal Education</w:t>
      </w:r>
    </w:p>
    <w:p w:rsidR="002A5654" w:rsidRPr="006E7CA1" w:rsidRDefault="002A5654" w:rsidP="006E7CA1">
      <w:pPr>
        <w:pStyle w:val="NoSpacing"/>
        <w:spacing w:line="480" w:lineRule="auto"/>
        <w:jc w:val="both"/>
        <w:rPr>
          <w:rFonts w:ascii="Palatino Linotype" w:hAnsi="Palatino Linotype" w:cs="Arial"/>
          <w:sz w:val="24"/>
          <w:szCs w:val="24"/>
        </w:rPr>
      </w:pPr>
      <w:r w:rsidRPr="006E7CA1">
        <w:rPr>
          <w:rFonts w:ascii="Palatino Linotype" w:hAnsi="Palatino Linotype" w:cs="Arial"/>
          <w:sz w:val="24"/>
          <w:szCs w:val="24"/>
        </w:rPr>
        <w:t>The attribution of a social justice function to clinical legal education requires a</w:t>
      </w:r>
      <w:r w:rsidR="00A943A2" w:rsidRPr="006E7CA1">
        <w:rPr>
          <w:rFonts w:ascii="Palatino Linotype" w:hAnsi="Palatino Linotype" w:cs="Arial"/>
          <w:sz w:val="24"/>
          <w:szCs w:val="24"/>
        </w:rPr>
        <w:t>n examination of</w:t>
      </w:r>
      <w:r w:rsidRPr="006E7CA1">
        <w:rPr>
          <w:rFonts w:ascii="Palatino Linotype" w:hAnsi="Palatino Linotype" w:cs="Arial"/>
          <w:sz w:val="24"/>
          <w:szCs w:val="24"/>
        </w:rPr>
        <w:t xml:space="preserve"> social justice or justice theory.</w:t>
      </w:r>
      <w:r w:rsidR="00AC041E" w:rsidRPr="006E7CA1">
        <w:rPr>
          <w:rFonts w:ascii="Palatino Linotype" w:hAnsi="Palatino Linotype" w:cs="Arial"/>
          <w:sz w:val="24"/>
          <w:szCs w:val="24"/>
        </w:rPr>
        <w:t xml:space="preserve"> The intuitive meaning of social justice is often expressed in simple terms as what is fair and just in the individual’s relationship to society in terms of social goods and resources and access to </w:t>
      </w:r>
      <w:r w:rsidR="00AC041E" w:rsidRPr="006E7CA1">
        <w:rPr>
          <w:rFonts w:ascii="Palatino Linotype" w:hAnsi="Palatino Linotype" w:cs="Arial"/>
          <w:sz w:val="24"/>
          <w:szCs w:val="24"/>
        </w:rPr>
        <w:lastRenderedPageBreak/>
        <w:t>opportunity and personal functioning.</w:t>
      </w:r>
      <w:r w:rsidR="00AC4462" w:rsidRPr="006E7CA1">
        <w:rPr>
          <w:rFonts w:ascii="Palatino Linotype" w:hAnsi="Palatino Linotype" w:cs="Arial"/>
          <w:sz w:val="24"/>
          <w:szCs w:val="24"/>
        </w:rPr>
        <w:t xml:space="preserve"> In social theory however, the term is acknowledged to be far more complex beyond the scope of this current essay as it encompasses issues such as, taxation, social insurance, regulation of markets and the fair distribution of wealth.</w:t>
      </w:r>
      <w:r w:rsidR="00AC4462" w:rsidRPr="006E7CA1">
        <w:rPr>
          <w:rStyle w:val="FootnoteReference"/>
          <w:rFonts w:ascii="Palatino Linotype" w:hAnsi="Palatino Linotype" w:cs="Arial"/>
          <w:sz w:val="24"/>
          <w:szCs w:val="24"/>
        </w:rPr>
        <w:footnoteReference w:id="82"/>
      </w:r>
      <w:r w:rsidR="00AC4462" w:rsidRPr="006E7CA1">
        <w:rPr>
          <w:rFonts w:ascii="Palatino Linotype" w:hAnsi="Palatino Linotype" w:cs="Arial"/>
          <w:sz w:val="24"/>
          <w:szCs w:val="24"/>
        </w:rPr>
        <w:t xml:space="preserve"> The issue of social justice has, however, found jurisprudential expression in justice theory, the philosophical antipode to the entrenched Western policy of utilitarianism.</w:t>
      </w:r>
    </w:p>
    <w:p w:rsidR="00AC041E" w:rsidRPr="006E7CA1" w:rsidRDefault="00AC041E" w:rsidP="006E7CA1">
      <w:pPr>
        <w:pStyle w:val="NoSpacing"/>
        <w:spacing w:line="480" w:lineRule="auto"/>
        <w:jc w:val="both"/>
        <w:rPr>
          <w:rFonts w:ascii="Palatino Linotype" w:hAnsi="Palatino Linotype" w:cs="Arial"/>
          <w:sz w:val="24"/>
          <w:szCs w:val="24"/>
        </w:rPr>
      </w:pPr>
    </w:p>
    <w:p w:rsidR="00AC041E" w:rsidRPr="006E7CA1" w:rsidRDefault="00AC4462" w:rsidP="006E7CA1">
      <w:pPr>
        <w:pStyle w:val="NoSpacing"/>
        <w:spacing w:line="480" w:lineRule="auto"/>
        <w:jc w:val="both"/>
        <w:rPr>
          <w:rFonts w:ascii="Palatino Linotype" w:hAnsi="Palatino Linotype" w:cs="Arial"/>
          <w:bCs/>
          <w:i/>
          <w:sz w:val="24"/>
          <w:szCs w:val="24"/>
          <w:lang w:val="en"/>
        </w:rPr>
      </w:pPr>
      <w:r w:rsidRPr="006E7CA1">
        <w:rPr>
          <w:rFonts w:ascii="Palatino Linotype" w:hAnsi="Palatino Linotype" w:cs="Arial"/>
          <w:b/>
          <w:bCs/>
          <w:sz w:val="24"/>
          <w:szCs w:val="24"/>
          <w:lang w:val="en"/>
        </w:rPr>
        <w:t>ii</w:t>
      </w:r>
      <w:r w:rsidR="002B25A5" w:rsidRPr="006E7CA1">
        <w:rPr>
          <w:rFonts w:ascii="Palatino Linotype" w:hAnsi="Palatino Linotype" w:cs="Arial"/>
          <w:b/>
          <w:bCs/>
          <w:sz w:val="24"/>
          <w:szCs w:val="24"/>
          <w:lang w:val="en"/>
        </w:rPr>
        <w:t>i.</w:t>
      </w:r>
      <w:r w:rsidRPr="006E7CA1">
        <w:rPr>
          <w:rFonts w:ascii="Palatino Linotype" w:hAnsi="Palatino Linotype" w:cs="Arial"/>
          <w:b/>
          <w:bCs/>
          <w:sz w:val="24"/>
          <w:szCs w:val="24"/>
          <w:lang w:val="en"/>
        </w:rPr>
        <w:t xml:space="preserve"> </w:t>
      </w:r>
      <w:r w:rsidRPr="006E7CA1">
        <w:rPr>
          <w:rFonts w:ascii="Palatino Linotype" w:hAnsi="Palatino Linotype" w:cs="Arial"/>
          <w:bCs/>
          <w:i/>
          <w:sz w:val="24"/>
          <w:szCs w:val="24"/>
          <w:lang w:val="en"/>
        </w:rPr>
        <w:t>Clinical Legal Education and the Just Society</w:t>
      </w:r>
    </w:p>
    <w:p w:rsidR="00AC4462" w:rsidRPr="006E7CA1" w:rsidRDefault="00AC4462" w:rsidP="000578AC">
      <w:pPr>
        <w:pStyle w:val="FootnoteText"/>
        <w:spacing w:line="480" w:lineRule="auto"/>
        <w:jc w:val="both"/>
        <w:rPr>
          <w:rFonts w:ascii="Palatino Linotype" w:eastAsia="Times New Roman" w:hAnsi="Palatino Linotype" w:cs="Arial"/>
          <w:sz w:val="24"/>
          <w:szCs w:val="24"/>
          <w:lang w:eastAsia="en-GB"/>
        </w:rPr>
      </w:pPr>
      <w:r w:rsidRPr="006E7CA1">
        <w:rPr>
          <w:rFonts w:ascii="Palatino Linotype" w:hAnsi="Palatino Linotype" w:cs="Arial"/>
          <w:bCs/>
          <w:sz w:val="24"/>
          <w:szCs w:val="24"/>
          <w:lang w:val="en"/>
        </w:rPr>
        <w:t>According to Ross, an appreciation of what is unfair develops early in the human being.</w:t>
      </w:r>
      <w:r w:rsidRPr="006E7CA1">
        <w:rPr>
          <w:rStyle w:val="FootnoteReference"/>
          <w:rFonts w:ascii="Palatino Linotype" w:hAnsi="Palatino Linotype" w:cs="Arial"/>
          <w:bCs/>
          <w:sz w:val="24"/>
          <w:szCs w:val="24"/>
          <w:lang w:val="en"/>
        </w:rPr>
        <w:footnoteReference w:id="83"/>
      </w:r>
      <w:r w:rsidRPr="006E7CA1">
        <w:rPr>
          <w:rFonts w:ascii="Palatino Linotype" w:hAnsi="Palatino Linotype" w:cs="Arial"/>
          <w:bCs/>
          <w:sz w:val="24"/>
          <w:szCs w:val="24"/>
          <w:lang w:val="en"/>
        </w:rPr>
        <w:t xml:space="preserve">Indeed for </w:t>
      </w:r>
      <w:proofErr w:type="spellStart"/>
      <w:r w:rsidRPr="006E7CA1">
        <w:rPr>
          <w:rFonts w:ascii="Palatino Linotype" w:hAnsi="Palatino Linotype" w:cs="Arial"/>
          <w:bCs/>
          <w:sz w:val="24"/>
          <w:szCs w:val="24"/>
          <w:lang w:val="en"/>
        </w:rPr>
        <w:t>Riddall</w:t>
      </w:r>
      <w:proofErr w:type="spellEnd"/>
      <w:r w:rsidRPr="006E7CA1">
        <w:rPr>
          <w:rFonts w:ascii="Palatino Linotype" w:hAnsi="Palatino Linotype" w:cs="Arial"/>
          <w:bCs/>
          <w:sz w:val="24"/>
          <w:szCs w:val="24"/>
          <w:lang w:val="en"/>
        </w:rPr>
        <w:t>, a child of five or a little older knows the meaning of unfairness or, at least,</w:t>
      </w:r>
      <w:r w:rsidR="002B25A5" w:rsidRPr="006E7CA1">
        <w:rPr>
          <w:rFonts w:ascii="Palatino Linotype" w:hAnsi="Palatino Linotype" w:cs="Arial"/>
          <w:bCs/>
          <w:sz w:val="24"/>
          <w:szCs w:val="24"/>
          <w:lang w:val="en"/>
        </w:rPr>
        <w:t xml:space="preserve"> can </w:t>
      </w:r>
      <w:r w:rsidRPr="006E7CA1">
        <w:rPr>
          <w:rFonts w:ascii="Palatino Linotype" w:hAnsi="Palatino Linotype" w:cs="Arial"/>
          <w:bCs/>
          <w:sz w:val="24"/>
          <w:szCs w:val="24"/>
          <w:lang w:val="en"/>
        </w:rPr>
        <w:t>give practical examples – “The position is similar to justice, a concept that has affinities to fairness. The absence of justice, injustice, proclaims itself.”</w:t>
      </w:r>
      <w:r w:rsidRPr="006E7CA1">
        <w:rPr>
          <w:rStyle w:val="FootnoteReference"/>
          <w:rFonts w:ascii="Palatino Linotype" w:hAnsi="Palatino Linotype" w:cs="Arial"/>
          <w:bCs/>
          <w:sz w:val="24"/>
          <w:szCs w:val="24"/>
          <w:lang w:val="en"/>
        </w:rPr>
        <w:footnoteReference w:id="84"/>
      </w:r>
      <w:r w:rsidRPr="006E7CA1">
        <w:rPr>
          <w:rFonts w:ascii="Palatino Linotype" w:hAnsi="Palatino Linotype" w:cs="Arial"/>
          <w:bCs/>
          <w:sz w:val="24"/>
          <w:szCs w:val="24"/>
          <w:lang w:val="en"/>
        </w:rPr>
        <w:t>But what is justice?, he enquires. What is this quality, the absence of which produces such outcry?</w:t>
      </w:r>
      <w:r w:rsidRPr="006E7CA1">
        <w:rPr>
          <w:rStyle w:val="FootnoteReference"/>
          <w:rFonts w:ascii="Palatino Linotype" w:hAnsi="Palatino Linotype" w:cs="Arial"/>
          <w:bCs/>
          <w:sz w:val="24"/>
          <w:szCs w:val="24"/>
          <w:lang w:val="en"/>
        </w:rPr>
        <w:footnoteReference w:id="85"/>
      </w:r>
      <w:r w:rsidRPr="006E7CA1">
        <w:rPr>
          <w:rFonts w:ascii="Palatino Linotype" w:hAnsi="Palatino Linotype" w:cs="Arial"/>
          <w:bCs/>
          <w:sz w:val="24"/>
          <w:szCs w:val="24"/>
          <w:lang w:val="en"/>
        </w:rPr>
        <w:t xml:space="preserve"> The author offers the following comment in response to this question: “Justice is a quality considered to be desirable. Everyone claims to want justice, and people know what they want. The result is that in seeking to define justice, people attach the label, justice, to the ends </w:t>
      </w:r>
      <w:r w:rsidRPr="006E7CA1">
        <w:rPr>
          <w:rFonts w:ascii="Palatino Linotype" w:hAnsi="Palatino Linotype" w:cs="Arial"/>
          <w:bCs/>
          <w:sz w:val="24"/>
          <w:szCs w:val="24"/>
          <w:lang w:val="en"/>
        </w:rPr>
        <w:lastRenderedPageBreak/>
        <w:t>that they desire.”</w:t>
      </w:r>
      <w:r w:rsidRPr="006E7CA1">
        <w:rPr>
          <w:rStyle w:val="FootnoteReference"/>
          <w:rFonts w:ascii="Palatino Linotype" w:hAnsi="Palatino Linotype" w:cs="Arial"/>
          <w:bCs/>
          <w:sz w:val="24"/>
          <w:szCs w:val="24"/>
          <w:lang w:val="en"/>
        </w:rPr>
        <w:footnoteReference w:id="86"/>
      </w:r>
      <w:r w:rsidRPr="006E7CA1">
        <w:rPr>
          <w:rFonts w:ascii="Palatino Linotype" w:hAnsi="Palatino Linotype" w:cs="Arial"/>
          <w:bCs/>
          <w:sz w:val="24"/>
          <w:szCs w:val="24"/>
          <w:lang w:val="en"/>
        </w:rPr>
        <w:t xml:space="preserve"> Even so, there is </w:t>
      </w:r>
      <w:r w:rsidR="002B25A5" w:rsidRPr="006E7CA1">
        <w:rPr>
          <w:rFonts w:ascii="Palatino Linotype" w:hAnsi="Palatino Linotype" w:cs="Arial"/>
          <w:bCs/>
          <w:sz w:val="24"/>
          <w:szCs w:val="24"/>
          <w:lang w:val="en"/>
        </w:rPr>
        <w:t>little doubt th</w:t>
      </w:r>
      <w:r w:rsidRPr="006E7CA1">
        <w:rPr>
          <w:rFonts w:ascii="Palatino Linotype" w:hAnsi="Palatino Linotype" w:cs="Arial"/>
          <w:bCs/>
          <w:sz w:val="24"/>
          <w:szCs w:val="24"/>
          <w:lang w:val="en"/>
        </w:rPr>
        <w:t xml:space="preserve">at the quality of fairness and justice is essentially </w:t>
      </w:r>
      <w:r w:rsidR="002B25A5" w:rsidRPr="006E7CA1">
        <w:rPr>
          <w:rFonts w:ascii="Palatino Linotype" w:hAnsi="Palatino Linotype" w:cs="Arial"/>
          <w:bCs/>
          <w:sz w:val="24"/>
          <w:szCs w:val="24"/>
          <w:lang w:val="en"/>
        </w:rPr>
        <w:t>an intuitive value, measurable against the standard of treatment by the state and society. As</w:t>
      </w:r>
      <w:r w:rsidRPr="006E7CA1">
        <w:rPr>
          <w:rFonts w:ascii="Palatino Linotype" w:hAnsi="Palatino Linotype" w:cs="Arial"/>
          <w:bCs/>
          <w:sz w:val="24"/>
          <w:szCs w:val="24"/>
          <w:lang w:val="en"/>
        </w:rPr>
        <w:t xml:space="preserve"> Rawls reminds us in his seminal work, </w:t>
      </w:r>
      <w:r w:rsidRPr="006E7CA1">
        <w:rPr>
          <w:rFonts w:ascii="Palatino Linotype" w:eastAsia="Times New Roman" w:hAnsi="Palatino Linotype" w:cs="Arial"/>
          <w:i/>
          <w:sz w:val="24"/>
          <w:szCs w:val="24"/>
          <w:lang w:eastAsia="en-GB"/>
        </w:rPr>
        <w:t>A Theory of Justice</w:t>
      </w:r>
      <w:r w:rsidRPr="006E7CA1">
        <w:rPr>
          <w:rFonts w:ascii="Palatino Linotype" w:eastAsia="Times New Roman" w:hAnsi="Palatino Linotype" w:cs="Arial"/>
          <w:sz w:val="24"/>
          <w:szCs w:val="24"/>
          <w:lang w:eastAsia="en-GB"/>
        </w:rPr>
        <w:t>, “Justice is the first virtue of social institutions, as truth is of systems of thought. A theory however elegant and economical must be rejected or revised if it is untrue; likewise laws and institutions no matter how efficient and well-arranged must be reformed or abolished if they are unjust. Each person possesses an inviolability founded on justice that even the welfare of society as a whole cannot override.”</w:t>
      </w:r>
      <w:r w:rsidRPr="006E7CA1">
        <w:rPr>
          <w:rStyle w:val="FootnoteReference"/>
          <w:rFonts w:ascii="Palatino Linotype" w:eastAsia="Times New Roman" w:hAnsi="Palatino Linotype" w:cs="Arial"/>
          <w:sz w:val="24"/>
          <w:szCs w:val="24"/>
          <w:lang w:eastAsia="en-GB"/>
        </w:rPr>
        <w:footnoteReference w:id="87"/>
      </w:r>
      <w:r w:rsidRPr="006E7CA1">
        <w:rPr>
          <w:rFonts w:ascii="Palatino Linotype" w:eastAsia="Times New Roman" w:hAnsi="Palatino Linotype" w:cs="Arial"/>
          <w:sz w:val="24"/>
          <w:szCs w:val="24"/>
          <w:lang w:eastAsia="en-GB"/>
        </w:rPr>
        <w:t xml:space="preserve"> Although Rawls’ treatis</w:t>
      </w:r>
      <w:r w:rsidR="002B25A5" w:rsidRPr="006E7CA1">
        <w:rPr>
          <w:rFonts w:ascii="Palatino Linotype" w:eastAsia="Times New Roman" w:hAnsi="Palatino Linotype" w:cs="Arial"/>
          <w:sz w:val="24"/>
          <w:szCs w:val="24"/>
          <w:lang w:eastAsia="en-GB"/>
        </w:rPr>
        <w:t>e</w:t>
      </w:r>
      <w:r w:rsidRPr="006E7CA1">
        <w:rPr>
          <w:rFonts w:ascii="Palatino Linotype" w:eastAsia="Times New Roman" w:hAnsi="Palatino Linotype" w:cs="Arial"/>
          <w:sz w:val="24"/>
          <w:szCs w:val="24"/>
          <w:lang w:eastAsia="en-GB"/>
        </w:rPr>
        <w:t xml:space="preserve"> is complex, as are all other</w:t>
      </w:r>
      <w:r w:rsidR="002B25A5" w:rsidRPr="006E7CA1">
        <w:rPr>
          <w:rFonts w:ascii="Palatino Linotype" w:eastAsia="Times New Roman" w:hAnsi="Palatino Linotype" w:cs="Arial"/>
          <w:sz w:val="24"/>
          <w:szCs w:val="24"/>
          <w:lang w:eastAsia="en-GB"/>
        </w:rPr>
        <w:t xml:space="preserve"> theories that have sought to </w:t>
      </w:r>
      <w:r w:rsidRPr="006E7CA1">
        <w:rPr>
          <w:rFonts w:ascii="Palatino Linotype" w:eastAsia="Times New Roman" w:hAnsi="Palatino Linotype" w:cs="Arial"/>
          <w:sz w:val="24"/>
          <w:szCs w:val="24"/>
          <w:lang w:eastAsia="en-GB"/>
        </w:rPr>
        <w:t>anal</w:t>
      </w:r>
      <w:r w:rsidR="002B25A5" w:rsidRPr="006E7CA1">
        <w:rPr>
          <w:rFonts w:ascii="Palatino Linotype" w:eastAsia="Times New Roman" w:hAnsi="Palatino Linotype" w:cs="Arial"/>
          <w:sz w:val="24"/>
          <w:szCs w:val="24"/>
          <w:lang w:eastAsia="en-GB"/>
        </w:rPr>
        <w:t>y</w:t>
      </w:r>
      <w:r w:rsidRPr="006E7CA1">
        <w:rPr>
          <w:rFonts w:ascii="Palatino Linotype" w:eastAsia="Times New Roman" w:hAnsi="Palatino Linotype" w:cs="Arial"/>
          <w:sz w:val="24"/>
          <w:szCs w:val="24"/>
          <w:lang w:eastAsia="en-GB"/>
        </w:rPr>
        <w:t>se the mat</w:t>
      </w:r>
      <w:r w:rsidR="002B25A5" w:rsidRPr="006E7CA1">
        <w:rPr>
          <w:rFonts w:ascii="Palatino Linotype" w:eastAsia="Times New Roman" w:hAnsi="Palatino Linotype" w:cs="Arial"/>
          <w:sz w:val="24"/>
          <w:szCs w:val="24"/>
          <w:lang w:eastAsia="en-GB"/>
        </w:rPr>
        <w:t>t</w:t>
      </w:r>
      <w:r w:rsidRPr="006E7CA1">
        <w:rPr>
          <w:rFonts w:ascii="Palatino Linotype" w:eastAsia="Times New Roman" w:hAnsi="Palatino Linotype" w:cs="Arial"/>
          <w:sz w:val="24"/>
          <w:szCs w:val="24"/>
          <w:lang w:eastAsia="en-GB"/>
        </w:rPr>
        <w:t xml:space="preserve">er of fairness and justice in society in modern times such as Perelman, </w:t>
      </w:r>
      <w:proofErr w:type="spellStart"/>
      <w:r w:rsidRPr="006E7CA1">
        <w:rPr>
          <w:rFonts w:ascii="Palatino Linotype" w:eastAsia="Times New Roman" w:hAnsi="Palatino Linotype" w:cs="Arial"/>
          <w:sz w:val="24"/>
          <w:szCs w:val="24"/>
          <w:lang w:eastAsia="en-GB"/>
        </w:rPr>
        <w:t>Nozick</w:t>
      </w:r>
      <w:proofErr w:type="spellEnd"/>
      <w:r w:rsidRPr="006E7CA1">
        <w:rPr>
          <w:rFonts w:ascii="Palatino Linotype" w:eastAsia="Times New Roman" w:hAnsi="Palatino Linotype" w:cs="Arial"/>
          <w:sz w:val="24"/>
          <w:szCs w:val="24"/>
          <w:lang w:eastAsia="en-GB"/>
        </w:rPr>
        <w:t xml:space="preserve">, Dworkin, </w:t>
      </w:r>
      <w:r w:rsidR="002B25A5" w:rsidRPr="006E7CA1">
        <w:rPr>
          <w:rFonts w:ascii="Palatino Linotype" w:eastAsia="Times New Roman" w:hAnsi="Palatino Linotype" w:cs="Arial"/>
          <w:sz w:val="24"/>
          <w:szCs w:val="24"/>
          <w:lang w:eastAsia="en-GB"/>
        </w:rPr>
        <w:t>etc.</w:t>
      </w:r>
      <w:r w:rsidRPr="006E7CA1">
        <w:rPr>
          <w:rFonts w:ascii="Palatino Linotype" w:eastAsia="Times New Roman" w:hAnsi="Palatino Linotype" w:cs="Arial"/>
          <w:sz w:val="24"/>
          <w:szCs w:val="24"/>
          <w:lang w:eastAsia="en-GB"/>
        </w:rPr>
        <w:t>, the notion of just treatment is premised on principles that recognise the equal worth and dignity of each individual, a key attribute of which has been characterised by Rawls as the first fundamental principle of a just society, namely that, “Each person is to have an equal right to the most extensive total system of equal basic liberties compatible with a similar system of liberty for all.”</w:t>
      </w:r>
      <w:r w:rsidRPr="006E7CA1">
        <w:rPr>
          <w:rStyle w:val="FootnoteReference"/>
          <w:rFonts w:ascii="Palatino Linotype" w:eastAsia="Times New Roman" w:hAnsi="Palatino Linotype" w:cs="Arial"/>
          <w:sz w:val="24"/>
          <w:szCs w:val="24"/>
          <w:lang w:eastAsia="en-GB"/>
        </w:rPr>
        <w:footnoteReference w:id="88"/>
      </w:r>
      <w:r w:rsidRPr="006E7CA1">
        <w:rPr>
          <w:rFonts w:ascii="Palatino Linotype" w:eastAsia="Times New Roman" w:hAnsi="Palatino Linotype" w:cs="Arial"/>
          <w:sz w:val="24"/>
          <w:szCs w:val="24"/>
          <w:lang w:eastAsia="en-GB"/>
        </w:rPr>
        <w:t>As Rawls’ analysis shows, there is</w:t>
      </w:r>
      <w:r w:rsidR="002B25A5" w:rsidRPr="006E7CA1">
        <w:rPr>
          <w:rFonts w:ascii="Palatino Linotype" w:eastAsia="Times New Roman" w:hAnsi="Palatino Linotype" w:cs="Arial"/>
          <w:sz w:val="24"/>
          <w:szCs w:val="24"/>
          <w:lang w:eastAsia="en-GB"/>
        </w:rPr>
        <w:t xml:space="preserve"> therefore </w:t>
      </w:r>
      <w:r w:rsidRPr="006E7CA1">
        <w:rPr>
          <w:rFonts w:ascii="Palatino Linotype" w:eastAsia="Times New Roman" w:hAnsi="Palatino Linotype" w:cs="Arial"/>
          <w:sz w:val="24"/>
          <w:szCs w:val="24"/>
          <w:lang w:eastAsia="en-GB"/>
        </w:rPr>
        <w:t>an enhanced duty placed on the state to protect the vulnerable in society, if such people are to realise their entitlement to equality in society. The principle of equality is itself theoretical difficult</w:t>
      </w:r>
      <w:r w:rsidR="002B25A5" w:rsidRPr="006E7CA1">
        <w:rPr>
          <w:rFonts w:ascii="Palatino Linotype" w:eastAsia="Times New Roman" w:hAnsi="Palatino Linotype" w:cs="Arial"/>
          <w:sz w:val="24"/>
          <w:szCs w:val="24"/>
          <w:lang w:eastAsia="en-GB"/>
        </w:rPr>
        <w:t>,</w:t>
      </w:r>
      <w:r w:rsidRPr="006E7CA1">
        <w:rPr>
          <w:rFonts w:ascii="Palatino Linotype" w:eastAsia="Times New Roman" w:hAnsi="Palatino Linotype" w:cs="Arial"/>
          <w:sz w:val="24"/>
          <w:szCs w:val="24"/>
          <w:lang w:eastAsia="en-GB"/>
        </w:rPr>
        <w:t xml:space="preserve"> but in the context of the gross inequalities </w:t>
      </w:r>
      <w:r w:rsidRPr="006E7CA1">
        <w:rPr>
          <w:rFonts w:ascii="Palatino Linotype" w:eastAsia="Times New Roman" w:hAnsi="Palatino Linotype" w:cs="Arial"/>
          <w:sz w:val="24"/>
          <w:szCs w:val="24"/>
          <w:lang w:eastAsia="en-GB"/>
        </w:rPr>
        <w:lastRenderedPageBreak/>
        <w:t>in resource allocation we saw in Section 6 (ii) above, the millions of people across the globe who are the beneficiaries of clinical legal education clinics and projects are not confused about their status as unequal citizens who are immiserated by poverty, discrimination and social disadvantage. Poverty is tangible and measurable, even if economists legitimately distinguish between relative and absolute poverty. Thus, the ideology of utilitarianism which Jeremy Bentham articulated so superficially attractively</w:t>
      </w:r>
      <w:r w:rsidR="002B25A5" w:rsidRPr="006E7CA1">
        <w:rPr>
          <w:rFonts w:ascii="Palatino Linotype" w:eastAsia="Times New Roman" w:hAnsi="Palatino Linotype" w:cs="Arial"/>
          <w:sz w:val="24"/>
          <w:szCs w:val="24"/>
          <w:lang w:eastAsia="en-GB"/>
        </w:rPr>
        <w:t>,</w:t>
      </w:r>
      <w:r w:rsidRPr="006E7CA1">
        <w:rPr>
          <w:rFonts w:ascii="Palatino Linotype" w:eastAsia="Times New Roman" w:hAnsi="Palatino Linotype" w:cs="Arial"/>
          <w:sz w:val="24"/>
          <w:szCs w:val="24"/>
          <w:lang w:eastAsia="en-GB"/>
        </w:rPr>
        <w:t xml:space="preserve"> and which is the bas</w:t>
      </w:r>
      <w:r w:rsidR="002B25A5" w:rsidRPr="006E7CA1">
        <w:rPr>
          <w:rFonts w:ascii="Palatino Linotype" w:eastAsia="Times New Roman" w:hAnsi="Palatino Linotype" w:cs="Arial"/>
          <w:sz w:val="24"/>
          <w:szCs w:val="24"/>
          <w:lang w:eastAsia="en-GB"/>
        </w:rPr>
        <w:t>is of modern Western democratic institutions</w:t>
      </w:r>
      <w:r w:rsidRPr="006E7CA1">
        <w:rPr>
          <w:rFonts w:ascii="Palatino Linotype" w:eastAsia="Times New Roman" w:hAnsi="Palatino Linotype" w:cs="Arial"/>
          <w:sz w:val="24"/>
          <w:szCs w:val="24"/>
          <w:lang w:eastAsia="en-GB"/>
        </w:rPr>
        <w:t xml:space="preserve">, contests the mission of clinical legal education which aims to promote the interest of the underprivileged to be </w:t>
      </w:r>
      <w:r w:rsidR="002B25A5" w:rsidRPr="006E7CA1">
        <w:rPr>
          <w:rFonts w:ascii="Palatino Linotype" w:eastAsia="Times New Roman" w:hAnsi="Palatino Linotype" w:cs="Arial"/>
          <w:sz w:val="24"/>
          <w:szCs w:val="24"/>
          <w:lang w:eastAsia="en-GB"/>
        </w:rPr>
        <w:t>enabled</w:t>
      </w:r>
      <w:r w:rsidRPr="006E7CA1">
        <w:rPr>
          <w:rFonts w:ascii="Palatino Linotype" w:eastAsia="Times New Roman" w:hAnsi="Palatino Linotype" w:cs="Arial"/>
          <w:sz w:val="24"/>
          <w:szCs w:val="24"/>
          <w:lang w:eastAsia="en-GB"/>
        </w:rPr>
        <w:t xml:space="preserve"> to vindicate their rights and </w:t>
      </w:r>
      <w:r w:rsidR="002B25A5" w:rsidRPr="006E7CA1">
        <w:rPr>
          <w:rFonts w:ascii="Palatino Linotype" w:eastAsia="Times New Roman" w:hAnsi="Palatino Linotype" w:cs="Arial"/>
          <w:sz w:val="24"/>
          <w:szCs w:val="24"/>
          <w:lang w:eastAsia="en-GB"/>
        </w:rPr>
        <w:t xml:space="preserve">to </w:t>
      </w:r>
      <w:r w:rsidRPr="006E7CA1">
        <w:rPr>
          <w:rFonts w:ascii="Palatino Linotype" w:eastAsia="Times New Roman" w:hAnsi="Palatino Linotype" w:cs="Arial"/>
          <w:sz w:val="24"/>
          <w:szCs w:val="24"/>
          <w:lang w:eastAsia="en-GB"/>
        </w:rPr>
        <w:t>promote their equal participation in society. This is because, in essence, “Utilitarianism is a goal-based theory which evaluates actions in terms of their propensity to maximise goodness, however this is defined”</w:t>
      </w:r>
      <w:r w:rsidRPr="006E7CA1">
        <w:rPr>
          <w:rStyle w:val="FootnoteReference"/>
          <w:rFonts w:ascii="Palatino Linotype" w:eastAsia="Times New Roman" w:hAnsi="Palatino Linotype" w:cs="Arial"/>
          <w:sz w:val="24"/>
          <w:szCs w:val="24"/>
          <w:lang w:eastAsia="en-GB"/>
        </w:rPr>
        <w:footnoteReference w:id="89"/>
      </w:r>
      <w:r w:rsidRPr="006E7CA1">
        <w:rPr>
          <w:rFonts w:ascii="Palatino Linotype" w:eastAsia="Times New Roman" w:hAnsi="Palatino Linotype" w:cs="Arial"/>
          <w:sz w:val="24"/>
          <w:szCs w:val="24"/>
          <w:lang w:eastAsia="en-GB"/>
        </w:rPr>
        <w:t xml:space="preserve"> in the name of the greatest good for the greatest number, even at the expense of the minority.</w:t>
      </w:r>
      <w:r w:rsidR="002B25A5" w:rsidRPr="006E7CA1">
        <w:rPr>
          <w:rFonts w:ascii="Palatino Linotype" w:eastAsia="Times New Roman" w:hAnsi="Palatino Linotype" w:cs="Arial"/>
          <w:sz w:val="24"/>
          <w:szCs w:val="24"/>
          <w:lang w:eastAsia="en-GB"/>
        </w:rPr>
        <w:t xml:space="preserve"> This is not the mission of clinical legal education and a theory based on justice would readily justify the functioning of the law clinic in its myriad forms.</w:t>
      </w:r>
    </w:p>
    <w:p w:rsidR="002B25A5" w:rsidRPr="006E7CA1" w:rsidRDefault="002B25A5" w:rsidP="006E7CA1">
      <w:pPr>
        <w:pStyle w:val="FootnoteText"/>
        <w:spacing w:line="480" w:lineRule="auto"/>
        <w:rPr>
          <w:rFonts w:ascii="Palatino Linotype" w:eastAsia="Times New Roman" w:hAnsi="Palatino Linotype" w:cs="Arial"/>
          <w:sz w:val="24"/>
          <w:szCs w:val="24"/>
          <w:lang w:eastAsia="en-GB"/>
        </w:rPr>
      </w:pPr>
    </w:p>
    <w:p w:rsidR="002B25A5" w:rsidRDefault="002B25A5" w:rsidP="006E7CA1">
      <w:pPr>
        <w:pStyle w:val="FootnoteText"/>
        <w:spacing w:line="480" w:lineRule="auto"/>
        <w:rPr>
          <w:rFonts w:ascii="Palatino Linotype" w:eastAsia="Times New Roman" w:hAnsi="Palatino Linotype" w:cs="Arial"/>
          <w:b/>
          <w:sz w:val="24"/>
          <w:szCs w:val="24"/>
          <w:lang w:eastAsia="en-GB"/>
        </w:rPr>
      </w:pPr>
    </w:p>
    <w:p w:rsidR="000578AC" w:rsidRPr="006E7CA1" w:rsidRDefault="000578AC" w:rsidP="006E7CA1">
      <w:pPr>
        <w:pStyle w:val="FootnoteText"/>
        <w:spacing w:line="480" w:lineRule="auto"/>
        <w:rPr>
          <w:rFonts w:ascii="Palatino Linotype" w:eastAsia="Times New Roman" w:hAnsi="Palatino Linotype" w:cs="Arial"/>
          <w:b/>
          <w:sz w:val="24"/>
          <w:szCs w:val="24"/>
          <w:lang w:eastAsia="en-GB"/>
        </w:rPr>
      </w:pPr>
    </w:p>
    <w:p w:rsidR="007B1D02" w:rsidRDefault="007B1D02">
      <w:pPr>
        <w:rPr>
          <w:rFonts w:ascii="Palatino Linotype" w:eastAsia="Times New Roman" w:hAnsi="Palatino Linotype" w:cs="Arial"/>
          <w:b/>
          <w:sz w:val="24"/>
          <w:szCs w:val="24"/>
          <w:lang w:eastAsia="en-GB"/>
        </w:rPr>
      </w:pPr>
      <w:r>
        <w:rPr>
          <w:rFonts w:ascii="Palatino Linotype" w:eastAsia="Times New Roman" w:hAnsi="Palatino Linotype" w:cs="Arial"/>
          <w:b/>
          <w:sz w:val="24"/>
          <w:szCs w:val="24"/>
          <w:lang w:eastAsia="en-GB"/>
        </w:rPr>
        <w:br w:type="page"/>
      </w:r>
    </w:p>
    <w:p w:rsidR="002B25A5" w:rsidRPr="006E7CA1" w:rsidRDefault="002B25A5" w:rsidP="006E7CA1">
      <w:pPr>
        <w:pStyle w:val="FootnoteText"/>
        <w:spacing w:line="480" w:lineRule="auto"/>
        <w:rPr>
          <w:rFonts w:ascii="Palatino Linotype" w:eastAsia="Times New Roman" w:hAnsi="Palatino Linotype" w:cs="Arial"/>
          <w:b/>
          <w:sz w:val="24"/>
          <w:szCs w:val="24"/>
          <w:lang w:eastAsia="en-GB"/>
        </w:rPr>
      </w:pPr>
      <w:bookmarkStart w:id="0" w:name="_GoBack"/>
      <w:bookmarkEnd w:id="0"/>
      <w:r w:rsidRPr="006E7CA1">
        <w:rPr>
          <w:rFonts w:ascii="Palatino Linotype" w:eastAsia="Times New Roman" w:hAnsi="Palatino Linotype" w:cs="Arial"/>
          <w:b/>
          <w:sz w:val="24"/>
          <w:szCs w:val="24"/>
          <w:lang w:eastAsia="en-GB"/>
        </w:rPr>
        <w:lastRenderedPageBreak/>
        <w:t>CONCLUSION</w:t>
      </w:r>
    </w:p>
    <w:p w:rsidR="00AC4462" w:rsidRPr="006E7CA1" w:rsidRDefault="000F5C00" w:rsidP="000578AC">
      <w:pPr>
        <w:spacing w:line="480" w:lineRule="auto"/>
        <w:jc w:val="both"/>
        <w:rPr>
          <w:rFonts w:ascii="Palatino Linotype" w:eastAsia="Times New Roman" w:hAnsi="Palatino Linotype" w:cs="Arial"/>
          <w:sz w:val="24"/>
          <w:szCs w:val="24"/>
          <w:lang w:eastAsia="en-GB"/>
        </w:rPr>
      </w:pPr>
      <w:r w:rsidRPr="006E7CA1">
        <w:rPr>
          <w:rFonts w:ascii="Palatino Linotype" w:eastAsia="Times New Roman" w:hAnsi="Palatino Linotype" w:cs="Arial"/>
          <w:sz w:val="24"/>
          <w:szCs w:val="24"/>
          <w:lang w:eastAsia="en-GB"/>
        </w:rPr>
        <w:t xml:space="preserve">In pressing the importance of clinical legal education theory in this </w:t>
      </w:r>
      <w:r w:rsidR="00A943A2" w:rsidRPr="006E7CA1">
        <w:rPr>
          <w:rFonts w:ascii="Palatino Linotype" w:eastAsia="Times New Roman" w:hAnsi="Palatino Linotype" w:cs="Arial"/>
          <w:sz w:val="24"/>
          <w:szCs w:val="24"/>
          <w:lang w:eastAsia="en-GB"/>
        </w:rPr>
        <w:t>article</w:t>
      </w:r>
      <w:r w:rsidRPr="006E7CA1">
        <w:rPr>
          <w:rFonts w:ascii="Palatino Linotype" w:eastAsia="Times New Roman" w:hAnsi="Palatino Linotype" w:cs="Arial"/>
          <w:sz w:val="24"/>
          <w:szCs w:val="24"/>
          <w:lang w:eastAsia="en-GB"/>
        </w:rPr>
        <w:t>, the primary motivation has been to encourage the reconnection of the clinician, practice and theory as an inextricable, mutually-reinforcing process that enhances learning and directly impacts legal consciousness. The increasing commodification of education generally in the United Kingdom, accelerated by the recent institution of student self-funding in England and Wales, seems to have led to the preference of more apparently ‘marketable’ subjects to the detriment of theoretical ones or the theoretical components of subjects. For example, Legal Theory or Jurisprudence is much diminished in the life of the law student of the modern university in England.</w:t>
      </w:r>
      <w:r w:rsidRPr="006E7CA1">
        <w:rPr>
          <w:rStyle w:val="FootnoteReference"/>
          <w:rFonts w:ascii="Palatino Linotype" w:eastAsia="Times New Roman" w:hAnsi="Palatino Linotype" w:cs="Arial"/>
          <w:sz w:val="24"/>
          <w:szCs w:val="24"/>
          <w:lang w:eastAsia="en-GB"/>
        </w:rPr>
        <w:footnoteReference w:id="90"/>
      </w:r>
      <w:r w:rsidRPr="006E7CA1">
        <w:rPr>
          <w:rFonts w:ascii="Palatino Linotype" w:eastAsia="Times New Roman" w:hAnsi="Palatino Linotype" w:cs="Arial"/>
          <w:sz w:val="24"/>
          <w:szCs w:val="24"/>
          <w:lang w:eastAsia="en-GB"/>
        </w:rPr>
        <w:t xml:space="preserve"> Legal categories, like all philosophical categories</w:t>
      </w:r>
      <w:r w:rsidR="00127370" w:rsidRPr="006E7CA1">
        <w:rPr>
          <w:rFonts w:ascii="Palatino Linotype" w:eastAsia="Times New Roman" w:hAnsi="Palatino Linotype" w:cs="Arial"/>
          <w:sz w:val="24"/>
          <w:szCs w:val="24"/>
          <w:lang w:eastAsia="en-GB"/>
        </w:rPr>
        <w:t>,</w:t>
      </w:r>
      <w:r w:rsidRPr="006E7CA1">
        <w:rPr>
          <w:rFonts w:ascii="Palatino Linotype" w:eastAsia="Times New Roman" w:hAnsi="Palatino Linotype" w:cs="Arial"/>
          <w:sz w:val="24"/>
          <w:szCs w:val="24"/>
          <w:lang w:eastAsia="en-GB"/>
        </w:rPr>
        <w:t xml:space="preserve"> define specific world views and as such, guide </w:t>
      </w:r>
      <w:r w:rsidR="00127370" w:rsidRPr="006E7CA1">
        <w:rPr>
          <w:rFonts w:ascii="Palatino Linotype" w:eastAsia="Times New Roman" w:hAnsi="Palatino Linotype" w:cs="Arial"/>
          <w:sz w:val="24"/>
          <w:szCs w:val="24"/>
          <w:lang w:eastAsia="en-GB"/>
        </w:rPr>
        <w:t>human action</w:t>
      </w:r>
      <w:r w:rsidRPr="006E7CA1">
        <w:rPr>
          <w:rFonts w:ascii="Palatino Linotype" w:eastAsia="Times New Roman" w:hAnsi="Palatino Linotype" w:cs="Arial"/>
          <w:sz w:val="24"/>
          <w:szCs w:val="24"/>
          <w:lang w:eastAsia="en-GB"/>
        </w:rPr>
        <w:t xml:space="preserve">. A conscious clinician is motivated and justified by an awareness of his or her actions or inaction and their place in the broader society as a stakeholder in </w:t>
      </w:r>
      <w:r w:rsidR="00127370" w:rsidRPr="006E7CA1">
        <w:rPr>
          <w:rFonts w:ascii="Palatino Linotype" w:eastAsia="Times New Roman" w:hAnsi="Palatino Linotype" w:cs="Arial"/>
          <w:sz w:val="24"/>
          <w:szCs w:val="24"/>
          <w:lang w:eastAsia="en-GB"/>
        </w:rPr>
        <w:t xml:space="preserve">society’s </w:t>
      </w:r>
      <w:r w:rsidRPr="006E7CA1">
        <w:rPr>
          <w:rFonts w:ascii="Palatino Linotype" w:eastAsia="Times New Roman" w:hAnsi="Palatino Linotype" w:cs="Arial"/>
          <w:sz w:val="24"/>
          <w:szCs w:val="24"/>
          <w:lang w:eastAsia="en-GB"/>
        </w:rPr>
        <w:t>general wellbeing.</w:t>
      </w:r>
      <w:r w:rsidR="00127370" w:rsidRPr="006E7CA1">
        <w:rPr>
          <w:rFonts w:ascii="Palatino Linotype" w:eastAsia="Times New Roman" w:hAnsi="Palatino Linotype" w:cs="Arial"/>
          <w:sz w:val="24"/>
          <w:szCs w:val="24"/>
          <w:lang w:eastAsia="en-GB"/>
        </w:rPr>
        <w:t xml:space="preserve"> In short, they become a socially conscious being possessing agency.</w:t>
      </w:r>
    </w:p>
    <w:p w:rsidR="002B25A5" w:rsidRPr="006E7CA1" w:rsidRDefault="002B25A5" w:rsidP="006E7CA1">
      <w:pPr>
        <w:spacing w:line="480" w:lineRule="auto"/>
        <w:rPr>
          <w:rFonts w:ascii="Palatino Linotype" w:eastAsia="Times New Roman" w:hAnsi="Palatino Linotype" w:cs="Arial"/>
          <w:sz w:val="24"/>
          <w:szCs w:val="24"/>
          <w:lang w:eastAsia="en-GB"/>
        </w:rPr>
      </w:pPr>
    </w:p>
    <w:p w:rsidR="00875422" w:rsidRPr="006E7CA1" w:rsidRDefault="00875422" w:rsidP="006E7CA1">
      <w:pPr>
        <w:pStyle w:val="NoSpacing"/>
        <w:spacing w:line="480" w:lineRule="auto"/>
        <w:jc w:val="both"/>
        <w:rPr>
          <w:rFonts w:ascii="Palatino Linotype" w:hAnsi="Palatino Linotype" w:cs="Arial"/>
          <w:sz w:val="24"/>
          <w:szCs w:val="24"/>
        </w:rPr>
      </w:pPr>
    </w:p>
    <w:p w:rsidR="002A5654" w:rsidRPr="006E7CA1" w:rsidRDefault="002A5654" w:rsidP="006E7CA1">
      <w:pPr>
        <w:pStyle w:val="NoSpacing"/>
        <w:spacing w:line="480" w:lineRule="auto"/>
        <w:rPr>
          <w:rFonts w:ascii="Palatino Linotype" w:hAnsi="Palatino Linotype" w:cs="Arial"/>
          <w:sz w:val="24"/>
          <w:szCs w:val="24"/>
        </w:rPr>
      </w:pPr>
    </w:p>
    <w:sectPr w:rsidR="002A5654" w:rsidRPr="006E7CA1" w:rsidSect="00AA64A2">
      <w:headerReference w:type="default" r:id="rId8"/>
      <w:footerReference w:type="default" r:id="rId9"/>
      <w:pgSz w:w="11906" w:h="16838"/>
      <w:pgMar w:top="1440" w:right="1841" w:bottom="1440" w:left="1440" w:header="708" w:footer="708"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86" w:rsidRDefault="00A41886" w:rsidP="00A40818">
      <w:pPr>
        <w:spacing w:after="0" w:line="240" w:lineRule="auto"/>
      </w:pPr>
      <w:r>
        <w:separator/>
      </w:r>
    </w:p>
  </w:endnote>
  <w:endnote w:type="continuationSeparator" w:id="0">
    <w:p w:rsidR="00A41886" w:rsidRDefault="00A41886" w:rsidP="00A4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25480"/>
      <w:docPartObj>
        <w:docPartGallery w:val="Page Numbers (Bottom of Page)"/>
        <w:docPartUnique/>
      </w:docPartObj>
    </w:sdtPr>
    <w:sdtEndPr>
      <w:rPr>
        <w:noProof/>
      </w:rPr>
    </w:sdtEndPr>
    <w:sdtContent>
      <w:p w:rsidR="00AA64A2" w:rsidRDefault="00AA64A2">
        <w:pPr>
          <w:pStyle w:val="Footer"/>
          <w:jc w:val="center"/>
        </w:pPr>
        <w:r>
          <w:fldChar w:fldCharType="begin"/>
        </w:r>
        <w:r>
          <w:instrText xml:space="preserve"> PAGE   \* MERGEFORMAT </w:instrText>
        </w:r>
        <w:r>
          <w:fldChar w:fldCharType="separate"/>
        </w:r>
        <w:r w:rsidR="007B1D02">
          <w:rPr>
            <w:noProof/>
          </w:rPr>
          <w:t>86</w:t>
        </w:r>
        <w:r>
          <w:rPr>
            <w:noProof/>
          </w:rPr>
          <w:fldChar w:fldCharType="end"/>
        </w:r>
      </w:p>
    </w:sdtContent>
  </w:sdt>
  <w:p w:rsidR="00AA64A2" w:rsidRDefault="00AA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86" w:rsidRDefault="00A41886" w:rsidP="00A40818">
      <w:pPr>
        <w:spacing w:after="0" w:line="240" w:lineRule="auto"/>
      </w:pPr>
      <w:r>
        <w:separator/>
      </w:r>
    </w:p>
  </w:footnote>
  <w:footnote w:type="continuationSeparator" w:id="0">
    <w:p w:rsidR="00A41886" w:rsidRDefault="00A41886" w:rsidP="00A40818">
      <w:pPr>
        <w:spacing w:after="0" w:line="240" w:lineRule="auto"/>
      </w:pPr>
      <w:r>
        <w:continuationSeparator/>
      </w:r>
    </w:p>
  </w:footnote>
  <w:footnote w:id="1">
    <w:p w:rsidR="000578AC" w:rsidRPr="000578AC" w:rsidRDefault="000578AC">
      <w:pPr>
        <w:pStyle w:val="FootnoteText"/>
        <w:rPr>
          <w:rFonts w:ascii="Palatino Linotype" w:hAnsi="Palatino Linotype"/>
        </w:rPr>
      </w:pPr>
      <w:r w:rsidRPr="000578AC">
        <w:rPr>
          <w:rFonts w:ascii="Palatino Linotype" w:hAnsi="Palatino Linotype"/>
        </w:rPr>
        <w:t>*Kwame Akuffo is Associate Professor in the School of Law and Criminology at the University of West London.</w:t>
      </w:r>
    </w:p>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The author cannot be completely sure of the provenance of this famous adage widely attributed to Confucius. However, a slightly different rendition is quoted in </w:t>
      </w:r>
      <w:r w:rsidRPr="000578AC">
        <w:rPr>
          <w:rFonts w:ascii="Palatino Linotype" w:hAnsi="Palatino Linotype"/>
          <w:i/>
        </w:rPr>
        <w:t xml:space="preserve">A Student Guide to Clinical Legal Education and Pro Bono, </w:t>
      </w:r>
      <w:r w:rsidRPr="000578AC">
        <w:rPr>
          <w:rFonts w:ascii="Palatino Linotype" w:hAnsi="Palatino Linotype"/>
        </w:rPr>
        <w:t xml:space="preserve">K. Kerrigan and V. Murray (editors), </w:t>
      </w:r>
      <w:r w:rsidRPr="000578AC">
        <w:rPr>
          <w:rFonts w:ascii="Palatino Linotype" w:hAnsi="Palatino Linotype"/>
          <w:i/>
        </w:rPr>
        <w:t>P</w:t>
      </w:r>
      <w:r w:rsidRPr="000578AC">
        <w:rPr>
          <w:rFonts w:ascii="Palatino Linotype" w:hAnsi="Palatino Linotype"/>
        </w:rPr>
        <w:t>algrave Macmillan (2011)  P. 5 – “I hear and I forget. I see and I remember. I do and I understand.”</w:t>
      </w:r>
    </w:p>
  </w:footnote>
  <w:footnote w:id="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generally F. Bloch, ‘Access to Justice and the Global Clinical Movement’ (2008) </w:t>
      </w:r>
      <w:r w:rsidRPr="000578AC">
        <w:rPr>
          <w:rFonts w:ascii="Palatino Linotype" w:hAnsi="Palatino Linotype"/>
          <w:i/>
        </w:rPr>
        <w:t xml:space="preserve">Wash UJL &amp; Policy. </w:t>
      </w:r>
      <w:r w:rsidRPr="000578AC">
        <w:rPr>
          <w:rFonts w:ascii="Palatino Linotype" w:hAnsi="Palatino Linotype"/>
        </w:rPr>
        <w:t xml:space="preserve">Also, </w:t>
      </w:r>
    </w:p>
    <w:p w:rsidR="00F7325C" w:rsidRPr="000578AC" w:rsidRDefault="00F7325C">
      <w:pPr>
        <w:pStyle w:val="FootnoteText"/>
        <w:rPr>
          <w:rFonts w:ascii="Palatino Linotype" w:hAnsi="Palatino Linotype"/>
        </w:rPr>
      </w:pPr>
      <w:r w:rsidRPr="000578AC">
        <w:rPr>
          <w:rFonts w:ascii="Palatino Linotype" w:hAnsi="Palatino Linotype"/>
        </w:rPr>
        <w:t xml:space="preserve">F. Bloch, (ed.) </w:t>
      </w:r>
      <w:r w:rsidRPr="000578AC">
        <w:rPr>
          <w:rFonts w:ascii="Palatino Linotype" w:hAnsi="Palatino Linotype"/>
          <w:i/>
        </w:rPr>
        <w:t>The Global Clinical Movement: Educating Lawyers for Social Justice</w:t>
      </w:r>
      <w:r w:rsidRPr="000578AC">
        <w:rPr>
          <w:rFonts w:ascii="Palatino Linotype" w:hAnsi="Palatino Linotype"/>
        </w:rPr>
        <w:t>, OUP (2011)  See also, However, it is also the case that this success is not complete, given the tenacity of entrenched nature of traditional law teaching and learning methods in many law schools where the  clinical legal practitioner is the exception.</w:t>
      </w:r>
    </w:p>
  </w:footnote>
  <w:footnote w:id="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R.J. Wilson, </w:t>
      </w:r>
      <w:r w:rsidRPr="000578AC">
        <w:rPr>
          <w:rFonts w:ascii="Palatino Linotype" w:hAnsi="Palatino Linotype"/>
          <w:i/>
        </w:rPr>
        <w:t xml:space="preserve">The Global Evolution of Clinical Legal Education: More than Method, </w:t>
      </w:r>
      <w:r w:rsidRPr="000578AC">
        <w:rPr>
          <w:rFonts w:ascii="Palatino Linotype" w:hAnsi="Palatino Linotype"/>
        </w:rPr>
        <w:t>Cambridge Univ. Press (2018) p.1</w:t>
      </w:r>
    </w:p>
  </w:footnote>
  <w:footnote w:id="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O.S. </w:t>
      </w:r>
      <w:proofErr w:type="spellStart"/>
      <w:r w:rsidRPr="000578AC">
        <w:rPr>
          <w:rFonts w:ascii="Palatino Linotype" w:hAnsi="Palatino Linotype"/>
        </w:rPr>
        <w:t>Adelakun-Odewale</w:t>
      </w:r>
      <w:proofErr w:type="spellEnd"/>
      <w:r w:rsidRPr="000578AC">
        <w:rPr>
          <w:rFonts w:ascii="Palatino Linotype" w:hAnsi="Palatino Linotype"/>
        </w:rPr>
        <w:t xml:space="preserve">, ‘Role of Clinical Legal Education in Social Justice in Nigeria’ in </w:t>
      </w:r>
      <w:r w:rsidRPr="000578AC">
        <w:rPr>
          <w:rFonts w:ascii="Palatino Linotype" w:hAnsi="Palatino Linotype"/>
          <w:i/>
        </w:rPr>
        <w:t xml:space="preserve">Asian Journal of Clinical Legal Education </w:t>
      </w:r>
      <w:r w:rsidRPr="000578AC">
        <w:rPr>
          <w:rFonts w:ascii="Palatino Linotype" w:hAnsi="Palatino Linotype"/>
        </w:rPr>
        <w:t>5 (1) 88-98 (2017) p.88</w:t>
      </w:r>
    </w:p>
  </w:footnote>
  <w:footnote w:id="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 a comprehensive study of diverse global experiences of clinical legal education see R. J. Wilson, </w:t>
      </w:r>
      <w:r w:rsidR="0062005C" w:rsidRPr="000578AC">
        <w:rPr>
          <w:rFonts w:ascii="Palatino Linotype" w:hAnsi="Palatino Linotype"/>
        </w:rPr>
        <w:t>op. cit</w:t>
      </w:r>
      <w:r w:rsidRPr="000578AC">
        <w:rPr>
          <w:rFonts w:ascii="Palatino Linotype" w:hAnsi="Palatino Linotype"/>
        </w:rPr>
        <w:t>. Part II, p. 154</w:t>
      </w:r>
    </w:p>
  </w:footnote>
  <w:footnote w:id="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generally, S. </w:t>
      </w:r>
      <w:proofErr w:type="spellStart"/>
      <w:r w:rsidRPr="000578AC">
        <w:rPr>
          <w:rFonts w:ascii="Palatino Linotype" w:hAnsi="Palatino Linotype"/>
        </w:rPr>
        <w:t>Gurpur</w:t>
      </w:r>
      <w:proofErr w:type="spellEnd"/>
      <w:r w:rsidRPr="000578AC">
        <w:rPr>
          <w:rFonts w:ascii="Palatino Linotype" w:hAnsi="Palatino Linotype"/>
        </w:rPr>
        <w:t xml:space="preserve"> &amp; R. </w:t>
      </w:r>
      <w:proofErr w:type="spellStart"/>
      <w:r w:rsidRPr="000578AC">
        <w:rPr>
          <w:rFonts w:ascii="Palatino Linotype" w:hAnsi="Palatino Linotype"/>
        </w:rPr>
        <w:t>Rautdesai</w:t>
      </w:r>
      <w:proofErr w:type="spellEnd"/>
      <w:r w:rsidRPr="000578AC">
        <w:rPr>
          <w:rFonts w:ascii="Palatino Linotype" w:hAnsi="Palatino Linotype"/>
        </w:rPr>
        <w:t xml:space="preserve">, </w:t>
      </w:r>
      <w:r w:rsidRPr="000578AC">
        <w:rPr>
          <w:rFonts w:ascii="Palatino Linotype" w:hAnsi="Palatino Linotype"/>
          <w:i/>
          <w:iCs/>
        </w:rPr>
        <w:t>Revisiting Legal Education for Human Development: Best Practices in South Asia</w:t>
      </w:r>
      <w:r w:rsidRPr="000578AC">
        <w:rPr>
          <w:rFonts w:ascii="Palatino Linotype" w:hAnsi="Palatino Linotype"/>
        </w:rPr>
        <w:t xml:space="preserve">, 157 Procedia Soc. </w:t>
      </w:r>
      <w:proofErr w:type="spellStart"/>
      <w:r w:rsidRPr="000578AC">
        <w:rPr>
          <w:rFonts w:ascii="Palatino Linotype" w:hAnsi="Palatino Linotype"/>
        </w:rPr>
        <w:t>Behav</w:t>
      </w:r>
      <w:proofErr w:type="spellEnd"/>
      <w:r w:rsidRPr="000578AC">
        <w:rPr>
          <w:rFonts w:ascii="Palatino Linotype" w:hAnsi="Palatino Linotype"/>
        </w:rPr>
        <w:t>. Sci. pp. 254 and 255 (2014).</w:t>
      </w:r>
    </w:p>
  </w:footnote>
  <w:footnote w:id="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the following sample of London Borough profiles:</w:t>
      </w:r>
    </w:p>
  </w:footnote>
  <w:footnote w:id="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Europe has experienced an unprecedented refugee crisis originating from wars, political repression and poverty mainly in North Africa and the Middle East. This crisis has had a profound impact on Europe. See a BBC analysis at </w:t>
      </w:r>
      <w:hyperlink r:id="rId1" w:history="1">
        <w:r w:rsidRPr="000578AC">
          <w:rPr>
            <w:rStyle w:val="Hyperlink"/>
            <w:rFonts w:ascii="Palatino Linotype" w:hAnsi="Palatino Linotype"/>
          </w:rPr>
          <w:t>http://www.bbc.co.uk/news/world-europe-34131911</w:t>
        </w:r>
      </w:hyperlink>
      <w:r w:rsidRPr="000578AC">
        <w:rPr>
          <w:rFonts w:ascii="Palatino Linotype" w:hAnsi="Palatino Linotype"/>
        </w:rPr>
        <w:t xml:space="preserve">  See also, a social cohesion impact of the refugee influx to Germany in recent years by USAID titled: ‘Refugees – Germany: A Quest for Social Cohesion’ ,  </w:t>
      </w:r>
      <w:hyperlink r:id="rId2" w:history="1">
        <w:r w:rsidRPr="000578AC">
          <w:rPr>
            <w:rStyle w:val="Hyperlink"/>
            <w:rFonts w:ascii="Palatino Linotype" w:hAnsi="Palatino Linotype"/>
          </w:rPr>
          <w:t>https://eccnetwork.net/refugees-germany-quest-social-cohesion/</w:t>
        </w:r>
      </w:hyperlink>
      <w:r w:rsidRPr="000578AC">
        <w:rPr>
          <w:rFonts w:ascii="Palatino Linotype" w:hAnsi="Palatino Linotype"/>
        </w:rPr>
        <w:t xml:space="preserve"> </w:t>
      </w:r>
    </w:p>
  </w:footnote>
  <w:footnote w:id="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the European Union Agency for Fundamental Rights (FRA) fact sheet on the rise in hate crime incidents in Europe: </w:t>
      </w:r>
      <w:hyperlink r:id="rId3" w:history="1">
        <w:r w:rsidRPr="000578AC">
          <w:rPr>
            <w:rStyle w:val="Hyperlink"/>
            <w:rFonts w:ascii="Palatino Linotype" w:hAnsi="Palatino Linotype"/>
          </w:rPr>
          <w:t>h</w:t>
        </w:r>
        <w:r w:rsidRPr="000578AC">
          <w:rPr>
            <w:rStyle w:val="Hyperlink"/>
            <w:rFonts w:ascii="Palatino Linotype" w:hAnsi="Palatino Linotype" w:cs="Arial"/>
          </w:rPr>
          <w:t>ttps://fra.europa.eu/sites/default/files/fra-factsheet</w:t>
        </w:r>
      </w:hyperlink>
      <w:r w:rsidRPr="000578AC">
        <w:rPr>
          <w:rFonts w:ascii="Palatino Linotype" w:hAnsi="Palatino Linotype" w:cs="Arial"/>
          <w:color w:val="006D21"/>
        </w:rPr>
        <w:t xml:space="preserve">    </w:t>
      </w:r>
    </w:p>
  </w:footnote>
  <w:footnote w:id="1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Such as the latest mass attack on London Bridge by a rampaging van and indiscriminate stabbings on 3</w:t>
      </w:r>
      <w:r w:rsidRPr="000578AC">
        <w:rPr>
          <w:rFonts w:ascii="Palatino Linotype" w:hAnsi="Palatino Linotype"/>
          <w:vertAlign w:val="superscript"/>
        </w:rPr>
        <w:t>rd</w:t>
      </w:r>
      <w:r w:rsidRPr="000578AC">
        <w:rPr>
          <w:rFonts w:ascii="Palatino Linotype" w:hAnsi="Palatino Linotype"/>
        </w:rPr>
        <w:t xml:space="preserve"> June 2017 in which, at the time of writing, 8 people had been killed.</w:t>
      </w:r>
    </w:p>
  </w:footnote>
  <w:footnote w:id="1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 example, the influx of over 1 million mainly Syrian refugees into Germany between 2015 and 2016 is now acknowledged to be the main reason for the loss of Chancellor Angela </w:t>
      </w:r>
      <w:proofErr w:type="spellStart"/>
      <w:r w:rsidRPr="000578AC">
        <w:rPr>
          <w:rFonts w:ascii="Palatino Linotype" w:hAnsi="Palatino Linotype"/>
        </w:rPr>
        <w:t>Merkle’s</w:t>
      </w:r>
      <w:proofErr w:type="spellEnd"/>
      <w:r w:rsidRPr="000578AC">
        <w:rPr>
          <w:rFonts w:ascii="Palatino Linotype" w:hAnsi="Palatino Linotype"/>
        </w:rPr>
        <w:t xml:space="preserve"> once dominant political status in the German parliamentary election of 2018. See ABC News at  </w:t>
      </w:r>
      <w:hyperlink r:id="rId4" w:history="1">
        <w:r w:rsidRPr="000578AC">
          <w:rPr>
            <w:rStyle w:val="Hyperlink"/>
            <w:rFonts w:ascii="Palatino Linotype" w:hAnsi="Palatino Linotype"/>
          </w:rPr>
          <w:t>http://www.abc.net.au/news/2018-03-14/angela-merkel-elected-for-fourth-term-as-german-chancellor/9548896</w:t>
        </w:r>
      </w:hyperlink>
      <w:r w:rsidRPr="000578AC">
        <w:rPr>
          <w:rFonts w:ascii="Palatino Linotype" w:hAnsi="Palatino Linotype"/>
        </w:rPr>
        <w:t xml:space="preserve"> </w:t>
      </w:r>
    </w:p>
  </w:footnote>
  <w:footnote w:id="1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Ealing Equality Council, now West London Equality Centre (and partner of CAP) has recently received significant funding from the UK Lottery Fund to undertake hate crime prevention work. The project is recruiting 30 students per year on CAP/EEC placement to participate in the delivery of the project which involves working with and advising victims of hate crime. This is an example of the experience of intersectionality that this particular clinical legal education project is connected to. </w:t>
      </w:r>
    </w:p>
  </w:footnote>
  <w:footnote w:id="1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In the London Borough of Ealing where CAP is based, socio-economic inequality is so stark that the borough has been branded as a ‘poverty hotspot’ by the UK-based New Policy Institute in a report of a study a few years ago: </w:t>
      </w:r>
      <w:hyperlink r:id="rId5" w:history="1">
        <w:r w:rsidRPr="000578AC">
          <w:rPr>
            <w:rStyle w:val="Hyperlink"/>
            <w:rFonts w:ascii="Palatino Linotype" w:hAnsi="Palatino Linotype"/>
          </w:rPr>
          <w:t>https://www.getwestlondon.co.uk/incoming/ealing-one-worst-boroughs-poverty-10524563</w:t>
        </w:r>
      </w:hyperlink>
      <w:r w:rsidRPr="000578AC">
        <w:rPr>
          <w:rFonts w:ascii="Palatino Linotype" w:hAnsi="Palatino Linotype"/>
        </w:rPr>
        <w:t xml:space="preserve"> </w:t>
      </w:r>
    </w:p>
  </w:footnote>
  <w:footnote w:id="1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These matters will be illustrated by some examples from the work of CAP later in </w:t>
      </w:r>
      <w:r w:rsidR="00AE6E17" w:rsidRPr="000578AC">
        <w:rPr>
          <w:rFonts w:ascii="Palatino Linotype" w:hAnsi="Palatino Linotype"/>
        </w:rPr>
        <w:t>this article</w:t>
      </w:r>
      <w:r w:rsidRPr="000578AC">
        <w:rPr>
          <w:rFonts w:ascii="Palatino Linotype" w:hAnsi="Palatino Linotype"/>
        </w:rPr>
        <w:t>.</w:t>
      </w:r>
    </w:p>
  </w:footnote>
  <w:footnote w:id="1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generally, Chapter 15, Quinn and Elliot, </w:t>
      </w:r>
      <w:r w:rsidRPr="000578AC">
        <w:rPr>
          <w:rFonts w:ascii="Palatino Linotype" w:hAnsi="Palatino Linotype"/>
          <w:i/>
        </w:rPr>
        <w:t xml:space="preserve">English Legal System, </w:t>
      </w:r>
      <w:r w:rsidRPr="000578AC">
        <w:rPr>
          <w:rFonts w:ascii="Palatino Linotype" w:hAnsi="Palatino Linotype"/>
        </w:rPr>
        <w:t>Pearson (2017) p.306. Also, Access to Justice Act 1993.</w:t>
      </w:r>
    </w:p>
  </w:footnote>
  <w:footnote w:id="1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H. </w:t>
      </w:r>
      <w:proofErr w:type="spellStart"/>
      <w:r w:rsidRPr="000578AC">
        <w:rPr>
          <w:rFonts w:ascii="Palatino Linotype" w:hAnsi="Palatino Linotype"/>
        </w:rPr>
        <w:t>Brayne</w:t>
      </w:r>
      <w:proofErr w:type="spellEnd"/>
      <w:r w:rsidRPr="000578AC">
        <w:rPr>
          <w:rFonts w:ascii="Palatino Linotype" w:hAnsi="Palatino Linotype"/>
        </w:rPr>
        <w:t xml:space="preserve">, N. Duncan and R. Grimes, </w:t>
      </w:r>
      <w:r w:rsidRPr="000578AC">
        <w:rPr>
          <w:rFonts w:ascii="Palatino Linotype" w:hAnsi="Palatino Linotype"/>
          <w:i/>
        </w:rPr>
        <w:t>Clinical Legal Education: Active Learning in your Law School</w:t>
      </w:r>
      <w:r w:rsidRPr="000578AC">
        <w:rPr>
          <w:rFonts w:ascii="Palatino Linotype" w:hAnsi="Palatino Linotype"/>
        </w:rPr>
        <w:t>, Blackstone Press (1998) pp.10-11</w:t>
      </w:r>
    </w:p>
  </w:footnote>
  <w:footnote w:id="17">
    <w:p w:rsidR="00F7325C" w:rsidRPr="000578AC" w:rsidRDefault="00F7325C" w:rsidP="00631C5B">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Jon C. </w:t>
      </w:r>
      <w:proofErr w:type="spellStart"/>
      <w:r w:rsidRPr="000578AC">
        <w:rPr>
          <w:rFonts w:ascii="Palatino Linotype" w:hAnsi="Palatino Linotype"/>
        </w:rPr>
        <w:t>Dubin</w:t>
      </w:r>
      <w:proofErr w:type="spellEnd"/>
      <w:r w:rsidRPr="000578AC">
        <w:rPr>
          <w:rFonts w:ascii="Palatino Linotype" w:hAnsi="Palatino Linotype"/>
        </w:rPr>
        <w:t xml:space="preserve">, </w:t>
      </w:r>
      <w:r w:rsidRPr="000578AC">
        <w:rPr>
          <w:rFonts w:ascii="Palatino Linotype" w:hAnsi="Palatino Linotype"/>
          <w:i/>
          <w:iCs/>
        </w:rPr>
        <w:t xml:space="preserve">Clinical Design for Social Justice Imperatives </w:t>
      </w:r>
      <w:r w:rsidRPr="000578AC">
        <w:rPr>
          <w:rFonts w:ascii="Palatino Linotype" w:hAnsi="Palatino Linotype"/>
        </w:rPr>
        <w:t>51 S.M.U. L. Rev</w:t>
      </w:r>
      <w:r w:rsidRPr="000578AC">
        <w:rPr>
          <w:rFonts w:ascii="Palatino Linotype" w:hAnsi="Palatino Linotype"/>
          <w:i/>
          <w:iCs/>
        </w:rPr>
        <w:t xml:space="preserve">. </w:t>
      </w:r>
      <w:r w:rsidRPr="000578AC">
        <w:rPr>
          <w:rFonts w:ascii="Palatino Linotype" w:hAnsi="Palatino Linotype"/>
        </w:rPr>
        <w:t>1461, 1476 (1997–98).</w:t>
      </w:r>
    </w:p>
  </w:footnote>
  <w:footnote w:id="1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proofErr w:type="spellStart"/>
      <w:r w:rsidRPr="000578AC">
        <w:rPr>
          <w:rFonts w:ascii="Palatino Linotype" w:hAnsi="Palatino Linotype"/>
        </w:rPr>
        <w:t>Lasky</w:t>
      </w:r>
      <w:proofErr w:type="spellEnd"/>
      <w:r w:rsidRPr="000578AC">
        <w:rPr>
          <w:rFonts w:ascii="Palatino Linotype" w:hAnsi="Palatino Linotype"/>
        </w:rPr>
        <w:t xml:space="preserve"> and </w:t>
      </w:r>
      <w:proofErr w:type="spellStart"/>
      <w:r w:rsidRPr="000578AC">
        <w:rPr>
          <w:rFonts w:ascii="Palatino Linotype" w:hAnsi="Palatino Linotype"/>
        </w:rPr>
        <w:t>Sarker</w:t>
      </w:r>
      <w:proofErr w:type="spellEnd"/>
      <w:r w:rsidRPr="000578AC">
        <w:rPr>
          <w:rFonts w:ascii="Palatino Linotype" w:hAnsi="Palatino Linotype"/>
        </w:rPr>
        <w:t xml:space="preserve">, </w:t>
      </w:r>
      <w:r w:rsidRPr="000578AC">
        <w:rPr>
          <w:rFonts w:ascii="Palatino Linotype" w:hAnsi="Palatino Linotype"/>
          <w:i/>
        </w:rPr>
        <w:t xml:space="preserve">Asian Journal of Clinical Legal Education </w:t>
      </w:r>
      <w:r w:rsidRPr="000578AC">
        <w:rPr>
          <w:rFonts w:ascii="Palatino Linotype" w:hAnsi="Palatino Linotype"/>
        </w:rPr>
        <w:t>5(1) 76-87, (2017) p 80</w:t>
      </w:r>
    </w:p>
  </w:footnote>
  <w:footnote w:id="1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 a comprehensive account see R.J. Wilson, op. cit. pp. 1-8 </w:t>
      </w:r>
    </w:p>
  </w:footnote>
  <w:footnote w:id="2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L. McCrimmon, R. Vickers and K. Parish, ‘Online Clinical Legal Education: Challenging the Traditional Model’ in </w:t>
      </w:r>
      <w:r w:rsidRPr="000578AC">
        <w:rPr>
          <w:rFonts w:ascii="Palatino Linotype" w:hAnsi="Palatino Linotype"/>
          <w:i/>
        </w:rPr>
        <w:t xml:space="preserve">International Journal of Clinical Legal Education, </w:t>
      </w:r>
      <w:r w:rsidRPr="000578AC">
        <w:rPr>
          <w:rFonts w:ascii="Palatino Linotype" w:hAnsi="Palatino Linotype"/>
        </w:rPr>
        <w:t xml:space="preserve">2016. See also, J. Frank, “Why not a Clinical Law School?” in 81 </w:t>
      </w:r>
      <w:r w:rsidRPr="000578AC">
        <w:rPr>
          <w:rFonts w:ascii="Palatino Linotype" w:hAnsi="Palatino Linotype"/>
          <w:i/>
        </w:rPr>
        <w:t xml:space="preserve">The Univ. of Pennsylvania Law Rev. </w:t>
      </w:r>
      <w:r w:rsidRPr="000578AC">
        <w:rPr>
          <w:rFonts w:ascii="Palatino Linotype" w:hAnsi="Palatino Linotype"/>
        </w:rPr>
        <w:t xml:space="preserve">(1933) On this early history, see also, Martin, Dublin and Joy in </w:t>
      </w:r>
      <w:r w:rsidRPr="000578AC">
        <w:rPr>
          <w:rFonts w:ascii="Palatino Linotype" w:hAnsi="Palatino Linotype"/>
          <w:i/>
        </w:rPr>
        <w:t xml:space="preserve">Journal of Legal Education </w:t>
      </w:r>
      <w:r w:rsidRPr="000578AC">
        <w:rPr>
          <w:rFonts w:ascii="Palatino Linotype" w:hAnsi="Palatino Linotype"/>
        </w:rPr>
        <w:t xml:space="preserve">(1974) vol. 26 p. 162. </w:t>
      </w:r>
    </w:p>
  </w:footnote>
  <w:footnote w:id="2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 p.35</w:t>
      </w:r>
    </w:p>
  </w:footnote>
  <w:footnote w:id="2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M.M. Barry, J. Dublin, P. Joy, ‘Clinical Education for this Millennium: The Third Wave’ in </w:t>
      </w:r>
      <w:r w:rsidRPr="000578AC">
        <w:rPr>
          <w:rFonts w:ascii="Palatino Linotype" w:hAnsi="Palatino Linotype"/>
          <w:i/>
        </w:rPr>
        <w:t xml:space="preserve">Clinical Law Review </w:t>
      </w:r>
      <w:r w:rsidRPr="000578AC">
        <w:rPr>
          <w:rFonts w:ascii="Palatino Linotype" w:hAnsi="Palatino Linotype"/>
        </w:rPr>
        <w:t>2001 vol. 7, p. 12</w:t>
      </w:r>
    </w:p>
  </w:footnote>
  <w:footnote w:id="23">
    <w:p w:rsidR="00F7325C" w:rsidRPr="000578AC" w:rsidRDefault="00F7325C">
      <w:pPr>
        <w:pStyle w:val="FootnoteText"/>
        <w:rPr>
          <w:rFonts w:ascii="Palatino Linotype" w:hAnsi="Palatino Linotype"/>
          <w:lang w:val="fr-FR"/>
        </w:rPr>
      </w:pPr>
      <w:r w:rsidRPr="000578AC">
        <w:rPr>
          <w:rStyle w:val="FootnoteReference"/>
          <w:rFonts w:ascii="Palatino Linotype" w:hAnsi="Palatino Linotype"/>
        </w:rPr>
        <w:footnoteRef/>
      </w:r>
      <w:r w:rsidRPr="000578AC">
        <w:rPr>
          <w:rFonts w:ascii="Palatino Linotype" w:hAnsi="Palatino Linotype"/>
          <w:lang w:val="fr-FR"/>
        </w:rPr>
        <w:t xml:space="preserve"> L. </w:t>
      </w:r>
      <w:proofErr w:type="spellStart"/>
      <w:r w:rsidRPr="000578AC">
        <w:rPr>
          <w:rFonts w:ascii="Palatino Linotype" w:hAnsi="Palatino Linotype"/>
          <w:lang w:val="fr-FR"/>
        </w:rPr>
        <w:t>McCcrimmon</w:t>
      </w:r>
      <w:proofErr w:type="spellEnd"/>
      <w:r w:rsidRPr="000578AC">
        <w:rPr>
          <w:rFonts w:ascii="Palatino Linotype" w:hAnsi="Palatino Linotype"/>
          <w:lang w:val="fr-FR"/>
        </w:rPr>
        <w:t xml:space="preserve"> </w:t>
      </w:r>
      <w:r w:rsidRPr="000578AC">
        <w:rPr>
          <w:rFonts w:ascii="Palatino Linotype" w:hAnsi="Palatino Linotype"/>
          <w:i/>
          <w:lang w:val="fr-FR"/>
        </w:rPr>
        <w:t xml:space="preserve">et al, </w:t>
      </w:r>
      <w:r w:rsidRPr="000578AC">
        <w:rPr>
          <w:rFonts w:ascii="Palatino Linotype" w:hAnsi="Palatino Linotype"/>
          <w:lang w:val="fr-FR"/>
        </w:rPr>
        <w:t xml:space="preserve">op. </w:t>
      </w:r>
      <w:proofErr w:type="spellStart"/>
      <w:r w:rsidRPr="000578AC">
        <w:rPr>
          <w:rFonts w:ascii="Palatino Linotype" w:hAnsi="Palatino Linotype"/>
          <w:lang w:val="fr-FR"/>
        </w:rPr>
        <w:t>cit</w:t>
      </w:r>
      <w:proofErr w:type="spellEnd"/>
      <w:r w:rsidRPr="000578AC">
        <w:rPr>
          <w:rFonts w:ascii="Palatino Linotype" w:hAnsi="Palatino Linotype"/>
          <w:lang w:val="fr-FR"/>
        </w:rPr>
        <w:t>.</w:t>
      </w:r>
      <w:r w:rsidRPr="000578AC">
        <w:rPr>
          <w:rFonts w:ascii="Palatino Linotype" w:hAnsi="Palatino Linotype"/>
          <w:i/>
          <w:lang w:val="fr-FR"/>
        </w:rPr>
        <w:t xml:space="preserve"> </w:t>
      </w:r>
      <w:r w:rsidRPr="000578AC">
        <w:rPr>
          <w:rFonts w:ascii="Palatino Linotype" w:hAnsi="Palatino Linotype"/>
          <w:lang w:val="fr-FR"/>
        </w:rPr>
        <w:t>p. 36</w:t>
      </w:r>
    </w:p>
  </w:footnote>
  <w:footnote w:id="2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H. </w:t>
      </w:r>
      <w:proofErr w:type="spellStart"/>
      <w:r w:rsidRPr="000578AC">
        <w:rPr>
          <w:rFonts w:ascii="Palatino Linotype" w:hAnsi="Palatino Linotype"/>
        </w:rPr>
        <w:t>Brayne</w:t>
      </w:r>
      <w:proofErr w:type="spellEnd"/>
      <w:r w:rsidRPr="000578AC">
        <w:rPr>
          <w:rFonts w:ascii="Palatino Linotype" w:hAnsi="Palatino Linotype"/>
        </w:rPr>
        <w:t xml:space="preserve">, N. Duncan and R. Grimes, </w:t>
      </w:r>
      <w:r w:rsidRPr="000578AC">
        <w:rPr>
          <w:rFonts w:ascii="Palatino Linotype" w:hAnsi="Palatino Linotype"/>
          <w:i/>
        </w:rPr>
        <w:t>Clinical Legal Education,</w:t>
      </w:r>
      <w:r w:rsidRPr="000578AC">
        <w:rPr>
          <w:rFonts w:ascii="Palatino Linotype" w:hAnsi="Palatino Linotype"/>
        </w:rPr>
        <w:t xml:space="preserve"> Blackstone Press (1998) p.3</w:t>
      </w:r>
    </w:p>
  </w:footnote>
  <w:footnote w:id="2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 </w:t>
      </w:r>
    </w:p>
  </w:footnote>
  <w:footnote w:id="2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In his Keynote Address at the 2017 </w:t>
      </w:r>
      <w:r w:rsidRPr="000578AC">
        <w:rPr>
          <w:rFonts w:ascii="Palatino Linotype" w:hAnsi="Palatino Linotype"/>
          <w:i/>
        </w:rPr>
        <w:t xml:space="preserve">International Journal of Clinical Legal Education </w:t>
      </w:r>
      <w:r w:rsidRPr="000578AC">
        <w:rPr>
          <w:rFonts w:ascii="Palatino Linotype" w:hAnsi="Palatino Linotype"/>
        </w:rPr>
        <w:t xml:space="preserve">Conference (Northumbria Univ. 2-5 July 2017) , Professor Kevin Kerrigan related several examples of non-legal clinical education schemes replete at institutions throughout the US and elsewhere, from medical science projects to Business School schemes (including a pet behaviour project!) Also, R.J. Wilson, op. cit. p.7 ‘…experience can be the most powerful teacher of all…’ </w:t>
      </w:r>
    </w:p>
  </w:footnote>
  <w:footnote w:id="2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Op. cit. p.1</w:t>
      </w:r>
    </w:p>
  </w:footnote>
  <w:footnote w:id="2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generally, D. A. Kolb, </w:t>
      </w:r>
      <w:r w:rsidRPr="000578AC">
        <w:rPr>
          <w:rFonts w:ascii="Palatino Linotype" w:hAnsi="Palatino Linotype"/>
          <w:i/>
        </w:rPr>
        <w:t xml:space="preserve">Experiential Learning: Experience as the Source of Learning and Development, </w:t>
      </w:r>
      <w:r w:rsidRPr="000578AC">
        <w:rPr>
          <w:rFonts w:ascii="Palatino Linotype" w:hAnsi="Palatino Linotype"/>
        </w:rPr>
        <w:t>Prentice Hall, (1984) p. 8</w:t>
      </w:r>
    </w:p>
  </w:footnote>
  <w:footnote w:id="2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r w:rsidRPr="000578AC">
        <w:rPr>
          <w:rFonts w:ascii="Palatino Linotype" w:hAnsi="Palatino Linotype"/>
          <w:i/>
        </w:rPr>
        <w:t xml:space="preserve">Handbook of Research on Improving Learning and Motivation, </w:t>
      </w:r>
      <w:r w:rsidRPr="000578AC">
        <w:rPr>
          <w:rFonts w:ascii="Palatino Linotype" w:hAnsi="Palatino Linotype"/>
        </w:rPr>
        <w:t>IGI Global (2011) p.1003</w:t>
      </w:r>
    </w:p>
  </w:footnote>
  <w:footnote w:id="3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K. Kerrigan and V. Murray (editors), </w:t>
      </w:r>
      <w:r w:rsidRPr="000578AC">
        <w:rPr>
          <w:rFonts w:ascii="Palatino Linotype" w:hAnsi="Palatino Linotype"/>
          <w:i/>
        </w:rPr>
        <w:t xml:space="preserve">A Student Guide to Clinical Legal Education and Pro Bono, </w:t>
      </w:r>
      <w:r w:rsidRPr="000578AC">
        <w:rPr>
          <w:rFonts w:ascii="Palatino Linotype" w:hAnsi="Palatino Linotype"/>
        </w:rPr>
        <w:t>Palgrave Macmillan (2011) p. 8. See note 13 above.</w:t>
      </w:r>
    </w:p>
  </w:footnote>
  <w:footnote w:id="3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Confederation of British Industry and National Union of Students, ‘Working towards your future; Making the most of your time in Higher Education’ (May 2011) </w:t>
      </w:r>
      <w:hyperlink r:id="rId6" w:history="1">
        <w:r w:rsidRPr="000578AC">
          <w:rPr>
            <w:rStyle w:val="Hyperlink"/>
            <w:rFonts w:ascii="Palatino Linotype" w:hAnsi="Palatino Linotype"/>
          </w:rPr>
          <w:t>http://www.nus.org.uk/Global/CBI_NUS_Employability%20report_May%202011.pdf</w:t>
        </w:r>
      </w:hyperlink>
      <w:r w:rsidRPr="000578AC">
        <w:rPr>
          <w:rFonts w:ascii="Palatino Linotype" w:hAnsi="Palatino Linotype"/>
        </w:rPr>
        <w:t xml:space="preserve"> </w:t>
      </w:r>
    </w:p>
  </w:footnote>
  <w:footnote w:id="3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M </w:t>
      </w:r>
      <w:proofErr w:type="spellStart"/>
      <w:r w:rsidRPr="000578AC">
        <w:rPr>
          <w:rFonts w:ascii="Palatino Linotype" w:hAnsi="Palatino Linotype"/>
        </w:rPr>
        <w:t>Yorke</w:t>
      </w:r>
      <w:proofErr w:type="spellEnd"/>
      <w:r w:rsidRPr="000578AC">
        <w:rPr>
          <w:rFonts w:ascii="Palatino Linotype" w:hAnsi="Palatino Linotype"/>
        </w:rPr>
        <w:t>, ‘Employability in Higher Education: What it is – what it is not.’ (Learning and Employability Series One, ESECT and HEA, 2006)</w:t>
      </w:r>
    </w:p>
  </w:footnote>
  <w:footnote w:id="3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E. Finch and S. </w:t>
      </w:r>
      <w:proofErr w:type="spellStart"/>
      <w:r w:rsidRPr="000578AC">
        <w:rPr>
          <w:rFonts w:ascii="Palatino Linotype" w:hAnsi="Palatino Linotype"/>
        </w:rPr>
        <w:t>Fafinski</w:t>
      </w:r>
      <w:proofErr w:type="spellEnd"/>
      <w:r w:rsidRPr="000578AC">
        <w:rPr>
          <w:rFonts w:ascii="Palatino Linotype" w:hAnsi="Palatino Linotype"/>
        </w:rPr>
        <w:t xml:space="preserve">, </w:t>
      </w:r>
      <w:r w:rsidRPr="000578AC">
        <w:rPr>
          <w:rFonts w:ascii="Palatino Linotype" w:hAnsi="Palatino Linotype"/>
          <w:i/>
        </w:rPr>
        <w:t xml:space="preserve">Employability Skills for Law Students, </w:t>
      </w:r>
      <w:r w:rsidRPr="000578AC">
        <w:rPr>
          <w:rFonts w:ascii="Palatino Linotype" w:hAnsi="Palatino Linotype"/>
        </w:rPr>
        <w:t>OUP (2014) P. 5</w:t>
      </w:r>
    </w:p>
  </w:footnote>
  <w:footnote w:id="3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r w:rsidRPr="000578AC">
        <w:rPr>
          <w:rFonts w:ascii="Palatino Linotype" w:hAnsi="Palatino Linotype"/>
          <w:i/>
        </w:rPr>
        <w:t>.</w:t>
      </w:r>
      <w:r w:rsidRPr="000578AC">
        <w:rPr>
          <w:rFonts w:ascii="Palatino Linotype" w:hAnsi="Palatino Linotype"/>
        </w:rPr>
        <w:t xml:space="preserve"> p 7</w:t>
      </w:r>
    </w:p>
  </w:footnote>
  <w:footnote w:id="3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Supra, note 14</w:t>
      </w:r>
    </w:p>
  </w:footnote>
  <w:footnote w:id="3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H. </w:t>
      </w:r>
      <w:proofErr w:type="spellStart"/>
      <w:r w:rsidRPr="000578AC">
        <w:rPr>
          <w:rFonts w:ascii="Palatino Linotype" w:hAnsi="Palatino Linotype"/>
        </w:rPr>
        <w:t>Brayne</w:t>
      </w:r>
      <w:proofErr w:type="spellEnd"/>
      <w:r w:rsidRPr="000578AC">
        <w:rPr>
          <w:rFonts w:ascii="Palatino Linotype" w:hAnsi="Palatino Linotype"/>
        </w:rPr>
        <w:t xml:space="preserve"> </w:t>
      </w:r>
      <w:r w:rsidRPr="000578AC">
        <w:rPr>
          <w:rFonts w:ascii="Palatino Linotype" w:hAnsi="Palatino Linotype"/>
          <w:i/>
        </w:rPr>
        <w:t xml:space="preserve">et al, </w:t>
      </w:r>
      <w:r w:rsidRPr="000578AC">
        <w:rPr>
          <w:rFonts w:ascii="Palatino Linotype" w:hAnsi="Palatino Linotype"/>
        </w:rPr>
        <w:t>op. cit</w:t>
      </w:r>
      <w:r w:rsidRPr="000578AC">
        <w:rPr>
          <w:rFonts w:ascii="Palatino Linotype" w:hAnsi="Palatino Linotype"/>
          <w:i/>
        </w:rPr>
        <w:t xml:space="preserve">. </w:t>
      </w:r>
      <w:r w:rsidRPr="000578AC">
        <w:rPr>
          <w:rFonts w:ascii="Palatino Linotype" w:hAnsi="Palatino Linotype"/>
        </w:rPr>
        <w:t>p.10</w:t>
      </w:r>
    </w:p>
  </w:footnote>
  <w:footnote w:id="3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Op. cit</w:t>
      </w:r>
      <w:r w:rsidRPr="000578AC">
        <w:rPr>
          <w:rFonts w:ascii="Palatino Linotype" w:hAnsi="Palatino Linotype"/>
          <w:i/>
        </w:rPr>
        <w:t xml:space="preserve">. </w:t>
      </w:r>
      <w:r w:rsidRPr="000578AC">
        <w:rPr>
          <w:rFonts w:ascii="Palatino Linotype" w:hAnsi="Palatino Linotype"/>
        </w:rPr>
        <w:t>pp. 6-9</w:t>
      </w:r>
    </w:p>
  </w:footnote>
  <w:footnote w:id="3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J. Giddings, ‘A Circle Game: Issues in Australian Legal Education’ (1999) in </w:t>
      </w:r>
      <w:r w:rsidRPr="000578AC">
        <w:rPr>
          <w:rFonts w:ascii="Palatino Linotype" w:hAnsi="Palatino Linotype"/>
          <w:i/>
        </w:rPr>
        <w:t>10 Legal Education Rev.</w:t>
      </w:r>
      <w:r w:rsidRPr="000578AC">
        <w:rPr>
          <w:rFonts w:ascii="Palatino Linotype" w:hAnsi="Palatino Linotype"/>
        </w:rPr>
        <w:t xml:space="preserve"> p.35</w:t>
      </w:r>
    </w:p>
  </w:footnote>
  <w:footnote w:id="39">
    <w:p w:rsidR="00F7325C" w:rsidRPr="000578AC" w:rsidRDefault="00F7325C">
      <w:pPr>
        <w:pStyle w:val="FootnoteText"/>
        <w:rPr>
          <w:rFonts w:ascii="Palatino Linotype" w:hAnsi="Palatino Linotype"/>
          <w:lang w:val="fr-FR"/>
        </w:rPr>
      </w:pPr>
      <w:r w:rsidRPr="000578AC">
        <w:rPr>
          <w:rStyle w:val="FootnoteReference"/>
          <w:rFonts w:ascii="Palatino Linotype" w:hAnsi="Palatino Linotype"/>
        </w:rPr>
        <w:footnoteRef/>
      </w:r>
      <w:r w:rsidRPr="000578AC">
        <w:rPr>
          <w:rFonts w:ascii="Palatino Linotype" w:hAnsi="Palatino Linotype"/>
          <w:lang w:val="fr-FR"/>
        </w:rPr>
        <w:t xml:space="preserve"> L. McCrimmon </w:t>
      </w:r>
      <w:r w:rsidRPr="000578AC">
        <w:rPr>
          <w:rFonts w:ascii="Palatino Linotype" w:hAnsi="Palatino Linotype"/>
          <w:i/>
          <w:lang w:val="fr-FR"/>
        </w:rPr>
        <w:t xml:space="preserve">et al, </w:t>
      </w:r>
      <w:r w:rsidRPr="000578AC">
        <w:rPr>
          <w:rFonts w:ascii="Palatino Linotype" w:hAnsi="Palatino Linotype"/>
          <w:lang w:val="fr-FR"/>
        </w:rPr>
        <w:t xml:space="preserve">op. </w:t>
      </w:r>
      <w:proofErr w:type="spellStart"/>
      <w:r w:rsidRPr="000578AC">
        <w:rPr>
          <w:rFonts w:ascii="Palatino Linotype" w:hAnsi="Palatino Linotype"/>
          <w:lang w:val="fr-FR"/>
        </w:rPr>
        <w:t>cit</w:t>
      </w:r>
      <w:proofErr w:type="spellEnd"/>
      <w:r w:rsidRPr="000578AC">
        <w:rPr>
          <w:rFonts w:ascii="Palatino Linotype" w:hAnsi="Palatino Linotype"/>
          <w:lang w:val="fr-FR"/>
        </w:rPr>
        <w:t>.</w:t>
      </w:r>
      <w:r w:rsidRPr="000578AC">
        <w:rPr>
          <w:rFonts w:ascii="Palatino Linotype" w:hAnsi="Palatino Linotype"/>
          <w:i/>
          <w:lang w:val="fr-FR"/>
        </w:rPr>
        <w:t xml:space="preserve"> </w:t>
      </w:r>
      <w:r w:rsidRPr="000578AC">
        <w:rPr>
          <w:rFonts w:ascii="Palatino Linotype" w:hAnsi="Palatino Linotype"/>
          <w:lang w:val="fr-FR"/>
        </w:rPr>
        <w:t>pp. 40-41</w:t>
      </w:r>
    </w:p>
  </w:footnote>
  <w:footnote w:id="40">
    <w:p w:rsidR="00F7325C" w:rsidRPr="000578AC" w:rsidRDefault="00F7325C">
      <w:pPr>
        <w:pStyle w:val="FootnoteText"/>
        <w:rPr>
          <w:rFonts w:ascii="Palatino Linotype" w:hAnsi="Palatino Linotype"/>
          <w:i/>
        </w:rPr>
      </w:pPr>
      <w:r w:rsidRPr="000578AC">
        <w:rPr>
          <w:rStyle w:val="FootnoteReference"/>
          <w:rFonts w:ascii="Palatino Linotype" w:hAnsi="Palatino Linotype"/>
        </w:rPr>
        <w:footnoteRef/>
      </w:r>
      <w:r w:rsidRPr="000578AC">
        <w:rPr>
          <w:rFonts w:ascii="Palatino Linotype" w:hAnsi="Palatino Linotype"/>
        </w:rPr>
        <w:t xml:space="preserve"> See generally, </w:t>
      </w:r>
      <w:proofErr w:type="spellStart"/>
      <w:r w:rsidRPr="000578AC">
        <w:rPr>
          <w:rFonts w:ascii="Palatino Linotype" w:hAnsi="Palatino Linotype"/>
        </w:rPr>
        <w:t>Brayne</w:t>
      </w:r>
      <w:proofErr w:type="spellEnd"/>
      <w:r w:rsidRPr="000578AC">
        <w:rPr>
          <w:rFonts w:ascii="Palatino Linotype" w:hAnsi="Palatino Linotype"/>
        </w:rPr>
        <w:t xml:space="preserve"> </w:t>
      </w:r>
      <w:r w:rsidRPr="000578AC">
        <w:rPr>
          <w:rFonts w:ascii="Palatino Linotype" w:hAnsi="Palatino Linotype"/>
          <w:i/>
        </w:rPr>
        <w:t xml:space="preserve">et al, </w:t>
      </w:r>
      <w:r w:rsidRPr="000578AC">
        <w:rPr>
          <w:rFonts w:ascii="Palatino Linotype" w:hAnsi="Palatino Linotype"/>
        </w:rPr>
        <w:t>op. cit</w:t>
      </w:r>
      <w:r w:rsidRPr="000578AC">
        <w:rPr>
          <w:rFonts w:ascii="Palatino Linotype" w:hAnsi="Palatino Linotype"/>
          <w:i/>
        </w:rPr>
        <w:t xml:space="preserve">. </w:t>
      </w:r>
      <w:r w:rsidRPr="000578AC">
        <w:rPr>
          <w:rFonts w:ascii="Palatino Linotype" w:hAnsi="Palatino Linotype"/>
        </w:rPr>
        <w:t xml:space="preserve">and Kerrigan &amp; Murray, </w:t>
      </w:r>
      <w:r w:rsidRPr="000578AC">
        <w:rPr>
          <w:rFonts w:ascii="Palatino Linotype" w:hAnsi="Palatino Linotype"/>
          <w:i/>
        </w:rPr>
        <w:t xml:space="preserve">op. cit. </w:t>
      </w:r>
      <w:r w:rsidRPr="000578AC">
        <w:rPr>
          <w:rFonts w:ascii="Palatino Linotype" w:hAnsi="Palatino Linotype"/>
        </w:rPr>
        <w:t xml:space="preserve">See also, F. Bloc, </w:t>
      </w:r>
      <w:r w:rsidRPr="000578AC">
        <w:rPr>
          <w:rFonts w:ascii="Palatino Linotype" w:hAnsi="Palatino Linotype"/>
          <w:i/>
        </w:rPr>
        <w:t>op. cit.</w:t>
      </w:r>
    </w:p>
  </w:footnote>
  <w:footnote w:id="4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proofErr w:type="spellStart"/>
      <w:r w:rsidRPr="000578AC">
        <w:rPr>
          <w:rFonts w:ascii="Palatino Linotype" w:hAnsi="Palatino Linotype"/>
        </w:rPr>
        <w:t>Brayne</w:t>
      </w:r>
      <w:proofErr w:type="spellEnd"/>
      <w:r w:rsidRPr="000578AC">
        <w:rPr>
          <w:rFonts w:ascii="Palatino Linotype" w:hAnsi="Palatino Linotype"/>
        </w:rPr>
        <w:t xml:space="preserve"> </w:t>
      </w:r>
      <w:r w:rsidRPr="000578AC">
        <w:rPr>
          <w:rFonts w:ascii="Palatino Linotype" w:hAnsi="Palatino Linotype"/>
          <w:i/>
        </w:rPr>
        <w:t>et al</w:t>
      </w:r>
      <w:r w:rsidRPr="000578AC">
        <w:rPr>
          <w:rFonts w:ascii="Palatino Linotype" w:hAnsi="Palatino Linotype"/>
        </w:rPr>
        <w:t>, op. cit</w:t>
      </w:r>
      <w:r w:rsidRPr="000578AC">
        <w:rPr>
          <w:rFonts w:ascii="Palatino Linotype" w:hAnsi="Palatino Linotype"/>
          <w:i/>
        </w:rPr>
        <w:t>.</w:t>
      </w:r>
      <w:r w:rsidRPr="000578AC">
        <w:rPr>
          <w:rFonts w:ascii="Palatino Linotype" w:hAnsi="Palatino Linotype"/>
        </w:rPr>
        <w:t xml:space="preserve"> p.10 </w:t>
      </w:r>
    </w:p>
  </w:footnote>
  <w:footnote w:id="4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‘Higher Education 2022 – Priorities for Government’ </w:t>
      </w:r>
      <w:proofErr w:type="spellStart"/>
      <w:r w:rsidRPr="000578AC">
        <w:rPr>
          <w:rFonts w:ascii="Palatino Linotype" w:hAnsi="Palatino Linotype"/>
          <w:i/>
        </w:rPr>
        <w:t>GuildHE</w:t>
      </w:r>
      <w:proofErr w:type="spellEnd"/>
      <w:r w:rsidRPr="000578AC">
        <w:rPr>
          <w:rFonts w:ascii="Palatino Linotype" w:hAnsi="Palatino Linotype"/>
        </w:rPr>
        <w:t>/30 May 2017</w:t>
      </w:r>
    </w:p>
  </w:footnote>
  <w:footnote w:id="43">
    <w:p w:rsidR="00F7325C" w:rsidRPr="000578AC" w:rsidRDefault="00F7325C">
      <w:pPr>
        <w:pStyle w:val="FootnoteText"/>
        <w:rPr>
          <w:rFonts w:ascii="Palatino Linotype" w:hAnsi="Palatino Linotype"/>
          <w:i/>
        </w:rPr>
      </w:pPr>
      <w:r w:rsidRPr="000578AC">
        <w:rPr>
          <w:rStyle w:val="FootnoteReference"/>
          <w:rFonts w:ascii="Palatino Linotype" w:hAnsi="Palatino Linotype"/>
        </w:rPr>
        <w:footnoteRef/>
      </w:r>
      <w:r w:rsidRPr="000578AC">
        <w:rPr>
          <w:rFonts w:ascii="Palatino Linotype" w:hAnsi="Palatino Linotype"/>
        </w:rPr>
        <w:t xml:space="preserve"> See R.J</w:t>
      </w:r>
      <w:r w:rsidR="0062005C" w:rsidRPr="000578AC">
        <w:rPr>
          <w:rFonts w:ascii="Palatino Linotype" w:hAnsi="Palatino Linotype"/>
        </w:rPr>
        <w:t>.</w:t>
      </w:r>
      <w:r w:rsidRPr="000578AC">
        <w:rPr>
          <w:rFonts w:ascii="Palatino Linotype" w:hAnsi="Palatino Linotype"/>
        </w:rPr>
        <w:t xml:space="preserve"> Wilson, op. cit</w:t>
      </w:r>
      <w:r w:rsidRPr="000578AC">
        <w:rPr>
          <w:rFonts w:ascii="Palatino Linotype" w:hAnsi="Palatino Linotype"/>
          <w:i/>
        </w:rPr>
        <w:t xml:space="preserve">. </w:t>
      </w:r>
      <w:r w:rsidRPr="000578AC">
        <w:rPr>
          <w:rFonts w:ascii="Palatino Linotype" w:hAnsi="Palatino Linotype"/>
        </w:rPr>
        <w:t>part II p 149. Also, R. Dunn, ‘The Taxonomy of Clinics: The Realities and Risks of All Forms of Clinical Legal Education’, Asian</w:t>
      </w:r>
      <w:r w:rsidRPr="000578AC">
        <w:rPr>
          <w:rFonts w:ascii="Palatino Linotype" w:hAnsi="Palatino Linotype"/>
          <w:i/>
        </w:rPr>
        <w:t xml:space="preserve"> Journal of Clinical Legal Education</w:t>
      </w:r>
      <w:r w:rsidRPr="000578AC">
        <w:rPr>
          <w:rFonts w:ascii="Palatino Linotype" w:hAnsi="Palatino Linotype"/>
        </w:rPr>
        <w:t xml:space="preserve"> 3 (2) 174-187 (2016)</w:t>
      </w:r>
    </w:p>
  </w:footnote>
  <w:footnote w:id="44">
    <w:p w:rsidR="00F7325C" w:rsidRPr="000578AC" w:rsidRDefault="00F7325C">
      <w:pPr>
        <w:pStyle w:val="FootnoteText"/>
        <w:rPr>
          <w:rFonts w:ascii="Palatino Linotype" w:hAnsi="Palatino Linotype"/>
          <w:lang w:val="fr-FR"/>
        </w:rPr>
      </w:pPr>
      <w:r w:rsidRPr="000578AC">
        <w:rPr>
          <w:rStyle w:val="FootnoteReference"/>
          <w:rFonts w:ascii="Palatino Linotype" w:hAnsi="Palatino Linotype"/>
        </w:rPr>
        <w:footnoteRef/>
      </w:r>
      <w:r w:rsidRPr="000578AC">
        <w:rPr>
          <w:rFonts w:ascii="Palatino Linotype" w:hAnsi="Palatino Linotype"/>
          <w:lang w:val="fr-FR"/>
        </w:rPr>
        <w:t xml:space="preserve"> </w:t>
      </w:r>
      <w:proofErr w:type="spellStart"/>
      <w:r w:rsidRPr="000578AC">
        <w:rPr>
          <w:rFonts w:ascii="Palatino Linotype" w:hAnsi="Palatino Linotype"/>
          <w:lang w:val="fr-FR"/>
        </w:rPr>
        <w:t>Brayne</w:t>
      </w:r>
      <w:proofErr w:type="spellEnd"/>
      <w:r w:rsidRPr="000578AC">
        <w:rPr>
          <w:rFonts w:ascii="Palatino Linotype" w:hAnsi="Palatino Linotype"/>
          <w:lang w:val="fr-FR"/>
        </w:rPr>
        <w:t xml:space="preserve"> </w:t>
      </w:r>
      <w:r w:rsidRPr="000578AC">
        <w:rPr>
          <w:rFonts w:ascii="Palatino Linotype" w:hAnsi="Palatino Linotype"/>
          <w:i/>
          <w:lang w:val="fr-FR"/>
        </w:rPr>
        <w:t xml:space="preserve">et al, </w:t>
      </w:r>
      <w:r w:rsidRPr="000578AC">
        <w:rPr>
          <w:rFonts w:ascii="Palatino Linotype" w:hAnsi="Palatino Linotype"/>
          <w:lang w:val="fr-FR"/>
        </w:rPr>
        <w:t xml:space="preserve">op. </w:t>
      </w:r>
      <w:proofErr w:type="spellStart"/>
      <w:r w:rsidRPr="000578AC">
        <w:rPr>
          <w:rFonts w:ascii="Palatino Linotype" w:hAnsi="Palatino Linotype"/>
          <w:lang w:val="fr-FR"/>
        </w:rPr>
        <w:t>cit</w:t>
      </w:r>
      <w:proofErr w:type="spellEnd"/>
      <w:r w:rsidRPr="000578AC">
        <w:rPr>
          <w:rFonts w:ascii="Palatino Linotype" w:hAnsi="Palatino Linotype"/>
          <w:i/>
          <w:lang w:val="fr-FR"/>
        </w:rPr>
        <w:t xml:space="preserve">. </w:t>
      </w:r>
      <w:r w:rsidRPr="000578AC">
        <w:rPr>
          <w:rFonts w:ascii="Palatino Linotype" w:hAnsi="Palatino Linotype"/>
          <w:lang w:val="fr-FR"/>
        </w:rPr>
        <w:t>p. 12</w:t>
      </w:r>
    </w:p>
  </w:footnote>
  <w:footnote w:id="4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Kerrigan and Murray, op. cit.</w:t>
      </w:r>
      <w:r w:rsidRPr="000578AC">
        <w:rPr>
          <w:rFonts w:ascii="Palatino Linotype" w:hAnsi="Palatino Linotype"/>
          <w:i/>
        </w:rPr>
        <w:t xml:space="preserve"> </w:t>
      </w:r>
      <w:r w:rsidRPr="000578AC">
        <w:rPr>
          <w:rFonts w:ascii="Palatino Linotype" w:hAnsi="Palatino Linotype"/>
        </w:rPr>
        <w:t>p. 1</w:t>
      </w:r>
    </w:p>
  </w:footnote>
  <w:footnote w:id="4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York Law School clinic</w:t>
      </w:r>
    </w:p>
  </w:footnote>
  <w:footnote w:id="4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R. Grimes, D. McQuoid-Mason, E. O’Brien and J. Zimmer, ‘Street Law and Social Justice Education’ in F. Bloc (ed.) </w:t>
      </w:r>
      <w:r w:rsidRPr="000578AC">
        <w:rPr>
          <w:rFonts w:ascii="Palatino Linotype" w:hAnsi="Palatino Linotype"/>
          <w:i/>
        </w:rPr>
        <w:t xml:space="preserve">The Global Clinical Movement: Educating Lawyers for Social Justice, </w:t>
      </w:r>
      <w:r w:rsidRPr="000578AC">
        <w:rPr>
          <w:rFonts w:ascii="Palatino Linotype" w:hAnsi="Palatino Linotype"/>
        </w:rPr>
        <w:t>op. cit</w:t>
      </w:r>
      <w:r w:rsidRPr="000578AC">
        <w:rPr>
          <w:rFonts w:ascii="Palatino Linotype" w:hAnsi="Palatino Linotype"/>
          <w:i/>
        </w:rPr>
        <w:t xml:space="preserve">. </w:t>
      </w:r>
      <w:r w:rsidRPr="000578AC">
        <w:rPr>
          <w:rFonts w:ascii="Palatino Linotype" w:hAnsi="Palatino Linotype"/>
        </w:rPr>
        <w:t>Chap. 15</w:t>
      </w:r>
    </w:p>
  </w:footnote>
  <w:footnote w:id="48">
    <w:p w:rsidR="00F7325C" w:rsidRPr="000578AC" w:rsidRDefault="00F7325C">
      <w:pPr>
        <w:pStyle w:val="FootnoteText"/>
        <w:rPr>
          <w:rFonts w:ascii="Palatino Linotype" w:hAnsi="Palatino Linotype"/>
          <w:i/>
        </w:rPr>
      </w:pPr>
      <w:r w:rsidRPr="000578AC">
        <w:rPr>
          <w:rStyle w:val="FootnoteReference"/>
          <w:rFonts w:ascii="Palatino Linotype" w:hAnsi="Palatino Linotype"/>
        </w:rPr>
        <w:footnoteRef/>
      </w:r>
      <w:r w:rsidRPr="000578AC">
        <w:rPr>
          <w:rFonts w:ascii="Palatino Linotype" w:hAnsi="Palatino Linotype"/>
        </w:rPr>
        <w:t xml:space="preserve"> </w:t>
      </w:r>
      <w:r w:rsidRPr="000578AC">
        <w:rPr>
          <w:rFonts w:ascii="Palatino Linotype" w:hAnsi="Palatino Linotype"/>
          <w:i/>
        </w:rPr>
        <w:t>Global Evolution of Clinical Legal Education</w:t>
      </w:r>
      <w:r w:rsidR="0062005C" w:rsidRPr="000578AC">
        <w:rPr>
          <w:rFonts w:ascii="Palatino Linotype" w:hAnsi="Palatino Linotype"/>
        </w:rPr>
        <w:t>, op. cit. notes 3, 4 and 43.</w:t>
      </w:r>
    </w:p>
  </w:footnote>
  <w:footnote w:id="4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Op. cit</w:t>
      </w:r>
      <w:r w:rsidR="0062005C" w:rsidRPr="000578AC">
        <w:rPr>
          <w:rFonts w:ascii="Palatino Linotype" w:hAnsi="Palatino Linotype"/>
        </w:rPr>
        <w:t>., note 18.</w:t>
      </w:r>
    </w:p>
  </w:footnote>
  <w:footnote w:id="50">
    <w:p w:rsidR="0062005C" w:rsidRPr="000578AC" w:rsidRDefault="006200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p>
  </w:footnote>
  <w:footnote w:id="5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Now renamed West London Equality Centre (WLEC).</w:t>
      </w:r>
    </w:p>
  </w:footnote>
  <w:footnote w:id="5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The following extract from the 2017 Annual Report presented at its AGM on 8</w:t>
      </w:r>
      <w:r w:rsidRPr="000578AC">
        <w:rPr>
          <w:rFonts w:ascii="Palatino Linotype" w:hAnsi="Palatino Linotype"/>
          <w:vertAlign w:val="superscript"/>
        </w:rPr>
        <w:t>th</w:t>
      </w:r>
      <w:r w:rsidRPr="000578AC">
        <w:rPr>
          <w:rFonts w:ascii="Palatino Linotype" w:hAnsi="Palatino Linotype"/>
        </w:rPr>
        <w:t xml:space="preserve"> November 2017, is indicative of the nature of the functioning of CAP’s partner organisation: “…our work targets the poor and disadvantaged and the newly-arrived. Ealing ranks as the third most ethnically diverse local authority (in the UK) – migrants of more than 102 nationalities have arrived in the borough due to the refugee crisis and the Referendum. We have seen many EU immigrants, newly-arrived refugees and undocumented migrants accessing the service for immigration and nationality advice.” For a profile of the London Borough of Ealing, see: </w:t>
      </w:r>
      <w:hyperlink r:id="rId7" w:history="1">
        <w:r w:rsidRPr="000578AC">
          <w:rPr>
            <w:rStyle w:val="Hyperlink"/>
            <w:rFonts w:ascii="Palatino Linotype" w:hAnsi="Palatino Linotype"/>
          </w:rPr>
          <w:t>https://www.ealing.gov.uk/info/201048/ealing_facts_and_figures</w:t>
        </w:r>
      </w:hyperlink>
      <w:r w:rsidRPr="000578AC">
        <w:rPr>
          <w:rFonts w:ascii="Palatino Linotype" w:hAnsi="Palatino Linotype"/>
        </w:rPr>
        <w:t xml:space="preserve"> </w:t>
      </w:r>
    </w:p>
  </w:footnote>
  <w:footnote w:id="5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 a comprehensive account, see Director’s Report and Report of Projects and Operations officer in 2016/2017 Annual Report: </w:t>
      </w:r>
      <w:hyperlink r:id="rId8" w:history="1">
        <w:r w:rsidRPr="000578AC">
          <w:rPr>
            <w:rStyle w:val="Hyperlink"/>
            <w:rFonts w:ascii="Palatino Linotype" w:hAnsi="Palatino Linotype"/>
          </w:rPr>
          <w:t>http://ealingequalitycouncil.org.uk/wp-content/uploads/2018/01/Annual-Report-2016-2017-Final-09.11.2017.pdf</w:t>
        </w:r>
      </w:hyperlink>
      <w:r w:rsidRPr="000578AC">
        <w:rPr>
          <w:rFonts w:ascii="Palatino Linotype" w:hAnsi="Palatino Linotype"/>
        </w:rPr>
        <w:t xml:space="preserve"> </w:t>
      </w:r>
    </w:p>
  </w:footnote>
  <w:footnote w:id="5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hyperlink r:id="rId9" w:history="1">
        <w:r w:rsidRPr="000578AC">
          <w:rPr>
            <w:rStyle w:val="Hyperlink"/>
            <w:rFonts w:ascii="Palatino Linotype" w:hAnsi="Palatino Linotype"/>
          </w:rPr>
          <w:t>http://ccrc.gov.uk/about-us/</w:t>
        </w:r>
      </w:hyperlink>
      <w:r w:rsidRPr="000578AC">
        <w:rPr>
          <w:rFonts w:ascii="Palatino Linotype" w:hAnsi="Palatino Linotype"/>
        </w:rPr>
        <w:t xml:space="preserve"> </w:t>
      </w:r>
    </w:p>
  </w:footnote>
  <w:footnote w:id="5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Community Legal Advice, UWL Module Study Guide 2017/18 p.28</w:t>
      </w:r>
    </w:p>
  </w:footnote>
  <w:footnote w:id="5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hyperlink r:id="rId10" w:history="1">
        <w:r w:rsidRPr="000578AC">
          <w:rPr>
            <w:rStyle w:val="Hyperlink"/>
            <w:rFonts w:ascii="Palatino Linotype" w:hAnsi="Palatino Linotype"/>
          </w:rPr>
          <w:t>https://www.sra.org.uk/SearchResult.aspx?q=alternative+to+training+contract</w:t>
        </w:r>
      </w:hyperlink>
      <w:r w:rsidRPr="000578AC">
        <w:rPr>
          <w:rFonts w:ascii="Palatino Linotype" w:hAnsi="Palatino Linotype"/>
        </w:rPr>
        <w:t xml:space="preserve"> </w:t>
      </w:r>
    </w:p>
  </w:footnote>
  <w:footnote w:id="5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Tatyana </w:t>
      </w:r>
      <w:proofErr w:type="spellStart"/>
      <w:r w:rsidRPr="000578AC">
        <w:rPr>
          <w:rFonts w:ascii="Palatino Linotype" w:hAnsi="Palatino Linotype"/>
        </w:rPr>
        <w:t>Khudoykina</w:t>
      </w:r>
      <w:proofErr w:type="spellEnd"/>
      <w:r w:rsidRPr="000578AC">
        <w:rPr>
          <w:rFonts w:ascii="Palatino Linotype" w:hAnsi="Palatino Linotype"/>
        </w:rPr>
        <w:t xml:space="preserve"> and </w:t>
      </w:r>
      <w:proofErr w:type="spellStart"/>
      <w:r w:rsidRPr="000578AC">
        <w:rPr>
          <w:rFonts w:ascii="Palatino Linotype" w:hAnsi="Palatino Linotype"/>
        </w:rPr>
        <w:t>Vlalena</w:t>
      </w:r>
      <w:proofErr w:type="spellEnd"/>
      <w:r w:rsidRPr="000578AC">
        <w:rPr>
          <w:rFonts w:ascii="Palatino Linotype" w:hAnsi="Palatino Linotype"/>
        </w:rPr>
        <w:t xml:space="preserve"> Lysenko, ‘Development of Clinical Legal Studies as an Essential Component in the Modernization of Legal Education’ in </w:t>
      </w:r>
      <w:hyperlink r:id="rId11" w:history="1">
        <w:proofErr w:type="spellStart"/>
        <w:r w:rsidRPr="000578AC">
          <w:rPr>
            <w:rStyle w:val="Hyperlink"/>
            <w:rFonts w:ascii="Palatino Linotype" w:hAnsi="Palatino Linotype"/>
            <w:i/>
          </w:rPr>
          <w:t>Integraciâ</w:t>
        </w:r>
        <w:proofErr w:type="spellEnd"/>
        <w:r w:rsidRPr="000578AC">
          <w:rPr>
            <w:rStyle w:val="Hyperlink"/>
            <w:rFonts w:ascii="Palatino Linotype" w:hAnsi="Palatino Linotype"/>
            <w:i/>
          </w:rPr>
          <w:t xml:space="preserve"> </w:t>
        </w:r>
        <w:proofErr w:type="spellStart"/>
        <w:r w:rsidRPr="000578AC">
          <w:rPr>
            <w:rStyle w:val="Hyperlink"/>
            <w:rFonts w:ascii="Palatino Linotype" w:hAnsi="Palatino Linotype"/>
            <w:i/>
          </w:rPr>
          <w:t>Obrazovaniâ</w:t>
        </w:r>
        <w:proofErr w:type="spellEnd"/>
      </w:hyperlink>
      <w:r w:rsidRPr="000578AC">
        <w:rPr>
          <w:rFonts w:ascii="Palatino Linotype" w:hAnsi="Palatino Linotype"/>
          <w:i/>
        </w:rPr>
        <w:t xml:space="preserve"> </w:t>
      </w:r>
      <w:r w:rsidRPr="000578AC">
        <w:rPr>
          <w:rFonts w:ascii="Palatino Linotype" w:hAnsi="Palatino Linotype"/>
        </w:rPr>
        <w:t>(</w:t>
      </w:r>
      <w:r w:rsidR="00AE6E17" w:rsidRPr="000578AC">
        <w:rPr>
          <w:rFonts w:ascii="Palatino Linotype" w:hAnsi="Palatino Linotype"/>
        </w:rPr>
        <w:t>Mordovia</w:t>
      </w:r>
      <w:r w:rsidRPr="000578AC">
        <w:rPr>
          <w:rFonts w:ascii="Palatino Linotype" w:hAnsi="Palatino Linotype"/>
        </w:rPr>
        <w:t xml:space="preserve"> State University)</w:t>
      </w:r>
      <w:r w:rsidRPr="000578AC">
        <w:rPr>
          <w:rFonts w:ascii="Palatino Linotype" w:hAnsi="Palatino Linotype"/>
          <w:i/>
        </w:rPr>
        <w:t xml:space="preserve"> </w:t>
      </w:r>
      <w:r w:rsidRPr="000578AC">
        <w:rPr>
          <w:rFonts w:ascii="Palatino Linotype" w:hAnsi="Palatino Linotype"/>
        </w:rPr>
        <w:t xml:space="preserve">2017;21(1):124-137. Also </w:t>
      </w:r>
      <w:proofErr w:type="spellStart"/>
      <w:r w:rsidRPr="000578AC">
        <w:rPr>
          <w:rFonts w:ascii="Palatino Linotype" w:hAnsi="Palatino Linotype"/>
        </w:rPr>
        <w:t>Hannemann</w:t>
      </w:r>
      <w:proofErr w:type="spellEnd"/>
      <w:r w:rsidRPr="000578AC">
        <w:rPr>
          <w:rFonts w:ascii="Palatino Linotype" w:hAnsi="Palatino Linotype"/>
        </w:rPr>
        <w:t xml:space="preserve"> and Lampe,  </w:t>
      </w:r>
      <w:r w:rsidRPr="000578AC">
        <w:rPr>
          <w:rFonts w:ascii="Palatino Linotype" w:hAnsi="Palatino Linotype"/>
          <w:bCs/>
        </w:rPr>
        <w:t xml:space="preserve">‘Clinical Legal Education — Observing, Comparing and </w:t>
      </w:r>
      <w:proofErr w:type="spellStart"/>
      <w:r w:rsidRPr="000578AC">
        <w:rPr>
          <w:rFonts w:ascii="Palatino Linotype" w:hAnsi="Palatino Linotype"/>
          <w:bCs/>
        </w:rPr>
        <w:t>Analyzing</w:t>
      </w:r>
      <w:proofErr w:type="spellEnd"/>
      <w:r w:rsidRPr="000578AC">
        <w:rPr>
          <w:rFonts w:ascii="Palatino Linotype" w:hAnsi="Palatino Linotype"/>
          <w:bCs/>
        </w:rPr>
        <w:t xml:space="preserve"> the Differences in Germany and China for each other’s Respective Advantages’, </w:t>
      </w:r>
      <w:r w:rsidRPr="000578AC">
        <w:rPr>
          <w:rFonts w:ascii="Palatino Linotype" w:hAnsi="Palatino Linotype"/>
          <w:bCs/>
          <w:i/>
        </w:rPr>
        <w:t xml:space="preserve">Asian Journal of Legal Education </w:t>
      </w:r>
      <w:r w:rsidRPr="000578AC">
        <w:rPr>
          <w:rFonts w:ascii="Palatino Linotype" w:hAnsi="Palatino Linotype"/>
          <w:bCs/>
        </w:rPr>
        <w:t>Vol. 2, Issue 2 (2015) p 157-169. See also more generally R.J. Wilson, op. cit.</w:t>
      </w:r>
      <w:r w:rsidRPr="000578AC">
        <w:rPr>
          <w:rFonts w:ascii="Palatino Linotype" w:hAnsi="Palatino Linotype"/>
          <w:bCs/>
          <w:i/>
        </w:rPr>
        <w:t xml:space="preserve"> </w:t>
      </w:r>
      <w:r w:rsidRPr="000578AC">
        <w:rPr>
          <w:rFonts w:ascii="Palatino Linotype" w:hAnsi="Palatino Linotype"/>
          <w:bCs/>
        </w:rPr>
        <w:t>note 5.</w:t>
      </w:r>
    </w:p>
  </w:footnote>
  <w:footnote w:id="5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K. Marx, </w:t>
      </w:r>
      <w:r w:rsidRPr="000578AC">
        <w:rPr>
          <w:rFonts w:ascii="Palatino Linotype" w:hAnsi="Palatino Linotype"/>
          <w:i/>
        </w:rPr>
        <w:t xml:space="preserve">Capital Vol. 1, </w:t>
      </w:r>
      <w:r w:rsidRPr="000578AC">
        <w:rPr>
          <w:rFonts w:ascii="Palatino Linotype" w:hAnsi="Palatino Linotype"/>
        </w:rPr>
        <w:t>Progress Pub.</w:t>
      </w:r>
      <w:r w:rsidRPr="000578AC">
        <w:rPr>
          <w:rFonts w:ascii="Palatino Linotype" w:hAnsi="Palatino Linotype"/>
          <w:i/>
        </w:rPr>
        <w:t xml:space="preserve">  </w:t>
      </w:r>
      <w:r w:rsidRPr="000578AC">
        <w:rPr>
          <w:rFonts w:ascii="Palatino Linotype" w:hAnsi="Palatino Linotype"/>
        </w:rPr>
        <w:t>P. 174</w:t>
      </w:r>
    </w:p>
  </w:footnote>
  <w:footnote w:id="5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preceding Case Study above (section 5)</w:t>
      </w:r>
    </w:p>
  </w:footnote>
  <w:footnote w:id="6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0062005C" w:rsidRPr="000578AC">
        <w:rPr>
          <w:rFonts w:ascii="Palatino Linotype" w:hAnsi="Palatino Linotype"/>
        </w:rPr>
        <w:t xml:space="preserve"> See ‘Introduction</w:t>
      </w:r>
      <w:r w:rsidRPr="000578AC">
        <w:rPr>
          <w:rFonts w:ascii="Palatino Linotype" w:hAnsi="Palatino Linotype"/>
        </w:rPr>
        <w:t>’</w:t>
      </w:r>
      <w:r w:rsidR="0062005C" w:rsidRPr="000578AC">
        <w:rPr>
          <w:rFonts w:ascii="Palatino Linotype" w:hAnsi="Palatino Linotype"/>
        </w:rPr>
        <w:t xml:space="preserve"> supra p. </w:t>
      </w:r>
    </w:p>
  </w:footnote>
  <w:footnote w:id="61">
    <w:p w:rsidR="00F7325C" w:rsidRPr="000578AC" w:rsidRDefault="00F7325C">
      <w:pPr>
        <w:pStyle w:val="FootnoteText"/>
        <w:rPr>
          <w:rFonts w:ascii="Palatino Linotype" w:hAnsi="Palatino Linotype"/>
          <w:i/>
        </w:rPr>
      </w:pPr>
      <w:r w:rsidRPr="000578AC">
        <w:rPr>
          <w:rStyle w:val="FootnoteReference"/>
          <w:rFonts w:ascii="Palatino Linotype" w:hAnsi="Palatino Linotype"/>
        </w:rPr>
        <w:footnoteRef/>
      </w:r>
      <w:r w:rsidRPr="000578AC">
        <w:rPr>
          <w:rFonts w:ascii="Palatino Linotype" w:hAnsi="Palatino Linotype"/>
        </w:rPr>
        <w:t xml:space="preserve"> J. Frank, </w:t>
      </w:r>
      <w:r w:rsidR="0062005C" w:rsidRPr="000578AC">
        <w:rPr>
          <w:rFonts w:ascii="Palatino Linotype" w:hAnsi="Palatino Linotype"/>
        </w:rPr>
        <w:t>supra note 20</w:t>
      </w:r>
    </w:p>
  </w:footnote>
  <w:footnote w:id="6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K. Llewelyn, ‘Some Realism about Realism (1931) </w:t>
      </w:r>
      <w:proofErr w:type="spellStart"/>
      <w:r w:rsidRPr="000578AC">
        <w:rPr>
          <w:rFonts w:ascii="Palatino Linotype" w:hAnsi="Palatino Linotype"/>
          <w:i/>
        </w:rPr>
        <w:t>Harv</w:t>
      </w:r>
      <w:proofErr w:type="spellEnd"/>
      <w:r w:rsidRPr="000578AC">
        <w:rPr>
          <w:rFonts w:ascii="Palatino Linotype" w:hAnsi="Palatino Linotype"/>
          <w:i/>
        </w:rPr>
        <w:t xml:space="preserve"> L Rev </w:t>
      </w:r>
      <w:r w:rsidRPr="000578AC">
        <w:rPr>
          <w:rFonts w:ascii="Palatino Linotype" w:hAnsi="Palatino Linotype"/>
        </w:rPr>
        <w:t>1222</w:t>
      </w:r>
    </w:p>
  </w:footnote>
  <w:footnote w:id="6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r w:rsidRPr="000578AC">
        <w:rPr>
          <w:rFonts w:ascii="Palatino Linotype" w:hAnsi="Palatino Linotype"/>
          <w:i/>
        </w:rPr>
        <w:t>Op. cit.</w:t>
      </w:r>
      <w:r w:rsidRPr="000578AC">
        <w:rPr>
          <w:rFonts w:ascii="Palatino Linotype" w:hAnsi="Palatino Linotype"/>
        </w:rPr>
        <w:t xml:space="preserve"> p. 5. The authors support their observation with the following references: </w:t>
      </w:r>
    </w:p>
    <w:p w:rsidR="00F7325C" w:rsidRPr="000578AC" w:rsidRDefault="00F7325C">
      <w:pPr>
        <w:pStyle w:val="FootnoteText"/>
        <w:rPr>
          <w:rFonts w:ascii="Palatino Linotype" w:hAnsi="Palatino Linotype"/>
        </w:rPr>
      </w:pPr>
      <w:r w:rsidRPr="000578AC">
        <w:rPr>
          <w:rFonts w:ascii="Palatino Linotype" w:hAnsi="Palatino Linotype"/>
        </w:rPr>
        <w:t xml:space="preserve">   G. Peller, ‘The metaphysics of American Law’ (1985) </w:t>
      </w:r>
      <w:r w:rsidRPr="000578AC">
        <w:rPr>
          <w:rFonts w:ascii="Palatino Linotype" w:hAnsi="Palatino Linotype"/>
          <w:i/>
        </w:rPr>
        <w:t xml:space="preserve">Calif. Law Rev </w:t>
      </w:r>
      <w:r w:rsidRPr="000578AC">
        <w:rPr>
          <w:rFonts w:ascii="Palatino Linotype" w:hAnsi="Palatino Linotype"/>
        </w:rPr>
        <w:t xml:space="preserve">1151; and A. </w:t>
      </w:r>
      <w:proofErr w:type="spellStart"/>
      <w:r w:rsidRPr="000578AC">
        <w:rPr>
          <w:rFonts w:ascii="Palatino Linotype" w:hAnsi="Palatino Linotype"/>
        </w:rPr>
        <w:t>Seales</w:t>
      </w:r>
      <w:proofErr w:type="spellEnd"/>
      <w:r w:rsidRPr="000578AC">
        <w:rPr>
          <w:rFonts w:ascii="Palatino Linotype" w:hAnsi="Palatino Linotype"/>
        </w:rPr>
        <w:t xml:space="preserve">, ‘The Emergence of a Feminist Jurisprudence: An Essay (198) 95 </w:t>
      </w:r>
      <w:r w:rsidRPr="000578AC">
        <w:rPr>
          <w:rFonts w:ascii="Palatino Linotype" w:hAnsi="Palatino Linotype"/>
          <w:i/>
        </w:rPr>
        <w:t>Yale L Rev</w:t>
      </w:r>
      <w:r w:rsidRPr="000578AC">
        <w:rPr>
          <w:rFonts w:ascii="Palatino Linotype" w:hAnsi="Palatino Linotype"/>
        </w:rPr>
        <w:t xml:space="preserve"> 1373</w:t>
      </w:r>
    </w:p>
  </w:footnote>
  <w:footnote w:id="6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Y. </w:t>
      </w:r>
      <w:proofErr w:type="spellStart"/>
      <w:r w:rsidRPr="000578AC">
        <w:rPr>
          <w:rFonts w:ascii="Palatino Linotype" w:hAnsi="Palatino Linotype"/>
        </w:rPr>
        <w:t>Ouma</w:t>
      </w:r>
      <w:proofErr w:type="spellEnd"/>
      <w:r w:rsidRPr="000578AC">
        <w:rPr>
          <w:rFonts w:ascii="Palatino Linotype" w:hAnsi="Palatino Linotype"/>
        </w:rPr>
        <w:t xml:space="preserve"> and E. </w:t>
      </w:r>
      <w:proofErr w:type="spellStart"/>
      <w:r w:rsidRPr="000578AC">
        <w:rPr>
          <w:rFonts w:ascii="Palatino Linotype" w:hAnsi="Palatino Linotype"/>
        </w:rPr>
        <w:t>Chege</w:t>
      </w:r>
      <w:proofErr w:type="spellEnd"/>
      <w:r w:rsidRPr="000578AC">
        <w:rPr>
          <w:rFonts w:ascii="Palatino Linotype" w:hAnsi="Palatino Linotype"/>
        </w:rPr>
        <w:t xml:space="preserve">, “Law Clinics and Access to Justice in Kenya: Bridging the Legal Divide”, </w:t>
      </w:r>
      <w:r w:rsidRPr="000578AC">
        <w:rPr>
          <w:rFonts w:ascii="Palatino Linotype" w:hAnsi="Palatino Linotype"/>
          <w:i/>
        </w:rPr>
        <w:t xml:space="preserve">IJCLE </w:t>
      </w:r>
      <w:r w:rsidRPr="000578AC">
        <w:rPr>
          <w:rFonts w:ascii="Palatino Linotype" w:hAnsi="Palatino Linotype"/>
        </w:rPr>
        <w:t>Vol. 23, No. 5 (2016)</w:t>
      </w:r>
      <w:r w:rsidR="0062005C" w:rsidRPr="000578AC">
        <w:rPr>
          <w:rFonts w:ascii="Palatino Linotype" w:hAnsi="Palatino Linotype"/>
        </w:rPr>
        <w:t xml:space="preserve"> p.107</w:t>
      </w:r>
    </w:p>
  </w:footnote>
  <w:footnote w:id="6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A. Evans, “Global Agendas, Cultural Capital, and Self-assessment of Clinical Legal Education programs” (2012) 38 </w:t>
      </w:r>
      <w:r w:rsidRPr="000578AC">
        <w:rPr>
          <w:rFonts w:ascii="Palatino Linotype" w:hAnsi="Palatino Linotype"/>
          <w:i/>
        </w:rPr>
        <w:t>Monash U L Rev</w:t>
      </w:r>
      <w:r w:rsidRPr="000578AC">
        <w:rPr>
          <w:rFonts w:ascii="Palatino Linotype" w:hAnsi="Palatino Linotype"/>
        </w:rPr>
        <w:t xml:space="preserve"> 55 at 59. See also R Wilson, “Training for Justice: the Global Reach of Clinical Legal Education” (2004) </w:t>
      </w:r>
      <w:r w:rsidRPr="000578AC">
        <w:rPr>
          <w:rFonts w:ascii="Palatino Linotype" w:hAnsi="Palatino Linotype"/>
          <w:i/>
        </w:rPr>
        <w:t>22 Penn St Int. L Rev</w:t>
      </w:r>
      <w:r w:rsidRPr="000578AC">
        <w:rPr>
          <w:rFonts w:ascii="Palatino Linotype" w:hAnsi="Palatino Linotype"/>
        </w:rPr>
        <w:t xml:space="preserve"> 421 at 422-423.</w:t>
      </w:r>
    </w:p>
  </w:footnote>
  <w:footnote w:id="6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‘Introduction to </w:t>
      </w:r>
      <w:proofErr w:type="spellStart"/>
      <w:r w:rsidRPr="000578AC">
        <w:rPr>
          <w:rFonts w:ascii="Palatino Linotype" w:hAnsi="Palatino Linotype"/>
        </w:rPr>
        <w:t>PovcalNet</w:t>
      </w:r>
      <w:proofErr w:type="spellEnd"/>
      <w:r w:rsidRPr="000578AC">
        <w:rPr>
          <w:rFonts w:ascii="Palatino Linotype" w:hAnsi="Palatino Linotype"/>
        </w:rPr>
        <w:t xml:space="preserve">’, </w:t>
      </w:r>
      <w:hyperlink r:id="rId12" w:history="1">
        <w:r w:rsidRPr="000578AC">
          <w:rPr>
            <w:rStyle w:val="Hyperlink"/>
            <w:rFonts w:ascii="Palatino Linotype" w:hAnsi="Palatino Linotype"/>
          </w:rPr>
          <w:t>http://iresearch.worldbank.org/PovcalNet/introduction.aspx</w:t>
        </w:r>
      </w:hyperlink>
      <w:r w:rsidRPr="000578AC">
        <w:rPr>
          <w:rFonts w:ascii="Palatino Linotype" w:hAnsi="Palatino Linotype"/>
        </w:rPr>
        <w:t xml:space="preserve"> ; see statistical data breakdown by region and country at </w:t>
      </w:r>
      <w:hyperlink r:id="rId13" w:history="1">
        <w:r w:rsidRPr="000578AC">
          <w:rPr>
            <w:rStyle w:val="Hyperlink"/>
            <w:rFonts w:ascii="Palatino Linotype" w:hAnsi="Palatino Linotype"/>
          </w:rPr>
          <w:t>http://iresearch.worldbank.org/PovcalNet/data.aspx</w:t>
        </w:r>
      </w:hyperlink>
      <w:r w:rsidRPr="000578AC">
        <w:rPr>
          <w:rFonts w:ascii="Palatino Linotype" w:hAnsi="Palatino Linotype"/>
        </w:rPr>
        <w:t xml:space="preserve"> </w:t>
      </w:r>
    </w:p>
  </w:footnote>
  <w:footnote w:id="6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r w:rsidRPr="000578AC">
        <w:rPr>
          <w:rFonts w:ascii="Palatino Linotype" w:hAnsi="Palatino Linotype"/>
          <w:i/>
        </w:rPr>
        <w:t xml:space="preserve">Oxfam </w:t>
      </w:r>
      <w:r w:rsidRPr="000578AC">
        <w:rPr>
          <w:rFonts w:ascii="Palatino Linotype" w:hAnsi="Palatino Linotype"/>
        </w:rPr>
        <w:t>Press Release, 18</w:t>
      </w:r>
      <w:r w:rsidRPr="000578AC">
        <w:rPr>
          <w:rFonts w:ascii="Palatino Linotype" w:hAnsi="Palatino Linotype"/>
          <w:vertAlign w:val="superscript"/>
        </w:rPr>
        <w:t>th</w:t>
      </w:r>
      <w:r w:rsidRPr="000578AC">
        <w:rPr>
          <w:rFonts w:ascii="Palatino Linotype" w:hAnsi="Palatino Linotype"/>
        </w:rPr>
        <w:t xml:space="preserve"> Jan. 2016 - </w:t>
      </w:r>
      <w:hyperlink r:id="rId14" w:history="1">
        <w:r w:rsidRPr="000578AC">
          <w:rPr>
            <w:rStyle w:val="Hyperlink"/>
            <w:rFonts w:ascii="Palatino Linotype" w:hAnsi="Palatino Linotype"/>
          </w:rPr>
          <w:t>http://www.oxfam.org.uk/media-centre/press-releases/2016/01/62-people-own-same-as-half-world-says-oxfam-inequality-report-davos-world-economic-forum</w:t>
        </w:r>
      </w:hyperlink>
      <w:r w:rsidRPr="000578AC">
        <w:rPr>
          <w:rFonts w:ascii="Palatino Linotype" w:hAnsi="Palatino Linotype"/>
        </w:rPr>
        <w:t xml:space="preserve"> </w:t>
      </w:r>
    </w:p>
  </w:footnote>
  <w:footnote w:id="6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w:t>
      </w:r>
      <w:hyperlink r:id="rId15" w:history="1">
        <w:r w:rsidRPr="000578AC">
          <w:rPr>
            <w:rStyle w:val="Hyperlink"/>
            <w:rFonts w:ascii="Palatino Linotype" w:hAnsi="Palatino Linotype"/>
          </w:rPr>
          <w:t>https://www.digitaltrends.com/cars/most-expensive-cars-in-the-world/</w:t>
        </w:r>
      </w:hyperlink>
      <w:r w:rsidRPr="000578AC">
        <w:rPr>
          <w:rFonts w:ascii="Palatino Linotype" w:hAnsi="Palatino Linotype"/>
        </w:rPr>
        <w:t xml:space="preserve"> </w:t>
      </w:r>
    </w:p>
  </w:footnote>
  <w:footnote w:id="69">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w:t>
      </w:r>
      <w:hyperlink r:id="rId16" w:history="1">
        <w:r w:rsidRPr="000578AC">
          <w:rPr>
            <w:rStyle w:val="Hyperlink"/>
            <w:rFonts w:ascii="Palatino Linotype" w:hAnsi="Palatino Linotype"/>
          </w:rPr>
          <w:t>https://www.theguardian.com/artanddesign/2017/nov/16/salvator-mundi-leonardo-da-vinci-most-expensive-painting-ever-sold-auction</w:t>
        </w:r>
      </w:hyperlink>
      <w:r w:rsidRPr="000578AC">
        <w:rPr>
          <w:rFonts w:ascii="Palatino Linotype" w:hAnsi="Palatino Linotype"/>
        </w:rPr>
        <w:t xml:space="preserve"> </w:t>
      </w:r>
    </w:p>
  </w:footnote>
  <w:footnote w:id="7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hyperlink r:id="rId17" w:history="1">
        <w:r w:rsidRPr="000578AC">
          <w:rPr>
            <w:rStyle w:val="Hyperlink"/>
            <w:rFonts w:ascii="Palatino Linotype" w:hAnsi="Palatino Linotype"/>
          </w:rPr>
          <w:t>https://www.theguardian.com/business/2018/jan/04/fat-cat-thursday-top-bosses-earn-workers-annual-salary-by-lunchtime</w:t>
        </w:r>
      </w:hyperlink>
      <w:r w:rsidRPr="000578AC">
        <w:rPr>
          <w:rFonts w:ascii="Palatino Linotype" w:hAnsi="Palatino Linotype"/>
        </w:rPr>
        <w:t xml:space="preserve"> </w:t>
      </w:r>
    </w:p>
  </w:footnote>
  <w:footnote w:id="7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hyperlink r:id="rId18" w:history="1">
        <w:r w:rsidRPr="000578AC">
          <w:rPr>
            <w:rStyle w:val="Hyperlink"/>
            <w:rFonts w:ascii="Palatino Linotype" w:hAnsi="Palatino Linotype"/>
          </w:rPr>
          <w:t>http://www.bbc.co.uk/news/world-europe-42558331</w:t>
        </w:r>
      </w:hyperlink>
      <w:r w:rsidRPr="000578AC">
        <w:rPr>
          <w:rFonts w:ascii="Palatino Linotype" w:hAnsi="Palatino Linotype"/>
        </w:rPr>
        <w:t xml:space="preserve"> </w:t>
      </w:r>
    </w:p>
  </w:footnote>
  <w:footnote w:id="7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“Healing a Divided Britain: the need for a comprehensive race equality strategy”, EHRC Report August 2016: </w:t>
      </w:r>
      <w:hyperlink r:id="rId19" w:history="1">
        <w:r w:rsidRPr="000578AC">
          <w:rPr>
            <w:rStyle w:val="Hyperlink"/>
            <w:rFonts w:ascii="Palatino Linotype" w:hAnsi="Palatino Linotype"/>
          </w:rPr>
          <w:t>https://www.equalityhumanrights.com/en/race-report-healing-divided-britain</w:t>
        </w:r>
      </w:hyperlink>
      <w:r w:rsidRPr="000578AC">
        <w:rPr>
          <w:rFonts w:ascii="Palatino Linotype" w:hAnsi="Palatino Linotype"/>
        </w:rPr>
        <w:t xml:space="preserve"> </w:t>
      </w:r>
    </w:p>
  </w:footnote>
  <w:footnote w:id="7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‘Forward’ by David Isaac CBE, Chair, EHRC, ibid p.5</w:t>
      </w:r>
    </w:p>
  </w:footnote>
  <w:footnote w:id="7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r w:rsidR="0062005C" w:rsidRPr="000578AC">
        <w:rPr>
          <w:rFonts w:ascii="Palatino Linotype" w:hAnsi="Palatino Linotype"/>
        </w:rPr>
        <w:t>.</w:t>
      </w:r>
    </w:p>
    <w:p w:rsidR="00F7325C" w:rsidRPr="000578AC" w:rsidRDefault="00F7325C">
      <w:pPr>
        <w:pStyle w:val="FootnoteText"/>
        <w:rPr>
          <w:rFonts w:ascii="Palatino Linotype" w:hAnsi="Palatino Linotype"/>
        </w:rPr>
      </w:pPr>
    </w:p>
  </w:footnote>
  <w:footnote w:id="7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r w:rsidRPr="000578AC">
        <w:rPr>
          <w:rFonts w:ascii="Palatino Linotype" w:hAnsi="Palatino Linotype"/>
          <w:i/>
        </w:rPr>
        <w:t xml:space="preserve">. </w:t>
      </w:r>
      <w:r w:rsidRPr="000578AC">
        <w:rPr>
          <w:rFonts w:ascii="Palatino Linotype" w:hAnsi="Palatino Linotype"/>
        </w:rPr>
        <w:t>p.31</w:t>
      </w:r>
    </w:p>
  </w:footnote>
  <w:footnote w:id="7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w:t>
      </w:r>
      <w:hyperlink r:id="rId20" w:history="1">
        <w:r w:rsidRPr="000578AC">
          <w:rPr>
            <w:rStyle w:val="Hyperlink"/>
            <w:rFonts w:ascii="Palatino Linotype" w:hAnsi="Palatino Linotype"/>
          </w:rPr>
          <w:t>http://www.un.org/en/development/desa/policy/cdp/cdp_statements/cdp_plen09_gph.pdf</w:t>
        </w:r>
      </w:hyperlink>
      <w:r w:rsidRPr="000578AC">
        <w:rPr>
          <w:rFonts w:ascii="Palatino Linotype" w:hAnsi="Palatino Linotype"/>
        </w:rPr>
        <w:t xml:space="preserve"> </w:t>
      </w:r>
    </w:p>
  </w:footnote>
  <w:footnote w:id="7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Y. </w:t>
      </w:r>
      <w:proofErr w:type="spellStart"/>
      <w:r w:rsidRPr="000578AC">
        <w:rPr>
          <w:rFonts w:ascii="Palatino Linotype" w:hAnsi="Palatino Linotype"/>
        </w:rPr>
        <w:t>Ouma</w:t>
      </w:r>
      <w:proofErr w:type="spellEnd"/>
      <w:r w:rsidRPr="000578AC">
        <w:rPr>
          <w:rFonts w:ascii="Palatino Linotype" w:hAnsi="Palatino Linotype"/>
        </w:rPr>
        <w:t xml:space="preserve"> and E. </w:t>
      </w:r>
      <w:proofErr w:type="spellStart"/>
      <w:r w:rsidRPr="000578AC">
        <w:rPr>
          <w:rFonts w:ascii="Palatino Linotype" w:hAnsi="Palatino Linotype"/>
        </w:rPr>
        <w:t>Chege</w:t>
      </w:r>
      <w:proofErr w:type="spellEnd"/>
      <w:r w:rsidRPr="000578AC">
        <w:rPr>
          <w:rFonts w:ascii="Palatino Linotype" w:hAnsi="Palatino Linotype"/>
        </w:rPr>
        <w:t xml:space="preserve">, ‘Law Clinics and Access to Justice – Bridging the Legal Divide’, </w:t>
      </w:r>
      <w:r w:rsidRPr="000578AC">
        <w:rPr>
          <w:rFonts w:ascii="Palatino Linotype" w:hAnsi="Palatino Linotype"/>
          <w:i/>
        </w:rPr>
        <w:t xml:space="preserve">IJCLE </w:t>
      </w:r>
      <w:r w:rsidRPr="000578AC">
        <w:rPr>
          <w:rFonts w:ascii="Palatino Linotype" w:hAnsi="Palatino Linotype"/>
        </w:rPr>
        <w:t>vol. 25 No. 5 (2016) pp.107-108</w:t>
      </w:r>
    </w:p>
  </w:footnote>
  <w:footnote w:id="7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For an excellent study of the subject, see generally, Palmer, </w:t>
      </w:r>
      <w:proofErr w:type="spellStart"/>
      <w:r w:rsidRPr="000578AC">
        <w:rPr>
          <w:rFonts w:ascii="Palatino Linotype" w:hAnsi="Palatino Linotype"/>
        </w:rPr>
        <w:t>Cornford</w:t>
      </w:r>
      <w:proofErr w:type="spellEnd"/>
      <w:r w:rsidRPr="000578AC">
        <w:rPr>
          <w:rFonts w:ascii="Palatino Linotype" w:hAnsi="Palatino Linotype"/>
        </w:rPr>
        <w:t xml:space="preserve"> </w:t>
      </w:r>
      <w:r w:rsidRPr="000578AC">
        <w:rPr>
          <w:rFonts w:ascii="Palatino Linotype" w:hAnsi="Palatino Linotype"/>
          <w:i/>
        </w:rPr>
        <w:t>et al</w:t>
      </w:r>
      <w:r w:rsidRPr="000578AC">
        <w:rPr>
          <w:rFonts w:ascii="Palatino Linotype" w:hAnsi="Palatino Linotype"/>
        </w:rPr>
        <w:t xml:space="preserve"> (eds.), </w:t>
      </w:r>
      <w:r w:rsidRPr="000578AC">
        <w:rPr>
          <w:rFonts w:ascii="Palatino Linotype" w:hAnsi="Palatino Linotype"/>
          <w:i/>
        </w:rPr>
        <w:t>Access to Justice: Beyond the Policies and Politics of Austerity</w:t>
      </w:r>
      <w:r w:rsidRPr="000578AC">
        <w:rPr>
          <w:rFonts w:ascii="Palatino Linotype" w:hAnsi="Palatino Linotype"/>
        </w:rPr>
        <w:t>, Hart Publishing (2016)</w:t>
      </w:r>
    </w:p>
  </w:footnote>
  <w:footnote w:id="79">
    <w:p w:rsidR="00F7325C" w:rsidRPr="000578AC" w:rsidRDefault="00F7325C">
      <w:pPr>
        <w:pStyle w:val="FootnoteText"/>
        <w:rPr>
          <w:rFonts w:ascii="Palatino Linotype" w:hAnsi="Palatino Linotype"/>
          <w:i/>
        </w:rPr>
      </w:pPr>
      <w:r w:rsidRPr="000578AC">
        <w:rPr>
          <w:rStyle w:val="FootnoteReference"/>
          <w:rFonts w:ascii="Palatino Linotype" w:hAnsi="Palatino Linotype"/>
        </w:rPr>
        <w:footnoteRef/>
      </w:r>
      <w:r w:rsidRPr="000578AC">
        <w:rPr>
          <w:rFonts w:ascii="Palatino Linotype" w:hAnsi="Palatino Linotype"/>
        </w:rPr>
        <w:t xml:space="preserve"> ibid</w:t>
      </w:r>
      <w:r w:rsidRPr="000578AC">
        <w:rPr>
          <w:rFonts w:ascii="Palatino Linotype" w:hAnsi="Palatino Linotype"/>
          <w:i/>
        </w:rPr>
        <w:t>.</w:t>
      </w:r>
    </w:p>
  </w:footnote>
  <w:footnote w:id="8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Elliot and Quinn, supra, chap. 15</w:t>
      </w:r>
    </w:p>
  </w:footnote>
  <w:footnote w:id="81">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Hart Publishing (2009), ‘Introduction’ p.1 </w:t>
      </w:r>
    </w:p>
  </w:footnote>
  <w:footnote w:id="82">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See, for example, the following: </w:t>
      </w:r>
      <w:proofErr w:type="spellStart"/>
      <w:r w:rsidRPr="000578AC">
        <w:rPr>
          <w:rFonts w:ascii="Palatino Linotype" w:hAnsi="Palatino Linotype"/>
        </w:rPr>
        <w:t>Muschert</w:t>
      </w:r>
      <w:proofErr w:type="spellEnd"/>
      <w:r w:rsidRPr="000578AC">
        <w:rPr>
          <w:rFonts w:ascii="Palatino Linotype" w:hAnsi="Palatino Linotype"/>
        </w:rPr>
        <w:t xml:space="preserve">, </w:t>
      </w:r>
      <w:proofErr w:type="spellStart"/>
      <w:r w:rsidRPr="000578AC">
        <w:rPr>
          <w:rFonts w:ascii="Palatino Linotype" w:hAnsi="Palatino Linotype"/>
        </w:rPr>
        <w:t>Klocke</w:t>
      </w:r>
      <w:proofErr w:type="spellEnd"/>
      <w:r w:rsidRPr="000578AC">
        <w:rPr>
          <w:rFonts w:ascii="Palatino Linotype" w:hAnsi="Palatino Linotype"/>
        </w:rPr>
        <w:t xml:space="preserve"> </w:t>
      </w:r>
      <w:r w:rsidRPr="000578AC">
        <w:rPr>
          <w:rFonts w:ascii="Palatino Linotype" w:hAnsi="Palatino Linotype"/>
          <w:i/>
        </w:rPr>
        <w:t>et al</w:t>
      </w:r>
      <w:r w:rsidRPr="000578AC">
        <w:rPr>
          <w:rFonts w:ascii="Palatino Linotype" w:hAnsi="Palatino Linotype"/>
        </w:rPr>
        <w:t xml:space="preserve">, </w:t>
      </w:r>
      <w:r w:rsidRPr="000578AC">
        <w:rPr>
          <w:rFonts w:ascii="Palatino Linotype" w:hAnsi="Palatino Linotype"/>
          <w:i/>
        </w:rPr>
        <w:t>Agenda for Social Justice: Solutions for 2016</w:t>
      </w:r>
      <w:r w:rsidRPr="000578AC">
        <w:rPr>
          <w:rFonts w:ascii="Palatino Linotype" w:hAnsi="Palatino Linotype"/>
        </w:rPr>
        <w:t xml:space="preserve">, Policy Press (2016); M.J. Thompson, ‘The Limits of Liberalism: A Republican Theory of Social Justice’ </w:t>
      </w:r>
      <w:r w:rsidRPr="000578AC">
        <w:rPr>
          <w:rFonts w:ascii="Palatino Linotype" w:hAnsi="Palatino Linotype"/>
          <w:i/>
        </w:rPr>
        <w:t xml:space="preserve">International Journal of Ethics, </w:t>
      </w:r>
      <w:r w:rsidRPr="000578AC">
        <w:rPr>
          <w:rFonts w:ascii="Palatino Linotype" w:hAnsi="Palatino Linotype"/>
        </w:rPr>
        <w:t xml:space="preserve">vol. 7, No.3; P. Corning, </w:t>
      </w:r>
      <w:r w:rsidRPr="000578AC">
        <w:rPr>
          <w:rFonts w:ascii="Palatino Linotype" w:hAnsi="Palatino Linotype"/>
          <w:i/>
        </w:rPr>
        <w:t>The Fair Society: The Science of Human Nature and the Pursuit of Social Justice</w:t>
      </w:r>
      <w:r w:rsidRPr="000578AC">
        <w:rPr>
          <w:rFonts w:ascii="Palatino Linotype" w:hAnsi="Palatino Linotype"/>
        </w:rPr>
        <w:t xml:space="preserve">, Chicago Univ. Press (2011); and J.S. Mill, </w:t>
      </w:r>
      <w:r w:rsidRPr="000578AC">
        <w:rPr>
          <w:rFonts w:ascii="Palatino Linotype" w:hAnsi="Palatino Linotype"/>
          <w:i/>
        </w:rPr>
        <w:t>Utilitarianism</w:t>
      </w:r>
      <w:r w:rsidRPr="000578AC">
        <w:rPr>
          <w:rFonts w:ascii="Palatino Linotype" w:hAnsi="Palatino Linotype"/>
        </w:rPr>
        <w:t>, Prometheus Books (1987)</w:t>
      </w:r>
    </w:p>
  </w:footnote>
  <w:footnote w:id="83">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A. Ross, </w:t>
      </w:r>
      <w:r w:rsidRPr="000578AC">
        <w:rPr>
          <w:rFonts w:ascii="Palatino Linotype" w:hAnsi="Palatino Linotype"/>
          <w:i/>
        </w:rPr>
        <w:t xml:space="preserve">On Law and Justice, </w:t>
      </w:r>
      <w:r w:rsidRPr="000578AC">
        <w:rPr>
          <w:rFonts w:ascii="Palatino Linotype" w:hAnsi="Palatino Linotype"/>
        </w:rPr>
        <w:t>Univ. of California Press (1959) p.269</w:t>
      </w:r>
    </w:p>
  </w:footnote>
  <w:footnote w:id="84">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J.G. </w:t>
      </w:r>
      <w:proofErr w:type="spellStart"/>
      <w:r w:rsidRPr="000578AC">
        <w:rPr>
          <w:rFonts w:ascii="Palatino Linotype" w:hAnsi="Palatino Linotype"/>
        </w:rPr>
        <w:t>Riddall</w:t>
      </w:r>
      <w:proofErr w:type="spellEnd"/>
      <w:r w:rsidRPr="000578AC">
        <w:rPr>
          <w:rFonts w:ascii="Palatino Linotype" w:hAnsi="Palatino Linotype"/>
        </w:rPr>
        <w:t xml:space="preserve">, </w:t>
      </w:r>
      <w:r w:rsidRPr="000578AC">
        <w:rPr>
          <w:rFonts w:ascii="Palatino Linotype" w:hAnsi="Palatino Linotype"/>
          <w:i/>
        </w:rPr>
        <w:t>Jurisprudence</w:t>
      </w:r>
      <w:r w:rsidRPr="000578AC">
        <w:rPr>
          <w:rFonts w:ascii="Palatino Linotype" w:hAnsi="Palatino Linotype"/>
        </w:rPr>
        <w:t xml:space="preserve">, </w:t>
      </w:r>
      <w:proofErr w:type="spellStart"/>
      <w:r w:rsidRPr="000578AC">
        <w:rPr>
          <w:rFonts w:ascii="Palatino Linotype" w:hAnsi="Palatino Linotype"/>
        </w:rPr>
        <w:t>Butterworths</w:t>
      </w:r>
      <w:proofErr w:type="spellEnd"/>
      <w:r w:rsidRPr="000578AC">
        <w:rPr>
          <w:rFonts w:ascii="Palatino Linotype" w:hAnsi="Palatino Linotype"/>
        </w:rPr>
        <w:t xml:space="preserve"> (1991) p.130</w:t>
      </w:r>
    </w:p>
  </w:footnote>
  <w:footnote w:id="85">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p>
  </w:footnote>
  <w:footnote w:id="86">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r w:rsidRPr="000578AC">
        <w:rPr>
          <w:rFonts w:ascii="Palatino Linotype" w:hAnsi="Palatino Linotype"/>
          <w:i/>
        </w:rPr>
        <w:t xml:space="preserve">. </w:t>
      </w:r>
      <w:r w:rsidRPr="000578AC">
        <w:rPr>
          <w:rFonts w:ascii="Palatino Linotype" w:hAnsi="Palatino Linotype"/>
        </w:rPr>
        <w:t>p.131</w:t>
      </w:r>
    </w:p>
  </w:footnote>
  <w:footnote w:id="87">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Oxford (1973) p.3</w:t>
      </w:r>
    </w:p>
  </w:footnote>
  <w:footnote w:id="88">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Ibid</w:t>
      </w:r>
      <w:r w:rsidRPr="000578AC">
        <w:rPr>
          <w:rFonts w:ascii="Palatino Linotype" w:hAnsi="Palatino Linotype"/>
          <w:i/>
        </w:rPr>
        <w:t xml:space="preserve">. </w:t>
      </w:r>
      <w:r w:rsidRPr="000578AC">
        <w:rPr>
          <w:rFonts w:ascii="Palatino Linotype" w:hAnsi="Palatino Linotype"/>
        </w:rPr>
        <w:t>pp.302, 303</w:t>
      </w:r>
    </w:p>
  </w:footnote>
  <w:footnote w:id="89">
    <w:p w:rsidR="00F7325C" w:rsidRPr="000578AC" w:rsidRDefault="00F7325C" w:rsidP="00AC4462">
      <w:pPr>
        <w:rPr>
          <w:rFonts w:ascii="Palatino Linotype" w:hAnsi="Palatino Linotype"/>
          <w:i/>
          <w:sz w:val="20"/>
          <w:szCs w:val="20"/>
        </w:rPr>
      </w:pPr>
      <w:r w:rsidRPr="000578AC">
        <w:rPr>
          <w:rStyle w:val="FootnoteReference"/>
          <w:rFonts w:ascii="Palatino Linotype" w:hAnsi="Palatino Linotype"/>
        </w:rPr>
        <w:footnoteRef/>
      </w:r>
      <w:r w:rsidRPr="000578AC">
        <w:rPr>
          <w:rFonts w:ascii="Palatino Linotype" w:hAnsi="Palatino Linotype"/>
        </w:rPr>
        <w:t xml:space="preserve"> </w:t>
      </w:r>
      <w:r w:rsidRPr="000578AC">
        <w:rPr>
          <w:rFonts w:ascii="Palatino Linotype" w:hAnsi="Palatino Linotype"/>
          <w:sz w:val="20"/>
          <w:szCs w:val="20"/>
        </w:rPr>
        <w:t xml:space="preserve">Davies &amp; </w:t>
      </w:r>
      <w:proofErr w:type="spellStart"/>
      <w:r w:rsidRPr="000578AC">
        <w:rPr>
          <w:rFonts w:ascii="Palatino Linotype" w:hAnsi="Palatino Linotype"/>
          <w:sz w:val="20"/>
          <w:szCs w:val="20"/>
        </w:rPr>
        <w:t>Holdcroft</w:t>
      </w:r>
      <w:proofErr w:type="spellEnd"/>
      <w:r w:rsidRPr="000578AC">
        <w:rPr>
          <w:rFonts w:ascii="Palatino Linotype" w:hAnsi="Palatino Linotype"/>
          <w:sz w:val="20"/>
          <w:szCs w:val="20"/>
        </w:rPr>
        <w:t xml:space="preserve">, </w:t>
      </w:r>
      <w:r w:rsidRPr="000578AC">
        <w:rPr>
          <w:rFonts w:ascii="Palatino Linotype" w:hAnsi="Palatino Linotype"/>
          <w:i/>
          <w:sz w:val="20"/>
          <w:szCs w:val="20"/>
        </w:rPr>
        <w:t>Jurisprudence</w:t>
      </w:r>
      <w:r w:rsidRPr="000578AC">
        <w:rPr>
          <w:rFonts w:ascii="Palatino Linotype" w:hAnsi="Palatino Linotype"/>
          <w:sz w:val="20"/>
          <w:szCs w:val="20"/>
        </w:rPr>
        <w:t xml:space="preserve">, </w:t>
      </w:r>
      <w:proofErr w:type="spellStart"/>
      <w:r w:rsidRPr="000578AC">
        <w:rPr>
          <w:rFonts w:ascii="Palatino Linotype" w:hAnsi="Palatino Linotype"/>
          <w:sz w:val="20"/>
          <w:szCs w:val="20"/>
        </w:rPr>
        <w:t>Butterworths</w:t>
      </w:r>
      <w:proofErr w:type="spellEnd"/>
      <w:r w:rsidRPr="000578AC">
        <w:rPr>
          <w:rFonts w:ascii="Palatino Linotype" w:hAnsi="Palatino Linotype"/>
          <w:sz w:val="20"/>
          <w:szCs w:val="20"/>
        </w:rPr>
        <w:t xml:space="preserve">, (1996) p. 205. For an analysis of how rights and utility may be mediated, see N.E. Simmonds, </w:t>
      </w:r>
      <w:r w:rsidRPr="000578AC">
        <w:rPr>
          <w:rFonts w:ascii="Palatino Linotype" w:hAnsi="Palatino Linotype"/>
          <w:i/>
          <w:sz w:val="20"/>
          <w:szCs w:val="20"/>
        </w:rPr>
        <w:t>Central Issues in Jurisprudence</w:t>
      </w:r>
      <w:r w:rsidRPr="000578AC">
        <w:rPr>
          <w:rFonts w:ascii="Palatino Linotype" w:hAnsi="Palatino Linotype"/>
          <w:sz w:val="20"/>
          <w:szCs w:val="20"/>
        </w:rPr>
        <w:t xml:space="preserve">, Sweet &amp; Maxwell, (1986) p.143 </w:t>
      </w:r>
      <w:r w:rsidRPr="000578AC">
        <w:rPr>
          <w:rFonts w:ascii="Palatino Linotype" w:hAnsi="Palatino Linotype"/>
          <w:i/>
          <w:sz w:val="20"/>
          <w:szCs w:val="20"/>
        </w:rPr>
        <w:t>et seq.</w:t>
      </w:r>
    </w:p>
    <w:p w:rsidR="00F7325C" w:rsidRPr="000578AC" w:rsidRDefault="00F7325C">
      <w:pPr>
        <w:pStyle w:val="FootnoteText"/>
        <w:rPr>
          <w:rFonts w:ascii="Palatino Linotype" w:hAnsi="Palatino Linotype"/>
        </w:rPr>
      </w:pPr>
    </w:p>
  </w:footnote>
  <w:footnote w:id="90">
    <w:p w:rsidR="00F7325C" w:rsidRPr="000578AC" w:rsidRDefault="00F7325C">
      <w:pPr>
        <w:pStyle w:val="FootnoteText"/>
        <w:rPr>
          <w:rFonts w:ascii="Palatino Linotype" w:hAnsi="Palatino Linotype"/>
        </w:rPr>
      </w:pPr>
      <w:r w:rsidRPr="000578AC">
        <w:rPr>
          <w:rStyle w:val="FootnoteReference"/>
          <w:rFonts w:ascii="Palatino Linotype" w:hAnsi="Palatino Linotype"/>
        </w:rPr>
        <w:footnoteRef/>
      </w:r>
      <w:r w:rsidRPr="000578AC">
        <w:rPr>
          <w:rFonts w:ascii="Palatino Linotype" w:hAnsi="Palatino Linotype"/>
        </w:rPr>
        <w:t xml:space="preserve"> As an illustration, Jurisprudence as a subject was a core module for law students at the </w:t>
      </w:r>
      <w:r w:rsidR="00AE6E17" w:rsidRPr="000578AC">
        <w:rPr>
          <w:rFonts w:ascii="Palatino Linotype" w:hAnsi="Palatino Linotype"/>
        </w:rPr>
        <w:t>author’s institution</w:t>
      </w:r>
      <w:r w:rsidRPr="000578AC">
        <w:rPr>
          <w:rFonts w:ascii="Palatino Linotype" w:hAnsi="Palatino Linotype"/>
        </w:rPr>
        <w:t xml:space="preserve"> until the 1990s. Today, </w:t>
      </w:r>
      <w:r w:rsidR="00AE6E17" w:rsidRPr="000578AC">
        <w:rPr>
          <w:rFonts w:ascii="Palatino Linotype" w:hAnsi="Palatino Linotype"/>
        </w:rPr>
        <w:t>neither Legal Theory nor</w:t>
      </w:r>
      <w:r w:rsidRPr="000578AC">
        <w:rPr>
          <w:rFonts w:ascii="Palatino Linotype" w:hAnsi="Palatino Linotype"/>
        </w:rPr>
        <w:t xml:space="preserve"> Jurisprudence is on offer on the law curriculum either at undergraduate or postgraduate levels.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AC" w:rsidRPr="000578AC" w:rsidRDefault="000578AC">
    <w:pPr>
      <w:pStyle w:val="Header"/>
      <w:rPr>
        <w:rFonts w:ascii="Palatino Linotype" w:hAnsi="Palatino Linotype"/>
        <w:i/>
        <w:sz w:val="24"/>
        <w:szCs w:val="24"/>
      </w:rPr>
    </w:pPr>
    <w:r w:rsidRPr="000578AC">
      <w:rPr>
        <w:rFonts w:ascii="Palatino Linotype" w:hAnsi="Palatino Linotype"/>
        <w:i/>
        <w:sz w:val="24"/>
        <w:szCs w:val="24"/>
      </w:rPr>
      <w:t>Reviewed Article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7359"/>
    <w:multiLevelType w:val="hybridMultilevel"/>
    <w:tmpl w:val="B7E2C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440A8"/>
    <w:multiLevelType w:val="multilevel"/>
    <w:tmpl w:val="38F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3410E"/>
    <w:multiLevelType w:val="multilevel"/>
    <w:tmpl w:val="F4EEF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45669"/>
    <w:multiLevelType w:val="hybridMultilevel"/>
    <w:tmpl w:val="516AD2DE"/>
    <w:lvl w:ilvl="0" w:tplc="2D0693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E0128"/>
    <w:multiLevelType w:val="hybridMultilevel"/>
    <w:tmpl w:val="E6888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697307"/>
    <w:multiLevelType w:val="hybridMultilevel"/>
    <w:tmpl w:val="3BE2C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716D1"/>
    <w:multiLevelType w:val="hybridMultilevel"/>
    <w:tmpl w:val="0AF0DEA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7" w15:restartNumberingAfterBreak="0">
    <w:nsid w:val="444544A4"/>
    <w:multiLevelType w:val="hybridMultilevel"/>
    <w:tmpl w:val="F494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51B3E"/>
    <w:multiLevelType w:val="hybridMultilevel"/>
    <w:tmpl w:val="85FC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C24C0"/>
    <w:multiLevelType w:val="hybridMultilevel"/>
    <w:tmpl w:val="2AE2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92525"/>
    <w:multiLevelType w:val="multilevel"/>
    <w:tmpl w:val="77E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8"/>
  </w:num>
  <w:num w:numId="4">
    <w:abstractNumId w:val="3"/>
  </w:num>
  <w:num w:numId="5">
    <w:abstractNumId w:val="0"/>
  </w:num>
  <w:num w:numId="6">
    <w:abstractNumId w:val="5"/>
  </w:num>
  <w:num w:numId="7">
    <w:abstractNumId w:val="7"/>
  </w:num>
  <w:num w:numId="8">
    <w:abstractNumId w:val="2"/>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62"/>
    <w:rsid w:val="00003A73"/>
    <w:rsid w:val="000170C5"/>
    <w:rsid w:val="00042B40"/>
    <w:rsid w:val="00046BAC"/>
    <w:rsid w:val="000477A4"/>
    <w:rsid w:val="00052185"/>
    <w:rsid w:val="0005286C"/>
    <w:rsid w:val="000578AC"/>
    <w:rsid w:val="00077D29"/>
    <w:rsid w:val="00091E39"/>
    <w:rsid w:val="00097D87"/>
    <w:rsid w:val="000B0736"/>
    <w:rsid w:val="000B7C1E"/>
    <w:rsid w:val="000C7645"/>
    <w:rsid w:val="000E72FB"/>
    <w:rsid w:val="000F106F"/>
    <w:rsid w:val="000F5C00"/>
    <w:rsid w:val="000F7004"/>
    <w:rsid w:val="001201D0"/>
    <w:rsid w:val="00127370"/>
    <w:rsid w:val="00151839"/>
    <w:rsid w:val="00161DC0"/>
    <w:rsid w:val="00180EB9"/>
    <w:rsid w:val="00185AD8"/>
    <w:rsid w:val="00187AD5"/>
    <w:rsid w:val="001B3052"/>
    <w:rsid w:val="00222C83"/>
    <w:rsid w:val="00232AAD"/>
    <w:rsid w:val="00260C0F"/>
    <w:rsid w:val="00275B24"/>
    <w:rsid w:val="00285591"/>
    <w:rsid w:val="002861B3"/>
    <w:rsid w:val="002A5654"/>
    <w:rsid w:val="002A7602"/>
    <w:rsid w:val="002B25A5"/>
    <w:rsid w:val="002D2D5E"/>
    <w:rsid w:val="002E7CB2"/>
    <w:rsid w:val="002F3414"/>
    <w:rsid w:val="002F6DD2"/>
    <w:rsid w:val="00322FEE"/>
    <w:rsid w:val="003752DB"/>
    <w:rsid w:val="003C4D46"/>
    <w:rsid w:val="003D76A8"/>
    <w:rsid w:val="003F314F"/>
    <w:rsid w:val="004573AF"/>
    <w:rsid w:val="0047286D"/>
    <w:rsid w:val="00482FCD"/>
    <w:rsid w:val="0049510E"/>
    <w:rsid w:val="00497B3A"/>
    <w:rsid w:val="004A4763"/>
    <w:rsid w:val="004E7D9A"/>
    <w:rsid w:val="00547761"/>
    <w:rsid w:val="005768B7"/>
    <w:rsid w:val="00585C0E"/>
    <w:rsid w:val="005D3933"/>
    <w:rsid w:val="005D41B9"/>
    <w:rsid w:val="005F3970"/>
    <w:rsid w:val="0060390D"/>
    <w:rsid w:val="0062005C"/>
    <w:rsid w:val="0062081B"/>
    <w:rsid w:val="00631C5B"/>
    <w:rsid w:val="00645C72"/>
    <w:rsid w:val="00684C32"/>
    <w:rsid w:val="006A0A63"/>
    <w:rsid w:val="006A3D89"/>
    <w:rsid w:val="006D2725"/>
    <w:rsid w:val="006E499F"/>
    <w:rsid w:val="006E7CA1"/>
    <w:rsid w:val="006F2B13"/>
    <w:rsid w:val="006F63EF"/>
    <w:rsid w:val="00703993"/>
    <w:rsid w:val="007247C4"/>
    <w:rsid w:val="00727341"/>
    <w:rsid w:val="0073597B"/>
    <w:rsid w:val="00761D0C"/>
    <w:rsid w:val="007768C7"/>
    <w:rsid w:val="00783263"/>
    <w:rsid w:val="007A3493"/>
    <w:rsid w:val="007A37C6"/>
    <w:rsid w:val="007B1D02"/>
    <w:rsid w:val="007B4CE9"/>
    <w:rsid w:val="007C61FF"/>
    <w:rsid w:val="00813B3F"/>
    <w:rsid w:val="00814A8A"/>
    <w:rsid w:val="00835E99"/>
    <w:rsid w:val="00850CFB"/>
    <w:rsid w:val="00852AAC"/>
    <w:rsid w:val="00855DFF"/>
    <w:rsid w:val="00875422"/>
    <w:rsid w:val="008A1913"/>
    <w:rsid w:val="008D46EB"/>
    <w:rsid w:val="008E3D95"/>
    <w:rsid w:val="008F7312"/>
    <w:rsid w:val="009241FA"/>
    <w:rsid w:val="00933E2F"/>
    <w:rsid w:val="0097403E"/>
    <w:rsid w:val="009870E4"/>
    <w:rsid w:val="009873A9"/>
    <w:rsid w:val="00991958"/>
    <w:rsid w:val="009D3DF6"/>
    <w:rsid w:val="009F30CA"/>
    <w:rsid w:val="009F4188"/>
    <w:rsid w:val="009F6B9C"/>
    <w:rsid w:val="00A346DF"/>
    <w:rsid w:val="00A40818"/>
    <w:rsid w:val="00A41886"/>
    <w:rsid w:val="00A850D6"/>
    <w:rsid w:val="00A86FD7"/>
    <w:rsid w:val="00A943A2"/>
    <w:rsid w:val="00AA64A2"/>
    <w:rsid w:val="00AC041E"/>
    <w:rsid w:val="00AC379E"/>
    <w:rsid w:val="00AC4462"/>
    <w:rsid w:val="00AE5703"/>
    <w:rsid w:val="00AE6E17"/>
    <w:rsid w:val="00B051D9"/>
    <w:rsid w:val="00B052EB"/>
    <w:rsid w:val="00B57CC5"/>
    <w:rsid w:val="00B6708E"/>
    <w:rsid w:val="00BB0972"/>
    <w:rsid w:val="00BF3806"/>
    <w:rsid w:val="00C11365"/>
    <w:rsid w:val="00C14478"/>
    <w:rsid w:val="00C23CBF"/>
    <w:rsid w:val="00C24647"/>
    <w:rsid w:val="00C45AF9"/>
    <w:rsid w:val="00C475BB"/>
    <w:rsid w:val="00C47EE2"/>
    <w:rsid w:val="00C543FB"/>
    <w:rsid w:val="00C61DF9"/>
    <w:rsid w:val="00C77F4C"/>
    <w:rsid w:val="00CB6873"/>
    <w:rsid w:val="00CC0B5D"/>
    <w:rsid w:val="00CF01C4"/>
    <w:rsid w:val="00D01193"/>
    <w:rsid w:val="00D32063"/>
    <w:rsid w:val="00D62E4B"/>
    <w:rsid w:val="00D833EC"/>
    <w:rsid w:val="00E31CA4"/>
    <w:rsid w:val="00E41EC4"/>
    <w:rsid w:val="00E955DC"/>
    <w:rsid w:val="00EA3CF2"/>
    <w:rsid w:val="00ED48D7"/>
    <w:rsid w:val="00EE148C"/>
    <w:rsid w:val="00EE1BDD"/>
    <w:rsid w:val="00EE7C2D"/>
    <w:rsid w:val="00F0293D"/>
    <w:rsid w:val="00F27574"/>
    <w:rsid w:val="00F52FD8"/>
    <w:rsid w:val="00F65629"/>
    <w:rsid w:val="00F7325C"/>
    <w:rsid w:val="00F867D0"/>
    <w:rsid w:val="00F96320"/>
    <w:rsid w:val="00F96655"/>
    <w:rsid w:val="00FA17C0"/>
    <w:rsid w:val="00FA57C2"/>
    <w:rsid w:val="00FB3D05"/>
    <w:rsid w:val="00FC1F62"/>
    <w:rsid w:val="00FD60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B85DA1"/>
  <w15:chartTrackingRefBased/>
  <w15:docId w15:val="{29398399-08E7-413A-8956-E8C2F0AD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C44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C44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FB"/>
    <w:rPr>
      <w:rFonts w:ascii="Segoe UI" w:hAnsi="Segoe UI" w:cs="Segoe UI"/>
      <w:sz w:val="18"/>
      <w:szCs w:val="18"/>
    </w:rPr>
  </w:style>
  <w:style w:type="paragraph" w:styleId="NoSpacing">
    <w:name w:val="No Spacing"/>
    <w:uiPriority w:val="1"/>
    <w:qFormat/>
    <w:rsid w:val="007A37C6"/>
    <w:pPr>
      <w:spacing w:after="0" w:line="240" w:lineRule="auto"/>
    </w:pPr>
  </w:style>
  <w:style w:type="paragraph" w:styleId="Header">
    <w:name w:val="header"/>
    <w:basedOn w:val="Normal"/>
    <w:link w:val="HeaderChar"/>
    <w:uiPriority w:val="99"/>
    <w:unhideWhenUsed/>
    <w:rsid w:val="00A40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818"/>
  </w:style>
  <w:style w:type="paragraph" w:styleId="Footer">
    <w:name w:val="footer"/>
    <w:basedOn w:val="Normal"/>
    <w:link w:val="FooterChar"/>
    <w:uiPriority w:val="99"/>
    <w:unhideWhenUsed/>
    <w:rsid w:val="00A40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818"/>
  </w:style>
  <w:style w:type="paragraph" w:styleId="FootnoteText">
    <w:name w:val="footnote text"/>
    <w:basedOn w:val="Normal"/>
    <w:link w:val="FootnoteTextChar"/>
    <w:uiPriority w:val="99"/>
    <w:unhideWhenUsed/>
    <w:rsid w:val="00A40818"/>
    <w:pPr>
      <w:spacing w:after="0" w:line="240" w:lineRule="auto"/>
    </w:pPr>
    <w:rPr>
      <w:sz w:val="20"/>
      <w:szCs w:val="20"/>
    </w:rPr>
  </w:style>
  <w:style w:type="character" w:customStyle="1" w:styleId="FootnoteTextChar">
    <w:name w:val="Footnote Text Char"/>
    <w:basedOn w:val="DefaultParagraphFont"/>
    <w:link w:val="FootnoteText"/>
    <w:uiPriority w:val="99"/>
    <w:rsid w:val="00A40818"/>
    <w:rPr>
      <w:sz w:val="20"/>
      <w:szCs w:val="20"/>
    </w:rPr>
  </w:style>
  <w:style w:type="character" w:styleId="FootnoteReference">
    <w:name w:val="footnote reference"/>
    <w:basedOn w:val="DefaultParagraphFont"/>
    <w:semiHidden/>
    <w:unhideWhenUsed/>
    <w:rsid w:val="00A40818"/>
    <w:rPr>
      <w:vertAlign w:val="superscript"/>
    </w:rPr>
  </w:style>
  <w:style w:type="character" w:styleId="Hyperlink">
    <w:name w:val="Hyperlink"/>
    <w:basedOn w:val="DefaultParagraphFont"/>
    <w:uiPriority w:val="99"/>
    <w:unhideWhenUsed/>
    <w:rsid w:val="00F0293D"/>
    <w:rPr>
      <w:color w:val="0563C1" w:themeColor="hyperlink"/>
      <w:u w:val="single"/>
    </w:rPr>
  </w:style>
  <w:style w:type="paragraph" w:styleId="ListParagraph">
    <w:name w:val="List Paragraph"/>
    <w:basedOn w:val="Normal"/>
    <w:uiPriority w:val="34"/>
    <w:qFormat/>
    <w:rsid w:val="005D3933"/>
    <w:pPr>
      <w:ind w:left="720"/>
      <w:contextualSpacing/>
    </w:pPr>
  </w:style>
  <w:style w:type="paragraph" w:styleId="NormalWeb">
    <w:name w:val="Normal (Web)"/>
    <w:basedOn w:val="Normal"/>
    <w:uiPriority w:val="99"/>
    <w:semiHidden/>
    <w:unhideWhenUsed/>
    <w:rsid w:val="00A850D6"/>
    <w:rPr>
      <w:rFonts w:ascii="Times New Roman" w:hAnsi="Times New Roman" w:cs="Times New Roman"/>
      <w:sz w:val="24"/>
      <w:szCs w:val="24"/>
    </w:rPr>
  </w:style>
  <w:style w:type="character" w:customStyle="1" w:styleId="Heading2Char">
    <w:name w:val="Heading 2 Char"/>
    <w:basedOn w:val="DefaultParagraphFont"/>
    <w:link w:val="Heading2"/>
    <w:uiPriority w:val="9"/>
    <w:rsid w:val="00AC44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C4462"/>
    <w:rPr>
      <w:rFonts w:ascii="Times New Roman" w:eastAsia="Times New Roman" w:hAnsi="Times New Roman" w:cs="Times New Roman"/>
      <w:b/>
      <w:bCs/>
      <w:sz w:val="27"/>
      <w:szCs w:val="27"/>
      <w:lang w:eastAsia="en-GB"/>
    </w:rPr>
  </w:style>
  <w:style w:type="character" w:customStyle="1" w:styleId="reference-text">
    <w:name w:val="reference-text"/>
    <w:basedOn w:val="DefaultParagraphFont"/>
    <w:rsid w:val="00AC4462"/>
  </w:style>
  <w:style w:type="character" w:styleId="FollowedHyperlink">
    <w:name w:val="FollowedHyperlink"/>
    <w:basedOn w:val="DefaultParagraphFont"/>
    <w:uiPriority w:val="99"/>
    <w:semiHidden/>
    <w:unhideWhenUsed/>
    <w:rsid w:val="00AC4462"/>
    <w:rPr>
      <w:color w:val="800080"/>
      <w:u w:val="single"/>
    </w:rPr>
  </w:style>
  <w:style w:type="character" w:customStyle="1" w:styleId="mw-cite-backlink">
    <w:name w:val="mw-cite-backlink"/>
    <w:basedOn w:val="DefaultParagraphFont"/>
    <w:rsid w:val="00AC4462"/>
  </w:style>
  <w:style w:type="character" w:customStyle="1" w:styleId="cite-accessibility-label">
    <w:name w:val="cite-accessibility-label"/>
    <w:basedOn w:val="DefaultParagraphFont"/>
    <w:rsid w:val="00AC4462"/>
  </w:style>
  <w:style w:type="character" w:styleId="HTMLCite">
    <w:name w:val="HTML Cite"/>
    <w:basedOn w:val="DefaultParagraphFont"/>
    <w:uiPriority w:val="99"/>
    <w:semiHidden/>
    <w:unhideWhenUsed/>
    <w:rsid w:val="00AC4462"/>
    <w:rPr>
      <w:i/>
      <w:iCs/>
    </w:rPr>
  </w:style>
  <w:style w:type="character" w:customStyle="1" w:styleId="z3988">
    <w:name w:val="z3988"/>
    <w:basedOn w:val="DefaultParagraphFont"/>
    <w:rsid w:val="00AC4462"/>
  </w:style>
  <w:style w:type="character" w:customStyle="1" w:styleId="reference-accessdate">
    <w:name w:val="reference-accessdate"/>
    <w:basedOn w:val="DefaultParagraphFont"/>
    <w:rsid w:val="00AC4462"/>
  </w:style>
  <w:style w:type="character" w:customStyle="1" w:styleId="nowrap">
    <w:name w:val="nowrap"/>
    <w:basedOn w:val="DefaultParagraphFont"/>
    <w:rsid w:val="00AC4462"/>
  </w:style>
  <w:style w:type="character" w:customStyle="1" w:styleId="mw-headline">
    <w:name w:val="mw-headline"/>
    <w:basedOn w:val="DefaultParagraphFont"/>
    <w:rsid w:val="00AC4462"/>
  </w:style>
  <w:style w:type="character" w:customStyle="1" w:styleId="mw-editsection">
    <w:name w:val="mw-editsection"/>
    <w:basedOn w:val="DefaultParagraphFont"/>
    <w:rsid w:val="00AC4462"/>
  </w:style>
  <w:style w:type="character" w:customStyle="1" w:styleId="mw-editsection-bracket">
    <w:name w:val="mw-editsection-bracket"/>
    <w:basedOn w:val="DefaultParagraphFont"/>
    <w:rsid w:val="00AC4462"/>
  </w:style>
  <w:style w:type="character" w:customStyle="1" w:styleId="Heading1Char">
    <w:name w:val="Heading 1 Char"/>
    <w:basedOn w:val="DefaultParagraphFont"/>
    <w:link w:val="Heading1"/>
    <w:uiPriority w:val="9"/>
    <w:rsid w:val="00F732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89942">
      <w:bodyDiv w:val="1"/>
      <w:marLeft w:val="0"/>
      <w:marRight w:val="0"/>
      <w:marTop w:val="0"/>
      <w:marBottom w:val="0"/>
      <w:divBdr>
        <w:top w:val="none" w:sz="0" w:space="0" w:color="auto"/>
        <w:left w:val="none" w:sz="0" w:space="0" w:color="auto"/>
        <w:bottom w:val="none" w:sz="0" w:space="0" w:color="auto"/>
        <w:right w:val="none" w:sz="0" w:space="0" w:color="auto"/>
      </w:divBdr>
    </w:div>
    <w:div w:id="1061827370">
      <w:bodyDiv w:val="1"/>
      <w:marLeft w:val="0"/>
      <w:marRight w:val="0"/>
      <w:marTop w:val="0"/>
      <w:marBottom w:val="0"/>
      <w:divBdr>
        <w:top w:val="none" w:sz="0" w:space="0" w:color="auto"/>
        <w:left w:val="none" w:sz="0" w:space="0" w:color="auto"/>
        <w:bottom w:val="none" w:sz="0" w:space="0" w:color="auto"/>
        <w:right w:val="none" w:sz="0" w:space="0" w:color="auto"/>
      </w:divBdr>
    </w:div>
    <w:div w:id="1126850057">
      <w:bodyDiv w:val="1"/>
      <w:marLeft w:val="0"/>
      <w:marRight w:val="0"/>
      <w:marTop w:val="0"/>
      <w:marBottom w:val="0"/>
      <w:divBdr>
        <w:top w:val="none" w:sz="0" w:space="0" w:color="auto"/>
        <w:left w:val="none" w:sz="0" w:space="0" w:color="auto"/>
        <w:bottom w:val="none" w:sz="0" w:space="0" w:color="auto"/>
        <w:right w:val="none" w:sz="0" w:space="0" w:color="auto"/>
      </w:divBdr>
    </w:div>
    <w:div w:id="1317950565">
      <w:bodyDiv w:val="1"/>
      <w:marLeft w:val="0"/>
      <w:marRight w:val="0"/>
      <w:marTop w:val="0"/>
      <w:marBottom w:val="0"/>
      <w:divBdr>
        <w:top w:val="none" w:sz="0" w:space="0" w:color="auto"/>
        <w:left w:val="none" w:sz="0" w:space="0" w:color="auto"/>
        <w:bottom w:val="none" w:sz="0" w:space="0" w:color="auto"/>
        <w:right w:val="none" w:sz="0" w:space="0" w:color="auto"/>
      </w:divBdr>
    </w:div>
    <w:div w:id="1376662189">
      <w:bodyDiv w:val="1"/>
      <w:marLeft w:val="0"/>
      <w:marRight w:val="0"/>
      <w:marTop w:val="0"/>
      <w:marBottom w:val="0"/>
      <w:divBdr>
        <w:top w:val="none" w:sz="0" w:space="0" w:color="auto"/>
        <w:left w:val="none" w:sz="0" w:space="0" w:color="auto"/>
        <w:bottom w:val="none" w:sz="0" w:space="0" w:color="auto"/>
        <w:right w:val="none" w:sz="0" w:space="0" w:color="auto"/>
      </w:divBdr>
    </w:div>
    <w:div w:id="1568415857">
      <w:bodyDiv w:val="1"/>
      <w:marLeft w:val="0"/>
      <w:marRight w:val="0"/>
      <w:marTop w:val="0"/>
      <w:marBottom w:val="0"/>
      <w:divBdr>
        <w:top w:val="none" w:sz="0" w:space="0" w:color="auto"/>
        <w:left w:val="none" w:sz="0" w:space="0" w:color="auto"/>
        <w:bottom w:val="none" w:sz="0" w:space="0" w:color="auto"/>
        <w:right w:val="none" w:sz="0" w:space="0" w:color="auto"/>
      </w:divBdr>
    </w:div>
    <w:div w:id="1592659724">
      <w:bodyDiv w:val="1"/>
      <w:marLeft w:val="0"/>
      <w:marRight w:val="0"/>
      <w:marTop w:val="0"/>
      <w:marBottom w:val="0"/>
      <w:divBdr>
        <w:top w:val="none" w:sz="0" w:space="0" w:color="auto"/>
        <w:left w:val="none" w:sz="0" w:space="0" w:color="auto"/>
        <w:bottom w:val="none" w:sz="0" w:space="0" w:color="auto"/>
        <w:right w:val="none" w:sz="0" w:space="0" w:color="auto"/>
      </w:divBdr>
    </w:div>
    <w:div w:id="1632007311">
      <w:bodyDiv w:val="1"/>
      <w:marLeft w:val="0"/>
      <w:marRight w:val="0"/>
      <w:marTop w:val="0"/>
      <w:marBottom w:val="0"/>
      <w:divBdr>
        <w:top w:val="none" w:sz="0" w:space="0" w:color="auto"/>
        <w:left w:val="none" w:sz="0" w:space="0" w:color="auto"/>
        <w:bottom w:val="none" w:sz="0" w:space="0" w:color="auto"/>
        <w:right w:val="none" w:sz="0" w:space="0" w:color="auto"/>
      </w:divBdr>
      <w:divsChild>
        <w:div w:id="950430640">
          <w:marLeft w:val="0"/>
          <w:marRight w:val="0"/>
          <w:marTop w:val="0"/>
          <w:marBottom w:val="0"/>
          <w:divBdr>
            <w:top w:val="none" w:sz="0" w:space="0" w:color="auto"/>
            <w:left w:val="none" w:sz="0" w:space="0" w:color="auto"/>
            <w:bottom w:val="none" w:sz="0" w:space="0" w:color="auto"/>
            <w:right w:val="none" w:sz="0" w:space="0" w:color="auto"/>
          </w:divBdr>
          <w:divsChild>
            <w:div w:id="1257324863">
              <w:marLeft w:val="0"/>
              <w:marRight w:val="0"/>
              <w:marTop w:val="0"/>
              <w:marBottom w:val="0"/>
              <w:divBdr>
                <w:top w:val="none" w:sz="0" w:space="0" w:color="auto"/>
                <w:left w:val="none" w:sz="0" w:space="0" w:color="auto"/>
                <w:bottom w:val="none" w:sz="0" w:space="0" w:color="auto"/>
                <w:right w:val="none" w:sz="0" w:space="0" w:color="auto"/>
              </w:divBdr>
              <w:divsChild>
                <w:div w:id="973633169">
                  <w:marLeft w:val="0"/>
                  <w:marRight w:val="0"/>
                  <w:marTop w:val="0"/>
                  <w:marBottom w:val="0"/>
                  <w:divBdr>
                    <w:top w:val="none" w:sz="0" w:space="0" w:color="auto"/>
                    <w:left w:val="none" w:sz="0" w:space="0" w:color="auto"/>
                    <w:bottom w:val="none" w:sz="0" w:space="0" w:color="auto"/>
                    <w:right w:val="none" w:sz="0" w:space="0" w:color="auto"/>
                  </w:divBdr>
                  <w:divsChild>
                    <w:div w:id="4111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038">
      <w:bodyDiv w:val="1"/>
      <w:marLeft w:val="0"/>
      <w:marRight w:val="0"/>
      <w:marTop w:val="0"/>
      <w:marBottom w:val="0"/>
      <w:divBdr>
        <w:top w:val="none" w:sz="0" w:space="0" w:color="auto"/>
        <w:left w:val="none" w:sz="0" w:space="0" w:color="auto"/>
        <w:bottom w:val="none" w:sz="0" w:space="0" w:color="auto"/>
        <w:right w:val="none" w:sz="0" w:space="0" w:color="auto"/>
      </w:divBdr>
    </w:div>
    <w:div w:id="2034188335">
      <w:bodyDiv w:val="1"/>
      <w:marLeft w:val="0"/>
      <w:marRight w:val="0"/>
      <w:marTop w:val="0"/>
      <w:marBottom w:val="0"/>
      <w:divBdr>
        <w:top w:val="none" w:sz="0" w:space="0" w:color="auto"/>
        <w:left w:val="none" w:sz="0" w:space="0" w:color="auto"/>
        <w:bottom w:val="none" w:sz="0" w:space="0" w:color="auto"/>
        <w:right w:val="none" w:sz="0" w:space="0" w:color="auto"/>
      </w:divBdr>
      <w:divsChild>
        <w:div w:id="543717667">
          <w:marLeft w:val="0"/>
          <w:marRight w:val="0"/>
          <w:marTop w:val="0"/>
          <w:marBottom w:val="120"/>
          <w:divBdr>
            <w:top w:val="none" w:sz="0" w:space="0" w:color="auto"/>
            <w:left w:val="none" w:sz="0" w:space="0" w:color="auto"/>
            <w:bottom w:val="none" w:sz="0" w:space="0" w:color="auto"/>
            <w:right w:val="none" w:sz="0" w:space="0" w:color="auto"/>
          </w:divBdr>
          <w:divsChild>
            <w:div w:id="10476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alingequalitycouncil.org.uk/wp-content/uploads/2018/01/Annual-Report-2016-2017-Final-09.11.2017.pdf" TargetMode="External"/><Relationship Id="rId13" Type="http://schemas.openxmlformats.org/officeDocument/2006/relationships/hyperlink" Target="http://iresearch.worldbank.org/PovcalNet/data.aspx" TargetMode="External"/><Relationship Id="rId18" Type="http://schemas.openxmlformats.org/officeDocument/2006/relationships/hyperlink" Target="http://www.bbc.co.uk/news/world-europe-42558331" TargetMode="External"/><Relationship Id="rId3" Type="http://schemas.openxmlformats.org/officeDocument/2006/relationships/hyperlink" Target="https://fra.europa.eu/sites/default/files/fra-factsheet" TargetMode="External"/><Relationship Id="rId7" Type="http://schemas.openxmlformats.org/officeDocument/2006/relationships/hyperlink" Target="https://www.ealing.gov.uk/info/201048/ealing_facts_and_figures" TargetMode="External"/><Relationship Id="rId12" Type="http://schemas.openxmlformats.org/officeDocument/2006/relationships/hyperlink" Target="http://iresearch.worldbank.org/PovcalNet/introduction.aspx" TargetMode="External"/><Relationship Id="rId17" Type="http://schemas.openxmlformats.org/officeDocument/2006/relationships/hyperlink" Target="https://www.theguardian.com/business/2018/jan/04/fat-cat-thursday-top-bosses-earn-workers-annual-salary-by-lunchtime" TargetMode="External"/><Relationship Id="rId2" Type="http://schemas.openxmlformats.org/officeDocument/2006/relationships/hyperlink" Target="https://eccnetwork.net/refugees-germany-quest-social-cohesion/" TargetMode="External"/><Relationship Id="rId16" Type="http://schemas.openxmlformats.org/officeDocument/2006/relationships/hyperlink" Target="https://www.theguardian.com/artanddesign/2017/nov/16/salvator-mundi-leonardo-da-vinci-most-expensive-painting-ever-sold-auction" TargetMode="External"/><Relationship Id="rId20" Type="http://schemas.openxmlformats.org/officeDocument/2006/relationships/hyperlink" Target="http://www.un.org/en/development/desa/policy/cdp/cdp_statements/cdp_plen09_gph.pdf" TargetMode="External"/><Relationship Id="rId1" Type="http://schemas.openxmlformats.org/officeDocument/2006/relationships/hyperlink" Target="http://www.bbc.co.uk/news/world-europe-34131911" TargetMode="External"/><Relationship Id="rId6" Type="http://schemas.openxmlformats.org/officeDocument/2006/relationships/hyperlink" Target="http://www.nus.org.uk/Global/CBI_NUS_Employability%20report_May%202011.pdf" TargetMode="External"/><Relationship Id="rId11" Type="http://schemas.openxmlformats.org/officeDocument/2006/relationships/hyperlink" Target="https://doaj.org/toc/2308-1058" TargetMode="External"/><Relationship Id="rId5" Type="http://schemas.openxmlformats.org/officeDocument/2006/relationships/hyperlink" Target="https://www.getwestlondon.co.uk/incoming/ealing-one-worst-boroughs-poverty-10524563" TargetMode="External"/><Relationship Id="rId15" Type="http://schemas.openxmlformats.org/officeDocument/2006/relationships/hyperlink" Target="https://www.digitaltrends.com/cars/most-expensive-cars-in-the-world/" TargetMode="External"/><Relationship Id="rId10" Type="http://schemas.openxmlformats.org/officeDocument/2006/relationships/hyperlink" Target="https://www.sra.org.uk/SearchResult.aspx?q=alternative+to+training+contract" TargetMode="External"/><Relationship Id="rId19" Type="http://schemas.openxmlformats.org/officeDocument/2006/relationships/hyperlink" Target="https://www.equalityhumanrights.com/en/race-report-healing-divided-britain" TargetMode="External"/><Relationship Id="rId4" Type="http://schemas.openxmlformats.org/officeDocument/2006/relationships/hyperlink" Target="http://www.abc.net.au/news/2018-03-14/angela-merkel-elected-for-fourth-term-as-german-chancellor/9548896" TargetMode="External"/><Relationship Id="rId9" Type="http://schemas.openxmlformats.org/officeDocument/2006/relationships/hyperlink" Target="http://ccrc.gov.uk/about-us/" TargetMode="External"/><Relationship Id="rId14" Type="http://schemas.openxmlformats.org/officeDocument/2006/relationships/hyperlink" Target="http://www.oxfam.org.uk/media-centre/press-releases/2016/01/62-people-own-same-as-half-world-says-oxfam-inequality-report-davos-world-economic-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5C7F-8871-434D-B134-881932B4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Kwame Akuffo</dc:creator>
  <cp:keywords/>
  <dc:description/>
  <cp:lastModifiedBy>Paul Burns</cp:lastModifiedBy>
  <cp:revision>3</cp:revision>
  <cp:lastPrinted>2017-07-01T13:15:00Z</cp:lastPrinted>
  <dcterms:created xsi:type="dcterms:W3CDTF">2019-05-09T15:33:00Z</dcterms:created>
  <dcterms:modified xsi:type="dcterms:W3CDTF">2019-05-09T15:38:00Z</dcterms:modified>
</cp:coreProperties>
</file>