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D4373" w:rsidRDefault="00BE40D6" w:rsidP="00CD4373">
      <w:pPr>
        <w:spacing w:after="0" w:line="480" w:lineRule="auto"/>
        <w:jc w:val="center"/>
        <w:rPr>
          <w:rFonts w:ascii="Palatino Linotype" w:hAnsi="Palatino Linotype" w:cs="Times New Roman"/>
          <w:sz w:val="28"/>
          <w:szCs w:val="28"/>
        </w:rPr>
      </w:pPr>
      <w:r>
        <w:rPr>
          <w:rFonts w:ascii="Palatino Linotype" w:hAnsi="Palatino Linotype" w:cs="Times New Roman"/>
          <w:sz w:val="28"/>
          <w:szCs w:val="28"/>
        </w:rPr>
        <w:t xml:space="preserve">REASONS TO DOUBT: WRONGFUL CONVICTIONS </w:t>
      </w:r>
    </w:p>
    <w:p w:rsidR="00CD4373" w:rsidRDefault="00BE40D6" w:rsidP="00CD4373">
      <w:pPr>
        <w:spacing w:line="480" w:lineRule="auto"/>
        <w:jc w:val="center"/>
        <w:rPr>
          <w:rFonts w:ascii="Palatino Linotype" w:hAnsi="Palatino Linotype" w:cs="Times New Roman"/>
          <w:sz w:val="28"/>
          <w:szCs w:val="28"/>
        </w:rPr>
      </w:pPr>
      <w:r>
        <w:rPr>
          <w:rFonts w:ascii="Palatino Linotype" w:hAnsi="Palatino Linotype" w:cs="Times New Roman"/>
          <w:sz w:val="28"/>
          <w:szCs w:val="28"/>
        </w:rPr>
        <w:t>AND THE CRIMINAL CASES REVIEW COMMISSION</w:t>
      </w:r>
    </w:p>
    <w:p w:rsidR="00BE40D6" w:rsidRDefault="00E92CE4" w:rsidP="00E92CE4">
      <w:pPr>
        <w:spacing w:line="480" w:lineRule="auto"/>
        <w:jc w:val="both"/>
        <w:rPr>
          <w:rFonts w:ascii="Palatino Linotype" w:hAnsi="Palatino Linotype" w:cs="Times New Roman"/>
          <w:sz w:val="28"/>
          <w:szCs w:val="28"/>
        </w:rPr>
      </w:pPr>
      <w:r>
        <w:rPr>
          <w:rFonts w:ascii="Palatino Linotype" w:hAnsi="Palatino Linotype" w:cs="Times New Roman"/>
          <w:sz w:val="28"/>
          <w:szCs w:val="28"/>
        </w:rPr>
        <w:t xml:space="preserve">by </w:t>
      </w:r>
      <w:r w:rsidR="00BE40D6">
        <w:rPr>
          <w:rFonts w:ascii="Palatino Linotype" w:hAnsi="Palatino Linotype" w:cs="Times New Roman"/>
          <w:sz w:val="28"/>
          <w:szCs w:val="28"/>
        </w:rPr>
        <w:t>Carolyn Hoyle, and Mai Sato</w:t>
      </w:r>
      <w:r>
        <w:rPr>
          <w:rFonts w:ascii="Palatino Linotype" w:hAnsi="Palatino Linotype" w:cs="Times New Roman"/>
          <w:sz w:val="28"/>
          <w:szCs w:val="28"/>
        </w:rPr>
        <w:t xml:space="preserve"> (</w:t>
      </w:r>
      <w:r w:rsidR="00BE40D6">
        <w:rPr>
          <w:rFonts w:ascii="Palatino Linotype" w:hAnsi="Palatino Linotype" w:cs="Times New Roman"/>
          <w:sz w:val="28"/>
          <w:szCs w:val="28"/>
        </w:rPr>
        <w:t>Oxford University Press</w:t>
      </w:r>
      <w:r>
        <w:rPr>
          <w:rFonts w:ascii="Palatino Linotype" w:hAnsi="Palatino Linotype" w:cs="Times New Roman"/>
          <w:sz w:val="28"/>
          <w:szCs w:val="28"/>
        </w:rPr>
        <w:t>), 201</w:t>
      </w:r>
      <w:r w:rsidR="00BE40D6">
        <w:rPr>
          <w:rFonts w:ascii="Palatino Linotype" w:hAnsi="Palatino Linotype" w:cs="Times New Roman"/>
          <w:sz w:val="28"/>
          <w:szCs w:val="28"/>
        </w:rPr>
        <w:t>9</w:t>
      </w:r>
      <w:r>
        <w:rPr>
          <w:rFonts w:ascii="Palatino Linotype" w:hAnsi="Palatino Linotype" w:cs="Times New Roman"/>
          <w:sz w:val="28"/>
          <w:szCs w:val="28"/>
        </w:rPr>
        <w:t xml:space="preserve">, </w:t>
      </w:r>
      <w:r w:rsidR="00BE40D6">
        <w:rPr>
          <w:rFonts w:ascii="Palatino Linotype" w:hAnsi="Palatino Linotype" w:cs="Times New Roman"/>
          <w:sz w:val="28"/>
          <w:szCs w:val="28"/>
        </w:rPr>
        <w:t>383</w:t>
      </w:r>
      <w:r>
        <w:rPr>
          <w:rFonts w:ascii="Palatino Linotype" w:hAnsi="Palatino Linotype" w:cs="Times New Roman"/>
          <w:sz w:val="28"/>
          <w:szCs w:val="28"/>
        </w:rPr>
        <w:t>pp, £</w:t>
      </w:r>
      <w:r w:rsidR="00BE40D6">
        <w:rPr>
          <w:rFonts w:ascii="Palatino Linotype" w:hAnsi="Palatino Linotype" w:cs="Times New Roman"/>
          <w:sz w:val="28"/>
          <w:szCs w:val="28"/>
        </w:rPr>
        <w:t>75.00</w:t>
      </w:r>
      <w:r>
        <w:rPr>
          <w:rFonts w:ascii="Palatino Linotype" w:hAnsi="Palatino Linotype" w:cs="Times New Roman"/>
          <w:sz w:val="28"/>
          <w:szCs w:val="28"/>
        </w:rPr>
        <w:t xml:space="preserve"> (hardback), ISBN: 978-</w:t>
      </w:r>
      <w:r w:rsidR="00BE40D6">
        <w:rPr>
          <w:rFonts w:ascii="Palatino Linotype" w:hAnsi="Palatino Linotype" w:cs="Times New Roman"/>
          <w:sz w:val="28"/>
          <w:szCs w:val="28"/>
        </w:rPr>
        <w:t>0</w:t>
      </w:r>
      <w:r>
        <w:rPr>
          <w:rFonts w:ascii="Palatino Linotype" w:hAnsi="Palatino Linotype" w:cs="Times New Roman"/>
          <w:sz w:val="28"/>
          <w:szCs w:val="28"/>
        </w:rPr>
        <w:t>-</w:t>
      </w:r>
      <w:r w:rsidR="00BE40D6">
        <w:rPr>
          <w:rFonts w:ascii="Palatino Linotype" w:hAnsi="Palatino Linotype" w:cs="Times New Roman"/>
          <w:sz w:val="28"/>
          <w:szCs w:val="28"/>
        </w:rPr>
        <w:t>19-879457-8</w:t>
      </w:r>
    </w:p>
    <w:p w:rsidR="0091241F" w:rsidRPr="0091241F" w:rsidRDefault="0091241F" w:rsidP="0091241F">
      <w:pPr>
        <w:spacing w:line="480" w:lineRule="auto"/>
        <w:jc w:val="both"/>
        <w:rPr>
          <w:rFonts w:ascii="Palatino Linotype" w:hAnsi="Palatino Linotype" w:cs="Times New Roman"/>
          <w:b/>
          <w:i/>
          <w:sz w:val="24"/>
          <w:szCs w:val="24"/>
        </w:rPr>
      </w:pPr>
      <w:r w:rsidRPr="0091241F">
        <w:rPr>
          <w:rFonts w:ascii="Palatino Linotype" w:hAnsi="Palatino Linotype" w:cs="Times New Roman"/>
          <w:b/>
          <w:i/>
          <w:sz w:val="24"/>
          <w:szCs w:val="24"/>
        </w:rPr>
        <w:t>Paul Dargue Lecturer in Law, Northumbria University, UK</w:t>
      </w:r>
      <w:r w:rsidRPr="0091241F">
        <w:rPr>
          <w:rStyle w:val="FootnoteReference"/>
          <w:rFonts w:ascii="Palatino Linotype" w:hAnsi="Palatino Linotype" w:cs="Times New Roman"/>
          <w:b/>
          <w:i/>
          <w:sz w:val="24"/>
          <w:szCs w:val="24"/>
        </w:rPr>
        <w:footnoteReference w:id="1"/>
      </w:r>
      <w:r w:rsidRPr="0091241F">
        <w:rPr>
          <w:rFonts w:ascii="Palatino Linotype" w:hAnsi="Palatino Linotype" w:cs="Times New Roman"/>
          <w:b/>
          <w:i/>
          <w:sz w:val="24"/>
          <w:szCs w:val="24"/>
        </w:rPr>
        <w:t xml:space="preserve"> </w:t>
      </w:r>
    </w:p>
    <w:p w:rsidR="00E762F0" w:rsidRDefault="00E762F0" w:rsidP="00E92CE4">
      <w:pPr>
        <w:spacing w:line="480" w:lineRule="auto"/>
        <w:jc w:val="both"/>
        <w:rPr>
          <w:rFonts w:ascii="Palatino Linotype" w:hAnsi="Palatino Linotype" w:cs="Times New Roman"/>
          <w:sz w:val="24"/>
          <w:szCs w:val="28"/>
        </w:rPr>
      </w:pPr>
      <w:r>
        <w:rPr>
          <w:rFonts w:ascii="Palatino Linotype" w:hAnsi="Palatino Linotype" w:cs="Times New Roman"/>
          <w:sz w:val="24"/>
          <w:szCs w:val="28"/>
        </w:rPr>
        <w:t>In t</w:t>
      </w:r>
      <w:r w:rsidR="00D80564">
        <w:rPr>
          <w:rFonts w:ascii="Palatino Linotype" w:hAnsi="Palatino Linotype" w:cs="Times New Roman"/>
          <w:sz w:val="24"/>
          <w:szCs w:val="28"/>
        </w:rPr>
        <w:t xml:space="preserve">his book </w:t>
      </w:r>
      <w:r>
        <w:rPr>
          <w:rFonts w:ascii="Palatino Linotype" w:hAnsi="Palatino Linotype" w:cs="Times New Roman"/>
          <w:sz w:val="24"/>
          <w:szCs w:val="28"/>
        </w:rPr>
        <w:t xml:space="preserve">the authors </w:t>
      </w:r>
      <w:r w:rsidR="00D80564">
        <w:rPr>
          <w:rFonts w:ascii="Palatino Linotype" w:hAnsi="Palatino Linotype" w:cs="Times New Roman"/>
          <w:sz w:val="24"/>
          <w:szCs w:val="28"/>
        </w:rPr>
        <w:t xml:space="preserve">explore </w:t>
      </w:r>
      <w:r>
        <w:rPr>
          <w:rFonts w:ascii="Palatino Linotype" w:hAnsi="Palatino Linotype" w:cs="Times New Roman"/>
          <w:sz w:val="24"/>
          <w:szCs w:val="28"/>
        </w:rPr>
        <w:t xml:space="preserve">their </w:t>
      </w:r>
      <w:r w:rsidR="00D80564">
        <w:rPr>
          <w:rFonts w:ascii="Palatino Linotype" w:hAnsi="Palatino Linotype" w:cs="Times New Roman"/>
          <w:sz w:val="24"/>
          <w:szCs w:val="28"/>
        </w:rPr>
        <w:t>extensive, multi-year, empirical analysis of the Criminal Cases Review Commission (CCRC). The authors obtained unrivalled access to the CCRC in the course of their study; the result is a complex and rich analysis of the inner-workings of the organisation.</w:t>
      </w:r>
      <w:r w:rsidR="00E92CE4">
        <w:rPr>
          <w:rFonts w:ascii="Palatino Linotype" w:hAnsi="Palatino Linotype" w:cs="Times New Roman"/>
          <w:sz w:val="24"/>
          <w:szCs w:val="28"/>
        </w:rPr>
        <w:t xml:space="preserve"> </w:t>
      </w:r>
      <w:r>
        <w:rPr>
          <w:rFonts w:ascii="Palatino Linotype" w:hAnsi="Palatino Linotype" w:cs="Times New Roman"/>
          <w:sz w:val="24"/>
          <w:szCs w:val="28"/>
        </w:rPr>
        <w:t xml:space="preserve">The CCRC, a non-governmental organisation funded by the Ministry of Justice, has the power to investigate alleged miscarriages of justice (following an application </w:t>
      </w:r>
      <w:r w:rsidR="00F20702">
        <w:rPr>
          <w:rFonts w:ascii="Palatino Linotype" w:hAnsi="Palatino Linotype" w:cs="Times New Roman"/>
          <w:sz w:val="24"/>
          <w:szCs w:val="28"/>
        </w:rPr>
        <w:t>by</w:t>
      </w:r>
      <w:r>
        <w:rPr>
          <w:rFonts w:ascii="Palatino Linotype" w:hAnsi="Palatino Linotype" w:cs="Times New Roman"/>
          <w:sz w:val="24"/>
          <w:szCs w:val="28"/>
        </w:rPr>
        <w:t xml:space="preserve"> the convicted person) and to refer cases to the Court of Appeal (Criminal Division)</w:t>
      </w:r>
      <w:r w:rsidR="007344C1">
        <w:rPr>
          <w:rFonts w:ascii="Palatino Linotype" w:hAnsi="Palatino Linotype" w:cs="Times New Roman"/>
          <w:sz w:val="24"/>
          <w:szCs w:val="28"/>
        </w:rPr>
        <w:t xml:space="preserve"> for an appeal hearing</w:t>
      </w:r>
      <w:r>
        <w:rPr>
          <w:rFonts w:ascii="Palatino Linotype" w:hAnsi="Palatino Linotype" w:cs="Times New Roman"/>
          <w:sz w:val="24"/>
          <w:szCs w:val="28"/>
        </w:rPr>
        <w:t>. This book, by far the most detailed examination of the CCRC, will be valuable for those engaged in the field of miscarriages of justice or the criminal justice system more broadly.</w:t>
      </w:r>
    </w:p>
    <w:p w:rsidR="00105694" w:rsidRDefault="009B7981" w:rsidP="00E92CE4">
      <w:pPr>
        <w:spacing w:line="480" w:lineRule="auto"/>
        <w:jc w:val="both"/>
        <w:rPr>
          <w:rFonts w:ascii="Palatino Linotype" w:hAnsi="Palatino Linotype" w:cs="Times New Roman"/>
          <w:sz w:val="24"/>
          <w:szCs w:val="28"/>
        </w:rPr>
      </w:pPr>
      <w:r>
        <w:rPr>
          <w:rFonts w:ascii="Palatino Linotype" w:hAnsi="Palatino Linotype" w:cs="Times New Roman"/>
          <w:sz w:val="24"/>
          <w:szCs w:val="28"/>
        </w:rPr>
        <w:t>The book’s theoretical framework draws heavily upon Keith Hawkin</w:t>
      </w:r>
      <w:r w:rsidR="00C13070">
        <w:rPr>
          <w:rFonts w:ascii="Palatino Linotype" w:hAnsi="Palatino Linotype" w:cs="Times New Roman"/>
          <w:sz w:val="24"/>
          <w:szCs w:val="28"/>
        </w:rPr>
        <w:t>s</w:t>
      </w:r>
      <w:r>
        <w:rPr>
          <w:rFonts w:ascii="Palatino Linotype" w:hAnsi="Palatino Linotype" w:cs="Times New Roman"/>
          <w:sz w:val="24"/>
          <w:szCs w:val="28"/>
        </w:rPr>
        <w:t>’s naturalistic approach</w:t>
      </w:r>
      <w:r w:rsidR="00F20702">
        <w:rPr>
          <w:rFonts w:ascii="Palatino Linotype" w:hAnsi="Palatino Linotype" w:cs="Times New Roman"/>
          <w:sz w:val="24"/>
          <w:szCs w:val="28"/>
        </w:rPr>
        <w:t>,</w:t>
      </w:r>
      <w:r>
        <w:rPr>
          <w:rFonts w:ascii="Palatino Linotype" w:hAnsi="Palatino Linotype" w:cs="Times New Roman"/>
          <w:sz w:val="24"/>
          <w:szCs w:val="28"/>
        </w:rPr>
        <w:t xml:space="preserve"> adopted in his</w:t>
      </w:r>
      <w:r w:rsidR="00C13070">
        <w:rPr>
          <w:rFonts w:ascii="Palatino Linotype" w:hAnsi="Palatino Linotype" w:cs="Times New Roman"/>
          <w:sz w:val="24"/>
          <w:szCs w:val="28"/>
        </w:rPr>
        <w:t xml:space="preserve"> book</w:t>
      </w:r>
      <w:r>
        <w:rPr>
          <w:rFonts w:ascii="Palatino Linotype" w:hAnsi="Palatino Linotype" w:cs="Times New Roman"/>
          <w:sz w:val="24"/>
          <w:szCs w:val="28"/>
        </w:rPr>
        <w:t xml:space="preserve"> </w:t>
      </w:r>
      <w:r>
        <w:rPr>
          <w:rFonts w:ascii="Palatino Linotype" w:hAnsi="Palatino Linotype" w:cs="Times New Roman"/>
          <w:i/>
          <w:sz w:val="24"/>
          <w:szCs w:val="28"/>
        </w:rPr>
        <w:t xml:space="preserve">Law as a Last Resort </w:t>
      </w:r>
      <w:r>
        <w:rPr>
          <w:rFonts w:ascii="Palatino Linotype" w:hAnsi="Palatino Linotype" w:cs="Times New Roman"/>
          <w:sz w:val="24"/>
          <w:szCs w:val="28"/>
        </w:rPr>
        <w:t>(2002). It also draws upon, though to a much lesser degree, Chun Wei Choo’s concept of a ‘knowing organisati</w:t>
      </w:r>
      <w:r w:rsidR="007344C1">
        <w:rPr>
          <w:rFonts w:ascii="Palatino Linotype" w:hAnsi="Palatino Linotype" w:cs="Times New Roman"/>
          <w:sz w:val="24"/>
          <w:szCs w:val="28"/>
        </w:rPr>
        <w:t xml:space="preserve">on’ (p. 47). </w:t>
      </w:r>
      <w:r w:rsidR="00C13070">
        <w:rPr>
          <w:rFonts w:ascii="Palatino Linotype" w:hAnsi="Palatino Linotype" w:cs="Times New Roman"/>
          <w:sz w:val="24"/>
          <w:szCs w:val="28"/>
        </w:rPr>
        <w:t xml:space="preserve">Hawkins </w:t>
      </w:r>
      <w:r w:rsidR="005F5021">
        <w:rPr>
          <w:rFonts w:ascii="Palatino Linotype" w:hAnsi="Palatino Linotype" w:cs="Times New Roman"/>
          <w:sz w:val="24"/>
          <w:szCs w:val="28"/>
        </w:rPr>
        <w:t>suggested</w:t>
      </w:r>
      <w:r w:rsidR="00C13070">
        <w:rPr>
          <w:rFonts w:ascii="Palatino Linotype" w:hAnsi="Palatino Linotype" w:cs="Times New Roman"/>
          <w:sz w:val="24"/>
          <w:szCs w:val="28"/>
        </w:rPr>
        <w:t xml:space="preserve"> that</w:t>
      </w:r>
      <w:r w:rsidR="002A0BBE">
        <w:rPr>
          <w:rFonts w:ascii="Palatino Linotype" w:hAnsi="Palatino Linotype" w:cs="Times New Roman"/>
          <w:sz w:val="24"/>
          <w:szCs w:val="28"/>
        </w:rPr>
        <w:t xml:space="preserve"> </w:t>
      </w:r>
      <w:r w:rsidR="005F5021">
        <w:rPr>
          <w:rFonts w:ascii="Palatino Linotype" w:hAnsi="Palatino Linotype" w:cs="Times New Roman"/>
          <w:sz w:val="24"/>
          <w:szCs w:val="28"/>
        </w:rPr>
        <w:t xml:space="preserve">discretionary decision-making is a product of the connection between the ‘surround’, decision ‘field’, and the decision ‘frame’ of the organisation. </w:t>
      </w:r>
      <w:r w:rsidR="005F5021">
        <w:rPr>
          <w:rFonts w:ascii="Palatino Linotype" w:hAnsi="Palatino Linotype" w:cs="Times New Roman"/>
          <w:sz w:val="24"/>
          <w:szCs w:val="28"/>
        </w:rPr>
        <w:lastRenderedPageBreak/>
        <w:t xml:space="preserve">The surround refers to the social, economic, and political environment in which the organisation operates (p. 39). </w:t>
      </w:r>
      <w:r w:rsidR="002B18B4">
        <w:rPr>
          <w:rFonts w:ascii="Palatino Linotype" w:hAnsi="Palatino Linotype" w:cs="Times New Roman"/>
          <w:sz w:val="24"/>
          <w:szCs w:val="28"/>
        </w:rPr>
        <w:t>The surround is not static, but shifts according to wider social and political changes (p. 316).</w:t>
      </w:r>
      <w:r w:rsidR="005F5021">
        <w:rPr>
          <w:rFonts w:ascii="Palatino Linotype" w:hAnsi="Palatino Linotype" w:cs="Times New Roman"/>
          <w:sz w:val="24"/>
          <w:szCs w:val="28"/>
        </w:rPr>
        <w:t xml:space="preserve"> The decision field </w:t>
      </w:r>
      <w:r w:rsidR="002B18B4">
        <w:rPr>
          <w:rFonts w:ascii="Palatino Linotype" w:hAnsi="Palatino Linotype" w:cs="Times New Roman"/>
          <w:sz w:val="24"/>
          <w:szCs w:val="28"/>
        </w:rPr>
        <w:t xml:space="preserve">(which is inevitably influenced by the surround) </w:t>
      </w:r>
      <w:r w:rsidR="005F5021">
        <w:rPr>
          <w:rFonts w:ascii="Palatino Linotype" w:hAnsi="Palatino Linotype" w:cs="Times New Roman"/>
          <w:sz w:val="24"/>
          <w:szCs w:val="28"/>
        </w:rPr>
        <w:t>means the setting in which decisions are made –</w:t>
      </w:r>
      <w:r w:rsidR="002B18B4">
        <w:rPr>
          <w:rFonts w:ascii="Palatino Linotype" w:hAnsi="Palatino Linotype" w:cs="Times New Roman"/>
          <w:sz w:val="24"/>
          <w:szCs w:val="28"/>
        </w:rPr>
        <w:t xml:space="preserve"> </w:t>
      </w:r>
      <w:r w:rsidR="005F5021">
        <w:rPr>
          <w:rFonts w:ascii="Palatino Linotype" w:hAnsi="Palatino Linotype" w:cs="Times New Roman"/>
          <w:sz w:val="24"/>
          <w:szCs w:val="28"/>
        </w:rPr>
        <w:t>this is principally the law, policies</w:t>
      </w:r>
      <w:r w:rsidR="002B18B4">
        <w:rPr>
          <w:rFonts w:ascii="Palatino Linotype" w:hAnsi="Palatino Linotype" w:cs="Times New Roman"/>
          <w:sz w:val="24"/>
          <w:szCs w:val="28"/>
        </w:rPr>
        <w:t>,</w:t>
      </w:r>
      <w:r w:rsidR="005F5021">
        <w:rPr>
          <w:rFonts w:ascii="Palatino Linotype" w:hAnsi="Palatino Linotype" w:cs="Times New Roman"/>
          <w:sz w:val="24"/>
          <w:szCs w:val="28"/>
        </w:rPr>
        <w:t xml:space="preserve"> and guidance notes issued by the CCRC to its staff, as well as informal ‘working rules’ and assumptions (p. 40). The decision frame means </w:t>
      </w:r>
      <w:r w:rsidR="00105694">
        <w:rPr>
          <w:rFonts w:ascii="Palatino Linotype" w:hAnsi="Palatino Linotype" w:cs="Times New Roman"/>
          <w:sz w:val="24"/>
          <w:szCs w:val="28"/>
        </w:rPr>
        <w:t xml:space="preserve">the </w:t>
      </w:r>
      <w:r w:rsidR="00F20702">
        <w:rPr>
          <w:rFonts w:ascii="Palatino Linotype" w:hAnsi="Palatino Linotype" w:cs="Times New Roman"/>
          <w:sz w:val="24"/>
          <w:szCs w:val="28"/>
        </w:rPr>
        <w:t xml:space="preserve">structures of knowledge and values that </w:t>
      </w:r>
      <w:r w:rsidR="00105694">
        <w:rPr>
          <w:rFonts w:ascii="Palatino Linotype" w:hAnsi="Palatino Linotype" w:cs="Times New Roman"/>
          <w:sz w:val="24"/>
          <w:szCs w:val="28"/>
        </w:rPr>
        <w:t xml:space="preserve">staff members at the CCRC </w:t>
      </w:r>
      <w:r w:rsidR="00F20702">
        <w:rPr>
          <w:rFonts w:ascii="Palatino Linotype" w:hAnsi="Palatino Linotype" w:cs="Times New Roman"/>
          <w:sz w:val="24"/>
          <w:szCs w:val="28"/>
        </w:rPr>
        <w:t xml:space="preserve">use under the influence of the surround and field </w:t>
      </w:r>
      <w:r w:rsidR="00105694">
        <w:rPr>
          <w:rFonts w:ascii="Palatino Linotype" w:hAnsi="Palatino Linotype" w:cs="Times New Roman"/>
          <w:sz w:val="24"/>
          <w:szCs w:val="28"/>
        </w:rPr>
        <w:t xml:space="preserve">(p. 41). </w:t>
      </w:r>
      <w:r w:rsidR="00105694">
        <w:rPr>
          <w:rFonts w:ascii="Palatino Linotype" w:hAnsi="Palatino Linotype" w:cs="Times New Roman"/>
          <w:i/>
          <w:sz w:val="24"/>
          <w:szCs w:val="28"/>
        </w:rPr>
        <w:t xml:space="preserve">Reasons to Doubt </w:t>
      </w:r>
      <w:r w:rsidR="002B18B4">
        <w:rPr>
          <w:rFonts w:ascii="Palatino Linotype" w:hAnsi="Palatino Linotype" w:cs="Times New Roman"/>
          <w:sz w:val="24"/>
          <w:szCs w:val="28"/>
        </w:rPr>
        <w:t>accesses CCRC</w:t>
      </w:r>
      <w:r w:rsidR="00105694">
        <w:rPr>
          <w:rFonts w:ascii="Palatino Linotype" w:hAnsi="Palatino Linotype" w:cs="Times New Roman"/>
          <w:sz w:val="24"/>
          <w:szCs w:val="28"/>
        </w:rPr>
        <w:t xml:space="preserve"> staff’s decision frames by unique access to case files and case records, which show what information was considered and rejected during the investigation. The book is consistent in applying this framework to the analysis of the CCRC’s decision-making, and this is to good effect</w:t>
      </w:r>
      <w:r w:rsidR="002B18B4">
        <w:rPr>
          <w:rFonts w:ascii="Palatino Linotype" w:hAnsi="Palatino Linotype" w:cs="Times New Roman"/>
          <w:sz w:val="24"/>
          <w:szCs w:val="28"/>
        </w:rPr>
        <w:t xml:space="preserve"> to develop a deep sociological understanding of the CCRC</w:t>
      </w:r>
      <w:r w:rsidR="00105694">
        <w:rPr>
          <w:rFonts w:ascii="Palatino Linotype" w:hAnsi="Palatino Linotype" w:cs="Times New Roman"/>
          <w:sz w:val="24"/>
          <w:szCs w:val="28"/>
        </w:rPr>
        <w:t xml:space="preserve">. </w:t>
      </w:r>
    </w:p>
    <w:p w:rsidR="005A28BF" w:rsidRDefault="00105694" w:rsidP="00E92CE4">
      <w:pPr>
        <w:spacing w:line="480" w:lineRule="auto"/>
        <w:jc w:val="both"/>
        <w:rPr>
          <w:rFonts w:ascii="Palatino Linotype" w:hAnsi="Palatino Linotype" w:cs="Times New Roman"/>
          <w:sz w:val="24"/>
          <w:szCs w:val="28"/>
        </w:rPr>
      </w:pPr>
      <w:r>
        <w:rPr>
          <w:rFonts w:ascii="Palatino Linotype" w:hAnsi="Palatino Linotype" w:cs="Times New Roman"/>
          <w:sz w:val="24"/>
          <w:szCs w:val="28"/>
        </w:rPr>
        <w:t xml:space="preserve">The book is divided into </w:t>
      </w:r>
      <w:r w:rsidR="002B18B4">
        <w:rPr>
          <w:rFonts w:ascii="Palatino Linotype" w:hAnsi="Palatino Linotype" w:cs="Times New Roman"/>
          <w:sz w:val="24"/>
          <w:szCs w:val="28"/>
        </w:rPr>
        <w:t xml:space="preserve">14 </w:t>
      </w:r>
      <w:r>
        <w:rPr>
          <w:rFonts w:ascii="Palatino Linotype" w:hAnsi="Palatino Linotype" w:cs="Times New Roman"/>
          <w:sz w:val="24"/>
          <w:szCs w:val="28"/>
        </w:rPr>
        <w:t xml:space="preserve">chapters. </w:t>
      </w:r>
      <w:r w:rsidR="00D4211A">
        <w:rPr>
          <w:rFonts w:ascii="Palatino Linotype" w:hAnsi="Palatino Linotype" w:cs="Times New Roman"/>
          <w:sz w:val="24"/>
          <w:szCs w:val="28"/>
        </w:rPr>
        <w:t>It is quite a long read</w:t>
      </w:r>
      <w:r w:rsidR="007344C1">
        <w:rPr>
          <w:rFonts w:ascii="Palatino Linotype" w:hAnsi="Palatino Linotype" w:cs="Times New Roman"/>
          <w:sz w:val="24"/>
          <w:szCs w:val="28"/>
        </w:rPr>
        <w:t xml:space="preserve">, and has the benefit of a </w:t>
      </w:r>
      <w:r w:rsidR="00D4211A">
        <w:rPr>
          <w:rFonts w:ascii="Palatino Linotype" w:hAnsi="Palatino Linotype" w:cs="Times New Roman"/>
          <w:sz w:val="24"/>
          <w:szCs w:val="28"/>
        </w:rPr>
        <w:t xml:space="preserve">full bibliography at the end. </w:t>
      </w:r>
      <w:r>
        <w:rPr>
          <w:rFonts w:ascii="Palatino Linotype" w:hAnsi="Palatino Linotype" w:cs="Times New Roman"/>
          <w:sz w:val="24"/>
          <w:szCs w:val="28"/>
        </w:rPr>
        <w:t xml:space="preserve">The first three </w:t>
      </w:r>
      <w:r w:rsidR="00D4211A">
        <w:rPr>
          <w:rFonts w:ascii="Palatino Linotype" w:hAnsi="Palatino Linotype" w:cs="Times New Roman"/>
          <w:sz w:val="24"/>
          <w:szCs w:val="28"/>
        </w:rPr>
        <w:t xml:space="preserve">chapters </w:t>
      </w:r>
      <w:r>
        <w:rPr>
          <w:rFonts w:ascii="Palatino Linotype" w:hAnsi="Palatino Linotype" w:cs="Times New Roman"/>
          <w:sz w:val="24"/>
          <w:szCs w:val="28"/>
        </w:rPr>
        <w:t>contextualise the study by explaining the perceived problems with the CCRC and the concern with miscarriages of justice. The</w:t>
      </w:r>
      <w:r w:rsidR="00122375">
        <w:rPr>
          <w:rFonts w:ascii="Palatino Linotype" w:hAnsi="Palatino Linotype" w:cs="Times New Roman"/>
          <w:sz w:val="24"/>
          <w:szCs w:val="28"/>
        </w:rPr>
        <w:t xml:space="preserve"> book’s </w:t>
      </w:r>
      <w:r>
        <w:rPr>
          <w:rFonts w:ascii="Palatino Linotype" w:hAnsi="Palatino Linotype" w:cs="Times New Roman"/>
          <w:sz w:val="24"/>
          <w:szCs w:val="28"/>
        </w:rPr>
        <w:t>methodolog</w:t>
      </w:r>
      <w:r w:rsidR="00122375">
        <w:rPr>
          <w:rFonts w:ascii="Palatino Linotype" w:hAnsi="Palatino Linotype" w:cs="Times New Roman"/>
          <w:sz w:val="24"/>
          <w:szCs w:val="28"/>
        </w:rPr>
        <w:t>y and theoretical framework are discussed in</w:t>
      </w:r>
      <w:r>
        <w:rPr>
          <w:rFonts w:ascii="Palatino Linotype" w:hAnsi="Palatino Linotype" w:cs="Times New Roman"/>
          <w:sz w:val="24"/>
          <w:szCs w:val="28"/>
        </w:rPr>
        <w:t xml:space="preserve"> chapters </w:t>
      </w:r>
      <w:r w:rsidR="008D5B51">
        <w:rPr>
          <w:rFonts w:ascii="Palatino Linotype" w:hAnsi="Palatino Linotype" w:cs="Times New Roman"/>
          <w:sz w:val="24"/>
          <w:szCs w:val="28"/>
        </w:rPr>
        <w:t>2</w:t>
      </w:r>
      <w:r>
        <w:rPr>
          <w:rFonts w:ascii="Palatino Linotype" w:hAnsi="Palatino Linotype" w:cs="Times New Roman"/>
          <w:sz w:val="24"/>
          <w:szCs w:val="28"/>
        </w:rPr>
        <w:t xml:space="preserve"> and </w:t>
      </w:r>
      <w:r w:rsidR="008D5B51">
        <w:rPr>
          <w:rFonts w:ascii="Palatino Linotype" w:hAnsi="Palatino Linotype" w:cs="Times New Roman"/>
          <w:sz w:val="24"/>
          <w:szCs w:val="28"/>
        </w:rPr>
        <w:t>3</w:t>
      </w:r>
      <w:r>
        <w:rPr>
          <w:rFonts w:ascii="Palatino Linotype" w:hAnsi="Palatino Linotype" w:cs="Times New Roman"/>
          <w:sz w:val="24"/>
          <w:szCs w:val="28"/>
        </w:rPr>
        <w:t>.</w:t>
      </w:r>
      <w:r w:rsidR="00CE7469">
        <w:rPr>
          <w:rFonts w:ascii="Palatino Linotype" w:hAnsi="Palatino Linotype" w:cs="Times New Roman"/>
          <w:sz w:val="24"/>
          <w:szCs w:val="28"/>
        </w:rPr>
        <w:t xml:space="preserve"> The read</w:t>
      </w:r>
      <w:r w:rsidR="005A28BF">
        <w:rPr>
          <w:rFonts w:ascii="Palatino Linotype" w:hAnsi="Palatino Linotype" w:cs="Times New Roman"/>
          <w:sz w:val="24"/>
          <w:szCs w:val="28"/>
        </w:rPr>
        <w:t>er</w:t>
      </w:r>
      <w:r w:rsidR="00CE7469">
        <w:rPr>
          <w:rFonts w:ascii="Palatino Linotype" w:hAnsi="Palatino Linotype" w:cs="Times New Roman"/>
          <w:sz w:val="24"/>
          <w:szCs w:val="28"/>
        </w:rPr>
        <w:t xml:space="preserve"> is not aided by the book’s structure being s</w:t>
      </w:r>
      <w:r w:rsidR="00CA0652">
        <w:rPr>
          <w:rFonts w:ascii="Palatino Linotype" w:hAnsi="Palatino Linotype" w:cs="Times New Roman"/>
          <w:sz w:val="24"/>
          <w:szCs w:val="28"/>
        </w:rPr>
        <w:t>omewhat</w:t>
      </w:r>
      <w:r w:rsidR="00CE7469">
        <w:rPr>
          <w:rFonts w:ascii="Palatino Linotype" w:hAnsi="Palatino Linotype" w:cs="Times New Roman"/>
          <w:sz w:val="24"/>
          <w:szCs w:val="28"/>
        </w:rPr>
        <w:t xml:space="preserve"> confused</w:t>
      </w:r>
      <w:r w:rsidR="007344C1">
        <w:rPr>
          <w:rFonts w:ascii="Palatino Linotype" w:hAnsi="Palatino Linotype" w:cs="Times New Roman"/>
          <w:sz w:val="24"/>
          <w:szCs w:val="28"/>
        </w:rPr>
        <w:t>, and at times a little repetitive (I found most of chapter 5 was scattered elsewhere throughout the book, for example)</w:t>
      </w:r>
      <w:r w:rsidR="00CE7469">
        <w:rPr>
          <w:rFonts w:ascii="Palatino Linotype" w:hAnsi="Palatino Linotype" w:cs="Times New Roman"/>
          <w:sz w:val="24"/>
          <w:szCs w:val="28"/>
        </w:rPr>
        <w:t xml:space="preserve">. </w:t>
      </w:r>
      <w:r w:rsidR="007344C1">
        <w:rPr>
          <w:rFonts w:ascii="Palatino Linotype" w:hAnsi="Palatino Linotype" w:cs="Times New Roman"/>
          <w:sz w:val="24"/>
          <w:szCs w:val="28"/>
        </w:rPr>
        <w:t xml:space="preserve">A clearer explanation of the </w:t>
      </w:r>
      <w:r w:rsidR="007344C1" w:rsidRPr="0028150C">
        <w:rPr>
          <w:rFonts w:ascii="Palatino Linotype" w:hAnsi="Palatino Linotype" w:cs="Times New Roman"/>
          <w:sz w:val="24"/>
          <w:szCs w:val="28"/>
        </w:rPr>
        <w:t>law</w:t>
      </w:r>
      <w:r w:rsidR="007344C1">
        <w:rPr>
          <w:rFonts w:ascii="Palatino Linotype" w:hAnsi="Palatino Linotype" w:cs="Times New Roman"/>
          <w:i/>
          <w:sz w:val="24"/>
          <w:szCs w:val="28"/>
        </w:rPr>
        <w:t xml:space="preserve"> </w:t>
      </w:r>
      <w:r w:rsidR="007344C1">
        <w:rPr>
          <w:rFonts w:ascii="Palatino Linotype" w:hAnsi="Palatino Linotype" w:cs="Times New Roman"/>
          <w:sz w:val="24"/>
          <w:szCs w:val="28"/>
        </w:rPr>
        <w:t>governing c</w:t>
      </w:r>
      <w:r w:rsidR="000F04DA">
        <w:rPr>
          <w:rFonts w:ascii="Palatino Linotype" w:hAnsi="Palatino Linotype" w:cs="Times New Roman"/>
          <w:sz w:val="24"/>
          <w:szCs w:val="28"/>
        </w:rPr>
        <w:t>riminal appeals would</w:t>
      </w:r>
      <w:r w:rsidR="007344C1">
        <w:rPr>
          <w:rFonts w:ascii="Palatino Linotype" w:hAnsi="Palatino Linotype" w:cs="Times New Roman"/>
          <w:sz w:val="24"/>
          <w:szCs w:val="28"/>
        </w:rPr>
        <w:t xml:space="preserve"> have assisted. </w:t>
      </w:r>
      <w:r w:rsidR="00D4211A">
        <w:rPr>
          <w:rFonts w:ascii="Palatino Linotype" w:hAnsi="Palatino Linotype" w:cs="Times New Roman"/>
          <w:sz w:val="24"/>
          <w:szCs w:val="28"/>
        </w:rPr>
        <w:t>T</w:t>
      </w:r>
      <w:r w:rsidR="00CE7469">
        <w:rPr>
          <w:rFonts w:ascii="Palatino Linotype" w:hAnsi="Palatino Linotype" w:cs="Times New Roman"/>
          <w:sz w:val="24"/>
          <w:szCs w:val="28"/>
        </w:rPr>
        <w:t xml:space="preserve">here is little sustained explanation of the unsafety test until chapter </w:t>
      </w:r>
      <w:r w:rsidR="00CE7469" w:rsidRPr="005E1BB4">
        <w:rPr>
          <w:rFonts w:ascii="Palatino Linotype" w:hAnsi="Palatino Linotype" w:cs="Times New Roman"/>
          <w:sz w:val="24"/>
          <w:szCs w:val="28"/>
        </w:rPr>
        <w:t>nine</w:t>
      </w:r>
      <w:r w:rsidR="00CE7469">
        <w:rPr>
          <w:rFonts w:ascii="Palatino Linotype" w:hAnsi="Palatino Linotype" w:cs="Times New Roman"/>
          <w:sz w:val="24"/>
          <w:szCs w:val="28"/>
        </w:rPr>
        <w:t>, and then only a few pages</w:t>
      </w:r>
      <w:r w:rsidR="00CE7469">
        <w:rPr>
          <w:rFonts w:ascii="Palatino Linotype" w:hAnsi="Palatino Linotype" w:cs="Times New Roman"/>
          <w:i/>
          <w:sz w:val="24"/>
          <w:szCs w:val="28"/>
        </w:rPr>
        <w:t xml:space="preserve"> </w:t>
      </w:r>
      <w:r w:rsidR="00CE7469">
        <w:rPr>
          <w:rFonts w:ascii="Palatino Linotype" w:hAnsi="Palatino Linotype" w:cs="Times New Roman"/>
          <w:sz w:val="24"/>
          <w:szCs w:val="28"/>
        </w:rPr>
        <w:t xml:space="preserve">(see pp. 175 – 9). </w:t>
      </w:r>
      <w:r w:rsidR="00D4211A">
        <w:rPr>
          <w:rFonts w:ascii="Palatino Linotype" w:hAnsi="Palatino Linotype" w:cs="Times New Roman"/>
          <w:sz w:val="24"/>
          <w:szCs w:val="28"/>
        </w:rPr>
        <w:t>T</w:t>
      </w:r>
      <w:r w:rsidR="008D5B51">
        <w:rPr>
          <w:rFonts w:ascii="Palatino Linotype" w:hAnsi="Palatino Linotype" w:cs="Times New Roman"/>
          <w:sz w:val="24"/>
          <w:szCs w:val="28"/>
        </w:rPr>
        <w:t xml:space="preserve">he </w:t>
      </w:r>
      <w:r w:rsidR="008D5B51">
        <w:rPr>
          <w:rFonts w:ascii="Palatino Linotype" w:hAnsi="Palatino Linotype" w:cs="Times New Roman"/>
          <w:sz w:val="24"/>
          <w:szCs w:val="28"/>
        </w:rPr>
        <w:lastRenderedPageBreak/>
        <w:t>authors state expressly this was not a study of the Court of Appeal, but a</w:t>
      </w:r>
      <w:r w:rsidR="00CE7469">
        <w:rPr>
          <w:rFonts w:ascii="Palatino Linotype" w:hAnsi="Palatino Linotype" w:cs="Times New Roman"/>
          <w:sz w:val="24"/>
          <w:szCs w:val="28"/>
        </w:rPr>
        <w:t>nyone new to the field will be left wondering</w:t>
      </w:r>
      <w:r w:rsidR="005E1BB4">
        <w:rPr>
          <w:rFonts w:ascii="Palatino Linotype" w:hAnsi="Palatino Linotype" w:cs="Times New Roman"/>
          <w:sz w:val="24"/>
          <w:szCs w:val="28"/>
        </w:rPr>
        <w:t xml:space="preserve"> what the test means; and the book’s index does not point to any definition of the test.</w:t>
      </w:r>
      <w:r w:rsidR="00D4211A">
        <w:rPr>
          <w:rFonts w:ascii="Palatino Linotype" w:hAnsi="Palatino Linotype" w:cs="Times New Roman"/>
          <w:sz w:val="24"/>
          <w:szCs w:val="28"/>
        </w:rPr>
        <w:t xml:space="preserve"> </w:t>
      </w:r>
      <w:r w:rsidR="005E1BB4">
        <w:rPr>
          <w:rFonts w:ascii="Palatino Linotype" w:hAnsi="Palatino Linotype" w:cs="Times New Roman"/>
          <w:sz w:val="24"/>
          <w:szCs w:val="28"/>
        </w:rPr>
        <w:t xml:space="preserve"> </w:t>
      </w:r>
    </w:p>
    <w:p w:rsidR="008F6916" w:rsidRDefault="00CA0652" w:rsidP="00E92CE4">
      <w:pPr>
        <w:spacing w:line="480" w:lineRule="auto"/>
        <w:jc w:val="both"/>
        <w:rPr>
          <w:rFonts w:ascii="Palatino Linotype" w:hAnsi="Palatino Linotype" w:cs="Times New Roman"/>
          <w:sz w:val="24"/>
          <w:szCs w:val="28"/>
        </w:rPr>
      </w:pPr>
      <w:r>
        <w:rPr>
          <w:rFonts w:ascii="Palatino Linotype" w:hAnsi="Palatino Linotype" w:cs="Times New Roman"/>
          <w:sz w:val="24"/>
          <w:szCs w:val="28"/>
        </w:rPr>
        <w:t xml:space="preserve">Chapters 4 through 6 </w:t>
      </w:r>
      <w:r w:rsidR="008D5B51">
        <w:rPr>
          <w:rFonts w:ascii="Palatino Linotype" w:hAnsi="Palatino Linotype" w:cs="Times New Roman"/>
          <w:sz w:val="24"/>
          <w:szCs w:val="28"/>
        </w:rPr>
        <w:t xml:space="preserve">describe the stages of decision-making from receipt of an application to the decision of whether to refer to the Court of Appeal or not. </w:t>
      </w:r>
      <w:r>
        <w:rPr>
          <w:rFonts w:ascii="Palatino Linotype" w:hAnsi="Palatino Linotype" w:cs="Times New Roman"/>
          <w:sz w:val="24"/>
          <w:szCs w:val="28"/>
        </w:rPr>
        <w:t xml:space="preserve">There is a wealth of observational data here. </w:t>
      </w:r>
      <w:r w:rsidR="008D5B51">
        <w:rPr>
          <w:rFonts w:ascii="Palatino Linotype" w:hAnsi="Palatino Linotype" w:cs="Times New Roman"/>
          <w:sz w:val="24"/>
          <w:szCs w:val="28"/>
        </w:rPr>
        <w:t>Th</w:t>
      </w:r>
      <w:r w:rsidR="00D71DA6">
        <w:rPr>
          <w:rFonts w:ascii="Palatino Linotype" w:hAnsi="Palatino Linotype" w:cs="Times New Roman"/>
          <w:sz w:val="24"/>
          <w:szCs w:val="28"/>
        </w:rPr>
        <w:t>ese are</w:t>
      </w:r>
      <w:r w:rsidR="008D5B51">
        <w:rPr>
          <w:rFonts w:ascii="Palatino Linotype" w:hAnsi="Palatino Linotype" w:cs="Times New Roman"/>
          <w:sz w:val="24"/>
          <w:szCs w:val="28"/>
        </w:rPr>
        <w:t xml:space="preserve"> valuable chapter</w:t>
      </w:r>
      <w:r w:rsidR="00D71DA6">
        <w:rPr>
          <w:rFonts w:ascii="Palatino Linotype" w:hAnsi="Palatino Linotype" w:cs="Times New Roman"/>
          <w:sz w:val="24"/>
          <w:szCs w:val="28"/>
        </w:rPr>
        <w:t>s</w:t>
      </w:r>
      <w:r w:rsidR="008D5B51">
        <w:rPr>
          <w:rFonts w:ascii="Palatino Linotype" w:hAnsi="Palatino Linotype" w:cs="Times New Roman"/>
          <w:sz w:val="24"/>
          <w:szCs w:val="28"/>
        </w:rPr>
        <w:t xml:space="preserve">; it is crucial that those working with, or making applications to, the CCRC understand its processes. </w:t>
      </w:r>
      <w:r w:rsidR="00B23E15">
        <w:rPr>
          <w:rFonts w:ascii="Palatino Linotype" w:hAnsi="Palatino Linotype" w:cs="Times New Roman"/>
          <w:sz w:val="24"/>
          <w:szCs w:val="28"/>
        </w:rPr>
        <w:t xml:space="preserve">Commissioners and staff at the CCRC exercise </w:t>
      </w:r>
      <w:r w:rsidR="00D71DA6">
        <w:rPr>
          <w:rFonts w:ascii="Palatino Linotype" w:hAnsi="Palatino Linotype" w:cs="Times New Roman"/>
          <w:sz w:val="24"/>
          <w:szCs w:val="28"/>
        </w:rPr>
        <w:t>considerable</w:t>
      </w:r>
      <w:r w:rsidR="00B23E15">
        <w:rPr>
          <w:rFonts w:ascii="Palatino Linotype" w:hAnsi="Palatino Linotype" w:cs="Times New Roman"/>
          <w:sz w:val="24"/>
          <w:szCs w:val="28"/>
        </w:rPr>
        <w:t xml:space="preserve"> discretion</w:t>
      </w:r>
      <w:r w:rsidR="00D71DA6">
        <w:rPr>
          <w:rFonts w:ascii="Palatino Linotype" w:hAnsi="Palatino Linotype" w:cs="Times New Roman"/>
          <w:sz w:val="24"/>
          <w:szCs w:val="28"/>
        </w:rPr>
        <w:t xml:space="preserve"> (p. 62)</w:t>
      </w:r>
      <w:r w:rsidR="00B23E15">
        <w:rPr>
          <w:rFonts w:ascii="Palatino Linotype" w:hAnsi="Palatino Linotype" w:cs="Times New Roman"/>
          <w:sz w:val="24"/>
          <w:szCs w:val="28"/>
        </w:rPr>
        <w:t>.</w:t>
      </w:r>
      <w:r w:rsidR="00D71DA6">
        <w:rPr>
          <w:rFonts w:ascii="Palatino Linotype" w:hAnsi="Palatino Linotype" w:cs="Times New Roman"/>
          <w:sz w:val="24"/>
          <w:szCs w:val="28"/>
        </w:rPr>
        <w:t xml:space="preserve"> The presence of discretion should not be at all surprising for a body tasked with complex decision-making, but it is important that applications to the CCRC are drafted with this in mind. Any application must convince a living and breathing individual (or individuals) of its merits given the unique facts and circumstances of the case. ‘I am innocent’ will rarely suffice in this regard.</w:t>
      </w:r>
    </w:p>
    <w:p w:rsidR="00A60552" w:rsidRDefault="00AC3EA3" w:rsidP="00E92CE4">
      <w:pPr>
        <w:spacing w:line="480" w:lineRule="auto"/>
        <w:jc w:val="both"/>
        <w:rPr>
          <w:rFonts w:ascii="Palatino Linotype" w:hAnsi="Palatino Linotype" w:cs="Times New Roman"/>
          <w:sz w:val="24"/>
          <w:szCs w:val="28"/>
        </w:rPr>
      </w:pPr>
      <w:r>
        <w:rPr>
          <w:rFonts w:ascii="Palatino Linotype" w:hAnsi="Palatino Linotype" w:cs="Times New Roman"/>
          <w:sz w:val="24"/>
          <w:szCs w:val="28"/>
        </w:rPr>
        <w:t>Chapters 7 through 10 consider the CCRC’s decision-making in particular kinds of applications. Chapter 7 deals with applications which turn on forensic science and expert evidence.</w:t>
      </w:r>
      <w:r w:rsidR="000B6758">
        <w:rPr>
          <w:rFonts w:ascii="Palatino Linotype" w:hAnsi="Palatino Linotype" w:cs="Times New Roman"/>
          <w:sz w:val="24"/>
          <w:szCs w:val="28"/>
        </w:rPr>
        <w:t xml:space="preserve"> Changes in</w:t>
      </w:r>
      <w:r>
        <w:rPr>
          <w:rFonts w:ascii="Palatino Linotype" w:hAnsi="Palatino Linotype" w:cs="Times New Roman"/>
          <w:sz w:val="24"/>
          <w:szCs w:val="28"/>
        </w:rPr>
        <w:t xml:space="preserve"> how forensic evidence is understood have influenced the CCRC’s surround, field, and frame.</w:t>
      </w:r>
      <w:r w:rsidR="000B6758">
        <w:rPr>
          <w:rFonts w:ascii="Palatino Linotype" w:hAnsi="Palatino Linotype" w:cs="Times New Roman"/>
          <w:sz w:val="24"/>
          <w:szCs w:val="28"/>
        </w:rPr>
        <w:t xml:space="preserve"> New (understanding</w:t>
      </w:r>
      <w:r w:rsidR="00A60552">
        <w:rPr>
          <w:rFonts w:ascii="Palatino Linotype" w:hAnsi="Palatino Linotype" w:cs="Times New Roman"/>
          <w:sz w:val="24"/>
          <w:szCs w:val="28"/>
        </w:rPr>
        <w:t>s</w:t>
      </w:r>
      <w:r w:rsidR="000B6758">
        <w:rPr>
          <w:rFonts w:ascii="Palatino Linotype" w:hAnsi="Palatino Linotype" w:cs="Times New Roman"/>
          <w:sz w:val="24"/>
          <w:szCs w:val="28"/>
        </w:rPr>
        <w:t xml:space="preserve"> of) forensic evidence or expert testimony will only rarely obliterate the foundations of the conviction. It may undermine it to a greater or lesser degree, but the application will also need to provide a ‘plausible alternative account</w:t>
      </w:r>
      <w:r w:rsidR="00A60552">
        <w:rPr>
          <w:rFonts w:ascii="Palatino Linotype" w:hAnsi="Palatino Linotype" w:cs="Times New Roman"/>
          <w:sz w:val="24"/>
          <w:szCs w:val="28"/>
        </w:rPr>
        <w:t xml:space="preserve"> for other incuplatory non-forensic evidence’ (p. 131). The CCRC will rarely refer, and the Court of Appeal rarely quash, just because of some </w:t>
      </w:r>
      <w:r w:rsidR="00A60552">
        <w:rPr>
          <w:rFonts w:ascii="Palatino Linotype" w:hAnsi="Palatino Linotype" w:cs="Times New Roman"/>
          <w:sz w:val="24"/>
          <w:szCs w:val="28"/>
        </w:rPr>
        <w:lastRenderedPageBreak/>
        <w:t xml:space="preserve">change to forensic evidence; a good CCRC application will need to demonstrate how all the core planks of the prosecution case are undermined. </w:t>
      </w:r>
    </w:p>
    <w:p w:rsidR="005C06EF" w:rsidRDefault="00E83E73" w:rsidP="00E92CE4">
      <w:pPr>
        <w:spacing w:line="480" w:lineRule="auto"/>
        <w:jc w:val="both"/>
        <w:rPr>
          <w:rFonts w:ascii="Palatino Linotype" w:hAnsi="Palatino Linotype" w:cs="Times New Roman"/>
          <w:sz w:val="24"/>
          <w:szCs w:val="28"/>
        </w:rPr>
      </w:pPr>
      <w:r>
        <w:rPr>
          <w:rFonts w:ascii="Palatino Linotype" w:hAnsi="Palatino Linotype" w:cs="Times New Roman"/>
          <w:sz w:val="24"/>
          <w:szCs w:val="28"/>
        </w:rPr>
        <w:t>Chapters 8, 9, and 10 consider in turn appeals concerning sexual offences; allegations of police misconduct; and claims of inadequate defence.</w:t>
      </w:r>
      <w:r w:rsidR="00F93B20">
        <w:rPr>
          <w:rFonts w:ascii="Palatino Linotype" w:hAnsi="Palatino Linotype" w:cs="Times New Roman"/>
          <w:sz w:val="24"/>
          <w:szCs w:val="28"/>
        </w:rPr>
        <w:t xml:space="preserve"> The</w:t>
      </w:r>
      <w:r w:rsidR="00B91EDE">
        <w:rPr>
          <w:rFonts w:ascii="Palatino Linotype" w:hAnsi="Palatino Linotype" w:cs="Times New Roman"/>
          <w:sz w:val="24"/>
          <w:szCs w:val="28"/>
        </w:rPr>
        <w:t xml:space="preserve">re was a change in CCRC policy in </w:t>
      </w:r>
      <w:r w:rsidR="00AC13A0">
        <w:rPr>
          <w:rFonts w:ascii="Palatino Linotype" w:hAnsi="Palatino Linotype" w:cs="Times New Roman"/>
          <w:sz w:val="24"/>
          <w:szCs w:val="28"/>
        </w:rPr>
        <w:t xml:space="preserve">2017 in </w:t>
      </w:r>
      <w:r w:rsidR="00B91EDE">
        <w:rPr>
          <w:rFonts w:ascii="Palatino Linotype" w:hAnsi="Palatino Linotype" w:cs="Times New Roman"/>
          <w:sz w:val="24"/>
          <w:szCs w:val="28"/>
        </w:rPr>
        <w:t xml:space="preserve">relation to </w:t>
      </w:r>
      <w:r w:rsidR="00F93B20">
        <w:rPr>
          <w:rFonts w:ascii="Palatino Linotype" w:hAnsi="Palatino Linotype" w:cs="Times New Roman"/>
          <w:sz w:val="24"/>
          <w:szCs w:val="28"/>
        </w:rPr>
        <w:t xml:space="preserve">routine </w:t>
      </w:r>
      <w:r w:rsidR="00B91EDE">
        <w:rPr>
          <w:rFonts w:ascii="Palatino Linotype" w:hAnsi="Palatino Linotype" w:cs="Times New Roman"/>
          <w:sz w:val="24"/>
          <w:szCs w:val="28"/>
        </w:rPr>
        <w:t xml:space="preserve">complainant </w:t>
      </w:r>
      <w:r w:rsidR="00F93B20">
        <w:rPr>
          <w:rFonts w:ascii="Palatino Linotype" w:hAnsi="Palatino Linotype" w:cs="Times New Roman"/>
          <w:sz w:val="24"/>
          <w:szCs w:val="28"/>
        </w:rPr>
        <w:t xml:space="preserve">‘credibility checks’ </w:t>
      </w:r>
      <w:r w:rsidR="005C06EF">
        <w:rPr>
          <w:rFonts w:ascii="Palatino Linotype" w:hAnsi="Palatino Linotype" w:cs="Times New Roman"/>
          <w:sz w:val="24"/>
          <w:szCs w:val="28"/>
        </w:rPr>
        <w:t xml:space="preserve">(such as checking social services records) </w:t>
      </w:r>
      <w:r w:rsidR="00AC13A0">
        <w:rPr>
          <w:rFonts w:ascii="Palatino Linotype" w:hAnsi="Palatino Linotype" w:cs="Times New Roman"/>
          <w:sz w:val="24"/>
          <w:szCs w:val="28"/>
        </w:rPr>
        <w:t xml:space="preserve">which were </w:t>
      </w:r>
      <w:r w:rsidR="00B91EDE">
        <w:rPr>
          <w:rFonts w:ascii="Palatino Linotype" w:hAnsi="Palatino Linotype" w:cs="Times New Roman"/>
          <w:sz w:val="24"/>
          <w:szCs w:val="28"/>
        </w:rPr>
        <w:t xml:space="preserve">conducted between 2006 and 2017 </w:t>
      </w:r>
      <w:r w:rsidR="00AC13A0">
        <w:rPr>
          <w:rFonts w:ascii="Palatino Linotype" w:hAnsi="Palatino Linotype" w:cs="Times New Roman"/>
          <w:sz w:val="24"/>
          <w:szCs w:val="28"/>
        </w:rPr>
        <w:t xml:space="preserve">in sexual offence cases. The CCRC became </w:t>
      </w:r>
      <w:r w:rsidR="00B91EDE">
        <w:rPr>
          <w:rFonts w:ascii="Palatino Linotype" w:hAnsi="Palatino Linotype" w:cs="Times New Roman"/>
          <w:sz w:val="24"/>
          <w:szCs w:val="28"/>
        </w:rPr>
        <w:t xml:space="preserve">keenly aware that they </w:t>
      </w:r>
      <w:r w:rsidR="00AC13A0">
        <w:rPr>
          <w:rFonts w:ascii="Palatino Linotype" w:hAnsi="Palatino Linotype" w:cs="Times New Roman"/>
          <w:sz w:val="24"/>
          <w:szCs w:val="28"/>
        </w:rPr>
        <w:t>were</w:t>
      </w:r>
      <w:r w:rsidR="00B91EDE">
        <w:rPr>
          <w:rFonts w:ascii="Palatino Linotype" w:hAnsi="Palatino Linotype" w:cs="Times New Roman"/>
          <w:sz w:val="24"/>
          <w:szCs w:val="28"/>
        </w:rPr>
        <w:t xml:space="preserve"> somewhat ‘swimming against the tide’</w:t>
      </w:r>
      <w:r w:rsidR="005C06EF">
        <w:rPr>
          <w:rFonts w:ascii="Palatino Linotype" w:hAnsi="Palatino Linotype" w:cs="Times New Roman"/>
          <w:sz w:val="24"/>
          <w:szCs w:val="28"/>
        </w:rPr>
        <w:t>,</w:t>
      </w:r>
      <w:r w:rsidR="00B91EDE">
        <w:rPr>
          <w:rFonts w:ascii="Palatino Linotype" w:hAnsi="Palatino Linotype" w:cs="Times New Roman"/>
          <w:sz w:val="24"/>
          <w:szCs w:val="28"/>
        </w:rPr>
        <w:t xml:space="preserve"> being an organisation concerned with convicted people rather than comp</w:t>
      </w:r>
      <w:r w:rsidR="005C06EF">
        <w:rPr>
          <w:rFonts w:ascii="Palatino Linotype" w:hAnsi="Palatino Linotype" w:cs="Times New Roman"/>
          <w:sz w:val="24"/>
          <w:szCs w:val="28"/>
        </w:rPr>
        <w:t>lainants, when the surround adopted a more victim-focussed approach</w:t>
      </w:r>
      <w:r w:rsidR="00B91EDE">
        <w:rPr>
          <w:rFonts w:ascii="Palatino Linotype" w:hAnsi="Palatino Linotype" w:cs="Times New Roman"/>
          <w:sz w:val="24"/>
          <w:szCs w:val="28"/>
        </w:rPr>
        <w:t xml:space="preserve">. </w:t>
      </w:r>
      <w:r w:rsidR="00AC13A0">
        <w:rPr>
          <w:rFonts w:ascii="Palatino Linotype" w:hAnsi="Palatino Linotype" w:cs="Times New Roman"/>
          <w:sz w:val="24"/>
          <w:szCs w:val="28"/>
        </w:rPr>
        <w:t>The change in policy made credibility checks a possible avenue of investigation rather than a routine one (p. 173).</w:t>
      </w:r>
      <w:r w:rsidR="005C06EF">
        <w:rPr>
          <w:rFonts w:ascii="Palatino Linotype" w:hAnsi="Palatino Linotype" w:cs="Times New Roman"/>
          <w:sz w:val="24"/>
          <w:szCs w:val="28"/>
        </w:rPr>
        <w:t xml:space="preserve"> The authors are right to caution the CCRC against a restrictive application of credibility checks. It may close off another potential avenue for correcting / investigating wrongful convictions. Those submitting applications to the CCRC will need to be careful to ensure that valid reasons are provided for complainant credibility checks.</w:t>
      </w:r>
    </w:p>
    <w:p w:rsidR="00104F9E" w:rsidRDefault="00EF17E8" w:rsidP="00E92CE4">
      <w:pPr>
        <w:spacing w:line="480" w:lineRule="auto"/>
        <w:jc w:val="both"/>
        <w:rPr>
          <w:rFonts w:ascii="Palatino Linotype" w:hAnsi="Palatino Linotype" w:cs="Times New Roman"/>
          <w:sz w:val="24"/>
          <w:szCs w:val="28"/>
        </w:rPr>
      </w:pPr>
      <w:r>
        <w:rPr>
          <w:rFonts w:ascii="Palatino Linotype" w:hAnsi="Palatino Linotype" w:cs="Times New Roman"/>
          <w:sz w:val="24"/>
          <w:szCs w:val="28"/>
        </w:rPr>
        <w:t>Chapters 11, 12, and 13 turn to the work of the CCRC within the broader criminal justice system context.</w:t>
      </w:r>
      <w:r w:rsidR="009C176C">
        <w:rPr>
          <w:rFonts w:ascii="Palatino Linotype" w:hAnsi="Palatino Linotype" w:cs="Times New Roman"/>
          <w:sz w:val="24"/>
          <w:szCs w:val="28"/>
        </w:rPr>
        <w:t xml:space="preserve"> The authors</w:t>
      </w:r>
      <w:r>
        <w:rPr>
          <w:rFonts w:ascii="Palatino Linotype" w:hAnsi="Palatino Linotype" w:cs="Times New Roman"/>
          <w:sz w:val="24"/>
          <w:szCs w:val="28"/>
        </w:rPr>
        <w:t xml:space="preserve"> note that the CCRC’s work is heavily dependent on other bodies, in particular the police and the Court of Appeal (p. 231).</w:t>
      </w:r>
      <w:r w:rsidR="009C176C">
        <w:rPr>
          <w:rFonts w:ascii="Palatino Linotype" w:hAnsi="Palatino Linotype" w:cs="Times New Roman"/>
          <w:sz w:val="24"/>
          <w:szCs w:val="28"/>
        </w:rPr>
        <w:t xml:space="preserve"> Chapter 12 considers one of the organisational aims of the CCRC: </w:t>
      </w:r>
      <w:r w:rsidR="00853DD3">
        <w:rPr>
          <w:rFonts w:ascii="Palatino Linotype" w:hAnsi="Palatino Linotype" w:cs="Times New Roman"/>
          <w:sz w:val="24"/>
          <w:szCs w:val="28"/>
        </w:rPr>
        <w:t>‘to investigate cases as quickly as possible with thoroughness and care’. While this is a noble enough aim, it is easy to see its flaws. Can the two components of that aim: efficiency and thoroughness, co-</w:t>
      </w:r>
      <w:r w:rsidR="00853DD3">
        <w:rPr>
          <w:rFonts w:ascii="Palatino Linotype" w:hAnsi="Palatino Linotype" w:cs="Times New Roman"/>
          <w:sz w:val="24"/>
          <w:szCs w:val="28"/>
        </w:rPr>
        <w:lastRenderedPageBreak/>
        <w:t>exist?</w:t>
      </w:r>
      <w:r w:rsidR="00104F9E">
        <w:rPr>
          <w:rFonts w:ascii="Palatino Linotype" w:hAnsi="Palatino Linotype" w:cs="Times New Roman"/>
          <w:sz w:val="24"/>
          <w:szCs w:val="28"/>
        </w:rPr>
        <w:t xml:space="preserve"> A more managerial structure within the CCRC sought to emphasise the efficiently component of the aim and facilitated a move away from a ‘meandering’ investigation. Perhaps the most successful CCRC applications will, in the future, be those which guide the CCRC in the most efficient way through an investigation. </w:t>
      </w:r>
    </w:p>
    <w:p w:rsidR="009531B7" w:rsidRDefault="00104F9E" w:rsidP="00E92CE4">
      <w:pPr>
        <w:spacing w:line="480" w:lineRule="auto"/>
        <w:jc w:val="both"/>
        <w:rPr>
          <w:rFonts w:ascii="Palatino Linotype" w:hAnsi="Palatino Linotype" w:cs="Times New Roman"/>
          <w:sz w:val="24"/>
          <w:szCs w:val="28"/>
        </w:rPr>
      </w:pPr>
      <w:r>
        <w:rPr>
          <w:rFonts w:ascii="Palatino Linotype" w:hAnsi="Palatino Linotype" w:cs="Times New Roman"/>
          <w:sz w:val="24"/>
          <w:szCs w:val="28"/>
        </w:rPr>
        <w:t xml:space="preserve">The book concludes with chapter 14. They refer to the CCRC as being the ‘last chance for justice’, but note a number of crises in the current criminal justice system (cuts to legal aid, the issue of police non-disclosure, declining trust in forensic science, and so on). The book shows us that believing that the jury made the wrong decision does not get the CCRC, or indeed the applicant or their advisors, very far. </w:t>
      </w:r>
      <w:r w:rsidR="005F17DF">
        <w:rPr>
          <w:rFonts w:ascii="Palatino Linotype" w:hAnsi="Palatino Linotype" w:cs="Times New Roman"/>
          <w:sz w:val="24"/>
          <w:szCs w:val="28"/>
        </w:rPr>
        <w:t>The CCRC can only refer if they think there is a realistic prospect that the Court of Appeal will quash the conviction. The Court of Appeal will only usually quash if it thinks the jury might not have convicted due to some new information or evidence. It is a guessing game, constrained by the CCRC’s and the Court of Appeal’s organisational priorities.</w:t>
      </w:r>
    </w:p>
    <w:p w:rsidR="00EF17E8" w:rsidRDefault="00942D94" w:rsidP="00E92CE4">
      <w:pPr>
        <w:spacing w:line="480" w:lineRule="auto"/>
        <w:jc w:val="both"/>
        <w:rPr>
          <w:rFonts w:ascii="Palatino Linotype" w:hAnsi="Palatino Linotype" w:cs="Times New Roman"/>
          <w:sz w:val="24"/>
          <w:szCs w:val="28"/>
        </w:rPr>
      </w:pPr>
      <w:r>
        <w:rPr>
          <w:rFonts w:ascii="Palatino Linotype" w:hAnsi="Palatino Linotype" w:cs="Times New Roman"/>
          <w:sz w:val="24"/>
          <w:szCs w:val="28"/>
        </w:rPr>
        <w:t>This is an important book in a number of respects. In terms of thoroughness of analysis of the subject, it is hard to find a rival. The authors remain reasonably objective throughout</w:t>
      </w:r>
      <w:r w:rsidR="0016599F">
        <w:rPr>
          <w:rFonts w:ascii="Palatino Linotype" w:hAnsi="Palatino Linotype" w:cs="Times New Roman"/>
          <w:sz w:val="24"/>
          <w:szCs w:val="28"/>
        </w:rPr>
        <w:t xml:space="preserve"> in their analysis</w:t>
      </w:r>
      <w:r>
        <w:rPr>
          <w:rFonts w:ascii="Palatino Linotype" w:hAnsi="Palatino Linotype" w:cs="Times New Roman"/>
          <w:sz w:val="24"/>
          <w:szCs w:val="28"/>
        </w:rPr>
        <w:t xml:space="preserve">. This book is recommended reading for those primarily concerned with criminal appeals and miscarriages of justice. It is important to understand what appears to be the core message of the book. The CCRC does not claim to be the perfect solution to the problem of miscarriages of justice. It is, after all, staffed by people who have to reach decisions. If, after reading this book, those who make applications to the CCRC are able to make better applications, to facilitate that </w:t>
      </w:r>
      <w:r>
        <w:rPr>
          <w:rFonts w:ascii="Palatino Linotype" w:hAnsi="Palatino Linotype" w:cs="Times New Roman"/>
          <w:sz w:val="24"/>
          <w:szCs w:val="28"/>
        </w:rPr>
        <w:lastRenderedPageBreak/>
        <w:t>efficient yet thorough review of the case,</w:t>
      </w:r>
      <w:r w:rsidR="0016599F">
        <w:rPr>
          <w:rFonts w:ascii="Palatino Linotype" w:hAnsi="Palatino Linotype" w:cs="Times New Roman"/>
          <w:sz w:val="24"/>
          <w:szCs w:val="28"/>
        </w:rPr>
        <w:t xml:space="preserve"> and then hopefully correct more miscarriages of justice, then the book must be considered a resounding success.  </w:t>
      </w:r>
      <w:r>
        <w:rPr>
          <w:rFonts w:ascii="Palatino Linotype" w:hAnsi="Palatino Linotype" w:cs="Times New Roman"/>
          <w:sz w:val="24"/>
          <w:szCs w:val="28"/>
        </w:rPr>
        <w:t xml:space="preserve"> </w:t>
      </w:r>
      <w:r w:rsidR="005F17DF">
        <w:rPr>
          <w:rFonts w:ascii="Palatino Linotype" w:hAnsi="Palatino Linotype" w:cs="Times New Roman"/>
          <w:sz w:val="24"/>
          <w:szCs w:val="28"/>
        </w:rPr>
        <w:t xml:space="preserve"> </w:t>
      </w:r>
      <w:r w:rsidR="00104F9E">
        <w:rPr>
          <w:rFonts w:ascii="Palatino Linotype" w:hAnsi="Palatino Linotype" w:cs="Times New Roman"/>
          <w:sz w:val="24"/>
          <w:szCs w:val="28"/>
        </w:rPr>
        <w:t xml:space="preserve">      </w:t>
      </w:r>
      <w:r w:rsidR="00853DD3">
        <w:rPr>
          <w:rFonts w:ascii="Palatino Linotype" w:hAnsi="Palatino Linotype" w:cs="Times New Roman"/>
          <w:sz w:val="24"/>
          <w:szCs w:val="28"/>
        </w:rPr>
        <w:t xml:space="preserve">  </w:t>
      </w:r>
      <w:r w:rsidR="00EF17E8">
        <w:rPr>
          <w:rFonts w:ascii="Palatino Linotype" w:hAnsi="Palatino Linotype" w:cs="Times New Roman"/>
          <w:sz w:val="24"/>
          <w:szCs w:val="28"/>
        </w:rPr>
        <w:t xml:space="preserve">  </w:t>
      </w:r>
    </w:p>
    <w:p w:rsidR="00E92CE4" w:rsidRPr="00FA2B29" w:rsidRDefault="005C06EF" w:rsidP="00E92CE4">
      <w:pPr>
        <w:spacing w:line="480" w:lineRule="auto"/>
        <w:jc w:val="both"/>
        <w:rPr>
          <w:rFonts w:ascii="Palatino Linotype" w:hAnsi="Palatino Linotype" w:cs="Times New Roman"/>
          <w:sz w:val="24"/>
          <w:szCs w:val="28"/>
        </w:rPr>
      </w:pPr>
      <w:r>
        <w:rPr>
          <w:rFonts w:ascii="Palatino Linotype" w:hAnsi="Palatino Linotype" w:cs="Times New Roman"/>
          <w:sz w:val="24"/>
          <w:szCs w:val="28"/>
        </w:rPr>
        <w:t xml:space="preserve"> </w:t>
      </w:r>
      <w:r w:rsidR="00AC13A0">
        <w:rPr>
          <w:rFonts w:ascii="Palatino Linotype" w:hAnsi="Palatino Linotype" w:cs="Times New Roman"/>
          <w:sz w:val="24"/>
          <w:szCs w:val="28"/>
        </w:rPr>
        <w:t xml:space="preserve"> </w:t>
      </w:r>
      <w:r w:rsidR="00B91EDE">
        <w:rPr>
          <w:rFonts w:ascii="Palatino Linotype" w:hAnsi="Palatino Linotype" w:cs="Times New Roman"/>
          <w:sz w:val="24"/>
          <w:szCs w:val="28"/>
        </w:rPr>
        <w:t xml:space="preserve"> </w:t>
      </w:r>
      <w:r w:rsidR="00F93B20">
        <w:rPr>
          <w:rFonts w:ascii="Palatino Linotype" w:hAnsi="Palatino Linotype" w:cs="Times New Roman"/>
          <w:sz w:val="24"/>
          <w:szCs w:val="28"/>
        </w:rPr>
        <w:t xml:space="preserve"> </w:t>
      </w:r>
      <w:r w:rsidR="00E83E73">
        <w:rPr>
          <w:rFonts w:ascii="Palatino Linotype" w:hAnsi="Palatino Linotype" w:cs="Times New Roman"/>
          <w:sz w:val="24"/>
          <w:szCs w:val="28"/>
        </w:rPr>
        <w:t xml:space="preserve"> </w:t>
      </w:r>
      <w:r w:rsidR="00A60552">
        <w:rPr>
          <w:rFonts w:ascii="Palatino Linotype" w:hAnsi="Palatino Linotype" w:cs="Times New Roman"/>
          <w:sz w:val="24"/>
          <w:szCs w:val="28"/>
        </w:rPr>
        <w:t xml:space="preserve">  </w:t>
      </w:r>
      <w:r w:rsidR="000B6758">
        <w:rPr>
          <w:rFonts w:ascii="Palatino Linotype" w:hAnsi="Palatino Linotype" w:cs="Times New Roman"/>
          <w:sz w:val="24"/>
          <w:szCs w:val="28"/>
        </w:rPr>
        <w:t xml:space="preserve">    </w:t>
      </w:r>
      <w:r w:rsidR="0016599F">
        <w:rPr>
          <w:rFonts w:ascii="Palatino Linotype" w:hAnsi="Palatino Linotype" w:cs="Times New Roman"/>
          <w:sz w:val="24"/>
          <w:szCs w:val="28"/>
        </w:rPr>
        <w:t xml:space="preserve"> </w:t>
      </w:r>
    </w:p>
    <w:sectPr w:rsidR="00E92CE4" w:rsidRPr="00FA2B29" w:rsidSect="00CD4373">
      <w:headerReference w:type="default" r:id="rId7"/>
      <w:footerReference w:type="default" r:id="rId8"/>
      <w:pgSz w:w="11906" w:h="16838"/>
      <w:pgMar w:top="1440" w:right="1440" w:bottom="1440" w:left="1440" w:header="708" w:footer="708" w:gutter="0"/>
      <w:pgNumType w:start="257"/>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91CB3" w:rsidRDefault="00A91CB3" w:rsidP="00A91CB3">
      <w:pPr>
        <w:spacing w:after="0" w:line="240" w:lineRule="auto"/>
      </w:pPr>
      <w:r>
        <w:separator/>
      </w:r>
    </w:p>
  </w:endnote>
  <w:endnote w:type="continuationSeparator" w:id="0">
    <w:p w:rsidR="00A91CB3" w:rsidRDefault="00A91CB3" w:rsidP="00A91C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DengXian">
    <w:altName w:val="SimSun"/>
    <w:panose1 w:val="02010600030101010101"/>
    <w:charset w:val="86"/>
    <w:family w:val="modern"/>
    <w:pitch w:val="fixed"/>
    <w:sig w:usb0="00000001" w:usb1="080E0000" w:usb2="00000010" w:usb3="00000000" w:csb0="00040000" w:csb1="00000000"/>
  </w:font>
  <w:font w:name="Palatino Linotype">
    <w:panose1 w:val="02040502050505030304"/>
    <w:charset w:val="00"/>
    <w:family w:val="roman"/>
    <w:pitch w:val="variable"/>
    <w:sig w:usb0="E0000287" w:usb1="40000013" w:usb2="00000000" w:usb3="00000000" w:csb0="0000019F" w:csb1="00000000"/>
  </w:font>
  <w:font w:name="DengXian Light">
    <w:altName w:val="等线 Light"/>
    <w:panose1 w:val="00000000000000000000"/>
    <w:charset w:val="86"/>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85644425"/>
      <w:docPartObj>
        <w:docPartGallery w:val="Page Numbers (Bottom of Page)"/>
        <w:docPartUnique/>
      </w:docPartObj>
    </w:sdtPr>
    <w:sdtEndPr>
      <w:rPr>
        <w:noProof/>
      </w:rPr>
    </w:sdtEndPr>
    <w:sdtContent>
      <w:p w:rsidR="00CD4373" w:rsidRDefault="00CD4373">
        <w:pPr>
          <w:pStyle w:val="Footer"/>
          <w:jc w:val="center"/>
        </w:pPr>
        <w:r>
          <w:fldChar w:fldCharType="begin"/>
        </w:r>
        <w:r>
          <w:instrText xml:space="preserve"> PAGE   \* MERGEFORMAT </w:instrText>
        </w:r>
        <w:r>
          <w:fldChar w:fldCharType="separate"/>
        </w:r>
        <w:r>
          <w:rPr>
            <w:noProof/>
          </w:rPr>
          <w:t>260</w:t>
        </w:r>
        <w:r>
          <w:rPr>
            <w:noProof/>
          </w:rPr>
          <w:fldChar w:fldCharType="end"/>
        </w:r>
      </w:p>
    </w:sdtContent>
  </w:sdt>
  <w:p w:rsidR="00CD4373" w:rsidRDefault="00CD437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91CB3" w:rsidRDefault="00A91CB3" w:rsidP="00A91CB3">
      <w:pPr>
        <w:spacing w:after="0" w:line="240" w:lineRule="auto"/>
      </w:pPr>
      <w:r>
        <w:separator/>
      </w:r>
    </w:p>
  </w:footnote>
  <w:footnote w:type="continuationSeparator" w:id="0">
    <w:p w:rsidR="00A91CB3" w:rsidRDefault="00A91CB3" w:rsidP="00A91CB3">
      <w:pPr>
        <w:spacing w:after="0" w:line="240" w:lineRule="auto"/>
      </w:pPr>
      <w:r>
        <w:continuationSeparator/>
      </w:r>
    </w:p>
  </w:footnote>
  <w:footnote w:id="1">
    <w:p w:rsidR="0091241F" w:rsidRPr="0091241F" w:rsidRDefault="0091241F" w:rsidP="0091241F">
      <w:pPr>
        <w:pStyle w:val="FootnoteText"/>
      </w:pPr>
      <w:r>
        <w:rPr>
          <w:rStyle w:val="FootnoteReference"/>
        </w:rPr>
        <w:footnoteRef/>
      </w:r>
      <w:r>
        <w:t xml:space="preserve"> Dr </w:t>
      </w:r>
      <w:r w:rsidRPr="0091241F">
        <w:t>Paul Dargue</w:t>
      </w:r>
      <w:r>
        <w:t xml:space="preserve"> is</w:t>
      </w:r>
      <w:r w:rsidRPr="0091241F">
        <w:t xml:space="preserve"> </w:t>
      </w:r>
      <w:r>
        <w:t xml:space="preserve">a </w:t>
      </w:r>
      <w:r w:rsidRPr="0091241F">
        <w:t>Lecturer in</w:t>
      </w:r>
      <w:r>
        <w:t xml:space="preserve"> the School of </w:t>
      </w:r>
      <w:r w:rsidRPr="0091241F">
        <w:t>L</w:t>
      </w:r>
      <w:bookmarkStart w:id="0" w:name="_GoBack"/>
      <w:bookmarkEnd w:id="0"/>
      <w:r w:rsidRPr="0091241F">
        <w:t>aw, Northumbria University</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91CB3" w:rsidRPr="00A91CB3" w:rsidRDefault="00A91CB3">
    <w:pPr>
      <w:pStyle w:val="Header"/>
      <w:rPr>
        <w:rFonts w:ascii="Palatino Linotype" w:hAnsi="Palatino Linotype"/>
        <w:i/>
        <w:lang w:val="en-US"/>
      </w:rPr>
    </w:pPr>
    <w:r w:rsidRPr="00A91CB3">
      <w:rPr>
        <w:rFonts w:ascii="Palatino Linotype" w:hAnsi="Palatino Linotype"/>
        <w:i/>
        <w:lang w:val="en-US"/>
      </w:rPr>
      <w:t>Book Review</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2"/>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2CE4"/>
    <w:rsid w:val="000B6758"/>
    <w:rsid w:val="000F04DA"/>
    <w:rsid w:val="00101565"/>
    <w:rsid w:val="00104F9E"/>
    <w:rsid w:val="00105694"/>
    <w:rsid w:val="00122375"/>
    <w:rsid w:val="00126C93"/>
    <w:rsid w:val="00163260"/>
    <w:rsid w:val="0016599F"/>
    <w:rsid w:val="001C2EC1"/>
    <w:rsid w:val="0028150C"/>
    <w:rsid w:val="002A0BBE"/>
    <w:rsid w:val="002B18B4"/>
    <w:rsid w:val="0035530C"/>
    <w:rsid w:val="003A2131"/>
    <w:rsid w:val="00445B13"/>
    <w:rsid w:val="004714F7"/>
    <w:rsid w:val="004A76D3"/>
    <w:rsid w:val="004C2E2E"/>
    <w:rsid w:val="005A28BF"/>
    <w:rsid w:val="005C06EF"/>
    <w:rsid w:val="005E1BB4"/>
    <w:rsid w:val="005F17DF"/>
    <w:rsid w:val="005F5021"/>
    <w:rsid w:val="006014D7"/>
    <w:rsid w:val="006D2652"/>
    <w:rsid w:val="00711F24"/>
    <w:rsid w:val="007344C1"/>
    <w:rsid w:val="007F2E96"/>
    <w:rsid w:val="00810336"/>
    <w:rsid w:val="00853DD3"/>
    <w:rsid w:val="00855AF4"/>
    <w:rsid w:val="008D5B51"/>
    <w:rsid w:val="008F6916"/>
    <w:rsid w:val="0091241F"/>
    <w:rsid w:val="0094021A"/>
    <w:rsid w:val="00942D94"/>
    <w:rsid w:val="009531B7"/>
    <w:rsid w:val="009566DE"/>
    <w:rsid w:val="009B7981"/>
    <w:rsid w:val="009C176C"/>
    <w:rsid w:val="00A60552"/>
    <w:rsid w:val="00A91CB3"/>
    <w:rsid w:val="00AA0BEE"/>
    <w:rsid w:val="00AC13A0"/>
    <w:rsid w:val="00AC3EA3"/>
    <w:rsid w:val="00AF28E5"/>
    <w:rsid w:val="00B23E15"/>
    <w:rsid w:val="00B91EDE"/>
    <w:rsid w:val="00BE40D6"/>
    <w:rsid w:val="00BF3090"/>
    <w:rsid w:val="00C029ED"/>
    <w:rsid w:val="00C05917"/>
    <w:rsid w:val="00C13070"/>
    <w:rsid w:val="00C34696"/>
    <w:rsid w:val="00C630D6"/>
    <w:rsid w:val="00CA0652"/>
    <w:rsid w:val="00CD4373"/>
    <w:rsid w:val="00CE7469"/>
    <w:rsid w:val="00D4211A"/>
    <w:rsid w:val="00D71DA6"/>
    <w:rsid w:val="00D80564"/>
    <w:rsid w:val="00DC291A"/>
    <w:rsid w:val="00E762F0"/>
    <w:rsid w:val="00E83E73"/>
    <w:rsid w:val="00E92CE4"/>
    <w:rsid w:val="00EC3695"/>
    <w:rsid w:val="00EF17E8"/>
    <w:rsid w:val="00F20702"/>
    <w:rsid w:val="00F65118"/>
    <w:rsid w:val="00F935BE"/>
    <w:rsid w:val="00F93B20"/>
    <w:rsid w:val="00F96E79"/>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1B34C8"/>
  <w15:chartTrackingRefBased/>
  <w15:docId w15:val="{D12D50FB-D71E-4F79-A869-29EFD8A593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92CE4"/>
    <w:rPr>
      <w:rFonts w:eastAsiaTheme="minorEastAsia"/>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91CB3"/>
    <w:pPr>
      <w:tabs>
        <w:tab w:val="center" w:pos="4513"/>
        <w:tab w:val="right" w:pos="9026"/>
      </w:tabs>
      <w:spacing w:after="0" w:line="240" w:lineRule="auto"/>
    </w:pPr>
  </w:style>
  <w:style w:type="character" w:customStyle="1" w:styleId="HeaderChar">
    <w:name w:val="Header Char"/>
    <w:basedOn w:val="DefaultParagraphFont"/>
    <w:link w:val="Header"/>
    <w:uiPriority w:val="99"/>
    <w:rsid w:val="00A91CB3"/>
    <w:rPr>
      <w:rFonts w:eastAsiaTheme="minorEastAsia"/>
      <w:lang w:eastAsia="zh-CN"/>
    </w:rPr>
  </w:style>
  <w:style w:type="paragraph" w:styleId="Footer">
    <w:name w:val="footer"/>
    <w:basedOn w:val="Normal"/>
    <w:link w:val="FooterChar"/>
    <w:uiPriority w:val="99"/>
    <w:unhideWhenUsed/>
    <w:rsid w:val="00A91CB3"/>
    <w:pPr>
      <w:tabs>
        <w:tab w:val="center" w:pos="4513"/>
        <w:tab w:val="right" w:pos="9026"/>
      </w:tabs>
      <w:spacing w:after="0" w:line="240" w:lineRule="auto"/>
    </w:pPr>
  </w:style>
  <w:style w:type="character" w:customStyle="1" w:styleId="FooterChar">
    <w:name w:val="Footer Char"/>
    <w:basedOn w:val="DefaultParagraphFont"/>
    <w:link w:val="Footer"/>
    <w:uiPriority w:val="99"/>
    <w:rsid w:val="00A91CB3"/>
    <w:rPr>
      <w:rFonts w:eastAsiaTheme="minorEastAsia"/>
      <w:lang w:eastAsia="zh-CN"/>
    </w:rPr>
  </w:style>
  <w:style w:type="character" w:styleId="Hyperlink">
    <w:name w:val="Hyperlink"/>
    <w:basedOn w:val="DefaultParagraphFont"/>
    <w:uiPriority w:val="99"/>
    <w:unhideWhenUsed/>
    <w:rsid w:val="0094021A"/>
    <w:rPr>
      <w:color w:val="0563C1" w:themeColor="hyperlink"/>
      <w:u w:val="single"/>
    </w:rPr>
  </w:style>
  <w:style w:type="paragraph" w:styleId="FootnoteText">
    <w:name w:val="footnote text"/>
    <w:basedOn w:val="Normal"/>
    <w:link w:val="FootnoteTextChar"/>
    <w:uiPriority w:val="99"/>
    <w:semiHidden/>
    <w:unhideWhenUsed/>
    <w:rsid w:val="0091241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1241F"/>
    <w:rPr>
      <w:rFonts w:eastAsiaTheme="minorEastAsia"/>
      <w:sz w:val="20"/>
      <w:szCs w:val="20"/>
      <w:lang w:eastAsia="zh-CN"/>
    </w:rPr>
  </w:style>
  <w:style w:type="character" w:styleId="FootnoteReference">
    <w:name w:val="footnote reference"/>
    <w:basedOn w:val="DefaultParagraphFont"/>
    <w:uiPriority w:val="99"/>
    <w:semiHidden/>
    <w:unhideWhenUsed/>
    <w:rsid w:val="0091241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8ED12E9-0A1C-45A1-BAB8-0DA465ECE1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1269</Words>
  <Characters>7237</Characters>
  <Application>Microsoft Office Word</Application>
  <DocSecurity>0</DocSecurity>
  <Lines>60</Lines>
  <Paragraphs>16</Paragraphs>
  <ScaleCrop>false</ScaleCrop>
  <HeadingPairs>
    <vt:vector size="2" baseType="variant">
      <vt:variant>
        <vt:lpstr>Title</vt:lpstr>
      </vt:variant>
      <vt:variant>
        <vt:i4>1</vt:i4>
      </vt:variant>
    </vt:vector>
  </HeadingPairs>
  <TitlesOfParts>
    <vt:vector size="1" baseType="lpstr">
      <vt:lpstr/>
    </vt:vector>
  </TitlesOfParts>
  <Company>Northumbria University at Newcastle</Company>
  <LinksUpToDate>false</LinksUpToDate>
  <CharactersWithSpaces>8490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 Dargue</dc:creator>
  <cp:keywords/>
  <dc:description/>
  <cp:lastModifiedBy>Paul Burns</cp:lastModifiedBy>
  <cp:revision>3</cp:revision>
  <dcterms:created xsi:type="dcterms:W3CDTF">2019-05-09T16:06:00Z</dcterms:created>
  <dcterms:modified xsi:type="dcterms:W3CDTF">2019-05-09T16:07:00Z</dcterms:modified>
</cp:coreProperties>
</file>