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E11C0" w14:textId="77777777" w:rsidR="003B535E" w:rsidRDefault="00F118FD" w:rsidP="003B535E">
      <w:pPr>
        <w:spacing w:after="120" w:line="480" w:lineRule="auto"/>
        <w:jc w:val="both"/>
        <w:rPr>
          <w:rFonts w:ascii="Palatino Linotype" w:hAnsi="Palatino Linotype" w:cs="Times New Roman"/>
          <w:b/>
          <w:caps/>
          <w:sz w:val="24"/>
          <w:szCs w:val="24"/>
        </w:rPr>
      </w:pPr>
      <w:r w:rsidRPr="003C67AD">
        <w:rPr>
          <w:rFonts w:ascii="Palatino Linotype" w:hAnsi="Palatino Linotype" w:cs="Times New Roman"/>
          <w:b/>
          <w:caps/>
          <w:sz w:val="24"/>
          <w:szCs w:val="24"/>
        </w:rPr>
        <w:t>Research-based clinical legal education:</w:t>
      </w:r>
      <w:r w:rsidR="00ED6339" w:rsidRPr="003C67AD">
        <w:rPr>
          <w:rFonts w:ascii="Palatino Linotype" w:hAnsi="Palatino Linotype" w:cs="Times New Roman"/>
          <w:b/>
          <w:caps/>
          <w:sz w:val="24"/>
          <w:szCs w:val="24"/>
        </w:rPr>
        <w:t xml:space="preserve"> </w:t>
      </w:r>
      <w:r w:rsidR="00A636BE" w:rsidRPr="003C67AD">
        <w:rPr>
          <w:rFonts w:ascii="Palatino Linotype" w:hAnsi="Palatino Linotype" w:cs="Times New Roman"/>
          <w:b/>
          <w:caps/>
          <w:sz w:val="24"/>
          <w:szCs w:val="24"/>
        </w:rPr>
        <w:t xml:space="preserve">a contradiction in terms or a win-win? </w:t>
      </w:r>
      <w:r w:rsidR="00ED6339" w:rsidRPr="003C67AD">
        <w:rPr>
          <w:rFonts w:ascii="Palatino Linotype" w:hAnsi="Palatino Linotype" w:cs="Times New Roman"/>
          <w:b/>
          <w:caps/>
          <w:sz w:val="24"/>
          <w:szCs w:val="24"/>
        </w:rPr>
        <w:t>Lessons from a UK pilot study.</w:t>
      </w:r>
      <w:r w:rsidR="00415406" w:rsidRPr="003C67AD">
        <w:rPr>
          <w:rFonts w:ascii="Palatino Linotype" w:hAnsi="Palatino Linotype" w:cs="Times New Roman"/>
          <w:b/>
          <w:caps/>
          <w:sz w:val="24"/>
          <w:szCs w:val="24"/>
        </w:rPr>
        <w:t>*</w:t>
      </w:r>
    </w:p>
    <w:p w14:paraId="38CB80EA" w14:textId="101AFE65" w:rsidR="000504AF" w:rsidRPr="001B49ED" w:rsidRDefault="000504AF" w:rsidP="003B535E">
      <w:pPr>
        <w:spacing w:after="120" w:line="480" w:lineRule="auto"/>
        <w:jc w:val="both"/>
        <w:rPr>
          <w:rFonts w:ascii="Palatino Linotype" w:hAnsi="Palatino Linotype" w:cs="Times New Roman"/>
          <w:i/>
          <w:color w:val="111111"/>
          <w:sz w:val="24"/>
          <w:szCs w:val="24"/>
        </w:rPr>
      </w:pPr>
      <w:r w:rsidRPr="000504AF">
        <w:rPr>
          <w:rFonts w:ascii="Palatino Linotype" w:hAnsi="Palatino Linotype" w:cs="Times New Roman"/>
          <w:color w:val="111111"/>
          <w:sz w:val="24"/>
          <w:szCs w:val="24"/>
        </w:rPr>
        <w:br/>
      </w:r>
      <w:r w:rsidRPr="001B49ED">
        <w:rPr>
          <w:rFonts w:ascii="Palatino Linotype" w:hAnsi="Palatino Linotype" w:cs="Times New Roman"/>
          <w:i/>
          <w:color w:val="111111"/>
          <w:sz w:val="24"/>
          <w:szCs w:val="24"/>
        </w:rPr>
        <w:t>Lisa Whitehouse, University of Hull</w:t>
      </w:r>
      <w:r w:rsidRPr="001B49ED">
        <w:rPr>
          <w:rStyle w:val="FootnoteReference"/>
          <w:rFonts w:ascii="Palatino Linotype" w:hAnsi="Palatino Linotype" w:cs="Times New Roman"/>
          <w:i/>
          <w:color w:val="111111"/>
          <w:sz w:val="24"/>
          <w:szCs w:val="24"/>
        </w:rPr>
        <w:footnoteReference w:id="1"/>
      </w:r>
    </w:p>
    <w:p w14:paraId="02DB25E0" w14:textId="77777777" w:rsidR="00E62ADE" w:rsidRDefault="00E62ADE" w:rsidP="00B86922">
      <w:pPr>
        <w:spacing w:after="120" w:line="480" w:lineRule="auto"/>
        <w:jc w:val="both"/>
        <w:rPr>
          <w:rFonts w:ascii="Palatino Linotype" w:hAnsi="Palatino Linotype" w:cs="Times New Roman"/>
          <w:b/>
          <w:sz w:val="24"/>
          <w:szCs w:val="24"/>
        </w:rPr>
      </w:pPr>
    </w:p>
    <w:p w14:paraId="6D67FAB3" w14:textId="0835611C" w:rsidR="00F46980" w:rsidRPr="001B49ED" w:rsidRDefault="00BD1539" w:rsidP="00B86922">
      <w:pPr>
        <w:spacing w:after="12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Introduction</w:t>
      </w:r>
    </w:p>
    <w:p w14:paraId="49099E30" w14:textId="77777777" w:rsidR="00556077" w:rsidRDefault="00C63A1F"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This </w:t>
      </w:r>
      <w:r w:rsidR="00206BAB" w:rsidRPr="00B86922">
        <w:rPr>
          <w:rFonts w:ascii="Palatino Linotype" w:hAnsi="Palatino Linotype" w:cs="Times New Roman"/>
          <w:sz w:val="24"/>
          <w:szCs w:val="24"/>
        </w:rPr>
        <w:t>article</w:t>
      </w:r>
      <w:r w:rsidR="00974B18" w:rsidRPr="00B86922">
        <w:rPr>
          <w:rFonts w:ascii="Palatino Linotype" w:hAnsi="Palatino Linotype" w:cs="Times New Roman"/>
          <w:sz w:val="24"/>
          <w:szCs w:val="24"/>
        </w:rPr>
        <w:t xml:space="preserve"> </w:t>
      </w:r>
      <w:r w:rsidR="00942142" w:rsidRPr="00B86922">
        <w:rPr>
          <w:rFonts w:ascii="Palatino Linotype" w:hAnsi="Palatino Linotype" w:cs="Times New Roman"/>
          <w:sz w:val="24"/>
          <w:szCs w:val="24"/>
        </w:rPr>
        <w:t xml:space="preserve">provides an account of </w:t>
      </w:r>
      <w:r w:rsidR="00974B18" w:rsidRPr="00B86922">
        <w:rPr>
          <w:rFonts w:ascii="Palatino Linotype" w:hAnsi="Palatino Linotype" w:cs="Times New Roman"/>
          <w:sz w:val="24"/>
          <w:szCs w:val="24"/>
        </w:rPr>
        <w:t xml:space="preserve">a project (funded by the Ferens Education Trust) </w:t>
      </w:r>
      <w:r w:rsidR="0099169E" w:rsidRPr="00B86922">
        <w:rPr>
          <w:rFonts w:ascii="Palatino Linotype" w:hAnsi="Palatino Linotype" w:cs="Times New Roman"/>
          <w:sz w:val="24"/>
          <w:szCs w:val="24"/>
        </w:rPr>
        <w:t>which i</w:t>
      </w:r>
      <w:r w:rsidR="00942142" w:rsidRPr="00B86922">
        <w:rPr>
          <w:rFonts w:ascii="Palatino Linotype" w:hAnsi="Palatino Linotype" w:cs="Times New Roman"/>
          <w:sz w:val="24"/>
          <w:szCs w:val="24"/>
        </w:rPr>
        <w:t xml:space="preserve">s </w:t>
      </w:r>
      <w:r w:rsidR="00974B18" w:rsidRPr="00B86922">
        <w:rPr>
          <w:rFonts w:ascii="Palatino Linotype" w:hAnsi="Palatino Linotype" w:cs="Times New Roman"/>
          <w:sz w:val="24"/>
          <w:szCs w:val="24"/>
        </w:rPr>
        <w:t xml:space="preserve">designed to </w:t>
      </w:r>
      <w:r w:rsidRPr="00B86922">
        <w:rPr>
          <w:rFonts w:ascii="Palatino Linotype" w:hAnsi="Palatino Linotype" w:cs="Times New Roman"/>
          <w:sz w:val="24"/>
          <w:szCs w:val="24"/>
        </w:rPr>
        <w:t>enhance</w:t>
      </w:r>
      <w:r w:rsidR="00206BAB" w:rsidRPr="00B86922">
        <w:rPr>
          <w:rFonts w:ascii="Palatino Linotype" w:hAnsi="Palatino Linotype" w:cs="Times New Roman"/>
          <w:sz w:val="24"/>
          <w:szCs w:val="24"/>
        </w:rPr>
        <w:t xml:space="preserve"> clinical legal education </w:t>
      </w:r>
      <w:r w:rsidR="00F118FD" w:rsidRPr="00B86922">
        <w:rPr>
          <w:rFonts w:ascii="Palatino Linotype" w:hAnsi="Palatino Linotype" w:cs="Times New Roman"/>
          <w:sz w:val="24"/>
          <w:szCs w:val="24"/>
        </w:rPr>
        <w:t xml:space="preserve">(CLE) </w:t>
      </w:r>
      <w:r w:rsidR="00206BAB" w:rsidRPr="00B86922">
        <w:rPr>
          <w:rFonts w:ascii="Palatino Linotype" w:hAnsi="Palatino Linotype" w:cs="Times New Roman"/>
          <w:sz w:val="24"/>
          <w:szCs w:val="24"/>
        </w:rPr>
        <w:t xml:space="preserve">provision within </w:t>
      </w:r>
      <w:r w:rsidR="00205AF2" w:rsidRPr="00B86922">
        <w:rPr>
          <w:rFonts w:ascii="Palatino Linotype" w:hAnsi="Palatino Linotype" w:cs="Times New Roman"/>
          <w:sz w:val="24"/>
          <w:szCs w:val="24"/>
        </w:rPr>
        <w:t>my</w:t>
      </w:r>
      <w:r w:rsidR="00AF269D" w:rsidRPr="00B86922">
        <w:rPr>
          <w:rFonts w:ascii="Palatino Linotype" w:hAnsi="Palatino Linotype" w:cs="Times New Roman"/>
          <w:sz w:val="24"/>
          <w:szCs w:val="24"/>
        </w:rPr>
        <w:t xml:space="preserve"> own</w:t>
      </w:r>
      <w:r w:rsidR="00206BAB" w:rsidRPr="00B86922">
        <w:rPr>
          <w:rFonts w:ascii="Palatino Linotype" w:hAnsi="Palatino Linotype" w:cs="Times New Roman"/>
          <w:sz w:val="24"/>
          <w:szCs w:val="24"/>
        </w:rPr>
        <w:t xml:space="preserve"> institution, develop net</w:t>
      </w:r>
      <w:r w:rsidR="00F118FD" w:rsidRPr="00B86922">
        <w:rPr>
          <w:rFonts w:ascii="Palatino Linotype" w:hAnsi="Palatino Linotype" w:cs="Times New Roman"/>
          <w:sz w:val="24"/>
          <w:szCs w:val="24"/>
        </w:rPr>
        <w:t>works with local stakeholders, promote civic engagement</w:t>
      </w:r>
      <w:r w:rsidR="005162EA" w:rsidRPr="00B86922">
        <w:rPr>
          <w:rFonts w:ascii="Palatino Linotype" w:hAnsi="Palatino Linotype" w:cs="Times New Roman"/>
          <w:sz w:val="24"/>
          <w:szCs w:val="24"/>
        </w:rPr>
        <w:t xml:space="preserve">, supplement </w:t>
      </w:r>
      <w:r w:rsidR="0099169E" w:rsidRPr="00B86922">
        <w:rPr>
          <w:rFonts w:ascii="Palatino Linotype" w:hAnsi="Palatino Linotype" w:cs="Times New Roman"/>
          <w:sz w:val="24"/>
          <w:szCs w:val="24"/>
        </w:rPr>
        <w:t>over-stretched</w:t>
      </w:r>
      <w:r w:rsidR="005162EA" w:rsidRPr="00B86922">
        <w:rPr>
          <w:rFonts w:ascii="Palatino Linotype" w:hAnsi="Palatino Linotype" w:cs="Times New Roman"/>
          <w:sz w:val="24"/>
          <w:szCs w:val="24"/>
        </w:rPr>
        <w:t xml:space="preserve"> advice provision</w:t>
      </w:r>
      <w:r w:rsidR="00206BAB" w:rsidRPr="00B86922">
        <w:rPr>
          <w:rFonts w:ascii="Palatino Linotype" w:hAnsi="Palatino Linotype" w:cs="Times New Roman"/>
          <w:sz w:val="24"/>
          <w:szCs w:val="24"/>
        </w:rPr>
        <w:t xml:space="preserve"> and elicit valuable research data. The </w:t>
      </w:r>
      <w:r w:rsidR="0099169E" w:rsidRPr="00B86922">
        <w:rPr>
          <w:rFonts w:ascii="Palatino Linotype" w:hAnsi="Palatino Linotype" w:cs="Times New Roman"/>
          <w:sz w:val="24"/>
          <w:szCs w:val="24"/>
        </w:rPr>
        <w:t>intention</w:t>
      </w:r>
      <w:r w:rsidR="00206BAB" w:rsidRPr="00B86922">
        <w:rPr>
          <w:rFonts w:ascii="Palatino Linotype" w:hAnsi="Palatino Linotype" w:cs="Times New Roman"/>
          <w:sz w:val="24"/>
          <w:szCs w:val="24"/>
        </w:rPr>
        <w:t xml:space="preserve"> in </w:t>
      </w:r>
      <w:r w:rsidR="00F03FBE" w:rsidRPr="00B86922">
        <w:rPr>
          <w:rFonts w:ascii="Palatino Linotype" w:hAnsi="Palatino Linotype" w:cs="Times New Roman"/>
          <w:sz w:val="24"/>
          <w:szCs w:val="24"/>
        </w:rPr>
        <w:t>providing a ‘warts and all’ account of</w:t>
      </w:r>
      <w:r w:rsidR="00A7467F" w:rsidRPr="00B86922">
        <w:rPr>
          <w:rFonts w:ascii="Palatino Linotype" w:hAnsi="Palatino Linotype" w:cs="Times New Roman"/>
          <w:sz w:val="24"/>
          <w:szCs w:val="24"/>
        </w:rPr>
        <w:t xml:space="preserve"> how this project developed is to offer an insight into the trials and tribulati</w:t>
      </w:r>
      <w:bookmarkStart w:id="0" w:name="_GoBack"/>
      <w:bookmarkEnd w:id="0"/>
      <w:r w:rsidR="00A7467F" w:rsidRPr="00B86922">
        <w:rPr>
          <w:rFonts w:ascii="Palatino Linotype" w:hAnsi="Palatino Linotype" w:cs="Times New Roman"/>
          <w:sz w:val="24"/>
          <w:szCs w:val="24"/>
        </w:rPr>
        <w:t>ons of setting up such a scheme, to offer comfort to those who</w:t>
      </w:r>
      <w:r w:rsidR="00862AA2" w:rsidRPr="00B86922">
        <w:rPr>
          <w:rFonts w:ascii="Palatino Linotype" w:hAnsi="Palatino Linotype" w:cs="Times New Roman"/>
          <w:sz w:val="24"/>
          <w:szCs w:val="24"/>
        </w:rPr>
        <w:t>,</w:t>
      </w:r>
      <w:r w:rsidR="00A7467F" w:rsidRPr="00B86922">
        <w:rPr>
          <w:rFonts w:ascii="Palatino Linotype" w:hAnsi="Palatino Linotype" w:cs="Times New Roman"/>
          <w:sz w:val="24"/>
          <w:szCs w:val="24"/>
        </w:rPr>
        <w:t xml:space="preserve"> like </w:t>
      </w:r>
      <w:r w:rsidR="00205AF2" w:rsidRPr="00B86922">
        <w:rPr>
          <w:rFonts w:ascii="Palatino Linotype" w:hAnsi="Palatino Linotype" w:cs="Times New Roman"/>
          <w:sz w:val="24"/>
          <w:szCs w:val="24"/>
        </w:rPr>
        <w:t>me</w:t>
      </w:r>
      <w:r w:rsidR="00A7467F" w:rsidRPr="00B86922">
        <w:rPr>
          <w:rFonts w:ascii="Palatino Linotype" w:hAnsi="Palatino Linotype" w:cs="Times New Roman"/>
          <w:sz w:val="24"/>
          <w:szCs w:val="24"/>
        </w:rPr>
        <w:t>, are new to this kind of task and</w:t>
      </w:r>
      <w:r w:rsidR="004B20BC" w:rsidRPr="00B86922">
        <w:rPr>
          <w:rFonts w:ascii="Palatino Linotype" w:hAnsi="Palatino Linotype" w:cs="Times New Roman"/>
          <w:sz w:val="24"/>
          <w:szCs w:val="24"/>
        </w:rPr>
        <w:t>,</w:t>
      </w:r>
      <w:r w:rsidR="00A7467F" w:rsidRPr="00B86922">
        <w:rPr>
          <w:rFonts w:ascii="Palatino Linotype" w:hAnsi="Palatino Linotype" w:cs="Times New Roman"/>
          <w:sz w:val="24"/>
          <w:szCs w:val="24"/>
        </w:rPr>
        <w:t xml:space="preserve"> to assist in efforts to avoid reinventing the wheel.</w:t>
      </w:r>
      <w:r w:rsidR="007F425C" w:rsidRPr="00B86922">
        <w:rPr>
          <w:rFonts w:ascii="Palatino Linotype" w:hAnsi="Palatino Linotype" w:cs="Times New Roman"/>
          <w:sz w:val="24"/>
          <w:szCs w:val="24"/>
        </w:rPr>
        <w:t xml:space="preserve"> </w:t>
      </w:r>
      <w:r w:rsidR="00F118FD" w:rsidRPr="00B86922">
        <w:rPr>
          <w:rFonts w:ascii="Palatino Linotype" w:hAnsi="Palatino Linotype" w:cs="Times New Roman"/>
          <w:sz w:val="24"/>
          <w:szCs w:val="24"/>
        </w:rPr>
        <w:t xml:space="preserve">Perhaps more importantly, it aims also to highlight the potential for CLE schemes to </w:t>
      </w:r>
      <w:r w:rsidR="003B4F00" w:rsidRPr="00B86922">
        <w:rPr>
          <w:rFonts w:ascii="Palatino Linotype" w:hAnsi="Palatino Linotype" w:cs="Times New Roman"/>
          <w:sz w:val="24"/>
          <w:szCs w:val="24"/>
        </w:rPr>
        <w:t xml:space="preserve">facilitate research. </w:t>
      </w:r>
    </w:p>
    <w:p w14:paraId="1E49B421" w14:textId="77777777" w:rsidR="003B535E" w:rsidRDefault="003B535E" w:rsidP="00B86922">
      <w:pPr>
        <w:spacing w:after="120" w:line="480" w:lineRule="auto"/>
        <w:jc w:val="both"/>
        <w:rPr>
          <w:rFonts w:ascii="Palatino Linotype" w:hAnsi="Palatino Linotype" w:cs="Times New Roman"/>
          <w:sz w:val="24"/>
          <w:szCs w:val="24"/>
        </w:rPr>
      </w:pPr>
    </w:p>
    <w:p w14:paraId="3D90D559" w14:textId="2D9DEAE9" w:rsidR="008F0E39" w:rsidRPr="00B86922" w:rsidRDefault="003B4F00"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It would seem that</w:t>
      </w:r>
      <w:r w:rsidR="00D80C36" w:rsidRPr="00B86922">
        <w:rPr>
          <w:rFonts w:ascii="Palatino Linotype" w:hAnsi="Palatino Linotype" w:cs="Times New Roman"/>
          <w:sz w:val="24"/>
          <w:szCs w:val="24"/>
        </w:rPr>
        <w:t xml:space="preserve"> in many UK law schools, CLE is perceived as being beneficial for students, communities and stakeholders but rarely is it expected to give rise to </w:t>
      </w:r>
      <w:r w:rsidR="0099169E" w:rsidRPr="00B86922">
        <w:rPr>
          <w:rFonts w:ascii="Palatino Linotype" w:hAnsi="Palatino Linotype" w:cs="Times New Roman"/>
          <w:sz w:val="24"/>
          <w:szCs w:val="24"/>
        </w:rPr>
        <w:t xml:space="preserve">substantive </w:t>
      </w:r>
      <w:r w:rsidR="00D80C36" w:rsidRPr="00B86922">
        <w:rPr>
          <w:rFonts w:ascii="Palatino Linotype" w:hAnsi="Palatino Linotype" w:cs="Times New Roman"/>
          <w:sz w:val="24"/>
          <w:szCs w:val="24"/>
        </w:rPr>
        <w:t>research</w:t>
      </w:r>
      <w:r w:rsidRPr="00B86922">
        <w:rPr>
          <w:rFonts w:ascii="Palatino Linotype" w:hAnsi="Palatino Linotype" w:cs="Times New Roman"/>
          <w:sz w:val="24"/>
          <w:szCs w:val="24"/>
        </w:rPr>
        <w:t>.</w:t>
      </w:r>
      <w:r w:rsidR="0099169E" w:rsidRPr="00B86922">
        <w:rPr>
          <w:rFonts w:ascii="Palatino Linotype" w:hAnsi="Palatino Linotype" w:cs="Times New Roman"/>
          <w:sz w:val="24"/>
          <w:szCs w:val="24"/>
        </w:rPr>
        <w:t xml:space="preserve"> This has the potential to ghettoize CLE, to make it the preserve </w:t>
      </w:r>
      <w:r w:rsidR="0099169E" w:rsidRPr="00B86922">
        <w:rPr>
          <w:rFonts w:ascii="Palatino Linotype" w:hAnsi="Palatino Linotype" w:cs="Times New Roman"/>
          <w:sz w:val="24"/>
          <w:szCs w:val="24"/>
        </w:rPr>
        <w:lastRenderedPageBreak/>
        <w:t>of non-research active colleagues and a task separate (often physically and metaphorically) from the rest of the academic</w:t>
      </w:r>
      <w:r w:rsidR="00360692" w:rsidRPr="00B86922">
        <w:rPr>
          <w:rFonts w:ascii="Palatino Linotype" w:hAnsi="Palatino Linotype" w:cs="Times New Roman"/>
          <w:sz w:val="24"/>
          <w:szCs w:val="24"/>
        </w:rPr>
        <w:t xml:space="preserve"> </w:t>
      </w:r>
      <w:r w:rsidR="00BE30D9" w:rsidRPr="00B86922">
        <w:rPr>
          <w:rFonts w:ascii="Palatino Linotype" w:hAnsi="Palatino Linotype" w:cs="Times New Roman"/>
          <w:sz w:val="24"/>
          <w:szCs w:val="24"/>
        </w:rPr>
        <w:t>community</w:t>
      </w:r>
      <w:r w:rsidR="0099169E" w:rsidRPr="00B86922">
        <w:rPr>
          <w:rFonts w:ascii="Palatino Linotype" w:hAnsi="Palatino Linotype" w:cs="Times New Roman"/>
          <w:sz w:val="24"/>
          <w:szCs w:val="24"/>
        </w:rPr>
        <w:t xml:space="preserve">. </w:t>
      </w:r>
      <w:r w:rsidR="00360692" w:rsidRPr="00B86922">
        <w:rPr>
          <w:rFonts w:ascii="Palatino Linotype" w:hAnsi="Palatino Linotype" w:cs="Times New Roman"/>
          <w:sz w:val="24"/>
          <w:szCs w:val="24"/>
        </w:rPr>
        <w:t xml:space="preserve">In an effort to broaden interest in and thereby increase the </w:t>
      </w:r>
      <w:r w:rsidR="00B86922" w:rsidRPr="00B86922">
        <w:rPr>
          <w:rFonts w:ascii="Palatino Linotype" w:hAnsi="Palatino Linotype" w:cs="Times New Roman"/>
          <w:sz w:val="24"/>
          <w:szCs w:val="24"/>
        </w:rPr>
        <w:t>p</w:t>
      </w:r>
      <w:r w:rsidR="00360692" w:rsidRPr="00B86922">
        <w:rPr>
          <w:rFonts w:ascii="Palatino Linotype" w:hAnsi="Palatino Linotype" w:cs="Times New Roman"/>
          <w:sz w:val="24"/>
          <w:szCs w:val="24"/>
        </w:rPr>
        <w:t>rovision of CLE, with all its associated benefits</w:t>
      </w:r>
      <w:r w:rsidR="00B86922" w:rsidRPr="00B86922">
        <w:rPr>
          <w:rStyle w:val="FootnoteReference"/>
          <w:rFonts w:ascii="Palatino Linotype" w:hAnsi="Palatino Linotype" w:cs="Times New Roman"/>
          <w:sz w:val="24"/>
          <w:szCs w:val="24"/>
        </w:rPr>
        <w:footnoteReference w:id="2"/>
      </w:r>
      <w:r w:rsidR="00B86922" w:rsidRPr="00B86922">
        <w:rPr>
          <w:rFonts w:ascii="Palatino Linotype" w:hAnsi="Palatino Linotype" w:cs="Times New Roman"/>
          <w:sz w:val="24"/>
          <w:szCs w:val="24"/>
        </w:rPr>
        <w:t xml:space="preserve"> </w:t>
      </w:r>
      <w:r w:rsidR="00BE30D9" w:rsidRPr="00B86922">
        <w:rPr>
          <w:rFonts w:ascii="Palatino Linotype" w:hAnsi="Palatino Linotype" w:cs="Times New Roman"/>
          <w:sz w:val="24"/>
          <w:szCs w:val="24"/>
        </w:rPr>
        <w:t xml:space="preserve">this article offers a case study of how CLE can derive from and give rise to research in all its forms </w:t>
      </w:r>
      <w:r w:rsidR="00C4056A" w:rsidRPr="00B86922">
        <w:rPr>
          <w:rFonts w:ascii="Palatino Linotype" w:hAnsi="Palatino Linotype" w:cs="Times New Roman"/>
          <w:sz w:val="24"/>
          <w:szCs w:val="24"/>
        </w:rPr>
        <w:t>(</w:t>
      </w:r>
      <w:r w:rsidR="00BE30D9" w:rsidRPr="00B86922">
        <w:rPr>
          <w:rFonts w:ascii="Palatino Linotype" w:hAnsi="Palatino Linotype" w:cs="Times New Roman"/>
          <w:sz w:val="24"/>
          <w:szCs w:val="24"/>
        </w:rPr>
        <w:t xml:space="preserve">i.e., data, outputs and </w:t>
      </w:r>
      <w:r w:rsidR="005812FF" w:rsidRPr="00B86922">
        <w:rPr>
          <w:rFonts w:ascii="Palatino Linotype" w:hAnsi="Palatino Linotype" w:cs="Times New Roman"/>
          <w:sz w:val="24"/>
          <w:szCs w:val="24"/>
        </w:rPr>
        <w:t>‘</w:t>
      </w:r>
      <w:r w:rsidR="00BE30D9" w:rsidRPr="00B86922">
        <w:rPr>
          <w:rFonts w:ascii="Palatino Linotype" w:hAnsi="Palatino Linotype" w:cs="Times New Roman"/>
          <w:sz w:val="24"/>
          <w:szCs w:val="24"/>
        </w:rPr>
        <w:t>impact</w:t>
      </w:r>
      <w:r w:rsidR="005812FF" w:rsidRPr="00B86922">
        <w:rPr>
          <w:rFonts w:ascii="Palatino Linotype" w:hAnsi="Palatino Linotype" w:cs="Times New Roman"/>
          <w:sz w:val="24"/>
          <w:szCs w:val="24"/>
        </w:rPr>
        <w:t>’</w:t>
      </w:r>
      <w:r w:rsidR="00BE30D9" w:rsidRPr="00B86922">
        <w:rPr>
          <w:rFonts w:ascii="Palatino Linotype" w:hAnsi="Palatino Linotype" w:cs="Times New Roman"/>
          <w:sz w:val="24"/>
          <w:szCs w:val="24"/>
        </w:rPr>
        <w:t>).</w:t>
      </w:r>
      <w:r w:rsidR="00BE30D9" w:rsidRPr="00B86922">
        <w:rPr>
          <w:rStyle w:val="FootnoteReference"/>
          <w:rFonts w:ascii="Palatino Linotype" w:hAnsi="Palatino Linotype" w:cs="Times New Roman"/>
          <w:sz w:val="24"/>
          <w:szCs w:val="24"/>
        </w:rPr>
        <w:footnoteReference w:id="3"/>
      </w:r>
      <w:r w:rsidR="00BE30D9" w:rsidRPr="00B86922">
        <w:rPr>
          <w:rFonts w:ascii="Palatino Linotype" w:hAnsi="Palatino Linotype" w:cs="Times New Roman"/>
          <w:sz w:val="24"/>
          <w:szCs w:val="24"/>
        </w:rPr>
        <w:t xml:space="preserve"> </w:t>
      </w:r>
    </w:p>
    <w:p w14:paraId="78558494" w14:textId="77777777" w:rsidR="008F0E39" w:rsidRPr="00B86922" w:rsidRDefault="00556077"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The project in</w:t>
      </w:r>
      <w:r w:rsidR="004B20BC" w:rsidRPr="00B86922">
        <w:rPr>
          <w:rFonts w:ascii="Palatino Linotype" w:hAnsi="Palatino Linotype" w:cs="Times New Roman"/>
          <w:sz w:val="24"/>
          <w:szCs w:val="24"/>
        </w:rPr>
        <w:t xml:space="preserve"> question focuses on the issue o</w:t>
      </w:r>
      <w:r w:rsidR="00365AD2" w:rsidRPr="00B86922">
        <w:rPr>
          <w:rFonts w:ascii="Palatino Linotype" w:hAnsi="Palatino Linotype" w:cs="Times New Roman"/>
          <w:sz w:val="24"/>
          <w:szCs w:val="24"/>
        </w:rPr>
        <w:t>f housing possession and derives</w:t>
      </w:r>
      <w:r w:rsidR="00AF269D" w:rsidRPr="00B86922">
        <w:rPr>
          <w:rFonts w:ascii="Palatino Linotype" w:hAnsi="Palatino Linotype" w:cs="Times New Roman"/>
          <w:sz w:val="24"/>
          <w:szCs w:val="24"/>
        </w:rPr>
        <w:t xml:space="preserve"> from </w:t>
      </w:r>
      <w:r w:rsidR="00205AF2" w:rsidRPr="00B86922">
        <w:rPr>
          <w:rFonts w:ascii="Palatino Linotype" w:hAnsi="Palatino Linotype" w:cs="Times New Roman"/>
          <w:sz w:val="24"/>
          <w:szCs w:val="24"/>
        </w:rPr>
        <w:t>my</w:t>
      </w:r>
      <w:r w:rsidR="00AF269D" w:rsidRPr="00B86922">
        <w:rPr>
          <w:rFonts w:ascii="Palatino Linotype" w:hAnsi="Palatino Linotype" w:cs="Times New Roman"/>
          <w:sz w:val="24"/>
          <w:szCs w:val="24"/>
        </w:rPr>
        <w:t xml:space="preserve"> </w:t>
      </w:r>
      <w:r w:rsidR="004B20BC" w:rsidRPr="00B86922">
        <w:rPr>
          <w:rFonts w:ascii="Palatino Linotype" w:hAnsi="Palatino Linotype" w:cs="Times New Roman"/>
          <w:sz w:val="24"/>
          <w:szCs w:val="24"/>
        </w:rPr>
        <w:t>earlier research</w:t>
      </w:r>
      <w:r w:rsidR="004B20BC" w:rsidRPr="00B86922">
        <w:rPr>
          <w:rFonts w:ascii="Palatino Linotype" w:hAnsi="Palatino Linotype" w:cs="Times New Roman"/>
          <w:bCs/>
          <w:sz w:val="24"/>
          <w:szCs w:val="24"/>
        </w:rPr>
        <w:t xml:space="preserve"> which suggested that a high percentage of </w:t>
      </w:r>
      <w:r w:rsidRPr="00B86922">
        <w:rPr>
          <w:rFonts w:ascii="Palatino Linotype" w:hAnsi="Palatino Linotype" w:cs="Times New Roman"/>
          <w:bCs/>
          <w:sz w:val="24"/>
          <w:szCs w:val="24"/>
        </w:rPr>
        <w:t>possession</w:t>
      </w:r>
      <w:r w:rsidR="004B20BC" w:rsidRPr="00B86922">
        <w:rPr>
          <w:rFonts w:ascii="Palatino Linotype" w:hAnsi="Palatino Linotype" w:cs="Times New Roman"/>
          <w:bCs/>
          <w:sz w:val="24"/>
          <w:szCs w:val="24"/>
        </w:rPr>
        <w:t xml:space="preserve"> cases are adjourned for reasons including unresolved housing benefit claims,</w:t>
      </w:r>
      <w:r w:rsidR="004B20BC" w:rsidRPr="00B86922">
        <w:rPr>
          <w:rStyle w:val="FootnoteReference"/>
          <w:rFonts w:ascii="Palatino Linotype" w:hAnsi="Palatino Linotype" w:cs="Times New Roman"/>
          <w:bCs/>
          <w:sz w:val="24"/>
          <w:szCs w:val="24"/>
        </w:rPr>
        <w:footnoteReference w:id="4"/>
      </w:r>
      <w:r w:rsidR="004B20BC" w:rsidRPr="00B86922">
        <w:rPr>
          <w:rFonts w:ascii="Palatino Linotype" w:hAnsi="Palatino Linotype" w:cs="Times New Roman"/>
          <w:bCs/>
          <w:sz w:val="24"/>
          <w:szCs w:val="24"/>
        </w:rPr>
        <w:t xml:space="preserve"> and that, due to a lack of accessible legal advice, occupiers may be missing out on measures designed to protect them against eviction.</w:t>
      </w:r>
      <w:r w:rsidR="004B20BC" w:rsidRPr="00B86922">
        <w:rPr>
          <w:rStyle w:val="FootnoteReference"/>
          <w:rFonts w:ascii="Palatino Linotype" w:hAnsi="Palatino Linotype" w:cs="Times New Roman"/>
          <w:sz w:val="24"/>
          <w:szCs w:val="24"/>
        </w:rPr>
        <w:footnoteReference w:id="5"/>
      </w:r>
      <w:r w:rsidR="004B20BC" w:rsidRPr="00B86922">
        <w:rPr>
          <w:rFonts w:ascii="Palatino Linotype" w:hAnsi="Palatino Linotype" w:cs="Times New Roman"/>
          <w:sz w:val="24"/>
          <w:szCs w:val="24"/>
        </w:rPr>
        <w:t xml:space="preserve"> </w:t>
      </w:r>
      <w:r w:rsidR="00365AD2" w:rsidRPr="00B86922">
        <w:rPr>
          <w:rFonts w:ascii="Palatino Linotype" w:hAnsi="Palatino Linotype" w:cs="Times New Roman"/>
          <w:sz w:val="24"/>
          <w:szCs w:val="24"/>
        </w:rPr>
        <w:t>The aim therefore was to find a way of addressing these issues by drawing on avai</w:t>
      </w:r>
      <w:r w:rsidR="00F03FBE" w:rsidRPr="00B86922">
        <w:rPr>
          <w:rFonts w:ascii="Palatino Linotype" w:hAnsi="Palatino Linotype" w:cs="Times New Roman"/>
          <w:sz w:val="24"/>
          <w:szCs w:val="24"/>
        </w:rPr>
        <w:t>lable resources, most notably, the</w:t>
      </w:r>
      <w:r w:rsidR="00365AD2" w:rsidRPr="00B86922">
        <w:rPr>
          <w:rFonts w:ascii="Palatino Linotype" w:hAnsi="Palatino Linotype" w:cs="Times New Roman"/>
          <w:sz w:val="24"/>
          <w:szCs w:val="24"/>
        </w:rPr>
        <w:t xml:space="preserve"> stu</w:t>
      </w:r>
      <w:r w:rsidR="00F03FBE" w:rsidRPr="00B86922">
        <w:rPr>
          <w:rFonts w:ascii="Palatino Linotype" w:hAnsi="Palatino Linotype" w:cs="Times New Roman"/>
          <w:sz w:val="24"/>
          <w:szCs w:val="24"/>
        </w:rPr>
        <w:t>dent cohort</w:t>
      </w:r>
      <w:r w:rsidR="00365AD2" w:rsidRPr="00B86922">
        <w:rPr>
          <w:rFonts w:ascii="Palatino Linotype" w:hAnsi="Palatino Linotype" w:cs="Times New Roman"/>
          <w:sz w:val="24"/>
          <w:szCs w:val="24"/>
        </w:rPr>
        <w:t xml:space="preserve">. </w:t>
      </w:r>
      <w:r w:rsidR="00E66E93" w:rsidRPr="00B86922">
        <w:rPr>
          <w:rFonts w:ascii="Palatino Linotype" w:hAnsi="Palatino Linotype" w:cs="Times New Roman"/>
          <w:sz w:val="24"/>
          <w:szCs w:val="24"/>
        </w:rPr>
        <w:t xml:space="preserve">The </w:t>
      </w:r>
      <w:r w:rsidR="003D67D1" w:rsidRPr="00B86922">
        <w:rPr>
          <w:rFonts w:ascii="Palatino Linotype" w:hAnsi="Palatino Linotype" w:cs="Times New Roman"/>
          <w:sz w:val="24"/>
          <w:szCs w:val="24"/>
        </w:rPr>
        <w:t xml:space="preserve">initial </w:t>
      </w:r>
      <w:r w:rsidR="00E66E93" w:rsidRPr="00B86922">
        <w:rPr>
          <w:rFonts w:ascii="Palatino Linotype" w:hAnsi="Palatino Linotype" w:cs="Times New Roman"/>
          <w:sz w:val="24"/>
          <w:szCs w:val="24"/>
        </w:rPr>
        <w:t>idea</w:t>
      </w:r>
      <w:r w:rsidR="003D67D1" w:rsidRPr="00B86922">
        <w:rPr>
          <w:rFonts w:ascii="Palatino Linotype" w:hAnsi="Palatino Linotype" w:cs="Times New Roman"/>
          <w:sz w:val="24"/>
          <w:szCs w:val="24"/>
        </w:rPr>
        <w:t xml:space="preserve"> was</w:t>
      </w:r>
      <w:r w:rsidR="00E66E93" w:rsidRPr="00B86922">
        <w:rPr>
          <w:rFonts w:ascii="Palatino Linotype" w:hAnsi="Palatino Linotype" w:cs="Times New Roman"/>
          <w:sz w:val="24"/>
          <w:szCs w:val="24"/>
        </w:rPr>
        <w:t xml:space="preserve"> to better prepare occupiers threatened with loss of home for their court hearing through the provision of a regular </w:t>
      </w:r>
      <w:r w:rsidR="003C67AD">
        <w:rPr>
          <w:rFonts w:ascii="Palatino Linotype" w:hAnsi="Palatino Linotype" w:cs="Times New Roman"/>
          <w:sz w:val="24"/>
          <w:szCs w:val="24"/>
        </w:rPr>
        <w:t>‘</w:t>
      </w:r>
      <w:r w:rsidR="00E66E93" w:rsidRPr="00B86922">
        <w:rPr>
          <w:rFonts w:ascii="Palatino Linotype" w:hAnsi="Palatino Linotype" w:cs="Times New Roman"/>
          <w:sz w:val="24"/>
          <w:szCs w:val="24"/>
        </w:rPr>
        <w:t>Clinic on Evictions and Repossessions</w:t>
      </w:r>
      <w:r w:rsidR="003C67AD">
        <w:rPr>
          <w:rFonts w:ascii="Palatino Linotype" w:hAnsi="Palatino Linotype" w:cs="Times New Roman"/>
          <w:sz w:val="24"/>
          <w:szCs w:val="24"/>
        </w:rPr>
        <w:t>’</w:t>
      </w:r>
      <w:r w:rsidR="00E66E93"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 xml:space="preserve">the </w:t>
      </w:r>
      <w:r w:rsidR="00E66E93" w:rsidRPr="00B86922">
        <w:rPr>
          <w:rFonts w:ascii="Palatino Linotype" w:hAnsi="Palatino Linotype" w:cs="Times New Roman"/>
          <w:sz w:val="24"/>
          <w:szCs w:val="24"/>
        </w:rPr>
        <w:t xml:space="preserve">CLEAR). </w:t>
      </w:r>
    </w:p>
    <w:p w14:paraId="03CC2C63" w14:textId="77777777" w:rsidR="004B20BC" w:rsidRPr="00B86922" w:rsidRDefault="00BB0AB5"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While CLE remains an emerging feature of UK law schools,</w:t>
      </w:r>
      <w:r w:rsidR="009273E6" w:rsidRPr="00B86922">
        <w:rPr>
          <w:rStyle w:val="FootnoteReference"/>
          <w:rFonts w:ascii="Palatino Linotype" w:hAnsi="Palatino Linotype" w:cs="Times New Roman"/>
          <w:sz w:val="24"/>
          <w:szCs w:val="24"/>
        </w:rPr>
        <w:footnoteReference w:id="6"/>
      </w:r>
      <w:r w:rsidRPr="00B86922">
        <w:rPr>
          <w:rFonts w:ascii="Palatino Linotype" w:hAnsi="Palatino Linotype" w:cs="Times New Roman"/>
          <w:sz w:val="24"/>
          <w:szCs w:val="24"/>
        </w:rPr>
        <w:t xml:space="preserve"> it was possible to d</w:t>
      </w:r>
      <w:r w:rsidR="001974BB" w:rsidRPr="00B86922">
        <w:rPr>
          <w:rFonts w:ascii="Palatino Linotype" w:hAnsi="Palatino Linotype" w:cs="Times New Roman"/>
          <w:sz w:val="24"/>
          <w:szCs w:val="24"/>
        </w:rPr>
        <w:t>raw on the experience of similar projects undertaken at other institutions, including the University of Sheffield (where students participate in the local court’s Personal Support Unit)</w:t>
      </w:r>
      <w:r w:rsidR="001974BB" w:rsidRPr="00B86922">
        <w:rPr>
          <w:rFonts w:ascii="Palatino Linotype" w:hAnsi="Palatino Linotype" w:cs="Times New Roman"/>
          <w:sz w:val="24"/>
          <w:szCs w:val="24"/>
          <w:vertAlign w:val="superscript"/>
        </w:rPr>
        <w:footnoteReference w:id="7"/>
      </w:r>
      <w:r w:rsidR="001974BB" w:rsidRPr="00B86922">
        <w:rPr>
          <w:rFonts w:ascii="Palatino Linotype" w:hAnsi="Palatino Linotype" w:cs="Times New Roman"/>
          <w:sz w:val="24"/>
          <w:szCs w:val="24"/>
        </w:rPr>
        <w:t xml:space="preserve"> and UCL’s Integrated Legal Advice Clinic based in Stratford</w:t>
      </w:r>
      <w:r w:rsidRPr="00B86922">
        <w:rPr>
          <w:rFonts w:ascii="Palatino Linotype" w:hAnsi="Palatino Linotype" w:cs="Times New Roman"/>
          <w:sz w:val="24"/>
          <w:szCs w:val="24"/>
        </w:rPr>
        <w:t>.</w:t>
      </w:r>
      <w:r w:rsidR="001974BB" w:rsidRPr="00B86922">
        <w:rPr>
          <w:rFonts w:ascii="Palatino Linotype" w:hAnsi="Palatino Linotype" w:cs="Times New Roman"/>
          <w:sz w:val="24"/>
          <w:szCs w:val="24"/>
          <w:vertAlign w:val="superscript"/>
        </w:rPr>
        <w:footnoteReference w:id="8"/>
      </w:r>
      <w:r w:rsidR="001974BB"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T</w:t>
      </w:r>
      <w:r w:rsidR="00E66E93" w:rsidRPr="00B86922">
        <w:rPr>
          <w:rFonts w:ascii="Palatino Linotype" w:hAnsi="Palatino Linotype" w:cs="Times New Roman"/>
          <w:sz w:val="24"/>
          <w:szCs w:val="24"/>
        </w:rPr>
        <w:t xml:space="preserve">he </w:t>
      </w:r>
      <w:r w:rsidR="00B04AC8" w:rsidRPr="00B86922">
        <w:rPr>
          <w:rFonts w:ascii="Palatino Linotype" w:hAnsi="Palatino Linotype" w:cs="Times New Roman"/>
          <w:sz w:val="24"/>
          <w:szCs w:val="24"/>
        </w:rPr>
        <w:t xml:space="preserve">original plan was to staff the </w:t>
      </w:r>
      <w:r w:rsidR="00E66E93" w:rsidRPr="00B86922">
        <w:rPr>
          <w:rFonts w:ascii="Palatino Linotype" w:hAnsi="Palatino Linotype" w:cs="Times New Roman"/>
          <w:sz w:val="24"/>
          <w:szCs w:val="24"/>
        </w:rPr>
        <w:t>CLEAR</w:t>
      </w:r>
      <w:r w:rsidR="00B04AC8" w:rsidRPr="00B86922">
        <w:rPr>
          <w:rFonts w:ascii="Palatino Linotype" w:hAnsi="Palatino Linotype" w:cs="Times New Roman"/>
          <w:sz w:val="24"/>
          <w:szCs w:val="24"/>
        </w:rPr>
        <w:t xml:space="preserve"> with </w:t>
      </w:r>
      <w:r w:rsidR="00E66E93" w:rsidRPr="00B86922">
        <w:rPr>
          <w:rFonts w:ascii="Palatino Linotype" w:hAnsi="Palatino Linotype" w:cs="Times New Roman"/>
          <w:sz w:val="24"/>
          <w:szCs w:val="24"/>
        </w:rPr>
        <w:t>Hull Law School students (particularly those involved in the Law School’s ‘</w:t>
      </w:r>
      <w:r w:rsidR="00E66E93" w:rsidRPr="00B86922">
        <w:rPr>
          <w:rFonts w:ascii="Palatino Linotype" w:hAnsi="Palatino Linotype" w:cs="Times New Roman"/>
          <w:iCs/>
          <w:sz w:val="24"/>
          <w:szCs w:val="24"/>
        </w:rPr>
        <w:t>Legal Advice Centre’</w:t>
      </w:r>
      <w:r w:rsidR="00E66E93" w:rsidRPr="00B86922">
        <w:rPr>
          <w:rFonts w:ascii="Palatino Linotype" w:hAnsi="Palatino Linotype" w:cs="Times New Roman"/>
          <w:sz w:val="24"/>
          <w:szCs w:val="24"/>
        </w:rPr>
        <w:t>),</w:t>
      </w:r>
      <w:r w:rsidR="00E66E93" w:rsidRPr="00B86922">
        <w:rPr>
          <w:rStyle w:val="FootnoteReference"/>
          <w:rFonts w:ascii="Palatino Linotype" w:hAnsi="Palatino Linotype" w:cs="Times New Roman"/>
          <w:sz w:val="24"/>
          <w:szCs w:val="24"/>
        </w:rPr>
        <w:footnoteReference w:id="9"/>
      </w:r>
      <w:r w:rsidR="00E66E93" w:rsidRPr="00B86922">
        <w:rPr>
          <w:rFonts w:ascii="Palatino Linotype" w:hAnsi="Palatino Linotype" w:cs="Times New Roman"/>
          <w:sz w:val="24"/>
          <w:szCs w:val="24"/>
        </w:rPr>
        <w:t xml:space="preserve"> representatives of local advice agencies, mental health support workers and representatives of the Housing Possession Court Duty Scheme (HPCDS)</w:t>
      </w:r>
      <w:r w:rsidR="003D67D1" w:rsidRPr="00B86922">
        <w:rPr>
          <w:rFonts w:ascii="Palatino Linotype" w:hAnsi="Palatino Linotype" w:cs="Times New Roman"/>
          <w:sz w:val="24"/>
          <w:szCs w:val="24"/>
        </w:rPr>
        <w:t xml:space="preserve">. The aim </w:t>
      </w:r>
      <w:r w:rsidR="00D3767D" w:rsidRPr="00B86922">
        <w:rPr>
          <w:rFonts w:ascii="Palatino Linotype" w:hAnsi="Palatino Linotype" w:cs="Times New Roman"/>
          <w:sz w:val="24"/>
          <w:szCs w:val="24"/>
        </w:rPr>
        <w:t>being</w:t>
      </w:r>
      <w:r w:rsidR="003D67D1" w:rsidRPr="00B86922">
        <w:rPr>
          <w:rFonts w:ascii="Palatino Linotype" w:hAnsi="Palatino Linotype" w:cs="Times New Roman"/>
          <w:sz w:val="24"/>
          <w:szCs w:val="24"/>
        </w:rPr>
        <w:t xml:space="preserve"> </w:t>
      </w:r>
      <w:r w:rsidR="00E66E93" w:rsidRPr="00B86922">
        <w:rPr>
          <w:rFonts w:ascii="Palatino Linotype" w:hAnsi="Palatino Linotype" w:cs="Times New Roman"/>
          <w:sz w:val="24"/>
          <w:szCs w:val="24"/>
        </w:rPr>
        <w:t>to inform, support and a</w:t>
      </w:r>
      <w:r w:rsidR="003D67D1" w:rsidRPr="00B86922">
        <w:rPr>
          <w:rFonts w:ascii="Palatino Linotype" w:hAnsi="Palatino Linotype" w:cs="Times New Roman"/>
          <w:sz w:val="24"/>
          <w:szCs w:val="24"/>
        </w:rPr>
        <w:t xml:space="preserve">dvise occupiers so that they </w:t>
      </w:r>
      <w:r w:rsidR="00AF269D" w:rsidRPr="00B86922">
        <w:rPr>
          <w:rFonts w:ascii="Palatino Linotype" w:hAnsi="Palatino Linotype" w:cs="Times New Roman"/>
          <w:sz w:val="24"/>
          <w:szCs w:val="24"/>
        </w:rPr>
        <w:t>could</w:t>
      </w:r>
      <w:r w:rsidR="00E66E93" w:rsidRPr="00B86922">
        <w:rPr>
          <w:rFonts w:ascii="Palatino Linotype" w:hAnsi="Palatino Linotype" w:cs="Times New Roman"/>
          <w:sz w:val="24"/>
          <w:szCs w:val="24"/>
        </w:rPr>
        <w:t xml:space="preserve"> engage fully with the legal process and, where possible, assist them in avoiding loss of home. </w:t>
      </w:r>
    </w:p>
    <w:p w14:paraId="4ACF86F0" w14:textId="77777777" w:rsidR="004B20BC" w:rsidRPr="00B86922" w:rsidRDefault="004B20BC" w:rsidP="00B86922">
      <w:pPr>
        <w:spacing w:after="120" w:line="480" w:lineRule="auto"/>
        <w:jc w:val="both"/>
        <w:rPr>
          <w:rFonts w:ascii="Palatino Linotype" w:hAnsi="Palatino Linotype" w:cs="Times New Roman"/>
          <w:sz w:val="24"/>
          <w:szCs w:val="24"/>
        </w:rPr>
      </w:pPr>
    </w:p>
    <w:p w14:paraId="16788F24" w14:textId="23852C80" w:rsidR="00AF269D" w:rsidRDefault="004B20BC"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In addition</w:t>
      </w:r>
      <w:r w:rsidR="00B86922">
        <w:rPr>
          <w:rFonts w:ascii="Palatino Linotype" w:hAnsi="Palatino Linotype" w:cs="Times New Roman"/>
          <w:sz w:val="24"/>
          <w:szCs w:val="24"/>
        </w:rPr>
        <w:t>,</w:t>
      </w:r>
      <w:r w:rsidRPr="00B86922">
        <w:rPr>
          <w:rFonts w:ascii="Palatino Linotype" w:hAnsi="Palatino Linotype" w:cs="Times New Roman"/>
          <w:sz w:val="24"/>
          <w:szCs w:val="24"/>
        </w:rPr>
        <w:t xml:space="preserve"> the project</w:t>
      </w:r>
      <w:r w:rsidR="00E80329" w:rsidRPr="00B86922">
        <w:rPr>
          <w:rFonts w:ascii="Palatino Linotype" w:hAnsi="Palatino Linotype" w:cs="Times New Roman"/>
          <w:sz w:val="24"/>
          <w:szCs w:val="24"/>
        </w:rPr>
        <w:t xml:space="preserve"> </w:t>
      </w:r>
      <w:r w:rsidR="00F03FBE" w:rsidRPr="00B86922">
        <w:rPr>
          <w:rFonts w:ascii="Palatino Linotype" w:hAnsi="Palatino Linotype" w:cs="Times New Roman"/>
          <w:sz w:val="24"/>
          <w:szCs w:val="24"/>
        </w:rPr>
        <w:t>was designed</w:t>
      </w:r>
      <w:r w:rsidR="00E80329" w:rsidRPr="00B86922">
        <w:rPr>
          <w:rFonts w:ascii="Palatino Linotype" w:hAnsi="Palatino Linotype" w:cs="Times New Roman"/>
          <w:sz w:val="24"/>
          <w:szCs w:val="24"/>
        </w:rPr>
        <w:t xml:space="preserve"> to</w:t>
      </w:r>
      <w:r w:rsidRPr="00B86922">
        <w:rPr>
          <w:rFonts w:ascii="Palatino Linotype" w:hAnsi="Palatino Linotype" w:cs="Times New Roman"/>
          <w:sz w:val="24"/>
          <w:szCs w:val="24"/>
        </w:rPr>
        <w:t xml:space="preserve"> gather quantitative data on the impact of the CLEAR (including the number of hearings and the outcomes arising from them both before and after the introduction of the CLEAR) and qualitative data on the experience of occupiers </w:t>
      </w:r>
      <w:r w:rsidR="00AF269D" w:rsidRPr="00B86922">
        <w:rPr>
          <w:rFonts w:ascii="Palatino Linotype" w:hAnsi="Palatino Linotype" w:cs="Times New Roman"/>
          <w:sz w:val="24"/>
          <w:szCs w:val="24"/>
        </w:rPr>
        <w:t xml:space="preserve">of the arrears and possession process </w:t>
      </w:r>
      <w:r w:rsidRPr="00B86922">
        <w:rPr>
          <w:rFonts w:ascii="Palatino Linotype" w:hAnsi="Palatino Linotype" w:cs="Times New Roman"/>
          <w:sz w:val="24"/>
          <w:szCs w:val="24"/>
        </w:rPr>
        <w:t xml:space="preserve">(through the completion of a questionnaire and/or interviews). </w:t>
      </w:r>
      <w:r w:rsidR="00556077" w:rsidRPr="00B86922">
        <w:rPr>
          <w:rFonts w:ascii="Palatino Linotype" w:hAnsi="Palatino Linotype" w:cs="Times New Roman"/>
          <w:sz w:val="24"/>
          <w:szCs w:val="24"/>
        </w:rPr>
        <w:t>Ultimately,</w:t>
      </w:r>
      <w:r w:rsidR="00E80329" w:rsidRPr="00B86922">
        <w:rPr>
          <w:rFonts w:ascii="Palatino Linotype" w:hAnsi="Palatino Linotype" w:cs="Times New Roman"/>
          <w:sz w:val="24"/>
          <w:szCs w:val="24"/>
        </w:rPr>
        <w:t xml:space="preserve"> the hope was that the CLEAR would</w:t>
      </w:r>
      <w:r w:rsidRPr="00B86922">
        <w:rPr>
          <w:rFonts w:ascii="Palatino Linotype" w:hAnsi="Palatino Linotype" w:cs="Times New Roman"/>
          <w:sz w:val="24"/>
          <w:szCs w:val="24"/>
        </w:rPr>
        <w:t xml:space="preserve"> enhance access to justice for occupiers</w:t>
      </w:r>
      <w:r w:rsidRPr="00B86922">
        <w:rPr>
          <w:rFonts w:ascii="Palatino Linotype" w:eastAsia="Calibri" w:hAnsi="Palatino Linotype" w:cs="Times New Roman"/>
          <w:bCs/>
          <w:sz w:val="24"/>
          <w:szCs w:val="24"/>
          <w:lang w:val="en-US" w:eastAsia="en-US"/>
        </w:rPr>
        <w:t xml:space="preserve"> </w:t>
      </w:r>
      <w:r w:rsidRPr="00B86922">
        <w:rPr>
          <w:rFonts w:ascii="Palatino Linotype" w:hAnsi="Palatino Linotype" w:cs="Times New Roman"/>
          <w:bCs/>
          <w:sz w:val="24"/>
          <w:szCs w:val="24"/>
          <w:lang w:val="en-US"/>
        </w:rPr>
        <w:t>by offering them free multi-agency advice</w:t>
      </w:r>
      <w:r w:rsidRPr="00B86922">
        <w:rPr>
          <w:rFonts w:ascii="Palatino Linotype" w:hAnsi="Palatino Linotype" w:cs="Times New Roman"/>
          <w:sz w:val="24"/>
          <w:szCs w:val="24"/>
        </w:rPr>
        <w:t xml:space="preserve"> while ensuring the more effective use of judicial time by, for </w:t>
      </w:r>
      <w:r w:rsidR="00F03FBE" w:rsidRPr="00B86922">
        <w:rPr>
          <w:rFonts w:ascii="Palatino Linotype" w:hAnsi="Palatino Linotype" w:cs="Times New Roman"/>
          <w:sz w:val="24"/>
          <w:szCs w:val="24"/>
        </w:rPr>
        <w:t xml:space="preserve">example, avoiding the holding of </w:t>
      </w:r>
      <w:r w:rsidRPr="00B86922">
        <w:rPr>
          <w:rFonts w:ascii="Palatino Linotype" w:hAnsi="Palatino Linotype" w:cs="Times New Roman"/>
          <w:sz w:val="24"/>
          <w:szCs w:val="24"/>
        </w:rPr>
        <w:t>hearings</w:t>
      </w:r>
      <w:r w:rsidR="00F03FBE" w:rsidRPr="00B86922">
        <w:rPr>
          <w:rFonts w:ascii="Palatino Linotype" w:hAnsi="Palatino Linotype" w:cs="Times New Roman"/>
          <w:sz w:val="24"/>
          <w:szCs w:val="24"/>
        </w:rPr>
        <w:t xml:space="preserve"> that were certain to lead to an adjournment</w:t>
      </w:r>
      <w:r w:rsidRPr="00B86922">
        <w:rPr>
          <w:rFonts w:ascii="Palatino Linotype" w:hAnsi="Palatino Linotype" w:cs="Times New Roman"/>
          <w:bCs/>
          <w:sz w:val="24"/>
          <w:szCs w:val="24"/>
          <w:lang w:val="en-US"/>
        </w:rPr>
        <w:t xml:space="preserve">. </w:t>
      </w:r>
      <w:r w:rsidR="00E80329" w:rsidRPr="00B86922">
        <w:rPr>
          <w:rFonts w:ascii="Palatino Linotype" w:hAnsi="Palatino Linotype" w:cs="Times New Roman"/>
          <w:sz w:val="24"/>
          <w:szCs w:val="24"/>
        </w:rPr>
        <w:t>This scheme seemed</w:t>
      </w:r>
      <w:r w:rsidRPr="00B86922">
        <w:rPr>
          <w:rFonts w:ascii="Palatino Linotype" w:hAnsi="Palatino Linotype" w:cs="Times New Roman"/>
          <w:sz w:val="24"/>
          <w:szCs w:val="24"/>
        </w:rPr>
        <w:t xml:space="preserve"> particularly timely given that moves to simplify access to the legal system through the proposed </w:t>
      </w:r>
      <w:r w:rsidR="00B86922">
        <w:rPr>
          <w:rFonts w:ascii="Palatino Linotype" w:hAnsi="Palatino Linotype" w:cs="Times New Roman"/>
          <w:sz w:val="24"/>
          <w:szCs w:val="24"/>
        </w:rPr>
        <w:t>“</w:t>
      </w:r>
      <w:r w:rsidRPr="00B86922">
        <w:rPr>
          <w:rFonts w:ascii="Palatino Linotype" w:hAnsi="Palatino Linotype" w:cs="Times New Roman"/>
          <w:sz w:val="24"/>
          <w:szCs w:val="24"/>
        </w:rPr>
        <w:t>Online Court</w:t>
      </w:r>
      <w:r w:rsidR="00B86922">
        <w:rPr>
          <w:rFonts w:ascii="Palatino Linotype" w:hAnsi="Palatino Linotype" w:cs="Times New Roman"/>
          <w:sz w:val="24"/>
          <w:szCs w:val="24"/>
        </w:rPr>
        <w:t>”</w:t>
      </w:r>
      <w:r w:rsidRPr="00B86922">
        <w:rPr>
          <w:rFonts w:ascii="Palatino Linotype" w:hAnsi="Palatino Linotype" w:cs="Times New Roman"/>
          <w:sz w:val="24"/>
          <w:szCs w:val="24"/>
        </w:rPr>
        <w:t xml:space="preserve"> will not apply to possession hearings</w:t>
      </w:r>
      <w:r w:rsidR="00105480" w:rsidRPr="00B86922">
        <w:rPr>
          <w:rFonts w:ascii="Palatino Linotype" w:hAnsi="Palatino Linotype" w:cs="Times New Roman"/>
          <w:sz w:val="24"/>
          <w:szCs w:val="24"/>
        </w:rPr>
        <w:t>,</w:t>
      </w:r>
      <w:r w:rsidRPr="00B86922">
        <w:rPr>
          <w:rStyle w:val="FootnoteReference"/>
          <w:rFonts w:ascii="Palatino Linotype" w:hAnsi="Palatino Linotype" w:cs="Times New Roman"/>
          <w:iCs/>
          <w:sz w:val="24"/>
          <w:szCs w:val="24"/>
        </w:rPr>
        <w:footnoteReference w:id="10"/>
      </w:r>
      <w:r w:rsidRPr="00B86922">
        <w:rPr>
          <w:rFonts w:ascii="Palatino Linotype" w:hAnsi="Palatino Linotype" w:cs="Times New Roman"/>
          <w:sz w:val="24"/>
          <w:szCs w:val="24"/>
        </w:rPr>
        <w:t xml:space="preserve"> the specialist </w:t>
      </w:r>
      <w:r w:rsidR="00B86922">
        <w:rPr>
          <w:rFonts w:ascii="Palatino Linotype" w:hAnsi="Palatino Linotype" w:cs="Times New Roman"/>
          <w:sz w:val="24"/>
          <w:szCs w:val="24"/>
        </w:rPr>
        <w:t>“</w:t>
      </w:r>
      <w:r w:rsidRPr="00B86922">
        <w:rPr>
          <w:rFonts w:ascii="Palatino Linotype" w:hAnsi="Palatino Linotype" w:cs="Times New Roman"/>
          <w:sz w:val="24"/>
          <w:szCs w:val="24"/>
        </w:rPr>
        <w:t>housing court</w:t>
      </w:r>
      <w:r w:rsidR="00B86922">
        <w:rPr>
          <w:rFonts w:ascii="Palatino Linotype" w:hAnsi="Palatino Linotype" w:cs="Times New Roman"/>
          <w:sz w:val="24"/>
          <w:szCs w:val="24"/>
        </w:rPr>
        <w:t>”</w:t>
      </w:r>
      <w:r w:rsidRPr="00B86922">
        <w:rPr>
          <w:rFonts w:ascii="Palatino Linotype" w:hAnsi="Palatino Linotype" w:cs="Times New Roman"/>
          <w:sz w:val="24"/>
          <w:szCs w:val="24"/>
        </w:rPr>
        <w:t xml:space="preserve"> proposed by the Government is</w:t>
      </w:r>
      <w:r w:rsidR="00151542" w:rsidRPr="00B86922">
        <w:rPr>
          <w:rFonts w:ascii="Palatino Linotype" w:hAnsi="Palatino Linotype" w:cs="Times New Roman"/>
          <w:sz w:val="24"/>
          <w:szCs w:val="24"/>
        </w:rPr>
        <w:t xml:space="preserve"> still</w:t>
      </w:r>
      <w:r w:rsidRPr="00B86922">
        <w:rPr>
          <w:rFonts w:ascii="Palatino Linotype" w:hAnsi="Palatino Linotype" w:cs="Times New Roman"/>
          <w:sz w:val="24"/>
          <w:szCs w:val="24"/>
        </w:rPr>
        <w:t xml:space="preserve"> in the embryonic stage</w:t>
      </w:r>
      <w:r w:rsidR="00151542" w:rsidRPr="00B86922">
        <w:rPr>
          <w:rFonts w:ascii="Palatino Linotype" w:hAnsi="Palatino Linotype" w:cs="Times New Roman"/>
          <w:sz w:val="24"/>
          <w:szCs w:val="24"/>
        </w:rPr>
        <w:t>,</w:t>
      </w:r>
      <w:r w:rsidRPr="00B86922">
        <w:rPr>
          <w:rStyle w:val="FootnoteReference"/>
          <w:rFonts w:ascii="Palatino Linotype" w:hAnsi="Palatino Linotype" w:cs="Times New Roman"/>
          <w:sz w:val="24"/>
          <w:szCs w:val="24"/>
        </w:rPr>
        <w:footnoteReference w:id="11"/>
      </w:r>
      <w:r w:rsidRPr="00B86922">
        <w:rPr>
          <w:rFonts w:ascii="Palatino Linotype" w:hAnsi="Palatino Linotype" w:cs="Times New Roman"/>
          <w:sz w:val="24"/>
          <w:szCs w:val="24"/>
        </w:rPr>
        <w:t xml:space="preserve"> </w:t>
      </w:r>
      <w:r w:rsidR="00105480" w:rsidRPr="00B86922">
        <w:rPr>
          <w:rFonts w:ascii="Palatino Linotype" w:hAnsi="Palatino Linotype" w:cs="Times New Roman"/>
          <w:sz w:val="24"/>
          <w:szCs w:val="24"/>
        </w:rPr>
        <w:t xml:space="preserve">and </w:t>
      </w:r>
      <w:r w:rsidR="00151542" w:rsidRPr="00B86922">
        <w:rPr>
          <w:rFonts w:ascii="Palatino Linotype" w:hAnsi="Palatino Linotype" w:cs="Times New Roman"/>
          <w:sz w:val="24"/>
          <w:szCs w:val="24"/>
        </w:rPr>
        <w:t xml:space="preserve">the </w:t>
      </w:r>
      <w:r w:rsidR="00B86922">
        <w:rPr>
          <w:rFonts w:ascii="Palatino Linotype" w:hAnsi="Palatino Linotype" w:cs="Times New Roman"/>
          <w:sz w:val="24"/>
          <w:szCs w:val="24"/>
        </w:rPr>
        <w:t>“</w:t>
      </w:r>
      <w:r w:rsidR="00470DE8" w:rsidRPr="00B86922">
        <w:rPr>
          <w:rFonts w:ascii="Palatino Linotype" w:hAnsi="Palatino Linotype" w:cs="Times New Roman"/>
          <w:sz w:val="24"/>
          <w:szCs w:val="24"/>
        </w:rPr>
        <w:t>Breathing Space</w:t>
      </w:r>
      <w:r w:rsidR="00B86922">
        <w:rPr>
          <w:rFonts w:ascii="Palatino Linotype" w:hAnsi="Palatino Linotype" w:cs="Times New Roman"/>
          <w:sz w:val="24"/>
          <w:szCs w:val="24"/>
        </w:rPr>
        <w:t>”</w:t>
      </w:r>
      <w:r w:rsidR="00470DE8" w:rsidRPr="00B86922">
        <w:rPr>
          <w:rFonts w:ascii="Palatino Linotype" w:hAnsi="Palatino Linotype" w:cs="Times New Roman"/>
          <w:sz w:val="24"/>
          <w:szCs w:val="24"/>
        </w:rPr>
        <w:t xml:space="preserve"> initiative</w:t>
      </w:r>
      <w:r w:rsidR="00151542" w:rsidRPr="00B86922">
        <w:rPr>
          <w:rFonts w:ascii="Palatino Linotype" w:hAnsi="Palatino Linotype" w:cs="Times New Roman"/>
          <w:sz w:val="24"/>
          <w:szCs w:val="24"/>
        </w:rPr>
        <w:t xml:space="preserve"> </w:t>
      </w:r>
      <w:r w:rsidR="00105480" w:rsidRPr="00B86922">
        <w:rPr>
          <w:rFonts w:ascii="Palatino Linotype" w:hAnsi="Palatino Linotype" w:cs="Times New Roman"/>
          <w:sz w:val="24"/>
          <w:szCs w:val="24"/>
        </w:rPr>
        <w:t>(</w:t>
      </w:r>
      <w:r w:rsidR="00151542" w:rsidRPr="00B86922">
        <w:rPr>
          <w:rFonts w:ascii="Palatino Linotype" w:hAnsi="Palatino Linotype" w:cs="Times New Roman"/>
          <w:sz w:val="24"/>
          <w:szCs w:val="24"/>
        </w:rPr>
        <w:t>designed to give individuals in debt more time to resolve their financial difficulties</w:t>
      </w:r>
      <w:r w:rsidR="00105480" w:rsidRPr="00B86922">
        <w:rPr>
          <w:rFonts w:ascii="Palatino Linotype" w:hAnsi="Palatino Linotype" w:cs="Times New Roman"/>
          <w:sz w:val="24"/>
          <w:szCs w:val="24"/>
        </w:rPr>
        <w:t xml:space="preserve">) will not apply to </w:t>
      </w:r>
      <w:r w:rsidR="004405EA">
        <w:rPr>
          <w:rFonts w:ascii="Palatino Linotype" w:hAnsi="Palatino Linotype" w:cs="Times New Roman"/>
          <w:sz w:val="24"/>
          <w:szCs w:val="24"/>
        </w:rPr>
        <w:t>“</w:t>
      </w:r>
      <w:r w:rsidR="00105480" w:rsidRPr="00B86922">
        <w:rPr>
          <w:rFonts w:ascii="Palatino Linotype" w:hAnsi="Palatino Linotype" w:cs="Times New Roman"/>
          <w:sz w:val="24"/>
          <w:szCs w:val="24"/>
        </w:rPr>
        <w:t>ongoing liabilities</w:t>
      </w:r>
      <w:r w:rsidR="004405EA">
        <w:rPr>
          <w:rFonts w:ascii="Palatino Linotype" w:hAnsi="Palatino Linotype" w:cs="Times New Roman"/>
          <w:sz w:val="24"/>
          <w:szCs w:val="24"/>
        </w:rPr>
        <w:t>”</w:t>
      </w:r>
      <w:r w:rsidR="00105480" w:rsidRPr="00B86922">
        <w:rPr>
          <w:rFonts w:ascii="Palatino Linotype" w:hAnsi="Palatino Linotype" w:cs="Times New Roman"/>
          <w:sz w:val="24"/>
          <w:szCs w:val="24"/>
        </w:rPr>
        <w:t xml:space="preserve"> such as rent or mortgage payments</w:t>
      </w:r>
      <w:r w:rsidR="00151542" w:rsidRPr="00B86922">
        <w:rPr>
          <w:rFonts w:ascii="Palatino Linotype" w:hAnsi="Palatino Linotype" w:cs="Times New Roman"/>
          <w:sz w:val="24"/>
          <w:szCs w:val="24"/>
        </w:rPr>
        <w:t>.</w:t>
      </w:r>
      <w:r w:rsidR="00151542" w:rsidRPr="00B86922">
        <w:rPr>
          <w:rStyle w:val="FootnoteReference"/>
          <w:rFonts w:ascii="Palatino Linotype" w:hAnsi="Palatino Linotype" w:cs="Times New Roman"/>
          <w:sz w:val="24"/>
          <w:szCs w:val="24"/>
        </w:rPr>
        <w:footnoteReference w:id="12"/>
      </w:r>
      <w:r w:rsidR="00151542" w:rsidRPr="00B86922">
        <w:rPr>
          <w:rFonts w:ascii="Palatino Linotype" w:hAnsi="Palatino Linotype" w:cs="Times New Roman"/>
          <w:sz w:val="24"/>
          <w:szCs w:val="24"/>
        </w:rPr>
        <w:t xml:space="preserve"> </w:t>
      </w:r>
      <w:r w:rsidR="003C167F" w:rsidRPr="00B86922">
        <w:rPr>
          <w:rFonts w:ascii="Palatino Linotype" w:hAnsi="Palatino Linotype" w:cs="Times New Roman"/>
          <w:sz w:val="24"/>
          <w:szCs w:val="24"/>
        </w:rPr>
        <w:t xml:space="preserve">Also, with 21.9% of its population </w:t>
      </w:r>
      <w:r w:rsidR="004405EA">
        <w:rPr>
          <w:rFonts w:ascii="Palatino Linotype" w:hAnsi="Palatino Linotype" w:cs="Times New Roman"/>
          <w:sz w:val="24"/>
          <w:szCs w:val="24"/>
        </w:rPr>
        <w:t>“</w:t>
      </w:r>
      <w:r w:rsidR="003C167F" w:rsidRPr="00B86922">
        <w:rPr>
          <w:rFonts w:ascii="Palatino Linotype" w:hAnsi="Palatino Linotype" w:cs="Times New Roman"/>
          <w:sz w:val="24"/>
          <w:szCs w:val="24"/>
        </w:rPr>
        <w:t>struggling with debt</w:t>
      </w:r>
      <w:r w:rsidR="004405EA">
        <w:rPr>
          <w:rFonts w:ascii="Palatino Linotype" w:hAnsi="Palatino Linotype" w:cs="Times New Roman"/>
          <w:sz w:val="24"/>
          <w:szCs w:val="24"/>
        </w:rPr>
        <w:t>”</w:t>
      </w:r>
      <w:r w:rsidR="003C167F" w:rsidRPr="00B86922">
        <w:rPr>
          <w:rFonts w:ascii="Palatino Linotype" w:hAnsi="Palatino Linotype" w:cs="Times New Roman"/>
          <w:sz w:val="24"/>
          <w:szCs w:val="24"/>
        </w:rPr>
        <w:t>,</w:t>
      </w:r>
      <w:r w:rsidR="003C167F" w:rsidRPr="00B86922">
        <w:rPr>
          <w:rStyle w:val="FootnoteReference"/>
          <w:rFonts w:ascii="Palatino Linotype" w:hAnsi="Palatino Linotype" w:cs="Times New Roman"/>
          <w:sz w:val="24"/>
          <w:szCs w:val="24"/>
        </w:rPr>
        <w:footnoteReference w:id="13"/>
      </w:r>
      <w:r w:rsidR="003C167F" w:rsidRPr="00B86922">
        <w:rPr>
          <w:rFonts w:ascii="Palatino Linotype" w:hAnsi="Palatino Linotype" w:cs="Times New Roman"/>
          <w:sz w:val="24"/>
          <w:szCs w:val="24"/>
        </w:rPr>
        <w:t xml:space="preserve"> the recent and continuing closure of advice providers such as the Community Legal Advice Centre (which closed in March 2013),</w:t>
      </w:r>
      <w:r w:rsidR="003C167F" w:rsidRPr="00B86922">
        <w:rPr>
          <w:rStyle w:val="FootnoteReference"/>
          <w:rFonts w:ascii="Palatino Linotype" w:hAnsi="Palatino Linotype" w:cs="Times New Roman"/>
          <w:sz w:val="24"/>
          <w:szCs w:val="24"/>
        </w:rPr>
        <w:footnoteReference w:id="14"/>
      </w:r>
      <w:r w:rsidR="003C167F" w:rsidRPr="00B86922">
        <w:rPr>
          <w:rFonts w:ascii="Palatino Linotype" w:hAnsi="Palatino Linotype" w:cs="Times New Roman"/>
          <w:sz w:val="24"/>
          <w:szCs w:val="24"/>
        </w:rPr>
        <w:t xml:space="preserve"> and the roll out of Universal Credit, Hull </w:t>
      </w:r>
      <w:r w:rsidR="008F0E39" w:rsidRPr="00B86922">
        <w:rPr>
          <w:rFonts w:ascii="Palatino Linotype" w:hAnsi="Palatino Linotype" w:cs="Times New Roman"/>
          <w:sz w:val="24"/>
          <w:szCs w:val="24"/>
        </w:rPr>
        <w:t>seemed</w:t>
      </w:r>
      <w:r w:rsidR="003C167F" w:rsidRPr="00B86922">
        <w:rPr>
          <w:rFonts w:ascii="Palatino Linotype" w:hAnsi="Palatino Linotype" w:cs="Times New Roman"/>
          <w:sz w:val="24"/>
          <w:szCs w:val="24"/>
        </w:rPr>
        <w:t xml:space="preserve"> a particularly apt locality for this project.</w:t>
      </w:r>
    </w:p>
    <w:p w14:paraId="2A180569" w14:textId="77777777" w:rsidR="003C67AD" w:rsidRPr="00B86922" w:rsidRDefault="003C67AD" w:rsidP="00B86922">
      <w:pPr>
        <w:spacing w:after="120" w:line="480" w:lineRule="auto"/>
        <w:jc w:val="both"/>
        <w:rPr>
          <w:rFonts w:ascii="Palatino Linotype" w:hAnsi="Palatino Linotype" w:cs="Times New Roman"/>
          <w:sz w:val="24"/>
          <w:szCs w:val="24"/>
        </w:rPr>
      </w:pPr>
    </w:p>
    <w:p w14:paraId="769462DC" w14:textId="4708DFB3" w:rsidR="004B20BC" w:rsidRPr="00B86922" w:rsidRDefault="000B0737"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In offering evidence of the potential for CLE initiatives to serve not only the interests of students and the public but also researchers, t</w:t>
      </w:r>
      <w:r w:rsidR="004B20BC" w:rsidRPr="00B86922">
        <w:rPr>
          <w:rFonts w:ascii="Palatino Linotype" w:hAnsi="Palatino Linotype" w:cs="Times New Roman"/>
          <w:sz w:val="24"/>
          <w:szCs w:val="24"/>
        </w:rPr>
        <w:t xml:space="preserve">his </w:t>
      </w:r>
      <w:r w:rsidR="00257198" w:rsidRPr="00B86922">
        <w:rPr>
          <w:rFonts w:ascii="Palatino Linotype" w:hAnsi="Palatino Linotype" w:cs="Times New Roman"/>
          <w:sz w:val="24"/>
          <w:szCs w:val="24"/>
        </w:rPr>
        <w:t>article</w:t>
      </w:r>
      <w:r w:rsidR="004B20BC" w:rsidRPr="00B86922">
        <w:rPr>
          <w:rFonts w:ascii="Palatino Linotype" w:hAnsi="Palatino Linotype" w:cs="Times New Roman"/>
          <w:sz w:val="24"/>
          <w:szCs w:val="24"/>
        </w:rPr>
        <w:t xml:space="preserve"> begin</w:t>
      </w:r>
      <w:r w:rsidR="003C167F" w:rsidRPr="00B86922">
        <w:rPr>
          <w:rFonts w:ascii="Palatino Linotype" w:hAnsi="Palatino Linotype" w:cs="Times New Roman"/>
          <w:sz w:val="24"/>
          <w:szCs w:val="24"/>
        </w:rPr>
        <w:t>s</w:t>
      </w:r>
      <w:r w:rsidR="004B20BC" w:rsidRPr="00B86922">
        <w:rPr>
          <w:rFonts w:ascii="Palatino Linotype" w:hAnsi="Palatino Linotype" w:cs="Times New Roman"/>
          <w:sz w:val="24"/>
          <w:szCs w:val="24"/>
        </w:rPr>
        <w:t xml:space="preserve"> by establishing the </w:t>
      </w:r>
      <w:r w:rsidR="00C14395" w:rsidRPr="00B86922">
        <w:rPr>
          <w:rFonts w:ascii="Palatino Linotype" w:hAnsi="Palatino Linotype" w:cs="Times New Roman"/>
          <w:sz w:val="24"/>
          <w:szCs w:val="24"/>
        </w:rPr>
        <w:t xml:space="preserve">context of the project and how my previous research identified issues within housing possession cases that could potentially be ‘solved’ through the introduction of a CLE scheme. This is followed by a chronological exposition of the </w:t>
      </w:r>
      <w:r w:rsidR="004B20BC" w:rsidRPr="00B86922">
        <w:rPr>
          <w:rFonts w:ascii="Palatino Linotype" w:hAnsi="Palatino Linotype" w:cs="Times New Roman"/>
          <w:sz w:val="24"/>
          <w:szCs w:val="24"/>
        </w:rPr>
        <w:t>background, aims and methodology of the project</w:t>
      </w:r>
      <w:r w:rsidR="00C14395" w:rsidRPr="00B86922">
        <w:rPr>
          <w:rFonts w:ascii="Palatino Linotype" w:hAnsi="Palatino Linotype" w:cs="Times New Roman"/>
          <w:sz w:val="24"/>
          <w:szCs w:val="24"/>
        </w:rPr>
        <w:t xml:space="preserve"> and</w:t>
      </w:r>
      <w:r w:rsidR="004B20BC" w:rsidRPr="00B86922">
        <w:rPr>
          <w:rFonts w:ascii="Palatino Linotype" w:hAnsi="Palatino Linotype" w:cs="Times New Roman"/>
          <w:sz w:val="24"/>
          <w:szCs w:val="24"/>
        </w:rPr>
        <w:t xml:space="preserve"> the progress made to date</w:t>
      </w:r>
      <w:r w:rsidR="00C14395" w:rsidRPr="00B86922">
        <w:rPr>
          <w:rFonts w:ascii="Palatino Linotype" w:hAnsi="Palatino Linotype" w:cs="Times New Roman"/>
          <w:sz w:val="24"/>
          <w:szCs w:val="24"/>
        </w:rPr>
        <w:t>. In particular, it focuses on</w:t>
      </w:r>
      <w:r w:rsidR="004B20BC" w:rsidRPr="00B86922">
        <w:rPr>
          <w:rFonts w:ascii="Palatino Linotype" w:hAnsi="Palatino Linotype" w:cs="Times New Roman"/>
          <w:sz w:val="24"/>
          <w:szCs w:val="24"/>
        </w:rPr>
        <w:t xml:space="preserve"> how the information ga</w:t>
      </w:r>
      <w:r w:rsidR="00AF269D" w:rsidRPr="00B86922">
        <w:rPr>
          <w:rFonts w:ascii="Palatino Linotype" w:hAnsi="Palatino Linotype" w:cs="Times New Roman"/>
          <w:sz w:val="24"/>
          <w:szCs w:val="24"/>
        </w:rPr>
        <w:t>thered during the initial stages of the project</w:t>
      </w:r>
      <w:r w:rsidR="00D3767D" w:rsidRPr="00B86922">
        <w:rPr>
          <w:rFonts w:ascii="Palatino Linotype" w:hAnsi="Palatino Linotype" w:cs="Times New Roman"/>
          <w:sz w:val="24"/>
          <w:szCs w:val="24"/>
        </w:rPr>
        <w:t xml:space="preserve"> impacted on</w:t>
      </w:r>
      <w:r w:rsidR="004B20BC" w:rsidRPr="00B86922">
        <w:rPr>
          <w:rFonts w:ascii="Palatino Linotype" w:hAnsi="Palatino Linotype" w:cs="Times New Roman"/>
          <w:sz w:val="24"/>
          <w:szCs w:val="24"/>
        </w:rPr>
        <w:t xml:space="preserve"> thoughts regarding the viability and potential usefulness of the CLEAR.</w:t>
      </w:r>
      <w:r w:rsidR="00C14395" w:rsidRPr="00B86922">
        <w:rPr>
          <w:rFonts w:ascii="Palatino Linotype" w:hAnsi="Palatino Linotype" w:cs="Times New Roman"/>
          <w:sz w:val="24"/>
          <w:szCs w:val="24"/>
        </w:rPr>
        <w:t xml:space="preserve"> The article concludes by arguing that CLE </w:t>
      </w:r>
      <w:r w:rsidR="007D39B1" w:rsidRPr="00B86922">
        <w:rPr>
          <w:rFonts w:ascii="Palatino Linotype" w:hAnsi="Palatino Linotype" w:cs="Times New Roman"/>
          <w:sz w:val="24"/>
          <w:szCs w:val="24"/>
        </w:rPr>
        <w:t>should no longer be viewed as a largely non-research</w:t>
      </w:r>
      <w:r w:rsidR="00BC7287">
        <w:rPr>
          <w:rFonts w:ascii="Palatino Linotype" w:hAnsi="Palatino Linotype" w:cs="Times New Roman"/>
          <w:sz w:val="24"/>
          <w:szCs w:val="24"/>
        </w:rPr>
        <w:t xml:space="preserve"> </w:t>
      </w:r>
      <w:r w:rsidR="007D39B1" w:rsidRPr="00B86922">
        <w:rPr>
          <w:rFonts w:ascii="Palatino Linotype" w:hAnsi="Palatino Linotype" w:cs="Times New Roman"/>
          <w:sz w:val="24"/>
          <w:szCs w:val="24"/>
        </w:rPr>
        <w:t>based activity but rather as the means by which we can generate substantial and significant research data.</w:t>
      </w:r>
    </w:p>
    <w:p w14:paraId="35A18A55" w14:textId="77777777" w:rsidR="004405EA" w:rsidRDefault="004405EA" w:rsidP="00B86922">
      <w:pPr>
        <w:spacing w:before="240" w:after="240" w:line="480" w:lineRule="auto"/>
        <w:jc w:val="both"/>
        <w:rPr>
          <w:rFonts w:ascii="Palatino Linotype" w:hAnsi="Palatino Linotype" w:cs="Times New Roman"/>
          <w:sz w:val="24"/>
          <w:szCs w:val="24"/>
        </w:rPr>
      </w:pPr>
    </w:p>
    <w:p w14:paraId="1144B4D3" w14:textId="77777777" w:rsidR="00203AFB" w:rsidRPr="001B49ED" w:rsidRDefault="009C28A2" w:rsidP="004405EA">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The ‘problem’</w:t>
      </w:r>
      <w:r w:rsidR="00942142" w:rsidRPr="001B49ED">
        <w:rPr>
          <w:rFonts w:ascii="Palatino Linotype" w:hAnsi="Palatino Linotype" w:cs="Times New Roman"/>
          <w:b/>
          <w:caps/>
          <w:sz w:val="24"/>
          <w:szCs w:val="24"/>
        </w:rPr>
        <w:t xml:space="preserve"> – information deficits</w:t>
      </w:r>
      <w:r w:rsidR="00EA2796" w:rsidRPr="001B49ED">
        <w:rPr>
          <w:rFonts w:ascii="Palatino Linotype" w:hAnsi="Palatino Linotype" w:cs="Times New Roman"/>
          <w:b/>
          <w:caps/>
          <w:sz w:val="24"/>
          <w:szCs w:val="24"/>
        </w:rPr>
        <w:t xml:space="preserve"> in housing possession cases</w:t>
      </w:r>
    </w:p>
    <w:p w14:paraId="13D9C33E" w14:textId="77777777" w:rsidR="004405EA" w:rsidRPr="001B49ED" w:rsidRDefault="002214B7" w:rsidP="004405EA">
      <w:pPr>
        <w:spacing w:after="240" w:line="480" w:lineRule="auto"/>
        <w:jc w:val="both"/>
        <w:rPr>
          <w:rFonts w:ascii="Palatino Linotype" w:hAnsi="Palatino Linotype" w:cs="Times New Roman"/>
          <w:b/>
          <w:bCs/>
          <w:sz w:val="24"/>
          <w:szCs w:val="24"/>
        </w:rPr>
      </w:pPr>
      <w:r w:rsidRPr="001B49ED">
        <w:rPr>
          <w:rFonts w:ascii="Palatino Linotype" w:hAnsi="Palatino Linotype" w:cs="Times New Roman"/>
          <w:b/>
          <w:bCs/>
          <w:sz w:val="24"/>
          <w:szCs w:val="24"/>
        </w:rPr>
        <w:t>A summary of the legal process of housing possessio</w:t>
      </w:r>
      <w:r w:rsidR="004405EA" w:rsidRPr="001B49ED">
        <w:rPr>
          <w:rFonts w:ascii="Palatino Linotype" w:hAnsi="Palatino Linotype" w:cs="Times New Roman"/>
          <w:b/>
          <w:bCs/>
          <w:sz w:val="24"/>
          <w:szCs w:val="24"/>
        </w:rPr>
        <w:t>n</w:t>
      </w:r>
    </w:p>
    <w:p w14:paraId="2423EB08" w14:textId="77777777" w:rsidR="002E27B8" w:rsidRPr="00B86922" w:rsidRDefault="0066035F" w:rsidP="004405EA">
      <w:pPr>
        <w:spacing w:after="24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In 2018</w:t>
      </w:r>
      <w:r w:rsidR="005073F8" w:rsidRPr="00B86922">
        <w:rPr>
          <w:rFonts w:ascii="Palatino Linotype" w:hAnsi="Palatino Linotype" w:cs="Times New Roman"/>
          <w:bCs/>
          <w:sz w:val="24"/>
          <w:szCs w:val="24"/>
        </w:rPr>
        <w:t xml:space="preserve"> there were</w:t>
      </w:r>
      <w:r w:rsidR="00CE026B"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lang w:val="en-AU"/>
        </w:rPr>
        <w:t xml:space="preserve">19,508 </w:t>
      </w:r>
      <w:r w:rsidR="005073F8" w:rsidRPr="00B86922">
        <w:rPr>
          <w:rFonts w:ascii="Palatino Linotype" w:hAnsi="Palatino Linotype" w:cs="Times New Roman"/>
          <w:bCs/>
          <w:sz w:val="24"/>
          <w:szCs w:val="24"/>
        </w:rPr>
        <w:t xml:space="preserve">claims for possession issued by mortgagees, </w:t>
      </w:r>
      <w:r w:rsidRPr="00B86922">
        <w:rPr>
          <w:rFonts w:ascii="Palatino Linotype" w:hAnsi="Palatino Linotype" w:cs="Times New Roman"/>
          <w:bCs/>
          <w:sz w:val="24"/>
          <w:szCs w:val="24"/>
        </w:rPr>
        <w:t xml:space="preserve">23,422 </w:t>
      </w:r>
      <w:r w:rsidR="005073F8" w:rsidRPr="00B86922">
        <w:rPr>
          <w:rFonts w:ascii="Palatino Linotype" w:hAnsi="Palatino Linotype" w:cs="Times New Roman"/>
          <w:bCs/>
          <w:sz w:val="24"/>
          <w:szCs w:val="24"/>
        </w:rPr>
        <w:t xml:space="preserve">by private landlords and </w:t>
      </w:r>
      <w:r w:rsidRPr="00B86922">
        <w:rPr>
          <w:rFonts w:ascii="Palatino Linotype" w:hAnsi="Palatino Linotype" w:cs="Times New Roman"/>
          <w:bCs/>
          <w:sz w:val="24"/>
          <w:szCs w:val="24"/>
        </w:rPr>
        <w:t xml:space="preserve">74,980 </w:t>
      </w:r>
      <w:r w:rsidR="005073F8" w:rsidRPr="00B86922">
        <w:rPr>
          <w:rFonts w:ascii="Palatino Linotype" w:hAnsi="Palatino Linotype" w:cs="Times New Roman"/>
          <w:bCs/>
          <w:sz w:val="24"/>
          <w:szCs w:val="24"/>
        </w:rPr>
        <w:t>by social landlords</w:t>
      </w:r>
      <w:r w:rsidR="002214B7" w:rsidRPr="00B86922">
        <w:rPr>
          <w:rFonts w:ascii="Palatino Linotype" w:hAnsi="Palatino Linotype" w:cs="Times New Roman"/>
          <w:bCs/>
          <w:sz w:val="24"/>
          <w:szCs w:val="24"/>
        </w:rPr>
        <w:t xml:space="preserve"> in England and Wales</w:t>
      </w:r>
      <w:r w:rsidR="005073F8" w:rsidRPr="00B86922">
        <w:rPr>
          <w:rFonts w:ascii="Palatino Linotype" w:hAnsi="Palatino Linotype" w:cs="Times New Roman"/>
          <w:bCs/>
          <w:sz w:val="24"/>
          <w:szCs w:val="24"/>
        </w:rPr>
        <w:t>.</w:t>
      </w:r>
      <w:r w:rsidR="005073F8" w:rsidRPr="00B86922">
        <w:rPr>
          <w:rStyle w:val="FootnoteReference"/>
          <w:rFonts w:ascii="Palatino Linotype" w:hAnsi="Palatino Linotype" w:cs="Times New Roman"/>
          <w:bCs/>
          <w:sz w:val="24"/>
          <w:szCs w:val="24"/>
        </w:rPr>
        <w:footnoteReference w:id="15"/>
      </w:r>
      <w:r w:rsidR="005073F8" w:rsidRPr="00B86922">
        <w:rPr>
          <w:rFonts w:ascii="Palatino Linotype" w:hAnsi="Palatino Linotype" w:cs="Times New Roman"/>
          <w:bCs/>
          <w:sz w:val="24"/>
          <w:szCs w:val="24"/>
        </w:rPr>
        <w:t xml:space="preserve"> </w:t>
      </w:r>
      <w:r w:rsidR="001E4B82" w:rsidRPr="00B86922">
        <w:rPr>
          <w:rFonts w:ascii="Palatino Linotype" w:hAnsi="Palatino Linotype" w:cs="Times New Roman"/>
          <w:bCs/>
          <w:sz w:val="24"/>
          <w:szCs w:val="24"/>
        </w:rPr>
        <w:t>While possession may be sought for a number of reasons, the vast majorit</w:t>
      </w:r>
      <w:r w:rsidR="00BF0071" w:rsidRPr="00B86922">
        <w:rPr>
          <w:rFonts w:ascii="Palatino Linotype" w:hAnsi="Palatino Linotype" w:cs="Times New Roman"/>
          <w:bCs/>
          <w:sz w:val="24"/>
          <w:szCs w:val="24"/>
        </w:rPr>
        <w:t xml:space="preserve">y of these cases will arise as a result of </w:t>
      </w:r>
      <w:r w:rsidR="001E4B82" w:rsidRPr="00B86922">
        <w:rPr>
          <w:rFonts w:ascii="Palatino Linotype" w:hAnsi="Palatino Linotype" w:cs="Times New Roman"/>
          <w:bCs/>
          <w:sz w:val="24"/>
          <w:szCs w:val="24"/>
        </w:rPr>
        <w:t>missed mortgage or rent payments.</w:t>
      </w:r>
      <w:r w:rsidR="001E4B82" w:rsidRPr="00B86922">
        <w:rPr>
          <w:rFonts w:ascii="Palatino Linotype" w:hAnsi="Palatino Linotype" w:cs="Times New Roman"/>
          <w:bCs/>
          <w:sz w:val="24"/>
          <w:szCs w:val="24"/>
          <w:vertAlign w:val="superscript"/>
        </w:rPr>
        <w:footnoteReference w:id="16"/>
      </w:r>
      <w:r w:rsidR="001E4B82" w:rsidRPr="00B86922">
        <w:rPr>
          <w:rFonts w:ascii="Palatino Linotype" w:hAnsi="Palatino Linotype" w:cs="Times New Roman"/>
          <w:bCs/>
          <w:sz w:val="24"/>
          <w:szCs w:val="24"/>
        </w:rPr>
        <w:t xml:space="preserve"> The procedures and rules that apply to these cases vary depending on the type of claimant involved. </w:t>
      </w:r>
      <w:r w:rsidR="002E27B8" w:rsidRPr="00B86922">
        <w:rPr>
          <w:rFonts w:ascii="Palatino Linotype" w:hAnsi="Palatino Linotype" w:cs="Times New Roman"/>
          <w:sz w:val="24"/>
          <w:szCs w:val="24"/>
        </w:rPr>
        <w:t xml:space="preserve">When a mortgagee is seeking possession, </w:t>
      </w:r>
      <w:r w:rsidR="001E4B82" w:rsidRPr="00B86922">
        <w:rPr>
          <w:rFonts w:ascii="Palatino Linotype" w:hAnsi="Palatino Linotype" w:cs="Times New Roman"/>
          <w:sz w:val="24"/>
          <w:szCs w:val="24"/>
        </w:rPr>
        <w:t>which they must now do via a court order,</w:t>
      </w:r>
      <w:r w:rsidR="001E4B82" w:rsidRPr="00B86922">
        <w:rPr>
          <w:rStyle w:val="FootnoteReference"/>
          <w:rFonts w:ascii="Palatino Linotype" w:hAnsi="Palatino Linotype" w:cs="Times New Roman"/>
          <w:sz w:val="24"/>
          <w:szCs w:val="24"/>
        </w:rPr>
        <w:footnoteReference w:id="17"/>
      </w:r>
      <w:r w:rsidR="001E4B82" w:rsidRPr="00B86922">
        <w:rPr>
          <w:rFonts w:ascii="Palatino Linotype" w:hAnsi="Palatino Linotype" w:cs="Times New Roman"/>
          <w:sz w:val="24"/>
          <w:szCs w:val="24"/>
        </w:rPr>
        <w:t xml:space="preserve"> </w:t>
      </w:r>
      <w:r w:rsidR="002E27B8" w:rsidRPr="00B86922">
        <w:rPr>
          <w:rFonts w:ascii="Palatino Linotype" w:hAnsi="Palatino Linotype" w:cs="Times New Roman"/>
          <w:sz w:val="24"/>
          <w:szCs w:val="24"/>
        </w:rPr>
        <w:t>the court may adjourn, suspend or postpone possession if the mortgagor is likely to be able to pay any sums due under the mortgage within a reasonable period.</w:t>
      </w:r>
      <w:r w:rsidR="002E27B8" w:rsidRPr="00B86922">
        <w:rPr>
          <w:rFonts w:ascii="Palatino Linotype" w:hAnsi="Palatino Linotype" w:cs="Times New Roman"/>
          <w:sz w:val="24"/>
          <w:szCs w:val="24"/>
          <w:vertAlign w:val="superscript"/>
        </w:rPr>
        <w:footnoteReference w:id="18"/>
      </w:r>
      <w:r w:rsidR="002E27B8" w:rsidRPr="00B86922">
        <w:rPr>
          <w:rFonts w:ascii="Palatino Linotype" w:hAnsi="Palatino Linotype" w:cs="Times New Roman"/>
          <w:sz w:val="24"/>
          <w:szCs w:val="24"/>
        </w:rPr>
        <w:t xml:space="preserve"> If not, immediate possession must be ordered, which means possession </w:t>
      </w:r>
      <w:r w:rsidR="003B69E5" w:rsidRPr="00B86922">
        <w:rPr>
          <w:rFonts w:ascii="Palatino Linotype" w:hAnsi="Palatino Linotype" w:cs="Times New Roman"/>
          <w:sz w:val="24"/>
          <w:szCs w:val="24"/>
        </w:rPr>
        <w:t xml:space="preserve">typically </w:t>
      </w:r>
      <w:r w:rsidR="002E27B8" w:rsidRPr="00B86922">
        <w:rPr>
          <w:rFonts w:ascii="Palatino Linotype" w:hAnsi="Palatino Linotype" w:cs="Times New Roman"/>
          <w:sz w:val="24"/>
          <w:szCs w:val="24"/>
        </w:rPr>
        <w:t xml:space="preserve">within 28 days. </w:t>
      </w:r>
    </w:p>
    <w:p w14:paraId="10FC4CA7" w14:textId="77777777" w:rsidR="00203AFB" w:rsidRPr="00B86922" w:rsidRDefault="00203AFB" w:rsidP="00B86922">
      <w:pPr>
        <w:spacing w:after="120" w:line="480" w:lineRule="auto"/>
        <w:jc w:val="both"/>
        <w:rPr>
          <w:rFonts w:ascii="Palatino Linotype" w:hAnsi="Palatino Linotype" w:cs="Times New Roman"/>
          <w:sz w:val="24"/>
          <w:szCs w:val="24"/>
        </w:rPr>
      </w:pPr>
    </w:p>
    <w:p w14:paraId="3A1565BB" w14:textId="77777777" w:rsidR="00F80414" w:rsidRPr="00B86922" w:rsidRDefault="003B69E5"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If the claimant is a social landlord then </w:t>
      </w:r>
      <w:r w:rsidR="00CE026B" w:rsidRPr="00B86922">
        <w:rPr>
          <w:rFonts w:ascii="Palatino Linotype" w:hAnsi="Palatino Linotype" w:cs="Times New Roman"/>
          <w:bCs/>
          <w:sz w:val="24"/>
          <w:szCs w:val="24"/>
        </w:rPr>
        <w:t xml:space="preserve">the court </w:t>
      </w:r>
      <w:r w:rsidRPr="00B86922">
        <w:rPr>
          <w:rFonts w:ascii="Palatino Linotype" w:hAnsi="Palatino Linotype" w:cs="Times New Roman"/>
          <w:bCs/>
          <w:sz w:val="24"/>
          <w:szCs w:val="24"/>
        </w:rPr>
        <w:t xml:space="preserve">has </w:t>
      </w:r>
      <w:r w:rsidR="00CE026B" w:rsidRPr="00B86922">
        <w:rPr>
          <w:rFonts w:ascii="Palatino Linotype" w:hAnsi="Palatino Linotype" w:cs="Times New Roman"/>
          <w:bCs/>
          <w:sz w:val="24"/>
          <w:szCs w:val="24"/>
        </w:rPr>
        <w:t xml:space="preserve">discretion to make an order for possession </w:t>
      </w:r>
      <w:r w:rsidR="0041339F">
        <w:rPr>
          <w:rFonts w:ascii="Palatino Linotype" w:hAnsi="Palatino Linotype" w:cs="Times New Roman"/>
          <w:bCs/>
          <w:sz w:val="24"/>
          <w:szCs w:val="24"/>
        </w:rPr>
        <w:t>“</w:t>
      </w:r>
      <w:r w:rsidR="00CE026B" w:rsidRPr="00B86922">
        <w:rPr>
          <w:rFonts w:ascii="Palatino Linotype" w:hAnsi="Palatino Linotype" w:cs="Times New Roman"/>
          <w:bCs/>
          <w:sz w:val="24"/>
          <w:szCs w:val="24"/>
        </w:rPr>
        <w:t>if it considers it reasonable</w:t>
      </w:r>
      <w:r w:rsidR="0041339F">
        <w:rPr>
          <w:rFonts w:ascii="Palatino Linotype" w:hAnsi="Palatino Linotype" w:cs="Times New Roman"/>
          <w:bCs/>
          <w:sz w:val="24"/>
          <w:szCs w:val="24"/>
        </w:rPr>
        <w:t>”,</w:t>
      </w:r>
      <w:r w:rsidR="00CE026B" w:rsidRPr="00B86922">
        <w:rPr>
          <w:rFonts w:ascii="Palatino Linotype" w:hAnsi="Palatino Linotype" w:cs="Times New Roman"/>
          <w:bCs/>
          <w:sz w:val="24"/>
          <w:szCs w:val="24"/>
        </w:rPr>
        <w:t xml:space="preserve"> provided there is unpaid rent</w:t>
      </w:r>
      <w:r w:rsidRPr="00B86922">
        <w:rPr>
          <w:rFonts w:ascii="Palatino Linotype" w:hAnsi="Palatino Linotype" w:cs="Times New Roman"/>
          <w:bCs/>
          <w:sz w:val="24"/>
          <w:szCs w:val="24"/>
        </w:rPr>
        <w:t>,</w:t>
      </w:r>
      <w:r w:rsidR="00CE026B" w:rsidRPr="00B86922">
        <w:rPr>
          <w:rFonts w:ascii="Palatino Linotype" w:hAnsi="Palatino Linotype" w:cs="Times New Roman"/>
          <w:bCs/>
          <w:sz w:val="24"/>
          <w:szCs w:val="24"/>
          <w:vertAlign w:val="superscript"/>
        </w:rPr>
        <w:footnoteReference w:id="19"/>
      </w:r>
      <w:r w:rsidR="00CE026B" w:rsidRPr="00B86922">
        <w:rPr>
          <w:rFonts w:ascii="Palatino Linotype" w:hAnsi="Palatino Linotype" w:cs="Times New Roman"/>
          <w:sz w:val="24"/>
          <w:szCs w:val="24"/>
        </w:rPr>
        <w:t xml:space="preserve"> or (for housing associations) if </w:t>
      </w:r>
      <w:r w:rsidR="0041339F">
        <w:rPr>
          <w:rFonts w:ascii="Palatino Linotype" w:hAnsi="Palatino Linotype" w:cs="Times New Roman"/>
          <w:sz w:val="24"/>
          <w:szCs w:val="24"/>
        </w:rPr>
        <w:t>“so</w:t>
      </w:r>
      <w:r w:rsidR="00CE026B" w:rsidRPr="00B86922">
        <w:rPr>
          <w:rFonts w:ascii="Palatino Linotype" w:hAnsi="Palatino Linotype" w:cs="Times New Roman"/>
          <w:sz w:val="24"/>
          <w:szCs w:val="24"/>
        </w:rPr>
        <w:t>me rent lawfully due is unpaid</w:t>
      </w:r>
      <w:r w:rsidR="0041339F">
        <w:rPr>
          <w:rFonts w:ascii="Palatino Linotype" w:hAnsi="Palatino Linotype" w:cs="Times New Roman"/>
          <w:sz w:val="24"/>
          <w:szCs w:val="24"/>
        </w:rPr>
        <w:t>”</w:t>
      </w:r>
      <w:r w:rsidR="00CE026B" w:rsidRPr="00B86922">
        <w:rPr>
          <w:rFonts w:ascii="Palatino Linotype" w:hAnsi="Palatino Linotype" w:cs="Times New Roman"/>
          <w:sz w:val="24"/>
          <w:szCs w:val="24"/>
        </w:rPr>
        <w:t xml:space="preserve"> or </w:t>
      </w:r>
      <w:r w:rsidR="0041339F">
        <w:rPr>
          <w:rFonts w:ascii="Palatino Linotype" w:hAnsi="Palatino Linotype" w:cs="Times New Roman"/>
          <w:sz w:val="24"/>
          <w:szCs w:val="24"/>
        </w:rPr>
        <w:t>“</w:t>
      </w:r>
      <w:r w:rsidR="00CE026B" w:rsidRPr="00B86922">
        <w:rPr>
          <w:rFonts w:ascii="Palatino Linotype" w:hAnsi="Palatino Linotype" w:cs="Times New Roman"/>
          <w:sz w:val="24"/>
          <w:szCs w:val="24"/>
        </w:rPr>
        <w:t>the tenant has persistently delayed paying rent</w:t>
      </w:r>
      <w:r w:rsidR="0041339F">
        <w:rPr>
          <w:rFonts w:ascii="Palatino Linotype" w:hAnsi="Palatino Linotype" w:cs="Times New Roman"/>
          <w:sz w:val="24"/>
          <w:szCs w:val="24"/>
        </w:rPr>
        <w:t>”</w:t>
      </w:r>
      <w:r w:rsidR="00CE026B" w:rsidRPr="00B86922">
        <w:rPr>
          <w:rFonts w:ascii="Palatino Linotype" w:hAnsi="Palatino Linotype" w:cs="Times New Roman"/>
          <w:sz w:val="24"/>
          <w:szCs w:val="24"/>
        </w:rPr>
        <w:t>.</w:t>
      </w:r>
      <w:r w:rsidR="00CE026B" w:rsidRPr="00B86922">
        <w:rPr>
          <w:rFonts w:ascii="Palatino Linotype" w:hAnsi="Palatino Linotype" w:cs="Times New Roman"/>
          <w:sz w:val="24"/>
          <w:szCs w:val="24"/>
          <w:vertAlign w:val="superscript"/>
        </w:rPr>
        <w:footnoteReference w:id="20"/>
      </w:r>
      <w:r w:rsidR="00CE026B" w:rsidRPr="00B86922">
        <w:rPr>
          <w:rFonts w:ascii="Palatino Linotype" w:hAnsi="Palatino Linotype" w:cs="Times New Roman"/>
          <w:sz w:val="24"/>
          <w:szCs w:val="24"/>
        </w:rPr>
        <w:t xml:space="preserve"> </w:t>
      </w:r>
      <w:r w:rsidRPr="00B86922">
        <w:rPr>
          <w:rFonts w:ascii="Palatino Linotype" w:hAnsi="Palatino Linotype" w:cs="Times New Roman"/>
          <w:bCs/>
          <w:sz w:val="24"/>
          <w:szCs w:val="24"/>
        </w:rPr>
        <w:t>I</w:t>
      </w:r>
      <w:r w:rsidRPr="00B86922">
        <w:rPr>
          <w:rFonts w:ascii="Palatino Linotype" w:hAnsi="Palatino Linotype" w:cs="Times New Roman"/>
          <w:bCs/>
          <w:sz w:val="24"/>
          <w:szCs w:val="24"/>
          <w:lang w:val="en-US"/>
        </w:rPr>
        <w:t>f the judge decides that possession may be appropriate there is also discretion as to whether to order outright possession or to postpone or suspend it, and, if so, upon what terms.</w:t>
      </w:r>
      <w:r w:rsidRPr="00B86922">
        <w:rPr>
          <w:rFonts w:ascii="Palatino Linotype" w:hAnsi="Palatino Linotype" w:cs="Times New Roman"/>
          <w:bCs/>
          <w:sz w:val="24"/>
          <w:szCs w:val="24"/>
          <w:vertAlign w:val="superscript"/>
          <w:lang w:val="en-US"/>
        </w:rPr>
        <w:footnoteReference w:id="21"/>
      </w:r>
      <w:r w:rsidRPr="00B86922">
        <w:rPr>
          <w:rFonts w:ascii="Palatino Linotype" w:hAnsi="Palatino Linotype" w:cs="Times New Roman"/>
          <w:bCs/>
          <w:sz w:val="24"/>
          <w:szCs w:val="24"/>
          <w:lang w:val="en-US"/>
        </w:rPr>
        <w:t xml:space="preserve"> </w:t>
      </w:r>
      <w:r w:rsidR="000C285C" w:rsidRPr="00B86922">
        <w:rPr>
          <w:rFonts w:ascii="Palatino Linotype" w:hAnsi="Palatino Linotype" w:cs="Times New Roman"/>
          <w:bCs/>
          <w:sz w:val="24"/>
          <w:szCs w:val="24"/>
        </w:rPr>
        <w:t>Housing Associations can claim possession under a mandatory ground if there are at least eight weeks rent arrears,</w:t>
      </w:r>
      <w:r w:rsidR="000C285C" w:rsidRPr="00B86922">
        <w:rPr>
          <w:rFonts w:ascii="Palatino Linotype" w:hAnsi="Palatino Linotype" w:cs="Times New Roman"/>
          <w:bCs/>
          <w:sz w:val="24"/>
          <w:szCs w:val="24"/>
          <w:vertAlign w:val="superscript"/>
        </w:rPr>
        <w:footnoteReference w:id="22"/>
      </w:r>
      <w:r w:rsidR="000C285C" w:rsidRPr="00B86922">
        <w:rPr>
          <w:rFonts w:ascii="Palatino Linotype" w:hAnsi="Palatino Linotype" w:cs="Times New Roman"/>
          <w:bCs/>
          <w:sz w:val="24"/>
          <w:szCs w:val="24"/>
        </w:rPr>
        <w:t xml:space="preserve"> but the use of Ground 8 is controversial and many housing associations appear not to use it.</w:t>
      </w:r>
      <w:r w:rsidR="000C285C" w:rsidRPr="00B86922">
        <w:rPr>
          <w:rFonts w:ascii="Palatino Linotype" w:hAnsi="Palatino Linotype" w:cs="Times New Roman"/>
          <w:bCs/>
          <w:sz w:val="24"/>
          <w:szCs w:val="24"/>
          <w:vertAlign w:val="superscript"/>
        </w:rPr>
        <w:footnoteReference w:id="23"/>
      </w:r>
      <w:r w:rsidR="000C285C" w:rsidRPr="00B86922">
        <w:rPr>
          <w:rFonts w:ascii="Palatino Linotype" w:hAnsi="Palatino Linotype" w:cs="Times New Roman"/>
          <w:bCs/>
          <w:sz w:val="24"/>
          <w:szCs w:val="24"/>
        </w:rPr>
        <w:t xml:space="preserve"> They</w:t>
      </w:r>
      <w:r w:rsidRPr="00B86922">
        <w:rPr>
          <w:rFonts w:ascii="Palatino Linotype" w:hAnsi="Palatino Linotype" w:cs="Times New Roman"/>
          <w:sz w:val="24"/>
          <w:szCs w:val="24"/>
        </w:rPr>
        <w:t xml:space="preserve"> may also use the accelerated possession procedure under s. 21 of the Housing Act 1988 </w:t>
      </w:r>
      <w:r w:rsidR="00BF0071" w:rsidRPr="00B86922">
        <w:rPr>
          <w:rFonts w:ascii="Palatino Linotype" w:hAnsi="Palatino Linotype" w:cs="Times New Roman"/>
          <w:sz w:val="24"/>
          <w:szCs w:val="24"/>
        </w:rPr>
        <w:t xml:space="preserve">(HA 1988) </w:t>
      </w:r>
      <w:r w:rsidRPr="00B86922">
        <w:rPr>
          <w:rFonts w:ascii="Palatino Linotype" w:hAnsi="Palatino Linotype" w:cs="Times New Roman"/>
          <w:sz w:val="24"/>
          <w:szCs w:val="24"/>
        </w:rPr>
        <w:t>in order to recover poss</w:t>
      </w:r>
      <w:r w:rsidR="002214B7" w:rsidRPr="00B86922">
        <w:rPr>
          <w:rFonts w:ascii="Palatino Linotype" w:hAnsi="Palatino Linotype" w:cs="Times New Roman"/>
          <w:sz w:val="24"/>
          <w:szCs w:val="24"/>
        </w:rPr>
        <w:t xml:space="preserve">ession of an </w:t>
      </w:r>
      <w:r w:rsidR="0041339F">
        <w:rPr>
          <w:rFonts w:ascii="Palatino Linotype" w:hAnsi="Palatino Linotype" w:cs="Times New Roman"/>
          <w:sz w:val="24"/>
          <w:szCs w:val="24"/>
        </w:rPr>
        <w:t>“</w:t>
      </w:r>
      <w:r w:rsidR="002214B7" w:rsidRPr="00B86922">
        <w:rPr>
          <w:rFonts w:ascii="Palatino Linotype" w:hAnsi="Palatino Linotype" w:cs="Times New Roman"/>
          <w:sz w:val="24"/>
          <w:szCs w:val="24"/>
        </w:rPr>
        <w:t>assured shorthold</w:t>
      </w:r>
      <w:r w:rsidRPr="00B86922">
        <w:rPr>
          <w:rFonts w:ascii="Palatino Linotype" w:hAnsi="Palatino Linotype" w:cs="Times New Roman"/>
          <w:sz w:val="24"/>
          <w:szCs w:val="24"/>
        </w:rPr>
        <w:t xml:space="preserve"> tenancy</w:t>
      </w:r>
      <w:r w:rsidR="0041339F">
        <w:rPr>
          <w:rFonts w:ascii="Palatino Linotype" w:hAnsi="Palatino Linotype" w:cs="Times New Roman"/>
          <w:sz w:val="24"/>
          <w:szCs w:val="24"/>
        </w:rPr>
        <w:t>”</w:t>
      </w:r>
      <w:r w:rsidRPr="00B86922">
        <w:rPr>
          <w:rFonts w:ascii="Palatino Linotype" w:hAnsi="Palatino Linotype" w:cs="Times New Roman"/>
          <w:sz w:val="24"/>
          <w:szCs w:val="24"/>
        </w:rPr>
        <w:t xml:space="preserve"> (provided that there was a written tenancy agreement and two months’ notice was given and has expired). </w:t>
      </w:r>
      <w:r w:rsidRPr="00B86922">
        <w:rPr>
          <w:rFonts w:ascii="Palatino Linotype" w:hAnsi="Palatino Linotype" w:cs="Times New Roman"/>
          <w:bCs/>
          <w:sz w:val="24"/>
          <w:szCs w:val="24"/>
        </w:rPr>
        <w:t xml:space="preserve">However, it seems that many social landlords choose not to use this process, with Shelter noting that </w:t>
      </w:r>
      <w:r w:rsidR="0041339F">
        <w:rPr>
          <w:rFonts w:ascii="Palatino Linotype" w:hAnsi="Palatino Linotype" w:cs="Times New Roman"/>
          <w:bCs/>
          <w:sz w:val="24"/>
          <w:szCs w:val="24"/>
        </w:rPr>
        <w:t>“</w:t>
      </w:r>
      <w:r w:rsidRPr="00B86922">
        <w:rPr>
          <w:rFonts w:ascii="Palatino Linotype" w:hAnsi="Palatino Linotype" w:cs="Times New Roman"/>
          <w:sz w:val="24"/>
          <w:szCs w:val="24"/>
        </w:rPr>
        <w:t>this procedure is almost exclusively used in the private rented sector, although a small proportion of social tenancies may also be dealt with in this way.</w:t>
      </w:r>
      <w:r w:rsidR="0041339F">
        <w:rPr>
          <w:rFonts w:ascii="Palatino Linotype" w:hAnsi="Palatino Linotype" w:cs="Times New Roman"/>
          <w:sz w:val="24"/>
          <w:szCs w:val="24"/>
        </w:rPr>
        <w:t>”</w:t>
      </w:r>
      <w:r w:rsidRPr="00B86922">
        <w:rPr>
          <w:rFonts w:ascii="Palatino Linotype" w:hAnsi="Palatino Linotype" w:cs="Times New Roman"/>
          <w:sz w:val="24"/>
          <w:szCs w:val="24"/>
          <w:vertAlign w:val="superscript"/>
        </w:rPr>
        <w:footnoteReference w:id="24"/>
      </w:r>
      <w:r w:rsidRPr="00B86922">
        <w:rPr>
          <w:rFonts w:ascii="Palatino Linotype" w:hAnsi="Palatino Linotype" w:cs="Times New Roman"/>
          <w:sz w:val="24"/>
          <w:szCs w:val="24"/>
        </w:rPr>
        <w:t xml:space="preserve"> </w:t>
      </w:r>
    </w:p>
    <w:p w14:paraId="61EC8036" w14:textId="77777777" w:rsidR="00F80414" w:rsidRPr="00B86922" w:rsidRDefault="003B69E5"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 xml:space="preserve">It is </w:t>
      </w:r>
      <w:r w:rsidRPr="00B86922">
        <w:rPr>
          <w:rFonts w:ascii="Palatino Linotype" w:hAnsi="Palatino Linotype" w:cs="Times New Roman"/>
          <w:bCs/>
          <w:sz w:val="24"/>
          <w:szCs w:val="24"/>
        </w:rPr>
        <w:t>private landlords therefore who tend to make use of this opportunity to obtain an order for possession without the parties having to attend court and have a hearing. In effect,</w:t>
      </w:r>
      <w:r w:rsidRPr="00B86922">
        <w:rPr>
          <w:rFonts w:ascii="Palatino Linotype" w:hAnsi="Palatino Linotype" w:cs="Times New Roman"/>
          <w:sz w:val="24"/>
          <w:szCs w:val="24"/>
        </w:rPr>
        <w:t xml:space="preserve"> possession is automatic </w:t>
      </w:r>
      <w:r w:rsidR="00FA0CFB" w:rsidRPr="00B86922">
        <w:rPr>
          <w:rFonts w:ascii="Palatino Linotype" w:hAnsi="Palatino Linotype" w:cs="Times New Roman"/>
          <w:sz w:val="24"/>
          <w:szCs w:val="24"/>
        </w:rPr>
        <w:t>under s. 21 of the HA</w:t>
      </w:r>
      <w:r w:rsidRPr="00B86922">
        <w:rPr>
          <w:rFonts w:ascii="Palatino Linotype" w:hAnsi="Palatino Linotype" w:cs="Times New Roman"/>
          <w:sz w:val="24"/>
          <w:szCs w:val="24"/>
        </w:rPr>
        <w:t xml:space="preserve"> 1988 if it is an assured shorthold tenancy</w:t>
      </w:r>
      <w:r w:rsidR="001D42EA" w:rsidRPr="00B86922">
        <w:rPr>
          <w:rFonts w:ascii="Palatino Linotype" w:hAnsi="Palatino Linotype" w:cs="Times New Roman"/>
          <w:sz w:val="24"/>
          <w:szCs w:val="24"/>
        </w:rPr>
        <w:t xml:space="preserve"> that has been in effect for at least six months, any fixed contractual term has expired</w:t>
      </w:r>
      <w:r w:rsidR="0041339F">
        <w:rPr>
          <w:rFonts w:ascii="Palatino Linotype" w:hAnsi="Palatino Linotype" w:cs="Times New Roman"/>
          <w:sz w:val="24"/>
          <w:szCs w:val="24"/>
        </w:rPr>
        <w:t>,</w:t>
      </w:r>
      <w:r w:rsidRPr="00B86922">
        <w:rPr>
          <w:rFonts w:ascii="Palatino Linotype" w:hAnsi="Palatino Linotype" w:cs="Times New Roman"/>
          <w:sz w:val="24"/>
          <w:szCs w:val="24"/>
        </w:rPr>
        <w:t xml:space="preserve"> and</w:t>
      </w:r>
      <w:r w:rsidR="00FA0CFB" w:rsidRPr="00B86922">
        <w:rPr>
          <w:rFonts w:ascii="Palatino Linotype" w:hAnsi="Palatino Linotype" w:cs="Times New Roman"/>
          <w:bCs/>
          <w:sz w:val="24"/>
          <w:szCs w:val="24"/>
        </w:rPr>
        <w:t xml:space="preserve"> the correct notice has been</w:t>
      </w:r>
      <w:r w:rsidRPr="00B86922">
        <w:rPr>
          <w:rFonts w:ascii="Palatino Linotype" w:hAnsi="Palatino Linotype" w:cs="Times New Roman"/>
          <w:bCs/>
          <w:sz w:val="24"/>
          <w:szCs w:val="24"/>
        </w:rPr>
        <w:t xml:space="preserve"> given</w:t>
      </w:r>
      <w:r w:rsidR="00FA0CFB" w:rsidRPr="00B86922">
        <w:rPr>
          <w:rFonts w:ascii="Palatino Linotype" w:hAnsi="Palatino Linotype" w:cs="Times New Roman"/>
          <w:bCs/>
          <w:sz w:val="24"/>
          <w:szCs w:val="24"/>
        </w:rPr>
        <w:t xml:space="preserve"> (neither default nor rent arrears are necessary)</w:t>
      </w:r>
      <w:r w:rsidRPr="00B86922">
        <w:rPr>
          <w:rFonts w:ascii="Palatino Linotype" w:hAnsi="Palatino Linotype" w:cs="Times New Roman"/>
          <w:bCs/>
          <w:sz w:val="24"/>
          <w:szCs w:val="24"/>
        </w:rPr>
        <w:t xml:space="preserve">. </w:t>
      </w:r>
      <w:r w:rsidR="00EF3CAB" w:rsidRPr="00B86922">
        <w:rPr>
          <w:rFonts w:ascii="Palatino Linotype" w:hAnsi="Palatino Linotype" w:cs="Times New Roman"/>
          <w:bCs/>
          <w:sz w:val="24"/>
          <w:szCs w:val="24"/>
        </w:rPr>
        <w:t>While there are moves to reform the s. 21 procedure, it will take time for those changes to be implemented.</w:t>
      </w:r>
      <w:r w:rsidR="00EF3CAB" w:rsidRPr="00B86922">
        <w:rPr>
          <w:rStyle w:val="FootnoteReference"/>
          <w:rFonts w:ascii="Palatino Linotype" w:hAnsi="Palatino Linotype" w:cs="Times New Roman"/>
          <w:bCs/>
          <w:sz w:val="24"/>
          <w:szCs w:val="24"/>
        </w:rPr>
        <w:footnoteReference w:id="25"/>
      </w:r>
    </w:p>
    <w:p w14:paraId="48FF8A2F" w14:textId="77777777" w:rsidR="003C67AD" w:rsidRDefault="003C67AD" w:rsidP="0041339F">
      <w:pPr>
        <w:spacing w:before="240" w:after="240" w:line="480" w:lineRule="auto"/>
        <w:jc w:val="both"/>
        <w:rPr>
          <w:rFonts w:ascii="Palatino Linotype" w:hAnsi="Palatino Linotype" w:cs="Times New Roman"/>
          <w:bCs/>
          <w:i/>
          <w:sz w:val="24"/>
          <w:szCs w:val="24"/>
        </w:rPr>
      </w:pPr>
    </w:p>
    <w:p w14:paraId="0E64FC80" w14:textId="77777777" w:rsidR="0041339F" w:rsidRPr="001B49ED" w:rsidRDefault="00BF0071" w:rsidP="0041339F">
      <w:pPr>
        <w:spacing w:before="240" w:after="240" w:line="480" w:lineRule="auto"/>
        <w:jc w:val="both"/>
        <w:rPr>
          <w:rFonts w:ascii="Palatino Linotype" w:hAnsi="Palatino Linotype" w:cs="Times New Roman"/>
          <w:b/>
          <w:sz w:val="24"/>
          <w:szCs w:val="24"/>
        </w:rPr>
      </w:pPr>
      <w:r w:rsidRPr="001B49ED">
        <w:rPr>
          <w:rFonts w:ascii="Palatino Linotype" w:hAnsi="Palatino Linotype" w:cs="Times New Roman"/>
          <w:b/>
          <w:bCs/>
          <w:sz w:val="24"/>
          <w:szCs w:val="24"/>
        </w:rPr>
        <w:t>Defences to a possession claim</w:t>
      </w:r>
    </w:p>
    <w:p w14:paraId="533782A8" w14:textId="77777777" w:rsidR="00674BC8" w:rsidRPr="00B86922" w:rsidRDefault="00674BC8"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Defences to a cla</w:t>
      </w:r>
      <w:r w:rsidR="00B355B9" w:rsidRPr="00B86922">
        <w:rPr>
          <w:rFonts w:ascii="Palatino Linotype" w:hAnsi="Palatino Linotype" w:cs="Times New Roman"/>
          <w:bCs/>
          <w:sz w:val="24"/>
          <w:szCs w:val="24"/>
        </w:rPr>
        <w:t>im for possession</w:t>
      </w:r>
      <w:r w:rsidRPr="00B86922">
        <w:rPr>
          <w:rFonts w:ascii="Palatino Linotype" w:hAnsi="Palatino Linotype" w:cs="Times New Roman"/>
          <w:bCs/>
          <w:sz w:val="24"/>
          <w:szCs w:val="24"/>
        </w:rPr>
        <w:t xml:space="preserve"> are </w:t>
      </w:r>
      <w:r w:rsidR="00B355B9" w:rsidRPr="00B86922">
        <w:rPr>
          <w:rFonts w:ascii="Palatino Linotype" w:hAnsi="Palatino Linotype" w:cs="Times New Roman"/>
          <w:bCs/>
          <w:sz w:val="24"/>
          <w:szCs w:val="24"/>
        </w:rPr>
        <w:t xml:space="preserve">relatively </w:t>
      </w:r>
      <w:r w:rsidRPr="00B86922">
        <w:rPr>
          <w:rFonts w:ascii="Palatino Linotype" w:hAnsi="Palatino Linotype" w:cs="Times New Roman"/>
          <w:bCs/>
          <w:sz w:val="24"/>
          <w:szCs w:val="24"/>
        </w:rPr>
        <w:t xml:space="preserve">rare given that they are limited to situations in which the mortgage contract can be shown to be unlawful or unenforceable, for example, where fraud or undue influence was used to secure the agreement of the mortgagor. The position is different, however, in relation to the Equality Act 2010 </w:t>
      </w:r>
      <w:r w:rsidR="007D789A" w:rsidRPr="00B86922">
        <w:rPr>
          <w:rFonts w:ascii="Palatino Linotype" w:hAnsi="Palatino Linotype" w:cs="Times New Roman"/>
          <w:bCs/>
          <w:sz w:val="24"/>
          <w:szCs w:val="24"/>
        </w:rPr>
        <w:t xml:space="preserve">(EA 2010), </w:t>
      </w:r>
      <w:r w:rsidRPr="00B86922">
        <w:rPr>
          <w:rFonts w:ascii="Palatino Linotype" w:hAnsi="Palatino Linotype" w:cs="Times New Roman"/>
          <w:bCs/>
          <w:sz w:val="24"/>
          <w:szCs w:val="24"/>
        </w:rPr>
        <w:t>E</w:t>
      </w:r>
      <w:r w:rsidR="005A78B0" w:rsidRPr="00B86922">
        <w:rPr>
          <w:rFonts w:ascii="Palatino Linotype" w:hAnsi="Palatino Linotype" w:cs="Times New Roman"/>
          <w:bCs/>
          <w:sz w:val="24"/>
          <w:szCs w:val="24"/>
        </w:rPr>
        <w:t xml:space="preserve">uropean </w:t>
      </w:r>
      <w:r w:rsidRPr="00B86922">
        <w:rPr>
          <w:rFonts w:ascii="Palatino Linotype" w:hAnsi="Palatino Linotype" w:cs="Times New Roman"/>
          <w:bCs/>
          <w:sz w:val="24"/>
          <w:szCs w:val="24"/>
        </w:rPr>
        <w:t>C</w:t>
      </w:r>
      <w:r w:rsidR="005A78B0" w:rsidRPr="00B86922">
        <w:rPr>
          <w:rFonts w:ascii="Palatino Linotype" w:hAnsi="Palatino Linotype" w:cs="Times New Roman"/>
          <w:bCs/>
          <w:sz w:val="24"/>
          <w:szCs w:val="24"/>
        </w:rPr>
        <w:t xml:space="preserve">onvention on </w:t>
      </w:r>
      <w:r w:rsidRPr="00B86922">
        <w:rPr>
          <w:rFonts w:ascii="Palatino Linotype" w:hAnsi="Palatino Linotype" w:cs="Times New Roman"/>
          <w:bCs/>
          <w:sz w:val="24"/>
          <w:szCs w:val="24"/>
        </w:rPr>
        <w:t>H</w:t>
      </w:r>
      <w:r w:rsidR="005A78B0" w:rsidRPr="00B86922">
        <w:rPr>
          <w:rFonts w:ascii="Palatino Linotype" w:hAnsi="Palatino Linotype" w:cs="Times New Roman"/>
          <w:bCs/>
          <w:sz w:val="24"/>
          <w:szCs w:val="24"/>
        </w:rPr>
        <w:t xml:space="preserve">uman </w:t>
      </w:r>
      <w:r w:rsidRPr="00B86922">
        <w:rPr>
          <w:rFonts w:ascii="Palatino Linotype" w:hAnsi="Palatino Linotype" w:cs="Times New Roman"/>
          <w:bCs/>
          <w:sz w:val="24"/>
          <w:szCs w:val="24"/>
        </w:rPr>
        <w:t>R</w:t>
      </w:r>
      <w:r w:rsidR="005A78B0" w:rsidRPr="00B86922">
        <w:rPr>
          <w:rFonts w:ascii="Palatino Linotype" w:hAnsi="Palatino Linotype" w:cs="Times New Roman"/>
          <w:bCs/>
          <w:sz w:val="24"/>
          <w:szCs w:val="24"/>
        </w:rPr>
        <w:t>ights (ECHR)</w:t>
      </w:r>
      <w:r w:rsidR="007D789A" w:rsidRPr="00B86922">
        <w:rPr>
          <w:rFonts w:ascii="Palatino Linotype" w:hAnsi="Palatino Linotype" w:cs="Times New Roman"/>
          <w:bCs/>
          <w:sz w:val="24"/>
          <w:szCs w:val="24"/>
        </w:rPr>
        <w:t xml:space="preserve"> and the Human Rights Act 1998 (HRA 1998)</w:t>
      </w:r>
      <w:r w:rsidRPr="00B86922">
        <w:rPr>
          <w:rFonts w:ascii="Palatino Linotype" w:hAnsi="Palatino Linotype" w:cs="Times New Roman"/>
          <w:bCs/>
          <w:sz w:val="24"/>
          <w:szCs w:val="24"/>
        </w:rPr>
        <w:t xml:space="preserve">. Claims arising under these provisions do constitute a defence to possession for the reason that, as Lord Bingham of Cornhill explains, </w:t>
      </w:r>
      <w:r w:rsidR="00C4602F">
        <w:rPr>
          <w:rFonts w:ascii="Palatino Linotype" w:hAnsi="Palatino Linotype" w:cs="Times New Roman"/>
          <w:bCs/>
          <w:sz w:val="24"/>
          <w:szCs w:val="24"/>
        </w:rPr>
        <w:t>“</w:t>
      </w:r>
      <w:r w:rsidRPr="00B86922">
        <w:rPr>
          <w:rFonts w:ascii="Palatino Linotype" w:hAnsi="Palatino Linotype" w:cs="Times New Roman"/>
          <w:bCs/>
          <w:sz w:val="24"/>
          <w:szCs w:val="24"/>
        </w:rPr>
        <w:t>Parliament has enacted that discriminatory acts... are unlawful. The courts cannot be required to give legal effect to acts proscribed as unlawful. But I would not expect such a defence, in this field, to be made out very often.</w:t>
      </w:r>
      <w:r w:rsidR="00C4602F">
        <w:rPr>
          <w:rFonts w:ascii="Palatino Linotype" w:hAnsi="Palatino Linotype" w:cs="Times New Roman"/>
          <w:bCs/>
          <w:sz w:val="24"/>
          <w:szCs w:val="24"/>
        </w:rPr>
        <w:t>”</w:t>
      </w:r>
      <w:r w:rsidRPr="00B86922">
        <w:rPr>
          <w:rFonts w:ascii="Palatino Linotype" w:hAnsi="Palatino Linotype" w:cs="Times New Roman"/>
          <w:bCs/>
          <w:sz w:val="24"/>
          <w:szCs w:val="24"/>
          <w:vertAlign w:val="superscript"/>
        </w:rPr>
        <w:footnoteReference w:id="26"/>
      </w:r>
      <w:r w:rsidRPr="00B86922">
        <w:rPr>
          <w:rFonts w:ascii="Palatino Linotype" w:hAnsi="Palatino Linotype" w:cs="Times New Roman"/>
          <w:bCs/>
          <w:sz w:val="24"/>
          <w:szCs w:val="24"/>
        </w:rPr>
        <w:t xml:space="preserve"> </w:t>
      </w:r>
    </w:p>
    <w:p w14:paraId="139C3DCD" w14:textId="77777777" w:rsidR="00C4602F" w:rsidRDefault="00C4602F" w:rsidP="00B86922">
      <w:pPr>
        <w:spacing w:after="120" w:line="480" w:lineRule="auto"/>
        <w:jc w:val="both"/>
        <w:rPr>
          <w:rFonts w:ascii="Palatino Linotype" w:hAnsi="Palatino Linotype" w:cs="Times New Roman"/>
          <w:bCs/>
          <w:sz w:val="24"/>
          <w:szCs w:val="24"/>
        </w:rPr>
      </w:pPr>
    </w:p>
    <w:p w14:paraId="6BFBA1FC" w14:textId="77777777" w:rsidR="00234F2C" w:rsidRDefault="005A78B0"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Similarly, in respect of social landlords, </w:t>
      </w:r>
      <w:r w:rsidR="00234F2C" w:rsidRPr="00B86922">
        <w:rPr>
          <w:rFonts w:ascii="Palatino Linotype" w:hAnsi="Palatino Linotype" w:cs="Times New Roman"/>
          <w:bCs/>
          <w:sz w:val="24"/>
          <w:szCs w:val="24"/>
        </w:rPr>
        <w:t>a</w:t>
      </w:r>
      <w:r w:rsidRPr="00B86922">
        <w:rPr>
          <w:rFonts w:ascii="Palatino Linotype" w:hAnsi="Palatino Linotype" w:cs="Times New Roman"/>
          <w:bCs/>
          <w:sz w:val="24"/>
          <w:szCs w:val="24"/>
        </w:rPr>
        <w:t>n</w:t>
      </w:r>
      <w:r w:rsidR="00234F2C"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rPr>
        <w:t xml:space="preserve">Article 8 </w:t>
      </w:r>
      <w:r w:rsidR="00017B44" w:rsidRPr="00B86922">
        <w:rPr>
          <w:rFonts w:ascii="Palatino Linotype" w:hAnsi="Palatino Linotype" w:cs="Times New Roman"/>
          <w:bCs/>
          <w:sz w:val="24"/>
          <w:szCs w:val="24"/>
        </w:rPr>
        <w:t xml:space="preserve">defence under the HRA 1998 </w:t>
      </w:r>
      <w:r w:rsidRPr="00B86922">
        <w:rPr>
          <w:rFonts w:ascii="Palatino Linotype" w:hAnsi="Palatino Linotype" w:cs="Times New Roman"/>
          <w:bCs/>
          <w:sz w:val="24"/>
          <w:szCs w:val="24"/>
        </w:rPr>
        <w:t xml:space="preserve">(requiring a right to respect for the home) or </w:t>
      </w:r>
      <w:r w:rsidR="00017B44" w:rsidRPr="00B86922">
        <w:rPr>
          <w:rFonts w:ascii="Palatino Linotype" w:hAnsi="Palatino Linotype" w:cs="Times New Roman"/>
          <w:bCs/>
          <w:sz w:val="24"/>
          <w:szCs w:val="24"/>
        </w:rPr>
        <w:t xml:space="preserve">a </w:t>
      </w:r>
      <w:r w:rsidRPr="00B86922">
        <w:rPr>
          <w:rFonts w:ascii="Palatino Linotype" w:hAnsi="Palatino Linotype" w:cs="Times New Roman"/>
          <w:bCs/>
          <w:sz w:val="24"/>
          <w:szCs w:val="24"/>
        </w:rPr>
        <w:t xml:space="preserve">defence under the EA 2010 </w:t>
      </w:r>
      <w:r w:rsidR="00017B44" w:rsidRPr="00B86922">
        <w:rPr>
          <w:rFonts w:ascii="Palatino Linotype" w:hAnsi="Palatino Linotype" w:cs="Times New Roman"/>
          <w:bCs/>
          <w:sz w:val="24"/>
          <w:szCs w:val="24"/>
        </w:rPr>
        <w:t xml:space="preserve">(e.g. </w:t>
      </w:r>
      <w:r w:rsidRPr="00B86922">
        <w:rPr>
          <w:rFonts w:ascii="Palatino Linotype" w:hAnsi="Palatino Linotype" w:cs="Times New Roman"/>
          <w:bCs/>
          <w:sz w:val="24"/>
          <w:szCs w:val="24"/>
        </w:rPr>
        <w:t xml:space="preserve">a disabled person facing eviction because of something arising in consequence of his </w:t>
      </w:r>
      <w:r w:rsidR="002214B7" w:rsidRPr="00B86922">
        <w:rPr>
          <w:rFonts w:ascii="Palatino Linotype" w:hAnsi="Palatino Linotype" w:cs="Times New Roman"/>
          <w:bCs/>
          <w:sz w:val="24"/>
          <w:szCs w:val="24"/>
        </w:rPr>
        <w:t xml:space="preserve">or her </w:t>
      </w:r>
      <w:r w:rsidRPr="00B86922">
        <w:rPr>
          <w:rFonts w:ascii="Palatino Linotype" w:hAnsi="Palatino Linotype" w:cs="Times New Roman"/>
          <w:bCs/>
          <w:sz w:val="24"/>
          <w:szCs w:val="24"/>
        </w:rPr>
        <w:t>disability</w:t>
      </w:r>
      <w:r w:rsidR="00017B44" w:rsidRPr="00B86922">
        <w:rPr>
          <w:rFonts w:ascii="Palatino Linotype" w:hAnsi="Palatino Linotype" w:cs="Times New Roman"/>
          <w:bCs/>
          <w:sz w:val="24"/>
          <w:szCs w:val="24"/>
        </w:rPr>
        <w:t>)</w:t>
      </w:r>
      <w:r w:rsidRPr="00B86922">
        <w:rPr>
          <w:rFonts w:ascii="Palatino Linotype" w:hAnsi="Palatino Linotype" w:cs="Times New Roman"/>
          <w:bCs/>
          <w:sz w:val="24"/>
          <w:szCs w:val="24"/>
          <w:vertAlign w:val="superscript"/>
        </w:rPr>
        <w:footnoteReference w:id="27"/>
      </w:r>
      <w:r w:rsidRPr="00B86922">
        <w:rPr>
          <w:rFonts w:ascii="Palatino Linotype" w:hAnsi="Palatino Linotype" w:cs="Times New Roman"/>
          <w:bCs/>
          <w:sz w:val="24"/>
          <w:szCs w:val="24"/>
        </w:rPr>
        <w:t xml:space="preserve"> </w:t>
      </w:r>
      <w:r w:rsidR="00234F2C" w:rsidRPr="00B86922">
        <w:rPr>
          <w:rFonts w:ascii="Palatino Linotype" w:hAnsi="Palatino Linotype" w:cs="Times New Roman"/>
          <w:bCs/>
          <w:sz w:val="24"/>
          <w:szCs w:val="24"/>
        </w:rPr>
        <w:t>requires the court to consider the ‘proportionality’ of ordering possession.</w:t>
      </w:r>
      <w:r w:rsidR="00017B44" w:rsidRPr="00B86922">
        <w:rPr>
          <w:rFonts w:ascii="Palatino Linotype" w:hAnsi="Palatino Linotype" w:cs="Times New Roman"/>
          <w:bCs/>
          <w:sz w:val="24"/>
          <w:szCs w:val="24"/>
          <w:vertAlign w:val="superscript"/>
        </w:rPr>
        <w:footnoteReference w:id="28"/>
      </w:r>
      <w:r w:rsidR="00234F2C" w:rsidRPr="00B86922">
        <w:rPr>
          <w:rFonts w:ascii="Palatino Linotype" w:hAnsi="Palatino Linotype" w:cs="Times New Roman"/>
          <w:bCs/>
          <w:sz w:val="24"/>
          <w:szCs w:val="24"/>
        </w:rPr>
        <w:t xml:space="preserve"> </w:t>
      </w:r>
      <w:r w:rsidR="00234F2C" w:rsidRPr="00B86922">
        <w:rPr>
          <w:rFonts w:ascii="Palatino Linotype" w:hAnsi="Palatino Linotype" w:cs="Times New Roman"/>
          <w:sz w:val="24"/>
          <w:szCs w:val="24"/>
        </w:rPr>
        <w:t>According to</w:t>
      </w:r>
      <w:r w:rsidR="00017B44" w:rsidRPr="00B86922">
        <w:rPr>
          <w:rFonts w:ascii="Palatino Linotype" w:hAnsi="Palatino Linotype" w:cs="Times New Roman"/>
          <w:sz w:val="24"/>
          <w:szCs w:val="24"/>
        </w:rPr>
        <w:t xml:space="preserve"> </w:t>
      </w:r>
      <w:r w:rsidR="00017B44" w:rsidRPr="00B86922">
        <w:rPr>
          <w:rFonts w:ascii="Palatino Linotype" w:hAnsi="Palatino Linotype" w:cs="Times New Roman"/>
          <w:bCs/>
          <w:i/>
          <w:sz w:val="24"/>
          <w:szCs w:val="24"/>
          <w:lang w:val="en-US"/>
        </w:rPr>
        <w:t>Manchester City Council v Pinnock &amp; Ors</w:t>
      </w:r>
      <w:r w:rsidR="00017B44" w:rsidRPr="00B86922">
        <w:rPr>
          <w:rFonts w:ascii="Palatino Linotype" w:hAnsi="Palatino Linotype" w:cs="Times New Roman"/>
          <w:bCs/>
          <w:sz w:val="24"/>
          <w:szCs w:val="24"/>
          <w:lang w:val="en-US"/>
        </w:rPr>
        <w:t xml:space="preserve"> [2010] UKSC 45,</w:t>
      </w:r>
      <w:r w:rsidR="00234F2C" w:rsidRPr="00B86922">
        <w:rPr>
          <w:rFonts w:ascii="Palatino Linotype" w:hAnsi="Palatino Linotype" w:cs="Times New Roman"/>
          <w:i/>
          <w:sz w:val="24"/>
          <w:szCs w:val="24"/>
        </w:rPr>
        <w:t xml:space="preserve"> </w:t>
      </w:r>
      <w:r w:rsidR="00234F2C" w:rsidRPr="00B86922">
        <w:rPr>
          <w:rFonts w:ascii="Palatino Linotype" w:hAnsi="Palatino Linotype" w:cs="Times New Roman"/>
          <w:sz w:val="24"/>
          <w:szCs w:val="24"/>
        </w:rPr>
        <w:t>Article 8 need only be considered by the court if it is raised by or on behalf of the defendant.</w:t>
      </w:r>
    </w:p>
    <w:p w14:paraId="2F822973" w14:textId="77777777" w:rsidR="003C67AD" w:rsidRPr="00B86922" w:rsidRDefault="003C67AD" w:rsidP="00B86922">
      <w:pPr>
        <w:spacing w:after="120" w:line="480" w:lineRule="auto"/>
        <w:jc w:val="both"/>
        <w:rPr>
          <w:rFonts w:ascii="Palatino Linotype" w:hAnsi="Palatino Linotype" w:cs="Times New Roman"/>
          <w:sz w:val="24"/>
          <w:szCs w:val="24"/>
        </w:rPr>
      </w:pPr>
    </w:p>
    <w:p w14:paraId="2F7CDFA5" w14:textId="77777777" w:rsidR="000D23BF" w:rsidRPr="001B49ED" w:rsidRDefault="003C67AD" w:rsidP="00B86922">
      <w:pPr>
        <w:spacing w:before="240" w:after="240" w:line="480" w:lineRule="auto"/>
        <w:jc w:val="both"/>
        <w:rPr>
          <w:rFonts w:ascii="Palatino Linotype" w:hAnsi="Palatino Linotype" w:cs="Times New Roman"/>
          <w:b/>
          <w:bCs/>
          <w:sz w:val="24"/>
          <w:szCs w:val="24"/>
        </w:rPr>
      </w:pPr>
      <w:r w:rsidRPr="001B49ED">
        <w:rPr>
          <w:rFonts w:ascii="Palatino Linotype" w:hAnsi="Palatino Linotype" w:cs="Times New Roman"/>
          <w:b/>
          <w:sz w:val="24"/>
          <w:szCs w:val="24"/>
        </w:rPr>
        <w:t>T</w:t>
      </w:r>
      <w:r w:rsidR="000D23BF" w:rsidRPr="001B49ED">
        <w:rPr>
          <w:rFonts w:ascii="Palatino Linotype" w:hAnsi="Palatino Linotype" w:cs="Times New Roman"/>
          <w:b/>
          <w:sz w:val="24"/>
          <w:szCs w:val="24"/>
        </w:rPr>
        <w:t>he importance of information</w:t>
      </w:r>
    </w:p>
    <w:p w14:paraId="649C7FA0" w14:textId="77777777" w:rsidR="000350C6" w:rsidRPr="00B86922" w:rsidRDefault="00AD2F25"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This very brief summary of the legal rules relating to possession claims highlights a particular theme within housing possession cases which is th</w:t>
      </w:r>
      <w:r w:rsidR="00D00544" w:rsidRPr="00B86922">
        <w:rPr>
          <w:rFonts w:ascii="Palatino Linotype" w:hAnsi="Palatino Linotype" w:cs="Times New Roman"/>
          <w:sz w:val="24"/>
          <w:szCs w:val="24"/>
        </w:rPr>
        <w:t>at, in many cases, judges</w:t>
      </w:r>
      <w:r w:rsidRPr="00B86922">
        <w:rPr>
          <w:rFonts w:ascii="Palatino Linotype" w:hAnsi="Palatino Linotype" w:cs="Times New Roman"/>
          <w:sz w:val="24"/>
          <w:szCs w:val="24"/>
        </w:rPr>
        <w:t xml:space="preserve"> ha</w:t>
      </w:r>
      <w:r w:rsidR="00D00544" w:rsidRPr="00B86922">
        <w:rPr>
          <w:rFonts w:ascii="Palatino Linotype" w:hAnsi="Palatino Linotype" w:cs="Times New Roman"/>
          <w:sz w:val="24"/>
          <w:szCs w:val="24"/>
        </w:rPr>
        <w:t>ve</w:t>
      </w:r>
      <w:r w:rsidRPr="00B86922">
        <w:rPr>
          <w:rFonts w:ascii="Palatino Linotype" w:hAnsi="Palatino Linotype" w:cs="Times New Roman"/>
          <w:sz w:val="24"/>
          <w:szCs w:val="24"/>
        </w:rPr>
        <w:t xml:space="preserve"> discretion to delay or deny possession </w:t>
      </w:r>
      <w:r w:rsidR="00D00544" w:rsidRPr="00B86922">
        <w:rPr>
          <w:rFonts w:ascii="Palatino Linotype" w:hAnsi="Palatino Linotype" w:cs="Times New Roman"/>
          <w:sz w:val="24"/>
          <w:szCs w:val="24"/>
        </w:rPr>
        <w:t>but only where they have information sufficient to enable them to exercise that discretion. That information must be relevant to the decision which, in relation to mortgage cases, must relate to the mortgagor’s ability to repay the arrears within a reasonable period</w:t>
      </w:r>
      <w:r w:rsidR="00A511F2" w:rsidRPr="00B86922">
        <w:rPr>
          <w:rFonts w:ascii="Palatino Linotype" w:hAnsi="Palatino Linotype" w:cs="Times New Roman"/>
          <w:sz w:val="24"/>
          <w:szCs w:val="24"/>
        </w:rPr>
        <w:t>,</w:t>
      </w:r>
      <w:r w:rsidR="00D00544" w:rsidRPr="00B86922">
        <w:rPr>
          <w:rFonts w:ascii="Palatino Linotype" w:hAnsi="Palatino Linotype" w:cs="Times New Roman"/>
          <w:sz w:val="24"/>
          <w:szCs w:val="24"/>
        </w:rPr>
        <w:t xml:space="preserve"> and in relation to social landlord cases </w:t>
      </w:r>
      <w:r w:rsidR="000350C6" w:rsidRPr="00B86922">
        <w:rPr>
          <w:rFonts w:ascii="Palatino Linotype" w:hAnsi="Palatino Linotype" w:cs="Times New Roman"/>
          <w:sz w:val="24"/>
          <w:szCs w:val="24"/>
        </w:rPr>
        <w:t xml:space="preserve">it </w:t>
      </w:r>
      <w:r w:rsidR="002214B7" w:rsidRPr="00B86922">
        <w:rPr>
          <w:rFonts w:ascii="Palatino Linotype" w:hAnsi="Palatino Linotype" w:cs="Times New Roman"/>
          <w:sz w:val="24"/>
          <w:szCs w:val="24"/>
        </w:rPr>
        <w:t>should</w:t>
      </w:r>
      <w:r w:rsidR="00D00544" w:rsidRPr="00B86922">
        <w:rPr>
          <w:rFonts w:ascii="Palatino Linotype" w:hAnsi="Palatino Linotype" w:cs="Times New Roman"/>
          <w:sz w:val="24"/>
          <w:szCs w:val="24"/>
        </w:rPr>
        <w:t xml:space="preserve"> relate to </w:t>
      </w:r>
      <w:r w:rsidR="00C4602F">
        <w:rPr>
          <w:rFonts w:ascii="Palatino Linotype" w:hAnsi="Palatino Linotype" w:cs="Times New Roman"/>
          <w:sz w:val="24"/>
          <w:szCs w:val="24"/>
        </w:rPr>
        <w:t>“</w:t>
      </w:r>
      <w:r w:rsidR="000350C6" w:rsidRPr="00B86922">
        <w:rPr>
          <w:rFonts w:ascii="Palatino Linotype" w:hAnsi="Palatino Linotype" w:cs="Times New Roman"/>
          <w:bCs/>
          <w:sz w:val="24"/>
          <w:szCs w:val="24"/>
        </w:rPr>
        <w:t>all relevant factors</w:t>
      </w:r>
      <w:r w:rsidR="00C4602F">
        <w:rPr>
          <w:rFonts w:ascii="Palatino Linotype" w:hAnsi="Palatino Linotype" w:cs="Times New Roman"/>
          <w:bCs/>
          <w:sz w:val="24"/>
          <w:szCs w:val="24"/>
        </w:rPr>
        <w:t>”</w:t>
      </w:r>
      <w:r w:rsidR="000350C6" w:rsidRPr="00B86922">
        <w:rPr>
          <w:rFonts w:ascii="Palatino Linotype" w:hAnsi="Palatino Linotype" w:cs="Times New Roman"/>
          <w:bCs/>
          <w:sz w:val="24"/>
          <w:szCs w:val="24"/>
        </w:rPr>
        <w:t>.</w:t>
      </w:r>
      <w:r w:rsidR="000350C6" w:rsidRPr="00B86922">
        <w:rPr>
          <w:rFonts w:ascii="Palatino Linotype" w:hAnsi="Palatino Linotype" w:cs="Times New Roman"/>
          <w:bCs/>
          <w:sz w:val="24"/>
          <w:szCs w:val="24"/>
          <w:vertAlign w:val="superscript"/>
        </w:rPr>
        <w:footnoteReference w:id="29"/>
      </w:r>
      <w:r w:rsidR="000350C6" w:rsidRPr="00B86922">
        <w:rPr>
          <w:rFonts w:ascii="Palatino Linotype" w:hAnsi="Palatino Linotype" w:cs="Times New Roman"/>
          <w:bCs/>
          <w:sz w:val="24"/>
          <w:szCs w:val="24"/>
        </w:rPr>
        <w:t xml:space="preserve"> In relation to the latter this might</w:t>
      </w:r>
      <w:r w:rsidR="00A511F2" w:rsidRPr="00B86922">
        <w:rPr>
          <w:rFonts w:ascii="Palatino Linotype" w:hAnsi="Palatino Linotype" w:cs="Times New Roman"/>
          <w:bCs/>
          <w:sz w:val="24"/>
          <w:szCs w:val="24"/>
        </w:rPr>
        <w:t>, for example,</w:t>
      </w:r>
      <w:r w:rsidR="000350C6" w:rsidRPr="00B86922">
        <w:rPr>
          <w:rFonts w:ascii="Palatino Linotype" w:hAnsi="Palatino Linotype" w:cs="Times New Roman"/>
          <w:bCs/>
          <w:sz w:val="24"/>
          <w:szCs w:val="24"/>
        </w:rPr>
        <w:t xml:space="preserve"> include the length of occupancy, the age of the tenant</w:t>
      </w:r>
      <w:r w:rsidR="00A511F2" w:rsidRPr="00B86922">
        <w:rPr>
          <w:rFonts w:ascii="Palatino Linotype" w:hAnsi="Palatino Linotype" w:cs="Times New Roman"/>
          <w:bCs/>
          <w:sz w:val="24"/>
          <w:szCs w:val="24"/>
        </w:rPr>
        <w:t xml:space="preserve"> and</w:t>
      </w:r>
      <w:r w:rsidR="000350C6" w:rsidRPr="00B86922">
        <w:rPr>
          <w:rFonts w:ascii="Palatino Linotype" w:hAnsi="Palatino Linotype" w:cs="Times New Roman"/>
          <w:bCs/>
          <w:sz w:val="24"/>
          <w:szCs w:val="24"/>
        </w:rPr>
        <w:t xml:space="preserve"> </w:t>
      </w:r>
      <w:r w:rsidR="00A511F2" w:rsidRPr="00B86922">
        <w:rPr>
          <w:rFonts w:ascii="Palatino Linotype" w:hAnsi="Palatino Linotype" w:cs="Times New Roman"/>
          <w:bCs/>
          <w:sz w:val="24"/>
          <w:szCs w:val="24"/>
        </w:rPr>
        <w:t xml:space="preserve">any </w:t>
      </w:r>
      <w:r w:rsidR="000350C6" w:rsidRPr="00B86922">
        <w:rPr>
          <w:rFonts w:ascii="Palatino Linotype" w:hAnsi="Palatino Linotype" w:cs="Times New Roman"/>
          <w:bCs/>
          <w:sz w:val="24"/>
          <w:szCs w:val="24"/>
        </w:rPr>
        <w:t>health difficulties.</w:t>
      </w:r>
      <w:r w:rsidR="000350C6" w:rsidRPr="00B86922">
        <w:rPr>
          <w:rStyle w:val="FootnoteReference"/>
          <w:rFonts w:ascii="Palatino Linotype" w:hAnsi="Palatino Linotype" w:cs="Times New Roman"/>
          <w:bCs/>
          <w:sz w:val="24"/>
          <w:szCs w:val="24"/>
        </w:rPr>
        <w:footnoteReference w:id="30"/>
      </w:r>
      <w:r w:rsidR="000350C6" w:rsidRPr="00B86922">
        <w:rPr>
          <w:rFonts w:ascii="Palatino Linotype" w:hAnsi="Palatino Linotype" w:cs="Times New Roman"/>
          <w:bCs/>
          <w:sz w:val="24"/>
          <w:szCs w:val="24"/>
        </w:rPr>
        <w:t xml:space="preserve"> </w:t>
      </w:r>
    </w:p>
    <w:p w14:paraId="62D9104A"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3C52C7B1" w14:textId="77777777" w:rsidR="00EC0D79" w:rsidRPr="00B86922" w:rsidRDefault="007879C2"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The occupier</w:t>
      </w:r>
      <w:r w:rsidR="00831F93" w:rsidRPr="00B86922">
        <w:rPr>
          <w:rFonts w:ascii="Palatino Linotype" w:hAnsi="Palatino Linotype" w:cs="Times New Roman"/>
          <w:sz w:val="24"/>
          <w:szCs w:val="24"/>
        </w:rPr>
        <w:t xml:space="preserve"> has two opportunities</w:t>
      </w:r>
      <w:r w:rsidRPr="00B86922">
        <w:rPr>
          <w:rFonts w:ascii="Palatino Linotype" w:hAnsi="Palatino Linotype" w:cs="Times New Roman"/>
          <w:sz w:val="24"/>
          <w:szCs w:val="24"/>
        </w:rPr>
        <w:t xml:space="preserve"> to supply this type of</w:t>
      </w:r>
      <w:r w:rsidR="00831F93" w:rsidRPr="00B86922">
        <w:rPr>
          <w:rFonts w:ascii="Palatino Linotype" w:hAnsi="Palatino Linotype" w:cs="Times New Roman"/>
          <w:sz w:val="24"/>
          <w:szCs w:val="24"/>
        </w:rPr>
        <w:t xml:space="preserve"> </w:t>
      </w:r>
      <w:r w:rsidR="00DA1246" w:rsidRPr="00B86922">
        <w:rPr>
          <w:rFonts w:ascii="Palatino Linotype" w:hAnsi="Palatino Linotype" w:cs="Times New Roman"/>
          <w:sz w:val="24"/>
          <w:szCs w:val="24"/>
        </w:rPr>
        <w:t>information to the court:</w:t>
      </w:r>
      <w:r w:rsidR="00831F93"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 xml:space="preserve">through the completion of the </w:t>
      </w:r>
      <w:r w:rsidRPr="00B86922">
        <w:rPr>
          <w:rFonts w:ascii="Palatino Linotype" w:hAnsi="Palatino Linotype" w:cs="Times New Roman"/>
          <w:bCs/>
          <w:sz w:val="24"/>
          <w:szCs w:val="24"/>
        </w:rPr>
        <w:t>defence form</w:t>
      </w:r>
      <w:r w:rsidR="00831F93" w:rsidRPr="00B86922">
        <w:rPr>
          <w:rFonts w:ascii="Palatino Linotype" w:hAnsi="Palatino Linotype" w:cs="Times New Roman"/>
          <w:bCs/>
          <w:sz w:val="24"/>
          <w:szCs w:val="24"/>
        </w:rPr>
        <w:t>,</w:t>
      </w:r>
      <w:r w:rsidRPr="00B86922">
        <w:rPr>
          <w:rStyle w:val="FootnoteReference"/>
          <w:rFonts w:ascii="Palatino Linotype" w:hAnsi="Palatino Linotype" w:cs="Times New Roman"/>
          <w:bCs/>
          <w:sz w:val="24"/>
          <w:szCs w:val="24"/>
        </w:rPr>
        <w:footnoteReference w:id="31"/>
      </w:r>
      <w:r w:rsidRPr="00B86922">
        <w:rPr>
          <w:rFonts w:ascii="Palatino Linotype" w:hAnsi="Palatino Linotype" w:cs="Times New Roman"/>
          <w:bCs/>
          <w:sz w:val="24"/>
          <w:szCs w:val="24"/>
        </w:rPr>
        <w:t xml:space="preserve"> which can be submitted online,</w:t>
      </w:r>
      <w:r w:rsidRPr="00B86922">
        <w:rPr>
          <w:rFonts w:ascii="Palatino Linotype" w:hAnsi="Palatino Linotype" w:cs="Times New Roman"/>
          <w:bCs/>
          <w:sz w:val="24"/>
          <w:szCs w:val="24"/>
          <w:vertAlign w:val="superscript"/>
        </w:rPr>
        <w:footnoteReference w:id="32"/>
      </w:r>
      <w:r w:rsidRPr="00B86922">
        <w:rPr>
          <w:rFonts w:ascii="Palatino Linotype" w:hAnsi="Palatino Linotype" w:cs="Times New Roman"/>
          <w:bCs/>
          <w:sz w:val="24"/>
          <w:szCs w:val="24"/>
        </w:rPr>
        <w:t xml:space="preserve"> </w:t>
      </w:r>
      <w:r w:rsidR="00831F93" w:rsidRPr="00B86922">
        <w:rPr>
          <w:rFonts w:ascii="Palatino Linotype" w:hAnsi="Palatino Linotype" w:cs="Times New Roman"/>
          <w:bCs/>
          <w:sz w:val="24"/>
          <w:szCs w:val="24"/>
        </w:rPr>
        <w:t xml:space="preserve">or by attending the hearing. </w:t>
      </w:r>
      <w:r w:rsidR="00894809" w:rsidRPr="00B86922">
        <w:rPr>
          <w:rFonts w:ascii="Palatino Linotype" w:hAnsi="Palatino Linotype" w:cs="Times New Roman"/>
          <w:bCs/>
          <w:sz w:val="24"/>
          <w:szCs w:val="24"/>
        </w:rPr>
        <w:t xml:space="preserve">Empirical </w:t>
      </w:r>
      <w:r w:rsidR="000D23BF" w:rsidRPr="00B86922">
        <w:rPr>
          <w:rFonts w:ascii="Palatino Linotype" w:hAnsi="Palatino Linotype" w:cs="Times New Roman"/>
          <w:bCs/>
          <w:sz w:val="24"/>
          <w:szCs w:val="24"/>
        </w:rPr>
        <w:t>studies</w:t>
      </w:r>
      <w:r w:rsidR="00894809" w:rsidRPr="00B86922">
        <w:rPr>
          <w:rFonts w:ascii="Palatino Linotype" w:hAnsi="Palatino Linotype" w:cs="Times New Roman"/>
          <w:bCs/>
          <w:sz w:val="24"/>
          <w:szCs w:val="24"/>
        </w:rPr>
        <w:t xml:space="preserve"> into the practical operation of the housing possession process, while still relatively small in number an</w:t>
      </w:r>
      <w:r w:rsidR="000D23BF" w:rsidRPr="00B86922">
        <w:rPr>
          <w:rFonts w:ascii="Palatino Linotype" w:hAnsi="Palatino Linotype" w:cs="Times New Roman"/>
          <w:bCs/>
          <w:sz w:val="24"/>
          <w:szCs w:val="24"/>
        </w:rPr>
        <w:t>d scale, have</w:t>
      </w:r>
      <w:r w:rsidR="00894809" w:rsidRPr="00B86922">
        <w:rPr>
          <w:rFonts w:ascii="Palatino Linotype" w:hAnsi="Palatino Linotype" w:cs="Times New Roman"/>
          <w:bCs/>
          <w:sz w:val="24"/>
          <w:szCs w:val="24"/>
        </w:rPr>
        <w:t xml:space="preserve"> found evidence that gives rise to concerns regarding the extent to which occupiers take advantage of these opportunities.</w:t>
      </w:r>
      <w:r w:rsidR="002214B7" w:rsidRPr="00B86922">
        <w:rPr>
          <w:rStyle w:val="FootnoteReference"/>
          <w:rFonts w:ascii="Palatino Linotype" w:hAnsi="Palatino Linotype" w:cs="Times New Roman"/>
          <w:bCs/>
          <w:sz w:val="24"/>
          <w:szCs w:val="24"/>
        </w:rPr>
        <w:footnoteReference w:id="33"/>
      </w:r>
      <w:r w:rsidR="00894809" w:rsidRPr="00B86922">
        <w:rPr>
          <w:rFonts w:ascii="Palatino Linotype" w:hAnsi="Palatino Linotype" w:cs="Times New Roman"/>
          <w:bCs/>
          <w:sz w:val="24"/>
          <w:szCs w:val="24"/>
        </w:rPr>
        <w:t xml:space="preserve"> </w:t>
      </w:r>
      <w:r w:rsidR="00EC0D79" w:rsidRPr="00B86922">
        <w:rPr>
          <w:rFonts w:ascii="Palatino Linotype" w:hAnsi="Palatino Linotype" w:cs="Times New Roman"/>
          <w:bCs/>
          <w:sz w:val="24"/>
          <w:szCs w:val="24"/>
        </w:rPr>
        <w:t xml:space="preserve">As regards the submission of information via the defence form, </w:t>
      </w:r>
      <w:r w:rsidR="00DA1246" w:rsidRPr="00B86922">
        <w:rPr>
          <w:rFonts w:ascii="Palatino Linotype" w:hAnsi="Palatino Linotype" w:cs="Times New Roman"/>
          <w:bCs/>
          <w:sz w:val="24"/>
          <w:szCs w:val="24"/>
        </w:rPr>
        <w:t>while</w:t>
      </w:r>
      <w:r w:rsidR="00EC0D79" w:rsidRPr="00B86922">
        <w:rPr>
          <w:rFonts w:ascii="Palatino Linotype" w:hAnsi="Palatino Linotype" w:cs="Times New Roman"/>
          <w:bCs/>
          <w:sz w:val="24"/>
          <w:szCs w:val="24"/>
        </w:rPr>
        <w:t xml:space="preserve"> </w:t>
      </w:r>
      <w:r w:rsidR="00DA1246" w:rsidRPr="00B86922">
        <w:rPr>
          <w:rFonts w:ascii="Palatino Linotype" w:hAnsi="Palatino Linotype" w:cs="Times New Roman"/>
          <w:bCs/>
          <w:sz w:val="24"/>
          <w:szCs w:val="24"/>
        </w:rPr>
        <w:t>t</w:t>
      </w:r>
      <w:r w:rsidR="00EC0D79" w:rsidRPr="00B86922">
        <w:rPr>
          <w:rFonts w:ascii="Palatino Linotype" w:hAnsi="Palatino Linotype" w:cs="Times New Roman"/>
          <w:bCs/>
          <w:sz w:val="24"/>
          <w:szCs w:val="24"/>
        </w:rPr>
        <w:t>he Ministry of Justice (MOJ) produces statistics on the number and type of possession claims there is no published data on the number and quality of defence forms submitted. Reference to the small number of empirical studies available on this issue, however, suggest that the proportion of occupiers who file defence forms is low.</w:t>
      </w:r>
      <w:r w:rsidR="00EC0D79" w:rsidRPr="00B86922">
        <w:rPr>
          <w:rFonts w:ascii="Palatino Linotype" w:hAnsi="Palatino Linotype" w:cs="Times New Roman"/>
          <w:bCs/>
          <w:sz w:val="24"/>
          <w:szCs w:val="24"/>
          <w:vertAlign w:val="superscript"/>
        </w:rPr>
        <w:footnoteReference w:id="34"/>
      </w:r>
      <w:r w:rsidR="00EC0D79" w:rsidRPr="00B86922">
        <w:rPr>
          <w:rFonts w:ascii="Palatino Linotype" w:hAnsi="Palatino Linotype" w:cs="Times New Roman"/>
          <w:bCs/>
          <w:sz w:val="24"/>
          <w:szCs w:val="24"/>
        </w:rPr>
        <w:t xml:space="preserve"> </w:t>
      </w:r>
      <w:r w:rsidR="003E3ED6" w:rsidRPr="00B86922">
        <w:rPr>
          <w:rFonts w:ascii="Palatino Linotype" w:hAnsi="Palatino Linotype" w:cs="Times New Roman"/>
          <w:bCs/>
          <w:sz w:val="24"/>
          <w:szCs w:val="24"/>
        </w:rPr>
        <w:t>Nixon et al, for example, found that defence forms were completed in fewer than 25% of cases,</w:t>
      </w:r>
      <w:r w:rsidR="003E3ED6" w:rsidRPr="00B86922">
        <w:rPr>
          <w:rFonts w:ascii="Palatino Linotype" w:hAnsi="Palatino Linotype" w:cs="Times New Roman"/>
          <w:bCs/>
          <w:sz w:val="24"/>
          <w:szCs w:val="24"/>
          <w:vertAlign w:val="superscript"/>
        </w:rPr>
        <w:footnoteReference w:id="35"/>
      </w:r>
      <w:r w:rsidR="003E3ED6" w:rsidRPr="00B86922">
        <w:rPr>
          <w:rFonts w:ascii="Palatino Linotype" w:hAnsi="Palatino Linotype" w:cs="Times New Roman"/>
          <w:bCs/>
          <w:sz w:val="24"/>
          <w:szCs w:val="24"/>
        </w:rPr>
        <w:t xml:space="preserve"> </w:t>
      </w:r>
      <w:r w:rsidR="00EC0D79" w:rsidRPr="00B86922">
        <w:rPr>
          <w:rFonts w:ascii="Palatino Linotype" w:hAnsi="Palatino Linotype" w:cs="Times New Roman"/>
          <w:bCs/>
          <w:sz w:val="24"/>
          <w:szCs w:val="24"/>
        </w:rPr>
        <w:t>Bright and Whitehouse found that fewer than half of defendants file</w:t>
      </w:r>
      <w:r w:rsidR="003E3ED6" w:rsidRPr="00B86922">
        <w:rPr>
          <w:rFonts w:ascii="Palatino Linotype" w:hAnsi="Palatino Linotype" w:cs="Times New Roman"/>
          <w:bCs/>
          <w:sz w:val="24"/>
          <w:szCs w:val="24"/>
        </w:rPr>
        <w:t>d</w:t>
      </w:r>
      <w:r w:rsidR="00EC0D79" w:rsidRPr="00B86922">
        <w:rPr>
          <w:rFonts w:ascii="Palatino Linotype" w:hAnsi="Palatino Linotype" w:cs="Times New Roman"/>
          <w:bCs/>
          <w:sz w:val="24"/>
          <w:szCs w:val="24"/>
        </w:rPr>
        <w:t xml:space="preserve"> a defence form</w:t>
      </w:r>
      <w:r w:rsidR="00056E13" w:rsidRPr="00B86922">
        <w:rPr>
          <w:rFonts w:ascii="Palatino Linotype" w:hAnsi="Palatino Linotype" w:cs="Times New Roman"/>
          <w:bCs/>
          <w:sz w:val="24"/>
          <w:szCs w:val="24"/>
        </w:rPr>
        <w:t>,</w:t>
      </w:r>
      <w:r w:rsidR="00EC0D79" w:rsidRPr="00B86922">
        <w:rPr>
          <w:rStyle w:val="FootnoteReference"/>
          <w:rFonts w:ascii="Palatino Linotype" w:hAnsi="Palatino Linotype" w:cs="Times New Roman"/>
          <w:bCs/>
          <w:sz w:val="24"/>
          <w:szCs w:val="24"/>
        </w:rPr>
        <w:footnoteReference w:id="36"/>
      </w:r>
      <w:r w:rsidR="00EC0D79" w:rsidRPr="00B86922">
        <w:rPr>
          <w:rFonts w:ascii="Palatino Linotype" w:hAnsi="Palatino Linotype" w:cs="Times New Roman"/>
          <w:bCs/>
          <w:sz w:val="24"/>
          <w:szCs w:val="24"/>
        </w:rPr>
        <w:t xml:space="preserve"> </w:t>
      </w:r>
      <w:r w:rsidR="00056E13" w:rsidRPr="00B86922">
        <w:rPr>
          <w:rFonts w:ascii="Palatino Linotype" w:hAnsi="Palatino Linotype" w:cs="Times New Roman"/>
          <w:bCs/>
          <w:sz w:val="24"/>
          <w:szCs w:val="24"/>
        </w:rPr>
        <w:t>while Whitehouse et al found that forms were submitted in only 15% of the cases they studied.</w:t>
      </w:r>
      <w:r w:rsidR="00056E13" w:rsidRPr="00B86922">
        <w:rPr>
          <w:rStyle w:val="FootnoteReference"/>
          <w:rFonts w:ascii="Palatino Linotype" w:hAnsi="Palatino Linotype" w:cs="Times New Roman"/>
          <w:bCs/>
          <w:sz w:val="24"/>
          <w:szCs w:val="24"/>
        </w:rPr>
        <w:footnoteReference w:id="37"/>
      </w:r>
      <w:r w:rsidR="00056E13" w:rsidRPr="00B86922">
        <w:rPr>
          <w:rFonts w:ascii="Palatino Linotype" w:hAnsi="Palatino Linotype" w:cs="Times New Roman"/>
          <w:bCs/>
          <w:sz w:val="24"/>
          <w:szCs w:val="24"/>
        </w:rPr>
        <w:t xml:space="preserve"> </w:t>
      </w:r>
    </w:p>
    <w:p w14:paraId="4EC39EDA"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41B1EAF6" w14:textId="74947749" w:rsidR="00445CBC" w:rsidRPr="00B86922" w:rsidRDefault="003E3ED6"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Even if the occupier does not submit a defence form in advance of the hearing</w:t>
      </w:r>
      <w:r w:rsidR="00C4602F">
        <w:rPr>
          <w:rFonts w:ascii="Palatino Linotype" w:hAnsi="Palatino Linotype" w:cs="Times New Roman"/>
          <w:bCs/>
          <w:sz w:val="24"/>
          <w:szCs w:val="24"/>
        </w:rPr>
        <w:t>,</w:t>
      </w:r>
      <w:r w:rsidRPr="00B86922">
        <w:rPr>
          <w:rFonts w:ascii="Palatino Linotype" w:hAnsi="Palatino Linotype" w:cs="Times New Roman"/>
          <w:bCs/>
          <w:sz w:val="24"/>
          <w:szCs w:val="24"/>
        </w:rPr>
        <w:t xml:space="preserve"> they still have the opportunity to inform the judge of their circumstances </w:t>
      </w:r>
      <w:r w:rsidR="00DA1246" w:rsidRPr="00B86922">
        <w:rPr>
          <w:rFonts w:ascii="Palatino Linotype" w:hAnsi="Palatino Linotype" w:cs="Times New Roman"/>
          <w:bCs/>
          <w:sz w:val="24"/>
          <w:szCs w:val="24"/>
        </w:rPr>
        <w:t>through</w:t>
      </w:r>
      <w:r w:rsidRPr="00B86922">
        <w:rPr>
          <w:rFonts w:ascii="Palatino Linotype" w:hAnsi="Palatino Linotype" w:cs="Times New Roman"/>
          <w:bCs/>
          <w:sz w:val="24"/>
          <w:szCs w:val="24"/>
        </w:rPr>
        <w:t xml:space="preserve"> attendance at the hearing. Evidence suggests once again, however, that attendance rates are low. Findings published by the MOJ, for example, suggest that </w:t>
      </w:r>
      <w:r w:rsidR="00BC7287">
        <w:rPr>
          <w:rFonts w:ascii="Palatino Linotype" w:hAnsi="Palatino Linotype" w:cs="Times New Roman"/>
          <w:bCs/>
          <w:sz w:val="24"/>
          <w:szCs w:val="24"/>
        </w:rPr>
        <w:t>“</w:t>
      </w:r>
      <w:r w:rsidRPr="00B86922">
        <w:rPr>
          <w:rFonts w:ascii="Palatino Linotype" w:hAnsi="Palatino Linotype" w:cs="Times New Roman"/>
          <w:bCs/>
          <w:sz w:val="24"/>
          <w:szCs w:val="24"/>
        </w:rPr>
        <w:t>t</w:t>
      </w:r>
      <w:r w:rsidRPr="00B86922">
        <w:rPr>
          <w:rFonts w:ascii="Palatino Linotype" w:hAnsi="Palatino Linotype" w:cs="Times New Roman"/>
          <w:bCs/>
          <w:sz w:val="24"/>
          <w:szCs w:val="24"/>
          <w:lang w:val="en-US"/>
        </w:rPr>
        <w:t>he defendant is often absent on the day of the hearing: evidence from recent court visits suggests that only 50% of tenants attend rent arrears hearings... Consequently, the majority of cases are decided without any defence being presented.</w:t>
      </w:r>
      <w:r w:rsidR="00BC7287">
        <w:rPr>
          <w:rFonts w:ascii="Palatino Linotype" w:hAnsi="Palatino Linotype" w:cs="Times New Roman"/>
          <w:bCs/>
          <w:sz w:val="24"/>
          <w:szCs w:val="24"/>
          <w:lang w:val="en-US"/>
        </w:rPr>
        <w:t>”</w:t>
      </w:r>
      <w:r w:rsidRPr="00B86922">
        <w:rPr>
          <w:rFonts w:ascii="Palatino Linotype" w:hAnsi="Palatino Linotype" w:cs="Times New Roman"/>
          <w:bCs/>
          <w:sz w:val="24"/>
          <w:szCs w:val="24"/>
          <w:vertAlign w:val="superscript"/>
          <w:lang w:val="en-US"/>
        </w:rPr>
        <w:footnoteReference w:id="38"/>
      </w:r>
      <w:r w:rsidRPr="00B86922">
        <w:rPr>
          <w:rFonts w:ascii="Palatino Linotype" w:hAnsi="Palatino Linotype" w:cs="Times New Roman"/>
          <w:bCs/>
          <w:sz w:val="24"/>
          <w:szCs w:val="24"/>
          <w:lang w:val="en-US"/>
        </w:rPr>
        <w:t xml:space="preserve"> These findings were supported by t</w:t>
      </w:r>
      <w:r w:rsidRPr="00B86922">
        <w:rPr>
          <w:rFonts w:ascii="Palatino Linotype" w:hAnsi="Palatino Linotype" w:cs="Times New Roman"/>
          <w:bCs/>
          <w:sz w:val="24"/>
          <w:szCs w:val="24"/>
        </w:rPr>
        <w:t xml:space="preserve">he preliminary report for the Jackson review which described the proportion of tenants attending possession hearings as </w:t>
      </w:r>
      <w:r w:rsidR="00BC7287">
        <w:rPr>
          <w:rFonts w:ascii="Palatino Linotype" w:hAnsi="Palatino Linotype" w:cs="Times New Roman"/>
          <w:bCs/>
          <w:sz w:val="24"/>
          <w:szCs w:val="24"/>
        </w:rPr>
        <w:t>“</w:t>
      </w:r>
      <w:r w:rsidRPr="00B86922">
        <w:rPr>
          <w:rFonts w:ascii="Palatino Linotype" w:hAnsi="Palatino Linotype" w:cs="Times New Roman"/>
          <w:bCs/>
          <w:sz w:val="24"/>
          <w:szCs w:val="24"/>
        </w:rPr>
        <w:t>depressingly low</w:t>
      </w:r>
      <w:r w:rsidR="00BC7287">
        <w:rPr>
          <w:rFonts w:ascii="Palatino Linotype" w:hAnsi="Palatino Linotype" w:cs="Times New Roman"/>
          <w:bCs/>
          <w:sz w:val="24"/>
          <w:szCs w:val="24"/>
        </w:rPr>
        <w:t>”</w:t>
      </w:r>
      <w:r w:rsidRPr="00B86922">
        <w:rPr>
          <w:rFonts w:ascii="Palatino Linotype" w:hAnsi="Palatino Linotype" w:cs="Times New Roman"/>
          <w:bCs/>
          <w:sz w:val="24"/>
          <w:szCs w:val="24"/>
        </w:rPr>
        <w:t>.</w:t>
      </w:r>
      <w:r w:rsidRPr="00B86922">
        <w:rPr>
          <w:rFonts w:ascii="Palatino Linotype" w:hAnsi="Palatino Linotype" w:cs="Times New Roman"/>
          <w:bCs/>
          <w:sz w:val="24"/>
          <w:szCs w:val="24"/>
          <w:vertAlign w:val="superscript"/>
        </w:rPr>
        <w:footnoteReference w:id="39"/>
      </w:r>
      <w:r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lang w:val="en-US"/>
        </w:rPr>
        <w:t xml:space="preserve">Beyond this, official </w:t>
      </w:r>
      <w:r w:rsidRPr="00B86922">
        <w:rPr>
          <w:rFonts w:ascii="Palatino Linotype" w:hAnsi="Palatino Linotype" w:cs="Times New Roman"/>
          <w:bCs/>
          <w:sz w:val="24"/>
          <w:szCs w:val="24"/>
        </w:rPr>
        <w:t xml:space="preserve">data regarding the number of defendants who attend and whether they are represented is not available. Nixon et al, however, found that only 33% of tenants actively participated in </w:t>
      </w:r>
      <w:r w:rsidR="00DA1246" w:rsidRPr="00B86922">
        <w:rPr>
          <w:rFonts w:ascii="Palatino Linotype" w:hAnsi="Palatino Linotype" w:cs="Times New Roman"/>
          <w:bCs/>
          <w:sz w:val="24"/>
          <w:szCs w:val="24"/>
        </w:rPr>
        <w:t xml:space="preserve">the </w:t>
      </w:r>
      <w:r w:rsidRPr="00B86922">
        <w:rPr>
          <w:rFonts w:ascii="Palatino Linotype" w:hAnsi="Palatino Linotype" w:cs="Times New Roman"/>
          <w:bCs/>
          <w:sz w:val="24"/>
          <w:szCs w:val="24"/>
        </w:rPr>
        <w:t>court proceedings</w:t>
      </w:r>
      <w:r w:rsidR="00DA1246" w:rsidRPr="00B86922">
        <w:rPr>
          <w:rFonts w:ascii="Palatino Linotype" w:hAnsi="Palatino Linotype" w:cs="Times New Roman"/>
          <w:bCs/>
          <w:sz w:val="24"/>
          <w:szCs w:val="24"/>
        </w:rPr>
        <w:t xml:space="preserve"> they studied</w:t>
      </w:r>
      <w:r w:rsidR="003144EA" w:rsidRPr="00B86922">
        <w:rPr>
          <w:rFonts w:ascii="Palatino Linotype" w:hAnsi="Palatino Linotype" w:cs="Times New Roman"/>
          <w:bCs/>
          <w:sz w:val="24"/>
          <w:szCs w:val="24"/>
        </w:rPr>
        <w:t>,</w:t>
      </w:r>
      <w:r w:rsidRPr="00B86922">
        <w:rPr>
          <w:rFonts w:ascii="Palatino Linotype" w:hAnsi="Palatino Linotype" w:cs="Times New Roman"/>
          <w:bCs/>
          <w:sz w:val="24"/>
          <w:szCs w:val="24"/>
          <w:vertAlign w:val="superscript"/>
        </w:rPr>
        <w:footnoteReference w:id="40"/>
      </w:r>
      <w:r w:rsidRPr="00B86922">
        <w:rPr>
          <w:rFonts w:ascii="Palatino Linotype" w:hAnsi="Palatino Linotype" w:cs="Times New Roman"/>
          <w:bCs/>
          <w:sz w:val="24"/>
          <w:szCs w:val="24"/>
        </w:rPr>
        <w:t xml:space="preserve"> </w:t>
      </w:r>
      <w:r w:rsidR="003144EA" w:rsidRPr="00B86922">
        <w:rPr>
          <w:rFonts w:ascii="Palatino Linotype" w:hAnsi="Palatino Linotype" w:cs="Times New Roman"/>
          <w:bCs/>
          <w:sz w:val="24"/>
          <w:szCs w:val="24"/>
        </w:rPr>
        <w:t>while</w:t>
      </w:r>
      <w:r w:rsidR="006A7B67" w:rsidRPr="00B86922">
        <w:rPr>
          <w:rFonts w:ascii="Palatino Linotype" w:hAnsi="Palatino Linotype" w:cs="Times New Roman"/>
          <w:bCs/>
          <w:sz w:val="24"/>
          <w:szCs w:val="24"/>
        </w:rPr>
        <w:t xml:space="preserve"> Whitehouse et al found that </w:t>
      </w:r>
      <w:r w:rsidRPr="00B86922">
        <w:rPr>
          <w:rFonts w:ascii="Palatino Linotype" w:hAnsi="Palatino Linotype" w:cs="Times New Roman"/>
          <w:bCs/>
          <w:sz w:val="24"/>
          <w:szCs w:val="24"/>
        </w:rPr>
        <w:t>tenants were present i</w:t>
      </w:r>
      <w:r w:rsidR="002169B9" w:rsidRPr="00B86922">
        <w:rPr>
          <w:rFonts w:ascii="Palatino Linotype" w:hAnsi="Palatino Linotype" w:cs="Times New Roman"/>
          <w:bCs/>
          <w:sz w:val="24"/>
          <w:szCs w:val="24"/>
        </w:rPr>
        <w:t>n 41</w:t>
      </w:r>
      <w:r w:rsidR="006A7B67" w:rsidRPr="00B86922">
        <w:rPr>
          <w:rFonts w:ascii="Palatino Linotype" w:hAnsi="Palatino Linotype" w:cs="Times New Roman"/>
          <w:bCs/>
          <w:sz w:val="24"/>
          <w:szCs w:val="24"/>
        </w:rPr>
        <w:t>% of the cases they studied.</w:t>
      </w:r>
      <w:r w:rsidR="002169B9" w:rsidRPr="00B86922">
        <w:rPr>
          <w:rStyle w:val="FootnoteReference"/>
          <w:rFonts w:ascii="Palatino Linotype" w:hAnsi="Palatino Linotype" w:cs="Times New Roman"/>
          <w:bCs/>
          <w:sz w:val="24"/>
          <w:szCs w:val="24"/>
        </w:rPr>
        <w:footnoteReference w:id="41"/>
      </w:r>
      <w:r w:rsidR="006A7B67" w:rsidRPr="00B86922">
        <w:rPr>
          <w:rFonts w:ascii="Palatino Linotype" w:hAnsi="Palatino Linotype" w:cs="Times New Roman"/>
          <w:bCs/>
          <w:sz w:val="24"/>
          <w:szCs w:val="24"/>
        </w:rPr>
        <w:t xml:space="preserve"> </w:t>
      </w:r>
      <w:r w:rsidR="00DA1246" w:rsidRPr="00B86922">
        <w:rPr>
          <w:rFonts w:ascii="Palatino Linotype" w:hAnsi="Palatino Linotype" w:cs="Times New Roman"/>
          <w:bCs/>
          <w:sz w:val="24"/>
          <w:szCs w:val="24"/>
        </w:rPr>
        <w:t>While anecdotal, a</w:t>
      </w:r>
      <w:r w:rsidRPr="00B86922">
        <w:rPr>
          <w:rFonts w:ascii="Palatino Linotype" w:hAnsi="Palatino Linotype" w:cs="Times New Roman"/>
          <w:bCs/>
          <w:sz w:val="24"/>
          <w:szCs w:val="24"/>
        </w:rPr>
        <w:t xml:space="preserve">n Income Officer from a local </w:t>
      </w:r>
      <w:r w:rsidR="00731DE8" w:rsidRPr="00B86922">
        <w:rPr>
          <w:rFonts w:ascii="Palatino Linotype" w:hAnsi="Palatino Linotype" w:cs="Times New Roman"/>
          <w:bCs/>
          <w:sz w:val="24"/>
          <w:szCs w:val="24"/>
        </w:rPr>
        <w:t>social landlord</w:t>
      </w:r>
      <w:r w:rsidRPr="00B86922">
        <w:rPr>
          <w:rFonts w:ascii="Palatino Linotype" w:hAnsi="Palatino Linotype" w:cs="Times New Roman"/>
          <w:bCs/>
          <w:sz w:val="24"/>
          <w:szCs w:val="24"/>
        </w:rPr>
        <w:t xml:space="preserve"> recently told me that </w:t>
      </w:r>
      <w:r w:rsidRPr="00B86922">
        <w:rPr>
          <w:rFonts w:ascii="Palatino Linotype" w:hAnsi="Palatino Linotype" w:cs="Times New Roman"/>
          <w:sz w:val="24"/>
          <w:szCs w:val="24"/>
        </w:rPr>
        <w:t xml:space="preserve">there is approximately </w:t>
      </w:r>
      <w:r w:rsidR="006A7B67" w:rsidRPr="00B86922">
        <w:rPr>
          <w:rFonts w:ascii="Palatino Linotype" w:hAnsi="Palatino Linotype" w:cs="Times New Roman"/>
          <w:sz w:val="24"/>
          <w:szCs w:val="24"/>
        </w:rPr>
        <w:t xml:space="preserve">a 50% attendance rate in Hull. </w:t>
      </w:r>
    </w:p>
    <w:p w14:paraId="618FAA12"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5F7C520C" w14:textId="77777777" w:rsidR="0085457A" w:rsidRPr="001B49ED" w:rsidRDefault="000D23BF" w:rsidP="00B86922">
      <w:pPr>
        <w:spacing w:before="240" w:after="240" w:line="480" w:lineRule="auto"/>
        <w:jc w:val="both"/>
        <w:rPr>
          <w:rFonts w:ascii="Palatino Linotype" w:hAnsi="Palatino Linotype" w:cs="Times New Roman"/>
          <w:b/>
          <w:bCs/>
          <w:iCs/>
          <w:sz w:val="24"/>
          <w:szCs w:val="24"/>
        </w:rPr>
      </w:pPr>
      <w:r w:rsidRPr="001B49ED">
        <w:rPr>
          <w:rFonts w:ascii="Palatino Linotype" w:hAnsi="Palatino Linotype" w:cs="Times New Roman"/>
          <w:b/>
          <w:bCs/>
          <w:iCs/>
          <w:sz w:val="24"/>
          <w:szCs w:val="24"/>
        </w:rPr>
        <w:t>The i</w:t>
      </w:r>
      <w:r w:rsidR="00EC0D79" w:rsidRPr="001B49ED">
        <w:rPr>
          <w:rFonts w:ascii="Palatino Linotype" w:hAnsi="Palatino Linotype" w:cs="Times New Roman"/>
          <w:b/>
          <w:bCs/>
          <w:iCs/>
          <w:sz w:val="24"/>
          <w:szCs w:val="24"/>
        </w:rPr>
        <w:t xml:space="preserve">mportance of </w:t>
      </w:r>
      <w:r w:rsidR="00200277" w:rsidRPr="001B49ED">
        <w:rPr>
          <w:rFonts w:ascii="Palatino Linotype" w:hAnsi="Palatino Linotype" w:cs="Times New Roman"/>
          <w:b/>
          <w:bCs/>
          <w:iCs/>
          <w:sz w:val="24"/>
          <w:szCs w:val="24"/>
        </w:rPr>
        <w:t>participation</w:t>
      </w:r>
    </w:p>
    <w:p w14:paraId="3F648A93" w14:textId="77777777" w:rsidR="00200277" w:rsidRPr="00B86922" w:rsidRDefault="00200277"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 xml:space="preserve">The question </w:t>
      </w:r>
      <w:r w:rsidR="00DA1246" w:rsidRPr="00B86922">
        <w:rPr>
          <w:rFonts w:ascii="Palatino Linotype" w:hAnsi="Palatino Linotype" w:cs="Times New Roman"/>
          <w:bCs/>
          <w:sz w:val="24"/>
          <w:szCs w:val="24"/>
        </w:rPr>
        <w:t xml:space="preserve">that </w:t>
      </w:r>
      <w:r w:rsidRPr="00B86922">
        <w:rPr>
          <w:rFonts w:ascii="Palatino Linotype" w:hAnsi="Palatino Linotype" w:cs="Times New Roman"/>
          <w:bCs/>
          <w:sz w:val="24"/>
          <w:szCs w:val="24"/>
        </w:rPr>
        <w:t>arises here</w:t>
      </w:r>
      <w:r w:rsidR="00DA1246" w:rsidRPr="00B86922">
        <w:rPr>
          <w:rFonts w:ascii="Palatino Linotype" w:hAnsi="Palatino Linotype" w:cs="Times New Roman"/>
          <w:bCs/>
          <w:sz w:val="24"/>
          <w:szCs w:val="24"/>
        </w:rPr>
        <w:t xml:space="preserve"> is</w:t>
      </w:r>
      <w:r w:rsidRPr="00B86922">
        <w:rPr>
          <w:rFonts w:ascii="Palatino Linotype" w:hAnsi="Palatino Linotype" w:cs="Times New Roman"/>
          <w:bCs/>
          <w:sz w:val="24"/>
          <w:szCs w:val="24"/>
        </w:rPr>
        <w:t xml:space="preserve"> whether the completion of the defence form or attendance at the hearing would supply the court with information relevant to the decision</w:t>
      </w:r>
      <w:r w:rsidR="00942142" w:rsidRPr="00B86922">
        <w:rPr>
          <w:rFonts w:ascii="Palatino Linotype" w:hAnsi="Palatino Linotype" w:cs="Times New Roman"/>
          <w:bCs/>
          <w:sz w:val="24"/>
          <w:szCs w:val="24"/>
        </w:rPr>
        <w:t>.</w:t>
      </w:r>
      <w:r w:rsidRPr="00B86922">
        <w:rPr>
          <w:rFonts w:ascii="Palatino Linotype" w:hAnsi="Palatino Linotype" w:cs="Times New Roman"/>
          <w:bCs/>
          <w:sz w:val="24"/>
          <w:szCs w:val="24"/>
        </w:rPr>
        <w:t xml:space="preserve"> </w:t>
      </w:r>
      <w:r w:rsidR="00942142" w:rsidRPr="00B86922">
        <w:rPr>
          <w:rFonts w:ascii="Palatino Linotype" w:hAnsi="Palatino Linotype" w:cs="Times New Roman"/>
          <w:bCs/>
          <w:sz w:val="24"/>
          <w:szCs w:val="24"/>
        </w:rPr>
        <w:t>Taking the</w:t>
      </w:r>
      <w:r w:rsidRPr="00B86922">
        <w:rPr>
          <w:rFonts w:ascii="Palatino Linotype" w:hAnsi="Palatino Linotype" w:cs="Times New Roman"/>
          <w:bCs/>
          <w:sz w:val="24"/>
          <w:szCs w:val="24"/>
        </w:rPr>
        <w:t xml:space="preserve"> defence form, </w:t>
      </w:r>
      <w:r w:rsidRPr="00B86922">
        <w:rPr>
          <w:rFonts w:ascii="Palatino Linotype" w:hAnsi="Palatino Linotype" w:cs="Times New Roman"/>
          <w:bCs/>
          <w:sz w:val="24"/>
          <w:szCs w:val="24"/>
          <w:lang w:val="en-US"/>
        </w:rPr>
        <w:t>for example, there is</w:t>
      </w:r>
      <w:r w:rsidR="00942142" w:rsidRPr="00B86922">
        <w:rPr>
          <w:rFonts w:ascii="Palatino Linotype" w:hAnsi="Palatino Linotype" w:cs="Times New Roman"/>
          <w:bCs/>
          <w:sz w:val="24"/>
          <w:szCs w:val="24"/>
          <w:lang w:val="en-US"/>
        </w:rPr>
        <w:t xml:space="preserve"> little in the way of ‘joined up thinking’</w:t>
      </w:r>
      <w:r w:rsidR="00942142" w:rsidRPr="00B86922">
        <w:rPr>
          <w:rStyle w:val="FootnoteReference"/>
          <w:rFonts w:ascii="Palatino Linotype" w:hAnsi="Palatino Linotype" w:cs="Times New Roman"/>
          <w:bCs/>
          <w:sz w:val="24"/>
          <w:szCs w:val="24"/>
          <w:lang w:val="en-US"/>
        </w:rPr>
        <w:footnoteReference w:id="42"/>
      </w:r>
      <w:r w:rsidRPr="00B86922">
        <w:rPr>
          <w:rFonts w:ascii="Palatino Linotype" w:hAnsi="Palatino Linotype" w:cs="Times New Roman"/>
          <w:bCs/>
          <w:sz w:val="24"/>
          <w:szCs w:val="24"/>
          <w:lang w:val="en-US"/>
        </w:rPr>
        <w:t xml:space="preserve"> </w:t>
      </w:r>
      <w:r w:rsidR="00F80220" w:rsidRPr="00B86922">
        <w:rPr>
          <w:rFonts w:ascii="Palatino Linotype" w:hAnsi="Palatino Linotype" w:cs="Times New Roman"/>
          <w:bCs/>
          <w:sz w:val="24"/>
          <w:szCs w:val="24"/>
          <w:lang w:val="en-US"/>
        </w:rPr>
        <w:t xml:space="preserve">here for it fails to elicit information that might be crucial to the question of ordering possession. There is, for example, </w:t>
      </w:r>
      <w:r w:rsidRPr="00B86922">
        <w:rPr>
          <w:rFonts w:ascii="Palatino Linotype" w:hAnsi="Palatino Linotype" w:cs="Times New Roman"/>
          <w:bCs/>
          <w:sz w:val="24"/>
          <w:szCs w:val="24"/>
          <w:lang w:val="en-US"/>
        </w:rPr>
        <w:t xml:space="preserve">no mention of whether the defendant has a disability or other protected characteristic (which may give rise to a defence under the </w:t>
      </w:r>
      <w:r w:rsidRPr="00B86922">
        <w:rPr>
          <w:rFonts w:ascii="Palatino Linotype" w:hAnsi="Palatino Linotype" w:cs="Times New Roman"/>
          <w:bCs/>
          <w:sz w:val="24"/>
          <w:szCs w:val="24"/>
        </w:rPr>
        <w:t>EA 2010).</w:t>
      </w:r>
      <w:r w:rsidRPr="00B86922">
        <w:rPr>
          <w:rFonts w:ascii="Palatino Linotype" w:hAnsi="Palatino Linotype" w:cs="Times New Roman"/>
          <w:bCs/>
          <w:sz w:val="24"/>
          <w:szCs w:val="24"/>
          <w:vertAlign w:val="superscript"/>
        </w:rPr>
        <w:footnoteReference w:id="43"/>
      </w:r>
      <w:r w:rsidRPr="00B86922">
        <w:rPr>
          <w:rFonts w:ascii="Palatino Linotype" w:hAnsi="Palatino Linotype" w:cs="Times New Roman"/>
          <w:bCs/>
          <w:sz w:val="24"/>
          <w:szCs w:val="24"/>
        </w:rPr>
        <w:t xml:space="preserve"> As many occupiers will not have sought legal advice prior to the hearing</w:t>
      </w:r>
      <w:r w:rsidR="00DA1246" w:rsidRPr="00B86922">
        <w:rPr>
          <w:rFonts w:ascii="Palatino Linotype" w:hAnsi="Palatino Linotype" w:cs="Times New Roman"/>
          <w:bCs/>
          <w:sz w:val="24"/>
          <w:szCs w:val="24"/>
        </w:rPr>
        <w:t>,</w:t>
      </w:r>
      <w:r w:rsidRPr="00B86922">
        <w:rPr>
          <w:rFonts w:ascii="Palatino Linotype" w:hAnsi="Palatino Linotype" w:cs="Times New Roman"/>
          <w:bCs/>
          <w:sz w:val="24"/>
          <w:szCs w:val="24"/>
          <w:vertAlign w:val="superscript"/>
        </w:rPr>
        <w:footnoteReference w:id="44"/>
      </w:r>
      <w:r w:rsidRPr="00B86922">
        <w:rPr>
          <w:rFonts w:ascii="Palatino Linotype" w:hAnsi="Palatino Linotype" w:cs="Times New Roman"/>
          <w:bCs/>
          <w:sz w:val="24"/>
          <w:szCs w:val="24"/>
        </w:rPr>
        <w:t xml:space="preserve"> it is highly unlikely that they will </w:t>
      </w:r>
      <w:r w:rsidR="00DA1246" w:rsidRPr="00B86922">
        <w:rPr>
          <w:rFonts w:ascii="Palatino Linotype" w:hAnsi="Palatino Linotype" w:cs="Times New Roman"/>
          <w:bCs/>
          <w:sz w:val="24"/>
          <w:szCs w:val="24"/>
        </w:rPr>
        <w:t>be aware of the type of information that they would need to include within the defence form in order to assist them in avoiding possession.</w:t>
      </w:r>
      <w:r w:rsidRPr="00B86922">
        <w:rPr>
          <w:rFonts w:ascii="Palatino Linotype" w:hAnsi="Palatino Linotype" w:cs="Times New Roman"/>
          <w:bCs/>
          <w:sz w:val="24"/>
          <w:szCs w:val="24"/>
        </w:rPr>
        <w:t xml:space="preserve"> </w:t>
      </w:r>
    </w:p>
    <w:p w14:paraId="0F24F8AE"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1864E56F" w14:textId="69CB1949" w:rsidR="007978B3" w:rsidRPr="00B86922" w:rsidRDefault="00200277"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As regards attendance, s</w:t>
      </w:r>
      <w:r w:rsidR="006A7B67" w:rsidRPr="00B86922">
        <w:rPr>
          <w:rFonts w:ascii="Palatino Linotype" w:hAnsi="Palatino Linotype" w:cs="Times New Roman"/>
          <w:bCs/>
          <w:sz w:val="24"/>
          <w:szCs w:val="24"/>
        </w:rPr>
        <w:t xml:space="preserve">everal studies suggest that it </w:t>
      </w:r>
      <w:r w:rsidR="002E6470" w:rsidRPr="00B86922">
        <w:rPr>
          <w:rFonts w:ascii="Palatino Linotype" w:hAnsi="Palatino Linotype" w:cs="Times New Roman"/>
          <w:bCs/>
          <w:sz w:val="24"/>
          <w:szCs w:val="24"/>
        </w:rPr>
        <w:t xml:space="preserve">has potential to </w:t>
      </w:r>
      <w:r w:rsidRPr="00B86922">
        <w:rPr>
          <w:rFonts w:ascii="Palatino Linotype" w:hAnsi="Palatino Linotype" w:cs="Times New Roman"/>
          <w:bCs/>
          <w:sz w:val="24"/>
          <w:szCs w:val="24"/>
        </w:rPr>
        <w:t>impact significantly on the outcome of the case.</w:t>
      </w:r>
      <w:r w:rsidR="00C97428" w:rsidRPr="00B86922">
        <w:rPr>
          <w:rFonts w:ascii="Palatino Linotype" w:hAnsi="Palatino Linotype" w:cs="Times New Roman"/>
          <w:bCs/>
          <w:sz w:val="24"/>
          <w:szCs w:val="24"/>
          <w:vertAlign w:val="superscript"/>
        </w:rPr>
        <w:footnoteReference w:id="45"/>
      </w:r>
      <w:r w:rsidR="006A7B67" w:rsidRPr="00B86922">
        <w:rPr>
          <w:rFonts w:ascii="Palatino Linotype" w:hAnsi="Palatino Linotype" w:cs="Times New Roman"/>
          <w:bCs/>
          <w:sz w:val="24"/>
          <w:szCs w:val="24"/>
        </w:rPr>
        <w:t xml:space="preserve"> The importance of attendance may derive from the ability on the part of the tenant to access free legal advice and representation at the cour</w:t>
      </w:r>
      <w:r w:rsidRPr="00B86922">
        <w:rPr>
          <w:rFonts w:ascii="Palatino Linotype" w:hAnsi="Palatino Linotype" w:cs="Times New Roman"/>
          <w:bCs/>
          <w:sz w:val="24"/>
          <w:szCs w:val="24"/>
        </w:rPr>
        <w:t xml:space="preserve">t </w:t>
      </w:r>
      <w:r w:rsidR="00F80220" w:rsidRPr="00B86922">
        <w:rPr>
          <w:rFonts w:ascii="Palatino Linotype" w:hAnsi="Palatino Linotype" w:cs="Times New Roman"/>
          <w:bCs/>
          <w:sz w:val="24"/>
          <w:szCs w:val="24"/>
        </w:rPr>
        <w:t>from</w:t>
      </w:r>
      <w:r w:rsidRPr="00B86922">
        <w:rPr>
          <w:rFonts w:ascii="Palatino Linotype" w:hAnsi="Palatino Linotype" w:cs="Times New Roman"/>
          <w:bCs/>
          <w:sz w:val="24"/>
          <w:szCs w:val="24"/>
        </w:rPr>
        <w:t xml:space="preserve"> the</w:t>
      </w:r>
      <w:r w:rsidR="006A7B67" w:rsidRPr="00B86922">
        <w:rPr>
          <w:rFonts w:ascii="Palatino Linotype" w:hAnsi="Palatino Linotype" w:cs="Times New Roman"/>
          <w:bCs/>
          <w:sz w:val="24"/>
          <w:szCs w:val="24"/>
        </w:rPr>
        <w:t xml:space="preserve"> HPCDS</w:t>
      </w:r>
      <w:r w:rsidRPr="00B86922">
        <w:rPr>
          <w:rFonts w:ascii="Palatino Linotype" w:hAnsi="Palatino Linotype" w:cs="Times New Roman"/>
          <w:bCs/>
          <w:sz w:val="24"/>
          <w:szCs w:val="24"/>
        </w:rPr>
        <w:t>.</w:t>
      </w:r>
      <w:r w:rsidR="006A7B67" w:rsidRPr="00B86922">
        <w:rPr>
          <w:rFonts w:ascii="Palatino Linotype" w:hAnsi="Palatino Linotype" w:cs="Times New Roman"/>
          <w:bCs/>
          <w:sz w:val="24"/>
          <w:szCs w:val="24"/>
          <w:vertAlign w:val="superscript"/>
        </w:rPr>
        <w:footnoteReference w:id="46"/>
      </w:r>
      <w:r w:rsidR="006A7B67"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rPr>
        <w:t xml:space="preserve">The changes to legal aid implemented by </w:t>
      </w:r>
      <w:r w:rsidR="007978B3" w:rsidRPr="00B86922">
        <w:rPr>
          <w:rFonts w:ascii="Palatino Linotype" w:hAnsi="Palatino Linotype" w:cs="Times New Roman"/>
          <w:bCs/>
          <w:sz w:val="24"/>
          <w:szCs w:val="24"/>
          <w:lang w:val="en-AU"/>
        </w:rPr>
        <w:t>the Legal Aid, Sentencing and Punishment of Offenders Act 2012 (LASPO 2012)</w:t>
      </w:r>
      <w:r w:rsidR="002E6470" w:rsidRPr="00B86922">
        <w:rPr>
          <w:rFonts w:ascii="Palatino Linotype" w:hAnsi="Palatino Linotype" w:cs="Times New Roman"/>
          <w:bCs/>
          <w:sz w:val="24"/>
          <w:szCs w:val="24"/>
          <w:lang w:val="en-AU"/>
        </w:rPr>
        <w:t xml:space="preserve"> mean</w:t>
      </w:r>
      <w:r w:rsidR="007978B3" w:rsidRPr="00B86922">
        <w:rPr>
          <w:rFonts w:ascii="Palatino Linotype" w:hAnsi="Palatino Linotype" w:cs="Times New Roman"/>
          <w:bCs/>
          <w:sz w:val="24"/>
          <w:szCs w:val="24"/>
          <w:lang w:val="en-AU"/>
        </w:rPr>
        <w:t xml:space="preserve"> that for many occupiers, attendance at the court on the day of their hearing may be their first and only encounter with a legal advice provider.</w:t>
      </w:r>
      <w:r w:rsidR="007978B3" w:rsidRPr="00B86922">
        <w:rPr>
          <w:rFonts w:ascii="Palatino Linotype" w:hAnsi="Palatino Linotype" w:cs="Times New Roman"/>
          <w:bCs/>
          <w:sz w:val="24"/>
          <w:szCs w:val="24"/>
        </w:rPr>
        <w:t xml:space="preserve"> Described as </w:t>
      </w:r>
      <w:r w:rsidR="00800C3D">
        <w:rPr>
          <w:rFonts w:ascii="Palatino Linotype" w:hAnsi="Palatino Linotype" w:cs="Times New Roman"/>
          <w:bCs/>
          <w:sz w:val="24"/>
          <w:szCs w:val="24"/>
        </w:rPr>
        <w:t>“</w:t>
      </w:r>
      <w:r w:rsidR="007978B3" w:rsidRPr="00B86922">
        <w:rPr>
          <w:rFonts w:ascii="Palatino Linotype" w:hAnsi="Palatino Linotype" w:cs="Times New Roman"/>
          <w:bCs/>
          <w:sz w:val="24"/>
          <w:szCs w:val="24"/>
        </w:rPr>
        <w:t>catastrophic</w:t>
      </w:r>
      <w:r w:rsidR="00800C3D">
        <w:rPr>
          <w:rFonts w:ascii="Palatino Linotype" w:hAnsi="Palatino Linotype" w:cs="Times New Roman"/>
          <w:bCs/>
          <w:sz w:val="24"/>
          <w:szCs w:val="24"/>
        </w:rPr>
        <w:t>”</w:t>
      </w:r>
      <w:r w:rsidR="007978B3" w:rsidRPr="00B86922">
        <w:rPr>
          <w:rFonts w:ascii="Palatino Linotype" w:hAnsi="Palatino Linotype" w:cs="Times New Roman"/>
          <w:bCs/>
          <w:sz w:val="24"/>
          <w:szCs w:val="24"/>
          <w:vertAlign w:val="superscript"/>
        </w:rPr>
        <w:footnoteReference w:id="47"/>
      </w:r>
      <w:r w:rsidR="007978B3" w:rsidRPr="00B86922">
        <w:rPr>
          <w:rFonts w:ascii="Palatino Linotype" w:hAnsi="Palatino Linotype" w:cs="Times New Roman"/>
          <w:bCs/>
          <w:sz w:val="24"/>
          <w:szCs w:val="24"/>
        </w:rPr>
        <w:t xml:space="preserve"> and </w:t>
      </w:r>
      <w:r w:rsidR="00800C3D">
        <w:rPr>
          <w:rFonts w:ascii="Palatino Linotype" w:hAnsi="Palatino Linotype" w:cs="Times New Roman"/>
          <w:bCs/>
          <w:sz w:val="24"/>
          <w:szCs w:val="24"/>
        </w:rPr>
        <w:t>“</w:t>
      </w:r>
      <w:r w:rsidR="007978B3" w:rsidRPr="00B86922">
        <w:rPr>
          <w:rFonts w:ascii="Palatino Linotype" w:hAnsi="Palatino Linotype" w:cs="Times New Roman"/>
          <w:bCs/>
          <w:sz w:val="24"/>
          <w:szCs w:val="24"/>
        </w:rPr>
        <w:t>a denial of justice</w:t>
      </w:r>
      <w:r w:rsidR="00800C3D">
        <w:rPr>
          <w:rFonts w:ascii="Palatino Linotype" w:hAnsi="Palatino Linotype" w:cs="Times New Roman"/>
          <w:bCs/>
          <w:sz w:val="24"/>
          <w:szCs w:val="24"/>
        </w:rPr>
        <w:t>”</w:t>
      </w:r>
      <w:r w:rsidR="007978B3" w:rsidRPr="00B86922">
        <w:rPr>
          <w:rFonts w:ascii="Palatino Linotype" w:hAnsi="Palatino Linotype" w:cs="Times New Roman"/>
          <w:bCs/>
          <w:sz w:val="24"/>
          <w:szCs w:val="24"/>
        </w:rPr>
        <w:t>,</w:t>
      </w:r>
      <w:r w:rsidR="007978B3" w:rsidRPr="00B86922">
        <w:rPr>
          <w:rFonts w:ascii="Palatino Linotype" w:hAnsi="Palatino Linotype" w:cs="Times New Roman"/>
          <w:bCs/>
          <w:sz w:val="24"/>
          <w:szCs w:val="24"/>
          <w:vertAlign w:val="superscript"/>
        </w:rPr>
        <w:footnoteReference w:id="48"/>
      </w:r>
      <w:r w:rsidR="007978B3" w:rsidRPr="00B86922">
        <w:rPr>
          <w:rFonts w:ascii="Palatino Linotype" w:hAnsi="Palatino Linotype" w:cs="Times New Roman"/>
          <w:bCs/>
          <w:sz w:val="24"/>
          <w:szCs w:val="24"/>
        </w:rPr>
        <w:t xml:space="preserve"> LASPO 2012 removed several areas from the scope of legal aid, including </w:t>
      </w:r>
      <w:r w:rsidR="007978B3" w:rsidRPr="00B86922">
        <w:rPr>
          <w:rFonts w:ascii="Palatino Linotype" w:hAnsi="Palatino Linotype" w:cs="Times New Roman"/>
          <w:bCs/>
          <w:sz w:val="24"/>
          <w:szCs w:val="24"/>
          <w:lang w:val="en-AU"/>
        </w:rPr>
        <w:t>welfare benefits, debt (unless it relates to housing debt and the home is at immediate risk), and housing law disrepair.</w:t>
      </w:r>
      <w:r w:rsidR="007978B3" w:rsidRPr="00B86922">
        <w:rPr>
          <w:rFonts w:ascii="Palatino Linotype" w:hAnsi="Palatino Linotype" w:cs="Times New Roman"/>
          <w:bCs/>
          <w:sz w:val="24"/>
          <w:szCs w:val="24"/>
          <w:vertAlign w:val="superscript"/>
          <w:lang w:val="en-AU"/>
        </w:rPr>
        <w:footnoteReference w:id="49"/>
      </w:r>
      <w:r w:rsidR="007978B3" w:rsidRPr="00B86922">
        <w:rPr>
          <w:rFonts w:ascii="Palatino Linotype" w:hAnsi="Palatino Linotype" w:cs="Times New Roman"/>
          <w:bCs/>
          <w:sz w:val="24"/>
          <w:szCs w:val="24"/>
          <w:lang w:val="en-AU"/>
        </w:rPr>
        <w:t xml:space="preserve"> </w:t>
      </w:r>
      <w:r w:rsidR="007978B3" w:rsidRPr="00B86922">
        <w:rPr>
          <w:rFonts w:ascii="Palatino Linotype" w:hAnsi="Palatino Linotype" w:cs="Times New Roman"/>
          <w:bCs/>
          <w:sz w:val="24"/>
          <w:szCs w:val="24"/>
        </w:rPr>
        <w:t>Households threatened with a court order for possession remain eligible to apply for legal aid under the debt category</w:t>
      </w:r>
      <w:r w:rsidR="002E6470" w:rsidRPr="00B86922">
        <w:rPr>
          <w:rFonts w:ascii="Palatino Linotype" w:hAnsi="Palatino Linotype" w:cs="Times New Roman"/>
          <w:bCs/>
          <w:sz w:val="24"/>
          <w:szCs w:val="24"/>
        </w:rPr>
        <w:t>,</w:t>
      </w:r>
      <w:r w:rsidR="007978B3" w:rsidRPr="00B86922">
        <w:rPr>
          <w:rFonts w:ascii="Palatino Linotype" w:hAnsi="Palatino Linotype" w:cs="Times New Roman"/>
          <w:bCs/>
          <w:sz w:val="24"/>
          <w:szCs w:val="24"/>
          <w:vertAlign w:val="superscript"/>
        </w:rPr>
        <w:footnoteReference w:id="50"/>
      </w:r>
      <w:r w:rsidR="007978B3" w:rsidRPr="00B86922">
        <w:rPr>
          <w:rFonts w:ascii="Palatino Linotype" w:hAnsi="Palatino Linotype" w:cs="Times New Roman"/>
          <w:bCs/>
          <w:sz w:val="24"/>
          <w:szCs w:val="24"/>
        </w:rPr>
        <w:t xml:space="preserve"> but access to early advice on matters such as managing debt has been severely curtailed.</w:t>
      </w:r>
      <w:r w:rsidR="007978B3" w:rsidRPr="00B86922">
        <w:rPr>
          <w:rFonts w:ascii="Palatino Linotype" w:hAnsi="Palatino Linotype" w:cs="Times New Roman"/>
          <w:bCs/>
          <w:sz w:val="24"/>
          <w:szCs w:val="24"/>
          <w:vertAlign w:val="superscript"/>
        </w:rPr>
        <w:footnoteReference w:id="51"/>
      </w:r>
      <w:r w:rsidR="007978B3" w:rsidRPr="00B86922">
        <w:rPr>
          <w:rFonts w:ascii="Palatino Linotype" w:hAnsi="Palatino Linotype" w:cs="Times New Roman"/>
          <w:bCs/>
          <w:sz w:val="24"/>
          <w:szCs w:val="24"/>
        </w:rPr>
        <w:t xml:space="preserve"> </w:t>
      </w:r>
      <w:r w:rsidR="002E6470" w:rsidRPr="00B86922">
        <w:rPr>
          <w:rFonts w:ascii="Palatino Linotype" w:hAnsi="Palatino Linotype" w:cs="Times New Roman"/>
          <w:bCs/>
          <w:sz w:val="24"/>
          <w:szCs w:val="24"/>
          <w:lang w:val="en-US"/>
        </w:rPr>
        <w:t>Prior to April 2013, occupiers who qualified for legal aid could access civil representation from Law Centres</w:t>
      </w:r>
      <w:r w:rsidR="00A53ACC" w:rsidRPr="00B86922">
        <w:rPr>
          <w:rFonts w:ascii="Palatino Linotype" w:hAnsi="Palatino Linotype" w:cs="Times New Roman"/>
          <w:bCs/>
          <w:sz w:val="24"/>
          <w:szCs w:val="24"/>
          <w:lang w:val="en-US"/>
        </w:rPr>
        <w:t>,</w:t>
      </w:r>
      <w:r w:rsidR="002E6470" w:rsidRPr="00B86922">
        <w:rPr>
          <w:rFonts w:ascii="Palatino Linotype" w:hAnsi="Palatino Linotype" w:cs="Times New Roman"/>
          <w:bCs/>
          <w:sz w:val="24"/>
          <w:szCs w:val="24"/>
          <w:vertAlign w:val="superscript"/>
          <w:lang w:val="en-US"/>
        </w:rPr>
        <w:footnoteReference w:id="52"/>
      </w:r>
      <w:r w:rsidR="002E6470" w:rsidRPr="00B86922">
        <w:rPr>
          <w:rFonts w:ascii="Palatino Linotype" w:hAnsi="Palatino Linotype" w:cs="Times New Roman"/>
          <w:bCs/>
          <w:sz w:val="24"/>
          <w:szCs w:val="24"/>
          <w:lang w:val="en-US"/>
        </w:rPr>
        <w:t xml:space="preserve"> or solicitors that held legal aid contracts. There has, however, been a downward trend in the number of these providers. </w:t>
      </w:r>
      <w:r w:rsidR="002E6470" w:rsidRPr="00B86922">
        <w:rPr>
          <w:rFonts w:ascii="Palatino Linotype" w:hAnsi="Palatino Linotype" w:cs="Times New Roman"/>
          <w:bCs/>
          <w:sz w:val="24"/>
          <w:szCs w:val="24"/>
        </w:rPr>
        <w:t>Evidence to the Justice Select Committee on the impact of LASPO reported that in the first year since its introduction, ten Law Centres closed,</w:t>
      </w:r>
      <w:r w:rsidR="002E6470" w:rsidRPr="00B86922">
        <w:rPr>
          <w:rFonts w:ascii="Palatino Linotype" w:hAnsi="Palatino Linotype" w:cs="Times New Roman"/>
          <w:bCs/>
          <w:sz w:val="24"/>
          <w:szCs w:val="24"/>
          <w:vertAlign w:val="superscript"/>
        </w:rPr>
        <w:footnoteReference w:id="53"/>
      </w:r>
      <w:r w:rsidR="002E6470" w:rsidRPr="00B86922">
        <w:rPr>
          <w:rFonts w:ascii="Palatino Linotype" w:hAnsi="Palatino Linotype" w:cs="Times New Roman"/>
          <w:bCs/>
          <w:sz w:val="24"/>
          <w:szCs w:val="24"/>
        </w:rPr>
        <w:t xml:space="preserve"> and there was a downsizing of solicitor’s firms doing legal aid work</w:t>
      </w:r>
      <w:r w:rsidR="002E6470" w:rsidRPr="00B86922">
        <w:rPr>
          <w:rFonts w:ascii="Palatino Linotype" w:hAnsi="Palatino Linotype" w:cs="Times New Roman"/>
          <w:bCs/>
          <w:sz w:val="24"/>
          <w:szCs w:val="24"/>
          <w:vertAlign w:val="superscript"/>
        </w:rPr>
        <w:footnoteReference w:id="54"/>
      </w:r>
      <w:r w:rsidR="002E6470" w:rsidRPr="00B86922">
        <w:rPr>
          <w:rFonts w:ascii="Palatino Linotype" w:hAnsi="Palatino Linotype" w:cs="Times New Roman"/>
          <w:bCs/>
          <w:sz w:val="24"/>
          <w:szCs w:val="24"/>
        </w:rPr>
        <w:t xml:space="preserve"> </w:t>
      </w:r>
      <w:r w:rsidR="002E6470" w:rsidRPr="00B86922">
        <w:rPr>
          <w:rFonts w:ascii="Palatino Linotype" w:hAnsi="Palatino Linotype" w:cs="Times New Roman"/>
          <w:bCs/>
          <w:sz w:val="24"/>
          <w:szCs w:val="24"/>
          <w:lang w:val="en-US"/>
        </w:rPr>
        <w:t xml:space="preserve">leading to a </w:t>
      </w:r>
      <w:r w:rsidR="002E6470" w:rsidRPr="00B86922">
        <w:rPr>
          <w:rFonts w:ascii="Palatino Linotype" w:hAnsi="Palatino Linotype" w:cs="Times New Roman"/>
          <w:bCs/>
          <w:sz w:val="24"/>
          <w:szCs w:val="24"/>
        </w:rPr>
        <w:t xml:space="preserve">growth in </w:t>
      </w:r>
      <w:r w:rsidR="00800C3D">
        <w:rPr>
          <w:rFonts w:ascii="Palatino Linotype" w:hAnsi="Palatino Linotype" w:cs="Times New Roman"/>
          <w:bCs/>
          <w:sz w:val="24"/>
          <w:szCs w:val="24"/>
        </w:rPr>
        <w:t>“</w:t>
      </w:r>
      <w:r w:rsidR="002E6470" w:rsidRPr="00B86922">
        <w:rPr>
          <w:rFonts w:ascii="Palatino Linotype" w:hAnsi="Palatino Linotype" w:cs="Times New Roman"/>
          <w:bCs/>
          <w:sz w:val="24"/>
          <w:szCs w:val="24"/>
        </w:rPr>
        <w:t>advice deserts</w:t>
      </w:r>
      <w:r w:rsidR="00800C3D">
        <w:rPr>
          <w:rFonts w:ascii="Palatino Linotype" w:hAnsi="Palatino Linotype" w:cs="Times New Roman"/>
          <w:bCs/>
          <w:sz w:val="24"/>
          <w:szCs w:val="24"/>
        </w:rPr>
        <w:t>”</w:t>
      </w:r>
      <w:r w:rsidR="002E6470" w:rsidRPr="00B86922">
        <w:rPr>
          <w:rFonts w:ascii="Palatino Linotype" w:hAnsi="Palatino Linotype" w:cs="Times New Roman"/>
          <w:bCs/>
          <w:sz w:val="24"/>
          <w:szCs w:val="24"/>
        </w:rPr>
        <w:t>.</w:t>
      </w:r>
      <w:r w:rsidR="002E6470" w:rsidRPr="00B86922">
        <w:rPr>
          <w:rFonts w:ascii="Palatino Linotype" w:hAnsi="Palatino Linotype" w:cs="Times New Roman"/>
          <w:bCs/>
          <w:sz w:val="24"/>
          <w:szCs w:val="24"/>
          <w:vertAlign w:val="superscript"/>
        </w:rPr>
        <w:footnoteReference w:id="55"/>
      </w:r>
      <w:r w:rsidR="002E6470" w:rsidRPr="00B86922">
        <w:rPr>
          <w:rFonts w:ascii="Palatino Linotype" w:hAnsi="Palatino Linotype" w:cs="Times New Roman"/>
          <w:bCs/>
          <w:sz w:val="24"/>
          <w:szCs w:val="24"/>
        </w:rPr>
        <w:t xml:space="preserve"> </w:t>
      </w:r>
      <w:r w:rsidR="007978B3" w:rsidRPr="00B86922">
        <w:rPr>
          <w:rFonts w:ascii="Palatino Linotype" w:hAnsi="Palatino Linotype" w:cs="Times New Roman"/>
          <w:bCs/>
          <w:sz w:val="24"/>
          <w:szCs w:val="24"/>
        </w:rPr>
        <w:t>The inability of occupiers to access legally aided adv</w:t>
      </w:r>
      <w:r w:rsidR="002E6470" w:rsidRPr="00B86922">
        <w:rPr>
          <w:rFonts w:ascii="Palatino Linotype" w:hAnsi="Palatino Linotype" w:cs="Times New Roman"/>
          <w:bCs/>
          <w:sz w:val="24"/>
          <w:szCs w:val="24"/>
        </w:rPr>
        <w:t>ice prior to their court hearing</w:t>
      </w:r>
      <w:r w:rsidR="007978B3" w:rsidRPr="00B86922">
        <w:rPr>
          <w:rFonts w:ascii="Palatino Linotype" w:hAnsi="Palatino Linotype" w:cs="Times New Roman"/>
          <w:bCs/>
          <w:sz w:val="24"/>
          <w:szCs w:val="24"/>
        </w:rPr>
        <w:t xml:space="preserve"> is likely to undermine their ability to identify and access defences to possession. An Article 8 defence on the grounds of lack of proportionality, for example, must be pleaded and sufficiently particularised to show that it reaches the high threshold of being seriously arguably.</w:t>
      </w:r>
      <w:r w:rsidR="007978B3" w:rsidRPr="00B86922">
        <w:rPr>
          <w:rFonts w:ascii="Palatino Linotype" w:hAnsi="Palatino Linotype" w:cs="Times New Roman"/>
          <w:bCs/>
          <w:sz w:val="24"/>
          <w:szCs w:val="24"/>
          <w:vertAlign w:val="superscript"/>
        </w:rPr>
        <w:footnoteReference w:id="56"/>
      </w:r>
      <w:r w:rsidR="007978B3" w:rsidRPr="00B86922">
        <w:rPr>
          <w:rFonts w:ascii="Palatino Linotype" w:hAnsi="Palatino Linotype" w:cs="Times New Roman"/>
          <w:bCs/>
          <w:sz w:val="24"/>
          <w:szCs w:val="24"/>
        </w:rPr>
        <w:t xml:space="preserve"> It is unlikely, in the few minutes that HPCDS representatives have during busy possession lists</w:t>
      </w:r>
      <w:r w:rsidR="007978B3" w:rsidRPr="00B86922">
        <w:rPr>
          <w:rStyle w:val="FootnoteReference"/>
          <w:rFonts w:ascii="Palatino Linotype" w:hAnsi="Palatino Linotype" w:cs="Times New Roman"/>
          <w:bCs/>
          <w:sz w:val="24"/>
          <w:szCs w:val="24"/>
        </w:rPr>
        <w:footnoteReference w:id="57"/>
      </w:r>
      <w:r w:rsidR="007978B3" w:rsidRPr="00B86922">
        <w:rPr>
          <w:rFonts w:ascii="Palatino Linotype" w:hAnsi="Palatino Linotype" w:cs="Times New Roman"/>
          <w:bCs/>
          <w:sz w:val="24"/>
          <w:szCs w:val="24"/>
        </w:rPr>
        <w:t xml:space="preserve"> that they will be able to elicit information from the occupier sufficient to enable them to identify a potential defence.</w:t>
      </w:r>
    </w:p>
    <w:p w14:paraId="71C28BF8"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4F808F38" w14:textId="77777777" w:rsidR="0085457A" w:rsidRPr="00B86922" w:rsidRDefault="007978B3"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Attendance is signifi</w:t>
      </w:r>
      <w:r w:rsidR="00F80220" w:rsidRPr="00B86922">
        <w:rPr>
          <w:rFonts w:ascii="Palatino Linotype" w:hAnsi="Palatino Linotype" w:cs="Times New Roman"/>
          <w:bCs/>
          <w:sz w:val="24"/>
          <w:szCs w:val="24"/>
        </w:rPr>
        <w:t>cant also for the reason that it</w:t>
      </w:r>
      <w:r w:rsidRPr="00B86922">
        <w:rPr>
          <w:rFonts w:ascii="Palatino Linotype" w:hAnsi="Palatino Linotype" w:cs="Times New Roman"/>
          <w:bCs/>
          <w:sz w:val="24"/>
          <w:szCs w:val="24"/>
        </w:rPr>
        <w:t xml:space="preserve"> provides an opportunity</w:t>
      </w:r>
      <w:r w:rsidR="006A7B67" w:rsidRPr="00B86922">
        <w:rPr>
          <w:rFonts w:ascii="Palatino Linotype" w:hAnsi="Palatino Linotype" w:cs="Times New Roman"/>
          <w:bCs/>
          <w:sz w:val="24"/>
          <w:szCs w:val="24"/>
        </w:rPr>
        <w:t xml:space="preserve"> for the occupier to inform the judge about his or her personal situation. </w:t>
      </w:r>
      <w:r w:rsidR="0085457A" w:rsidRPr="00B86922">
        <w:rPr>
          <w:rFonts w:ascii="Palatino Linotype" w:hAnsi="Palatino Linotype" w:cs="Times New Roman"/>
          <w:bCs/>
          <w:sz w:val="24"/>
          <w:szCs w:val="24"/>
        </w:rPr>
        <w:t xml:space="preserve">As </w:t>
      </w:r>
      <w:r w:rsidR="006A7B67" w:rsidRPr="00B86922">
        <w:rPr>
          <w:rFonts w:ascii="Palatino Linotype" w:hAnsi="Palatino Linotype" w:cs="Times New Roman"/>
          <w:bCs/>
          <w:sz w:val="24"/>
          <w:szCs w:val="24"/>
        </w:rPr>
        <w:t>a quote from a judge taken from</w:t>
      </w:r>
      <w:r w:rsidR="00F80220" w:rsidRPr="00B86922">
        <w:rPr>
          <w:rFonts w:ascii="Palatino Linotype" w:hAnsi="Palatino Linotype" w:cs="Times New Roman"/>
          <w:bCs/>
          <w:sz w:val="24"/>
          <w:szCs w:val="24"/>
        </w:rPr>
        <w:t xml:space="preserve"> </w:t>
      </w:r>
      <w:r w:rsidR="006A7B67" w:rsidRPr="00B86922">
        <w:rPr>
          <w:rFonts w:ascii="Palatino Linotype" w:hAnsi="Palatino Linotype" w:cs="Times New Roman"/>
          <w:bCs/>
          <w:sz w:val="24"/>
          <w:szCs w:val="24"/>
        </w:rPr>
        <w:t>Bright and Whitehouse’s report mak</w:t>
      </w:r>
      <w:r w:rsidR="0085457A" w:rsidRPr="00B86922">
        <w:rPr>
          <w:rFonts w:ascii="Palatino Linotype" w:hAnsi="Palatino Linotype" w:cs="Times New Roman"/>
          <w:bCs/>
          <w:sz w:val="24"/>
          <w:szCs w:val="24"/>
        </w:rPr>
        <w:t>e</w:t>
      </w:r>
      <w:r w:rsidR="006A7B67" w:rsidRPr="00B86922">
        <w:rPr>
          <w:rFonts w:ascii="Palatino Linotype" w:hAnsi="Palatino Linotype" w:cs="Times New Roman"/>
          <w:bCs/>
          <w:sz w:val="24"/>
          <w:szCs w:val="24"/>
        </w:rPr>
        <w:t>s</w:t>
      </w:r>
      <w:r w:rsidR="0085457A" w:rsidRPr="00B86922">
        <w:rPr>
          <w:rFonts w:ascii="Palatino Linotype" w:hAnsi="Palatino Linotype" w:cs="Times New Roman"/>
          <w:bCs/>
          <w:sz w:val="24"/>
          <w:szCs w:val="24"/>
        </w:rPr>
        <w:t xml:space="preserve"> clear,</w:t>
      </w:r>
      <w:r w:rsidR="006A7B67" w:rsidRPr="00B86922">
        <w:rPr>
          <w:rFonts w:ascii="Palatino Linotype" w:hAnsi="Palatino Linotype" w:cs="Times New Roman"/>
          <w:bCs/>
          <w:sz w:val="24"/>
          <w:szCs w:val="24"/>
        </w:rPr>
        <w:t xml:space="preserve"> the circumstances of the occupier are,</w:t>
      </w:r>
    </w:p>
    <w:p w14:paraId="22D58378" w14:textId="15F85EA9" w:rsidR="0085457A" w:rsidRPr="00B86922" w:rsidRDefault="006A7B67" w:rsidP="001B49ED">
      <w:pPr>
        <w:spacing w:after="120" w:line="480" w:lineRule="auto"/>
        <w:ind w:left="720" w:right="804"/>
        <w:jc w:val="both"/>
        <w:rPr>
          <w:rFonts w:ascii="Palatino Linotype" w:hAnsi="Palatino Linotype" w:cs="Times New Roman"/>
          <w:bCs/>
          <w:sz w:val="24"/>
          <w:szCs w:val="24"/>
        </w:rPr>
      </w:pPr>
      <w:r w:rsidRPr="00B86922">
        <w:rPr>
          <w:rFonts w:ascii="Palatino Linotype" w:hAnsi="Palatino Linotype" w:cs="Times New Roman"/>
          <w:bCs/>
          <w:sz w:val="24"/>
          <w:szCs w:val="24"/>
        </w:rPr>
        <w:t>...</w:t>
      </w:r>
      <w:r w:rsidR="00B56381">
        <w:rPr>
          <w:rFonts w:ascii="Palatino Linotype" w:hAnsi="Palatino Linotype" w:cs="Times New Roman"/>
          <w:bCs/>
          <w:sz w:val="24"/>
          <w:szCs w:val="24"/>
        </w:rPr>
        <w:t xml:space="preserve"> </w:t>
      </w:r>
      <w:r w:rsidR="0085457A" w:rsidRPr="00B86922">
        <w:rPr>
          <w:rFonts w:ascii="Palatino Linotype" w:hAnsi="Palatino Linotype" w:cs="Times New Roman"/>
          <w:bCs/>
          <w:sz w:val="24"/>
          <w:szCs w:val="24"/>
        </w:rPr>
        <w:t>absolutely essential...</w:t>
      </w:r>
      <w:r w:rsidR="00B56381">
        <w:rPr>
          <w:rFonts w:ascii="Palatino Linotype" w:hAnsi="Palatino Linotype" w:cs="Times New Roman"/>
          <w:bCs/>
          <w:sz w:val="24"/>
          <w:szCs w:val="24"/>
        </w:rPr>
        <w:t xml:space="preserve"> </w:t>
      </w:r>
      <w:r w:rsidR="0085457A" w:rsidRPr="00B86922">
        <w:rPr>
          <w:rFonts w:ascii="Palatino Linotype" w:hAnsi="Palatino Linotype" w:cs="Times New Roman"/>
          <w:bCs/>
          <w:sz w:val="24"/>
          <w:szCs w:val="24"/>
        </w:rPr>
        <w:t>it goes to the issue of reasonableness at the end of the day, what somebody’s personal circumstances are, if they’ve had an awful situation with one of their kids being taken into care, or they’ve got problems that one of their children has mental health issues. I mean, mental health issues are a big issue because then it’s very difficult for people to manage their affairs at all. So yes, I think they are very important.</w:t>
      </w:r>
      <w:r w:rsidR="0085457A" w:rsidRPr="00B86922">
        <w:rPr>
          <w:rFonts w:ascii="Palatino Linotype" w:hAnsi="Palatino Linotype" w:cs="Times New Roman"/>
          <w:bCs/>
          <w:sz w:val="24"/>
          <w:szCs w:val="24"/>
          <w:vertAlign w:val="superscript"/>
        </w:rPr>
        <w:footnoteReference w:id="58"/>
      </w:r>
    </w:p>
    <w:p w14:paraId="3CA3A58A" w14:textId="77777777" w:rsidR="002E27B8" w:rsidRPr="00B86922" w:rsidRDefault="00200277"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The concern therefore is that the low level of participation by occupiers coupled with their inability to access legal advice prior to their hearing means that they might not be accessing the full range of protective measures available to them.</w:t>
      </w:r>
    </w:p>
    <w:p w14:paraId="6D12644A" w14:textId="77777777" w:rsidR="00F80414" w:rsidRPr="00B86922" w:rsidRDefault="00F80414" w:rsidP="00B86922">
      <w:pPr>
        <w:spacing w:after="120" w:line="480" w:lineRule="auto"/>
        <w:jc w:val="both"/>
        <w:rPr>
          <w:rFonts w:ascii="Palatino Linotype" w:hAnsi="Palatino Linotype" w:cs="Times New Roman"/>
          <w:bCs/>
          <w:sz w:val="24"/>
          <w:szCs w:val="24"/>
        </w:rPr>
      </w:pPr>
    </w:p>
    <w:p w14:paraId="759E5DD2" w14:textId="77777777" w:rsidR="00246391" w:rsidRPr="00B86922" w:rsidRDefault="00246391"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In terms of trying to understand why occupiers do not engage in this process, evidence is relatively scant. For some occupiers, acknowledging the problems they are experiencing (which can include not only debt but also bereavement, unemployment, relationship breakdown, mental health issues, etc.)</w:t>
      </w:r>
      <w:r w:rsidR="001B5823" w:rsidRPr="00B86922">
        <w:rPr>
          <w:rStyle w:val="FootnoteReference"/>
          <w:rFonts w:ascii="Palatino Linotype" w:hAnsi="Palatino Linotype" w:cs="Times New Roman"/>
          <w:bCs/>
          <w:sz w:val="24"/>
          <w:szCs w:val="24"/>
        </w:rPr>
        <w:footnoteReference w:id="59"/>
      </w:r>
      <w:r w:rsidRPr="00B86922">
        <w:rPr>
          <w:rFonts w:ascii="Palatino Linotype" w:hAnsi="Palatino Linotype" w:cs="Times New Roman"/>
          <w:bCs/>
          <w:sz w:val="24"/>
          <w:szCs w:val="24"/>
        </w:rPr>
        <w:t xml:space="preserve"> can prove difficult, resulting in a failure to respond to their landlord or lender’s attempts at communication. The MOJ observes </w:t>
      </w:r>
      <w:r w:rsidRPr="00B86922">
        <w:rPr>
          <w:rFonts w:ascii="Palatino Linotype" w:hAnsi="Palatino Linotype" w:cs="Times New Roman"/>
          <w:bCs/>
          <w:sz w:val="24"/>
          <w:szCs w:val="24"/>
          <w:lang w:val="en-US"/>
        </w:rPr>
        <w:t xml:space="preserve">that </w:t>
      </w:r>
      <w:r w:rsidR="00800C3D">
        <w:rPr>
          <w:rFonts w:ascii="Palatino Linotype" w:hAnsi="Palatino Linotype" w:cs="Times New Roman"/>
          <w:bCs/>
          <w:sz w:val="24"/>
          <w:szCs w:val="24"/>
          <w:lang w:val="en-US"/>
        </w:rPr>
        <w:t>“</w:t>
      </w:r>
      <w:r w:rsidRPr="00B86922">
        <w:rPr>
          <w:rFonts w:ascii="Palatino Linotype" w:hAnsi="Palatino Linotype" w:cs="Times New Roman"/>
          <w:bCs/>
          <w:sz w:val="24"/>
          <w:szCs w:val="24"/>
          <w:lang w:val="en-US"/>
        </w:rPr>
        <w:t>individuals in debt are a group that is difficult to access, and they behave in unpredictable ways; they rarely seek advice and information from the sources that can help</w:t>
      </w:r>
      <w:r w:rsidR="00800C3D">
        <w:rPr>
          <w:rFonts w:ascii="Palatino Linotype" w:hAnsi="Palatino Linotype" w:cs="Times New Roman"/>
          <w:bCs/>
          <w:sz w:val="24"/>
          <w:szCs w:val="24"/>
          <w:lang w:val="en-US"/>
        </w:rPr>
        <w:t>”</w:t>
      </w:r>
      <w:bookmarkStart w:id="1" w:name="_Ref385287698"/>
      <w:r w:rsidR="00800C3D" w:rsidRPr="00800C3D">
        <w:rPr>
          <w:rFonts w:ascii="Palatino Linotype" w:hAnsi="Palatino Linotype" w:cs="Times New Roman"/>
          <w:bCs/>
          <w:sz w:val="24"/>
          <w:szCs w:val="24"/>
          <w:vertAlign w:val="superscript"/>
          <w:lang w:val="en-US"/>
        </w:rPr>
        <w:t xml:space="preserve"> </w:t>
      </w:r>
      <w:r w:rsidR="00800C3D" w:rsidRPr="00B86922">
        <w:rPr>
          <w:rFonts w:ascii="Palatino Linotype" w:hAnsi="Palatino Linotype" w:cs="Times New Roman"/>
          <w:bCs/>
          <w:sz w:val="24"/>
          <w:szCs w:val="24"/>
          <w:vertAlign w:val="superscript"/>
          <w:lang w:val="en-US"/>
        </w:rPr>
        <w:footnoteReference w:id="60"/>
      </w:r>
      <w:bookmarkEnd w:id="1"/>
      <w:r w:rsidRPr="00B86922">
        <w:rPr>
          <w:rFonts w:ascii="Palatino Linotype" w:hAnsi="Palatino Linotype" w:cs="Times New Roman"/>
          <w:bCs/>
          <w:sz w:val="24"/>
          <w:szCs w:val="24"/>
          <w:lang w:val="en-US"/>
        </w:rPr>
        <w:t xml:space="preserve">. Some describe this as the </w:t>
      </w:r>
      <w:r w:rsidR="00800C3D">
        <w:rPr>
          <w:rFonts w:ascii="Palatino Linotype" w:hAnsi="Palatino Linotype" w:cs="Times New Roman"/>
          <w:bCs/>
          <w:sz w:val="24"/>
          <w:szCs w:val="24"/>
          <w:lang w:val="en-US"/>
        </w:rPr>
        <w:t>“</w:t>
      </w:r>
      <w:r w:rsidRPr="00B86922">
        <w:rPr>
          <w:rFonts w:ascii="Palatino Linotype" w:hAnsi="Palatino Linotype" w:cs="Times New Roman"/>
          <w:bCs/>
          <w:sz w:val="24"/>
          <w:szCs w:val="24"/>
          <w:lang w:val="en-US"/>
        </w:rPr>
        <w:t>ostrich effect</w:t>
      </w:r>
      <w:r w:rsidR="00800C3D">
        <w:rPr>
          <w:rFonts w:ascii="Palatino Linotype" w:hAnsi="Palatino Linotype" w:cs="Times New Roman"/>
          <w:bCs/>
          <w:sz w:val="24"/>
          <w:szCs w:val="24"/>
          <w:lang w:val="en-US"/>
        </w:rPr>
        <w:t>”</w:t>
      </w:r>
      <w:r w:rsidR="00800C3D" w:rsidRPr="00800C3D">
        <w:rPr>
          <w:rFonts w:ascii="Palatino Linotype" w:hAnsi="Palatino Linotype" w:cs="Times New Roman"/>
          <w:bCs/>
          <w:sz w:val="24"/>
          <w:szCs w:val="24"/>
          <w:vertAlign w:val="superscript"/>
          <w:lang w:val="en-US"/>
        </w:rPr>
        <w:t xml:space="preserve"> </w:t>
      </w:r>
      <w:r w:rsidR="00800C3D" w:rsidRPr="00B86922">
        <w:rPr>
          <w:rFonts w:ascii="Palatino Linotype" w:hAnsi="Palatino Linotype" w:cs="Times New Roman"/>
          <w:bCs/>
          <w:sz w:val="24"/>
          <w:szCs w:val="24"/>
          <w:vertAlign w:val="superscript"/>
          <w:lang w:val="en-US"/>
        </w:rPr>
        <w:footnoteReference w:id="61"/>
      </w:r>
      <w:r w:rsidRPr="00B86922">
        <w:rPr>
          <w:rFonts w:ascii="Palatino Linotype" w:hAnsi="Palatino Linotype" w:cs="Times New Roman"/>
          <w:bCs/>
          <w:sz w:val="24"/>
          <w:szCs w:val="24"/>
          <w:lang w:val="en-US"/>
        </w:rPr>
        <w:t xml:space="preserve">, </w:t>
      </w:r>
      <w:r w:rsidR="006270F1" w:rsidRPr="00B86922">
        <w:rPr>
          <w:rFonts w:ascii="Palatino Linotype" w:hAnsi="Palatino Linotype" w:cs="Times New Roman"/>
          <w:bCs/>
          <w:sz w:val="24"/>
          <w:szCs w:val="24"/>
          <w:lang w:val="en-US"/>
        </w:rPr>
        <w:t>with a Shelter/YouGov survey finding</w:t>
      </w:r>
      <w:r w:rsidRPr="00B86922">
        <w:rPr>
          <w:rFonts w:ascii="Palatino Linotype" w:hAnsi="Palatino Linotype" w:cs="Times New Roman"/>
          <w:bCs/>
          <w:sz w:val="24"/>
          <w:szCs w:val="24"/>
          <w:lang w:val="en-US"/>
        </w:rPr>
        <w:t xml:space="preserve"> that </w:t>
      </w:r>
      <w:r w:rsidRPr="00B86922">
        <w:rPr>
          <w:rFonts w:ascii="Palatino Linotype" w:hAnsi="Palatino Linotype" w:cs="Times New Roman"/>
          <w:bCs/>
          <w:sz w:val="24"/>
          <w:szCs w:val="24"/>
        </w:rPr>
        <w:t>18% of those surveyed said they would not open their post in case it was a bill or a late payment reminder</w:t>
      </w:r>
      <w:r w:rsidR="00800C3D" w:rsidRPr="00B86922">
        <w:rPr>
          <w:rFonts w:ascii="Palatino Linotype" w:hAnsi="Palatino Linotype" w:cs="Times New Roman"/>
          <w:bCs/>
          <w:sz w:val="24"/>
          <w:szCs w:val="24"/>
          <w:vertAlign w:val="superscript"/>
          <w:lang w:val="en-US"/>
        </w:rPr>
        <w:footnoteReference w:id="62"/>
      </w:r>
      <w:r w:rsidRPr="00B86922">
        <w:rPr>
          <w:rFonts w:ascii="Palatino Linotype" w:hAnsi="Palatino Linotype" w:cs="Times New Roman"/>
          <w:bCs/>
          <w:sz w:val="24"/>
          <w:szCs w:val="24"/>
        </w:rPr>
        <w:t xml:space="preserve">. </w:t>
      </w:r>
    </w:p>
    <w:p w14:paraId="578233B4" w14:textId="77777777" w:rsidR="00F80414" w:rsidRPr="00B86922" w:rsidRDefault="00F80414" w:rsidP="00B86922">
      <w:pPr>
        <w:spacing w:after="120" w:line="480" w:lineRule="auto"/>
        <w:jc w:val="both"/>
        <w:rPr>
          <w:rFonts w:ascii="Palatino Linotype" w:hAnsi="Palatino Linotype" w:cs="Times New Roman"/>
          <w:sz w:val="24"/>
          <w:szCs w:val="24"/>
        </w:rPr>
      </w:pPr>
    </w:p>
    <w:p w14:paraId="39066851" w14:textId="77777777" w:rsidR="00234F2C" w:rsidRPr="001B49ED" w:rsidRDefault="00556A09" w:rsidP="00B86922">
      <w:pPr>
        <w:spacing w:before="240" w:after="240" w:line="480" w:lineRule="auto"/>
        <w:jc w:val="both"/>
        <w:rPr>
          <w:rFonts w:ascii="Palatino Linotype" w:hAnsi="Palatino Linotype" w:cs="Times New Roman"/>
          <w:b/>
          <w:bCs/>
          <w:sz w:val="24"/>
          <w:szCs w:val="24"/>
        </w:rPr>
      </w:pPr>
      <w:r w:rsidRPr="001B49ED">
        <w:rPr>
          <w:rFonts w:ascii="Palatino Linotype" w:hAnsi="Palatino Linotype" w:cs="Times New Roman"/>
          <w:b/>
          <w:bCs/>
          <w:sz w:val="24"/>
          <w:szCs w:val="24"/>
        </w:rPr>
        <w:t>Adjournments</w:t>
      </w:r>
    </w:p>
    <w:p w14:paraId="45DCC2CB" w14:textId="5B8E639A" w:rsidR="008F7295" w:rsidRPr="00EB3875" w:rsidRDefault="007978B3"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In addition to the apparent non-engagement of a large number of occupiers in housing possession cases there is also evidence to suggest that a large number of hearings are adjourned.</w:t>
      </w:r>
      <w:r w:rsidR="00E573BA" w:rsidRPr="00B86922">
        <w:rPr>
          <w:rFonts w:ascii="Palatino Linotype" w:hAnsi="Palatino Linotype" w:cs="Times New Roman"/>
          <w:bCs/>
          <w:sz w:val="24"/>
          <w:szCs w:val="24"/>
          <w:vertAlign w:val="superscript"/>
        </w:rPr>
        <w:footnoteReference w:id="63"/>
      </w:r>
      <w:r w:rsidR="00E573BA" w:rsidRPr="00B86922">
        <w:rPr>
          <w:rFonts w:ascii="Palatino Linotype" w:hAnsi="Palatino Linotype" w:cs="Times New Roman"/>
          <w:bCs/>
          <w:sz w:val="24"/>
          <w:szCs w:val="24"/>
          <w:lang w:val="en-US"/>
        </w:rPr>
        <w:t xml:space="preserve"> </w:t>
      </w:r>
      <w:r w:rsidRPr="00B86922">
        <w:rPr>
          <w:rFonts w:ascii="Palatino Linotype" w:hAnsi="Palatino Linotype" w:cs="Times New Roman"/>
          <w:bCs/>
          <w:sz w:val="24"/>
          <w:szCs w:val="24"/>
          <w:lang w:val="en-US"/>
        </w:rPr>
        <w:t>Whitehouse et al</w:t>
      </w:r>
      <w:r w:rsidR="00EB3875">
        <w:rPr>
          <w:rFonts w:ascii="Palatino Linotype" w:hAnsi="Palatino Linotype" w:cs="Times New Roman"/>
          <w:bCs/>
          <w:sz w:val="24"/>
          <w:szCs w:val="24"/>
          <w:lang w:val="en-US"/>
        </w:rPr>
        <w:t>.</w:t>
      </w:r>
      <w:r w:rsidRPr="00B86922">
        <w:rPr>
          <w:rFonts w:ascii="Palatino Linotype" w:hAnsi="Palatino Linotype" w:cs="Times New Roman"/>
          <w:bCs/>
          <w:sz w:val="24"/>
          <w:szCs w:val="24"/>
          <w:lang w:val="en-US"/>
        </w:rPr>
        <w:t xml:space="preserve">’s recent study, for example, </w:t>
      </w:r>
      <w:r w:rsidR="00E573BA" w:rsidRPr="00B86922">
        <w:rPr>
          <w:rFonts w:ascii="Palatino Linotype" w:hAnsi="Palatino Linotype" w:cs="Times New Roman"/>
          <w:bCs/>
          <w:sz w:val="24"/>
          <w:szCs w:val="24"/>
        </w:rPr>
        <w:t xml:space="preserve">found that </w:t>
      </w:r>
      <w:r w:rsidR="00577B6D" w:rsidRPr="00B86922">
        <w:rPr>
          <w:rFonts w:ascii="Palatino Linotype" w:hAnsi="Palatino Linotype" w:cs="Times New Roman"/>
          <w:bCs/>
          <w:sz w:val="24"/>
          <w:szCs w:val="24"/>
        </w:rPr>
        <w:t xml:space="preserve">37% of the cases they studied resulted in an </w:t>
      </w:r>
      <w:r w:rsidR="00E573BA" w:rsidRPr="00B86922">
        <w:rPr>
          <w:rFonts w:ascii="Palatino Linotype" w:hAnsi="Palatino Linotype" w:cs="Times New Roman"/>
          <w:bCs/>
          <w:sz w:val="24"/>
          <w:szCs w:val="24"/>
        </w:rPr>
        <w:t>adjournment.</w:t>
      </w:r>
      <w:r w:rsidR="00F70EDB" w:rsidRPr="00B86922">
        <w:rPr>
          <w:rStyle w:val="FootnoteReference"/>
          <w:rFonts w:ascii="Palatino Linotype" w:hAnsi="Palatino Linotype" w:cs="Times New Roman"/>
          <w:sz w:val="24"/>
          <w:szCs w:val="24"/>
        </w:rPr>
        <w:footnoteReference w:id="64"/>
      </w:r>
      <w:r w:rsidR="00E573BA"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rPr>
        <w:t xml:space="preserve">This suggests that </w:t>
      </w:r>
      <w:r w:rsidR="00E573BA" w:rsidRPr="00B86922">
        <w:rPr>
          <w:rFonts w:ascii="Palatino Linotype" w:hAnsi="Palatino Linotype" w:cs="Times New Roman"/>
          <w:bCs/>
          <w:sz w:val="24"/>
          <w:szCs w:val="24"/>
        </w:rPr>
        <w:t>a considerable amount of time and resources, for the judiciary, parties, cour</w:t>
      </w:r>
      <w:r w:rsidRPr="00B86922">
        <w:rPr>
          <w:rFonts w:ascii="Palatino Linotype" w:hAnsi="Palatino Linotype" w:cs="Times New Roman"/>
          <w:bCs/>
          <w:sz w:val="24"/>
          <w:szCs w:val="24"/>
        </w:rPr>
        <w:t>t staff, and representatives, may be</w:t>
      </w:r>
      <w:r w:rsidR="00E573BA" w:rsidRPr="00B86922">
        <w:rPr>
          <w:rFonts w:ascii="Palatino Linotype" w:hAnsi="Palatino Linotype" w:cs="Times New Roman"/>
          <w:bCs/>
          <w:sz w:val="24"/>
          <w:szCs w:val="24"/>
        </w:rPr>
        <w:t xml:space="preserve"> being spent on cases that are not resolved. </w:t>
      </w:r>
      <w:r w:rsidRPr="00B86922">
        <w:rPr>
          <w:rFonts w:ascii="Palatino Linotype" w:hAnsi="Palatino Linotype" w:cs="Times New Roman"/>
          <w:bCs/>
          <w:sz w:val="24"/>
          <w:szCs w:val="24"/>
        </w:rPr>
        <w:t xml:space="preserve">As regards the reasons for adjournments, </w:t>
      </w:r>
      <w:r w:rsidR="00E573BA" w:rsidRPr="00B86922">
        <w:rPr>
          <w:rFonts w:ascii="Palatino Linotype" w:hAnsi="Palatino Linotype" w:cs="Times New Roman"/>
          <w:bCs/>
          <w:sz w:val="24"/>
          <w:szCs w:val="24"/>
        </w:rPr>
        <w:t>Hunter</w:t>
      </w:r>
      <w:r w:rsidRPr="00B86922">
        <w:rPr>
          <w:rFonts w:ascii="Palatino Linotype" w:hAnsi="Palatino Linotype" w:cs="Times New Roman"/>
          <w:bCs/>
          <w:sz w:val="24"/>
          <w:szCs w:val="24"/>
        </w:rPr>
        <w:t xml:space="preserve"> et al found that they related to</w:t>
      </w:r>
      <w:r w:rsidR="00E573BA" w:rsidRPr="00B86922">
        <w:rPr>
          <w:rFonts w:ascii="Palatino Linotype" w:hAnsi="Palatino Linotype" w:cs="Times New Roman"/>
          <w:bCs/>
          <w:sz w:val="24"/>
          <w:szCs w:val="24"/>
        </w:rPr>
        <w:t xml:space="preserve"> unresolved housing benefit issues;</w:t>
      </w:r>
      <w:r w:rsidR="00E573BA" w:rsidRPr="00B86922">
        <w:rPr>
          <w:rFonts w:ascii="Palatino Linotype" w:hAnsi="Palatino Linotype" w:cs="Times New Roman"/>
          <w:bCs/>
          <w:sz w:val="24"/>
          <w:szCs w:val="24"/>
          <w:vertAlign w:val="superscript"/>
        </w:rPr>
        <w:footnoteReference w:id="65"/>
      </w:r>
      <w:r w:rsidR="00E573BA" w:rsidRPr="00B86922">
        <w:rPr>
          <w:rFonts w:ascii="Palatino Linotype" w:hAnsi="Palatino Linotype" w:cs="Times New Roman"/>
          <w:bCs/>
          <w:sz w:val="24"/>
          <w:szCs w:val="24"/>
        </w:rPr>
        <w:t xml:space="preserve"> tenant representation;</w:t>
      </w:r>
      <w:r w:rsidR="00E573BA" w:rsidRPr="00B86922">
        <w:rPr>
          <w:rFonts w:ascii="Palatino Linotype" w:hAnsi="Palatino Linotype" w:cs="Times New Roman"/>
          <w:bCs/>
          <w:sz w:val="24"/>
          <w:szCs w:val="24"/>
          <w:vertAlign w:val="superscript"/>
        </w:rPr>
        <w:footnoteReference w:id="66"/>
      </w:r>
      <w:r w:rsidR="00E573BA" w:rsidRPr="00B86922">
        <w:rPr>
          <w:rFonts w:ascii="Palatino Linotype" w:hAnsi="Palatino Linotype" w:cs="Times New Roman"/>
          <w:bCs/>
          <w:sz w:val="24"/>
          <w:szCs w:val="24"/>
        </w:rPr>
        <w:t xml:space="preserve"> a strategy to gain more time for decision-making (in particular to obtain further evidence);</w:t>
      </w:r>
      <w:r w:rsidR="00E573BA" w:rsidRPr="00B86922">
        <w:rPr>
          <w:rFonts w:ascii="Palatino Linotype" w:hAnsi="Palatino Linotype" w:cs="Times New Roman"/>
          <w:bCs/>
          <w:sz w:val="24"/>
          <w:szCs w:val="24"/>
          <w:vertAlign w:val="superscript"/>
        </w:rPr>
        <w:footnoteReference w:id="67"/>
      </w:r>
      <w:r w:rsidR="00E573BA" w:rsidRPr="00B86922">
        <w:rPr>
          <w:rFonts w:ascii="Palatino Linotype" w:hAnsi="Palatino Linotype" w:cs="Times New Roman"/>
          <w:bCs/>
          <w:sz w:val="24"/>
          <w:szCs w:val="24"/>
        </w:rPr>
        <w:t xml:space="preserve"> and as a </w:t>
      </w:r>
      <w:r w:rsidR="00B56381">
        <w:rPr>
          <w:rFonts w:ascii="Palatino Linotype" w:hAnsi="Palatino Linotype" w:cs="Times New Roman"/>
          <w:bCs/>
          <w:sz w:val="24"/>
          <w:szCs w:val="24"/>
        </w:rPr>
        <w:t>‘</w:t>
      </w:r>
      <w:r w:rsidR="00E573BA" w:rsidRPr="00B86922">
        <w:rPr>
          <w:rFonts w:ascii="Palatino Linotype" w:hAnsi="Palatino Linotype" w:cs="Times New Roman"/>
          <w:bCs/>
          <w:sz w:val="24"/>
          <w:szCs w:val="24"/>
        </w:rPr>
        <w:t>standard order</w:t>
      </w:r>
      <w:r w:rsidR="00B56381">
        <w:rPr>
          <w:rFonts w:ascii="Palatino Linotype" w:hAnsi="Palatino Linotype" w:cs="Times New Roman"/>
          <w:bCs/>
          <w:sz w:val="24"/>
          <w:szCs w:val="24"/>
        </w:rPr>
        <w:t>’</w:t>
      </w:r>
      <w:r w:rsidR="00E573BA" w:rsidRPr="00B86922">
        <w:rPr>
          <w:rFonts w:ascii="Palatino Linotype" w:hAnsi="Palatino Linotype" w:cs="Times New Roman"/>
          <w:bCs/>
          <w:sz w:val="24"/>
          <w:szCs w:val="24"/>
        </w:rPr>
        <w:t xml:space="preserve"> in preference to a suspended possession order, perhaps to support an agreement made between the landlord and the tenant.</w:t>
      </w:r>
      <w:r w:rsidR="00E573BA" w:rsidRPr="00B86922">
        <w:rPr>
          <w:rFonts w:ascii="Palatino Linotype" w:hAnsi="Palatino Linotype" w:cs="Times New Roman"/>
          <w:bCs/>
          <w:sz w:val="24"/>
          <w:szCs w:val="24"/>
          <w:vertAlign w:val="superscript"/>
        </w:rPr>
        <w:footnoteReference w:id="68"/>
      </w:r>
      <w:r w:rsidR="00E573BA" w:rsidRPr="00B86922">
        <w:rPr>
          <w:rFonts w:ascii="Palatino Linotype" w:hAnsi="Palatino Linotype" w:cs="Times New Roman"/>
          <w:bCs/>
          <w:sz w:val="24"/>
          <w:szCs w:val="24"/>
        </w:rPr>
        <w:t xml:space="preserve"> </w:t>
      </w:r>
      <w:r w:rsidR="00F70EDB" w:rsidRPr="00B86922">
        <w:rPr>
          <w:rFonts w:ascii="Palatino Linotype" w:hAnsi="Palatino Linotype" w:cs="Times New Roman"/>
          <w:bCs/>
          <w:sz w:val="24"/>
          <w:szCs w:val="24"/>
        </w:rPr>
        <w:t xml:space="preserve">Whitehouse et al found that </w:t>
      </w:r>
      <w:r w:rsidR="00E573BA" w:rsidRPr="00B86922">
        <w:rPr>
          <w:rFonts w:ascii="Palatino Linotype" w:hAnsi="Palatino Linotype" w:cs="Times New Roman"/>
          <w:bCs/>
          <w:sz w:val="24"/>
          <w:szCs w:val="24"/>
        </w:rPr>
        <w:t xml:space="preserve">the most common reason </w:t>
      </w:r>
      <w:r w:rsidR="00F70EDB" w:rsidRPr="00B86922">
        <w:rPr>
          <w:rFonts w:ascii="Palatino Linotype" w:hAnsi="Palatino Linotype" w:cs="Times New Roman"/>
          <w:bCs/>
          <w:sz w:val="24"/>
          <w:szCs w:val="24"/>
        </w:rPr>
        <w:t xml:space="preserve">related to </w:t>
      </w:r>
      <w:r w:rsidR="00E573BA" w:rsidRPr="00B86922">
        <w:rPr>
          <w:rFonts w:ascii="Palatino Linotype" w:hAnsi="Palatino Linotype" w:cs="Times New Roman"/>
          <w:bCs/>
          <w:sz w:val="24"/>
          <w:szCs w:val="24"/>
        </w:rPr>
        <w:t>the issue of housing benefit.</w:t>
      </w:r>
      <w:r w:rsidR="00F67765" w:rsidRPr="00B86922">
        <w:rPr>
          <w:rStyle w:val="FootnoteReference"/>
          <w:rFonts w:ascii="Palatino Linotype" w:hAnsi="Palatino Linotype" w:cs="Times New Roman"/>
          <w:bCs/>
          <w:sz w:val="24"/>
          <w:szCs w:val="24"/>
        </w:rPr>
        <w:footnoteReference w:id="69"/>
      </w:r>
      <w:r w:rsidR="00E573BA" w:rsidRPr="00B86922">
        <w:rPr>
          <w:rFonts w:ascii="Palatino Linotype" w:hAnsi="Palatino Linotype" w:cs="Times New Roman"/>
          <w:bCs/>
          <w:sz w:val="24"/>
          <w:szCs w:val="24"/>
        </w:rPr>
        <w:t xml:space="preserve"> The question </w:t>
      </w:r>
      <w:r w:rsidR="00F70EDB" w:rsidRPr="00B86922">
        <w:rPr>
          <w:rFonts w:ascii="Palatino Linotype" w:hAnsi="Palatino Linotype" w:cs="Times New Roman"/>
          <w:bCs/>
          <w:sz w:val="24"/>
          <w:szCs w:val="24"/>
        </w:rPr>
        <w:t xml:space="preserve">arises </w:t>
      </w:r>
      <w:r w:rsidR="00874826" w:rsidRPr="00B86922">
        <w:rPr>
          <w:rFonts w:ascii="Palatino Linotype" w:hAnsi="Palatino Linotype" w:cs="Times New Roman"/>
          <w:bCs/>
          <w:sz w:val="24"/>
          <w:szCs w:val="24"/>
        </w:rPr>
        <w:t xml:space="preserve">therefore </w:t>
      </w:r>
      <w:r w:rsidR="00F70EDB" w:rsidRPr="00B86922">
        <w:rPr>
          <w:rFonts w:ascii="Palatino Linotype" w:hAnsi="Palatino Linotype" w:cs="Times New Roman"/>
          <w:bCs/>
          <w:sz w:val="24"/>
          <w:szCs w:val="24"/>
        </w:rPr>
        <w:t>as to</w:t>
      </w:r>
      <w:r w:rsidR="00E573BA" w:rsidRPr="00B86922">
        <w:rPr>
          <w:rFonts w:ascii="Palatino Linotype" w:hAnsi="Palatino Linotype" w:cs="Times New Roman"/>
          <w:bCs/>
          <w:sz w:val="24"/>
          <w:szCs w:val="24"/>
        </w:rPr>
        <w:t xml:space="preserve"> whether </w:t>
      </w:r>
      <w:r w:rsidR="00F70EDB" w:rsidRPr="00B86922">
        <w:rPr>
          <w:rFonts w:ascii="Palatino Linotype" w:hAnsi="Palatino Linotype" w:cs="Times New Roman"/>
          <w:bCs/>
          <w:sz w:val="24"/>
          <w:szCs w:val="24"/>
        </w:rPr>
        <w:t>the</w:t>
      </w:r>
      <w:r w:rsidR="00000CBA" w:rsidRPr="00B86922">
        <w:rPr>
          <w:rFonts w:ascii="Palatino Linotype" w:hAnsi="Palatino Linotype" w:cs="Times New Roman"/>
          <w:sz w:val="24"/>
          <w:szCs w:val="24"/>
        </w:rPr>
        <w:t xml:space="preserve"> resolution of information deficits prior to the first hearing could</w:t>
      </w:r>
      <w:r w:rsidR="00F70EDB" w:rsidRPr="00B86922">
        <w:rPr>
          <w:rFonts w:ascii="Palatino Linotype" w:hAnsi="Palatino Linotype" w:cs="Times New Roman"/>
          <w:sz w:val="24"/>
          <w:szCs w:val="24"/>
        </w:rPr>
        <w:t xml:space="preserve"> avoid </w:t>
      </w:r>
      <w:r w:rsidR="00000CBA" w:rsidRPr="00B86922">
        <w:rPr>
          <w:rFonts w:ascii="Palatino Linotype" w:hAnsi="Palatino Linotype" w:cs="Times New Roman"/>
          <w:sz w:val="24"/>
          <w:szCs w:val="24"/>
        </w:rPr>
        <w:t xml:space="preserve">the need for </w:t>
      </w:r>
      <w:r w:rsidR="00F70EDB" w:rsidRPr="00B86922">
        <w:rPr>
          <w:rFonts w:ascii="Palatino Linotype" w:hAnsi="Palatino Linotype" w:cs="Times New Roman"/>
          <w:sz w:val="24"/>
          <w:szCs w:val="24"/>
        </w:rPr>
        <w:t>a hearing that is very likely to be adjourned</w:t>
      </w:r>
      <w:r w:rsidR="00000CBA" w:rsidRPr="00B86922">
        <w:rPr>
          <w:rFonts w:ascii="Palatino Linotype" w:hAnsi="Palatino Linotype" w:cs="Times New Roman"/>
          <w:sz w:val="24"/>
          <w:szCs w:val="24"/>
        </w:rPr>
        <w:t xml:space="preserve">. </w:t>
      </w:r>
    </w:p>
    <w:p w14:paraId="4129B7A5" w14:textId="77777777" w:rsidR="00F80414" w:rsidRPr="00B86922" w:rsidRDefault="00F80414" w:rsidP="00B86922">
      <w:pPr>
        <w:spacing w:after="120" w:line="480" w:lineRule="auto"/>
        <w:jc w:val="both"/>
        <w:rPr>
          <w:rFonts w:ascii="Palatino Linotype" w:hAnsi="Palatino Linotype" w:cs="Times New Roman"/>
          <w:sz w:val="24"/>
          <w:szCs w:val="24"/>
        </w:rPr>
      </w:pPr>
    </w:p>
    <w:p w14:paraId="07CFDF3E" w14:textId="15CEFDCE" w:rsidR="00F80414" w:rsidRPr="00B86922" w:rsidRDefault="00F70EDB"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The themes underlying this evidence are summarised in this quote from a h</w:t>
      </w:r>
      <w:r w:rsidR="00891C6C" w:rsidRPr="00B86922">
        <w:rPr>
          <w:rFonts w:ascii="Palatino Linotype" w:hAnsi="Palatino Linotype" w:cs="Times New Roman"/>
          <w:sz w:val="24"/>
          <w:szCs w:val="24"/>
        </w:rPr>
        <w:t>ousing advice representative</w:t>
      </w:r>
      <w:r w:rsidRPr="00B86922">
        <w:rPr>
          <w:rFonts w:ascii="Palatino Linotype" w:hAnsi="Palatino Linotype" w:cs="Times New Roman"/>
          <w:sz w:val="24"/>
          <w:szCs w:val="24"/>
        </w:rPr>
        <w:t>,</w:t>
      </w:r>
      <w:r w:rsidR="00891C6C" w:rsidRPr="00B86922">
        <w:rPr>
          <w:rFonts w:ascii="Palatino Linotype" w:hAnsi="Palatino Linotype" w:cs="Times New Roman"/>
          <w:sz w:val="24"/>
          <w:szCs w:val="24"/>
        </w:rPr>
        <w:t xml:space="preserve"> </w:t>
      </w:r>
      <w:r w:rsidR="00EB3875">
        <w:rPr>
          <w:rFonts w:ascii="Palatino Linotype" w:hAnsi="Palatino Linotype" w:cs="Times New Roman"/>
          <w:sz w:val="24"/>
          <w:szCs w:val="24"/>
        </w:rPr>
        <w:t>“</w:t>
      </w:r>
      <w:r w:rsidR="00847ED8" w:rsidRPr="00B86922">
        <w:rPr>
          <w:rFonts w:ascii="Palatino Linotype" w:hAnsi="Palatino Linotype" w:cs="Times New Roman"/>
          <w:sz w:val="24"/>
          <w:szCs w:val="24"/>
        </w:rPr>
        <w:t xml:space="preserve">Some judges are… </w:t>
      </w:r>
      <w:r w:rsidR="00331AA2" w:rsidRPr="00B86922">
        <w:rPr>
          <w:rFonts w:ascii="Palatino Linotype" w:hAnsi="Palatino Linotype" w:cs="Times New Roman"/>
          <w:sz w:val="24"/>
          <w:szCs w:val="24"/>
        </w:rPr>
        <w:t>becoming frustrated by repeat adjournments, by an increase in litigants in person, and by the inability of defendants to access help before they attend court</w:t>
      </w:r>
      <w:r w:rsidR="00EB3875">
        <w:rPr>
          <w:rFonts w:ascii="Palatino Linotype" w:hAnsi="Palatino Linotype" w:cs="Times New Roman"/>
          <w:sz w:val="24"/>
          <w:szCs w:val="24"/>
        </w:rPr>
        <w:t>”</w:t>
      </w:r>
      <w:r w:rsidR="00331AA2" w:rsidRPr="00B86922">
        <w:rPr>
          <w:rStyle w:val="FootnoteReference"/>
          <w:rFonts w:ascii="Palatino Linotype" w:hAnsi="Palatino Linotype" w:cs="Times New Roman"/>
          <w:sz w:val="24"/>
          <w:szCs w:val="24"/>
        </w:rPr>
        <w:footnoteReference w:id="70"/>
      </w:r>
      <w:r w:rsidR="00EB3875">
        <w:rPr>
          <w:rFonts w:ascii="Palatino Linotype" w:hAnsi="Palatino Linotype" w:cs="Times New Roman"/>
          <w:sz w:val="24"/>
          <w:szCs w:val="24"/>
        </w:rPr>
        <w:t>.</w:t>
      </w:r>
      <w:r w:rsidR="008307AA" w:rsidRPr="00B86922">
        <w:rPr>
          <w:rFonts w:ascii="Palatino Linotype" w:hAnsi="Palatino Linotype" w:cs="Times New Roman"/>
          <w:sz w:val="24"/>
          <w:szCs w:val="24"/>
        </w:rPr>
        <w:t xml:space="preserve"> It is these issues that are the driving force behind th</w:t>
      </w:r>
      <w:r w:rsidR="00F41E2C" w:rsidRPr="00B86922">
        <w:rPr>
          <w:rFonts w:ascii="Palatino Linotype" w:hAnsi="Palatino Linotype" w:cs="Times New Roman"/>
          <w:sz w:val="24"/>
          <w:szCs w:val="24"/>
        </w:rPr>
        <w:t>e</w:t>
      </w:r>
      <w:r w:rsidR="008307AA" w:rsidRPr="00B86922">
        <w:rPr>
          <w:rFonts w:ascii="Palatino Linotype" w:hAnsi="Palatino Linotype" w:cs="Times New Roman"/>
          <w:sz w:val="24"/>
          <w:szCs w:val="24"/>
        </w:rPr>
        <w:t xml:space="preserve"> </w:t>
      </w:r>
      <w:r w:rsidR="00F41E2C" w:rsidRPr="00B86922">
        <w:rPr>
          <w:rFonts w:ascii="Palatino Linotype" w:hAnsi="Palatino Linotype" w:cs="Times New Roman"/>
          <w:sz w:val="24"/>
          <w:szCs w:val="24"/>
        </w:rPr>
        <w:t xml:space="preserve">CLEAR </w:t>
      </w:r>
      <w:r w:rsidR="008307AA" w:rsidRPr="00B86922">
        <w:rPr>
          <w:rFonts w:ascii="Palatino Linotype" w:hAnsi="Palatino Linotype" w:cs="Times New Roman"/>
          <w:sz w:val="24"/>
          <w:szCs w:val="24"/>
        </w:rPr>
        <w:t xml:space="preserve">project and </w:t>
      </w:r>
      <w:r w:rsidR="00874826" w:rsidRPr="00B86922">
        <w:rPr>
          <w:rFonts w:ascii="Palatino Linotype" w:hAnsi="Palatino Linotype" w:cs="Times New Roman"/>
          <w:sz w:val="24"/>
          <w:szCs w:val="24"/>
        </w:rPr>
        <w:t xml:space="preserve">it is these questions in particular that </w:t>
      </w:r>
      <w:r w:rsidR="003B69DC" w:rsidRPr="00B86922">
        <w:rPr>
          <w:rFonts w:ascii="Palatino Linotype" w:hAnsi="Palatino Linotype" w:cs="Times New Roman"/>
          <w:sz w:val="24"/>
          <w:szCs w:val="24"/>
        </w:rPr>
        <w:t xml:space="preserve">it seeks </w:t>
      </w:r>
      <w:r w:rsidR="00F41E2C" w:rsidRPr="00B86922">
        <w:rPr>
          <w:rFonts w:ascii="Palatino Linotype" w:hAnsi="Palatino Linotype" w:cs="Times New Roman"/>
          <w:sz w:val="24"/>
          <w:szCs w:val="24"/>
        </w:rPr>
        <w:t>to answer</w:t>
      </w:r>
      <w:r w:rsidR="00874826" w:rsidRPr="00B86922">
        <w:rPr>
          <w:rFonts w:ascii="Palatino Linotype" w:hAnsi="Palatino Linotype" w:cs="Times New Roman"/>
          <w:sz w:val="24"/>
          <w:szCs w:val="24"/>
        </w:rPr>
        <w:t>:</w:t>
      </w:r>
    </w:p>
    <w:p w14:paraId="4CB3F41C" w14:textId="77777777" w:rsidR="00847ED8" w:rsidRPr="00B86922" w:rsidRDefault="00C3011D" w:rsidP="00B86922">
      <w:pPr>
        <w:pStyle w:val="ListParagraph"/>
        <w:numPr>
          <w:ilvl w:val="0"/>
          <w:numId w:val="8"/>
        </w:numPr>
        <w:spacing w:after="120" w:line="480" w:lineRule="auto"/>
        <w:ind w:left="714" w:hanging="357"/>
        <w:contextualSpacing w:val="0"/>
        <w:jc w:val="both"/>
        <w:rPr>
          <w:rFonts w:ascii="Palatino Linotype" w:hAnsi="Palatino Linotype" w:cs="Times New Roman"/>
          <w:sz w:val="24"/>
          <w:szCs w:val="24"/>
        </w:rPr>
      </w:pPr>
      <w:r w:rsidRPr="00B86922">
        <w:rPr>
          <w:rFonts w:ascii="Palatino Linotype" w:hAnsi="Palatino Linotype" w:cs="Times New Roman"/>
          <w:sz w:val="24"/>
          <w:szCs w:val="24"/>
        </w:rPr>
        <w:t>Why do occupiers</w:t>
      </w:r>
      <w:r w:rsidR="008307AA" w:rsidRPr="00B86922">
        <w:rPr>
          <w:rFonts w:ascii="Palatino Linotype" w:hAnsi="Palatino Linotype" w:cs="Times New Roman"/>
          <w:sz w:val="24"/>
          <w:szCs w:val="24"/>
        </w:rPr>
        <w:t xml:space="preserve"> threatened with loss of home</w:t>
      </w:r>
      <w:r w:rsidRPr="00B86922">
        <w:rPr>
          <w:rFonts w:ascii="Palatino Linotype" w:hAnsi="Palatino Linotype" w:cs="Times New Roman"/>
          <w:sz w:val="24"/>
          <w:szCs w:val="24"/>
        </w:rPr>
        <w:t xml:space="preserve"> not </w:t>
      </w:r>
      <w:r w:rsidR="008307AA" w:rsidRPr="00B86922">
        <w:rPr>
          <w:rFonts w:ascii="Palatino Linotype" w:hAnsi="Palatino Linotype" w:cs="Times New Roman"/>
          <w:sz w:val="24"/>
          <w:szCs w:val="24"/>
        </w:rPr>
        <w:t>engage</w:t>
      </w:r>
      <w:r w:rsidR="00847ED8" w:rsidRPr="00B86922">
        <w:rPr>
          <w:rFonts w:ascii="Palatino Linotype" w:hAnsi="Palatino Linotype" w:cs="Times New Roman"/>
          <w:sz w:val="24"/>
          <w:szCs w:val="24"/>
        </w:rPr>
        <w:t xml:space="preserve"> with their lender or landlord?</w:t>
      </w:r>
    </w:p>
    <w:p w14:paraId="2EA8C4EB" w14:textId="77777777" w:rsidR="00C3011D" w:rsidRPr="00B86922" w:rsidRDefault="00847ED8" w:rsidP="00B86922">
      <w:pPr>
        <w:pStyle w:val="ListParagraph"/>
        <w:numPr>
          <w:ilvl w:val="0"/>
          <w:numId w:val="8"/>
        </w:numPr>
        <w:spacing w:after="120" w:line="480" w:lineRule="auto"/>
        <w:ind w:left="714" w:hanging="357"/>
        <w:contextualSpacing w:val="0"/>
        <w:jc w:val="both"/>
        <w:rPr>
          <w:rFonts w:ascii="Palatino Linotype" w:hAnsi="Palatino Linotype" w:cs="Times New Roman"/>
          <w:sz w:val="24"/>
          <w:szCs w:val="24"/>
        </w:rPr>
      </w:pPr>
      <w:r w:rsidRPr="00B86922">
        <w:rPr>
          <w:rFonts w:ascii="Palatino Linotype" w:hAnsi="Palatino Linotype" w:cs="Times New Roman"/>
          <w:sz w:val="24"/>
          <w:szCs w:val="24"/>
        </w:rPr>
        <w:t>Why do occupiers threatened with loss of home not engage</w:t>
      </w:r>
      <w:r w:rsidR="008307AA" w:rsidRPr="00B86922">
        <w:rPr>
          <w:rFonts w:ascii="Palatino Linotype" w:hAnsi="Palatino Linotype" w:cs="Times New Roman"/>
          <w:sz w:val="24"/>
          <w:szCs w:val="24"/>
        </w:rPr>
        <w:t xml:space="preserve"> in the legal process</w:t>
      </w:r>
      <w:r w:rsidR="00C3011D" w:rsidRPr="00B86922">
        <w:rPr>
          <w:rFonts w:ascii="Palatino Linotype" w:hAnsi="Palatino Linotype" w:cs="Times New Roman"/>
          <w:sz w:val="24"/>
          <w:szCs w:val="24"/>
        </w:rPr>
        <w:t>?</w:t>
      </w:r>
    </w:p>
    <w:p w14:paraId="1B9730AF" w14:textId="77777777" w:rsidR="008307AA" w:rsidRPr="00B86922" w:rsidRDefault="008307AA" w:rsidP="00B86922">
      <w:pPr>
        <w:pStyle w:val="ListParagraph"/>
        <w:numPr>
          <w:ilvl w:val="0"/>
          <w:numId w:val="8"/>
        </w:numPr>
        <w:spacing w:after="120" w:line="480" w:lineRule="auto"/>
        <w:ind w:left="714" w:hanging="357"/>
        <w:contextualSpacing w:val="0"/>
        <w:jc w:val="both"/>
        <w:rPr>
          <w:rFonts w:ascii="Palatino Linotype" w:hAnsi="Palatino Linotype" w:cs="Times New Roman"/>
          <w:sz w:val="24"/>
          <w:szCs w:val="24"/>
        </w:rPr>
      </w:pPr>
      <w:r w:rsidRPr="00B86922">
        <w:rPr>
          <w:rFonts w:ascii="Palatino Linotype" w:hAnsi="Palatino Linotype" w:cs="Times New Roman"/>
          <w:sz w:val="24"/>
          <w:szCs w:val="24"/>
        </w:rPr>
        <w:t xml:space="preserve">What measures might encourage them to </w:t>
      </w:r>
      <w:r w:rsidR="00847ED8" w:rsidRPr="00B86922">
        <w:rPr>
          <w:rFonts w:ascii="Palatino Linotype" w:hAnsi="Palatino Linotype" w:cs="Times New Roman"/>
          <w:sz w:val="24"/>
          <w:szCs w:val="24"/>
        </w:rPr>
        <w:t>engage</w:t>
      </w:r>
      <w:r w:rsidR="006609C0" w:rsidRPr="00B86922">
        <w:rPr>
          <w:rFonts w:ascii="Palatino Linotype" w:hAnsi="Palatino Linotype" w:cs="Times New Roman"/>
          <w:sz w:val="24"/>
          <w:szCs w:val="24"/>
        </w:rPr>
        <w:t xml:space="preserve"> or to resolve information deficits</w:t>
      </w:r>
      <w:r w:rsidRPr="00B86922">
        <w:rPr>
          <w:rFonts w:ascii="Palatino Linotype" w:hAnsi="Palatino Linotype" w:cs="Times New Roman"/>
          <w:sz w:val="24"/>
          <w:szCs w:val="24"/>
        </w:rPr>
        <w:t>?</w:t>
      </w:r>
    </w:p>
    <w:p w14:paraId="12335DBA" w14:textId="77777777" w:rsidR="00F80414" w:rsidRPr="00B86922" w:rsidRDefault="00F80414" w:rsidP="00B86922">
      <w:pPr>
        <w:spacing w:after="120" w:line="480" w:lineRule="auto"/>
        <w:jc w:val="both"/>
        <w:rPr>
          <w:rFonts w:ascii="Palatino Linotype" w:hAnsi="Palatino Linotype" w:cs="Times New Roman"/>
          <w:sz w:val="24"/>
          <w:szCs w:val="24"/>
        </w:rPr>
      </w:pPr>
    </w:p>
    <w:p w14:paraId="579F6C3B" w14:textId="77777777" w:rsidR="008F7295" w:rsidRPr="001B49ED" w:rsidRDefault="008F7295"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The ‘solution’?</w:t>
      </w:r>
    </w:p>
    <w:p w14:paraId="1A07EE19" w14:textId="77777777" w:rsidR="006609C0" w:rsidRPr="001B49ED" w:rsidRDefault="006609C0" w:rsidP="00B86922">
      <w:pPr>
        <w:spacing w:before="240" w:after="240" w:line="480" w:lineRule="auto"/>
        <w:jc w:val="both"/>
        <w:rPr>
          <w:rFonts w:ascii="Palatino Linotype" w:hAnsi="Palatino Linotype" w:cs="Times New Roman"/>
          <w:b/>
          <w:sz w:val="24"/>
          <w:szCs w:val="24"/>
        </w:rPr>
      </w:pPr>
      <w:r w:rsidRPr="001B49ED">
        <w:rPr>
          <w:rFonts w:ascii="Palatino Linotype" w:hAnsi="Palatino Linotype" w:cs="Times New Roman"/>
          <w:b/>
          <w:sz w:val="24"/>
          <w:szCs w:val="24"/>
        </w:rPr>
        <w:t>Initial thoughts</w:t>
      </w:r>
    </w:p>
    <w:p w14:paraId="3D4606AE" w14:textId="77777777" w:rsidR="00000CBA" w:rsidRPr="00B86922" w:rsidRDefault="00D01050"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In order to </w:t>
      </w:r>
      <w:r w:rsidR="006609C0" w:rsidRPr="00B86922">
        <w:rPr>
          <w:rFonts w:ascii="Palatino Linotype" w:hAnsi="Palatino Linotype" w:cs="Times New Roman"/>
          <w:sz w:val="24"/>
          <w:szCs w:val="24"/>
        </w:rPr>
        <w:t xml:space="preserve">answer the questions posed above and in particular to </w:t>
      </w:r>
      <w:r w:rsidRPr="00B86922">
        <w:rPr>
          <w:rFonts w:ascii="Palatino Linotype" w:hAnsi="Palatino Linotype" w:cs="Times New Roman"/>
          <w:sz w:val="24"/>
          <w:szCs w:val="24"/>
        </w:rPr>
        <w:t>test whether earlie</w:t>
      </w:r>
      <w:r w:rsidR="00624740" w:rsidRPr="00B86922">
        <w:rPr>
          <w:rFonts w:ascii="Palatino Linotype" w:hAnsi="Palatino Linotype" w:cs="Times New Roman"/>
          <w:sz w:val="24"/>
          <w:szCs w:val="24"/>
        </w:rPr>
        <w:t>r access to information and support</w:t>
      </w:r>
      <w:r w:rsidRPr="00B86922">
        <w:rPr>
          <w:rFonts w:ascii="Palatino Linotype" w:hAnsi="Palatino Linotype" w:cs="Times New Roman"/>
          <w:sz w:val="24"/>
          <w:szCs w:val="24"/>
        </w:rPr>
        <w:t xml:space="preserve"> might enhance access to justice</w:t>
      </w:r>
      <w:r w:rsidR="006609C0" w:rsidRPr="00B86922">
        <w:rPr>
          <w:rFonts w:ascii="Palatino Linotype" w:hAnsi="Palatino Linotype" w:cs="Times New Roman"/>
          <w:sz w:val="24"/>
          <w:szCs w:val="24"/>
        </w:rPr>
        <w:t>,</w:t>
      </w:r>
      <w:r w:rsidR="00C3011D" w:rsidRPr="00B86922">
        <w:rPr>
          <w:rFonts w:ascii="Palatino Linotype" w:hAnsi="Palatino Linotype" w:cs="Times New Roman"/>
          <w:sz w:val="24"/>
          <w:szCs w:val="24"/>
        </w:rPr>
        <w:t xml:space="preserve"> this project aimed initially</w:t>
      </w:r>
      <w:r w:rsidR="00000CBA" w:rsidRPr="00B86922">
        <w:rPr>
          <w:rFonts w:ascii="Palatino Linotype" w:hAnsi="Palatino Linotype" w:cs="Times New Roman"/>
          <w:sz w:val="24"/>
          <w:szCs w:val="24"/>
        </w:rPr>
        <w:t xml:space="preserve"> to offer occupiers attending </w:t>
      </w:r>
      <w:r w:rsidR="008F7295" w:rsidRPr="00B86922">
        <w:rPr>
          <w:rFonts w:ascii="Palatino Linotype" w:hAnsi="Palatino Linotype" w:cs="Times New Roman"/>
          <w:sz w:val="24"/>
          <w:szCs w:val="24"/>
        </w:rPr>
        <w:t>Hull Combined C</w:t>
      </w:r>
      <w:r w:rsidR="00000CBA" w:rsidRPr="00B86922">
        <w:rPr>
          <w:rFonts w:ascii="Palatino Linotype" w:hAnsi="Palatino Linotype" w:cs="Times New Roman"/>
          <w:sz w:val="24"/>
          <w:szCs w:val="24"/>
        </w:rPr>
        <w:t xml:space="preserve">ourt a </w:t>
      </w:r>
      <w:r w:rsidR="00EB3875">
        <w:rPr>
          <w:rFonts w:ascii="Palatino Linotype" w:hAnsi="Palatino Linotype" w:cs="Times New Roman"/>
          <w:sz w:val="24"/>
          <w:szCs w:val="24"/>
        </w:rPr>
        <w:t>“</w:t>
      </w:r>
      <w:r w:rsidR="00000CBA" w:rsidRPr="00B86922">
        <w:rPr>
          <w:rFonts w:ascii="Palatino Linotype" w:hAnsi="Palatino Linotype" w:cs="Times New Roman"/>
          <w:sz w:val="24"/>
          <w:szCs w:val="24"/>
        </w:rPr>
        <w:t>one stop shop</w:t>
      </w:r>
      <w:r w:rsidR="00EB3875">
        <w:rPr>
          <w:rFonts w:ascii="Palatino Linotype" w:hAnsi="Palatino Linotype" w:cs="Times New Roman"/>
          <w:sz w:val="24"/>
          <w:szCs w:val="24"/>
        </w:rPr>
        <w:t>”</w:t>
      </w:r>
      <w:r w:rsidR="00000CBA" w:rsidRPr="00B86922">
        <w:rPr>
          <w:rFonts w:ascii="Palatino Linotype" w:hAnsi="Palatino Linotype" w:cs="Times New Roman"/>
          <w:sz w:val="24"/>
          <w:szCs w:val="24"/>
        </w:rPr>
        <w:t xml:space="preserve"> of information with the o</w:t>
      </w:r>
      <w:r w:rsidR="008F7295" w:rsidRPr="00B86922">
        <w:rPr>
          <w:rFonts w:ascii="Palatino Linotype" w:hAnsi="Palatino Linotype" w:cs="Times New Roman"/>
          <w:sz w:val="24"/>
          <w:szCs w:val="24"/>
        </w:rPr>
        <w:t>pportunity to talk to Law</w:t>
      </w:r>
      <w:r w:rsidR="00000CBA" w:rsidRPr="00B86922">
        <w:rPr>
          <w:rFonts w:ascii="Palatino Linotype" w:hAnsi="Palatino Linotype" w:cs="Times New Roman"/>
          <w:sz w:val="24"/>
          <w:szCs w:val="24"/>
        </w:rPr>
        <w:t xml:space="preserve"> students, duty solicitors and a range of other relevant agencies</w:t>
      </w:r>
      <w:r w:rsidR="00F02383" w:rsidRPr="00B86922">
        <w:rPr>
          <w:rFonts w:ascii="Palatino Linotype" w:hAnsi="Palatino Linotype" w:cs="Times New Roman"/>
          <w:sz w:val="24"/>
          <w:szCs w:val="24"/>
        </w:rPr>
        <w:t>, for example, the local</w:t>
      </w:r>
      <w:r w:rsidR="00000CBA" w:rsidRPr="00B86922">
        <w:rPr>
          <w:rFonts w:ascii="Palatino Linotype" w:hAnsi="Palatino Linotype" w:cs="Times New Roman"/>
          <w:sz w:val="24"/>
          <w:szCs w:val="24"/>
        </w:rPr>
        <w:t xml:space="preserve"> </w:t>
      </w:r>
      <w:r w:rsidR="008F7295" w:rsidRPr="00B86922">
        <w:rPr>
          <w:rFonts w:ascii="Palatino Linotype" w:hAnsi="Palatino Linotype" w:cs="Times New Roman"/>
          <w:sz w:val="24"/>
          <w:szCs w:val="24"/>
        </w:rPr>
        <w:t>Citizens Advice Bureau</w:t>
      </w:r>
      <w:r w:rsidR="00F02383" w:rsidRPr="00B86922">
        <w:rPr>
          <w:rFonts w:ascii="Palatino Linotype" w:hAnsi="Palatino Linotype" w:cs="Times New Roman"/>
          <w:sz w:val="24"/>
          <w:szCs w:val="24"/>
        </w:rPr>
        <w:t xml:space="preserve"> (CAB) and</w:t>
      </w:r>
      <w:r w:rsidR="008F7295" w:rsidRPr="00B86922">
        <w:rPr>
          <w:rFonts w:ascii="Palatino Linotype" w:hAnsi="Palatino Linotype" w:cs="Times New Roman"/>
          <w:sz w:val="24"/>
          <w:szCs w:val="24"/>
        </w:rPr>
        <w:t xml:space="preserve"> mental health suppor</w:t>
      </w:r>
      <w:r w:rsidR="00F02383" w:rsidRPr="00B86922">
        <w:rPr>
          <w:rFonts w:ascii="Palatino Linotype" w:hAnsi="Palatino Linotype" w:cs="Times New Roman"/>
          <w:sz w:val="24"/>
          <w:szCs w:val="24"/>
        </w:rPr>
        <w:t>t workers</w:t>
      </w:r>
      <w:r w:rsidR="00C3011D" w:rsidRPr="00B86922">
        <w:rPr>
          <w:rFonts w:ascii="Palatino Linotype" w:hAnsi="Palatino Linotype" w:cs="Times New Roman"/>
          <w:sz w:val="24"/>
          <w:szCs w:val="24"/>
        </w:rPr>
        <w:t xml:space="preserve">. The </w:t>
      </w:r>
      <w:r w:rsidR="006609C0" w:rsidRPr="00B86922">
        <w:rPr>
          <w:rFonts w:ascii="Palatino Linotype" w:hAnsi="Palatino Linotype" w:cs="Times New Roman"/>
          <w:sz w:val="24"/>
          <w:szCs w:val="24"/>
        </w:rPr>
        <w:t xml:space="preserve">hope was that the </w:t>
      </w:r>
      <w:r w:rsidR="00C3011D" w:rsidRPr="00B86922">
        <w:rPr>
          <w:rFonts w:ascii="Palatino Linotype" w:hAnsi="Palatino Linotype" w:cs="Times New Roman"/>
          <w:sz w:val="24"/>
          <w:szCs w:val="24"/>
        </w:rPr>
        <w:t>CLEAR</w:t>
      </w:r>
      <w:r w:rsidR="006609C0" w:rsidRPr="00B86922">
        <w:rPr>
          <w:rFonts w:ascii="Palatino Linotype" w:hAnsi="Palatino Linotype" w:cs="Times New Roman"/>
          <w:sz w:val="24"/>
          <w:szCs w:val="24"/>
        </w:rPr>
        <w:t xml:space="preserve"> would</w:t>
      </w:r>
      <w:r w:rsidR="00000CBA" w:rsidRPr="00B86922">
        <w:rPr>
          <w:rFonts w:ascii="Palatino Linotype" w:hAnsi="Palatino Linotype" w:cs="Times New Roman"/>
          <w:sz w:val="24"/>
          <w:szCs w:val="24"/>
        </w:rPr>
        <w:t xml:space="preserve"> identify issues that could usefully be addressed or resolved prior to the hearing and allow occupiers, supported by duty solicitors, to present the judge with the information he or she needs in order to make a fully informed decision. This</w:t>
      </w:r>
      <w:r w:rsidR="006609C0" w:rsidRPr="00B86922">
        <w:rPr>
          <w:rFonts w:ascii="Palatino Linotype" w:hAnsi="Palatino Linotype" w:cs="Times New Roman"/>
          <w:sz w:val="24"/>
          <w:szCs w:val="24"/>
        </w:rPr>
        <w:t xml:space="preserve"> was intended to</w:t>
      </w:r>
      <w:r w:rsidR="00000CBA" w:rsidRPr="00B86922">
        <w:rPr>
          <w:rFonts w:ascii="Palatino Linotype" w:hAnsi="Palatino Linotype" w:cs="Times New Roman"/>
          <w:sz w:val="24"/>
          <w:szCs w:val="24"/>
        </w:rPr>
        <w:t xml:space="preserve"> lead to the more effective use of judicial time </w:t>
      </w:r>
      <w:r w:rsidR="008F7295" w:rsidRPr="00B86922">
        <w:rPr>
          <w:rFonts w:ascii="Palatino Linotype" w:hAnsi="Palatino Linotype" w:cs="Times New Roman"/>
          <w:sz w:val="24"/>
          <w:szCs w:val="24"/>
        </w:rPr>
        <w:t>and</w:t>
      </w:r>
      <w:r w:rsidR="00000CBA" w:rsidRPr="00B86922">
        <w:rPr>
          <w:rFonts w:ascii="Palatino Linotype" w:hAnsi="Palatino Linotype" w:cs="Times New Roman"/>
          <w:sz w:val="24"/>
          <w:szCs w:val="24"/>
        </w:rPr>
        <w:t xml:space="preserve"> enhance access to justice for occupiers</w:t>
      </w:r>
      <w:r w:rsidR="00000CBA" w:rsidRPr="00B86922">
        <w:rPr>
          <w:rFonts w:ascii="Palatino Linotype" w:hAnsi="Palatino Linotype" w:cs="Times New Roman"/>
          <w:bCs/>
          <w:sz w:val="24"/>
          <w:szCs w:val="24"/>
          <w:lang w:val="en-US"/>
        </w:rPr>
        <w:t xml:space="preserve"> by offering them free and confidential multi-agency advice.</w:t>
      </w:r>
      <w:r w:rsidR="00000CBA" w:rsidRPr="00B86922">
        <w:rPr>
          <w:rFonts w:ascii="Palatino Linotype" w:hAnsi="Palatino Linotype" w:cs="Times New Roman"/>
          <w:sz w:val="24"/>
          <w:szCs w:val="24"/>
        </w:rPr>
        <w:t xml:space="preserve"> </w:t>
      </w:r>
    </w:p>
    <w:p w14:paraId="427B13A2" w14:textId="77777777" w:rsidR="00F80414" w:rsidRPr="00B86922" w:rsidRDefault="00F80414" w:rsidP="00B86922">
      <w:pPr>
        <w:spacing w:after="120" w:line="480" w:lineRule="auto"/>
        <w:jc w:val="both"/>
        <w:rPr>
          <w:rFonts w:ascii="Palatino Linotype" w:hAnsi="Palatino Linotype" w:cs="Times New Roman"/>
          <w:sz w:val="24"/>
          <w:szCs w:val="24"/>
        </w:rPr>
      </w:pPr>
    </w:p>
    <w:p w14:paraId="6888F6EB" w14:textId="77777777" w:rsidR="00FB7518" w:rsidRDefault="00FB7518" w:rsidP="00B86922">
      <w:pPr>
        <w:spacing w:before="240" w:after="240" w:line="480" w:lineRule="auto"/>
        <w:jc w:val="both"/>
        <w:rPr>
          <w:rFonts w:ascii="Palatino Linotype" w:hAnsi="Palatino Linotype" w:cs="Times New Roman"/>
          <w:b/>
          <w:caps/>
          <w:sz w:val="24"/>
          <w:szCs w:val="24"/>
        </w:rPr>
      </w:pPr>
    </w:p>
    <w:p w14:paraId="06AD0034" w14:textId="547A07C5" w:rsidR="00000CBA" w:rsidRPr="001B49ED" w:rsidRDefault="00D01050"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Methodology</w:t>
      </w:r>
    </w:p>
    <w:p w14:paraId="35ED6FE8" w14:textId="77777777" w:rsidR="006609C0" w:rsidRPr="00B86922" w:rsidRDefault="00000CBA"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The project </w:t>
      </w:r>
      <w:r w:rsidR="00973B9D" w:rsidRPr="00B86922">
        <w:rPr>
          <w:rFonts w:ascii="Palatino Linotype" w:hAnsi="Palatino Linotype" w:cs="Times New Roman"/>
          <w:sz w:val="24"/>
          <w:szCs w:val="24"/>
        </w:rPr>
        <w:t>is being</w:t>
      </w:r>
      <w:r w:rsidR="00347EA9"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implemented i</w:t>
      </w:r>
      <w:r w:rsidR="00973B9D" w:rsidRPr="00B86922">
        <w:rPr>
          <w:rFonts w:ascii="Palatino Linotype" w:hAnsi="Palatino Linotype" w:cs="Times New Roman"/>
          <w:sz w:val="24"/>
          <w:szCs w:val="24"/>
        </w:rPr>
        <w:t>n three</w:t>
      </w:r>
      <w:r w:rsidR="00347EA9" w:rsidRPr="00B86922">
        <w:rPr>
          <w:rFonts w:ascii="Palatino Linotype" w:hAnsi="Palatino Linotype" w:cs="Times New Roman"/>
          <w:sz w:val="24"/>
          <w:szCs w:val="24"/>
        </w:rPr>
        <w:t xml:space="preserve"> stages. The first wa</w:t>
      </w:r>
      <w:r w:rsidR="006609C0" w:rsidRPr="00B86922">
        <w:rPr>
          <w:rFonts w:ascii="Palatino Linotype" w:hAnsi="Palatino Linotype" w:cs="Times New Roman"/>
          <w:sz w:val="24"/>
          <w:szCs w:val="24"/>
        </w:rPr>
        <w:t>s</w:t>
      </w:r>
      <w:r w:rsidRPr="00B86922">
        <w:rPr>
          <w:rFonts w:ascii="Palatino Linotype" w:hAnsi="Palatino Linotype" w:cs="Times New Roman"/>
          <w:sz w:val="24"/>
          <w:szCs w:val="24"/>
        </w:rPr>
        <w:t xml:space="preserve"> the feasibility stage </w:t>
      </w:r>
      <w:r w:rsidR="00B22F6C" w:rsidRPr="00B86922">
        <w:rPr>
          <w:rFonts w:ascii="Palatino Linotype" w:hAnsi="Palatino Linotype" w:cs="Times New Roman"/>
          <w:sz w:val="24"/>
          <w:szCs w:val="24"/>
        </w:rPr>
        <w:t>(September 2017-September 2018)</w:t>
      </w:r>
      <w:r w:rsidRPr="00B86922">
        <w:rPr>
          <w:rFonts w:ascii="Palatino Linotype" w:hAnsi="Palatino Linotype" w:cs="Times New Roman"/>
          <w:sz w:val="24"/>
          <w:szCs w:val="24"/>
        </w:rPr>
        <w:t xml:space="preserve">. </w:t>
      </w:r>
      <w:r w:rsidR="00973B9D" w:rsidRPr="00B86922">
        <w:rPr>
          <w:rFonts w:ascii="Palatino Linotype" w:hAnsi="Palatino Linotype" w:cs="Times New Roman"/>
          <w:sz w:val="24"/>
          <w:szCs w:val="24"/>
        </w:rPr>
        <w:t>The second involved the implementation of a pilot study designed to test the viability and effectiveness of the CLEAR</w:t>
      </w:r>
      <w:r w:rsidR="00624740" w:rsidRPr="00B86922">
        <w:rPr>
          <w:rFonts w:ascii="Palatino Linotype" w:hAnsi="Palatino Linotype" w:cs="Times New Roman"/>
          <w:sz w:val="24"/>
          <w:szCs w:val="24"/>
        </w:rPr>
        <w:t xml:space="preserve"> (September – October 2018)</w:t>
      </w:r>
      <w:r w:rsidR="00973B9D" w:rsidRPr="00B86922">
        <w:rPr>
          <w:rFonts w:ascii="Palatino Linotype" w:hAnsi="Palatino Linotype" w:cs="Times New Roman"/>
          <w:sz w:val="24"/>
          <w:szCs w:val="24"/>
        </w:rPr>
        <w:t>. The third will involve the implementation of a full</w:t>
      </w:r>
      <w:r w:rsidR="00EB3875">
        <w:rPr>
          <w:rFonts w:ascii="Palatino Linotype" w:hAnsi="Palatino Linotype" w:cs="Times New Roman"/>
          <w:sz w:val="24"/>
          <w:szCs w:val="24"/>
        </w:rPr>
        <w:t>-</w:t>
      </w:r>
      <w:r w:rsidR="00973B9D" w:rsidRPr="00B86922">
        <w:rPr>
          <w:rFonts w:ascii="Palatino Linotype" w:hAnsi="Palatino Linotype" w:cs="Times New Roman"/>
          <w:sz w:val="24"/>
          <w:szCs w:val="24"/>
        </w:rPr>
        <w:t>scale version of the CLEAR and its adoption within the curriculum during the 2020</w:t>
      </w:r>
      <w:r w:rsidR="003A641C" w:rsidRPr="00B86922">
        <w:rPr>
          <w:rFonts w:ascii="Palatino Linotype" w:hAnsi="Palatino Linotype" w:cs="Times New Roman"/>
          <w:sz w:val="24"/>
          <w:szCs w:val="24"/>
        </w:rPr>
        <w:t>/21</w:t>
      </w:r>
      <w:r w:rsidR="00973B9D" w:rsidRPr="00B86922">
        <w:rPr>
          <w:rFonts w:ascii="Palatino Linotype" w:hAnsi="Palatino Linotype" w:cs="Times New Roman"/>
          <w:sz w:val="24"/>
          <w:szCs w:val="24"/>
        </w:rPr>
        <w:t xml:space="preserve"> academic session. This article offers an account of the first two stages. </w:t>
      </w:r>
    </w:p>
    <w:p w14:paraId="70EAE6C7" w14:textId="77777777" w:rsidR="00F80414" w:rsidRPr="00B86922" w:rsidRDefault="00F80414" w:rsidP="00B86922">
      <w:pPr>
        <w:spacing w:after="120" w:line="480" w:lineRule="auto"/>
        <w:jc w:val="both"/>
        <w:rPr>
          <w:rFonts w:ascii="Palatino Linotype" w:hAnsi="Palatino Linotype" w:cs="Times New Roman"/>
          <w:sz w:val="24"/>
          <w:szCs w:val="24"/>
        </w:rPr>
      </w:pPr>
    </w:p>
    <w:p w14:paraId="7EA455C7" w14:textId="2639AE7A" w:rsidR="00941C86" w:rsidRPr="00B86922" w:rsidRDefault="006609C0"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As regards </w:t>
      </w:r>
      <w:r w:rsidR="00F00F28" w:rsidRPr="00B86922">
        <w:rPr>
          <w:rFonts w:ascii="Palatino Linotype" w:hAnsi="Palatino Linotype" w:cs="Times New Roman"/>
          <w:bCs/>
          <w:sz w:val="24"/>
          <w:szCs w:val="24"/>
        </w:rPr>
        <w:t xml:space="preserve">the research methodology to be adopted, </w:t>
      </w:r>
      <w:r w:rsidR="00826B56" w:rsidRPr="00B86922">
        <w:rPr>
          <w:rFonts w:ascii="Palatino Linotype" w:hAnsi="Palatino Linotype" w:cs="Times New Roman"/>
          <w:bCs/>
          <w:sz w:val="24"/>
          <w:szCs w:val="24"/>
        </w:rPr>
        <w:t>the intention wa</w:t>
      </w:r>
      <w:r w:rsidR="00347EA9" w:rsidRPr="00B86922">
        <w:rPr>
          <w:rFonts w:ascii="Palatino Linotype" w:hAnsi="Palatino Linotype" w:cs="Times New Roman"/>
          <w:bCs/>
          <w:sz w:val="24"/>
          <w:szCs w:val="24"/>
        </w:rPr>
        <w:t>s</w:t>
      </w:r>
      <w:r w:rsidRPr="00B86922">
        <w:rPr>
          <w:rFonts w:ascii="Palatino Linotype" w:hAnsi="Palatino Linotype" w:cs="Times New Roman"/>
          <w:bCs/>
          <w:sz w:val="24"/>
          <w:szCs w:val="24"/>
        </w:rPr>
        <w:t xml:space="preserve"> to gather </w:t>
      </w:r>
      <w:r w:rsidRPr="00B86922">
        <w:rPr>
          <w:rFonts w:ascii="Palatino Linotype" w:hAnsi="Palatino Linotype" w:cs="Times New Roman"/>
          <w:sz w:val="24"/>
          <w:szCs w:val="24"/>
        </w:rPr>
        <w:t xml:space="preserve">qualitative data </w:t>
      </w:r>
      <w:r w:rsidR="00F00F28" w:rsidRPr="00B86922">
        <w:rPr>
          <w:rFonts w:ascii="Palatino Linotype" w:hAnsi="Palatino Linotype" w:cs="Times New Roman"/>
          <w:sz w:val="24"/>
          <w:szCs w:val="24"/>
        </w:rPr>
        <w:t>(</w:t>
      </w:r>
      <w:r w:rsidR="00F00F28" w:rsidRPr="00B86922">
        <w:rPr>
          <w:rFonts w:ascii="Palatino Linotype" w:hAnsi="Palatino Linotype" w:cs="Times New Roman"/>
          <w:bCs/>
          <w:sz w:val="24"/>
          <w:szCs w:val="24"/>
        </w:rPr>
        <w:t xml:space="preserve">in respect of why occupiers do not participate in the legal process) </w:t>
      </w:r>
      <w:r w:rsidRPr="00B86922">
        <w:rPr>
          <w:rFonts w:ascii="Palatino Linotype" w:hAnsi="Palatino Linotype" w:cs="Times New Roman"/>
          <w:sz w:val="24"/>
          <w:szCs w:val="24"/>
        </w:rPr>
        <w:t xml:space="preserve">through the </w:t>
      </w:r>
      <w:r w:rsidR="00D45CD9" w:rsidRPr="00B86922">
        <w:rPr>
          <w:rFonts w:ascii="Palatino Linotype" w:hAnsi="Palatino Linotype" w:cs="Times New Roman"/>
          <w:sz w:val="24"/>
          <w:szCs w:val="24"/>
        </w:rPr>
        <w:t>distribution</w:t>
      </w:r>
      <w:r w:rsidRPr="00B86922">
        <w:rPr>
          <w:rFonts w:ascii="Palatino Linotype" w:hAnsi="Palatino Linotype" w:cs="Times New Roman"/>
          <w:sz w:val="24"/>
          <w:szCs w:val="24"/>
        </w:rPr>
        <w:t xml:space="preserve"> of a questionnaire and/or interviews. </w:t>
      </w:r>
      <w:r w:rsidR="008279E8" w:rsidRPr="00B86922">
        <w:rPr>
          <w:rFonts w:ascii="Palatino Linotype" w:hAnsi="Palatino Linotype" w:cs="Times New Roman"/>
          <w:sz w:val="24"/>
          <w:szCs w:val="24"/>
        </w:rPr>
        <w:t>Oc</w:t>
      </w:r>
      <w:r w:rsidR="00826B56" w:rsidRPr="00B86922">
        <w:rPr>
          <w:rFonts w:ascii="Palatino Linotype" w:hAnsi="Palatino Linotype" w:cs="Times New Roman"/>
          <w:sz w:val="24"/>
          <w:szCs w:val="24"/>
        </w:rPr>
        <w:t>cupiers attending the CLEAR would</w:t>
      </w:r>
      <w:r w:rsidR="008279E8" w:rsidRPr="00B86922">
        <w:rPr>
          <w:rFonts w:ascii="Palatino Linotype" w:hAnsi="Palatino Linotype" w:cs="Times New Roman"/>
          <w:sz w:val="24"/>
          <w:szCs w:val="24"/>
        </w:rPr>
        <w:t xml:space="preserve"> be asked to complete a questionnaire (in writing or online) or to participate in an interview (e.g. immediately after their interaction with the CLEAR or via a telephone interview at a later date).</w:t>
      </w:r>
      <w:r w:rsidR="00914A26" w:rsidRPr="00B86922">
        <w:rPr>
          <w:rFonts w:ascii="Palatino Linotype" w:hAnsi="Palatino Linotype" w:cs="Times New Roman"/>
          <w:sz w:val="24"/>
          <w:szCs w:val="24"/>
        </w:rPr>
        <w:t xml:space="preserve"> </w:t>
      </w:r>
    </w:p>
    <w:p w14:paraId="017BAC4E" w14:textId="77777777" w:rsidR="00F80414" w:rsidRPr="00B86922" w:rsidRDefault="00F80414" w:rsidP="00B86922">
      <w:pPr>
        <w:spacing w:after="120" w:line="480" w:lineRule="auto"/>
        <w:jc w:val="both"/>
        <w:rPr>
          <w:rFonts w:ascii="Palatino Linotype" w:hAnsi="Palatino Linotype" w:cs="Times New Roman"/>
          <w:sz w:val="24"/>
          <w:szCs w:val="24"/>
        </w:rPr>
      </w:pPr>
    </w:p>
    <w:p w14:paraId="008DED4E" w14:textId="0DE73DCA" w:rsidR="00B7278A" w:rsidRPr="00B86922" w:rsidRDefault="00826B56"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It wa</w:t>
      </w:r>
      <w:r w:rsidR="00B7278A" w:rsidRPr="00B86922">
        <w:rPr>
          <w:rFonts w:ascii="Palatino Linotype" w:hAnsi="Palatino Linotype" w:cs="Times New Roman"/>
          <w:sz w:val="24"/>
          <w:szCs w:val="24"/>
        </w:rPr>
        <w:t xml:space="preserve">s </w:t>
      </w:r>
      <w:r w:rsidR="00347EA9" w:rsidRPr="00B86922">
        <w:rPr>
          <w:rFonts w:ascii="Palatino Linotype" w:hAnsi="Palatino Linotype" w:cs="Times New Roman"/>
          <w:sz w:val="24"/>
          <w:szCs w:val="24"/>
        </w:rPr>
        <w:t>the</w:t>
      </w:r>
      <w:r w:rsidR="00B7278A" w:rsidRPr="00B86922">
        <w:rPr>
          <w:rFonts w:ascii="Palatino Linotype" w:hAnsi="Palatino Linotype" w:cs="Times New Roman"/>
          <w:sz w:val="24"/>
          <w:szCs w:val="24"/>
        </w:rPr>
        <w:t xml:space="preserve"> intention </w:t>
      </w:r>
      <w:r w:rsidR="00B22F6C" w:rsidRPr="00B86922">
        <w:rPr>
          <w:rFonts w:ascii="Palatino Linotype" w:hAnsi="Palatino Linotype" w:cs="Times New Roman"/>
          <w:sz w:val="24"/>
          <w:szCs w:val="24"/>
        </w:rPr>
        <w:t xml:space="preserve">also </w:t>
      </w:r>
      <w:r w:rsidR="00B7278A" w:rsidRPr="00B86922">
        <w:rPr>
          <w:rFonts w:ascii="Palatino Linotype" w:hAnsi="Palatino Linotype" w:cs="Times New Roman"/>
          <w:sz w:val="24"/>
          <w:szCs w:val="24"/>
        </w:rPr>
        <w:t xml:space="preserve">to gather quantitative data regarding the impact of the CLEAR on the number and outcome </w:t>
      </w:r>
      <w:r w:rsidRPr="00B86922">
        <w:rPr>
          <w:rFonts w:ascii="Palatino Linotype" w:hAnsi="Palatino Linotype" w:cs="Times New Roman"/>
          <w:sz w:val="24"/>
          <w:szCs w:val="24"/>
        </w:rPr>
        <w:t>of possession cases. The plan was</w:t>
      </w:r>
      <w:r w:rsidR="00B7278A" w:rsidRPr="00B86922">
        <w:rPr>
          <w:rFonts w:ascii="Palatino Linotype" w:hAnsi="Palatino Linotype" w:cs="Times New Roman"/>
          <w:sz w:val="24"/>
          <w:szCs w:val="24"/>
        </w:rPr>
        <w:t xml:space="preserve"> to access data on cases heard</w:t>
      </w:r>
      <w:r w:rsidR="00F00F28" w:rsidRPr="00B86922">
        <w:rPr>
          <w:rFonts w:ascii="Palatino Linotype" w:hAnsi="Palatino Linotype" w:cs="Times New Roman"/>
          <w:sz w:val="24"/>
          <w:szCs w:val="24"/>
        </w:rPr>
        <w:t xml:space="preserve"> at Hull Combined Court</w:t>
      </w:r>
      <w:r w:rsidR="00B7278A" w:rsidRPr="00B86922">
        <w:rPr>
          <w:rFonts w:ascii="Palatino Linotype" w:hAnsi="Palatino Linotype" w:cs="Times New Roman"/>
          <w:sz w:val="24"/>
          <w:szCs w:val="24"/>
        </w:rPr>
        <w:t xml:space="preserve"> prior to the introduction of the CLEAR and those heard during and following its implementation. Information received from the MOJ indicates </w:t>
      </w:r>
      <w:r w:rsidR="00874826" w:rsidRPr="00B86922">
        <w:rPr>
          <w:rFonts w:ascii="Palatino Linotype" w:hAnsi="Palatino Linotype" w:cs="Times New Roman"/>
          <w:sz w:val="24"/>
          <w:szCs w:val="24"/>
        </w:rPr>
        <w:t xml:space="preserve">that while the number </w:t>
      </w:r>
      <w:r w:rsidR="00B7278A" w:rsidRPr="00B86922">
        <w:rPr>
          <w:rFonts w:ascii="Palatino Linotype" w:hAnsi="Palatino Linotype" w:cs="Times New Roman"/>
          <w:sz w:val="24"/>
          <w:szCs w:val="24"/>
        </w:rPr>
        <w:t>and outco</w:t>
      </w:r>
      <w:r w:rsidR="00F80220" w:rsidRPr="00B86922">
        <w:rPr>
          <w:rFonts w:ascii="Palatino Linotype" w:hAnsi="Palatino Linotype" w:cs="Times New Roman"/>
          <w:sz w:val="24"/>
          <w:szCs w:val="24"/>
        </w:rPr>
        <w:t>me of possession claims</w:t>
      </w:r>
      <w:r w:rsidR="00B7278A" w:rsidRPr="00B86922">
        <w:rPr>
          <w:rFonts w:ascii="Palatino Linotype" w:hAnsi="Palatino Linotype" w:cs="Times New Roman"/>
          <w:sz w:val="24"/>
          <w:szCs w:val="24"/>
        </w:rPr>
        <w:t xml:space="preserve"> is publicly available,</w:t>
      </w:r>
      <w:r w:rsidR="00B7278A" w:rsidRPr="00B86922">
        <w:rPr>
          <w:rStyle w:val="FootnoteReference"/>
          <w:rFonts w:ascii="Palatino Linotype" w:hAnsi="Palatino Linotype" w:cs="Times New Roman"/>
          <w:sz w:val="24"/>
          <w:szCs w:val="24"/>
        </w:rPr>
        <w:footnoteReference w:id="71"/>
      </w:r>
      <w:r w:rsidR="00B7278A" w:rsidRPr="00B86922">
        <w:rPr>
          <w:rFonts w:ascii="Palatino Linotype" w:hAnsi="Palatino Linotype" w:cs="Times New Roman"/>
          <w:sz w:val="24"/>
          <w:szCs w:val="24"/>
        </w:rPr>
        <w:t xml:space="preserve"> other relevant data (e.g. did the occupier attend, were they represented, what was the level of arrears, what was the reason for the outcome including adjournments, etc.) is only available in the court file. </w:t>
      </w:r>
      <w:r w:rsidR="00E71B8D" w:rsidRPr="00B86922">
        <w:rPr>
          <w:rFonts w:ascii="Palatino Linotype" w:hAnsi="Palatino Linotype" w:cs="Times New Roman"/>
          <w:sz w:val="24"/>
          <w:szCs w:val="24"/>
        </w:rPr>
        <w:t>It will be necessary therefore to complete a Data Collection and Research application and submit it to the MOJ in order to obtain permission to access the court</w:t>
      </w:r>
      <w:r w:rsidR="00347EA9" w:rsidRPr="00B86922">
        <w:rPr>
          <w:rFonts w:ascii="Palatino Linotype" w:hAnsi="Palatino Linotype" w:cs="Times New Roman"/>
          <w:sz w:val="24"/>
          <w:szCs w:val="24"/>
        </w:rPr>
        <w:t xml:space="preserve"> records. As regards the</w:t>
      </w:r>
      <w:r w:rsidR="00E71B8D" w:rsidRPr="00B86922">
        <w:rPr>
          <w:rFonts w:ascii="Palatino Linotype" w:hAnsi="Palatino Linotype" w:cs="Times New Roman"/>
          <w:sz w:val="24"/>
          <w:szCs w:val="24"/>
        </w:rPr>
        <w:t xml:space="preserve"> monitor</w:t>
      </w:r>
      <w:r w:rsidR="00347EA9" w:rsidRPr="00B86922">
        <w:rPr>
          <w:rFonts w:ascii="Palatino Linotype" w:hAnsi="Palatino Linotype" w:cs="Times New Roman"/>
          <w:sz w:val="24"/>
          <w:szCs w:val="24"/>
        </w:rPr>
        <w:t xml:space="preserve">ing of </w:t>
      </w:r>
      <w:r w:rsidR="00E71B8D" w:rsidRPr="00B86922">
        <w:rPr>
          <w:rFonts w:ascii="Palatino Linotype" w:hAnsi="Palatino Linotype" w:cs="Times New Roman"/>
          <w:sz w:val="24"/>
          <w:szCs w:val="24"/>
        </w:rPr>
        <w:t>the impact of the CLEAR on cases</w:t>
      </w:r>
      <w:r w:rsidR="00F80220" w:rsidRPr="00B86922">
        <w:rPr>
          <w:rFonts w:ascii="Palatino Linotype" w:hAnsi="Palatino Linotype" w:cs="Times New Roman"/>
          <w:sz w:val="24"/>
          <w:szCs w:val="24"/>
        </w:rPr>
        <w:t xml:space="preserve"> during its implementation,</w:t>
      </w:r>
      <w:r w:rsidR="00347EA9" w:rsidRPr="00B86922">
        <w:rPr>
          <w:rFonts w:ascii="Palatino Linotype" w:hAnsi="Palatino Linotype" w:cs="Times New Roman"/>
          <w:sz w:val="24"/>
          <w:szCs w:val="24"/>
        </w:rPr>
        <w:t xml:space="preserve"> </w:t>
      </w:r>
      <w:r w:rsidR="00E71B8D" w:rsidRPr="00B86922">
        <w:rPr>
          <w:rFonts w:ascii="Palatino Linotype" w:hAnsi="Palatino Linotype" w:cs="Times New Roman"/>
          <w:sz w:val="24"/>
          <w:szCs w:val="24"/>
        </w:rPr>
        <w:t xml:space="preserve">the possibility of judges completing a very short pro-forma </w:t>
      </w:r>
      <w:r w:rsidR="00C84E44" w:rsidRPr="00B86922">
        <w:rPr>
          <w:rFonts w:ascii="Palatino Linotype" w:hAnsi="Palatino Linotype" w:cs="Times New Roman"/>
          <w:sz w:val="24"/>
          <w:szCs w:val="24"/>
        </w:rPr>
        <w:t xml:space="preserve">(in writing or possibly online) </w:t>
      </w:r>
      <w:r w:rsidR="00E71B8D" w:rsidRPr="00B86922">
        <w:rPr>
          <w:rFonts w:ascii="Palatino Linotype" w:hAnsi="Palatino Linotype" w:cs="Times New Roman"/>
          <w:sz w:val="24"/>
          <w:szCs w:val="24"/>
        </w:rPr>
        <w:t>and submitting that to the research team at the end of each possession list</w:t>
      </w:r>
      <w:r w:rsidR="00347EA9" w:rsidRPr="00B86922">
        <w:rPr>
          <w:rFonts w:ascii="Palatino Linotype" w:hAnsi="Palatino Linotype" w:cs="Times New Roman"/>
          <w:sz w:val="24"/>
          <w:szCs w:val="24"/>
        </w:rPr>
        <w:t xml:space="preserve"> is being explored</w:t>
      </w:r>
      <w:r w:rsidR="00E71B8D" w:rsidRPr="00B86922">
        <w:rPr>
          <w:rFonts w:ascii="Palatino Linotype" w:hAnsi="Palatino Linotype" w:cs="Times New Roman"/>
          <w:sz w:val="24"/>
          <w:szCs w:val="24"/>
        </w:rPr>
        <w:t>.</w:t>
      </w:r>
    </w:p>
    <w:p w14:paraId="5FD568F5" w14:textId="77777777" w:rsidR="00F80414" w:rsidRPr="00B86922" w:rsidRDefault="00F80414" w:rsidP="00B86922">
      <w:pPr>
        <w:spacing w:after="120" w:line="480" w:lineRule="auto"/>
        <w:jc w:val="both"/>
        <w:rPr>
          <w:rFonts w:ascii="Palatino Linotype" w:hAnsi="Palatino Linotype" w:cs="Times New Roman"/>
          <w:sz w:val="24"/>
          <w:szCs w:val="24"/>
        </w:rPr>
      </w:pPr>
    </w:p>
    <w:p w14:paraId="19285702" w14:textId="77777777" w:rsidR="00C64468" w:rsidRPr="001B49ED" w:rsidRDefault="00203AFB"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Progressing the project</w:t>
      </w:r>
    </w:p>
    <w:p w14:paraId="1B4C435E" w14:textId="649EDF2D" w:rsidR="00F915B4" w:rsidRPr="00B86922" w:rsidRDefault="00D45CD9"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The project began with </w:t>
      </w:r>
      <w:r w:rsidR="00F00F28" w:rsidRPr="00B86922">
        <w:rPr>
          <w:rFonts w:ascii="Palatino Linotype" w:hAnsi="Palatino Linotype" w:cs="Times New Roman"/>
          <w:bCs/>
          <w:sz w:val="24"/>
          <w:szCs w:val="24"/>
        </w:rPr>
        <w:t xml:space="preserve">the appointment of a research assistant (Dr Rachel Dixon, her help </w:t>
      </w:r>
      <w:r w:rsidR="00253ED8" w:rsidRPr="00B86922">
        <w:rPr>
          <w:rFonts w:ascii="Palatino Linotype" w:hAnsi="Palatino Linotype" w:cs="Times New Roman"/>
          <w:bCs/>
          <w:sz w:val="24"/>
          <w:szCs w:val="24"/>
        </w:rPr>
        <w:t xml:space="preserve">has </w:t>
      </w:r>
      <w:r w:rsidR="00F00F28" w:rsidRPr="00B86922">
        <w:rPr>
          <w:rFonts w:ascii="Palatino Linotype" w:hAnsi="Palatino Linotype" w:cs="Times New Roman"/>
          <w:bCs/>
          <w:sz w:val="24"/>
          <w:szCs w:val="24"/>
        </w:rPr>
        <w:t>proved invaluable throughout)</w:t>
      </w:r>
      <w:r w:rsidR="00253ED8" w:rsidRPr="00B86922">
        <w:rPr>
          <w:rFonts w:ascii="Palatino Linotype" w:hAnsi="Palatino Linotype" w:cs="Times New Roman"/>
          <w:bCs/>
          <w:sz w:val="24"/>
          <w:szCs w:val="24"/>
        </w:rPr>
        <w:t>.</w:t>
      </w:r>
      <w:r w:rsidRPr="00B86922">
        <w:rPr>
          <w:rFonts w:ascii="Palatino Linotype" w:hAnsi="Palatino Linotype" w:cs="Times New Roman"/>
          <w:bCs/>
          <w:sz w:val="24"/>
          <w:szCs w:val="24"/>
        </w:rPr>
        <w:t xml:space="preserve">During the first six months of the project, a number of meetings and observations were conducted including meetings with representatives of </w:t>
      </w:r>
      <w:r w:rsidR="00F02383" w:rsidRPr="00B86922">
        <w:rPr>
          <w:rFonts w:ascii="Palatino Linotype" w:hAnsi="Palatino Linotype" w:cs="Times New Roman"/>
          <w:bCs/>
          <w:sz w:val="24"/>
          <w:szCs w:val="24"/>
        </w:rPr>
        <w:t>the CAB</w:t>
      </w:r>
      <w:r w:rsidR="00C64468" w:rsidRPr="00B86922">
        <w:rPr>
          <w:rFonts w:ascii="Palatino Linotype" w:hAnsi="Palatino Linotype" w:cs="Times New Roman"/>
          <w:bCs/>
          <w:sz w:val="24"/>
          <w:szCs w:val="24"/>
        </w:rPr>
        <w:t xml:space="preserve"> </w:t>
      </w:r>
      <w:r w:rsidRPr="00B86922">
        <w:rPr>
          <w:rFonts w:ascii="Palatino Linotype" w:hAnsi="Palatino Linotype" w:cs="Times New Roman"/>
          <w:bCs/>
          <w:sz w:val="24"/>
          <w:szCs w:val="24"/>
        </w:rPr>
        <w:t>(</w:t>
      </w:r>
      <w:r w:rsidR="00C64468" w:rsidRPr="00B86922">
        <w:rPr>
          <w:rFonts w:ascii="Palatino Linotype" w:hAnsi="Palatino Linotype" w:cs="Times New Roman"/>
          <w:bCs/>
          <w:sz w:val="24"/>
          <w:szCs w:val="24"/>
        </w:rPr>
        <w:t>who run an advice service at Hull court</w:t>
      </w:r>
      <w:r w:rsidRPr="00B86922">
        <w:rPr>
          <w:rFonts w:ascii="Palatino Linotype" w:hAnsi="Palatino Linotype" w:cs="Times New Roman"/>
          <w:bCs/>
          <w:sz w:val="24"/>
          <w:szCs w:val="24"/>
        </w:rPr>
        <w:t xml:space="preserve">), </w:t>
      </w:r>
      <w:r w:rsidR="00284C69" w:rsidRPr="00B86922">
        <w:rPr>
          <w:rFonts w:ascii="Palatino Linotype" w:hAnsi="Palatino Linotype" w:cs="Times New Roman"/>
          <w:bCs/>
          <w:sz w:val="24"/>
          <w:szCs w:val="24"/>
        </w:rPr>
        <w:t>R</w:t>
      </w:r>
      <w:r w:rsidRPr="00B86922">
        <w:rPr>
          <w:rFonts w:ascii="Palatino Linotype" w:hAnsi="Palatino Linotype" w:cs="Times New Roman"/>
          <w:bCs/>
          <w:sz w:val="24"/>
          <w:szCs w:val="24"/>
        </w:rPr>
        <w:t xml:space="preserve">egistered </w:t>
      </w:r>
      <w:r w:rsidR="00284C69" w:rsidRPr="00B86922">
        <w:rPr>
          <w:rFonts w:ascii="Palatino Linotype" w:hAnsi="Palatino Linotype" w:cs="Times New Roman"/>
          <w:bCs/>
          <w:sz w:val="24"/>
          <w:szCs w:val="24"/>
        </w:rPr>
        <w:t>S</w:t>
      </w:r>
      <w:r w:rsidRPr="00B86922">
        <w:rPr>
          <w:rFonts w:ascii="Palatino Linotype" w:hAnsi="Palatino Linotype" w:cs="Times New Roman"/>
          <w:bCs/>
          <w:sz w:val="24"/>
          <w:szCs w:val="24"/>
        </w:rPr>
        <w:t xml:space="preserve">ocial </w:t>
      </w:r>
      <w:r w:rsidR="00284C69" w:rsidRPr="00B86922">
        <w:rPr>
          <w:rFonts w:ascii="Palatino Linotype" w:hAnsi="Palatino Linotype" w:cs="Times New Roman"/>
          <w:bCs/>
          <w:sz w:val="24"/>
          <w:szCs w:val="24"/>
        </w:rPr>
        <w:t>L</w:t>
      </w:r>
      <w:r w:rsidRPr="00B86922">
        <w:rPr>
          <w:rFonts w:ascii="Palatino Linotype" w:hAnsi="Palatino Linotype" w:cs="Times New Roman"/>
          <w:bCs/>
          <w:sz w:val="24"/>
          <w:szCs w:val="24"/>
        </w:rPr>
        <w:t>andlord</w:t>
      </w:r>
      <w:r w:rsidR="00284C69" w:rsidRPr="00B86922">
        <w:rPr>
          <w:rFonts w:ascii="Palatino Linotype" w:hAnsi="Palatino Linotype" w:cs="Times New Roman"/>
          <w:bCs/>
          <w:sz w:val="24"/>
          <w:szCs w:val="24"/>
        </w:rPr>
        <w:t>s</w:t>
      </w:r>
      <w:r w:rsidRPr="00B86922">
        <w:rPr>
          <w:rFonts w:ascii="Palatino Linotype" w:hAnsi="Palatino Linotype" w:cs="Times New Roman"/>
          <w:bCs/>
          <w:sz w:val="24"/>
          <w:szCs w:val="24"/>
        </w:rPr>
        <w:t xml:space="preserve"> (RSLs), </w:t>
      </w:r>
      <w:r w:rsidR="00D50ADD" w:rsidRPr="00B86922">
        <w:rPr>
          <w:rFonts w:ascii="Palatino Linotype" w:hAnsi="Palatino Linotype" w:cs="Times New Roman"/>
          <w:bCs/>
          <w:sz w:val="24"/>
          <w:szCs w:val="24"/>
        </w:rPr>
        <w:t xml:space="preserve">a High Court Enforcement Officer, a member of the Residential Landlords Association </w:t>
      </w:r>
      <w:r w:rsidRPr="00B86922">
        <w:rPr>
          <w:rFonts w:ascii="Palatino Linotype" w:hAnsi="Palatino Linotype" w:cs="Times New Roman"/>
          <w:bCs/>
          <w:sz w:val="24"/>
          <w:szCs w:val="24"/>
        </w:rPr>
        <w:t>and l</w:t>
      </w:r>
      <w:r w:rsidR="00C64468" w:rsidRPr="00B86922">
        <w:rPr>
          <w:rFonts w:ascii="Palatino Linotype" w:hAnsi="Palatino Linotype" w:cs="Times New Roman"/>
          <w:bCs/>
          <w:sz w:val="24"/>
          <w:szCs w:val="24"/>
        </w:rPr>
        <w:t xml:space="preserve">ocal judges and court employees. </w:t>
      </w:r>
      <w:r w:rsidR="00F00F28" w:rsidRPr="00B86922">
        <w:rPr>
          <w:rFonts w:ascii="Palatino Linotype" w:hAnsi="Palatino Linotype" w:cs="Times New Roman"/>
          <w:bCs/>
          <w:sz w:val="24"/>
          <w:szCs w:val="24"/>
        </w:rPr>
        <w:t>The research team was</w:t>
      </w:r>
      <w:r w:rsidRPr="00B86922">
        <w:rPr>
          <w:rFonts w:ascii="Palatino Linotype" w:hAnsi="Palatino Linotype" w:cs="Times New Roman"/>
          <w:bCs/>
          <w:sz w:val="24"/>
          <w:szCs w:val="24"/>
        </w:rPr>
        <w:t xml:space="preserve"> also able to observe</w:t>
      </w:r>
      <w:r w:rsidR="00C64468" w:rsidRPr="00B86922">
        <w:rPr>
          <w:rFonts w:ascii="Palatino Linotype" w:hAnsi="Palatino Linotype" w:cs="Times New Roman"/>
          <w:bCs/>
          <w:sz w:val="24"/>
          <w:szCs w:val="24"/>
        </w:rPr>
        <w:t xml:space="preserve"> a possession list at Hull </w:t>
      </w:r>
      <w:r w:rsidRPr="00B86922">
        <w:rPr>
          <w:rFonts w:ascii="Palatino Linotype" w:hAnsi="Palatino Linotype" w:cs="Times New Roman"/>
          <w:bCs/>
          <w:sz w:val="24"/>
          <w:szCs w:val="24"/>
        </w:rPr>
        <w:t xml:space="preserve">Combined Court and the </w:t>
      </w:r>
      <w:r w:rsidR="00C64468" w:rsidRPr="00B86922">
        <w:rPr>
          <w:rFonts w:ascii="Palatino Linotype" w:hAnsi="Palatino Linotype" w:cs="Times New Roman"/>
          <w:sz w:val="24"/>
          <w:szCs w:val="24"/>
        </w:rPr>
        <w:t>CAB helpdesk</w:t>
      </w:r>
      <w:r w:rsidR="00624740" w:rsidRPr="00B86922">
        <w:rPr>
          <w:rFonts w:ascii="Palatino Linotype" w:hAnsi="Palatino Linotype" w:cs="Times New Roman"/>
          <w:sz w:val="24"/>
          <w:szCs w:val="24"/>
        </w:rPr>
        <w:t xml:space="preserve"> held</w:t>
      </w:r>
      <w:r w:rsidR="00C64468" w:rsidRPr="00B86922">
        <w:rPr>
          <w:rFonts w:ascii="Palatino Linotype" w:hAnsi="Palatino Linotype" w:cs="Times New Roman"/>
          <w:sz w:val="24"/>
          <w:szCs w:val="24"/>
        </w:rPr>
        <w:t xml:space="preserve"> at</w:t>
      </w:r>
      <w:r w:rsidR="00624740" w:rsidRPr="00B86922">
        <w:rPr>
          <w:rFonts w:ascii="Palatino Linotype" w:hAnsi="Palatino Linotype" w:cs="Times New Roman"/>
          <w:sz w:val="24"/>
          <w:szCs w:val="24"/>
        </w:rPr>
        <w:t xml:space="preserve"> the co</w:t>
      </w:r>
      <w:r w:rsidRPr="00B86922">
        <w:rPr>
          <w:rFonts w:ascii="Palatino Linotype" w:hAnsi="Palatino Linotype" w:cs="Times New Roman"/>
          <w:sz w:val="24"/>
          <w:szCs w:val="24"/>
        </w:rPr>
        <w:t>urt</w:t>
      </w:r>
      <w:r w:rsidR="00C64468" w:rsidRPr="00B86922">
        <w:rPr>
          <w:rFonts w:ascii="Palatino Linotype" w:hAnsi="Palatino Linotype" w:cs="Times New Roman"/>
          <w:sz w:val="24"/>
          <w:szCs w:val="24"/>
        </w:rPr>
        <w:t>.</w:t>
      </w:r>
      <w:r w:rsidR="00D50ADD" w:rsidRPr="00B86922">
        <w:rPr>
          <w:rFonts w:ascii="Palatino Linotype" w:hAnsi="Palatino Linotype" w:cs="Times New Roman"/>
          <w:sz w:val="24"/>
          <w:szCs w:val="24"/>
        </w:rPr>
        <w:t xml:space="preserve"> </w:t>
      </w:r>
      <w:r w:rsidR="004E5BBA" w:rsidRPr="00B86922">
        <w:rPr>
          <w:rFonts w:ascii="Palatino Linotype" w:hAnsi="Palatino Linotype" w:cs="Times New Roman"/>
          <w:bCs/>
          <w:sz w:val="24"/>
          <w:szCs w:val="24"/>
        </w:rPr>
        <w:t>I</w:t>
      </w:r>
      <w:r w:rsidR="00F915B4" w:rsidRPr="00B86922">
        <w:rPr>
          <w:rFonts w:ascii="Palatino Linotype" w:hAnsi="Palatino Linotype" w:cs="Times New Roman"/>
          <w:bCs/>
          <w:sz w:val="24"/>
          <w:szCs w:val="24"/>
        </w:rPr>
        <w:t xml:space="preserve"> was also able to gain valuable guidance on the project as a result of a number of presentations at conferences attended by academics and legal practitioners</w:t>
      </w:r>
      <w:r w:rsidR="00CA600C">
        <w:rPr>
          <w:rStyle w:val="FootnoteReference"/>
          <w:rFonts w:ascii="Palatino Linotype" w:hAnsi="Palatino Linotype" w:cs="Times New Roman"/>
          <w:bCs/>
          <w:sz w:val="24"/>
          <w:szCs w:val="24"/>
        </w:rPr>
        <w:footnoteReference w:id="72"/>
      </w:r>
      <w:r w:rsidR="00CA600C">
        <w:rPr>
          <w:rFonts w:ascii="Palatino Linotype" w:hAnsi="Palatino Linotype" w:cs="Times New Roman"/>
          <w:bCs/>
          <w:sz w:val="24"/>
          <w:szCs w:val="24"/>
        </w:rPr>
        <w:t xml:space="preserve">. </w:t>
      </w:r>
      <w:r w:rsidR="00F915B4" w:rsidRPr="00B86922">
        <w:rPr>
          <w:rFonts w:ascii="Palatino Linotype" w:hAnsi="Palatino Linotype" w:cs="Times New Roman"/>
          <w:bCs/>
          <w:sz w:val="24"/>
          <w:szCs w:val="24"/>
        </w:rPr>
        <w:t xml:space="preserve">The insights, information and advice offered </w:t>
      </w:r>
      <w:r w:rsidR="00D50ADD" w:rsidRPr="00B86922">
        <w:rPr>
          <w:rFonts w:ascii="Palatino Linotype" w:hAnsi="Palatino Linotype" w:cs="Times New Roman"/>
          <w:bCs/>
          <w:sz w:val="24"/>
          <w:szCs w:val="24"/>
        </w:rPr>
        <w:t>during thes</w:t>
      </w:r>
      <w:r w:rsidR="00746E34" w:rsidRPr="00B86922">
        <w:rPr>
          <w:rFonts w:ascii="Palatino Linotype" w:hAnsi="Palatino Linotype" w:cs="Times New Roman"/>
          <w:bCs/>
          <w:sz w:val="24"/>
          <w:szCs w:val="24"/>
        </w:rPr>
        <w:t xml:space="preserve">e events proved invaluable in highlighting and addressing the various </w:t>
      </w:r>
      <w:r w:rsidR="00F915B4" w:rsidRPr="00B86922">
        <w:rPr>
          <w:rFonts w:ascii="Palatino Linotype" w:hAnsi="Palatino Linotype" w:cs="Times New Roman"/>
          <w:bCs/>
          <w:sz w:val="24"/>
          <w:szCs w:val="24"/>
        </w:rPr>
        <w:t>strengths, weaknesses, opportunities and threats relating to this project</w:t>
      </w:r>
      <w:r w:rsidR="00746E34" w:rsidRPr="00B86922">
        <w:rPr>
          <w:rFonts w:ascii="Palatino Linotype" w:hAnsi="Palatino Linotype" w:cs="Times New Roman"/>
          <w:bCs/>
          <w:sz w:val="24"/>
          <w:szCs w:val="24"/>
        </w:rPr>
        <w:t>.</w:t>
      </w:r>
      <w:r w:rsidR="00185A74" w:rsidRPr="00B86922">
        <w:rPr>
          <w:rFonts w:ascii="Palatino Linotype" w:hAnsi="Palatino Linotype" w:cs="Times New Roman"/>
          <w:sz w:val="24"/>
          <w:szCs w:val="24"/>
        </w:rPr>
        <w:t xml:space="preserve"> Arising out of these meetings and observations were</w:t>
      </w:r>
      <w:r w:rsidR="00624740" w:rsidRPr="00B86922">
        <w:rPr>
          <w:rFonts w:ascii="Palatino Linotype" w:hAnsi="Palatino Linotype" w:cs="Times New Roman"/>
          <w:sz w:val="24"/>
          <w:szCs w:val="24"/>
        </w:rPr>
        <w:t xml:space="preserve"> a number of</w:t>
      </w:r>
      <w:r w:rsidR="00185A74" w:rsidRPr="00B86922">
        <w:rPr>
          <w:rFonts w:ascii="Palatino Linotype" w:hAnsi="Palatino Linotype" w:cs="Times New Roman"/>
          <w:sz w:val="24"/>
          <w:szCs w:val="24"/>
        </w:rPr>
        <w:t xml:space="preserve"> recurrent themes</w:t>
      </w:r>
      <w:r w:rsidR="00624740" w:rsidRPr="00B86922">
        <w:rPr>
          <w:rFonts w:ascii="Palatino Linotype" w:hAnsi="Palatino Linotype" w:cs="Times New Roman"/>
          <w:sz w:val="24"/>
          <w:szCs w:val="24"/>
        </w:rPr>
        <w:t xml:space="preserve"> including</w:t>
      </w:r>
      <w:r w:rsidR="00185A74" w:rsidRPr="00B86922">
        <w:rPr>
          <w:rFonts w:ascii="Palatino Linotype" w:hAnsi="Palatino Linotype" w:cs="Times New Roman"/>
          <w:sz w:val="24"/>
          <w:szCs w:val="24"/>
        </w:rPr>
        <w:t>: engagement, timing and ‘added value’, explored in more detail below.</w:t>
      </w:r>
    </w:p>
    <w:p w14:paraId="7ABF5B62" w14:textId="77777777" w:rsidR="00CA600C" w:rsidRDefault="00CA600C" w:rsidP="00B86922">
      <w:pPr>
        <w:spacing w:before="240" w:after="240" w:line="480" w:lineRule="auto"/>
        <w:jc w:val="both"/>
        <w:rPr>
          <w:rFonts w:ascii="Palatino Linotype" w:hAnsi="Palatino Linotype" w:cs="Times New Roman"/>
          <w:b/>
          <w:sz w:val="24"/>
          <w:szCs w:val="24"/>
        </w:rPr>
      </w:pPr>
    </w:p>
    <w:p w14:paraId="63505D4A" w14:textId="3CD2B6E6" w:rsidR="00A04FD0" w:rsidRPr="001B49ED" w:rsidRDefault="00D46B1E"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Themes and Challenges</w:t>
      </w:r>
    </w:p>
    <w:p w14:paraId="1D17C377" w14:textId="77777777" w:rsidR="00FD17D8" w:rsidRPr="001B49ED" w:rsidRDefault="00FD17D8" w:rsidP="00B86922">
      <w:pPr>
        <w:spacing w:before="240" w:after="240" w:line="480" w:lineRule="auto"/>
        <w:jc w:val="both"/>
        <w:rPr>
          <w:rFonts w:ascii="Palatino Linotype" w:hAnsi="Palatino Linotype" w:cs="Times New Roman"/>
          <w:b/>
          <w:sz w:val="24"/>
          <w:szCs w:val="24"/>
        </w:rPr>
      </w:pPr>
      <w:r w:rsidRPr="001B49ED">
        <w:rPr>
          <w:rFonts w:ascii="Palatino Linotype" w:hAnsi="Palatino Linotype" w:cs="Times New Roman"/>
          <w:b/>
          <w:sz w:val="24"/>
          <w:szCs w:val="24"/>
        </w:rPr>
        <w:t>How do we get occupiers to engage with the project?</w:t>
      </w:r>
    </w:p>
    <w:p w14:paraId="33B26F11" w14:textId="2BDF6C29" w:rsidR="006609C0" w:rsidRPr="00B86922" w:rsidRDefault="00941C86"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Of the various </w:t>
      </w:r>
      <w:r w:rsidR="000F77CA" w:rsidRPr="00B86922">
        <w:rPr>
          <w:rFonts w:ascii="Palatino Linotype" w:hAnsi="Palatino Linotype" w:cs="Times New Roman"/>
          <w:sz w:val="24"/>
          <w:szCs w:val="24"/>
        </w:rPr>
        <w:t>challenges</w:t>
      </w:r>
      <w:r w:rsidRPr="00B86922">
        <w:rPr>
          <w:rFonts w:ascii="Palatino Linotype" w:hAnsi="Palatino Linotype" w:cs="Times New Roman"/>
          <w:sz w:val="24"/>
          <w:szCs w:val="24"/>
        </w:rPr>
        <w:t xml:space="preserve"> posed by this project, accessing occupiers who are unable or unwilling to engage with their lender, landlord or the legal process poses perhaps one of the greatest. Solutions to this might</w:t>
      </w:r>
      <w:r w:rsidR="00F80414" w:rsidRPr="00B86922">
        <w:rPr>
          <w:rFonts w:ascii="Palatino Linotype" w:hAnsi="Palatino Linotype" w:cs="Times New Roman"/>
          <w:sz w:val="24"/>
          <w:szCs w:val="24"/>
        </w:rPr>
        <w:t xml:space="preserve"> have</w:t>
      </w:r>
      <w:r w:rsidRPr="00B86922">
        <w:rPr>
          <w:rFonts w:ascii="Palatino Linotype" w:hAnsi="Palatino Linotype" w:cs="Times New Roman"/>
          <w:sz w:val="24"/>
          <w:szCs w:val="24"/>
        </w:rPr>
        <w:t xml:space="preserve"> include</w:t>
      </w:r>
      <w:r w:rsidR="00F80414" w:rsidRPr="00B86922">
        <w:rPr>
          <w:rFonts w:ascii="Palatino Linotype" w:hAnsi="Palatino Linotype" w:cs="Times New Roman"/>
          <w:sz w:val="24"/>
          <w:szCs w:val="24"/>
        </w:rPr>
        <w:t>d</w:t>
      </w:r>
      <w:r w:rsidRPr="00B86922">
        <w:rPr>
          <w:rFonts w:ascii="Palatino Linotype" w:hAnsi="Palatino Linotype" w:cs="Times New Roman"/>
          <w:sz w:val="24"/>
          <w:szCs w:val="24"/>
        </w:rPr>
        <w:t xml:space="preserve"> marketing material designed to entice occupiers to make contact with the CLEAR</w:t>
      </w:r>
      <w:r w:rsidR="00E12129" w:rsidRPr="00B86922">
        <w:rPr>
          <w:rFonts w:ascii="Palatino Linotype" w:hAnsi="Palatino Linotype" w:cs="Times New Roman"/>
          <w:sz w:val="24"/>
          <w:szCs w:val="24"/>
        </w:rPr>
        <w:t xml:space="preserve">. This could </w:t>
      </w:r>
      <w:r w:rsidR="00B45369" w:rsidRPr="00B86922">
        <w:rPr>
          <w:rFonts w:ascii="Palatino Linotype" w:hAnsi="Palatino Linotype" w:cs="Times New Roman"/>
          <w:sz w:val="24"/>
          <w:szCs w:val="24"/>
        </w:rPr>
        <w:t xml:space="preserve">have </w:t>
      </w:r>
      <w:r w:rsidR="00E12129" w:rsidRPr="00B86922">
        <w:rPr>
          <w:rFonts w:ascii="Palatino Linotype" w:hAnsi="Palatino Linotype" w:cs="Times New Roman"/>
          <w:sz w:val="24"/>
          <w:szCs w:val="24"/>
        </w:rPr>
        <w:t>be</w:t>
      </w:r>
      <w:r w:rsidR="00B45369" w:rsidRPr="00B86922">
        <w:rPr>
          <w:rFonts w:ascii="Palatino Linotype" w:hAnsi="Palatino Linotype" w:cs="Times New Roman"/>
          <w:sz w:val="24"/>
          <w:szCs w:val="24"/>
        </w:rPr>
        <w:t>en</w:t>
      </w:r>
      <w:r w:rsidR="00E12129" w:rsidRPr="00B86922">
        <w:rPr>
          <w:rFonts w:ascii="Palatino Linotype" w:hAnsi="Palatino Linotype" w:cs="Times New Roman"/>
          <w:sz w:val="24"/>
          <w:szCs w:val="24"/>
        </w:rPr>
        <w:t xml:space="preserve"> promoted in locations frequented by those in debt or with other issues that tend to be associated with debt such as mental health issues</w:t>
      </w:r>
      <w:r w:rsidR="00B56381">
        <w:rPr>
          <w:rStyle w:val="FootnoteReference"/>
          <w:rFonts w:ascii="Palatino Linotype" w:hAnsi="Palatino Linotype" w:cs="Times New Roman"/>
          <w:sz w:val="24"/>
          <w:szCs w:val="24"/>
        </w:rPr>
        <w:footnoteReference w:id="73"/>
      </w:r>
      <w:r w:rsidR="00B56381">
        <w:rPr>
          <w:rFonts w:ascii="Palatino Linotype" w:hAnsi="Palatino Linotype" w:cs="Times New Roman"/>
          <w:sz w:val="24"/>
          <w:szCs w:val="24"/>
        </w:rPr>
        <w:t xml:space="preserve">, </w:t>
      </w:r>
      <w:r w:rsidR="00E12129" w:rsidRPr="00B86922">
        <w:rPr>
          <w:rFonts w:ascii="Palatino Linotype" w:hAnsi="Palatino Linotype" w:cs="Times New Roman"/>
          <w:sz w:val="24"/>
          <w:szCs w:val="24"/>
        </w:rPr>
        <w:t>e.g. food banks, GPs surgeries (the local CAB offers advice servi</w:t>
      </w:r>
      <w:r w:rsidR="00B45369" w:rsidRPr="00B86922">
        <w:rPr>
          <w:rFonts w:ascii="Palatino Linotype" w:hAnsi="Palatino Linotype" w:cs="Times New Roman"/>
          <w:sz w:val="24"/>
          <w:szCs w:val="24"/>
        </w:rPr>
        <w:t>ces in GP surgeries which we might have</w:t>
      </w:r>
      <w:r w:rsidR="00E12129" w:rsidRPr="00B86922">
        <w:rPr>
          <w:rFonts w:ascii="Palatino Linotype" w:hAnsi="Palatino Linotype" w:cs="Times New Roman"/>
          <w:sz w:val="24"/>
          <w:szCs w:val="24"/>
        </w:rPr>
        <w:t xml:space="preserve"> utilise</w:t>
      </w:r>
      <w:r w:rsidR="00B45369" w:rsidRPr="00B86922">
        <w:rPr>
          <w:rFonts w:ascii="Palatino Linotype" w:hAnsi="Palatino Linotype" w:cs="Times New Roman"/>
          <w:sz w:val="24"/>
          <w:szCs w:val="24"/>
        </w:rPr>
        <w:t>d</w:t>
      </w:r>
      <w:r w:rsidR="00E12129" w:rsidRPr="00B86922">
        <w:rPr>
          <w:rFonts w:ascii="Palatino Linotype" w:hAnsi="Palatino Linotype" w:cs="Times New Roman"/>
          <w:sz w:val="24"/>
          <w:szCs w:val="24"/>
        </w:rPr>
        <w:t xml:space="preserve"> for the purpose of promoting our initiative), debt advice centres, etc.</w:t>
      </w:r>
      <w:r w:rsidR="00F642AC" w:rsidRPr="00B86922">
        <w:rPr>
          <w:rFonts w:ascii="Palatino Linotype" w:hAnsi="Palatino Linotype" w:cs="Times New Roman"/>
          <w:sz w:val="24"/>
          <w:szCs w:val="24"/>
        </w:rPr>
        <w:t xml:space="preserve"> Alternatively, some RSLs</w:t>
      </w:r>
      <w:r w:rsidRPr="00B86922">
        <w:rPr>
          <w:rFonts w:ascii="Palatino Linotype" w:hAnsi="Palatino Linotype" w:cs="Times New Roman"/>
          <w:sz w:val="24"/>
          <w:szCs w:val="24"/>
        </w:rPr>
        <w:t xml:space="preserve"> indicated a willingness to send material relating to the CLEAR to their tenants</w:t>
      </w:r>
      <w:r w:rsidR="00A4100B" w:rsidRPr="00B86922">
        <w:rPr>
          <w:rFonts w:ascii="Palatino Linotype" w:hAnsi="Palatino Linotype" w:cs="Times New Roman"/>
          <w:sz w:val="24"/>
          <w:szCs w:val="24"/>
        </w:rPr>
        <w:t xml:space="preserve"> in arrears</w:t>
      </w:r>
      <w:r w:rsidRPr="00B86922">
        <w:rPr>
          <w:rFonts w:ascii="Palatino Linotype" w:hAnsi="Palatino Linotype" w:cs="Times New Roman"/>
          <w:sz w:val="24"/>
          <w:szCs w:val="24"/>
        </w:rPr>
        <w:t xml:space="preserve"> which </w:t>
      </w:r>
      <w:r w:rsidR="00F642AC" w:rsidRPr="00B86922">
        <w:rPr>
          <w:rFonts w:ascii="Palatino Linotype" w:hAnsi="Palatino Linotype" w:cs="Times New Roman"/>
          <w:sz w:val="24"/>
          <w:szCs w:val="24"/>
        </w:rPr>
        <w:t>would</w:t>
      </w:r>
      <w:r w:rsidRPr="00B86922">
        <w:rPr>
          <w:rFonts w:ascii="Palatino Linotype" w:hAnsi="Palatino Linotype" w:cs="Times New Roman"/>
          <w:sz w:val="24"/>
          <w:szCs w:val="24"/>
        </w:rPr>
        <w:t xml:space="preserve"> </w:t>
      </w:r>
      <w:r w:rsidR="000F77CA" w:rsidRPr="00B86922">
        <w:rPr>
          <w:rFonts w:ascii="Palatino Linotype" w:hAnsi="Palatino Linotype" w:cs="Times New Roman"/>
          <w:sz w:val="24"/>
          <w:szCs w:val="24"/>
        </w:rPr>
        <w:t xml:space="preserve">have </w:t>
      </w:r>
      <w:r w:rsidRPr="00B86922">
        <w:rPr>
          <w:rFonts w:ascii="Palatino Linotype" w:hAnsi="Palatino Linotype" w:cs="Times New Roman"/>
          <w:sz w:val="24"/>
          <w:szCs w:val="24"/>
        </w:rPr>
        <w:t>ensure</w:t>
      </w:r>
      <w:r w:rsidR="000F77CA" w:rsidRPr="00B86922">
        <w:rPr>
          <w:rFonts w:ascii="Palatino Linotype" w:hAnsi="Palatino Linotype" w:cs="Times New Roman"/>
          <w:sz w:val="24"/>
          <w:szCs w:val="24"/>
        </w:rPr>
        <w:t>d</w:t>
      </w:r>
      <w:r w:rsidRPr="00B86922">
        <w:rPr>
          <w:rFonts w:ascii="Palatino Linotype" w:hAnsi="Palatino Linotype" w:cs="Times New Roman"/>
          <w:sz w:val="24"/>
          <w:szCs w:val="24"/>
        </w:rPr>
        <w:t xml:space="preserve"> a more targeted campaign that might </w:t>
      </w:r>
      <w:r w:rsidR="000F77CA" w:rsidRPr="00B86922">
        <w:rPr>
          <w:rFonts w:ascii="Palatino Linotype" w:hAnsi="Palatino Linotype" w:cs="Times New Roman"/>
          <w:sz w:val="24"/>
          <w:szCs w:val="24"/>
        </w:rPr>
        <w:t xml:space="preserve">have </w:t>
      </w:r>
      <w:r w:rsidRPr="00B86922">
        <w:rPr>
          <w:rFonts w:ascii="Palatino Linotype" w:hAnsi="Palatino Linotype" w:cs="Times New Roman"/>
          <w:sz w:val="24"/>
          <w:szCs w:val="24"/>
        </w:rPr>
        <w:t>encourage</w:t>
      </w:r>
      <w:r w:rsidR="000F77CA" w:rsidRPr="00B86922">
        <w:rPr>
          <w:rFonts w:ascii="Palatino Linotype" w:hAnsi="Palatino Linotype" w:cs="Times New Roman"/>
          <w:sz w:val="24"/>
          <w:szCs w:val="24"/>
        </w:rPr>
        <w:t>d</w:t>
      </w:r>
      <w:r w:rsidRPr="00B86922">
        <w:rPr>
          <w:rFonts w:ascii="Palatino Linotype" w:hAnsi="Palatino Linotype" w:cs="Times New Roman"/>
          <w:sz w:val="24"/>
          <w:szCs w:val="24"/>
        </w:rPr>
        <w:t xml:space="preserve"> some tenants threatened with eviction to approach the CLEAR.</w:t>
      </w:r>
    </w:p>
    <w:p w14:paraId="2DBDFEF3" w14:textId="77777777" w:rsidR="00CA600C" w:rsidRPr="00B86922" w:rsidRDefault="00CA600C" w:rsidP="00B86922">
      <w:pPr>
        <w:spacing w:after="120" w:line="480" w:lineRule="auto"/>
        <w:jc w:val="both"/>
        <w:rPr>
          <w:rFonts w:ascii="Palatino Linotype" w:hAnsi="Palatino Linotype" w:cs="Times New Roman"/>
          <w:sz w:val="24"/>
          <w:szCs w:val="24"/>
        </w:rPr>
      </w:pPr>
    </w:p>
    <w:p w14:paraId="5CF81E92" w14:textId="77777777" w:rsidR="00FD17D8" w:rsidRPr="001B49ED" w:rsidRDefault="002C3ABC" w:rsidP="00B86922">
      <w:pPr>
        <w:spacing w:line="480" w:lineRule="auto"/>
        <w:jc w:val="both"/>
        <w:rPr>
          <w:rFonts w:ascii="Palatino Linotype" w:hAnsi="Palatino Linotype" w:cs="Times New Roman"/>
          <w:b/>
          <w:sz w:val="24"/>
          <w:szCs w:val="24"/>
        </w:rPr>
      </w:pPr>
      <w:r w:rsidRPr="001B49ED">
        <w:rPr>
          <w:rFonts w:ascii="Palatino Linotype" w:hAnsi="Palatino Linotype" w:cs="Times New Roman"/>
          <w:b/>
          <w:sz w:val="24"/>
          <w:szCs w:val="24"/>
        </w:rPr>
        <w:t>E</w:t>
      </w:r>
      <w:r w:rsidR="00FD17D8" w:rsidRPr="001B49ED">
        <w:rPr>
          <w:rFonts w:ascii="Palatino Linotype" w:hAnsi="Palatino Linotype" w:cs="Times New Roman"/>
          <w:b/>
          <w:sz w:val="24"/>
          <w:szCs w:val="24"/>
        </w:rPr>
        <w:t>thical considerations</w:t>
      </w:r>
    </w:p>
    <w:p w14:paraId="35B9BBB4" w14:textId="0C827786" w:rsidR="002D6684" w:rsidRPr="00B86922" w:rsidRDefault="00F642AC"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iCs/>
          <w:sz w:val="24"/>
          <w:szCs w:val="24"/>
        </w:rPr>
        <w:t>Stage 1 of the project involved</w:t>
      </w:r>
      <w:r w:rsidR="0024588E" w:rsidRPr="00B86922">
        <w:rPr>
          <w:rFonts w:ascii="Palatino Linotype" w:hAnsi="Palatino Linotype" w:cs="Times New Roman"/>
          <w:iCs/>
          <w:sz w:val="24"/>
          <w:szCs w:val="24"/>
        </w:rPr>
        <w:t xml:space="preserve"> general discussions with or observations of members of the </w:t>
      </w:r>
      <w:r w:rsidR="00EB3875">
        <w:rPr>
          <w:rFonts w:ascii="Palatino Linotype" w:hAnsi="Palatino Linotype" w:cs="Times New Roman"/>
          <w:iCs/>
          <w:sz w:val="24"/>
          <w:szCs w:val="24"/>
        </w:rPr>
        <w:t>“</w:t>
      </w:r>
      <w:r w:rsidR="0024588E" w:rsidRPr="00B86922">
        <w:rPr>
          <w:rFonts w:ascii="Palatino Linotype" w:hAnsi="Palatino Linotype" w:cs="Times New Roman"/>
          <w:iCs/>
          <w:sz w:val="24"/>
          <w:szCs w:val="24"/>
        </w:rPr>
        <w:t>elite</w:t>
      </w:r>
      <w:r w:rsidR="00EB3875">
        <w:rPr>
          <w:rFonts w:ascii="Palatino Linotype" w:hAnsi="Palatino Linotype" w:cs="Times New Roman"/>
          <w:iCs/>
          <w:sz w:val="24"/>
          <w:szCs w:val="24"/>
        </w:rPr>
        <w:t>”</w:t>
      </w:r>
      <w:r w:rsidR="0024588E" w:rsidRPr="00B86922">
        <w:rPr>
          <w:rFonts w:ascii="Palatino Linotype" w:hAnsi="Palatino Linotype" w:cs="Times New Roman"/>
          <w:iCs/>
          <w:sz w:val="24"/>
          <w:szCs w:val="24"/>
        </w:rPr>
        <w:t xml:space="preserve"> (e.g. judges) and other professionals in respect of their roles and how the CLEAR might add value to the arrears and evictions p</w:t>
      </w:r>
      <w:r w:rsidRPr="00B86922">
        <w:rPr>
          <w:rFonts w:ascii="Palatino Linotype" w:hAnsi="Palatino Linotype" w:cs="Times New Roman"/>
          <w:iCs/>
          <w:sz w:val="24"/>
          <w:szCs w:val="24"/>
        </w:rPr>
        <w:t>rocess. Ethical considerations we</w:t>
      </w:r>
      <w:r w:rsidR="0024588E" w:rsidRPr="00B86922">
        <w:rPr>
          <w:rFonts w:ascii="Palatino Linotype" w:hAnsi="Palatino Linotype" w:cs="Times New Roman"/>
          <w:iCs/>
          <w:sz w:val="24"/>
          <w:szCs w:val="24"/>
        </w:rPr>
        <w:t>re therefore relatively minimal at this stage.</w:t>
      </w:r>
      <w:r w:rsidR="000F77CA" w:rsidRPr="00B86922">
        <w:rPr>
          <w:rFonts w:ascii="Palatino Linotype" w:hAnsi="Palatino Linotype" w:cs="Times New Roman"/>
          <w:iCs/>
          <w:sz w:val="24"/>
          <w:szCs w:val="24"/>
        </w:rPr>
        <w:t xml:space="preserve"> </w:t>
      </w:r>
      <w:r w:rsidR="0024588E" w:rsidRPr="00B86922">
        <w:rPr>
          <w:rFonts w:ascii="Palatino Linotype" w:hAnsi="Palatino Linotype" w:cs="Times New Roman"/>
          <w:iCs/>
          <w:sz w:val="24"/>
          <w:szCs w:val="24"/>
        </w:rPr>
        <w:t>Stage</w:t>
      </w:r>
      <w:r w:rsidR="000F77CA" w:rsidRPr="00B86922">
        <w:rPr>
          <w:rFonts w:ascii="Palatino Linotype" w:hAnsi="Palatino Linotype" w:cs="Times New Roman"/>
          <w:iCs/>
          <w:sz w:val="24"/>
          <w:szCs w:val="24"/>
        </w:rPr>
        <w:t>s</w:t>
      </w:r>
      <w:r w:rsidR="0024588E" w:rsidRPr="00B86922">
        <w:rPr>
          <w:rFonts w:ascii="Palatino Linotype" w:hAnsi="Palatino Linotype" w:cs="Times New Roman"/>
          <w:iCs/>
          <w:sz w:val="24"/>
          <w:szCs w:val="24"/>
        </w:rPr>
        <w:t xml:space="preserve"> 2</w:t>
      </w:r>
      <w:r w:rsidR="000F77CA" w:rsidRPr="00B86922">
        <w:rPr>
          <w:rFonts w:ascii="Palatino Linotype" w:hAnsi="Palatino Linotype" w:cs="Times New Roman"/>
          <w:iCs/>
          <w:sz w:val="24"/>
          <w:szCs w:val="24"/>
        </w:rPr>
        <w:t xml:space="preserve"> and 3</w:t>
      </w:r>
      <w:r w:rsidR="0024588E" w:rsidRPr="00B86922">
        <w:rPr>
          <w:rFonts w:ascii="Palatino Linotype" w:hAnsi="Palatino Linotype" w:cs="Times New Roman"/>
          <w:iCs/>
          <w:sz w:val="24"/>
          <w:szCs w:val="24"/>
        </w:rPr>
        <w:t xml:space="preserve"> however</w:t>
      </w:r>
      <w:r w:rsidR="002C3ABC" w:rsidRPr="00B86922">
        <w:rPr>
          <w:rFonts w:ascii="Palatino Linotype" w:hAnsi="Palatino Linotype" w:cs="Times New Roman"/>
          <w:iCs/>
          <w:sz w:val="24"/>
          <w:szCs w:val="24"/>
        </w:rPr>
        <w:t xml:space="preserve"> involve</w:t>
      </w:r>
      <w:r w:rsidR="0024588E" w:rsidRPr="00B86922">
        <w:rPr>
          <w:rFonts w:ascii="Palatino Linotype" w:hAnsi="Palatino Linotype" w:cs="Times New Roman"/>
          <w:iCs/>
          <w:sz w:val="24"/>
          <w:szCs w:val="24"/>
        </w:rPr>
        <w:t xml:space="preserve"> students (supervised by a member of the Law School in a manner similar to the Legal Advice Ce</w:t>
      </w:r>
      <w:r w:rsidR="000F77CA" w:rsidRPr="00B86922">
        <w:rPr>
          <w:rFonts w:ascii="Palatino Linotype" w:hAnsi="Palatino Linotype" w:cs="Times New Roman"/>
          <w:iCs/>
          <w:sz w:val="24"/>
          <w:szCs w:val="24"/>
        </w:rPr>
        <w:t>ntre)</w:t>
      </w:r>
      <w:r w:rsidR="00FB3682" w:rsidRPr="00B86922">
        <w:rPr>
          <w:rFonts w:ascii="Palatino Linotype" w:hAnsi="Palatino Linotype" w:cs="Times New Roman"/>
          <w:iCs/>
          <w:sz w:val="24"/>
          <w:szCs w:val="24"/>
        </w:rPr>
        <w:t xml:space="preserve"> </w:t>
      </w:r>
      <w:r w:rsidR="000F77CA" w:rsidRPr="00B86922">
        <w:rPr>
          <w:rFonts w:ascii="Palatino Linotype" w:hAnsi="Palatino Linotype" w:cs="Times New Roman"/>
          <w:iCs/>
          <w:sz w:val="24"/>
          <w:szCs w:val="24"/>
        </w:rPr>
        <w:t>dealing directly with</w:t>
      </w:r>
      <w:r w:rsidR="0024588E" w:rsidRPr="00B86922">
        <w:rPr>
          <w:rFonts w:ascii="Palatino Linotype" w:hAnsi="Palatino Linotype" w:cs="Times New Roman"/>
          <w:iCs/>
          <w:sz w:val="24"/>
          <w:szCs w:val="24"/>
        </w:rPr>
        <w:t xml:space="preserve"> members of the local community who seek </w:t>
      </w:r>
      <w:r w:rsidRPr="00B86922">
        <w:rPr>
          <w:rFonts w:ascii="Palatino Linotype" w:hAnsi="Palatino Linotype" w:cs="Times New Roman"/>
          <w:iCs/>
          <w:sz w:val="24"/>
          <w:szCs w:val="24"/>
        </w:rPr>
        <w:t>support</w:t>
      </w:r>
      <w:r w:rsidR="0024588E" w:rsidRPr="00B86922">
        <w:rPr>
          <w:rFonts w:ascii="Palatino Linotype" w:hAnsi="Palatino Linotype" w:cs="Times New Roman"/>
          <w:iCs/>
          <w:sz w:val="24"/>
          <w:szCs w:val="24"/>
        </w:rPr>
        <w:t xml:space="preserve"> from the CLEAR</w:t>
      </w:r>
      <w:r w:rsidR="000F77CA" w:rsidRPr="00B86922">
        <w:rPr>
          <w:rFonts w:ascii="Palatino Linotype" w:hAnsi="Palatino Linotype" w:cs="Times New Roman"/>
          <w:iCs/>
          <w:sz w:val="24"/>
          <w:szCs w:val="24"/>
        </w:rPr>
        <w:t>. This gave</w:t>
      </w:r>
      <w:r w:rsidR="0024588E" w:rsidRPr="00B86922">
        <w:rPr>
          <w:rFonts w:ascii="Palatino Linotype" w:hAnsi="Palatino Linotype" w:cs="Times New Roman"/>
          <w:iCs/>
          <w:sz w:val="24"/>
          <w:szCs w:val="24"/>
        </w:rPr>
        <w:t xml:space="preserve"> rise to more substantial ethical considerations whi</w:t>
      </w:r>
      <w:r w:rsidR="000F77CA" w:rsidRPr="00B86922">
        <w:rPr>
          <w:rFonts w:ascii="Palatino Linotype" w:hAnsi="Palatino Linotype" w:cs="Times New Roman"/>
          <w:iCs/>
          <w:sz w:val="24"/>
          <w:szCs w:val="24"/>
        </w:rPr>
        <w:t>ch were</w:t>
      </w:r>
      <w:r w:rsidR="002D6684" w:rsidRPr="00B86922">
        <w:rPr>
          <w:rFonts w:ascii="Palatino Linotype" w:hAnsi="Palatino Linotype" w:cs="Times New Roman"/>
          <w:iCs/>
          <w:sz w:val="24"/>
          <w:szCs w:val="24"/>
        </w:rPr>
        <w:t xml:space="preserve"> addressed as part of the University of Hull’s ethics process </w:t>
      </w:r>
      <w:r w:rsidR="002D6684" w:rsidRPr="00B86922">
        <w:rPr>
          <w:rFonts w:ascii="Palatino Linotype" w:hAnsi="Palatino Linotype" w:cs="Times New Roman"/>
          <w:sz w:val="24"/>
          <w:szCs w:val="24"/>
        </w:rPr>
        <w:t>(</w:t>
      </w:r>
      <w:r w:rsidR="000F77CA" w:rsidRPr="00B86922">
        <w:rPr>
          <w:rFonts w:ascii="Palatino Linotype" w:hAnsi="Palatino Linotype" w:cs="Times New Roman"/>
          <w:sz w:val="24"/>
          <w:szCs w:val="24"/>
        </w:rPr>
        <w:t>ethics approval was</w:t>
      </w:r>
      <w:r w:rsidR="002D6684" w:rsidRPr="00B86922">
        <w:rPr>
          <w:rFonts w:ascii="Palatino Linotype" w:hAnsi="Palatino Linotype" w:cs="Times New Roman"/>
          <w:sz w:val="24"/>
          <w:szCs w:val="24"/>
        </w:rPr>
        <w:t xml:space="preserve"> </w:t>
      </w:r>
      <w:r w:rsidR="003D08EC" w:rsidRPr="00B86922">
        <w:rPr>
          <w:rFonts w:ascii="Palatino Linotype" w:hAnsi="Palatino Linotype" w:cs="Times New Roman"/>
          <w:sz w:val="24"/>
          <w:szCs w:val="24"/>
        </w:rPr>
        <w:t>received</w:t>
      </w:r>
      <w:r w:rsidR="000F77CA" w:rsidRPr="00B86922">
        <w:rPr>
          <w:rFonts w:ascii="Palatino Linotype" w:hAnsi="Palatino Linotype" w:cs="Times New Roman"/>
          <w:sz w:val="24"/>
          <w:szCs w:val="24"/>
        </w:rPr>
        <w:t xml:space="preserve"> early in the process</w:t>
      </w:r>
      <w:r w:rsidR="002D6684" w:rsidRPr="00B86922">
        <w:rPr>
          <w:rFonts w:ascii="Palatino Linotype" w:hAnsi="Palatino Linotype" w:cs="Times New Roman"/>
          <w:sz w:val="24"/>
          <w:szCs w:val="24"/>
        </w:rPr>
        <w:t>).</w:t>
      </w:r>
      <w:r w:rsidR="002C3ABC" w:rsidRPr="00B86922">
        <w:rPr>
          <w:rFonts w:ascii="Palatino Linotype" w:hAnsi="Palatino Linotype" w:cs="Times New Roman"/>
          <w:sz w:val="24"/>
          <w:szCs w:val="24"/>
        </w:rPr>
        <w:t xml:space="preserve"> </w:t>
      </w:r>
      <w:r w:rsidR="002D6684" w:rsidRPr="00B86922">
        <w:rPr>
          <w:rFonts w:ascii="Palatino Linotype" w:hAnsi="Palatino Linotype" w:cs="Times New Roman"/>
          <w:sz w:val="24"/>
          <w:szCs w:val="24"/>
        </w:rPr>
        <w:t xml:space="preserve">As part of </w:t>
      </w:r>
      <w:r w:rsidR="002C3ABC" w:rsidRPr="00B86922">
        <w:rPr>
          <w:rFonts w:ascii="Palatino Linotype" w:hAnsi="Palatino Linotype" w:cs="Times New Roman"/>
          <w:sz w:val="24"/>
          <w:szCs w:val="24"/>
        </w:rPr>
        <w:t xml:space="preserve">that </w:t>
      </w:r>
      <w:r w:rsidR="002D6684" w:rsidRPr="00B86922">
        <w:rPr>
          <w:rFonts w:ascii="Palatino Linotype" w:hAnsi="Palatino Linotype" w:cs="Times New Roman"/>
          <w:sz w:val="24"/>
          <w:szCs w:val="24"/>
        </w:rPr>
        <w:t>process</w:t>
      </w:r>
      <w:r w:rsidR="00733DCD" w:rsidRPr="00B86922">
        <w:rPr>
          <w:rFonts w:ascii="Palatino Linotype" w:hAnsi="Palatino Linotype" w:cs="Times New Roman"/>
          <w:sz w:val="24"/>
          <w:szCs w:val="24"/>
        </w:rPr>
        <w:t>,</w:t>
      </w:r>
      <w:r w:rsidR="002D6684" w:rsidRPr="00B86922">
        <w:rPr>
          <w:rFonts w:ascii="Palatino Linotype" w:hAnsi="Palatino Linotype" w:cs="Times New Roman"/>
          <w:sz w:val="24"/>
          <w:szCs w:val="24"/>
        </w:rPr>
        <w:t xml:space="preserve"> issues relating to accessing people in arrears, data protection, </w:t>
      </w:r>
      <w:r w:rsidR="003D08EC" w:rsidRPr="00B86922">
        <w:rPr>
          <w:rFonts w:ascii="Palatino Linotype" w:hAnsi="Palatino Linotype" w:cs="Times New Roman"/>
          <w:sz w:val="24"/>
          <w:szCs w:val="24"/>
        </w:rPr>
        <w:t>the role of</w:t>
      </w:r>
      <w:r w:rsidR="002D6684" w:rsidRPr="00B86922">
        <w:rPr>
          <w:rFonts w:ascii="Palatino Linotype" w:hAnsi="Palatino Linotype" w:cs="Times New Roman"/>
          <w:sz w:val="24"/>
          <w:szCs w:val="24"/>
        </w:rPr>
        <w:t xml:space="preserve"> students in the CLEAR, ensuring confidentiality and anonymity, and whether there is the potential for ‘harm’ to </w:t>
      </w:r>
      <w:r w:rsidR="000F77CA" w:rsidRPr="00B86922">
        <w:rPr>
          <w:rFonts w:ascii="Palatino Linotype" w:hAnsi="Palatino Linotype" w:cs="Times New Roman"/>
          <w:sz w:val="24"/>
          <w:szCs w:val="24"/>
        </w:rPr>
        <w:t xml:space="preserve">students, </w:t>
      </w:r>
      <w:r w:rsidR="002D6684" w:rsidRPr="00B86922">
        <w:rPr>
          <w:rFonts w:ascii="Palatino Linotype" w:hAnsi="Palatino Linotype" w:cs="Times New Roman"/>
          <w:sz w:val="24"/>
          <w:szCs w:val="24"/>
        </w:rPr>
        <w:t>researchers and participants</w:t>
      </w:r>
      <w:r w:rsidR="002C3ABC" w:rsidRPr="00B86922">
        <w:rPr>
          <w:rFonts w:ascii="Palatino Linotype" w:hAnsi="Palatino Linotype" w:cs="Times New Roman"/>
          <w:sz w:val="24"/>
          <w:szCs w:val="24"/>
        </w:rPr>
        <w:t xml:space="preserve"> were discussed</w:t>
      </w:r>
      <w:r w:rsidR="002D6684" w:rsidRPr="00B86922">
        <w:rPr>
          <w:rFonts w:ascii="Palatino Linotype" w:hAnsi="Palatino Linotype" w:cs="Times New Roman"/>
          <w:sz w:val="24"/>
          <w:szCs w:val="24"/>
        </w:rPr>
        <w:t xml:space="preserve">. </w:t>
      </w:r>
      <w:r w:rsidR="002C3ABC" w:rsidRPr="00B86922">
        <w:rPr>
          <w:rFonts w:ascii="Palatino Linotype" w:hAnsi="Palatino Linotype" w:cs="Times New Roman"/>
          <w:sz w:val="24"/>
          <w:szCs w:val="24"/>
        </w:rPr>
        <w:t>It was</w:t>
      </w:r>
      <w:r w:rsidR="002D6684" w:rsidRPr="00B86922">
        <w:rPr>
          <w:rFonts w:ascii="Palatino Linotype" w:hAnsi="Palatino Linotype" w:cs="Times New Roman"/>
          <w:sz w:val="24"/>
          <w:szCs w:val="24"/>
        </w:rPr>
        <w:t xml:space="preserve"> decided t</w:t>
      </w:r>
      <w:r w:rsidR="000F77CA" w:rsidRPr="00B86922">
        <w:rPr>
          <w:rFonts w:ascii="Palatino Linotype" w:hAnsi="Palatino Linotype" w:cs="Times New Roman"/>
          <w:sz w:val="24"/>
          <w:szCs w:val="24"/>
        </w:rPr>
        <w:t>hat provided measures we</w:t>
      </w:r>
      <w:r w:rsidR="002D6684" w:rsidRPr="00B86922">
        <w:rPr>
          <w:rFonts w:ascii="Palatino Linotype" w:hAnsi="Palatino Linotype" w:cs="Times New Roman"/>
          <w:sz w:val="24"/>
          <w:szCs w:val="24"/>
        </w:rPr>
        <w:t>re put in place (e.g. storing data securely, ensuring that the students receive appropriate training and are adeq</w:t>
      </w:r>
      <w:r w:rsidR="002C3ABC" w:rsidRPr="00B86922">
        <w:rPr>
          <w:rFonts w:ascii="Palatino Linotype" w:hAnsi="Palatino Linotype" w:cs="Times New Roman"/>
          <w:sz w:val="24"/>
          <w:szCs w:val="24"/>
        </w:rPr>
        <w:t>uately supervised</w:t>
      </w:r>
      <w:r w:rsidR="002D6684" w:rsidRPr="00B86922">
        <w:rPr>
          <w:rFonts w:ascii="Palatino Linotype" w:hAnsi="Palatino Linotype" w:cs="Times New Roman"/>
          <w:sz w:val="24"/>
          <w:szCs w:val="24"/>
        </w:rPr>
        <w:t>, etc.) no significant ethical iss</w:t>
      </w:r>
      <w:r w:rsidR="000F77CA" w:rsidRPr="00B86922">
        <w:rPr>
          <w:rFonts w:ascii="Palatino Linotype" w:hAnsi="Palatino Linotype" w:cs="Times New Roman"/>
          <w:sz w:val="24"/>
          <w:szCs w:val="24"/>
        </w:rPr>
        <w:t>ues we</w:t>
      </w:r>
      <w:r w:rsidR="00F42C24" w:rsidRPr="00B86922">
        <w:rPr>
          <w:rFonts w:ascii="Palatino Linotype" w:hAnsi="Palatino Linotype" w:cs="Times New Roman"/>
          <w:sz w:val="24"/>
          <w:szCs w:val="24"/>
        </w:rPr>
        <w:t>re raised by this project.</w:t>
      </w:r>
    </w:p>
    <w:p w14:paraId="3162BB1D" w14:textId="77777777" w:rsidR="00F80414" w:rsidRPr="00B86922" w:rsidRDefault="00F80414" w:rsidP="00B86922">
      <w:pPr>
        <w:spacing w:after="120" w:line="480" w:lineRule="auto"/>
        <w:jc w:val="both"/>
        <w:rPr>
          <w:rFonts w:ascii="Palatino Linotype" w:hAnsi="Palatino Linotype" w:cs="Times New Roman"/>
          <w:sz w:val="24"/>
          <w:szCs w:val="24"/>
        </w:rPr>
      </w:pPr>
    </w:p>
    <w:p w14:paraId="33B10F64" w14:textId="77777777" w:rsidR="002D6684" w:rsidRPr="00B86922" w:rsidRDefault="00B45369"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We were</w:t>
      </w:r>
      <w:r w:rsidR="002D6684"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aware that students would</w:t>
      </w:r>
      <w:r w:rsidR="002D6684" w:rsidRPr="00B86922">
        <w:rPr>
          <w:rFonts w:ascii="Palatino Linotype" w:hAnsi="Palatino Linotype" w:cs="Times New Roman"/>
          <w:sz w:val="24"/>
          <w:szCs w:val="24"/>
        </w:rPr>
        <w:t xml:space="preserve"> not be able to give legal advice</w:t>
      </w:r>
      <w:r w:rsidR="008E3B70" w:rsidRPr="00B86922">
        <w:rPr>
          <w:rFonts w:ascii="Palatino Linotype" w:hAnsi="Palatino Linotype" w:cs="Times New Roman"/>
          <w:sz w:val="24"/>
          <w:szCs w:val="24"/>
        </w:rPr>
        <w:t xml:space="preserve"> (neither they nor their supervisors held practice certificates or </w:t>
      </w:r>
      <w:r w:rsidR="00733DCD" w:rsidRPr="00B86922">
        <w:rPr>
          <w:rFonts w:ascii="Palatino Linotype" w:hAnsi="Palatino Linotype" w:cs="Times New Roman"/>
          <w:sz w:val="24"/>
          <w:szCs w:val="24"/>
        </w:rPr>
        <w:t xml:space="preserve">a </w:t>
      </w:r>
      <w:r w:rsidR="008E3B70" w:rsidRPr="00B86922">
        <w:rPr>
          <w:rFonts w:ascii="Palatino Linotype" w:hAnsi="Palatino Linotype" w:cs="Times New Roman"/>
          <w:sz w:val="24"/>
          <w:szCs w:val="24"/>
        </w:rPr>
        <w:t xml:space="preserve">legal aid contract). </w:t>
      </w:r>
      <w:r w:rsidRPr="00B86922">
        <w:rPr>
          <w:rFonts w:ascii="Palatino Linotype" w:hAnsi="Palatino Linotype" w:cs="Times New Roman"/>
          <w:sz w:val="24"/>
          <w:szCs w:val="24"/>
        </w:rPr>
        <w:t>They would</w:t>
      </w:r>
      <w:r w:rsidR="002D6684" w:rsidRPr="00B86922">
        <w:rPr>
          <w:rFonts w:ascii="Palatino Linotype" w:hAnsi="Palatino Linotype" w:cs="Times New Roman"/>
          <w:sz w:val="24"/>
          <w:szCs w:val="24"/>
        </w:rPr>
        <w:t xml:space="preserve"> instead gather information from those who </w:t>
      </w:r>
      <w:r w:rsidR="00F642AC" w:rsidRPr="00B86922">
        <w:rPr>
          <w:rFonts w:ascii="Palatino Linotype" w:hAnsi="Palatino Linotype" w:cs="Times New Roman"/>
          <w:sz w:val="24"/>
          <w:szCs w:val="24"/>
        </w:rPr>
        <w:t>contact</w:t>
      </w:r>
      <w:r w:rsidRPr="00B86922">
        <w:rPr>
          <w:rFonts w:ascii="Palatino Linotype" w:hAnsi="Palatino Linotype" w:cs="Times New Roman"/>
          <w:sz w:val="24"/>
          <w:szCs w:val="24"/>
        </w:rPr>
        <w:t xml:space="preserve">ed the CLEAR so that the clients could </w:t>
      </w:r>
      <w:r w:rsidR="002D6684" w:rsidRPr="00B86922">
        <w:rPr>
          <w:rFonts w:ascii="Palatino Linotype" w:hAnsi="Palatino Linotype" w:cs="Times New Roman"/>
          <w:sz w:val="24"/>
          <w:szCs w:val="24"/>
        </w:rPr>
        <w:t>be directed t</w:t>
      </w:r>
      <w:r w:rsidR="00F642AC" w:rsidRPr="00B86922">
        <w:rPr>
          <w:rFonts w:ascii="Palatino Linotype" w:hAnsi="Palatino Linotype" w:cs="Times New Roman"/>
          <w:sz w:val="24"/>
          <w:szCs w:val="24"/>
        </w:rPr>
        <w:t>o relevant agencies or provided with targeted information</w:t>
      </w:r>
      <w:r w:rsidR="00962AF6" w:rsidRPr="00B86922">
        <w:rPr>
          <w:rFonts w:ascii="Palatino Linotype" w:hAnsi="Palatino Linotype" w:cs="Times New Roman"/>
          <w:sz w:val="24"/>
          <w:szCs w:val="24"/>
        </w:rPr>
        <w:t>. Insurance wa</w:t>
      </w:r>
      <w:r w:rsidR="002D6684" w:rsidRPr="00B86922">
        <w:rPr>
          <w:rFonts w:ascii="Palatino Linotype" w:hAnsi="Palatino Linotype" w:cs="Times New Roman"/>
          <w:sz w:val="24"/>
          <w:szCs w:val="24"/>
        </w:rPr>
        <w:t xml:space="preserve">s also a further issue </w:t>
      </w:r>
      <w:r w:rsidR="000F77CA" w:rsidRPr="00B86922">
        <w:rPr>
          <w:rFonts w:ascii="Palatino Linotype" w:hAnsi="Palatino Linotype" w:cs="Times New Roman"/>
          <w:sz w:val="24"/>
          <w:szCs w:val="24"/>
        </w:rPr>
        <w:t>which</w:t>
      </w:r>
      <w:r w:rsidR="002D6684" w:rsidRPr="00B86922">
        <w:rPr>
          <w:rFonts w:ascii="Palatino Linotype" w:hAnsi="Palatino Linotype" w:cs="Times New Roman"/>
          <w:sz w:val="24"/>
          <w:szCs w:val="24"/>
        </w:rPr>
        <w:t xml:space="preserve"> </w:t>
      </w:r>
      <w:r w:rsidR="00962AF6" w:rsidRPr="00B86922">
        <w:rPr>
          <w:rFonts w:ascii="Palatino Linotype" w:hAnsi="Palatino Linotype" w:cs="Times New Roman"/>
          <w:sz w:val="24"/>
          <w:szCs w:val="24"/>
        </w:rPr>
        <w:t>was</w:t>
      </w:r>
      <w:r w:rsidR="002D6684" w:rsidRPr="00B86922">
        <w:rPr>
          <w:rFonts w:ascii="Palatino Linotype" w:hAnsi="Palatino Linotype" w:cs="Times New Roman"/>
          <w:sz w:val="24"/>
          <w:szCs w:val="24"/>
        </w:rPr>
        <w:t xml:space="preserve"> resolved</w:t>
      </w:r>
      <w:r w:rsidR="00962AF6" w:rsidRPr="00B86922">
        <w:rPr>
          <w:rFonts w:ascii="Palatino Linotype" w:hAnsi="Palatino Linotype" w:cs="Times New Roman"/>
          <w:sz w:val="24"/>
          <w:szCs w:val="24"/>
        </w:rPr>
        <w:t xml:space="preserve"> by linking it to the Legal Advice Centre policy</w:t>
      </w:r>
      <w:r w:rsidR="002D6684" w:rsidRPr="00B86922">
        <w:rPr>
          <w:rFonts w:ascii="Palatino Linotype" w:hAnsi="Palatino Linotype" w:cs="Times New Roman"/>
          <w:sz w:val="24"/>
          <w:szCs w:val="24"/>
        </w:rPr>
        <w:t>.</w:t>
      </w:r>
    </w:p>
    <w:p w14:paraId="7C3BA155" w14:textId="77777777" w:rsidR="00B45369" w:rsidRPr="00B86922" w:rsidRDefault="00B45369" w:rsidP="00B86922">
      <w:pPr>
        <w:spacing w:after="120" w:line="480" w:lineRule="auto"/>
        <w:jc w:val="both"/>
        <w:rPr>
          <w:rFonts w:ascii="Palatino Linotype" w:hAnsi="Palatino Linotype" w:cs="Times New Roman"/>
          <w:sz w:val="24"/>
          <w:szCs w:val="24"/>
        </w:rPr>
      </w:pPr>
    </w:p>
    <w:p w14:paraId="16A9258E" w14:textId="77777777" w:rsidR="00417130" w:rsidRPr="001B49ED" w:rsidRDefault="000102E3" w:rsidP="00B86922">
      <w:pPr>
        <w:spacing w:before="240" w:after="240" w:line="480" w:lineRule="auto"/>
        <w:jc w:val="both"/>
        <w:rPr>
          <w:rFonts w:ascii="Palatino Linotype" w:hAnsi="Palatino Linotype" w:cs="Times New Roman"/>
          <w:b/>
          <w:bCs/>
          <w:sz w:val="24"/>
          <w:szCs w:val="24"/>
        </w:rPr>
      </w:pPr>
      <w:r w:rsidRPr="001B49ED">
        <w:rPr>
          <w:rFonts w:ascii="Palatino Linotype" w:hAnsi="Palatino Linotype" w:cs="Times New Roman"/>
          <w:b/>
          <w:bCs/>
          <w:sz w:val="24"/>
          <w:szCs w:val="24"/>
        </w:rPr>
        <w:t>Timing</w:t>
      </w:r>
    </w:p>
    <w:p w14:paraId="72126CCF" w14:textId="77777777" w:rsidR="00233E0A" w:rsidRPr="00B86922" w:rsidRDefault="00655EA3"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Perhaps </w:t>
      </w:r>
      <w:r w:rsidR="003D751A" w:rsidRPr="00B86922">
        <w:rPr>
          <w:rFonts w:ascii="Palatino Linotype" w:hAnsi="Palatino Linotype" w:cs="Times New Roman"/>
          <w:sz w:val="24"/>
          <w:szCs w:val="24"/>
        </w:rPr>
        <w:t xml:space="preserve">one of the most vexing issues </w:t>
      </w:r>
      <w:r w:rsidRPr="00B86922">
        <w:rPr>
          <w:rFonts w:ascii="Palatino Linotype" w:hAnsi="Palatino Linotype" w:cs="Times New Roman"/>
          <w:sz w:val="24"/>
          <w:szCs w:val="24"/>
        </w:rPr>
        <w:t>concern</w:t>
      </w:r>
      <w:r w:rsidR="00A953EA" w:rsidRPr="00B86922">
        <w:rPr>
          <w:rFonts w:ascii="Palatino Linotype" w:hAnsi="Palatino Linotype" w:cs="Times New Roman"/>
          <w:sz w:val="24"/>
          <w:szCs w:val="24"/>
        </w:rPr>
        <w:t>ed</w:t>
      </w:r>
      <w:r w:rsidRPr="00B86922">
        <w:rPr>
          <w:rFonts w:ascii="Palatino Linotype" w:hAnsi="Palatino Linotype" w:cs="Times New Roman"/>
          <w:sz w:val="24"/>
          <w:szCs w:val="24"/>
        </w:rPr>
        <w:t xml:space="preserve"> the timing of the ‘interve</w:t>
      </w:r>
      <w:r w:rsidR="003D751A" w:rsidRPr="00B86922">
        <w:rPr>
          <w:rFonts w:ascii="Palatino Linotype" w:hAnsi="Palatino Linotype" w:cs="Times New Roman"/>
          <w:sz w:val="24"/>
          <w:szCs w:val="24"/>
        </w:rPr>
        <w:t>ntion’. The</w:t>
      </w:r>
      <w:r w:rsidRPr="00B86922">
        <w:rPr>
          <w:rFonts w:ascii="Palatino Linotype" w:hAnsi="Palatino Linotype" w:cs="Times New Roman"/>
          <w:sz w:val="24"/>
          <w:szCs w:val="24"/>
        </w:rPr>
        <w:t xml:space="preserve"> initial thought was that we would hold the CLEAR in the cou</w:t>
      </w:r>
      <w:r w:rsidR="00A953EA" w:rsidRPr="00B86922">
        <w:rPr>
          <w:rFonts w:ascii="Palatino Linotype" w:hAnsi="Palatino Linotype" w:cs="Times New Roman"/>
          <w:sz w:val="24"/>
          <w:szCs w:val="24"/>
        </w:rPr>
        <w:t>rt building</w:t>
      </w:r>
      <w:r w:rsidRPr="00B86922">
        <w:rPr>
          <w:rFonts w:ascii="Palatino Linotype" w:hAnsi="Palatino Linotype" w:cs="Times New Roman"/>
          <w:sz w:val="24"/>
          <w:szCs w:val="24"/>
        </w:rPr>
        <w:t xml:space="preserve"> on the day of possession hearings. The issue with this is that it would require the court to reschedule its lists so that they are held in the afternoon and it may not be possible to fit all the hearings into this session. Second, for some occupiers this will be too late in the process (e.g. arrears may have accumulated to such an extent that possession is inevitable). Third, the hearing will have already been scheduled and claimants will be entitled to say that they want their 5 minutes</w:t>
      </w:r>
      <w:r w:rsidRPr="00B86922">
        <w:rPr>
          <w:rStyle w:val="FootnoteReference"/>
          <w:rFonts w:ascii="Palatino Linotype" w:hAnsi="Palatino Linotype" w:cs="Times New Roman"/>
          <w:sz w:val="24"/>
          <w:szCs w:val="24"/>
        </w:rPr>
        <w:footnoteReference w:id="74"/>
      </w:r>
      <w:r w:rsidRPr="00B86922">
        <w:rPr>
          <w:rFonts w:ascii="Palatino Linotype" w:hAnsi="Palatino Linotype" w:cs="Times New Roman"/>
          <w:sz w:val="24"/>
          <w:szCs w:val="24"/>
        </w:rPr>
        <w:t xml:space="preserve"> in court</w:t>
      </w:r>
      <w:r w:rsidR="00813E04" w:rsidRPr="00B86922">
        <w:rPr>
          <w:rFonts w:ascii="Palatino Linotype" w:hAnsi="Palatino Linotype" w:cs="Times New Roman"/>
          <w:sz w:val="24"/>
          <w:szCs w:val="24"/>
        </w:rPr>
        <w:t>,</w:t>
      </w:r>
      <w:r w:rsidRPr="00B86922">
        <w:rPr>
          <w:rFonts w:ascii="Palatino Linotype" w:hAnsi="Palatino Linotype" w:cs="Times New Roman"/>
          <w:sz w:val="24"/>
          <w:szCs w:val="24"/>
        </w:rPr>
        <w:t xml:space="preserve"> particularly given the fee they will have paid. </w:t>
      </w:r>
      <w:r w:rsidR="007428D8" w:rsidRPr="00B86922">
        <w:rPr>
          <w:rFonts w:ascii="Palatino Linotype" w:hAnsi="Palatino Linotype" w:cs="Times New Roman"/>
          <w:sz w:val="24"/>
          <w:szCs w:val="24"/>
        </w:rPr>
        <w:t xml:space="preserve">One local RSL </w:t>
      </w:r>
      <w:r w:rsidR="002C3ABC" w:rsidRPr="00B86922">
        <w:rPr>
          <w:rFonts w:ascii="Palatino Linotype" w:hAnsi="Palatino Linotype" w:cs="Times New Roman"/>
          <w:sz w:val="24"/>
          <w:szCs w:val="24"/>
        </w:rPr>
        <w:t>indicated</w:t>
      </w:r>
      <w:r w:rsidR="007428D8" w:rsidRPr="00B86922">
        <w:rPr>
          <w:rFonts w:ascii="Palatino Linotype" w:hAnsi="Palatino Linotype" w:cs="Times New Roman"/>
          <w:sz w:val="24"/>
          <w:szCs w:val="24"/>
        </w:rPr>
        <w:t xml:space="preserve"> that they pay £325 for every court hearing so once a hearing has been initiated, they would not want to halt the proceedings. </w:t>
      </w:r>
      <w:r w:rsidRPr="00B86922">
        <w:rPr>
          <w:rFonts w:ascii="Palatino Linotype" w:hAnsi="Palatino Linotype" w:cs="Times New Roman"/>
          <w:sz w:val="24"/>
          <w:szCs w:val="24"/>
        </w:rPr>
        <w:t>Therefore</w:t>
      </w:r>
      <w:r w:rsidR="00F42C24" w:rsidRPr="00B86922">
        <w:rPr>
          <w:rFonts w:ascii="Palatino Linotype" w:hAnsi="Palatino Linotype" w:cs="Times New Roman"/>
          <w:sz w:val="24"/>
          <w:szCs w:val="24"/>
        </w:rPr>
        <w:t>,</w:t>
      </w:r>
      <w:r w:rsidRPr="00B86922">
        <w:rPr>
          <w:rFonts w:ascii="Palatino Linotype" w:hAnsi="Palatino Linotype" w:cs="Times New Roman"/>
          <w:sz w:val="24"/>
          <w:szCs w:val="24"/>
        </w:rPr>
        <w:t xml:space="preserve"> </w:t>
      </w:r>
      <w:r w:rsidR="00A953EA" w:rsidRPr="00B86922">
        <w:rPr>
          <w:rFonts w:ascii="Palatino Linotype" w:hAnsi="Palatino Linotype" w:cs="Times New Roman"/>
          <w:sz w:val="24"/>
          <w:szCs w:val="24"/>
        </w:rPr>
        <w:t>even if the CLEAR identified</w:t>
      </w:r>
      <w:r w:rsidR="00813E04"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 xml:space="preserve">cases that </w:t>
      </w:r>
      <w:r w:rsidR="00A953EA" w:rsidRPr="00B86922">
        <w:rPr>
          <w:rFonts w:ascii="Palatino Linotype" w:hAnsi="Palatino Linotype" w:cs="Times New Roman"/>
          <w:sz w:val="24"/>
          <w:szCs w:val="24"/>
        </w:rPr>
        <w:t>were</w:t>
      </w:r>
      <w:r w:rsidRPr="00B86922">
        <w:rPr>
          <w:rFonts w:ascii="Palatino Linotype" w:hAnsi="Palatino Linotype" w:cs="Times New Roman"/>
          <w:sz w:val="24"/>
          <w:szCs w:val="24"/>
        </w:rPr>
        <w:t xml:space="preserve"> very likely to lead to an adjournment</w:t>
      </w:r>
      <w:r w:rsidR="00F42C24" w:rsidRPr="00B86922">
        <w:rPr>
          <w:rFonts w:ascii="Palatino Linotype" w:hAnsi="Palatino Linotype" w:cs="Times New Roman"/>
          <w:sz w:val="24"/>
          <w:szCs w:val="24"/>
        </w:rPr>
        <w:t>,</w:t>
      </w:r>
      <w:r w:rsidRPr="00B86922">
        <w:rPr>
          <w:rFonts w:ascii="Palatino Linotype" w:hAnsi="Palatino Linotype" w:cs="Times New Roman"/>
          <w:sz w:val="24"/>
          <w:szCs w:val="24"/>
        </w:rPr>
        <w:t xml:space="preserve"> </w:t>
      </w:r>
      <w:r w:rsidR="00813E04" w:rsidRPr="00B86922">
        <w:rPr>
          <w:rFonts w:ascii="Palatino Linotype" w:hAnsi="Palatino Linotype" w:cs="Times New Roman"/>
          <w:sz w:val="24"/>
          <w:szCs w:val="24"/>
        </w:rPr>
        <w:t xml:space="preserve">they </w:t>
      </w:r>
      <w:r w:rsidR="00A953EA" w:rsidRPr="00B86922">
        <w:rPr>
          <w:rFonts w:ascii="Palatino Linotype" w:hAnsi="Palatino Linotype" w:cs="Times New Roman"/>
          <w:sz w:val="24"/>
          <w:szCs w:val="24"/>
        </w:rPr>
        <w:t>would</w:t>
      </w:r>
      <w:r w:rsidRPr="00B86922">
        <w:rPr>
          <w:rFonts w:ascii="Palatino Linotype" w:hAnsi="Palatino Linotype" w:cs="Times New Roman"/>
          <w:sz w:val="24"/>
          <w:szCs w:val="24"/>
        </w:rPr>
        <w:t xml:space="preserve"> still be hea</w:t>
      </w:r>
      <w:r w:rsidR="00A953EA" w:rsidRPr="00B86922">
        <w:rPr>
          <w:rFonts w:ascii="Palatino Linotype" w:hAnsi="Palatino Linotype" w:cs="Times New Roman"/>
          <w:sz w:val="24"/>
          <w:szCs w:val="24"/>
        </w:rPr>
        <w:t>rd in any event and even if</w:t>
      </w:r>
      <w:r w:rsidRPr="00B86922">
        <w:rPr>
          <w:rFonts w:ascii="Palatino Linotype" w:hAnsi="Palatino Linotype" w:cs="Times New Roman"/>
          <w:sz w:val="24"/>
          <w:szCs w:val="24"/>
        </w:rPr>
        <w:t xml:space="preserve"> the hearing is avoided, the occupier will still have endured the ‘threat’ of court action for several weeks prior to the hearing.</w:t>
      </w:r>
      <w:r w:rsidR="00233E0A" w:rsidRPr="00B86922">
        <w:rPr>
          <w:rFonts w:ascii="Palatino Linotype" w:hAnsi="Palatino Linotype" w:cs="Times New Roman"/>
          <w:sz w:val="24"/>
          <w:szCs w:val="24"/>
        </w:rPr>
        <w:t xml:space="preserve"> </w:t>
      </w:r>
    </w:p>
    <w:p w14:paraId="47E53231" w14:textId="77777777" w:rsidR="00C149CC" w:rsidRPr="00B86922" w:rsidRDefault="00C149CC" w:rsidP="00B86922">
      <w:pPr>
        <w:spacing w:after="120" w:line="480" w:lineRule="auto"/>
        <w:jc w:val="both"/>
        <w:rPr>
          <w:rFonts w:ascii="Palatino Linotype" w:hAnsi="Palatino Linotype" w:cs="Times New Roman"/>
          <w:sz w:val="24"/>
          <w:szCs w:val="24"/>
        </w:rPr>
      </w:pPr>
    </w:p>
    <w:p w14:paraId="3EC35858" w14:textId="77777777" w:rsidR="000102E3" w:rsidRPr="00B86922" w:rsidRDefault="00233E0A"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Early intervention therefore seems to be key in preventing ‘unnecessary’ hearings but as on</w:t>
      </w:r>
      <w:r w:rsidR="003D1C7C" w:rsidRPr="00B86922">
        <w:rPr>
          <w:rFonts w:ascii="Palatino Linotype" w:hAnsi="Palatino Linotype" w:cs="Times New Roman"/>
          <w:sz w:val="24"/>
          <w:szCs w:val="24"/>
        </w:rPr>
        <w:t>e judge explained</w:t>
      </w:r>
      <w:r w:rsidRPr="00B86922">
        <w:rPr>
          <w:rFonts w:ascii="Palatino Linotype" w:hAnsi="Palatino Linotype" w:cs="Times New Roman"/>
          <w:sz w:val="24"/>
          <w:szCs w:val="24"/>
        </w:rPr>
        <w:t xml:space="preserve"> it is often only the threat of court action that encourages some occupiers to engage. The question therefore comes back to how do we (with the resources we have) encourage occupiers to engage with us </w:t>
      </w:r>
      <w:r w:rsidRPr="00B86922">
        <w:rPr>
          <w:rFonts w:ascii="Palatino Linotype" w:hAnsi="Palatino Linotype" w:cs="Times New Roman"/>
          <w:i/>
          <w:sz w:val="24"/>
          <w:szCs w:val="24"/>
        </w:rPr>
        <w:t>before</w:t>
      </w:r>
      <w:r w:rsidRPr="00B86922">
        <w:rPr>
          <w:rFonts w:ascii="Palatino Linotype" w:hAnsi="Palatino Linotype" w:cs="Times New Roman"/>
          <w:sz w:val="24"/>
          <w:szCs w:val="24"/>
        </w:rPr>
        <w:t xml:space="preserve"> a possession claim is initiated in the court? One RSL did indicate a willingness to send material relating to the CLEAR to their tenants prior </w:t>
      </w:r>
      <w:r w:rsidR="00FB3682" w:rsidRPr="00B86922">
        <w:rPr>
          <w:rFonts w:ascii="Palatino Linotype" w:hAnsi="Palatino Linotype" w:cs="Times New Roman"/>
          <w:sz w:val="24"/>
          <w:szCs w:val="24"/>
        </w:rPr>
        <w:t>to or at the time of serving a ‘notice seeking p</w:t>
      </w:r>
      <w:r w:rsidRPr="00B86922">
        <w:rPr>
          <w:rFonts w:ascii="Palatino Linotype" w:hAnsi="Palatino Linotype" w:cs="Times New Roman"/>
          <w:sz w:val="24"/>
          <w:szCs w:val="24"/>
        </w:rPr>
        <w:t>ossession</w:t>
      </w:r>
      <w:r w:rsidR="00FB3682" w:rsidRPr="00B86922">
        <w:rPr>
          <w:rFonts w:ascii="Palatino Linotype" w:hAnsi="Palatino Linotype" w:cs="Times New Roman"/>
          <w:sz w:val="24"/>
          <w:szCs w:val="24"/>
        </w:rPr>
        <w:t>’</w:t>
      </w:r>
      <w:r w:rsidR="00FB3682" w:rsidRPr="00B86922">
        <w:rPr>
          <w:rStyle w:val="FootnoteReference"/>
          <w:rFonts w:ascii="Palatino Linotype" w:hAnsi="Palatino Linotype" w:cs="Times New Roman"/>
          <w:sz w:val="24"/>
          <w:szCs w:val="24"/>
        </w:rPr>
        <w:footnoteReference w:id="75"/>
      </w:r>
      <w:r w:rsidRPr="00B86922">
        <w:rPr>
          <w:rFonts w:ascii="Palatino Linotype" w:hAnsi="Palatino Linotype" w:cs="Times New Roman"/>
          <w:sz w:val="24"/>
          <w:szCs w:val="24"/>
        </w:rPr>
        <w:t xml:space="preserve"> </w:t>
      </w:r>
      <w:r w:rsidR="003F568F" w:rsidRPr="00B86922">
        <w:rPr>
          <w:rFonts w:ascii="Palatino Linotype" w:hAnsi="Palatino Linotype" w:cs="Times New Roman"/>
          <w:sz w:val="24"/>
          <w:szCs w:val="24"/>
        </w:rPr>
        <w:t>(the court date is then usually set about six to eight weeks after this)</w:t>
      </w:r>
      <w:r w:rsidR="00FB3682" w:rsidRPr="00B86922">
        <w:rPr>
          <w:rFonts w:ascii="Palatino Linotype" w:hAnsi="Palatino Linotype" w:cs="Times New Roman"/>
          <w:sz w:val="24"/>
          <w:szCs w:val="24"/>
        </w:rPr>
        <w:t>.</w:t>
      </w:r>
    </w:p>
    <w:p w14:paraId="6720F9F0" w14:textId="77777777" w:rsidR="00C149CC" w:rsidRPr="00B86922" w:rsidRDefault="00C149CC" w:rsidP="00B86922">
      <w:pPr>
        <w:spacing w:after="120" w:line="480" w:lineRule="auto"/>
        <w:jc w:val="both"/>
        <w:rPr>
          <w:rFonts w:ascii="Palatino Linotype" w:hAnsi="Palatino Linotype" w:cs="Times New Roman"/>
          <w:sz w:val="24"/>
          <w:szCs w:val="24"/>
        </w:rPr>
      </w:pPr>
    </w:p>
    <w:p w14:paraId="7BF83B9F" w14:textId="77777777" w:rsidR="00CA600C" w:rsidRDefault="00CA600C" w:rsidP="00B86922">
      <w:pPr>
        <w:spacing w:before="240" w:after="240" w:line="480" w:lineRule="auto"/>
        <w:jc w:val="both"/>
        <w:rPr>
          <w:rFonts w:ascii="Palatino Linotype" w:hAnsi="Palatino Linotype" w:cs="Times New Roman"/>
          <w:b/>
          <w:sz w:val="24"/>
          <w:szCs w:val="24"/>
        </w:rPr>
      </w:pPr>
    </w:p>
    <w:p w14:paraId="0A857012" w14:textId="77777777" w:rsidR="00CA600C" w:rsidRDefault="00CA600C" w:rsidP="00B86922">
      <w:pPr>
        <w:spacing w:before="240" w:after="240" w:line="480" w:lineRule="auto"/>
        <w:jc w:val="both"/>
        <w:rPr>
          <w:rFonts w:ascii="Palatino Linotype" w:hAnsi="Palatino Linotype" w:cs="Times New Roman"/>
          <w:b/>
          <w:sz w:val="24"/>
          <w:szCs w:val="24"/>
        </w:rPr>
      </w:pPr>
    </w:p>
    <w:p w14:paraId="77216172" w14:textId="7D143014" w:rsidR="00655EA3" w:rsidRPr="001B49ED" w:rsidRDefault="00311879" w:rsidP="00B86922">
      <w:pPr>
        <w:spacing w:before="240" w:after="240" w:line="480" w:lineRule="auto"/>
        <w:jc w:val="both"/>
        <w:rPr>
          <w:rFonts w:ascii="Palatino Linotype" w:hAnsi="Palatino Linotype" w:cs="Times New Roman"/>
          <w:b/>
          <w:sz w:val="24"/>
          <w:szCs w:val="24"/>
        </w:rPr>
      </w:pPr>
      <w:r w:rsidRPr="001B49ED">
        <w:rPr>
          <w:rFonts w:ascii="Palatino Linotype" w:hAnsi="Palatino Linotype" w:cs="Times New Roman"/>
          <w:b/>
          <w:sz w:val="24"/>
          <w:szCs w:val="24"/>
        </w:rPr>
        <w:t>Civic Engagement and a</w:t>
      </w:r>
      <w:r w:rsidR="00655EA3" w:rsidRPr="001B49ED">
        <w:rPr>
          <w:rFonts w:ascii="Palatino Linotype" w:hAnsi="Palatino Linotype" w:cs="Times New Roman"/>
          <w:b/>
          <w:sz w:val="24"/>
          <w:szCs w:val="24"/>
        </w:rPr>
        <w:t>dding value?</w:t>
      </w:r>
    </w:p>
    <w:p w14:paraId="56A45CE1" w14:textId="77777777" w:rsidR="005162EA" w:rsidRPr="00B86922" w:rsidRDefault="003D1C7C"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A</w:t>
      </w:r>
      <w:r w:rsidR="00233E0A" w:rsidRPr="00B86922">
        <w:rPr>
          <w:rFonts w:ascii="Palatino Linotype" w:hAnsi="Palatino Linotype" w:cs="Times New Roman"/>
          <w:sz w:val="24"/>
          <w:szCs w:val="24"/>
        </w:rPr>
        <w:t>nothe</w:t>
      </w:r>
      <w:r w:rsidRPr="00B86922">
        <w:rPr>
          <w:rFonts w:ascii="Palatino Linotype" w:hAnsi="Palatino Linotype" w:cs="Times New Roman"/>
          <w:sz w:val="24"/>
          <w:szCs w:val="24"/>
        </w:rPr>
        <w:t>r key c</w:t>
      </w:r>
      <w:r w:rsidR="00FB3682" w:rsidRPr="00B86922">
        <w:rPr>
          <w:rFonts w:ascii="Palatino Linotype" w:hAnsi="Palatino Linotype" w:cs="Times New Roman"/>
          <w:sz w:val="24"/>
          <w:szCs w:val="24"/>
        </w:rPr>
        <w:t>hallenge of this project related</w:t>
      </w:r>
      <w:r w:rsidRPr="00B86922">
        <w:rPr>
          <w:rFonts w:ascii="Palatino Linotype" w:hAnsi="Palatino Linotype" w:cs="Times New Roman"/>
          <w:sz w:val="24"/>
          <w:szCs w:val="24"/>
        </w:rPr>
        <w:t xml:space="preserve"> to </w:t>
      </w:r>
      <w:r w:rsidR="00FB3682" w:rsidRPr="00B86922">
        <w:rPr>
          <w:rFonts w:ascii="Palatino Linotype" w:hAnsi="Palatino Linotype" w:cs="Times New Roman"/>
          <w:sz w:val="24"/>
          <w:szCs w:val="24"/>
        </w:rPr>
        <w:t xml:space="preserve">how </w:t>
      </w:r>
      <w:r w:rsidR="00233E0A" w:rsidRPr="00B86922">
        <w:rPr>
          <w:rFonts w:ascii="Palatino Linotype" w:hAnsi="Palatino Linotype" w:cs="Times New Roman"/>
          <w:sz w:val="24"/>
          <w:szCs w:val="24"/>
        </w:rPr>
        <w:t xml:space="preserve">we ‘add value’ to the provision already being made by </w:t>
      </w:r>
      <w:r w:rsidRPr="00B86922">
        <w:rPr>
          <w:rFonts w:ascii="Palatino Linotype" w:hAnsi="Palatino Linotype" w:cs="Times New Roman"/>
          <w:sz w:val="24"/>
          <w:szCs w:val="24"/>
        </w:rPr>
        <w:t>advice services in the locality.</w:t>
      </w:r>
      <w:r w:rsidR="00233E0A" w:rsidRPr="00B86922">
        <w:rPr>
          <w:rFonts w:ascii="Palatino Linotype" w:hAnsi="Palatino Linotype" w:cs="Times New Roman"/>
          <w:sz w:val="24"/>
          <w:szCs w:val="24"/>
        </w:rPr>
        <w:t xml:space="preserve"> If we are attempting to offer advice to occupiers before a claim for posses</w:t>
      </w:r>
      <w:r w:rsidR="00E1064F" w:rsidRPr="00B86922">
        <w:rPr>
          <w:rFonts w:ascii="Palatino Linotype" w:hAnsi="Palatino Linotype" w:cs="Times New Roman"/>
          <w:sz w:val="24"/>
          <w:szCs w:val="24"/>
        </w:rPr>
        <w:t>sion is initiated, how does that</w:t>
      </w:r>
      <w:r w:rsidR="00233E0A" w:rsidRPr="00B86922">
        <w:rPr>
          <w:rFonts w:ascii="Palatino Linotype" w:hAnsi="Palatino Linotype" w:cs="Times New Roman"/>
          <w:sz w:val="24"/>
          <w:szCs w:val="24"/>
        </w:rPr>
        <w:t xml:space="preserve"> differ fro</w:t>
      </w:r>
      <w:r w:rsidR="00B70387" w:rsidRPr="00B86922">
        <w:rPr>
          <w:rFonts w:ascii="Palatino Linotype" w:hAnsi="Palatino Linotype" w:cs="Times New Roman"/>
          <w:sz w:val="24"/>
          <w:szCs w:val="24"/>
        </w:rPr>
        <w:t>m what agencies such as the CAB and</w:t>
      </w:r>
      <w:r w:rsidR="00233E0A" w:rsidRPr="00B86922">
        <w:rPr>
          <w:rFonts w:ascii="Palatino Linotype" w:hAnsi="Palatino Linotype" w:cs="Times New Roman"/>
          <w:sz w:val="24"/>
          <w:szCs w:val="24"/>
        </w:rPr>
        <w:t xml:space="preserve"> chariti</w:t>
      </w:r>
      <w:r w:rsidR="00B70387" w:rsidRPr="00B86922">
        <w:rPr>
          <w:rFonts w:ascii="Palatino Linotype" w:hAnsi="Palatino Linotype" w:cs="Times New Roman"/>
          <w:sz w:val="24"/>
          <w:szCs w:val="24"/>
        </w:rPr>
        <w:t>es</w:t>
      </w:r>
      <w:r w:rsidR="00233E0A" w:rsidRPr="00B86922">
        <w:rPr>
          <w:rFonts w:ascii="Palatino Linotype" w:hAnsi="Palatino Linotype" w:cs="Times New Roman"/>
          <w:sz w:val="24"/>
          <w:szCs w:val="24"/>
        </w:rPr>
        <w:t xml:space="preserve"> are already offering? What resources can we draw on that wou</w:t>
      </w:r>
      <w:r w:rsidR="00B70387" w:rsidRPr="00B86922">
        <w:rPr>
          <w:rFonts w:ascii="Palatino Linotype" w:hAnsi="Palatino Linotype" w:cs="Times New Roman"/>
          <w:sz w:val="24"/>
          <w:szCs w:val="24"/>
        </w:rPr>
        <w:t>ld allow us to offer something</w:t>
      </w:r>
      <w:r w:rsidR="00233E0A" w:rsidRPr="00B86922">
        <w:rPr>
          <w:rFonts w:ascii="Palatino Linotype" w:hAnsi="Palatino Linotype" w:cs="Times New Roman"/>
          <w:sz w:val="24"/>
          <w:szCs w:val="24"/>
        </w:rPr>
        <w:t xml:space="preserve"> of value to current provision</w:t>
      </w:r>
      <w:r w:rsidR="00FA2B12" w:rsidRPr="00B86922">
        <w:rPr>
          <w:rFonts w:ascii="Palatino Linotype" w:hAnsi="Palatino Linotype" w:cs="Times New Roman"/>
          <w:sz w:val="24"/>
          <w:szCs w:val="24"/>
        </w:rPr>
        <w:t>? In answering these questions we kept</w:t>
      </w:r>
      <w:r w:rsidR="00233E0A" w:rsidRPr="00B86922">
        <w:rPr>
          <w:rFonts w:ascii="Palatino Linotype" w:hAnsi="Palatino Linotype" w:cs="Times New Roman"/>
          <w:sz w:val="24"/>
          <w:szCs w:val="24"/>
        </w:rPr>
        <w:t xml:space="preserve"> returning to the thought that ou</w:t>
      </w:r>
      <w:r w:rsidR="00FB3682" w:rsidRPr="00B86922">
        <w:rPr>
          <w:rFonts w:ascii="Palatino Linotype" w:hAnsi="Palatino Linotype" w:cs="Times New Roman"/>
          <w:sz w:val="24"/>
          <w:szCs w:val="24"/>
        </w:rPr>
        <w:t>r ‘unique selling point’ derived</w:t>
      </w:r>
      <w:r w:rsidR="00233E0A" w:rsidRPr="00B86922">
        <w:rPr>
          <w:rFonts w:ascii="Palatino Linotype" w:hAnsi="Palatino Linotype" w:cs="Times New Roman"/>
          <w:sz w:val="24"/>
          <w:szCs w:val="24"/>
        </w:rPr>
        <w:t xml:space="preserve"> from our students. </w:t>
      </w:r>
      <w:r w:rsidR="00B70387" w:rsidRPr="00B86922">
        <w:rPr>
          <w:rFonts w:ascii="Palatino Linotype" w:hAnsi="Palatino Linotype" w:cs="Times New Roman"/>
          <w:sz w:val="24"/>
          <w:szCs w:val="24"/>
        </w:rPr>
        <w:t>T</w:t>
      </w:r>
      <w:r w:rsidR="003C561D" w:rsidRPr="00B86922">
        <w:rPr>
          <w:rFonts w:ascii="Palatino Linotype" w:hAnsi="Palatino Linotype" w:cs="Times New Roman"/>
          <w:sz w:val="24"/>
          <w:szCs w:val="24"/>
        </w:rPr>
        <w:t>he students’ ability to assist members of the local community by offering</w:t>
      </w:r>
      <w:r w:rsidR="00BB272C" w:rsidRPr="00B86922">
        <w:rPr>
          <w:rFonts w:ascii="Palatino Linotype" w:hAnsi="Palatino Linotype" w:cs="Times New Roman"/>
          <w:sz w:val="24"/>
          <w:szCs w:val="24"/>
        </w:rPr>
        <w:t xml:space="preserve"> them free</w:t>
      </w:r>
      <w:r w:rsidR="003C561D" w:rsidRPr="00B86922">
        <w:rPr>
          <w:rFonts w:ascii="Palatino Linotype" w:hAnsi="Palatino Linotype" w:cs="Times New Roman"/>
          <w:sz w:val="24"/>
          <w:szCs w:val="24"/>
        </w:rPr>
        <w:t xml:space="preserve"> independent </w:t>
      </w:r>
      <w:r w:rsidR="003D751A" w:rsidRPr="00B86922">
        <w:rPr>
          <w:rFonts w:ascii="Palatino Linotype" w:hAnsi="Palatino Linotype" w:cs="Times New Roman"/>
          <w:sz w:val="24"/>
          <w:szCs w:val="24"/>
        </w:rPr>
        <w:t>information</w:t>
      </w:r>
      <w:r w:rsidR="003C561D" w:rsidRPr="00B86922">
        <w:rPr>
          <w:rFonts w:ascii="Palatino Linotype" w:hAnsi="Palatino Linotype" w:cs="Times New Roman"/>
          <w:sz w:val="24"/>
          <w:szCs w:val="24"/>
        </w:rPr>
        <w:t xml:space="preserve"> and support</w:t>
      </w:r>
      <w:r w:rsidR="00BB272C" w:rsidRPr="00B86922">
        <w:rPr>
          <w:rFonts w:ascii="Palatino Linotype" w:hAnsi="Palatino Linotype" w:cs="Times New Roman"/>
          <w:sz w:val="24"/>
          <w:szCs w:val="24"/>
        </w:rPr>
        <w:t xml:space="preserve"> (supervised and supported by </w:t>
      </w:r>
      <w:r w:rsidR="00FA2B12" w:rsidRPr="00B86922">
        <w:rPr>
          <w:rFonts w:ascii="Palatino Linotype" w:hAnsi="Palatino Linotype" w:cs="Times New Roman"/>
          <w:sz w:val="24"/>
          <w:szCs w:val="24"/>
        </w:rPr>
        <w:t xml:space="preserve">appropriate </w:t>
      </w:r>
      <w:r w:rsidR="00FB3682" w:rsidRPr="00B86922">
        <w:rPr>
          <w:rFonts w:ascii="Palatino Linotype" w:hAnsi="Palatino Linotype" w:cs="Times New Roman"/>
          <w:sz w:val="24"/>
          <w:szCs w:val="24"/>
        </w:rPr>
        <w:t>academic colleagues) seemed</w:t>
      </w:r>
      <w:r w:rsidR="00BB272C" w:rsidRPr="00B86922">
        <w:rPr>
          <w:rFonts w:ascii="Palatino Linotype" w:hAnsi="Palatino Linotype" w:cs="Times New Roman"/>
          <w:sz w:val="24"/>
          <w:szCs w:val="24"/>
        </w:rPr>
        <w:t xml:space="preserve"> to be a valuable contribution to the much under-resourced and over-stretched advice providers in Hull.</w:t>
      </w:r>
      <w:r w:rsidR="00E1064F" w:rsidRPr="00B86922">
        <w:rPr>
          <w:rFonts w:ascii="Palatino Linotype" w:hAnsi="Palatino Linotype" w:cs="Times New Roman"/>
          <w:sz w:val="24"/>
          <w:szCs w:val="24"/>
        </w:rPr>
        <w:t xml:space="preserve"> </w:t>
      </w:r>
      <w:r w:rsidR="00F42C24" w:rsidRPr="00B86922">
        <w:rPr>
          <w:rFonts w:ascii="Palatino Linotype" w:hAnsi="Palatino Linotype" w:cs="Times New Roman"/>
          <w:sz w:val="24"/>
          <w:szCs w:val="24"/>
        </w:rPr>
        <w:t>It might also, in particular, enable the students</w:t>
      </w:r>
      <w:r w:rsidR="00A4100B" w:rsidRPr="00B86922">
        <w:rPr>
          <w:rFonts w:ascii="Palatino Linotype" w:hAnsi="Palatino Linotype" w:cs="Times New Roman"/>
          <w:sz w:val="24"/>
          <w:szCs w:val="24"/>
        </w:rPr>
        <w:t>, given their legal knowledge,</w:t>
      </w:r>
      <w:r w:rsidR="00F42C24" w:rsidRPr="00B86922">
        <w:rPr>
          <w:rFonts w:ascii="Palatino Linotype" w:hAnsi="Palatino Linotype" w:cs="Times New Roman"/>
          <w:sz w:val="24"/>
          <w:szCs w:val="24"/>
        </w:rPr>
        <w:t xml:space="preserve"> to identify evidence which would support a defence to possession. </w:t>
      </w:r>
      <w:r w:rsidR="00B70387" w:rsidRPr="00B86922">
        <w:rPr>
          <w:rFonts w:ascii="Palatino Linotype" w:hAnsi="Palatino Linotype" w:cs="Times New Roman"/>
          <w:sz w:val="24"/>
          <w:szCs w:val="24"/>
        </w:rPr>
        <w:t xml:space="preserve">As regards the potential benefit to the students, the ability to contribute to and enhance their </w:t>
      </w:r>
      <w:r w:rsidR="005E09AE" w:rsidRPr="00B86922">
        <w:rPr>
          <w:rFonts w:ascii="Palatino Linotype" w:hAnsi="Palatino Linotype" w:cs="Times New Roman"/>
          <w:sz w:val="24"/>
          <w:szCs w:val="24"/>
        </w:rPr>
        <w:t>CLE</w:t>
      </w:r>
      <w:r w:rsidR="00B70387" w:rsidRPr="00B86922">
        <w:rPr>
          <w:rFonts w:ascii="Palatino Linotype" w:hAnsi="Palatino Linotype" w:cs="Times New Roman"/>
          <w:sz w:val="24"/>
          <w:szCs w:val="24"/>
        </w:rPr>
        <w:t xml:space="preserve"> by offering them a unique opportunity to participate in real </w:t>
      </w:r>
      <w:r w:rsidR="00FA2B12" w:rsidRPr="00B86922">
        <w:rPr>
          <w:rFonts w:ascii="Palatino Linotype" w:hAnsi="Palatino Linotype" w:cs="Times New Roman"/>
          <w:sz w:val="24"/>
          <w:szCs w:val="24"/>
        </w:rPr>
        <w:t>cases seemed</w:t>
      </w:r>
      <w:r w:rsidR="00B70387" w:rsidRPr="00B86922">
        <w:rPr>
          <w:rFonts w:ascii="Palatino Linotype" w:hAnsi="Palatino Linotype" w:cs="Times New Roman"/>
          <w:sz w:val="24"/>
          <w:szCs w:val="24"/>
        </w:rPr>
        <w:t xml:space="preserve"> like an opportunity not to be missed.</w:t>
      </w:r>
      <w:r w:rsidR="00EA143F" w:rsidRPr="00B86922">
        <w:rPr>
          <w:rFonts w:ascii="Palatino Linotype" w:hAnsi="Palatino Linotype" w:cs="Times New Roman"/>
          <w:sz w:val="24"/>
          <w:szCs w:val="24"/>
        </w:rPr>
        <w:t xml:space="preserve"> As Marson et al note, </w:t>
      </w:r>
      <w:r w:rsidR="00EB3875">
        <w:rPr>
          <w:rFonts w:ascii="Palatino Linotype" w:hAnsi="Palatino Linotype" w:cs="Times New Roman"/>
          <w:sz w:val="24"/>
          <w:szCs w:val="24"/>
        </w:rPr>
        <w:t>“</w:t>
      </w:r>
      <w:r w:rsidR="00EA143F" w:rsidRPr="00B86922">
        <w:rPr>
          <w:rFonts w:ascii="Palatino Linotype" w:hAnsi="Palatino Linotype" w:cs="Times New Roman"/>
          <w:sz w:val="24"/>
          <w:szCs w:val="24"/>
        </w:rPr>
        <w:t>Clinical legal education… provides numerous advantages to the student cohort and establishes an opportunity for the students to gain important practical experience, whilst enabling them to offer a valuable service to the local community</w:t>
      </w:r>
      <w:r w:rsidR="00EB3875">
        <w:rPr>
          <w:rFonts w:ascii="Palatino Linotype" w:hAnsi="Palatino Linotype" w:cs="Times New Roman"/>
          <w:sz w:val="24"/>
          <w:szCs w:val="24"/>
        </w:rPr>
        <w:t>”</w:t>
      </w:r>
      <w:r w:rsidR="00EA143F" w:rsidRPr="00B86922">
        <w:rPr>
          <w:rStyle w:val="FootnoteReference"/>
          <w:rFonts w:ascii="Palatino Linotype" w:hAnsi="Palatino Linotype" w:cs="Times New Roman"/>
          <w:sz w:val="24"/>
          <w:szCs w:val="24"/>
        </w:rPr>
        <w:footnoteReference w:id="76"/>
      </w:r>
      <w:r w:rsidR="00EB3875">
        <w:rPr>
          <w:rFonts w:ascii="Palatino Linotype" w:hAnsi="Palatino Linotype" w:cs="Times New Roman"/>
          <w:sz w:val="24"/>
          <w:szCs w:val="24"/>
        </w:rPr>
        <w:t>.</w:t>
      </w:r>
      <w:r w:rsidR="0026180B" w:rsidRPr="00B86922">
        <w:rPr>
          <w:rFonts w:ascii="Palatino Linotype" w:hAnsi="Palatino Linotype" w:cs="Times New Roman"/>
          <w:sz w:val="24"/>
          <w:szCs w:val="24"/>
        </w:rPr>
        <w:t xml:space="preserve"> </w:t>
      </w:r>
    </w:p>
    <w:p w14:paraId="7A8C1759" w14:textId="77777777" w:rsidR="005162EA" w:rsidRPr="00B86922" w:rsidRDefault="005162EA" w:rsidP="00B86922">
      <w:pPr>
        <w:spacing w:after="120" w:line="480" w:lineRule="auto"/>
        <w:jc w:val="both"/>
        <w:rPr>
          <w:rFonts w:ascii="Palatino Linotype" w:hAnsi="Palatino Linotype" w:cs="Times New Roman"/>
          <w:sz w:val="24"/>
          <w:szCs w:val="24"/>
        </w:rPr>
      </w:pPr>
    </w:p>
    <w:p w14:paraId="6B68BBF2" w14:textId="77777777" w:rsidR="00000CBA" w:rsidRPr="00B86922" w:rsidRDefault="005E09AE"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T</w:t>
      </w:r>
      <w:r w:rsidR="007A30F7" w:rsidRPr="00B86922">
        <w:rPr>
          <w:rFonts w:ascii="Palatino Linotype" w:hAnsi="Palatino Linotype" w:cs="Times New Roman"/>
          <w:sz w:val="24"/>
          <w:szCs w:val="24"/>
        </w:rPr>
        <w:t>he benefits of CLE</w:t>
      </w:r>
      <w:r w:rsidRPr="00B86922">
        <w:rPr>
          <w:rFonts w:ascii="Palatino Linotype" w:hAnsi="Palatino Linotype" w:cs="Times New Roman"/>
          <w:sz w:val="24"/>
          <w:szCs w:val="24"/>
        </w:rPr>
        <w:t>, however,</w:t>
      </w:r>
      <w:r w:rsidR="007A30F7" w:rsidRPr="00B86922">
        <w:rPr>
          <w:rFonts w:ascii="Palatino Linotype" w:hAnsi="Palatino Linotype" w:cs="Times New Roman"/>
          <w:sz w:val="24"/>
          <w:szCs w:val="24"/>
        </w:rPr>
        <w:t xml:space="preserve"> are enjoyed not only by the students taking part and the clients who benefit from their support but by others as part of a symbiotic relationship in which </w:t>
      </w:r>
      <w:r w:rsidR="00EB3875">
        <w:rPr>
          <w:rFonts w:ascii="Palatino Linotype" w:hAnsi="Palatino Linotype" w:cs="Times New Roman"/>
          <w:sz w:val="24"/>
          <w:szCs w:val="24"/>
        </w:rPr>
        <w:t>“</w:t>
      </w:r>
      <w:r w:rsidR="007A30F7" w:rsidRPr="00B86922">
        <w:rPr>
          <w:rFonts w:ascii="Palatino Linotype" w:hAnsi="Palatino Linotype" w:cs="Times New Roman"/>
          <w:sz w:val="24"/>
          <w:szCs w:val="24"/>
        </w:rPr>
        <w:t>diverse groups are coming together where there is mutual gain</w:t>
      </w:r>
      <w:r w:rsidR="00EB3875">
        <w:rPr>
          <w:rFonts w:ascii="Palatino Linotype" w:hAnsi="Palatino Linotype" w:cs="Times New Roman"/>
          <w:sz w:val="24"/>
          <w:szCs w:val="24"/>
        </w:rPr>
        <w:t>”</w:t>
      </w:r>
      <w:r w:rsidR="007A30F7" w:rsidRPr="00B86922">
        <w:rPr>
          <w:rStyle w:val="FootnoteReference"/>
          <w:rFonts w:ascii="Palatino Linotype" w:hAnsi="Palatino Linotype" w:cs="Times New Roman"/>
          <w:sz w:val="24"/>
          <w:szCs w:val="24"/>
        </w:rPr>
        <w:footnoteReference w:id="77"/>
      </w:r>
      <w:r w:rsidR="00EB3875">
        <w:rPr>
          <w:rFonts w:ascii="Palatino Linotype" w:hAnsi="Palatino Linotype" w:cs="Times New Roman"/>
          <w:sz w:val="24"/>
          <w:szCs w:val="24"/>
        </w:rPr>
        <w:t>.</w:t>
      </w:r>
      <w:r w:rsidR="007A30F7" w:rsidRPr="00B86922">
        <w:rPr>
          <w:rFonts w:ascii="Palatino Linotype" w:hAnsi="Palatino Linotype" w:cs="Times New Roman"/>
          <w:sz w:val="24"/>
          <w:szCs w:val="24"/>
        </w:rPr>
        <w:t xml:space="preserve"> In respect of this study, </w:t>
      </w:r>
      <w:r w:rsidR="00642596" w:rsidRPr="00B86922">
        <w:rPr>
          <w:rFonts w:ascii="Palatino Linotype" w:hAnsi="Palatino Linotype" w:cs="Times New Roman"/>
          <w:sz w:val="24"/>
          <w:szCs w:val="24"/>
        </w:rPr>
        <w:t>there is the potential for</w:t>
      </w:r>
      <w:r w:rsidRPr="00B86922">
        <w:rPr>
          <w:rFonts w:ascii="Palatino Linotype" w:hAnsi="Palatino Linotype" w:cs="Times New Roman"/>
          <w:sz w:val="24"/>
          <w:szCs w:val="24"/>
        </w:rPr>
        <w:t xml:space="preserve"> under-</w:t>
      </w:r>
      <w:r w:rsidR="007A30F7" w:rsidRPr="00B86922">
        <w:rPr>
          <w:rFonts w:ascii="Palatino Linotype" w:hAnsi="Palatino Linotype" w:cs="Times New Roman"/>
          <w:sz w:val="24"/>
          <w:szCs w:val="24"/>
        </w:rPr>
        <w:t>resourced advice providers</w:t>
      </w:r>
      <w:r w:rsidR="00642596" w:rsidRPr="00B86922">
        <w:rPr>
          <w:rFonts w:ascii="Palatino Linotype" w:hAnsi="Palatino Linotype" w:cs="Times New Roman"/>
          <w:sz w:val="24"/>
          <w:szCs w:val="24"/>
        </w:rPr>
        <w:t xml:space="preserve"> to benefit from the transference </w:t>
      </w:r>
      <w:r w:rsidRPr="00B86922">
        <w:rPr>
          <w:rFonts w:ascii="Palatino Linotype" w:hAnsi="Palatino Linotype" w:cs="Times New Roman"/>
          <w:sz w:val="24"/>
          <w:szCs w:val="24"/>
        </w:rPr>
        <w:t>of workload away from them</w:t>
      </w:r>
      <w:r w:rsidR="00642596" w:rsidRPr="00B86922">
        <w:rPr>
          <w:rFonts w:ascii="Palatino Linotype" w:hAnsi="Palatino Linotype" w:cs="Times New Roman"/>
          <w:sz w:val="24"/>
          <w:szCs w:val="24"/>
        </w:rPr>
        <w:t xml:space="preserve"> and towards the CLEAR. Additionally, this study</w:t>
      </w:r>
      <w:r w:rsidR="007A30F7" w:rsidRPr="00B86922">
        <w:rPr>
          <w:rFonts w:ascii="Palatino Linotype" w:hAnsi="Palatino Linotype" w:cs="Times New Roman"/>
          <w:sz w:val="24"/>
          <w:szCs w:val="24"/>
        </w:rPr>
        <w:t xml:space="preserve"> has the potential to</w:t>
      </w:r>
      <w:r w:rsidR="00642596" w:rsidRPr="00B86922">
        <w:rPr>
          <w:rFonts w:ascii="Palatino Linotype" w:hAnsi="Palatino Linotype" w:cs="Times New Roman"/>
          <w:sz w:val="24"/>
          <w:szCs w:val="24"/>
        </w:rPr>
        <w:t xml:space="preserve"> benefit researchers</w:t>
      </w:r>
      <w:r w:rsidR="007A30F7" w:rsidRPr="00B86922">
        <w:rPr>
          <w:rFonts w:ascii="Palatino Linotype" w:hAnsi="Palatino Linotype" w:cs="Times New Roman"/>
          <w:sz w:val="24"/>
          <w:szCs w:val="24"/>
        </w:rPr>
        <w:t xml:space="preserve">, a point explored in greater detail below. </w:t>
      </w:r>
    </w:p>
    <w:p w14:paraId="2BFF349E" w14:textId="77777777" w:rsidR="00C149CC" w:rsidRPr="00B86922" w:rsidRDefault="00C149CC" w:rsidP="00B86922">
      <w:pPr>
        <w:spacing w:after="120" w:line="480" w:lineRule="auto"/>
        <w:jc w:val="both"/>
        <w:rPr>
          <w:rFonts w:ascii="Palatino Linotype" w:hAnsi="Palatino Linotype" w:cs="Times New Roman"/>
          <w:sz w:val="24"/>
          <w:szCs w:val="24"/>
        </w:rPr>
      </w:pPr>
    </w:p>
    <w:p w14:paraId="7892550E" w14:textId="77777777" w:rsidR="00632F22" w:rsidRPr="001B49ED" w:rsidRDefault="00F20304" w:rsidP="00B86922">
      <w:pPr>
        <w:spacing w:before="240" w:after="240" w:line="480" w:lineRule="auto"/>
        <w:jc w:val="both"/>
        <w:rPr>
          <w:rFonts w:ascii="Palatino Linotype" w:hAnsi="Palatino Linotype" w:cs="Times New Roman"/>
          <w:b/>
          <w:sz w:val="24"/>
          <w:szCs w:val="24"/>
        </w:rPr>
      </w:pPr>
      <w:r w:rsidRPr="001B49ED">
        <w:rPr>
          <w:rFonts w:ascii="Palatino Linotype" w:hAnsi="Palatino Linotype" w:cs="Times New Roman"/>
          <w:b/>
          <w:sz w:val="24"/>
          <w:szCs w:val="24"/>
        </w:rPr>
        <w:t>Location</w:t>
      </w:r>
    </w:p>
    <w:p w14:paraId="20D5FB1D" w14:textId="659D37AE" w:rsidR="00632F22" w:rsidRPr="00B86922" w:rsidRDefault="00E1064F"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An important issue in terms of encouraging occupiers to engage with advice provider</w:t>
      </w:r>
      <w:r w:rsidR="00755433" w:rsidRPr="00B86922">
        <w:rPr>
          <w:rFonts w:ascii="Palatino Linotype" w:hAnsi="Palatino Linotype" w:cs="Times New Roman"/>
          <w:sz w:val="24"/>
          <w:szCs w:val="24"/>
        </w:rPr>
        <w:t>s and the legal process concerned</w:t>
      </w:r>
      <w:r w:rsidRPr="00B86922">
        <w:rPr>
          <w:rFonts w:ascii="Palatino Linotype" w:hAnsi="Palatino Linotype" w:cs="Times New Roman"/>
          <w:sz w:val="24"/>
          <w:szCs w:val="24"/>
        </w:rPr>
        <w:t xml:space="preserve"> the location</w:t>
      </w:r>
      <w:r w:rsidR="00A953EA" w:rsidRPr="00B86922">
        <w:rPr>
          <w:rFonts w:ascii="Palatino Linotype" w:hAnsi="Palatino Linotype" w:cs="Times New Roman"/>
          <w:sz w:val="24"/>
          <w:szCs w:val="24"/>
        </w:rPr>
        <w:t xml:space="preserve"> of the CLEAR. The original</w:t>
      </w:r>
      <w:r w:rsidR="00755433" w:rsidRPr="00B86922">
        <w:rPr>
          <w:rFonts w:ascii="Palatino Linotype" w:hAnsi="Palatino Linotype" w:cs="Times New Roman"/>
          <w:sz w:val="24"/>
          <w:szCs w:val="24"/>
        </w:rPr>
        <w:t xml:space="preserve"> plan to</w:t>
      </w:r>
      <w:r w:rsidR="00A953EA" w:rsidRPr="00B86922">
        <w:rPr>
          <w:rFonts w:ascii="Palatino Linotype" w:hAnsi="Palatino Linotype" w:cs="Times New Roman"/>
          <w:sz w:val="24"/>
          <w:szCs w:val="24"/>
        </w:rPr>
        <w:t xml:space="preserve"> h</w:t>
      </w:r>
      <w:r w:rsidR="00755433" w:rsidRPr="00B86922">
        <w:rPr>
          <w:rFonts w:ascii="Palatino Linotype" w:hAnsi="Palatino Linotype" w:cs="Times New Roman"/>
          <w:sz w:val="24"/>
          <w:szCs w:val="24"/>
        </w:rPr>
        <w:t>old</w:t>
      </w:r>
      <w:r w:rsidRPr="00B86922">
        <w:rPr>
          <w:rFonts w:ascii="Palatino Linotype" w:hAnsi="Palatino Linotype" w:cs="Times New Roman"/>
          <w:sz w:val="24"/>
          <w:szCs w:val="24"/>
        </w:rPr>
        <w:t xml:space="preserve"> it in the court building</w:t>
      </w:r>
      <w:r w:rsidR="00A953EA" w:rsidRPr="00B86922">
        <w:rPr>
          <w:rFonts w:ascii="Palatino Linotype" w:hAnsi="Palatino Linotype" w:cs="Times New Roman"/>
          <w:sz w:val="24"/>
          <w:szCs w:val="24"/>
        </w:rPr>
        <w:t xml:space="preserve"> was rejected for the reason that it was likely to</w:t>
      </w:r>
      <w:r w:rsidR="002C3ABC" w:rsidRPr="00B86922">
        <w:rPr>
          <w:rFonts w:ascii="Palatino Linotype" w:hAnsi="Palatino Linotype" w:cs="Times New Roman"/>
          <w:sz w:val="24"/>
          <w:szCs w:val="24"/>
        </w:rPr>
        <w:t xml:space="preserve"> prove</w:t>
      </w:r>
      <w:r w:rsidR="00A953EA" w:rsidRPr="00B86922">
        <w:rPr>
          <w:rFonts w:ascii="Palatino Linotype" w:hAnsi="Palatino Linotype" w:cs="Times New Roman"/>
          <w:sz w:val="24"/>
          <w:szCs w:val="24"/>
        </w:rPr>
        <w:t xml:space="preserve"> daunting for some</w:t>
      </w:r>
      <w:r w:rsidRPr="00B86922">
        <w:rPr>
          <w:rFonts w:ascii="Palatino Linotype" w:hAnsi="Palatino Linotype" w:cs="Times New Roman"/>
          <w:sz w:val="24"/>
          <w:szCs w:val="24"/>
        </w:rPr>
        <w:t xml:space="preserve">. Similarly, holding it in a </w:t>
      </w:r>
      <w:r w:rsidR="00813E04" w:rsidRPr="00B86922">
        <w:rPr>
          <w:rFonts w:ascii="Palatino Linotype" w:hAnsi="Palatino Linotype" w:cs="Times New Roman"/>
          <w:sz w:val="24"/>
          <w:szCs w:val="24"/>
        </w:rPr>
        <w:t>location</w:t>
      </w:r>
      <w:r w:rsidRPr="00B86922">
        <w:rPr>
          <w:rFonts w:ascii="Palatino Linotype" w:hAnsi="Palatino Linotype" w:cs="Times New Roman"/>
          <w:sz w:val="24"/>
          <w:szCs w:val="24"/>
        </w:rPr>
        <w:t xml:space="preserve"> that </w:t>
      </w:r>
      <w:r w:rsidR="00182097" w:rsidRPr="00B86922">
        <w:rPr>
          <w:rFonts w:ascii="Palatino Linotype" w:hAnsi="Palatino Linotype" w:cs="Times New Roman"/>
          <w:sz w:val="24"/>
          <w:szCs w:val="24"/>
        </w:rPr>
        <w:t>required clients</w:t>
      </w:r>
      <w:r w:rsidR="00A953EA" w:rsidRPr="00B86922">
        <w:rPr>
          <w:rFonts w:ascii="Palatino Linotype" w:hAnsi="Palatino Linotype" w:cs="Times New Roman"/>
          <w:sz w:val="24"/>
          <w:szCs w:val="24"/>
        </w:rPr>
        <w:t xml:space="preserve"> to travel might</w:t>
      </w:r>
      <w:r w:rsidRPr="00B86922">
        <w:rPr>
          <w:rFonts w:ascii="Palatino Linotype" w:hAnsi="Palatino Linotype" w:cs="Times New Roman"/>
          <w:sz w:val="24"/>
          <w:szCs w:val="24"/>
        </w:rPr>
        <w:t xml:space="preserve"> also</w:t>
      </w:r>
      <w:r w:rsidR="00A953EA"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deter those who cannot afford the time or the additional cost of transport.</w:t>
      </w:r>
      <w:r w:rsidR="0001739A" w:rsidRPr="00B86922">
        <w:rPr>
          <w:rFonts w:ascii="Palatino Linotype" w:hAnsi="Palatino Linotype" w:cs="Times New Roman"/>
          <w:sz w:val="24"/>
          <w:szCs w:val="24"/>
        </w:rPr>
        <w:t xml:space="preserve"> We could</w:t>
      </w:r>
      <w:r w:rsidR="00A953EA" w:rsidRPr="00B86922">
        <w:rPr>
          <w:rFonts w:ascii="Palatino Linotype" w:hAnsi="Palatino Linotype" w:cs="Times New Roman"/>
          <w:sz w:val="24"/>
          <w:szCs w:val="24"/>
        </w:rPr>
        <w:t xml:space="preserve"> have held</w:t>
      </w:r>
      <w:r w:rsidR="0001739A" w:rsidRPr="00B86922">
        <w:rPr>
          <w:rFonts w:ascii="Palatino Linotype" w:hAnsi="Palatino Linotype" w:cs="Times New Roman"/>
          <w:sz w:val="24"/>
          <w:szCs w:val="24"/>
        </w:rPr>
        <w:t xml:space="preserve"> the CLEAR at the University which is relatively central to some of the areas that give rise to the largest number of tenan</w:t>
      </w:r>
      <w:r w:rsidR="00A953EA" w:rsidRPr="00B86922">
        <w:rPr>
          <w:rFonts w:ascii="Palatino Linotype" w:hAnsi="Palatino Linotype" w:cs="Times New Roman"/>
          <w:sz w:val="24"/>
          <w:szCs w:val="24"/>
        </w:rPr>
        <w:t>t evictions but it might</w:t>
      </w:r>
      <w:r w:rsidR="0001739A" w:rsidRPr="00B86922">
        <w:rPr>
          <w:rFonts w:ascii="Palatino Linotype" w:hAnsi="Palatino Linotype" w:cs="Times New Roman"/>
          <w:sz w:val="24"/>
          <w:szCs w:val="24"/>
        </w:rPr>
        <w:t xml:space="preserve"> still</w:t>
      </w:r>
      <w:r w:rsidR="00A953EA" w:rsidRPr="00B86922">
        <w:rPr>
          <w:rFonts w:ascii="Palatino Linotype" w:hAnsi="Palatino Linotype" w:cs="Times New Roman"/>
          <w:sz w:val="24"/>
          <w:szCs w:val="24"/>
        </w:rPr>
        <w:t xml:space="preserve"> have</w:t>
      </w:r>
      <w:r w:rsidR="0001739A" w:rsidRPr="00B86922">
        <w:rPr>
          <w:rFonts w:ascii="Palatino Linotype" w:hAnsi="Palatino Linotype" w:cs="Times New Roman"/>
          <w:sz w:val="24"/>
          <w:szCs w:val="24"/>
        </w:rPr>
        <w:t xml:space="preserve"> prove</w:t>
      </w:r>
      <w:r w:rsidR="00A953EA" w:rsidRPr="00B86922">
        <w:rPr>
          <w:rFonts w:ascii="Palatino Linotype" w:hAnsi="Palatino Linotype" w:cs="Times New Roman"/>
          <w:sz w:val="24"/>
          <w:szCs w:val="24"/>
        </w:rPr>
        <w:t>n</w:t>
      </w:r>
      <w:r w:rsidR="0001739A" w:rsidRPr="00B86922">
        <w:rPr>
          <w:rFonts w:ascii="Palatino Linotype" w:hAnsi="Palatino Linotype" w:cs="Times New Roman"/>
          <w:sz w:val="24"/>
          <w:szCs w:val="24"/>
        </w:rPr>
        <w:t xml:space="preserve"> too daunti</w:t>
      </w:r>
      <w:r w:rsidR="00A953EA" w:rsidRPr="00B86922">
        <w:rPr>
          <w:rFonts w:ascii="Palatino Linotype" w:hAnsi="Palatino Linotype" w:cs="Times New Roman"/>
          <w:sz w:val="24"/>
          <w:szCs w:val="24"/>
        </w:rPr>
        <w:t>ng for some. We could perhaps have he</w:t>
      </w:r>
      <w:r w:rsidR="0001739A" w:rsidRPr="00B86922">
        <w:rPr>
          <w:rFonts w:ascii="Palatino Linotype" w:hAnsi="Palatino Linotype" w:cs="Times New Roman"/>
          <w:sz w:val="24"/>
          <w:szCs w:val="24"/>
        </w:rPr>
        <w:t xml:space="preserve">ld the CLEAR </w:t>
      </w:r>
      <w:r w:rsidR="00E4743A" w:rsidRPr="00B86922">
        <w:rPr>
          <w:rFonts w:ascii="Palatino Linotype" w:hAnsi="Palatino Linotype" w:cs="Times New Roman"/>
          <w:sz w:val="24"/>
          <w:szCs w:val="24"/>
        </w:rPr>
        <w:t>on a peripatetic basis</w:t>
      </w:r>
      <w:r w:rsidR="0001739A" w:rsidRPr="00B86922">
        <w:rPr>
          <w:rFonts w:ascii="Palatino Linotype" w:hAnsi="Palatino Linotype" w:cs="Times New Roman"/>
          <w:sz w:val="24"/>
          <w:szCs w:val="24"/>
        </w:rPr>
        <w:t xml:space="preserve"> (e.g. a community space, a supermarket, </w:t>
      </w:r>
      <w:r w:rsidR="007428D8" w:rsidRPr="00B86922">
        <w:rPr>
          <w:rFonts w:ascii="Palatino Linotype" w:hAnsi="Palatino Linotype" w:cs="Times New Roman"/>
          <w:sz w:val="24"/>
          <w:szCs w:val="24"/>
        </w:rPr>
        <w:t xml:space="preserve">doctors’ surgeries, </w:t>
      </w:r>
      <w:r w:rsidR="0001739A" w:rsidRPr="00B86922">
        <w:rPr>
          <w:rFonts w:ascii="Palatino Linotype" w:hAnsi="Palatino Linotype" w:cs="Times New Roman"/>
          <w:sz w:val="24"/>
          <w:szCs w:val="24"/>
        </w:rPr>
        <w:t>etc) but this would</w:t>
      </w:r>
      <w:r w:rsidR="00A953EA" w:rsidRPr="00B86922">
        <w:rPr>
          <w:rFonts w:ascii="Palatino Linotype" w:hAnsi="Palatino Linotype" w:cs="Times New Roman"/>
          <w:sz w:val="24"/>
          <w:szCs w:val="24"/>
        </w:rPr>
        <w:t xml:space="preserve"> have</w:t>
      </w:r>
      <w:r w:rsidR="0001739A" w:rsidRPr="00B86922">
        <w:rPr>
          <w:rFonts w:ascii="Palatino Linotype" w:hAnsi="Palatino Linotype" w:cs="Times New Roman"/>
          <w:sz w:val="24"/>
          <w:szCs w:val="24"/>
        </w:rPr>
        <w:t xml:space="preserve"> involve</w:t>
      </w:r>
      <w:r w:rsidR="00A953EA" w:rsidRPr="00B86922">
        <w:rPr>
          <w:rFonts w:ascii="Palatino Linotype" w:hAnsi="Palatino Linotype" w:cs="Times New Roman"/>
          <w:sz w:val="24"/>
          <w:szCs w:val="24"/>
        </w:rPr>
        <w:t>d</w:t>
      </w:r>
      <w:r w:rsidR="0001739A" w:rsidRPr="00B86922">
        <w:rPr>
          <w:rFonts w:ascii="Palatino Linotype" w:hAnsi="Palatino Linotype" w:cs="Times New Roman"/>
          <w:sz w:val="24"/>
          <w:szCs w:val="24"/>
        </w:rPr>
        <w:t xml:space="preserve"> logistical issues including cost, privacy, security and so on.</w:t>
      </w:r>
    </w:p>
    <w:p w14:paraId="4C0F5948" w14:textId="77777777" w:rsidR="00C149CC" w:rsidRPr="00B86922" w:rsidRDefault="00C149CC" w:rsidP="00B86922">
      <w:pPr>
        <w:spacing w:after="120" w:line="480" w:lineRule="auto"/>
        <w:jc w:val="both"/>
        <w:rPr>
          <w:rFonts w:ascii="Palatino Linotype" w:hAnsi="Palatino Linotype" w:cs="Times New Roman"/>
          <w:sz w:val="24"/>
          <w:szCs w:val="24"/>
        </w:rPr>
      </w:pPr>
    </w:p>
    <w:p w14:paraId="03E0FF85" w14:textId="77777777" w:rsidR="00AE2D46" w:rsidRPr="001B49ED" w:rsidRDefault="00610820"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The pilot study</w:t>
      </w:r>
    </w:p>
    <w:p w14:paraId="69B7350E" w14:textId="247A14BB" w:rsidR="00926859" w:rsidRPr="00B86922" w:rsidRDefault="00926859"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Following the feasibility study </w:t>
      </w:r>
      <w:r w:rsidR="005E09AE" w:rsidRPr="00B86922">
        <w:rPr>
          <w:rFonts w:ascii="Palatino Linotype" w:hAnsi="Palatino Linotype" w:cs="Times New Roman"/>
          <w:bCs/>
          <w:sz w:val="24"/>
          <w:szCs w:val="24"/>
        </w:rPr>
        <w:t>during which</w:t>
      </w:r>
      <w:r w:rsidR="00CF50E3" w:rsidRPr="00B86922">
        <w:rPr>
          <w:rFonts w:ascii="Palatino Linotype" w:hAnsi="Palatino Linotype" w:cs="Times New Roman"/>
          <w:bCs/>
          <w:sz w:val="24"/>
          <w:szCs w:val="24"/>
        </w:rPr>
        <w:t xml:space="preserve"> these</w:t>
      </w:r>
      <w:r w:rsidR="005E09AE" w:rsidRPr="00B86922">
        <w:rPr>
          <w:rFonts w:ascii="Palatino Linotype" w:hAnsi="Palatino Linotype" w:cs="Times New Roman"/>
          <w:bCs/>
          <w:sz w:val="24"/>
          <w:szCs w:val="24"/>
        </w:rPr>
        <w:t xml:space="preserve"> issues were</w:t>
      </w:r>
      <w:r w:rsidRPr="00B86922">
        <w:rPr>
          <w:rFonts w:ascii="Palatino Linotype" w:hAnsi="Palatino Linotype" w:cs="Times New Roman"/>
          <w:bCs/>
          <w:sz w:val="24"/>
          <w:szCs w:val="24"/>
        </w:rPr>
        <w:t xml:space="preserve"> considered, a pilot </w:t>
      </w:r>
      <w:r w:rsidR="005E09AE" w:rsidRPr="00B86922">
        <w:rPr>
          <w:rFonts w:ascii="Palatino Linotype" w:hAnsi="Palatino Linotype" w:cs="Times New Roman"/>
          <w:bCs/>
          <w:sz w:val="24"/>
          <w:szCs w:val="24"/>
        </w:rPr>
        <w:t xml:space="preserve">version </w:t>
      </w:r>
      <w:r w:rsidRPr="00B86922">
        <w:rPr>
          <w:rFonts w:ascii="Palatino Linotype" w:hAnsi="Palatino Linotype" w:cs="Times New Roman"/>
          <w:bCs/>
          <w:sz w:val="24"/>
          <w:szCs w:val="24"/>
        </w:rPr>
        <w:t xml:space="preserve">of the CLEAR was implemented during September and October 2018. </w:t>
      </w:r>
      <w:r w:rsidR="00AA0988" w:rsidRPr="00B86922">
        <w:rPr>
          <w:rFonts w:ascii="Palatino Linotype" w:hAnsi="Palatino Linotype" w:cs="Times New Roman"/>
          <w:bCs/>
          <w:sz w:val="24"/>
          <w:szCs w:val="24"/>
        </w:rPr>
        <w:t>I</w:t>
      </w:r>
      <w:r w:rsidRPr="00B86922">
        <w:rPr>
          <w:rFonts w:ascii="Palatino Linotype" w:hAnsi="Palatino Linotype" w:cs="Times New Roman"/>
          <w:sz w:val="24"/>
          <w:szCs w:val="24"/>
        </w:rPr>
        <w:t>t was decided that the most effective option</w:t>
      </w:r>
      <w:r w:rsidR="00AA0988" w:rsidRPr="00B86922">
        <w:rPr>
          <w:rFonts w:ascii="Palatino Linotype" w:hAnsi="Palatino Linotype" w:cs="Times New Roman"/>
          <w:sz w:val="24"/>
          <w:szCs w:val="24"/>
        </w:rPr>
        <w:t xml:space="preserve"> in terms of the locality of the CLEAR</w:t>
      </w:r>
      <w:r w:rsidR="005E09AE" w:rsidRPr="00B86922">
        <w:rPr>
          <w:rFonts w:ascii="Palatino Linotype" w:hAnsi="Palatino Linotype" w:cs="Times New Roman"/>
          <w:sz w:val="24"/>
          <w:szCs w:val="24"/>
        </w:rPr>
        <w:t xml:space="preserve"> was</w:t>
      </w:r>
      <w:r w:rsidRPr="00B86922">
        <w:rPr>
          <w:rFonts w:ascii="Palatino Linotype" w:hAnsi="Palatino Linotype" w:cs="Times New Roman"/>
          <w:sz w:val="24"/>
          <w:szCs w:val="24"/>
        </w:rPr>
        <w:t xml:space="preserve"> to offer a ‘remote’ </w:t>
      </w:r>
      <w:r w:rsidR="00622D29" w:rsidRPr="00B86922">
        <w:rPr>
          <w:rFonts w:ascii="Palatino Linotype" w:hAnsi="Palatino Linotype" w:cs="Times New Roman"/>
          <w:sz w:val="24"/>
          <w:szCs w:val="24"/>
        </w:rPr>
        <w:t>clinic</w:t>
      </w:r>
      <w:r w:rsidRPr="00B86922">
        <w:rPr>
          <w:rFonts w:ascii="Palatino Linotype" w:hAnsi="Palatino Linotype" w:cs="Times New Roman"/>
          <w:sz w:val="24"/>
          <w:szCs w:val="24"/>
        </w:rPr>
        <w:t>. This would give occupiers the opportunity to phone or use technology such as Skype to provide information to the students staffing the CLEAR</w:t>
      </w:r>
      <w:r w:rsidR="00AA0988" w:rsidRPr="00B86922">
        <w:rPr>
          <w:rFonts w:ascii="Palatino Linotype" w:hAnsi="Palatino Linotype" w:cs="Times New Roman"/>
          <w:sz w:val="24"/>
          <w:szCs w:val="24"/>
        </w:rPr>
        <w:t>. The students could then</w:t>
      </w:r>
      <w:r w:rsidRPr="00B86922">
        <w:rPr>
          <w:rFonts w:ascii="Palatino Linotype" w:hAnsi="Palatino Linotype" w:cs="Times New Roman"/>
          <w:sz w:val="24"/>
          <w:szCs w:val="24"/>
        </w:rPr>
        <w:t xml:space="preserve"> direct the occupiers to a relevant agency for advice or</w:t>
      </w:r>
      <w:r w:rsidR="0066278A" w:rsidRPr="00B86922">
        <w:rPr>
          <w:rFonts w:ascii="Palatino Linotype" w:hAnsi="Palatino Linotype" w:cs="Times New Roman"/>
          <w:sz w:val="24"/>
          <w:szCs w:val="24"/>
        </w:rPr>
        <w:t xml:space="preserve"> provide (under supervision)</w:t>
      </w:r>
      <w:r w:rsidRPr="00B86922">
        <w:rPr>
          <w:rFonts w:ascii="Palatino Linotype" w:hAnsi="Palatino Linotype" w:cs="Times New Roman"/>
          <w:sz w:val="24"/>
          <w:szCs w:val="24"/>
        </w:rPr>
        <w:t xml:space="preserve"> information and support directly to the occupier.</w:t>
      </w:r>
      <w:r w:rsidR="00AA0988" w:rsidRPr="00B86922">
        <w:rPr>
          <w:rFonts w:ascii="Palatino Linotype" w:hAnsi="Palatino Linotype" w:cs="Times New Roman"/>
          <w:sz w:val="24"/>
          <w:szCs w:val="24"/>
        </w:rPr>
        <w:t xml:space="preserve"> This also allowed students to monitor and respond to CLEAR correspondence remotely, a useful aspect given </w:t>
      </w:r>
      <w:r w:rsidR="0066278A" w:rsidRPr="00B86922">
        <w:rPr>
          <w:rFonts w:ascii="Palatino Linotype" w:hAnsi="Palatino Linotype" w:cs="Times New Roman"/>
          <w:sz w:val="24"/>
          <w:szCs w:val="24"/>
        </w:rPr>
        <w:t>that</w:t>
      </w:r>
      <w:r w:rsidR="00AA0988" w:rsidRPr="00B86922">
        <w:rPr>
          <w:rFonts w:ascii="Palatino Linotype" w:hAnsi="Palatino Linotype" w:cs="Times New Roman"/>
          <w:sz w:val="24"/>
          <w:szCs w:val="24"/>
        </w:rPr>
        <w:t xml:space="preserve"> the pilot</w:t>
      </w:r>
      <w:r w:rsidR="0066278A" w:rsidRPr="00B86922">
        <w:rPr>
          <w:rFonts w:ascii="Palatino Linotype" w:hAnsi="Palatino Linotype" w:cs="Times New Roman"/>
          <w:sz w:val="24"/>
          <w:szCs w:val="24"/>
        </w:rPr>
        <w:t xml:space="preserve"> ran</w:t>
      </w:r>
      <w:r w:rsidR="00AA0988" w:rsidRPr="00B86922">
        <w:rPr>
          <w:rFonts w:ascii="Palatino Linotype" w:hAnsi="Palatino Linotype" w:cs="Times New Roman"/>
          <w:sz w:val="24"/>
          <w:szCs w:val="24"/>
        </w:rPr>
        <w:t xml:space="preserve"> out</w:t>
      </w:r>
      <w:r w:rsidR="0066278A" w:rsidRPr="00B86922">
        <w:rPr>
          <w:rFonts w:ascii="Palatino Linotype" w:hAnsi="Palatino Linotype" w:cs="Times New Roman"/>
          <w:sz w:val="24"/>
          <w:szCs w:val="24"/>
        </w:rPr>
        <w:t>with</w:t>
      </w:r>
      <w:r w:rsidR="00AA0988" w:rsidRPr="00B86922">
        <w:rPr>
          <w:rFonts w:ascii="Palatino Linotype" w:hAnsi="Palatino Linotype" w:cs="Times New Roman"/>
          <w:sz w:val="24"/>
          <w:szCs w:val="24"/>
        </w:rPr>
        <w:t xml:space="preserve"> semester time.</w:t>
      </w:r>
    </w:p>
    <w:p w14:paraId="347B4C94" w14:textId="77777777" w:rsidR="00AA0988" w:rsidRPr="00B86922" w:rsidRDefault="00AA0988" w:rsidP="00B86922">
      <w:pPr>
        <w:spacing w:after="120" w:line="480" w:lineRule="auto"/>
        <w:jc w:val="both"/>
        <w:rPr>
          <w:rFonts w:ascii="Palatino Linotype" w:hAnsi="Palatino Linotype" w:cs="Times New Roman"/>
          <w:sz w:val="24"/>
          <w:szCs w:val="24"/>
        </w:rPr>
      </w:pPr>
    </w:p>
    <w:p w14:paraId="79359238" w14:textId="36E140F6" w:rsidR="00891C2E" w:rsidRPr="00B86922" w:rsidRDefault="00AA0988"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In order to run the CLEAR on a remote basis it was necessary to obtain two mobile phones, one for the students to use in order to access and respond to answer phone messages and texts left by clients. The other was for the ‘supervisor’ so that they could be contacted by the students during office hours. It was also necessary to set up a secure storage facility for documents</w:t>
      </w:r>
      <w:r w:rsidR="00891C2E" w:rsidRPr="00B86922">
        <w:rPr>
          <w:rFonts w:ascii="Palatino Linotype" w:hAnsi="Palatino Linotype" w:cs="Times New Roman"/>
          <w:sz w:val="24"/>
          <w:szCs w:val="24"/>
        </w:rPr>
        <w:t xml:space="preserve">, both physically and online. This was achieved using lockable filing drawers in the CLEAR office and through FileStream, a password protected online storage facility accessible only by using a University of Hull imaged computer or laptop. </w:t>
      </w:r>
    </w:p>
    <w:p w14:paraId="173760FD" w14:textId="77777777" w:rsidR="00AA0988" w:rsidRPr="00B86922" w:rsidRDefault="00AA0988"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 </w:t>
      </w:r>
    </w:p>
    <w:p w14:paraId="42907A17" w14:textId="77777777" w:rsidR="00F915B4" w:rsidRPr="00B86922" w:rsidRDefault="00F915B4"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 xml:space="preserve">We were fortunate enough to secure the participation of </w:t>
      </w:r>
      <w:r w:rsidR="004926B4" w:rsidRPr="00B86922">
        <w:rPr>
          <w:rFonts w:ascii="Palatino Linotype" w:hAnsi="Palatino Linotype" w:cs="Times New Roman"/>
          <w:bCs/>
          <w:sz w:val="24"/>
          <w:szCs w:val="24"/>
        </w:rPr>
        <w:t>two of the largest providers of social housing in the region. They</w:t>
      </w:r>
      <w:r w:rsidRPr="00B86922">
        <w:rPr>
          <w:rFonts w:ascii="Palatino Linotype" w:hAnsi="Palatino Linotype" w:cs="Times New Roman"/>
          <w:bCs/>
          <w:sz w:val="24"/>
          <w:szCs w:val="24"/>
        </w:rPr>
        <w:t xml:space="preserve"> distributed </w:t>
      </w:r>
      <w:r w:rsidR="00610820" w:rsidRPr="00B86922">
        <w:rPr>
          <w:rFonts w:ascii="Palatino Linotype" w:hAnsi="Palatino Linotype" w:cs="Times New Roman"/>
          <w:bCs/>
          <w:sz w:val="24"/>
          <w:szCs w:val="24"/>
        </w:rPr>
        <w:t>a</w:t>
      </w:r>
      <w:r w:rsidRPr="00B86922">
        <w:rPr>
          <w:rFonts w:ascii="Palatino Linotype" w:hAnsi="Palatino Linotype" w:cs="Times New Roman"/>
          <w:bCs/>
          <w:sz w:val="24"/>
          <w:szCs w:val="24"/>
        </w:rPr>
        <w:t xml:space="preserve"> leaflet </w:t>
      </w:r>
      <w:r w:rsidR="00610820" w:rsidRPr="00B86922">
        <w:rPr>
          <w:rFonts w:ascii="Palatino Linotype" w:hAnsi="Palatino Linotype" w:cs="Times New Roman"/>
          <w:bCs/>
          <w:sz w:val="24"/>
          <w:szCs w:val="24"/>
        </w:rPr>
        <w:t>advertising the CLEAR</w:t>
      </w:r>
      <w:r w:rsidRPr="00B86922">
        <w:rPr>
          <w:rFonts w:ascii="Palatino Linotype" w:hAnsi="Palatino Linotype" w:cs="Times New Roman"/>
          <w:bCs/>
          <w:sz w:val="24"/>
          <w:szCs w:val="24"/>
        </w:rPr>
        <w:t xml:space="preserve"> to their tenants who were in receipt of a notice seeking possession (up to a maximum of 100 tenants). </w:t>
      </w:r>
      <w:r w:rsidR="004926B4" w:rsidRPr="00B86922">
        <w:rPr>
          <w:rFonts w:ascii="Palatino Linotype" w:hAnsi="Palatino Linotype" w:cs="Times New Roman"/>
          <w:bCs/>
          <w:sz w:val="24"/>
          <w:szCs w:val="24"/>
        </w:rPr>
        <w:t xml:space="preserve">This ensured that only those tenants in arrears were made aware of the CLEAR. </w:t>
      </w:r>
      <w:r w:rsidRPr="00B86922">
        <w:rPr>
          <w:rFonts w:ascii="Palatino Linotype" w:hAnsi="Palatino Linotype" w:cs="Times New Roman"/>
          <w:bCs/>
          <w:sz w:val="24"/>
          <w:szCs w:val="24"/>
        </w:rPr>
        <w:t>We deliberately kept the numbers small as we wanted to ensure that we had the resources necessary to meet demand.</w:t>
      </w:r>
      <w:r w:rsidR="003C0E09" w:rsidRPr="00B86922">
        <w:rPr>
          <w:rFonts w:ascii="Palatino Linotype" w:hAnsi="Palatino Linotype" w:cs="Times New Roman"/>
          <w:bCs/>
          <w:sz w:val="24"/>
          <w:szCs w:val="24"/>
        </w:rPr>
        <w:t xml:space="preserve"> The social landlords also referred clients to the CLEAR using a ‘letter of authorisation’ which we drew up stating that:</w:t>
      </w:r>
    </w:p>
    <w:p w14:paraId="4D9BE36A" w14:textId="77777777" w:rsidR="003C0E09" w:rsidRPr="00B86922" w:rsidRDefault="00DB7206" w:rsidP="001B49ED">
      <w:pPr>
        <w:spacing w:after="120" w:line="480" w:lineRule="auto"/>
        <w:ind w:left="720" w:right="804"/>
        <w:jc w:val="both"/>
        <w:rPr>
          <w:rFonts w:ascii="Palatino Linotype" w:hAnsi="Palatino Linotype" w:cs="Times New Roman"/>
          <w:bCs/>
          <w:sz w:val="24"/>
          <w:szCs w:val="24"/>
        </w:rPr>
      </w:pPr>
      <w:r>
        <w:rPr>
          <w:rFonts w:ascii="Palatino Linotype" w:hAnsi="Palatino Linotype" w:cs="Times New Roman"/>
          <w:bCs/>
          <w:sz w:val="24"/>
          <w:szCs w:val="24"/>
        </w:rPr>
        <w:t>“</w:t>
      </w:r>
      <w:r w:rsidR="003C0E09" w:rsidRPr="00B86922">
        <w:rPr>
          <w:rFonts w:ascii="Palatino Linotype" w:hAnsi="Palatino Linotype" w:cs="Times New Roman"/>
          <w:bCs/>
          <w:sz w:val="24"/>
          <w:szCs w:val="24"/>
        </w:rPr>
        <w:t>I authorise the Clinic on Evictions and Repossession (the CLEAR), University of Hull, to make enquiries and correspond on my behalf. The CLEAR can receive information relating to my circumstances including computer generated information which may be disclosed to third parties.</w:t>
      </w:r>
      <w:r w:rsidR="00F15B03" w:rsidRPr="00B86922">
        <w:rPr>
          <w:rFonts w:ascii="Palatino Linotype" w:hAnsi="Palatino Linotype" w:cs="Times New Roman"/>
          <w:bCs/>
          <w:sz w:val="24"/>
          <w:szCs w:val="24"/>
        </w:rPr>
        <w:t xml:space="preserve"> </w:t>
      </w:r>
      <w:r w:rsidR="003C0E09" w:rsidRPr="00B86922">
        <w:rPr>
          <w:rFonts w:ascii="Palatino Linotype" w:hAnsi="Palatino Linotype" w:cs="Times New Roman"/>
          <w:bCs/>
          <w:sz w:val="24"/>
          <w:szCs w:val="24"/>
        </w:rPr>
        <w:t xml:space="preserve">I request that a copy of all correspondence in connection with my case, be forwarded to them </w:t>
      </w:r>
      <w:r w:rsidR="00F15B03" w:rsidRPr="00B86922">
        <w:rPr>
          <w:rFonts w:ascii="Palatino Linotype" w:hAnsi="Palatino Linotype" w:cs="Times New Roman"/>
          <w:bCs/>
          <w:sz w:val="24"/>
          <w:szCs w:val="24"/>
        </w:rPr>
        <w:t xml:space="preserve">also. </w:t>
      </w:r>
      <w:r w:rsidR="003C0E09" w:rsidRPr="00B86922">
        <w:rPr>
          <w:rFonts w:ascii="Palatino Linotype" w:hAnsi="Palatino Linotype" w:cs="Times New Roman"/>
          <w:bCs/>
          <w:sz w:val="24"/>
          <w:szCs w:val="24"/>
        </w:rPr>
        <w:t>I agree to my case file being used for the purpose of audit</w:t>
      </w:r>
      <w:r w:rsidR="00817981" w:rsidRPr="00B86922">
        <w:rPr>
          <w:rFonts w:ascii="Palatino Linotype" w:hAnsi="Palatino Linotype" w:cs="Times New Roman"/>
          <w:bCs/>
          <w:sz w:val="24"/>
          <w:szCs w:val="24"/>
        </w:rPr>
        <w:t xml:space="preserve"> checks with [social landlord].</w:t>
      </w:r>
      <w:r>
        <w:rPr>
          <w:rFonts w:ascii="Palatino Linotype" w:hAnsi="Palatino Linotype" w:cs="Times New Roman"/>
          <w:bCs/>
          <w:sz w:val="24"/>
          <w:szCs w:val="24"/>
        </w:rPr>
        <w:t>”</w:t>
      </w:r>
    </w:p>
    <w:p w14:paraId="70703D9C" w14:textId="77777777" w:rsidR="003C0E09" w:rsidRPr="00B86922" w:rsidRDefault="003C0E09" w:rsidP="00B86922">
      <w:pPr>
        <w:spacing w:after="120" w:line="480" w:lineRule="auto"/>
        <w:jc w:val="both"/>
        <w:rPr>
          <w:rFonts w:ascii="Palatino Linotype" w:hAnsi="Palatino Linotype" w:cs="Times New Roman"/>
          <w:bCs/>
          <w:sz w:val="24"/>
          <w:szCs w:val="24"/>
        </w:rPr>
      </w:pPr>
    </w:p>
    <w:p w14:paraId="1CF87D4A" w14:textId="0B96E66C" w:rsidR="008D58D5" w:rsidRPr="00B86922" w:rsidRDefault="009A56D9"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M</w:t>
      </w:r>
      <w:r w:rsidR="00AA0988" w:rsidRPr="00B86922">
        <w:rPr>
          <w:rFonts w:ascii="Palatino Linotype" w:hAnsi="Palatino Linotype" w:cs="Times New Roman"/>
          <w:bCs/>
          <w:sz w:val="24"/>
          <w:szCs w:val="24"/>
        </w:rPr>
        <w:t>y research assistant</w:t>
      </w:r>
      <w:r w:rsidRPr="00B86922">
        <w:rPr>
          <w:rFonts w:ascii="Palatino Linotype" w:hAnsi="Palatino Linotype" w:cs="Times New Roman"/>
          <w:bCs/>
          <w:sz w:val="24"/>
          <w:szCs w:val="24"/>
        </w:rPr>
        <w:t>,</w:t>
      </w:r>
      <w:r w:rsidR="00F915B4" w:rsidRPr="00B86922">
        <w:rPr>
          <w:rFonts w:ascii="Palatino Linotype" w:hAnsi="Palatino Linotype" w:cs="Times New Roman"/>
          <w:bCs/>
          <w:sz w:val="24"/>
          <w:szCs w:val="24"/>
        </w:rPr>
        <w:t xml:space="preserve"> one of our CAB trained students </w:t>
      </w:r>
      <w:r w:rsidRPr="00B86922">
        <w:rPr>
          <w:rFonts w:ascii="Palatino Linotype" w:hAnsi="Palatino Linotype" w:cs="Times New Roman"/>
          <w:bCs/>
          <w:sz w:val="24"/>
          <w:szCs w:val="24"/>
        </w:rPr>
        <w:t xml:space="preserve">and myself </w:t>
      </w:r>
      <w:r w:rsidR="00F915B4" w:rsidRPr="00B86922">
        <w:rPr>
          <w:rFonts w:ascii="Palatino Linotype" w:hAnsi="Palatino Linotype" w:cs="Times New Roman"/>
          <w:bCs/>
          <w:sz w:val="24"/>
          <w:szCs w:val="24"/>
        </w:rPr>
        <w:t>monitored the CLEAR email, landline and mobile phones on a rota basis for 8 weeks</w:t>
      </w:r>
      <w:r w:rsidR="00AE79C5" w:rsidRPr="00B86922">
        <w:rPr>
          <w:rFonts w:ascii="Palatino Linotype" w:hAnsi="Palatino Linotype" w:cs="Times New Roman"/>
          <w:bCs/>
          <w:sz w:val="24"/>
          <w:szCs w:val="24"/>
        </w:rPr>
        <w:t>. Following contact by a client</w:t>
      </w:r>
      <w:r w:rsidR="00F915B4" w:rsidRPr="00B86922">
        <w:rPr>
          <w:rFonts w:ascii="Palatino Linotype" w:hAnsi="Palatino Linotype" w:cs="Times New Roman"/>
          <w:bCs/>
          <w:sz w:val="24"/>
          <w:szCs w:val="24"/>
        </w:rPr>
        <w:t xml:space="preserve">, we phoned them back </w:t>
      </w:r>
      <w:r w:rsidR="004926B4" w:rsidRPr="00B86922">
        <w:rPr>
          <w:rFonts w:ascii="Palatino Linotype" w:hAnsi="Palatino Linotype" w:cs="Times New Roman"/>
          <w:bCs/>
          <w:sz w:val="24"/>
          <w:szCs w:val="24"/>
        </w:rPr>
        <w:t xml:space="preserve">within three working days </w:t>
      </w:r>
      <w:r w:rsidR="00F915B4" w:rsidRPr="00B86922">
        <w:rPr>
          <w:rFonts w:ascii="Palatino Linotype" w:hAnsi="Palatino Linotype" w:cs="Times New Roman"/>
          <w:bCs/>
          <w:sz w:val="24"/>
          <w:szCs w:val="24"/>
        </w:rPr>
        <w:t xml:space="preserve">and asked them a </w:t>
      </w:r>
      <w:r w:rsidRPr="00B86922">
        <w:rPr>
          <w:rFonts w:ascii="Palatino Linotype" w:hAnsi="Palatino Linotype" w:cs="Times New Roman"/>
          <w:bCs/>
          <w:sz w:val="24"/>
          <w:szCs w:val="24"/>
        </w:rPr>
        <w:t>set list of questions</w:t>
      </w:r>
      <w:r w:rsidR="00F915B4" w:rsidRPr="00B86922">
        <w:rPr>
          <w:rFonts w:ascii="Palatino Linotype" w:hAnsi="Palatino Linotype" w:cs="Times New Roman"/>
          <w:bCs/>
          <w:sz w:val="24"/>
          <w:szCs w:val="24"/>
        </w:rPr>
        <w:t xml:space="preserve"> including, </w:t>
      </w:r>
      <w:r w:rsidR="00DB7206">
        <w:rPr>
          <w:rFonts w:ascii="Palatino Linotype" w:hAnsi="Palatino Linotype" w:cs="Times New Roman"/>
          <w:bCs/>
          <w:sz w:val="24"/>
          <w:szCs w:val="24"/>
        </w:rPr>
        <w:t>“</w:t>
      </w:r>
      <w:r w:rsidR="00AE79C5" w:rsidRPr="00B86922">
        <w:rPr>
          <w:rFonts w:ascii="Palatino Linotype" w:hAnsi="Palatino Linotype" w:cs="Times New Roman"/>
          <w:bCs/>
          <w:sz w:val="24"/>
          <w:szCs w:val="24"/>
        </w:rPr>
        <w:t>W</w:t>
      </w:r>
      <w:r w:rsidR="00F915B4" w:rsidRPr="00B86922">
        <w:rPr>
          <w:rFonts w:ascii="Palatino Linotype" w:hAnsi="Palatino Linotype" w:cs="Times New Roman"/>
          <w:bCs/>
          <w:sz w:val="24"/>
          <w:szCs w:val="24"/>
        </w:rPr>
        <w:t xml:space="preserve">hat are </w:t>
      </w:r>
      <w:r w:rsidR="00AE79C5" w:rsidRPr="00B86922">
        <w:rPr>
          <w:rFonts w:ascii="Palatino Linotype" w:hAnsi="Palatino Linotype" w:cs="Times New Roman"/>
          <w:bCs/>
          <w:sz w:val="24"/>
          <w:szCs w:val="24"/>
        </w:rPr>
        <w:t>the reasons for the arrears?</w:t>
      </w:r>
      <w:r w:rsidR="00DB7206">
        <w:rPr>
          <w:rFonts w:ascii="Palatino Linotype" w:hAnsi="Palatino Linotype" w:cs="Times New Roman"/>
          <w:bCs/>
          <w:sz w:val="24"/>
          <w:szCs w:val="24"/>
        </w:rPr>
        <w:t>”,</w:t>
      </w:r>
      <w:r w:rsidR="00AE79C5" w:rsidRPr="00B86922">
        <w:rPr>
          <w:rFonts w:ascii="Palatino Linotype" w:hAnsi="Palatino Linotype" w:cs="Times New Roman"/>
          <w:bCs/>
          <w:sz w:val="24"/>
          <w:szCs w:val="24"/>
        </w:rPr>
        <w:t xml:space="preserve"> </w:t>
      </w:r>
      <w:r w:rsidR="00DB7206">
        <w:rPr>
          <w:rFonts w:ascii="Palatino Linotype" w:hAnsi="Palatino Linotype" w:cs="Times New Roman"/>
          <w:bCs/>
          <w:sz w:val="24"/>
          <w:szCs w:val="24"/>
        </w:rPr>
        <w:t>“</w:t>
      </w:r>
      <w:r w:rsidR="00AE79C5" w:rsidRPr="00B86922">
        <w:rPr>
          <w:rFonts w:ascii="Palatino Linotype" w:hAnsi="Palatino Linotype" w:cs="Times New Roman"/>
          <w:bCs/>
          <w:sz w:val="24"/>
          <w:szCs w:val="24"/>
        </w:rPr>
        <w:t>A</w:t>
      </w:r>
      <w:r w:rsidR="00F915B4" w:rsidRPr="00B86922">
        <w:rPr>
          <w:rFonts w:ascii="Palatino Linotype" w:hAnsi="Palatino Linotype" w:cs="Times New Roman"/>
          <w:bCs/>
          <w:sz w:val="24"/>
          <w:szCs w:val="24"/>
        </w:rPr>
        <w:t>re you in rec</w:t>
      </w:r>
      <w:r w:rsidRPr="00B86922">
        <w:rPr>
          <w:rFonts w:ascii="Palatino Linotype" w:hAnsi="Palatino Linotype" w:cs="Times New Roman"/>
          <w:bCs/>
          <w:sz w:val="24"/>
          <w:szCs w:val="24"/>
        </w:rPr>
        <w:t>eipt of benefits?</w:t>
      </w:r>
      <w:r w:rsidR="00DB7206">
        <w:rPr>
          <w:rFonts w:ascii="Palatino Linotype" w:hAnsi="Palatino Linotype" w:cs="Times New Roman"/>
          <w:bCs/>
          <w:sz w:val="24"/>
          <w:szCs w:val="24"/>
        </w:rPr>
        <w:t>”.</w:t>
      </w:r>
      <w:r w:rsidR="00F915B4" w:rsidRPr="00B86922">
        <w:rPr>
          <w:rFonts w:ascii="Palatino Linotype" w:hAnsi="Palatino Linotype" w:cs="Times New Roman"/>
          <w:bCs/>
          <w:sz w:val="24"/>
          <w:szCs w:val="24"/>
        </w:rPr>
        <w:t xml:space="preserve"> We then met as a team to discuss the information and support we could provide and sent this in writing to the client (</w:t>
      </w:r>
      <w:r w:rsidRPr="00B86922">
        <w:rPr>
          <w:rFonts w:ascii="Palatino Linotype" w:hAnsi="Palatino Linotype" w:cs="Times New Roman"/>
          <w:bCs/>
          <w:sz w:val="24"/>
          <w:szCs w:val="24"/>
        </w:rPr>
        <w:t>using a template letter)</w:t>
      </w:r>
      <w:r w:rsidR="00F915B4" w:rsidRPr="00B86922">
        <w:rPr>
          <w:rFonts w:ascii="Palatino Linotype" w:hAnsi="Palatino Linotype" w:cs="Times New Roman"/>
          <w:bCs/>
          <w:sz w:val="24"/>
          <w:szCs w:val="24"/>
        </w:rPr>
        <w:t xml:space="preserve"> within 3 working days. We then contacted the client again two weeks later to follow up on any outstanding issues (e.g. </w:t>
      </w:r>
      <w:r w:rsidR="00DB7206">
        <w:rPr>
          <w:rFonts w:ascii="Palatino Linotype" w:hAnsi="Palatino Linotype" w:cs="Times New Roman"/>
          <w:bCs/>
          <w:sz w:val="24"/>
          <w:szCs w:val="24"/>
        </w:rPr>
        <w:t>“</w:t>
      </w:r>
      <w:r w:rsidR="00F915B4" w:rsidRPr="00B86922">
        <w:rPr>
          <w:rFonts w:ascii="Palatino Linotype" w:hAnsi="Palatino Linotype" w:cs="Times New Roman"/>
          <w:bCs/>
          <w:sz w:val="24"/>
          <w:szCs w:val="24"/>
        </w:rPr>
        <w:t>have your Universal Credit payments started</w:t>
      </w:r>
      <w:r w:rsidRPr="00B86922">
        <w:rPr>
          <w:rFonts w:ascii="Palatino Linotype" w:hAnsi="Palatino Linotype" w:cs="Times New Roman"/>
          <w:bCs/>
          <w:sz w:val="24"/>
          <w:szCs w:val="24"/>
        </w:rPr>
        <w:t>?</w:t>
      </w:r>
      <w:r w:rsidR="00DB7206">
        <w:rPr>
          <w:rFonts w:ascii="Palatino Linotype" w:hAnsi="Palatino Linotype" w:cs="Times New Roman"/>
          <w:bCs/>
          <w:sz w:val="24"/>
          <w:szCs w:val="24"/>
        </w:rPr>
        <w:t>”</w:t>
      </w:r>
      <w:r w:rsidR="00F915B4" w:rsidRPr="00B86922">
        <w:rPr>
          <w:rFonts w:ascii="Palatino Linotype" w:hAnsi="Palatino Linotype" w:cs="Times New Roman"/>
          <w:bCs/>
          <w:sz w:val="24"/>
          <w:szCs w:val="24"/>
        </w:rPr>
        <w:t>) and to offer additional support where appropriate.</w:t>
      </w:r>
      <w:r w:rsidR="00266DB6" w:rsidRPr="00B86922">
        <w:rPr>
          <w:rFonts w:ascii="Palatino Linotype" w:hAnsi="Palatino Linotype" w:cs="Times New Roman"/>
          <w:bCs/>
          <w:sz w:val="24"/>
          <w:szCs w:val="24"/>
        </w:rPr>
        <w:t xml:space="preserve"> </w:t>
      </w:r>
    </w:p>
    <w:p w14:paraId="03EB3DDA" w14:textId="77777777" w:rsidR="008D58D5" w:rsidRPr="00B86922" w:rsidRDefault="008D58D5" w:rsidP="00B86922">
      <w:pPr>
        <w:spacing w:after="120" w:line="480" w:lineRule="auto"/>
        <w:jc w:val="both"/>
        <w:rPr>
          <w:rFonts w:ascii="Palatino Linotype" w:hAnsi="Palatino Linotype" w:cs="Times New Roman"/>
          <w:bCs/>
          <w:sz w:val="24"/>
          <w:szCs w:val="24"/>
        </w:rPr>
      </w:pPr>
    </w:p>
    <w:p w14:paraId="72B08FFC" w14:textId="77777777" w:rsidR="005E09AE" w:rsidRPr="00B86922" w:rsidRDefault="008D58D5"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Having</w:t>
      </w:r>
      <w:r w:rsidR="00D26BD3" w:rsidRPr="00B86922">
        <w:rPr>
          <w:rFonts w:ascii="Palatino Linotype" w:hAnsi="Palatino Linotype" w:cs="Times New Roman"/>
          <w:bCs/>
          <w:sz w:val="24"/>
          <w:szCs w:val="24"/>
        </w:rPr>
        <w:t xml:space="preserve"> take</w:t>
      </w:r>
      <w:r w:rsidRPr="00B86922">
        <w:rPr>
          <w:rFonts w:ascii="Palatino Linotype" w:hAnsi="Palatino Linotype" w:cs="Times New Roman"/>
          <w:bCs/>
          <w:sz w:val="24"/>
          <w:szCs w:val="24"/>
        </w:rPr>
        <w:t>n</w:t>
      </w:r>
      <w:r w:rsidR="00D26BD3" w:rsidRPr="00B86922">
        <w:rPr>
          <w:rFonts w:ascii="Palatino Linotype" w:hAnsi="Palatino Linotype" w:cs="Times New Roman"/>
          <w:bCs/>
          <w:sz w:val="24"/>
          <w:szCs w:val="24"/>
        </w:rPr>
        <w:t xml:space="preserve"> some time to analyse the </w:t>
      </w:r>
      <w:r w:rsidR="0066278A" w:rsidRPr="00B86922">
        <w:rPr>
          <w:rFonts w:ascii="Palatino Linotype" w:hAnsi="Palatino Linotype" w:cs="Times New Roman"/>
          <w:bCs/>
          <w:sz w:val="24"/>
          <w:szCs w:val="24"/>
        </w:rPr>
        <w:t xml:space="preserve">development and </w:t>
      </w:r>
      <w:r w:rsidR="00AE79C5" w:rsidRPr="00B86922">
        <w:rPr>
          <w:rFonts w:ascii="Palatino Linotype" w:hAnsi="Palatino Linotype" w:cs="Times New Roman"/>
          <w:bCs/>
          <w:sz w:val="24"/>
          <w:szCs w:val="24"/>
        </w:rPr>
        <w:t>progress</w:t>
      </w:r>
      <w:r w:rsidRPr="00B86922">
        <w:rPr>
          <w:rFonts w:ascii="Palatino Linotype" w:hAnsi="Palatino Linotype" w:cs="Times New Roman"/>
          <w:bCs/>
          <w:sz w:val="24"/>
          <w:szCs w:val="24"/>
        </w:rPr>
        <w:t xml:space="preserve"> of the pilot </w:t>
      </w:r>
      <w:r w:rsidR="00AE79C5" w:rsidRPr="00B86922">
        <w:rPr>
          <w:rFonts w:ascii="Palatino Linotype" w:hAnsi="Palatino Linotype" w:cs="Times New Roman"/>
          <w:bCs/>
          <w:sz w:val="24"/>
          <w:szCs w:val="24"/>
        </w:rPr>
        <w:t>study</w:t>
      </w:r>
      <w:r w:rsidRPr="00B86922">
        <w:rPr>
          <w:rFonts w:ascii="Palatino Linotype" w:hAnsi="Palatino Linotype" w:cs="Times New Roman"/>
          <w:bCs/>
          <w:sz w:val="24"/>
          <w:szCs w:val="24"/>
        </w:rPr>
        <w:t xml:space="preserve">, </w:t>
      </w:r>
      <w:r w:rsidR="005E09AE" w:rsidRPr="00B86922">
        <w:rPr>
          <w:rFonts w:ascii="Palatino Linotype" w:hAnsi="Palatino Linotype" w:cs="Times New Roman"/>
          <w:bCs/>
          <w:sz w:val="24"/>
          <w:szCs w:val="24"/>
        </w:rPr>
        <w:t>it seems that the</w:t>
      </w:r>
      <w:r w:rsidR="00D26BD3" w:rsidRPr="00B86922">
        <w:rPr>
          <w:rFonts w:ascii="Palatino Linotype" w:hAnsi="Palatino Linotype" w:cs="Times New Roman"/>
          <w:bCs/>
          <w:sz w:val="24"/>
          <w:szCs w:val="24"/>
        </w:rPr>
        <w:t xml:space="preserve"> process arrived at</w:t>
      </w:r>
      <w:r w:rsidR="00192D37" w:rsidRPr="00B86922">
        <w:rPr>
          <w:rFonts w:ascii="Palatino Linotype" w:hAnsi="Palatino Linotype" w:cs="Times New Roman"/>
          <w:bCs/>
          <w:sz w:val="24"/>
          <w:szCs w:val="24"/>
        </w:rPr>
        <w:t xml:space="preserve"> </w:t>
      </w:r>
      <w:r w:rsidR="005E09AE" w:rsidRPr="00B86922">
        <w:rPr>
          <w:rFonts w:ascii="Palatino Linotype" w:hAnsi="Palatino Linotype" w:cs="Times New Roman"/>
          <w:bCs/>
          <w:sz w:val="24"/>
          <w:szCs w:val="24"/>
        </w:rPr>
        <w:t>offers a workable means of offering support to the local community and has the potential to be extended to all occupants in Hull and the East Riding (e.g. advertised generally rather than limited to some social tenants). The plan is to</w:t>
      </w:r>
      <w:r w:rsidR="000215E9" w:rsidRPr="00B86922">
        <w:rPr>
          <w:rFonts w:ascii="Palatino Linotype" w:hAnsi="Palatino Linotype" w:cs="Times New Roman"/>
          <w:bCs/>
          <w:sz w:val="24"/>
          <w:szCs w:val="24"/>
        </w:rPr>
        <w:t xml:space="preserve"> initiate Stage 3 of the project by integrating the CLEAR</w:t>
      </w:r>
      <w:r w:rsidR="005E09AE" w:rsidRPr="00B86922">
        <w:rPr>
          <w:rFonts w:ascii="Palatino Linotype" w:hAnsi="Palatino Linotype" w:cs="Times New Roman"/>
          <w:bCs/>
          <w:sz w:val="24"/>
          <w:szCs w:val="24"/>
        </w:rPr>
        <w:t xml:space="preserve"> into the curriculum as a credit bearing module for the 2020</w:t>
      </w:r>
      <w:r w:rsidR="00CF50E3" w:rsidRPr="00B86922">
        <w:rPr>
          <w:rFonts w:ascii="Palatino Linotype" w:hAnsi="Palatino Linotype" w:cs="Times New Roman"/>
          <w:bCs/>
          <w:sz w:val="24"/>
          <w:szCs w:val="24"/>
        </w:rPr>
        <w:t>/21</w:t>
      </w:r>
      <w:r w:rsidR="005E09AE" w:rsidRPr="00B86922">
        <w:rPr>
          <w:rFonts w:ascii="Palatino Linotype" w:hAnsi="Palatino Linotype" w:cs="Times New Roman"/>
          <w:bCs/>
          <w:sz w:val="24"/>
          <w:szCs w:val="24"/>
        </w:rPr>
        <w:t xml:space="preserve"> academic session. This is to be combined with a family mediation pathway and a Legal Advice Centre pathway so that the students can, in essence, experience working in general legal practice. Assessment will include a mix of self-reflection and observation of their CLE skills, e.g. talking to clients on the phone, researching information and support, letter writing, etc.</w:t>
      </w:r>
      <w:r w:rsidR="001933D0" w:rsidRPr="00B86922">
        <w:rPr>
          <w:rStyle w:val="FootnoteReference"/>
          <w:rFonts w:ascii="Palatino Linotype" w:hAnsi="Palatino Linotype" w:cs="Times New Roman"/>
          <w:bCs/>
          <w:sz w:val="24"/>
          <w:szCs w:val="24"/>
        </w:rPr>
        <w:footnoteReference w:id="78"/>
      </w:r>
      <w:r w:rsidR="005E09AE" w:rsidRPr="00B86922">
        <w:rPr>
          <w:rFonts w:ascii="Palatino Linotype" w:hAnsi="Palatino Linotype" w:cs="Times New Roman"/>
          <w:bCs/>
          <w:sz w:val="24"/>
          <w:szCs w:val="24"/>
        </w:rPr>
        <w:t xml:space="preserve"> </w:t>
      </w:r>
    </w:p>
    <w:p w14:paraId="7A90B4CC" w14:textId="77777777" w:rsidR="000215E9" w:rsidRPr="00B86922" w:rsidRDefault="000215E9" w:rsidP="00B86922">
      <w:pPr>
        <w:spacing w:after="120" w:line="480" w:lineRule="auto"/>
        <w:jc w:val="both"/>
        <w:rPr>
          <w:rFonts w:ascii="Palatino Linotype" w:hAnsi="Palatino Linotype" w:cs="Times New Roman"/>
          <w:bCs/>
          <w:sz w:val="24"/>
          <w:szCs w:val="24"/>
        </w:rPr>
      </w:pPr>
    </w:p>
    <w:p w14:paraId="1C74F8DD" w14:textId="77777777" w:rsidR="00192D37" w:rsidRPr="00B86922" w:rsidRDefault="000215E9"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 xml:space="preserve">To this extent, I would argue that this scheme does qualify as </w:t>
      </w:r>
      <w:r w:rsidR="00192D37" w:rsidRPr="00B86922">
        <w:rPr>
          <w:rFonts w:ascii="Palatino Linotype" w:hAnsi="Palatino Linotype" w:cs="Times New Roman"/>
          <w:bCs/>
          <w:sz w:val="24"/>
          <w:szCs w:val="24"/>
        </w:rPr>
        <w:t xml:space="preserve">CLE. Taking </w:t>
      </w:r>
      <w:r w:rsidR="00172586" w:rsidRPr="00B86922">
        <w:rPr>
          <w:rFonts w:ascii="Palatino Linotype" w:hAnsi="Palatino Linotype" w:cs="Times New Roman"/>
          <w:bCs/>
          <w:sz w:val="24"/>
          <w:szCs w:val="24"/>
        </w:rPr>
        <w:t xml:space="preserve">Boone et al’s </w:t>
      </w:r>
      <w:r w:rsidR="00192D37" w:rsidRPr="00B86922">
        <w:rPr>
          <w:rFonts w:ascii="Palatino Linotype" w:hAnsi="Palatino Linotype" w:cs="Times New Roman"/>
          <w:bCs/>
          <w:sz w:val="24"/>
          <w:szCs w:val="24"/>
        </w:rPr>
        <w:t>definition, it</w:t>
      </w:r>
      <w:r w:rsidR="00172586" w:rsidRPr="00B86922">
        <w:rPr>
          <w:rFonts w:ascii="Palatino Linotype" w:hAnsi="Palatino Linotype" w:cs="Times New Roman"/>
          <w:bCs/>
          <w:sz w:val="24"/>
          <w:szCs w:val="24"/>
        </w:rPr>
        <w:t xml:space="preserve"> is</w:t>
      </w:r>
      <w:r w:rsidR="009B3AFD" w:rsidRPr="00B86922">
        <w:rPr>
          <w:rFonts w:ascii="Palatino Linotype" w:hAnsi="Palatino Linotype" w:cs="Times New Roman"/>
          <w:bCs/>
          <w:sz w:val="24"/>
          <w:szCs w:val="24"/>
        </w:rPr>
        <w:t xml:space="preserve"> </w:t>
      </w:r>
      <w:r w:rsidR="00DB7206">
        <w:rPr>
          <w:rFonts w:ascii="Palatino Linotype" w:hAnsi="Palatino Linotype" w:cs="Times New Roman"/>
          <w:bCs/>
          <w:sz w:val="24"/>
          <w:szCs w:val="24"/>
        </w:rPr>
        <w:t>“</w:t>
      </w:r>
      <w:r w:rsidR="009B3AFD" w:rsidRPr="00B86922">
        <w:rPr>
          <w:rFonts w:ascii="Palatino Linotype" w:hAnsi="Palatino Linotype" w:cs="Times New Roman"/>
          <w:bCs/>
          <w:sz w:val="24"/>
          <w:szCs w:val="24"/>
        </w:rPr>
        <w:t>a curriculum-based learning experience, requiring students in role, interacting with others in role, to take responsibility for the resolution of a potentially dynamic problem</w:t>
      </w:r>
      <w:r w:rsidR="00DB7206">
        <w:rPr>
          <w:rFonts w:ascii="Palatino Linotype" w:hAnsi="Palatino Linotype" w:cs="Times New Roman"/>
          <w:bCs/>
          <w:sz w:val="24"/>
          <w:szCs w:val="24"/>
        </w:rPr>
        <w:t>”</w:t>
      </w:r>
      <w:r w:rsidR="009B3AFD" w:rsidRPr="00B86922">
        <w:rPr>
          <w:rStyle w:val="FootnoteReference"/>
          <w:rFonts w:ascii="Palatino Linotype" w:hAnsi="Palatino Linotype" w:cs="Times New Roman"/>
          <w:bCs/>
          <w:sz w:val="24"/>
          <w:szCs w:val="24"/>
        </w:rPr>
        <w:footnoteReference w:id="79"/>
      </w:r>
      <w:r w:rsidR="00DB7206">
        <w:rPr>
          <w:rFonts w:ascii="Palatino Linotype" w:hAnsi="Palatino Linotype" w:cs="Times New Roman"/>
          <w:bCs/>
          <w:sz w:val="24"/>
          <w:szCs w:val="24"/>
        </w:rPr>
        <w:t>.</w:t>
      </w:r>
      <w:r w:rsidR="00192D37" w:rsidRPr="00B86922">
        <w:rPr>
          <w:rFonts w:ascii="Palatino Linotype" w:hAnsi="Palatino Linotype" w:cs="Times New Roman"/>
          <w:bCs/>
          <w:sz w:val="24"/>
          <w:szCs w:val="24"/>
        </w:rPr>
        <w:t xml:space="preserve"> </w:t>
      </w:r>
      <w:r w:rsidR="009B3AFD" w:rsidRPr="00B86922">
        <w:rPr>
          <w:rFonts w:ascii="Palatino Linotype" w:hAnsi="Palatino Linotype" w:cs="Times New Roman"/>
          <w:bCs/>
          <w:sz w:val="24"/>
          <w:szCs w:val="24"/>
        </w:rPr>
        <w:t xml:space="preserve">In particular, it </w:t>
      </w:r>
      <w:r w:rsidR="00192D37" w:rsidRPr="00B86922">
        <w:rPr>
          <w:rFonts w:ascii="Palatino Linotype" w:hAnsi="Palatino Linotype" w:cs="Times New Roman"/>
          <w:bCs/>
          <w:sz w:val="24"/>
          <w:szCs w:val="24"/>
        </w:rPr>
        <w:t>involves (i) active participation on the part of students (they are not passive observers); (ii) interaction in role (as a support worker); (iii) dynamic nature of the problem (the clients’ circumstances are not known in advance nor can they be predicted); (iv) student responsibility for outcome (the students take responsibility for researching the information needed to support their client</w:t>
      </w:r>
      <w:r w:rsidR="009B3AFD" w:rsidRPr="00B86922">
        <w:rPr>
          <w:rFonts w:ascii="Palatino Linotype" w:hAnsi="Palatino Linotype" w:cs="Times New Roman"/>
          <w:bCs/>
          <w:sz w:val="24"/>
          <w:szCs w:val="24"/>
        </w:rPr>
        <w:t>)</w:t>
      </w:r>
      <w:r w:rsidR="00192D37" w:rsidRPr="00B86922">
        <w:rPr>
          <w:rFonts w:ascii="Palatino Linotype" w:hAnsi="Palatino Linotype" w:cs="Times New Roman"/>
          <w:bCs/>
          <w:sz w:val="24"/>
          <w:szCs w:val="24"/>
        </w:rPr>
        <w:t>;</w:t>
      </w:r>
      <w:r w:rsidR="009B3AFD" w:rsidRPr="00B86922">
        <w:rPr>
          <w:rFonts w:ascii="Palatino Linotype" w:hAnsi="Palatino Linotype" w:cs="Times New Roman"/>
          <w:bCs/>
          <w:sz w:val="24"/>
          <w:szCs w:val="24"/>
        </w:rPr>
        <w:t xml:space="preserve"> and </w:t>
      </w:r>
      <w:r w:rsidR="00192D37" w:rsidRPr="00B86922">
        <w:rPr>
          <w:rFonts w:ascii="Palatino Linotype" w:hAnsi="Palatino Linotype" w:cs="Times New Roman"/>
          <w:bCs/>
          <w:sz w:val="24"/>
          <w:szCs w:val="24"/>
        </w:rPr>
        <w:t>(v) relation to the curriculum</w:t>
      </w:r>
      <w:r w:rsidR="009B3AFD" w:rsidRPr="00B86922">
        <w:rPr>
          <w:rFonts w:ascii="Palatino Linotype" w:hAnsi="Palatino Linotype" w:cs="Times New Roman"/>
          <w:bCs/>
          <w:sz w:val="24"/>
          <w:szCs w:val="24"/>
        </w:rPr>
        <w:t xml:space="preserve"> (the assessment process offers a formal opportunity for reflection and analysis)</w:t>
      </w:r>
      <w:r w:rsidR="00192D37" w:rsidRPr="00B86922">
        <w:rPr>
          <w:rFonts w:ascii="Palatino Linotype" w:hAnsi="Palatino Linotype" w:cs="Times New Roman"/>
          <w:bCs/>
          <w:sz w:val="24"/>
          <w:szCs w:val="24"/>
        </w:rPr>
        <w:t>.</w:t>
      </w:r>
      <w:r w:rsidR="009B3AFD" w:rsidRPr="00B86922">
        <w:rPr>
          <w:rStyle w:val="FootnoteReference"/>
          <w:rFonts w:ascii="Palatino Linotype" w:hAnsi="Palatino Linotype" w:cs="Times New Roman"/>
          <w:bCs/>
          <w:sz w:val="24"/>
          <w:szCs w:val="24"/>
        </w:rPr>
        <w:footnoteReference w:id="80"/>
      </w:r>
      <w:r w:rsidR="005E530E" w:rsidRPr="00B86922">
        <w:rPr>
          <w:rFonts w:ascii="Palatino Linotype" w:hAnsi="Palatino Linotype" w:cs="Times New Roman"/>
          <w:bCs/>
          <w:sz w:val="24"/>
          <w:szCs w:val="24"/>
        </w:rPr>
        <w:t xml:space="preserve"> In addition to qualifying as CLE, however, the scheme is designed also to serve research aims.</w:t>
      </w:r>
    </w:p>
    <w:p w14:paraId="2AE37FA8" w14:textId="74A51B1B" w:rsidR="00CA600C" w:rsidRDefault="00CA600C" w:rsidP="00B86922">
      <w:pPr>
        <w:spacing w:after="120" w:line="480" w:lineRule="auto"/>
        <w:jc w:val="both"/>
        <w:rPr>
          <w:rFonts w:ascii="Palatino Linotype" w:hAnsi="Palatino Linotype" w:cs="Times New Roman"/>
          <w:b/>
          <w:sz w:val="24"/>
          <w:szCs w:val="24"/>
        </w:rPr>
      </w:pPr>
    </w:p>
    <w:p w14:paraId="0A70A2D3" w14:textId="10A54295" w:rsidR="00CA600C" w:rsidRDefault="00237136" w:rsidP="00B86922">
      <w:pPr>
        <w:spacing w:after="120" w:line="480" w:lineRule="auto"/>
        <w:jc w:val="both"/>
        <w:rPr>
          <w:rFonts w:ascii="Palatino Linotype" w:hAnsi="Palatino Linotype" w:cs="Times New Roman"/>
          <w:sz w:val="24"/>
          <w:szCs w:val="24"/>
        </w:rPr>
      </w:pPr>
      <w:r w:rsidRPr="001B49ED">
        <w:rPr>
          <w:rFonts w:ascii="Palatino Linotype" w:hAnsi="Palatino Linotype" w:cs="Times New Roman"/>
          <w:b/>
          <w:sz w:val="24"/>
          <w:szCs w:val="24"/>
        </w:rPr>
        <w:t>Gathering research data</w:t>
      </w:r>
    </w:p>
    <w:p w14:paraId="419480C3" w14:textId="526F1475" w:rsidR="00C20C01" w:rsidRPr="00B86922" w:rsidRDefault="00237136"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CLE has given rise to substantial research for many years.</w:t>
      </w:r>
      <w:r w:rsidRPr="00B86922">
        <w:rPr>
          <w:rStyle w:val="FootnoteReference"/>
          <w:rFonts w:ascii="Palatino Linotype" w:hAnsi="Palatino Linotype" w:cs="Times New Roman"/>
          <w:sz w:val="24"/>
          <w:szCs w:val="24"/>
        </w:rPr>
        <w:footnoteReference w:id="81"/>
      </w:r>
      <w:r w:rsidRPr="00B86922">
        <w:rPr>
          <w:rFonts w:ascii="Palatino Linotype" w:hAnsi="Palatino Linotype" w:cs="Times New Roman"/>
          <w:sz w:val="24"/>
          <w:szCs w:val="24"/>
        </w:rPr>
        <w:t xml:space="preserve"> That research, however, has tended to focus on CLE as the subject of analysis, questioning, for example, the methods used and their usefulness.</w:t>
      </w:r>
      <w:r w:rsidR="003A1546" w:rsidRPr="00B86922">
        <w:rPr>
          <w:rStyle w:val="FootnoteReference"/>
          <w:rFonts w:ascii="Palatino Linotype" w:hAnsi="Palatino Linotype" w:cs="Times New Roman"/>
          <w:sz w:val="24"/>
          <w:szCs w:val="24"/>
        </w:rPr>
        <w:footnoteReference w:id="82"/>
      </w:r>
      <w:r w:rsidRPr="00B86922">
        <w:rPr>
          <w:rFonts w:ascii="Palatino Linotype" w:hAnsi="Palatino Linotype" w:cs="Times New Roman"/>
          <w:sz w:val="24"/>
          <w:szCs w:val="24"/>
        </w:rPr>
        <w:t xml:space="preserve"> Unusually, this scheme was not intended to be the subject of research but rather to facilitate the collection of substantive research data as the basis for research outputs. </w:t>
      </w:r>
      <w:r w:rsidR="00C20C01" w:rsidRPr="00B86922">
        <w:rPr>
          <w:rFonts w:ascii="Palatino Linotype" w:hAnsi="Palatino Linotype" w:cs="Times New Roman"/>
          <w:bCs/>
          <w:sz w:val="24"/>
          <w:szCs w:val="24"/>
        </w:rPr>
        <w:t>The hypothesis underlying the research</w:t>
      </w:r>
      <w:r w:rsidR="00DC0D0D" w:rsidRPr="00B86922">
        <w:rPr>
          <w:rFonts w:ascii="Palatino Linotype" w:hAnsi="Palatino Linotype" w:cs="Times New Roman"/>
          <w:bCs/>
          <w:sz w:val="24"/>
          <w:szCs w:val="24"/>
        </w:rPr>
        <w:t xml:space="preserve"> aspect of this project</w:t>
      </w:r>
      <w:r w:rsidR="00C20C01" w:rsidRPr="00B86922">
        <w:rPr>
          <w:rFonts w:ascii="Palatino Linotype" w:hAnsi="Palatino Linotype" w:cs="Times New Roman"/>
          <w:bCs/>
          <w:sz w:val="24"/>
          <w:szCs w:val="24"/>
        </w:rPr>
        <w:t xml:space="preserve"> is that meaningful communication between households and housing providers early in the arrears process reduces the likelihood of court proceedings and eviction. This hypothesis will be tested through the implementation of three broad approaches: exploratory, descriptive and causal. Given that little is known about the experience of occupiers of the arrears process, the work will, by its very nature, be exploratory. The gathering of data on this issue is intended to offer a robust description of the causes of housing debt, how occupiers experience arrears and the threat of eviction and whether there is a causal relationship between early engagement and the avoidance of court action and eviction.</w:t>
      </w:r>
    </w:p>
    <w:p w14:paraId="791C8E41" w14:textId="77777777" w:rsidR="00C20C01" w:rsidRPr="00B86922" w:rsidRDefault="00C20C01" w:rsidP="00B86922">
      <w:pPr>
        <w:spacing w:after="120" w:line="480" w:lineRule="auto"/>
        <w:jc w:val="both"/>
        <w:rPr>
          <w:rFonts w:ascii="Palatino Linotype" w:hAnsi="Palatino Linotype" w:cs="Times New Roman"/>
          <w:sz w:val="24"/>
          <w:szCs w:val="24"/>
        </w:rPr>
      </w:pPr>
    </w:p>
    <w:p w14:paraId="578A5683" w14:textId="77777777" w:rsidR="00077AFF" w:rsidRPr="00B86922" w:rsidRDefault="002D708B"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bCs/>
          <w:sz w:val="24"/>
          <w:szCs w:val="24"/>
        </w:rPr>
        <w:t>The research project, while employing a mixed</w:t>
      </w:r>
      <w:r w:rsidR="00DB7206">
        <w:rPr>
          <w:rFonts w:ascii="Palatino Linotype" w:hAnsi="Palatino Linotype" w:cs="Times New Roman"/>
          <w:bCs/>
          <w:sz w:val="24"/>
          <w:szCs w:val="24"/>
        </w:rPr>
        <w:t>-</w:t>
      </w:r>
      <w:r w:rsidRPr="00B86922">
        <w:rPr>
          <w:rFonts w:ascii="Palatino Linotype" w:hAnsi="Palatino Linotype" w:cs="Times New Roman"/>
          <w:bCs/>
          <w:sz w:val="24"/>
          <w:szCs w:val="24"/>
        </w:rPr>
        <w:t>methods</w:t>
      </w:r>
      <w:r w:rsidR="00317478" w:rsidRPr="00B86922">
        <w:rPr>
          <w:rStyle w:val="FootnoteReference"/>
          <w:rFonts w:ascii="Palatino Linotype" w:hAnsi="Palatino Linotype" w:cs="Times New Roman"/>
          <w:bCs/>
          <w:sz w:val="24"/>
          <w:szCs w:val="24"/>
        </w:rPr>
        <w:footnoteReference w:id="83"/>
      </w:r>
      <w:r w:rsidRPr="00B86922">
        <w:rPr>
          <w:rFonts w:ascii="Palatino Linotype" w:hAnsi="Palatino Linotype" w:cs="Times New Roman"/>
          <w:bCs/>
          <w:sz w:val="24"/>
          <w:szCs w:val="24"/>
        </w:rPr>
        <w:t xml:space="preserve"> research approach (with the secondary analysis of social science material and available data being supplemented by the collection of unique primary data, both quantitative and qualitative) focuses mainly on the collection of qualitative data from occupiers</w:t>
      </w:r>
      <w:r w:rsidR="00077AFF" w:rsidRPr="00B86922">
        <w:rPr>
          <w:rFonts w:ascii="Palatino Linotype" w:hAnsi="Palatino Linotype" w:cs="Times New Roman"/>
          <w:bCs/>
          <w:sz w:val="24"/>
          <w:szCs w:val="24"/>
        </w:rPr>
        <w:t>. In order to elicit both quantitative (e.g. age, socio-economic status, ethnicity, etc.) and qualitative (e.g. the impact of Universal Credit) data via random voluntary sampling,</w:t>
      </w:r>
      <w:r w:rsidR="00317478" w:rsidRPr="00B86922">
        <w:rPr>
          <w:rStyle w:val="FootnoteReference"/>
          <w:rFonts w:ascii="Palatino Linotype" w:hAnsi="Palatino Linotype" w:cs="Times New Roman"/>
          <w:bCs/>
          <w:sz w:val="24"/>
          <w:szCs w:val="24"/>
        </w:rPr>
        <w:footnoteReference w:id="84"/>
      </w:r>
      <w:r w:rsidR="00077AFF" w:rsidRPr="00B86922">
        <w:rPr>
          <w:rFonts w:ascii="Palatino Linotype" w:hAnsi="Palatino Linotype" w:cs="Times New Roman"/>
          <w:bCs/>
          <w:sz w:val="24"/>
          <w:szCs w:val="24"/>
        </w:rPr>
        <w:t xml:space="preserve"> a regional online survey will be distributed. This brings to the fore the difficulties associated with obtaining a sufficient sample size. No incentives or benefits will be offered but efforts will be made to encourage potential respondents to complete the survey through general marketing activities (e.g. posters in food banks, GP’s surgeries, etc.) as well as targeted campaigns with relevant agencies (e.g. debt advice agencies, charities, legal practitioners, etc.). The intention is to obtain a minimum of 50 responses. Concerns regarding this form of data collection (e.g. item non-response and measurement error) have been addressed through the careful design of the</w:t>
      </w:r>
      <w:r w:rsidR="00DC0D0D" w:rsidRPr="00B86922">
        <w:rPr>
          <w:rFonts w:ascii="Palatino Linotype" w:hAnsi="Palatino Linotype" w:cs="Times New Roman"/>
          <w:bCs/>
          <w:sz w:val="24"/>
          <w:szCs w:val="24"/>
        </w:rPr>
        <w:t xml:space="preserve"> online</w:t>
      </w:r>
      <w:r w:rsidR="00077AFF" w:rsidRPr="00B86922">
        <w:rPr>
          <w:rFonts w:ascii="Palatino Linotype" w:hAnsi="Palatino Linotype" w:cs="Times New Roman"/>
          <w:bCs/>
          <w:sz w:val="24"/>
          <w:szCs w:val="24"/>
        </w:rPr>
        <w:t xml:space="preserve"> questionnaire.</w:t>
      </w:r>
      <w:r w:rsidR="00077AFF" w:rsidRPr="00B86922">
        <w:rPr>
          <w:rStyle w:val="FootnoteReference"/>
          <w:rFonts w:ascii="Palatino Linotype" w:hAnsi="Palatino Linotype" w:cs="Times New Roman"/>
          <w:bCs/>
          <w:sz w:val="24"/>
          <w:szCs w:val="24"/>
        </w:rPr>
        <w:footnoteReference w:id="85"/>
      </w:r>
      <w:r w:rsidR="00077AFF" w:rsidRPr="00B86922">
        <w:rPr>
          <w:rFonts w:ascii="Palatino Linotype" w:hAnsi="Palatino Linotype" w:cs="Times New Roman"/>
          <w:bCs/>
          <w:sz w:val="24"/>
          <w:szCs w:val="24"/>
        </w:rPr>
        <w:t xml:space="preserve"> </w:t>
      </w:r>
    </w:p>
    <w:p w14:paraId="7125C604" w14:textId="77777777" w:rsidR="00DC0D0D" w:rsidRPr="00B86922" w:rsidRDefault="00DC0D0D" w:rsidP="00B86922">
      <w:pPr>
        <w:spacing w:after="120" w:line="480" w:lineRule="auto"/>
        <w:jc w:val="both"/>
        <w:rPr>
          <w:rFonts w:ascii="Palatino Linotype" w:hAnsi="Palatino Linotype" w:cs="Times New Roman"/>
          <w:bCs/>
          <w:sz w:val="24"/>
          <w:szCs w:val="24"/>
        </w:rPr>
      </w:pPr>
    </w:p>
    <w:p w14:paraId="512A6CE8" w14:textId="4446EDBC" w:rsidR="00237136" w:rsidRPr="00B86922" w:rsidRDefault="00DC0D0D"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bCs/>
          <w:sz w:val="24"/>
          <w:szCs w:val="24"/>
        </w:rPr>
        <w:t xml:space="preserve">In addition to the regional online survey, the aim is to conduct a degree of </w:t>
      </w:r>
      <w:r w:rsidR="00E43285">
        <w:rPr>
          <w:rFonts w:ascii="Palatino Linotype" w:hAnsi="Palatino Linotype" w:cs="Times New Roman"/>
          <w:bCs/>
          <w:sz w:val="24"/>
          <w:szCs w:val="24"/>
        </w:rPr>
        <w:t>“</w:t>
      </w:r>
      <w:r w:rsidRPr="00B86922">
        <w:rPr>
          <w:rFonts w:ascii="Palatino Linotype" w:hAnsi="Palatino Linotype" w:cs="Times New Roman"/>
          <w:bCs/>
          <w:sz w:val="24"/>
          <w:szCs w:val="24"/>
        </w:rPr>
        <w:t>purposeful sampling</w:t>
      </w:r>
      <w:r w:rsidR="00E43285">
        <w:rPr>
          <w:rFonts w:ascii="Palatino Linotype" w:hAnsi="Palatino Linotype" w:cs="Times New Roman"/>
          <w:bCs/>
          <w:sz w:val="24"/>
          <w:szCs w:val="24"/>
        </w:rPr>
        <w:t>”</w:t>
      </w:r>
      <w:r w:rsidR="002F35B5" w:rsidRPr="00B86922">
        <w:rPr>
          <w:rStyle w:val="FootnoteReference"/>
          <w:rFonts w:ascii="Palatino Linotype" w:hAnsi="Palatino Linotype" w:cs="Times New Roman"/>
          <w:bCs/>
          <w:sz w:val="24"/>
          <w:szCs w:val="24"/>
        </w:rPr>
        <w:footnoteReference w:id="86"/>
      </w:r>
      <w:r w:rsidRPr="00B86922">
        <w:rPr>
          <w:rFonts w:ascii="Palatino Linotype" w:hAnsi="Palatino Linotype" w:cs="Times New Roman"/>
          <w:bCs/>
          <w:sz w:val="24"/>
          <w:szCs w:val="24"/>
        </w:rPr>
        <w:t xml:space="preserve"> by requesting data from occupiers</w:t>
      </w:r>
      <w:r w:rsidR="002D708B" w:rsidRPr="00B86922">
        <w:rPr>
          <w:rFonts w:ascii="Palatino Linotype" w:hAnsi="Palatino Linotype" w:cs="Times New Roman"/>
          <w:bCs/>
          <w:sz w:val="24"/>
          <w:szCs w:val="24"/>
        </w:rPr>
        <w:t xml:space="preserve"> who approach the CLEAR. </w:t>
      </w:r>
      <w:r w:rsidR="00237136" w:rsidRPr="00B86922">
        <w:rPr>
          <w:rFonts w:ascii="Palatino Linotype" w:hAnsi="Palatino Linotype" w:cs="Times New Roman"/>
          <w:sz w:val="24"/>
          <w:szCs w:val="24"/>
        </w:rPr>
        <w:t>This generate</w:t>
      </w:r>
      <w:r w:rsidRPr="00B86922">
        <w:rPr>
          <w:rFonts w:ascii="Palatino Linotype" w:hAnsi="Palatino Linotype" w:cs="Times New Roman"/>
          <w:sz w:val="24"/>
          <w:szCs w:val="24"/>
        </w:rPr>
        <w:t>s</w:t>
      </w:r>
      <w:r w:rsidR="00237136" w:rsidRPr="00B86922">
        <w:rPr>
          <w:rFonts w:ascii="Palatino Linotype" w:hAnsi="Palatino Linotype" w:cs="Times New Roman"/>
          <w:sz w:val="24"/>
          <w:szCs w:val="24"/>
        </w:rPr>
        <w:t xml:space="preserve"> specific ethical considerations including ensuring that potential participants </w:t>
      </w:r>
      <w:r w:rsidRPr="00B86922">
        <w:rPr>
          <w:rFonts w:ascii="Palatino Linotype" w:hAnsi="Palatino Linotype" w:cs="Times New Roman"/>
          <w:sz w:val="24"/>
          <w:szCs w:val="24"/>
        </w:rPr>
        <w:t xml:space="preserve">are </w:t>
      </w:r>
      <w:r w:rsidR="00237136" w:rsidRPr="00B86922">
        <w:rPr>
          <w:rFonts w:ascii="Palatino Linotype" w:hAnsi="Palatino Linotype" w:cs="Times New Roman"/>
          <w:sz w:val="24"/>
          <w:szCs w:val="24"/>
        </w:rPr>
        <w:t xml:space="preserve">aware of the research element of the project, </w:t>
      </w:r>
      <w:r w:rsidRPr="00B86922">
        <w:rPr>
          <w:rFonts w:ascii="Palatino Linotype" w:hAnsi="Palatino Linotype" w:cs="Times New Roman"/>
          <w:sz w:val="24"/>
          <w:szCs w:val="24"/>
        </w:rPr>
        <w:t xml:space="preserve">are </w:t>
      </w:r>
      <w:r w:rsidR="00237136" w:rsidRPr="00B86922">
        <w:rPr>
          <w:rFonts w:ascii="Palatino Linotype" w:hAnsi="Palatino Linotype" w:cs="Times New Roman"/>
          <w:sz w:val="24"/>
          <w:szCs w:val="24"/>
        </w:rPr>
        <w:t xml:space="preserve">able to offer fully informed consent before taking part and </w:t>
      </w:r>
      <w:r w:rsidRPr="00B86922">
        <w:rPr>
          <w:rFonts w:ascii="Palatino Linotype" w:hAnsi="Palatino Linotype" w:cs="Times New Roman"/>
          <w:sz w:val="24"/>
          <w:szCs w:val="24"/>
        </w:rPr>
        <w:t xml:space="preserve">do </w:t>
      </w:r>
      <w:r w:rsidR="00237136" w:rsidRPr="00B86922">
        <w:rPr>
          <w:rFonts w:ascii="Palatino Linotype" w:hAnsi="Palatino Linotype" w:cs="Times New Roman"/>
          <w:sz w:val="24"/>
          <w:szCs w:val="24"/>
        </w:rPr>
        <w:t xml:space="preserve">not feel compelled or obliged to participate. In particular it </w:t>
      </w:r>
      <w:r w:rsidRPr="00B86922">
        <w:rPr>
          <w:rFonts w:ascii="Palatino Linotype" w:hAnsi="Palatino Linotype" w:cs="Times New Roman"/>
          <w:sz w:val="24"/>
          <w:szCs w:val="24"/>
        </w:rPr>
        <w:t xml:space="preserve">is </w:t>
      </w:r>
      <w:r w:rsidR="00237136" w:rsidRPr="00B86922">
        <w:rPr>
          <w:rFonts w:ascii="Palatino Linotype" w:hAnsi="Palatino Linotype" w:cs="Times New Roman"/>
          <w:sz w:val="24"/>
          <w:szCs w:val="24"/>
        </w:rPr>
        <w:t xml:space="preserve">necessary to ensure that the support offered by the CLEAR </w:t>
      </w:r>
      <w:r w:rsidRPr="00B86922">
        <w:rPr>
          <w:rFonts w:ascii="Palatino Linotype" w:hAnsi="Palatino Linotype" w:cs="Times New Roman"/>
          <w:sz w:val="24"/>
          <w:szCs w:val="24"/>
        </w:rPr>
        <w:t xml:space="preserve">is </w:t>
      </w:r>
      <w:r w:rsidR="00237136" w:rsidRPr="00B86922">
        <w:rPr>
          <w:rFonts w:ascii="Palatino Linotype" w:hAnsi="Palatino Linotype" w:cs="Times New Roman"/>
          <w:sz w:val="24"/>
          <w:szCs w:val="24"/>
        </w:rPr>
        <w:t xml:space="preserve">not perceived as being dependent upon the clients’ participation in the research. The CLEAR </w:t>
      </w:r>
      <w:r w:rsidRPr="00B86922">
        <w:rPr>
          <w:rFonts w:ascii="Palatino Linotype" w:hAnsi="Palatino Linotype" w:cs="Times New Roman"/>
          <w:sz w:val="24"/>
          <w:szCs w:val="24"/>
        </w:rPr>
        <w:t xml:space="preserve">is </w:t>
      </w:r>
      <w:r w:rsidR="00237136" w:rsidRPr="00B86922">
        <w:rPr>
          <w:rFonts w:ascii="Palatino Linotype" w:hAnsi="Palatino Linotype" w:cs="Times New Roman"/>
          <w:sz w:val="24"/>
          <w:szCs w:val="24"/>
        </w:rPr>
        <w:t>in essence simply a means of making contact with a hard to reach demographic. In order to make potential clients aware of the research element of the project,</w:t>
      </w:r>
      <w:r w:rsidR="00655005" w:rsidRPr="00B86922">
        <w:rPr>
          <w:rFonts w:ascii="Palatino Linotype" w:hAnsi="Palatino Linotype" w:cs="Times New Roman"/>
          <w:sz w:val="24"/>
          <w:szCs w:val="24"/>
        </w:rPr>
        <w:t xml:space="preserve"> a Participant Information Sheet and Consent Form </w:t>
      </w:r>
      <w:r w:rsidRPr="00B86922">
        <w:rPr>
          <w:rFonts w:ascii="Palatino Linotype" w:hAnsi="Palatino Linotype" w:cs="Times New Roman"/>
          <w:sz w:val="24"/>
          <w:szCs w:val="24"/>
        </w:rPr>
        <w:t>have been</w:t>
      </w:r>
      <w:r w:rsidR="00655005" w:rsidRPr="00B86922">
        <w:rPr>
          <w:rFonts w:ascii="Palatino Linotype" w:hAnsi="Palatino Linotype" w:cs="Times New Roman"/>
          <w:sz w:val="24"/>
          <w:szCs w:val="24"/>
        </w:rPr>
        <w:t xml:space="preserve"> designed in such a way as to ensure that consent </w:t>
      </w:r>
      <w:r w:rsidRPr="00B86922">
        <w:rPr>
          <w:rFonts w:ascii="Palatino Linotype" w:hAnsi="Palatino Linotype" w:cs="Times New Roman"/>
          <w:sz w:val="24"/>
          <w:szCs w:val="24"/>
        </w:rPr>
        <w:t>is</w:t>
      </w:r>
      <w:r w:rsidR="00655005" w:rsidRPr="00B86922">
        <w:rPr>
          <w:rFonts w:ascii="Palatino Linotype" w:hAnsi="Palatino Linotype" w:cs="Times New Roman"/>
          <w:sz w:val="24"/>
          <w:szCs w:val="24"/>
        </w:rPr>
        <w:t xml:space="preserve"> freely given and fully informed. In addition, </w:t>
      </w:r>
      <w:r w:rsidR="00237136" w:rsidRPr="00B86922">
        <w:rPr>
          <w:rFonts w:ascii="Palatino Linotype" w:hAnsi="Palatino Linotype" w:cs="Times New Roman"/>
          <w:sz w:val="24"/>
          <w:szCs w:val="24"/>
        </w:rPr>
        <w:t>the CLEAR leaflet include</w:t>
      </w:r>
      <w:r w:rsidRPr="00B86922">
        <w:rPr>
          <w:rFonts w:ascii="Palatino Linotype" w:hAnsi="Palatino Linotype" w:cs="Times New Roman"/>
          <w:sz w:val="24"/>
          <w:szCs w:val="24"/>
        </w:rPr>
        <w:t>s</w:t>
      </w:r>
      <w:r w:rsidR="00237136" w:rsidRPr="00B86922">
        <w:rPr>
          <w:rFonts w:ascii="Palatino Linotype" w:hAnsi="Palatino Linotype" w:cs="Times New Roman"/>
          <w:sz w:val="24"/>
          <w:szCs w:val="24"/>
        </w:rPr>
        <w:t xml:space="preserve"> the following statement:</w:t>
      </w:r>
    </w:p>
    <w:p w14:paraId="2C8C2C8E" w14:textId="77777777" w:rsidR="00237136" w:rsidRPr="00B86922" w:rsidRDefault="00E43285" w:rsidP="001B49ED">
      <w:pPr>
        <w:spacing w:after="120" w:line="480" w:lineRule="auto"/>
        <w:ind w:left="720" w:right="804"/>
        <w:jc w:val="both"/>
        <w:rPr>
          <w:rFonts w:ascii="Palatino Linotype" w:hAnsi="Palatino Linotype" w:cs="Times New Roman"/>
          <w:i/>
          <w:iCs/>
          <w:sz w:val="24"/>
          <w:szCs w:val="24"/>
          <w:lang w:val="en-US"/>
        </w:rPr>
      </w:pPr>
      <w:r>
        <w:rPr>
          <w:rFonts w:ascii="Palatino Linotype" w:hAnsi="Palatino Linotype" w:cs="Times New Roman"/>
          <w:i/>
          <w:iCs/>
          <w:sz w:val="24"/>
          <w:szCs w:val="24"/>
          <w:lang w:val="en-US"/>
        </w:rPr>
        <w:t>“</w:t>
      </w:r>
      <w:r w:rsidR="00237136" w:rsidRPr="00B86922">
        <w:rPr>
          <w:rFonts w:ascii="Palatino Linotype" w:hAnsi="Palatino Linotype" w:cs="Times New Roman"/>
          <w:i/>
          <w:iCs/>
          <w:sz w:val="24"/>
          <w:szCs w:val="24"/>
          <w:lang w:val="en-US"/>
        </w:rPr>
        <w:t>The CLEAR is a new service run by students and staff at the University of Hull. We are not able to provide legal or debt advice but we can provide other means of support such as helping you to fill in forms. In order to help us understand more about the experience of tenants in arrears, we will ask you to answer a few questions as part of a research project. This is entirely voluntary and refusal to take part in it or to withdraw from it at a later date will involve no penalty or loss. Any information you provide will</w:t>
      </w:r>
      <w:r w:rsidR="009A56D9" w:rsidRPr="00B86922">
        <w:rPr>
          <w:rFonts w:ascii="Palatino Linotype" w:hAnsi="Palatino Linotype" w:cs="Times New Roman"/>
          <w:i/>
          <w:iCs/>
          <w:sz w:val="24"/>
          <w:szCs w:val="24"/>
          <w:lang w:val="en-US"/>
        </w:rPr>
        <w:t xml:space="preserve"> be kept entirely confidential.</w:t>
      </w:r>
      <w:r>
        <w:rPr>
          <w:rFonts w:ascii="Palatino Linotype" w:hAnsi="Palatino Linotype" w:cs="Times New Roman"/>
          <w:i/>
          <w:iCs/>
          <w:sz w:val="24"/>
          <w:szCs w:val="24"/>
          <w:lang w:val="en-US"/>
        </w:rPr>
        <w:t>”</w:t>
      </w:r>
    </w:p>
    <w:p w14:paraId="18961D47" w14:textId="2DBEBD44" w:rsidR="003B29E8" w:rsidRPr="00B86922" w:rsidRDefault="00734683"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 xml:space="preserve">In </w:t>
      </w:r>
      <w:r w:rsidR="00237136" w:rsidRPr="00B86922">
        <w:rPr>
          <w:rFonts w:ascii="Palatino Linotype" w:hAnsi="Palatino Linotype" w:cs="Times New Roman"/>
          <w:sz w:val="24"/>
          <w:szCs w:val="24"/>
        </w:rPr>
        <w:t>decid</w:t>
      </w:r>
      <w:r w:rsidRPr="00B86922">
        <w:rPr>
          <w:rFonts w:ascii="Palatino Linotype" w:hAnsi="Palatino Linotype" w:cs="Times New Roman"/>
          <w:sz w:val="24"/>
          <w:szCs w:val="24"/>
        </w:rPr>
        <w:t>ing</w:t>
      </w:r>
      <w:r w:rsidR="00237136" w:rsidRPr="00B86922">
        <w:rPr>
          <w:rFonts w:ascii="Palatino Linotype" w:hAnsi="Palatino Linotype" w:cs="Times New Roman"/>
          <w:sz w:val="24"/>
          <w:szCs w:val="24"/>
        </w:rPr>
        <w:t xml:space="preserve"> how best to gather the research data</w:t>
      </w:r>
      <w:r w:rsidRPr="00B86922">
        <w:rPr>
          <w:rFonts w:ascii="Palatino Linotype" w:hAnsi="Palatino Linotype" w:cs="Times New Roman"/>
          <w:sz w:val="24"/>
          <w:szCs w:val="24"/>
        </w:rPr>
        <w:t xml:space="preserve"> from CLEAR clients,</w:t>
      </w:r>
      <w:r w:rsidR="00237136" w:rsidRPr="00B86922">
        <w:rPr>
          <w:rFonts w:ascii="Palatino Linotype" w:hAnsi="Palatino Linotype" w:cs="Times New Roman"/>
          <w:sz w:val="24"/>
          <w:szCs w:val="24"/>
        </w:rPr>
        <w:t xml:space="preserve"> </w:t>
      </w:r>
      <w:r w:rsidRPr="00B86922">
        <w:rPr>
          <w:rFonts w:ascii="Palatino Linotype" w:hAnsi="Palatino Linotype" w:cs="Times New Roman"/>
          <w:sz w:val="24"/>
          <w:szCs w:val="24"/>
        </w:rPr>
        <w:t>t</w:t>
      </w:r>
      <w:r w:rsidR="00237136" w:rsidRPr="00B86922">
        <w:rPr>
          <w:rFonts w:ascii="Palatino Linotype" w:hAnsi="Palatino Linotype" w:cs="Times New Roman"/>
          <w:sz w:val="24"/>
          <w:szCs w:val="24"/>
        </w:rPr>
        <w:t xml:space="preserve">he original plan, to hold interviews immediately after a client visited the CLEAR, became untenable following the decision to hold a remote CLEAR. It was decided instead to request a telephone interview at a time to suit the client or to request that they complete an online survey, with the link to be sent to clients after the follow up correspondence checking on the progress of their case. </w:t>
      </w:r>
    </w:p>
    <w:p w14:paraId="51EDF087" w14:textId="77777777" w:rsidR="003B29E8" w:rsidRPr="00B86922" w:rsidRDefault="003B29E8" w:rsidP="00B86922">
      <w:pPr>
        <w:spacing w:after="120" w:line="480" w:lineRule="auto"/>
        <w:jc w:val="both"/>
        <w:rPr>
          <w:rFonts w:ascii="Palatino Linotype" w:hAnsi="Palatino Linotype" w:cs="Times New Roman"/>
          <w:bCs/>
          <w:sz w:val="24"/>
          <w:szCs w:val="24"/>
        </w:rPr>
      </w:pPr>
    </w:p>
    <w:p w14:paraId="30314CAD" w14:textId="1DA968C6" w:rsidR="009D1673" w:rsidRPr="00B86922" w:rsidRDefault="00237136" w:rsidP="00B86922">
      <w:pPr>
        <w:spacing w:after="120" w:line="480" w:lineRule="auto"/>
        <w:jc w:val="both"/>
        <w:rPr>
          <w:rFonts w:ascii="Palatino Linotype" w:hAnsi="Palatino Linotype" w:cs="Times New Roman"/>
          <w:bCs/>
          <w:sz w:val="24"/>
          <w:szCs w:val="24"/>
        </w:rPr>
      </w:pPr>
      <w:r w:rsidRPr="00B86922">
        <w:rPr>
          <w:rFonts w:ascii="Palatino Linotype" w:hAnsi="Palatino Linotype" w:cs="Times New Roman"/>
          <w:sz w:val="24"/>
          <w:szCs w:val="24"/>
        </w:rPr>
        <w:t>The questions posed during the interview and in the questionnaire relate to the occupier’s circumstances (e.g. age, ethnicity, income, etc.), their housing (e.g. private landlord, public landlord or mortgagor) and their experience of the arrears process (e.g. level of arrears, did they engage with their lender or landlord and if so at what point and by what means, if not, why not and so on)</w:t>
      </w:r>
      <w:r w:rsidR="006F514F" w:rsidRPr="00B86922">
        <w:rPr>
          <w:rFonts w:ascii="Palatino Linotype" w:hAnsi="Palatino Linotype" w:cs="Times New Roman"/>
          <w:sz w:val="24"/>
          <w:szCs w:val="24"/>
        </w:rPr>
        <w:t>.</w:t>
      </w:r>
      <w:r w:rsidRPr="00B86922">
        <w:rPr>
          <w:rFonts w:ascii="Palatino Linotype" w:hAnsi="Palatino Linotype" w:cs="Times New Roman"/>
          <w:sz w:val="24"/>
          <w:szCs w:val="24"/>
        </w:rPr>
        <w:t xml:space="preserve"> </w:t>
      </w:r>
      <w:r w:rsidR="009D1673" w:rsidRPr="00B86922">
        <w:rPr>
          <w:rFonts w:ascii="Palatino Linotype" w:hAnsi="Palatino Linotype" w:cs="Times New Roman"/>
          <w:bCs/>
          <w:sz w:val="24"/>
          <w:szCs w:val="24"/>
        </w:rPr>
        <w:t xml:space="preserve">The hope is that </w:t>
      </w:r>
      <w:r w:rsidR="00734683" w:rsidRPr="00B86922">
        <w:rPr>
          <w:rFonts w:ascii="Palatino Linotype" w:hAnsi="Palatino Linotype" w:cs="Times New Roman"/>
          <w:bCs/>
          <w:sz w:val="24"/>
          <w:szCs w:val="24"/>
        </w:rPr>
        <w:t xml:space="preserve">in combination, the </w:t>
      </w:r>
      <w:r w:rsidR="005468C5" w:rsidRPr="00B86922">
        <w:rPr>
          <w:rFonts w:ascii="Palatino Linotype" w:hAnsi="Palatino Linotype" w:cs="Times New Roman"/>
          <w:bCs/>
          <w:sz w:val="24"/>
          <w:szCs w:val="24"/>
        </w:rPr>
        <w:t>regional and CLEAR online surveys</w:t>
      </w:r>
      <w:r w:rsidR="009D1673" w:rsidRPr="00B86922">
        <w:rPr>
          <w:rFonts w:ascii="Palatino Linotype" w:hAnsi="Palatino Linotype" w:cs="Times New Roman"/>
          <w:bCs/>
          <w:sz w:val="24"/>
          <w:szCs w:val="24"/>
        </w:rPr>
        <w:t xml:space="preserve"> will generate responses sufficient to give rise to credible data on the experience of occupiers in arrears.</w:t>
      </w:r>
    </w:p>
    <w:p w14:paraId="6E575652" w14:textId="77777777" w:rsidR="009D1673" w:rsidRPr="00B86922" w:rsidRDefault="009D1673" w:rsidP="00B86922">
      <w:pPr>
        <w:spacing w:after="120" w:line="480" w:lineRule="auto"/>
        <w:jc w:val="both"/>
        <w:rPr>
          <w:rFonts w:ascii="Palatino Linotype" w:hAnsi="Palatino Linotype" w:cs="Times New Roman"/>
          <w:bCs/>
          <w:sz w:val="24"/>
          <w:szCs w:val="24"/>
        </w:rPr>
      </w:pPr>
    </w:p>
    <w:p w14:paraId="279780F3" w14:textId="77777777" w:rsidR="00C3011D" w:rsidRPr="001B49ED" w:rsidRDefault="00E218A3" w:rsidP="00B86922">
      <w:pPr>
        <w:spacing w:before="240" w:after="240" w:line="480" w:lineRule="auto"/>
        <w:jc w:val="both"/>
        <w:rPr>
          <w:rFonts w:ascii="Palatino Linotype" w:hAnsi="Palatino Linotype" w:cs="Times New Roman"/>
          <w:b/>
          <w:caps/>
          <w:sz w:val="24"/>
          <w:szCs w:val="24"/>
        </w:rPr>
      </w:pPr>
      <w:r w:rsidRPr="001B49ED">
        <w:rPr>
          <w:rFonts w:ascii="Palatino Linotype" w:hAnsi="Palatino Linotype" w:cs="Times New Roman"/>
          <w:b/>
          <w:caps/>
          <w:sz w:val="24"/>
          <w:szCs w:val="24"/>
        </w:rPr>
        <w:t>Conclusions</w:t>
      </w:r>
    </w:p>
    <w:p w14:paraId="39DED774" w14:textId="65FF6AB9" w:rsidR="00D0737B" w:rsidRPr="00B86922" w:rsidRDefault="00A04FD0" w:rsidP="00B86922">
      <w:pPr>
        <w:spacing w:after="120" w:line="480" w:lineRule="auto"/>
        <w:jc w:val="both"/>
        <w:rPr>
          <w:rFonts w:ascii="Palatino Linotype" w:hAnsi="Palatino Linotype" w:cs="Times New Roman"/>
          <w:sz w:val="24"/>
          <w:szCs w:val="24"/>
        </w:rPr>
      </w:pPr>
      <w:r w:rsidRPr="00B86922">
        <w:rPr>
          <w:rFonts w:ascii="Palatino Linotype" w:hAnsi="Palatino Linotype" w:cs="Times New Roman"/>
          <w:sz w:val="24"/>
          <w:szCs w:val="24"/>
        </w:rPr>
        <w:t xml:space="preserve">This paper has detailed the background to and </w:t>
      </w:r>
      <w:r w:rsidR="008D58D5" w:rsidRPr="00B86922">
        <w:rPr>
          <w:rFonts w:ascii="Palatino Linotype" w:hAnsi="Palatino Linotype" w:cs="Times New Roman"/>
          <w:sz w:val="24"/>
          <w:szCs w:val="24"/>
        </w:rPr>
        <w:t>progress of a pilot study</w:t>
      </w:r>
      <w:r w:rsidRPr="00B86922">
        <w:rPr>
          <w:rFonts w:ascii="Palatino Linotype" w:hAnsi="Palatino Linotype" w:cs="Times New Roman"/>
          <w:sz w:val="24"/>
          <w:szCs w:val="24"/>
        </w:rPr>
        <w:t xml:space="preserve"> designed to enhance access to justice for occupiers threatened with loss of home. </w:t>
      </w:r>
      <w:r w:rsidR="005E530E" w:rsidRPr="00B86922">
        <w:rPr>
          <w:rFonts w:ascii="Palatino Linotype" w:hAnsi="Palatino Linotype" w:cs="Times New Roman"/>
          <w:sz w:val="24"/>
          <w:szCs w:val="24"/>
        </w:rPr>
        <w:t>I</w:t>
      </w:r>
      <w:r w:rsidR="000E4C6D" w:rsidRPr="00B86922">
        <w:rPr>
          <w:rFonts w:ascii="Palatino Linotype" w:hAnsi="Palatino Linotype" w:cs="Times New Roman"/>
          <w:sz w:val="24"/>
          <w:szCs w:val="24"/>
        </w:rPr>
        <w:t xml:space="preserve"> hope you will forgive t</w:t>
      </w:r>
      <w:r w:rsidR="006270F1" w:rsidRPr="00B86922">
        <w:rPr>
          <w:rFonts w:ascii="Palatino Linotype" w:hAnsi="Palatino Linotype" w:cs="Times New Roman"/>
          <w:sz w:val="24"/>
          <w:szCs w:val="24"/>
        </w:rPr>
        <w:t xml:space="preserve">he ‘thinking aloud’ </w:t>
      </w:r>
      <w:r w:rsidR="00164CCE" w:rsidRPr="00B86922">
        <w:rPr>
          <w:rFonts w:ascii="Palatino Linotype" w:hAnsi="Palatino Linotype" w:cs="Times New Roman"/>
          <w:sz w:val="24"/>
          <w:szCs w:val="24"/>
        </w:rPr>
        <w:t xml:space="preserve">and chronological </w:t>
      </w:r>
      <w:r w:rsidR="006270F1" w:rsidRPr="00B86922">
        <w:rPr>
          <w:rFonts w:ascii="Palatino Linotype" w:hAnsi="Palatino Linotype" w:cs="Times New Roman"/>
          <w:sz w:val="24"/>
          <w:szCs w:val="24"/>
        </w:rPr>
        <w:t xml:space="preserve">nature of the commentary but </w:t>
      </w:r>
      <w:r w:rsidR="005E530E" w:rsidRPr="00B86922">
        <w:rPr>
          <w:rFonts w:ascii="Palatino Linotype" w:hAnsi="Palatino Linotype" w:cs="Times New Roman"/>
          <w:sz w:val="24"/>
          <w:szCs w:val="24"/>
        </w:rPr>
        <w:t>I</w:t>
      </w:r>
      <w:r w:rsidR="006270F1" w:rsidRPr="00B86922">
        <w:rPr>
          <w:rFonts w:ascii="Palatino Linotype" w:hAnsi="Palatino Linotype" w:cs="Times New Roman"/>
          <w:sz w:val="24"/>
          <w:szCs w:val="24"/>
        </w:rPr>
        <w:t xml:space="preserve"> think it</w:t>
      </w:r>
      <w:r w:rsidR="000E4C6D" w:rsidRPr="00B86922">
        <w:rPr>
          <w:rFonts w:ascii="Palatino Linotype" w:hAnsi="Palatino Linotype" w:cs="Times New Roman"/>
          <w:sz w:val="24"/>
          <w:szCs w:val="24"/>
        </w:rPr>
        <w:t xml:space="preserve"> useful to offer an insight into how projects of this kind develop. The funding kindly provided by</w:t>
      </w:r>
      <w:r w:rsidR="008D58D5" w:rsidRPr="00B86922">
        <w:rPr>
          <w:rFonts w:ascii="Palatino Linotype" w:hAnsi="Palatino Linotype" w:cs="Times New Roman"/>
          <w:sz w:val="24"/>
          <w:szCs w:val="24"/>
        </w:rPr>
        <w:t xml:space="preserve"> the Ferens Education Trust </w:t>
      </w:r>
      <w:r w:rsidR="00C50CFA" w:rsidRPr="00B86922">
        <w:rPr>
          <w:rFonts w:ascii="Palatino Linotype" w:hAnsi="Palatino Linotype" w:cs="Times New Roman"/>
          <w:sz w:val="24"/>
          <w:szCs w:val="24"/>
        </w:rPr>
        <w:t xml:space="preserve">allowed </w:t>
      </w:r>
      <w:r w:rsidR="005E530E" w:rsidRPr="00B86922">
        <w:rPr>
          <w:rFonts w:ascii="Palatino Linotype" w:hAnsi="Palatino Linotype" w:cs="Times New Roman"/>
          <w:sz w:val="24"/>
          <w:szCs w:val="24"/>
        </w:rPr>
        <w:t xml:space="preserve">us </w:t>
      </w:r>
      <w:r w:rsidR="008D58D5" w:rsidRPr="00B86922">
        <w:rPr>
          <w:rFonts w:ascii="Palatino Linotype" w:hAnsi="Palatino Linotype" w:cs="Times New Roman"/>
          <w:sz w:val="24"/>
          <w:szCs w:val="24"/>
        </w:rPr>
        <w:t>precious</w:t>
      </w:r>
      <w:r w:rsidR="000E4C6D" w:rsidRPr="00B86922">
        <w:rPr>
          <w:rFonts w:ascii="Palatino Linotype" w:hAnsi="Palatino Linotype" w:cs="Times New Roman"/>
          <w:sz w:val="24"/>
          <w:szCs w:val="24"/>
        </w:rPr>
        <w:t xml:space="preserve"> time to investigate how best to achieve the aims of this project. </w:t>
      </w:r>
      <w:r w:rsidR="00C50CFA" w:rsidRPr="00B86922">
        <w:rPr>
          <w:rFonts w:ascii="Palatino Linotype" w:hAnsi="Palatino Linotype" w:cs="Times New Roman"/>
          <w:sz w:val="24"/>
          <w:szCs w:val="24"/>
        </w:rPr>
        <w:t>The</w:t>
      </w:r>
      <w:r w:rsidRPr="00B86922">
        <w:rPr>
          <w:rFonts w:ascii="Palatino Linotype" w:hAnsi="Palatino Linotype" w:cs="Times New Roman"/>
          <w:sz w:val="24"/>
          <w:szCs w:val="24"/>
        </w:rPr>
        <w:t xml:space="preserve"> hope is that </w:t>
      </w:r>
      <w:r w:rsidR="000E4C6D" w:rsidRPr="00B86922">
        <w:rPr>
          <w:rFonts w:ascii="Palatino Linotype" w:hAnsi="Palatino Linotype" w:cs="Times New Roman"/>
          <w:sz w:val="24"/>
          <w:szCs w:val="24"/>
        </w:rPr>
        <w:t xml:space="preserve">this </w:t>
      </w:r>
      <w:r w:rsidR="003921AB" w:rsidRPr="00B86922">
        <w:rPr>
          <w:rFonts w:ascii="Palatino Linotype" w:hAnsi="Palatino Linotype" w:cs="Times New Roman"/>
          <w:sz w:val="24"/>
          <w:szCs w:val="24"/>
        </w:rPr>
        <w:t>article</w:t>
      </w:r>
      <w:r w:rsidR="00266DB6" w:rsidRPr="00B86922">
        <w:rPr>
          <w:rFonts w:ascii="Palatino Linotype" w:hAnsi="Palatino Linotype" w:cs="Times New Roman"/>
          <w:sz w:val="24"/>
          <w:szCs w:val="24"/>
        </w:rPr>
        <w:t xml:space="preserve"> serve</w:t>
      </w:r>
      <w:r w:rsidR="007B7889" w:rsidRPr="00B86922">
        <w:rPr>
          <w:rFonts w:ascii="Palatino Linotype" w:hAnsi="Palatino Linotype" w:cs="Times New Roman"/>
          <w:sz w:val="24"/>
          <w:szCs w:val="24"/>
        </w:rPr>
        <w:t>s</w:t>
      </w:r>
      <w:r w:rsidR="00266DB6" w:rsidRPr="00B86922">
        <w:rPr>
          <w:rFonts w:ascii="Palatino Linotype" w:hAnsi="Palatino Linotype" w:cs="Times New Roman"/>
          <w:sz w:val="24"/>
          <w:szCs w:val="24"/>
        </w:rPr>
        <w:t xml:space="preserve"> as evidence of the </w:t>
      </w:r>
      <w:r w:rsidR="00450BE7" w:rsidRPr="00B86922">
        <w:rPr>
          <w:rFonts w:ascii="Palatino Linotype" w:hAnsi="Palatino Linotype" w:cs="Times New Roman"/>
          <w:sz w:val="24"/>
          <w:szCs w:val="24"/>
        </w:rPr>
        <w:t xml:space="preserve">potential for </w:t>
      </w:r>
      <w:r w:rsidR="007B7889" w:rsidRPr="00B86922">
        <w:rPr>
          <w:rFonts w:ascii="Palatino Linotype" w:hAnsi="Palatino Linotype" w:cs="Times New Roman"/>
          <w:sz w:val="24"/>
          <w:szCs w:val="24"/>
        </w:rPr>
        <w:t xml:space="preserve">schemes designed to enhance the </w:t>
      </w:r>
      <w:r w:rsidR="00C50CFA" w:rsidRPr="00B86922">
        <w:rPr>
          <w:rFonts w:ascii="Palatino Linotype" w:hAnsi="Palatino Linotype" w:cs="Times New Roman"/>
          <w:sz w:val="24"/>
          <w:szCs w:val="24"/>
        </w:rPr>
        <w:t>CLE</w:t>
      </w:r>
      <w:r w:rsidR="007B7889" w:rsidRPr="00B86922">
        <w:rPr>
          <w:rFonts w:ascii="Palatino Linotype" w:hAnsi="Palatino Linotype" w:cs="Times New Roman"/>
          <w:sz w:val="24"/>
          <w:szCs w:val="24"/>
        </w:rPr>
        <w:t xml:space="preserve"> of students</w:t>
      </w:r>
      <w:r w:rsidR="00450BE7" w:rsidRPr="00B86922">
        <w:rPr>
          <w:rFonts w:ascii="Palatino Linotype" w:hAnsi="Palatino Linotype" w:cs="Times New Roman"/>
          <w:sz w:val="24"/>
          <w:szCs w:val="24"/>
        </w:rPr>
        <w:t xml:space="preserve"> to also give rise to benefits in terms of both civic engagement and research</w:t>
      </w:r>
      <w:r w:rsidR="007B7889" w:rsidRPr="00B86922">
        <w:rPr>
          <w:rFonts w:ascii="Palatino Linotype" w:hAnsi="Palatino Linotype" w:cs="Times New Roman"/>
          <w:sz w:val="24"/>
          <w:szCs w:val="24"/>
        </w:rPr>
        <w:t>.</w:t>
      </w:r>
      <w:r w:rsidR="00450BE7" w:rsidRPr="00B86922">
        <w:rPr>
          <w:rFonts w:ascii="Palatino Linotype" w:hAnsi="Palatino Linotype" w:cs="Times New Roman"/>
          <w:sz w:val="24"/>
          <w:szCs w:val="24"/>
        </w:rPr>
        <w:t xml:space="preserve"> Given the current push towards ‘research impact’, </w:t>
      </w:r>
      <w:r w:rsidR="0042080A" w:rsidRPr="00B86922">
        <w:rPr>
          <w:rFonts w:ascii="Palatino Linotype" w:hAnsi="Palatino Linotype" w:cs="Times New Roman"/>
          <w:sz w:val="24"/>
          <w:szCs w:val="24"/>
        </w:rPr>
        <w:t>such schemes must</w:t>
      </w:r>
      <w:r w:rsidR="003A0E94" w:rsidRPr="00B86922">
        <w:rPr>
          <w:rFonts w:ascii="Palatino Linotype" w:hAnsi="Palatino Linotype" w:cs="Times New Roman"/>
          <w:sz w:val="24"/>
          <w:szCs w:val="24"/>
        </w:rPr>
        <w:t xml:space="preserve"> surely be a win-</w:t>
      </w:r>
      <w:r w:rsidR="00450BE7" w:rsidRPr="00B86922">
        <w:rPr>
          <w:rFonts w:ascii="Palatino Linotype" w:hAnsi="Palatino Linotype" w:cs="Times New Roman"/>
          <w:sz w:val="24"/>
          <w:szCs w:val="24"/>
        </w:rPr>
        <w:t>win for all concerned.</w:t>
      </w:r>
    </w:p>
    <w:sectPr w:rsidR="00D0737B" w:rsidRPr="00B86922" w:rsidSect="00B776F7">
      <w:headerReference w:type="default" r:id="rId8"/>
      <w:footerReference w:type="default" r:id="rId9"/>
      <w:pgSz w:w="11906" w:h="16838"/>
      <w:pgMar w:top="1440" w:right="1440" w:bottom="1440" w:left="1440" w:header="708" w:footer="708" w:gutter="0"/>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6F48D" w14:textId="77777777" w:rsidR="00A61237" w:rsidRDefault="00A61237" w:rsidP="00E1191B">
      <w:r>
        <w:separator/>
      </w:r>
    </w:p>
  </w:endnote>
  <w:endnote w:type="continuationSeparator" w:id="0">
    <w:p w14:paraId="6FA90B18" w14:textId="77777777" w:rsidR="00A61237" w:rsidRDefault="00A61237" w:rsidP="00E1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332986441"/>
      <w:docPartObj>
        <w:docPartGallery w:val="Page Numbers (Bottom of Page)"/>
        <w:docPartUnique/>
      </w:docPartObj>
    </w:sdtPr>
    <w:sdtEndPr>
      <w:rPr>
        <w:noProof/>
      </w:rPr>
    </w:sdtEndPr>
    <w:sdtContent>
      <w:p w14:paraId="6A3C6F83" w14:textId="2043AFE5" w:rsidR="009D6A55" w:rsidRPr="009D6A55" w:rsidRDefault="009D6A55">
        <w:pPr>
          <w:pStyle w:val="Footer"/>
          <w:jc w:val="center"/>
          <w:rPr>
            <w:rFonts w:ascii="Palatino Linotype" w:hAnsi="Palatino Linotype"/>
          </w:rPr>
        </w:pPr>
        <w:r w:rsidRPr="009D6A55">
          <w:rPr>
            <w:rFonts w:ascii="Palatino Linotype" w:hAnsi="Palatino Linotype"/>
          </w:rPr>
          <w:fldChar w:fldCharType="begin"/>
        </w:r>
        <w:r w:rsidRPr="009D6A55">
          <w:rPr>
            <w:rFonts w:ascii="Palatino Linotype" w:hAnsi="Palatino Linotype"/>
          </w:rPr>
          <w:instrText xml:space="preserve"> PAGE   \* MERGEFORMAT </w:instrText>
        </w:r>
        <w:r w:rsidRPr="009D6A55">
          <w:rPr>
            <w:rFonts w:ascii="Palatino Linotype" w:hAnsi="Palatino Linotype"/>
          </w:rPr>
          <w:fldChar w:fldCharType="separate"/>
        </w:r>
        <w:r>
          <w:rPr>
            <w:rFonts w:ascii="Palatino Linotype" w:hAnsi="Palatino Linotype"/>
            <w:noProof/>
          </w:rPr>
          <w:t>137</w:t>
        </w:r>
        <w:r w:rsidRPr="009D6A55">
          <w:rPr>
            <w:rFonts w:ascii="Palatino Linotype" w:hAnsi="Palatino Linotype"/>
            <w:noProof/>
          </w:rPr>
          <w:fldChar w:fldCharType="end"/>
        </w:r>
      </w:p>
    </w:sdtContent>
  </w:sdt>
  <w:p w14:paraId="044D33D2" w14:textId="77777777" w:rsidR="00EB3875" w:rsidRPr="009D6A55" w:rsidRDefault="00EB3875">
    <w:pPr>
      <w:pStyle w:val="Footer"/>
      <w:rPr>
        <w:rFonts w:ascii="Palatino Linotype" w:hAnsi="Palatino Linotyp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B4E19" w14:textId="77777777" w:rsidR="00A61237" w:rsidRDefault="00A61237" w:rsidP="00E1191B">
      <w:r>
        <w:separator/>
      </w:r>
    </w:p>
  </w:footnote>
  <w:footnote w:type="continuationSeparator" w:id="0">
    <w:p w14:paraId="7100ECD9" w14:textId="77777777" w:rsidR="00A61237" w:rsidRDefault="00A61237" w:rsidP="00E1191B">
      <w:r>
        <w:continuationSeparator/>
      </w:r>
    </w:p>
  </w:footnote>
  <w:footnote w:id="1">
    <w:p w14:paraId="3B0A2E31" w14:textId="77777777" w:rsidR="00EB3875" w:rsidRPr="003C67AD" w:rsidRDefault="00EB3875" w:rsidP="001B49ED">
      <w:pPr>
        <w:pStyle w:val="FootnoteText"/>
        <w:spacing w:line="276" w:lineRule="auto"/>
        <w:rPr>
          <w:rFonts w:ascii="Palatino Linotype" w:hAnsi="Palatino Linotype" w:cs="Times New Roman"/>
        </w:rPr>
      </w:pPr>
      <w:r w:rsidRPr="003C67AD">
        <w:rPr>
          <w:rFonts w:ascii="Palatino Linotype" w:hAnsi="Palatino Linotype" w:cs="Times New Roman"/>
          <w:bCs/>
        </w:rPr>
        <w:t>* Thanks are due to the anonymous reviewer for their helpful comments on an earlier version of this article.</w:t>
      </w:r>
    </w:p>
    <w:p w14:paraId="109AE0C0" w14:textId="31ADAFB6" w:rsidR="00EB3875" w:rsidRPr="003C67AD" w:rsidRDefault="00EB3875" w:rsidP="001B49ED">
      <w:pPr>
        <w:pStyle w:val="FootnoteText"/>
        <w:spacing w:line="276" w:lineRule="auto"/>
        <w:rPr>
          <w:rFonts w:ascii="Palatino Linotype" w:hAnsi="Palatino Linotype"/>
        </w:rPr>
      </w:pPr>
      <w:r w:rsidRPr="003C67AD">
        <w:rPr>
          <w:rStyle w:val="FootnoteReference"/>
          <w:rFonts w:ascii="Palatino Linotype" w:hAnsi="Palatino Linotype"/>
        </w:rPr>
        <w:footnoteRef/>
      </w:r>
      <w:r w:rsidRPr="003C67AD">
        <w:rPr>
          <w:rFonts w:ascii="Palatino Linotype" w:hAnsi="Palatino Linotype"/>
        </w:rPr>
        <w:t xml:space="preserve"> </w:t>
      </w:r>
      <w:r w:rsidR="00E62ADE">
        <w:rPr>
          <w:rFonts w:ascii="Palatino Linotype" w:hAnsi="Palatino Linotype"/>
        </w:rPr>
        <w:t xml:space="preserve">Dr. </w:t>
      </w:r>
      <w:r w:rsidRPr="003C67AD">
        <w:rPr>
          <w:rFonts w:ascii="Palatino Linotype" w:hAnsi="Palatino Linotype"/>
        </w:rPr>
        <w:t>Lisa Whitehouse is a Reader in Law at the University of Hull</w:t>
      </w:r>
    </w:p>
  </w:footnote>
  <w:footnote w:id="2">
    <w:p w14:paraId="20ACDC26" w14:textId="77777777" w:rsidR="00EB3875" w:rsidRPr="003C67AD" w:rsidRDefault="00EB3875" w:rsidP="001B49ED">
      <w:pPr>
        <w:pStyle w:val="FootnoteText"/>
        <w:spacing w:line="276" w:lineRule="auto"/>
        <w:rPr>
          <w:rFonts w:ascii="Palatino Linotype" w:hAnsi="Palatino Linotype"/>
        </w:rPr>
      </w:pPr>
      <w:r w:rsidRPr="003C67AD">
        <w:rPr>
          <w:rStyle w:val="FootnoteReference"/>
          <w:rFonts w:ascii="Palatino Linotype" w:hAnsi="Palatino Linotype"/>
        </w:rPr>
        <w:footnoteRef/>
      </w:r>
      <w:r w:rsidRPr="003C67AD">
        <w:rPr>
          <w:rFonts w:ascii="Palatino Linotype" w:hAnsi="Palatino Linotype"/>
        </w:rPr>
        <w:t xml:space="preserve"> </w:t>
      </w:r>
      <w:r w:rsidRPr="003C67AD">
        <w:rPr>
          <w:rFonts w:ascii="Palatino Linotype" w:hAnsi="Palatino Linotype" w:cs="Times New Roman"/>
        </w:rPr>
        <w:t xml:space="preserve">For an account of the benefits of CLE see, for example, Marson, J., Wilson, A. &amp; Van Hoorebeek, M. ‘The Necessity of Clinical Legal Education in University Law Schools: A UK Perspective’ (2005) 7 </w:t>
      </w:r>
      <w:r w:rsidRPr="003C67AD">
        <w:rPr>
          <w:rFonts w:ascii="Palatino Linotype" w:hAnsi="Palatino Linotype" w:cs="Times New Roman"/>
          <w:i/>
          <w:iCs/>
        </w:rPr>
        <w:t>Int'l J. Clinical Legal Educ.</w:t>
      </w:r>
      <w:r w:rsidRPr="003C67AD">
        <w:rPr>
          <w:rFonts w:ascii="Palatino Linotype" w:hAnsi="Palatino Linotype" w:cs="Times New Roman"/>
        </w:rPr>
        <w:t xml:space="preserve"> 29 and Thanaraj, A.</w:t>
      </w:r>
      <w:r w:rsidRPr="003C67AD">
        <w:rPr>
          <w:rFonts w:ascii="Palatino Linotype" w:hAnsi="Palatino Linotype" w:cs="Times New Roman"/>
          <w:i/>
          <w:iCs/>
        </w:rPr>
        <w:t xml:space="preserve"> ‘</w:t>
      </w:r>
      <w:r w:rsidRPr="003C67AD">
        <w:rPr>
          <w:rFonts w:ascii="Palatino Linotype" w:hAnsi="Palatino Linotype" w:cs="Times New Roman"/>
        </w:rPr>
        <w:t>Understanding How a Law Clinic Can Contribute towards Students' Development of Professional Responsibility’,</w:t>
      </w:r>
      <w:r w:rsidRPr="003C67AD">
        <w:rPr>
          <w:rFonts w:ascii="Palatino Linotype" w:hAnsi="Palatino Linotype" w:cs="Times New Roman"/>
          <w:i/>
          <w:iCs/>
        </w:rPr>
        <w:t xml:space="preserve"> </w:t>
      </w:r>
      <w:r w:rsidRPr="003C67AD">
        <w:rPr>
          <w:rFonts w:ascii="Palatino Linotype" w:hAnsi="Palatino Linotype" w:cs="Times New Roman"/>
          <w:iCs/>
        </w:rPr>
        <w:t>(2016)</w:t>
      </w:r>
      <w:r w:rsidRPr="003C67AD">
        <w:rPr>
          <w:rFonts w:ascii="Palatino Linotype" w:hAnsi="Palatino Linotype" w:cs="Times New Roman"/>
          <w:i/>
          <w:iCs/>
        </w:rPr>
        <w:t xml:space="preserve"> </w:t>
      </w:r>
      <w:r w:rsidRPr="003C67AD">
        <w:rPr>
          <w:rFonts w:ascii="Palatino Linotype" w:hAnsi="Palatino Linotype" w:cs="Times New Roman"/>
          <w:iCs/>
        </w:rPr>
        <w:t>23</w:t>
      </w:r>
      <w:r w:rsidRPr="003C67AD">
        <w:rPr>
          <w:rFonts w:ascii="Palatino Linotype" w:hAnsi="Palatino Linotype" w:cs="Times New Roman"/>
          <w:i/>
          <w:iCs/>
        </w:rPr>
        <w:t xml:space="preserve"> Int'l J. Clinical Legal Educ. </w:t>
      </w:r>
      <w:r w:rsidRPr="003C67AD">
        <w:rPr>
          <w:rFonts w:ascii="Palatino Linotype" w:hAnsi="Palatino Linotype" w:cs="Times New Roman"/>
          <w:iCs/>
        </w:rPr>
        <w:t>89</w:t>
      </w:r>
      <w:r w:rsidRPr="003C67AD">
        <w:rPr>
          <w:rFonts w:ascii="Palatino Linotype" w:hAnsi="Palatino Linotype" w:cs="Times New Roman"/>
        </w:rPr>
        <w:t>.</w:t>
      </w:r>
    </w:p>
  </w:footnote>
  <w:footnote w:id="3">
    <w:p w14:paraId="228672B3" w14:textId="39CDB43A"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Research impact is defined as </w:t>
      </w:r>
      <w:r w:rsidR="00E62ADE">
        <w:rPr>
          <w:rFonts w:ascii="Palatino Linotype" w:hAnsi="Palatino Linotype" w:cs="Times New Roman"/>
        </w:rPr>
        <w:t>“</w:t>
      </w:r>
      <w:r w:rsidRPr="003C67AD">
        <w:rPr>
          <w:rFonts w:ascii="Palatino Linotype" w:hAnsi="Palatino Linotype" w:cs="Times New Roman"/>
        </w:rPr>
        <w:t>… an effect on, change or benefit to the economy, society, culture, public policy or services, health, the environment or quality of life, beyond academia.</w:t>
      </w:r>
      <w:r w:rsidR="00E62ADE">
        <w:rPr>
          <w:rFonts w:ascii="Palatino Linotype" w:hAnsi="Palatino Linotype" w:cs="Times New Roman"/>
        </w:rPr>
        <w:t xml:space="preserve">“ </w:t>
      </w:r>
      <w:r w:rsidRPr="003C67AD">
        <w:rPr>
          <w:rFonts w:ascii="Palatino Linotype" w:hAnsi="Palatino Linotype" w:cs="Times New Roman"/>
        </w:rPr>
        <w:t xml:space="preserve">REF2021, </w:t>
      </w:r>
      <w:r w:rsidRPr="003C67AD">
        <w:rPr>
          <w:rFonts w:ascii="Palatino Linotype" w:hAnsi="Palatino Linotype" w:cs="Times New Roman"/>
          <w:i/>
          <w:iCs/>
        </w:rPr>
        <w:t>Draft Guidance on Submissions</w:t>
      </w:r>
      <w:r w:rsidRPr="003C67AD">
        <w:rPr>
          <w:rFonts w:ascii="Palatino Linotype" w:hAnsi="Palatino Linotype" w:cs="Times New Roman"/>
        </w:rPr>
        <w:t xml:space="preserve">, REF 2018/01 (July 2018), Annexe C, para. 4. </w:t>
      </w:r>
    </w:p>
  </w:footnote>
  <w:footnote w:id="4">
    <w:p w14:paraId="1AEB0F27" w14:textId="75AB300C"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Whitehouse,</w:t>
      </w:r>
      <w:r w:rsidR="00E62ADE">
        <w:rPr>
          <w:rFonts w:ascii="Palatino Linotype" w:hAnsi="Palatino Linotype" w:cs="Times New Roman"/>
        </w:rPr>
        <w:t xml:space="preserve"> L.,</w:t>
      </w:r>
      <w:r w:rsidRPr="003C67AD">
        <w:rPr>
          <w:rFonts w:ascii="Palatino Linotype" w:hAnsi="Palatino Linotype" w:cs="Times New Roman"/>
        </w:rPr>
        <w:t xml:space="preserve"> Bright,</w:t>
      </w:r>
      <w:r w:rsidR="00E62ADE">
        <w:rPr>
          <w:rFonts w:ascii="Palatino Linotype" w:hAnsi="Palatino Linotype" w:cs="Times New Roman"/>
        </w:rPr>
        <w:t xml:space="preserve"> S.</w:t>
      </w:r>
      <w:r w:rsidRPr="003C67AD">
        <w:rPr>
          <w:rFonts w:ascii="Palatino Linotype" w:hAnsi="Palatino Linotype" w:cs="Times New Roman"/>
        </w:rPr>
        <w:t xml:space="preserve"> </w:t>
      </w:r>
      <w:r w:rsidR="00E62ADE">
        <w:rPr>
          <w:rFonts w:ascii="Palatino Linotype" w:hAnsi="Palatino Linotype" w:cs="Times New Roman"/>
        </w:rPr>
        <w:t xml:space="preserve">&amp; </w:t>
      </w:r>
      <w:r w:rsidRPr="003C67AD">
        <w:rPr>
          <w:rFonts w:ascii="Palatino Linotype" w:hAnsi="Palatino Linotype" w:cs="Times New Roman"/>
        </w:rPr>
        <w:t xml:space="preserve">Dhami, </w:t>
      </w:r>
      <w:r w:rsidR="00E62ADE" w:rsidRPr="003C67AD">
        <w:rPr>
          <w:rFonts w:ascii="Palatino Linotype" w:hAnsi="Palatino Linotype" w:cs="Times New Roman"/>
        </w:rPr>
        <w:t xml:space="preserve">M. K. </w:t>
      </w:r>
      <w:r w:rsidRPr="003C67AD">
        <w:rPr>
          <w:rFonts w:ascii="Palatino Linotype" w:hAnsi="Palatino Linotype" w:cs="Times New Roman"/>
        </w:rPr>
        <w:t xml:space="preserve">‘Improving Procedural Fairness in Housing Possession Cases’, (2019) 38:3 </w:t>
      </w:r>
      <w:r w:rsidRPr="003C67AD">
        <w:rPr>
          <w:rFonts w:ascii="Palatino Linotype" w:hAnsi="Palatino Linotype" w:cs="Times New Roman"/>
          <w:i/>
        </w:rPr>
        <w:t>CJQ</w:t>
      </w:r>
      <w:r w:rsidRPr="003C67AD">
        <w:rPr>
          <w:rFonts w:ascii="Palatino Linotype" w:hAnsi="Palatino Linotype" w:cs="Times New Roman"/>
        </w:rPr>
        <w:t xml:space="preserve"> 351 and Whitehouse</w:t>
      </w:r>
      <w:r w:rsidR="00E62ADE" w:rsidRPr="00E62ADE">
        <w:rPr>
          <w:rFonts w:ascii="Palatino Linotype" w:hAnsi="Palatino Linotype" w:cs="Times New Roman"/>
        </w:rPr>
        <w:t xml:space="preserve"> </w:t>
      </w:r>
      <w:r w:rsidR="00E62ADE" w:rsidRPr="003C67AD">
        <w:rPr>
          <w:rFonts w:ascii="Palatino Linotype" w:hAnsi="Palatino Linotype" w:cs="Times New Roman"/>
        </w:rPr>
        <w:t>L.</w:t>
      </w:r>
      <w:r w:rsidRPr="003C67AD">
        <w:rPr>
          <w:rFonts w:ascii="Palatino Linotype" w:hAnsi="Palatino Linotype" w:cs="Times New Roman"/>
        </w:rPr>
        <w:t xml:space="preserve">, Bright, </w:t>
      </w:r>
      <w:r w:rsidR="00E62ADE" w:rsidRPr="003C67AD">
        <w:rPr>
          <w:rFonts w:ascii="Palatino Linotype" w:hAnsi="Palatino Linotype" w:cs="Times New Roman"/>
        </w:rPr>
        <w:t>S.</w:t>
      </w:r>
      <w:r w:rsidR="00E62ADE">
        <w:rPr>
          <w:rFonts w:ascii="Palatino Linotype" w:hAnsi="Palatino Linotype" w:cs="Times New Roman"/>
        </w:rPr>
        <w:t>,</w:t>
      </w:r>
      <w:r w:rsidR="00E62ADE" w:rsidRPr="003C67AD">
        <w:rPr>
          <w:rFonts w:ascii="Palatino Linotype" w:hAnsi="Palatino Linotype" w:cs="Times New Roman"/>
        </w:rPr>
        <w:t xml:space="preserve"> </w:t>
      </w:r>
      <w:r w:rsidRPr="003C67AD">
        <w:rPr>
          <w:rFonts w:ascii="Palatino Linotype" w:hAnsi="Palatino Linotype" w:cs="Times New Roman"/>
        </w:rPr>
        <w:t xml:space="preserve">Dhami, </w:t>
      </w:r>
      <w:r w:rsidR="00E62ADE" w:rsidRPr="003C67AD">
        <w:rPr>
          <w:rFonts w:ascii="Palatino Linotype" w:hAnsi="Palatino Linotype" w:cs="Times New Roman"/>
        </w:rPr>
        <w:t xml:space="preserve">M. K. </w:t>
      </w:r>
      <w:r w:rsidR="00E62ADE">
        <w:rPr>
          <w:rFonts w:ascii="Palatino Linotype" w:hAnsi="Palatino Linotype" w:cs="Times New Roman"/>
        </w:rPr>
        <w:t>&amp;</w:t>
      </w:r>
      <w:r w:rsidRPr="003C67AD">
        <w:rPr>
          <w:rFonts w:ascii="Palatino Linotype" w:hAnsi="Palatino Linotype" w:cs="Times New Roman"/>
        </w:rPr>
        <w:t xml:space="preserve"> Connor Desai,</w:t>
      </w:r>
      <w:r w:rsidR="00E62ADE">
        <w:rPr>
          <w:rFonts w:ascii="Palatino Linotype" w:hAnsi="Palatino Linotype" w:cs="Times New Roman"/>
        </w:rPr>
        <w:t xml:space="preserve"> S.</w:t>
      </w:r>
      <w:r w:rsidRPr="003C67AD">
        <w:rPr>
          <w:rFonts w:ascii="Palatino Linotype" w:hAnsi="Palatino Linotype" w:cs="Times New Roman"/>
        </w:rPr>
        <w:t xml:space="preserve"> </w:t>
      </w:r>
      <w:r w:rsidRPr="003C67AD">
        <w:rPr>
          <w:rFonts w:ascii="Palatino Linotype" w:hAnsi="Palatino Linotype" w:cs="Times New Roman"/>
          <w:i/>
          <w:iCs/>
        </w:rPr>
        <w:t>Judicial Decision-Making in Housing Possession Case</w:t>
      </w:r>
      <w:r w:rsidRPr="003C67AD">
        <w:rPr>
          <w:rFonts w:ascii="Palatino Linotype" w:hAnsi="Palatino Linotype" w:cs="Times New Roman"/>
        </w:rPr>
        <w:t>s, https://www.law.ox.ac.uk/sites/files/oxlaw/judicial_decision-making_bulletin.pdf.</w:t>
      </w:r>
    </w:p>
  </w:footnote>
  <w:footnote w:id="5">
    <w:p w14:paraId="46B101A4" w14:textId="65A873BC"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Bright</w:t>
      </w:r>
      <w:r w:rsidR="00E62ADE">
        <w:rPr>
          <w:rFonts w:ascii="Palatino Linotype" w:hAnsi="Palatino Linotype" w:cs="Times New Roman"/>
        </w:rPr>
        <w:t>,</w:t>
      </w:r>
      <w:r w:rsidRPr="003C67AD">
        <w:rPr>
          <w:rFonts w:ascii="Palatino Linotype" w:hAnsi="Palatino Linotype" w:cs="Times New Roman"/>
        </w:rPr>
        <w:t xml:space="preserve"> </w:t>
      </w:r>
      <w:r w:rsidR="00E62ADE" w:rsidRPr="003C67AD">
        <w:rPr>
          <w:rFonts w:ascii="Palatino Linotype" w:hAnsi="Palatino Linotype" w:cs="Times New Roman"/>
        </w:rPr>
        <w:t>S</w:t>
      </w:r>
      <w:r w:rsidR="00E62ADE">
        <w:rPr>
          <w:rFonts w:ascii="Palatino Linotype" w:hAnsi="Palatino Linotype" w:cs="Times New Roman"/>
        </w:rPr>
        <w:t>. &amp;</w:t>
      </w:r>
      <w:r w:rsidRPr="003C67AD">
        <w:rPr>
          <w:rFonts w:ascii="Palatino Linotype" w:hAnsi="Palatino Linotype" w:cs="Times New Roman"/>
        </w:rPr>
        <w:t xml:space="preserve"> Whitehouse,</w:t>
      </w:r>
      <w:r w:rsidR="00E62ADE">
        <w:rPr>
          <w:rFonts w:ascii="Palatino Linotype" w:hAnsi="Palatino Linotype" w:cs="Times New Roman"/>
        </w:rPr>
        <w:t xml:space="preserve"> L.</w:t>
      </w:r>
      <w:r w:rsidRPr="003C67AD">
        <w:rPr>
          <w:rFonts w:ascii="Palatino Linotype" w:hAnsi="Palatino Linotype" w:cs="Times New Roman"/>
        </w:rPr>
        <w:t xml:space="preserve"> </w:t>
      </w:r>
      <w:r w:rsidRPr="003C67AD">
        <w:rPr>
          <w:rFonts w:ascii="Palatino Linotype" w:hAnsi="Palatino Linotype" w:cs="Times New Roman"/>
          <w:i/>
          <w:iCs/>
          <w:lang w:val="en-US"/>
        </w:rPr>
        <w:t>Information, Advice and Representation in Housing Possession Cases,</w:t>
      </w:r>
      <w:r w:rsidRPr="003C67AD">
        <w:rPr>
          <w:rFonts w:ascii="Palatino Linotype" w:hAnsi="Palatino Linotype" w:cs="Times New Roman"/>
          <w:b/>
          <w:bCs/>
          <w:i/>
          <w:iCs/>
        </w:rPr>
        <w:t xml:space="preserve"> </w:t>
      </w:r>
      <w:r w:rsidR="00E62ADE">
        <w:rPr>
          <w:rFonts w:ascii="Palatino Linotype" w:hAnsi="Palatino Linotype" w:cs="Times New Roman"/>
          <w:b/>
          <w:bCs/>
          <w:i/>
          <w:iCs/>
        </w:rPr>
        <w:t>(</w:t>
      </w:r>
      <w:r w:rsidRPr="003C67AD">
        <w:rPr>
          <w:rFonts w:ascii="Palatino Linotype" w:hAnsi="Palatino Linotype" w:cs="Times New Roman"/>
          <w:iCs/>
        </w:rPr>
        <w:t>April 2014</w:t>
      </w:r>
      <w:r w:rsidR="00E62ADE">
        <w:rPr>
          <w:rFonts w:ascii="Palatino Linotype" w:hAnsi="Palatino Linotype" w:cs="Times New Roman"/>
          <w:iCs/>
        </w:rPr>
        <w:t>)</w:t>
      </w:r>
      <w:r w:rsidRPr="003C67AD">
        <w:rPr>
          <w:rFonts w:ascii="Palatino Linotype" w:hAnsi="Palatino Linotype" w:cs="Times New Roman"/>
          <w:iCs/>
        </w:rPr>
        <w:t xml:space="preserve"> </w:t>
      </w:r>
      <w:r w:rsidRPr="003C67AD">
        <w:rPr>
          <w:rFonts w:ascii="Palatino Linotype" w:hAnsi="Palatino Linotype" w:cs="Times New Roman"/>
          <w:bCs/>
          <w:iCs/>
          <w:lang w:val="en-US"/>
        </w:rPr>
        <w:t>available at</w:t>
      </w:r>
      <w:r w:rsidRPr="003C67AD">
        <w:rPr>
          <w:rFonts w:ascii="Palatino Linotype" w:hAnsi="Palatino Linotype" w:cs="Times New Roman"/>
          <w:bCs/>
          <w:i/>
          <w:iCs/>
          <w:lang w:val="en-US"/>
        </w:rPr>
        <w:t xml:space="preserve"> </w:t>
      </w:r>
      <w:r w:rsidRPr="003C67AD">
        <w:rPr>
          <w:rFonts w:ascii="Palatino Linotype" w:hAnsi="Palatino Linotype" w:cs="Times New Roman"/>
          <w:bCs/>
          <w:iCs/>
          <w:lang w:val="en-US"/>
        </w:rPr>
        <w:t xml:space="preserve">https://www.law.ox.ac.uk/sites/files/oxlaw/housing_possession_report_april2014.pdf </w:t>
      </w:r>
      <w:r w:rsidRPr="003C67AD">
        <w:rPr>
          <w:rFonts w:ascii="Palatino Linotype" w:hAnsi="Palatino Linotype" w:cs="Times New Roman"/>
          <w:iCs/>
        </w:rPr>
        <w:t xml:space="preserve">and </w:t>
      </w:r>
      <w:r w:rsidR="00E62ADE">
        <w:rPr>
          <w:rFonts w:ascii="Palatino Linotype" w:hAnsi="Palatino Linotype" w:cs="Times New Roman"/>
          <w:iCs/>
        </w:rPr>
        <w:t xml:space="preserve">Bright, S. &amp; Whitehouse, L. </w:t>
      </w:r>
      <w:r w:rsidRPr="003C67AD">
        <w:rPr>
          <w:rFonts w:ascii="Palatino Linotype" w:hAnsi="Palatino Linotype" w:cs="Times New Roman"/>
          <w:bCs/>
          <w:iCs/>
        </w:rPr>
        <w:t>‘</w:t>
      </w:r>
      <w:r w:rsidRPr="003C67AD">
        <w:rPr>
          <w:rFonts w:ascii="Palatino Linotype" w:hAnsi="Palatino Linotype" w:cs="Times New Roman"/>
          <w:bCs/>
        </w:rPr>
        <w:t xml:space="preserve">Does the current housing possession process provide effective access to justice?’ (2014) 164.7611 </w:t>
      </w:r>
      <w:r w:rsidRPr="003C67AD">
        <w:rPr>
          <w:rFonts w:ascii="Palatino Linotype" w:hAnsi="Palatino Linotype" w:cs="Times New Roman"/>
          <w:bCs/>
          <w:i/>
        </w:rPr>
        <w:t xml:space="preserve">New Law Journal </w:t>
      </w:r>
      <w:r w:rsidRPr="003C67AD">
        <w:rPr>
          <w:rFonts w:ascii="Palatino Linotype" w:hAnsi="Palatino Linotype" w:cs="Times New Roman"/>
          <w:bCs/>
        </w:rPr>
        <w:t>16-17.</w:t>
      </w:r>
    </w:p>
  </w:footnote>
  <w:footnote w:id="6">
    <w:p w14:paraId="0F98CC7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Marson, et al. (n.2), pp.29.</w:t>
      </w:r>
    </w:p>
  </w:footnote>
  <w:footnote w:id="7">
    <w:p w14:paraId="73E7D90C"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https://www.sheffield.ac.uk/law/about/psu.</w:t>
      </w:r>
    </w:p>
  </w:footnote>
  <w:footnote w:id="8">
    <w:p w14:paraId="207EA4F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https://www.ucl.ac.uk/access-to-justice/what-we-do/ucl-integrated-legal-advice-clinic-ucl-ilac.</w:t>
      </w:r>
    </w:p>
  </w:footnote>
  <w:footnote w:id="9">
    <w:p w14:paraId="358A3D2A"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https://www.hull.ac.uk/faculties/fblp/slp/more/legal-advice-centre.aspx.</w:t>
      </w:r>
    </w:p>
  </w:footnote>
  <w:footnote w:id="10">
    <w:p w14:paraId="13595405"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iCs/>
        </w:rPr>
        <w:t>Lord Justice Briggs, ‘Civil Courts Structure Review: Final Report’ (2016), para. 6.95., https://www.judiciary.gov.uk/wp-content/uploads/2016/07/civil-courts-structure-review-final-report-jul-16-final-1.pdf.</w:t>
      </w:r>
    </w:p>
  </w:footnote>
  <w:footnote w:id="11">
    <w:p w14:paraId="64F8FC89"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https://www.conservatives.com/sharethefacts/2017/10/sajid-javid-fixing-injustices-in-our-housing-market and Smith, D. ‘We need a Housing Court’, </w:t>
      </w:r>
      <w:r w:rsidRPr="003C67AD">
        <w:rPr>
          <w:rFonts w:ascii="Palatino Linotype" w:hAnsi="Palatino Linotype" w:cs="Times New Roman"/>
          <w:i/>
          <w:iCs/>
        </w:rPr>
        <w:t>Law Society Gazette</w:t>
      </w:r>
      <w:r w:rsidRPr="003C67AD">
        <w:rPr>
          <w:rFonts w:ascii="Palatino Linotype" w:hAnsi="Palatino Linotype" w:cs="Times New Roman"/>
        </w:rPr>
        <w:t xml:space="preserve"> (26.02.2018) at https://www.lawgazette.co.uk/practice-points/we-need-a-housing-court/5064909.article.</w:t>
      </w:r>
    </w:p>
  </w:footnote>
  <w:footnote w:id="12">
    <w:p w14:paraId="3EFD00DE" w14:textId="10B507F3"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HM Treasury, Breathing space scheme: response to policy proposal, June 2019, para. 3.31, see https://assets.publishing.service.gov.uk/government/uploads/system/uploads/attachment_data/file/810058/______17June_CLEAN_response.pdf</w:t>
      </w:r>
    </w:p>
  </w:footnote>
  <w:footnote w:id="13">
    <w:p w14:paraId="0B170A1C"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 xml:space="preserve">Money Advice Service, ‘Press Release: </w:t>
      </w:r>
      <w:r w:rsidRPr="003C67AD">
        <w:rPr>
          <w:rFonts w:ascii="Palatino Linotype" w:hAnsi="Palatino Linotype" w:cs="Times New Roman"/>
        </w:rPr>
        <w:t>One in six adults struggling with debt worries’, (10.03.2016), https://www.moneyadviceservice.org.uk/en/corporate/one-in-six-adults-struggling-with-debt-worries</w:t>
      </w:r>
      <w:r w:rsidRPr="003C67AD">
        <w:rPr>
          <w:rFonts w:ascii="Palatino Linotype" w:hAnsi="Palatino Linotype" w:cs="Times New Roman"/>
          <w:lang w:val="en-US"/>
        </w:rPr>
        <w:t>.</w:t>
      </w:r>
    </w:p>
  </w:footnote>
  <w:footnote w:id="14">
    <w:p w14:paraId="0DEB9643"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https://www.lawgazette.co.uk/law/laa-acts-after-firms-withdrawal-leaves-legal-aid-gap-in-hull/5054621.article.</w:t>
      </w:r>
    </w:p>
  </w:footnote>
  <w:footnote w:id="15">
    <w:p w14:paraId="21F043C3"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rPr>
        <w:t>Ministry of Justice, ‘Mortgage and Landlord Possession Statistical Tables: January to March 2019’.</w:t>
      </w:r>
    </w:p>
  </w:footnote>
  <w:footnote w:id="16">
    <w:p w14:paraId="196444E4" w14:textId="31D6C07A" w:rsidR="00EB3875" w:rsidRPr="003C67AD" w:rsidRDefault="00EB3875" w:rsidP="001B49ED">
      <w:pPr>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Whitehouse, et al</w:t>
      </w:r>
      <w:r w:rsidR="00BC7287">
        <w:rPr>
          <w:rFonts w:ascii="Palatino Linotype" w:hAnsi="Palatino Linotype" w:cs="Times New Roman"/>
        </w:rPr>
        <w:t>.</w:t>
      </w:r>
      <w:r w:rsidRPr="003C67AD">
        <w:rPr>
          <w:rFonts w:ascii="Palatino Linotype" w:hAnsi="Palatino Linotype" w:cs="Times New Roman"/>
        </w:rPr>
        <w:t xml:space="preserve">, (n.4), pp.353. A postal survey of social landlords in 2002/3 found that almost 98% of actions entered in court were due to rent arrears, see Pawson, H., Sosenko, F., Cowan, D., Croft, J., Cole, M. &amp; Hunter, C. </w:t>
      </w:r>
      <w:r w:rsidRPr="003C67AD">
        <w:rPr>
          <w:rFonts w:ascii="Palatino Linotype" w:hAnsi="Palatino Linotype" w:cs="Times New Roman"/>
          <w:i/>
        </w:rPr>
        <w:t>The Use of Possession Actions and Evictions by Social Landlords</w:t>
      </w:r>
      <w:r w:rsidRPr="003C67AD">
        <w:rPr>
          <w:rFonts w:ascii="Palatino Linotype" w:hAnsi="Palatino Linotype" w:cs="Times New Roman"/>
        </w:rPr>
        <w:t xml:space="preserve"> (London: ODPM, 2005), pp.40. See also Neuberger, J. </w:t>
      </w:r>
      <w:r w:rsidRPr="003C67AD">
        <w:rPr>
          <w:rFonts w:ascii="Palatino Linotype" w:hAnsi="Palatino Linotype" w:cs="Times New Roman"/>
          <w:i/>
        </w:rPr>
        <w:t>House Keeping: Preventing homelessness through tackling rent arrears in social housing</w:t>
      </w:r>
      <w:r w:rsidRPr="003C67AD">
        <w:rPr>
          <w:rFonts w:ascii="Palatino Linotype" w:hAnsi="Palatino Linotype" w:cs="Times New Roman"/>
        </w:rPr>
        <w:t xml:space="preserve"> (London: Shelter, 2003), pp.12.</w:t>
      </w:r>
    </w:p>
  </w:footnote>
  <w:footnote w:id="17">
    <w:p w14:paraId="36B3A96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Consumer Credit Act 1974, s 126.</w:t>
      </w:r>
    </w:p>
  </w:footnote>
  <w:footnote w:id="18">
    <w:p w14:paraId="2575E42D"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Administration of Justice Act 1970, s 36.</w:t>
      </w:r>
    </w:p>
  </w:footnote>
  <w:footnote w:id="19">
    <w:p w14:paraId="36BF6871"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Housing Act 1985, Sched 2, Ground 1 (local authority) and Housing Act 1988 Sched 2, Part II, Ground 10 (Housing Association).</w:t>
      </w:r>
    </w:p>
  </w:footnote>
  <w:footnote w:id="20">
    <w:p w14:paraId="68168593"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Housing Act 1988, Sched 2, Part II, Grounds 10 and 11</w:t>
      </w:r>
    </w:p>
  </w:footnote>
  <w:footnote w:id="21">
    <w:p w14:paraId="430F4007"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Housing Act 1985, s 85 (local authority) and Housing Act 1988, s 9 (housing associations).</w:t>
      </w:r>
    </w:p>
  </w:footnote>
  <w:footnote w:id="22">
    <w:p w14:paraId="3B182E66"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 xml:space="preserve">Housing Act 1988, Sched 2, Part II, Ground 8 – the 8 weeks applies to weekly or fortnightly tenancies. </w:t>
      </w:r>
    </w:p>
  </w:footnote>
  <w:footnote w:id="23">
    <w:p w14:paraId="29B8E17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A </w:t>
      </w:r>
      <w:r w:rsidRPr="003C67AD">
        <w:rPr>
          <w:rFonts w:ascii="Palatino Linotype" w:hAnsi="Palatino Linotype" w:cs="Times New Roman"/>
          <w:bCs/>
        </w:rPr>
        <w:t xml:space="preserve">study in 2005 found that about one-third of housing associations, and one-half of London based housing associations, were making some use of Ground 8, see </w:t>
      </w:r>
      <w:r w:rsidRPr="003C67AD">
        <w:rPr>
          <w:rFonts w:ascii="Palatino Linotype" w:hAnsi="Palatino Linotype" w:cs="Times New Roman"/>
        </w:rPr>
        <w:t>Pawson, et al, (n.17), pp.40, ch.5.</w:t>
      </w:r>
    </w:p>
  </w:footnote>
  <w:footnote w:id="24">
    <w:p w14:paraId="34AD4C1F" w14:textId="7E9AB54B"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Shelter, </w:t>
      </w:r>
      <w:r w:rsidRPr="003C67AD">
        <w:rPr>
          <w:rFonts w:ascii="Palatino Linotype" w:hAnsi="Palatino Linotype" w:cs="Times New Roman"/>
          <w:i/>
        </w:rPr>
        <w:t>Eviction Risk Monitor</w:t>
      </w:r>
      <w:r w:rsidRPr="003C67AD">
        <w:rPr>
          <w:rFonts w:ascii="Palatino Linotype" w:hAnsi="Palatino Linotype" w:cs="Times New Roman"/>
        </w:rPr>
        <w:t xml:space="preserve">, </w:t>
      </w:r>
      <w:r w:rsidR="00BC7287">
        <w:rPr>
          <w:rFonts w:ascii="Palatino Linotype" w:hAnsi="Palatino Linotype" w:cs="Times New Roman"/>
        </w:rPr>
        <w:t>(</w:t>
      </w:r>
      <w:r w:rsidRPr="003C67AD">
        <w:rPr>
          <w:rFonts w:ascii="Palatino Linotype" w:hAnsi="Palatino Linotype" w:cs="Times New Roman"/>
        </w:rPr>
        <w:t>December 2012</w:t>
      </w:r>
      <w:r w:rsidR="00BC7287">
        <w:rPr>
          <w:rFonts w:ascii="Palatino Linotype" w:hAnsi="Palatino Linotype" w:cs="Times New Roman"/>
        </w:rPr>
        <w:t>)</w:t>
      </w:r>
      <w:r w:rsidRPr="003C67AD">
        <w:rPr>
          <w:rFonts w:ascii="Palatino Linotype" w:hAnsi="Palatino Linotype" w:cs="Times New Roman"/>
        </w:rPr>
        <w:t>, pp.5. See https://england.shelter.org.uk/professional_resources/policy_and_research/policy_library/policy_library_folder/eviction_risk_monitor_2012.</w:t>
      </w:r>
    </w:p>
  </w:footnote>
  <w:footnote w:id="25">
    <w:p w14:paraId="774E1135"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Cross, M. ‘Government promises private tenancy law reform - but does not say when’, </w:t>
      </w:r>
      <w:r w:rsidRPr="003C67AD">
        <w:rPr>
          <w:rFonts w:ascii="Palatino Linotype" w:hAnsi="Palatino Linotype" w:cs="Times New Roman"/>
          <w:i/>
          <w:iCs/>
        </w:rPr>
        <w:t>Law Society Gazette</w:t>
      </w:r>
      <w:r w:rsidRPr="003C67AD">
        <w:rPr>
          <w:rFonts w:ascii="Palatino Linotype" w:hAnsi="Palatino Linotype" w:cs="Times New Roman"/>
        </w:rPr>
        <w:t xml:space="preserve"> (15.04.2019) available at https://www.lawgazette.co.uk/law/government-promises-private-tenancy-law-reform-but-does-not-say-when-/5069991.article and </w:t>
      </w:r>
    </w:p>
    <w:p w14:paraId="08F71731" w14:textId="77777777" w:rsidR="00EB3875" w:rsidRPr="003C67AD" w:rsidRDefault="00EB3875" w:rsidP="001B49ED">
      <w:pPr>
        <w:pStyle w:val="FootnoteText"/>
        <w:spacing w:line="276" w:lineRule="auto"/>
        <w:rPr>
          <w:rFonts w:ascii="Palatino Linotype" w:hAnsi="Palatino Linotype" w:cs="Times New Roman"/>
        </w:rPr>
      </w:pPr>
      <w:r w:rsidRPr="003C67AD">
        <w:rPr>
          <w:rFonts w:ascii="Palatino Linotype" w:hAnsi="Palatino Linotype" w:cs="Times New Roman"/>
        </w:rPr>
        <w:t>Ministry of Housing, Communities &amp; Local Government, ‘</w:t>
      </w:r>
      <w:r w:rsidRPr="003C67AD">
        <w:rPr>
          <w:rFonts w:ascii="Palatino Linotype" w:hAnsi="Palatino Linotype" w:cs="Times New Roman"/>
          <w:bCs/>
        </w:rPr>
        <w:t>Government announces end to unfair evictions’</w:t>
      </w:r>
      <w:r w:rsidRPr="003C67AD">
        <w:rPr>
          <w:rFonts w:ascii="Palatino Linotype" w:hAnsi="Palatino Linotype" w:cs="Times New Roman"/>
        </w:rPr>
        <w:t xml:space="preserve"> Press Release 15.04.2019, available at https://www.gov.uk/government/news/government-announces-end-to-unfair-evictions.</w:t>
      </w:r>
    </w:p>
  </w:footnote>
  <w:footnote w:id="26">
    <w:p w14:paraId="0A416CE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i/>
          <w:iCs/>
        </w:rPr>
        <w:t>Lewisham LBC v Malcolm</w:t>
      </w:r>
      <w:r w:rsidRPr="003C67AD">
        <w:rPr>
          <w:rFonts w:ascii="Palatino Linotype" w:hAnsi="Palatino Linotype" w:cs="Times New Roman"/>
        </w:rPr>
        <w:t xml:space="preserve"> [2008] UKHL 43 at 19. See also </w:t>
      </w:r>
      <w:r w:rsidRPr="003C67AD">
        <w:rPr>
          <w:rFonts w:ascii="Palatino Linotype" w:hAnsi="Palatino Linotype" w:cs="Times New Roman"/>
          <w:i/>
          <w:lang w:val="en-US"/>
        </w:rPr>
        <w:t xml:space="preserve">Akerman-Livingstone v Aster Communities Ltd </w:t>
      </w:r>
      <w:r w:rsidRPr="003C67AD">
        <w:rPr>
          <w:rFonts w:ascii="Palatino Linotype" w:hAnsi="Palatino Linotype" w:cs="Times New Roman"/>
          <w:lang w:val="en-US"/>
        </w:rPr>
        <w:t>[2015] UKSC 15 at 17 per Lady Hale.</w:t>
      </w:r>
    </w:p>
  </w:footnote>
  <w:footnote w:id="27">
    <w:p w14:paraId="0AFA7816"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 xml:space="preserve">Equality Act 2010, ss 15 and 35. Proportionality may also need to be considered if a defence under Article 8 of the Human Rights Act 1998 is raised and found to be seriously arguable: </w:t>
      </w:r>
      <w:r w:rsidRPr="003C67AD">
        <w:rPr>
          <w:rFonts w:ascii="Palatino Linotype" w:hAnsi="Palatino Linotype" w:cs="Times New Roman"/>
          <w:i/>
          <w:iCs/>
          <w:lang w:val="en-US" w:bidi="en-US"/>
        </w:rPr>
        <w:t>Hounslow LBC v Powell</w:t>
      </w:r>
      <w:r w:rsidRPr="003C67AD">
        <w:rPr>
          <w:rFonts w:ascii="Palatino Linotype" w:hAnsi="Palatino Linotype" w:cs="Times New Roman"/>
          <w:lang w:val="en-US" w:bidi="en-US"/>
        </w:rPr>
        <w:t xml:space="preserve"> [2011] 2 AC 186.</w:t>
      </w:r>
    </w:p>
  </w:footnote>
  <w:footnote w:id="28">
    <w:p w14:paraId="45DDAC00"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t>
      </w:r>
      <w:r w:rsidRPr="003C67AD">
        <w:rPr>
          <w:rFonts w:ascii="Palatino Linotype" w:hAnsi="Palatino Linotype" w:cs="Times New Roman"/>
          <w:bCs/>
          <w:i/>
        </w:rPr>
        <w:t>Aster Communities Ltd v Akerman-Livingstone</w:t>
      </w:r>
      <w:r w:rsidRPr="003C67AD">
        <w:rPr>
          <w:rFonts w:ascii="Palatino Linotype" w:hAnsi="Palatino Linotype" w:cs="Times New Roman"/>
          <w:bCs/>
        </w:rPr>
        <w:t xml:space="preserve"> [2015] 2 A.C. 1399.</w:t>
      </w:r>
    </w:p>
  </w:footnote>
  <w:footnote w:id="29">
    <w:p w14:paraId="641C44D4"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i/>
        </w:rPr>
        <w:t xml:space="preserve">Bracknell Forest BC v Green </w:t>
      </w:r>
      <w:r w:rsidRPr="003C67AD">
        <w:rPr>
          <w:rFonts w:ascii="Palatino Linotype" w:hAnsi="Palatino Linotype" w:cs="Times New Roman"/>
          <w:bCs/>
          <w:lang w:val="en-US"/>
        </w:rPr>
        <w:t xml:space="preserve">[2009] EWCA Civ 238 [22] and </w:t>
      </w:r>
      <w:r w:rsidRPr="003C67AD">
        <w:rPr>
          <w:rFonts w:ascii="Palatino Linotype" w:hAnsi="Palatino Linotype" w:cs="Times New Roman"/>
          <w:bCs/>
          <w:i/>
        </w:rPr>
        <w:t xml:space="preserve">Holt v Reading BC </w:t>
      </w:r>
      <w:r w:rsidRPr="003C67AD">
        <w:rPr>
          <w:rFonts w:ascii="Palatino Linotype" w:hAnsi="Palatino Linotype" w:cs="Times New Roman"/>
          <w:bCs/>
        </w:rPr>
        <w:t>[2013] EWCA Civ 641 [18].</w:t>
      </w:r>
    </w:p>
  </w:footnote>
  <w:footnote w:id="30">
    <w:p w14:paraId="2B896823"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i/>
        </w:rPr>
        <w:t xml:space="preserve">Woodspring DC v Taylor </w:t>
      </w:r>
      <w:r w:rsidRPr="003C67AD">
        <w:rPr>
          <w:rFonts w:ascii="Palatino Linotype" w:hAnsi="Palatino Linotype" w:cs="Times New Roman"/>
          <w:bCs/>
        </w:rPr>
        <w:t>[1982] 4 HLR 95.</w:t>
      </w:r>
    </w:p>
  </w:footnote>
  <w:footnote w:id="31">
    <w:p w14:paraId="516CC88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social landlord cases this is N11R available at https://assets.publishing.service.gov.uk/government/uploads/system/uploads/attachment_data/file/688414/n11r-eng.pdf and for mortgage cases it is N11M available at https://assets.publishing.service.gov.uk/government/uploads/system/uploads/attachment_data/file/702924/n11m-eng.pdf.</w:t>
      </w:r>
    </w:p>
  </w:footnote>
  <w:footnote w:id="32">
    <w:p w14:paraId="5554C2C5" w14:textId="77777777" w:rsidR="00EB3875" w:rsidRPr="003C67AD" w:rsidRDefault="00EB3875" w:rsidP="001B49ED">
      <w:pPr>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CPR, Part 55 – Possession Claims, 55(14)(1)(b).</w:t>
      </w:r>
    </w:p>
  </w:footnote>
  <w:footnote w:id="33">
    <w:p w14:paraId="2FC0EB77"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t>
      </w:r>
      <w:r w:rsidRPr="003C67AD">
        <w:rPr>
          <w:rFonts w:ascii="Palatino Linotype" w:hAnsi="Palatino Linotype" w:cs="Times New Roman"/>
          <w:lang w:val="en-AU"/>
        </w:rPr>
        <w:t>Bright and Whitehouse, (n.5)</w:t>
      </w:r>
      <w:r w:rsidRPr="003C67AD">
        <w:rPr>
          <w:rFonts w:ascii="Palatino Linotype" w:hAnsi="Palatino Linotype" w:cs="Times New Roman"/>
          <w:iCs/>
          <w:lang w:val="en-US"/>
        </w:rPr>
        <w:t>; Burns, A. &amp; Hadfield, T. ‘</w:t>
      </w:r>
      <w:r w:rsidRPr="003C67AD">
        <w:rPr>
          <w:rFonts w:ascii="Palatino Linotype" w:hAnsi="Palatino Linotype" w:cs="Times New Roman"/>
          <w:iCs/>
        </w:rPr>
        <w:t>A qualitative research investigation of the factors influencing the progress, timescales and outcomes of housing cases in county courts’ (London: MHCLG, Nov 2018);</w:t>
      </w:r>
      <w:r w:rsidRPr="003C67AD">
        <w:rPr>
          <w:rFonts w:ascii="Palatino Linotype" w:hAnsi="Palatino Linotype" w:cs="Times New Roman"/>
        </w:rPr>
        <w:t xml:space="preserve"> Nixon, J., Hunter, C., Smith, Y. &amp; Wishart, B. </w:t>
      </w:r>
      <w:r w:rsidRPr="003C67AD">
        <w:rPr>
          <w:rFonts w:ascii="Palatino Linotype" w:hAnsi="Palatino Linotype" w:cs="Times New Roman"/>
          <w:lang w:val="en-US"/>
        </w:rPr>
        <w:t xml:space="preserve">‘Housing Cases in County Courts’ (Bristol: The Policy Press, 1996); </w:t>
      </w:r>
      <w:r w:rsidRPr="003C67AD">
        <w:rPr>
          <w:rFonts w:ascii="Palatino Linotype" w:hAnsi="Palatino Linotype" w:cs="Times New Roman"/>
        </w:rPr>
        <w:t>Blandy, S., Hunter, C., Lister, D., Naylor, L. &amp; Nixon, J. ‘Housing Possession Cases in the County Court: Perceptions and Experiences of Black and Minority Ethnic Defendants’ (London: Department for Constitutional Affairs 11/02, 2002); and H</w:t>
      </w:r>
      <w:r w:rsidRPr="003C67AD">
        <w:rPr>
          <w:rFonts w:ascii="Palatino Linotype" w:hAnsi="Palatino Linotype" w:cs="Times New Roman"/>
          <w:bCs/>
          <w:iCs/>
        </w:rPr>
        <w:t>unter, C. Blandy, S. Cowan, D., Nixon, J., Hitchings, E., Pantazis, C. &amp; Parr, S. ‘The Exercise of Judicial Discretion in Rent Arrears Cases’ (London: Department for Constitutional Affairs, Research Series 6/05, October 2005).</w:t>
      </w:r>
    </w:p>
  </w:footnote>
  <w:footnote w:id="34">
    <w:p w14:paraId="1715FD4A"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rPr>
        <w:t>The 2018 Burns and Hadfield study suggests that “in most cases, the tenants do not submit a defence or attend the hearing” see Burns and Hadfield, (n.33), para. 3.1.2.10. Similarly, the 1996 Nixon study found that only 22% of defendants (borrowers and tenants in arrears cases) used the Right of Reply Form, and a further 14% made other written submissions,</w:t>
      </w:r>
      <w:r w:rsidRPr="003C67AD">
        <w:rPr>
          <w:rFonts w:ascii="Palatino Linotype" w:hAnsi="Palatino Linotype" w:cs="Times New Roman"/>
        </w:rPr>
        <w:t xml:space="preserve"> see Nixon, et al, (n.33), pp.</w:t>
      </w:r>
      <w:r w:rsidRPr="003C67AD">
        <w:rPr>
          <w:rFonts w:ascii="Palatino Linotype" w:hAnsi="Palatino Linotype" w:cs="Times New Roman"/>
          <w:color w:val="000000"/>
        </w:rPr>
        <w:t xml:space="preserve">20. </w:t>
      </w:r>
      <w:r w:rsidRPr="003C67AD">
        <w:rPr>
          <w:rFonts w:ascii="Palatino Linotype" w:hAnsi="Palatino Linotype" w:cs="Times New Roman"/>
          <w:bCs/>
        </w:rPr>
        <w:t xml:space="preserve">The 2005 Hunter Study reports that 3% used </w:t>
      </w:r>
      <w:r w:rsidRPr="003C67AD">
        <w:rPr>
          <w:rFonts w:ascii="Palatino Linotype" w:hAnsi="Palatino Linotype" w:cs="Times New Roman"/>
          <w:bCs/>
          <w:i/>
        </w:rPr>
        <w:t>only</w:t>
      </w:r>
      <w:r w:rsidRPr="003C67AD">
        <w:rPr>
          <w:rFonts w:ascii="Palatino Linotype" w:hAnsi="Palatino Linotype" w:cs="Times New Roman"/>
          <w:bCs/>
        </w:rPr>
        <w:t xml:space="preserve"> written submissions as their form of participation; a further 8% used a written response in addition to attending, </w:t>
      </w:r>
      <w:r w:rsidRPr="003C67AD">
        <w:rPr>
          <w:rFonts w:ascii="Palatino Linotype" w:hAnsi="Palatino Linotype" w:cs="Times New Roman"/>
          <w:bCs/>
          <w:iCs/>
        </w:rPr>
        <w:t>Hunter, et al, (n.33), pp.</w:t>
      </w:r>
      <w:r w:rsidRPr="003C67AD">
        <w:rPr>
          <w:rFonts w:ascii="Palatino Linotype" w:hAnsi="Palatino Linotype" w:cs="Times New Roman"/>
        </w:rPr>
        <w:t>17.</w:t>
      </w:r>
    </w:p>
  </w:footnote>
  <w:footnote w:id="35">
    <w:p w14:paraId="41A2B72E"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Nixon, et al, (n.33), pp.</w:t>
      </w:r>
      <w:r w:rsidRPr="003C67AD">
        <w:rPr>
          <w:rFonts w:ascii="Palatino Linotype" w:hAnsi="Palatino Linotype" w:cs="Times New Roman"/>
          <w:bCs/>
        </w:rPr>
        <w:t>20.</w:t>
      </w:r>
    </w:p>
  </w:footnote>
  <w:footnote w:id="36">
    <w:p w14:paraId="1A5A3B8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Bright and Whitehouse, (</w:t>
      </w:r>
      <w:r w:rsidRPr="003C67AD">
        <w:rPr>
          <w:rFonts w:ascii="Palatino Linotype" w:hAnsi="Palatino Linotype" w:cs="Times New Roman"/>
          <w:iCs/>
          <w:lang w:val="en-US"/>
        </w:rPr>
        <w:t>n.5), pp.</w:t>
      </w:r>
      <w:r w:rsidRPr="003C67AD">
        <w:rPr>
          <w:rFonts w:ascii="Palatino Linotype" w:hAnsi="Palatino Linotype" w:cs="Times New Roman"/>
          <w:bCs/>
          <w:iCs/>
          <w:lang w:val="en-US"/>
        </w:rPr>
        <w:t>39.</w:t>
      </w:r>
    </w:p>
  </w:footnote>
  <w:footnote w:id="37">
    <w:p w14:paraId="12A96489"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Whitehouse, et al, (n.5).</w:t>
      </w:r>
    </w:p>
  </w:footnote>
  <w:footnote w:id="38">
    <w:p w14:paraId="078296BE" w14:textId="77777777" w:rsidR="00EB3875" w:rsidRPr="003C67AD" w:rsidRDefault="00EB3875" w:rsidP="001B49ED">
      <w:pPr>
        <w:spacing w:line="276" w:lineRule="auto"/>
        <w:textAlignment w:val="baseline"/>
        <w:rPr>
          <w:rFonts w:ascii="Palatino Linotype" w:eastAsia="Arial" w:hAnsi="Palatino Linotype" w:cs="Times New Roman"/>
          <w:color w:val="000000"/>
          <w:spacing w:val="3"/>
          <w:w w:val="110"/>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Ministry of Justice, </w:t>
      </w:r>
      <w:r w:rsidRPr="003C67AD">
        <w:rPr>
          <w:rFonts w:ascii="Palatino Linotype" w:hAnsi="Palatino Linotype" w:cs="Times New Roman"/>
          <w:i/>
          <w:iCs/>
        </w:rPr>
        <w:t>Solving disputes in the county courts: creating a simpler, quicker and more proportionate system</w:t>
      </w:r>
      <w:r w:rsidRPr="003C67AD">
        <w:rPr>
          <w:rFonts w:ascii="Palatino Linotype" w:hAnsi="Palatino Linotype" w:cs="Times New Roman"/>
        </w:rPr>
        <w:t xml:space="preserve">, March 2011, CP6/2011, Cm 8045, </w:t>
      </w:r>
      <w:r w:rsidRPr="003C67AD">
        <w:rPr>
          <w:rFonts w:ascii="Palatino Linotype" w:hAnsi="Palatino Linotype" w:cs="Times New Roman"/>
          <w:lang w:val="en-US"/>
        </w:rPr>
        <w:t xml:space="preserve">para 98. For other studies reporting attendance rates, see </w:t>
      </w:r>
      <w:r w:rsidRPr="003C67AD">
        <w:rPr>
          <w:rFonts w:ascii="Palatino Linotype" w:hAnsi="Palatino Linotype" w:cs="Times New Roman"/>
          <w:bCs/>
          <w:iCs/>
        </w:rPr>
        <w:t xml:space="preserve">Hunter, et al, (n.33), </w:t>
      </w:r>
      <w:r w:rsidRPr="003C67AD">
        <w:rPr>
          <w:rFonts w:ascii="Palatino Linotype" w:hAnsi="Palatino Linotype" w:cs="Times New Roman"/>
        </w:rPr>
        <w:t>and references therein 16-17 and 24-25.</w:t>
      </w:r>
    </w:p>
  </w:footnote>
  <w:footnote w:id="39">
    <w:p w14:paraId="37DDA8A0"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Ministry of Justice, </w:t>
      </w:r>
      <w:r w:rsidRPr="003C67AD">
        <w:rPr>
          <w:rFonts w:ascii="Palatino Linotype" w:hAnsi="Palatino Linotype" w:cs="Times New Roman"/>
          <w:i/>
          <w:iCs/>
          <w:lang w:val="en-US"/>
        </w:rPr>
        <w:t>Review of Civil Litigation Costs, Preliminary Report, Vol 1</w:t>
      </w:r>
      <w:r w:rsidRPr="003C67AD">
        <w:rPr>
          <w:rFonts w:ascii="Palatino Linotype" w:hAnsi="Palatino Linotype" w:cs="Times New Roman"/>
          <w:lang w:val="en-US"/>
        </w:rPr>
        <w:t>, (May 2009), ch.31 para 2.12.</w:t>
      </w:r>
    </w:p>
  </w:footnote>
  <w:footnote w:id="40">
    <w:p w14:paraId="4D9AE568"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Nixon, et al, (n.33), pp.</w:t>
      </w:r>
      <w:r w:rsidRPr="003C67AD">
        <w:rPr>
          <w:rFonts w:ascii="Palatino Linotype" w:hAnsi="Palatino Linotype" w:cs="Times New Roman"/>
          <w:bCs/>
        </w:rPr>
        <w:t>18.</w:t>
      </w:r>
    </w:p>
  </w:footnote>
  <w:footnote w:id="41">
    <w:p w14:paraId="4A5F941B"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Whitehouse, et al, (n.3). </w:t>
      </w:r>
    </w:p>
  </w:footnote>
  <w:footnote w:id="42">
    <w:p w14:paraId="4FC1BB08"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Bright and Whitehouse, (</w:t>
      </w:r>
      <w:r w:rsidRPr="003C67AD">
        <w:rPr>
          <w:rFonts w:ascii="Palatino Linotype" w:hAnsi="Palatino Linotype" w:cs="Times New Roman"/>
          <w:iCs/>
          <w:lang w:val="en-US"/>
        </w:rPr>
        <w:t>n.4), pp.3.</w:t>
      </w:r>
    </w:p>
  </w:footnote>
  <w:footnote w:id="43">
    <w:p w14:paraId="5630F8F9" w14:textId="0BFEC109"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See the illuminating account of such a case in practice, albeit based on a mandatory ground for possession, by  Loveland,</w:t>
      </w:r>
      <w:r w:rsidR="00BC7287">
        <w:rPr>
          <w:rFonts w:ascii="Palatino Linotype" w:hAnsi="Palatino Linotype" w:cs="Times New Roman"/>
          <w:lang w:val="en-US"/>
        </w:rPr>
        <w:t xml:space="preserve"> I.</w:t>
      </w:r>
      <w:r w:rsidRPr="003C67AD">
        <w:rPr>
          <w:rFonts w:ascii="Palatino Linotype" w:hAnsi="Palatino Linotype" w:cs="Times New Roman"/>
          <w:lang w:val="en-US"/>
        </w:rPr>
        <w:t xml:space="preserve"> ‘“Human rights” Defences in Residential Possession Proceedings: A Cautionary Tale’ (2017) 28 </w:t>
      </w:r>
      <w:r w:rsidRPr="003C67AD">
        <w:rPr>
          <w:rFonts w:ascii="Palatino Linotype" w:hAnsi="Palatino Linotype" w:cs="Times New Roman"/>
          <w:i/>
          <w:iCs/>
          <w:lang w:val="en-US"/>
        </w:rPr>
        <w:t>Kings LJ</w:t>
      </w:r>
      <w:r w:rsidRPr="003C67AD">
        <w:rPr>
          <w:rFonts w:ascii="Palatino Linotype" w:hAnsi="Palatino Linotype" w:cs="Times New Roman"/>
          <w:lang w:val="en-US"/>
        </w:rPr>
        <w:t xml:space="preserve"> 130.</w:t>
      </w:r>
    </w:p>
  </w:footnote>
  <w:footnote w:id="44">
    <w:p w14:paraId="2FCC44D8"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an account of the decline in housing work starts since the introduction of the Legal Aid, Sentencing and Punishment of Offenders (LASPO) Act 2012 see Ministry of Justice and Legal Aid Agency, </w:t>
      </w:r>
      <w:r w:rsidRPr="003C67AD">
        <w:rPr>
          <w:rFonts w:ascii="Palatino Linotype" w:hAnsi="Palatino Linotype" w:cs="Times New Roman"/>
          <w:i/>
          <w:iCs/>
        </w:rPr>
        <w:t>Legal Aid Statistics quarterly, England and Wales, July to September 2017</w:t>
      </w:r>
      <w:r w:rsidRPr="003C67AD">
        <w:rPr>
          <w:rFonts w:ascii="Palatino Linotype" w:hAnsi="Palatino Linotype" w:cs="Times New Roman"/>
          <w:lang w:val="en-AU"/>
        </w:rPr>
        <w:t xml:space="preserve">, 7-8 and </w:t>
      </w:r>
      <w:r w:rsidRPr="003C67AD">
        <w:rPr>
          <w:rFonts w:ascii="Palatino Linotype" w:hAnsi="Palatino Linotype" w:cs="Times New Roman"/>
        </w:rPr>
        <w:t>Bright and Whitehouse, (</w:t>
      </w:r>
      <w:r w:rsidRPr="003C67AD">
        <w:rPr>
          <w:rFonts w:ascii="Palatino Linotype" w:hAnsi="Palatino Linotype" w:cs="Times New Roman"/>
          <w:iCs/>
          <w:lang w:val="en-US"/>
        </w:rPr>
        <w:t>n.5),</w:t>
      </w:r>
      <w:r w:rsidRPr="003C67AD">
        <w:rPr>
          <w:rFonts w:ascii="Palatino Linotype" w:hAnsi="Palatino Linotype" w:cs="Times New Roman"/>
          <w:bCs/>
          <w:iCs/>
          <w:lang w:val="en-US"/>
        </w:rPr>
        <w:t xml:space="preserve"> </w:t>
      </w:r>
      <w:r w:rsidRPr="003C67AD">
        <w:rPr>
          <w:rFonts w:ascii="Palatino Linotype" w:hAnsi="Palatino Linotype" w:cs="Times New Roman"/>
        </w:rPr>
        <w:t>Ch.4 and pp.66-67.</w:t>
      </w:r>
    </w:p>
  </w:footnote>
  <w:footnote w:id="45">
    <w:p w14:paraId="4A79EAE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Bright and Whitehouse, (</w:t>
      </w:r>
      <w:r w:rsidRPr="003C67AD">
        <w:rPr>
          <w:rFonts w:ascii="Palatino Linotype" w:hAnsi="Palatino Linotype" w:cs="Times New Roman"/>
          <w:iCs/>
          <w:lang w:val="en-US"/>
        </w:rPr>
        <w:t>n.5), pp.</w:t>
      </w:r>
      <w:r w:rsidRPr="003C67AD">
        <w:rPr>
          <w:rFonts w:ascii="Palatino Linotype" w:hAnsi="Palatino Linotype" w:cs="Times New Roman"/>
          <w:lang w:val="en-US"/>
        </w:rPr>
        <w:t xml:space="preserve">46-48; </w:t>
      </w:r>
      <w:r w:rsidRPr="003C67AD">
        <w:rPr>
          <w:rFonts w:ascii="Palatino Linotype" w:eastAsia="Calibri" w:hAnsi="Palatino Linotype" w:cs="Times New Roman"/>
        </w:rPr>
        <w:t xml:space="preserve">Blandy, et al, (n.33); </w:t>
      </w:r>
      <w:r w:rsidRPr="003C67AD">
        <w:rPr>
          <w:rFonts w:ascii="Palatino Linotype" w:eastAsia="Calibri" w:hAnsi="Palatino Linotype" w:cs="Times New Roman"/>
          <w:lang w:val="en-US"/>
        </w:rPr>
        <w:t xml:space="preserve"> Ford, J. Kempson, E. &amp; Wilson, M. ‘</w:t>
      </w:r>
      <w:r w:rsidRPr="003C67AD">
        <w:rPr>
          <w:rFonts w:ascii="Palatino Linotype" w:eastAsia="Calibri" w:hAnsi="Palatino Linotype" w:cs="Times New Roman"/>
          <w:iCs/>
          <w:lang w:val="en-US"/>
        </w:rPr>
        <w:t>Mortgage Arrears and Possessions; Perspectives from Borrowers, Lenders and the Courts’</w:t>
      </w:r>
      <w:r w:rsidRPr="003C67AD">
        <w:rPr>
          <w:rFonts w:ascii="Palatino Linotype" w:eastAsia="Calibri" w:hAnsi="Palatino Linotype" w:cs="Times New Roman"/>
          <w:lang w:val="en-US"/>
        </w:rPr>
        <w:t xml:space="preserve"> (London: HMSO, 1995); </w:t>
      </w:r>
      <w:r w:rsidRPr="003C67AD">
        <w:rPr>
          <w:rFonts w:ascii="Palatino Linotype" w:hAnsi="Palatino Linotype" w:cs="Times New Roman"/>
          <w:bCs/>
          <w:iCs/>
        </w:rPr>
        <w:t>Hunter, et al, (n.33)</w:t>
      </w:r>
      <w:r w:rsidRPr="003C67AD">
        <w:rPr>
          <w:rFonts w:ascii="Palatino Linotype" w:eastAsia="Calibri" w:hAnsi="Palatino Linotype" w:cs="Times New Roman"/>
          <w:bCs/>
          <w:iCs/>
        </w:rPr>
        <w:t xml:space="preserve">; </w:t>
      </w:r>
      <w:r w:rsidRPr="003C67AD">
        <w:rPr>
          <w:rFonts w:ascii="Palatino Linotype" w:eastAsia="Calibri" w:hAnsi="Palatino Linotype" w:cs="Times New Roman"/>
        </w:rPr>
        <w:t xml:space="preserve">Nixon, et al, (n.33) ; </w:t>
      </w:r>
      <w:r w:rsidRPr="003C67AD">
        <w:rPr>
          <w:rFonts w:ascii="Palatino Linotype" w:eastAsia="Calibri" w:hAnsi="Palatino Linotype" w:cs="Times New Roman"/>
          <w:lang w:val="en-US"/>
        </w:rPr>
        <w:t xml:space="preserve">and </w:t>
      </w:r>
      <w:r w:rsidRPr="003C67AD">
        <w:rPr>
          <w:rFonts w:ascii="Palatino Linotype" w:eastAsia="Calibri" w:hAnsi="Palatino Linotype" w:cs="Times New Roman"/>
        </w:rPr>
        <w:t>Whitehouse, L. ‘A Longitudinal Analysis of the Mortgage Repossession Process 1995-2010:</w:t>
      </w:r>
      <w:r w:rsidRPr="003C67AD">
        <w:rPr>
          <w:rFonts w:ascii="Palatino Linotype" w:hAnsi="Palatino Linotype" w:cs="Times New Roman"/>
        </w:rPr>
        <w:t xml:space="preserve"> </w:t>
      </w:r>
      <w:r w:rsidRPr="003C67AD">
        <w:rPr>
          <w:rFonts w:ascii="Palatino Linotype" w:eastAsia="Calibri" w:hAnsi="Palatino Linotype" w:cs="Times New Roman"/>
        </w:rPr>
        <w:t xml:space="preserve">Stability, Regulation and Reform’ in Bright, S. (ed) </w:t>
      </w:r>
      <w:r w:rsidRPr="003C67AD">
        <w:rPr>
          <w:rFonts w:ascii="Palatino Linotype" w:eastAsia="Calibri" w:hAnsi="Palatino Linotype" w:cs="Times New Roman"/>
          <w:i/>
        </w:rPr>
        <w:t>Modern Studies in Property Law</w:t>
      </w:r>
      <w:r w:rsidRPr="003C67AD">
        <w:rPr>
          <w:rFonts w:ascii="Palatino Linotype" w:eastAsia="Calibri" w:hAnsi="Palatino Linotype" w:cs="Times New Roman"/>
        </w:rPr>
        <w:t xml:space="preserve"> (Oxford: Hart Publishing, 2011), pp.151-174.</w:t>
      </w:r>
    </w:p>
  </w:footnote>
  <w:footnote w:id="46">
    <w:p w14:paraId="4234C6D4"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an account of the HPCDS see Bright and Whitehouse, </w:t>
      </w:r>
      <w:r w:rsidRPr="003C67AD">
        <w:rPr>
          <w:rFonts w:ascii="Palatino Linotype" w:hAnsi="Palatino Linotype" w:cs="Times New Roman"/>
          <w:iCs/>
          <w:lang w:val="en-US"/>
        </w:rPr>
        <w:t>(n.4), pp.</w:t>
      </w:r>
      <w:r w:rsidRPr="003C67AD">
        <w:rPr>
          <w:rFonts w:ascii="Palatino Linotype" w:hAnsi="Palatino Linotype" w:cs="Times New Roman"/>
        </w:rPr>
        <w:t>59-68.</w:t>
      </w:r>
    </w:p>
  </w:footnote>
  <w:footnote w:id="47">
    <w:p w14:paraId="7DBC8DFA" w14:textId="77777777" w:rsidR="00EB3875" w:rsidRPr="003C67AD" w:rsidRDefault="00EB3875" w:rsidP="001B49ED">
      <w:pPr>
        <w:pStyle w:val="FootnoteText"/>
        <w:spacing w:line="276" w:lineRule="auto"/>
        <w:contextualSpacing/>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Cleghorn, M. ‘LASPO 2012 and Housing Law’ (17 December 2012) Garden Court North Chambers, Housing law resources.</w:t>
      </w:r>
    </w:p>
  </w:footnote>
  <w:footnote w:id="48">
    <w:p w14:paraId="459F9D4A" w14:textId="77777777" w:rsidR="00EB3875" w:rsidRPr="003C67AD" w:rsidRDefault="00EB3875" w:rsidP="001B49ED">
      <w:pPr>
        <w:pStyle w:val="FootnoteText"/>
        <w:spacing w:line="276" w:lineRule="auto"/>
        <w:contextualSpacing/>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Civil Justice Council, ‘Written evidence from the Civil Justice Council - LAS 80’ (April 2014), para 19, at http://www.parliament.uk/business/committees/committees-a-z/commons-select/justice-committee/inquiries/parliament-2010/laspo/?type=Written#pnlPublicationFilter.</w:t>
      </w:r>
    </w:p>
  </w:footnote>
  <w:footnote w:id="49">
    <w:p w14:paraId="17620843" w14:textId="77777777" w:rsidR="00EB3875" w:rsidRPr="003C67AD" w:rsidRDefault="00EB3875" w:rsidP="001B49ED">
      <w:pPr>
        <w:pStyle w:val="FootnoteText"/>
        <w:spacing w:line="276" w:lineRule="auto"/>
        <w:contextualSpacing/>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LASPO, Sched 1, Parts 1 and 2.</w:t>
      </w:r>
    </w:p>
  </w:footnote>
  <w:footnote w:id="50">
    <w:p w14:paraId="26E3A6CB" w14:textId="77777777" w:rsidR="00EB3875" w:rsidRPr="003C67AD" w:rsidRDefault="00EB3875" w:rsidP="001B49ED">
      <w:pPr>
        <w:pStyle w:val="FootnoteText"/>
        <w:spacing w:line="276" w:lineRule="auto"/>
        <w:contextualSpacing/>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LASPO, Sched 1, Part 1, para 33(1).</w:t>
      </w:r>
    </w:p>
  </w:footnote>
  <w:footnote w:id="51">
    <w:p w14:paraId="068272EC"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evidence from Citizens Advice Bureaux, Civil Justice Council and Shelter at http://www.parliament.uk/business/committees/committees-a-z/commons-select/justice-committee/inquiries/parliament-2010/laspo/?type=Written#pnlPublicationFilte.</w:t>
      </w:r>
    </w:p>
  </w:footnote>
  <w:footnote w:id="52">
    <w:p w14:paraId="557F6B8D"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more information on Law Centres see http://www.lawcentres.org.uk/.</w:t>
      </w:r>
    </w:p>
  </w:footnote>
  <w:footnote w:id="53">
    <w:p w14:paraId="144DD35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Law Centres Network, ‘Review legal aid to ensure access to justice: our response to JSC report’, (12.03.2015), available at http://www.lawcentres.org.uk/policy/news/news/review-legal-aid-to-ensure-access-to-justice-our-response-to-jsc-report.</w:t>
      </w:r>
    </w:p>
  </w:footnote>
  <w:footnote w:id="54">
    <w:p w14:paraId="08B0B521" w14:textId="77777777" w:rsidR="00EB3875" w:rsidRPr="003C67AD" w:rsidRDefault="00EB3875" w:rsidP="001B49ED">
      <w:pPr>
        <w:pStyle w:val="FootnoteText"/>
        <w:spacing w:line="276" w:lineRule="auto"/>
        <w:contextualSpacing/>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lang w:val="en-US"/>
        </w:rPr>
        <w:t xml:space="preserve"> Sandbach, J. ‘Justice Select Committee evidence on LASPO impacts’ (16.05.2014) </w:t>
      </w:r>
      <w:r w:rsidRPr="003C67AD">
        <w:rPr>
          <w:rFonts w:ascii="Palatino Linotype" w:hAnsi="Palatino Linotype" w:cs="Times New Roman"/>
          <w:i/>
          <w:lang w:val="en-US"/>
        </w:rPr>
        <w:t>Legal Voice</w:t>
      </w:r>
      <w:r w:rsidRPr="003C67AD">
        <w:rPr>
          <w:rFonts w:ascii="Palatino Linotype" w:hAnsi="Palatino Linotype" w:cs="Times New Roman"/>
          <w:lang w:val="en-US"/>
        </w:rPr>
        <w:t>, available at http://perma.cc/V5ZC-WCGU.</w:t>
      </w:r>
    </w:p>
  </w:footnote>
  <w:footnote w:id="55">
    <w:p w14:paraId="7E215946"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Citizens Advice, ‘Geography of Advice: An Overview of the Challenges Facing the Community Legal Service’ (London: Citizens Advice, 2004), para. 1.6 and</w:t>
      </w:r>
      <w:r w:rsidRPr="003C67AD">
        <w:rPr>
          <w:rFonts w:ascii="Palatino Linotype" w:hAnsi="Palatino Linotype" w:cs="Times New Roman"/>
          <w:bCs/>
        </w:rPr>
        <w:t xml:space="preserve"> Law Society, ‘</w:t>
      </w:r>
      <w:r w:rsidRPr="003C67AD">
        <w:rPr>
          <w:rFonts w:ascii="Palatino Linotype" w:hAnsi="Palatino Linotype" w:cs="Times New Roman"/>
        </w:rPr>
        <w:t>Lack of housing legal aid services is leading to nationwide advice deserts’, (27.07.2016).</w:t>
      </w:r>
    </w:p>
  </w:footnote>
  <w:footnote w:id="56">
    <w:p w14:paraId="606ACBA9"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i/>
          <w:iCs/>
        </w:rPr>
        <w:t>Thurrock Borough Council v West</w:t>
      </w:r>
      <w:r w:rsidRPr="003C67AD">
        <w:rPr>
          <w:rFonts w:ascii="Palatino Linotype" w:hAnsi="Palatino Linotype" w:cs="Times New Roman"/>
        </w:rPr>
        <w:t xml:space="preserve"> [2012] EWCA Civ 1435.</w:t>
      </w:r>
    </w:p>
  </w:footnote>
  <w:footnote w:id="57">
    <w:p w14:paraId="7C140EB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an account of the manner in which possession cases are listed see Bright and Whitehouse, (</w:t>
      </w:r>
      <w:r w:rsidRPr="003C67AD">
        <w:rPr>
          <w:rFonts w:ascii="Palatino Linotype" w:hAnsi="Palatino Linotype" w:cs="Times New Roman"/>
          <w:iCs/>
          <w:lang w:val="en-US"/>
        </w:rPr>
        <w:t>n.5),</w:t>
      </w:r>
      <w:r w:rsidRPr="003C67AD">
        <w:rPr>
          <w:rFonts w:ascii="Palatino Linotype" w:hAnsi="Palatino Linotype" w:cs="Times New Roman"/>
          <w:bCs/>
          <w:iCs/>
          <w:lang w:val="en-US"/>
        </w:rPr>
        <w:t xml:space="preserve"> pp.40-45 and </w:t>
      </w:r>
      <w:r w:rsidRPr="003C67AD">
        <w:rPr>
          <w:rFonts w:ascii="Palatino Linotype" w:hAnsi="Palatino Linotype" w:cs="Times New Roman"/>
          <w:bCs/>
          <w:iCs/>
        </w:rPr>
        <w:t>Hunter, et al., (n.33), pp.29.</w:t>
      </w:r>
    </w:p>
  </w:footnote>
  <w:footnote w:id="58">
    <w:p w14:paraId="2884CFFB" w14:textId="77777777" w:rsidR="00EB3875" w:rsidRPr="003C67AD" w:rsidRDefault="00EB3875" w:rsidP="001B49ED">
      <w:pPr>
        <w:pStyle w:val="FootnoteText"/>
        <w:spacing w:line="276" w:lineRule="auto"/>
        <w:rPr>
          <w:rFonts w:ascii="Palatino Linotype" w:hAnsi="Palatino Linotype" w:cs="Times New Roman"/>
          <w:lang w:val="da-DK"/>
        </w:rPr>
      </w:pPr>
      <w:r w:rsidRPr="003C67AD">
        <w:rPr>
          <w:rStyle w:val="FootnoteReference"/>
          <w:rFonts w:ascii="Palatino Linotype" w:hAnsi="Palatino Linotype" w:cs="Times New Roman"/>
        </w:rPr>
        <w:footnoteRef/>
      </w:r>
      <w:r w:rsidRPr="003C67AD">
        <w:rPr>
          <w:rFonts w:ascii="Palatino Linotype" w:hAnsi="Palatino Linotype" w:cs="Times New Roman"/>
          <w:lang w:val="da-DK"/>
        </w:rPr>
        <w:t xml:space="preserve"> </w:t>
      </w:r>
      <w:r w:rsidRPr="003C67AD">
        <w:rPr>
          <w:rFonts w:ascii="Palatino Linotype" w:hAnsi="Palatino Linotype" w:cs="Times New Roman"/>
        </w:rPr>
        <w:t>Bright and Whitehouse, (</w:t>
      </w:r>
      <w:r w:rsidRPr="003C67AD">
        <w:rPr>
          <w:rFonts w:ascii="Palatino Linotype" w:hAnsi="Palatino Linotype" w:cs="Times New Roman"/>
          <w:iCs/>
          <w:lang w:val="en-US"/>
        </w:rPr>
        <w:t>n.5),</w:t>
      </w:r>
      <w:r w:rsidRPr="003C67AD">
        <w:rPr>
          <w:rFonts w:ascii="Palatino Linotype" w:hAnsi="Palatino Linotype" w:cs="Times New Roman"/>
          <w:bCs/>
          <w:iCs/>
          <w:lang w:val="en-US"/>
        </w:rPr>
        <w:t xml:space="preserve"> pp.</w:t>
      </w:r>
      <w:r w:rsidRPr="003C67AD">
        <w:rPr>
          <w:rFonts w:ascii="Palatino Linotype" w:hAnsi="Palatino Linotype" w:cs="Times New Roman"/>
          <w:lang w:val="da-DK"/>
        </w:rPr>
        <w:t>32.</w:t>
      </w:r>
    </w:p>
  </w:footnote>
  <w:footnote w:id="59">
    <w:p w14:paraId="0A2B99D7"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Paths to Justice research has found that justiciable problems tend to come in clusters so that occupiers with financial problems are also likely to be experiencing relationship breakdown, consumer problems and ill health. See, for example, Genn, H. </w:t>
      </w:r>
      <w:r w:rsidRPr="003C67AD">
        <w:rPr>
          <w:rFonts w:ascii="Palatino Linotype" w:hAnsi="Palatino Linotype" w:cs="Times New Roman"/>
          <w:i/>
        </w:rPr>
        <w:t>Paths to Justice: What People Do and Think About Going to Law</w:t>
      </w:r>
      <w:r w:rsidRPr="003C67AD">
        <w:rPr>
          <w:rFonts w:ascii="Palatino Linotype" w:hAnsi="Palatino Linotype" w:cs="Times New Roman"/>
        </w:rPr>
        <w:t xml:space="preserve"> (Oxford: Hart Publishing, 1999) and Pleasence, P., Balmer, N. J., &amp; Sandefur, R. L. ‘Paths to Justice: A Past, Present and Future Roadmap’ (London: UCL Centre for Empirical Legal Studies, 2013), pp.36-37.</w:t>
      </w:r>
    </w:p>
  </w:footnote>
  <w:footnote w:id="60">
    <w:p w14:paraId="45B995C9"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Ministry of Justice, ‘Solving disputes in the county courts: creating a simpler, quicker and more proportionate system’, Cm 8045, para 100.</w:t>
      </w:r>
    </w:p>
  </w:footnote>
  <w:footnote w:id="61">
    <w:p w14:paraId="7BB42133" w14:textId="77777777" w:rsidR="00EB3875" w:rsidRPr="003C67AD" w:rsidRDefault="00EB3875" w:rsidP="001B49ED">
      <w:pPr>
        <w:pStyle w:val="FootnoteText"/>
        <w:spacing w:line="276" w:lineRule="auto"/>
        <w:rPr>
          <w:rFonts w:ascii="Palatino Linotype" w:hAnsi="Palatino Linotype" w:cs="Times New Roman"/>
          <w:lang w:val="hr-HR"/>
        </w:rPr>
      </w:pPr>
      <w:r w:rsidRPr="003C67AD">
        <w:rPr>
          <w:rStyle w:val="FootnoteReference"/>
          <w:rFonts w:ascii="Palatino Linotype" w:hAnsi="Palatino Linotype" w:cs="Times New Roman"/>
        </w:rPr>
        <w:footnoteRef/>
      </w:r>
      <w:r w:rsidRPr="003C67AD">
        <w:rPr>
          <w:rFonts w:ascii="Palatino Linotype" w:hAnsi="Palatino Linotype" w:cs="Times New Roman"/>
          <w:lang w:val="hr-HR"/>
        </w:rPr>
        <w:t xml:space="preserve"> </w:t>
      </w:r>
      <w:r w:rsidRPr="003C67AD">
        <w:rPr>
          <w:rFonts w:ascii="Palatino Linotype" w:hAnsi="Palatino Linotype" w:cs="Times New Roman"/>
        </w:rPr>
        <w:t xml:space="preserve">Shelter/YouGov, </w:t>
      </w:r>
      <w:r w:rsidRPr="003C67AD">
        <w:rPr>
          <w:rFonts w:ascii="Palatino Linotype" w:hAnsi="Palatino Linotype" w:cs="Times New Roman"/>
          <w:lang w:val="hr-HR"/>
        </w:rPr>
        <w:t>‘One in 11 Brits worry they can’t pay the rent or mortgage this January' (Shelter/YouGov Survey, 6 January 2014), available at &lt;</w:t>
      </w:r>
      <w:hyperlink r:id="rId1" w:history="1">
        <w:r w:rsidRPr="003C67AD">
          <w:rPr>
            <w:rStyle w:val="Hyperlink"/>
            <w:rFonts w:ascii="Palatino Linotype" w:hAnsi="Palatino Linotype" w:cs="Times New Roman"/>
            <w:lang w:val="hr-HR"/>
          </w:rPr>
          <w:t>http://perma.cc/R8R2-Z6RY</w:t>
        </w:r>
      </w:hyperlink>
      <w:r w:rsidRPr="003C67AD">
        <w:rPr>
          <w:rFonts w:ascii="Palatino Linotype" w:hAnsi="Palatino Linotype" w:cs="Times New Roman"/>
          <w:lang w:val="hr-HR"/>
        </w:rPr>
        <w:t>&gt;.</w:t>
      </w:r>
    </w:p>
  </w:footnote>
  <w:footnote w:id="62">
    <w:p w14:paraId="486A91EB" w14:textId="77777777" w:rsidR="00EB3875" w:rsidRPr="003C67AD" w:rsidRDefault="00EB3875" w:rsidP="001B49ED">
      <w:pPr>
        <w:pStyle w:val="FootnoteText"/>
        <w:spacing w:line="276" w:lineRule="auto"/>
        <w:rPr>
          <w:rFonts w:ascii="Palatino Linotype" w:hAnsi="Palatino Linotype" w:cs="Times New Roman"/>
          <w:lang w:val="en-U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Shelter/YouGov, ‘1.4 million Britons falling behind with the rent or mortgage’ (Shelter/YouGov Survey, 4 January 2013) available at http://england.shelter.org.uk/news/january_2013/1.4_million_britons_falling_behind_with_the_rent_or_mortgage</w:t>
      </w:r>
      <w:r w:rsidRPr="003C67AD">
        <w:rPr>
          <w:rStyle w:val="Hyperlink"/>
          <w:rFonts w:ascii="Palatino Linotype" w:hAnsi="Palatino Linotype" w:cs="Times New Roman"/>
        </w:rPr>
        <w:t>.</w:t>
      </w:r>
    </w:p>
  </w:footnote>
  <w:footnote w:id="63">
    <w:p w14:paraId="3B6CCFE5" w14:textId="77777777" w:rsidR="00EB3875" w:rsidRPr="003C67AD" w:rsidRDefault="00EB3875" w:rsidP="001B49ED">
      <w:pPr>
        <w:pStyle w:val="FootnoteText"/>
        <w:spacing w:line="276" w:lineRule="auto"/>
        <w:rPr>
          <w:rFonts w:ascii="Palatino Linotype" w:hAnsi="Palatino Linotype" w:cs="Times New Roman"/>
          <w:bCs/>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Whitehouse, et al, (n.4) above; Nixon, et al, (n.33), pp.</w:t>
      </w:r>
      <w:r w:rsidRPr="003C67AD">
        <w:rPr>
          <w:rFonts w:ascii="Palatino Linotype" w:hAnsi="Palatino Linotype" w:cs="Times New Roman"/>
          <w:bCs/>
        </w:rPr>
        <w:t xml:space="preserve">52-53 and </w:t>
      </w:r>
      <w:r w:rsidRPr="003C67AD">
        <w:rPr>
          <w:rFonts w:ascii="Palatino Linotype" w:hAnsi="Palatino Linotype" w:cs="Times New Roman"/>
          <w:bCs/>
          <w:iCs/>
        </w:rPr>
        <w:t xml:space="preserve">Hunter, et al. (n.33), </w:t>
      </w:r>
      <w:r w:rsidRPr="003C67AD">
        <w:rPr>
          <w:rFonts w:ascii="Palatino Linotype" w:hAnsi="Palatino Linotype" w:cs="Times New Roman"/>
          <w:bCs/>
        </w:rPr>
        <w:t>Table 5, pp.18.</w:t>
      </w:r>
    </w:p>
  </w:footnote>
  <w:footnote w:id="64">
    <w:p w14:paraId="587050C4"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Whitehouse, et al. (n.4)</w:t>
      </w:r>
    </w:p>
  </w:footnote>
  <w:footnote w:id="65">
    <w:p w14:paraId="67D76177" w14:textId="77777777" w:rsidR="00EB3875" w:rsidRPr="003C67AD" w:rsidRDefault="00EB3875" w:rsidP="001B49ED">
      <w:pPr>
        <w:pStyle w:val="FootnoteText"/>
        <w:spacing w:line="276" w:lineRule="auto"/>
        <w:rPr>
          <w:rFonts w:ascii="Palatino Linotype" w:hAnsi="Palatino Linotype" w:cs="Times New Roman"/>
          <w:lang w:val="da-DK"/>
        </w:rPr>
      </w:pPr>
      <w:r w:rsidRPr="003C67AD">
        <w:rPr>
          <w:rStyle w:val="FootnoteReference"/>
          <w:rFonts w:ascii="Palatino Linotype" w:hAnsi="Palatino Linotype" w:cs="Times New Roman"/>
        </w:rPr>
        <w:footnoteRef/>
      </w:r>
      <w:r w:rsidRPr="003C67AD">
        <w:rPr>
          <w:rFonts w:ascii="Palatino Linotype" w:hAnsi="Palatino Linotype" w:cs="Times New Roman"/>
          <w:lang w:val="da-DK"/>
        </w:rPr>
        <w:t xml:space="preserve"> </w:t>
      </w:r>
      <w:r w:rsidRPr="003C67AD">
        <w:rPr>
          <w:rFonts w:ascii="Palatino Linotype" w:hAnsi="Palatino Linotype" w:cs="Times New Roman"/>
          <w:bCs/>
          <w:iCs/>
        </w:rPr>
        <w:t>Hunter, et al. (n.33), pp.</w:t>
      </w:r>
      <w:r w:rsidRPr="003C67AD">
        <w:rPr>
          <w:rFonts w:ascii="Palatino Linotype" w:hAnsi="Palatino Linotype" w:cs="Times New Roman"/>
          <w:lang w:val="da-DK"/>
        </w:rPr>
        <w:t>18.</w:t>
      </w:r>
    </w:p>
  </w:footnote>
  <w:footnote w:id="66">
    <w:p w14:paraId="4CC31282" w14:textId="77777777" w:rsidR="00EB3875" w:rsidRPr="003C67AD" w:rsidRDefault="00EB3875" w:rsidP="001B49ED">
      <w:pPr>
        <w:pStyle w:val="FootnoteText"/>
        <w:spacing w:line="276" w:lineRule="auto"/>
        <w:rPr>
          <w:rFonts w:ascii="Palatino Linotype" w:hAnsi="Palatino Linotype" w:cs="Times New Roman"/>
          <w:lang w:val="da-DK"/>
        </w:rPr>
      </w:pPr>
      <w:r w:rsidRPr="003C67AD">
        <w:rPr>
          <w:rStyle w:val="FootnoteReference"/>
          <w:rFonts w:ascii="Palatino Linotype" w:hAnsi="Palatino Linotype" w:cs="Times New Roman"/>
        </w:rPr>
        <w:footnoteRef/>
      </w:r>
      <w:r w:rsidRPr="003C67AD">
        <w:rPr>
          <w:rFonts w:ascii="Palatino Linotype" w:hAnsi="Palatino Linotype" w:cs="Times New Roman"/>
          <w:lang w:val="da-DK"/>
        </w:rPr>
        <w:t xml:space="preserve"> Ibid, (2005).</w:t>
      </w:r>
    </w:p>
  </w:footnote>
  <w:footnote w:id="67">
    <w:p w14:paraId="72A9DDDD"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Ibid,</w:t>
      </w:r>
      <w:r w:rsidRPr="003C67AD">
        <w:rPr>
          <w:rFonts w:ascii="Palatino Linotype" w:hAnsi="Palatino Linotype" w:cs="Times New Roman"/>
          <w:bCs/>
          <w:iCs/>
        </w:rPr>
        <w:t xml:space="preserve"> (2005), pp.</w:t>
      </w:r>
      <w:r w:rsidRPr="003C67AD">
        <w:rPr>
          <w:rFonts w:ascii="Palatino Linotype" w:hAnsi="Palatino Linotype" w:cs="Times New Roman"/>
        </w:rPr>
        <w:t>106.</w:t>
      </w:r>
    </w:p>
  </w:footnote>
  <w:footnote w:id="68">
    <w:p w14:paraId="79B162EA"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lang w:val="en-US"/>
        </w:rPr>
        <w:t>Ibid,</w:t>
      </w:r>
      <w:r w:rsidRPr="003C67AD">
        <w:rPr>
          <w:rFonts w:ascii="Palatino Linotype" w:hAnsi="Palatino Linotype" w:cs="Times New Roman"/>
          <w:bCs/>
          <w:iCs/>
        </w:rPr>
        <w:t xml:space="preserve"> (2005), pp.</w:t>
      </w:r>
      <w:r w:rsidRPr="003C67AD">
        <w:rPr>
          <w:rFonts w:ascii="Palatino Linotype" w:hAnsi="Palatino Linotype" w:cs="Times New Roman"/>
        </w:rPr>
        <w:t>18-19.</w:t>
      </w:r>
    </w:p>
  </w:footnote>
  <w:footnote w:id="69">
    <w:p w14:paraId="252CA01F"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Whitehouse, et al, (n.4).</w:t>
      </w:r>
    </w:p>
  </w:footnote>
  <w:footnote w:id="70">
    <w:p w14:paraId="3C079B81"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Bright and Whitehouse, </w:t>
      </w:r>
      <w:r w:rsidRPr="003C67AD">
        <w:rPr>
          <w:rFonts w:ascii="Palatino Linotype" w:hAnsi="Palatino Linotype" w:cs="Times New Roman"/>
          <w:iCs/>
          <w:lang w:val="en-US"/>
        </w:rPr>
        <w:t>(n.5),</w:t>
      </w:r>
      <w:r w:rsidRPr="003C67AD">
        <w:rPr>
          <w:rFonts w:ascii="Palatino Linotype" w:hAnsi="Palatino Linotype" w:cs="Times New Roman"/>
          <w:bCs/>
          <w:iCs/>
          <w:lang w:val="en-US"/>
        </w:rPr>
        <w:t xml:space="preserve"> pp.</w:t>
      </w:r>
      <w:r w:rsidRPr="003C67AD">
        <w:rPr>
          <w:rFonts w:ascii="Palatino Linotype" w:hAnsi="Palatino Linotype" w:cs="Times New Roman"/>
        </w:rPr>
        <w:t>67.</w:t>
      </w:r>
    </w:p>
  </w:footnote>
  <w:footnote w:id="71">
    <w:p w14:paraId="0AE58054"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w:t>
      </w:r>
      <w:r w:rsidRPr="003C67AD">
        <w:rPr>
          <w:rFonts w:ascii="Palatino Linotype" w:hAnsi="Palatino Linotype" w:cs="Times New Roman"/>
          <w:bCs/>
        </w:rPr>
        <w:t>Ministry of Justice, ‘Mortgage and Landlord Possession Statistics’ available at https://www.gov.uk/government/collections/mortgage-and-landlord-possession-statistics.</w:t>
      </w:r>
    </w:p>
  </w:footnote>
  <w:footnote w:id="72">
    <w:p w14:paraId="501C52C3" w14:textId="30BD3736" w:rsidR="00CA600C" w:rsidRDefault="00CA600C" w:rsidP="001B49ED">
      <w:pPr>
        <w:pStyle w:val="FootnoteText"/>
        <w:spacing w:line="276" w:lineRule="auto"/>
      </w:pPr>
      <w:r>
        <w:rPr>
          <w:rStyle w:val="FootnoteReference"/>
        </w:rPr>
        <w:footnoteRef/>
      </w:r>
      <w:r>
        <w:t xml:space="preserve"> </w:t>
      </w:r>
      <w:r w:rsidRPr="003C67AD">
        <w:rPr>
          <w:rFonts w:ascii="Palatino Linotype" w:hAnsi="Palatino Linotype" w:cs="Times New Roman"/>
          <w:bCs/>
        </w:rPr>
        <w:t xml:space="preserve">Including a presentation at Oxford University, see </w:t>
      </w:r>
      <w:r w:rsidRPr="003C67AD">
        <w:rPr>
          <w:rFonts w:ascii="Palatino Linotype" w:hAnsi="Palatino Linotype" w:cs="Times New Roman"/>
          <w:bCs/>
          <w:lang w:val="en-US"/>
        </w:rPr>
        <w:t>https://www.law.ox.ac.uk/events/beyond-ivory-tower-case-study-housing</w:t>
      </w:r>
      <w:r w:rsidRPr="003C67AD">
        <w:rPr>
          <w:rFonts w:ascii="Palatino Linotype" w:hAnsi="Palatino Linotype" w:cs="Times New Roman"/>
          <w:bCs/>
        </w:rPr>
        <w:t>.</w:t>
      </w:r>
    </w:p>
  </w:footnote>
  <w:footnote w:id="73">
    <w:p w14:paraId="7903EC5E" w14:textId="23875191" w:rsidR="00B56381" w:rsidRDefault="00B56381" w:rsidP="001B49ED">
      <w:pPr>
        <w:pStyle w:val="FootnoteText"/>
        <w:spacing w:line="276" w:lineRule="auto"/>
      </w:pPr>
      <w:r>
        <w:rPr>
          <w:rStyle w:val="FootnoteReference"/>
        </w:rPr>
        <w:footnoteRef/>
      </w:r>
      <w:r>
        <w:t xml:space="preserve"> </w:t>
      </w:r>
      <w:r w:rsidRPr="003C67AD">
        <w:rPr>
          <w:rFonts w:ascii="Palatino Linotype" w:hAnsi="Palatino Linotype" w:cs="Times New Roman"/>
        </w:rPr>
        <w:t xml:space="preserve">See for example, Libman, K., Fields, D. &amp; Saegert, S. ‘Housing and Health: A Social Ecological Perspective on the US Foreclosure Crisis’ (2012) 29.1 </w:t>
      </w:r>
      <w:r w:rsidRPr="003C67AD">
        <w:rPr>
          <w:rFonts w:ascii="Palatino Linotype" w:hAnsi="Palatino Linotype" w:cs="Times New Roman"/>
          <w:i/>
        </w:rPr>
        <w:t>Housing, Theory and Society</w:t>
      </w:r>
      <w:r w:rsidRPr="003C67AD">
        <w:rPr>
          <w:rFonts w:ascii="Palatino Linotype" w:hAnsi="Palatino Linotype" w:cs="Times New Roman"/>
        </w:rPr>
        <w:t xml:space="preserve"> 1; Nettleton, S. and </w:t>
      </w:r>
      <w:r>
        <w:rPr>
          <w:rFonts w:ascii="Palatino Linotype" w:hAnsi="Palatino Linotype" w:cs="Times New Roman"/>
        </w:rPr>
        <w:t>B</w:t>
      </w:r>
      <w:r w:rsidRPr="003C67AD">
        <w:rPr>
          <w:rFonts w:ascii="Palatino Linotype" w:hAnsi="Palatino Linotype" w:cs="Times New Roman"/>
        </w:rPr>
        <w:t xml:space="preserve">urrows, R. ‘When a Capital Investment Becomes an Emotional Loss: The Health Consequences of the Experience of Mortgage Possession in England’ (2000) 15:3 </w:t>
      </w:r>
      <w:r w:rsidRPr="003C67AD">
        <w:rPr>
          <w:rFonts w:ascii="Palatino Linotype" w:hAnsi="Palatino Linotype" w:cs="Times New Roman"/>
          <w:i/>
        </w:rPr>
        <w:t>Housing Studies</w:t>
      </w:r>
      <w:r w:rsidRPr="003C67AD">
        <w:rPr>
          <w:rFonts w:ascii="Palatino Linotype" w:hAnsi="Palatino Linotype" w:cs="Times New Roman"/>
        </w:rPr>
        <w:t xml:space="preserve"> 463; Royal College of Psychiatrists, ‘Debt and Mental Health: What Do We Know? What Should We Do?’ (2010) 3, 8; and StepChange, ‘Locked Out: How Problem Debt Affects People’s Housing Situations’, November 2018 available at https://www.stepchange.org/policy-and-research/locked-out-debt-and-housing.aspx</w:t>
      </w:r>
    </w:p>
  </w:footnote>
  <w:footnote w:id="74">
    <w:p w14:paraId="55A84736"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Bright and Whitehouse, </w:t>
      </w:r>
      <w:r w:rsidRPr="003C67AD">
        <w:rPr>
          <w:rFonts w:ascii="Palatino Linotype" w:hAnsi="Palatino Linotype" w:cs="Times New Roman"/>
          <w:iCs/>
          <w:lang w:val="en-US"/>
        </w:rPr>
        <w:t>(n.5),</w:t>
      </w:r>
      <w:r w:rsidRPr="003C67AD">
        <w:rPr>
          <w:rFonts w:ascii="Palatino Linotype" w:hAnsi="Palatino Linotype" w:cs="Times New Roman"/>
          <w:bCs/>
          <w:iCs/>
          <w:lang w:val="en-US"/>
        </w:rPr>
        <w:t xml:space="preserve"> pp.40-45 and </w:t>
      </w:r>
      <w:r w:rsidRPr="003C67AD">
        <w:rPr>
          <w:rFonts w:ascii="Palatino Linotype" w:hAnsi="Palatino Linotype" w:cs="Times New Roman"/>
          <w:bCs/>
          <w:iCs/>
        </w:rPr>
        <w:t>Hunter, et al. (n.33), pp.29.</w:t>
      </w:r>
    </w:p>
  </w:footnote>
  <w:footnote w:id="75">
    <w:p w14:paraId="33C0CC91"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more information see Citizens Advice at https://www.citizensadvice.org.uk/debt-and-money/rent-arrears/you-are-taken-to-court-for-rent-arrears/#h-notice-to-leave-your-home and Ministry of Justice at https://assets.publishing.service.gov.uk/government/uploads/system/uploads/attachment_data/file/806818/Form_6A_INTERACTIVE.pdf </w:t>
      </w:r>
    </w:p>
  </w:footnote>
  <w:footnote w:id="76">
    <w:p w14:paraId="0674AA60"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Marson, et al., (n.2), pp.29.</w:t>
      </w:r>
    </w:p>
  </w:footnote>
  <w:footnote w:id="77">
    <w:p w14:paraId="44B8D43B"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Boothby, C. ‘Duty Bound - Court Possession Schemes and Clinical Education’, 7 </w:t>
      </w:r>
      <w:r w:rsidRPr="003C67AD">
        <w:rPr>
          <w:rFonts w:ascii="Palatino Linotype" w:hAnsi="Palatino Linotype" w:cs="Times New Roman"/>
          <w:i/>
          <w:iCs/>
        </w:rPr>
        <w:t xml:space="preserve">Int'l J. Clinical Legal Educ. </w:t>
      </w:r>
      <w:r w:rsidRPr="003C67AD">
        <w:rPr>
          <w:rFonts w:ascii="Palatino Linotype" w:hAnsi="Palatino Linotype" w:cs="Times New Roman"/>
        </w:rPr>
        <w:t>58 (2005), pp.59.</w:t>
      </w:r>
    </w:p>
  </w:footnote>
  <w:footnote w:id="78">
    <w:p w14:paraId="01B2AD7C"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For an insight into how we might assess CLE see Anon, </w:t>
      </w:r>
      <w:r w:rsidR="00DB7206" w:rsidRPr="003C67AD">
        <w:rPr>
          <w:rFonts w:ascii="Palatino Linotype" w:hAnsi="Palatino Linotype" w:cs="Times New Roman"/>
        </w:rPr>
        <w:t xml:space="preserve">J. G. </w:t>
      </w:r>
      <w:r w:rsidRPr="003C67AD">
        <w:rPr>
          <w:rFonts w:ascii="Palatino Linotype" w:hAnsi="Palatino Linotype" w:cs="Times New Roman"/>
        </w:rPr>
        <w:t>‘How Do We Assess in Clinical Legal Education: A Reflection about Reflective Learning’,</w:t>
      </w:r>
      <w:r w:rsidRPr="003C67AD">
        <w:rPr>
          <w:rFonts w:ascii="Palatino Linotype" w:hAnsi="Palatino Linotype" w:cs="Times New Roman"/>
          <w:i/>
          <w:iCs/>
        </w:rPr>
        <w:t xml:space="preserve"> 23 Int'l J. Clinical Legal Educ. 48 (2016).</w:t>
      </w:r>
    </w:p>
  </w:footnote>
  <w:footnote w:id="79">
    <w:p w14:paraId="3EB61D8D"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Boone, </w:t>
      </w:r>
      <w:r w:rsidR="00DB7206" w:rsidRPr="003C67AD">
        <w:rPr>
          <w:rFonts w:ascii="Palatino Linotype" w:hAnsi="Palatino Linotype" w:cs="Times New Roman"/>
        </w:rPr>
        <w:t xml:space="preserve">A., </w:t>
      </w:r>
      <w:r w:rsidRPr="003C67AD">
        <w:rPr>
          <w:rFonts w:ascii="Palatino Linotype" w:hAnsi="Palatino Linotype" w:cs="Times New Roman"/>
        </w:rPr>
        <w:t xml:space="preserve">Jeeves </w:t>
      </w:r>
      <w:r w:rsidR="00DB7206" w:rsidRPr="003C67AD">
        <w:rPr>
          <w:rFonts w:ascii="Palatino Linotype" w:hAnsi="Palatino Linotype" w:cs="Times New Roman"/>
        </w:rPr>
        <w:t>M. &amp;</w:t>
      </w:r>
      <w:r w:rsidRPr="003C67AD">
        <w:rPr>
          <w:rFonts w:ascii="Palatino Linotype" w:hAnsi="Palatino Linotype" w:cs="Times New Roman"/>
        </w:rPr>
        <w:t xml:space="preserve"> MacFarlane, </w:t>
      </w:r>
      <w:r w:rsidR="00DB7206" w:rsidRPr="003C67AD">
        <w:rPr>
          <w:rFonts w:ascii="Palatino Linotype" w:hAnsi="Palatino Linotype" w:cs="Times New Roman"/>
        </w:rPr>
        <w:t xml:space="preserve">J. </w:t>
      </w:r>
      <w:r w:rsidRPr="003C67AD">
        <w:rPr>
          <w:rFonts w:ascii="Palatino Linotype" w:hAnsi="Palatino Linotype" w:cs="Times New Roman"/>
        </w:rPr>
        <w:t xml:space="preserve">‘Clinical Anatomy: Towards a Working Definition of Clinical Legal Education’, 21 </w:t>
      </w:r>
      <w:r w:rsidRPr="003C67AD">
        <w:rPr>
          <w:rFonts w:ascii="Palatino Linotype" w:hAnsi="Palatino Linotype" w:cs="Times New Roman"/>
          <w:i/>
        </w:rPr>
        <w:t>Law Tchr.</w:t>
      </w:r>
      <w:r w:rsidRPr="003C67AD">
        <w:rPr>
          <w:rFonts w:ascii="Palatino Linotype" w:hAnsi="Palatino Linotype" w:cs="Times New Roman"/>
        </w:rPr>
        <w:t xml:space="preserve"> 61 (1987), </w:t>
      </w:r>
      <w:r w:rsidR="00DB7206" w:rsidRPr="003C67AD">
        <w:rPr>
          <w:rFonts w:ascii="Palatino Linotype" w:hAnsi="Palatino Linotype" w:cs="Times New Roman"/>
        </w:rPr>
        <w:t>pp.</w:t>
      </w:r>
      <w:r w:rsidRPr="003C67AD">
        <w:rPr>
          <w:rFonts w:ascii="Palatino Linotype" w:hAnsi="Palatino Linotype" w:cs="Times New Roman"/>
        </w:rPr>
        <w:t>68</w:t>
      </w:r>
    </w:p>
  </w:footnote>
  <w:footnote w:id="80">
    <w:p w14:paraId="6B988A35"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Ibid, </w:t>
      </w:r>
      <w:r w:rsidR="00DB7206" w:rsidRPr="003C67AD">
        <w:rPr>
          <w:rFonts w:ascii="Palatino Linotype" w:hAnsi="Palatino Linotype" w:cs="Times New Roman"/>
        </w:rPr>
        <w:t>(n.79), pp.</w:t>
      </w:r>
      <w:r w:rsidRPr="003C67AD">
        <w:rPr>
          <w:rFonts w:ascii="Palatino Linotype" w:hAnsi="Palatino Linotype" w:cs="Times New Roman"/>
        </w:rPr>
        <w:t>65-68.</w:t>
      </w:r>
    </w:p>
  </w:footnote>
  <w:footnote w:id="81">
    <w:p w14:paraId="55FAF7E2"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Binder</w:t>
      </w:r>
      <w:r w:rsidR="00DB7206" w:rsidRPr="003C67AD">
        <w:rPr>
          <w:rFonts w:ascii="Palatino Linotype" w:hAnsi="Palatino Linotype" w:cs="Times New Roman"/>
        </w:rPr>
        <w:t>,</w:t>
      </w:r>
      <w:r w:rsidRPr="003C67AD">
        <w:rPr>
          <w:rFonts w:ascii="Palatino Linotype" w:hAnsi="Palatino Linotype" w:cs="Times New Roman"/>
        </w:rPr>
        <w:t xml:space="preserve"> </w:t>
      </w:r>
      <w:r w:rsidR="00DB7206" w:rsidRPr="003C67AD">
        <w:rPr>
          <w:rFonts w:ascii="Palatino Linotype" w:hAnsi="Palatino Linotype" w:cs="Times New Roman"/>
        </w:rPr>
        <w:t>D. A. &amp;</w:t>
      </w:r>
      <w:r w:rsidRPr="003C67AD">
        <w:rPr>
          <w:rFonts w:ascii="Palatino Linotype" w:hAnsi="Palatino Linotype" w:cs="Times New Roman"/>
        </w:rPr>
        <w:t xml:space="preserve"> Bergman, </w:t>
      </w:r>
      <w:r w:rsidR="00DB7206" w:rsidRPr="003C67AD">
        <w:rPr>
          <w:rFonts w:ascii="Palatino Linotype" w:hAnsi="Palatino Linotype" w:cs="Times New Roman"/>
        </w:rPr>
        <w:t xml:space="preserve">P. B. </w:t>
      </w:r>
      <w:r w:rsidRPr="003C67AD">
        <w:rPr>
          <w:rFonts w:ascii="Palatino Linotype" w:hAnsi="Palatino Linotype" w:cs="Times New Roman"/>
        </w:rPr>
        <w:t xml:space="preserve">(2003) ‘Taking Lawyering Skills Training Seriously’ </w:t>
      </w:r>
      <w:r w:rsidRPr="003C67AD">
        <w:rPr>
          <w:rFonts w:ascii="Palatino Linotype" w:hAnsi="Palatino Linotype" w:cs="Times New Roman"/>
          <w:i/>
        </w:rPr>
        <w:t>Clinical Law Review</w:t>
      </w:r>
      <w:r w:rsidRPr="003C67AD">
        <w:rPr>
          <w:rFonts w:ascii="Palatino Linotype" w:hAnsi="Palatino Linotype" w:cs="Times New Roman"/>
        </w:rPr>
        <w:t xml:space="preserve"> Vol. 10, Fall 301; </w:t>
      </w:r>
      <w:r w:rsidR="00DB7206" w:rsidRPr="003C67AD">
        <w:rPr>
          <w:rFonts w:ascii="Palatino Linotype" w:hAnsi="Palatino Linotype" w:cs="Times New Roman"/>
        </w:rPr>
        <w:t xml:space="preserve">&amp; </w:t>
      </w:r>
      <w:r w:rsidRPr="003C67AD">
        <w:rPr>
          <w:rFonts w:ascii="Palatino Linotype" w:hAnsi="Palatino Linotype" w:cs="Times New Roman"/>
        </w:rPr>
        <w:t xml:space="preserve">MacCrate, </w:t>
      </w:r>
      <w:r w:rsidR="00DB7206" w:rsidRPr="003C67AD">
        <w:rPr>
          <w:rFonts w:ascii="Palatino Linotype" w:hAnsi="Palatino Linotype" w:cs="Times New Roman"/>
        </w:rPr>
        <w:t xml:space="preserve">R. </w:t>
      </w:r>
      <w:r w:rsidRPr="003C67AD">
        <w:rPr>
          <w:rFonts w:ascii="Palatino Linotype" w:hAnsi="Palatino Linotype" w:cs="Times New Roman"/>
        </w:rPr>
        <w:t xml:space="preserve">(2004) ‘Yesterday, Today and Tomorrow: Building the Continuum of Legal Education and Professional Development’ </w:t>
      </w:r>
      <w:r w:rsidRPr="003C67AD">
        <w:rPr>
          <w:rFonts w:ascii="Palatino Linotype" w:hAnsi="Palatino Linotype" w:cs="Times New Roman"/>
          <w:i/>
        </w:rPr>
        <w:t>Clinical Law Review</w:t>
      </w:r>
      <w:r w:rsidRPr="003C67AD">
        <w:rPr>
          <w:rFonts w:ascii="Palatino Linotype" w:hAnsi="Palatino Linotype" w:cs="Times New Roman"/>
        </w:rPr>
        <w:t>. Vol. 10, Spring.</w:t>
      </w:r>
    </w:p>
  </w:footnote>
  <w:footnote w:id="82">
    <w:p w14:paraId="180470D8"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Blandy, </w:t>
      </w:r>
      <w:r w:rsidR="00DB7206" w:rsidRPr="003C67AD">
        <w:rPr>
          <w:rFonts w:ascii="Palatino Linotype" w:hAnsi="Palatino Linotype" w:cs="Times New Roman"/>
        </w:rPr>
        <w:t>S.</w:t>
      </w:r>
      <w:r w:rsidR="00DB7206" w:rsidRPr="003C67AD">
        <w:rPr>
          <w:rFonts w:ascii="Palatino Linotype" w:hAnsi="Palatino Linotype" w:cs="Times New Roman"/>
          <w:i/>
          <w:iCs/>
        </w:rPr>
        <w:t xml:space="preserve"> </w:t>
      </w:r>
      <w:r w:rsidRPr="003C67AD">
        <w:rPr>
          <w:rFonts w:ascii="Palatino Linotype" w:hAnsi="Palatino Linotype" w:cs="Times New Roman"/>
          <w:i/>
          <w:iCs/>
        </w:rPr>
        <w:t>‘</w:t>
      </w:r>
      <w:r w:rsidRPr="003C67AD">
        <w:rPr>
          <w:rFonts w:ascii="Palatino Linotype" w:hAnsi="Palatino Linotype" w:cs="Times New Roman"/>
        </w:rPr>
        <w:t>Enhancing Employability through Student Engagement in Pro Bono Projects’,</w:t>
      </w:r>
      <w:r w:rsidRPr="003C67AD">
        <w:rPr>
          <w:rFonts w:ascii="Palatino Linotype" w:hAnsi="Palatino Linotype" w:cs="Times New Roman"/>
          <w:i/>
          <w:iCs/>
        </w:rPr>
        <w:t xml:space="preserve"> </w:t>
      </w:r>
      <w:r w:rsidRPr="003C67AD">
        <w:rPr>
          <w:rFonts w:ascii="Palatino Linotype" w:hAnsi="Palatino Linotype" w:cs="Times New Roman"/>
          <w:iCs/>
        </w:rPr>
        <w:t xml:space="preserve">26 </w:t>
      </w:r>
      <w:r w:rsidRPr="003C67AD">
        <w:rPr>
          <w:rFonts w:ascii="Palatino Linotype" w:hAnsi="Palatino Linotype" w:cs="Times New Roman"/>
          <w:i/>
          <w:iCs/>
        </w:rPr>
        <w:t xml:space="preserve">Int'l J. Clinical Legal Educ. </w:t>
      </w:r>
      <w:r w:rsidRPr="003C67AD">
        <w:rPr>
          <w:rFonts w:ascii="Palatino Linotype" w:hAnsi="Palatino Linotype" w:cs="Times New Roman"/>
          <w:iCs/>
        </w:rPr>
        <w:t>7</w:t>
      </w:r>
      <w:r w:rsidRPr="003C67AD">
        <w:rPr>
          <w:rFonts w:ascii="Palatino Linotype" w:hAnsi="Palatino Linotype" w:cs="Times New Roman"/>
          <w:i/>
          <w:iCs/>
        </w:rPr>
        <w:t xml:space="preserve"> </w:t>
      </w:r>
      <w:r w:rsidRPr="003C67AD">
        <w:rPr>
          <w:rFonts w:ascii="Palatino Linotype" w:hAnsi="Palatino Linotype" w:cs="Times New Roman"/>
          <w:iCs/>
        </w:rPr>
        <w:t>(2019)</w:t>
      </w:r>
      <w:r w:rsidRPr="003C67AD">
        <w:rPr>
          <w:rFonts w:ascii="Palatino Linotype" w:hAnsi="Palatino Linotype" w:cs="Times New Roman"/>
        </w:rPr>
        <w:t xml:space="preserve">, and Yackee, </w:t>
      </w:r>
      <w:r w:rsidR="00DB7206" w:rsidRPr="003C67AD">
        <w:rPr>
          <w:rFonts w:ascii="Palatino Linotype" w:hAnsi="Palatino Linotype" w:cs="Times New Roman"/>
        </w:rPr>
        <w:t xml:space="preserve">J. W. </w:t>
      </w:r>
      <w:r w:rsidRPr="003C67AD">
        <w:rPr>
          <w:rFonts w:ascii="Palatino Linotype" w:hAnsi="Palatino Linotype" w:cs="Times New Roman"/>
        </w:rPr>
        <w:t xml:space="preserve">‘Does Experiential Learning Improve JD Employment Outcomes?’ </w:t>
      </w:r>
      <w:r w:rsidR="00DB7206" w:rsidRPr="003C67AD">
        <w:rPr>
          <w:rFonts w:ascii="Palatino Linotype" w:hAnsi="Palatino Linotype" w:cs="Times New Roman"/>
        </w:rPr>
        <w:t>(</w:t>
      </w:r>
      <w:r w:rsidRPr="003C67AD">
        <w:rPr>
          <w:rFonts w:ascii="Palatino Linotype" w:hAnsi="Palatino Linotype" w:cs="Times New Roman"/>
        </w:rPr>
        <w:t>2015</w:t>
      </w:r>
      <w:r w:rsidR="00DB7206" w:rsidRPr="003C67AD">
        <w:rPr>
          <w:rFonts w:ascii="Palatino Linotype" w:hAnsi="Palatino Linotype" w:cs="Times New Roman"/>
        </w:rPr>
        <w:t>)</w:t>
      </w:r>
      <w:r w:rsidRPr="003C67AD">
        <w:rPr>
          <w:rFonts w:ascii="Palatino Linotype" w:hAnsi="Palatino Linotype" w:cs="Times New Roman"/>
        </w:rPr>
        <w:t xml:space="preserve"> </w:t>
      </w:r>
      <w:r w:rsidRPr="003C67AD">
        <w:rPr>
          <w:rFonts w:ascii="Palatino Linotype" w:hAnsi="Palatino Linotype" w:cs="Times New Roman"/>
          <w:i/>
        </w:rPr>
        <w:t>Wis. L. Rev.</w:t>
      </w:r>
      <w:r w:rsidRPr="003C67AD">
        <w:rPr>
          <w:rFonts w:ascii="Palatino Linotype" w:hAnsi="Palatino Linotype" w:cs="Times New Roman"/>
        </w:rPr>
        <w:t xml:space="preserve"> 601.</w:t>
      </w:r>
    </w:p>
  </w:footnote>
  <w:footnote w:id="83">
    <w:p w14:paraId="7D69DCD7"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Leavy</w:t>
      </w:r>
      <w:r w:rsidR="00DB7206" w:rsidRPr="003C67AD">
        <w:rPr>
          <w:rFonts w:ascii="Palatino Linotype" w:hAnsi="Palatino Linotype" w:cs="Times New Roman"/>
        </w:rPr>
        <w:t>,</w:t>
      </w:r>
      <w:r w:rsidRPr="003C67AD">
        <w:rPr>
          <w:rFonts w:ascii="Palatino Linotype" w:hAnsi="Palatino Linotype" w:cs="Times New Roman"/>
        </w:rPr>
        <w:t xml:space="preserve"> </w:t>
      </w:r>
      <w:r w:rsidR="00DB7206" w:rsidRPr="003C67AD">
        <w:rPr>
          <w:rFonts w:ascii="Palatino Linotype" w:hAnsi="Palatino Linotype" w:cs="Times New Roman"/>
        </w:rPr>
        <w:t xml:space="preserve">P. </w:t>
      </w:r>
      <w:r w:rsidRPr="003C67AD">
        <w:rPr>
          <w:rFonts w:ascii="Palatino Linotype" w:hAnsi="Palatino Linotype" w:cs="Times New Roman"/>
        </w:rPr>
        <w:t xml:space="preserve">(ed), </w:t>
      </w:r>
      <w:r w:rsidRPr="003C67AD">
        <w:rPr>
          <w:rFonts w:ascii="Palatino Linotype" w:hAnsi="Palatino Linotype" w:cs="Times New Roman"/>
          <w:i/>
        </w:rPr>
        <w:t>The Oxford Handbook of Qualitative Research</w:t>
      </w:r>
      <w:r w:rsidRPr="003C67AD">
        <w:rPr>
          <w:rFonts w:ascii="Palatino Linotype" w:hAnsi="Palatino Linotype" w:cs="Times New Roman"/>
        </w:rPr>
        <w:t xml:space="preserve"> (Oxford: OUP, 2014) and Nielsen, </w:t>
      </w:r>
      <w:r w:rsidR="00DB7206" w:rsidRPr="003C67AD">
        <w:rPr>
          <w:rFonts w:ascii="Palatino Linotype" w:hAnsi="Palatino Linotype" w:cs="Times New Roman"/>
        </w:rPr>
        <w:t xml:space="preserve">L.B. </w:t>
      </w:r>
      <w:r w:rsidRPr="003C67AD">
        <w:rPr>
          <w:rFonts w:ascii="Palatino Linotype" w:hAnsi="Palatino Linotype" w:cs="Times New Roman"/>
        </w:rPr>
        <w:t>‘The Need for Multi-Method Approaches in Empirical Legal Research’ in Cane</w:t>
      </w:r>
      <w:r w:rsidR="00DB7206" w:rsidRPr="003C67AD">
        <w:rPr>
          <w:rFonts w:ascii="Palatino Linotype" w:hAnsi="Palatino Linotype" w:cs="Times New Roman"/>
        </w:rPr>
        <w:t>,</w:t>
      </w:r>
      <w:r w:rsidRPr="003C67AD">
        <w:rPr>
          <w:rFonts w:ascii="Palatino Linotype" w:hAnsi="Palatino Linotype" w:cs="Times New Roman"/>
        </w:rPr>
        <w:t xml:space="preserve"> P</w:t>
      </w:r>
      <w:r w:rsidR="00DB7206" w:rsidRPr="003C67AD">
        <w:rPr>
          <w:rFonts w:ascii="Palatino Linotype" w:hAnsi="Palatino Linotype" w:cs="Times New Roman"/>
        </w:rPr>
        <w:t>. &amp;</w:t>
      </w:r>
      <w:r w:rsidRPr="003C67AD">
        <w:rPr>
          <w:rFonts w:ascii="Palatino Linotype" w:hAnsi="Palatino Linotype" w:cs="Times New Roman"/>
        </w:rPr>
        <w:t xml:space="preserve"> Kritzer</w:t>
      </w:r>
      <w:r w:rsidR="00DB7206" w:rsidRPr="003C67AD">
        <w:rPr>
          <w:rFonts w:ascii="Palatino Linotype" w:hAnsi="Palatino Linotype" w:cs="Times New Roman"/>
        </w:rPr>
        <w:t>,</w:t>
      </w:r>
      <w:r w:rsidRPr="003C67AD">
        <w:rPr>
          <w:rFonts w:ascii="Palatino Linotype" w:hAnsi="Palatino Linotype" w:cs="Times New Roman"/>
        </w:rPr>
        <w:t xml:space="preserve"> H</w:t>
      </w:r>
      <w:r w:rsidR="00DB7206" w:rsidRPr="003C67AD">
        <w:rPr>
          <w:rFonts w:ascii="Palatino Linotype" w:hAnsi="Palatino Linotype" w:cs="Times New Roman"/>
        </w:rPr>
        <w:t>.</w:t>
      </w:r>
      <w:r w:rsidRPr="003C67AD">
        <w:rPr>
          <w:rFonts w:ascii="Palatino Linotype" w:hAnsi="Palatino Linotype" w:cs="Times New Roman"/>
        </w:rPr>
        <w:t xml:space="preserve"> M</w:t>
      </w:r>
      <w:r w:rsidR="00DB7206" w:rsidRPr="003C67AD">
        <w:rPr>
          <w:rFonts w:ascii="Palatino Linotype" w:hAnsi="Palatino Linotype" w:cs="Times New Roman"/>
        </w:rPr>
        <w:t>.</w:t>
      </w:r>
      <w:r w:rsidRPr="003C67AD">
        <w:rPr>
          <w:rFonts w:ascii="Palatino Linotype" w:hAnsi="Palatino Linotype" w:cs="Times New Roman"/>
        </w:rPr>
        <w:t xml:space="preserve"> (eds), </w:t>
      </w:r>
      <w:r w:rsidRPr="003C67AD">
        <w:rPr>
          <w:rFonts w:ascii="Palatino Linotype" w:hAnsi="Palatino Linotype" w:cs="Times New Roman"/>
          <w:i/>
        </w:rPr>
        <w:t>The Oxford Handbook of Empirical Legal Research</w:t>
      </w:r>
      <w:r w:rsidRPr="003C67AD">
        <w:rPr>
          <w:rFonts w:ascii="Palatino Linotype" w:hAnsi="Palatino Linotype" w:cs="Times New Roman"/>
        </w:rPr>
        <w:t xml:space="preserve"> (Oxford University Press, Oxford, 2010), </w:t>
      </w:r>
      <w:r w:rsidR="00DB7206" w:rsidRPr="003C67AD">
        <w:rPr>
          <w:rFonts w:ascii="Palatino Linotype" w:hAnsi="Palatino Linotype" w:cs="Times New Roman"/>
        </w:rPr>
        <w:t>pp.</w:t>
      </w:r>
      <w:r w:rsidRPr="003C67AD">
        <w:rPr>
          <w:rFonts w:ascii="Palatino Linotype" w:hAnsi="Palatino Linotype" w:cs="Times New Roman"/>
        </w:rPr>
        <w:t>951-975.</w:t>
      </w:r>
    </w:p>
  </w:footnote>
  <w:footnote w:id="84">
    <w:p w14:paraId="614A2428"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Murairwa, </w:t>
      </w:r>
      <w:r w:rsidR="00DB7206" w:rsidRPr="003C67AD">
        <w:rPr>
          <w:rFonts w:ascii="Palatino Linotype" w:hAnsi="Palatino Linotype" w:cs="Times New Roman"/>
        </w:rPr>
        <w:t xml:space="preserve">S. </w:t>
      </w:r>
      <w:r w:rsidRPr="003C67AD">
        <w:rPr>
          <w:rFonts w:ascii="Palatino Linotype" w:hAnsi="Palatino Linotype" w:cs="Times New Roman"/>
        </w:rPr>
        <w:t xml:space="preserve">‘Voluntary Sampling Design’ (2015) 4:2 </w:t>
      </w:r>
      <w:r w:rsidRPr="003C67AD">
        <w:rPr>
          <w:rFonts w:ascii="Palatino Linotype" w:hAnsi="Palatino Linotype" w:cs="Times New Roman"/>
          <w:i/>
        </w:rPr>
        <w:t xml:space="preserve">International Journal of Advanced Research in Management and Social Sciences </w:t>
      </w:r>
      <w:r w:rsidRPr="003C67AD">
        <w:rPr>
          <w:rFonts w:ascii="Palatino Linotype" w:hAnsi="Palatino Linotype" w:cs="Times New Roman"/>
        </w:rPr>
        <w:t>185-200.</w:t>
      </w:r>
    </w:p>
  </w:footnote>
  <w:footnote w:id="85">
    <w:p w14:paraId="7459FCB4"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w:t>
      </w:r>
      <w:r w:rsidRPr="003C67AD">
        <w:rPr>
          <w:rFonts w:ascii="Palatino Linotype" w:hAnsi="Palatino Linotype" w:cs="Times New Roman"/>
          <w:bCs/>
        </w:rPr>
        <w:t>Kuha</w:t>
      </w:r>
      <w:r w:rsidRPr="003C67AD">
        <w:rPr>
          <w:rFonts w:ascii="Palatino Linotype" w:hAnsi="Palatino Linotype" w:cs="Times New Roman"/>
        </w:rPr>
        <w:t xml:space="preserve">, </w:t>
      </w:r>
      <w:r w:rsidR="00E43285" w:rsidRPr="003C67AD">
        <w:rPr>
          <w:rFonts w:ascii="Palatino Linotype" w:hAnsi="Palatino Linotype" w:cs="Times New Roman"/>
          <w:bCs/>
        </w:rPr>
        <w:t xml:space="preserve">J. </w:t>
      </w:r>
      <w:r w:rsidRPr="003C67AD">
        <w:rPr>
          <w:rFonts w:ascii="Palatino Linotype" w:hAnsi="Palatino Linotype" w:cs="Times New Roman"/>
          <w:bCs/>
        </w:rPr>
        <w:t>et al</w:t>
      </w:r>
      <w:r w:rsidRPr="003C67AD">
        <w:rPr>
          <w:rFonts w:ascii="Palatino Linotype" w:hAnsi="Palatino Linotype" w:cs="Times New Roman"/>
        </w:rPr>
        <w:t>, ‘</w:t>
      </w:r>
      <w:r w:rsidRPr="003C67AD">
        <w:rPr>
          <w:rFonts w:ascii="Palatino Linotype" w:hAnsi="Palatino Linotype" w:cs="Times New Roman"/>
          <w:bCs/>
        </w:rPr>
        <w:t>Latent variable modelling with non‐ignorable item non‐response: multigroup response propensity models for cross‐national analysis’,</w:t>
      </w:r>
      <w:r w:rsidRPr="003C67AD">
        <w:rPr>
          <w:rFonts w:ascii="Palatino Linotype" w:hAnsi="Palatino Linotype" w:cs="Times New Roman"/>
        </w:rPr>
        <w:t xml:space="preserve"> (2018) </w:t>
      </w:r>
      <w:r w:rsidRPr="003C67AD">
        <w:rPr>
          <w:rFonts w:ascii="Palatino Linotype" w:hAnsi="Palatino Linotype" w:cs="Times New Roman"/>
          <w:bCs/>
        </w:rPr>
        <w:t xml:space="preserve">181:4 </w:t>
      </w:r>
      <w:r w:rsidRPr="003C67AD">
        <w:rPr>
          <w:rFonts w:ascii="Palatino Linotype" w:hAnsi="Palatino Linotype" w:cs="Times New Roman"/>
          <w:bCs/>
          <w:i/>
        </w:rPr>
        <w:t>Journal of the Royal Statistical Society: Statistics in Society</w:t>
      </w:r>
      <w:r w:rsidRPr="003C67AD">
        <w:rPr>
          <w:rFonts w:ascii="Palatino Linotype" w:hAnsi="Palatino Linotype" w:cs="Times New Roman"/>
          <w:bCs/>
        </w:rPr>
        <w:t>, Series A, 1169.</w:t>
      </w:r>
    </w:p>
  </w:footnote>
  <w:footnote w:id="86">
    <w:p w14:paraId="3B406DFE" w14:textId="77777777" w:rsidR="00EB3875" w:rsidRPr="003C67AD" w:rsidRDefault="00EB3875" w:rsidP="001B49ED">
      <w:pPr>
        <w:pStyle w:val="FootnoteText"/>
        <w:spacing w:line="276" w:lineRule="auto"/>
        <w:rPr>
          <w:rFonts w:ascii="Palatino Linotype" w:hAnsi="Palatino Linotype" w:cs="Times New Roman"/>
        </w:rPr>
      </w:pPr>
      <w:r w:rsidRPr="003C67AD">
        <w:rPr>
          <w:rStyle w:val="FootnoteReference"/>
          <w:rFonts w:ascii="Palatino Linotype" w:hAnsi="Palatino Linotype" w:cs="Times New Roman"/>
        </w:rPr>
        <w:footnoteRef/>
      </w:r>
      <w:r w:rsidRPr="003C67AD">
        <w:rPr>
          <w:rFonts w:ascii="Palatino Linotype" w:hAnsi="Palatino Linotype" w:cs="Times New Roman"/>
        </w:rPr>
        <w:t xml:space="preserve"> See, for example, Emmel, </w:t>
      </w:r>
      <w:r w:rsidR="00E43285" w:rsidRPr="003C67AD">
        <w:rPr>
          <w:rFonts w:ascii="Palatino Linotype" w:hAnsi="Palatino Linotype" w:cs="Times New Roman"/>
        </w:rPr>
        <w:t xml:space="preserve">N. </w:t>
      </w:r>
      <w:r w:rsidRPr="003C67AD">
        <w:rPr>
          <w:rFonts w:ascii="Palatino Linotype" w:hAnsi="Palatino Linotype" w:cs="Times New Roman"/>
          <w:i/>
        </w:rPr>
        <w:t>Sampling and Choosing Cases in Qualitative Research: A Realist Approach</w:t>
      </w:r>
      <w:r w:rsidRPr="003C67AD">
        <w:rPr>
          <w:rFonts w:ascii="Palatino Linotype" w:hAnsi="Palatino Linotype" w:cs="Times New Roman"/>
        </w:rPr>
        <w:t xml:space="preserve"> (London: Sage, 2013), Chapter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CB116" w14:textId="77777777" w:rsidR="003C67AD" w:rsidRPr="003C67AD" w:rsidRDefault="003C67AD">
    <w:pPr>
      <w:pStyle w:val="Header"/>
      <w:rPr>
        <w:rFonts w:ascii="Palatino Linotype" w:hAnsi="Palatino Linotype"/>
        <w:i/>
        <w:sz w:val="24"/>
        <w:szCs w:val="24"/>
      </w:rPr>
    </w:pPr>
    <w:r w:rsidRPr="003C67AD">
      <w:rPr>
        <w:rFonts w:ascii="Palatino Linotype" w:hAnsi="Palatino Linotype"/>
        <w:i/>
        <w:sz w:val="24"/>
        <w:szCs w:val="24"/>
      </w:rPr>
      <w:t xml:space="preserve">Reviewed Article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3E5"/>
    <w:multiLevelType w:val="hybridMultilevel"/>
    <w:tmpl w:val="3ECC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660A"/>
    <w:multiLevelType w:val="hybridMultilevel"/>
    <w:tmpl w:val="91B43826"/>
    <w:lvl w:ilvl="0" w:tplc="94A2BA24">
      <w:start w:val="1"/>
      <w:numFmt w:val="bullet"/>
      <w:lvlText w:val=" "/>
      <w:lvlJc w:val="left"/>
      <w:pPr>
        <w:tabs>
          <w:tab w:val="num" w:pos="720"/>
        </w:tabs>
        <w:ind w:left="720" w:hanging="360"/>
      </w:pPr>
      <w:rPr>
        <w:rFonts w:ascii="Tw Cen MT" w:hAnsi="Tw Cen MT" w:hint="default"/>
      </w:rPr>
    </w:lvl>
    <w:lvl w:ilvl="1" w:tplc="942A77BE" w:tentative="1">
      <w:start w:val="1"/>
      <w:numFmt w:val="bullet"/>
      <w:lvlText w:val=" "/>
      <w:lvlJc w:val="left"/>
      <w:pPr>
        <w:tabs>
          <w:tab w:val="num" w:pos="1440"/>
        </w:tabs>
        <w:ind w:left="1440" w:hanging="360"/>
      </w:pPr>
      <w:rPr>
        <w:rFonts w:ascii="Tw Cen MT" w:hAnsi="Tw Cen MT" w:hint="default"/>
      </w:rPr>
    </w:lvl>
    <w:lvl w:ilvl="2" w:tplc="3976CAA0" w:tentative="1">
      <w:start w:val="1"/>
      <w:numFmt w:val="bullet"/>
      <w:lvlText w:val=" "/>
      <w:lvlJc w:val="left"/>
      <w:pPr>
        <w:tabs>
          <w:tab w:val="num" w:pos="2160"/>
        </w:tabs>
        <w:ind w:left="2160" w:hanging="360"/>
      </w:pPr>
      <w:rPr>
        <w:rFonts w:ascii="Tw Cen MT" w:hAnsi="Tw Cen MT" w:hint="default"/>
      </w:rPr>
    </w:lvl>
    <w:lvl w:ilvl="3" w:tplc="FE7438B8" w:tentative="1">
      <w:start w:val="1"/>
      <w:numFmt w:val="bullet"/>
      <w:lvlText w:val=" "/>
      <w:lvlJc w:val="left"/>
      <w:pPr>
        <w:tabs>
          <w:tab w:val="num" w:pos="2880"/>
        </w:tabs>
        <w:ind w:left="2880" w:hanging="360"/>
      </w:pPr>
      <w:rPr>
        <w:rFonts w:ascii="Tw Cen MT" w:hAnsi="Tw Cen MT" w:hint="default"/>
      </w:rPr>
    </w:lvl>
    <w:lvl w:ilvl="4" w:tplc="467C9A56" w:tentative="1">
      <w:start w:val="1"/>
      <w:numFmt w:val="bullet"/>
      <w:lvlText w:val=" "/>
      <w:lvlJc w:val="left"/>
      <w:pPr>
        <w:tabs>
          <w:tab w:val="num" w:pos="3600"/>
        </w:tabs>
        <w:ind w:left="3600" w:hanging="360"/>
      </w:pPr>
      <w:rPr>
        <w:rFonts w:ascii="Tw Cen MT" w:hAnsi="Tw Cen MT" w:hint="default"/>
      </w:rPr>
    </w:lvl>
    <w:lvl w:ilvl="5" w:tplc="4658E976" w:tentative="1">
      <w:start w:val="1"/>
      <w:numFmt w:val="bullet"/>
      <w:lvlText w:val=" "/>
      <w:lvlJc w:val="left"/>
      <w:pPr>
        <w:tabs>
          <w:tab w:val="num" w:pos="4320"/>
        </w:tabs>
        <w:ind w:left="4320" w:hanging="360"/>
      </w:pPr>
      <w:rPr>
        <w:rFonts w:ascii="Tw Cen MT" w:hAnsi="Tw Cen MT" w:hint="default"/>
      </w:rPr>
    </w:lvl>
    <w:lvl w:ilvl="6" w:tplc="D0282EC8" w:tentative="1">
      <w:start w:val="1"/>
      <w:numFmt w:val="bullet"/>
      <w:lvlText w:val=" "/>
      <w:lvlJc w:val="left"/>
      <w:pPr>
        <w:tabs>
          <w:tab w:val="num" w:pos="5040"/>
        </w:tabs>
        <w:ind w:left="5040" w:hanging="360"/>
      </w:pPr>
      <w:rPr>
        <w:rFonts w:ascii="Tw Cen MT" w:hAnsi="Tw Cen MT" w:hint="default"/>
      </w:rPr>
    </w:lvl>
    <w:lvl w:ilvl="7" w:tplc="3BB4B62A" w:tentative="1">
      <w:start w:val="1"/>
      <w:numFmt w:val="bullet"/>
      <w:lvlText w:val=" "/>
      <w:lvlJc w:val="left"/>
      <w:pPr>
        <w:tabs>
          <w:tab w:val="num" w:pos="5760"/>
        </w:tabs>
        <w:ind w:left="5760" w:hanging="360"/>
      </w:pPr>
      <w:rPr>
        <w:rFonts w:ascii="Tw Cen MT" w:hAnsi="Tw Cen MT" w:hint="default"/>
      </w:rPr>
    </w:lvl>
    <w:lvl w:ilvl="8" w:tplc="E0D29E2E"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0DBE63CE"/>
    <w:multiLevelType w:val="hybridMultilevel"/>
    <w:tmpl w:val="2246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C0E9B"/>
    <w:multiLevelType w:val="hybridMultilevel"/>
    <w:tmpl w:val="77741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9B6D6E"/>
    <w:multiLevelType w:val="hybridMultilevel"/>
    <w:tmpl w:val="C04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44F8D"/>
    <w:multiLevelType w:val="hybridMultilevel"/>
    <w:tmpl w:val="1A2C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03CA1"/>
    <w:multiLevelType w:val="hybridMultilevel"/>
    <w:tmpl w:val="AA609D8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C481B"/>
    <w:multiLevelType w:val="hybridMultilevel"/>
    <w:tmpl w:val="D19CE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52EFF"/>
    <w:multiLevelType w:val="hybridMultilevel"/>
    <w:tmpl w:val="FB0EE8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2D416C"/>
    <w:multiLevelType w:val="hybridMultilevel"/>
    <w:tmpl w:val="0A92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8"/>
  </w:num>
  <w:num w:numId="6">
    <w:abstractNumId w:val="5"/>
  </w:num>
  <w:num w:numId="7">
    <w:abstractNumId w:val="2"/>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74B18"/>
    <w:rsid w:val="00000CBA"/>
    <w:rsid w:val="000102E3"/>
    <w:rsid w:val="0001739A"/>
    <w:rsid w:val="00017B44"/>
    <w:rsid w:val="000215E9"/>
    <w:rsid w:val="00031710"/>
    <w:rsid w:val="000350C6"/>
    <w:rsid w:val="000504AF"/>
    <w:rsid w:val="00056E13"/>
    <w:rsid w:val="00057437"/>
    <w:rsid w:val="00075B67"/>
    <w:rsid w:val="00077AFF"/>
    <w:rsid w:val="00081142"/>
    <w:rsid w:val="00085C71"/>
    <w:rsid w:val="0008789E"/>
    <w:rsid w:val="00094804"/>
    <w:rsid w:val="000B0737"/>
    <w:rsid w:val="000C07E4"/>
    <w:rsid w:val="000C285C"/>
    <w:rsid w:val="000D23BF"/>
    <w:rsid w:val="000D25BC"/>
    <w:rsid w:val="000E4C6D"/>
    <w:rsid w:val="000E7B5B"/>
    <w:rsid w:val="000F6612"/>
    <w:rsid w:val="000F77CA"/>
    <w:rsid w:val="00105480"/>
    <w:rsid w:val="00142273"/>
    <w:rsid w:val="00151542"/>
    <w:rsid w:val="00151C1F"/>
    <w:rsid w:val="001539F9"/>
    <w:rsid w:val="00164CCE"/>
    <w:rsid w:val="00172586"/>
    <w:rsid w:val="00182097"/>
    <w:rsid w:val="00185A74"/>
    <w:rsid w:val="00192D37"/>
    <w:rsid w:val="001933D0"/>
    <w:rsid w:val="00193CB0"/>
    <w:rsid w:val="00196F73"/>
    <w:rsid w:val="001974BB"/>
    <w:rsid w:val="001B1164"/>
    <w:rsid w:val="001B1422"/>
    <w:rsid w:val="001B49ED"/>
    <w:rsid w:val="001B571A"/>
    <w:rsid w:val="001B5823"/>
    <w:rsid w:val="001B6685"/>
    <w:rsid w:val="001D42EA"/>
    <w:rsid w:val="001E4B82"/>
    <w:rsid w:val="001F77F4"/>
    <w:rsid w:val="00200277"/>
    <w:rsid w:val="00203AFB"/>
    <w:rsid w:val="00205AF2"/>
    <w:rsid w:val="00206BAB"/>
    <w:rsid w:val="002169B9"/>
    <w:rsid w:val="002214B7"/>
    <w:rsid w:val="00221A42"/>
    <w:rsid w:val="0022431D"/>
    <w:rsid w:val="00233E0A"/>
    <w:rsid w:val="00234F2C"/>
    <w:rsid w:val="00237136"/>
    <w:rsid w:val="00240582"/>
    <w:rsid w:val="0024588E"/>
    <w:rsid w:val="00246391"/>
    <w:rsid w:val="002504C3"/>
    <w:rsid w:val="00253ED8"/>
    <w:rsid w:val="00257198"/>
    <w:rsid w:val="0026180B"/>
    <w:rsid w:val="00266DB6"/>
    <w:rsid w:val="002716DF"/>
    <w:rsid w:val="00276A08"/>
    <w:rsid w:val="00284C69"/>
    <w:rsid w:val="00290B98"/>
    <w:rsid w:val="002A20FC"/>
    <w:rsid w:val="002A38F3"/>
    <w:rsid w:val="002A530F"/>
    <w:rsid w:val="002C3ABC"/>
    <w:rsid w:val="002D6684"/>
    <w:rsid w:val="002D708B"/>
    <w:rsid w:val="002E06D9"/>
    <w:rsid w:val="002E27B8"/>
    <w:rsid w:val="002E6470"/>
    <w:rsid w:val="002F35B5"/>
    <w:rsid w:val="00311879"/>
    <w:rsid w:val="003144EA"/>
    <w:rsid w:val="00317478"/>
    <w:rsid w:val="00323708"/>
    <w:rsid w:val="003255DF"/>
    <w:rsid w:val="00331AA2"/>
    <w:rsid w:val="00343D25"/>
    <w:rsid w:val="00347EA9"/>
    <w:rsid w:val="00360692"/>
    <w:rsid w:val="00365AD2"/>
    <w:rsid w:val="00383457"/>
    <w:rsid w:val="00385D44"/>
    <w:rsid w:val="00386EEA"/>
    <w:rsid w:val="003921AB"/>
    <w:rsid w:val="00396931"/>
    <w:rsid w:val="003A0E94"/>
    <w:rsid w:val="003A1546"/>
    <w:rsid w:val="003A4EC7"/>
    <w:rsid w:val="003A641C"/>
    <w:rsid w:val="003B15B7"/>
    <w:rsid w:val="003B29E8"/>
    <w:rsid w:val="003B3AE0"/>
    <w:rsid w:val="003B4F00"/>
    <w:rsid w:val="003B535E"/>
    <w:rsid w:val="003B55E2"/>
    <w:rsid w:val="003B69DC"/>
    <w:rsid w:val="003B69E5"/>
    <w:rsid w:val="003C0950"/>
    <w:rsid w:val="003C0E09"/>
    <w:rsid w:val="003C167F"/>
    <w:rsid w:val="003C294C"/>
    <w:rsid w:val="003C561D"/>
    <w:rsid w:val="003C67AD"/>
    <w:rsid w:val="003C6916"/>
    <w:rsid w:val="003D050F"/>
    <w:rsid w:val="003D08EC"/>
    <w:rsid w:val="003D1C7C"/>
    <w:rsid w:val="003D67D1"/>
    <w:rsid w:val="003D751A"/>
    <w:rsid w:val="003E3ED6"/>
    <w:rsid w:val="003F568F"/>
    <w:rsid w:val="0041339F"/>
    <w:rsid w:val="00415406"/>
    <w:rsid w:val="00417130"/>
    <w:rsid w:val="0042080A"/>
    <w:rsid w:val="00425967"/>
    <w:rsid w:val="004405EA"/>
    <w:rsid w:val="00445CBC"/>
    <w:rsid w:val="00450BE7"/>
    <w:rsid w:val="00455502"/>
    <w:rsid w:val="00470DE8"/>
    <w:rsid w:val="00486833"/>
    <w:rsid w:val="004926B4"/>
    <w:rsid w:val="004B20BC"/>
    <w:rsid w:val="004B59DD"/>
    <w:rsid w:val="004B6C1F"/>
    <w:rsid w:val="004E5BBA"/>
    <w:rsid w:val="004F44A5"/>
    <w:rsid w:val="004F51F6"/>
    <w:rsid w:val="005073F8"/>
    <w:rsid w:val="00515F99"/>
    <w:rsid w:val="005162EA"/>
    <w:rsid w:val="00521BAA"/>
    <w:rsid w:val="00530D1B"/>
    <w:rsid w:val="005468C5"/>
    <w:rsid w:val="00556077"/>
    <w:rsid w:val="00556A09"/>
    <w:rsid w:val="00562508"/>
    <w:rsid w:val="00562C33"/>
    <w:rsid w:val="00573230"/>
    <w:rsid w:val="00577B6D"/>
    <w:rsid w:val="005812FF"/>
    <w:rsid w:val="005943C4"/>
    <w:rsid w:val="00595287"/>
    <w:rsid w:val="005A78B0"/>
    <w:rsid w:val="005C204B"/>
    <w:rsid w:val="005E09AE"/>
    <w:rsid w:val="005E530E"/>
    <w:rsid w:val="005E58FF"/>
    <w:rsid w:val="005F6588"/>
    <w:rsid w:val="00600583"/>
    <w:rsid w:val="006031AB"/>
    <w:rsid w:val="00610820"/>
    <w:rsid w:val="00622D29"/>
    <w:rsid w:val="00624740"/>
    <w:rsid w:val="006270F1"/>
    <w:rsid w:val="00632F22"/>
    <w:rsid w:val="00634364"/>
    <w:rsid w:val="00642596"/>
    <w:rsid w:val="00643F11"/>
    <w:rsid w:val="00653506"/>
    <w:rsid w:val="00655005"/>
    <w:rsid w:val="00655EA3"/>
    <w:rsid w:val="0066035F"/>
    <w:rsid w:val="0066095F"/>
    <w:rsid w:val="006609C0"/>
    <w:rsid w:val="0066278A"/>
    <w:rsid w:val="006646EE"/>
    <w:rsid w:val="00664BF7"/>
    <w:rsid w:val="00673E65"/>
    <w:rsid w:val="00674BC8"/>
    <w:rsid w:val="00675E2B"/>
    <w:rsid w:val="00681E2B"/>
    <w:rsid w:val="006A7B67"/>
    <w:rsid w:val="006F514F"/>
    <w:rsid w:val="0070270B"/>
    <w:rsid w:val="007044FD"/>
    <w:rsid w:val="00705285"/>
    <w:rsid w:val="0071286B"/>
    <w:rsid w:val="007153D4"/>
    <w:rsid w:val="00722A80"/>
    <w:rsid w:val="00731DE8"/>
    <w:rsid w:val="00733DCD"/>
    <w:rsid w:val="00734683"/>
    <w:rsid w:val="007428D8"/>
    <w:rsid w:val="00746E34"/>
    <w:rsid w:val="0075083D"/>
    <w:rsid w:val="00755433"/>
    <w:rsid w:val="00764242"/>
    <w:rsid w:val="00773420"/>
    <w:rsid w:val="007803D5"/>
    <w:rsid w:val="007879C2"/>
    <w:rsid w:val="00790514"/>
    <w:rsid w:val="007978B3"/>
    <w:rsid w:val="007A30F7"/>
    <w:rsid w:val="007B61B5"/>
    <w:rsid w:val="007B7889"/>
    <w:rsid w:val="007C13D8"/>
    <w:rsid w:val="007D39B1"/>
    <w:rsid w:val="007D789A"/>
    <w:rsid w:val="007E55E2"/>
    <w:rsid w:val="007F0DF5"/>
    <w:rsid w:val="007F425C"/>
    <w:rsid w:val="00800C3D"/>
    <w:rsid w:val="00801126"/>
    <w:rsid w:val="008050B7"/>
    <w:rsid w:val="00813E04"/>
    <w:rsid w:val="00815570"/>
    <w:rsid w:val="00816AF8"/>
    <w:rsid w:val="00817981"/>
    <w:rsid w:val="00826B56"/>
    <w:rsid w:val="008279E8"/>
    <w:rsid w:val="008307AA"/>
    <w:rsid w:val="00831F93"/>
    <w:rsid w:val="00847ED8"/>
    <w:rsid w:val="00853FFC"/>
    <w:rsid w:val="0085457A"/>
    <w:rsid w:val="00862AA2"/>
    <w:rsid w:val="0086469B"/>
    <w:rsid w:val="00871371"/>
    <w:rsid w:val="00874177"/>
    <w:rsid w:val="00874826"/>
    <w:rsid w:val="00883F9E"/>
    <w:rsid w:val="00891C2E"/>
    <w:rsid w:val="00891C6C"/>
    <w:rsid w:val="00894809"/>
    <w:rsid w:val="008B6BFD"/>
    <w:rsid w:val="008D3F55"/>
    <w:rsid w:val="008D5197"/>
    <w:rsid w:val="008D58D5"/>
    <w:rsid w:val="008E3B70"/>
    <w:rsid w:val="008F0E39"/>
    <w:rsid w:val="008F7295"/>
    <w:rsid w:val="00914A26"/>
    <w:rsid w:val="00926859"/>
    <w:rsid w:val="009273E6"/>
    <w:rsid w:val="0093394E"/>
    <w:rsid w:val="00941C86"/>
    <w:rsid w:val="00942142"/>
    <w:rsid w:val="00943242"/>
    <w:rsid w:val="00962AF6"/>
    <w:rsid w:val="00964E34"/>
    <w:rsid w:val="00965DB5"/>
    <w:rsid w:val="00972858"/>
    <w:rsid w:val="00973B9D"/>
    <w:rsid w:val="00974B18"/>
    <w:rsid w:val="0098000C"/>
    <w:rsid w:val="00984B72"/>
    <w:rsid w:val="0099169E"/>
    <w:rsid w:val="00994D68"/>
    <w:rsid w:val="00994DBF"/>
    <w:rsid w:val="009A1184"/>
    <w:rsid w:val="009A56D9"/>
    <w:rsid w:val="009B1513"/>
    <w:rsid w:val="009B3AFD"/>
    <w:rsid w:val="009B7B73"/>
    <w:rsid w:val="009C28A2"/>
    <w:rsid w:val="009D1673"/>
    <w:rsid w:val="009D6A55"/>
    <w:rsid w:val="009E03DA"/>
    <w:rsid w:val="009E556D"/>
    <w:rsid w:val="009E6995"/>
    <w:rsid w:val="009E75B5"/>
    <w:rsid w:val="00A00EA5"/>
    <w:rsid w:val="00A00EAB"/>
    <w:rsid w:val="00A01A8C"/>
    <w:rsid w:val="00A02C58"/>
    <w:rsid w:val="00A04FD0"/>
    <w:rsid w:val="00A156B5"/>
    <w:rsid w:val="00A312BF"/>
    <w:rsid w:val="00A356AD"/>
    <w:rsid w:val="00A4100B"/>
    <w:rsid w:val="00A511F2"/>
    <w:rsid w:val="00A53ACC"/>
    <w:rsid w:val="00A61237"/>
    <w:rsid w:val="00A636BE"/>
    <w:rsid w:val="00A7467F"/>
    <w:rsid w:val="00A953EA"/>
    <w:rsid w:val="00AA0988"/>
    <w:rsid w:val="00AA2A34"/>
    <w:rsid w:val="00AA3CF6"/>
    <w:rsid w:val="00AB70A5"/>
    <w:rsid w:val="00AB7D9D"/>
    <w:rsid w:val="00AC0B37"/>
    <w:rsid w:val="00AD0AAC"/>
    <w:rsid w:val="00AD2F25"/>
    <w:rsid w:val="00AD4744"/>
    <w:rsid w:val="00AE2A8B"/>
    <w:rsid w:val="00AE2D46"/>
    <w:rsid w:val="00AE6117"/>
    <w:rsid w:val="00AE6918"/>
    <w:rsid w:val="00AE79C5"/>
    <w:rsid w:val="00AF269D"/>
    <w:rsid w:val="00B03EC2"/>
    <w:rsid w:val="00B04AC8"/>
    <w:rsid w:val="00B04F29"/>
    <w:rsid w:val="00B05F6D"/>
    <w:rsid w:val="00B105BF"/>
    <w:rsid w:val="00B16822"/>
    <w:rsid w:val="00B17AF6"/>
    <w:rsid w:val="00B22F6C"/>
    <w:rsid w:val="00B239DC"/>
    <w:rsid w:val="00B26CA9"/>
    <w:rsid w:val="00B321B5"/>
    <w:rsid w:val="00B32558"/>
    <w:rsid w:val="00B355B9"/>
    <w:rsid w:val="00B41096"/>
    <w:rsid w:val="00B45369"/>
    <w:rsid w:val="00B52472"/>
    <w:rsid w:val="00B56381"/>
    <w:rsid w:val="00B63194"/>
    <w:rsid w:val="00B70387"/>
    <w:rsid w:val="00B7278A"/>
    <w:rsid w:val="00B776F7"/>
    <w:rsid w:val="00B86922"/>
    <w:rsid w:val="00B9394A"/>
    <w:rsid w:val="00BA3006"/>
    <w:rsid w:val="00BA32EB"/>
    <w:rsid w:val="00BA4566"/>
    <w:rsid w:val="00BB0207"/>
    <w:rsid w:val="00BB0AB5"/>
    <w:rsid w:val="00BB18D5"/>
    <w:rsid w:val="00BB272C"/>
    <w:rsid w:val="00BB287A"/>
    <w:rsid w:val="00BC7287"/>
    <w:rsid w:val="00BD1539"/>
    <w:rsid w:val="00BE1E66"/>
    <w:rsid w:val="00BE30D9"/>
    <w:rsid w:val="00BF0071"/>
    <w:rsid w:val="00C137E5"/>
    <w:rsid w:val="00C14395"/>
    <w:rsid w:val="00C149CC"/>
    <w:rsid w:val="00C1640B"/>
    <w:rsid w:val="00C20C01"/>
    <w:rsid w:val="00C3011D"/>
    <w:rsid w:val="00C33EC0"/>
    <w:rsid w:val="00C34AA0"/>
    <w:rsid w:val="00C4056A"/>
    <w:rsid w:val="00C4602F"/>
    <w:rsid w:val="00C50CFA"/>
    <w:rsid w:val="00C51548"/>
    <w:rsid w:val="00C61B7A"/>
    <w:rsid w:val="00C63A1F"/>
    <w:rsid w:val="00C64468"/>
    <w:rsid w:val="00C74DAE"/>
    <w:rsid w:val="00C75570"/>
    <w:rsid w:val="00C84E44"/>
    <w:rsid w:val="00C9628D"/>
    <w:rsid w:val="00C97428"/>
    <w:rsid w:val="00CA600C"/>
    <w:rsid w:val="00CA6869"/>
    <w:rsid w:val="00CB74CA"/>
    <w:rsid w:val="00CC2CB4"/>
    <w:rsid w:val="00CD0ACF"/>
    <w:rsid w:val="00CE026B"/>
    <w:rsid w:val="00CE1D47"/>
    <w:rsid w:val="00CE7F57"/>
    <w:rsid w:val="00CF50E3"/>
    <w:rsid w:val="00CF70C4"/>
    <w:rsid w:val="00CF7145"/>
    <w:rsid w:val="00CF7C5F"/>
    <w:rsid w:val="00D00544"/>
    <w:rsid w:val="00D01050"/>
    <w:rsid w:val="00D0737B"/>
    <w:rsid w:val="00D13E94"/>
    <w:rsid w:val="00D20E91"/>
    <w:rsid w:val="00D26BD3"/>
    <w:rsid w:val="00D349EC"/>
    <w:rsid w:val="00D3767D"/>
    <w:rsid w:val="00D4578D"/>
    <w:rsid w:val="00D45CD9"/>
    <w:rsid w:val="00D46B1E"/>
    <w:rsid w:val="00D50ADD"/>
    <w:rsid w:val="00D62A04"/>
    <w:rsid w:val="00D80C36"/>
    <w:rsid w:val="00DA0535"/>
    <w:rsid w:val="00DA1246"/>
    <w:rsid w:val="00DA1BFA"/>
    <w:rsid w:val="00DB7206"/>
    <w:rsid w:val="00DC0D0D"/>
    <w:rsid w:val="00DC3AD4"/>
    <w:rsid w:val="00DD196F"/>
    <w:rsid w:val="00DE2674"/>
    <w:rsid w:val="00DF032A"/>
    <w:rsid w:val="00E0009D"/>
    <w:rsid w:val="00E04535"/>
    <w:rsid w:val="00E1064F"/>
    <w:rsid w:val="00E1191B"/>
    <w:rsid w:val="00E12129"/>
    <w:rsid w:val="00E14DFF"/>
    <w:rsid w:val="00E218A3"/>
    <w:rsid w:val="00E43285"/>
    <w:rsid w:val="00E4743A"/>
    <w:rsid w:val="00E47928"/>
    <w:rsid w:val="00E573BA"/>
    <w:rsid w:val="00E61334"/>
    <w:rsid w:val="00E62ADE"/>
    <w:rsid w:val="00E645EF"/>
    <w:rsid w:val="00E66E93"/>
    <w:rsid w:val="00E71B8D"/>
    <w:rsid w:val="00E74655"/>
    <w:rsid w:val="00E80329"/>
    <w:rsid w:val="00E810A9"/>
    <w:rsid w:val="00EA0205"/>
    <w:rsid w:val="00EA143F"/>
    <w:rsid w:val="00EA2796"/>
    <w:rsid w:val="00EB10ED"/>
    <w:rsid w:val="00EB3875"/>
    <w:rsid w:val="00EC0D79"/>
    <w:rsid w:val="00ED6339"/>
    <w:rsid w:val="00EF3CAB"/>
    <w:rsid w:val="00F00F28"/>
    <w:rsid w:val="00F02383"/>
    <w:rsid w:val="00F03228"/>
    <w:rsid w:val="00F03FBE"/>
    <w:rsid w:val="00F118FD"/>
    <w:rsid w:val="00F15B03"/>
    <w:rsid w:val="00F20304"/>
    <w:rsid w:val="00F31C97"/>
    <w:rsid w:val="00F41272"/>
    <w:rsid w:val="00F41E2C"/>
    <w:rsid w:val="00F42C24"/>
    <w:rsid w:val="00F46980"/>
    <w:rsid w:val="00F46C63"/>
    <w:rsid w:val="00F54BB5"/>
    <w:rsid w:val="00F55AEA"/>
    <w:rsid w:val="00F57E5E"/>
    <w:rsid w:val="00F60751"/>
    <w:rsid w:val="00F642AC"/>
    <w:rsid w:val="00F67765"/>
    <w:rsid w:val="00F70115"/>
    <w:rsid w:val="00F70EDB"/>
    <w:rsid w:val="00F80220"/>
    <w:rsid w:val="00F80414"/>
    <w:rsid w:val="00F826EF"/>
    <w:rsid w:val="00F842A9"/>
    <w:rsid w:val="00F85BAB"/>
    <w:rsid w:val="00F915B4"/>
    <w:rsid w:val="00FA0CFB"/>
    <w:rsid w:val="00FA2B12"/>
    <w:rsid w:val="00FA798B"/>
    <w:rsid w:val="00FB3682"/>
    <w:rsid w:val="00FB73B3"/>
    <w:rsid w:val="00FB7518"/>
    <w:rsid w:val="00FD17D8"/>
    <w:rsid w:val="00FD7CAC"/>
    <w:rsid w:val="00FE769F"/>
    <w:rsid w:val="00FF6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DDAC73"/>
  <w15:docId w15:val="{B8F9645F-ACFA-42AF-A988-F3E6E8F6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84"/>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191B"/>
  </w:style>
  <w:style w:type="character" w:customStyle="1" w:styleId="FootnoteTextChar">
    <w:name w:val="Footnote Text Char"/>
    <w:basedOn w:val="DefaultParagraphFont"/>
    <w:link w:val="FootnoteText"/>
    <w:uiPriority w:val="99"/>
    <w:semiHidden/>
    <w:rsid w:val="00E1191B"/>
    <w:rPr>
      <w:rFonts w:ascii="Arial" w:eastAsia="Times New Roman" w:hAnsi="Arial" w:cs="Arial"/>
      <w:sz w:val="20"/>
      <w:szCs w:val="20"/>
      <w:lang w:eastAsia="en-GB"/>
    </w:rPr>
  </w:style>
  <w:style w:type="character" w:styleId="FootnoteReference">
    <w:name w:val="footnote reference"/>
    <w:basedOn w:val="DefaultParagraphFont"/>
    <w:unhideWhenUsed/>
    <w:rsid w:val="00E1191B"/>
    <w:rPr>
      <w:vertAlign w:val="superscript"/>
    </w:rPr>
  </w:style>
  <w:style w:type="paragraph" w:styleId="ListParagraph">
    <w:name w:val="List Paragraph"/>
    <w:basedOn w:val="Normal"/>
    <w:uiPriority w:val="34"/>
    <w:qFormat/>
    <w:rsid w:val="00094804"/>
    <w:pPr>
      <w:ind w:left="720"/>
      <w:contextualSpacing/>
    </w:pPr>
  </w:style>
  <w:style w:type="character" w:styleId="Hyperlink">
    <w:name w:val="Hyperlink"/>
    <w:basedOn w:val="DefaultParagraphFont"/>
    <w:uiPriority w:val="99"/>
    <w:unhideWhenUsed/>
    <w:rsid w:val="00FF6C37"/>
    <w:rPr>
      <w:color w:val="0000FF" w:themeColor="hyperlink"/>
      <w:u w:val="single"/>
    </w:rPr>
  </w:style>
  <w:style w:type="paragraph" w:styleId="Header">
    <w:name w:val="header"/>
    <w:basedOn w:val="Normal"/>
    <w:link w:val="HeaderChar"/>
    <w:uiPriority w:val="99"/>
    <w:unhideWhenUsed/>
    <w:rsid w:val="00A156B5"/>
    <w:pPr>
      <w:tabs>
        <w:tab w:val="center" w:pos="4513"/>
        <w:tab w:val="right" w:pos="9026"/>
      </w:tabs>
    </w:pPr>
  </w:style>
  <w:style w:type="character" w:customStyle="1" w:styleId="HeaderChar">
    <w:name w:val="Header Char"/>
    <w:basedOn w:val="DefaultParagraphFont"/>
    <w:link w:val="Header"/>
    <w:uiPriority w:val="99"/>
    <w:rsid w:val="00A156B5"/>
    <w:rPr>
      <w:rFonts w:ascii="Arial" w:eastAsia="Times New Roman" w:hAnsi="Arial" w:cs="Arial"/>
      <w:sz w:val="20"/>
      <w:szCs w:val="20"/>
      <w:lang w:eastAsia="en-GB"/>
    </w:rPr>
  </w:style>
  <w:style w:type="paragraph" w:styleId="Footer">
    <w:name w:val="footer"/>
    <w:basedOn w:val="Normal"/>
    <w:link w:val="FooterChar"/>
    <w:uiPriority w:val="99"/>
    <w:unhideWhenUsed/>
    <w:rsid w:val="00A156B5"/>
    <w:pPr>
      <w:tabs>
        <w:tab w:val="center" w:pos="4513"/>
        <w:tab w:val="right" w:pos="9026"/>
      </w:tabs>
    </w:pPr>
  </w:style>
  <w:style w:type="character" w:customStyle="1" w:styleId="FooterChar">
    <w:name w:val="Footer Char"/>
    <w:basedOn w:val="DefaultParagraphFont"/>
    <w:link w:val="Footer"/>
    <w:uiPriority w:val="99"/>
    <w:rsid w:val="00A156B5"/>
    <w:rPr>
      <w:rFonts w:ascii="Arial" w:eastAsia="Times New Roman" w:hAnsi="Arial" w:cs="Arial"/>
      <w:sz w:val="20"/>
      <w:szCs w:val="20"/>
      <w:lang w:eastAsia="en-GB"/>
    </w:rPr>
  </w:style>
  <w:style w:type="character" w:styleId="FollowedHyperlink">
    <w:name w:val="FollowedHyperlink"/>
    <w:basedOn w:val="DefaultParagraphFont"/>
    <w:uiPriority w:val="99"/>
    <w:semiHidden/>
    <w:unhideWhenUsed/>
    <w:rsid w:val="007879C2"/>
    <w:rPr>
      <w:color w:val="800080" w:themeColor="followedHyperlink"/>
      <w:u w:val="single"/>
    </w:rPr>
  </w:style>
  <w:style w:type="paragraph" w:styleId="BalloonText">
    <w:name w:val="Balloon Text"/>
    <w:basedOn w:val="Normal"/>
    <w:link w:val="BalloonTextChar"/>
    <w:uiPriority w:val="99"/>
    <w:semiHidden/>
    <w:unhideWhenUsed/>
    <w:rsid w:val="00F20304"/>
    <w:rPr>
      <w:rFonts w:ascii="Tahoma" w:hAnsi="Tahoma" w:cs="Tahoma"/>
      <w:sz w:val="16"/>
      <w:szCs w:val="16"/>
    </w:rPr>
  </w:style>
  <w:style w:type="character" w:customStyle="1" w:styleId="BalloonTextChar">
    <w:name w:val="Balloon Text Char"/>
    <w:basedOn w:val="DefaultParagraphFont"/>
    <w:link w:val="BalloonText"/>
    <w:uiPriority w:val="99"/>
    <w:semiHidden/>
    <w:rsid w:val="00F20304"/>
    <w:rPr>
      <w:rFonts w:ascii="Tahoma" w:eastAsia="Times New Roman" w:hAnsi="Tahoma" w:cs="Tahoma"/>
      <w:sz w:val="16"/>
      <w:szCs w:val="16"/>
      <w:lang w:eastAsia="en-GB"/>
    </w:rPr>
  </w:style>
  <w:style w:type="paragraph" w:styleId="NormalWeb">
    <w:name w:val="Normal (Web)"/>
    <w:basedOn w:val="Normal"/>
    <w:uiPriority w:val="99"/>
    <w:semiHidden/>
    <w:unhideWhenUsed/>
    <w:rsid w:val="00B26CA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7039">
      <w:bodyDiv w:val="1"/>
      <w:marLeft w:val="0"/>
      <w:marRight w:val="0"/>
      <w:marTop w:val="0"/>
      <w:marBottom w:val="0"/>
      <w:divBdr>
        <w:top w:val="none" w:sz="0" w:space="0" w:color="auto"/>
        <w:left w:val="none" w:sz="0" w:space="0" w:color="auto"/>
        <w:bottom w:val="none" w:sz="0" w:space="0" w:color="auto"/>
        <w:right w:val="none" w:sz="0" w:space="0" w:color="auto"/>
      </w:divBdr>
    </w:div>
    <w:div w:id="152263263">
      <w:bodyDiv w:val="1"/>
      <w:marLeft w:val="0"/>
      <w:marRight w:val="0"/>
      <w:marTop w:val="0"/>
      <w:marBottom w:val="0"/>
      <w:divBdr>
        <w:top w:val="none" w:sz="0" w:space="0" w:color="auto"/>
        <w:left w:val="none" w:sz="0" w:space="0" w:color="auto"/>
        <w:bottom w:val="none" w:sz="0" w:space="0" w:color="auto"/>
        <w:right w:val="none" w:sz="0" w:space="0" w:color="auto"/>
      </w:divBdr>
    </w:div>
    <w:div w:id="299312347">
      <w:bodyDiv w:val="1"/>
      <w:marLeft w:val="0"/>
      <w:marRight w:val="0"/>
      <w:marTop w:val="0"/>
      <w:marBottom w:val="0"/>
      <w:divBdr>
        <w:top w:val="none" w:sz="0" w:space="0" w:color="auto"/>
        <w:left w:val="none" w:sz="0" w:space="0" w:color="auto"/>
        <w:bottom w:val="none" w:sz="0" w:space="0" w:color="auto"/>
        <w:right w:val="none" w:sz="0" w:space="0" w:color="auto"/>
      </w:divBdr>
    </w:div>
    <w:div w:id="398284194">
      <w:bodyDiv w:val="1"/>
      <w:marLeft w:val="0"/>
      <w:marRight w:val="0"/>
      <w:marTop w:val="0"/>
      <w:marBottom w:val="0"/>
      <w:divBdr>
        <w:top w:val="none" w:sz="0" w:space="0" w:color="auto"/>
        <w:left w:val="none" w:sz="0" w:space="0" w:color="auto"/>
        <w:bottom w:val="none" w:sz="0" w:space="0" w:color="auto"/>
        <w:right w:val="none" w:sz="0" w:space="0" w:color="auto"/>
      </w:divBdr>
    </w:div>
    <w:div w:id="498812293">
      <w:bodyDiv w:val="1"/>
      <w:marLeft w:val="0"/>
      <w:marRight w:val="0"/>
      <w:marTop w:val="0"/>
      <w:marBottom w:val="0"/>
      <w:divBdr>
        <w:top w:val="none" w:sz="0" w:space="0" w:color="auto"/>
        <w:left w:val="none" w:sz="0" w:space="0" w:color="auto"/>
        <w:bottom w:val="none" w:sz="0" w:space="0" w:color="auto"/>
        <w:right w:val="none" w:sz="0" w:space="0" w:color="auto"/>
      </w:divBdr>
      <w:divsChild>
        <w:div w:id="1974020577">
          <w:marLeft w:val="144"/>
          <w:marRight w:val="0"/>
          <w:marTop w:val="0"/>
          <w:marBottom w:val="0"/>
          <w:divBdr>
            <w:top w:val="none" w:sz="0" w:space="0" w:color="auto"/>
            <w:left w:val="none" w:sz="0" w:space="0" w:color="auto"/>
            <w:bottom w:val="none" w:sz="0" w:space="0" w:color="auto"/>
            <w:right w:val="none" w:sz="0" w:space="0" w:color="auto"/>
          </w:divBdr>
        </w:div>
        <w:div w:id="1090203222">
          <w:marLeft w:val="144"/>
          <w:marRight w:val="0"/>
          <w:marTop w:val="0"/>
          <w:marBottom w:val="0"/>
          <w:divBdr>
            <w:top w:val="none" w:sz="0" w:space="0" w:color="auto"/>
            <w:left w:val="none" w:sz="0" w:space="0" w:color="auto"/>
            <w:bottom w:val="none" w:sz="0" w:space="0" w:color="auto"/>
            <w:right w:val="none" w:sz="0" w:space="0" w:color="auto"/>
          </w:divBdr>
        </w:div>
      </w:divsChild>
    </w:div>
    <w:div w:id="1053426148">
      <w:bodyDiv w:val="1"/>
      <w:marLeft w:val="0"/>
      <w:marRight w:val="0"/>
      <w:marTop w:val="0"/>
      <w:marBottom w:val="0"/>
      <w:divBdr>
        <w:top w:val="none" w:sz="0" w:space="0" w:color="auto"/>
        <w:left w:val="none" w:sz="0" w:space="0" w:color="auto"/>
        <w:bottom w:val="none" w:sz="0" w:space="0" w:color="auto"/>
        <w:right w:val="none" w:sz="0" w:space="0" w:color="auto"/>
      </w:divBdr>
    </w:div>
    <w:div w:id="1074939171">
      <w:bodyDiv w:val="1"/>
      <w:marLeft w:val="0"/>
      <w:marRight w:val="0"/>
      <w:marTop w:val="0"/>
      <w:marBottom w:val="0"/>
      <w:divBdr>
        <w:top w:val="none" w:sz="0" w:space="0" w:color="auto"/>
        <w:left w:val="none" w:sz="0" w:space="0" w:color="auto"/>
        <w:bottom w:val="none" w:sz="0" w:space="0" w:color="auto"/>
        <w:right w:val="none" w:sz="0" w:space="0" w:color="auto"/>
      </w:divBdr>
    </w:div>
    <w:div w:id="1100487614">
      <w:bodyDiv w:val="1"/>
      <w:marLeft w:val="0"/>
      <w:marRight w:val="0"/>
      <w:marTop w:val="0"/>
      <w:marBottom w:val="0"/>
      <w:divBdr>
        <w:top w:val="none" w:sz="0" w:space="0" w:color="auto"/>
        <w:left w:val="none" w:sz="0" w:space="0" w:color="auto"/>
        <w:bottom w:val="none" w:sz="0" w:space="0" w:color="auto"/>
        <w:right w:val="none" w:sz="0" w:space="0" w:color="auto"/>
      </w:divBdr>
    </w:div>
    <w:div w:id="1756130773">
      <w:bodyDiv w:val="1"/>
      <w:marLeft w:val="0"/>
      <w:marRight w:val="0"/>
      <w:marTop w:val="0"/>
      <w:marBottom w:val="0"/>
      <w:divBdr>
        <w:top w:val="none" w:sz="0" w:space="0" w:color="auto"/>
        <w:left w:val="none" w:sz="0" w:space="0" w:color="auto"/>
        <w:bottom w:val="none" w:sz="0" w:space="0" w:color="auto"/>
        <w:right w:val="none" w:sz="0" w:space="0" w:color="auto"/>
      </w:divBdr>
    </w:div>
    <w:div w:id="1796677555">
      <w:bodyDiv w:val="1"/>
      <w:marLeft w:val="0"/>
      <w:marRight w:val="0"/>
      <w:marTop w:val="0"/>
      <w:marBottom w:val="0"/>
      <w:divBdr>
        <w:top w:val="none" w:sz="0" w:space="0" w:color="auto"/>
        <w:left w:val="none" w:sz="0" w:space="0" w:color="auto"/>
        <w:bottom w:val="none" w:sz="0" w:space="0" w:color="auto"/>
        <w:right w:val="none" w:sz="0" w:space="0" w:color="auto"/>
      </w:divBdr>
    </w:div>
    <w:div w:id="20343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erma.cc/R8R2-Z6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6627D-9B3F-4D39-B65C-793CEB19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Ay Okpokam</cp:lastModifiedBy>
  <cp:revision>6</cp:revision>
  <cp:lastPrinted>2019-11-26T15:12:00Z</cp:lastPrinted>
  <dcterms:created xsi:type="dcterms:W3CDTF">2019-12-17T15:16:00Z</dcterms:created>
  <dcterms:modified xsi:type="dcterms:W3CDTF">2019-12-17T17:34:00Z</dcterms:modified>
</cp:coreProperties>
</file>