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A7629" w14:textId="36F72CF4" w:rsidR="00C84785" w:rsidRPr="003A436E" w:rsidRDefault="00946737" w:rsidP="00C84785">
      <w:pPr>
        <w:pStyle w:val="ArticleTitle"/>
        <w:spacing w:after="0" w:line="360" w:lineRule="auto"/>
        <w:rPr>
          <w:rFonts w:ascii="Arial" w:hAnsi="Arial" w:cs="Arial"/>
          <w:b/>
          <w:sz w:val="22"/>
          <w:szCs w:val="22"/>
        </w:rPr>
      </w:pPr>
      <w:r w:rsidRPr="003A436E">
        <w:rPr>
          <w:rFonts w:ascii="Arial" w:hAnsi="Arial" w:cs="Arial"/>
          <w:b/>
          <w:sz w:val="22"/>
          <w:szCs w:val="22"/>
        </w:rPr>
        <w:t>Policing Men, Policing Women: Responsibility and Accountability for Violence Against Women and Girls, Including Domestic Abuse and Femicide</w:t>
      </w:r>
    </w:p>
    <w:p w14:paraId="4687EEF2" w14:textId="77777777" w:rsidR="00946737" w:rsidRPr="003A436E" w:rsidRDefault="00946737" w:rsidP="00C84785">
      <w:pPr>
        <w:pStyle w:val="ArticleTitle"/>
        <w:spacing w:after="0" w:line="360" w:lineRule="auto"/>
        <w:rPr>
          <w:rFonts w:ascii="Arial" w:hAnsi="Arial" w:cs="Arial"/>
          <w:b/>
          <w:sz w:val="22"/>
          <w:szCs w:val="22"/>
        </w:rPr>
      </w:pPr>
    </w:p>
    <w:p w14:paraId="3DBFC95C" w14:textId="2488A8F3" w:rsidR="004324AD" w:rsidRPr="003A436E" w:rsidRDefault="00946737" w:rsidP="00C84785">
      <w:pPr>
        <w:pStyle w:val="ArticleTitle"/>
        <w:spacing w:after="0" w:line="360" w:lineRule="auto"/>
        <w:rPr>
          <w:rFonts w:ascii="Arial" w:hAnsi="Arial" w:cs="Arial"/>
          <w:bCs/>
          <w:i/>
          <w:iCs/>
          <w:sz w:val="22"/>
          <w:szCs w:val="22"/>
        </w:rPr>
      </w:pPr>
      <w:r w:rsidRPr="003A436E">
        <w:rPr>
          <w:rFonts w:ascii="Arial" w:hAnsi="Arial" w:cs="Arial"/>
          <w:bCs/>
          <w:i/>
          <w:iCs/>
          <w:sz w:val="22"/>
          <w:szCs w:val="22"/>
        </w:rPr>
        <w:t>Mandy Burton</w:t>
      </w:r>
      <w:r w:rsidR="004324AD" w:rsidRPr="003A436E">
        <w:rPr>
          <w:rStyle w:val="FootnoteReference"/>
          <w:rFonts w:ascii="Arial" w:hAnsi="Arial" w:cs="Arial"/>
          <w:bCs/>
          <w:sz w:val="22"/>
          <w:szCs w:val="22"/>
        </w:rPr>
        <w:footnoteReference w:id="1"/>
      </w:r>
      <w:r w:rsidR="004324AD" w:rsidRPr="003A436E">
        <w:rPr>
          <w:rFonts w:ascii="Arial" w:hAnsi="Arial" w:cs="Arial"/>
          <w:bCs/>
          <w:sz w:val="22"/>
          <w:szCs w:val="22"/>
        </w:rPr>
        <w:t xml:space="preserve"> </w:t>
      </w:r>
    </w:p>
    <w:p w14:paraId="64E8B883" w14:textId="6348C0E6" w:rsidR="00FE5F32" w:rsidRDefault="00FE5F32" w:rsidP="00C84785">
      <w:pPr>
        <w:pStyle w:val="ArticleTitle"/>
        <w:spacing w:after="0" w:line="360" w:lineRule="auto"/>
        <w:rPr>
          <w:rFonts w:ascii="Arial" w:hAnsi="Arial" w:cs="Arial"/>
          <w:bCs/>
          <w:i/>
          <w:iCs/>
          <w:sz w:val="22"/>
          <w:szCs w:val="22"/>
        </w:rPr>
      </w:pPr>
    </w:p>
    <w:p w14:paraId="2341DD32" w14:textId="77777777" w:rsidR="00FF136E" w:rsidRPr="003A436E" w:rsidRDefault="00FF136E" w:rsidP="00C84785">
      <w:pPr>
        <w:pStyle w:val="ArticleTitle"/>
        <w:spacing w:after="0" w:line="360" w:lineRule="auto"/>
        <w:rPr>
          <w:rFonts w:ascii="Arial" w:hAnsi="Arial" w:cs="Arial"/>
          <w:bCs/>
          <w:i/>
          <w:iCs/>
          <w:sz w:val="22"/>
          <w:szCs w:val="22"/>
        </w:rPr>
      </w:pPr>
    </w:p>
    <w:p w14:paraId="791D1DE7" w14:textId="07533B23" w:rsidR="00FE5F32" w:rsidRPr="00FF136E" w:rsidRDefault="00FE5F32" w:rsidP="00C84785">
      <w:pPr>
        <w:pStyle w:val="ArticleTitle"/>
        <w:spacing w:after="0" w:line="360" w:lineRule="auto"/>
        <w:rPr>
          <w:rFonts w:ascii="Arial" w:hAnsi="Arial" w:cs="Arial"/>
          <w:b/>
          <w:sz w:val="22"/>
          <w:szCs w:val="22"/>
        </w:rPr>
      </w:pPr>
      <w:r w:rsidRPr="00FF136E">
        <w:rPr>
          <w:rFonts w:ascii="Arial" w:hAnsi="Arial" w:cs="Arial"/>
          <w:b/>
          <w:sz w:val="22"/>
          <w:szCs w:val="22"/>
        </w:rPr>
        <w:t>Abstract</w:t>
      </w:r>
    </w:p>
    <w:p w14:paraId="1F1073DA" w14:textId="77777777" w:rsidR="00C84785" w:rsidRPr="003A436E" w:rsidRDefault="00C84785" w:rsidP="00C84785">
      <w:pPr>
        <w:pStyle w:val="ArticleTitle"/>
        <w:spacing w:after="0" w:line="360" w:lineRule="auto"/>
        <w:rPr>
          <w:rFonts w:ascii="Arial" w:hAnsi="Arial" w:cs="Arial"/>
          <w:b/>
          <w:i/>
          <w:iCs/>
          <w:sz w:val="22"/>
          <w:szCs w:val="22"/>
        </w:rPr>
      </w:pPr>
    </w:p>
    <w:p w14:paraId="0C7E0820" w14:textId="54141BA8" w:rsidR="00C84785" w:rsidRPr="003A436E" w:rsidRDefault="00EE117C" w:rsidP="00C84785">
      <w:pPr>
        <w:pStyle w:val="ArticleTitle"/>
        <w:spacing w:after="0" w:line="360" w:lineRule="auto"/>
        <w:rPr>
          <w:rFonts w:ascii="Arial" w:hAnsi="Arial" w:cs="Arial"/>
          <w:bCs/>
          <w:sz w:val="22"/>
          <w:szCs w:val="22"/>
        </w:rPr>
      </w:pPr>
      <w:r w:rsidRPr="003A436E">
        <w:rPr>
          <w:rFonts w:ascii="Arial" w:hAnsi="Arial" w:cs="Arial"/>
          <w:bCs/>
          <w:sz w:val="22"/>
          <w:szCs w:val="22"/>
        </w:rPr>
        <w:t>Existing legal responses to violence against women and girls (VAWG) often focus on the behaviour of the victim as much as, or sometimes more than, that of the alleged perpetrator. The laws that are supposed to protect women and girls from abuse are used to ‘police’ the behaviour of women; access to remedies and redress can seem to be contingent on whether the victim has adhered to stereotypes of an ‘ideal/real’ or ‘deserving’ victim. Female victims of male violence, including femicide, are often judged for their own behaviour; what they ‘ought’ to have done to keep themselves safe. This ‘responsibilisation’ is evident in both the substantive law and in the implementation of the law in practice. This article will highlight some of the examples of victim blaming in existing legal responses to VAWG in England and Wales. It will consider the question: how can we focus less on victim behaviour and more on perpetrator responsibility and accountability? Jayne Cowie’s book After Dark offers a useful lens for examining this question. The article will explore the parallels between some of the existing preventative measures for domestic abuse in England and Wales and some of the fictional measures enacted in Cowie’s world, in particular cohabitation contracts and domestic violence disclosure schemes.</w:t>
      </w:r>
    </w:p>
    <w:p w14:paraId="202CE012" w14:textId="77777777" w:rsidR="00EE117C" w:rsidRPr="003A436E" w:rsidRDefault="00EE117C" w:rsidP="00C84785">
      <w:pPr>
        <w:pStyle w:val="ArticleTitle"/>
        <w:spacing w:after="0" w:line="360" w:lineRule="auto"/>
        <w:rPr>
          <w:rFonts w:ascii="Arial" w:hAnsi="Arial" w:cs="Arial"/>
          <w:b/>
          <w:i/>
          <w:iCs/>
          <w:sz w:val="22"/>
          <w:szCs w:val="22"/>
        </w:rPr>
      </w:pPr>
    </w:p>
    <w:p w14:paraId="45550442" w14:textId="5A0A6C0B" w:rsidR="00521899" w:rsidRDefault="00521899" w:rsidP="00C84785">
      <w:pPr>
        <w:pStyle w:val="ArticleTitle"/>
        <w:spacing w:after="0" w:line="360" w:lineRule="auto"/>
        <w:rPr>
          <w:rFonts w:ascii="Arial" w:hAnsi="Arial" w:cs="Arial"/>
          <w:b/>
          <w:i/>
          <w:iCs/>
          <w:sz w:val="22"/>
          <w:szCs w:val="22"/>
        </w:rPr>
      </w:pPr>
      <w:r w:rsidRPr="00FF136E">
        <w:rPr>
          <w:rFonts w:ascii="Arial" w:hAnsi="Arial" w:cs="Arial"/>
          <w:b/>
          <w:sz w:val="22"/>
          <w:szCs w:val="22"/>
        </w:rPr>
        <w:t>Keywords</w:t>
      </w:r>
    </w:p>
    <w:p w14:paraId="4B9912C2" w14:textId="77777777" w:rsidR="00FF136E" w:rsidRPr="003A436E" w:rsidRDefault="00FF136E" w:rsidP="00C84785">
      <w:pPr>
        <w:pStyle w:val="ArticleTitle"/>
        <w:spacing w:after="0" w:line="360" w:lineRule="auto"/>
        <w:rPr>
          <w:rFonts w:ascii="Arial" w:hAnsi="Arial" w:cs="Arial"/>
          <w:b/>
          <w:i/>
          <w:iCs/>
          <w:sz w:val="22"/>
          <w:szCs w:val="22"/>
        </w:rPr>
      </w:pPr>
    </w:p>
    <w:p w14:paraId="53BB2C45" w14:textId="6D58D539" w:rsidR="0003224D" w:rsidRDefault="0003224D" w:rsidP="0003224D">
      <w:pPr>
        <w:pStyle w:val="ArticleTitle"/>
        <w:spacing w:after="0" w:line="360" w:lineRule="auto"/>
        <w:rPr>
          <w:rFonts w:ascii="Arial" w:hAnsi="Arial" w:cs="Arial"/>
          <w:bCs/>
          <w:sz w:val="22"/>
          <w:szCs w:val="22"/>
        </w:rPr>
      </w:pPr>
      <w:r w:rsidRPr="00FF136E">
        <w:rPr>
          <w:rFonts w:ascii="Arial" w:hAnsi="Arial" w:cs="Arial"/>
          <w:bCs/>
          <w:sz w:val="22"/>
          <w:szCs w:val="22"/>
        </w:rPr>
        <w:t>Stereotyping</w:t>
      </w:r>
      <w:r w:rsidR="00FF136E" w:rsidRPr="00FF136E">
        <w:rPr>
          <w:rFonts w:ascii="Arial" w:hAnsi="Arial" w:cs="Arial"/>
          <w:bCs/>
          <w:sz w:val="22"/>
          <w:szCs w:val="22"/>
        </w:rPr>
        <w:t>, Victim Blaming, Responsibilisation, Accountability, Prevention</w:t>
      </w:r>
    </w:p>
    <w:p w14:paraId="00063564" w14:textId="77777777" w:rsidR="00FF136E" w:rsidRPr="00FF136E" w:rsidRDefault="00FF136E" w:rsidP="0003224D">
      <w:pPr>
        <w:pStyle w:val="ArticleTitle"/>
        <w:spacing w:after="0" w:line="360" w:lineRule="auto"/>
        <w:rPr>
          <w:rFonts w:ascii="Arial" w:hAnsi="Arial" w:cs="Arial"/>
          <w:bCs/>
          <w:sz w:val="22"/>
          <w:szCs w:val="22"/>
        </w:rPr>
      </w:pPr>
    </w:p>
    <w:p w14:paraId="45083C7E" w14:textId="71630789" w:rsidR="00C84785" w:rsidRPr="003A436E" w:rsidRDefault="00C84785" w:rsidP="00C84785">
      <w:pPr>
        <w:pStyle w:val="ArticleTitle"/>
        <w:spacing w:after="0" w:line="360" w:lineRule="auto"/>
        <w:rPr>
          <w:rFonts w:ascii="Arial" w:hAnsi="Arial" w:cs="Arial"/>
          <w:bCs/>
          <w:sz w:val="22"/>
          <w:szCs w:val="22"/>
        </w:rPr>
      </w:pPr>
    </w:p>
    <w:p w14:paraId="6787590B" w14:textId="51D117A6" w:rsidR="00FE5F32" w:rsidRPr="003A436E" w:rsidRDefault="00FE5F32" w:rsidP="00C84785">
      <w:pPr>
        <w:pStyle w:val="ArticleTitle"/>
        <w:spacing w:after="0" w:line="360" w:lineRule="auto"/>
        <w:rPr>
          <w:rFonts w:ascii="Arial" w:hAnsi="Arial" w:cs="Arial"/>
          <w:b/>
          <w:i/>
          <w:iCs/>
          <w:sz w:val="22"/>
          <w:szCs w:val="22"/>
        </w:rPr>
      </w:pPr>
      <w:r w:rsidRPr="003A436E">
        <w:rPr>
          <w:rFonts w:ascii="Arial" w:hAnsi="Arial" w:cs="Arial"/>
          <w:b/>
          <w:i/>
          <w:iCs/>
          <w:sz w:val="22"/>
          <w:szCs w:val="22"/>
        </w:rPr>
        <w:t>Introduction</w:t>
      </w:r>
    </w:p>
    <w:p w14:paraId="5D852EC5" w14:textId="77777777" w:rsidR="00C84785" w:rsidRPr="003A436E" w:rsidRDefault="00C84785" w:rsidP="00C84785">
      <w:pPr>
        <w:pStyle w:val="ArticleTitle"/>
        <w:spacing w:after="0" w:line="360" w:lineRule="auto"/>
        <w:rPr>
          <w:rFonts w:ascii="Arial" w:hAnsi="Arial" w:cs="Arial"/>
          <w:b/>
          <w:sz w:val="22"/>
          <w:szCs w:val="22"/>
        </w:rPr>
      </w:pPr>
    </w:p>
    <w:p w14:paraId="61F0F2F5" w14:textId="333AD16B" w:rsidR="003A4C05" w:rsidRPr="003A436E" w:rsidRDefault="003A4C05" w:rsidP="003A4C05">
      <w:pPr>
        <w:pStyle w:val="ArticleTitle"/>
        <w:spacing w:after="0" w:line="360" w:lineRule="auto"/>
        <w:rPr>
          <w:rFonts w:ascii="Arial" w:hAnsi="Arial" w:cs="Arial"/>
          <w:bCs/>
          <w:sz w:val="22"/>
          <w:szCs w:val="22"/>
        </w:rPr>
      </w:pPr>
      <w:r w:rsidRPr="003A4C05">
        <w:rPr>
          <w:rFonts w:ascii="Arial" w:hAnsi="Arial" w:cs="Arial"/>
          <w:bCs/>
          <w:sz w:val="22"/>
          <w:szCs w:val="22"/>
        </w:rPr>
        <w:t xml:space="preserve">Violence against women and girls (VAWG) is a significant social problem which also presents challenges for the legal system both in contributing to effective prevention and providing </w:t>
      </w:r>
      <w:r w:rsidRPr="003A4C05">
        <w:rPr>
          <w:rFonts w:ascii="Arial" w:hAnsi="Arial" w:cs="Arial"/>
          <w:bCs/>
          <w:sz w:val="22"/>
          <w:szCs w:val="22"/>
        </w:rPr>
        <w:lastRenderedPageBreak/>
        <w:t>redress that unequivocally holds perpetrators to account.  In England and Wales there is a government strategy for tackling VAWG,</w:t>
      </w:r>
      <w:r w:rsidRPr="003A4C05">
        <w:rPr>
          <w:rFonts w:ascii="Arial" w:hAnsi="Arial" w:cs="Arial"/>
          <w:bCs/>
          <w:sz w:val="22"/>
          <w:szCs w:val="22"/>
          <w:vertAlign w:val="superscript"/>
        </w:rPr>
        <w:footnoteReference w:id="2"/>
      </w:r>
      <w:r w:rsidRPr="003A4C05">
        <w:rPr>
          <w:rFonts w:ascii="Arial" w:hAnsi="Arial" w:cs="Arial"/>
          <w:bCs/>
          <w:sz w:val="22"/>
          <w:szCs w:val="22"/>
        </w:rPr>
        <w:t xml:space="preserve"> and the police and prosecutors have specific policies in place for responding to VAWG.</w:t>
      </w:r>
      <w:r w:rsidRPr="003A4C05">
        <w:rPr>
          <w:rFonts w:ascii="Arial" w:hAnsi="Arial" w:cs="Arial"/>
          <w:bCs/>
          <w:sz w:val="22"/>
          <w:szCs w:val="22"/>
          <w:vertAlign w:val="superscript"/>
        </w:rPr>
        <w:footnoteReference w:id="3"/>
      </w:r>
      <w:r w:rsidRPr="003A4C05">
        <w:rPr>
          <w:rFonts w:ascii="Arial" w:hAnsi="Arial" w:cs="Arial"/>
          <w:bCs/>
          <w:sz w:val="22"/>
          <w:szCs w:val="22"/>
        </w:rPr>
        <w:t xml:space="preserve"> Domestic abuse, as a subset of VAWG, has its own sets of policies.</w:t>
      </w:r>
      <w:r w:rsidRPr="003A4C05">
        <w:rPr>
          <w:rFonts w:ascii="Arial" w:hAnsi="Arial" w:cs="Arial"/>
          <w:bCs/>
          <w:sz w:val="22"/>
          <w:szCs w:val="22"/>
          <w:vertAlign w:val="superscript"/>
        </w:rPr>
        <w:footnoteReference w:id="4"/>
      </w:r>
      <w:r w:rsidRPr="003A4C05">
        <w:rPr>
          <w:rFonts w:ascii="Arial" w:hAnsi="Arial" w:cs="Arial"/>
          <w:bCs/>
          <w:sz w:val="22"/>
          <w:szCs w:val="22"/>
        </w:rPr>
        <w:t xml:space="preserve"> The implementation of these policies is not </w:t>
      </w:r>
      <w:r w:rsidRPr="003A436E">
        <w:rPr>
          <w:rFonts w:ascii="Arial" w:hAnsi="Arial" w:cs="Arial"/>
          <w:bCs/>
          <w:sz w:val="22"/>
          <w:szCs w:val="22"/>
        </w:rPr>
        <w:t>straightforward,</w:t>
      </w:r>
      <w:r w:rsidRPr="003A4C05">
        <w:rPr>
          <w:rFonts w:ascii="Arial" w:hAnsi="Arial" w:cs="Arial"/>
          <w:bCs/>
          <w:sz w:val="22"/>
          <w:szCs w:val="22"/>
        </w:rPr>
        <w:t xml:space="preserve"> and research has shown that there is often a gap between the policies and the practices. One barrier to effective legal responses to VAWG is ‘victim blaming’ where the victim departs from the ‘ideal/real’ victim stereotype. In this article, the concept of victim blaming will be examined and the relationship with ‘responsibilisation’ explored. By examining examples of how the existing legal responses to VAWG focus on victims’ behaviour, character and situation, obscuring perpetrator behaviour and responsibility, the need for a shift in the paradigm will become clear.</w:t>
      </w:r>
    </w:p>
    <w:p w14:paraId="1669E7F0" w14:textId="77777777" w:rsidR="00963264" w:rsidRPr="003A4C05" w:rsidRDefault="00963264" w:rsidP="003A4C05">
      <w:pPr>
        <w:pStyle w:val="ArticleTitle"/>
        <w:spacing w:after="0" w:line="360" w:lineRule="auto"/>
        <w:rPr>
          <w:rFonts w:ascii="Arial" w:hAnsi="Arial" w:cs="Arial"/>
          <w:bCs/>
          <w:sz w:val="22"/>
          <w:szCs w:val="22"/>
        </w:rPr>
      </w:pPr>
    </w:p>
    <w:p w14:paraId="73A59849" w14:textId="01CD5ADF" w:rsidR="003A4C05" w:rsidRDefault="003A4C05" w:rsidP="00963264">
      <w:pPr>
        <w:pStyle w:val="ArticleTitle"/>
        <w:spacing w:after="0" w:line="360" w:lineRule="auto"/>
        <w:ind w:firstLine="720"/>
        <w:rPr>
          <w:rFonts w:ascii="Arial" w:hAnsi="Arial" w:cs="Arial"/>
          <w:bCs/>
          <w:sz w:val="22"/>
          <w:szCs w:val="22"/>
        </w:rPr>
      </w:pPr>
      <w:r w:rsidRPr="003A4C05">
        <w:rPr>
          <w:rFonts w:ascii="Arial" w:hAnsi="Arial" w:cs="Arial"/>
          <w:bCs/>
          <w:sz w:val="22"/>
          <w:szCs w:val="22"/>
        </w:rPr>
        <w:t>Jayne Cowie offers radical solutions for shifting the paradigm; in her ‘world’, curfews and tagging place the focus on men and older boys as perpetrators and potential perpetrators of violence and abuse. Public places should be safe ‘After Dark’ due to the curfew measure in the fictional Prevention of Femicide Act 2023. But the murder victim in Cowie’s book is not killed by a stranger who leaps from a bush, she is a victim of domestic homicide, or femicide. Why have preventative measures like curfew not worked? Cass, a character in the book and one of the key critics of the measures in the Prevention of Femicide Act 2023, questions the logic of curfew as a measure to prevent domestic homicide. Cass points out that most women are killed by men they know not a random stranger on the street. To address this</w:t>
      </w:r>
      <w:r w:rsidR="007E5D3F" w:rsidRPr="003A436E">
        <w:rPr>
          <w:rFonts w:ascii="Arial" w:hAnsi="Arial" w:cs="Arial"/>
          <w:bCs/>
          <w:sz w:val="22"/>
          <w:szCs w:val="22"/>
        </w:rPr>
        <w:t>,</w:t>
      </w:r>
      <w:r w:rsidRPr="003A4C05">
        <w:rPr>
          <w:rFonts w:ascii="Arial" w:hAnsi="Arial" w:cs="Arial"/>
          <w:bCs/>
          <w:sz w:val="22"/>
          <w:szCs w:val="22"/>
        </w:rPr>
        <w:t xml:space="preserve"> Cowie’s book also imagines preventive measures such as pre-cohabitation counselling and cohabitation contracts. This article will compare the cohabitation contracts proposed by Cowie to current domestic violence disclosure schemes (DVDS) in operation in England and Wales and some other jurisdictions. It will ask whether they are effective and whether they dismantle or perpetuate victim blaming culture. Are we still asking victims to keep themselves safe rather than focusing on perpetrator responsibility and accountability?</w:t>
      </w:r>
    </w:p>
    <w:p w14:paraId="241CE9BA" w14:textId="77777777" w:rsidR="00BD04B1" w:rsidRDefault="00BD04B1" w:rsidP="00963264">
      <w:pPr>
        <w:pStyle w:val="ArticleTitle"/>
        <w:spacing w:after="0" w:line="360" w:lineRule="auto"/>
        <w:ind w:firstLine="720"/>
        <w:rPr>
          <w:rFonts w:ascii="Arial" w:hAnsi="Arial" w:cs="Arial"/>
          <w:bCs/>
          <w:sz w:val="22"/>
          <w:szCs w:val="22"/>
        </w:rPr>
      </w:pPr>
    </w:p>
    <w:p w14:paraId="0D88DA28" w14:textId="77777777" w:rsidR="00BD04B1" w:rsidRDefault="00BD04B1" w:rsidP="00963264">
      <w:pPr>
        <w:pStyle w:val="ArticleTitle"/>
        <w:spacing w:after="0" w:line="360" w:lineRule="auto"/>
        <w:ind w:firstLine="720"/>
        <w:rPr>
          <w:rFonts w:ascii="Arial" w:hAnsi="Arial" w:cs="Arial"/>
          <w:bCs/>
          <w:sz w:val="22"/>
          <w:szCs w:val="22"/>
        </w:rPr>
      </w:pPr>
    </w:p>
    <w:p w14:paraId="081BC1B8" w14:textId="77777777" w:rsidR="00BD04B1" w:rsidRPr="003A4C05" w:rsidRDefault="00BD04B1" w:rsidP="00963264">
      <w:pPr>
        <w:pStyle w:val="ArticleTitle"/>
        <w:spacing w:after="0" w:line="360" w:lineRule="auto"/>
        <w:ind w:firstLine="720"/>
        <w:rPr>
          <w:rFonts w:ascii="Arial" w:hAnsi="Arial" w:cs="Arial"/>
          <w:bCs/>
          <w:sz w:val="22"/>
          <w:szCs w:val="22"/>
        </w:rPr>
      </w:pPr>
    </w:p>
    <w:p w14:paraId="32D02F51" w14:textId="77777777" w:rsidR="003A4C05" w:rsidRPr="003A4C05" w:rsidRDefault="003A4C05" w:rsidP="003A4C05">
      <w:pPr>
        <w:pStyle w:val="ArticleTitle"/>
        <w:spacing w:after="0" w:line="360" w:lineRule="auto"/>
        <w:rPr>
          <w:rFonts w:ascii="Arial" w:hAnsi="Arial" w:cs="Arial"/>
          <w:b/>
          <w:i/>
          <w:iCs/>
          <w:sz w:val="22"/>
          <w:szCs w:val="22"/>
        </w:rPr>
      </w:pPr>
    </w:p>
    <w:p w14:paraId="77B40792" w14:textId="77777777" w:rsidR="003A4C05" w:rsidRPr="003A436E" w:rsidRDefault="003A4C05" w:rsidP="003A4C05">
      <w:pPr>
        <w:pStyle w:val="ArticleTitle"/>
        <w:spacing w:after="0" w:line="360" w:lineRule="auto"/>
        <w:rPr>
          <w:rFonts w:ascii="Arial" w:hAnsi="Arial" w:cs="Arial"/>
          <w:b/>
          <w:i/>
          <w:iCs/>
          <w:sz w:val="22"/>
          <w:szCs w:val="22"/>
        </w:rPr>
      </w:pPr>
      <w:r w:rsidRPr="003A4C05">
        <w:rPr>
          <w:rFonts w:ascii="Arial" w:hAnsi="Arial" w:cs="Arial"/>
          <w:b/>
          <w:i/>
          <w:iCs/>
          <w:sz w:val="22"/>
          <w:szCs w:val="22"/>
        </w:rPr>
        <w:lastRenderedPageBreak/>
        <w:t>Domestic Abuse and Femicide</w:t>
      </w:r>
    </w:p>
    <w:p w14:paraId="567F4F67" w14:textId="77777777" w:rsidR="00963264" w:rsidRPr="003A4C05" w:rsidRDefault="00963264" w:rsidP="003A4C05">
      <w:pPr>
        <w:pStyle w:val="ArticleTitle"/>
        <w:spacing w:after="0" w:line="360" w:lineRule="auto"/>
        <w:rPr>
          <w:rFonts w:ascii="Arial" w:hAnsi="Arial" w:cs="Arial"/>
          <w:bCs/>
          <w:sz w:val="22"/>
          <w:szCs w:val="22"/>
          <w:u w:val="single"/>
        </w:rPr>
      </w:pPr>
    </w:p>
    <w:p w14:paraId="50936160" w14:textId="7B005135" w:rsidR="003A4C05" w:rsidRPr="003A436E" w:rsidRDefault="003A4C05" w:rsidP="003A4C05">
      <w:pPr>
        <w:pStyle w:val="ArticleTitle"/>
        <w:spacing w:after="0" w:line="360" w:lineRule="auto"/>
        <w:rPr>
          <w:rFonts w:ascii="Arial" w:hAnsi="Arial" w:cs="Arial"/>
          <w:bCs/>
          <w:sz w:val="22"/>
          <w:szCs w:val="22"/>
        </w:rPr>
      </w:pPr>
      <w:r w:rsidRPr="003A4C05">
        <w:rPr>
          <w:rFonts w:ascii="Arial" w:hAnsi="Arial" w:cs="Arial"/>
          <w:bCs/>
          <w:sz w:val="22"/>
          <w:szCs w:val="22"/>
        </w:rPr>
        <w:t xml:space="preserve">It is important to acknowledge, as Jayne Cowie’s book </w:t>
      </w:r>
      <w:r w:rsidRPr="003A4C05">
        <w:rPr>
          <w:rFonts w:ascii="Arial" w:hAnsi="Arial" w:cs="Arial"/>
          <w:bCs/>
          <w:i/>
          <w:iCs/>
          <w:sz w:val="22"/>
          <w:szCs w:val="22"/>
        </w:rPr>
        <w:t>After Dark</w:t>
      </w:r>
      <w:r w:rsidRPr="003A4C05">
        <w:rPr>
          <w:rFonts w:ascii="Arial" w:hAnsi="Arial" w:cs="Arial"/>
          <w:bCs/>
          <w:sz w:val="22"/>
          <w:szCs w:val="22"/>
        </w:rPr>
        <w:t xml:space="preserve"> does, that domestic abuse and domestic homicide </w:t>
      </w:r>
      <w:r w:rsidR="00F74FDF" w:rsidRPr="003A436E">
        <w:rPr>
          <w:rFonts w:ascii="Arial" w:hAnsi="Arial" w:cs="Arial"/>
          <w:bCs/>
          <w:sz w:val="22"/>
          <w:szCs w:val="22"/>
        </w:rPr>
        <w:t>are</w:t>
      </w:r>
      <w:r w:rsidRPr="003A4C05">
        <w:rPr>
          <w:rFonts w:ascii="Arial" w:hAnsi="Arial" w:cs="Arial"/>
          <w:bCs/>
          <w:sz w:val="22"/>
          <w:szCs w:val="22"/>
        </w:rPr>
        <w:t xml:space="preserve"> gendered issue</w:t>
      </w:r>
      <w:r w:rsidR="00F74FDF" w:rsidRPr="003A436E">
        <w:rPr>
          <w:rFonts w:ascii="Arial" w:hAnsi="Arial" w:cs="Arial"/>
          <w:bCs/>
          <w:sz w:val="22"/>
          <w:szCs w:val="22"/>
        </w:rPr>
        <w:t>s</w:t>
      </w:r>
      <w:r w:rsidRPr="003A4C05">
        <w:rPr>
          <w:rFonts w:ascii="Arial" w:hAnsi="Arial" w:cs="Arial"/>
          <w:bCs/>
          <w:sz w:val="22"/>
          <w:szCs w:val="22"/>
        </w:rPr>
        <w:t>. The statutory definition of domestic abuse in the Domestic Abuse Act 2021 in England and Wales does not make it clear that men are the primary perpetrators of domestic abuse and women are the primary victims, and this has been critiqued</w:t>
      </w:r>
      <w:r w:rsidR="008C6980" w:rsidRPr="003A436E">
        <w:rPr>
          <w:rFonts w:ascii="Arial" w:hAnsi="Arial" w:cs="Arial"/>
          <w:bCs/>
          <w:sz w:val="22"/>
          <w:szCs w:val="22"/>
        </w:rPr>
        <w:t>;</w:t>
      </w:r>
      <w:r w:rsidRPr="003A4C05">
        <w:rPr>
          <w:rFonts w:ascii="Arial" w:hAnsi="Arial" w:cs="Arial"/>
          <w:bCs/>
          <w:sz w:val="22"/>
          <w:szCs w:val="22"/>
          <w:vertAlign w:val="superscript"/>
        </w:rPr>
        <w:footnoteReference w:id="5"/>
      </w:r>
      <w:r w:rsidRPr="003A4C05">
        <w:rPr>
          <w:rFonts w:ascii="Arial" w:hAnsi="Arial" w:cs="Arial"/>
          <w:bCs/>
          <w:sz w:val="22"/>
          <w:szCs w:val="22"/>
        </w:rPr>
        <w:t xml:space="preserve"> however</w:t>
      </w:r>
      <w:r w:rsidR="008C6980" w:rsidRPr="003A436E">
        <w:rPr>
          <w:rFonts w:ascii="Arial" w:hAnsi="Arial" w:cs="Arial"/>
          <w:bCs/>
          <w:sz w:val="22"/>
          <w:szCs w:val="22"/>
        </w:rPr>
        <w:t>,</w:t>
      </w:r>
      <w:r w:rsidRPr="003A4C05">
        <w:rPr>
          <w:rFonts w:ascii="Arial" w:hAnsi="Arial" w:cs="Arial"/>
          <w:bCs/>
          <w:sz w:val="22"/>
          <w:szCs w:val="22"/>
        </w:rPr>
        <w:t xml:space="preserve"> research unequivocally demonstrates that this is the case.</w:t>
      </w:r>
      <w:r w:rsidRPr="003A4C05">
        <w:rPr>
          <w:rFonts w:ascii="Arial" w:hAnsi="Arial" w:cs="Arial"/>
          <w:bCs/>
          <w:sz w:val="22"/>
          <w:szCs w:val="22"/>
          <w:vertAlign w:val="superscript"/>
        </w:rPr>
        <w:footnoteReference w:id="6"/>
      </w:r>
      <w:r w:rsidRPr="003A4C05">
        <w:rPr>
          <w:rFonts w:ascii="Arial" w:hAnsi="Arial" w:cs="Arial"/>
          <w:bCs/>
          <w:sz w:val="22"/>
          <w:szCs w:val="22"/>
        </w:rPr>
        <w:t xml:space="preserve"> There is now also greater understanding that domestic abuse is not just physical violence but also ‘coercive and controlling’ behaviours,</w:t>
      </w:r>
      <w:r w:rsidRPr="003A4C05">
        <w:rPr>
          <w:rFonts w:ascii="Arial" w:hAnsi="Arial" w:cs="Arial"/>
          <w:bCs/>
          <w:sz w:val="22"/>
          <w:szCs w:val="22"/>
          <w:vertAlign w:val="superscript"/>
        </w:rPr>
        <w:footnoteReference w:id="7"/>
      </w:r>
      <w:r w:rsidRPr="003A4C05">
        <w:rPr>
          <w:rFonts w:ascii="Arial" w:hAnsi="Arial" w:cs="Arial"/>
          <w:bCs/>
          <w:sz w:val="22"/>
          <w:szCs w:val="22"/>
        </w:rPr>
        <w:t xml:space="preserve"> which may or may not include physical or sexual abuse.</w:t>
      </w:r>
      <w:r w:rsidRPr="003A4C05">
        <w:rPr>
          <w:rFonts w:ascii="Arial" w:hAnsi="Arial" w:cs="Arial"/>
          <w:bCs/>
          <w:sz w:val="22"/>
          <w:szCs w:val="22"/>
          <w:vertAlign w:val="superscript"/>
        </w:rPr>
        <w:footnoteReference w:id="8"/>
      </w:r>
      <w:r w:rsidRPr="003A4C05">
        <w:rPr>
          <w:rFonts w:ascii="Arial" w:hAnsi="Arial" w:cs="Arial"/>
          <w:bCs/>
          <w:sz w:val="22"/>
          <w:szCs w:val="22"/>
        </w:rPr>
        <w:t xml:space="preserve"> Perpetrators of coercive control do not need to use physical violence to achieve domination.</w:t>
      </w:r>
      <w:r w:rsidRPr="003A4C05">
        <w:rPr>
          <w:rFonts w:ascii="Arial" w:hAnsi="Arial" w:cs="Arial"/>
          <w:bCs/>
          <w:sz w:val="22"/>
          <w:szCs w:val="22"/>
          <w:vertAlign w:val="superscript"/>
        </w:rPr>
        <w:footnoteReference w:id="9"/>
      </w:r>
      <w:r w:rsidRPr="003A4C05">
        <w:rPr>
          <w:rFonts w:ascii="Arial" w:hAnsi="Arial" w:cs="Arial"/>
          <w:bCs/>
          <w:sz w:val="22"/>
          <w:szCs w:val="22"/>
        </w:rPr>
        <w:t xml:space="preserve"> Not all domestic abuse ends in homicide but, on average, two women a week are killed by a partner or former partner in England and Wales.</w:t>
      </w:r>
      <w:r w:rsidRPr="003A4C05">
        <w:rPr>
          <w:rFonts w:ascii="Arial" w:hAnsi="Arial" w:cs="Arial"/>
          <w:bCs/>
          <w:sz w:val="22"/>
          <w:szCs w:val="22"/>
          <w:vertAlign w:val="superscript"/>
        </w:rPr>
        <w:footnoteReference w:id="10"/>
      </w:r>
      <w:r w:rsidRPr="003A4C05">
        <w:rPr>
          <w:rFonts w:ascii="Arial" w:hAnsi="Arial" w:cs="Arial"/>
          <w:bCs/>
          <w:sz w:val="22"/>
          <w:szCs w:val="22"/>
          <w:vertAlign w:val="superscript"/>
        </w:rPr>
        <w:t xml:space="preserve"> </w:t>
      </w:r>
      <w:r w:rsidRPr="003A4C05">
        <w:rPr>
          <w:rFonts w:ascii="Arial" w:hAnsi="Arial" w:cs="Arial"/>
          <w:bCs/>
          <w:sz w:val="22"/>
          <w:szCs w:val="22"/>
        </w:rPr>
        <w:t>A ‘coercive and controlling’ intimate relationship is often the background to these killings.</w:t>
      </w:r>
      <w:r w:rsidRPr="003A4C05">
        <w:rPr>
          <w:rFonts w:ascii="Arial" w:hAnsi="Arial" w:cs="Arial"/>
          <w:bCs/>
          <w:sz w:val="22"/>
          <w:szCs w:val="22"/>
          <w:vertAlign w:val="superscript"/>
        </w:rPr>
        <w:footnoteReference w:id="11"/>
      </w:r>
      <w:r w:rsidRPr="003A4C05">
        <w:rPr>
          <w:rFonts w:ascii="Arial" w:hAnsi="Arial" w:cs="Arial"/>
          <w:bCs/>
          <w:sz w:val="22"/>
          <w:szCs w:val="22"/>
        </w:rPr>
        <w:t xml:space="preserve"> Sexually possessive men may kill in situations where coercive control was previously maintained by non-violent methods.</w:t>
      </w:r>
      <w:r w:rsidRPr="003A4C05">
        <w:rPr>
          <w:rFonts w:ascii="Arial" w:hAnsi="Arial" w:cs="Arial"/>
          <w:bCs/>
          <w:sz w:val="22"/>
          <w:szCs w:val="22"/>
          <w:vertAlign w:val="superscript"/>
        </w:rPr>
        <w:footnoteReference w:id="12"/>
      </w:r>
      <w:r w:rsidRPr="003A4C05">
        <w:rPr>
          <w:rFonts w:ascii="Arial" w:hAnsi="Arial" w:cs="Arial"/>
          <w:bCs/>
          <w:sz w:val="22"/>
          <w:szCs w:val="22"/>
        </w:rPr>
        <w:t xml:space="preserve">  These killings of women by known men have often been inappropriately framed as ‘crimes of passion’,</w:t>
      </w:r>
      <w:r w:rsidRPr="003A4C05">
        <w:rPr>
          <w:rFonts w:ascii="Arial" w:hAnsi="Arial" w:cs="Arial"/>
          <w:bCs/>
          <w:sz w:val="22"/>
          <w:szCs w:val="22"/>
          <w:vertAlign w:val="superscript"/>
        </w:rPr>
        <w:footnoteReference w:id="13"/>
      </w:r>
      <w:r w:rsidRPr="003A4C05">
        <w:rPr>
          <w:rFonts w:ascii="Arial" w:hAnsi="Arial" w:cs="Arial"/>
          <w:bCs/>
          <w:sz w:val="22"/>
          <w:szCs w:val="22"/>
        </w:rPr>
        <w:t xml:space="preserve"> but this overlooks important research into why men kill,</w:t>
      </w:r>
      <w:r w:rsidRPr="003A4C05">
        <w:rPr>
          <w:rFonts w:ascii="Arial" w:hAnsi="Arial" w:cs="Arial"/>
          <w:bCs/>
          <w:sz w:val="22"/>
          <w:szCs w:val="22"/>
          <w:vertAlign w:val="superscript"/>
        </w:rPr>
        <w:footnoteReference w:id="14"/>
      </w:r>
      <w:r w:rsidRPr="003A4C05">
        <w:rPr>
          <w:rFonts w:ascii="Arial" w:hAnsi="Arial" w:cs="Arial"/>
          <w:bCs/>
          <w:sz w:val="22"/>
          <w:szCs w:val="22"/>
        </w:rPr>
        <w:t xml:space="preserve"> and the broader patriarchal structure underpinning and perpetuating domestic abuse.</w:t>
      </w:r>
      <w:r w:rsidRPr="003A4C05">
        <w:rPr>
          <w:rFonts w:ascii="Arial" w:hAnsi="Arial" w:cs="Arial"/>
          <w:bCs/>
          <w:sz w:val="22"/>
          <w:szCs w:val="22"/>
          <w:vertAlign w:val="superscript"/>
        </w:rPr>
        <w:footnoteReference w:id="15"/>
      </w:r>
      <w:r w:rsidRPr="003A4C05">
        <w:rPr>
          <w:rFonts w:ascii="Arial" w:hAnsi="Arial" w:cs="Arial"/>
          <w:bCs/>
          <w:sz w:val="22"/>
          <w:szCs w:val="22"/>
        </w:rPr>
        <w:t xml:space="preserve"> Bringing the patriarchy into focus has resulted in the term ‘femicide’ being adopted to more accurately describe the killing of women by men.</w:t>
      </w:r>
      <w:r w:rsidRPr="003A4C05">
        <w:rPr>
          <w:rFonts w:ascii="Arial" w:hAnsi="Arial" w:cs="Arial"/>
          <w:bCs/>
          <w:sz w:val="22"/>
          <w:szCs w:val="22"/>
          <w:vertAlign w:val="superscript"/>
        </w:rPr>
        <w:footnoteReference w:id="16"/>
      </w:r>
      <w:r w:rsidRPr="003A4C05">
        <w:rPr>
          <w:rFonts w:ascii="Arial" w:hAnsi="Arial" w:cs="Arial"/>
          <w:bCs/>
          <w:sz w:val="22"/>
          <w:szCs w:val="22"/>
        </w:rPr>
        <w:t xml:space="preserve">  </w:t>
      </w:r>
    </w:p>
    <w:p w14:paraId="4B27E4B4" w14:textId="77777777" w:rsidR="008C6980" w:rsidRPr="003A4C05" w:rsidRDefault="008C6980" w:rsidP="003A4C05">
      <w:pPr>
        <w:pStyle w:val="ArticleTitle"/>
        <w:spacing w:after="0" w:line="360" w:lineRule="auto"/>
        <w:rPr>
          <w:rFonts w:ascii="Arial" w:hAnsi="Arial" w:cs="Arial"/>
          <w:bCs/>
          <w:sz w:val="22"/>
          <w:szCs w:val="22"/>
        </w:rPr>
      </w:pPr>
    </w:p>
    <w:p w14:paraId="410B8B19" w14:textId="77777777" w:rsidR="003A4C05" w:rsidRPr="003A436E" w:rsidRDefault="003A4C05" w:rsidP="008C6980">
      <w:pPr>
        <w:pStyle w:val="ArticleTitle"/>
        <w:spacing w:after="0" w:line="360" w:lineRule="auto"/>
        <w:ind w:firstLine="720"/>
        <w:rPr>
          <w:rFonts w:ascii="Arial" w:hAnsi="Arial" w:cs="Arial"/>
          <w:bCs/>
          <w:sz w:val="22"/>
          <w:szCs w:val="22"/>
        </w:rPr>
      </w:pPr>
      <w:r w:rsidRPr="003A4C05">
        <w:rPr>
          <w:rFonts w:ascii="Arial" w:hAnsi="Arial" w:cs="Arial"/>
          <w:bCs/>
          <w:sz w:val="22"/>
          <w:szCs w:val="22"/>
        </w:rPr>
        <w:lastRenderedPageBreak/>
        <w:t>In Cowie’s book we see femicide discussed in the first paragraph. Pamela, one of the key characters, a police officer who served before the new regime, observes: ‘behind every dead woman was a man who would swear that she was the love of his life…knife still firmly in his hand’.</w:t>
      </w:r>
      <w:r w:rsidRPr="003A4C05">
        <w:rPr>
          <w:rFonts w:ascii="Arial" w:hAnsi="Arial" w:cs="Arial"/>
          <w:bCs/>
          <w:sz w:val="22"/>
          <w:szCs w:val="22"/>
          <w:vertAlign w:val="superscript"/>
        </w:rPr>
        <w:footnoteReference w:id="17"/>
      </w:r>
      <w:r w:rsidRPr="003A4C05">
        <w:rPr>
          <w:rFonts w:ascii="Arial" w:hAnsi="Arial" w:cs="Arial"/>
          <w:bCs/>
          <w:sz w:val="22"/>
          <w:szCs w:val="22"/>
        </w:rPr>
        <w:t xml:space="preserve"> This is, or was pre curfew, an empirical reality. It is a reality which Rachel, a relatively new police officer, is not able to contemplate in a post curfew world. It is a reality which Sue Ferguson, from the specialist team that swoops in to supervise the investigation, is keen to cover up. Pamela tells us Sue’s priority is information control not the victim.</w:t>
      </w:r>
      <w:r w:rsidRPr="003A4C05">
        <w:rPr>
          <w:rFonts w:ascii="Arial" w:hAnsi="Arial" w:cs="Arial"/>
          <w:bCs/>
          <w:sz w:val="22"/>
          <w:szCs w:val="22"/>
          <w:vertAlign w:val="superscript"/>
        </w:rPr>
        <w:footnoteReference w:id="18"/>
      </w:r>
      <w:r w:rsidRPr="003A4C05">
        <w:rPr>
          <w:rFonts w:ascii="Arial" w:hAnsi="Arial" w:cs="Arial"/>
          <w:bCs/>
          <w:sz w:val="22"/>
          <w:szCs w:val="22"/>
        </w:rPr>
        <w:t xml:space="preserve"> The message she wants to convey is that ‘it’s definitely a woman’</w:t>
      </w:r>
      <w:r w:rsidRPr="003A4C05">
        <w:rPr>
          <w:rFonts w:ascii="Arial" w:hAnsi="Arial" w:cs="Arial"/>
          <w:bCs/>
          <w:sz w:val="22"/>
          <w:szCs w:val="22"/>
          <w:vertAlign w:val="superscript"/>
        </w:rPr>
        <w:footnoteReference w:id="19"/>
      </w:r>
      <w:r w:rsidRPr="003A4C05">
        <w:rPr>
          <w:rFonts w:ascii="Arial" w:hAnsi="Arial" w:cs="Arial"/>
          <w:bCs/>
          <w:sz w:val="22"/>
          <w:szCs w:val="22"/>
        </w:rPr>
        <w:t xml:space="preserve"> responsible for the killing, even though the post-mortem suggests ‘a man is more likely than even the strongest of women’.</w:t>
      </w:r>
      <w:r w:rsidRPr="003A4C05">
        <w:rPr>
          <w:rFonts w:ascii="Arial" w:hAnsi="Arial" w:cs="Arial"/>
          <w:bCs/>
          <w:sz w:val="22"/>
          <w:szCs w:val="22"/>
          <w:vertAlign w:val="superscript"/>
        </w:rPr>
        <w:footnoteReference w:id="20"/>
      </w:r>
      <w:r w:rsidRPr="003A4C05">
        <w:rPr>
          <w:rFonts w:ascii="Arial" w:hAnsi="Arial" w:cs="Arial"/>
          <w:bCs/>
          <w:sz w:val="22"/>
          <w:szCs w:val="22"/>
        </w:rPr>
        <w:t xml:space="preserve"> For Sue, the priority is to reassure the public that the curfew and other measures in the fictional Prevention of Femicide Act 2023 ‘make a difference’</w:t>
      </w:r>
      <w:r w:rsidRPr="003A4C05">
        <w:rPr>
          <w:rFonts w:ascii="Arial" w:hAnsi="Arial" w:cs="Arial"/>
          <w:bCs/>
          <w:sz w:val="22"/>
          <w:szCs w:val="22"/>
          <w:vertAlign w:val="superscript"/>
        </w:rPr>
        <w:footnoteReference w:id="21"/>
      </w:r>
      <w:r w:rsidRPr="003A4C05">
        <w:rPr>
          <w:rFonts w:ascii="Arial" w:hAnsi="Arial" w:cs="Arial"/>
          <w:bCs/>
          <w:sz w:val="22"/>
          <w:szCs w:val="22"/>
        </w:rPr>
        <w:t xml:space="preserve"> and that they prevent men killing women. It is clearly implied by Cowie that this is not the first femicide that Sue has covered up. As the book unfolds, we learn that the body in the park is a woman, Helen, killed by her male cohabitee and that the measures in the Prevention of Femicide Act have in this instance failed. Why is it that legal systems, including the fictional one in Cowie’s world, cannot prevent VAWG and femicide?</w:t>
      </w:r>
    </w:p>
    <w:p w14:paraId="4D3B6BD4" w14:textId="77777777" w:rsidR="0022061A" w:rsidRPr="003A4C05" w:rsidRDefault="0022061A" w:rsidP="008C6980">
      <w:pPr>
        <w:pStyle w:val="ArticleTitle"/>
        <w:spacing w:after="0" w:line="360" w:lineRule="auto"/>
        <w:ind w:firstLine="720"/>
        <w:rPr>
          <w:rFonts w:ascii="Arial" w:hAnsi="Arial" w:cs="Arial"/>
          <w:bCs/>
          <w:sz w:val="22"/>
          <w:szCs w:val="22"/>
        </w:rPr>
      </w:pPr>
    </w:p>
    <w:p w14:paraId="72E41525" w14:textId="6537A061" w:rsidR="003A4C05" w:rsidRDefault="003A4C05" w:rsidP="0022061A">
      <w:pPr>
        <w:pStyle w:val="ArticleTitle"/>
        <w:spacing w:after="0" w:line="360" w:lineRule="auto"/>
        <w:ind w:firstLine="720"/>
        <w:rPr>
          <w:rFonts w:ascii="Arial" w:hAnsi="Arial" w:cs="Arial"/>
          <w:bCs/>
          <w:sz w:val="22"/>
          <w:szCs w:val="22"/>
        </w:rPr>
      </w:pPr>
      <w:r w:rsidRPr="003A4C05">
        <w:rPr>
          <w:rFonts w:ascii="Arial" w:hAnsi="Arial" w:cs="Arial"/>
          <w:bCs/>
          <w:sz w:val="22"/>
          <w:szCs w:val="22"/>
        </w:rPr>
        <w:t>Jayne Cowie contextualises the gender differences in domestic homicide. She notes that the reasons women kill men are often not symmetrical to men. In response to the statistics on femicide, Cass exclaims ‘Women killed men too!’, to which Miss Taylor (Helen), replies ‘Yes, they did, roughly one a month, but the pattern of offending was different. Women kill in self-defence, or because they have psychiatric problems. Men kill because they can’.</w:t>
      </w:r>
      <w:r w:rsidRPr="003A4C05">
        <w:rPr>
          <w:rFonts w:ascii="Arial" w:hAnsi="Arial" w:cs="Arial"/>
          <w:bCs/>
          <w:sz w:val="22"/>
          <w:szCs w:val="22"/>
          <w:vertAlign w:val="superscript"/>
        </w:rPr>
        <w:footnoteReference w:id="22"/>
      </w:r>
      <w:r w:rsidRPr="003A4C05">
        <w:rPr>
          <w:rFonts w:ascii="Arial" w:hAnsi="Arial" w:cs="Arial"/>
          <w:bCs/>
          <w:sz w:val="22"/>
          <w:szCs w:val="22"/>
        </w:rPr>
        <w:t xml:space="preserve"> The curfew legislation was brought in because a parliamentarian was killed by her male partner. Cass refers to him as ‘one lunatic’ who went onto kill four unknown women so that police would think he was a random stranger killer.</w:t>
      </w:r>
      <w:r w:rsidRPr="003A4C05">
        <w:rPr>
          <w:rFonts w:ascii="Arial" w:hAnsi="Arial" w:cs="Arial"/>
          <w:bCs/>
          <w:sz w:val="22"/>
          <w:szCs w:val="22"/>
          <w:vertAlign w:val="superscript"/>
        </w:rPr>
        <w:footnoteReference w:id="23"/>
      </w:r>
      <w:r w:rsidRPr="003A4C05">
        <w:rPr>
          <w:rFonts w:ascii="Arial" w:hAnsi="Arial" w:cs="Arial"/>
          <w:bCs/>
          <w:sz w:val="22"/>
          <w:szCs w:val="22"/>
        </w:rPr>
        <w:t xml:space="preserve"> In the discussion below, it will be argued that in the existing defences to homicide it is female killers who are medicalised</w:t>
      </w:r>
      <w:r w:rsidR="00A91FD6" w:rsidRPr="003A436E">
        <w:rPr>
          <w:rFonts w:ascii="Arial" w:hAnsi="Arial" w:cs="Arial"/>
          <w:bCs/>
          <w:sz w:val="22"/>
          <w:szCs w:val="22"/>
        </w:rPr>
        <w:t>,</w:t>
      </w:r>
      <w:r w:rsidRPr="003A4C05">
        <w:rPr>
          <w:rFonts w:ascii="Arial" w:hAnsi="Arial" w:cs="Arial"/>
          <w:bCs/>
          <w:sz w:val="22"/>
          <w:szCs w:val="22"/>
        </w:rPr>
        <w:t xml:space="preserve"> labelled as ‘mad’. Men can seek to persuade the jury that what they have done is objectively reasonable</w:t>
      </w:r>
      <w:r w:rsidR="00A91FD6" w:rsidRPr="003A436E">
        <w:rPr>
          <w:rFonts w:ascii="Arial" w:hAnsi="Arial" w:cs="Arial"/>
          <w:bCs/>
          <w:sz w:val="22"/>
          <w:szCs w:val="22"/>
        </w:rPr>
        <w:t>,</w:t>
      </w:r>
      <w:r w:rsidRPr="003A4C05">
        <w:rPr>
          <w:rFonts w:ascii="Arial" w:hAnsi="Arial" w:cs="Arial"/>
          <w:bCs/>
          <w:sz w:val="22"/>
          <w:szCs w:val="22"/>
        </w:rPr>
        <w:t xml:space="preserve"> that </w:t>
      </w:r>
      <w:r w:rsidR="00A91FD6" w:rsidRPr="003A436E">
        <w:rPr>
          <w:rFonts w:ascii="Arial" w:hAnsi="Arial" w:cs="Arial"/>
          <w:bCs/>
          <w:sz w:val="22"/>
          <w:szCs w:val="22"/>
        </w:rPr>
        <w:t xml:space="preserve">they </w:t>
      </w:r>
      <w:r w:rsidRPr="003A4C05">
        <w:rPr>
          <w:rFonts w:ascii="Arial" w:hAnsi="Arial" w:cs="Arial"/>
          <w:bCs/>
          <w:sz w:val="22"/>
          <w:szCs w:val="22"/>
        </w:rPr>
        <w:t>are neither ‘mad’ nor really ‘bad’. In this way</w:t>
      </w:r>
      <w:r w:rsidR="00A91FD6" w:rsidRPr="003A436E">
        <w:rPr>
          <w:rFonts w:ascii="Arial" w:hAnsi="Arial" w:cs="Arial"/>
          <w:bCs/>
          <w:sz w:val="22"/>
          <w:szCs w:val="22"/>
        </w:rPr>
        <w:t>,</w:t>
      </w:r>
      <w:r w:rsidRPr="003A4C05">
        <w:rPr>
          <w:rFonts w:ascii="Arial" w:hAnsi="Arial" w:cs="Arial"/>
          <w:bCs/>
          <w:sz w:val="22"/>
          <w:szCs w:val="22"/>
        </w:rPr>
        <w:t xml:space="preserve"> homicide defences ‘responsibilise’ women and fail to hold male perpetrators fully accountable. </w:t>
      </w:r>
    </w:p>
    <w:p w14:paraId="293E7C24" w14:textId="77777777" w:rsidR="0018708C" w:rsidRDefault="0018708C" w:rsidP="0022061A">
      <w:pPr>
        <w:pStyle w:val="ArticleTitle"/>
        <w:spacing w:after="0" w:line="360" w:lineRule="auto"/>
        <w:ind w:firstLine="720"/>
        <w:rPr>
          <w:rFonts w:ascii="Arial" w:hAnsi="Arial" w:cs="Arial"/>
          <w:bCs/>
          <w:sz w:val="22"/>
          <w:szCs w:val="22"/>
        </w:rPr>
      </w:pPr>
    </w:p>
    <w:p w14:paraId="2C219C3F" w14:textId="77777777" w:rsidR="0018708C" w:rsidRPr="003A4C05" w:rsidRDefault="0018708C" w:rsidP="0022061A">
      <w:pPr>
        <w:pStyle w:val="ArticleTitle"/>
        <w:spacing w:after="0" w:line="360" w:lineRule="auto"/>
        <w:ind w:firstLine="720"/>
        <w:rPr>
          <w:rFonts w:ascii="Arial" w:hAnsi="Arial" w:cs="Arial"/>
          <w:bCs/>
          <w:sz w:val="22"/>
          <w:szCs w:val="22"/>
        </w:rPr>
      </w:pPr>
    </w:p>
    <w:p w14:paraId="330C2F31" w14:textId="77777777" w:rsidR="003A4C05" w:rsidRPr="003A4C05" w:rsidRDefault="003A4C05" w:rsidP="003A4C05">
      <w:pPr>
        <w:pStyle w:val="ArticleTitle"/>
        <w:spacing w:after="0" w:line="360" w:lineRule="auto"/>
        <w:rPr>
          <w:rFonts w:ascii="Arial" w:hAnsi="Arial" w:cs="Arial"/>
          <w:bCs/>
          <w:sz w:val="22"/>
          <w:szCs w:val="22"/>
        </w:rPr>
      </w:pPr>
    </w:p>
    <w:p w14:paraId="757B434A" w14:textId="77777777" w:rsidR="003A4C05" w:rsidRPr="003A436E" w:rsidRDefault="003A4C05" w:rsidP="003A4C05">
      <w:pPr>
        <w:pStyle w:val="ArticleTitle"/>
        <w:spacing w:after="0" w:line="360" w:lineRule="auto"/>
        <w:rPr>
          <w:rFonts w:ascii="Arial" w:hAnsi="Arial" w:cs="Arial"/>
          <w:b/>
          <w:i/>
          <w:iCs/>
          <w:sz w:val="22"/>
          <w:szCs w:val="22"/>
        </w:rPr>
      </w:pPr>
      <w:r w:rsidRPr="003A4C05">
        <w:rPr>
          <w:rFonts w:ascii="Arial" w:hAnsi="Arial" w:cs="Arial"/>
          <w:b/>
          <w:i/>
          <w:iCs/>
          <w:sz w:val="22"/>
          <w:szCs w:val="22"/>
        </w:rPr>
        <w:lastRenderedPageBreak/>
        <w:t xml:space="preserve">Policing Women: Victim Blaming and Responsibilisation </w:t>
      </w:r>
    </w:p>
    <w:p w14:paraId="78D7F243" w14:textId="77777777" w:rsidR="00A91FD6" w:rsidRPr="003A4C05" w:rsidRDefault="00A91FD6" w:rsidP="003A4C05">
      <w:pPr>
        <w:pStyle w:val="ArticleTitle"/>
        <w:spacing w:after="0" w:line="360" w:lineRule="auto"/>
        <w:rPr>
          <w:rFonts w:ascii="Arial" w:hAnsi="Arial" w:cs="Arial"/>
          <w:bCs/>
          <w:sz w:val="22"/>
          <w:szCs w:val="22"/>
          <w:u w:val="single"/>
        </w:rPr>
      </w:pPr>
    </w:p>
    <w:p w14:paraId="14D15B95" w14:textId="09AAB2CD" w:rsidR="003A4C05" w:rsidRPr="003A436E" w:rsidRDefault="003A4C05" w:rsidP="003A4C05">
      <w:pPr>
        <w:pStyle w:val="ArticleTitle"/>
        <w:spacing w:after="0" w:line="360" w:lineRule="auto"/>
        <w:rPr>
          <w:rFonts w:ascii="Arial" w:hAnsi="Arial" w:cs="Arial"/>
          <w:bCs/>
          <w:sz w:val="22"/>
          <w:szCs w:val="22"/>
        </w:rPr>
      </w:pPr>
      <w:r w:rsidRPr="003A4C05">
        <w:rPr>
          <w:rFonts w:ascii="Arial" w:hAnsi="Arial" w:cs="Arial"/>
          <w:bCs/>
          <w:sz w:val="22"/>
          <w:szCs w:val="22"/>
        </w:rPr>
        <w:t>One barrier to the effective implementation of policies and laws designed to protect women and girls from abuse is ‘victim blaming’.</w:t>
      </w:r>
      <w:r w:rsidRPr="003A4C05">
        <w:rPr>
          <w:rFonts w:ascii="Arial" w:hAnsi="Arial" w:cs="Arial"/>
          <w:bCs/>
          <w:sz w:val="22"/>
          <w:szCs w:val="22"/>
          <w:vertAlign w:val="superscript"/>
        </w:rPr>
        <w:footnoteReference w:id="24"/>
      </w:r>
      <w:r w:rsidRPr="003A4C05">
        <w:rPr>
          <w:rFonts w:ascii="Arial" w:hAnsi="Arial" w:cs="Arial"/>
          <w:bCs/>
          <w:sz w:val="22"/>
          <w:szCs w:val="22"/>
        </w:rPr>
        <w:t xml:space="preserve"> The implicit assumption of victim blaming is that, as Esther Madiz expressed it, ‘Nothing bad happens to good girls’.</w:t>
      </w:r>
      <w:r w:rsidRPr="003A4C05">
        <w:rPr>
          <w:rFonts w:ascii="Arial" w:hAnsi="Arial" w:cs="Arial"/>
          <w:bCs/>
          <w:sz w:val="22"/>
          <w:szCs w:val="22"/>
          <w:vertAlign w:val="superscript"/>
        </w:rPr>
        <w:footnoteReference w:id="25"/>
      </w:r>
      <w:r w:rsidRPr="003A4C05">
        <w:rPr>
          <w:rFonts w:ascii="Arial" w:hAnsi="Arial" w:cs="Arial"/>
          <w:bCs/>
          <w:sz w:val="22"/>
          <w:szCs w:val="22"/>
        </w:rPr>
        <w:t xml:space="preserve"> Madiz described a ‘dichotomy of victimhood’ where victims are seen as either ‘good/innocent’ and ‘deserving our tears’ or ‘bad/culpable’ and not ‘deserving’,</w:t>
      </w:r>
      <w:r w:rsidRPr="003A4C05">
        <w:rPr>
          <w:rFonts w:ascii="Arial" w:hAnsi="Arial" w:cs="Arial"/>
          <w:bCs/>
          <w:sz w:val="22"/>
          <w:szCs w:val="22"/>
          <w:vertAlign w:val="superscript"/>
        </w:rPr>
        <w:t xml:space="preserve"> </w:t>
      </w:r>
      <w:r w:rsidRPr="003A4C05">
        <w:rPr>
          <w:rFonts w:ascii="Arial" w:hAnsi="Arial" w:cs="Arial"/>
          <w:bCs/>
          <w:sz w:val="22"/>
          <w:szCs w:val="22"/>
          <w:vertAlign w:val="superscript"/>
        </w:rPr>
        <w:footnoteReference w:id="26"/>
      </w:r>
      <w:r w:rsidRPr="003A4C05">
        <w:rPr>
          <w:rFonts w:ascii="Arial" w:hAnsi="Arial" w:cs="Arial"/>
          <w:bCs/>
          <w:sz w:val="22"/>
          <w:szCs w:val="22"/>
        </w:rPr>
        <w:t xml:space="preserve"> with the ‘good’ victim mapping onto the ‘ideal’ victim hypothesised by Nils Christie.</w:t>
      </w:r>
      <w:r w:rsidRPr="003A4C05">
        <w:rPr>
          <w:rFonts w:ascii="Arial" w:hAnsi="Arial" w:cs="Arial"/>
          <w:bCs/>
          <w:sz w:val="22"/>
          <w:szCs w:val="22"/>
          <w:vertAlign w:val="superscript"/>
        </w:rPr>
        <w:footnoteReference w:id="27"/>
      </w:r>
      <w:r w:rsidRPr="003A4C05">
        <w:rPr>
          <w:rFonts w:ascii="Arial" w:hAnsi="Arial" w:cs="Arial"/>
          <w:bCs/>
          <w:sz w:val="22"/>
          <w:szCs w:val="22"/>
        </w:rPr>
        <w:t xml:space="preserve"> Whilst victim blaming is not unique to blaming women for male violence and abuse, it has become a central theme in the understanding of the perpetration of male violence against women and girls.</w:t>
      </w:r>
      <w:r w:rsidRPr="003A4C05">
        <w:rPr>
          <w:rFonts w:ascii="Arial" w:hAnsi="Arial" w:cs="Arial"/>
          <w:bCs/>
          <w:sz w:val="22"/>
          <w:szCs w:val="22"/>
          <w:vertAlign w:val="superscript"/>
        </w:rPr>
        <w:footnoteReference w:id="28"/>
      </w:r>
      <w:r w:rsidRPr="003A4C05">
        <w:rPr>
          <w:rFonts w:ascii="Arial" w:hAnsi="Arial" w:cs="Arial"/>
          <w:bCs/>
          <w:sz w:val="22"/>
          <w:szCs w:val="22"/>
        </w:rPr>
        <w:t xml:space="preserve"> In the 1990s, the barrister Helena Kennedy observed: ‘</w:t>
      </w:r>
      <w:r w:rsidR="00422786" w:rsidRPr="003A436E">
        <w:rPr>
          <w:rFonts w:ascii="Arial" w:hAnsi="Arial" w:cs="Arial"/>
          <w:bCs/>
          <w:sz w:val="22"/>
          <w:szCs w:val="22"/>
        </w:rPr>
        <w:t>b</w:t>
      </w:r>
      <w:r w:rsidRPr="003A4C05">
        <w:rPr>
          <w:rFonts w:ascii="Arial" w:hAnsi="Arial" w:cs="Arial"/>
          <w:bCs/>
          <w:sz w:val="22"/>
          <w:szCs w:val="22"/>
        </w:rPr>
        <w:t>laming the victim is a constant experience for women in the courts’.</w:t>
      </w:r>
      <w:r w:rsidRPr="003A4C05">
        <w:rPr>
          <w:rFonts w:ascii="Arial" w:hAnsi="Arial" w:cs="Arial"/>
          <w:bCs/>
          <w:sz w:val="22"/>
          <w:szCs w:val="22"/>
          <w:vertAlign w:val="superscript"/>
        </w:rPr>
        <w:footnoteReference w:id="29"/>
      </w:r>
      <w:r w:rsidRPr="003A4C05">
        <w:rPr>
          <w:rFonts w:ascii="Arial" w:hAnsi="Arial" w:cs="Arial"/>
          <w:bCs/>
          <w:sz w:val="22"/>
          <w:szCs w:val="22"/>
        </w:rPr>
        <w:t xml:space="preserve"> Despite sustained critique of legal responses to VAWG, three decades </w:t>
      </w:r>
      <w:r w:rsidR="00422786" w:rsidRPr="003A436E">
        <w:rPr>
          <w:rFonts w:ascii="Arial" w:hAnsi="Arial" w:cs="Arial"/>
          <w:bCs/>
          <w:sz w:val="22"/>
          <w:szCs w:val="22"/>
        </w:rPr>
        <w:t xml:space="preserve">later </w:t>
      </w:r>
      <w:r w:rsidRPr="003A4C05">
        <w:rPr>
          <w:rFonts w:ascii="Arial" w:hAnsi="Arial" w:cs="Arial"/>
          <w:bCs/>
          <w:sz w:val="22"/>
          <w:szCs w:val="22"/>
        </w:rPr>
        <w:t>she was still writing about the victim blaming paradigm.</w:t>
      </w:r>
      <w:r w:rsidRPr="003A4C05">
        <w:rPr>
          <w:rFonts w:ascii="Arial" w:hAnsi="Arial" w:cs="Arial"/>
          <w:bCs/>
          <w:sz w:val="22"/>
          <w:szCs w:val="22"/>
          <w:vertAlign w:val="superscript"/>
        </w:rPr>
        <w:footnoteReference w:id="30"/>
      </w:r>
      <w:r w:rsidRPr="003A4C05">
        <w:rPr>
          <w:rFonts w:ascii="Arial" w:hAnsi="Arial" w:cs="Arial"/>
          <w:bCs/>
          <w:sz w:val="22"/>
          <w:szCs w:val="22"/>
        </w:rPr>
        <w:t xml:space="preserve"> Entrenched victim blaming impedes the criminal justice response to domestic abuse and sexual violence. </w:t>
      </w:r>
    </w:p>
    <w:p w14:paraId="4DBA985D" w14:textId="77777777" w:rsidR="00EA7281" w:rsidRPr="003A4C05" w:rsidRDefault="00EA7281" w:rsidP="003A4C05">
      <w:pPr>
        <w:pStyle w:val="ArticleTitle"/>
        <w:spacing w:after="0" w:line="360" w:lineRule="auto"/>
        <w:rPr>
          <w:rFonts w:ascii="Arial" w:hAnsi="Arial" w:cs="Arial"/>
          <w:bCs/>
          <w:sz w:val="22"/>
          <w:szCs w:val="22"/>
        </w:rPr>
      </w:pPr>
    </w:p>
    <w:p w14:paraId="3EB3139C" w14:textId="03EE6CEA" w:rsidR="003A4C05" w:rsidRPr="003A436E" w:rsidRDefault="003A4C05" w:rsidP="00EA7281">
      <w:pPr>
        <w:pStyle w:val="ArticleTitle"/>
        <w:spacing w:after="0" w:line="360" w:lineRule="auto"/>
        <w:ind w:firstLine="720"/>
        <w:rPr>
          <w:rFonts w:ascii="Arial" w:hAnsi="Arial" w:cs="Arial"/>
          <w:bCs/>
          <w:sz w:val="22"/>
          <w:szCs w:val="22"/>
        </w:rPr>
      </w:pPr>
      <w:r w:rsidRPr="003A4C05">
        <w:rPr>
          <w:rFonts w:ascii="Arial" w:hAnsi="Arial" w:cs="Arial"/>
          <w:bCs/>
          <w:sz w:val="22"/>
          <w:szCs w:val="22"/>
        </w:rPr>
        <w:t>Rape cases are the classic site for victim blaming.</w:t>
      </w:r>
      <w:r w:rsidRPr="003A4C05">
        <w:rPr>
          <w:rFonts w:ascii="Arial" w:hAnsi="Arial" w:cs="Arial"/>
          <w:bCs/>
          <w:sz w:val="22"/>
          <w:szCs w:val="22"/>
          <w:vertAlign w:val="superscript"/>
        </w:rPr>
        <w:footnoteReference w:id="31"/>
      </w:r>
      <w:r w:rsidRPr="003A4C05">
        <w:rPr>
          <w:rFonts w:ascii="Arial" w:hAnsi="Arial" w:cs="Arial"/>
          <w:bCs/>
          <w:sz w:val="22"/>
          <w:szCs w:val="22"/>
        </w:rPr>
        <w:t xml:space="preserve"> The prosecution of rape in England and Wales, as in other jurisdictions, is notoriously difficult; few reported rape cases make it to charge and even fewer to conviction.</w:t>
      </w:r>
      <w:r w:rsidRPr="003A4C05">
        <w:rPr>
          <w:rFonts w:ascii="Arial" w:hAnsi="Arial" w:cs="Arial"/>
          <w:bCs/>
          <w:sz w:val="22"/>
          <w:szCs w:val="22"/>
          <w:vertAlign w:val="superscript"/>
        </w:rPr>
        <w:footnoteReference w:id="32"/>
      </w:r>
      <w:r w:rsidRPr="003A4C05">
        <w:rPr>
          <w:rFonts w:ascii="Arial" w:hAnsi="Arial" w:cs="Arial"/>
          <w:bCs/>
          <w:sz w:val="22"/>
          <w:szCs w:val="22"/>
        </w:rPr>
        <w:t xml:space="preserve"> One aspect of these difficulties is the persistence of ‘rape myths’</w:t>
      </w:r>
      <w:r w:rsidRPr="003A4C05">
        <w:rPr>
          <w:rFonts w:ascii="Arial" w:hAnsi="Arial" w:cs="Arial"/>
          <w:bCs/>
          <w:sz w:val="22"/>
          <w:szCs w:val="22"/>
          <w:vertAlign w:val="superscript"/>
        </w:rPr>
        <w:footnoteReference w:id="33"/>
      </w:r>
      <w:r w:rsidRPr="003A4C05">
        <w:rPr>
          <w:rFonts w:ascii="Arial" w:hAnsi="Arial" w:cs="Arial"/>
          <w:bCs/>
          <w:sz w:val="22"/>
          <w:szCs w:val="22"/>
        </w:rPr>
        <w:t xml:space="preserve"> which focus on the victim rather than perpetrator. Taylor observes: ‘</w:t>
      </w:r>
      <w:r w:rsidR="007D4E76" w:rsidRPr="003A436E">
        <w:rPr>
          <w:rFonts w:ascii="Arial" w:hAnsi="Arial" w:cs="Arial"/>
          <w:bCs/>
          <w:sz w:val="22"/>
          <w:szCs w:val="22"/>
        </w:rPr>
        <w:t>[v]</w:t>
      </w:r>
      <w:r w:rsidRPr="003A4C05">
        <w:rPr>
          <w:rFonts w:ascii="Arial" w:hAnsi="Arial" w:cs="Arial"/>
          <w:bCs/>
          <w:sz w:val="22"/>
          <w:szCs w:val="22"/>
        </w:rPr>
        <w:t>ictim blaming is generally split into behavioural, characterological and situational blame; however often they overlap’.</w:t>
      </w:r>
      <w:r w:rsidRPr="003A4C05">
        <w:rPr>
          <w:rFonts w:ascii="Arial" w:hAnsi="Arial" w:cs="Arial"/>
          <w:bCs/>
          <w:sz w:val="22"/>
          <w:szCs w:val="22"/>
          <w:vertAlign w:val="superscript"/>
        </w:rPr>
        <w:footnoteReference w:id="34"/>
      </w:r>
      <w:r w:rsidRPr="003A4C05">
        <w:rPr>
          <w:rFonts w:ascii="Arial" w:hAnsi="Arial" w:cs="Arial"/>
          <w:bCs/>
          <w:sz w:val="22"/>
          <w:szCs w:val="22"/>
        </w:rPr>
        <w:t xml:space="preserve"> Thus, women are blamed for their behaviour (for example drinking, flirting </w:t>
      </w:r>
      <w:r w:rsidRPr="003A4C05">
        <w:rPr>
          <w:rFonts w:ascii="Arial" w:hAnsi="Arial" w:cs="Arial"/>
          <w:bCs/>
          <w:sz w:val="22"/>
          <w:szCs w:val="22"/>
        </w:rPr>
        <w:lastRenderedPageBreak/>
        <w:t>or wearing clothes that are ‘too revealing’), for their character (for example perceived ‘promiscuity’), and for the situation (being in the ‘wrong’ place, such as a public space after dark). ’Real’ rape stereotypes are also founded on the myths that the ‘ideal/real’ victim fights back, is injured, reports immediately and is emotional (but not too emotional) at trial.</w:t>
      </w:r>
      <w:r w:rsidRPr="003A4C05">
        <w:rPr>
          <w:rFonts w:ascii="Arial" w:hAnsi="Arial" w:cs="Arial"/>
          <w:bCs/>
          <w:sz w:val="22"/>
          <w:szCs w:val="22"/>
          <w:vertAlign w:val="superscript"/>
        </w:rPr>
        <w:footnoteReference w:id="35"/>
      </w:r>
      <w:r w:rsidRPr="003A4C05">
        <w:rPr>
          <w:rFonts w:ascii="Arial" w:hAnsi="Arial" w:cs="Arial"/>
          <w:bCs/>
          <w:sz w:val="22"/>
          <w:szCs w:val="22"/>
        </w:rPr>
        <w:t xml:space="preserve"> For those cases that make it to trial, multiple and recent studies demonstrate the impact of these victim blaming stereotypes on juror deliberations.</w:t>
      </w:r>
      <w:r w:rsidRPr="003A4C05">
        <w:rPr>
          <w:rFonts w:ascii="Arial" w:hAnsi="Arial" w:cs="Arial"/>
          <w:bCs/>
          <w:sz w:val="22"/>
          <w:szCs w:val="22"/>
          <w:vertAlign w:val="superscript"/>
        </w:rPr>
        <w:footnoteReference w:id="36"/>
      </w:r>
      <w:r w:rsidRPr="003A4C05">
        <w:rPr>
          <w:rFonts w:ascii="Arial" w:hAnsi="Arial" w:cs="Arial"/>
          <w:bCs/>
          <w:sz w:val="22"/>
          <w:szCs w:val="22"/>
        </w:rPr>
        <w:t xml:space="preserve"> Relationship rape presents particular difficulties given the stereotype that ‘real’ rape involves a stranger rather than someone known to the victim.</w:t>
      </w:r>
      <w:r w:rsidRPr="003A4C05">
        <w:rPr>
          <w:rFonts w:ascii="Arial" w:hAnsi="Arial" w:cs="Arial"/>
          <w:bCs/>
          <w:sz w:val="22"/>
          <w:szCs w:val="22"/>
          <w:vertAlign w:val="superscript"/>
        </w:rPr>
        <w:footnoteReference w:id="37"/>
      </w:r>
      <w:r w:rsidRPr="003A4C05">
        <w:rPr>
          <w:rFonts w:ascii="Arial" w:hAnsi="Arial" w:cs="Arial"/>
          <w:bCs/>
          <w:sz w:val="22"/>
          <w:szCs w:val="22"/>
        </w:rPr>
        <w:t xml:space="preserve"> Even research that is relatively dismissive of rape myths suggest that jurors could benefit from additional guidance on relationship rape.</w:t>
      </w:r>
      <w:r w:rsidRPr="003A4C05">
        <w:rPr>
          <w:rFonts w:ascii="Arial" w:hAnsi="Arial" w:cs="Arial"/>
          <w:bCs/>
          <w:sz w:val="22"/>
          <w:szCs w:val="22"/>
          <w:vertAlign w:val="superscript"/>
        </w:rPr>
        <w:footnoteReference w:id="38"/>
      </w:r>
      <w:r w:rsidRPr="003A4C05">
        <w:rPr>
          <w:rFonts w:ascii="Arial" w:hAnsi="Arial" w:cs="Arial"/>
          <w:bCs/>
          <w:sz w:val="22"/>
          <w:szCs w:val="22"/>
        </w:rPr>
        <w:t xml:space="preserve"> How far rape myths impact on the test applied by prosecutors when deciding whether to take a case to trial is a contested matter,</w:t>
      </w:r>
      <w:r w:rsidRPr="003A4C05">
        <w:rPr>
          <w:rFonts w:ascii="Arial" w:hAnsi="Arial" w:cs="Arial"/>
          <w:bCs/>
          <w:sz w:val="22"/>
          <w:szCs w:val="22"/>
          <w:vertAlign w:val="superscript"/>
        </w:rPr>
        <w:footnoteReference w:id="39"/>
      </w:r>
      <w:r w:rsidRPr="003A4C05">
        <w:rPr>
          <w:rFonts w:ascii="Arial" w:hAnsi="Arial" w:cs="Arial"/>
          <w:bCs/>
          <w:sz w:val="22"/>
          <w:szCs w:val="22"/>
        </w:rPr>
        <w:t xml:space="preserve"> but falls in prosecutions for rape in England and Wales raised concerns that prosecutors might be influenced by rape myths and victim blaming stereotypes.</w:t>
      </w:r>
      <w:r w:rsidRPr="003A4C05">
        <w:rPr>
          <w:rFonts w:ascii="Arial" w:hAnsi="Arial" w:cs="Arial"/>
          <w:bCs/>
          <w:sz w:val="22"/>
          <w:szCs w:val="22"/>
          <w:vertAlign w:val="superscript"/>
        </w:rPr>
        <w:footnoteReference w:id="40"/>
      </w:r>
      <w:r w:rsidRPr="003A4C05">
        <w:rPr>
          <w:rFonts w:ascii="Arial" w:hAnsi="Arial" w:cs="Arial"/>
          <w:bCs/>
          <w:sz w:val="22"/>
          <w:szCs w:val="22"/>
        </w:rPr>
        <w:t xml:space="preserve"> </w:t>
      </w:r>
    </w:p>
    <w:p w14:paraId="3AF04D25" w14:textId="77777777" w:rsidR="002E0503" w:rsidRPr="003A4C05" w:rsidRDefault="002E0503" w:rsidP="00EA7281">
      <w:pPr>
        <w:pStyle w:val="ArticleTitle"/>
        <w:spacing w:after="0" w:line="360" w:lineRule="auto"/>
        <w:ind w:firstLine="720"/>
        <w:rPr>
          <w:rFonts w:ascii="Arial" w:hAnsi="Arial" w:cs="Arial"/>
          <w:bCs/>
          <w:sz w:val="22"/>
          <w:szCs w:val="22"/>
        </w:rPr>
      </w:pPr>
    </w:p>
    <w:p w14:paraId="77040F27" w14:textId="22A7F0AB" w:rsidR="003A4C05" w:rsidRDefault="003A4C05" w:rsidP="002E0503">
      <w:pPr>
        <w:pStyle w:val="ArticleTitle"/>
        <w:spacing w:after="0" w:line="360" w:lineRule="auto"/>
        <w:ind w:firstLine="720"/>
        <w:rPr>
          <w:rFonts w:ascii="Arial" w:hAnsi="Arial" w:cs="Arial"/>
          <w:bCs/>
          <w:sz w:val="22"/>
          <w:szCs w:val="22"/>
        </w:rPr>
      </w:pPr>
      <w:r w:rsidRPr="003A4C05">
        <w:rPr>
          <w:rFonts w:ascii="Arial" w:hAnsi="Arial" w:cs="Arial"/>
          <w:bCs/>
          <w:sz w:val="22"/>
          <w:szCs w:val="22"/>
        </w:rPr>
        <w:t>As Taylor asserts: ‘</w:t>
      </w:r>
      <w:r w:rsidR="002E0503" w:rsidRPr="003A436E">
        <w:rPr>
          <w:rFonts w:ascii="Arial" w:hAnsi="Arial" w:cs="Arial"/>
          <w:bCs/>
          <w:sz w:val="22"/>
          <w:szCs w:val="22"/>
        </w:rPr>
        <w:t>[a]</w:t>
      </w:r>
      <w:r w:rsidRPr="003A4C05">
        <w:rPr>
          <w:rFonts w:ascii="Arial" w:hAnsi="Arial" w:cs="Arial"/>
          <w:bCs/>
          <w:sz w:val="22"/>
          <w:szCs w:val="22"/>
        </w:rPr>
        <w:t>ll victim blaming minimises or erases the actions and choices of the offender from their own offence’.</w:t>
      </w:r>
      <w:r w:rsidRPr="003A4C05">
        <w:rPr>
          <w:rFonts w:ascii="Arial" w:hAnsi="Arial" w:cs="Arial"/>
          <w:bCs/>
          <w:sz w:val="22"/>
          <w:szCs w:val="22"/>
          <w:vertAlign w:val="superscript"/>
        </w:rPr>
        <w:footnoteReference w:id="41"/>
      </w:r>
      <w:r w:rsidRPr="003A4C05">
        <w:rPr>
          <w:rFonts w:ascii="Arial" w:hAnsi="Arial" w:cs="Arial"/>
          <w:bCs/>
          <w:sz w:val="22"/>
          <w:szCs w:val="22"/>
        </w:rPr>
        <w:t xml:space="preserve"> It is about making women responsible for their own safety, and if they ‘fail’ then they become ‘responsible’ for what happens to them, shifting responsibility and accountability from the perpetrator. In the sphere of rape prosecutions</w:t>
      </w:r>
      <w:r w:rsidR="002E0503" w:rsidRPr="003A436E">
        <w:rPr>
          <w:rFonts w:ascii="Arial" w:hAnsi="Arial" w:cs="Arial"/>
          <w:bCs/>
          <w:sz w:val="22"/>
          <w:szCs w:val="22"/>
        </w:rPr>
        <w:t>,</w:t>
      </w:r>
      <w:r w:rsidRPr="003A4C05">
        <w:rPr>
          <w:rFonts w:ascii="Arial" w:hAnsi="Arial" w:cs="Arial"/>
          <w:bCs/>
          <w:sz w:val="22"/>
          <w:szCs w:val="22"/>
        </w:rPr>
        <w:t xml:space="preserve"> recent initiatives are attempting to shift this victim blaming/responsibilisation paradigm. Following intensive scrutiny of the prosecution of rape in England and Wales,</w:t>
      </w:r>
      <w:r w:rsidRPr="003A4C05">
        <w:rPr>
          <w:rFonts w:ascii="Arial" w:hAnsi="Arial" w:cs="Arial"/>
          <w:bCs/>
          <w:sz w:val="22"/>
          <w:szCs w:val="22"/>
          <w:vertAlign w:val="superscript"/>
        </w:rPr>
        <w:footnoteReference w:id="42"/>
      </w:r>
      <w:r w:rsidRPr="003A4C05">
        <w:rPr>
          <w:rFonts w:ascii="Arial" w:hAnsi="Arial" w:cs="Arial"/>
          <w:bCs/>
          <w:sz w:val="22"/>
          <w:szCs w:val="22"/>
        </w:rPr>
        <w:t xml:space="preserve"> the Government has funded an innovative collaboration between the police and academics, Operation Soteria, building on project Bluestone.</w:t>
      </w:r>
      <w:r w:rsidRPr="003A4C05">
        <w:rPr>
          <w:rFonts w:ascii="Arial" w:hAnsi="Arial" w:cs="Arial"/>
          <w:bCs/>
          <w:sz w:val="22"/>
          <w:szCs w:val="22"/>
          <w:vertAlign w:val="superscript"/>
        </w:rPr>
        <w:footnoteReference w:id="43"/>
      </w:r>
      <w:r w:rsidRPr="003A4C05">
        <w:rPr>
          <w:rFonts w:ascii="Arial" w:hAnsi="Arial" w:cs="Arial"/>
          <w:bCs/>
          <w:sz w:val="22"/>
          <w:szCs w:val="22"/>
        </w:rPr>
        <w:t xml:space="preserve"> Operation Soteria aims to improve charge and conviction rates and the victim/survivor experience of the criminal justice system. It is based on ‘Five Pillars’ for transforming the police response to rape and sexual assault. The first of these pillars is suspect focused investigations. As Kohl and Stanko explain, for too long </w:t>
      </w:r>
      <w:r w:rsidRPr="003A4C05">
        <w:rPr>
          <w:rFonts w:ascii="Arial" w:hAnsi="Arial" w:cs="Arial"/>
          <w:bCs/>
          <w:sz w:val="22"/>
          <w:szCs w:val="22"/>
        </w:rPr>
        <w:lastRenderedPageBreak/>
        <w:t>the police investigation of rape and sexual assault has focused on testing of victim credibility.</w:t>
      </w:r>
      <w:r w:rsidRPr="003A4C05">
        <w:rPr>
          <w:rFonts w:ascii="Arial" w:hAnsi="Arial" w:cs="Arial"/>
          <w:bCs/>
          <w:sz w:val="22"/>
          <w:szCs w:val="22"/>
          <w:vertAlign w:val="superscript"/>
        </w:rPr>
        <w:footnoteReference w:id="44"/>
      </w:r>
      <w:r w:rsidRPr="003A4C05">
        <w:rPr>
          <w:rFonts w:ascii="Arial" w:hAnsi="Arial" w:cs="Arial"/>
          <w:bCs/>
          <w:sz w:val="22"/>
          <w:szCs w:val="22"/>
        </w:rPr>
        <w:t xml:space="preserve">  They argue that investigations must begin with the suspect: ‘rather than focussing on the victim as the first and primary site of the investigation.’</w:t>
      </w:r>
      <w:r w:rsidRPr="003A4C05">
        <w:rPr>
          <w:rFonts w:ascii="Arial" w:hAnsi="Arial" w:cs="Arial"/>
          <w:bCs/>
          <w:sz w:val="22"/>
          <w:szCs w:val="22"/>
          <w:vertAlign w:val="superscript"/>
        </w:rPr>
        <w:footnoteReference w:id="45"/>
      </w:r>
      <w:r w:rsidRPr="003A4C05">
        <w:rPr>
          <w:rFonts w:ascii="Arial" w:hAnsi="Arial" w:cs="Arial"/>
          <w:bCs/>
          <w:sz w:val="22"/>
          <w:szCs w:val="22"/>
        </w:rPr>
        <w:t xml:space="preserve"> Many victims of rape and sexual assault do not report to the police. Whilst the reasons for this are multi-faceted, one issue is that they may be made to feel responsible for what happened to them. Perpetrators may target vulnerable victims and exploit that vulnerability to silence them. In this way, Kohl and Stanko argue: ‘</w:t>
      </w:r>
      <w:r w:rsidR="003A436E" w:rsidRPr="003A436E">
        <w:rPr>
          <w:rFonts w:ascii="Arial" w:hAnsi="Arial" w:cs="Arial"/>
          <w:bCs/>
          <w:sz w:val="22"/>
          <w:szCs w:val="22"/>
        </w:rPr>
        <w:t>[v]</w:t>
      </w:r>
      <w:r w:rsidRPr="003A4C05">
        <w:rPr>
          <w:rFonts w:ascii="Arial" w:hAnsi="Arial" w:cs="Arial"/>
          <w:bCs/>
          <w:sz w:val="22"/>
          <w:szCs w:val="22"/>
        </w:rPr>
        <w:t>ictim vulnerabilities have become a form of victim responsibilisation’.</w:t>
      </w:r>
      <w:r w:rsidRPr="003A4C05">
        <w:rPr>
          <w:rFonts w:ascii="Arial" w:hAnsi="Arial" w:cs="Arial"/>
          <w:bCs/>
          <w:sz w:val="22"/>
          <w:szCs w:val="22"/>
          <w:vertAlign w:val="superscript"/>
        </w:rPr>
        <w:footnoteReference w:id="46"/>
      </w:r>
      <w:r w:rsidRPr="003A4C05">
        <w:rPr>
          <w:rFonts w:ascii="Arial" w:hAnsi="Arial" w:cs="Arial"/>
          <w:bCs/>
          <w:sz w:val="22"/>
          <w:szCs w:val="22"/>
        </w:rPr>
        <w:t xml:space="preserve"> Responsibilisation, making the victim feel responsible for their own safety, provides the framework for self-blame and non-reporting.  Whereas Kohl and Stanko observe: ‘</w:t>
      </w:r>
      <w:r w:rsidR="00FA3E2F">
        <w:rPr>
          <w:rFonts w:ascii="Arial" w:hAnsi="Arial" w:cs="Arial"/>
          <w:bCs/>
          <w:sz w:val="22"/>
          <w:szCs w:val="22"/>
        </w:rPr>
        <w:t>[s]</w:t>
      </w:r>
      <w:r w:rsidRPr="003A4C05">
        <w:rPr>
          <w:rFonts w:ascii="Arial" w:hAnsi="Arial" w:cs="Arial"/>
          <w:bCs/>
          <w:sz w:val="22"/>
          <w:szCs w:val="22"/>
        </w:rPr>
        <w:t>uspect focused investigations require officers to move beyond the ‘red herring’ of victim credibility that arises from entrenched rape mythology and victim blaming and seeps into investigative strategies, lines of enquiry, case building, engagement with victim-survivors and suspects and decision making in the case’.</w:t>
      </w:r>
      <w:r w:rsidRPr="003A4C05">
        <w:rPr>
          <w:rFonts w:ascii="Arial" w:hAnsi="Arial" w:cs="Arial"/>
          <w:bCs/>
          <w:sz w:val="22"/>
          <w:szCs w:val="22"/>
          <w:vertAlign w:val="superscript"/>
        </w:rPr>
        <w:footnoteReference w:id="47"/>
      </w:r>
    </w:p>
    <w:p w14:paraId="6E4365C8" w14:textId="77777777" w:rsidR="00FA3E2F" w:rsidRPr="003A4C05" w:rsidRDefault="00FA3E2F" w:rsidP="002E0503">
      <w:pPr>
        <w:pStyle w:val="ArticleTitle"/>
        <w:spacing w:after="0" w:line="360" w:lineRule="auto"/>
        <w:ind w:firstLine="720"/>
        <w:rPr>
          <w:rFonts w:ascii="Arial" w:hAnsi="Arial" w:cs="Arial"/>
          <w:bCs/>
          <w:sz w:val="22"/>
          <w:szCs w:val="22"/>
        </w:rPr>
      </w:pPr>
    </w:p>
    <w:p w14:paraId="71C62FF2" w14:textId="1EDA6229" w:rsidR="003A4C05" w:rsidRDefault="003A4C05" w:rsidP="00FA3E2F">
      <w:pPr>
        <w:pStyle w:val="ArticleTitle"/>
        <w:spacing w:after="0" w:line="360" w:lineRule="auto"/>
        <w:ind w:firstLine="720"/>
        <w:rPr>
          <w:rFonts w:ascii="Arial" w:hAnsi="Arial" w:cs="Arial"/>
          <w:bCs/>
          <w:sz w:val="22"/>
          <w:szCs w:val="22"/>
        </w:rPr>
      </w:pPr>
      <w:r w:rsidRPr="003A4C05">
        <w:rPr>
          <w:rFonts w:ascii="Arial" w:hAnsi="Arial" w:cs="Arial"/>
          <w:bCs/>
          <w:sz w:val="22"/>
          <w:szCs w:val="22"/>
        </w:rPr>
        <w:t>Whilst the prosecution of rape is one of the starkest illustrations of the criminal justice system perpetuating stereotypes that blame victims of male violence and responsibilise them, it is not the only example. Aspects of the substantive criminal law have also adopted this approach.</w:t>
      </w:r>
      <w:r w:rsidR="00FA3E2F">
        <w:rPr>
          <w:rFonts w:ascii="Arial" w:hAnsi="Arial" w:cs="Arial"/>
          <w:bCs/>
          <w:sz w:val="22"/>
          <w:szCs w:val="22"/>
        </w:rPr>
        <w:t xml:space="preserve"> </w:t>
      </w:r>
      <w:r w:rsidRPr="003A4C05">
        <w:rPr>
          <w:rFonts w:ascii="Arial" w:hAnsi="Arial" w:cs="Arial"/>
          <w:bCs/>
          <w:sz w:val="22"/>
          <w:szCs w:val="22"/>
        </w:rPr>
        <w:t>The law relating to homicide historically contained defences which effectively blamed female victims of domestic homicide for their ‘own demise’.</w:t>
      </w:r>
      <w:r w:rsidRPr="003A4C05">
        <w:rPr>
          <w:rFonts w:ascii="Arial" w:hAnsi="Arial" w:cs="Arial"/>
          <w:bCs/>
          <w:sz w:val="22"/>
          <w:szCs w:val="22"/>
          <w:vertAlign w:val="superscript"/>
        </w:rPr>
        <w:footnoteReference w:id="48"/>
      </w:r>
      <w:r w:rsidRPr="003A4C05">
        <w:rPr>
          <w:rFonts w:ascii="Arial" w:hAnsi="Arial" w:cs="Arial"/>
          <w:bCs/>
          <w:sz w:val="22"/>
          <w:szCs w:val="22"/>
        </w:rPr>
        <w:t xml:space="preserve"> The old defence of provocation in English law has been written about extensively; it exemplifies shifting the blame from the perpetrator to the victim, particularly in the guise of the so-called sexual infidelity defence, which goes back many centuries.</w:t>
      </w:r>
      <w:r w:rsidRPr="003A4C05">
        <w:rPr>
          <w:rFonts w:ascii="Arial" w:hAnsi="Arial" w:cs="Arial"/>
          <w:bCs/>
          <w:sz w:val="22"/>
          <w:szCs w:val="22"/>
          <w:vertAlign w:val="superscript"/>
        </w:rPr>
        <w:footnoteReference w:id="49"/>
      </w:r>
      <w:r w:rsidRPr="003A4C05">
        <w:rPr>
          <w:rFonts w:ascii="Arial" w:hAnsi="Arial" w:cs="Arial"/>
          <w:bCs/>
          <w:sz w:val="22"/>
          <w:szCs w:val="22"/>
        </w:rPr>
        <w:t xml:space="preserve">  The essence of the defence is that if a man kills in anger as a result of his female partner’s alleged sexual infidelity then he is justified, or latterly excused, for his killing.</w:t>
      </w:r>
      <w:r w:rsidRPr="003A4C05">
        <w:rPr>
          <w:rFonts w:ascii="Arial" w:hAnsi="Arial" w:cs="Arial"/>
          <w:bCs/>
          <w:sz w:val="22"/>
          <w:szCs w:val="22"/>
          <w:vertAlign w:val="superscript"/>
        </w:rPr>
        <w:footnoteReference w:id="50"/>
      </w:r>
      <w:r w:rsidRPr="003A4C05">
        <w:rPr>
          <w:rFonts w:ascii="Arial" w:hAnsi="Arial" w:cs="Arial"/>
          <w:bCs/>
          <w:sz w:val="22"/>
          <w:szCs w:val="22"/>
        </w:rPr>
        <w:t xml:space="preserve"> A shift in societal norms was accompanied by some legal change to the defence of provocation. The Homicide Act 1957, which contained the provocation defence, was interpreted by some judges around the turn of the millennium to exclude a defence based solely on obsessive (male) jealously.</w:t>
      </w:r>
      <w:r w:rsidRPr="003A4C05">
        <w:rPr>
          <w:rFonts w:ascii="Arial" w:hAnsi="Arial" w:cs="Arial"/>
          <w:bCs/>
          <w:sz w:val="22"/>
          <w:szCs w:val="22"/>
          <w:vertAlign w:val="superscript"/>
        </w:rPr>
        <w:footnoteReference w:id="51"/>
      </w:r>
      <w:r w:rsidRPr="003A4C05">
        <w:rPr>
          <w:rFonts w:ascii="Arial" w:hAnsi="Arial" w:cs="Arial"/>
          <w:bCs/>
          <w:sz w:val="22"/>
          <w:szCs w:val="22"/>
        </w:rPr>
        <w:t xml:space="preserve"> </w:t>
      </w:r>
      <w:r w:rsidR="007E7CE5">
        <w:rPr>
          <w:rFonts w:ascii="Arial" w:hAnsi="Arial" w:cs="Arial"/>
          <w:bCs/>
          <w:sz w:val="22"/>
          <w:szCs w:val="22"/>
        </w:rPr>
        <w:t>A</w:t>
      </w:r>
      <w:r w:rsidRPr="003A4C05">
        <w:rPr>
          <w:rFonts w:ascii="Arial" w:hAnsi="Arial" w:cs="Arial"/>
          <w:bCs/>
          <w:sz w:val="22"/>
          <w:szCs w:val="22"/>
        </w:rPr>
        <w:t xml:space="preserve">rguably, </w:t>
      </w:r>
      <w:r w:rsidR="007E7CE5">
        <w:rPr>
          <w:rFonts w:ascii="Arial" w:hAnsi="Arial" w:cs="Arial"/>
          <w:bCs/>
          <w:sz w:val="22"/>
          <w:szCs w:val="22"/>
        </w:rPr>
        <w:t xml:space="preserve">however, </w:t>
      </w:r>
      <w:r w:rsidRPr="003A4C05">
        <w:rPr>
          <w:rFonts w:ascii="Arial" w:hAnsi="Arial" w:cs="Arial"/>
          <w:bCs/>
          <w:sz w:val="22"/>
          <w:szCs w:val="22"/>
        </w:rPr>
        <w:t xml:space="preserve">the victim blaming culture was </w:t>
      </w:r>
      <w:r w:rsidR="009F5293">
        <w:rPr>
          <w:rFonts w:ascii="Arial" w:hAnsi="Arial" w:cs="Arial"/>
          <w:bCs/>
          <w:sz w:val="22"/>
          <w:szCs w:val="22"/>
        </w:rPr>
        <w:lastRenderedPageBreak/>
        <w:t>s</w:t>
      </w:r>
      <w:r w:rsidRPr="003A4C05">
        <w:rPr>
          <w:rFonts w:ascii="Arial" w:hAnsi="Arial" w:cs="Arial"/>
          <w:bCs/>
          <w:sz w:val="22"/>
          <w:szCs w:val="22"/>
        </w:rPr>
        <w:t>oftened but not dismantled because it quickly re-established itself in the sentencing of domestic homicide,</w:t>
      </w:r>
      <w:r w:rsidRPr="003A4C05">
        <w:rPr>
          <w:rFonts w:ascii="Arial" w:hAnsi="Arial" w:cs="Arial"/>
          <w:bCs/>
          <w:sz w:val="22"/>
          <w:szCs w:val="22"/>
          <w:vertAlign w:val="superscript"/>
        </w:rPr>
        <w:footnoteReference w:id="52"/>
      </w:r>
      <w:r w:rsidRPr="003A4C05">
        <w:rPr>
          <w:rFonts w:ascii="Arial" w:hAnsi="Arial" w:cs="Arial"/>
          <w:bCs/>
          <w:sz w:val="22"/>
          <w:szCs w:val="22"/>
        </w:rPr>
        <w:t xml:space="preserve"> and ultimately in the substantive law of provocation.</w:t>
      </w:r>
      <w:r w:rsidRPr="003A4C05">
        <w:rPr>
          <w:rFonts w:ascii="Arial" w:hAnsi="Arial" w:cs="Arial"/>
          <w:bCs/>
          <w:sz w:val="22"/>
          <w:szCs w:val="22"/>
          <w:vertAlign w:val="superscript"/>
        </w:rPr>
        <w:footnoteReference w:id="53"/>
      </w:r>
    </w:p>
    <w:p w14:paraId="4DE1D9F5" w14:textId="77777777" w:rsidR="00FA3E2F" w:rsidRPr="003A4C05" w:rsidRDefault="00FA3E2F" w:rsidP="00FA3E2F">
      <w:pPr>
        <w:pStyle w:val="ArticleTitle"/>
        <w:spacing w:after="0" w:line="360" w:lineRule="auto"/>
        <w:ind w:firstLine="720"/>
        <w:rPr>
          <w:rFonts w:ascii="Arial" w:hAnsi="Arial" w:cs="Arial"/>
          <w:bCs/>
          <w:sz w:val="22"/>
          <w:szCs w:val="22"/>
        </w:rPr>
      </w:pPr>
    </w:p>
    <w:p w14:paraId="5B2A3C97" w14:textId="0C983785" w:rsidR="003A4C05" w:rsidRDefault="003A4C05" w:rsidP="00FA3E2F">
      <w:pPr>
        <w:pStyle w:val="ArticleTitle"/>
        <w:spacing w:after="0" w:line="360" w:lineRule="auto"/>
        <w:ind w:firstLine="720"/>
        <w:rPr>
          <w:rFonts w:ascii="Arial" w:hAnsi="Arial" w:cs="Arial"/>
          <w:bCs/>
          <w:sz w:val="22"/>
          <w:szCs w:val="22"/>
        </w:rPr>
      </w:pPr>
      <w:r w:rsidRPr="003A4C05">
        <w:rPr>
          <w:rFonts w:ascii="Arial" w:hAnsi="Arial" w:cs="Arial"/>
          <w:bCs/>
          <w:sz w:val="22"/>
          <w:szCs w:val="22"/>
        </w:rPr>
        <w:t>Some parliamentarians were keen to see the victim blaming culture dismantled and remove sexual infidelity as the basis of a defence for killing.</w:t>
      </w:r>
      <w:r w:rsidRPr="003A4C05">
        <w:rPr>
          <w:rFonts w:ascii="Arial" w:hAnsi="Arial" w:cs="Arial"/>
          <w:bCs/>
          <w:sz w:val="22"/>
          <w:szCs w:val="22"/>
          <w:vertAlign w:val="superscript"/>
        </w:rPr>
        <w:footnoteReference w:id="54"/>
      </w:r>
      <w:r w:rsidRPr="003A4C05">
        <w:rPr>
          <w:rFonts w:ascii="Arial" w:hAnsi="Arial" w:cs="Arial"/>
          <w:bCs/>
          <w:sz w:val="22"/>
          <w:szCs w:val="22"/>
        </w:rPr>
        <w:t xml:space="preserve"> Amendments to the homicide defences were considered in the Safety and Justice consultation that preceded the Domestic Violence, Crime and Victims Act 2004, but ultimately did not make it into the Government’s proposals and legislation.</w:t>
      </w:r>
      <w:r w:rsidRPr="003A4C05">
        <w:rPr>
          <w:rFonts w:ascii="Arial" w:hAnsi="Arial" w:cs="Arial"/>
          <w:bCs/>
          <w:sz w:val="22"/>
          <w:szCs w:val="22"/>
          <w:vertAlign w:val="superscript"/>
        </w:rPr>
        <w:footnoteReference w:id="55"/>
      </w:r>
      <w:r w:rsidRPr="003A4C05">
        <w:rPr>
          <w:rFonts w:ascii="Arial" w:hAnsi="Arial" w:cs="Arial"/>
          <w:bCs/>
          <w:sz w:val="22"/>
          <w:szCs w:val="22"/>
        </w:rPr>
        <w:t xml:space="preserve"> It was not until the Coroners and Justice Act (CJA) 2009 that the provocation defence was abolished and replaced by a new loss of control defence, including a provision excluding sexual infidelity as a qualifying trigger for the defence.</w:t>
      </w:r>
      <w:r w:rsidRPr="003A4C05">
        <w:rPr>
          <w:rFonts w:ascii="Arial" w:hAnsi="Arial" w:cs="Arial"/>
          <w:bCs/>
          <w:sz w:val="22"/>
          <w:szCs w:val="22"/>
          <w:vertAlign w:val="superscript"/>
        </w:rPr>
        <w:footnoteReference w:id="56"/>
      </w:r>
      <w:r w:rsidRPr="003A4C05">
        <w:rPr>
          <w:rFonts w:ascii="Arial" w:hAnsi="Arial" w:cs="Arial"/>
          <w:bCs/>
          <w:sz w:val="22"/>
          <w:szCs w:val="22"/>
        </w:rPr>
        <w:t xml:space="preserve"> At first it appeared that the sexual infidelity defence would no longer be available where the defendant was relying on the trigger of ‘circumstances of an extremely grave character’ causing him to have a ‘justifiable sense of being seriously wronged’.</w:t>
      </w:r>
      <w:r w:rsidRPr="003A4C05">
        <w:rPr>
          <w:rFonts w:ascii="Arial" w:hAnsi="Arial" w:cs="Arial"/>
          <w:bCs/>
          <w:sz w:val="22"/>
          <w:szCs w:val="22"/>
          <w:vertAlign w:val="superscript"/>
        </w:rPr>
        <w:footnoteReference w:id="57"/>
      </w:r>
      <w:r w:rsidRPr="003A4C05">
        <w:rPr>
          <w:rFonts w:ascii="Arial" w:hAnsi="Arial" w:cs="Arial"/>
          <w:bCs/>
          <w:sz w:val="22"/>
          <w:szCs w:val="22"/>
        </w:rPr>
        <w:t xml:space="preserve"> However, the moment of optimism that the victim blaming culture around femicide might shift was short lived. Judicial interpretation of the CJA 2009 in the case of </w:t>
      </w:r>
      <w:r w:rsidRPr="003A4C05">
        <w:rPr>
          <w:rFonts w:ascii="Arial" w:hAnsi="Arial" w:cs="Arial"/>
          <w:bCs/>
          <w:i/>
          <w:iCs/>
          <w:sz w:val="22"/>
          <w:szCs w:val="22"/>
        </w:rPr>
        <w:t>Clinton and others</w:t>
      </w:r>
      <w:r w:rsidRPr="003A4C05">
        <w:rPr>
          <w:rFonts w:ascii="Arial" w:hAnsi="Arial" w:cs="Arial"/>
          <w:bCs/>
          <w:sz w:val="22"/>
          <w:szCs w:val="22"/>
        </w:rPr>
        <w:t>,</w:t>
      </w:r>
      <w:r w:rsidRPr="003A4C05">
        <w:rPr>
          <w:rFonts w:ascii="Arial" w:hAnsi="Arial" w:cs="Arial"/>
          <w:bCs/>
          <w:sz w:val="22"/>
          <w:szCs w:val="22"/>
          <w:vertAlign w:val="superscript"/>
        </w:rPr>
        <w:footnoteReference w:id="58"/>
      </w:r>
      <w:r w:rsidRPr="003A4C05">
        <w:rPr>
          <w:rFonts w:ascii="Arial" w:hAnsi="Arial" w:cs="Arial"/>
          <w:bCs/>
          <w:sz w:val="22"/>
          <w:szCs w:val="22"/>
        </w:rPr>
        <w:t xml:space="preserve"> meant that allegations of sexual infidelity could be raised as part of a package of allegations, provided they were not the sole qualifying trigger. It has been argued that male anger continues to be the privileged ‘excusable emotional state’.</w:t>
      </w:r>
      <w:r w:rsidRPr="003A4C05">
        <w:rPr>
          <w:rFonts w:ascii="Arial" w:hAnsi="Arial" w:cs="Arial"/>
          <w:bCs/>
          <w:sz w:val="22"/>
          <w:szCs w:val="22"/>
          <w:vertAlign w:val="superscript"/>
        </w:rPr>
        <w:footnoteReference w:id="59"/>
      </w:r>
      <w:r w:rsidRPr="003A4C05">
        <w:rPr>
          <w:rFonts w:ascii="Arial" w:hAnsi="Arial" w:cs="Arial"/>
          <w:bCs/>
          <w:sz w:val="22"/>
          <w:szCs w:val="22"/>
        </w:rPr>
        <w:t xml:space="preserve"> Aligned to this is a perpetuation of the victim blaming culture that responsibilises victims. If only she had not (allegedy) taunted him about his sexual prowess,</w:t>
      </w:r>
      <w:r w:rsidRPr="003A4C05">
        <w:rPr>
          <w:rFonts w:ascii="Arial" w:hAnsi="Arial" w:cs="Arial"/>
          <w:bCs/>
          <w:sz w:val="22"/>
          <w:szCs w:val="22"/>
          <w:vertAlign w:val="superscript"/>
        </w:rPr>
        <w:footnoteReference w:id="60"/>
      </w:r>
      <w:r w:rsidRPr="003A4C05">
        <w:rPr>
          <w:rFonts w:ascii="Arial" w:hAnsi="Arial" w:cs="Arial"/>
          <w:bCs/>
          <w:sz w:val="22"/>
          <w:szCs w:val="22"/>
        </w:rPr>
        <w:t xml:space="preserve"> she would still be alive; he cannot be held fully responsible for her killing.</w:t>
      </w:r>
    </w:p>
    <w:p w14:paraId="1C011E4C" w14:textId="77777777" w:rsidR="007E7CE5" w:rsidRPr="003A4C05" w:rsidRDefault="007E7CE5" w:rsidP="00FA3E2F">
      <w:pPr>
        <w:pStyle w:val="ArticleTitle"/>
        <w:spacing w:after="0" w:line="360" w:lineRule="auto"/>
        <w:ind w:firstLine="720"/>
        <w:rPr>
          <w:rFonts w:ascii="Arial" w:hAnsi="Arial" w:cs="Arial"/>
          <w:bCs/>
          <w:sz w:val="22"/>
          <w:szCs w:val="22"/>
        </w:rPr>
      </w:pPr>
    </w:p>
    <w:p w14:paraId="7E63596C" w14:textId="4E040927" w:rsidR="003A4C05" w:rsidRDefault="003A4C05" w:rsidP="007E7CE5">
      <w:pPr>
        <w:pStyle w:val="ArticleTitle"/>
        <w:spacing w:after="0" w:line="360" w:lineRule="auto"/>
        <w:ind w:firstLine="720"/>
        <w:rPr>
          <w:rFonts w:ascii="Arial" w:hAnsi="Arial" w:cs="Arial"/>
          <w:bCs/>
          <w:sz w:val="22"/>
          <w:szCs w:val="22"/>
        </w:rPr>
      </w:pPr>
      <w:r w:rsidRPr="003A4C05">
        <w:rPr>
          <w:rFonts w:ascii="Arial" w:hAnsi="Arial" w:cs="Arial"/>
          <w:bCs/>
          <w:sz w:val="22"/>
          <w:szCs w:val="22"/>
        </w:rPr>
        <w:t>It could be argued that the sexual infidelity provision is gender neutral; that women can rely on it when they kill men just as much as men who kill women.</w:t>
      </w:r>
      <w:r w:rsidRPr="003A4C05">
        <w:rPr>
          <w:rFonts w:ascii="Arial" w:hAnsi="Arial" w:cs="Arial"/>
          <w:bCs/>
          <w:sz w:val="22"/>
          <w:szCs w:val="22"/>
          <w:vertAlign w:val="superscript"/>
        </w:rPr>
        <w:footnoteReference w:id="61"/>
      </w:r>
      <w:r w:rsidRPr="003A4C05">
        <w:rPr>
          <w:rFonts w:ascii="Arial" w:hAnsi="Arial" w:cs="Arial"/>
          <w:bCs/>
          <w:sz w:val="22"/>
          <w:szCs w:val="22"/>
        </w:rPr>
        <w:t xml:space="preserve"> However, this would be perceived neutrality rather than empirical reality or substantive equality because there are few cases where women seek to rely on sexual infidelity to blame male victims of domestic </w:t>
      </w:r>
      <w:r w:rsidRPr="003A4C05">
        <w:rPr>
          <w:rFonts w:ascii="Arial" w:hAnsi="Arial" w:cs="Arial"/>
          <w:bCs/>
          <w:sz w:val="22"/>
          <w:szCs w:val="22"/>
        </w:rPr>
        <w:lastRenderedPageBreak/>
        <w:t>homicide.</w:t>
      </w:r>
      <w:r w:rsidRPr="003A4C05">
        <w:rPr>
          <w:rFonts w:ascii="Arial" w:hAnsi="Arial" w:cs="Arial"/>
          <w:bCs/>
          <w:sz w:val="22"/>
          <w:szCs w:val="22"/>
          <w:vertAlign w:val="superscript"/>
        </w:rPr>
        <w:footnoteReference w:id="62"/>
      </w:r>
      <w:r w:rsidRPr="003A4C05">
        <w:rPr>
          <w:rFonts w:ascii="Arial" w:hAnsi="Arial" w:cs="Arial"/>
          <w:bCs/>
          <w:sz w:val="22"/>
          <w:szCs w:val="22"/>
        </w:rPr>
        <w:t xml:space="preserve"> Where women are seeking a defence to killing male intimate partners they are often trying to do so in the context of a history of domestic abuse where the primary emotion is fear not anger.</w:t>
      </w:r>
      <w:r w:rsidRPr="003A4C05">
        <w:rPr>
          <w:rFonts w:ascii="Arial" w:hAnsi="Arial" w:cs="Arial"/>
          <w:bCs/>
          <w:sz w:val="22"/>
          <w:szCs w:val="22"/>
          <w:vertAlign w:val="superscript"/>
        </w:rPr>
        <w:footnoteReference w:id="63"/>
      </w:r>
      <w:r w:rsidRPr="003A4C05">
        <w:rPr>
          <w:rFonts w:ascii="Arial" w:hAnsi="Arial" w:cs="Arial"/>
          <w:bCs/>
          <w:sz w:val="22"/>
          <w:szCs w:val="22"/>
        </w:rPr>
        <w:t xml:space="preserve"> </w:t>
      </w:r>
      <w:r w:rsidR="00297F33">
        <w:rPr>
          <w:rFonts w:ascii="Arial" w:hAnsi="Arial" w:cs="Arial"/>
          <w:bCs/>
          <w:sz w:val="22"/>
          <w:szCs w:val="22"/>
        </w:rPr>
        <w:t>I</w:t>
      </w:r>
      <w:r w:rsidRPr="003A4C05">
        <w:rPr>
          <w:rFonts w:ascii="Arial" w:hAnsi="Arial" w:cs="Arial"/>
          <w:bCs/>
          <w:sz w:val="22"/>
          <w:szCs w:val="22"/>
        </w:rPr>
        <w:t>t is well documented</w:t>
      </w:r>
      <w:r w:rsidR="00297F33">
        <w:rPr>
          <w:rFonts w:ascii="Arial" w:hAnsi="Arial" w:cs="Arial"/>
          <w:bCs/>
          <w:sz w:val="22"/>
          <w:szCs w:val="22"/>
        </w:rPr>
        <w:t>, however,</w:t>
      </w:r>
      <w:r w:rsidRPr="003A4C05">
        <w:rPr>
          <w:rFonts w:ascii="Arial" w:hAnsi="Arial" w:cs="Arial"/>
          <w:bCs/>
          <w:sz w:val="22"/>
          <w:szCs w:val="22"/>
        </w:rPr>
        <w:t xml:space="preserve"> that women do not have readily available defences to killing male perpetrators of domestic abuse; self-defence is more accessible to startled householders than to abused women who kill.</w:t>
      </w:r>
      <w:r w:rsidRPr="003A4C05">
        <w:rPr>
          <w:rFonts w:ascii="Arial" w:hAnsi="Arial" w:cs="Arial"/>
          <w:bCs/>
          <w:sz w:val="22"/>
          <w:szCs w:val="22"/>
          <w:vertAlign w:val="superscript"/>
        </w:rPr>
        <w:footnoteReference w:id="64"/>
      </w:r>
      <w:r w:rsidRPr="003A4C05">
        <w:rPr>
          <w:rFonts w:ascii="Arial" w:hAnsi="Arial" w:cs="Arial"/>
          <w:bCs/>
          <w:sz w:val="22"/>
          <w:szCs w:val="22"/>
        </w:rPr>
        <w:t xml:space="preserve"> As the case of Sally Challen (who killed her abusive husband) shows,</w:t>
      </w:r>
      <w:r w:rsidRPr="003A4C05">
        <w:rPr>
          <w:rFonts w:ascii="Arial" w:hAnsi="Arial" w:cs="Arial"/>
          <w:bCs/>
          <w:sz w:val="22"/>
          <w:szCs w:val="22"/>
          <w:vertAlign w:val="superscript"/>
        </w:rPr>
        <w:footnoteReference w:id="65"/>
      </w:r>
      <w:r w:rsidRPr="003A4C05">
        <w:rPr>
          <w:rFonts w:ascii="Arial" w:hAnsi="Arial" w:cs="Arial"/>
          <w:bCs/>
          <w:sz w:val="22"/>
          <w:szCs w:val="22"/>
        </w:rPr>
        <w:t xml:space="preserve"> abused women are typically pushed towards arguing diminished responsibility rather than loss of control.</w:t>
      </w:r>
      <w:r w:rsidRPr="003A4C05">
        <w:rPr>
          <w:rFonts w:ascii="Arial" w:hAnsi="Arial" w:cs="Arial"/>
          <w:bCs/>
          <w:sz w:val="22"/>
          <w:szCs w:val="22"/>
          <w:vertAlign w:val="superscript"/>
        </w:rPr>
        <w:footnoteReference w:id="66"/>
      </w:r>
      <w:r w:rsidRPr="003A4C05">
        <w:rPr>
          <w:rFonts w:ascii="Arial" w:hAnsi="Arial" w:cs="Arial"/>
          <w:bCs/>
          <w:sz w:val="22"/>
          <w:szCs w:val="22"/>
        </w:rPr>
        <w:t xml:space="preserve"> It has been argued that it is wrong to medicalise and pathologise women by requiring that they show that they are suffering from a recognised mental condition, such as depression, or the contested ‘battered women’s syndrome’,</w:t>
      </w:r>
      <w:r w:rsidRPr="003A4C05">
        <w:rPr>
          <w:rFonts w:ascii="Arial" w:hAnsi="Arial" w:cs="Arial"/>
          <w:bCs/>
          <w:sz w:val="22"/>
          <w:szCs w:val="22"/>
          <w:vertAlign w:val="superscript"/>
        </w:rPr>
        <w:footnoteReference w:id="67"/>
      </w:r>
      <w:r w:rsidRPr="003A4C05">
        <w:rPr>
          <w:rFonts w:ascii="Arial" w:hAnsi="Arial" w:cs="Arial"/>
          <w:bCs/>
          <w:sz w:val="22"/>
          <w:szCs w:val="22"/>
        </w:rPr>
        <w:t xml:space="preserve"> but until further reforms (if any) take place, then this will remain the situation. Helen was right to say the reasons women kill are self-defence or ‘psychiatric problems’, but it is the law is pushing them to the label of mental illness because it does not accommodate the reality of coercive control, nor the proportionality of using a weapon as a self</w:t>
      </w:r>
      <w:r w:rsidR="00AC604C">
        <w:rPr>
          <w:rFonts w:ascii="Arial" w:hAnsi="Arial" w:cs="Arial"/>
          <w:bCs/>
          <w:sz w:val="22"/>
          <w:szCs w:val="22"/>
        </w:rPr>
        <w:t>-</w:t>
      </w:r>
      <w:r w:rsidRPr="003A4C05">
        <w:rPr>
          <w:rFonts w:ascii="Arial" w:hAnsi="Arial" w:cs="Arial"/>
          <w:bCs/>
          <w:sz w:val="22"/>
          <w:szCs w:val="22"/>
        </w:rPr>
        <w:t>defensive response. If the loss of control were modified so that coercive control could be taken into account as a qualifying trigger, and jurors had a good understanding of the impact of that on the ability to exercise ‘reasonable’ restraint,</w:t>
      </w:r>
      <w:r w:rsidRPr="003A4C05">
        <w:rPr>
          <w:rFonts w:ascii="Arial" w:hAnsi="Arial" w:cs="Arial"/>
          <w:bCs/>
          <w:sz w:val="22"/>
          <w:szCs w:val="22"/>
          <w:vertAlign w:val="superscript"/>
        </w:rPr>
        <w:footnoteReference w:id="68"/>
      </w:r>
      <w:r w:rsidRPr="003A4C05">
        <w:rPr>
          <w:rFonts w:ascii="Arial" w:hAnsi="Arial" w:cs="Arial"/>
          <w:bCs/>
          <w:sz w:val="22"/>
          <w:szCs w:val="22"/>
        </w:rPr>
        <w:t xml:space="preserve"> then the outcomes for victims of domestic abuse might be different.</w:t>
      </w:r>
      <w:r w:rsidRPr="003A4C05">
        <w:rPr>
          <w:rFonts w:ascii="Arial" w:hAnsi="Arial" w:cs="Arial"/>
          <w:bCs/>
          <w:sz w:val="22"/>
          <w:szCs w:val="22"/>
          <w:vertAlign w:val="superscript"/>
        </w:rPr>
        <w:footnoteReference w:id="69"/>
      </w:r>
    </w:p>
    <w:p w14:paraId="1381BF29" w14:textId="77777777" w:rsidR="00AC604C" w:rsidRPr="003A4C05" w:rsidRDefault="00AC604C" w:rsidP="007E7CE5">
      <w:pPr>
        <w:pStyle w:val="ArticleTitle"/>
        <w:spacing w:after="0" w:line="360" w:lineRule="auto"/>
        <w:ind w:firstLine="720"/>
        <w:rPr>
          <w:rFonts w:ascii="Arial" w:hAnsi="Arial" w:cs="Arial"/>
          <w:bCs/>
          <w:sz w:val="22"/>
          <w:szCs w:val="22"/>
        </w:rPr>
      </w:pPr>
    </w:p>
    <w:p w14:paraId="446A8C01" w14:textId="6DC92BA7" w:rsidR="003A4C05" w:rsidRPr="00AC604C" w:rsidRDefault="003A4C05" w:rsidP="003A4C05">
      <w:pPr>
        <w:pStyle w:val="ArticleTitle"/>
        <w:spacing w:after="0" w:line="360" w:lineRule="auto"/>
        <w:rPr>
          <w:rFonts w:ascii="Arial" w:hAnsi="Arial" w:cs="Arial"/>
          <w:b/>
          <w:i/>
          <w:iCs/>
          <w:sz w:val="22"/>
          <w:szCs w:val="22"/>
        </w:rPr>
      </w:pPr>
      <w:r w:rsidRPr="003A4C05">
        <w:rPr>
          <w:rFonts w:ascii="Arial" w:hAnsi="Arial" w:cs="Arial"/>
          <w:b/>
          <w:i/>
          <w:iCs/>
          <w:sz w:val="22"/>
          <w:szCs w:val="22"/>
        </w:rPr>
        <w:t xml:space="preserve">Policing Men: The </w:t>
      </w:r>
      <w:r w:rsidR="00AC604C" w:rsidRPr="00AC604C">
        <w:rPr>
          <w:rFonts w:ascii="Arial" w:hAnsi="Arial" w:cs="Arial"/>
          <w:b/>
          <w:i/>
          <w:iCs/>
          <w:sz w:val="22"/>
          <w:szCs w:val="22"/>
        </w:rPr>
        <w:t>R</w:t>
      </w:r>
      <w:r w:rsidRPr="003A4C05">
        <w:rPr>
          <w:rFonts w:ascii="Arial" w:hAnsi="Arial" w:cs="Arial"/>
          <w:b/>
          <w:i/>
          <w:iCs/>
          <w:sz w:val="22"/>
          <w:szCs w:val="22"/>
        </w:rPr>
        <w:t xml:space="preserve">ole of the </w:t>
      </w:r>
      <w:r w:rsidR="00AC604C" w:rsidRPr="00AC604C">
        <w:rPr>
          <w:rFonts w:ascii="Arial" w:hAnsi="Arial" w:cs="Arial"/>
          <w:b/>
          <w:i/>
          <w:iCs/>
          <w:sz w:val="22"/>
          <w:szCs w:val="22"/>
        </w:rPr>
        <w:t>P</w:t>
      </w:r>
      <w:r w:rsidRPr="003A4C05">
        <w:rPr>
          <w:rFonts w:ascii="Arial" w:hAnsi="Arial" w:cs="Arial"/>
          <w:b/>
          <w:i/>
          <w:iCs/>
          <w:sz w:val="22"/>
          <w:szCs w:val="22"/>
        </w:rPr>
        <w:t>olice</w:t>
      </w:r>
    </w:p>
    <w:p w14:paraId="59CE52B5" w14:textId="77777777" w:rsidR="00AC604C" w:rsidRPr="003A4C05" w:rsidRDefault="00AC604C" w:rsidP="003A4C05">
      <w:pPr>
        <w:pStyle w:val="ArticleTitle"/>
        <w:spacing w:after="0" w:line="360" w:lineRule="auto"/>
        <w:rPr>
          <w:rFonts w:ascii="Arial" w:hAnsi="Arial" w:cs="Arial"/>
          <w:bCs/>
          <w:sz w:val="22"/>
          <w:szCs w:val="22"/>
          <w:u w:val="single"/>
        </w:rPr>
      </w:pPr>
    </w:p>
    <w:p w14:paraId="4689E14C" w14:textId="4CDBBA98" w:rsidR="003A4C05" w:rsidRDefault="003A4C05" w:rsidP="003A4C05">
      <w:pPr>
        <w:pStyle w:val="ArticleTitle"/>
        <w:spacing w:after="0" w:line="360" w:lineRule="auto"/>
        <w:rPr>
          <w:rFonts w:ascii="Arial" w:hAnsi="Arial" w:cs="Arial"/>
          <w:bCs/>
          <w:sz w:val="22"/>
          <w:szCs w:val="22"/>
        </w:rPr>
      </w:pPr>
      <w:r w:rsidRPr="003A4C05">
        <w:rPr>
          <w:rFonts w:ascii="Arial" w:hAnsi="Arial" w:cs="Arial"/>
          <w:bCs/>
          <w:sz w:val="22"/>
          <w:szCs w:val="22"/>
        </w:rPr>
        <w:t>The history of the policing of domestic abuse in England and Wales suggests that there are significant barriers to be overcome in holding perpetrators of abuse responsible and fully accountable.</w:t>
      </w:r>
      <w:r w:rsidRPr="003A4C05">
        <w:rPr>
          <w:rFonts w:ascii="Arial" w:hAnsi="Arial" w:cs="Arial"/>
          <w:bCs/>
          <w:sz w:val="22"/>
          <w:szCs w:val="22"/>
          <w:vertAlign w:val="superscript"/>
        </w:rPr>
        <w:footnoteReference w:id="70"/>
      </w:r>
      <w:r w:rsidRPr="003A4C05">
        <w:rPr>
          <w:rFonts w:ascii="Arial" w:hAnsi="Arial" w:cs="Arial"/>
          <w:bCs/>
          <w:sz w:val="22"/>
          <w:szCs w:val="22"/>
        </w:rPr>
        <w:t xml:space="preserve"> All of the legal powers available to the police are contingent on police understanding their role and using their powers appropriately and empathetically without recourse to stereotypes or victim blaming. The 1990s and 2000s were a time when </w:t>
      </w:r>
      <w:r w:rsidRPr="003A4C05">
        <w:rPr>
          <w:rFonts w:ascii="Arial" w:hAnsi="Arial" w:cs="Arial"/>
          <w:bCs/>
          <w:sz w:val="22"/>
          <w:szCs w:val="22"/>
        </w:rPr>
        <w:lastRenderedPageBreak/>
        <w:t>government policy strongly mandated that the police be more effective in domestic abuse cases.</w:t>
      </w:r>
      <w:r w:rsidRPr="003A4C05">
        <w:rPr>
          <w:rFonts w:ascii="Arial" w:hAnsi="Arial" w:cs="Arial"/>
          <w:bCs/>
          <w:sz w:val="22"/>
          <w:szCs w:val="22"/>
          <w:vertAlign w:val="superscript"/>
        </w:rPr>
        <w:footnoteReference w:id="71"/>
      </w:r>
      <w:r w:rsidRPr="003A4C05">
        <w:rPr>
          <w:rFonts w:ascii="Arial" w:hAnsi="Arial" w:cs="Arial"/>
          <w:bCs/>
          <w:sz w:val="22"/>
          <w:szCs w:val="22"/>
        </w:rPr>
        <w:t xml:space="preserve"> Empirical research showed that many cases did not proceed because victims withdrew their complaints</w:t>
      </w:r>
      <w:r w:rsidR="005361E2">
        <w:rPr>
          <w:rFonts w:ascii="Arial" w:hAnsi="Arial" w:cs="Arial"/>
          <w:bCs/>
          <w:sz w:val="22"/>
          <w:szCs w:val="22"/>
        </w:rPr>
        <w:t>;</w:t>
      </w:r>
      <w:r w:rsidRPr="003A4C05">
        <w:rPr>
          <w:rFonts w:ascii="Arial" w:hAnsi="Arial" w:cs="Arial"/>
          <w:bCs/>
          <w:sz w:val="22"/>
          <w:szCs w:val="22"/>
        </w:rPr>
        <w:t xml:space="preserve"> as a result</w:t>
      </w:r>
      <w:r w:rsidR="005361E2">
        <w:rPr>
          <w:rFonts w:ascii="Arial" w:hAnsi="Arial" w:cs="Arial"/>
          <w:bCs/>
          <w:sz w:val="22"/>
          <w:szCs w:val="22"/>
        </w:rPr>
        <w:t>,</w:t>
      </w:r>
      <w:r w:rsidRPr="003A4C05">
        <w:rPr>
          <w:rFonts w:ascii="Arial" w:hAnsi="Arial" w:cs="Arial"/>
          <w:bCs/>
          <w:sz w:val="22"/>
          <w:szCs w:val="22"/>
        </w:rPr>
        <w:t xml:space="preserve"> enhanced or effective evidence gathering policies were introduced.</w:t>
      </w:r>
      <w:r w:rsidRPr="003A4C05">
        <w:rPr>
          <w:rFonts w:ascii="Arial" w:hAnsi="Arial" w:cs="Arial"/>
          <w:bCs/>
          <w:sz w:val="22"/>
          <w:szCs w:val="22"/>
          <w:vertAlign w:val="superscript"/>
        </w:rPr>
        <w:footnoteReference w:id="72"/>
      </w:r>
      <w:r w:rsidRPr="003A4C05">
        <w:rPr>
          <w:rFonts w:ascii="Arial" w:hAnsi="Arial" w:cs="Arial"/>
          <w:bCs/>
          <w:sz w:val="22"/>
          <w:szCs w:val="22"/>
        </w:rPr>
        <w:t xml:space="preserve"> These policies encouraged the police to build cases on evidence other than the statement of the victim</w:t>
      </w:r>
      <w:r w:rsidR="005C334D">
        <w:rPr>
          <w:rFonts w:ascii="Arial" w:hAnsi="Arial" w:cs="Arial"/>
          <w:bCs/>
          <w:sz w:val="22"/>
          <w:szCs w:val="22"/>
        </w:rPr>
        <w:t>,</w:t>
      </w:r>
      <w:r w:rsidRPr="003A4C05">
        <w:rPr>
          <w:rFonts w:ascii="Arial" w:hAnsi="Arial" w:cs="Arial"/>
          <w:bCs/>
          <w:sz w:val="22"/>
          <w:szCs w:val="22"/>
        </w:rPr>
        <w:t xml:space="preserve"> for example gathering photographic evidence, 999 emergency call recordings, medical evidence and, in more recent times, body worn camera in addition to the statements of officers attending the scene. Yet a decade after these policies were first introduced, criminal justice inspectorates were still reporting police failings, especially in relation to non-physical abuse.</w:t>
      </w:r>
      <w:r w:rsidRPr="003A4C05">
        <w:rPr>
          <w:rFonts w:ascii="Arial" w:hAnsi="Arial" w:cs="Arial"/>
          <w:bCs/>
          <w:sz w:val="22"/>
          <w:szCs w:val="22"/>
          <w:vertAlign w:val="superscript"/>
        </w:rPr>
        <w:footnoteReference w:id="73"/>
      </w:r>
      <w:r w:rsidRPr="003A4C05">
        <w:rPr>
          <w:rFonts w:ascii="Arial" w:hAnsi="Arial" w:cs="Arial"/>
          <w:bCs/>
          <w:sz w:val="22"/>
          <w:szCs w:val="22"/>
        </w:rPr>
        <w:t xml:space="preserve"> A new offence of coercive and controlling behaviour was introduced in England and Wales in 2015. The offence is a potential game changer, but has yet to live up to its full promise: the police and prosecutors are still more likely to investigate and prosecute physical abuse than they are coercive and controlling behaviour or stalking.</w:t>
      </w:r>
      <w:r w:rsidRPr="003A4C05">
        <w:rPr>
          <w:rFonts w:ascii="Arial" w:hAnsi="Arial" w:cs="Arial"/>
          <w:bCs/>
          <w:sz w:val="22"/>
          <w:szCs w:val="22"/>
          <w:vertAlign w:val="superscript"/>
        </w:rPr>
        <w:footnoteReference w:id="74"/>
      </w:r>
      <w:r w:rsidRPr="003A4C05">
        <w:rPr>
          <w:rFonts w:ascii="Arial" w:hAnsi="Arial" w:cs="Arial"/>
          <w:bCs/>
          <w:sz w:val="22"/>
          <w:szCs w:val="22"/>
        </w:rPr>
        <w:t xml:space="preserve">  Furthermore, an inspection specifically focusing on effective evidence gathering found that the police lack the resources and training to deliver on the policy, for example failing to gather photographic evidence of physical injuries.</w:t>
      </w:r>
      <w:r w:rsidRPr="003A4C05">
        <w:rPr>
          <w:rFonts w:ascii="Arial" w:hAnsi="Arial" w:cs="Arial"/>
          <w:bCs/>
          <w:sz w:val="22"/>
          <w:szCs w:val="22"/>
          <w:vertAlign w:val="superscript"/>
        </w:rPr>
        <w:footnoteReference w:id="75"/>
      </w:r>
      <w:r w:rsidRPr="003A4C05">
        <w:rPr>
          <w:rFonts w:ascii="Arial" w:hAnsi="Arial" w:cs="Arial"/>
          <w:bCs/>
          <w:sz w:val="22"/>
          <w:szCs w:val="22"/>
        </w:rPr>
        <w:t xml:space="preserve"> Photographic evidence looks like an easy win for police and prosecutors, whereas the evidence that needs to be gathered to support a prosecution for coercive and controlling behaviour is much more comprehensive.</w:t>
      </w:r>
      <w:r w:rsidRPr="003A4C05">
        <w:rPr>
          <w:rFonts w:ascii="Arial" w:hAnsi="Arial" w:cs="Arial"/>
          <w:bCs/>
          <w:sz w:val="22"/>
          <w:szCs w:val="22"/>
          <w:vertAlign w:val="superscript"/>
        </w:rPr>
        <w:footnoteReference w:id="76"/>
      </w:r>
      <w:r w:rsidRPr="003A4C05">
        <w:rPr>
          <w:rFonts w:ascii="Arial" w:hAnsi="Arial" w:cs="Arial"/>
          <w:bCs/>
          <w:sz w:val="22"/>
          <w:szCs w:val="22"/>
        </w:rPr>
        <w:t xml:space="preserve"> A recent inspection reveals continuing failings in the evidence gathered by the police and the service provided by the CPS, including pushing forward action plans and building cases for prosecution.</w:t>
      </w:r>
      <w:r w:rsidRPr="003A4C05">
        <w:rPr>
          <w:rFonts w:ascii="Arial" w:hAnsi="Arial" w:cs="Arial"/>
          <w:bCs/>
          <w:sz w:val="22"/>
          <w:szCs w:val="22"/>
          <w:vertAlign w:val="superscript"/>
        </w:rPr>
        <w:footnoteReference w:id="77"/>
      </w:r>
    </w:p>
    <w:p w14:paraId="17789B3A" w14:textId="77777777" w:rsidR="005C334D" w:rsidRPr="003A4C05" w:rsidRDefault="005C334D" w:rsidP="003A4C05">
      <w:pPr>
        <w:pStyle w:val="ArticleTitle"/>
        <w:spacing w:after="0" w:line="360" w:lineRule="auto"/>
        <w:rPr>
          <w:rFonts w:ascii="Arial" w:hAnsi="Arial" w:cs="Arial"/>
          <w:bCs/>
          <w:sz w:val="22"/>
          <w:szCs w:val="22"/>
        </w:rPr>
      </w:pPr>
    </w:p>
    <w:p w14:paraId="3294FFC5" w14:textId="208EA312" w:rsidR="003A4C05" w:rsidRDefault="003A4C05" w:rsidP="005C334D">
      <w:pPr>
        <w:pStyle w:val="ArticleTitle"/>
        <w:spacing w:after="0" w:line="360" w:lineRule="auto"/>
        <w:ind w:firstLine="720"/>
        <w:rPr>
          <w:rFonts w:ascii="Arial" w:hAnsi="Arial" w:cs="Arial"/>
          <w:bCs/>
          <w:sz w:val="22"/>
          <w:szCs w:val="22"/>
        </w:rPr>
      </w:pPr>
      <w:r w:rsidRPr="003A4C05">
        <w:rPr>
          <w:rFonts w:ascii="Arial" w:hAnsi="Arial" w:cs="Arial"/>
          <w:bCs/>
          <w:sz w:val="22"/>
          <w:szCs w:val="22"/>
        </w:rPr>
        <w:t>The Centre for Women’s Justice raised a super complaint about the policing of domestic abuse, and following on from this, a super complaint about the approach of the police to policing its own domestic abusers.</w:t>
      </w:r>
      <w:r w:rsidRPr="003A4C05">
        <w:rPr>
          <w:rFonts w:ascii="Arial" w:hAnsi="Arial" w:cs="Arial"/>
          <w:bCs/>
          <w:sz w:val="22"/>
          <w:szCs w:val="22"/>
          <w:vertAlign w:val="superscript"/>
        </w:rPr>
        <w:footnoteReference w:id="78"/>
      </w:r>
      <w:r w:rsidRPr="003A4C05">
        <w:rPr>
          <w:rFonts w:ascii="Arial" w:hAnsi="Arial" w:cs="Arial"/>
          <w:bCs/>
          <w:sz w:val="22"/>
          <w:szCs w:val="22"/>
        </w:rPr>
        <w:t xml:space="preserve"> The issue of police perpetrators of VAWG is a pressing one as the murder of Sarah Everard and subsequent cases have highlighted. Trust in the </w:t>
      </w:r>
      <w:r w:rsidRPr="003A4C05">
        <w:rPr>
          <w:rFonts w:ascii="Arial" w:hAnsi="Arial" w:cs="Arial"/>
          <w:bCs/>
          <w:sz w:val="22"/>
          <w:szCs w:val="22"/>
        </w:rPr>
        <w:lastRenderedPageBreak/>
        <w:t>Metropolitan police in particular is at an all-time low, and the Casey review has indicated that the police need to take much more robust action against perpetrators of VAWG in their own ranks.</w:t>
      </w:r>
      <w:r w:rsidRPr="003A4C05">
        <w:rPr>
          <w:rFonts w:ascii="Arial" w:hAnsi="Arial" w:cs="Arial"/>
          <w:bCs/>
          <w:sz w:val="22"/>
          <w:szCs w:val="22"/>
          <w:vertAlign w:val="superscript"/>
        </w:rPr>
        <w:footnoteReference w:id="79"/>
      </w:r>
      <w:r w:rsidRPr="003A4C05">
        <w:rPr>
          <w:rFonts w:ascii="Arial" w:hAnsi="Arial" w:cs="Arial"/>
          <w:bCs/>
          <w:sz w:val="22"/>
          <w:szCs w:val="22"/>
        </w:rPr>
        <w:t xml:space="preserve"> In Cowie’s world, one impact of the curfew is that policing has become a female domain; the curfew has made it more difficult for men to work in areas where a 24/7 work pattern is required. Whether more women in policing would improve the police response to domestic abuse in England and Wales is a moot point. When they were first introduced, specialist domestic abuse units tended to be populated by more female police officers than male, but, in th</w:t>
      </w:r>
      <w:r w:rsidR="0003224D">
        <w:rPr>
          <w:rFonts w:ascii="Arial" w:hAnsi="Arial" w:cs="Arial"/>
          <w:bCs/>
          <w:sz w:val="22"/>
          <w:szCs w:val="22"/>
        </w:rPr>
        <w:t>ose</w:t>
      </w:r>
      <w:r w:rsidRPr="003A4C05">
        <w:rPr>
          <w:rFonts w:ascii="Arial" w:hAnsi="Arial" w:cs="Arial"/>
          <w:bCs/>
          <w:sz w:val="22"/>
          <w:szCs w:val="22"/>
        </w:rPr>
        <w:t xml:space="preserve"> days, this was regarded as low value work, and they seemed to have minimal impact on eradicating that culture, perhaps only serving to reinforce it.</w:t>
      </w:r>
      <w:r w:rsidRPr="003A4C05">
        <w:rPr>
          <w:rFonts w:ascii="Arial" w:hAnsi="Arial" w:cs="Arial"/>
          <w:bCs/>
          <w:sz w:val="22"/>
          <w:szCs w:val="22"/>
          <w:vertAlign w:val="superscript"/>
        </w:rPr>
        <w:footnoteReference w:id="80"/>
      </w:r>
      <w:r w:rsidRPr="003A4C05">
        <w:rPr>
          <w:rFonts w:ascii="Arial" w:hAnsi="Arial" w:cs="Arial"/>
          <w:bCs/>
          <w:sz w:val="22"/>
          <w:szCs w:val="22"/>
        </w:rPr>
        <w:t xml:space="preserve"> Achieving cultural change in policing is difficult; training is often insufficient.</w:t>
      </w:r>
      <w:r w:rsidRPr="003A4C05">
        <w:rPr>
          <w:rFonts w:ascii="Arial" w:hAnsi="Arial" w:cs="Arial"/>
          <w:bCs/>
          <w:sz w:val="22"/>
          <w:szCs w:val="22"/>
          <w:vertAlign w:val="superscript"/>
        </w:rPr>
        <w:footnoteReference w:id="81"/>
      </w:r>
      <w:r w:rsidRPr="003A4C05">
        <w:rPr>
          <w:rFonts w:ascii="Arial" w:hAnsi="Arial" w:cs="Arial"/>
          <w:bCs/>
          <w:sz w:val="22"/>
          <w:szCs w:val="22"/>
        </w:rPr>
        <w:t xml:space="preserve"> The recruitment of more female officers may be one component of change but it is unlikely to be a complete answer to the misogynistic culture of policing. As Emma Cunningham observes, men are in a position of power that women, even police women, will never be in: ‘</w:t>
      </w:r>
      <w:r w:rsidR="001F0A45">
        <w:rPr>
          <w:rFonts w:ascii="Arial" w:hAnsi="Arial" w:cs="Arial"/>
          <w:bCs/>
          <w:sz w:val="22"/>
          <w:szCs w:val="22"/>
        </w:rPr>
        <w:t>[t]</w:t>
      </w:r>
      <w:r w:rsidRPr="003A4C05">
        <w:rPr>
          <w:rFonts w:ascii="Arial" w:hAnsi="Arial" w:cs="Arial"/>
          <w:bCs/>
          <w:sz w:val="22"/>
          <w:szCs w:val="22"/>
        </w:rPr>
        <w:t>his power differential and abuse of power allows those policemen who are predatory to behave differently to policewomen and to abuse their position of power within the police misogyny which is institutionalised’.</w:t>
      </w:r>
      <w:r w:rsidRPr="003A4C05">
        <w:rPr>
          <w:rFonts w:ascii="Arial" w:hAnsi="Arial" w:cs="Arial"/>
          <w:bCs/>
          <w:sz w:val="22"/>
          <w:szCs w:val="22"/>
          <w:vertAlign w:val="superscript"/>
        </w:rPr>
        <w:footnoteReference w:id="82"/>
      </w:r>
      <w:r w:rsidRPr="003A4C05">
        <w:rPr>
          <w:rFonts w:ascii="Arial" w:hAnsi="Arial" w:cs="Arial"/>
          <w:bCs/>
          <w:sz w:val="22"/>
          <w:szCs w:val="22"/>
        </w:rPr>
        <w:t xml:space="preserve"> </w:t>
      </w:r>
    </w:p>
    <w:p w14:paraId="54C61D70" w14:textId="77777777" w:rsidR="001F0A45" w:rsidRPr="003A4C05" w:rsidRDefault="001F0A45" w:rsidP="005C334D">
      <w:pPr>
        <w:pStyle w:val="ArticleTitle"/>
        <w:spacing w:after="0" w:line="360" w:lineRule="auto"/>
        <w:ind w:firstLine="720"/>
        <w:rPr>
          <w:rFonts w:ascii="Arial" w:hAnsi="Arial" w:cs="Arial"/>
          <w:bCs/>
          <w:sz w:val="22"/>
          <w:szCs w:val="22"/>
        </w:rPr>
      </w:pPr>
    </w:p>
    <w:p w14:paraId="1924F645" w14:textId="72B62EF4" w:rsidR="003A4C05" w:rsidRDefault="003A4C05" w:rsidP="001F0A45">
      <w:pPr>
        <w:pStyle w:val="ArticleTitle"/>
        <w:spacing w:after="0" w:line="360" w:lineRule="auto"/>
        <w:ind w:firstLine="720"/>
        <w:rPr>
          <w:rFonts w:ascii="Arial" w:hAnsi="Arial" w:cs="Arial"/>
          <w:bCs/>
          <w:sz w:val="22"/>
          <w:szCs w:val="22"/>
        </w:rPr>
      </w:pPr>
      <w:r w:rsidRPr="003A4C05">
        <w:rPr>
          <w:rFonts w:ascii="Arial" w:hAnsi="Arial" w:cs="Arial"/>
          <w:bCs/>
          <w:sz w:val="22"/>
          <w:szCs w:val="22"/>
        </w:rPr>
        <w:t>Whilst this context paints a pessimistic picture for the policing of men who perpetrate VAWG, there continue to be high expectations of what the police could do in this space. Over the last two decades police powers have been expanding. The criminalisation of non-molestation orders under the Family Law Act 1996 gave the police powers to enforce civil remedies on behalf of victims of domestic abuse. The Crime and Security Act 2010 ushered in hybrid civil protection orders, Domestic Violence Prevention Orders</w:t>
      </w:r>
      <w:r w:rsidR="00EF6618">
        <w:rPr>
          <w:rFonts w:ascii="Arial" w:hAnsi="Arial" w:cs="Arial"/>
          <w:bCs/>
          <w:sz w:val="22"/>
          <w:szCs w:val="22"/>
        </w:rPr>
        <w:t xml:space="preserve"> (DVPO)</w:t>
      </w:r>
      <w:r w:rsidRPr="003A4C05">
        <w:rPr>
          <w:rFonts w:ascii="Arial" w:hAnsi="Arial" w:cs="Arial"/>
          <w:bCs/>
          <w:sz w:val="22"/>
          <w:szCs w:val="22"/>
        </w:rPr>
        <w:t>, that could be issued and applied for by the police.</w:t>
      </w:r>
      <w:r w:rsidRPr="003A4C05">
        <w:rPr>
          <w:rFonts w:ascii="Arial" w:hAnsi="Arial" w:cs="Arial"/>
          <w:bCs/>
          <w:sz w:val="22"/>
          <w:szCs w:val="22"/>
          <w:vertAlign w:val="superscript"/>
        </w:rPr>
        <w:footnoteReference w:id="83"/>
      </w:r>
      <w:r w:rsidRPr="003A4C05">
        <w:rPr>
          <w:rFonts w:ascii="Arial" w:hAnsi="Arial" w:cs="Arial"/>
          <w:bCs/>
          <w:sz w:val="22"/>
          <w:szCs w:val="22"/>
        </w:rPr>
        <w:t xml:space="preserve"> DVPOs are designed as a preventative measure, but there are concerns about their underutilisation and under enforcement.</w:t>
      </w:r>
      <w:r w:rsidRPr="003A4C05">
        <w:rPr>
          <w:rFonts w:ascii="Arial" w:hAnsi="Arial" w:cs="Arial"/>
          <w:bCs/>
          <w:sz w:val="22"/>
          <w:szCs w:val="22"/>
          <w:vertAlign w:val="superscript"/>
        </w:rPr>
        <w:footnoteReference w:id="84"/>
      </w:r>
      <w:r w:rsidRPr="003A4C05">
        <w:rPr>
          <w:rFonts w:ascii="Arial" w:hAnsi="Arial" w:cs="Arial"/>
          <w:bCs/>
          <w:sz w:val="22"/>
          <w:szCs w:val="22"/>
        </w:rPr>
        <w:t xml:space="preserve"> Alongside these measures</w:t>
      </w:r>
      <w:r w:rsidR="00EF6618">
        <w:rPr>
          <w:rFonts w:ascii="Arial" w:hAnsi="Arial" w:cs="Arial"/>
          <w:bCs/>
          <w:sz w:val="22"/>
          <w:szCs w:val="22"/>
        </w:rPr>
        <w:t>,</w:t>
      </w:r>
      <w:r w:rsidRPr="003A4C05">
        <w:rPr>
          <w:rFonts w:ascii="Arial" w:hAnsi="Arial" w:cs="Arial"/>
          <w:bCs/>
          <w:sz w:val="22"/>
          <w:szCs w:val="22"/>
        </w:rPr>
        <w:t xml:space="preserve"> a domestic violence disclosure scheme</w:t>
      </w:r>
      <w:r w:rsidR="00EF6618">
        <w:rPr>
          <w:rFonts w:ascii="Arial" w:hAnsi="Arial" w:cs="Arial"/>
          <w:bCs/>
          <w:sz w:val="22"/>
          <w:szCs w:val="22"/>
        </w:rPr>
        <w:t xml:space="preserve"> (DVD)</w:t>
      </w:r>
      <w:r w:rsidRPr="003A4C05">
        <w:rPr>
          <w:rFonts w:ascii="Arial" w:hAnsi="Arial" w:cs="Arial"/>
          <w:bCs/>
          <w:sz w:val="22"/>
          <w:szCs w:val="22"/>
        </w:rPr>
        <w:t xml:space="preserve">, known as Clare’s law, was also </w:t>
      </w:r>
      <w:r w:rsidRPr="003A4C05">
        <w:rPr>
          <w:rFonts w:ascii="Arial" w:hAnsi="Arial" w:cs="Arial"/>
          <w:bCs/>
          <w:sz w:val="22"/>
          <w:szCs w:val="22"/>
        </w:rPr>
        <w:lastRenderedPageBreak/>
        <w:t>introduced. The remainder of this article will focus on the DVDs and compare this to the cohabitation contracts envisaged by Cowie as part of the solution to VAWG.</w:t>
      </w:r>
    </w:p>
    <w:p w14:paraId="52427C11" w14:textId="77777777" w:rsidR="001F0A45" w:rsidRPr="003A4C05" w:rsidRDefault="001F0A45" w:rsidP="001F0A45">
      <w:pPr>
        <w:pStyle w:val="ArticleTitle"/>
        <w:spacing w:after="0" w:line="360" w:lineRule="auto"/>
        <w:ind w:firstLine="720"/>
        <w:rPr>
          <w:rFonts w:ascii="Arial" w:hAnsi="Arial" w:cs="Arial"/>
          <w:bCs/>
          <w:sz w:val="22"/>
          <w:szCs w:val="22"/>
        </w:rPr>
      </w:pPr>
    </w:p>
    <w:p w14:paraId="3A087668" w14:textId="0EA88545" w:rsidR="003A4C05" w:rsidRDefault="003A4C05" w:rsidP="003A4C05">
      <w:pPr>
        <w:pStyle w:val="ArticleTitle"/>
        <w:spacing w:after="0" w:line="360" w:lineRule="auto"/>
        <w:rPr>
          <w:rFonts w:ascii="Arial" w:hAnsi="Arial" w:cs="Arial"/>
          <w:b/>
          <w:i/>
          <w:iCs/>
          <w:sz w:val="22"/>
          <w:szCs w:val="22"/>
        </w:rPr>
      </w:pPr>
      <w:r w:rsidRPr="003A4C05">
        <w:rPr>
          <w:rFonts w:ascii="Arial" w:hAnsi="Arial" w:cs="Arial"/>
          <w:b/>
          <w:i/>
          <w:iCs/>
          <w:sz w:val="22"/>
          <w:szCs w:val="22"/>
        </w:rPr>
        <w:t xml:space="preserve">Prevention: </w:t>
      </w:r>
      <w:r w:rsidR="001F0A45">
        <w:rPr>
          <w:rFonts w:ascii="Arial" w:hAnsi="Arial" w:cs="Arial"/>
          <w:b/>
          <w:i/>
          <w:iCs/>
          <w:sz w:val="22"/>
          <w:szCs w:val="22"/>
        </w:rPr>
        <w:t>I</w:t>
      </w:r>
      <w:r w:rsidRPr="003A4C05">
        <w:rPr>
          <w:rFonts w:ascii="Arial" w:hAnsi="Arial" w:cs="Arial"/>
          <w:b/>
          <w:i/>
          <w:iCs/>
          <w:sz w:val="22"/>
          <w:szCs w:val="22"/>
        </w:rPr>
        <w:t xml:space="preserve">s </w:t>
      </w:r>
      <w:r w:rsidR="001F0A45">
        <w:rPr>
          <w:rFonts w:ascii="Arial" w:hAnsi="Arial" w:cs="Arial"/>
          <w:b/>
          <w:i/>
          <w:iCs/>
          <w:sz w:val="22"/>
          <w:szCs w:val="22"/>
        </w:rPr>
        <w:t>T</w:t>
      </w:r>
      <w:r w:rsidRPr="003A4C05">
        <w:rPr>
          <w:rFonts w:ascii="Arial" w:hAnsi="Arial" w:cs="Arial"/>
          <w:b/>
          <w:i/>
          <w:iCs/>
          <w:sz w:val="22"/>
          <w:szCs w:val="22"/>
        </w:rPr>
        <w:t xml:space="preserve">his </w:t>
      </w:r>
      <w:r w:rsidR="001F0A45">
        <w:rPr>
          <w:rFonts w:ascii="Arial" w:hAnsi="Arial" w:cs="Arial"/>
          <w:b/>
          <w:i/>
          <w:iCs/>
          <w:sz w:val="22"/>
          <w:szCs w:val="22"/>
        </w:rPr>
        <w:t>M</w:t>
      </w:r>
      <w:r w:rsidRPr="003A4C05">
        <w:rPr>
          <w:rFonts w:ascii="Arial" w:hAnsi="Arial" w:cs="Arial"/>
          <w:b/>
          <w:i/>
          <w:iCs/>
          <w:sz w:val="22"/>
          <w:szCs w:val="22"/>
        </w:rPr>
        <w:t xml:space="preserve">an </w:t>
      </w:r>
      <w:r w:rsidR="001F0A45">
        <w:rPr>
          <w:rFonts w:ascii="Arial" w:hAnsi="Arial" w:cs="Arial"/>
          <w:b/>
          <w:i/>
          <w:iCs/>
          <w:sz w:val="22"/>
          <w:szCs w:val="22"/>
        </w:rPr>
        <w:t>S</w:t>
      </w:r>
      <w:r w:rsidRPr="003A4C05">
        <w:rPr>
          <w:rFonts w:ascii="Arial" w:hAnsi="Arial" w:cs="Arial"/>
          <w:b/>
          <w:i/>
          <w:iCs/>
          <w:sz w:val="22"/>
          <w:szCs w:val="22"/>
        </w:rPr>
        <w:t xml:space="preserve">afe to be in a </w:t>
      </w:r>
      <w:r w:rsidR="001F0A45">
        <w:rPr>
          <w:rFonts w:ascii="Arial" w:hAnsi="Arial" w:cs="Arial"/>
          <w:b/>
          <w:i/>
          <w:iCs/>
          <w:sz w:val="22"/>
          <w:szCs w:val="22"/>
        </w:rPr>
        <w:t>R</w:t>
      </w:r>
      <w:r w:rsidRPr="003A4C05">
        <w:rPr>
          <w:rFonts w:ascii="Arial" w:hAnsi="Arial" w:cs="Arial"/>
          <w:b/>
          <w:i/>
          <w:iCs/>
          <w:sz w:val="22"/>
          <w:szCs w:val="22"/>
        </w:rPr>
        <w:t>elationship?</w:t>
      </w:r>
    </w:p>
    <w:p w14:paraId="1A3037FA" w14:textId="77777777" w:rsidR="001F0A45" w:rsidRPr="003A4C05" w:rsidRDefault="001F0A45" w:rsidP="003A4C05">
      <w:pPr>
        <w:pStyle w:val="ArticleTitle"/>
        <w:spacing w:after="0" w:line="360" w:lineRule="auto"/>
        <w:rPr>
          <w:rFonts w:ascii="Arial" w:hAnsi="Arial" w:cs="Arial"/>
          <w:b/>
          <w:i/>
          <w:iCs/>
          <w:sz w:val="22"/>
          <w:szCs w:val="22"/>
        </w:rPr>
      </w:pPr>
    </w:p>
    <w:p w14:paraId="71B3363D" w14:textId="77777777" w:rsidR="003A4C05" w:rsidRDefault="003A4C05" w:rsidP="003A4C05">
      <w:pPr>
        <w:pStyle w:val="ArticleTitle"/>
        <w:spacing w:after="0" w:line="360" w:lineRule="auto"/>
        <w:rPr>
          <w:rFonts w:ascii="Arial" w:hAnsi="Arial" w:cs="Arial"/>
          <w:bCs/>
          <w:sz w:val="22"/>
          <w:szCs w:val="22"/>
        </w:rPr>
      </w:pPr>
      <w:r w:rsidRPr="003A4C05">
        <w:rPr>
          <w:rFonts w:ascii="Arial" w:hAnsi="Arial" w:cs="Arial"/>
          <w:bCs/>
          <w:sz w:val="22"/>
          <w:szCs w:val="22"/>
        </w:rPr>
        <w:t>Most of the discussion so far has focused on what the criminal justice system can do if things have already gone wrong; if the criminal law has been broken or a civil/criminal hybrid protection order has been/can be issued because of domestic abuse. It has been argued above that the focus should be on the perpetrator rather than the victim. However, in an ideal world, there would be no perpetrator; the focus would be on preventing VAWG, that is what Cowie wants to achieve in her fictional world. The curfew is one component of that but alongside are cohabitation counselling and cohabitation contracts with preventative objectives. We see cohabitation counselling and contracts being discussed in Miss Helen Taylor’s class on the Prevention of Femicide Act 2023.  Helen says, the purpose of cohabitation counselling is to: ‘identify those couples most at risk of developing abusive patterns within their relationship and prevent them from living together’.</w:t>
      </w:r>
      <w:r w:rsidRPr="003A4C05">
        <w:rPr>
          <w:rFonts w:ascii="Arial" w:hAnsi="Arial" w:cs="Arial"/>
          <w:bCs/>
          <w:sz w:val="22"/>
          <w:szCs w:val="22"/>
          <w:vertAlign w:val="superscript"/>
        </w:rPr>
        <w:footnoteReference w:id="85"/>
      </w:r>
      <w:r w:rsidRPr="003A4C05">
        <w:rPr>
          <w:rFonts w:ascii="Arial" w:hAnsi="Arial" w:cs="Arial"/>
          <w:bCs/>
          <w:sz w:val="22"/>
          <w:szCs w:val="22"/>
        </w:rPr>
        <w:t xml:space="preserve"> Cass responds: ‘Cohabitation certificates just make women look weak...like we can’t figure out for ourselves who the decent men are’.</w:t>
      </w:r>
      <w:r w:rsidRPr="003A4C05">
        <w:rPr>
          <w:rFonts w:ascii="Arial" w:hAnsi="Arial" w:cs="Arial"/>
          <w:bCs/>
          <w:sz w:val="22"/>
          <w:szCs w:val="22"/>
          <w:vertAlign w:val="superscript"/>
        </w:rPr>
        <w:footnoteReference w:id="86"/>
      </w:r>
      <w:r w:rsidRPr="003A4C05">
        <w:rPr>
          <w:rFonts w:ascii="Arial" w:hAnsi="Arial" w:cs="Arial"/>
          <w:bCs/>
          <w:sz w:val="22"/>
          <w:szCs w:val="22"/>
        </w:rPr>
        <w:t xml:space="preserve"> We are almost immediately introduced to the idea that Helen is unable to figure out that her boyfriend Tom is not a ‘decent man’. Helen’s friend Mabel, who works with Cass’s mother at the tagging centre, tells her ‘he’s a prick’ but Helen’s judgment is clouded by ‘baby fever’.</w:t>
      </w:r>
      <w:r w:rsidRPr="003A4C05">
        <w:rPr>
          <w:rFonts w:ascii="Arial" w:hAnsi="Arial" w:cs="Arial"/>
          <w:bCs/>
          <w:sz w:val="22"/>
          <w:szCs w:val="22"/>
          <w:vertAlign w:val="superscript"/>
        </w:rPr>
        <w:footnoteReference w:id="87"/>
      </w:r>
      <w:r w:rsidRPr="003A4C05">
        <w:rPr>
          <w:rFonts w:ascii="Arial" w:hAnsi="Arial" w:cs="Arial"/>
          <w:bCs/>
          <w:sz w:val="22"/>
          <w:szCs w:val="22"/>
        </w:rPr>
        <w:t xml:space="preserve">  </w:t>
      </w:r>
    </w:p>
    <w:p w14:paraId="38802787" w14:textId="77777777" w:rsidR="00551A5C" w:rsidRPr="003A4C05" w:rsidRDefault="00551A5C" w:rsidP="003A4C05">
      <w:pPr>
        <w:pStyle w:val="ArticleTitle"/>
        <w:spacing w:after="0" w:line="360" w:lineRule="auto"/>
        <w:rPr>
          <w:rFonts w:ascii="Arial" w:hAnsi="Arial" w:cs="Arial"/>
          <w:bCs/>
          <w:sz w:val="22"/>
          <w:szCs w:val="22"/>
        </w:rPr>
      </w:pPr>
    </w:p>
    <w:p w14:paraId="0334C6CA" w14:textId="42DECB84" w:rsidR="003A4C05" w:rsidRDefault="003A4C05" w:rsidP="00551A5C">
      <w:pPr>
        <w:pStyle w:val="ArticleTitle"/>
        <w:spacing w:after="0" w:line="360" w:lineRule="auto"/>
        <w:ind w:firstLine="720"/>
        <w:rPr>
          <w:rFonts w:ascii="Arial" w:hAnsi="Arial" w:cs="Arial"/>
          <w:bCs/>
          <w:sz w:val="22"/>
          <w:szCs w:val="22"/>
        </w:rPr>
      </w:pPr>
      <w:r w:rsidRPr="003A4C05">
        <w:rPr>
          <w:rFonts w:ascii="Arial" w:hAnsi="Arial" w:cs="Arial"/>
          <w:bCs/>
          <w:sz w:val="22"/>
          <w:szCs w:val="22"/>
        </w:rPr>
        <w:t>In the novel</w:t>
      </w:r>
      <w:r w:rsidR="00141E94">
        <w:rPr>
          <w:rFonts w:ascii="Arial" w:hAnsi="Arial" w:cs="Arial"/>
          <w:bCs/>
          <w:sz w:val="22"/>
          <w:szCs w:val="22"/>
        </w:rPr>
        <w:t>,</w:t>
      </w:r>
      <w:r w:rsidRPr="003A4C05">
        <w:rPr>
          <w:rFonts w:ascii="Arial" w:hAnsi="Arial" w:cs="Arial"/>
          <w:bCs/>
          <w:sz w:val="22"/>
          <w:szCs w:val="22"/>
        </w:rPr>
        <w:t xml:space="preserve"> we join Helen and Tom whilst they were in the waiting room of the counselling centre.</w:t>
      </w:r>
      <w:r w:rsidRPr="003A4C05">
        <w:rPr>
          <w:rFonts w:ascii="Arial" w:hAnsi="Arial" w:cs="Arial"/>
          <w:bCs/>
          <w:sz w:val="22"/>
          <w:szCs w:val="22"/>
          <w:vertAlign w:val="superscript"/>
        </w:rPr>
        <w:footnoteReference w:id="88"/>
      </w:r>
      <w:r w:rsidRPr="003A4C05">
        <w:rPr>
          <w:rFonts w:ascii="Arial" w:hAnsi="Arial" w:cs="Arial"/>
          <w:bCs/>
          <w:sz w:val="22"/>
          <w:szCs w:val="22"/>
        </w:rPr>
        <w:t xml:space="preserve"> The counsellor comments on Helen’s well-paid job as a teacher in the post curfew world where traditionally female dominated professions are valued. We see them discussing the division of domestic labour and Tom’s aspirations to get a better job when he is living in Helen’s flat.</w:t>
      </w:r>
      <w:r w:rsidRPr="003A4C05">
        <w:rPr>
          <w:rFonts w:ascii="Arial" w:hAnsi="Arial" w:cs="Arial"/>
          <w:bCs/>
          <w:sz w:val="22"/>
          <w:szCs w:val="22"/>
          <w:vertAlign w:val="superscript"/>
        </w:rPr>
        <w:footnoteReference w:id="89"/>
      </w:r>
      <w:r w:rsidRPr="003A4C05">
        <w:rPr>
          <w:rFonts w:ascii="Arial" w:hAnsi="Arial" w:cs="Arial"/>
          <w:bCs/>
          <w:sz w:val="22"/>
          <w:szCs w:val="22"/>
        </w:rPr>
        <w:t xml:space="preserve"> In the final counselling session,</w:t>
      </w:r>
      <w:r w:rsidRPr="003A4C05">
        <w:rPr>
          <w:rFonts w:ascii="Arial" w:hAnsi="Arial" w:cs="Arial"/>
          <w:bCs/>
          <w:sz w:val="22"/>
          <w:szCs w:val="22"/>
          <w:vertAlign w:val="superscript"/>
        </w:rPr>
        <w:footnoteReference w:id="90"/>
      </w:r>
      <w:r w:rsidRPr="003A4C05">
        <w:rPr>
          <w:rFonts w:ascii="Arial" w:hAnsi="Arial" w:cs="Arial"/>
          <w:bCs/>
          <w:sz w:val="22"/>
          <w:szCs w:val="22"/>
        </w:rPr>
        <w:t xml:space="preserve"> the discussion turns to the timescales for having a baby and we discover a wide disparity in what Helen wants (she has already stopped contraception) and what Tom says he wants (to wait at least two years). Helen is already feeling that the counselling is an unnecessary barrier to achieving what she wants. After 12 weeks: ‘she wanted to tell Dr Fearne [the counsellor] that their relationship was none of her business and she should just bloody well give them the certificate…it irritated her that </w:t>
      </w:r>
      <w:r w:rsidRPr="003A4C05">
        <w:rPr>
          <w:rFonts w:ascii="Arial" w:hAnsi="Arial" w:cs="Arial"/>
          <w:bCs/>
          <w:sz w:val="22"/>
          <w:szCs w:val="22"/>
        </w:rPr>
        <w:lastRenderedPageBreak/>
        <w:t>they had to go through this performance just to be allowed to live together…She felt, deep down, that what was really being assessed was her ability to pick a suitable partner’.</w:t>
      </w:r>
      <w:r w:rsidRPr="003A4C05">
        <w:rPr>
          <w:rFonts w:ascii="Arial" w:hAnsi="Arial" w:cs="Arial"/>
          <w:bCs/>
          <w:sz w:val="22"/>
          <w:szCs w:val="22"/>
          <w:vertAlign w:val="superscript"/>
        </w:rPr>
        <w:footnoteReference w:id="91"/>
      </w:r>
      <w:r w:rsidRPr="003A4C05">
        <w:rPr>
          <w:rFonts w:ascii="Arial" w:hAnsi="Arial" w:cs="Arial"/>
          <w:bCs/>
          <w:sz w:val="22"/>
          <w:szCs w:val="22"/>
        </w:rPr>
        <w:t xml:space="preserve"> When the counsellor leaves the room Tom shows Helen that he regards the whole process as a performance: ‘It’s not like we have to tell her the truth’.</w:t>
      </w:r>
      <w:r w:rsidRPr="003A4C05">
        <w:rPr>
          <w:rFonts w:ascii="Arial" w:hAnsi="Arial" w:cs="Arial"/>
          <w:bCs/>
          <w:sz w:val="22"/>
          <w:szCs w:val="22"/>
          <w:vertAlign w:val="superscript"/>
        </w:rPr>
        <w:footnoteReference w:id="92"/>
      </w:r>
      <w:r w:rsidRPr="003A4C05">
        <w:rPr>
          <w:rFonts w:ascii="Arial" w:hAnsi="Arial" w:cs="Arial"/>
          <w:bCs/>
          <w:sz w:val="22"/>
          <w:szCs w:val="22"/>
        </w:rPr>
        <w:t xml:space="preserve"> He tells Helen to ‘get a grip’ and we are told she is shocked and sees ‘something cold’ in his gaze that she has not noticed before. Yet when the counsellor returns his performance of being a ‘charming, smiling man’ resumes. Helen begins to doubt her experience but in her private exchange with the counsellor she tries to convince her that Tom: ‘wants what is right for us. He’s the sensible one’. The counsellor says that her impression is the other way around and she is keen for the sessions to continue, but Helen wants the cohabitation certificate straightaway. We are given the impression that it is issued somewhat reluctantly.</w:t>
      </w:r>
      <w:r w:rsidRPr="003A4C05">
        <w:rPr>
          <w:rFonts w:ascii="Arial" w:hAnsi="Arial" w:cs="Arial"/>
          <w:bCs/>
          <w:sz w:val="22"/>
          <w:szCs w:val="22"/>
          <w:vertAlign w:val="superscript"/>
        </w:rPr>
        <w:footnoteReference w:id="93"/>
      </w:r>
      <w:r w:rsidRPr="003A4C05">
        <w:rPr>
          <w:rFonts w:ascii="Arial" w:hAnsi="Arial" w:cs="Arial"/>
          <w:bCs/>
          <w:sz w:val="22"/>
          <w:szCs w:val="22"/>
        </w:rPr>
        <w:t xml:space="preserve"> </w:t>
      </w:r>
    </w:p>
    <w:p w14:paraId="528EFDF8" w14:textId="77777777" w:rsidR="009B0B51" w:rsidRPr="003A4C05" w:rsidRDefault="009B0B51" w:rsidP="00551A5C">
      <w:pPr>
        <w:pStyle w:val="ArticleTitle"/>
        <w:spacing w:after="0" w:line="360" w:lineRule="auto"/>
        <w:ind w:firstLine="720"/>
        <w:rPr>
          <w:rFonts w:ascii="Arial" w:hAnsi="Arial" w:cs="Arial"/>
          <w:bCs/>
          <w:sz w:val="22"/>
          <w:szCs w:val="22"/>
        </w:rPr>
      </w:pPr>
    </w:p>
    <w:p w14:paraId="1ABAD3FB" w14:textId="77777777" w:rsidR="003A4C05" w:rsidRDefault="003A4C05" w:rsidP="009B0B51">
      <w:pPr>
        <w:pStyle w:val="ArticleTitle"/>
        <w:spacing w:after="0" w:line="360" w:lineRule="auto"/>
        <w:ind w:firstLine="720"/>
        <w:rPr>
          <w:rFonts w:ascii="Arial" w:hAnsi="Arial" w:cs="Arial"/>
          <w:bCs/>
          <w:sz w:val="22"/>
          <w:szCs w:val="22"/>
        </w:rPr>
      </w:pPr>
      <w:r w:rsidRPr="003A4C05">
        <w:rPr>
          <w:rFonts w:ascii="Arial" w:hAnsi="Arial" w:cs="Arial"/>
          <w:bCs/>
          <w:sz w:val="22"/>
          <w:szCs w:val="22"/>
        </w:rPr>
        <w:t>What could have been done to stop Tom killing Helen, as he does after they move in together?  It is worth dwelling on the detail of the cohabitation counselling because the narrative suggests that even when victims know about the warning signs before moving forward in the relationship these are unlikely to be effective in stopping them. Mabel and others have seen through the façade of the charming man but even when Helen herself sees things she does not like she dismisses them. Tom is ‘gaslighting’</w:t>
      </w:r>
      <w:r w:rsidRPr="003A4C05">
        <w:rPr>
          <w:rFonts w:ascii="Arial" w:hAnsi="Arial" w:cs="Arial"/>
          <w:bCs/>
          <w:sz w:val="22"/>
          <w:szCs w:val="22"/>
          <w:vertAlign w:val="superscript"/>
        </w:rPr>
        <w:footnoteReference w:id="94"/>
      </w:r>
      <w:r w:rsidRPr="003A4C05">
        <w:rPr>
          <w:rFonts w:ascii="Arial" w:hAnsi="Arial" w:cs="Arial"/>
          <w:bCs/>
          <w:sz w:val="22"/>
          <w:szCs w:val="22"/>
        </w:rPr>
        <w:t xml:space="preserve"> her and making her question what she has seen. The ‘private’ man is not the ‘public’ man and the counsellor is unable to conclude that Helen is ‘at risk’. Reading this passage of </w:t>
      </w:r>
      <w:r w:rsidRPr="003A4C05">
        <w:rPr>
          <w:rFonts w:ascii="Arial" w:hAnsi="Arial" w:cs="Arial"/>
          <w:bCs/>
          <w:i/>
          <w:iCs/>
          <w:sz w:val="22"/>
          <w:szCs w:val="22"/>
        </w:rPr>
        <w:t>After Dark</w:t>
      </w:r>
      <w:r w:rsidRPr="003A4C05">
        <w:rPr>
          <w:rFonts w:ascii="Arial" w:hAnsi="Arial" w:cs="Arial"/>
          <w:bCs/>
          <w:sz w:val="22"/>
          <w:szCs w:val="22"/>
        </w:rPr>
        <w:t xml:space="preserve"> there are obvious parallels with domestic violence disclosure schemes (DVDS) that are being implemented in many jurisdictions. The schemes are designed to give potential victims of domestic abuse the information that they need to make informed decisions about keeping themselves safe. But what message do they convey about who is to blame and who is responsible if things go wrong? Like cohabitation contracts, are they just another way of saying ‘she should have picked a better man?’</w:t>
      </w:r>
    </w:p>
    <w:p w14:paraId="74F0A26B" w14:textId="77777777" w:rsidR="005646D2" w:rsidRPr="003A4C05" w:rsidRDefault="005646D2" w:rsidP="009B0B51">
      <w:pPr>
        <w:pStyle w:val="ArticleTitle"/>
        <w:spacing w:after="0" w:line="360" w:lineRule="auto"/>
        <w:ind w:firstLine="720"/>
        <w:rPr>
          <w:rFonts w:ascii="Arial" w:hAnsi="Arial" w:cs="Arial"/>
          <w:b/>
          <w:i/>
          <w:iCs/>
          <w:sz w:val="22"/>
          <w:szCs w:val="22"/>
        </w:rPr>
      </w:pPr>
    </w:p>
    <w:p w14:paraId="0C62F831" w14:textId="5FE45E20" w:rsidR="003A4C05" w:rsidRPr="005646D2" w:rsidRDefault="003A4C05" w:rsidP="003A4C05">
      <w:pPr>
        <w:pStyle w:val="ArticleTitle"/>
        <w:spacing w:after="0" w:line="360" w:lineRule="auto"/>
        <w:rPr>
          <w:rFonts w:ascii="Arial" w:hAnsi="Arial" w:cs="Arial"/>
          <w:b/>
          <w:i/>
          <w:iCs/>
          <w:sz w:val="22"/>
          <w:szCs w:val="22"/>
        </w:rPr>
      </w:pPr>
      <w:r w:rsidRPr="003A4C05">
        <w:rPr>
          <w:rFonts w:ascii="Arial" w:hAnsi="Arial" w:cs="Arial"/>
          <w:b/>
          <w:i/>
          <w:iCs/>
          <w:sz w:val="22"/>
          <w:szCs w:val="22"/>
        </w:rPr>
        <w:t xml:space="preserve">Domestic </w:t>
      </w:r>
      <w:r w:rsidR="005646D2" w:rsidRPr="005646D2">
        <w:rPr>
          <w:rFonts w:ascii="Arial" w:hAnsi="Arial" w:cs="Arial"/>
          <w:b/>
          <w:i/>
          <w:iCs/>
          <w:sz w:val="22"/>
          <w:szCs w:val="22"/>
        </w:rPr>
        <w:t>V</w:t>
      </w:r>
      <w:r w:rsidRPr="003A4C05">
        <w:rPr>
          <w:rFonts w:ascii="Arial" w:hAnsi="Arial" w:cs="Arial"/>
          <w:b/>
          <w:i/>
          <w:iCs/>
          <w:sz w:val="22"/>
          <w:szCs w:val="22"/>
        </w:rPr>
        <w:t xml:space="preserve">iolence </w:t>
      </w:r>
      <w:r w:rsidR="005646D2" w:rsidRPr="005646D2">
        <w:rPr>
          <w:rFonts w:ascii="Arial" w:hAnsi="Arial" w:cs="Arial"/>
          <w:b/>
          <w:i/>
          <w:iCs/>
          <w:sz w:val="22"/>
          <w:szCs w:val="22"/>
        </w:rPr>
        <w:t>D</w:t>
      </w:r>
      <w:r w:rsidRPr="003A4C05">
        <w:rPr>
          <w:rFonts w:ascii="Arial" w:hAnsi="Arial" w:cs="Arial"/>
          <w:b/>
          <w:i/>
          <w:iCs/>
          <w:sz w:val="22"/>
          <w:szCs w:val="22"/>
        </w:rPr>
        <w:t xml:space="preserve">isclosure </w:t>
      </w:r>
      <w:r w:rsidR="005646D2" w:rsidRPr="005646D2">
        <w:rPr>
          <w:rFonts w:ascii="Arial" w:hAnsi="Arial" w:cs="Arial"/>
          <w:b/>
          <w:i/>
          <w:iCs/>
          <w:sz w:val="22"/>
          <w:szCs w:val="22"/>
        </w:rPr>
        <w:t>S</w:t>
      </w:r>
      <w:r w:rsidRPr="003A4C05">
        <w:rPr>
          <w:rFonts w:ascii="Arial" w:hAnsi="Arial" w:cs="Arial"/>
          <w:b/>
          <w:i/>
          <w:iCs/>
          <w:sz w:val="22"/>
          <w:szCs w:val="22"/>
        </w:rPr>
        <w:t xml:space="preserve">chemes and </w:t>
      </w:r>
      <w:r w:rsidR="005646D2" w:rsidRPr="005646D2">
        <w:rPr>
          <w:rFonts w:ascii="Arial" w:hAnsi="Arial" w:cs="Arial"/>
          <w:b/>
          <w:i/>
          <w:iCs/>
          <w:sz w:val="22"/>
          <w:szCs w:val="22"/>
        </w:rPr>
        <w:t>R</w:t>
      </w:r>
      <w:r w:rsidRPr="003A4C05">
        <w:rPr>
          <w:rFonts w:ascii="Arial" w:hAnsi="Arial" w:cs="Arial"/>
          <w:b/>
          <w:i/>
          <w:iCs/>
          <w:sz w:val="22"/>
          <w:szCs w:val="22"/>
        </w:rPr>
        <w:t>esponsibilisation</w:t>
      </w:r>
    </w:p>
    <w:p w14:paraId="1708A948" w14:textId="77777777" w:rsidR="005646D2" w:rsidRPr="003A4C05" w:rsidRDefault="005646D2" w:rsidP="003A4C05">
      <w:pPr>
        <w:pStyle w:val="ArticleTitle"/>
        <w:spacing w:after="0" w:line="360" w:lineRule="auto"/>
        <w:rPr>
          <w:rFonts w:ascii="Arial" w:hAnsi="Arial" w:cs="Arial"/>
          <w:bCs/>
          <w:sz w:val="22"/>
          <w:szCs w:val="22"/>
          <w:u w:val="single"/>
        </w:rPr>
      </w:pPr>
    </w:p>
    <w:p w14:paraId="4BD8162A" w14:textId="77777777" w:rsidR="003A4C05" w:rsidRDefault="003A4C05" w:rsidP="003A4C05">
      <w:pPr>
        <w:pStyle w:val="ArticleTitle"/>
        <w:spacing w:after="0" w:line="360" w:lineRule="auto"/>
        <w:rPr>
          <w:rFonts w:ascii="Arial" w:hAnsi="Arial" w:cs="Arial"/>
          <w:bCs/>
          <w:sz w:val="22"/>
          <w:szCs w:val="22"/>
        </w:rPr>
      </w:pPr>
      <w:r w:rsidRPr="003A4C05">
        <w:rPr>
          <w:rFonts w:ascii="Arial" w:hAnsi="Arial" w:cs="Arial"/>
          <w:bCs/>
          <w:sz w:val="22"/>
          <w:szCs w:val="22"/>
        </w:rPr>
        <w:t xml:space="preserve">A domestic violence disclosure scheme was introduced in England and Wales in March 2014. It was introduced following the killing of Clare Wood in 2009 by her ex-partner George Appleton. Appleton had been abusive to Clare during their relationship and, as is typical, his abuse escalated at separation. Appleton was known to the police as he had previous </w:t>
      </w:r>
      <w:r w:rsidRPr="003A4C05">
        <w:rPr>
          <w:rFonts w:ascii="Arial" w:hAnsi="Arial" w:cs="Arial"/>
          <w:bCs/>
          <w:sz w:val="22"/>
          <w:szCs w:val="22"/>
        </w:rPr>
        <w:lastRenderedPageBreak/>
        <w:t>convictions and a custodial sentence related to domestic abuse. The coroner’s inquiry into Clare Wood’s death recommended consideration be given to setting up a DVDS so that people could find out whether the person they were in a relationship with had a previous history of domestic violence. It was the coroner’s view that informing women of previous convictions for domestic abuse related offending would enable them to make an ‘informed choice’ regarding their own safety. Clare’s father also campaigned relentlessly for a DVDS. The scheme was introduced despite some reservations raised by third sector agencies regarding its likely efficacy.</w:t>
      </w:r>
      <w:r w:rsidRPr="003A4C05">
        <w:rPr>
          <w:rFonts w:ascii="Arial" w:hAnsi="Arial" w:cs="Arial"/>
          <w:bCs/>
          <w:sz w:val="22"/>
          <w:szCs w:val="22"/>
          <w:vertAlign w:val="superscript"/>
        </w:rPr>
        <w:footnoteReference w:id="95"/>
      </w:r>
      <w:r w:rsidRPr="003A4C05">
        <w:rPr>
          <w:rFonts w:ascii="Arial" w:hAnsi="Arial" w:cs="Arial"/>
          <w:bCs/>
          <w:sz w:val="22"/>
          <w:szCs w:val="22"/>
        </w:rPr>
        <w:t xml:space="preserve"> </w:t>
      </w:r>
    </w:p>
    <w:p w14:paraId="7594AC15" w14:textId="77777777" w:rsidR="00AC6157" w:rsidRPr="003A4C05" w:rsidRDefault="00AC6157" w:rsidP="003A4C05">
      <w:pPr>
        <w:pStyle w:val="ArticleTitle"/>
        <w:spacing w:after="0" w:line="360" w:lineRule="auto"/>
        <w:rPr>
          <w:rFonts w:ascii="Arial" w:hAnsi="Arial" w:cs="Arial"/>
          <w:bCs/>
          <w:sz w:val="22"/>
          <w:szCs w:val="22"/>
        </w:rPr>
      </w:pPr>
    </w:p>
    <w:p w14:paraId="3BD72319" w14:textId="051D91C9" w:rsidR="003A4C05" w:rsidRDefault="003A4C05" w:rsidP="00AC6157">
      <w:pPr>
        <w:pStyle w:val="ArticleTitle"/>
        <w:spacing w:after="0" w:line="360" w:lineRule="auto"/>
        <w:ind w:firstLine="720"/>
        <w:rPr>
          <w:rFonts w:ascii="Arial" w:hAnsi="Arial" w:cs="Arial"/>
          <w:bCs/>
          <w:sz w:val="22"/>
          <w:szCs w:val="22"/>
        </w:rPr>
      </w:pPr>
      <w:r w:rsidRPr="003A4C05">
        <w:rPr>
          <w:rFonts w:ascii="Arial" w:hAnsi="Arial" w:cs="Arial"/>
          <w:bCs/>
          <w:sz w:val="22"/>
          <w:szCs w:val="22"/>
        </w:rPr>
        <w:t>The introduction of the scheme led to some debate about whether the human rights of victims and potential victims of domestic abuse were being adequately balanced against those of perpetrators of domestic abuse.</w:t>
      </w:r>
      <w:r w:rsidRPr="003A4C05">
        <w:rPr>
          <w:rFonts w:ascii="Arial" w:hAnsi="Arial" w:cs="Arial"/>
          <w:bCs/>
          <w:sz w:val="22"/>
          <w:szCs w:val="22"/>
          <w:vertAlign w:val="superscript"/>
        </w:rPr>
        <w:footnoteReference w:id="96"/>
      </w:r>
      <w:r w:rsidRPr="003A4C05">
        <w:rPr>
          <w:rFonts w:ascii="Arial" w:hAnsi="Arial" w:cs="Arial"/>
          <w:bCs/>
          <w:sz w:val="22"/>
          <w:szCs w:val="22"/>
        </w:rPr>
        <w:t xml:space="preserve"> Achieving balance is difficult but principled weighting of rights is possible with human rights instruments such as the </w:t>
      </w:r>
      <w:r w:rsidR="00603425">
        <w:rPr>
          <w:rFonts w:ascii="Arial" w:hAnsi="Arial" w:cs="Arial"/>
          <w:bCs/>
          <w:sz w:val="22"/>
          <w:szCs w:val="22"/>
        </w:rPr>
        <w:t>European Convention on Human Rights (</w:t>
      </w:r>
      <w:r w:rsidRPr="003A4C05">
        <w:rPr>
          <w:rFonts w:ascii="Arial" w:hAnsi="Arial" w:cs="Arial"/>
          <w:bCs/>
          <w:sz w:val="22"/>
          <w:szCs w:val="22"/>
        </w:rPr>
        <w:t>ECHR</w:t>
      </w:r>
      <w:r w:rsidR="00603425">
        <w:rPr>
          <w:rFonts w:ascii="Arial" w:hAnsi="Arial" w:cs="Arial"/>
          <w:bCs/>
          <w:sz w:val="22"/>
          <w:szCs w:val="22"/>
        </w:rPr>
        <w:t>)</w:t>
      </w:r>
      <w:r w:rsidRPr="003A4C05">
        <w:rPr>
          <w:rFonts w:ascii="Arial" w:hAnsi="Arial" w:cs="Arial"/>
          <w:bCs/>
          <w:sz w:val="22"/>
          <w:szCs w:val="22"/>
        </w:rPr>
        <w:t>.</w:t>
      </w:r>
      <w:r w:rsidRPr="003A4C05">
        <w:rPr>
          <w:rFonts w:ascii="Arial" w:hAnsi="Arial" w:cs="Arial"/>
          <w:bCs/>
          <w:sz w:val="22"/>
          <w:szCs w:val="22"/>
          <w:vertAlign w:val="superscript"/>
        </w:rPr>
        <w:footnoteReference w:id="97"/>
      </w:r>
      <w:r w:rsidRPr="003A4C05">
        <w:rPr>
          <w:rFonts w:ascii="Arial" w:hAnsi="Arial" w:cs="Arial"/>
          <w:bCs/>
          <w:sz w:val="22"/>
          <w:szCs w:val="22"/>
        </w:rPr>
        <w:t xml:space="preserve"> The human rights of victims of domestic abuse to be free from inhuman and degrading treatment (which includes domestic abuse), have greater weighting than the privacy rights of perpetrators of VAWG.</w:t>
      </w:r>
      <w:r w:rsidRPr="003A4C05">
        <w:rPr>
          <w:rFonts w:ascii="Arial" w:hAnsi="Arial" w:cs="Arial"/>
          <w:bCs/>
          <w:sz w:val="22"/>
          <w:szCs w:val="22"/>
          <w:vertAlign w:val="superscript"/>
        </w:rPr>
        <w:footnoteReference w:id="98"/>
      </w:r>
      <w:r w:rsidRPr="003A4C05">
        <w:rPr>
          <w:rFonts w:ascii="Arial" w:hAnsi="Arial" w:cs="Arial"/>
          <w:bCs/>
          <w:sz w:val="22"/>
          <w:szCs w:val="22"/>
        </w:rPr>
        <w:t xml:space="preserve"> This is discussed elsewhere in this collection by Jonathan Herring who argues for the right to a curfew</w:t>
      </w:r>
      <w:r w:rsidR="0051551D">
        <w:rPr>
          <w:rFonts w:ascii="Arial" w:hAnsi="Arial" w:cs="Arial"/>
          <w:bCs/>
          <w:sz w:val="22"/>
          <w:szCs w:val="22"/>
        </w:rPr>
        <w:t>,</w:t>
      </w:r>
      <w:r w:rsidRPr="003A4C05">
        <w:rPr>
          <w:rFonts w:ascii="Arial" w:hAnsi="Arial" w:cs="Arial"/>
          <w:bCs/>
          <w:sz w:val="22"/>
          <w:szCs w:val="22"/>
        </w:rPr>
        <w:t xml:space="preserve"> as proposed by Cowie. There is no doubt that despite the plethora of guarantees surrounding personal information, the police also have a duty to protect where a person is at risk of serious life-threatening violence, and infringe human rights if they fail in their positive obligations to do so.</w:t>
      </w:r>
      <w:r w:rsidRPr="003A4C05">
        <w:rPr>
          <w:rFonts w:ascii="Arial" w:hAnsi="Arial" w:cs="Arial"/>
          <w:bCs/>
          <w:sz w:val="22"/>
          <w:szCs w:val="22"/>
          <w:vertAlign w:val="superscript"/>
        </w:rPr>
        <w:footnoteReference w:id="99"/>
      </w:r>
      <w:r w:rsidRPr="003A4C05">
        <w:rPr>
          <w:rFonts w:ascii="Arial" w:hAnsi="Arial" w:cs="Arial"/>
          <w:bCs/>
          <w:sz w:val="22"/>
          <w:szCs w:val="22"/>
        </w:rPr>
        <w:t xml:space="preserve"> </w:t>
      </w:r>
    </w:p>
    <w:p w14:paraId="3C23C31B" w14:textId="77777777" w:rsidR="00603425" w:rsidRPr="003A4C05" w:rsidRDefault="00603425" w:rsidP="00AC6157">
      <w:pPr>
        <w:pStyle w:val="ArticleTitle"/>
        <w:spacing w:after="0" w:line="360" w:lineRule="auto"/>
        <w:ind w:firstLine="720"/>
        <w:rPr>
          <w:rFonts w:ascii="Arial" w:hAnsi="Arial" w:cs="Arial"/>
          <w:bCs/>
          <w:sz w:val="22"/>
          <w:szCs w:val="22"/>
        </w:rPr>
      </w:pPr>
    </w:p>
    <w:p w14:paraId="476A47C1" w14:textId="063ADA60" w:rsidR="003A4C05" w:rsidRDefault="003A4C05" w:rsidP="00603425">
      <w:pPr>
        <w:pStyle w:val="ArticleTitle"/>
        <w:spacing w:after="0" w:line="360" w:lineRule="auto"/>
        <w:ind w:firstLine="720"/>
        <w:rPr>
          <w:rFonts w:ascii="Arial" w:hAnsi="Arial" w:cs="Arial"/>
          <w:bCs/>
          <w:sz w:val="22"/>
          <w:szCs w:val="22"/>
        </w:rPr>
      </w:pPr>
      <w:r w:rsidRPr="003A4C05">
        <w:rPr>
          <w:rFonts w:ascii="Arial" w:hAnsi="Arial" w:cs="Arial"/>
          <w:bCs/>
          <w:sz w:val="22"/>
          <w:szCs w:val="22"/>
        </w:rPr>
        <w:t>When the DVDS was first introduced in England and Wales it had no statutory basis and relied on the common law powers that the police have to disclose information for public protection and crime prevention. However, it has since been put on a statutory footing by the Domestic Abuse Act 2021.</w:t>
      </w:r>
      <w:r w:rsidRPr="003A4C05">
        <w:rPr>
          <w:rFonts w:ascii="Arial" w:hAnsi="Arial" w:cs="Arial"/>
          <w:bCs/>
          <w:sz w:val="22"/>
          <w:szCs w:val="22"/>
          <w:vertAlign w:val="superscript"/>
        </w:rPr>
        <w:footnoteReference w:id="100"/>
      </w:r>
      <w:r w:rsidRPr="003A4C05">
        <w:rPr>
          <w:rFonts w:ascii="Arial" w:hAnsi="Arial" w:cs="Arial"/>
          <w:bCs/>
          <w:sz w:val="22"/>
          <w:szCs w:val="22"/>
        </w:rPr>
        <w:t xml:space="preserve"> The scheme has two strands; a ‘right to ask’ and a ‘right to know’. Under the right to ask strand</w:t>
      </w:r>
      <w:r w:rsidR="0051551D">
        <w:rPr>
          <w:rFonts w:ascii="Arial" w:hAnsi="Arial" w:cs="Arial"/>
          <w:bCs/>
          <w:sz w:val="22"/>
          <w:szCs w:val="22"/>
        </w:rPr>
        <w:t>,</w:t>
      </w:r>
      <w:r w:rsidRPr="003A4C05">
        <w:rPr>
          <w:rFonts w:ascii="Arial" w:hAnsi="Arial" w:cs="Arial"/>
          <w:bCs/>
          <w:sz w:val="22"/>
          <w:szCs w:val="22"/>
        </w:rPr>
        <w:t xml:space="preserve"> a person may approach the police to find out if someone they are in a relationship with has a history of domestic abuse in the form of previous convictions. The right to know strand of the scheme allows the police to proactively disclose information </w:t>
      </w:r>
      <w:r w:rsidRPr="003A4C05">
        <w:rPr>
          <w:rFonts w:ascii="Arial" w:hAnsi="Arial" w:cs="Arial"/>
          <w:bCs/>
          <w:sz w:val="22"/>
          <w:szCs w:val="22"/>
        </w:rPr>
        <w:lastRenderedPageBreak/>
        <w:t>following a risk assessment by a Multi-Agency Risk Assessment Conference (MARAC).</w:t>
      </w:r>
      <w:r w:rsidRPr="003A4C05">
        <w:rPr>
          <w:rFonts w:ascii="Arial" w:hAnsi="Arial" w:cs="Arial"/>
          <w:bCs/>
          <w:sz w:val="22"/>
          <w:szCs w:val="22"/>
          <w:vertAlign w:val="superscript"/>
        </w:rPr>
        <w:footnoteReference w:id="101"/>
      </w:r>
      <w:r w:rsidRPr="003A4C05">
        <w:rPr>
          <w:rFonts w:ascii="Arial" w:hAnsi="Arial" w:cs="Arial"/>
          <w:bCs/>
          <w:sz w:val="22"/>
          <w:szCs w:val="22"/>
        </w:rPr>
        <w:t xml:space="preserve"> The right to ask part of the scheme has been subject to more critical analysis than the right to know. The guidance and law relating to disclosure have been scrutinised and the efficacy of this strand of the scheme in particular has been heavily critiqued.</w:t>
      </w:r>
      <w:r w:rsidRPr="003A4C05">
        <w:rPr>
          <w:rFonts w:ascii="Arial" w:hAnsi="Arial" w:cs="Arial"/>
          <w:bCs/>
          <w:sz w:val="22"/>
          <w:szCs w:val="22"/>
          <w:vertAlign w:val="superscript"/>
        </w:rPr>
        <w:footnoteReference w:id="102"/>
      </w:r>
    </w:p>
    <w:p w14:paraId="46AA16D6" w14:textId="77777777" w:rsidR="0051551D" w:rsidRPr="003A4C05" w:rsidRDefault="0051551D" w:rsidP="00603425">
      <w:pPr>
        <w:pStyle w:val="ArticleTitle"/>
        <w:spacing w:after="0" w:line="360" w:lineRule="auto"/>
        <w:ind w:firstLine="720"/>
        <w:rPr>
          <w:rFonts w:ascii="Arial" w:hAnsi="Arial" w:cs="Arial"/>
          <w:bCs/>
          <w:sz w:val="22"/>
          <w:szCs w:val="22"/>
        </w:rPr>
      </w:pPr>
    </w:p>
    <w:p w14:paraId="534F9080" w14:textId="66D1D30E" w:rsidR="003A4C05" w:rsidRDefault="003A4C05" w:rsidP="00063607">
      <w:pPr>
        <w:pStyle w:val="ArticleTitle"/>
        <w:spacing w:after="0" w:line="360" w:lineRule="auto"/>
        <w:ind w:firstLine="720"/>
        <w:rPr>
          <w:rFonts w:ascii="Arial" w:hAnsi="Arial" w:cs="Arial"/>
          <w:bCs/>
          <w:sz w:val="22"/>
          <w:szCs w:val="22"/>
        </w:rPr>
      </w:pPr>
      <w:r w:rsidRPr="003A4C05">
        <w:rPr>
          <w:rFonts w:ascii="Arial" w:hAnsi="Arial" w:cs="Arial"/>
          <w:bCs/>
          <w:sz w:val="22"/>
          <w:szCs w:val="22"/>
        </w:rPr>
        <w:t>Marian Duggan argues that the DVDS creates ‘victim hierarchies’; victims are treated differently depending on whether they are accessing the right to ask or right to know.</w:t>
      </w:r>
      <w:r w:rsidRPr="003A4C05">
        <w:rPr>
          <w:rFonts w:ascii="Arial" w:hAnsi="Arial" w:cs="Arial"/>
          <w:bCs/>
          <w:sz w:val="22"/>
          <w:szCs w:val="22"/>
          <w:vertAlign w:val="superscript"/>
        </w:rPr>
        <w:footnoteReference w:id="103"/>
      </w:r>
      <w:r w:rsidRPr="003A4C05">
        <w:rPr>
          <w:rFonts w:ascii="Arial" w:hAnsi="Arial" w:cs="Arial"/>
          <w:bCs/>
          <w:sz w:val="22"/>
          <w:szCs w:val="22"/>
        </w:rPr>
        <w:t xml:space="preserve"> Whilst the right to know is accompanied by thorough risk assessment and IDVA involvement, that advocacy and representation is lacking for victims using the right to ask. Duggan points out that in order to use the right to ask</w:t>
      </w:r>
      <w:r w:rsidR="00063607">
        <w:rPr>
          <w:rFonts w:ascii="Arial" w:hAnsi="Arial" w:cs="Arial"/>
          <w:bCs/>
          <w:sz w:val="22"/>
          <w:szCs w:val="22"/>
        </w:rPr>
        <w:t>,</w:t>
      </w:r>
      <w:r w:rsidRPr="003A4C05">
        <w:rPr>
          <w:rFonts w:ascii="Arial" w:hAnsi="Arial" w:cs="Arial"/>
          <w:bCs/>
          <w:sz w:val="22"/>
          <w:szCs w:val="22"/>
        </w:rPr>
        <w:t xml:space="preserve"> an applicant has to know about the scheme in the first place. There are limitations on when an applicant can get disclosure, which may limit the efficacy of the scheme. Research studies on the operation of DVDS in its early days suggest that there are highly variable levels of use and different approaches to its implementation across the 43 police forces in England and Wales.</w:t>
      </w:r>
      <w:r w:rsidRPr="003A4C05">
        <w:rPr>
          <w:rFonts w:ascii="Arial" w:hAnsi="Arial" w:cs="Arial"/>
          <w:bCs/>
          <w:sz w:val="22"/>
          <w:szCs w:val="22"/>
          <w:vertAlign w:val="superscript"/>
        </w:rPr>
        <w:footnoteReference w:id="104"/>
      </w:r>
      <w:r w:rsidRPr="003A4C05">
        <w:rPr>
          <w:rFonts w:ascii="Arial" w:hAnsi="Arial" w:cs="Arial"/>
          <w:bCs/>
          <w:sz w:val="22"/>
          <w:szCs w:val="22"/>
        </w:rPr>
        <w:t xml:space="preserve"> A key limitation of the scheme is the police can only disclose information that they have on record, which may be a poor reflection of the person’s risk, as most domestic abuse is not reported to the police. Even if the perpetrator has a criminal history, it may not be flagged on police records as domestic abuse related offending and so the full extent of the person’s offending may not be evident. The information that is provided by the police under the DVDS, particularly the right to ask route may be lacking depth and detail.</w:t>
      </w:r>
      <w:r w:rsidRPr="003A4C05">
        <w:rPr>
          <w:rFonts w:ascii="Arial" w:hAnsi="Arial" w:cs="Arial"/>
          <w:bCs/>
          <w:sz w:val="22"/>
          <w:szCs w:val="22"/>
          <w:vertAlign w:val="superscript"/>
        </w:rPr>
        <w:footnoteReference w:id="105"/>
      </w:r>
      <w:r w:rsidRPr="003A4C05">
        <w:rPr>
          <w:rFonts w:ascii="Arial" w:hAnsi="Arial" w:cs="Arial"/>
          <w:bCs/>
          <w:sz w:val="22"/>
          <w:szCs w:val="22"/>
        </w:rPr>
        <w:t xml:space="preserve"> It may result in a victim who has concerns about safety being falsely reassured that there is nothing to worry about and remaining in a relationship. </w:t>
      </w:r>
      <w:r w:rsidR="0074412C">
        <w:rPr>
          <w:rFonts w:ascii="Arial" w:hAnsi="Arial" w:cs="Arial"/>
          <w:bCs/>
          <w:sz w:val="22"/>
          <w:szCs w:val="22"/>
        </w:rPr>
        <w:t xml:space="preserve">Katerina </w:t>
      </w:r>
      <w:r w:rsidRPr="003A4C05">
        <w:rPr>
          <w:rFonts w:ascii="Arial" w:hAnsi="Arial" w:cs="Arial"/>
          <w:bCs/>
          <w:sz w:val="22"/>
          <w:szCs w:val="22"/>
        </w:rPr>
        <w:t xml:space="preserve">Hajimatheou and </w:t>
      </w:r>
      <w:r w:rsidR="0074412C">
        <w:rPr>
          <w:rFonts w:ascii="Arial" w:hAnsi="Arial" w:cs="Arial"/>
          <w:bCs/>
          <w:sz w:val="22"/>
          <w:szCs w:val="22"/>
        </w:rPr>
        <w:t xml:space="preserve">Jamie </w:t>
      </w:r>
      <w:r w:rsidRPr="003A4C05">
        <w:rPr>
          <w:rFonts w:ascii="Arial" w:hAnsi="Arial" w:cs="Arial"/>
          <w:bCs/>
          <w:sz w:val="22"/>
          <w:szCs w:val="22"/>
        </w:rPr>
        <w:t>Grace have documented the wide variations in the depth and usefulness of the information disclosed; some forces are ‘risk averse’ and try to minimise the use of the scheme to avoid complaints from ‘disgruntled offenders’, others are more ‘permissive’ and focused on victim centred collaboration with partner agencies.</w:t>
      </w:r>
      <w:r w:rsidRPr="003A4C05">
        <w:rPr>
          <w:rFonts w:ascii="Arial" w:hAnsi="Arial" w:cs="Arial"/>
          <w:bCs/>
          <w:sz w:val="22"/>
          <w:szCs w:val="22"/>
          <w:vertAlign w:val="superscript"/>
        </w:rPr>
        <w:footnoteReference w:id="106"/>
      </w:r>
    </w:p>
    <w:p w14:paraId="212ED9D4" w14:textId="77777777" w:rsidR="00977E92" w:rsidRPr="003A4C05" w:rsidRDefault="00977E92" w:rsidP="00063607">
      <w:pPr>
        <w:pStyle w:val="ArticleTitle"/>
        <w:spacing w:after="0" w:line="360" w:lineRule="auto"/>
        <w:ind w:firstLine="720"/>
        <w:rPr>
          <w:rFonts w:ascii="Arial" w:hAnsi="Arial" w:cs="Arial"/>
          <w:bCs/>
          <w:sz w:val="22"/>
          <w:szCs w:val="22"/>
        </w:rPr>
      </w:pPr>
    </w:p>
    <w:p w14:paraId="0CA2332B" w14:textId="77777777" w:rsidR="0074412C" w:rsidRDefault="003A4C05" w:rsidP="00AF1489">
      <w:pPr>
        <w:pStyle w:val="ArticleTitle"/>
        <w:spacing w:line="360" w:lineRule="auto"/>
        <w:ind w:firstLine="720"/>
        <w:rPr>
          <w:rFonts w:ascii="Arial" w:hAnsi="Arial" w:cs="Arial"/>
          <w:bCs/>
          <w:sz w:val="22"/>
          <w:szCs w:val="22"/>
        </w:rPr>
      </w:pPr>
      <w:r w:rsidRPr="003A4C05">
        <w:rPr>
          <w:rFonts w:ascii="Arial" w:hAnsi="Arial" w:cs="Arial"/>
          <w:bCs/>
          <w:sz w:val="22"/>
          <w:szCs w:val="22"/>
        </w:rPr>
        <w:t xml:space="preserve">A concerning feature of the DVDS is its responsibilisation of victims. It can be argued that the scheme sits within the broader culture of victim blaming that was considered above. Duggan observes: ‘the themes of responsibility and good citizenship which underpin elements of this policy are largely focused towards the victim. The onus is placed on past, present or </w:t>
      </w:r>
      <w:r w:rsidRPr="003A4C05">
        <w:rPr>
          <w:rFonts w:ascii="Arial" w:hAnsi="Arial" w:cs="Arial"/>
          <w:bCs/>
          <w:sz w:val="22"/>
          <w:szCs w:val="22"/>
        </w:rPr>
        <w:lastRenderedPageBreak/>
        <w:t>potential victims to do something about the situation they believe themselves to be in’.</w:t>
      </w:r>
      <w:r w:rsidRPr="003A4C05">
        <w:rPr>
          <w:rFonts w:ascii="Arial" w:hAnsi="Arial" w:cs="Arial"/>
          <w:bCs/>
          <w:sz w:val="22"/>
          <w:szCs w:val="22"/>
          <w:vertAlign w:val="superscript"/>
        </w:rPr>
        <w:footnoteReference w:id="107"/>
      </w:r>
      <w:r w:rsidRPr="003A4C05">
        <w:rPr>
          <w:rFonts w:ascii="Arial" w:hAnsi="Arial" w:cs="Arial"/>
          <w:bCs/>
          <w:sz w:val="22"/>
          <w:szCs w:val="22"/>
        </w:rPr>
        <w:t xml:space="preserve">  Similar concerns about by placing the burden on the victim to protect themselves (displacing state responsibility) have been raised in respect of schemes in other jurisdictions. This can result in blaming the victim if they do not request information under the DVDS or if they receive information and ‘fail’ to act on it.</w:t>
      </w:r>
      <w:r w:rsidRPr="003A4C05">
        <w:rPr>
          <w:rFonts w:ascii="Arial" w:hAnsi="Arial" w:cs="Arial"/>
          <w:bCs/>
          <w:sz w:val="22"/>
          <w:szCs w:val="22"/>
          <w:vertAlign w:val="superscript"/>
        </w:rPr>
        <w:footnoteReference w:id="108"/>
      </w:r>
      <w:r w:rsidRPr="003A4C05">
        <w:rPr>
          <w:rFonts w:ascii="Arial" w:hAnsi="Arial" w:cs="Arial"/>
          <w:bCs/>
          <w:sz w:val="22"/>
          <w:szCs w:val="22"/>
        </w:rPr>
        <w:t xml:space="preserve"> Duggan and Grace also note concerns that the scheme focuses too much on victim responsibility rather than perpetrator behaviour and accountability.</w:t>
      </w:r>
      <w:r w:rsidRPr="003A4C05">
        <w:rPr>
          <w:rFonts w:ascii="Arial" w:hAnsi="Arial" w:cs="Arial"/>
          <w:bCs/>
          <w:sz w:val="22"/>
          <w:szCs w:val="22"/>
          <w:vertAlign w:val="superscript"/>
        </w:rPr>
        <w:footnoteReference w:id="109"/>
      </w:r>
      <w:r w:rsidRPr="003A4C05">
        <w:rPr>
          <w:rFonts w:ascii="Arial" w:hAnsi="Arial" w:cs="Arial"/>
          <w:bCs/>
          <w:sz w:val="22"/>
          <w:szCs w:val="22"/>
        </w:rPr>
        <w:t xml:space="preserve"> There is potential for victims to be blamed for staying in a relationship when they have been told about a previous history of domestic abuse. Using a criminal history should be empowering rather than further disempowering for victims.</w:t>
      </w:r>
      <w:r w:rsidRPr="003A4C05">
        <w:rPr>
          <w:rFonts w:ascii="Arial" w:hAnsi="Arial" w:cs="Arial"/>
          <w:bCs/>
          <w:sz w:val="22"/>
          <w:szCs w:val="22"/>
          <w:vertAlign w:val="superscript"/>
        </w:rPr>
        <w:footnoteReference w:id="110"/>
      </w:r>
      <w:r w:rsidRPr="003A4C05">
        <w:rPr>
          <w:rFonts w:ascii="Arial" w:hAnsi="Arial" w:cs="Arial"/>
          <w:bCs/>
          <w:sz w:val="22"/>
          <w:szCs w:val="22"/>
        </w:rPr>
        <w:t xml:space="preserve"> </w:t>
      </w:r>
    </w:p>
    <w:p w14:paraId="754BCF25" w14:textId="1082208B" w:rsidR="003A4C05" w:rsidRDefault="003A4C05" w:rsidP="0074412C">
      <w:pPr>
        <w:pStyle w:val="ArticleTitle"/>
        <w:spacing w:line="360" w:lineRule="auto"/>
        <w:ind w:firstLine="720"/>
        <w:rPr>
          <w:rFonts w:ascii="Arial" w:hAnsi="Arial" w:cs="Arial"/>
          <w:bCs/>
          <w:sz w:val="22"/>
          <w:szCs w:val="22"/>
        </w:rPr>
      </w:pPr>
      <w:r w:rsidRPr="003A4C05">
        <w:rPr>
          <w:rFonts w:ascii="Arial" w:hAnsi="Arial" w:cs="Arial"/>
          <w:bCs/>
          <w:sz w:val="22"/>
          <w:szCs w:val="22"/>
        </w:rPr>
        <w:t>Whether this is how the victims experience the schemes has been explored in recent empirical research</w:t>
      </w:r>
      <w:r w:rsidR="0074412C">
        <w:rPr>
          <w:rFonts w:ascii="Arial" w:hAnsi="Arial" w:cs="Arial"/>
          <w:bCs/>
          <w:sz w:val="22"/>
          <w:szCs w:val="22"/>
        </w:rPr>
        <w:t>. Charlotte B</w:t>
      </w:r>
      <w:r w:rsidRPr="003A4C05">
        <w:rPr>
          <w:rFonts w:ascii="Arial" w:hAnsi="Arial" w:cs="Arial"/>
          <w:bCs/>
          <w:sz w:val="22"/>
          <w:szCs w:val="22"/>
        </w:rPr>
        <w:t>arlow</w:t>
      </w:r>
      <w:r w:rsidR="0074412C">
        <w:rPr>
          <w:rFonts w:ascii="Arial" w:hAnsi="Arial" w:cs="Arial"/>
          <w:bCs/>
          <w:sz w:val="22"/>
          <w:szCs w:val="22"/>
        </w:rPr>
        <w:t>, Sandra Walklate and Nicole Renehan</w:t>
      </w:r>
      <w:r w:rsidRPr="003A4C05">
        <w:rPr>
          <w:rFonts w:ascii="Arial" w:hAnsi="Arial" w:cs="Arial"/>
          <w:bCs/>
          <w:sz w:val="22"/>
          <w:szCs w:val="22"/>
        </w:rPr>
        <w:t xml:space="preserve"> situate the DVDS in the context of the responsiblisation strategy which they and others highlight has seen the State hive off responsibility for crime prevention to citizens.</w:t>
      </w:r>
      <w:r w:rsidRPr="003A4C05">
        <w:rPr>
          <w:rFonts w:ascii="Arial" w:hAnsi="Arial" w:cs="Arial"/>
          <w:bCs/>
          <w:sz w:val="22"/>
          <w:szCs w:val="22"/>
          <w:vertAlign w:val="superscript"/>
        </w:rPr>
        <w:footnoteReference w:id="111"/>
      </w:r>
      <w:r w:rsidRPr="003A4C05">
        <w:rPr>
          <w:rFonts w:ascii="Arial" w:hAnsi="Arial" w:cs="Arial"/>
          <w:bCs/>
          <w:sz w:val="22"/>
          <w:szCs w:val="22"/>
        </w:rPr>
        <w:t xml:space="preserve"> Barlow et al interviewed a sample of mainly white, heterosexual and non-disabled women to see what they thought about the DVDS.</w:t>
      </w:r>
      <w:r w:rsidRPr="003A4C05">
        <w:rPr>
          <w:rFonts w:ascii="Arial" w:hAnsi="Arial" w:cs="Arial"/>
          <w:bCs/>
          <w:sz w:val="22"/>
          <w:szCs w:val="22"/>
          <w:vertAlign w:val="superscript"/>
        </w:rPr>
        <w:footnoteReference w:id="112"/>
      </w:r>
      <w:r w:rsidRPr="003A4C05">
        <w:rPr>
          <w:rFonts w:ascii="Arial" w:hAnsi="Arial" w:cs="Arial"/>
          <w:bCs/>
          <w:sz w:val="22"/>
          <w:szCs w:val="22"/>
        </w:rPr>
        <w:t xml:space="preserve"> Some of the women knew about the scheme</w:t>
      </w:r>
      <w:r w:rsidR="005355A3">
        <w:rPr>
          <w:rFonts w:ascii="Arial" w:hAnsi="Arial" w:cs="Arial"/>
          <w:bCs/>
          <w:sz w:val="22"/>
          <w:szCs w:val="22"/>
        </w:rPr>
        <w:t>,</w:t>
      </w:r>
      <w:r w:rsidRPr="003A4C05">
        <w:rPr>
          <w:rFonts w:ascii="Arial" w:hAnsi="Arial" w:cs="Arial"/>
          <w:bCs/>
          <w:sz w:val="22"/>
          <w:szCs w:val="22"/>
        </w:rPr>
        <w:t xml:space="preserve"> had accessed it, however they mainly only did so when they were already ready to leave the relationship.  Many of the victim-survivors said that even if they had been aware of the scheme they would not necessarily have accessed it because in the early stages of the relationship the ‘triggers’ that might have prompted them were not obvious. There is often a degree of optimism at the start of a relationship. As one survivor is quoted as saying; ‘you don’t go into a relationship thinking ‘right, I best check out for domestic abuse before I get involved’’.</w:t>
      </w:r>
      <w:r w:rsidRPr="003A4C05">
        <w:rPr>
          <w:rFonts w:ascii="Arial" w:hAnsi="Arial" w:cs="Arial"/>
          <w:bCs/>
          <w:sz w:val="22"/>
          <w:szCs w:val="22"/>
          <w:vertAlign w:val="superscript"/>
        </w:rPr>
        <w:footnoteReference w:id="113"/>
      </w:r>
      <w:r w:rsidRPr="003A4C05">
        <w:rPr>
          <w:rFonts w:ascii="Arial" w:hAnsi="Arial" w:cs="Arial"/>
          <w:bCs/>
          <w:sz w:val="22"/>
          <w:szCs w:val="22"/>
        </w:rPr>
        <w:t xml:space="preserve"> Others said they were too afraid of the consequences for themselves or their children. Katerina Hadjimatheou has commented that women with children might be pressurised by social services to use the </w:t>
      </w:r>
      <w:r w:rsidRPr="003A4C05">
        <w:rPr>
          <w:rFonts w:ascii="Arial" w:hAnsi="Arial" w:cs="Arial"/>
          <w:bCs/>
          <w:sz w:val="22"/>
          <w:szCs w:val="22"/>
        </w:rPr>
        <w:lastRenderedPageBreak/>
        <w:t>scheme, and in the realm of child protection, held responsible for the consequences if they fail to do so.</w:t>
      </w:r>
      <w:r w:rsidRPr="003A4C05">
        <w:rPr>
          <w:rFonts w:ascii="Arial" w:hAnsi="Arial" w:cs="Arial"/>
          <w:bCs/>
          <w:sz w:val="22"/>
          <w:szCs w:val="22"/>
          <w:vertAlign w:val="superscript"/>
        </w:rPr>
        <w:footnoteReference w:id="114"/>
      </w:r>
      <w:r w:rsidRPr="003A4C05">
        <w:rPr>
          <w:rFonts w:ascii="Arial" w:hAnsi="Arial" w:cs="Arial"/>
          <w:bCs/>
          <w:sz w:val="22"/>
          <w:szCs w:val="22"/>
        </w:rPr>
        <w:t xml:space="preserve"> </w:t>
      </w:r>
    </w:p>
    <w:p w14:paraId="4C527FB1" w14:textId="77777777" w:rsidR="005355A3" w:rsidRPr="003A4C05" w:rsidRDefault="005355A3" w:rsidP="003A4C05">
      <w:pPr>
        <w:pStyle w:val="ArticleTitle"/>
        <w:spacing w:after="0" w:line="360" w:lineRule="auto"/>
        <w:rPr>
          <w:rFonts w:ascii="Arial" w:hAnsi="Arial" w:cs="Arial"/>
          <w:bCs/>
          <w:sz w:val="22"/>
          <w:szCs w:val="22"/>
        </w:rPr>
      </w:pPr>
    </w:p>
    <w:p w14:paraId="7856C5AF" w14:textId="7F1DAC8B" w:rsidR="003A4C05" w:rsidRDefault="003A4C05" w:rsidP="005355A3">
      <w:pPr>
        <w:pStyle w:val="ArticleTitle"/>
        <w:spacing w:after="0" w:line="360" w:lineRule="auto"/>
        <w:ind w:firstLine="720"/>
        <w:rPr>
          <w:rFonts w:ascii="Arial" w:hAnsi="Arial" w:cs="Arial"/>
          <w:bCs/>
          <w:sz w:val="22"/>
          <w:szCs w:val="22"/>
        </w:rPr>
      </w:pPr>
      <w:r w:rsidRPr="003A4C05">
        <w:rPr>
          <w:rFonts w:ascii="Arial" w:hAnsi="Arial" w:cs="Arial"/>
          <w:bCs/>
          <w:sz w:val="22"/>
          <w:szCs w:val="22"/>
        </w:rPr>
        <w:t>When women did access the scheme Barlow et al found that they were inconsistencies in information giving; some women were not given information because the police decided the relationship had already ended.</w:t>
      </w:r>
      <w:r w:rsidRPr="003A4C05">
        <w:rPr>
          <w:rFonts w:ascii="Arial" w:hAnsi="Arial" w:cs="Arial"/>
          <w:bCs/>
          <w:sz w:val="22"/>
          <w:szCs w:val="22"/>
          <w:vertAlign w:val="superscript"/>
        </w:rPr>
        <w:footnoteReference w:id="115"/>
      </w:r>
      <w:r w:rsidRPr="003A4C05">
        <w:rPr>
          <w:rFonts w:ascii="Arial" w:hAnsi="Arial" w:cs="Arial"/>
          <w:bCs/>
          <w:sz w:val="22"/>
          <w:szCs w:val="22"/>
        </w:rPr>
        <w:t xml:space="preserve"> Cases that were no further actioned, not an uncommon outcome in domestic abuse, might result in no disclosure resulting in a false picture of safety. As, victim-</w:t>
      </w:r>
      <w:r w:rsidR="00B405E0">
        <w:rPr>
          <w:rFonts w:ascii="Arial" w:hAnsi="Arial" w:cs="Arial"/>
          <w:bCs/>
          <w:sz w:val="22"/>
          <w:szCs w:val="22"/>
        </w:rPr>
        <w:t>s</w:t>
      </w:r>
      <w:r w:rsidRPr="003A4C05">
        <w:rPr>
          <w:rFonts w:ascii="Arial" w:hAnsi="Arial" w:cs="Arial"/>
          <w:bCs/>
          <w:sz w:val="22"/>
          <w:szCs w:val="22"/>
        </w:rPr>
        <w:t>urvivors interviewed by Barlow et al observed</w:t>
      </w:r>
      <w:r w:rsidR="00B405E0">
        <w:rPr>
          <w:rFonts w:ascii="Arial" w:hAnsi="Arial" w:cs="Arial"/>
          <w:bCs/>
          <w:sz w:val="22"/>
          <w:szCs w:val="22"/>
        </w:rPr>
        <w:t>,</w:t>
      </w:r>
      <w:r w:rsidRPr="003A4C05">
        <w:rPr>
          <w:rFonts w:ascii="Arial" w:hAnsi="Arial" w:cs="Arial"/>
          <w:bCs/>
          <w:sz w:val="22"/>
          <w:szCs w:val="22"/>
        </w:rPr>
        <w:t xml:space="preserve"> non-disclosure does not mean nothing to be concerned about.  Lack of follow up after disclosures were made were also raised as a concern by their interviewees; some women felt ‘left alone’ and ‘unsupported’. A key finding of Barlow et al is that some victims were only told about the DVDS once they had decided to engage with a prosecution. Barlow et al note this raises questions about who is seen as ‘deserving’ of a proactive a criminal justice response. Whatever victims decide, including to prosecute or not, they should feel safe and supported. However, some victims felt guilt at not leaving, which Barlow et al conclude this has ‘potential unintended consequences of responsibilising women who access such schemes’.</w:t>
      </w:r>
      <w:r w:rsidRPr="003A4C05">
        <w:rPr>
          <w:rFonts w:ascii="Arial" w:hAnsi="Arial" w:cs="Arial"/>
          <w:bCs/>
          <w:sz w:val="22"/>
          <w:szCs w:val="22"/>
          <w:vertAlign w:val="superscript"/>
        </w:rPr>
        <w:footnoteReference w:id="116"/>
      </w:r>
      <w:r w:rsidRPr="003A4C05">
        <w:rPr>
          <w:rFonts w:ascii="Arial" w:hAnsi="Arial" w:cs="Arial"/>
          <w:bCs/>
          <w:sz w:val="22"/>
          <w:szCs w:val="22"/>
        </w:rPr>
        <w:t xml:space="preserve"> </w:t>
      </w:r>
    </w:p>
    <w:p w14:paraId="1EE6F039" w14:textId="77777777" w:rsidR="00FC27C3" w:rsidRPr="003A4C05" w:rsidRDefault="00FC27C3" w:rsidP="005355A3">
      <w:pPr>
        <w:pStyle w:val="ArticleTitle"/>
        <w:spacing w:after="0" w:line="360" w:lineRule="auto"/>
        <w:ind w:firstLine="720"/>
        <w:rPr>
          <w:rFonts w:ascii="Arial" w:hAnsi="Arial" w:cs="Arial"/>
          <w:bCs/>
          <w:sz w:val="22"/>
          <w:szCs w:val="22"/>
        </w:rPr>
      </w:pPr>
    </w:p>
    <w:p w14:paraId="33EAC588" w14:textId="77777777" w:rsidR="003A4C05" w:rsidRDefault="003A4C05" w:rsidP="00FC27C3">
      <w:pPr>
        <w:pStyle w:val="ArticleTitle"/>
        <w:spacing w:after="0" w:line="360" w:lineRule="auto"/>
        <w:ind w:firstLine="720"/>
        <w:rPr>
          <w:rFonts w:ascii="Arial" w:hAnsi="Arial" w:cs="Arial"/>
          <w:bCs/>
          <w:sz w:val="22"/>
          <w:szCs w:val="22"/>
        </w:rPr>
      </w:pPr>
      <w:r w:rsidRPr="003A4C05">
        <w:rPr>
          <w:rFonts w:ascii="Arial" w:hAnsi="Arial" w:cs="Arial"/>
          <w:bCs/>
          <w:sz w:val="22"/>
          <w:szCs w:val="22"/>
        </w:rPr>
        <w:t>There are many reasons why women remain in abusive relationships, but women are aware they are blamed for doing so. The responses of Barlow et al’s interviewees showed that the responsibility they felt was ‘exacerbated by the DVDS process’.</w:t>
      </w:r>
      <w:r w:rsidRPr="003A4C05">
        <w:rPr>
          <w:rFonts w:ascii="Arial" w:hAnsi="Arial" w:cs="Arial"/>
          <w:bCs/>
          <w:sz w:val="22"/>
          <w:szCs w:val="22"/>
          <w:vertAlign w:val="superscript"/>
        </w:rPr>
        <w:footnoteReference w:id="117"/>
      </w:r>
      <w:r w:rsidRPr="003A4C05">
        <w:rPr>
          <w:rFonts w:ascii="Arial" w:hAnsi="Arial" w:cs="Arial"/>
          <w:bCs/>
          <w:sz w:val="22"/>
          <w:szCs w:val="22"/>
        </w:rPr>
        <w:t xml:space="preserve"> There is a perceived expectation that the victim will leave when given concerning information, but this is in the context of lack of wrap around support to do so. Barlow et al also report women feeling responsibility to warn new partners of the perpetrator about a history of domestic abuse in situations where privacy law forbids sharing information disclosed under the scheme. Some women felt a responsibility to report abuse against them so that it would be on record for the new partner under the DVDS. This pressure to share is described ‘as a significant burden to carry’.</w:t>
      </w:r>
      <w:r w:rsidRPr="003A4C05">
        <w:rPr>
          <w:rFonts w:ascii="Arial" w:hAnsi="Arial" w:cs="Arial"/>
          <w:bCs/>
          <w:sz w:val="22"/>
          <w:szCs w:val="22"/>
          <w:vertAlign w:val="superscript"/>
        </w:rPr>
        <w:footnoteReference w:id="118"/>
      </w:r>
      <w:r w:rsidRPr="003A4C05">
        <w:rPr>
          <w:rFonts w:ascii="Arial" w:hAnsi="Arial" w:cs="Arial"/>
          <w:bCs/>
          <w:sz w:val="22"/>
          <w:szCs w:val="22"/>
        </w:rPr>
        <w:t xml:space="preserve"> As Barlow et al conclude, DVDS have proliferated with little or no evidence that they meet women’s needs. Their study suggests that they might be counterproductive in making women feel blamed and responsible for not doing more to protect themselves and others. </w:t>
      </w:r>
      <w:r w:rsidRPr="003A4C05">
        <w:rPr>
          <w:rFonts w:ascii="Arial" w:hAnsi="Arial" w:cs="Arial"/>
          <w:bCs/>
          <w:sz w:val="22"/>
          <w:szCs w:val="22"/>
        </w:rPr>
        <w:lastRenderedPageBreak/>
        <w:t xml:space="preserve">They point out that the statutory guidance accompanying the Domestic Abuse Act 2021, which requires the DVDS to be accompanied by proactive referral to wrap around support, needs to be adequately resourced. This would be an important step towards addressing the current burdens that victims feel under this scheme. </w:t>
      </w:r>
    </w:p>
    <w:p w14:paraId="50A8CF18" w14:textId="77777777" w:rsidR="003A4C05" w:rsidRPr="003A4C05" w:rsidRDefault="003A4C05" w:rsidP="003A4C05">
      <w:pPr>
        <w:pStyle w:val="ArticleTitle"/>
        <w:spacing w:after="0" w:line="360" w:lineRule="auto"/>
        <w:rPr>
          <w:rFonts w:ascii="Arial" w:hAnsi="Arial" w:cs="Arial"/>
          <w:bCs/>
          <w:sz w:val="22"/>
          <w:szCs w:val="22"/>
        </w:rPr>
      </w:pPr>
    </w:p>
    <w:p w14:paraId="771D99A4" w14:textId="77777777" w:rsidR="003A4C05" w:rsidRPr="006B33B5" w:rsidRDefault="003A4C05" w:rsidP="003A4C05">
      <w:pPr>
        <w:pStyle w:val="ArticleTitle"/>
        <w:spacing w:after="0" w:line="360" w:lineRule="auto"/>
        <w:rPr>
          <w:rFonts w:ascii="Arial" w:hAnsi="Arial" w:cs="Arial"/>
          <w:b/>
          <w:i/>
          <w:iCs/>
          <w:sz w:val="22"/>
          <w:szCs w:val="22"/>
        </w:rPr>
      </w:pPr>
      <w:r w:rsidRPr="003A4C05">
        <w:rPr>
          <w:rFonts w:ascii="Arial" w:hAnsi="Arial" w:cs="Arial"/>
          <w:b/>
          <w:i/>
          <w:iCs/>
          <w:sz w:val="22"/>
          <w:szCs w:val="22"/>
        </w:rPr>
        <w:t>Conclusion</w:t>
      </w:r>
    </w:p>
    <w:p w14:paraId="59422D78" w14:textId="77777777" w:rsidR="006B33B5" w:rsidRPr="003A4C05" w:rsidRDefault="006B33B5" w:rsidP="003A4C05">
      <w:pPr>
        <w:pStyle w:val="ArticleTitle"/>
        <w:spacing w:after="0" w:line="360" w:lineRule="auto"/>
        <w:rPr>
          <w:rFonts w:ascii="Arial" w:hAnsi="Arial" w:cs="Arial"/>
          <w:bCs/>
          <w:sz w:val="22"/>
          <w:szCs w:val="22"/>
          <w:u w:val="single"/>
        </w:rPr>
      </w:pPr>
    </w:p>
    <w:p w14:paraId="459C252F" w14:textId="77777777" w:rsidR="003A4C05" w:rsidRDefault="003A4C05" w:rsidP="003A4C05">
      <w:pPr>
        <w:pStyle w:val="ArticleTitle"/>
        <w:spacing w:after="0" w:line="360" w:lineRule="auto"/>
        <w:rPr>
          <w:rFonts w:ascii="Arial" w:hAnsi="Arial" w:cs="Arial"/>
          <w:bCs/>
          <w:sz w:val="22"/>
          <w:szCs w:val="22"/>
        </w:rPr>
      </w:pPr>
      <w:r w:rsidRPr="003A4C05">
        <w:rPr>
          <w:rFonts w:ascii="Arial" w:hAnsi="Arial" w:cs="Arial"/>
          <w:bCs/>
          <w:sz w:val="22"/>
          <w:szCs w:val="22"/>
        </w:rPr>
        <w:t>There is a long tradition in legal responses to VAWG of blaming the victim for being harmed and excusing/justifying the perpetrator. Changing the culture that supports victim blaming is difficult. That is not to say there has been no change in England and Wales over the past few decades, but improving the substantive criminal law and the way it is implemented is often an incremental process with backlash and back sliding. An example of this has been discussed in this article; the sexual infidelity defence, which was seemingly abolished and then resurrected (at least in part) by the judiciary.</w:t>
      </w:r>
    </w:p>
    <w:p w14:paraId="3F244B5F" w14:textId="77777777" w:rsidR="006B33B5" w:rsidRPr="003A4C05" w:rsidRDefault="006B33B5" w:rsidP="003A4C05">
      <w:pPr>
        <w:pStyle w:val="ArticleTitle"/>
        <w:spacing w:after="0" w:line="360" w:lineRule="auto"/>
        <w:rPr>
          <w:rFonts w:ascii="Arial" w:hAnsi="Arial" w:cs="Arial"/>
          <w:bCs/>
          <w:sz w:val="22"/>
          <w:szCs w:val="22"/>
        </w:rPr>
      </w:pPr>
    </w:p>
    <w:p w14:paraId="1BCC26EA" w14:textId="5C23D1CB" w:rsidR="004324AD" w:rsidRPr="003A436E" w:rsidRDefault="003A4C05" w:rsidP="009F5293">
      <w:pPr>
        <w:pStyle w:val="ArticleTitle"/>
        <w:spacing w:after="0" w:line="360" w:lineRule="auto"/>
        <w:ind w:firstLine="720"/>
        <w:rPr>
          <w:rFonts w:ascii="Arial" w:hAnsi="Arial" w:cs="Arial"/>
        </w:rPr>
      </w:pPr>
      <w:r w:rsidRPr="003A4C05">
        <w:rPr>
          <w:rFonts w:ascii="Arial" w:hAnsi="Arial" w:cs="Arial"/>
          <w:bCs/>
          <w:sz w:val="22"/>
          <w:szCs w:val="22"/>
        </w:rPr>
        <w:t>There is a need to focus less on victim behaviour, character</w:t>
      </w:r>
      <w:r w:rsidR="006B33B5">
        <w:rPr>
          <w:rFonts w:ascii="Arial" w:hAnsi="Arial" w:cs="Arial"/>
          <w:bCs/>
          <w:sz w:val="22"/>
          <w:szCs w:val="22"/>
        </w:rPr>
        <w:t>,</w:t>
      </w:r>
      <w:r w:rsidRPr="003A4C05">
        <w:rPr>
          <w:rFonts w:ascii="Arial" w:hAnsi="Arial" w:cs="Arial"/>
          <w:bCs/>
          <w:sz w:val="22"/>
          <w:szCs w:val="22"/>
        </w:rPr>
        <w:t xml:space="preserve"> and situations, and more on what perpetrators do. Perpetrators target vulnerability and work with that to hide their offending. There is a drive in the prosecution of rape to switch police investigations to focus on the suspect early on. If successful, this would be a significant change from the current focus on the victim. However, when we are thinking about what more the legal system can do to protect victims of male violence and abuse we need to be careful about the unintended consequences of well-intentioned reform. Cowie’s cohabitation counselling and cohabitation contracts looked like an excellent idea to a plug the gap left by the curfew.  The curfew was never going to protect women from domestic abuse and homicide because the main danger to women is not ‘stranger danger’ but intimate partners in their homes. However, the cohabitation contract did not protect Helen from being killed by her cohabitee. It would be easy to look at Helen and say the warning signs were there, evident to others, she chose to ignore them. However, this would be to victim blame. It was not Helen’s responsibility to keep herself safe, Tom was responsible for killing her. We need responses to VAWG that focus on perpetrators and stop blaming victims. The research reviewed above suggests that DVDS, like cohabitation contracts, have limited potential to do that and they may just end up further victimising women. The message that these fictional and real measures send out is that women need to do their own safety work; that it is up to women to choose well and to protect themselves, and if they get it wrong, it’s their fault. This is the wrong message. The State has obligations under human rights law to make sure that the laws and the way that they are implemented protect against domestic abuse. These human rights obligations reach to providing appropriate wrap around support and adequately resourcing this. </w:t>
      </w:r>
    </w:p>
    <w:sectPr w:rsidR="004324AD" w:rsidRPr="003A436E" w:rsidSect="00870275">
      <w:headerReference w:type="default" r:id="rId8"/>
      <w:footerReference w:type="default" r:id="rId9"/>
      <w:pgSz w:w="11906" w:h="16838"/>
      <w:pgMar w:top="1440" w:right="1440" w:bottom="1440" w:left="1440" w:header="708" w:footer="708"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95308" w14:textId="77777777" w:rsidR="00170B17" w:rsidRDefault="00170B17" w:rsidP="00BC0A68">
      <w:pPr>
        <w:spacing w:after="0" w:line="240" w:lineRule="auto"/>
      </w:pPr>
      <w:r>
        <w:separator/>
      </w:r>
    </w:p>
  </w:endnote>
  <w:endnote w:type="continuationSeparator" w:id="0">
    <w:p w14:paraId="67507971" w14:textId="77777777" w:rsidR="00170B17" w:rsidRDefault="00170B17" w:rsidP="00BC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rPr>
      <w:id w:val="-970594747"/>
      <w:docPartObj>
        <w:docPartGallery w:val="Page Numbers (Bottom of Page)"/>
        <w:docPartUnique/>
      </w:docPartObj>
    </w:sdtPr>
    <w:sdtEndPr>
      <w:rPr>
        <w:noProof/>
      </w:rPr>
    </w:sdtEndPr>
    <w:sdtContent>
      <w:p w14:paraId="7DF1CEA4" w14:textId="7C94F7B6" w:rsidR="00D64846" w:rsidRPr="00BC0A68" w:rsidRDefault="00D64846">
        <w:pPr>
          <w:pStyle w:val="Footer"/>
          <w:jc w:val="right"/>
          <w:rPr>
            <w:rFonts w:ascii="Palatino Linotype" w:hAnsi="Palatino Linotype"/>
          </w:rPr>
        </w:pPr>
        <w:r w:rsidRPr="00BC0A68">
          <w:rPr>
            <w:rFonts w:ascii="Palatino Linotype" w:hAnsi="Palatino Linotype"/>
          </w:rPr>
          <w:fldChar w:fldCharType="begin"/>
        </w:r>
        <w:r w:rsidRPr="00BC0A68">
          <w:rPr>
            <w:rFonts w:ascii="Palatino Linotype" w:hAnsi="Palatino Linotype"/>
          </w:rPr>
          <w:instrText xml:space="preserve"> PAGE   \* MERGEFORMAT </w:instrText>
        </w:r>
        <w:r w:rsidRPr="00BC0A68">
          <w:rPr>
            <w:rFonts w:ascii="Palatino Linotype" w:hAnsi="Palatino Linotype"/>
          </w:rPr>
          <w:fldChar w:fldCharType="separate"/>
        </w:r>
        <w:r w:rsidR="00ED3CA5">
          <w:rPr>
            <w:rFonts w:ascii="Palatino Linotype" w:hAnsi="Palatino Linotype"/>
            <w:noProof/>
          </w:rPr>
          <w:t>27</w:t>
        </w:r>
        <w:r w:rsidRPr="00BC0A68">
          <w:rPr>
            <w:rFonts w:ascii="Palatino Linotype" w:hAnsi="Palatino Linotype"/>
            <w:noProof/>
          </w:rPr>
          <w:fldChar w:fldCharType="end"/>
        </w:r>
      </w:p>
    </w:sdtContent>
  </w:sdt>
  <w:p w14:paraId="40915F37" w14:textId="77777777" w:rsidR="00D64846" w:rsidRPr="00BC0A68" w:rsidRDefault="00D64846">
    <w:pPr>
      <w:pStyle w:val="Foo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263E3" w14:textId="77777777" w:rsidR="00170B17" w:rsidRDefault="00170B17" w:rsidP="00BC0A68">
      <w:pPr>
        <w:spacing w:after="0" w:line="240" w:lineRule="auto"/>
      </w:pPr>
      <w:r>
        <w:separator/>
      </w:r>
    </w:p>
  </w:footnote>
  <w:footnote w:type="continuationSeparator" w:id="0">
    <w:p w14:paraId="4F3117E3" w14:textId="77777777" w:rsidR="00170B17" w:rsidRDefault="00170B17" w:rsidP="00BC0A68">
      <w:pPr>
        <w:spacing w:after="0" w:line="240" w:lineRule="auto"/>
      </w:pPr>
      <w:r>
        <w:continuationSeparator/>
      </w:r>
    </w:p>
  </w:footnote>
  <w:footnote w:id="1">
    <w:p w14:paraId="60620D9B" w14:textId="06520CF0" w:rsidR="00D64846" w:rsidRPr="00EA72BF" w:rsidRDefault="00D64846" w:rsidP="003A436E">
      <w:pPr>
        <w:pStyle w:val="FootnoteText"/>
        <w:jc w:val="both"/>
        <w:rPr>
          <w:rFonts w:ascii="Arial" w:hAnsi="Arial" w:cs="Arial"/>
          <w:bCs/>
          <w:sz w:val="18"/>
          <w:szCs w:val="18"/>
        </w:rPr>
      </w:pPr>
      <w:r w:rsidRPr="00EA72BF">
        <w:rPr>
          <w:rStyle w:val="FootnoteReference"/>
          <w:rFonts w:ascii="Arial" w:hAnsi="Arial" w:cs="Arial"/>
          <w:sz w:val="18"/>
          <w:szCs w:val="18"/>
        </w:rPr>
        <w:footnoteRef/>
      </w:r>
      <w:r w:rsidRPr="00EA72BF">
        <w:rPr>
          <w:rFonts w:ascii="Arial" w:hAnsi="Arial" w:cs="Arial"/>
          <w:bCs/>
          <w:sz w:val="18"/>
          <w:szCs w:val="18"/>
        </w:rPr>
        <w:t xml:space="preserve"> </w:t>
      </w:r>
      <w:r w:rsidR="00946737" w:rsidRPr="00EA72BF">
        <w:rPr>
          <w:rFonts w:ascii="Arial" w:hAnsi="Arial" w:cs="Arial"/>
          <w:bCs/>
          <w:sz w:val="18"/>
          <w:szCs w:val="18"/>
        </w:rPr>
        <w:t>Mandy Burton,</w:t>
      </w:r>
      <w:r w:rsidRPr="00EA72BF">
        <w:rPr>
          <w:rFonts w:ascii="Arial" w:hAnsi="Arial" w:cs="Arial"/>
          <w:bCs/>
          <w:sz w:val="18"/>
          <w:szCs w:val="18"/>
        </w:rPr>
        <w:t xml:space="preserve"> University of </w:t>
      </w:r>
      <w:r w:rsidR="00042371">
        <w:rPr>
          <w:rFonts w:ascii="Arial" w:hAnsi="Arial" w:cs="Arial"/>
          <w:bCs/>
          <w:sz w:val="18"/>
          <w:szCs w:val="18"/>
        </w:rPr>
        <w:t>Leicester</w:t>
      </w:r>
      <w:r w:rsidRPr="00EA72BF">
        <w:rPr>
          <w:rFonts w:ascii="Arial" w:hAnsi="Arial" w:cs="Arial"/>
          <w:bCs/>
          <w:sz w:val="18"/>
          <w:szCs w:val="18"/>
        </w:rPr>
        <w:t>. Email:</w:t>
      </w:r>
      <w:r w:rsidRPr="00EA72BF">
        <w:rPr>
          <w:rFonts w:ascii="Arial" w:hAnsi="Arial" w:cs="Arial"/>
          <w:sz w:val="18"/>
          <w:szCs w:val="18"/>
        </w:rPr>
        <w:t xml:space="preserve"> </w:t>
      </w:r>
      <w:r w:rsidR="00042371">
        <w:rPr>
          <w:rFonts w:ascii="Arial" w:hAnsi="Arial" w:cs="Arial"/>
          <w:bCs/>
          <w:sz w:val="18"/>
          <w:szCs w:val="18"/>
        </w:rPr>
        <w:t>mandy.burton@leicester.ac.uk</w:t>
      </w:r>
    </w:p>
    <w:p w14:paraId="73768793" w14:textId="2A8B4F11" w:rsidR="00D64846" w:rsidRPr="00EA72BF" w:rsidRDefault="00D64846" w:rsidP="003A436E">
      <w:pPr>
        <w:pStyle w:val="FootnoteText"/>
        <w:jc w:val="both"/>
        <w:rPr>
          <w:rFonts w:ascii="Arial" w:hAnsi="Arial" w:cs="Arial"/>
          <w:sz w:val="18"/>
          <w:szCs w:val="18"/>
        </w:rPr>
      </w:pPr>
      <w:r w:rsidRPr="00EA72BF">
        <w:rPr>
          <w:rFonts w:ascii="Arial" w:hAnsi="Arial" w:cs="Arial"/>
          <w:sz w:val="18"/>
          <w:szCs w:val="18"/>
        </w:rPr>
        <w:t xml:space="preserve">Citation Format: </w:t>
      </w:r>
      <w:r w:rsidR="00946737" w:rsidRPr="00EA72BF">
        <w:rPr>
          <w:rFonts w:ascii="Arial" w:hAnsi="Arial" w:cs="Arial"/>
          <w:sz w:val="18"/>
          <w:szCs w:val="18"/>
        </w:rPr>
        <w:t>Burton, M</w:t>
      </w:r>
      <w:r w:rsidR="00AC599D">
        <w:rPr>
          <w:rFonts w:ascii="Arial" w:hAnsi="Arial" w:cs="Arial"/>
          <w:sz w:val="18"/>
          <w:szCs w:val="18"/>
        </w:rPr>
        <w:t>,</w:t>
      </w:r>
      <w:r w:rsidRPr="00EA72BF">
        <w:rPr>
          <w:rFonts w:ascii="Arial" w:hAnsi="Arial" w:cs="Arial"/>
          <w:sz w:val="18"/>
          <w:szCs w:val="18"/>
        </w:rPr>
        <w:t xml:space="preserve"> ‘</w:t>
      </w:r>
      <w:r w:rsidR="00946737" w:rsidRPr="00EA72BF">
        <w:rPr>
          <w:rFonts w:ascii="Arial" w:hAnsi="Arial" w:cs="Arial"/>
          <w:sz w:val="18"/>
          <w:szCs w:val="18"/>
        </w:rPr>
        <w:t xml:space="preserve">Policing Men, Policing Women: Responsibility and Accountability for Violence against Women and Girls, Including Domestic Abuse and Femicide </w:t>
      </w:r>
      <w:r w:rsidRPr="00EA72BF">
        <w:rPr>
          <w:rFonts w:ascii="Arial" w:hAnsi="Arial" w:cs="Arial"/>
          <w:sz w:val="18"/>
          <w:szCs w:val="18"/>
        </w:rPr>
        <w:t>(202</w:t>
      </w:r>
      <w:r w:rsidR="00946737" w:rsidRPr="00EA72BF">
        <w:rPr>
          <w:rFonts w:ascii="Arial" w:hAnsi="Arial" w:cs="Arial"/>
          <w:sz w:val="18"/>
          <w:szCs w:val="18"/>
        </w:rPr>
        <w:t>4</w:t>
      </w:r>
      <w:r w:rsidRPr="00EA72BF">
        <w:rPr>
          <w:rFonts w:ascii="Arial" w:hAnsi="Arial" w:cs="Arial"/>
          <w:sz w:val="18"/>
          <w:szCs w:val="18"/>
        </w:rPr>
        <w:t xml:space="preserve">) </w:t>
      </w:r>
      <w:r w:rsidR="00946737" w:rsidRPr="00EA72BF">
        <w:rPr>
          <w:rFonts w:ascii="Arial" w:hAnsi="Arial" w:cs="Arial"/>
          <w:sz w:val="18"/>
          <w:szCs w:val="18"/>
        </w:rPr>
        <w:t>3</w:t>
      </w:r>
      <w:r w:rsidR="00655AC8" w:rsidRPr="00EA72BF">
        <w:rPr>
          <w:rFonts w:ascii="Arial" w:hAnsi="Arial" w:cs="Arial"/>
          <w:sz w:val="18"/>
          <w:szCs w:val="18"/>
        </w:rPr>
        <w:t xml:space="preserve"> </w:t>
      </w:r>
      <w:r w:rsidRPr="00EA72BF">
        <w:rPr>
          <w:rFonts w:ascii="Arial" w:hAnsi="Arial" w:cs="Arial"/>
          <w:i/>
          <w:iCs/>
          <w:sz w:val="18"/>
          <w:szCs w:val="18"/>
        </w:rPr>
        <w:t>International Journal of Gender, Sexuality and Law</w:t>
      </w:r>
      <w:r w:rsidR="00870275">
        <w:rPr>
          <w:rFonts w:ascii="Arial" w:hAnsi="Arial" w:cs="Arial"/>
          <w:i/>
          <w:iCs/>
          <w:sz w:val="18"/>
          <w:szCs w:val="18"/>
        </w:rPr>
        <w:t xml:space="preserve"> </w:t>
      </w:r>
      <w:r w:rsidR="00870275">
        <w:rPr>
          <w:rFonts w:ascii="Arial" w:hAnsi="Arial" w:cs="Arial"/>
          <w:sz w:val="18"/>
          <w:szCs w:val="18"/>
        </w:rPr>
        <w:t>31</w:t>
      </w:r>
      <w:r w:rsidR="00655AC8" w:rsidRPr="00EA72BF">
        <w:rPr>
          <w:rFonts w:ascii="Arial" w:hAnsi="Arial" w:cs="Arial"/>
          <w:sz w:val="18"/>
          <w:szCs w:val="18"/>
        </w:rPr>
        <w:t>.</w:t>
      </w:r>
    </w:p>
  </w:footnote>
  <w:footnote w:id="2">
    <w:p w14:paraId="7EE5A7A9" w14:textId="4A9367B8"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Home Office</w:t>
      </w:r>
      <w:r w:rsidR="00BD04B1">
        <w:rPr>
          <w:rFonts w:ascii="Arial" w:hAnsi="Arial" w:cs="Arial"/>
          <w:sz w:val="18"/>
          <w:szCs w:val="18"/>
        </w:rPr>
        <w:t xml:space="preserve">, </w:t>
      </w:r>
      <w:r w:rsidR="00BD04B1" w:rsidRPr="00BD04B1">
        <w:rPr>
          <w:rFonts w:ascii="Arial" w:hAnsi="Arial" w:cs="Arial"/>
          <w:sz w:val="18"/>
          <w:szCs w:val="18"/>
        </w:rPr>
        <w:t xml:space="preserve">Tackling Violence Against Women </w:t>
      </w:r>
      <w:r w:rsidR="00BD04B1">
        <w:rPr>
          <w:rFonts w:ascii="Arial" w:hAnsi="Arial" w:cs="Arial"/>
          <w:sz w:val="18"/>
          <w:szCs w:val="18"/>
        </w:rPr>
        <w:t>a</w:t>
      </w:r>
      <w:r w:rsidR="00BD04B1" w:rsidRPr="00BD04B1">
        <w:rPr>
          <w:rFonts w:ascii="Arial" w:hAnsi="Arial" w:cs="Arial"/>
          <w:sz w:val="18"/>
          <w:szCs w:val="18"/>
        </w:rPr>
        <w:t>nd Girls Strategy</w:t>
      </w:r>
      <w:r w:rsidR="00BD04B1" w:rsidRPr="00EA72BF">
        <w:rPr>
          <w:rFonts w:ascii="Arial" w:hAnsi="Arial" w:cs="Arial"/>
          <w:sz w:val="18"/>
          <w:szCs w:val="18"/>
        </w:rPr>
        <w:t xml:space="preserve"> </w:t>
      </w:r>
      <w:r w:rsidRPr="00EA72BF">
        <w:rPr>
          <w:rFonts w:ascii="Arial" w:hAnsi="Arial" w:cs="Arial"/>
          <w:sz w:val="18"/>
          <w:szCs w:val="18"/>
        </w:rPr>
        <w:t>(2021)</w:t>
      </w:r>
      <w:r w:rsidR="00BD04B1">
        <w:rPr>
          <w:rFonts w:ascii="Arial" w:hAnsi="Arial" w:cs="Arial"/>
          <w:sz w:val="18"/>
          <w:szCs w:val="18"/>
        </w:rPr>
        <w:t xml:space="preserve">. Available at: </w:t>
      </w:r>
      <w:hyperlink r:id="rId1" w:history="1">
        <w:r w:rsidR="00BD04B1" w:rsidRPr="00FE0936">
          <w:rPr>
            <w:rStyle w:val="Hyperlink"/>
            <w:rFonts w:ascii="Arial" w:hAnsi="Arial" w:cs="Arial"/>
            <w:sz w:val="18"/>
            <w:szCs w:val="18"/>
          </w:rPr>
          <w:t>https://www.gov.uk/government/publications/tackling-violence-against-women-and-girls-strategy</w:t>
        </w:r>
      </w:hyperlink>
      <w:r w:rsidR="00042371">
        <w:rPr>
          <w:rFonts w:ascii="Arial" w:hAnsi="Arial" w:cs="Arial"/>
          <w:sz w:val="18"/>
          <w:szCs w:val="18"/>
        </w:rPr>
        <w:t xml:space="preserve"> (last accessed </w:t>
      </w:r>
      <w:r w:rsidR="0003224D">
        <w:rPr>
          <w:rFonts w:ascii="Arial" w:hAnsi="Arial" w:cs="Arial"/>
          <w:sz w:val="18"/>
          <w:szCs w:val="18"/>
        </w:rPr>
        <w:t>14</w:t>
      </w:r>
      <w:r w:rsidR="00042371">
        <w:rPr>
          <w:rFonts w:ascii="Arial" w:hAnsi="Arial" w:cs="Arial"/>
          <w:sz w:val="18"/>
          <w:szCs w:val="18"/>
        </w:rPr>
        <w:t xml:space="preserve"> June 2024).</w:t>
      </w:r>
    </w:p>
  </w:footnote>
  <w:footnote w:id="3">
    <w:p w14:paraId="4B5E008B" w14:textId="2B62AD6A"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The police, for example have the VAWG Toolkit on protection orders</w:t>
      </w:r>
      <w:r w:rsidR="00BD04B1">
        <w:rPr>
          <w:rFonts w:ascii="Arial" w:hAnsi="Arial" w:cs="Arial"/>
          <w:sz w:val="18"/>
          <w:szCs w:val="18"/>
        </w:rPr>
        <w:t xml:space="preserve">. Available at: </w:t>
      </w:r>
      <w:hyperlink r:id="rId2" w:history="1">
        <w:r w:rsidR="00BD04B1" w:rsidRPr="00FE0936">
          <w:rPr>
            <w:rStyle w:val="Hyperlink"/>
            <w:rFonts w:ascii="Arial" w:hAnsi="Arial" w:cs="Arial"/>
            <w:sz w:val="18"/>
            <w:szCs w:val="18"/>
          </w:rPr>
          <w:t>https://www.college.police.uk/guidance/violence-against-women-and-girls-toolkit</w:t>
        </w:r>
      </w:hyperlink>
      <w:r w:rsidR="00BD04B1">
        <w:rPr>
          <w:rFonts w:ascii="Arial" w:hAnsi="Arial" w:cs="Arial"/>
          <w:sz w:val="18"/>
          <w:szCs w:val="18"/>
        </w:rPr>
        <w:t xml:space="preserve"> (last accessed 14 June 2024)</w:t>
      </w:r>
      <w:r w:rsidRPr="00EA72BF">
        <w:rPr>
          <w:rFonts w:ascii="Arial" w:hAnsi="Arial" w:cs="Arial"/>
          <w:sz w:val="18"/>
          <w:szCs w:val="18"/>
        </w:rPr>
        <w:t xml:space="preserve">. </w:t>
      </w:r>
    </w:p>
  </w:footnote>
  <w:footnote w:id="4">
    <w:p w14:paraId="7047C1F7" w14:textId="6CD58C20"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Individual police forces have their own force specific policies, and the College of Policing also issues general guidance, for example on the investigation of domestic abuse</w:t>
      </w:r>
      <w:r w:rsidR="00BD04B1">
        <w:rPr>
          <w:rFonts w:ascii="Arial" w:hAnsi="Arial" w:cs="Arial"/>
          <w:sz w:val="18"/>
          <w:szCs w:val="18"/>
        </w:rPr>
        <w:t>. Available at:</w:t>
      </w:r>
      <w:r w:rsidRPr="00EA72BF">
        <w:rPr>
          <w:rFonts w:ascii="Arial" w:hAnsi="Arial" w:cs="Arial"/>
          <w:sz w:val="18"/>
          <w:szCs w:val="18"/>
        </w:rPr>
        <w:t xml:space="preserve"> </w:t>
      </w:r>
      <w:hyperlink r:id="rId3" w:history="1">
        <w:r w:rsidRPr="00EA72BF">
          <w:rPr>
            <w:rStyle w:val="Hyperlink"/>
            <w:rFonts w:ascii="Arial" w:hAnsi="Arial" w:cs="Arial"/>
            <w:color w:val="auto"/>
            <w:sz w:val="18"/>
            <w:szCs w:val="18"/>
          </w:rPr>
          <w:t>https://www.college.police.uk/app/major-investigation-and-public-protection/domestic-abuse</w:t>
        </w:r>
      </w:hyperlink>
      <w:r w:rsidR="0003224D">
        <w:rPr>
          <w:rStyle w:val="Hyperlink"/>
          <w:rFonts w:ascii="Arial" w:hAnsi="Arial" w:cs="Arial"/>
          <w:color w:val="auto"/>
          <w:sz w:val="18"/>
          <w:szCs w:val="18"/>
        </w:rPr>
        <w:t xml:space="preserve"> (last accessed 14 June 2024)</w:t>
      </w:r>
      <w:r w:rsidRPr="00EA72BF">
        <w:rPr>
          <w:rFonts w:ascii="Arial" w:hAnsi="Arial" w:cs="Arial"/>
          <w:sz w:val="18"/>
          <w:szCs w:val="18"/>
        </w:rPr>
        <w:t>. For Crown Prosecution Service guidance for prosecutors</w:t>
      </w:r>
      <w:r w:rsidR="00BD04B1">
        <w:rPr>
          <w:rFonts w:ascii="Arial" w:hAnsi="Arial" w:cs="Arial"/>
          <w:sz w:val="18"/>
          <w:szCs w:val="18"/>
        </w:rPr>
        <w:t>,</w:t>
      </w:r>
      <w:r w:rsidRPr="00EA72BF">
        <w:rPr>
          <w:rFonts w:ascii="Arial" w:hAnsi="Arial" w:cs="Arial"/>
          <w:sz w:val="18"/>
          <w:szCs w:val="18"/>
        </w:rPr>
        <w:t xml:space="preserve"> see </w:t>
      </w:r>
      <w:hyperlink r:id="rId4" w:history="1">
        <w:r w:rsidR="0003224D" w:rsidRPr="00C87EF0">
          <w:rPr>
            <w:rStyle w:val="Hyperlink"/>
            <w:rFonts w:ascii="Arial" w:hAnsi="Arial" w:cs="Arial"/>
            <w:sz w:val="18"/>
            <w:szCs w:val="18"/>
          </w:rPr>
          <w:t>https://www.cps.gov.uk/legal-guidance/domestic-abuse</w:t>
        </w:r>
      </w:hyperlink>
      <w:r w:rsidR="0003224D">
        <w:rPr>
          <w:rFonts w:ascii="Arial" w:hAnsi="Arial" w:cs="Arial"/>
          <w:sz w:val="18"/>
          <w:szCs w:val="18"/>
        </w:rPr>
        <w:t xml:space="preserve"> </w:t>
      </w:r>
      <w:r w:rsidR="0003224D">
        <w:rPr>
          <w:rStyle w:val="Hyperlink"/>
          <w:rFonts w:ascii="Arial" w:hAnsi="Arial" w:cs="Arial"/>
          <w:color w:val="auto"/>
          <w:sz w:val="18"/>
          <w:szCs w:val="18"/>
        </w:rPr>
        <w:t>(last accessed 14 June 2024).</w:t>
      </w:r>
    </w:p>
  </w:footnote>
  <w:footnote w:id="5">
    <w:p w14:paraId="0BE90909" w14:textId="2A86110F"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C Bishop</w:t>
      </w:r>
      <w:r w:rsidR="0060400E" w:rsidRPr="00EA72BF">
        <w:rPr>
          <w:rFonts w:ascii="Arial" w:hAnsi="Arial" w:cs="Arial"/>
          <w:sz w:val="18"/>
          <w:szCs w:val="18"/>
        </w:rPr>
        <w:t>,</w:t>
      </w:r>
      <w:r w:rsidRPr="00EA72BF">
        <w:rPr>
          <w:rFonts w:ascii="Arial" w:hAnsi="Arial" w:cs="Arial"/>
          <w:sz w:val="18"/>
          <w:szCs w:val="18"/>
        </w:rPr>
        <w:t xml:space="preserve"> ‘Prevention and Protection: Will the Domestic Abuse Act </w:t>
      </w:r>
      <w:r w:rsidR="0060400E" w:rsidRPr="00EA72BF">
        <w:rPr>
          <w:rFonts w:ascii="Arial" w:hAnsi="Arial" w:cs="Arial"/>
          <w:sz w:val="18"/>
          <w:szCs w:val="18"/>
        </w:rPr>
        <w:t>T</w:t>
      </w:r>
      <w:r w:rsidRPr="00EA72BF">
        <w:rPr>
          <w:rFonts w:ascii="Arial" w:hAnsi="Arial" w:cs="Arial"/>
          <w:sz w:val="18"/>
          <w:szCs w:val="18"/>
        </w:rPr>
        <w:t xml:space="preserve">ransform the </w:t>
      </w:r>
      <w:r w:rsidR="0060400E" w:rsidRPr="00EA72BF">
        <w:rPr>
          <w:rFonts w:ascii="Arial" w:hAnsi="Arial" w:cs="Arial"/>
          <w:sz w:val="18"/>
          <w:szCs w:val="18"/>
        </w:rPr>
        <w:t>R</w:t>
      </w:r>
      <w:r w:rsidRPr="00EA72BF">
        <w:rPr>
          <w:rFonts w:ascii="Arial" w:hAnsi="Arial" w:cs="Arial"/>
          <w:sz w:val="18"/>
          <w:szCs w:val="18"/>
        </w:rPr>
        <w:t xml:space="preserve">esponse to </w:t>
      </w:r>
      <w:r w:rsidR="0060400E" w:rsidRPr="00EA72BF">
        <w:rPr>
          <w:rFonts w:ascii="Arial" w:hAnsi="Arial" w:cs="Arial"/>
          <w:sz w:val="18"/>
          <w:szCs w:val="18"/>
        </w:rPr>
        <w:t>D</w:t>
      </w:r>
      <w:r w:rsidRPr="00EA72BF">
        <w:rPr>
          <w:rFonts w:ascii="Arial" w:hAnsi="Arial" w:cs="Arial"/>
          <w:sz w:val="18"/>
          <w:szCs w:val="18"/>
        </w:rPr>
        <w:t xml:space="preserve">omestic </w:t>
      </w:r>
      <w:r w:rsidR="0060400E" w:rsidRPr="00EA72BF">
        <w:rPr>
          <w:rFonts w:ascii="Arial" w:hAnsi="Arial" w:cs="Arial"/>
          <w:sz w:val="18"/>
          <w:szCs w:val="18"/>
        </w:rPr>
        <w:t>A</w:t>
      </w:r>
      <w:r w:rsidRPr="00EA72BF">
        <w:rPr>
          <w:rFonts w:ascii="Arial" w:hAnsi="Arial" w:cs="Arial"/>
          <w:sz w:val="18"/>
          <w:szCs w:val="18"/>
        </w:rPr>
        <w:t>buse in England and Wales?</w:t>
      </w:r>
      <w:r w:rsidR="00552346" w:rsidRPr="00EA72BF">
        <w:rPr>
          <w:rFonts w:ascii="Arial" w:hAnsi="Arial" w:cs="Arial"/>
          <w:sz w:val="18"/>
          <w:szCs w:val="18"/>
        </w:rPr>
        <w:t>’</w:t>
      </w:r>
      <w:r w:rsidRPr="00EA72BF">
        <w:rPr>
          <w:rFonts w:ascii="Arial" w:hAnsi="Arial" w:cs="Arial"/>
          <w:sz w:val="18"/>
          <w:szCs w:val="18"/>
        </w:rPr>
        <w:t xml:space="preserve"> (2021) </w:t>
      </w:r>
      <w:r w:rsidRPr="00EA72BF">
        <w:rPr>
          <w:rFonts w:ascii="Arial" w:hAnsi="Arial" w:cs="Arial"/>
          <w:i/>
          <w:iCs/>
          <w:sz w:val="18"/>
          <w:szCs w:val="18"/>
        </w:rPr>
        <w:t>Child and Family Law Quarterly</w:t>
      </w:r>
      <w:r w:rsidRPr="00EA72BF">
        <w:rPr>
          <w:rFonts w:ascii="Arial" w:hAnsi="Arial" w:cs="Arial"/>
          <w:sz w:val="18"/>
          <w:szCs w:val="18"/>
        </w:rPr>
        <w:t xml:space="preserve"> 163-183.</w:t>
      </w:r>
    </w:p>
  </w:footnote>
  <w:footnote w:id="6">
    <w:p w14:paraId="060C4BC1" w14:textId="779F185A"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The Crime Survey in England and Wales (CSEW) demonstrates that gendered nature of domestic abuse; Office for National Statistics(ONS), </w:t>
      </w:r>
      <w:r w:rsidRPr="00EA72BF">
        <w:rPr>
          <w:rFonts w:ascii="Arial" w:hAnsi="Arial" w:cs="Arial"/>
          <w:i/>
          <w:iCs/>
          <w:sz w:val="18"/>
          <w:szCs w:val="18"/>
        </w:rPr>
        <w:t>Domestic abuse, Victim Characteristics, England and Wales</w:t>
      </w:r>
      <w:r w:rsidRPr="00EA72BF">
        <w:rPr>
          <w:rFonts w:ascii="Arial" w:hAnsi="Arial" w:cs="Arial"/>
          <w:sz w:val="18"/>
          <w:szCs w:val="18"/>
        </w:rPr>
        <w:t xml:space="preserve"> (ONS, November 2023). This is not to say men are never victims, or that there is no abuse in LGBT relationships, but in terms of frequency and severity, women in heterosexual relationships are disproportionately affected. See, for example, RE and RP Dobash ‘Women’s </w:t>
      </w:r>
      <w:r w:rsidR="0060400E" w:rsidRPr="00EA72BF">
        <w:rPr>
          <w:rFonts w:ascii="Arial" w:hAnsi="Arial" w:cs="Arial"/>
          <w:sz w:val="18"/>
          <w:szCs w:val="18"/>
        </w:rPr>
        <w:t>V</w:t>
      </w:r>
      <w:r w:rsidRPr="00EA72BF">
        <w:rPr>
          <w:rFonts w:ascii="Arial" w:hAnsi="Arial" w:cs="Arial"/>
          <w:sz w:val="18"/>
          <w:szCs w:val="18"/>
        </w:rPr>
        <w:t xml:space="preserve">iolence to </w:t>
      </w:r>
      <w:r w:rsidR="0060400E" w:rsidRPr="00EA72BF">
        <w:rPr>
          <w:rFonts w:ascii="Arial" w:hAnsi="Arial" w:cs="Arial"/>
          <w:sz w:val="18"/>
          <w:szCs w:val="18"/>
        </w:rPr>
        <w:t>M</w:t>
      </w:r>
      <w:r w:rsidRPr="00EA72BF">
        <w:rPr>
          <w:rFonts w:ascii="Arial" w:hAnsi="Arial" w:cs="Arial"/>
          <w:sz w:val="18"/>
          <w:szCs w:val="18"/>
        </w:rPr>
        <w:t xml:space="preserve">en in </w:t>
      </w:r>
      <w:r w:rsidR="0060400E" w:rsidRPr="00EA72BF">
        <w:rPr>
          <w:rFonts w:ascii="Arial" w:hAnsi="Arial" w:cs="Arial"/>
          <w:sz w:val="18"/>
          <w:szCs w:val="18"/>
        </w:rPr>
        <w:t>I</w:t>
      </w:r>
      <w:r w:rsidRPr="00EA72BF">
        <w:rPr>
          <w:rFonts w:ascii="Arial" w:hAnsi="Arial" w:cs="Arial"/>
          <w:sz w:val="18"/>
          <w:szCs w:val="18"/>
        </w:rPr>
        <w:t xml:space="preserve">ntimate </w:t>
      </w:r>
      <w:r w:rsidR="0060400E" w:rsidRPr="00EA72BF">
        <w:rPr>
          <w:rFonts w:ascii="Arial" w:hAnsi="Arial" w:cs="Arial"/>
          <w:sz w:val="18"/>
          <w:szCs w:val="18"/>
        </w:rPr>
        <w:t>R</w:t>
      </w:r>
      <w:r w:rsidRPr="00EA72BF">
        <w:rPr>
          <w:rFonts w:ascii="Arial" w:hAnsi="Arial" w:cs="Arial"/>
          <w:sz w:val="18"/>
          <w:szCs w:val="18"/>
        </w:rPr>
        <w:t xml:space="preserve">elationships: Working on a </w:t>
      </w:r>
      <w:r w:rsidR="0060400E" w:rsidRPr="00EA72BF">
        <w:rPr>
          <w:rFonts w:ascii="Arial" w:hAnsi="Arial" w:cs="Arial"/>
          <w:sz w:val="18"/>
          <w:szCs w:val="18"/>
        </w:rPr>
        <w:t>P</w:t>
      </w:r>
      <w:r w:rsidRPr="00EA72BF">
        <w:rPr>
          <w:rFonts w:ascii="Arial" w:hAnsi="Arial" w:cs="Arial"/>
          <w:sz w:val="18"/>
          <w:szCs w:val="18"/>
        </w:rPr>
        <w:t xml:space="preserve">uzzle’ (2004) </w:t>
      </w:r>
      <w:r w:rsidR="00F4319C" w:rsidRPr="00EA72BF">
        <w:rPr>
          <w:rFonts w:ascii="Arial" w:hAnsi="Arial" w:cs="Arial"/>
          <w:sz w:val="18"/>
          <w:szCs w:val="18"/>
        </w:rPr>
        <w:t xml:space="preserve">44(3) </w:t>
      </w:r>
      <w:r w:rsidRPr="00EA72BF">
        <w:rPr>
          <w:rFonts w:ascii="Arial" w:hAnsi="Arial" w:cs="Arial"/>
          <w:i/>
          <w:iCs/>
          <w:sz w:val="18"/>
          <w:szCs w:val="18"/>
        </w:rPr>
        <w:t>British Journal of Criminology</w:t>
      </w:r>
      <w:r w:rsidRPr="00EA72BF">
        <w:rPr>
          <w:rFonts w:ascii="Arial" w:hAnsi="Arial" w:cs="Arial"/>
          <w:sz w:val="18"/>
          <w:szCs w:val="18"/>
        </w:rPr>
        <w:t xml:space="preserve"> 324-349.</w:t>
      </w:r>
    </w:p>
  </w:footnote>
  <w:footnote w:id="7">
    <w:p w14:paraId="20C2E868" w14:textId="77777777"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E Stark, </w:t>
      </w:r>
      <w:r w:rsidRPr="00EA72BF">
        <w:rPr>
          <w:rFonts w:ascii="Arial" w:hAnsi="Arial" w:cs="Arial"/>
          <w:i/>
          <w:iCs/>
          <w:sz w:val="18"/>
          <w:szCs w:val="18"/>
        </w:rPr>
        <w:t>Coercive Control: How Men Entrap Women in Personal Life</w:t>
      </w:r>
      <w:r w:rsidRPr="00EA72BF">
        <w:rPr>
          <w:rFonts w:ascii="Arial" w:hAnsi="Arial" w:cs="Arial"/>
          <w:sz w:val="18"/>
          <w:szCs w:val="18"/>
        </w:rPr>
        <w:t xml:space="preserve"> (OUP, 2007).</w:t>
      </w:r>
    </w:p>
  </w:footnote>
  <w:footnote w:id="8">
    <w:p w14:paraId="705AA795" w14:textId="40FF33E1"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A Myhill and L Kelly</w:t>
      </w:r>
      <w:r w:rsidR="0060400E" w:rsidRPr="00EA72BF">
        <w:rPr>
          <w:rFonts w:ascii="Arial" w:hAnsi="Arial" w:cs="Arial"/>
          <w:sz w:val="18"/>
          <w:szCs w:val="18"/>
        </w:rPr>
        <w:t>,</w:t>
      </w:r>
      <w:r w:rsidRPr="00EA72BF">
        <w:rPr>
          <w:rFonts w:ascii="Arial" w:hAnsi="Arial" w:cs="Arial"/>
          <w:sz w:val="18"/>
          <w:szCs w:val="18"/>
        </w:rPr>
        <w:t xml:space="preserve"> ‘Counting </w:t>
      </w:r>
      <w:r w:rsidR="0060400E" w:rsidRPr="00EA72BF">
        <w:rPr>
          <w:rFonts w:ascii="Arial" w:hAnsi="Arial" w:cs="Arial"/>
          <w:sz w:val="18"/>
          <w:szCs w:val="18"/>
        </w:rPr>
        <w:t xml:space="preserve">with Understanding? </w:t>
      </w:r>
      <w:r w:rsidRPr="00EA72BF">
        <w:rPr>
          <w:rFonts w:ascii="Arial" w:hAnsi="Arial" w:cs="Arial"/>
          <w:sz w:val="18"/>
          <w:szCs w:val="18"/>
        </w:rPr>
        <w:t xml:space="preserve">What </w:t>
      </w:r>
      <w:r w:rsidR="0060400E" w:rsidRPr="00EA72BF">
        <w:rPr>
          <w:rFonts w:ascii="Arial" w:hAnsi="Arial" w:cs="Arial"/>
          <w:sz w:val="18"/>
          <w:szCs w:val="18"/>
        </w:rPr>
        <w:t>is at Stake in Debates on Researching Domestic Violence</w:t>
      </w:r>
      <w:r w:rsidRPr="00EA72BF">
        <w:rPr>
          <w:rFonts w:ascii="Arial" w:hAnsi="Arial" w:cs="Arial"/>
          <w:sz w:val="18"/>
          <w:szCs w:val="18"/>
        </w:rPr>
        <w:t xml:space="preserve">’ (2021) </w:t>
      </w:r>
      <w:r w:rsidR="00F4319C" w:rsidRPr="00EA72BF">
        <w:rPr>
          <w:rFonts w:ascii="Arial" w:hAnsi="Arial" w:cs="Arial"/>
          <w:sz w:val="18"/>
          <w:szCs w:val="18"/>
        </w:rPr>
        <w:t xml:space="preserve">21(3) </w:t>
      </w:r>
      <w:r w:rsidRPr="00EA72BF">
        <w:rPr>
          <w:rFonts w:ascii="Arial" w:hAnsi="Arial" w:cs="Arial"/>
          <w:i/>
          <w:iCs/>
          <w:sz w:val="18"/>
          <w:szCs w:val="18"/>
        </w:rPr>
        <w:t>Criminology and Criminal Justice</w:t>
      </w:r>
      <w:r w:rsidRPr="00EA72BF">
        <w:rPr>
          <w:rFonts w:ascii="Arial" w:hAnsi="Arial" w:cs="Arial"/>
          <w:sz w:val="18"/>
          <w:szCs w:val="18"/>
        </w:rPr>
        <w:t xml:space="preserve"> 280-296.</w:t>
      </w:r>
    </w:p>
  </w:footnote>
  <w:footnote w:id="9">
    <w:p w14:paraId="60DBFC1C" w14:textId="271DE595"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C Wiener</w:t>
      </w:r>
      <w:r w:rsidR="0060400E"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Coercive Control and the Criminal Law</w:t>
      </w:r>
      <w:r w:rsidRPr="00EA72BF">
        <w:rPr>
          <w:rFonts w:ascii="Arial" w:hAnsi="Arial" w:cs="Arial"/>
          <w:sz w:val="18"/>
          <w:szCs w:val="18"/>
        </w:rPr>
        <w:t xml:space="preserve"> (Routledge, 2022).</w:t>
      </w:r>
    </w:p>
  </w:footnote>
  <w:footnote w:id="10">
    <w:p w14:paraId="7263971C" w14:textId="2FC020D8"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ONS (2023)</w:t>
      </w:r>
      <w:r w:rsidR="001936BF">
        <w:rPr>
          <w:rFonts w:ascii="Arial" w:hAnsi="Arial" w:cs="Arial"/>
          <w:sz w:val="18"/>
          <w:szCs w:val="18"/>
        </w:rPr>
        <w:t xml:space="preserve">, above </w:t>
      </w:r>
      <w:r w:rsidRPr="00EA72BF">
        <w:rPr>
          <w:rFonts w:ascii="Arial" w:hAnsi="Arial" w:cs="Arial"/>
          <w:sz w:val="18"/>
          <w:szCs w:val="18"/>
        </w:rPr>
        <w:t xml:space="preserve">n </w:t>
      </w:r>
      <w:r w:rsidR="0003224D">
        <w:rPr>
          <w:rFonts w:ascii="Arial" w:hAnsi="Arial" w:cs="Arial"/>
          <w:sz w:val="18"/>
          <w:szCs w:val="18"/>
        </w:rPr>
        <w:t>6</w:t>
      </w:r>
      <w:r w:rsidRPr="00EA72BF">
        <w:rPr>
          <w:rFonts w:ascii="Arial" w:hAnsi="Arial" w:cs="Arial"/>
          <w:sz w:val="18"/>
          <w:szCs w:val="18"/>
        </w:rPr>
        <w:t>. Furthermore, there is a link between domestic abuse and suicidality; R Aitken and V Munro</w:t>
      </w:r>
      <w:r w:rsidR="001B4372">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Domestic Abuse and Suicide</w:t>
      </w:r>
      <w:r w:rsidRPr="00EA72BF">
        <w:rPr>
          <w:rFonts w:ascii="Arial" w:hAnsi="Arial" w:cs="Arial"/>
          <w:sz w:val="18"/>
          <w:szCs w:val="18"/>
        </w:rPr>
        <w:t xml:space="preserve"> (University of Warwick and Refuge, 2018).</w:t>
      </w:r>
    </w:p>
  </w:footnote>
  <w:footnote w:id="11">
    <w:p w14:paraId="71A8FE50" w14:textId="40FD493D"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J Monckton-Smith</w:t>
      </w:r>
      <w:r w:rsidR="0060400E"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In Control: Dangerous Relationships and How They End in Murder</w:t>
      </w:r>
      <w:r w:rsidRPr="00EA72BF">
        <w:rPr>
          <w:rFonts w:ascii="Arial" w:hAnsi="Arial" w:cs="Arial"/>
          <w:sz w:val="18"/>
          <w:szCs w:val="18"/>
        </w:rPr>
        <w:t xml:space="preserve"> (Bloomsbury, 2021).</w:t>
      </w:r>
    </w:p>
  </w:footnote>
  <w:footnote w:id="12">
    <w:p w14:paraId="7B3127B0" w14:textId="49586509"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M Wilson and M Daly</w:t>
      </w:r>
      <w:r w:rsidR="0060400E" w:rsidRPr="00EA72BF">
        <w:rPr>
          <w:rFonts w:ascii="Arial" w:hAnsi="Arial" w:cs="Arial"/>
          <w:sz w:val="18"/>
          <w:szCs w:val="18"/>
        </w:rPr>
        <w:t>,</w:t>
      </w:r>
      <w:r w:rsidRPr="00EA72BF">
        <w:rPr>
          <w:rFonts w:ascii="Arial" w:hAnsi="Arial" w:cs="Arial"/>
          <w:sz w:val="18"/>
          <w:szCs w:val="18"/>
        </w:rPr>
        <w:t xml:space="preserve"> ‘Sexual Rivalry and Sexual Conflict: Recurring Themes in Fatal Conflicts’ (1998) </w:t>
      </w:r>
      <w:r w:rsidR="00F4319C" w:rsidRPr="00EA72BF">
        <w:rPr>
          <w:rFonts w:ascii="Arial" w:hAnsi="Arial" w:cs="Arial"/>
          <w:sz w:val="18"/>
          <w:szCs w:val="18"/>
        </w:rPr>
        <w:t xml:space="preserve">2(3) </w:t>
      </w:r>
      <w:r w:rsidRPr="00EA72BF">
        <w:rPr>
          <w:rFonts w:ascii="Arial" w:hAnsi="Arial" w:cs="Arial"/>
          <w:i/>
          <w:iCs/>
          <w:sz w:val="18"/>
          <w:szCs w:val="18"/>
        </w:rPr>
        <w:t>Theoretical Criminology</w:t>
      </w:r>
      <w:r w:rsidRPr="00EA72BF">
        <w:rPr>
          <w:rFonts w:ascii="Arial" w:hAnsi="Arial" w:cs="Arial"/>
          <w:sz w:val="18"/>
          <w:szCs w:val="18"/>
        </w:rPr>
        <w:t xml:space="preserve"> 291-310.</w:t>
      </w:r>
    </w:p>
  </w:footnote>
  <w:footnote w:id="13">
    <w:p w14:paraId="27CC890B" w14:textId="3325414D"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This framing has been extensively critiqued. See</w:t>
      </w:r>
      <w:r w:rsidR="00777AB0" w:rsidRPr="00EA72BF">
        <w:rPr>
          <w:rFonts w:ascii="Arial" w:hAnsi="Arial" w:cs="Arial"/>
          <w:sz w:val="18"/>
          <w:szCs w:val="18"/>
        </w:rPr>
        <w:t>,</w:t>
      </w:r>
      <w:r w:rsidRPr="00EA72BF">
        <w:rPr>
          <w:rFonts w:ascii="Arial" w:hAnsi="Arial" w:cs="Arial"/>
          <w:sz w:val="18"/>
          <w:szCs w:val="18"/>
        </w:rPr>
        <w:t xml:space="preserve"> for example</w:t>
      </w:r>
      <w:r w:rsidR="00777AB0" w:rsidRPr="00EA72BF">
        <w:rPr>
          <w:rFonts w:ascii="Arial" w:hAnsi="Arial" w:cs="Arial"/>
          <w:sz w:val="18"/>
          <w:szCs w:val="18"/>
        </w:rPr>
        <w:t>,</w:t>
      </w:r>
      <w:r w:rsidRPr="00EA72BF">
        <w:rPr>
          <w:rFonts w:ascii="Arial" w:hAnsi="Arial" w:cs="Arial"/>
          <w:sz w:val="18"/>
          <w:szCs w:val="18"/>
        </w:rPr>
        <w:t xml:space="preserve"> A Howe and D Alaatinoglu</w:t>
      </w:r>
      <w:r w:rsidR="0060400E"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Contesting Femicide; Feminism and the Power of Law Revisited</w:t>
      </w:r>
      <w:r w:rsidRPr="00EA72BF">
        <w:rPr>
          <w:rFonts w:ascii="Arial" w:hAnsi="Arial" w:cs="Arial"/>
          <w:sz w:val="18"/>
          <w:szCs w:val="18"/>
        </w:rPr>
        <w:t xml:space="preserve"> (Routledge, 2018).  </w:t>
      </w:r>
    </w:p>
  </w:footnote>
  <w:footnote w:id="14">
    <w:p w14:paraId="6CB23972" w14:textId="306974BB"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Wilson and Daly</w:t>
      </w:r>
      <w:r w:rsidR="0060400E" w:rsidRPr="00EA72BF">
        <w:rPr>
          <w:rFonts w:ascii="Arial" w:hAnsi="Arial" w:cs="Arial"/>
          <w:sz w:val="18"/>
          <w:szCs w:val="18"/>
        </w:rPr>
        <w:t xml:space="preserve">, ‘Sexual Rivalry and Sexual Conflict: Recurring Themes in Fatal Conflicts’, </w:t>
      </w:r>
      <w:r w:rsidRPr="00EA72BF">
        <w:rPr>
          <w:rFonts w:ascii="Arial" w:hAnsi="Arial" w:cs="Arial"/>
          <w:sz w:val="18"/>
          <w:szCs w:val="18"/>
        </w:rPr>
        <w:t>n 11</w:t>
      </w:r>
      <w:r w:rsidR="0060400E" w:rsidRPr="00EA72BF">
        <w:rPr>
          <w:rFonts w:ascii="Arial" w:hAnsi="Arial" w:cs="Arial"/>
          <w:sz w:val="18"/>
          <w:szCs w:val="18"/>
        </w:rPr>
        <w:t xml:space="preserve"> above</w:t>
      </w:r>
      <w:r w:rsidRPr="00EA72BF">
        <w:rPr>
          <w:rFonts w:ascii="Arial" w:hAnsi="Arial" w:cs="Arial"/>
          <w:sz w:val="18"/>
          <w:szCs w:val="18"/>
        </w:rPr>
        <w:t xml:space="preserve">; RE Dobash and RP Dobash </w:t>
      </w:r>
      <w:r w:rsidRPr="00EA72BF">
        <w:rPr>
          <w:rFonts w:ascii="Arial" w:hAnsi="Arial" w:cs="Arial"/>
          <w:i/>
          <w:iCs/>
          <w:sz w:val="18"/>
          <w:szCs w:val="18"/>
        </w:rPr>
        <w:t>When Men Murder Women</w:t>
      </w:r>
      <w:r w:rsidRPr="00EA72BF">
        <w:rPr>
          <w:rFonts w:ascii="Arial" w:hAnsi="Arial" w:cs="Arial"/>
          <w:sz w:val="18"/>
          <w:szCs w:val="18"/>
        </w:rPr>
        <w:t xml:space="preserve"> (OUP, 2015); H Johnson, l Erikkson, P Mazerolle, </w:t>
      </w:r>
      <w:r w:rsidR="0060400E" w:rsidRPr="00EA72BF">
        <w:rPr>
          <w:rFonts w:ascii="Arial" w:hAnsi="Arial" w:cs="Arial"/>
          <w:sz w:val="18"/>
          <w:szCs w:val="18"/>
        </w:rPr>
        <w:t xml:space="preserve">and </w:t>
      </w:r>
      <w:r w:rsidRPr="00EA72BF">
        <w:rPr>
          <w:rFonts w:ascii="Arial" w:hAnsi="Arial" w:cs="Arial"/>
          <w:sz w:val="18"/>
          <w:szCs w:val="18"/>
        </w:rPr>
        <w:t>R Wortley</w:t>
      </w:r>
      <w:r w:rsidR="0060400E" w:rsidRPr="00EA72BF">
        <w:rPr>
          <w:rFonts w:ascii="Arial" w:hAnsi="Arial" w:cs="Arial"/>
          <w:sz w:val="18"/>
          <w:szCs w:val="18"/>
        </w:rPr>
        <w:t>,</w:t>
      </w:r>
      <w:r w:rsidRPr="00EA72BF">
        <w:rPr>
          <w:rFonts w:ascii="Arial" w:hAnsi="Arial" w:cs="Arial"/>
          <w:sz w:val="18"/>
          <w:szCs w:val="18"/>
        </w:rPr>
        <w:t xml:space="preserve"> ‘Intimate Homicide: The </w:t>
      </w:r>
      <w:r w:rsidR="00C738D5">
        <w:rPr>
          <w:rFonts w:ascii="Arial" w:hAnsi="Arial" w:cs="Arial"/>
          <w:sz w:val="18"/>
          <w:szCs w:val="18"/>
        </w:rPr>
        <w:t>R</w:t>
      </w:r>
      <w:r w:rsidRPr="00EA72BF">
        <w:rPr>
          <w:rFonts w:ascii="Arial" w:hAnsi="Arial" w:cs="Arial"/>
          <w:sz w:val="18"/>
          <w:szCs w:val="18"/>
        </w:rPr>
        <w:t xml:space="preserve">ole of </w:t>
      </w:r>
      <w:r w:rsidR="00C738D5">
        <w:rPr>
          <w:rFonts w:ascii="Arial" w:hAnsi="Arial" w:cs="Arial"/>
          <w:sz w:val="18"/>
          <w:szCs w:val="18"/>
        </w:rPr>
        <w:t>C</w:t>
      </w:r>
      <w:r w:rsidRPr="00EA72BF">
        <w:rPr>
          <w:rFonts w:ascii="Arial" w:hAnsi="Arial" w:cs="Arial"/>
          <w:sz w:val="18"/>
          <w:szCs w:val="18"/>
        </w:rPr>
        <w:t xml:space="preserve">oercive </w:t>
      </w:r>
      <w:r w:rsidR="00C738D5">
        <w:rPr>
          <w:rFonts w:ascii="Arial" w:hAnsi="Arial" w:cs="Arial"/>
          <w:sz w:val="18"/>
          <w:szCs w:val="18"/>
        </w:rPr>
        <w:t>C</w:t>
      </w:r>
      <w:r w:rsidRPr="00EA72BF">
        <w:rPr>
          <w:rFonts w:ascii="Arial" w:hAnsi="Arial" w:cs="Arial"/>
          <w:sz w:val="18"/>
          <w:szCs w:val="18"/>
        </w:rPr>
        <w:t xml:space="preserve">ontrol’ (2019) </w:t>
      </w:r>
      <w:r w:rsidR="00F4319C" w:rsidRPr="00EA72BF">
        <w:rPr>
          <w:rFonts w:ascii="Arial" w:hAnsi="Arial" w:cs="Arial"/>
          <w:sz w:val="18"/>
          <w:szCs w:val="18"/>
        </w:rPr>
        <w:t xml:space="preserve">14(10) </w:t>
      </w:r>
      <w:r w:rsidRPr="00EA72BF">
        <w:rPr>
          <w:rFonts w:ascii="Arial" w:hAnsi="Arial" w:cs="Arial"/>
          <w:i/>
          <w:iCs/>
          <w:sz w:val="18"/>
          <w:szCs w:val="18"/>
        </w:rPr>
        <w:t xml:space="preserve">Feminist Criminology </w:t>
      </w:r>
      <w:r w:rsidRPr="00EA72BF">
        <w:rPr>
          <w:rFonts w:ascii="Arial" w:hAnsi="Arial" w:cs="Arial"/>
          <w:sz w:val="18"/>
          <w:szCs w:val="18"/>
        </w:rPr>
        <w:t>3-23.</w:t>
      </w:r>
    </w:p>
  </w:footnote>
  <w:footnote w:id="15">
    <w:p w14:paraId="0C52AB13" w14:textId="08407799"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M Madden Dempsey</w:t>
      </w:r>
      <w:r w:rsidR="0060400E"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Prosecuting Domestic Violence: A Philosophical Analysis</w:t>
      </w:r>
      <w:r w:rsidRPr="00EA72BF">
        <w:rPr>
          <w:rFonts w:ascii="Arial" w:hAnsi="Arial" w:cs="Arial"/>
          <w:sz w:val="18"/>
          <w:szCs w:val="18"/>
        </w:rPr>
        <w:t xml:space="preserve"> (OUP, 2009). Herring identifies intersections with other structural inequalities that perpetuate domestic abuse, however, does not minimise the role of gender inequality and patriarchy (J Herring</w:t>
      </w:r>
      <w:r w:rsidR="0060400E"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Domestic Abuse and Human Rights</w:t>
      </w:r>
      <w:r w:rsidRPr="00EA72BF">
        <w:rPr>
          <w:rFonts w:ascii="Arial" w:hAnsi="Arial" w:cs="Arial"/>
          <w:sz w:val="18"/>
          <w:szCs w:val="18"/>
        </w:rPr>
        <w:t xml:space="preserve"> (Intersentia, 2020)</w:t>
      </w:r>
      <w:r w:rsidR="0060400E" w:rsidRPr="00EA72BF">
        <w:rPr>
          <w:rFonts w:ascii="Arial" w:hAnsi="Arial" w:cs="Arial"/>
          <w:sz w:val="18"/>
          <w:szCs w:val="18"/>
        </w:rPr>
        <w:t>)</w:t>
      </w:r>
      <w:r w:rsidRPr="00EA72BF">
        <w:rPr>
          <w:rFonts w:ascii="Arial" w:hAnsi="Arial" w:cs="Arial"/>
          <w:sz w:val="18"/>
          <w:szCs w:val="18"/>
        </w:rPr>
        <w:t xml:space="preserve">. </w:t>
      </w:r>
    </w:p>
  </w:footnote>
  <w:footnote w:id="16">
    <w:p w14:paraId="5A79B7AA" w14:textId="4A67CEB8"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J Radford and D Russell</w:t>
      </w:r>
      <w:r w:rsidR="0060400E" w:rsidRPr="00EA72BF">
        <w:rPr>
          <w:rFonts w:ascii="Arial" w:hAnsi="Arial" w:cs="Arial"/>
          <w:sz w:val="18"/>
          <w:szCs w:val="18"/>
        </w:rPr>
        <w:t>,</w:t>
      </w:r>
      <w:r w:rsidRPr="00EA72BF">
        <w:rPr>
          <w:rFonts w:ascii="Arial" w:hAnsi="Arial" w:cs="Arial"/>
          <w:sz w:val="18"/>
          <w:szCs w:val="18"/>
        </w:rPr>
        <w:t xml:space="preserve"> (eds) </w:t>
      </w:r>
      <w:r w:rsidRPr="00EA72BF">
        <w:rPr>
          <w:rFonts w:ascii="Arial" w:hAnsi="Arial" w:cs="Arial"/>
          <w:i/>
          <w:iCs/>
          <w:sz w:val="18"/>
          <w:szCs w:val="18"/>
        </w:rPr>
        <w:t>Femicide: The Politics of Woman Killing</w:t>
      </w:r>
      <w:r w:rsidRPr="00EA72BF">
        <w:rPr>
          <w:rFonts w:ascii="Arial" w:hAnsi="Arial" w:cs="Arial"/>
          <w:sz w:val="18"/>
          <w:szCs w:val="18"/>
        </w:rPr>
        <w:t xml:space="preserve"> (Macmillan, 1992); Howe and Alaattinoglu</w:t>
      </w:r>
      <w:r w:rsidR="0060400E" w:rsidRPr="00EA72BF">
        <w:rPr>
          <w:rFonts w:ascii="Arial" w:hAnsi="Arial" w:cs="Arial"/>
          <w:sz w:val="18"/>
          <w:szCs w:val="18"/>
        </w:rPr>
        <w:t xml:space="preserve">, </w:t>
      </w:r>
      <w:r w:rsidR="0060400E" w:rsidRPr="00EA72BF">
        <w:rPr>
          <w:rFonts w:ascii="Arial" w:hAnsi="Arial" w:cs="Arial"/>
          <w:i/>
          <w:iCs/>
          <w:sz w:val="18"/>
          <w:szCs w:val="18"/>
        </w:rPr>
        <w:t>Contesting Femicide; Feminism and the Power of Law Revisited,</w:t>
      </w:r>
      <w:r w:rsidRPr="00EA72BF">
        <w:rPr>
          <w:rFonts w:ascii="Arial" w:hAnsi="Arial" w:cs="Arial"/>
          <w:sz w:val="18"/>
          <w:szCs w:val="18"/>
        </w:rPr>
        <w:t xml:space="preserve"> n 1</w:t>
      </w:r>
      <w:r w:rsidR="0060400E" w:rsidRPr="00EA72BF">
        <w:rPr>
          <w:rFonts w:ascii="Arial" w:hAnsi="Arial" w:cs="Arial"/>
          <w:sz w:val="18"/>
          <w:szCs w:val="18"/>
        </w:rPr>
        <w:t>3 above</w:t>
      </w:r>
      <w:r w:rsidRPr="00EA72BF">
        <w:rPr>
          <w:rFonts w:ascii="Arial" w:hAnsi="Arial" w:cs="Arial"/>
          <w:sz w:val="18"/>
          <w:szCs w:val="18"/>
        </w:rPr>
        <w:t>.</w:t>
      </w:r>
    </w:p>
  </w:footnote>
  <w:footnote w:id="17">
    <w:p w14:paraId="0A87E4B4" w14:textId="77B202A9"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J Cowie </w:t>
      </w:r>
      <w:r w:rsidRPr="00EA72BF">
        <w:rPr>
          <w:rFonts w:ascii="Arial" w:hAnsi="Arial" w:cs="Arial"/>
          <w:i/>
          <w:iCs/>
          <w:sz w:val="18"/>
          <w:szCs w:val="18"/>
        </w:rPr>
        <w:t>After Dark</w:t>
      </w:r>
      <w:r w:rsidRPr="00EA72BF">
        <w:rPr>
          <w:rFonts w:ascii="Arial" w:hAnsi="Arial" w:cs="Arial"/>
          <w:sz w:val="18"/>
          <w:szCs w:val="18"/>
        </w:rPr>
        <w:t xml:space="preserve"> (Penguin, 2022)</w:t>
      </w:r>
      <w:r w:rsidR="0060400E" w:rsidRPr="00EA72BF">
        <w:rPr>
          <w:rFonts w:ascii="Arial" w:hAnsi="Arial" w:cs="Arial"/>
          <w:sz w:val="18"/>
          <w:szCs w:val="18"/>
        </w:rPr>
        <w:t>,</w:t>
      </w:r>
      <w:r w:rsidRPr="00EA72BF">
        <w:rPr>
          <w:rFonts w:ascii="Arial" w:hAnsi="Arial" w:cs="Arial"/>
          <w:sz w:val="18"/>
          <w:szCs w:val="18"/>
        </w:rPr>
        <w:t xml:space="preserve"> 1.</w:t>
      </w:r>
    </w:p>
  </w:footnote>
  <w:footnote w:id="18">
    <w:p w14:paraId="1A5D8F1B" w14:textId="4B967A50"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 99.</w:t>
      </w:r>
    </w:p>
  </w:footnote>
  <w:footnote w:id="19">
    <w:p w14:paraId="1247BDC0" w14:textId="1C645E3F"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 102.</w:t>
      </w:r>
    </w:p>
  </w:footnote>
  <w:footnote w:id="20">
    <w:p w14:paraId="65473867" w14:textId="414FE7DB"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 105.</w:t>
      </w:r>
    </w:p>
  </w:footnote>
  <w:footnote w:id="21">
    <w:p w14:paraId="784BB675" w14:textId="5E4BB085"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 106.</w:t>
      </w:r>
    </w:p>
  </w:footnote>
  <w:footnote w:id="22">
    <w:p w14:paraId="0BA3AE0D" w14:textId="125E3649"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 18.</w:t>
      </w:r>
    </w:p>
  </w:footnote>
  <w:footnote w:id="23">
    <w:p w14:paraId="2158F2D4" w14:textId="3BD402A6"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 19.</w:t>
      </w:r>
    </w:p>
  </w:footnote>
  <w:footnote w:id="24">
    <w:p w14:paraId="6C687B24" w14:textId="19D157C4"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The notion of ‘victim blaming’ is now well established in the sociological and criminal justice literature. Jess Taylor traces the term back to the 1970s when it was first used by William Ryan in the context of racial oppression (J Taylor</w:t>
      </w:r>
      <w:r w:rsidR="00EA7281"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 xml:space="preserve">Why Women are Blamed for Everything: Exposing the </w:t>
      </w:r>
      <w:r w:rsidR="00EA7281" w:rsidRPr="00EA72BF">
        <w:rPr>
          <w:rFonts w:ascii="Arial" w:hAnsi="Arial" w:cs="Arial"/>
          <w:i/>
          <w:iCs/>
          <w:sz w:val="18"/>
          <w:szCs w:val="18"/>
        </w:rPr>
        <w:t>C</w:t>
      </w:r>
      <w:r w:rsidRPr="00EA72BF">
        <w:rPr>
          <w:rFonts w:ascii="Arial" w:hAnsi="Arial" w:cs="Arial"/>
          <w:i/>
          <w:iCs/>
          <w:sz w:val="18"/>
          <w:szCs w:val="18"/>
        </w:rPr>
        <w:t xml:space="preserve">ulture of </w:t>
      </w:r>
      <w:r w:rsidR="00EA7281" w:rsidRPr="00EA72BF">
        <w:rPr>
          <w:rFonts w:ascii="Arial" w:hAnsi="Arial" w:cs="Arial"/>
          <w:i/>
          <w:iCs/>
          <w:sz w:val="18"/>
          <w:szCs w:val="18"/>
        </w:rPr>
        <w:t>V</w:t>
      </w:r>
      <w:r w:rsidRPr="00EA72BF">
        <w:rPr>
          <w:rFonts w:ascii="Arial" w:hAnsi="Arial" w:cs="Arial"/>
          <w:i/>
          <w:iCs/>
          <w:sz w:val="18"/>
          <w:szCs w:val="18"/>
        </w:rPr>
        <w:t xml:space="preserve">ictim </w:t>
      </w:r>
      <w:r w:rsidR="00EA7281" w:rsidRPr="00EA72BF">
        <w:rPr>
          <w:rFonts w:ascii="Arial" w:hAnsi="Arial" w:cs="Arial"/>
          <w:i/>
          <w:iCs/>
          <w:sz w:val="18"/>
          <w:szCs w:val="18"/>
        </w:rPr>
        <w:t>B</w:t>
      </w:r>
      <w:r w:rsidRPr="00EA72BF">
        <w:rPr>
          <w:rFonts w:ascii="Arial" w:hAnsi="Arial" w:cs="Arial"/>
          <w:i/>
          <w:iCs/>
          <w:sz w:val="18"/>
          <w:szCs w:val="18"/>
        </w:rPr>
        <w:t>laming</w:t>
      </w:r>
      <w:r w:rsidRPr="00EA72BF">
        <w:rPr>
          <w:rFonts w:ascii="Arial" w:hAnsi="Arial" w:cs="Arial"/>
          <w:sz w:val="18"/>
          <w:szCs w:val="18"/>
        </w:rPr>
        <w:t xml:space="preserve"> (Constable, 2020);</w:t>
      </w:r>
      <w:r w:rsidR="00EA7281" w:rsidRPr="00EA72BF">
        <w:rPr>
          <w:rFonts w:ascii="Arial" w:hAnsi="Arial" w:cs="Arial"/>
          <w:sz w:val="18"/>
          <w:szCs w:val="18"/>
        </w:rPr>
        <w:t xml:space="preserve"> </w:t>
      </w:r>
      <w:r w:rsidRPr="00EA72BF">
        <w:rPr>
          <w:rFonts w:ascii="Arial" w:hAnsi="Arial" w:cs="Arial"/>
          <w:sz w:val="18"/>
          <w:szCs w:val="18"/>
        </w:rPr>
        <w:t>W Ryan</w:t>
      </w:r>
      <w:r w:rsidR="00EA7281"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Blaming the Victim</w:t>
      </w:r>
      <w:r w:rsidRPr="00EA72BF">
        <w:rPr>
          <w:rFonts w:ascii="Arial" w:hAnsi="Arial" w:cs="Arial"/>
          <w:sz w:val="18"/>
          <w:szCs w:val="18"/>
        </w:rPr>
        <w:t xml:space="preserve"> (Penguin, 1971)).</w:t>
      </w:r>
    </w:p>
  </w:footnote>
  <w:footnote w:id="25">
    <w:p w14:paraId="7F4902E5" w14:textId="0F20A84A"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E Madiz</w:t>
      </w:r>
      <w:r w:rsidR="00EA7281"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Nothing Bad Happens to Good Girls</w:t>
      </w:r>
      <w:r w:rsidRPr="00EA72BF">
        <w:rPr>
          <w:rFonts w:ascii="Arial" w:hAnsi="Arial" w:cs="Arial"/>
          <w:sz w:val="18"/>
          <w:szCs w:val="18"/>
        </w:rPr>
        <w:t xml:space="preserve"> (University of California Press, 1997). Madiz analysed how fear of crime impacts women in their everyday lives and is one of the most powerful mechanisms of social control.</w:t>
      </w:r>
    </w:p>
  </w:footnote>
  <w:footnote w:id="26">
    <w:p w14:paraId="2F00FDE8" w14:textId="0F77B3ED"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 82.</w:t>
      </w:r>
    </w:p>
  </w:footnote>
  <w:footnote w:id="27">
    <w:p w14:paraId="54198AB7" w14:textId="39E24055"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N Christie</w:t>
      </w:r>
      <w:r w:rsidR="00EF57CD" w:rsidRPr="00EA72BF">
        <w:rPr>
          <w:rFonts w:ascii="Arial" w:hAnsi="Arial" w:cs="Arial"/>
          <w:sz w:val="18"/>
          <w:szCs w:val="18"/>
        </w:rPr>
        <w:t>,</w:t>
      </w:r>
      <w:r w:rsidRPr="00EA72BF">
        <w:rPr>
          <w:rFonts w:ascii="Arial" w:hAnsi="Arial" w:cs="Arial"/>
          <w:sz w:val="18"/>
          <w:szCs w:val="18"/>
        </w:rPr>
        <w:t xml:space="preserve"> ‘The </w:t>
      </w:r>
      <w:r w:rsidR="00EF57CD" w:rsidRPr="00EA72BF">
        <w:rPr>
          <w:rFonts w:ascii="Arial" w:hAnsi="Arial" w:cs="Arial"/>
          <w:sz w:val="18"/>
          <w:szCs w:val="18"/>
        </w:rPr>
        <w:t>I</w:t>
      </w:r>
      <w:r w:rsidRPr="00EA72BF">
        <w:rPr>
          <w:rFonts w:ascii="Arial" w:hAnsi="Arial" w:cs="Arial"/>
          <w:sz w:val="18"/>
          <w:szCs w:val="18"/>
        </w:rPr>
        <w:t xml:space="preserve">deal </w:t>
      </w:r>
      <w:r w:rsidR="00EF57CD" w:rsidRPr="00EA72BF">
        <w:rPr>
          <w:rFonts w:ascii="Arial" w:hAnsi="Arial" w:cs="Arial"/>
          <w:sz w:val="18"/>
          <w:szCs w:val="18"/>
        </w:rPr>
        <w:t>V</w:t>
      </w:r>
      <w:r w:rsidRPr="00EA72BF">
        <w:rPr>
          <w:rFonts w:ascii="Arial" w:hAnsi="Arial" w:cs="Arial"/>
          <w:sz w:val="18"/>
          <w:szCs w:val="18"/>
        </w:rPr>
        <w:t xml:space="preserve">ictim’ in E Fattah (ed) </w:t>
      </w:r>
      <w:r w:rsidRPr="00EA72BF">
        <w:rPr>
          <w:rFonts w:ascii="Arial" w:hAnsi="Arial" w:cs="Arial"/>
          <w:i/>
          <w:iCs/>
          <w:sz w:val="18"/>
          <w:szCs w:val="18"/>
        </w:rPr>
        <w:t>From Crime Policy to Victim Policy: Reorientating the Justice System</w:t>
      </w:r>
      <w:r w:rsidRPr="00EA72BF">
        <w:rPr>
          <w:rFonts w:ascii="Arial" w:hAnsi="Arial" w:cs="Arial"/>
          <w:sz w:val="18"/>
          <w:szCs w:val="18"/>
        </w:rPr>
        <w:t xml:space="preserve"> (Spinger, 1986). Christie’s work has been influential</w:t>
      </w:r>
      <w:r w:rsidR="00EF57CD" w:rsidRPr="00EA72BF">
        <w:rPr>
          <w:rFonts w:ascii="Arial" w:hAnsi="Arial" w:cs="Arial"/>
          <w:sz w:val="18"/>
          <w:szCs w:val="18"/>
        </w:rPr>
        <w:t xml:space="preserve">; </w:t>
      </w:r>
      <w:r w:rsidRPr="00EA72BF">
        <w:rPr>
          <w:rFonts w:ascii="Arial" w:hAnsi="Arial" w:cs="Arial"/>
          <w:sz w:val="18"/>
          <w:szCs w:val="18"/>
        </w:rPr>
        <w:t>see</w:t>
      </w:r>
      <w:r w:rsidR="00EF57CD" w:rsidRPr="00EA72BF">
        <w:rPr>
          <w:rFonts w:ascii="Arial" w:hAnsi="Arial" w:cs="Arial"/>
          <w:sz w:val="18"/>
          <w:szCs w:val="18"/>
        </w:rPr>
        <w:t>,</w:t>
      </w:r>
      <w:r w:rsidRPr="00EA72BF">
        <w:rPr>
          <w:rFonts w:ascii="Arial" w:hAnsi="Arial" w:cs="Arial"/>
          <w:sz w:val="18"/>
          <w:szCs w:val="18"/>
        </w:rPr>
        <w:t xml:space="preserve"> for example</w:t>
      </w:r>
      <w:r w:rsidR="00EF57CD" w:rsidRPr="00EA72BF">
        <w:rPr>
          <w:rFonts w:ascii="Arial" w:hAnsi="Arial" w:cs="Arial"/>
          <w:sz w:val="18"/>
          <w:szCs w:val="18"/>
        </w:rPr>
        <w:t>,</w:t>
      </w:r>
      <w:r w:rsidRPr="00EA72BF">
        <w:rPr>
          <w:rFonts w:ascii="Arial" w:hAnsi="Arial" w:cs="Arial"/>
          <w:sz w:val="18"/>
          <w:szCs w:val="18"/>
        </w:rPr>
        <w:t xml:space="preserve"> M Duggan (ed)</w:t>
      </w:r>
      <w:r w:rsidR="00EF57CD" w:rsidRPr="00EA72BF">
        <w:rPr>
          <w:rFonts w:ascii="Arial" w:hAnsi="Arial" w:cs="Arial"/>
          <w:sz w:val="18"/>
          <w:szCs w:val="18"/>
        </w:rPr>
        <w:t xml:space="preserve">, </w:t>
      </w:r>
      <w:r w:rsidRPr="00EA72BF">
        <w:rPr>
          <w:rFonts w:ascii="Arial" w:hAnsi="Arial" w:cs="Arial"/>
          <w:i/>
          <w:iCs/>
          <w:sz w:val="18"/>
          <w:szCs w:val="18"/>
        </w:rPr>
        <w:t>Revisiting the ‘Ideal Victim’: Developments in Critical Victimology</w:t>
      </w:r>
      <w:r w:rsidRPr="00EA72BF">
        <w:rPr>
          <w:rFonts w:ascii="Arial" w:hAnsi="Arial" w:cs="Arial"/>
          <w:sz w:val="18"/>
          <w:szCs w:val="18"/>
        </w:rPr>
        <w:t xml:space="preserve"> (Policy Press, 2018)</w:t>
      </w:r>
      <w:r w:rsidR="00407C32">
        <w:rPr>
          <w:rFonts w:ascii="Arial" w:hAnsi="Arial" w:cs="Arial"/>
          <w:sz w:val="18"/>
          <w:szCs w:val="18"/>
        </w:rPr>
        <w:t>.</w:t>
      </w:r>
    </w:p>
  </w:footnote>
  <w:footnote w:id="28">
    <w:p w14:paraId="72EB7BB9" w14:textId="0B724589"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Taylor</w:t>
      </w:r>
      <w:r w:rsidR="00EF57CD" w:rsidRPr="00EA72BF">
        <w:rPr>
          <w:rFonts w:ascii="Arial" w:hAnsi="Arial" w:cs="Arial"/>
          <w:sz w:val="18"/>
          <w:szCs w:val="18"/>
        </w:rPr>
        <w:t xml:space="preserve">, </w:t>
      </w:r>
      <w:r w:rsidR="00EF57CD" w:rsidRPr="00EA72BF">
        <w:rPr>
          <w:rFonts w:ascii="Arial" w:hAnsi="Arial" w:cs="Arial"/>
          <w:i/>
          <w:iCs/>
          <w:sz w:val="18"/>
          <w:szCs w:val="18"/>
        </w:rPr>
        <w:t>Why Women are Blamed for Everything: Exposing the Culture of Victim Blaming</w:t>
      </w:r>
      <w:r w:rsidR="00EF57CD" w:rsidRPr="00EA72BF">
        <w:rPr>
          <w:rFonts w:ascii="Arial" w:hAnsi="Arial" w:cs="Arial"/>
          <w:sz w:val="18"/>
          <w:szCs w:val="18"/>
        </w:rPr>
        <w:t xml:space="preserve">, </w:t>
      </w:r>
      <w:r w:rsidRPr="00EA72BF">
        <w:rPr>
          <w:rFonts w:ascii="Arial" w:hAnsi="Arial" w:cs="Arial"/>
          <w:sz w:val="18"/>
          <w:szCs w:val="18"/>
        </w:rPr>
        <w:t>n 2</w:t>
      </w:r>
      <w:r w:rsidR="00EF57CD" w:rsidRPr="00EA72BF">
        <w:rPr>
          <w:rFonts w:ascii="Arial" w:hAnsi="Arial" w:cs="Arial"/>
          <w:sz w:val="18"/>
          <w:szCs w:val="18"/>
        </w:rPr>
        <w:t>4 above</w:t>
      </w:r>
      <w:r w:rsidRPr="00EA72BF">
        <w:rPr>
          <w:rFonts w:ascii="Arial" w:hAnsi="Arial" w:cs="Arial"/>
          <w:sz w:val="18"/>
          <w:szCs w:val="18"/>
        </w:rPr>
        <w:t>. See also J Taylor</w:t>
      </w:r>
      <w:r w:rsidR="00EF57CD"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Sexy But Psycho: How Patriarchy Uses Women’s Trauma Against Them</w:t>
      </w:r>
      <w:r w:rsidRPr="00EA72BF">
        <w:rPr>
          <w:rFonts w:ascii="Arial" w:hAnsi="Arial" w:cs="Arial"/>
          <w:sz w:val="18"/>
          <w:szCs w:val="18"/>
        </w:rPr>
        <w:t xml:space="preserve"> (Constable, 2023)</w:t>
      </w:r>
      <w:r w:rsidR="00407C32">
        <w:rPr>
          <w:rFonts w:ascii="Arial" w:hAnsi="Arial" w:cs="Arial"/>
          <w:sz w:val="18"/>
          <w:szCs w:val="18"/>
        </w:rPr>
        <w:t>.</w:t>
      </w:r>
    </w:p>
  </w:footnote>
  <w:footnote w:id="29">
    <w:p w14:paraId="4EF661F7" w14:textId="533A6E7D"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H Kennedy</w:t>
      </w:r>
      <w:r w:rsidR="00EF57CD"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Eve was Framed</w:t>
      </w:r>
      <w:r w:rsidRPr="00EA72BF">
        <w:rPr>
          <w:rFonts w:ascii="Arial" w:hAnsi="Arial" w:cs="Arial"/>
          <w:sz w:val="18"/>
          <w:szCs w:val="18"/>
        </w:rPr>
        <w:t xml:space="preserve"> (Penguin, 1992), 95. </w:t>
      </w:r>
    </w:p>
  </w:footnote>
  <w:footnote w:id="30">
    <w:p w14:paraId="5D192103" w14:textId="03AD9631"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H Kennedy</w:t>
      </w:r>
      <w:r w:rsidR="00EF57CD"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Eve was Shamed</w:t>
      </w:r>
      <w:r w:rsidRPr="00EA72BF">
        <w:rPr>
          <w:rFonts w:ascii="Arial" w:hAnsi="Arial" w:cs="Arial"/>
          <w:sz w:val="18"/>
          <w:szCs w:val="18"/>
        </w:rPr>
        <w:t xml:space="preserve"> (Penguin, 2018). </w:t>
      </w:r>
    </w:p>
  </w:footnote>
  <w:footnote w:id="31">
    <w:p w14:paraId="28145997" w14:textId="5F36D1AC"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R Cowan</w:t>
      </w:r>
      <w:r w:rsidR="00EF57CD" w:rsidRPr="00EA72BF">
        <w:rPr>
          <w:rFonts w:ascii="Arial" w:hAnsi="Arial" w:cs="Arial"/>
          <w:sz w:val="18"/>
          <w:szCs w:val="18"/>
        </w:rPr>
        <w:t>,</w:t>
      </w:r>
      <w:r w:rsidRPr="00EA72BF">
        <w:rPr>
          <w:rFonts w:ascii="Arial" w:hAnsi="Arial" w:cs="Arial"/>
          <w:sz w:val="18"/>
          <w:szCs w:val="18"/>
        </w:rPr>
        <w:t xml:space="preserve"> ‘Asking For It’ in R Killean, E Dowds and AM McAlinden (eds)</w:t>
      </w:r>
      <w:r w:rsidR="00EF57CD"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Sexual Violence on Trial: Local and Comparative Perspectives</w:t>
      </w:r>
      <w:r w:rsidRPr="00EA72BF">
        <w:rPr>
          <w:rFonts w:ascii="Arial" w:hAnsi="Arial" w:cs="Arial"/>
          <w:sz w:val="18"/>
          <w:szCs w:val="18"/>
        </w:rPr>
        <w:t xml:space="preserve"> (Routledge, 2021)</w:t>
      </w:r>
      <w:r w:rsidR="00EF57CD" w:rsidRPr="00EA72BF">
        <w:rPr>
          <w:rFonts w:ascii="Arial" w:hAnsi="Arial" w:cs="Arial"/>
          <w:sz w:val="18"/>
          <w:szCs w:val="18"/>
        </w:rPr>
        <w:t>.</w:t>
      </w:r>
    </w:p>
  </w:footnote>
  <w:footnote w:id="32">
    <w:p w14:paraId="2FBDC61B" w14:textId="753A6DA2" w:rsidR="003A4C05" w:rsidRPr="00EA72BF" w:rsidRDefault="003A4C05" w:rsidP="003A436E">
      <w:pPr>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K Kohl and B Stanko</w:t>
      </w:r>
      <w:r w:rsidR="00EF57CD" w:rsidRPr="00EA72BF">
        <w:rPr>
          <w:rFonts w:ascii="Arial" w:hAnsi="Arial" w:cs="Arial"/>
          <w:sz w:val="18"/>
          <w:szCs w:val="18"/>
        </w:rPr>
        <w:t>,</w:t>
      </w:r>
      <w:r w:rsidRPr="00EA72BF">
        <w:rPr>
          <w:rFonts w:ascii="Arial" w:hAnsi="Arial" w:cs="Arial"/>
          <w:sz w:val="18"/>
          <w:szCs w:val="18"/>
        </w:rPr>
        <w:t xml:space="preserve"> ‘Complaints </w:t>
      </w:r>
      <w:r w:rsidR="00EF57CD" w:rsidRPr="00EA72BF">
        <w:rPr>
          <w:rFonts w:ascii="Arial" w:hAnsi="Arial" w:cs="Arial"/>
          <w:sz w:val="18"/>
          <w:szCs w:val="18"/>
        </w:rPr>
        <w:t xml:space="preserve">of Rape and the Criminal Justice System: </w:t>
      </w:r>
      <w:r w:rsidRPr="00EA72BF">
        <w:rPr>
          <w:rFonts w:ascii="Arial" w:hAnsi="Arial" w:cs="Arial"/>
          <w:sz w:val="18"/>
          <w:szCs w:val="18"/>
        </w:rPr>
        <w:t xml:space="preserve">Fresh </w:t>
      </w:r>
      <w:r w:rsidR="00EF57CD" w:rsidRPr="00EA72BF">
        <w:rPr>
          <w:rFonts w:ascii="Arial" w:hAnsi="Arial" w:cs="Arial"/>
          <w:sz w:val="18"/>
          <w:szCs w:val="18"/>
        </w:rPr>
        <w:t xml:space="preserve">Evidence on the Attrition Problem in </w:t>
      </w:r>
      <w:r w:rsidRPr="00EA72BF">
        <w:rPr>
          <w:rFonts w:ascii="Arial" w:hAnsi="Arial" w:cs="Arial"/>
          <w:sz w:val="18"/>
          <w:szCs w:val="18"/>
        </w:rPr>
        <w:t xml:space="preserve">England </w:t>
      </w:r>
      <w:r w:rsidR="00EF57CD" w:rsidRPr="00EA72BF">
        <w:rPr>
          <w:rFonts w:ascii="Arial" w:hAnsi="Arial" w:cs="Arial"/>
          <w:sz w:val="18"/>
          <w:szCs w:val="18"/>
        </w:rPr>
        <w:t xml:space="preserve">and </w:t>
      </w:r>
      <w:r w:rsidRPr="00EA72BF">
        <w:rPr>
          <w:rFonts w:ascii="Arial" w:hAnsi="Arial" w:cs="Arial"/>
          <w:sz w:val="18"/>
          <w:szCs w:val="18"/>
        </w:rPr>
        <w:t>Wales</w:t>
      </w:r>
      <w:r w:rsidR="00841FB3" w:rsidRPr="00EA72BF">
        <w:rPr>
          <w:rFonts w:ascii="Arial" w:hAnsi="Arial" w:cs="Arial"/>
          <w:sz w:val="18"/>
          <w:szCs w:val="18"/>
        </w:rPr>
        <w:t>’</w:t>
      </w:r>
      <w:r w:rsidRPr="00EA72BF">
        <w:rPr>
          <w:rFonts w:ascii="Arial" w:hAnsi="Arial" w:cs="Arial"/>
          <w:sz w:val="18"/>
          <w:szCs w:val="18"/>
        </w:rPr>
        <w:t xml:space="preserve"> (2015) </w:t>
      </w:r>
      <w:r w:rsidR="00681C58" w:rsidRPr="00EA72BF">
        <w:rPr>
          <w:rFonts w:ascii="Arial" w:hAnsi="Arial" w:cs="Arial"/>
          <w:sz w:val="18"/>
          <w:szCs w:val="18"/>
        </w:rPr>
        <w:t xml:space="preserve">12(3) </w:t>
      </w:r>
      <w:r w:rsidRPr="00EA72BF">
        <w:rPr>
          <w:rFonts w:ascii="Arial" w:hAnsi="Arial" w:cs="Arial"/>
          <w:i/>
          <w:iCs/>
          <w:sz w:val="18"/>
          <w:szCs w:val="18"/>
        </w:rPr>
        <w:t>European Journal of Criminology</w:t>
      </w:r>
      <w:r w:rsidRPr="00EA72BF">
        <w:rPr>
          <w:rFonts w:ascii="Arial" w:hAnsi="Arial" w:cs="Arial"/>
          <w:sz w:val="18"/>
          <w:szCs w:val="18"/>
        </w:rPr>
        <w:t xml:space="preserve"> 324-341; K Kohl and B Stanko</w:t>
      </w:r>
      <w:r w:rsidR="00EF57CD" w:rsidRPr="00EA72BF">
        <w:rPr>
          <w:rFonts w:ascii="Arial" w:hAnsi="Arial" w:cs="Arial"/>
          <w:sz w:val="18"/>
          <w:szCs w:val="18"/>
        </w:rPr>
        <w:t>,</w:t>
      </w:r>
      <w:r w:rsidRPr="00EA72BF">
        <w:rPr>
          <w:rFonts w:ascii="Arial" w:hAnsi="Arial" w:cs="Arial"/>
          <w:sz w:val="18"/>
          <w:szCs w:val="18"/>
        </w:rPr>
        <w:t xml:space="preserve"> ‘Five Pillars: A Framework for </w:t>
      </w:r>
      <w:r w:rsidR="00EF57CD" w:rsidRPr="00EA72BF">
        <w:rPr>
          <w:rFonts w:ascii="Arial" w:hAnsi="Arial" w:cs="Arial"/>
          <w:sz w:val="18"/>
          <w:szCs w:val="18"/>
        </w:rPr>
        <w:t>T</w:t>
      </w:r>
      <w:r w:rsidRPr="00EA72BF">
        <w:rPr>
          <w:rFonts w:ascii="Arial" w:hAnsi="Arial" w:cs="Arial"/>
          <w:sz w:val="18"/>
          <w:szCs w:val="18"/>
        </w:rPr>
        <w:t xml:space="preserve">ransforming the </w:t>
      </w:r>
      <w:r w:rsidR="00EF57CD" w:rsidRPr="00EA72BF">
        <w:rPr>
          <w:rFonts w:ascii="Arial" w:hAnsi="Arial" w:cs="Arial"/>
          <w:sz w:val="18"/>
          <w:szCs w:val="18"/>
        </w:rPr>
        <w:t>P</w:t>
      </w:r>
      <w:r w:rsidRPr="00EA72BF">
        <w:rPr>
          <w:rFonts w:ascii="Arial" w:hAnsi="Arial" w:cs="Arial"/>
          <w:sz w:val="18"/>
          <w:szCs w:val="18"/>
        </w:rPr>
        <w:t xml:space="preserve">olice </w:t>
      </w:r>
      <w:r w:rsidR="00EF57CD" w:rsidRPr="00EA72BF">
        <w:rPr>
          <w:rFonts w:ascii="Arial" w:hAnsi="Arial" w:cs="Arial"/>
          <w:sz w:val="18"/>
          <w:szCs w:val="18"/>
        </w:rPr>
        <w:t>R</w:t>
      </w:r>
      <w:r w:rsidRPr="00EA72BF">
        <w:rPr>
          <w:rFonts w:ascii="Arial" w:hAnsi="Arial" w:cs="Arial"/>
          <w:sz w:val="18"/>
          <w:szCs w:val="18"/>
        </w:rPr>
        <w:t xml:space="preserve">esponse to </w:t>
      </w:r>
      <w:r w:rsidR="00EF57CD" w:rsidRPr="00EA72BF">
        <w:rPr>
          <w:rFonts w:ascii="Arial" w:hAnsi="Arial" w:cs="Arial"/>
          <w:sz w:val="18"/>
          <w:szCs w:val="18"/>
        </w:rPr>
        <w:t>R</w:t>
      </w:r>
      <w:r w:rsidRPr="00EA72BF">
        <w:rPr>
          <w:rFonts w:ascii="Arial" w:hAnsi="Arial" w:cs="Arial"/>
          <w:sz w:val="18"/>
          <w:szCs w:val="18"/>
        </w:rPr>
        <w:t xml:space="preserve">ape and </w:t>
      </w:r>
      <w:r w:rsidR="00EF57CD" w:rsidRPr="00EA72BF">
        <w:rPr>
          <w:rFonts w:ascii="Arial" w:hAnsi="Arial" w:cs="Arial"/>
          <w:sz w:val="18"/>
          <w:szCs w:val="18"/>
        </w:rPr>
        <w:t>S</w:t>
      </w:r>
      <w:r w:rsidRPr="00EA72BF">
        <w:rPr>
          <w:rFonts w:ascii="Arial" w:hAnsi="Arial" w:cs="Arial"/>
          <w:sz w:val="18"/>
          <w:szCs w:val="18"/>
        </w:rPr>
        <w:t xml:space="preserve">exual </w:t>
      </w:r>
      <w:r w:rsidR="00EF57CD" w:rsidRPr="00EA72BF">
        <w:rPr>
          <w:rFonts w:ascii="Arial" w:hAnsi="Arial" w:cs="Arial"/>
          <w:sz w:val="18"/>
          <w:szCs w:val="18"/>
        </w:rPr>
        <w:t>A</w:t>
      </w:r>
      <w:r w:rsidRPr="00EA72BF">
        <w:rPr>
          <w:rFonts w:ascii="Arial" w:hAnsi="Arial" w:cs="Arial"/>
          <w:sz w:val="18"/>
          <w:szCs w:val="18"/>
        </w:rPr>
        <w:t>ssault’ (2022)</w:t>
      </w:r>
      <w:r w:rsidR="00681C58" w:rsidRPr="00EA72BF">
        <w:rPr>
          <w:rFonts w:ascii="Arial" w:hAnsi="Arial" w:cs="Arial"/>
          <w:sz w:val="18"/>
          <w:szCs w:val="18"/>
        </w:rPr>
        <w:t xml:space="preserve"> 2</w:t>
      </w:r>
      <w:r w:rsidRPr="00EA72BF">
        <w:rPr>
          <w:rFonts w:ascii="Arial" w:hAnsi="Arial" w:cs="Arial"/>
          <w:sz w:val="18"/>
          <w:szCs w:val="18"/>
        </w:rPr>
        <w:t xml:space="preserve"> </w:t>
      </w:r>
      <w:r w:rsidRPr="00EA72BF">
        <w:rPr>
          <w:rFonts w:ascii="Arial" w:hAnsi="Arial" w:cs="Arial"/>
          <w:i/>
          <w:iCs/>
          <w:sz w:val="18"/>
          <w:szCs w:val="18"/>
        </w:rPr>
        <w:t>International Criminology</w:t>
      </w:r>
      <w:r w:rsidRPr="00EA72BF">
        <w:rPr>
          <w:rFonts w:ascii="Arial" w:hAnsi="Arial" w:cs="Arial"/>
          <w:sz w:val="18"/>
          <w:szCs w:val="18"/>
        </w:rPr>
        <w:t xml:space="preserve"> 222-229</w:t>
      </w:r>
      <w:r w:rsidR="00681C58" w:rsidRPr="00EA72BF">
        <w:rPr>
          <w:rFonts w:ascii="Arial" w:hAnsi="Arial" w:cs="Arial"/>
          <w:sz w:val="18"/>
          <w:szCs w:val="18"/>
        </w:rPr>
        <w:t>.</w:t>
      </w:r>
    </w:p>
  </w:footnote>
  <w:footnote w:id="33">
    <w:p w14:paraId="1E65C1E4" w14:textId="7962497D" w:rsidR="003A4C05" w:rsidRPr="00EA72BF" w:rsidRDefault="003A4C05" w:rsidP="003A436E">
      <w:pPr>
        <w:spacing w:after="0" w:line="240" w:lineRule="auto"/>
        <w:ind w:right="120"/>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E Sleath and R Bull, ‘</w:t>
      </w:r>
      <w:r w:rsidRPr="00EA72BF">
        <w:rPr>
          <w:rFonts w:ascii="Arial" w:hAnsi="Arial" w:cs="Arial"/>
          <w:sz w:val="18"/>
          <w:szCs w:val="18"/>
          <w:shd w:val="clear" w:color="auto" w:fill="FFFFFF"/>
        </w:rPr>
        <w:t xml:space="preserve">Comparing </w:t>
      </w:r>
      <w:r w:rsidR="00EF57CD" w:rsidRPr="00EA72BF">
        <w:rPr>
          <w:rFonts w:ascii="Arial" w:hAnsi="Arial" w:cs="Arial"/>
          <w:sz w:val="18"/>
          <w:szCs w:val="18"/>
          <w:shd w:val="clear" w:color="auto" w:fill="FFFFFF"/>
        </w:rPr>
        <w:t xml:space="preserve">Rape Victim and Perpetrator Blaming in a Police Officer Sample: </w:t>
      </w:r>
      <w:r w:rsidRPr="00EA72BF">
        <w:rPr>
          <w:rFonts w:ascii="Arial" w:hAnsi="Arial" w:cs="Arial"/>
          <w:sz w:val="18"/>
          <w:szCs w:val="18"/>
          <w:shd w:val="clear" w:color="auto" w:fill="FFFFFF"/>
        </w:rPr>
        <w:t xml:space="preserve">Differences </w:t>
      </w:r>
      <w:r w:rsidR="00EF57CD" w:rsidRPr="00EA72BF">
        <w:rPr>
          <w:rFonts w:ascii="Arial" w:hAnsi="Arial" w:cs="Arial"/>
          <w:sz w:val="18"/>
          <w:szCs w:val="18"/>
          <w:shd w:val="clear" w:color="auto" w:fill="FFFFFF"/>
        </w:rPr>
        <w:t xml:space="preserve">between Police Officers with and without Special Training’ </w:t>
      </w:r>
      <w:r w:rsidRPr="00EA72BF">
        <w:rPr>
          <w:rFonts w:ascii="Arial" w:hAnsi="Arial" w:cs="Arial"/>
          <w:sz w:val="18"/>
          <w:szCs w:val="18"/>
          <w:shd w:val="clear" w:color="auto" w:fill="FFFFFF"/>
        </w:rPr>
        <w:t>(2012) </w:t>
      </w:r>
      <w:r w:rsidR="00681C58" w:rsidRPr="00EA72BF">
        <w:rPr>
          <w:rStyle w:val="Emphasis"/>
          <w:rFonts w:ascii="Arial" w:hAnsi="Arial" w:cs="Arial"/>
          <w:sz w:val="18"/>
          <w:szCs w:val="18"/>
          <w:shd w:val="clear" w:color="auto" w:fill="FFFFFF"/>
        </w:rPr>
        <w:t>39</w:t>
      </w:r>
      <w:r w:rsidR="00681C58" w:rsidRPr="00EA72BF">
        <w:rPr>
          <w:rFonts w:ascii="Arial" w:hAnsi="Arial" w:cs="Arial"/>
          <w:sz w:val="18"/>
          <w:szCs w:val="18"/>
          <w:shd w:val="clear" w:color="auto" w:fill="FFFFFF"/>
        </w:rPr>
        <w:t xml:space="preserve">(5) </w:t>
      </w:r>
      <w:r w:rsidRPr="00EA72BF">
        <w:rPr>
          <w:rStyle w:val="Emphasis"/>
          <w:rFonts w:ascii="Arial" w:hAnsi="Arial" w:cs="Arial"/>
          <w:sz w:val="18"/>
          <w:szCs w:val="18"/>
          <w:shd w:val="clear" w:color="auto" w:fill="FFFFFF"/>
        </w:rPr>
        <w:t xml:space="preserve">Criminal Justice and Behavior </w:t>
      </w:r>
      <w:r w:rsidRPr="00EA72BF">
        <w:rPr>
          <w:rFonts w:ascii="Arial" w:hAnsi="Arial" w:cs="Arial"/>
          <w:sz w:val="18"/>
          <w:szCs w:val="18"/>
          <w:shd w:val="clear" w:color="auto" w:fill="FFFFFF"/>
        </w:rPr>
        <w:t xml:space="preserve">646–665; E </w:t>
      </w:r>
      <w:r w:rsidRPr="00EA72BF">
        <w:rPr>
          <w:rFonts w:ascii="Arial" w:hAnsi="Arial" w:cs="Arial"/>
          <w:sz w:val="18"/>
          <w:szCs w:val="18"/>
        </w:rPr>
        <w:t>Sleath and R Bul</w:t>
      </w:r>
      <w:r w:rsidR="00681C58" w:rsidRPr="00EA72BF">
        <w:rPr>
          <w:rFonts w:ascii="Arial" w:hAnsi="Arial" w:cs="Arial"/>
          <w:sz w:val="18"/>
          <w:szCs w:val="18"/>
        </w:rPr>
        <w:t>,</w:t>
      </w:r>
      <w:r w:rsidRPr="00EA72BF">
        <w:rPr>
          <w:rFonts w:ascii="Arial" w:hAnsi="Arial" w:cs="Arial"/>
          <w:sz w:val="18"/>
          <w:szCs w:val="18"/>
        </w:rPr>
        <w:t>l (2015)</w:t>
      </w:r>
      <w:r w:rsidRPr="00EA72BF">
        <w:rPr>
          <w:rFonts w:ascii="Arial" w:hAnsi="Arial" w:cs="Arial"/>
          <w:sz w:val="18"/>
          <w:szCs w:val="18"/>
          <w:shd w:val="clear" w:color="auto" w:fill="FFFFFF"/>
        </w:rPr>
        <w:t xml:space="preserve"> ‘A </w:t>
      </w:r>
      <w:r w:rsidR="00681C58" w:rsidRPr="00EA72BF">
        <w:rPr>
          <w:rFonts w:ascii="Arial" w:hAnsi="Arial" w:cs="Arial"/>
          <w:sz w:val="18"/>
          <w:szCs w:val="18"/>
          <w:shd w:val="clear" w:color="auto" w:fill="FFFFFF"/>
        </w:rPr>
        <w:t xml:space="preserve">Brief Report on Rape Myth Acceptance: </w:t>
      </w:r>
      <w:r w:rsidRPr="00EA72BF">
        <w:rPr>
          <w:rFonts w:ascii="Arial" w:hAnsi="Arial" w:cs="Arial"/>
          <w:sz w:val="18"/>
          <w:szCs w:val="18"/>
          <w:shd w:val="clear" w:color="auto" w:fill="FFFFFF"/>
        </w:rPr>
        <w:t xml:space="preserve">Differences </w:t>
      </w:r>
      <w:r w:rsidR="00681C58" w:rsidRPr="00EA72BF">
        <w:rPr>
          <w:rFonts w:ascii="Arial" w:hAnsi="Arial" w:cs="Arial"/>
          <w:sz w:val="18"/>
          <w:szCs w:val="18"/>
          <w:shd w:val="clear" w:color="auto" w:fill="FFFFFF"/>
        </w:rPr>
        <w:t xml:space="preserve">between Police Officers, Law Students, and Psychology Students in the </w:t>
      </w:r>
      <w:r w:rsidRPr="00EA72BF">
        <w:rPr>
          <w:rFonts w:ascii="Arial" w:hAnsi="Arial" w:cs="Arial"/>
          <w:sz w:val="18"/>
          <w:szCs w:val="18"/>
          <w:shd w:val="clear" w:color="auto" w:fill="FFFFFF"/>
        </w:rPr>
        <w:t xml:space="preserve">United Kingdom’ (2015) </w:t>
      </w:r>
      <w:r w:rsidR="00681C58" w:rsidRPr="00EA72BF">
        <w:rPr>
          <w:rStyle w:val="Emphasis"/>
          <w:rFonts w:ascii="Arial" w:hAnsi="Arial" w:cs="Arial"/>
          <w:i w:val="0"/>
          <w:iCs w:val="0"/>
          <w:sz w:val="18"/>
          <w:szCs w:val="18"/>
          <w:shd w:val="clear" w:color="auto" w:fill="FFFFFF"/>
        </w:rPr>
        <w:t>30</w:t>
      </w:r>
      <w:r w:rsidR="00681C58" w:rsidRPr="00EA72BF">
        <w:rPr>
          <w:rFonts w:ascii="Arial" w:hAnsi="Arial" w:cs="Arial"/>
          <w:sz w:val="18"/>
          <w:szCs w:val="18"/>
          <w:shd w:val="clear" w:color="auto" w:fill="FFFFFF"/>
        </w:rPr>
        <w:t xml:space="preserve">(1) </w:t>
      </w:r>
      <w:r w:rsidRPr="00EA72BF">
        <w:rPr>
          <w:rStyle w:val="Emphasis"/>
          <w:rFonts w:ascii="Arial" w:hAnsi="Arial" w:cs="Arial"/>
          <w:sz w:val="18"/>
          <w:szCs w:val="18"/>
          <w:shd w:val="clear" w:color="auto" w:fill="FFFFFF"/>
        </w:rPr>
        <w:t>Violence and Victims</w:t>
      </w:r>
      <w:r w:rsidR="00681C58" w:rsidRPr="00EA72BF">
        <w:rPr>
          <w:rStyle w:val="Emphasis"/>
          <w:rFonts w:ascii="Arial" w:hAnsi="Arial" w:cs="Arial"/>
          <w:sz w:val="18"/>
          <w:szCs w:val="18"/>
          <w:shd w:val="clear" w:color="auto" w:fill="FFFFFF"/>
        </w:rPr>
        <w:t xml:space="preserve"> </w:t>
      </w:r>
      <w:r w:rsidRPr="00EA72BF">
        <w:rPr>
          <w:rFonts w:ascii="Arial" w:hAnsi="Arial" w:cs="Arial"/>
          <w:sz w:val="18"/>
          <w:szCs w:val="18"/>
          <w:shd w:val="clear" w:color="auto" w:fill="FFFFFF"/>
        </w:rPr>
        <w:t>136-147.</w:t>
      </w:r>
    </w:p>
  </w:footnote>
  <w:footnote w:id="34">
    <w:p w14:paraId="40CC17A1" w14:textId="16073398"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Taylor</w:t>
      </w:r>
      <w:r w:rsidR="00681C58" w:rsidRPr="00EA72BF">
        <w:rPr>
          <w:rFonts w:ascii="Arial" w:hAnsi="Arial" w:cs="Arial"/>
          <w:sz w:val="18"/>
          <w:szCs w:val="18"/>
        </w:rPr>
        <w:t>,</w:t>
      </w:r>
      <w:r w:rsidRPr="00EA72BF">
        <w:rPr>
          <w:rFonts w:ascii="Arial" w:hAnsi="Arial" w:cs="Arial"/>
          <w:sz w:val="18"/>
          <w:szCs w:val="18"/>
        </w:rPr>
        <w:t xml:space="preserve"> </w:t>
      </w:r>
      <w:r w:rsidR="00681C58" w:rsidRPr="00EA72BF">
        <w:rPr>
          <w:rFonts w:ascii="Arial" w:hAnsi="Arial" w:cs="Arial"/>
          <w:i/>
          <w:iCs/>
          <w:sz w:val="18"/>
          <w:szCs w:val="18"/>
        </w:rPr>
        <w:t>Why Women are Blamed for Everything: Exposing the Culture of Victim Blaming</w:t>
      </w:r>
      <w:r w:rsidR="00681C58" w:rsidRPr="00EA72BF">
        <w:rPr>
          <w:rFonts w:ascii="Arial" w:hAnsi="Arial" w:cs="Arial"/>
          <w:sz w:val="18"/>
          <w:szCs w:val="18"/>
        </w:rPr>
        <w:t>, n 24 above</w:t>
      </w:r>
      <w:r w:rsidRPr="00EA72BF">
        <w:rPr>
          <w:rFonts w:ascii="Arial" w:hAnsi="Arial" w:cs="Arial"/>
          <w:sz w:val="18"/>
          <w:szCs w:val="18"/>
        </w:rPr>
        <w:t>, 16.</w:t>
      </w:r>
    </w:p>
  </w:footnote>
  <w:footnote w:id="35">
    <w:p w14:paraId="70B3401F" w14:textId="35C2EBB4"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L Ellison and V Munro ‘A Stranger in the Bushes or an Elephant in the Room? Critical Reflections Upon Received Rape Myth Wisdom in the Context of a Mock Jury Study’ (2010) </w:t>
      </w:r>
      <w:r w:rsidR="00681C58" w:rsidRPr="00EA72BF">
        <w:rPr>
          <w:rFonts w:ascii="Arial" w:hAnsi="Arial" w:cs="Arial"/>
          <w:sz w:val="18"/>
          <w:szCs w:val="18"/>
        </w:rPr>
        <w:t xml:space="preserve">13(4) </w:t>
      </w:r>
      <w:r w:rsidRPr="00EA72BF">
        <w:rPr>
          <w:rFonts w:ascii="Arial" w:hAnsi="Arial" w:cs="Arial"/>
          <w:i/>
          <w:iCs/>
          <w:sz w:val="18"/>
          <w:szCs w:val="18"/>
        </w:rPr>
        <w:t>New Criminal Law Review</w:t>
      </w:r>
      <w:r w:rsidRPr="00EA72BF">
        <w:rPr>
          <w:rFonts w:ascii="Arial" w:hAnsi="Arial" w:cs="Arial"/>
          <w:sz w:val="18"/>
          <w:szCs w:val="18"/>
        </w:rPr>
        <w:t xml:space="preserve"> 781-801.</w:t>
      </w:r>
    </w:p>
  </w:footnote>
  <w:footnote w:id="36">
    <w:p w14:paraId="27AFCDCA" w14:textId="42437AC9" w:rsidR="003A4C05" w:rsidRPr="00EA72BF" w:rsidRDefault="003A4C05" w:rsidP="003A436E">
      <w:pPr>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J Chalmers, F Leverick and V Munro</w:t>
      </w:r>
      <w:r w:rsidR="00681C58" w:rsidRPr="00EA72BF">
        <w:rPr>
          <w:rFonts w:ascii="Arial" w:hAnsi="Arial" w:cs="Arial"/>
          <w:sz w:val="18"/>
          <w:szCs w:val="18"/>
        </w:rPr>
        <w:t>,</w:t>
      </w:r>
      <w:r w:rsidRPr="00EA72BF">
        <w:rPr>
          <w:rFonts w:ascii="Arial" w:hAnsi="Arial" w:cs="Arial"/>
          <w:sz w:val="18"/>
          <w:szCs w:val="18"/>
        </w:rPr>
        <w:t xml:space="preserve"> ‘Why </w:t>
      </w:r>
      <w:r w:rsidR="00681C58" w:rsidRPr="00EA72BF">
        <w:rPr>
          <w:rFonts w:ascii="Arial" w:hAnsi="Arial" w:cs="Arial"/>
          <w:sz w:val="18"/>
          <w:szCs w:val="18"/>
        </w:rPr>
        <w:t xml:space="preserve">the Jury is, and still should be, Out on Rape Deliberation’ </w:t>
      </w:r>
      <w:r w:rsidRPr="00EA72BF">
        <w:rPr>
          <w:rFonts w:ascii="Arial" w:hAnsi="Arial" w:cs="Arial"/>
          <w:sz w:val="18"/>
          <w:szCs w:val="18"/>
        </w:rPr>
        <w:t xml:space="preserve">(2021) </w:t>
      </w:r>
      <w:r w:rsidRPr="00EA72BF">
        <w:rPr>
          <w:rFonts w:ascii="Arial" w:hAnsi="Arial" w:cs="Arial"/>
          <w:i/>
          <w:iCs/>
          <w:sz w:val="18"/>
          <w:szCs w:val="18"/>
        </w:rPr>
        <w:t>Criminal Law Review</w:t>
      </w:r>
      <w:r w:rsidRPr="00EA72BF">
        <w:rPr>
          <w:rFonts w:ascii="Arial" w:hAnsi="Arial" w:cs="Arial"/>
          <w:sz w:val="18"/>
          <w:szCs w:val="18"/>
        </w:rPr>
        <w:t xml:space="preserve"> 753-771.</w:t>
      </w:r>
    </w:p>
  </w:footnote>
  <w:footnote w:id="37">
    <w:p w14:paraId="1E7680D9" w14:textId="39D179EC" w:rsidR="003A4C05" w:rsidRPr="00EA72BF" w:rsidRDefault="003A4C05" w:rsidP="003A436E">
      <w:pPr>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L Ellison and V Munro</w:t>
      </w:r>
      <w:r w:rsidR="003A436E" w:rsidRPr="00EA72BF">
        <w:rPr>
          <w:rFonts w:ascii="Arial" w:hAnsi="Arial" w:cs="Arial"/>
          <w:sz w:val="18"/>
          <w:szCs w:val="18"/>
        </w:rPr>
        <w:t>,</w:t>
      </w:r>
      <w:r w:rsidRPr="00EA72BF">
        <w:rPr>
          <w:rFonts w:ascii="Arial" w:hAnsi="Arial" w:cs="Arial"/>
          <w:sz w:val="18"/>
          <w:szCs w:val="18"/>
        </w:rPr>
        <w:t xml:space="preserve"> ‘‘Better the Devil You Know? “Real Rape” Stereotypes and The Relevance of a Previous Relationship in (Mock) Juror Deliberation’ </w:t>
      </w:r>
      <w:r w:rsidRPr="00EA72BF">
        <w:rPr>
          <w:rFonts w:ascii="Arial" w:hAnsi="Arial" w:cs="Arial"/>
          <w:iCs/>
          <w:sz w:val="18"/>
          <w:szCs w:val="18"/>
        </w:rPr>
        <w:t>(2013)</w:t>
      </w:r>
      <w:r w:rsidRPr="00EA72BF">
        <w:rPr>
          <w:rFonts w:ascii="Arial" w:hAnsi="Arial" w:cs="Arial"/>
          <w:i/>
          <w:sz w:val="18"/>
          <w:szCs w:val="18"/>
        </w:rPr>
        <w:t xml:space="preserve"> </w:t>
      </w:r>
      <w:r w:rsidR="00F4319C" w:rsidRPr="00EA72BF">
        <w:rPr>
          <w:rFonts w:ascii="Arial" w:hAnsi="Arial" w:cs="Arial"/>
          <w:sz w:val="18"/>
          <w:szCs w:val="18"/>
        </w:rPr>
        <w:t xml:space="preserve">17(4) </w:t>
      </w:r>
      <w:r w:rsidRPr="00EA72BF">
        <w:rPr>
          <w:rFonts w:ascii="Arial" w:hAnsi="Arial" w:cs="Arial"/>
          <w:i/>
          <w:sz w:val="18"/>
          <w:szCs w:val="18"/>
        </w:rPr>
        <w:t>International Journal of Evidence and Proof</w:t>
      </w:r>
      <w:r w:rsidRPr="00EA72BF">
        <w:rPr>
          <w:rFonts w:ascii="Arial" w:hAnsi="Arial" w:cs="Arial"/>
          <w:sz w:val="18"/>
          <w:szCs w:val="18"/>
        </w:rPr>
        <w:t xml:space="preserve"> 299.</w:t>
      </w:r>
    </w:p>
  </w:footnote>
  <w:footnote w:id="38">
    <w:p w14:paraId="190A18BE" w14:textId="62B700E6" w:rsidR="003A4C05" w:rsidRPr="00EA72BF" w:rsidRDefault="003A4C05" w:rsidP="003A436E">
      <w:pPr>
        <w:spacing w:after="0" w:line="240" w:lineRule="auto"/>
        <w:ind w:right="120"/>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C Thomas</w:t>
      </w:r>
      <w:r w:rsidR="00F4319C" w:rsidRPr="00EA72BF">
        <w:rPr>
          <w:rFonts w:ascii="Arial" w:hAnsi="Arial" w:cs="Arial"/>
          <w:sz w:val="18"/>
          <w:szCs w:val="18"/>
        </w:rPr>
        <w:t>,</w:t>
      </w:r>
      <w:r w:rsidRPr="00EA72BF">
        <w:rPr>
          <w:rFonts w:ascii="Arial" w:hAnsi="Arial" w:cs="Arial"/>
          <w:sz w:val="18"/>
          <w:szCs w:val="18"/>
        </w:rPr>
        <w:t xml:space="preserve"> ‘The 21</w:t>
      </w:r>
      <w:r w:rsidRPr="00EA72BF">
        <w:rPr>
          <w:rFonts w:ascii="Arial" w:hAnsi="Arial" w:cs="Arial"/>
          <w:sz w:val="18"/>
          <w:szCs w:val="18"/>
          <w:vertAlign w:val="superscript"/>
        </w:rPr>
        <w:t>st</w:t>
      </w:r>
      <w:r w:rsidRPr="00EA72BF">
        <w:rPr>
          <w:rFonts w:ascii="Arial" w:hAnsi="Arial" w:cs="Arial"/>
          <w:sz w:val="18"/>
          <w:szCs w:val="18"/>
        </w:rPr>
        <w:t xml:space="preserve"> Century Jury: Contempt, </w:t>
      </w:r>
      <w:r w:rsidR="00F4319C" w:rsidRPr="00EA72BF">
        <w:rPr>
          <w:rFonts w:ascii="Arial" w:hAnsi="Arial" w:cs="Arial"/>
          <w:sz w:val="18"/>
          <w:szCs w:val="18"/>
        </w:rPr>
        <w:t>B</w:t>
      </w:r>
      <w:r w:rsidRPr="00EA72BF">
        <w:rPr>
          <w:rFonts w:ascii="Arial" w:hAnsi="Arial" w:cs="Arial"/>
          <w:sz w:val="18"/>
          <w:szCs w:val="18"/>
        </w:rPr>
        <w:t xml:space="preserve">ias the </w:t>
      </w:r>
      <w:r w:rsidR="00F4319C" w:rsidRPr="00EA72BF">
        <w:rPr>
          <w:rFonts w:ascii="Arial" w:hAnsi="Arial" w:cs="Arial"/>
          <w:sz w:val="18"/>
          <w:szCs w:val="18"/>
        </w:rPr>
        <w:t>I</w:t>
      </w:r>
      <w:r w:rsidRPr="00EA72BF">
        <w:rPr>
          <w:rFonts w:ascii="Arial" w:hAnsi="Arial" w:cs="Arial"/>
          <w:sz w:val="18"/>
          <w:szCs w:val="18"/>
        </w:rPr>
        <w:t xml:space="preserve">mpact of </w:t>
      </w:r>
      <w:r w:rsidR="00F4319C" w:rsidRPr="00EA72BF">
        <w:rPr>
          <w:rFonts w:ascii="Arial" w:hAnsi="Arial" w:cs="Arial"/>
          <w:sz w:val="18"/>
          <w:szCs w:val="18"/>
        </w:rPr>
        <w:t>J</w:t>
      </w:r>
      <w:r w:rsidRPr="00EA72BF">
        <w:rPr>
          <w:rFonts w:ascii="Arial" w:hAnsi="Arial" w:cs="Arial"/>
          <w:sz w:val="18"/>
          <w:szCs w:val="18"/>
        </w:rPr>
        <w:t xml:space="preserve">ury </w:t>
      </w:r>
      <w:r w:rsidR="00F4319C" w:rsidRPr="00EA72BF">
        <w:rPr>
          <w:rFonts w:ascii="Arial" w:hAnsi="Arial" w:cs="Arial"/>
          <w:sz w:val="18"/>
          <w:szCs w:val="18"/>
        </w:rPr>
        <w:t>S</w:t>
      </w:r>
      <w:r w:rsidRPr="00EA72BF">
        <w:rPr>
          <w:rFonts w:ascii="Arial" w:hAnsi="Arial" w:cs="Arial"/>
          <w:sz w:val="18"/>
          <w:szCs w:val="18"/>
        </w:rPr>
        <w:t xml:space="preserve">ervice’ (2020) </w:t>
      </w:r>
      <w:r w:rsidRPr="00EA72BF">
        <w:rPr>
          <w:rFonts w:ascii="Arial" w:hAnsi="Arial" w:cs="Arial"/>
          <w:i/>
          <w:iCs/>
          <w:sz w:val="18"/>
          <w:szCs w:val="18"/>
        </w:rPr>
        <w:t>Criminal Law Review</w:t>
      </w:r>
      <w:r w:rsidR="00F4319C" w:rsidRPr="00EA72BF">
        <w:rPr>
          <w:rFonts w:ascii="Arial" w:hAnsi="Arial" w:cs="Arial"/>
          <w:sz w:val="18"/>
          <w:szCs w:val="18"/>
        </w:rPr>
        <w:t xml:space="preserve"> </w:t>
      </w:r>
      <w:r w:rsidRPr="00EA72BF">
        <w:rPr>
          <w:rFonts w:ascii="Arial" w:hAnsi="Arial" w:cs="Arial"/>
          <w:sz w:val="18"/>
          <w:szCs w:val="18"/>
        </w:rPr>
        <w:t>987-1011.</w:t>
      </w:r>
    </w:p>
  </w:footnote>
  <w:footnote w:id="39">
    <w:p w14:paraId="3363FD74" w14:textId="77777777"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It has been argued that prosecutors adopt a predictive test (based on juror stereotyping) instead of a ‘merits based’ approach. </w:t>
      </w:r>
      <w:r w:rsidRPr="00EA72BF" w:rsidDel="00DE5832">
        <w:rPr>
          <w:rStyle w:val="FootnoteReference"/>
          <w:rFonts w:ascii="Arial" w:hAnsi="Arial" w:cs="Arial"/>
          <w:sz w:val="18"/>
          <w:szCs w:val="18"/>
        </w:rPr>
        <w:t xml:space="preserve"> </w:t>
      </w:r>
      <w:r w:rsidRPr="00EA72BF">
        <w:rPr>
          <w:rFonts w:ascii="Arial" w:hAnsi="Arial" w:cs="Arial"/>
          <w:sz w:val="18"/>
          <w:szCs w:val="18"/>
        </w:rPr>
        <w:t>A judicial review against the Crown Prosecution Service (CPS) found that prosecutors were being instructed on the correct ‘objective’ approach (</w:t>
      </w:r>
      <w:r w:rsidRPr="00EA72BF">
        <w:rPr>
          <w:rFonts w:ascii="Arial" w:hAnsi="Arial" w:cs="Arial"/>
          <w:i/>
          <w:iCs/>
          <w:sz w:val="18"/>
          <w:szCs w:val="18"/>
        </w:rPr>
        <w:t>EVAWG v DPP</w:t>
      </w:r>
      <w:r w:rsidRPr="00EA72BF">
        <w:rPr>
          <w:rFonts w:ascii="Arial" w:hAnsi="Arial" w:cs="Arial"/>
          <w:sz w:val="18"/>
          <w:szCs w:val="18"/>
        </w:rPr>
        <w:t xml:space="preserve"> [2021] EWCA Civ 350).</w:t>
      </w:r>
    </w:p>
  </w:footnote>
  <w:footnote w:id="40">
    <w:p w14:paraId="1DFF091C" w14:textId="5DE915A3"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EVAWG has expressed disappointment with the outcome of the judicial review; </w:t>
      </w:r>
      <w:r w:rsidR="00F4319C" w:rsidRPr="00EA72BF">
        <w:rPr>
          <w:rFonts w:ascii="Arial" w:hAnsi="Arial" w:cs="Arial"/>
          <w:sz w:val="18"/>
          <w:szCs w:val="18"/>
        </w:rPr>
        <w:t xml:space="preserve">Available at: </w:t>
      </w:r>
      <w:hyperlink r:id="rId5" w:history="1">
        <w:r w:rsidR="0003224D" w:rsidRPr="00C87EF0">
          <w:rPr>
            <w:rStyle w:val="Hyperlink"/>
            <w:rFonts w:ascii="Arial" w:hAnsi="Arial" w:cs="Arial"/>
            <w:sz w:val="18"/>
            <w:szCs w:val="18"/>
          </w:rPr>
          <w:t>https://www.endviolenceagainstwomen.org.uk/breaking-news-womens-groups-deeply-disappointed-by-judges-failure-to-hold-cps-accountable-on-rape-prosecutions-collapse</w:t>
        </w:r>
      </w:hyperlink>
      <w:r w:rsidR="0003224D">
        <w:rPr>
          <w:rFonts w:ascii="Arial" w:hAnsi="Arial" w:cs="Arial"/>
          <w:sz w:val="18"/>
          <w:szCs w:val="18"/>
        </w:rPr>
        <w:t xml:space="preserve"> </w:t>
      </w:r>
      <w:r w:rsidR="0003224D">
        <w:rPr>
          <w:rStyle w:val="Hyperlink"/>
          <w:rFonts w:ascii="Arial" w:hAnsi="Arial" w:cs="Arial"/>
          <w:color w:val="auto"/>
          <w:sz w:val="18"/>
          <w:szCs w:val="18"/>
        </w:rPr>
        <w:t>(last accessed 14 June 2024)</w:t>
      </w:r>
      <w:r w:rsidR="00073F23">
        <w:rPr>
          <w:rStyle w:val="Hyperlink"/>
          <w:rFonts w:ascii="Arial" w:hAnsi="Arial" w:cs="Arial"/>
          <w:color w:val="auto"/>
          <w:sz w:val="18"/>
          <w:szCs w:val="18"/>
        </w:rPr>
        <w:t>.</w:t>
      </w:r>
    </w:p>
  </w:footnote>
  <w:footnote w:id="41">
    <w:p w14:paraId="5C0D32F7" w14:textId="3912D1B9"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F4319C" w:rsidRPr="00EA72BF">
        <w:rPr>
          <w:rFonts w:ascii="Arial" w:hAnsi="Arial" w:cs="Arial"/>
          <w:sz w:val="18"/>
          <w:szCs w:val="18"/>
        </w:rPr>
        <w:t xml:space="preserve">Taylor, </w:t>
      </w:r>
      <w:r w:rsidR="00F4319C" w:rsidRPr="00EA72BF">
        <w:rPr>
          <w:rFonts w:ascii="Arial" w:hAnsi="Arial" w:cs="Arial"/>
          <w:i/>
          <w:iCs/>
          <w:sz w:val="18"/>
          <w:szCs w:val="18"/>
        </w:rPr>
        <w:t>Why Women are Blamed for Everything: Exposing the Culture of Victim Blaming</w:t>
      </w:r>
      <w:r w:rsidR="00F4319C" w:rsidRPr="00EA72BF">
        <w:rPr>
          <w:rFonts w:ascii="Arial" w:hAnsi="Arial" w:cs="Arial"/>
          <w:sz w:val="18"/>
          <w:szCs w:val="18"/>
        </w:rPr>
        <w:t>, n 24 above</w:t>
      </w:r>
      <w:r w:rsidRPr="00EA72BF">
        <w:rPr>
          <w:rFonts w:ascii="Arial" w:hAnsi="Arial" w:cs="Arial"/>
          <w:sz w:val="18"/>
          <w:szCs w:val="18"/>
        </w:rPr>
        <w:t>, 27.</w:t>
      </w:r>
    </w:p>
  </w:footnote>
  <w:footnote w:id="42">
    <w:p w14:paraId="016905A0" w14:textId="5E364D05"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F4319C" w:rsidRPr="00EA72BF">
        <w:rPr>
          <w:rFonts w:ascii="Arial" w:hAnsi="Arial" w:cs="Arial"/>
          <w:sz w:val="18"/>
          <w:szCs w:val="18"/>
        </w:rPr>
        <w:t xml:space="preserve">Home Office, </w:t>
      </w:r>
      <w:r w:rsidRPr="00EA72BF">
        <w:rPr>
          <w:rFonts w:ascii="Arial" w:hAnsi="Arial" w:cs="Arial"/>
          <w:i/>
          <w:iCs/>
          <w:sz w:val="18"/>
          <w:szCs w:val="18"/>
        </w:rPr>
        <w:t>End to End Rape Review</w:t>
      </w:r>
      <w:r w:rsidR="00F4319C" w:rsidRPr="00EA72BF">
        <w:rPr>
          <w:rFonts w:ascii="Arial" w:hAnsi="Arial" w:cs="Arial"/>
          <w:i/>
          <w:iCs/>
          <w:sz w:val="18"/>
          <w:szCs w:val="18"/>
        </w:rPr>
        <w:t xml:space="preserve">. </w:t>
      </w:r>
      <w:r w:rsidR="00F4319C" w:rsidRPr="00EA72BF">
        <w:rPr>
          <w:rFonts w:ascii="Arial" w:hAnsi="Arial" w:cs="Arial"/>
          <w:sz w:val="18"/>
          <w:szCs w:val="18"/>
        </w:rPr>
        <w:t>Available at:</w:t>
      </w:r>
      <w:r w:rsidRPr="00EA72BF">
        <w:rPr>
          <w:rFonts w:ascii="Arial" w:hAnsi="Arial" w:cs="Arial"/>
          <w:sz w:val="18"/>
          <w:szCs w:val="18"/>
        </w:rPr>
        <w:t xml:space="preserve"> </w:t>
      </w:r>
      <w:hyperlink r:id="rId6" w:history="1">
        <w:r w:rsidR="0003224D" w:rsidRPr="00C87EF0">
          <w:rPr>
            <w:rStyle w:val="Hyperlink"/>
            <w:rFonts w:ascii="Arial" w:hAnsi="Arial" w:cs="Arial"/>
            <w:sz w:val="18"/>
            <w:szCs w:val="18"/>
          </w:rPr>
          <w:t>https://www.gov.uk/government/publications/end-to-end-rape-review-report-on-findings-and-actions</w:t>
        </w:r>
      </w:hyperlink>
      <w:r w:rsidR="0003224D">
        <w:rPr>
          <w:rFonts w:ascii="Arial" w:hAnsi="Arial" w:cs="Arial"/>
          <w:sz w:val="18"/>
          <w:szCs w:val="18"/>
        </w:rPr>
        <w:t xml:space="preserve"> </w:t>
      </w:r>
      <w:r w:rsidR="0003224D">
        <w:rPr>
          <w:rStyle w:val="Hyperlink"/>
          <w:rFonts w:ascii="Arial" w:hAnsi="Arial" w:cs="Arial"/>
          <w:color w:val="auto"/>
          <w:sz w:val="18"/>
          <w:szCs w:val="18"/>
        </w:rPr>
        <w:t>(last accessed 14 June 2024)</w:t>
      </w:r>
    </w:p>
  </w:footnote>
  <w:footnote w:id="43">
    <w:p w14:paraId="35098113" w14:textId="7750EDC0"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Kohl and Stanko</w:t>
      </w:r>
      <w:r w:rsidR="00841FB3" w:rsidRPr="00EA72BF">
        <w:rPr>
          <w:rFonts w:ascii="Arial" w:hAnsi="Arial" w:cs="Arial"/>
          <w:sz w:val="18"/>
          <w:szCs w:val="18"/>
        </w:rPr>
        <w:t>,</w:t>
      </w:r>
      <w:r w:rsidRPr="00EA72BF">
        <w:rPr>
          <w:rFonts w:ascii="Arial" w:hAnsi="Arial" w:cs="Arial"/>
          <w:sz w:val="18"/>
          <w:szCs w:val="18"/>
        </w:rPr>
        <w:t xml:space="preserve"> </w:t>
      </w:r>
      <w:r w:rsidR="00841FB3" w:rsidRPr="00EA72BF">
        <w:rPr>
          <w:rFonts w:ascii="Arial" w:hAnsi="Arial" w:cs="Arial"/>
          <w:sz w:val="18"/>
          <w:szCs w:val="18"/>
        </w:rPr>
        <w:t xml:space="preserve">‘Complaints of Rape and the Criminal Justice System: Fresh Evidence on the Attrition Problem in England and Wales’ </w:t>
      </w:r>
      <w:r w:rsidRPr="00EA72BF">
        <w:rPr>
          <w:rFonts w:ascii="Arial" w:hAnsi="Arial" w:cs="Arial"/>
          <w:sz w:val="18"/>
          <w:szCs w:val="18"/>
        </w:rPr>
        <w:t>n 3</w:t>
      </w:r>
      <w:r w:rsidR="00841FB3" w:rsidRPr="00EA72BF">
        <w:rPr>
          <w:rFonts w:ascii="Arial" w:hAnsi="Arial" w:cs="Arial"/>
          <w:sz w:val="18"/>
          <w:szCs w:val="18"/>
        </w:rPr>
        <w:t>2 above</w:t>
      </w:r>
      <w:r w:rsidRPr="00EA72BF">
        <w:rPr>
          <w:rFonts w:ascii="Arial" w:hAnsi="Arial" w:cs="Arial"/>
          <w:sz w:val="18"/>
          <w:szCs w:val="18"/>
        </w:rPr>
        <w:t>.</w:t>
      </w:r>
    </w:p>
  </w:footnote>
  <w:footnote w:id="44">
    <w:p w14:paraId="48A9875A" w14:textId="41FB933D"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03014F">
        <w:rPr>
          <w:rFonts w:ascii="Arial" w:hAnsi="Arial" w:cs="Arial"/>
          <w:sz w:val="18"/>
          <w:szCs w:val="18"/>
        </w:rPr>
        <w:t>i</w:t>
      </w:r>
      <w:r w:rsidR="009B0B51" w:rsidRPr="00EA72BF">
        <w:rPr>
          <w:rFonts w:ascii="Arial" w:hAnsi="Arial" w:cs="Arial"/>
          <w:sz w:val="18"/>
          <w:szCs w:val="18"/>
        </w:rPr>
        <w:t>bid</w:t>
      </w:r>
      <w:r w:rsidR="0003014F">
        <w:rPr>
          <w:rFonts w:ascii="Arial" w:hAnsi="Arial" w:cs="Arial"/>
          <w:sz w:val="18"/>
          <w:szCs w:val="18"/>
        </w:rPr>
        <w:t>.</w:t>
      </w:r>
    </w:p>
  </w:footnote>
  <w:footnote w:id="45">
    <w:p w14:paraId="2ABA57AF" w14:textId="6B4C75EE"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ibid</w:t>
      </w:r>
      <w:r w:rsidRPr="00EA72BF">
        <w:rPr>
          <w:rFonts w:ascii="Arial" w:hAnsi="Arial" w:cs="Arial"/>
          <w:sz w:val="18"/>
          <w:szCs w:val="18"/>
        </w:rPr>
        <w:t>, 225.</w:t>
      </w:r>
    </w:p>
  </w:footnote>
  <w:footnote w:id="46">
    <w:p w14:paraId="49C29769" w14:textId="6F552571"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ibid</w:t>
      </w:r>
      <w:r w:rsidRPr="00EA72BF">
        <w:rPr>
          <w:rFonts w:ascii="Arial" w:hAnsi="Arial" w:cs="Arial"/>
          <w:sz w:val="18"/>
          <w:szCs w:val="18"/>
        </w:rPr>
        <w:t>.</w:t>
      </w:r>
    </w:p>
  </w:footnote>
  <w:footnote w:id="47">
    <w:p w14:paraId="493771E2" w14:textId="00A2010D"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009B0B51" w:rsidRPr="00EA72BF">
        <w:rPr>
          <w:rFonts w:ascii="Arial" w:hAnsi="Arial" w:cs="Arial"/>
          <w:sz w:val="18"/>
          <w:szCs w:val="18"/>
        </w:rPr>
        <w:t xml:space="preserve"> ibid</w:t>
      </w:r>
      <w:r w:rsidRPr="00EA72BF">
        <w:rPr>
          <w:rFonts w:ascii="Arial" w:hAnsi="Arial" w:cs="Arial"/>
          <w:sz w:val="18"/>
          <w:szCs w:val="18"/>
        </w:rPr>
        <w:t>.</w:t>
      </w:r>
    </w:p>
  </w:footnote>
  <w:footnote w:id="48">
    <w:p w14:paraId="6F18C3AA" w14:textId="3F8FE2F9"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S Edwards ‘Provoking her own </w:t>
      </w:r>
      <w:r w:rsidR="00841FB3" w:rsidRPr="00EA72BF">
        <w:rPr>
          <w:rFonts w:ascii="Arial" w:hAnsi="Arial" w:cs="Arial"/>
          <w:sz w:val="18"/>
          <w:szCs w:val="18"/>
        </w:rPr>
        <w:t>D</w:t>
      </w:r>
      <w:r w:rsidRPr="00EA72BF">
        <w:rPr>
          <w:rFonts w:ascii="Arial" w:hAnsi="Arial" w:cs="Arial"/>
          <w:sz w:val="18"/>
          <w:szCs w:val="18"/>
        </w:rPr>
        <w:t xml:space="preserve">emise’; From </w:t>
      </w:r>
      <w:r w:rsidR="00841FB3" w:rsidRPr="00EA72BF">
        <w:rPr>
          <w:rFonts w:ascii="Arial" w:hAnsi="Arial" w:cs="Arial"/>
          <w:sz w:val="18"/>
          <w:szCs w:val="18"/>
        </w:rPr>
        <w:t>C</w:t>
      </w:r>
      <w:r w:rsidRPr="00EA72BF">
        <w:rPr>
          <w:rFonts w:ascii="Arial" w:hAnsi="Arial" w:cs="Arial"/>
          <w:sz w:val="18"/>
          <w:szCs w:val="18"/>
        </w:rPr>
        <w:t xml:space="preserve">ommon </w:t>
      </w:r>
      <w:r w:rsidR="00841FB3" w:rsidRPr="00EA72BF">
        <w:rPr>
          <w:rFonts w:ascii="Arial" w:hAnsi="Arial" w:cs="Arial"/>
          <w:sz w:val="18"/>
          <w:szCs w:val="18"/>
        </w:rPr>
        <w:t>A</w:t>
      </w:r>
      <w:r w:rsidRPr="00EA72BF">
        <w:rPr>
          <w:rFonts w:ascii="Arial" w:hAnsi="Arial" w:cs="Arial"/>
          <w:sz w:val="18"/>
          <w:szCs w:val="18"/>
        </w:rPr>
        <w:t xml:space="preserve">ssault to </w:t>
      </w:r>
      <w:r w:rsidR="00841FB3" w:rsidRPr="00EA72BF">
        <w:rPr>
          <w:rFonts w:ascii="Arial" w:hAnsi="Arial" w:cs="Arial"/>
          <w:sz w:val="18"/>
          <w:szCs w:val="18"/>
        </w:rPr>
        <w:t>H</w:t>
      </w:r>
      <w:r w:rsidRPr="00EA72BF">
        <w:rPr>
          <w:rFonts w:ascii="Arial" w:hAnsi="Arial" w:cs="Arial"/>
          <w:sz w:val="18"/>
          <w:szCs w:val="18"/>
        </w:rPr>
        <w:t>omicide</w:t>
      </w:r>
      <w:r w:rsidR="00841FB3" w:rsidRPr="00EA72BF">
        <w:rPr>
          <w:rFonts w:ascii="Arial" w:hAnsi="Arial" w:cs="Arial"/>
          <w:sz w:val="18"/>
          <w:szCs w:val="18"/>
        </w:rPr>
        <w:t>’</w:t>
      </w:r>
      <w:r w:rsidRPr="00EA72BF">
        <w:rPr>
          <w:rFonts w:ascii="Arial" w:hAnsi="Arial" w:cs="Arial"/>
          <w:sz w:val="18"/>
          <w:szCs w:val="18"/>
        </w:rPr>
        <w:t xml:space="preserve"> in J Hanmer and M Maynard (eds)</w:t>
      </w:r>
      <w:r w:rsidR="00841FB3"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Women, Violence and Social Control</w:t>
      </w:r>
      <w:r w:rsidRPr="00EA72BF">
        <w:rPr>
          <w:rFonts w:ascii="Arial" w:hAnsi="Arial" w:cs="Arial"/>
          <w:sz w:val="18"/>
          <w:szCs w:val="18"/>
        </w:rPr>
        <w:t xml:space="preserve"> (Palgrave Macmillan, 1987).</w:t>
      </w:r>
    </w:p>
  </w:footnote>
  <w:footnote w:id="49">
    <w:p w14:paraId="2417456C" w14:textId="3AC26B82"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M Burton</w:t>
      </w:r>
      <w:r w:rsidR="00841FB3"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Domestic Abuse, Victims and the Law</w:t>
      </w:r>
      <w:r w:rsidRPr="00EA72BF">
        <w:rPr>
          <w:rFonts w:ascii="Arial" w:hAnsi="Arial" w:cs="Arial"/>
          <w:sz w:val="18"/>
          <w:szCs w:val="18"/>
        </w:rPr>
        <w:t xml:space="preserve"> (Routledge, 2022)</w:t>
      </w:r>
      <w:r w:rsidR="00841FB3" w:rsidRPr="00EA72BF">
        <w:rPr>
          <w:rFonts w:ascii="Arial" w:hAnsi="Arial" w:cs="Arial"/>
          <w:sz w:val="18"/>
          <w:szCs w:val="18"/>
        </w:rPr>
        <w:t>,</w:t>
      </w:r>
      <w:r w:rsidRPr="00EA72BF">
        <w:rPr>
          <w:rFonts w:ascii="Arial" w:hAnsi="Arial" w:cs="Arial"/>
          <w:sz w:val="18"/>
          <w:szCs w:val="18"/>
        </w:rPr>
        <w:t>148.</w:t>
      </w:r>
    </w:p>
  </w:footnote>
  <w:footnote w:id="50">
    <w:p w14:paraId="2BCF1308" w14:textId="4FA32681"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J Horder</w:t>
      </w:r>
      <w:r w:rsidR="00841FB3"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Provocation and Responsibility</w:t>
      </w:r>
      <w:r w:rsidRPr="00EA72BF">
        <w:rPr>
          <w:rFonts w:ascii="Arial" w:hAnsi="Arial" w:cs="Arial"/>
          <w:sz w:val="18"/>
          <w:szCs w:val="18"/>
        </w:rPr>
        <w:t xml:space="preserve"> (OUP, 1992).</w:t>
      </w:r>
    </w:p>
  </w:footnote>
  <w:footnote w:id="51">
    <w:p w14:paraId="4219E8BB" w14:textId="77777777"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Pr="00EA72BF">
        <w:rPr>
          <w:rFonts w:ascii="Arial" w:hAnsi="Arial" w:cs="Arial"/>
          <w:i/>
          <w:iCs/>
          <w:sz w:val="18"/>
          <w:szCs w:val="18"/>
        </w:rPr>
        <w:t>R v Smith</w:t>
      </w:r>
      <w:r w:rsidRPr="00EA72BF">
        <w:rPr>
          <w:rFonts w:ascii="Arial" w:hAnsi="Arial" w:cs="Arial"/>
          <w:sz w:val="18"/>
          <w:szCs w:val="18"/>
        </w:rPr>
        <w:t xml:space="preserve"> [2000] 3 WLR 654.</w:t>
      </w:r>
    </w:p>
  </w:footnote>
  <w:footnote w:id="52">
    <w:p w14:paraId="77022B11" w14:textId="451DBEC2"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Pr="00EA72BF">
        <w:rPr>
          <w:rFonts w:ascii="Arial" w:hAnsi="Arial" w:cs="Arial"/>
          <w:i/>
          <w:iCs/>
          <w:sz w:val="18"/>
          <w:szCs w:val="18"/>
        </w:rPr>
        <w:t xml:space="preserve">R v Suratan, Humes and Wilkinson </w:t>
      </w:r>
      <w:r w:rsidRPr="00EA72BF">
        <w:rPr>
          <w:rFonts w:ascii="Arial" w:hAnsi="Arial" w:cs="Arial"/>
          <w:sz w:val="18"/>
          <w:szCs w:val="18"/>
        </w:rPr>
        <w:t>[2003] 2 Cr App R (S) 42. For a discussion of this case and other similar cases, see J Horder and K Fitz-Gibbon</w:t>
      </w:r>
      <w:r w:rsidR="00474E45" w:rsidRPr="00EA72BF">
        <w:rPr>
          <w:rFonts w:ascii="Arial" w:hAnsi="Arial" w:cs="Arial"/>
          <w:sz w:val="18"/>
          <w:szCs w:val="18"/>
        </w:rPr>
        <w:t>,</w:t>
      </w:r>
      <w:r w:rsidRPr="00EA72BF">
        <w:rPr>
          <w:rFonts w:ascii="Arial" w:hAnsi="Arial" w:cs="Arial"/>
          <w:sz w:val="18"/>
          <w:szCs w:val="18"/>
        </w:rPr>
        <w:t xml:space="preserve"> ‘When </w:t>
      </w:r>
      <w:r w:rsidR="00474E45" w:rsidRPr="00EA72BF">
        <w:rPr>
          <w:rFonts w:ascii="Arial" w:hAnsi="Arial" w:cs="Arial"/>
          <w:sz w:val="18"/>
          <w:szCs w:val="18"/>
        </w:rPr>
        <w:t>S</w:t>
      </w:r>
      <w:r w:rsidRPr="00EA72BF">
        <w:rPr>
          <w:rFonts w:ascii="Arial" w:hAnsi="Arial" w:cs="Arial"/>
          <w:sz w:val="18"/>
          <w:szCs w:val="18"/>
        </w:rPr>
        <w:t xml:space="preserve">exual </w:t>
      </w:r>
      <w:r w:rsidR="00474E45" w:rsidRPr="00EA72BF">
        <w:rPr>
          <w:rFonts w:ascii="Arial" w:hAnsi="Arial" w:cs="Arial"/>
          <w:sz w:val="18"/>
          <w:szCs w:val="18"/>
        </w:rPr>
        <w:t>I</w:t>
      </w:r>
      <w:r w:rsidRPr="00EA72BF">
        <w:rPr>
          <w:rFonts w:ascii="Arial" w:hAnsi="Arial" w:cs="Arial"/>
          <w:sz w:val="18"/>
          <w:szCs w:val="18"/>
        </w:rPr>
        <w:t xml:space="preserve">nfidelity </w:t>
      </w:r>
      <w:r w:rsidR="00474E45" w:rsidRPr="00EA72BF">
        <w:rPr>
          <w:rFonts w:ascii="Arial" w:hAnsi="Arial" w:cs="Arial"/>
          <w:sz w:val="18"/>
          <w:szCs w:val="18"/>
        </w:rPr>
        <w:t>T</w:t>
      </w:r>
      <w:r w:rsidRPr="00EA72BF">
        <w:rPr>
          <w:rFonts w:ascii="Arial" w:hAnsi="Arial" w:cs="Arial"/>
          <w:sz w:val="18"/>
          <w:szCs w:val="18"/>
        </w:rPr>
        <w:t xml:space="preserve">riggers </w:t>
      </w:r>
      <w:r w:rsidR="00474E45" w:rsidRPr="00EA72BF">
        <w:rPr>
          <w:rFonts w:ascii="Arial" w:hAnsi="Arial" w:cs="Arial"/>
          <w:sz w:val="18"/>
          <w:szCs w:val="18"/>
        </w:rPr>
        <w:t>M</w:t>
      </w:r>
      <w:r w:rsidRPr="00EA72BF">
        <w:rPr>
          <w:rFonts w:ascii="Arial" w:hAnsi="Arial" w:cs="Arial"/>
          <w:sz w:val="18"/>
          <w:szCs w:val="18"/>
        </w:rPr>
        <w:t xml:space="preserve">urder: Examining the </w:t>
      </w:r>
      <w:r w:rsidR="00474E45" w:rsidRPr="00EA72BF">
        <w:rPr>
          <w:rFonts w:ascii="Arial" w:hAnsi="Arial" w:cs="Arial"/>
          <w:sz w:val="18"/>
          <w:szCs w:val="18"/>
        </w:rPr>
        <w:t>I</w:t>
      </w:r>
      <w:r w:rsidRPr="00EA72BF">
        <w:rPr>
          <w:rFonts w:ascii="Arial" w:hAnsi="Arial" w:cs="Arial"/>
          <w:sz w:val="18"/>
          <w:szCs w:val="18"/>
        </w:rPr>
        <w:t xml:space="preserve">mpact of </w:t>
      </w:r>
      <w:r w:rsidR="00474E45" w:rsidRPr="00EA72BF">
        <w:rPr>
          <w:rFonts w:ascii="Arial" w:hAnsi="Arial" w:cs="Arial"/>
          <w:sz w:val="18"/>
          <w:szCs w:val="18"/>
        </w:rPr>
        <w:t>H</w:t>
      </w:r>
      <w:r w:rsidRPr="00EA72BF">
        <w:rPr>
          <w:rFonts w:ascii="Arial" w:hAnsi="Arial" w:cs="Arial"/>
          <w:sz w:val="18"/>
          <w:szCs w:val="18"/>
        </w:rPr>
        <w:t xml:space="preserve">omicide </w:t>
      </w:r>
      <w:r w:rsidR="00474E45" w:rsidRPr="00EA72BF">
        <w:rPr>
          <w:rFonts w:ascii="Arial" w:hAnsi="Arial" w:cs="Arial"/>
          <w:sz w:val="18"/>
          <w:szCs w:val="18"/>
        </w:rPr>
        <w:t>L</w:t>
      </w:r>
      <w:r w:rsidRPr="00EA72BF">
        <w:rPr>
          <w:rFonts w:ascii="Arial" w:hAnsi="Arial" w:cs="Arial"/>
          <w:sz w:val="18"/>
          <w:szCs w:val="18"/>
        </w:rPr>
        <w:t xml:space="preserve">aw </w:t>
      </w:r>
      <w:r w:rsidR="00474E45" w:rsidRPr="00EA72BF">
        <w:rPr>
          <w:rFonts w:ascii="Arial" w:hAnsi="Arial" w:cs="Arial"/>
          <w:sz w:val="18"/>
          <w:szCs w:val="18"/>
        </w:rPr>
        <w:t>R</w:t>
      </w:r>
      <w:r w:rsidRPr="00EA72BF">
        <w:rPr>
          <w:rFonts w:ascii="Arial" w:hAnsi="Arial" w:cs="Arial"/>
          <w:sz w:val="18"/>
          <w:szCs w:val="18"/>
        </w:rPr>
        <w:t xml:space="preserve">eform on </w:t>
      </w:r>
      <w:r w:rsidR="00474E45" w:rsidRPr="00EA72BF">
        <w:rPr>
          <w:rFonts w:ascii="Arial" w:hAnsi="Arial" w:cs="Arial"/>
          <w:sz w:val="18"/>
          <w:szCs w:val="18"/>
        </w:rPr>
        <w:t>J</w:t>
      </w:r>
      <w:r w:rsidRPr="00EA72BF">
        <w:rPr>
          <w:rFonts w:ascii="Arial" w:hAnsi="Arial" w:cs="Arial"/>
          <w:sz w:val="18"/>
          <w:szCs w:val="18"/>
        </w:rPr>
        <w:t xml:space="preserve">udicial </w:t>
      </w:r>
      <w:r w:rsidR="00474E45" w:rsidRPr="00EA72BF">
        <w:rPr>
          <w:rFonts w:ascii="Arial" w:hAnsi="Arial" w:cs="Arial"/>
          <w:sz w:val="18"/>
          <w:szCs w:val="18"/>
        </w:rPr>
        <w:t>A</w:t>
      </w:r>
      <w:r w:rsidRPr="00EA72BF">
        <w:rPr>
          <w:rFonts w:ascii="Arial" w:hAnsi="Arial" w:cs="Arial"/>
          <w:sz w:val="18"/>
          <w:szCs w:val="18"/>
        </w:rPr>
        <w:t xml:space="preserve">ttitudes in </w:t>
      </w:r>
      <w:r w:rsidR="00474E45" w:rsidRPr="00EA72BF">
        <w:rPr>
          <w:rFonts w:ascii="Arial" w:hAnsi="Arial" w:cs="Arial"/>
          <w:sz w:val="18"/>
          <w:szCs w:val="18"/>
        </w:rPr>
        <w:t>S</w:t>
      </w:r>
      <w:r w:rsidRPr="00EA72BF">
        <w:rPr>
          <w:rFonts w:ascii="Arial" w:hAnsi="Arial" w:cs="Arial"/>
          <w:sz w:val="18"/>
          <w:szCs w:val="18"/>
        </w:rPr>
        <w:t xml:space="preserve">entencing’ </w:t>
      </w:r>
      <w:r w:rsidR="0003224D">
        <w:rPr>
          <w:rFonts w:ascii="Arial" w:hAnsi="Arial" w:cs="Arial"/>
          <w:sz w:val="18"/>
          <w:szCs w:val="18"/>
        </w:rPr>
        <w:t xml:space="preserve">(2015) </w:t>
      </w:r>
      <w:r w:rsidR="00474E45" w:rsidRPr="00EA72BF">
        <w:rPr>
          <w:rFonts w:ascii="Arial" w:hAnsi="Arial" w:cs="Arial"/>
          <w:sz w:val="18"/>
          <w:szCs w:val="18"/>
        </w:rPr>
        <w:t xml:space="preserve">74 </w:t>
      </w:r>
      <w:r w:rsidRPr="00EA72BF">
        <w:rPr>
          <w:rFonts w:ascii="Arial" w:hAnsi="Arial" w:cs="Arial"/>
          <w:i/>
          <w:iCs/>
          <w:sz w:val="18"/>
          <w:szCs w:val="18"/>
        </w:rPr>
        <w:t>Cambridge Law Journal</w:t>
      </w:r>
      <w:r w:rsidR="00474E45" w:rsidRPr="00EA72BF">
        <w:rPr>
          <w:rFonts w:ascii="Arial" w:hAnsi="Arial" w:cs="Arial"/>
          <w:sz w:val="18"/>
          <w:szCs w:val="18"/>
        </w:rPr>
        <w:t xml:space="preserve"> </w:t>
      </w:r>
      <w:r w:rsidRPr="00EA72BF">
        <w:rPr>
          <w:rFonts w:ascii="Arial" w:hAnsi="Arial" w:cs="Arial"/>
          <w:sz w:val="18"/>
          <w:szCs w:val="18"/>
        </w:rPr>
        <w:t>307-328.</w:t>
      </w:r>
    </w:p>
  </w:footnote>
  <w:footnote w:id="53">
    <w:p w14:paraId="293B22EA" w14:textId="01F84DAC"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Pr="00EA72BF">
        <w:rPr>
          <w:rFonts w:ascii="Arial" w:hAnsi="Arial" w:cs="Arial"/>
          <w:i/>
          <w:iCs/>
          <w:sz w:val="18"/>
          <w:szCs w:val="18"/>
        </w:rPr>
        <w:t>R v Weller</w:t>
      </w:r>
      <w:r w:rsidRPr="00EA72BF">
        <w:rPr>
          <w:rFonts w:ascii="Arial" w:hAnsi="Arial" w:cs="Arial"/>
          <w:sz w:val="18"/>
          <w:szCs w:val="18"/>
        </w:rPr>
        <w:t xml:space="preserve"> [2004] 1 Cr APP R 1. See Burton</w:t>
      </w:r>
      <w:r w:rsidR="00474E45" w:rsidRPr="00EA72BF">
        <w:rPr>
          <w:rFonts w:ascii="Arial" w:hAnsi="Arial" w:cs="Arial"/>
          <w:sz w:val="18"/>
          <w:szCs w:val="18"/>
        </w:rPr>
        <w:t>,</w:t>
      </w:r>
      <w:r w:rsidR="00474E45" w:rsidRPr="00EA72BF">
        <w:rPr>
          <w:rFonts w:ascii="Arial" w:hAnsi="Arial" w:cs="Arial"/>
          <w:i/>
          <w:iCs/>
          <w:sz w:val="18"/>
          <w:szCs w:val="18"/>
        </w:rPr>
        <w:t xml:space="preserve"> Domestic Abuse, Victims and the Law</w:t>
      </w:r>
      <w:r w:rsidRPr="00EA72BF">
        <w:rPr>
          <w:rFonts w:ascii="Arial" w:hAnsi="Arial" w:cs="Arial"/>
          <w:sz w:val="18"/>
          <w:szCs w:val="18"/>
        </w:rPr>
        <w:t xml:space="preserve">, </w:t>
      </w:r>
      <w:r w:rsidR="00474E45" w:rsidRPr="00EA72BF">
        <w:rPr>
          <w:rFonts w:ascii="Arial" w:hAnsi="Arial" w:cs="Arial"/>
          <w:sz w:val="18"/>
          <w:szCs w:val="18"/>
        </w:rPr>
        <w:t>n 49 above,</w:t>
      </w:r>
      <w:r w:rsidRPr="00EA72BF">
        <w:rPr>
          <w:rFonts w:ascii="Arial" w:hAnsi="Arial" w:cs="Arial"/>
          <w:sz w:val="18"/>
          <w:szCs w:val="18"/>
        </w:rPr>
        <w:t>152.</w:t>
      </w:r>
    </w:p>
  </w:footnote>
  <w:footnote w:id="54">
    <w:p w14:paraId="5CB728AC" w14:textId="19377E7A"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K Fitz-Gibbon</w:t>
      </w:r>
      <w:r w:rsidR="00474E45" w:rsidRPr="00EA72BF">
        <w:rPr>
          <w:rFonts w:ascii="Arial" w:hAnsi="Arial" w:cs="Arial"/>
          <w:sz w:val="18"/>
          <w:szCs w:val="18"/>
        </w:rPr>
        <w:t>,</w:t>
      </w:r>
      <w:r w:rsidRPr="00EA72BF">
        <w:rPr>
          <w:rFonts w:ascii="Arial" w:hAnsi="Arial" w:cs="Arial"/>
          <w:sz w:val="18"/>
          <w:szCs w:val="18"/>
        </w:rPr>
        <w:t xml:space="preserve"> ‘Replacing Provocation in England and Wales: Examining the Partial Defence of Loss of Control’ (2013) </w:t>
      </w:r>
      <w:r w:rsidR="00474E45" w:rsidRPr="00EA72BF">
        <w:rPr>
          <w:rFonts w:ascii="Arial" w:hAnsi="Arial" w:cs="Arial"/>
          <w:sz w:val="18"/>
          <w:szCs w:val="18"/>
        </w:rPr>
        <w:t xml:space="preserve">40(2) </w:t>
      </w:r>
      <w:r w:rsidRPr="00EA72BF">
        <w:rPr>
          <w:rFonts w:ascii="Arial" w:hAnsi="Arial" w:cs="Arial"/>
          <w:i/>
          <w:iCs/>
          <w:sz w:val="18"/>
          <w:szCs w:val="18"/>
        </w:rPr>
        <w:t>Journal of Law and Society</w:t>
      </w:r>
      <w:r w:rsidRPr="00EA72BF">
        <w:rPr>
          <w:rFonts w:ascii="Arial" w:hAnsi="Arial" w:cs="Arial"/>
          <w:sz w:val="18"/>
          <w:szCs w:val="18"/>
        </w:rPr>
        <w:t xml:space="preserve"> 280-305.</w:t>
      </w:r>
    </w:p>
  </w:footnote>
  <w:footnote w:id="55">
    <w:p w14:paraId="79A03B21" w14:textId="770BC2A7"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Home Office</w:t>
      </w:r>
      <w:r w:rsidR="00474E45"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 xml:space="preserve">Safety and Justice: The Government’s </w:t>
      </w:r>
      <w:r w:rsidR="00474E45" w:rsidRPr="00EA72BF">
        <w:rPr>
          <w:rFonts w:ascii="Arial" w:hAnsi="Arial" w:cs="Arial"/>
          <w:i/>
          <w:iCs/>
          <w:sz w:val="18"/>
          <w:szCs w:val="18"/>
        </w:rPr>
        <w:t>P</w:t>
      </w:r>
      <w:r w:rsidRPr="00EA72BF">
        <w:rPr>
          <w:rFonts w:ascii="Arial" w:hAnsi="Arial" w:cs="Arial"/>
          <w:i/>
          <w:iCs/>
          <w:sz w:val="18"/>
          <w:szCs w:val="18"/>
        </w:rPr>
        <w:t xml:space="preserve">roposals on </w:t>
      </w:r>
      <w:r w:rsidR="00474E45" w:rsidRPr="00EA72BF">
        <w:rPr>
          <w:rFonts w:ascii="Arial" w:hAnsi="Arial" w:cs="Arial"/>
          <w:i/>
          <w:iCs/>
          <w:sz w:val="18"/>
          <w:szCs w:val="18"/>
        </w:rPr>
        <w:t>D</w:t>
      </w:r>
      <w:r w:rsidRPr="00EA72BF">
        <w:rPr>
          <w:rFonts w:ascii="Arial" w:hAnsi="Arial" w:cs="Arial"/>
          <w:i/>
          <w:iCs/>
          <w:sz w:val="18"/>
          <w:szCs w:val="18"/>
        </w:rPr>
        <w:t xml:space="preserve">omestic </w:t>
      </w:r>
      <w:r w:rsidR="00474E45" w:rsidRPr="00EA72BF">
        <w:rPr>
          <w:rFonts w:ascii="Arial" w:hAnsi="Arial" w:cs="Arial"/>
          <w:i/>
          <w:iCs/>
          <w:sz w:val="18"/>
          <w:szCs w:val="18"/>
        </w:rPr>
        <w:t>V</w:t>
      </w:r>
      <w:r w:rsidRPr="00EA72BF">
        <w:rPr>
          <w:rFonts w:ascii="Arial" w:hAnsi="Arial" w:cs="Arial"/>
          <w:i/>
          <w:iCs/>
          <w:sz w:val="18"/>
          <w:szCs w:val="18"/>
        </w:rPr>
        <w:t>iolence</w:t>
      </w:r>
      <w:r w:rsidRPr="00EA72BF">
        <w:rPr>
          <w:rFonts w:ascii="Arial" w:hAnsi="Arial" w:cs="Arial"/>
          <w:sz w:val="18"/>
          <w:szCs w:val="18"/>
        </w:rPr>
        <w:t xml:space="preserve"> (2003, Cmnd 5847)</w:t>
      </w:r>
      <w:r w:rsidR="00474E45" w:rsidRPr="00EA72BF">
        <w:rPr>
          <w:rFonts w:ascii="Arial" w:hAnsi="Arial" w:cs="Arial"/>
          <w:sz w:val="18"/>
          <w:szCs w:val="18"/>
        </w:rPr>
        <w:t>.</w:t>
      </w:r>
    </w:p>
  </w:footnote>
  <w:footnote w:id="56">
    <w:p w14:paraId="1309495E" w14:textId="77777777"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In determining whether a loss of self-control has a qualifying trigger, the fact that a thing done or said amounted to sexual infidelity is to be disregarded (Coroners and Justice Act 2009 section 55 (6) (c)).</w:t>
      </w:r>
    </w:p>
  </w:footnote>
  <w:footnote w:id="57">
    <w:p w14:paraId="66504FAC" w14:textId="77777777"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Section 55 Coroners and Justice Act 2009.</w:t>
      </w:r>
    </w:p>
  </w:footnote>
  <w:footnote w:id="58">
    <w:p w14:paraId="320D5FFD" w14:textId="77777777"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Pr="00EA72BF">
        <w:rPr>
          <w:rFonts w:ascii="Arial" w:hAnsi="Arial" w:cs="Arial"/>
          <w:i/>
          <w:iCs/>
          <w:sz w:val="18"/>
          <w:szCs w:val="18"/>
        </w:rPr>
        <w:t>R v Clinton, Parker and Evans</w:t>
      </w:r>
      <w:r w:rsidRPr="00EA72BF">
        <w:rPr>
          <w:rFonts w:ascii="Arial" w:hAnsi="Arial" w:cs="Arial"/>
          <w:sz w:val="18"/>
          <w:szCs w:val="18"/>
        </w:rPr>
        <w:t xml:space="preserve"> [2012] EWCA Crim 2.</w:t>
      </w:r>
    </w:p>
  </w:footnote>
  <w:footnote w:id="59">
    <w:p w14:paraId="462832F8" w14:textId="7A6140D6"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S Edwards</w:t>
      </w:r>
      <w:r w:rsidR="00474E45" w:rsidRPr="00EA72BF">
        <w:rPr>
          <w:rFonts w:ascii="Arial" w:hAnsi="Arial" w:cs="Arial"/>
          <w:sz w:val="18"/>
          <w:szCs w:val="18"/>
        </w:rPr>
        <w:t>,</w:t>
      </w:r>
      <w:r w:rsidRPr="00EA72BF">
        <w:rPr>
          <w:rFonts w:ascii="Arial" w:hAnsi="Arial" w:cs="Arial"/>
          <w:sz w:val="18"/>
          <w:szCs w:val="18"/>
        </w:rPr>
        <w:t xml:space="preserve"> </w:t>
      </w:r>
      <w:r w:rsidR="00474E45" w:rsidRPr="00EA72BF">
        <w:rPr>
          <w:rFonts w:ascii="Arial" w:hAnsi="Arial" w:cs="Arial"/>
          <w:sz w:val="18"/>
          <w:szCs w:val="18"/>
        </w:rPr>
        <w:t>‘</w:t>
      </w:r>
      <w:r w:rsidRPr="00EA72BF">
        <w:rPr>
          <w:rFonts w:ascii="Arial" w:hAnsi="Arial" w:cs="Arial"/>
          <w:sz w:val="18"/>
          <w:szCs w:val="18"/>
        </w:rPr>
        <w:t xml:space="preserve">‘‘Loss of </w:t>
      </w:r>
      <w:r w:rsidR="00474E45" w:rsidRPr="00EA72BF">
        <w:rPr>
          <w:rFonts w:ascii="Arial" w:hAnsi="Arial" w:cs="Arial"/>
          <w:sz w:val="18"/>
          <w:szCs w:val="18"/>
        </w:rPr>
        <w:t>S</w:t>
      </w:r>
      <w:r w:rsidRPr="00EA72BF">
        <w:rPr>
          <w:rFonts w:ascii="Arial" w:hAnsi="Arial" w:cs="Arial"/>
          <w:sz w:val="18"/>
          <w:szCs w:val="18"/>
        </w:rPr>
        <w:t xml:space="preserve">elf </w:t>
      </w:r>
      <w:r w:rsidR="00474E45" w:rsidRPr="00EA72BF">
        <w:rPr>
          <w:rFonts w:ascii="Arial" w:hAnsi="Arial" w:cs="Arial"/>
          <w:sz w:val="18"/>
          <w:szCs w:val="18"/>
        </w:rPr>
        <w:t>C</w:t>
      </w:r>
      <w:r w:rsidRPr="00EA72BF">
        <w:rPr>
          <w:rFonts w:ascii="Arial" w:hAnsi="Arial" w:cs="Arial"/>
          <w:sz w:val="18"/>
          <w:szCs w:val="18"/>
        </w:rPr>
        <w:t xml:space="preserve">ontrol’: The </w:t>
      </w:r>
      <w:r w:rsidR="00474E45" w:rsidRPr="00EA72BF">
        <w:rPr>
          <w:rFonts w:ascii="Arial" w:hAnsi="Arial" w:cs="Arial"/>
          <w:sz w:val="18"/>
          <w:szCs w:val="18"/>
        </w:rPr>
        <w:t>C</w:t>
      </w:r>
      <w:r w:rsidRPr="00EA72BF">
        <w:rPr>
          <w:rFonts w:ascii="Arial" w:hAnsi="Arial" w:cs="Arial"/>
          <w:sz w:val="18"/>
          <w:szCs w:val="18"/>
        </w:rPr>
        <w:t xml:space="preserve">ultural </w:t>
      </w:r>
      <w:r w:rsidR="00474E45" w:rsidRPr="00EA72BF">
        <w:rPr>
          <w:rFonts w:ascii="Arial" w:hAnsi="Arial" w:cs="Arial"/>
          <w:sz w:val="18"/>
          <w:szCs w:val="18"/>
        </w:rPr>
        <w:t>L</w:t>
      </w:r>
      <w:r w:rsidRPr="00EA72BF">
        <w:rPr>
          <w:rFonts w:ascii="Arial" w:hAnsi="Arial" w:cs="Arial"/>
          <w:sz w:val="18"/>
          <w:szCs w:val="18"/>
        </w:rPr>
        <w:t xml:space="preserve">aw of </w:t>
      </w:r>
      <w:r w:rsidR="00474E45" w:rsidRPr="00EA72BF">
        <w:rPr>
          <w:rFonts w:ascii="Arial" w:hAnsi="Arial" w:cs="Arial"/>
          <w:sz w:val="18"/>
          <w:szCs w:val="18"/>
        </w:rPr>
        <w:t>S</w:t>
      </w:r>
      <w:r w:rsidRPr="00EA72BF">
        <w:rPr>
          <w:rFonts w:ascii="Arial" w:hAnsi="Arial" w:cs="Arial"/>
          <w:sz w:val="18"/>
          <w:szCs w:val="18"/>
        </w:rPr>
        <w:t xml:space="preserve">exual </w:t>
      </w:r>
      <w:r w:rsidR="00474E45" w:rsidRPr="00EA72BF">
        <w:rPr>
          <w:rFonts w:ascii="Arial" w:hAnsi="Arial" w:cs="Arial"/>
          <w:sz w:val="18"/>
          <w:szCs w:val="18"/>
        </w:rPr>
        <w:t>I</w:t>
      </w:r>
      <w:r w:rsidRPr="00EA72BF">
        <w:rPr>
          <w:rFonts w:ascii="Arial" w:hAnsi="Arial" w:cs="Arial"/>
          <w:sz w:val="18"/>
          <w:szCs w:val="18"/>
        </w:rPr>
        <w:t xml:space="preserve">nfidelity and the </w:t>
      </w:r>
      <w:r w:rsidR="00474E45" w:rsidRPr="00EA72BF">
        <w:rPr>
          <w:rFonts w:ascii="Arial" w:hAnsi="Arial" w:cs="Arial"/>
          <w:sz w:val="18"/>
          <w:szCs w:val="18"/>
        </w:rPr>
        <w:t>T</w:t>
      </w:r>
      <w:r w:rsidRPr="00EA72BF">
        <w:rPr>
          <w:rFonts w:ascii="Arial" w:hAnsi="Arial" w:cs="Arial"/>
          <w:sz w:val="18"/>
          <w:szCs w:val="18"/>
        </w:rPr>
        <w:t xml:space="preserve">ransformative </w:t>
      </w:r>
      <w:r w:rsidR="00474E45" w:rsidRPr="00EA72BF">
        <w:rPr>
          <w:rFonts w:ascii="Arial" w:hAnsi="Arial" w:cs="Arial"/>
          <w:sz w:val="18"/>
          <w:szCs w:val="18"/>
        </w:rPr>
        <w:t>P</w:t>
      </w:r>
      <w:r w:rsidRPr="00EA72BF">
        <w:rPr>
          <w:rFonts w:ascii="Arial" w:hAnsi="Arial" w:cs="Arial"/>
          <w:sz w:val="18"/>
          <w:szCs w:val="18"/>
        </w:rPr>
        <w:t xml:space="preserve">romise of </w:t>
      </w:r>
      <w:r w:rsidR="00474E45" w:rsidRPr="00EA72BF">
        <w:rPr>
          <w:rFonts w:ascii="Arial" w:hAnsi="Arial" w:cs="Arial"/>
          <w:sz w:val="18"/>
          <w:szCs w:val="18"/>
        </w:rPr>
        <w:t>S</w:t>
      </w:r>
      <w:r w:rsidRPr="00EA72BF">
        <w:rPr>
          <w:rFonts w:ascii="Arial" w:hAnsi="Arial" w:cs="Arial"/>
          <w:sz w:val="18"/>
          <w:szCs w:val="18"/>
        </w:rPr>
        <w:t xml:space="preserve">elf </w:t>
      </w:r>
      <w:r w:rsidR="00474E45" w:rsidRPr="00EA72BF">
        <w:rPr>
          <w:rFonts w:ascii="Arial" w:hAnsi="Arial" w:cs="Arial"/>
          <w:sz w:val="18"/>
          <w:szCs w:val="18"/>
        </w:rPr>
        <w:t>D</w:t>
      </w:r>
      <w:r w:rsidRPr="00EA72BF">
        <w:rPr>
          <w:rFonts w:ascii="Arial" w:hAnsi="Arial" w:cs="Arial"/>
          <w:sz w:val="18"/>
          <w:szCs w:val="18"/>
        </w:rPr>
        <w:t>efence’</w:t>
      </w:r>
      <w:r w:rsidR="00474E45" w:rsidRPr="00EA72BF">
        <w:rPr>
          <w:rFonts w:ascii="Arial" w:hAnsi="Arial" w:cs="Arial"/>
          <w:sz w:val="18"/>
          <w:szCs w:val="18"/>
        </w:rPr>
        <w:t>, i</w:t>
      </w:r>
      <w:r w:rsidRPr="00EA72BF">
        <w:rPr>
          <w:rFonts w:ascii="Arial" w:hAnsi="Arial" w:cs="Arial"/>
          <w:sz w:val="18"/>
          <w:szCs w:val="18"/>
        </w:rPr>
        <w:t xml:space="preserve">n A Reed, M Bohlander, N Wake, </w:t>
      </w:r>
      <w:r w:rsidR="00474E45" w:rsidRPr="00EA72BF">
        <w:rPr>
          <w:rFonts w:ascii="Arial" w:hAnsi="Arial" w:cs="Arial"/>
          <w:sz w:val="18"/>
          <w:szCs w:val="18"/>
        </w:rPr>
        <w:t>E</w:t>
      </w:r>
      <w:r w:rsidRPr="00EA72BF">
        <w:rPr>
          <w:rFonts w:ascii="Arial" w:hAnsi="Arial" w:cs="Arial"/>
          <w:sz w:val="18"/>
          <w:szCs w:val="18"/>
        </w:rPr>
        <w:t xml:space="preserve"> Engleby and V Adams (eds)</w:t>
      </w:r>
      <w:r w:rsidR="00474E45"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Homicide in Law: A Research Companion</w:t>
      </w:r>
      <w:r w:rsidRPr="00EA72BF">
        <w:rPr>
          <w:rFonts w:ascii="Arial" w:hAnsi="Arial" w:cs="Arial"/>
          <w:sz w:val="18"/>
          <w:szCs w:val="18"/>
        </w:rPr>
        <w:t xml:space="preserve"> (Routledge, 2018).</w:t>
      </w:r>
    </w:p>
  </w:footnote>
  <w:footnote w:id="60">
    <w:p w14:paraId="0F382791" w14:textId="56D05428"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As the victim is dead, there is often little that can be done to challenge the killer’s account; J </w:t>
      </w:r>
      <w:r w:rsidRPr="00EA72BF">
        <w:rPr>
          <w:rFonts w:ascii="Arial" w:hAnsi="Arial" w:cs="Arial"/>
          <w:sz w:val="18"/>
          <w:szCs w:val="18"/>
          <w:shd w:val="clear" w:color="auto" w:fill="FFFFFF"/>
        </w:rPr>
        <w:t>Morgan</w:t>
      </w:r>
      <w:r w:rsidR="00474E45" w:rsidRPr="00EA72BF">
        <w:rPr>
          <w:rFonts w:ascii="Arial" w:hAnsi="Arial" w:cs="Arial"/>
          <w:sz w:val="18"/>
          <w:szCs w:val="18"/>
          <w:shd w:val="clear" w:color="auto" w:fill="FFFFFF"/>
        </w:rPr>
        <w:t>,</w:t>
      </w:r>
      <w:r w:rsidRPr="00EA72BF">
        <w:rPr>
          <w:rFonts w:ascii="Arial" w:hAnsi="Arial" w:cs="Arial"/>
          <w:sz w:val="18"/>
          <w:szCs w:val="18"/>
          <w:shd w:val="clear" w:color="auto" w:fill="FFFFFF"/>
        </w:rPr>
        <w:t xml:space="preserve"> ‘Provocation </w:t>
      </w:r>
      <w:r w:rsidR="00474E45" w:rsidRPr="00EA72BF">
        <w:rPr>
          <w:rFonts w:ascii="Arial" w:hAnsi="Arial" w:cs="Arial"/>
          <w:sz w:val="18"/>
          <w:szCs w:val="18"/>
          <w:shd w:val="clear" w:color="auto" w:fill="FFFFFF"/>
        </w:rPr>
        <w:t>L</w:t>
      </w:r>
      <w:r w:rsidRPr="00EA72BF">
        <w:rPr>
          <w:rFonts w:ascii="Arial" w:hAnsi="Arial" w:cs="Arial"/>
          <w:sz w:val="18"/>
          <w:szCs w:val="18"/>
          <w:shd w:val="clear" w:color="auto" w:fill="FFFFFF"/>
        </w:rPr>
        <w:t xml:space="preserve">aw and </w:t>
      </w:r>
      <w:r w:rsidR="00474E45" w:rsidRPr="00EA72BF">
        <w:rPr>
          <w:rFonts w:ascii="Arial" w:hAnsi="Arial" w:cs="Arial"/>
          <w:sz w:val="18"/>
          <w:szCs w:val="18"/>
          <w:shd w:val="clear" w:color="auto" w:fill="FFFFFF"/>
        </w:rPr>
        <w:t>F</w:t>
      </w:r>
      <w:r w:rsidRPr="00EA72BF">
        <w:rPr>
          <w:rFonts w:ascii="Arial" w:hAnsi="Arial" w:cs="Arial"/>
          <w:sz w:val="18"/>
          <w:szCs w:val="18"/>
          <w:shd w:val="clear" w:color="auto" w:fill="FFFFFF"/>
        </w:rPr>
        <w:t xml:space="preserve">acts: Dead </w:t>
      </w:r>
      <w:r w:rsidR="00474E45" w:rsidRPr="00EA72BF">
        <w:rPr>
          <w:rFonts w:ascii="Arial" w:hAnsi="Arial" w:cs="Arial"/>
          <w:sz w:val="18"/>
          <w:szCs w:val="18"/>
          <w:shd w:val="clear" w:color="auto" w:fill="FFFFFF"/>
        </w:rPr>
        <w:t>W</w:t>
      </w:r>
      <w:r w:rsidRPr="00EA72BF">
        <w:rPr>
          <w:rFonts w:ascii="Arial" w:hAnsi="Arial" w:cs="Arial"/>
          <w:sz w:val="18"/>
          <w:szCs w:val="18"/>
          <w:shd w:val="clear" w:color="auto" w:fill="FFFFFF"/>
        </w:rPr>
        <w:t xml:space="preserve">omen </w:t>
      </w:r>
      <w:r w:rsidR="00474E45" w:rsidRPr="00EA72BF">
        <w:rPr>
          <w:rFonts w:ascii="Arial" w:hAnsi="Arial" w:cs="Arial"/>
          <w:sz w:val="18"/>
          <w:szCs w:val="18"/>
          <w:shd w:val="clear" w:color="auto" w:fill="FFFFFF"/>
        </w:rPr>
        <w:t>T</w:t>
      </w:r>
      <w:r w:rsidRPr="00EA72BF">
        <w:rPr>
          <w:rFonts w:ascii="Arial" w:hAnsi="Arial" w:cs="Arial"/>
          <w:sz w:val="18"/>
          <w:szCs w:val="18"/>
          <w:shd w:val="clear" w:color="auto" w:fill="FFFFFF"/>
        </w:rPr>
        <w:t xml:space="preserve">ell </w:t>
      </w:r>
      <w:r w:rsidR="00474E45" w:rsidRPr="00EA72BF">
        <w:rPr>
          <w:rFonts w:ascii="Arial" w:hAnsi="Arial" w:cs="Arial"/>
          <w:sz w:val="18"/>
          <w:szCs w:val="18"/>
          <w:shd w:val="clear" w:color="auto" w:fill="FFFFFF"/>
        </w:rPr>
        <w:t>N</w:t>
      </w:r>
      <w:r w:rsidRPr="00EA72BF">
        <w:rPr>
          <w:rFonts w:ascii="Arial" w:hAnsi="Arial" w:cs="Arial"/>
          <w:sz w:val="18"/>
          <w:szCs w:val="18"/>
          <w:shd w:val="clear" w:color="auto" w:fill="FFFFFF"/>
        </w:rPr>
        <w:t xml:space="preserve">o </w:t>
      </w:r>
      <w:r w:rsidR="00474E45" w:rsidRPr="00EA72BF">
        <w:rPr>
          <w:rFonts w:ascii="Arial" w:hAnsi="Arial" w:cs="Arial"/>
          <w:sz w:val="18"/>
          <w:szCs w:val="18"/>
          <w:shd w:val="clear" w:color="auto" w:fill="FFFFFF"/>
        </w:rPr>
        <w:t>T</w:t>
      </w:r>
      <w:r w:rsidRPr="00EA72BF">
        <w:rPr>
          <w:rFonts w:ascii="Arial" w:hAnsi="Arial" w:cs="Arial"/>
          <w:sz w:val="18"/>
          <w:szCs w:val="18"/>
          <w:shd w:val="clear" w:color="auto" w:fill="FFFFFF"/>
        </w:rPr>
        <w:t xml:space="preserve">ales, </w:t>
      </w:r>
      <w:r w:rsidR="00474E45" w:rsidRPr="00EA72BF">
        <w:rPr>
          <w:rFonts w:ascii="Arial" w:hAnsi="Arial" w:cs="Arial"/>
          <w:sz w:val="18"/>
          <w:szCs w:val="18"/>
          <w:shd w:val="clear" w:color="auto" w:fill="FFFFFF"/>
        </w:rPr>
        <w:t>T</w:t>
      </w:r>
      <w:r w:rsidRPr="00EA72BF">
        <w:rPr>
          <w:rFonts w:ascii="Arial" w:hAnsi="Arial" w:cs="Arial"/>
          <w:sz w:val="18"/>
          <w:szCs w:val="18"/>
          <w:shd w:val="clear" w:color="auto" w:fill="FFFFFF"/>
        </w:rPr>
        <w:t xml:space="preserve">ales are </w:t>
      </w:r>
      <w:r w:rsidR="00474E45" w:rsidRPr="00EA72BF">
        <w:rPr>
          <w:rFonts w:ascii="Arial" w:hAnsi="Arial" w:cs="Arial"/>
          <w:sz w:val="18"/>
          <w:szCs w:val="18"/>
          <w:shd w:val="clear" w:color="auto" w:fill="FFFFFF"/>
        </w:rPr>
        <w:t>T</w:t>
      </w:r>
      <w:r w:rsidRPr="00EA72BF">
        <w:rPr>
          <w:rFonts w:ascii="Arial" w:hAnsi="Arial" w:cs="Arial"/>
          <w:sz w:val="18"/>
          <w:szCs w:val="18"/>
          <w:shd w:val="clear" w:color="auto" w:fill="FFFFFF"/>
        </w:rPr>
        <w:t xml:space="preserve">old about </w:t>
      </w:r>
      <w:r w:rsidR="00474E45" w:rsidRPr="00EA72BF">
        <w:rPr>
          <w:rFonts w:ascii="Arial" w:hAnsi="Arial" w:cs="Arial"/>
          <w:sz w:val="18"/>
          <w:szCs w:val="18"/>
          <w:shd w:val="clear" w:color="auto" w:fill="FFFFFF"/>
        </w:rPr>
        <w:t>T</w:t>
      </w:r>
      <w:r w:rsidRPr="00EA72BF">
        <w:rPr>
          <w:rFonts w:ascii="Arial" w:hAnsi="Arial" w:cs="Arial"/>
          <w:sz w:val="18"/>
          <w:szCs w:val="18"/>
          <w:shd w:val="clear" w:color="auto" w:fill="FFFFFF"/>
        </w:rPr>
        <w:t xml:space="preserve">hem’ (1997) </w:t>
      </w:r>
      <w:r w:rsidRPr="00EA72BF">
        <w:rPr>
          <w:rStyle w:val="Emphasis"/>
          <w:rFonts w:ascii="Arial" w:hAnsi="Arial" w:cs="Arial"/>
          <w:sz w:val="18"/>
          <w:szCs w:val="18"/>
          <w:shd w:val="clear" w:color="auto" w:fill="FFFFFF"/>
        </w:rPr>
        <w:t xml:space="preserve">Melbourne </w:t>
      </w:r>
      <w:r w:rsidR="00474E45" w:rsidRPr="00EA72BF">
        <w:rPr>
          <w:rFonts w:ascii="Arial" w:hAnsi="Arial" w:cs="Arial"/>
          <w:sz w:val="18"/>
          <w:szCs w:val="18"/>
          <w:shd w:val="clear" w:color="auto" w:fill="FFFFFF"/>
        </w:rPr>
        <w:t xml:space="preserve">21 </w:t>
      </w:r>
      <w:r w:rsidRPr="00EA72BF">
        <w:rPr>
          <w:rStyle w:val="Emphasis"/>
          <w:rFonts w:ascii="Arial" w:hAnsi="Arial" w:cs="Arial"/>
          <w:sz w:val="18"/>
          <w:szCs w:val="18"/>
          <w:shd w:val="clear" w:color="auto" w:fill="FFFFFF"/>
        </w:rPr>
        <w:t>University Law Review</w:t>
      </w:r>
      <w:r w:rsidRPr="00EA72BF">
        <w:rPr>
          <w:rFonts w:ascii="Arial" w:hAnsi="Arial" w:cs="Arial"/>
          <w:sz w:val="18"/>
          <w:szCs w:val="18"/>
          <w:shd w:val="clear" w:color="auto" w:fill="FFFFFF"/>
        </w:rPr>
        <w:t> 237–276.</w:t>
      </w:r>
    </w:p>
  </w:footnote>
  <w:footnote w:id="61">
    <w:p w14:paraId="7852A67C" w14:textId="551DB967"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This was asserted in </w:t>
      </w:r>
      <w:r w:rsidRPr="00EA72BF">
        <w:rPr>
          <w:rFonts w:ascii="Arial" w:hAnsi="Arial" w:cs="Arial"/>
          <w:i/>
          <w:iCs/>
          <w:sz w:val="18"/>
          <w:szCs w:val="18"/>
        </w:rPr>
        <w:t>R v Clinton and others</w:t>
      </w:r>
      <w:r w:rsidRPr="00EA72BF">
        <w:rPr>
          <w:rFonts w:ascii="Arial" w:hAnsi="Arial" w:cs="Arial"/>
          <w:sz w:val="18"/>
          <w:szCs w:val="18"/>
        </w:rPr>
        <w:t xml:space="preserve">, n </w:t>
      </w:r>
      <w:r w:rsidR="00474E45" w:rsidRPr="00EA72BF">
        <w:rPr>
          <w:rFonts w:ascii="Arial" w:hAnsi="Arial" w:cs="Arial"/>
          <w:sz w:val="18"/>
          <w:szCs w:val="18"/>
        </w:rPr>
        <w:t>58 above</w:t>
      </w:r>
      <w:r w:rsidRPr="00EA72BF">
        <w:rPr>
          <w:rFonts w:ascii="Arial" w:hAnsi="Arial" w:cs="Arial"/>
          <w:sz w:val="18"/>
          <w:szCs w:val="18"/>
        </w:rPr>
        <w:t>.</w:t>
      </w:r>
    </w:p>
  </w:footnote>
  <w:footnote w:id="62">
    <w:p w14:paraId="15C9E7D3" w14:textId="56299543"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Burton</w:t>
      </w:r>
      <w:r w:rsidR="00474E45" w:rsidRPr="00EA72BF">
        <w:rPr>
          <w:rFonts w:ascii="Arial" w:hAnsi="Arial" w:cs="Arial"/>
          <w:sz w:val="18"/>
          <w:szCs w:val="18"/>
        </w:rPr>
        <w:t>,</w:t>
      </w:r>
      <w:r w:rsidR="00474E45" w:rsidRPr="00EA72BF">
        <w:rPr>
          <w:rFonts w:ascii="Arial" w:hAnsi="Arial" w:cs="Arial"/>
          <w:i/>
          <w:iCs/>
          <w:sz w:val="18"/>
          <w:szCs w:val="18"/>
        </w:rPr>
        <w:t xml:space="preserve"> Domestic Abuse, Victims and the Law</w:t>
      </w:r>
      <w:r w:rsidR="00474E45" w:rsidRPr="00EA72BF">
        <w:rPr>
          <w:rFonts w:ascii="Arial" w:hAnsi="Arial" w:cs="Arial"/>
          <w:sz w:val="18"/>
          <w:szCs w:val="18"/>
        </w:rPr>
        <w:t>, n 49 above</w:t>
      </w:r>
      <w:r w:rsidRPr="00EA72BF">
        <w:rPr>
          <w:rFonts w:ascii="Arial" w:hAnsi="Arial" w:cs="Arial"/>
          <w:sz w:val="18"/>
          <w:szCs w:val="18"/>
        </w:rPr>
        <w:t>, 161.</w:t>
      </w:r>
    </w:p>
  </w:footnote>
  <w:footnote w:id="63">
    <w:p w14:paraId="7DCF3808" w14:textId="74EB824C" w:rsidR="003A4C05" w:rsidRPr="00EA72BF" w:rsidRDefault="003A4C05" w:rsidP="003A436E">
      <w:pPr>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Edwards</w:t>
      </w:r>
      <w:r w:rsidR="00474E45" w:rsidRPr="00EA72BF">
        <w:rPr>
          <w:rFonts w:ascii="Arial" w:hAnsi="Arial" w:cs="Arial"/>
          <w:sz w:val="18"/>
          <w:szCs w:val="18"/>
        </w:rPr>
        <w:t xml:space="preserve">, ‘‘‘Loss of Self Control’: The Cultural Law of Sexual Infidelity and the Transformative Promise of Self Defence’, </w:t>
      </w:r>
      <w:r w:rsidRPr="00EA72BF">
        <w:rPr>
          <w:rFonts w:ascii="Arial" w:hAnsi="Arial" w:cs="Arial"/>
          <w:sz w:val="18"/>
          <w:szCs w:val="18"/>
        </w:rPr>
        <w:t>n 5</w:t>
      </w:r>
      <w:r w:rsidR="0016609C" w:rsidRPr="00EA72BF">
        <w:rPr>
          <w:rFonts w:ascii="Arial" w:hAnsi="Arial" w:cs="Arial"/>
          <w:sz w:val="18"/>
          <w:szCs w:val="18"/>
        </w:rPr>
        <w:t>9 above</w:t>
      </w:r>
      <w:r w:rsidRPr="00EA72BF">
        <w:rPr>
          <w:rFonts w:ascii="Arial" w:hAnsi="Arial" w:cs="Arial"/>
          <w:sz w:val="18"/>
          <w:szCs w:val="18"/>
        </w:rPr>
        <w:t xml:space="preserve">; S Edwards ‘Women </w:t>
      </w:r>
      <w:r w:rsidR="0016609C" w:rsidRPr="00EA72BF">
        <w:rPr>
          <w:rFonts w:ascii="Arial" w:hAnsi="Arial" w:cs="Arial"/>
          <w:sz w:val="18"/>
          <w:szCs w:val="18"/>
        </w:rPr>
        <w:t xml:space="preserve">Who Kill Abusive Partners: Reviewing the Impact of Section 55(3) ‘Fear of Serious Violence’ Manslaughter – Some Empirical Findings’ </w:t>
      </w:r>
      <w:r w:rsidRPr="00EA72BF">
        <w:rPr>
          <w:rFonts w:ascii="Arial" w:hAnsi="Arial" w:cs="Arial"/>
          <w:sz w:val="18"/>
          <w:szCs w:val="18"/>
        </w:rPr>
        <w:t xml:space="preserve">(2021) </w:t>
      </w:r>
      <w:r w:rsidR="0016609C" w:rsidRPr="00EA72BF">
        <w:rPr>
          <w:rFonts w:ascii="Arial" w:hAnsi="Arial" w:cs="Arial"/>
          <w:sz w:val="18"/>
          <w:szCs w:val="18"/>
        </w:rPr>
        <w:t xml:space="preserve">72(2) </w:t>
      </w:r>
      <w:r w:rsidRPr="00EA72BF">
        <w:rPr>
          <w:rFonts w:ascii="Arial" w:hAnsi="Arial" w:cs="Arial"/>
          <w:i/>
          <w:sz w:val="18"/>
          <w:szCs w:val="18"/>
        </w:rPr>
        <w:t>Northern Ireland Legal Quarterly</w:t>
      </w:r>
      <w:r w:rsidRPr="00EA72BF">
        <w:rPr>
          <w:rFonts w:ascii="Arial" w:hAnsi="Arial" w:cs="Arial"/>
          <w:sz w:val="18"/>
          <w:szCs w:val="18"/>
        </w:rPr>
        <w:t xml:space="preserve"> 245-270.</w:t>
      </w:r>
    </w:p>
  </w:footnote>
  <w:footnote w:id="64">
    <w:p w14:paraId="11A57575" w14:textId="5AB94071"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16609C" w:rsidRPr="00EA72BF">
        <w:rPr>
          <w:rFonts w:ascii="Arial" w:hAnsi="Arial" w:cs="Arial"/>
          <w:sz w:val="18"/>
          <w:szCs w:val="18"/>
        </w:rPr>
        <w:t>Edwards, ‘‘‘Loss of Self Control’: The Cultural Law of Sexual Infidelity and the Transformative Promise of Self Defence’, n 59 above</w:t>
      </w:r>
      <w:r w:rsidRPr="00EA72BF">
        <w:rPr>
          <w:rFonts w:ascii="Arial" w:hAnsi="Arial" w:cs="Arial"/>
          <w:sz w:val="18"/>
          <w:szCs w:val="18"/>
        </w:rPr>
        <w:t>.</w:t>
      </w:r>
    </w:p>
  </w:footnote>
  <w:footnote w:id="65">
    <w:p w14:paraId="1397C85F" w14:textId="77777777"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Pr="00EA72BF">
        <w:rPr>
          <w:rFonts w:ascii="Arial" w:hAnsi="Arial" w:cs="Arial"/>
          <w:i/>
          <w:iCs/>
          <w:sz w:val="18"/>
          <w:szCs w:val="18"/>
        </w:rPr>
        <w:t>R v Challen</w:t>
      </w:r>
      <w:r w:rsidRPr="00EA72BF">
        <w:rPr>
          <w:rFonts w:ascii="Arial" w:hAnsi="Arial" w:cs="Arial"/>
          <w:sz w:val="18"/>
          <w:szCs w:val="18"/>
        </w:rPr>
        <w:t xml:space="preserve"> [2019] EWCA Crim 916.</w:t>
      </w:r>
    </w:p>
  </w:footnote>
  <w:footnote w:id="66">
    <w:p w14:paraId="40EEA733" w14:textId="4F9ACB62" w:rsidR="003A4C05" w:rsidRPr="00EA72BF" w:rsidRDefault="003A4C05" w:rsidP="003A436E">
      <w:pPr>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V Bettinson, ‘Aligning Partial Defences to Murder with the Offence of Controlling or Coercive Behaviour’ (2018) </w:t>
      </w:r>
      <w:r w:rsidR="0016609C" w:rsidRPr="00EA72BF">
        <w:rPr>
          <w:rFonts w:ascii="Arial" w:hAnsi="Arial" w:cs="Arial"/>
          <w:sz w:val="18"/>
          <w:szCs w:val="18"/>
        </w:rPr>
        <w:t xml:space="preserve">83(1) </w:t>
      </w:r>
      <w:r w:rsidRPr="00EA72BF">
        <w:rPr>
          <w:rFonts w:ascii="Arial" w:hAnsi="Arial" w:cs="Arial"/>
          <w:i/>
          <w:sz w:val="18"/>
          <w:szCs w:val="18"/>
        </w:rPr>
        <w:t>Journal of Criminal Law</w:t>
      </w:r>
      <w:r w:rsidRPr="00EA72BF">
        <w:rPr>
          <w:rFonts w:ascii="Arial" w:hAnsi="Arial" w:cs="Arial"/>
          <w:sz w:val="18"/>
          <w:szCs w:val="18"/>
        </w:rPr>
        <w:t xml:space="preserve"> 71-86.</w:t>
      </w:r>
    </w:p>
  </w:footnote>
  <w:footnote w:id="67">
    <w:p w14:paraId="1E911C55" w14:textId="0D119E00"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J Herrin</w:t>
      </w:r>
      <w:r w:rsidR="0016609C" w:rsidRPr="00EA72BF">
        <w:rPr>
          <w:rFonts w:ascii="Arial" w:hAnsi="Arial" w:cs="Arial"/>
          <w:sz w:val="18"/>
          <w:szCs w:val="18"/>
        </w:rPr>
        <w:t xml:space="preserve">g, </w:t>
      </w:r>
      <w:r w:rsidR="0016609C" w:rsidRPr="00EA72BF">
        <w:rPr>
          <w:rFonts w:ascii="Arial" w:hAnsi="Arial" w:cs="Arial"/>
          <w:i/>
          <w:iCs/>
          <w:sz w:val="18"/>
          <w:szCs w:val="18"/>
        </w:rPr>
        <w:t xml:space="preserve">Domestic Abuse and Human Rights, </w:t>
      </w:r>
      <w:r w:rsidR="0016609C" w:rsidRPr="00EA72BF">
        <w:rPr>
          <w:rFonts w:ascii="Arial" w:hAnsi="Arial" w:cs="Arial"/>
          <w:sz w:val="18"/>
          <w:szCs w:val="18"/>
        </w:rPr>
        <w:t>n 15 above</w:t>
      </w:r>
      <w:r w:rsidRPr="00EA72BF">
        <w:rPr>
          <w:rFonts w:ascii="Arial" w:hAnsi="Arial" w:cs="Arial"/>
          <w:sz w:val="18"/>
          <w:szCs w:val="18"/>
        </w:rPr>
        <w:t>, 139.</w:t>
      </w:r>
    </w:p>
  </w:footnote>
  <w:footnote w:id="68">
    <w:p w14:paraId="3FF8A353" w14:textId="62F6E330"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As it is the defence does not allow for mental conditions of the defendant to modify the standard of self- restraint for loss of control (</w:t>
      </w:r>
      <w:r w:rsidRPr="00EA72BF">
        <w:rPr>
          <w:rFonts w:ascii="Arial" w:hAnsi="Arial" w:cs="Arial"/>
          <w:i/>
          <w:iCs/>
          <w:sz w:val="18"/>
          <w:szCs w:val="18"/>
        </w:rPr>
        <w:t>R v Rejmanski</w:t>
      </w:r>
      <w:r w:rsidRPr="00EA72BF">
        <w:rPr>
          <w:rFonts w:ascii="Arial" w:hAnsi="Arial" w:cs="Arial"/>
          <w:sz w:val="18"/>
          <w:szCs w:val="18"/>
        </w:rPr>
        <w:t xml:space="preserve"> [2017] EWCA Crim 206). A fresh approach is need to loss of control in the context of coercive control (Bettinson</w:t>
      </w:r>
      <w:r w:rsidR="0016609C" w:rsidRPr="00EA72BF">
        <w:rPr>
          <w:rFonts w:ascii="Arial" w:hAnsi="Arial" w:cs="Arial"/>
          <w:sz w:val="18"/>
          <w:szCs w:val="18"/>
        </w:rPr>
        <w:t>, ‘Aligning Partial Defences to Murder with the Offence of Controlling or Coercive Behaviour’</w:t>
      </w:r>
      <w:r w:rsidRPr="00EA72BF">
        <w:rPr>
          <w:rFonts w:ascii="Arial" w:hAnsi="Arial" w:cs="Arial"/>
          <w:sz w:val="18"/>
          <w:szCs w:val="18"/>
        </w:rPr>
        <w:t>,</w:t>
      </w:r>
      <w:r w:rsidR="00B6608A" w:rsidRPr="00EA72BF">
        <w:rPr>
          <w:rFonts w:ascii="Arial" w:hAnsi="Arial" w:cs="Arial"/>
          <w:sz w:val="18"/>
          <w:szCs w:val="18"/>
        </w:rPr>
        <w:t xml:space="preserve"> n 66 above;</w:t>
      </w:r>
      <w:r w:rsidRPr="00EA72BF">
        <w:rPr>
          <w:rFonts w:ascii="Arial" w:hAnsi="Arial" w:cs="Arial"/>
          <w:sz w:val="18"/>
          <w:szCs w:val="18"/>
        </w:rPr>
        <w:t xml:space="preserve"> Burton</w:t>
      </w:r>
      <w:r w:rsidR="00B6608A" w:rsidRPr="00EA72BF">
        <w:rPr>
          <w:rFonts w:ascii="Arial" w:hAnsi="Arial" w:cs="Arial"/>
          <w:sz w:val="18"/>
          <w:szCs w:val="18"/>
        </w:rPr>
        <w:t>,</w:t>
      </w:r>
      <w:r w:rsidRPr="00EA72BF">
        <w:rPr>
          <w:rFonts w:ascii="Arial" w:hAnsi="Arial" w:cs="Arial"/>
          <w:sz w:val="18"/>
          <w:szCs w:val="18"/>
        </w:rPr>
        <w:t xml:space="preserve"> </w:t>
      </w:r>
      <w:r w:rsidR="00B6608A" w:rsidRPr="00EA72BF">
        <w:rPr>
          <w:rFonts w:ascii="Arial" w:hAnsi="Arial" w:cs="Arial"/>
          <w:i/>
          <w:iCs/>
          <w:sz w:val="18"/>
          <w:szCs w:val="18"/>
        </w:rPr>
        <w:t>Domestic Abuse, Victims and the Law</w:t>
      </w:r>
      <w:r w:rsidR="00B6608A" w:rsidRPr="00EA72BF">
        <w:rPr>
          <w:rFonts w:ascii="Arial" w:hAnsi="Arial" w:cs="Arial"/>
          <w:sz w:val="18"/>
          <w:szCs w:val="18"/>
        </w:rPr>
        <w:t xml:space="preserve">, n 49 above, </w:t>
      </w:r>
      <w:r w:rsidRPr="00EA72BF">
        <w:rPr>
          <w:rFonts w:ascii="Arial" w:hAnsi="Arial" w:cs="Arial"/>
          <w:sz w:val="18"/>
          <w:szCs w:val="18"/>
        </w:rPr>
        <w:t>164-5).</w:t>
      </w:r>
    </w:p>
  </w:footnote>
  <w:footnote w:id="69">
    <w:p w14:paraId="409E74B4" w14:textId="5228FC99"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However, reform efforts might better be directed towards a specific defence as modifying existing defences may have unintended consequences; Burton</w:t>
      </w:r>
      <w:r w:rsidR="00223DCB" w:rsidRPr="00EA72BF">
        <w:rPr>
          <w:rFonts w:ascii="Arial" w:hAnsi="Arial" w:cs="Arial"/>
          <w:sz w:val="18"/>
          <w:szCs w:val="18"/>
        </w:rPr>
        <w:t xml:space="preserve">, </w:t>
      </w:r>
      <w:r w:rsidR="00B6608A" w:rsidRPr="00EA72BF">
        <w:rPr>
          <w:rFonts w:ascii="Arial" w:hAnsi="Arial" w:cs="Arial"/>
          <w:i/>
          <w:iCs/>
          <w:sz w:val="18"/>
          <w:szCs w:val="18"/>
        </w:rPr>
        <w:t>Domestic Abuse, Victims and the Law</w:t>
      </w:r>
      <w:r w:rsidR="00B6608A" w:rsidRPr="00EA72BF">
        <w:rPr>
          <w:rFonts w:ascii="Arial" w:hAnsi="Arial" w:cs="Arial"/>
          <w:sz w:val="18"/>
          <w:szCs w:val="18"/>
        </w:rPr>
        <w:t>, n 49 above</w:t>
      </w:r>
      <w:r w:rsidRPr="00EA72BF">
        <w:rPr>
          <w:rFonts w:ascii="Arial" w:hAnsi="Arial" w:cs="Arial"/>
          <w:sz w:val="18"/>
          <w:szCs w:val="18"/>
        </w:rPr>
        <w:t>. See Nourse who argues for a specific defence (V Nourse</w:t>
      </w:r>
      <w:r w:rsidR="00223DCB" w:rsidRPr="00EA72BF">
        <w:rPr>
          <w:rFonts w:ascii="Arial" w:hAnsi="Arial" w:cs="Arial"/>
          <w:sz w:val="18"/>
          <w:szCs w:val="18"/>
        </w:rPr>
        <w:t>,</w:t>
      </w:r>
      <w:r w:rsidRPr="00EA72BF">
        <w:rPr>
          <w:rFonts w:ascii="Arial" w:hAnsi="Arial" w:cs="Arial"/>
          <w:sz w:val="18"/>
          <w:szCs w:val="18"/>
        </w:rPr>
        <w:t xml:space="preserve"> ‘Passions Progress: Modern Law Reform and the Provocation Defence’ (1997) </w:t>
      </w:r>
      <w:r w:rsidR="00223DCB" w:rsidRPr="00EA72BF">
        <w:rPr>
          <w:rFonts w:ascii="Arial" w:hAnsi="Arial" w:cs="Arial"/>
          <w:sz w:val="18"/>
          <w:szCs w:val="18"/>
        </w:rPr>
        <w:t xml:space="preserve">106 </w:t>
      </w:r>
      <w:r w:rsidRPr="00EA72BF">
        <w:rPr>
          <w:rFonts w:ascii="Arial" w:hAnsi="Arial" w:cs="Arial"/>
          <w:i/>
          <w:iCs/>
          <w:sz w:val="18"/>
          <w:szCs w:val="18"/>
        </w:rPr>
        <w:t>The Yale Law Journal</w:t>
      </w:r>
      <w:r w:rsidR="00223DCB" w:rsidRPr="00EA72BF">
        <w:rPr>
          <w:rFonts w:ascii="Arial" w:hAnsi="Arial" w:cs="Arial"/>
          <w:sz w:val="18"/>
          <w:szCs w:val="18"/>
        </w:rPr>
        <w:t xml:space="preserve"> </w:t>
      </w:r>
      <w:r w:rsidRPr="00EA72BF">
        <w:rPr>
          <w:rFonts w:ascii="Arial" w:hAnsi="Arial" w:cs="Arial"/>
          <w:sz w:val="18"/>
          <w:szCs w:val="18"/>
        </w:rPr>
        <w:t>1331-1406).</w:t>
      </w:r>
    </w:p>
  </w:footnote>
  <w:footnote w:id="70">
    <w:p w14:paraId="19EFF728" w14:textId="096F69FA" w:rsidR="003A4C05" w:rsidRPr="00EA72BF" w:rsidRDefault="003A4C05" w:rsidP="003A436E">
      <w:pPr>
        <w:autoSpaceDE w:val="0"/>
        <w:autoSpaceDN w:val="0"/>
        <w:adjustRightInd w:val="0"/>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S Edwards</w:t>
      </w:r>
      <w:r w:rsidR="00223DCB"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Policing Domestic Violence</w:t>
      </w:r>
      <w:r w:rsidRPr="00EA72BF">
        <w:rPr>
          <w:rFonts w:ascii="Arial" w:hAnsi="Arial" w:cs="Arial"/>
          <w:sz w:val="18"/>
          <w:szCs w:val="18"/>
        </w:rPr>
        <w:t xml:space="preserve"> (Sage, 1989). </w:t>
      </w:r>
    </w:p>
  </w:footnote>
  <w:footnote w:id="71">
    <w:p w14:paraId="25E9843D" w14:textId="2D651804"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Burton</w:t>
      </w:r>
      <w:r w:rsidR="00223DCB" w:rsidRPr="00EA72BF">
        <w:rPr>
          <w:rFonts w:ascii="Arial" w:hAnsi="Arial" w:cs="Arial"/>
          <w:sz w:val="18"/>
          <w:szCs w:val="18"/>
        </w:rPr>
        <w:t>,</w:t>
      </w:r>
      <w:r w:rsidRPr="00EA72BF">
        <w:rPr>
          <w:rFonts w:ascii="Arial" w:hAnsi="Arial" w:cs="Arial"/>
          <w:sz w:val="18"/>
          <w:szCs w:val="18"/>
        </w:rPr>
        <w:t xml:space="preserve"> </w:t>
      </w:r>
      <w:r w:rsidR="00223DCB" w:rsidRPr="00EA72BF">
        <w:rPr>
          <w:rFonts w:ascii="Arial" w:hAnsi="Arial" w:cs="Arial"/>
          <w:i/>
          <w:iCs/>
          <w:sz w:val="18"/>
          <w:szCs w:val="18"/>
        </w:rPr>
        <w:t>Domestic Abuse, Victims and the Law</w:t>
      </w:r>
      <w:r w:rsidR="00223DCB" w:rsidRPr="00EA72BF">
        <w:rPr>
          <w:rFonts w:ascii="Arial" w:hAnsi="Arial" w:cs="Arial"/>
          <w:sz w:val="18"/>
          <w:szCs w:val="18"/>
        </w:rPr>
        <w:t>, n 49 above</w:t>
      </w:r>
      <w:r w:rsidRPr="00EA72BF">
        <w:rPr>
          <w:rFonts w:ascii="Arial" w:hAnsi="Arial" w:cs="Arial"/>
          <w:sz w:val="18"/>
          <w:szCs w:val="18"/>
        </w:rPr>
        <w:t>, 121-123.</w:t>
      </w:r>
    </w:p>
  </w:footnote>
  <w:footnote w:id="72">
    <w:p w14:paraId="0A82CF50" w14:textId="1EAE26F4"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For the latest guidance see College of Policin</w:t>
      </w:r>
      <w:r w:rsidR="00C55916" w:rsidRPr="00EA72BF">
        <w:rPr>
          <w:rFonts w:ascii="Arial" w:hAnsi="Arial" w:cs="Arial"/>
          <w:sz w:val="18"/>
          <w:szCs w:val="18"/>
        </w:rPr>
        <w:t>g, n 4 above</w:t>
      </w:r>
      <w:r w:rsidRPr="00EA72BF">
        <w:rPr>
          <w:rFonts w:ascii="Arial" w:hAnsi="Arial" w:cs="Arial"/>
          <w:sz w:val="18"/>
          <w:szCs w:val="18"/>
        </w:rPr>
        <w:t>.</w:t>
      </w:r>
    </w:p>
  </w:footnote>
  <w:footnote w:id="73">
    <w:p w14:paraId="5FF50B7F" w14:textId="26BCBF24" w:rsidR="003A4C05" w:rsidRPr="00EA72BF" w:rsidRDefault="003A4C05" w:rsidP="003A436E">
      <w:pPr>
        <w:autoSpaceDE w:val="0"/>
        <w:autoSpaceDN w:val="0"/>
        <w:adjustRightInd w:val="0"/>
        <w:spacing w:after="0" w:line="240" w:lineRule="auto"/>
        <w:rPr>
          <w:rFonts w:ascii="Arial" w:hAnsi="Arial" w:cs="Arial"/>
          <w:i/>
          <w:iCs/>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Her Majesty’s Inspectorate Constabulary</w:t>
      </w:r>
      <w:r w:rsidR="00C55916"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 xml:space="preserve">Everyone’s </w:t>
      </w:r>
      <w:r w:rsidR="00C55916" w:rsidRPr="00EA72BF">
        <w:rPr>
          <w:rFonts w:ascii="Arial" w:hAnsi="Arial" w:cs="Arial"/>
          <w:i/>
          <w:iCs/>
          <w:sz w:val="18"/>
          <w:szCs w:val="18"/>
        </w:rPr>
        <w:t xml:space="preserve">Business: </w:t>
      </w:r>
      <w:r w:rsidRPr="00EA72BF">
        <w:rPr>
          <w:rFonts w:ascii="Arial" w:hAnsi="Arial" w:cs="Arial"/>
          <w:i/>
          <w:iCs/>
          <w:sz w:val="18"/>
          <w:szCs w:val="18"/>
        </w:rPr>
        <w:t xml:space="preserve">Improving </w:t>
      </w:r>
      <w:r w:rsidR="00C55916" w:rsidRPr="00EA72BF">
        <w:rPr>
          <w:rFonts w:ascii="Arial" w:hAnsi="Arial" w:cs="Arial"/>
          <w:i/>
          <w:iCs/>
          <w:sz w:val="18"/>
          <w:szCs w:val="18"/>
        </w:rPr>
        <w:t>the Police Response to Domestic Abuse</w:t>
      </w:r>
      <w:r w:rsidRPr="00EA72BF">
        <w:rPr>
          <w:rFonts w:ascii="Arial" w:hAnsi="Arial" w:cs="Arial"/>
          <w:sz w:val="18"/>
          <w:szCs w:val="18"/>
        </w:rPr>
        <w:t xml:space="preserve"> (HMIC, 2014). One victim said she was told to stop calling unless she had a physical assault to report, despite suffering domestic abuse for more than three years (HMICFRS (2014) n 65, 40). See also Her Majesty’s Inspectorate Constabulary and Fire and Rescue Services (HMICFRS)</w:t>
      </w:r>
      <w:r w:rsidR="00C55916"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sz w:val="18"/>
          <w:szCs w:val="18"/>
        </w:rPr>
        <w:t xml:space="preserve">A </w:t>
      </w:r>
      <w:r w:rsidR="00C55916" w:rsidRPr="00EA72BF">
        <w:rPr>
          <w:rFonts w:ascii="Arial" w:hAnsi="Arial" w:cs="Arial"/>
          <w:i/>
          <w:sz w:val="18"/>
          <w:szCs w:val="18"/>
        </w:rPr>
        <w:t>Progress Report on the Police Response to Domestic Abuse</w:t>
      </w:r>
      <w:r w:rsidRPr="00EA72BF">
        <w:rPr>
          <w:rFonts w:ascii="Arial" w:hAnsi="Arial" w:cs="Arial"/>
          <w:i/>
          <w:sz w:val="18"/>
          <w:szCs w:val="18"/>
        </w:rPr>
        <w:t xml:space="preserve"> (</w:t>
      </w:r>
      <w:r w:rsidRPr="00EA72BF">
        <w:rPr>
          <w:rFonts w:ascii="Arial" w:hAnsi="Arial" w:cs="Arial"/>
          <w:sz w:val="18"/>
          <w:szCs w:val="18"/>
        </w:rPr>
        <w:t>HMICFRS, 2017); Her Majesty’s Inspectorate Constabulary and Fire and Rescue Services</w:t>
      </w:r>
      <w:r w:rsidR="00C55916"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sz w:val="18"/>
          <w:szCs w:val="18"/>
        </w:rPr>
        <w:t xml:space="preserve">The </w:t>
      </w:r>
      <w:r w:rsidR="00C55916" w:rsidRPr="00EA72BF">
        <w:rPr>
          <w:rFonts w:ascii="Arial" w:hAnsi="Arial" w:cs="Arial"/>
          <w:i/>
          <w:sz w:val="18"/>
          <w:szCs w:val="18"/>
        </w:rPr>
        <w:t xml:space="preserve">Police Response to Domestic Abuse: </w:t>
      </w:r>
      <w:r w:rsidRPr="00EA72BF">
        <w:rPr>
          <w:rFonts w:ascii="Arial" w:hAnsi="Arial" w:cs="Arial"/>
          <w:i/>
          <w:sz w:val="18"/>
          <w:szCs w:val="18"/>
        </w:rPr>
        <w:t xml:space="preserve">An </w:t>
      </w:r>
      <w:r w:rsidR="00C55916" w:rsidRPr="00EA72BF">
        <w:rPr>
          <w:rFonts w:ascii="Arial" w:hAnsi="Arial" w:cs="Arial"/>
          <w:i/>
          <w:sz w:val="18"/>
          <w:szCs w:val="18"/>
        </w:rPr>
        <w:t>Update Report</w:t>
      </w:r>
      <w:r w:rsidR="00C55916" w:rsidRPr="00EA72BF">
        <w:rPr>
          <w:rFonts w:ascii="Arial" w:hAnsi="Arial" w:cs="Arial"/>
          <w:sz w:val="18"/>
          <w:szCs w:val="18"/>
        </w:rPr>
        <w:t xml:space="preserve"> </w:t>
      </w:r>
      <w:r w:rsidRPr="00EA72BF">
        <w:rPr>
          <w:rFonts w:ascii="Arial" w:hAnsi="Arial" w:cs="Arial"/>
          <w:sz w:val="18"/>
          <w:szCs w:val="18"/>
        </w:rPr>
        <w:t xml:space="preserve">(HMICFRS, 2019). </w:t>
      </w:r>
    </w:p>
  </w:footnote>
  <w:footnote w:id="74">
    <w:p w14:paraId="56C6E7B8" w14:textId="1369164B"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D McPhee, M Hester, L Bates, S Lilley-Walker and D Patsios</w:t>
      </w:r>
      <w:r w:rsidR="00C55916" w:rsidRPr="00EA72BF">
        <w:rPr>
          <w:rFonts w:ascii="Arial" w:hAnsi="Arial" w:cs="Arial"/>
          <w:sz w:val="18"/>
          <w:szCs w:val="18"/>
        </w:rPr>
        <w:t>,</w:t>
      </w:r>
      <w:r w:rsidRPr="00EA72BF">
        <w:rPr>
          <w:rFonts w:ascii="Arial" w:hAnsi="Arial" w:cs="Arial"/>
          <w:sz w:val="18"/>
          <w:szCs w:val="18"/>
        </w:rPr>
        <w:t xml:space="preserve"> ‘Criminal </w:t>
      </w:r>
      <w:r w:rsidR="00C55916" w:rsidRPr="00EA72BF">
        <w:rPr>
          <w:rFonts w:ascii="Arial" w:hAnsi="Arial" w:cs="Arial"/>
          <w:sz w:val="18"/>
          <w:szCs w:val="18"/>
        </w:rPr>
        <w:t xml:space="preserve">Justice Responses to Domestic Violence and Abuse in </w:t>
      </w:r>
      <w:r w:rsidRPr="00EA72BF">
        <w:rPr>
          <w:rFonts w:ascii="Arial" w:hAnsi="Arial" w:cs="Arial"/>
          <w:sz w:val="18"/>
          <w:szCs w:val="18"/>
        </w:rPr>
        <w:t>England</w:t>
      </w:r>
      <w:r w:rsidR="00C55916" w:rsidRPr="00EA72BF">
        <w:rPr>
          <w:rFonts w:ascii="Arial" w:hAnsi="Arial" w:cs="Arial"/>
          <w:sz w:val="18"/>
          <w:szCs w:val="18"/>
        </w:rPr>
        <w:t xml:space="preserve">: </w:t>
      </w:r>
      <w:r w:rsidR="0003224D">
        <w:rPr>
          <w:rFonts w:ascii="Arial" w:hAnsi="Arial" w:cs="Arial"/>
          <w:sz w:val="18"/>
          <w:szCs w:val="18"/>
        </w:rPr>
        <w:t>A</w:t>
      </w:r>
      <w:r w:rsidR="00C55916" w:rsidRPr="00EA72BF">
        <w:rPr>
          <w:rFonts w:ascii="Arial" w:hAnsi="Arial" w:cs="Arial"/>
          <w:sz w:val="18"/>
          <w:szCs w:val="18"/>
        </w:rPr>
        <w:t xml:space="preserve">n Analysis of Case Attrition and Inequalities Using Police Data’ </w:t>
      </w:r>
      <w:r w:rsidRPr="00EA72BF">
        <w:rPr>
          <w:rFonts w:ascii="Arial" w:hAnsi="Arial" w:cs="Arial"/>
          <w:sz w:val="18"/>
          <w:szCs w:val="18"/>
        </w:rPr>
        <w:t xml:space="preserve">(2021) </w:t>
      </w:r>
      <w:r w:rsidRPr="00EA72BF">
        <w:rPr>
          <w:rFonts w:ascii="Arial" w:hAnsi="Arial" w:cs="Arial"/>
          <w:i/>
          <w:sz w:val="18"/>
          <w:szCs w:val="18"/>
        </w:rPr>
        <w:t>Policing and Society</w:t>
      </w:r>
      <w:r w:rsidRPr="00EA72BF">
        <w:rPr>
          <w:rFonts w:ascii="Arial" w:hAnsi="Arial" w:cs="Arial"/>
          <w:iCs/>
          <w:sz w:val="18"/>
          <w:szCs w:val="18"/>
        </w:rPr>
        <w:t xml:space="preserve"> 963-980.</w:t>
      </w:r>
    </w:p>
  </w:footnote>
  <w:footnote w:id="75">
    <w:p w14:paraId="27B45CDB" w14:textId="54D64F2E" w:rsidR="003A4C05" w:rsidRPr="00EA72BF" w:rsidRDefault="003A4C05" w:rsidP="003A436E">
      <w:pPr>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Criminal Justice Joint Inspectorate (CJJI) (2020) </w:t>
      </w:r>
      <w:r w:rsidRPr="00EA72BF">
        <w:rPr>
          <w:rFonts w:ascii="Arial" w:hAnsi="Arial" w:cs="Arial"/>
          <w:i/>
          <w:sz w:val="18"/>
          <w:szCs w:val="18"/>
        </w:rPr>
        <w:t xml:space="preserve">Evidence </w:t>
      </w:r>
      <w:r w:rsidR="00C55916" w:rsidRPr="00EA72BF">
        <w:rPr>
          <w:rFonts w:ascii="Arial" w:hAnsi="Arial" w:cs="Arial"/>
          <w:i/>
          <w:sz w:val="18"/>
          <w:szCs w:val="18"/>
        </w:rPr>
        <w:t>L</w:t>
      </w:r>
      <w:r w:rsidRPr="00EA72BF">
        <w:rPr>
          <w:rFonts w:ascii="Arial" w:hAnsi="Arial" w:cs="Arial"/>
          <w:i/>
          <w:sz w:val="18"/>
          <w:szCs w:val="18"/>
        </w:rPr>
        <w:t xml:space="preserve">ed </w:t>
      </w:r>
      <w:r w:rsidR="00C55916" w:rsidRPr="00EA72BF">
        <w:rPr>
          <w:rFonts w:ascii="Arial" w:hAnsi="Arial" w:cs="Arial"/>
          <w:i/>
          <w:sz w:val="18"/>
          <w:szCs w:val="18"/>
        </w:rPr>
        <w:t>Pr</w:t>
      </w:r>
      <w:r w:rsidRPr="00EA72BF">
        <w:rPr>
          <w:rFonts w:ascii="Arial" w:hAnsi="Arial" w:cs="Arial"/>
          <w:i/>
          <w:sz w:val="18"/>
          <w:szCs w:val="18"/>
        </w:rPr>
        <w:t>osecutions</w:t>
      </w:r>
      <w:r w:rsidR="00C55916" w:rsidRPr="00EA72BF">
        <w:rPr>
          <w:rFonts w:ascii="Arial" w:hAnsi="Arial" w:cs="Arial"/>
          <w:sz w:val="18"/>
          <w:szCs w:val="18"/>
        </w:rPr>
        <w:t xml:space="preserve"> (</w:t>
      </w:r>
      <w:r w:rsidRPr="00EA72BF">
        <w:rPr>
          <w:rFonts w:ascii="Arial" w:hAnsi="Arial" w:cs="Arial"/>
          <w:sz w:val="18"/>
          <w:szCs w:val="18"/>
        </w:rPr>
        <w:t>London: CJJI</w:t>
      </w:r>
      <w:r w:rsidR="00C55916" w:rsidRPr="00EA72BF">
        <w:rPr>
          <w:rFonts w:ascii="Arial" w:hAnsi="Arial" w:cs="Arial"/>
          <w:sz w:val="18"/>
          <w:szCs w:val="18"/>
        </w:rPr>
        <w:t>)</w:t>
      </w:r>
      <w:r w:rsidRPr="00EA72BF">
        <w:rPr>
          <w:rFonts w:ascii="Arial" w:hAnsi="Arial" w:cs="Arial"/>
          <w:sz w:val="18"/>
          <w:szCs w:val="18"/>
        </w:rPr>
        <w:t>.</w:t>
      </w:r>
    </w:p>
  </w:footnote>
  <w:footnote w:id="76">
    <w:p w14:paraId="4D5AFD52" w14:textId="12601EEF"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V Bettinson, V Munro and M Burton</w:t>
      </w:r>
      <w:r w:rsidR="00C55916" w:rsidRPr="00EA72BF">
        <w:rPr>
          <w:rFonts w:ascii="Arial" w:hAnsi="Arial" w:cs="Arial"/>
          <w:sz w:val="18"/>
          <w:szCs w:val="18"/>
        </w:rPr>
        <w:t>,</w:t>
      </w:r>
      <w:r w:rsidRPr="00EA72BF">
        <w:rPr>
          <w:rFonts w:ascii="Arial" w:hAnsi="Arial" w:cs="Arial"/>
          <w:sz w:val="18"/>
          <w:szCs w:val="18"/>
        </w:rPr>
        <w:t xml:space="preserve"> ‘Going </w:t>
      </w:r>
      <w:r w:rsidR="00C55916" w:rsidRPr="00EA72BF">
        <w:rPr>
          <w:rFonts w:ascii="Arial" w:hAnsi="Arial" w:cs="Arial"/>
          <w:sz w:val="18"/>
          <w:szCs w:val="18"/>
        </w:rPr>
        <w:t xml:space="preserve">for </w:t>
      </w:r>
      <w:r w:rsidRPr="00EA72BF">
        <w:rPr>
          <w:rFonts w:ascii="Arial" w:hAnsi="Arial" w:cs="Arial"/>
          <w:sz w:val="18"/>
          <w:szCs w:val="18"/>
        </w:rPr>
        <w:t>Gold</w:t>
      </w:r>
      <w:r w:rsidR="00C55916" w:rsidRPr="00EA72BF">
        <w:rPr>
          <w:rFonts w:ascii="Arial" w:hAnsi="Arial" w:cs="Arial"/>
          <w:sz w:val="18"/>
          <w:szCs w:val="18"/>
        </w:rPr>
        <w:t xml:space="preserve">: </w:t>
      </w:r>
      <w:r w:rsidRPr="00EA72BF">
        <w:rPr>
          <w:rFonts w:ascii="Arial" w:hAnsi="Arial" w:cs="Arial"/>
          <w:sz w:val="18"/>
          <w:szCs w:val="18"/>
        </w:rPr>
        <w:t xml:space="preserve">Professionals’ </w:t>
      </w:r>
      <w:r w:rsidR="00C55916" w:rsidRPr="00EA72BF">
        <w:rPr>
          <w:rFonts w:ascii="Arial" w:hAnsi="Arial" w:cs="Arial"/>
          <w:sz w:val="18"/>
          <w:szCs w:val="18"/>
        </w:rPr>
        <w:t xml:space="preserve">Experiences of the Design and Implementation of Transformative Coercive Control Offences in </w:t>
      </w:r>
      <w:r w:rsidRPr="00EA72BF">
        <w:rPr>
          <w:rFonts w:ascii="Arial" w:hAnsi="Arial" w:cs="Arial"/>
          <w:sz w:val="18"/>
          <w:szCs w:val="18"/>
        </w:rPr>
        <w:t xml:space="preserve">Scotland </w:t>
      </w:r>
      <w:r w:rsidR="00C55916" w:rsidRPr="00EA72BF">
        <w:rPr>
          <w:rFonts w:ascii="Arial" w:hAnsi="Arial" w:cs="Arial"/>
          <w:sz w:val="18"/>
          <w:szCs w:val="18"/>
        </w:rPr>
        <w:t xml:space="preserve">and </w:t>
      </w:r>
      <w:r w:rsidRPr="00EA72BF">
        <w:rPr>
          <w:rFonts w:ascii="Arial" w:hAnsi="Arial" w:cs="Arial"/>
          <w:sz w:val="18"/>
          <w:szCs w:val="18"/>
        </w:rPr>
        <w:t xml:space="preserve">England </w:t>
      </w:r>
      <w:r w:rsidR="00C55916" w:rsidRPr="00EA72BF">
        <w:rPr>
          <w:rFonts w:ascii="Arial" w:hAnsi="Arial" w:cs="Arial"/>
          <w:sz w:val="18"/>
          <w:szCs w:val="18"/>
        </w:rPr>
        <w:t xml:space="preserve">and </w:t>
      </w:r>
      <w:r w:rsidRPr="00EA72BF">
        <w:rPr>
          <w:rFonts w:ascii="Arial" w:hAnsi="Arial" w:cs="Arial"/>
          <w:sz w:val="18"/>
          <w:szCs w:val="18"/>
        </w:rPr>
        <w:t xml:space="preserve">Wales, </w:t>
      </w:r>
      <w:r w:rsidRPr="00EA72BF">
        <w:rPr>
          <w:rFonts w:ascii="Arial" w:hAnsi="Arial" w:cs="Arial"/>
          <w:i/>
          <w:iCs/>
          <w:sz w:val="18"/>
          <w:szCs w:val="18"/>
        </w:rPr>
        <w:t>Criminology and Criminal Justice</w:t>
      </w:r>
      <w:r w:rsidRPr="00EA72BF">
        <w:rPr>
          <w:rFonts w:ascii="Arial" w:hAnsi="Arial" w:cs="Arial"/>
          <w:sz w:val="18"/>
          <w:szCs w:val="18"/>
        </w:rPr>
        <w:t xml:space="preserve">, </w:t>
      </w:r>
      <w:r w:rsidR="0074412C">
        <w:rPr>
          <w:rFonts w:ascii="Arial" w:hAnsi="Arial" w:cs="Arial"/>
          <w:sz w:val="18"/>
          <w:szCs w:val="18"/>
        </w:rPr>
        <w:t>(2024) In press</w:t>
      </w:r>
      <w:r w:rsidRPr="00EA72BF">
        <w:rPr>
          <w:rFonts w:ascii="Arial" w:hAnsi="Arial" w:cs="Arial"/>
          <w:sz w:val="18"/>
          <w:szCs w:val="18"/>
        </w:rPr>
        <w:t>.</w:t>
      </w:r>
    </w:p>
  </w:footnote>
  <w:footnote w:id="77">
    <w:p w14:paraId="5E024802" w14:textId="259691C1" w:rsidR="003A4C05" w:rsidRPr="00EA72BF" w:rsidRDefault="003A4C05" w:rsidP="00C55916">
      <w:pPr>
        <w:autoSpaceDE w:val="0"/>
        <w:autoSpaceDN w:val="0"/>
        <w:adjustRightInd w:val="0"/>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His Majesty’s Inspectorate of the Crown Prosecution Service (2023)</w:t>
      </w:r>
      <w:r w:rsidR="00C55916"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 xml:space="preserve">The </w:t>
      </w:r>
      <w:r w:rsidR="00552346" w:rsidRPr="00EA72BF">
        <w:rPr>
          <w:rFonts w:ascii="Arial" w:hAnsi="Arial" w:cs="Arial"/>
          <w:i/>
          <w:iCs/>
          <w:sz w:val="18"/>
          <w:szCs w:val="18"/>
        </w:rPr>
        <w:t>S</w:t>
      </w:r>
      <w:r w:rsidRPr="00EA72BF">
        <w:rPr>
          <w:rFonts w:ascii="Arial" w:hAnsi="Arial" w:cs="Arial"/>
          <w:i/>
          <w:iCs/>
          <w:sz w:val="18"/>
          <w:szCs w:val="18"/>
        </w:rPr>
        <w:t xml:space="preserve">ervice from the CPS to </w:t>
      </w:r>
      <w:r w:rsidR="00552346" w:rsidRPr="00EA72BF">
        <w:rPr>
          <w:rFonts w:ascii="Arial" w:hAnsi="Arial" w:cs="Arial"/>
          <w:i/>
          <w:iCs/>
          <w:sz w:val="18"/>
          <w:szCs w:val="18"/>
        </w:rPr>
        <w:t>V</w:t>
      </w:r>
      <w:r w:rsidRPr="00EA72BF">
        <w:rPr>
          <w:rFonts w:ascii="Arial" w:hAnsi="Arial" w:cs="Arial"/>
          <w:i/>
          <w:iCs/>
          <w:sz w:val="18"/>
          <w:szCs w:val="18"/>
        </w:rPr>
        <w:t xml:space="preserve">ictims of </w:t>
      </w:r>
      <w:r w:rsidR="00552346" w:rsidRPr="00EA72BF">
        <w:rPr>
          <w:rFonts w:ascii="Arial" w:hAnsi="Arial" w:cs="Arial"/>
          <w:i/>
          <w:iCs/>
          <w:sz w:val="18"/>
          <w:szCs w:val="18"/>
        </w:rPr>
        <w:t>D</w:t>
      </w:r>
      <w:r w:rsidRPr="00EA72BF">
        <w:rPr>
          <w:rFonts w:ascii="Arial" w:hAnsi="Arial" w:cs="Arial"/>
          <w:i/>
          <w:iCs/>
          <w:sz w:val="18"/>
          <w:szCs w:val="18"/>
        </w:rPr>
        <w:t xml:space="preserve">omestic </w:t>
      </w:r>
      <w:r w:rsidR="00552346" w:rsidRPr="00EA72BF">
        <w:rPr>
          <w:rFonts w:ascii="Arial" w:hAnsi="Arial" w:cs="Arial"/>
          <w:i/>
          <w:iCs/>
          <w:sz w:val="18"/>
          <w:szCs w:val="18"/>
        </w:rPr>
        <w:t>A</w:t>
      </w:r>
      <w:r w:rsidRPr="00EA72BF">
        <w:rPr>
          <w:rFonts w:ascii="Arial" w:hAnsi="Arial" w:cs="Arial"/>
          <w:i/>
          <w:iCs/>
          <w:sz w:val="18"/>
          <w:szCs w:val="18"/>
        </w:rPr>
        <w:t>buse</w:t>
      </w:r>
      <w:r w:rsidR="00C55916" w:rsidRPr="00EA72BF">
        <w:rPr>
          <w:rFonts w:ascii="Arial" w:hAnsi="Arial" w:cs="Arial"/>
          <w:sz w:val="18"/>
          <w:szCs w:val="18"/>
        </w:rPr>
        <w:t>. Available at:</w:t>
      </w:r>
      <w:r w:rsidR="00C55916" w:rsidRPr="00EA72BF">
        <w:rPr>
          <w:rFonts w:ascii="Arial" w:hAnsi="Arial" w:cs="Arial"/>
          <w:i/>
          <w:iCs/>
          <w:sz w:val="18"/>
          <w:szCs w:val="18"/>
        </w:rPr>
        <w:t xml:space="preserve"> </w:t>
      </w:r>
      <w:hyperlink r:id="rId7" w:history="1">
        <w:r w:rsidR="00024902" w:rsidRPr="00FE0936">
          <w:rPr>
            <w:rStyle w:val="Hyperlink"/>
            <w:rFonts w:ascii="Arial" w:hAnsi="Arial" w:cs="Arial"/>
            <w:sz w:val="18"/>
            <w:szCs w:val="18"/>
          </w:rPr>
          <w:t>https://www.justiceinspectorates.gov.uk/hmcpsi/inspections/the-service-from-the-cps-to-victims-of-domestic-abuse</w:t>
        </w:r>
      </w:hyperlink>
      <w:r w:rsidR="0003224D">
        <w:rPr>
          <w:rFonts w:ascii="Arial" w:hAnsi="Arial" w:cs="Arial"/>
          <w:sz w:val="18"/>
          <w:szCs w:val="18"/>
        </w:rPr>
        <w:t xml:space="preserve"> (last accessed 14 June 2024).</w:t>
      </w:r>
    </w:p>
  </w:footnote>
  <w:footnote w:id="78">
    <w:p w14:paraId="18915A08" w14:textId="436C2421" w:rsidR="003A4C05" w:rsidRPr="00EA72BF" w:rsidRDefault="003A4C05" w:rsidP="003A436E">
      <w:pPr>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Centre for Women’s Justice (CWJ)</w:t>
      </w:r>
      <w:r w:rsidR="00552346"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sz w:val="18"/>
          <w:szCs w:val="18"/>
        </w:rPr>
        <w:t>Super</w:t>
      </w:r>
      <w:r w:rsidR="00552346" w:rsidRPr="00EA72BF">
        <w:rPr>
          <w:rFonts w:ascii="Arial" w:hAnsi="Arial" w:cs="Arial"/>
          <w:i/>
          <w:sz w:val="18"/>
          <w:szCs w:val="18"/>
        </w:rPr>
        <w:t>-Complaint-</w:t>
      </w:r>
      <w:r w:rsidRPr="00EA72BF">
        <w:rPr>
          <w:rFonts w:ascii="Arial" w:hAnsi="Arial" w:cs="Arial"/>
          <w:i/>
          <w:sz w:val="18"/>
          <w:szCs w:val="18"/>
        </w:rPr>
        <w:t xml:space="preserve">Failure </w:t>
      </w:r>
      <w:r w:rsidR="00552346" w:rsidRPr="00EA72BF">
        <w:rPr>
          <w:rFonts w:ascii="Arial" w:hAnsi="Arial" w:cs="Arial"/>
          <w:i/>
          <w:sz w:val="18"/>
          <w:szCs w:val="18"/>
        </w:rPr>
        <w:t>to Address Police Perpetrated Domestic Abuse (</w:t>
      </w:r>
      <w:r w:rsidRPr="00EA72BF">
        <w:rPr>
          <w:rFonts w:ascii="Arial" w:hAnsi="Arial" w:cs="Arial"/>
          <w:sz w:val="18"/>
          <w:szCs w:val="18"/>
        </w:rPr>
        <w:t>CWJ</w:t>
      </w:r>
      <w:r w:rsidR="00552346" w:rsidRPr="00EA72BF">
        <w:rPr>
          <w:rFonts w:ascii="Arial" w:hAnsi="Arial" w:cs="Arial"/>
          <w:sz w:val="18"/>
          <w:szCs w:val="18"/>
        </w:rPr>
        <w:t>, 2020)</w:t>
      </w:r>
    </w:p>
  </w:footnote>
  <w:footnote w:id="79">
    <w:p w14:paraId="1B37AE90" w14:textId="70A9E49A"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Baroness Casey</w:t>
      </w:r>
      <w:r w:rsidR="00552346"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 xml:space="preserve">An </w:t>
      </w:r>
      <w:r w:rsidR="00552346" w:rsidRPr="00EA72BF">
        <w:rPr>
          <w:rFonts w:ascii="Arial" w:hAnsi="Arial" w:cs="Arial"/>
          <w:i/>
          <w:iCs/>
          <w:sz w:val="18"/>
          <w:szCs w:val="18"/>
        </w:rPr>
        <w:t xml:space="preserve">Independent Review into the Standards of Behaviour and Internal Culture of the </w:t>
      </w:r>
      <w:r w:rsidRPr="00EA72BF">
        <w:rPr>
          <w:rFonts w:ascii="Arial" w:hAnsi="Arial" w:cs="Arial"/>
          <w:i/>
          <w:iCs/>
          <w:sz w:val="18"/>
          <w:szCs w:val="18"/>
        </w:rPr>
        <w:t>Metropolitan Police Service</w:t>
      </w:r>
      <w:r w:rsidRPr="00EA72BF">
        <w:rPr>
          <w:rFonts w:ascii="Arial" w:hAnsi="Arial" w:cs="Arial"/>
          <w:sz w:val="18"/>
          <w:szCs w:val="18"/>
        </w:rPr>
        <w:t>, March 2023</w:t>
      </w:r>
      <w:r w:rsidR="00024902">
        <w:t xml:space="preserve">. </w:t>
      </w:r>
      <w:r w:rsidR="00024902" w:rsidRPr="00024902">
        <w:rPr>
          <w:rFonts w:ascii="Arial" w:hAnsi="Arial" w:cs="Arial"/>
          <w:sz w:val="18"/>
          <w:szCs w:val="18"/>
        </w:rPr>
        <w:t xml:space="preserve">Available at: </w:t>
      </w:r>
      <w:hyperlink r:id="rId8" w:history="1">
        <w:r w:rsidR="00024902" w:rsidRPr="00FE0936">
          <w:rPr>
            <w:rStyle w:val="Hyperlink"/>
            <w:rFonts w:ascii="Arial" w:hAnsi="Arial" w:cs="Arial"/>
            <w:sz w:val="18"/>
            <w:szCs w:val="18"/>
          </w:rPr>
          <w:t>https://www.met.police.uk/SysSiteAssets/media/downloads/met/about-us/baroness-casey-review/update-march-2023/baroness-casey-review-march-2023a.pdf</w:t>
        </w:r>
      </w:hyperlink>
      <w:r w:rsidR="0003224D">
        <w:rPr>
          <w:rFonts w:ascii="Arial" w:hAnsi="Arial" w:cs="Arial"/>
          <w:sz w:val="18"/>
          <w:szCs w:val="18"/>
        </w:rPr>
        <w:t xml:space="preserve"> (last accessed 14 June 2024).</w:t>
      </w:r>
    </w:p>
  </w:footnote>
  <w:footnote w:id="80">
    <w:p w14:paraId="5C83FB74" w14:textId="7F04CF9E"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M Burton</w:t>
      </w:r>
      <w:r w:rsidR="00552346"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Legal Responses to Domestic Violence</w:t>
      </w:r>
      <w:r w:rsidRPr="00EA72BF">
        <w:rPr>
          <w:rFonts w:ascii="Arial" w:hAnsi="Arial" w:cs="Arial"/>
          <w:sz w:val="18"/>
          <w:szCs w:val="18"/>
        </w:rPr>
        <w:t xml:space="preserve"> (Routledge-Cavendish, 2008).</w:t>
      </w:r>
    </w:p>
  </w:footnote>
  <w:footnote w:id="81">
    <w:p w14:paraId="4E528188" w14:textId="769DEF49" w:rsidR="003A4C05" w:rsidRPr="00EA72BF" w:rsidRDefault="003A4C05" w:rsidP="003A436E">
      <w:pPr>
        <w:spacing w:after="0" w:line="240" w:lineRule="auto"/>
        <w:rPr>
          <w:rFonts w:ascii="Arial" w:eastAsia="Times New Roman" w:hAnsi="Arial" w:cs="Arial"/>
          <w:sz w:val="18"/>
          <w:szCs w:val="18"/>
          <w:lang w:eastAsia="en-GB"/>
        </w:rPr>
      </w:pPr>
      <w:r w:rsidRPr="00EA72BF">
        <w:rPr>
          <w:rStyle w:val="FootnoteReference"/>
          <w:rFonts w:ascii="Arial" w:hAnsi="Arial" w:cs="Arial"/>
          <w:sz w:val="18"/>
          <w:szCs w:val="18"/>
        </w:rPr>
        <w:footnoteRef/>
      </w:r>
      <w:r w:rsidRPr="00EA72BF">
        <w:rPr>
          <w:rFonts w:ascii="Arial" w:hAnsi="Arial" w:cs="Arial"/>
          <w:sz w:val="18"/>
          <w:szCs w:val="18"/>
        </w:rPr>
        <w:t xml:space="preserve"> N </w:t>
      </w:r>
      <w:r w:rsidRPr="00EA72BF">
        <w:rPr>
          <w:rFonts w:ascii="Arial" w:eastAsia="Times New Roman" w:hAnsi="Arial" w:cs="Arial"/>
          <w:sz w:val="18"/>
          <w:szCs w:val="18"/>
          <w:lang w:eastAsia="en-GB"/>
        </w:rPr>
        <w:t>Fielding</w:t>
      </w:r>
      <w:r w:rsidR="00552346" w:rsidRPr="00EA72BF">
        <w:rPr>
          <w:rFonts w:ascii="Arial" w:eastAsia="Times New Roman" w:hAnsi="Arial" w:cs="Arial"/>
          <w:sz w:val="18"/>
          <w:szCs w:val="18"/>
          <w:lang w:eastAsia="en-GB"/>
        </w:rPr>
        <w:t>,</w:t>
      </w:r>
      <w:r w:rsidRPr="00EA72BF">
        <w:rPr>
          <w:rFonts w:ascii="Arial" w:eastAsia="Times New Roman" w:hAnsi="Arial" w:cs="Arial"/>
          <w:sz w:val="18"/>
          <w:szCs w:val="18"/>
          <w:lang w:eastAsia="en-GB"/>
        </w:rPr>
        <w:t xml:space="preserve"> </w:t>
      </w:r>
      <w:r w:rsidRPr="00EA72BF">
        <w:rPr>
          <w:rFonts w:ascii="Arial" w:eastAsia="Times New Roman" w:hAnsi="Arial" w:cs="Arial"/>
          <w:i/>
          <w:sz w:val="18"/>
          <w:szCs w:val="18"/>
          <w:lang w:eastAsia="en-GB"/>
        </w:rPr>
        <w:t>Professionalizing the Police: The Unfulfilled Promise of Police Training</w:t>
      </w:r>
      <w:r w:rsidRPr="00EA72BF">
        <w:rPr>
          <w:rFonts w:ascii="Arial" w:eastAsia="Times New Roman" w:hAnsi="Arial" w:cs="Arial"/>
          <w:sz w:val="18"/>
          <w:szCs w:val="18"/>
          <w:lang w:eastAsia="en-GB"/>
        </w:rPr>
        <w:t xml:space="preserve"> (Oxford University Press, 2018).</w:t>
      </w:r>
    </w:p>
  </w:footnote>
  <w:footnote w:id="82">
    <w:p w14:paraId="4E4029EE" w14:textId="23F1AC59" w:rsidR="003A4C05" w:rsidRPr="00EA72BF" w:rsidRDefault="003A4C05" w:rsidP="003A436E">
      <w:pPr>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E Cunningham</w:t>
      </w:r>
      <w:r w:rsidR="00552346"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Women in Policing: Feminist Perspectives on Theory and Practice</w:t>
      </w:r>
      <w:r w:rsidRPr="00EA72BF">
        <w:rPr>
          <w:rFonts w:ascii="Arial" w:hAnsi="Arial" w:cs="Arial"/>
          <w:sz w:val="18"/>
          <w:szCs w:val="18"/>
        </w:rPr>
        <w:t xml:space="preserve"> (Routledge, 2021), 89. Cunningham’s freedom of information request in relation to disciplinary proceedings in selected forces in England and Wales showed that whilst the behaviour of some female officers did have similarities with males (sharing inappropriate images for example), there was not the same abuse of power and authority in forming inappropriate relationships.</w:t>
      </w:r>
    </w:p>
  </w:footnote>
  <w:footnote w:id="83">
    <w:p w14:paraId="0E955C0A" w14:textId="0D7D2EF4" w:rsidR="003A4C05" w:rsidRPr="00EA72BF" w:rsidRDefault="003A4C05" w:rsidP="003A436E">
      <w:pPr>
        <w:spacing w:after="0" w:line="240" w:lineRule="auto"/>
        <w:rPr>
          <w:rFonts w:ascii="Arial" w:eastAsia="Times New Roman" w:hAnsi="Arial" w:cs="Arial"/>
          <w:sz w:val="18"/>
          <w:szCs w:val="18"/>
          <w:lang w:eastAsia="en-GB"/>
        </w:rPr>
      </w:pPr>
      <w:r w:rsidRPr="00EA72BF">
        <w:rPr>
          <w:rStyle w:val="FootnoteReference"/>
          <w:rFonts w:ascii="Arial" w:hAnsi="Arial" w:cs="Arial"/>
          <w:sz w:val="18"/>
          <w:szCs w:val="18"/>
        </w:rPr>
        <w:footnoteRef/>
      </w:r>
      <w:r w:rsidRPr="00EA72BF">
        <w:rPr>
          <w:rFonts w:ascii="Arial" w:hAnsi="Arial" w:cs="Arial"/>
          <w:sz w:val="18"/>
          <w:szCs w:val="18"/>
        </w:rPr>
        <w:t xml:space="preserve"> M </w:t>
      </w:r>
      <w:r w:rsidRPr="00EA72BF">
        <w:rPr>
          <w:rFonts w:ascii="Arial" w:eastAsia="Times New Roman" w:hAnsi="Arial" w:cs="Arial"/>
          <w:sz w:val="18"/>
          <w:szCs w:val="18"/>
          <w:lang w:eastAsia="en-GB"/>
        </w:rPr>
        <w:t>Burton</w:t>
      </w:r>
      <w:r w:rsidR="00552346" w:rsidRPr="00EA72BF">
        <w:rPr>
          <w:rFonts w:ascii="Arial" w:eastAsia="Times New Roman" w:hAnsi="Arial" w:cs="Arial"/>
          <w:sz w:val="18"/>
          <w:szCs w:val="18"/>
          <w:lang w:eastAsia="en-GB"/>
        </w:rPr>
        <w:t>,</w:t>
      </w:r>
      <w:r w:rsidRPr="00EA72BF">
        <w:rPr>
          <w:rFonts w:ascii="Arial" w:eastAsia="Times New Roman" w:hAnsi="Arial" w:cs="Arial"/>
          <w:sz w:val="18"/>
          <w:szCs w:val="18"/>
          <w:lang w:eastAsia="en-GB"/>
        </w:rPr>
        <w:t xml:space="preserve"> ‘Emergency </w:t>
      </w:r>
      <w:r w:rsidR="00552346" w:rsidRPr="00EA72BF">
        <w:rPr>
          <w:rFonts w:ascii="Arial" w:eastAsia="Times New Roman" w:hAnsi="Arial" w:cs="Arial"/>
          <w:sz w:val="18"/>
          <w:szCs w:val="18"/>
          <w:lang w:eastAsia="en-GB"/>
        </w:rPr>
        <w:t xml:space="preserve">Barring Orders in Domestic Violence Cases; </w:t>
      </w:r>
      <w:r w:rsidRPr="00EA72BF">
        <w:rPr>
          <w:rFonts w:ascii="Arial" w:eastAsia="Times New Roman" w:hAnsi="Arial" w:cs="Arial"/>
          <w:sz w:val="18"/>
          <w:szCs w:val="18"/>
          <w:lang w:eastAsia="en-GB"/>
        </w:rPr>
        <w:t xml:space="preserve">What </w:t>
      </w:r>
      <w:r w:rsidR="00552346" w:rsidRPr="00EA72BF">
        <w:rPr>
          <w:rFonts w:ascii="Arial" w:eastAsia="Times New Roman" w:hAnsi="Arial" w:cs="Arial"/>
          <w:sz w:val="18"/>
          <w:szCs w:val="18"/>
          <w:lang w:eastAsia="en-GB"/>
        </w:rPr>
        <w:t xml:space="preserve">Can </w:t>
      </w:r>
      <w:r w:rsidRPr="00EA72BF">
        <w:rPr>
          <w:rFonts w:ascii="Arial" w:eastAsia="Times New Roman" w:hAnsi="Arial" w:cs="Arial"/>
          <w:sz w:val="18"/>
          <w:szCs w:val="18"/>
          <w:lang w:eastAsia="en-GB"/>
        </w:rPr>
        <w:t xml:space="preserve">England </w:t>
      </w:r>
      <w:r w:rsidR="00552346" w:rsidRPr="00EA72BF">
        <w:rPr>
          <w:rFonts w:ascii="Arial" w:eastAsia="Times New Roman" w:hAnsi="Arial" w:cs="Arial"/>
          <w:sz w:val="18"/>
          <w:szCs w:val="18"/>
          <w:lang w:eastAsia="en-GB"/>
        </w:rPr>
        <w:t xml:space="preserve">and </w:t>
      </w:r>
      <w:r w:rsidRPr="00EA72BF">
        <w:rPr>
          <w:rFonts w:ascii="Arial" w:eastAsia="Times New Roman" w:hAnsi="Arial" w:cs="Arial"/>
          <w:sz w:val="18"/>
          <w:szCs w:val="18"/>
          <w:lang w:eastAsia="en-GB"/>
        </w:rPr>
        <w:t xml:space="preserve">Wales </w:t>
      </w:r>
      <w:r w:rsidR="00552346" w:rsidRPr="00EA72BF">
        <w:rPr>
          <w:rFonts w:ascii="Arial" w:eastAsia="Times New Roman" w:hAnsi="Arial" w:cs="Arial"/>
          <w:sz w:val="18"/>
          <w:szCs w:val="18"/>
          <w:lang w:eastAsia="en-GB"/>
        </w:rPr>
        <w:t xml:space="preserve">Learn from Other </w:t>
      </w:r>
      <w:r w:rsidRPr="00EA72BF">
        <w:rPr>
          <w:rFonts w:ascii="Arial" w:eastAsia="Times New Roman" w:hAnsi="Arial" w:cs="Arial"/>
          <w:sz w:val="18"/>
          <w:szCs w:val="18"/>
          <w:lang w:eastAsia="en-GB"/>
        </w:rPr>
        <w:t xml:space="preserve">European </w:t>
      </w:r>
      <w:r w:rsidR="00552346" w:rsidRPr="00EA72BF">
        <w:rPr>
          <w:rFonts w:ascii="Arial" w:eastAsia="Times New Roman" w:hAnsi="Arial" w:cs="Arial"/>
          <w:sz w:val="18"/>
          <w:szCs w:val="18"/>
          <w:lang w:eastAsia="en-GB"/>
        </w:rPr>
        <w:t>Countries</w:t>
      </w:r>
      <w:r w:rsidRPr="00EA72BF">
        <w:rPr>
          <w:rFonts w:ascii="Arial" w:eastAsia="Times New Roman" w:hAnsi="Arial" w:cs="Arial"/>
          <w:sz w:val="18"/>
          <w:szCs w:val="18"/>
          <w:lang w:eastAsia="en-GB"/>
        </w:rPr>
        <w:t>?</w:t>
      </w:r>
      <w:r w:rsidR="00552346" w:rsidRPr="00EA72BF">
        <w:rPr>
          <w:rFonts w:ascii="Arial" w:eastAsia="Times New Roman" w:hAnsi="Arial" w:cs="Arial"/>
          <w:sz w:val="18"/>
          <w:szCs w:val="18"/>
          <w:lang w:eastAsia="en-GB"/>
        </w:rPr>
        <w:t>’</w:t>
      </w:r>
      <w:r w:rsidRPr="00EA72BF">
        <w:rPr>
          <w:rFonts w:ascii="Arial" w:eastAsia="Times New Roman" w:hAnsi="Arial" w:cs="Arial"/>
          <w:sz w:val="18"/>
          <w:szCs w:val="18"/>
          <w:lang w:eastAsia="en-GB"/>
        </w:rPr>
        <w:t xml:space="preserve"> </w:t>
      </w:r>
      <w:r w:rsidR="00552346" w:rsidRPr="00EA72BF">
        <w:rPr>
          <w:rFonts w:ascii="Arial" w:eastAsia="Times New Roman" w:hAnsi="Arial" w:cs="Arial"/>
          <w:sz w:val="18"/>
          <w:szCs w:val="18"/>
          <w:lang w:eastAsia="en-GB"/>
        </w:rPr>
        <w:t xml:space="preserve">(2015) 27 (1) </w:t>
      </w:r>
      <w:r w:rsidRPr="00EA72BF">
        <w:rPr>
          <w:rFonts w:ascii="Arial" w:eastAsia="Times New Roman" w:hAnsi="Arial" w:cs="Arial"/>
          <w:i/>
          <w:sz w:val="18"/>
          <w:szCs w:val="18"/>
          <w:lang w:eastAsia="en-GB"/>
        </w:rPr>
        <w:t>Child and Family Law Quarterly</w:t>
      </w:r>
      <w:r w:rsidRPr="00EA72BF">
        <w:rPr>
          <w:rFonts w:ascii="Arial" w:eastAsia="Times New Roman" w:hAnsi="Arial" w:cs="Arial"/>
          <w:sz w:val="18"/>
          <w:szCs w:val="18"/>
          <w:lang w:eastAsia="en-GB"/>
        </w:rPr>
        <w:t xml:space="preserve"> 25-42. These orders will be replaced by more comprehensive orders under the Domestic Abuse Act 2021, once they have been piloted and brought into force; Bisho</w:t>
      </w:r>
      <w:r w:rsidR="00552346" w:rsidRPr="00EA72BF">
        <w:rPr>
          <w:rFonts w:ascii="Arial" w:eastAsia="Times New Roman" w:hAnsi="Arial" w:cs="Arial"/>
          <w:sz w:val="18"/>
          <w:szCs w:val="18"/>
          <w:lang w:eastAsia="en-GB"/>
        </w:rPr>
        <w:t xml:space="preserve">p, </w:t>
      </w:r>
      <w:r w:rsidR="00552346" w:rsidRPr="00EA72BF">
        <w:rPr>
          <w:rFonts w:ascii="Arial" w:hAnsi="Arial" w:cs="Arial"/>
          <w:sz w:val="18"/>
          <w:szCs w:val="18"/>
        </w:rPr>
        <w:t>‘Prevention and Protection: Will the Domestic Abuse Act Transform the Response to Domestic Abuse in England and Wales?, n 5 above</w:t>
      </w:r>
      <w:r w:rsidRPr="00EA72BF">
        <w:rPr>
          <w:rFonts w:ascii="Arial" w:eastAsia="Times New Roman" w:hAnsi="Arial" w:cs="Arial"/>
          <w:sz w:val="18"/>
          <w:szCs w:val="18"/>
          <w:lang w:eastAsia="en-GB"/>
        </w:rPr>
        <w:t>; Burton</w:t>
      </w:r>
      <w:r w:rsidR="0044524C" w:rsidRPr="00EA72BF">
        <w:rPr>
          <w:rFonts w:ascii="Arial" w:eastAsia="Times New Roman" w:hAnsi="Arial" w:cs="Arial"/>
          <w:sz w:val="18"/>
          <w:szCs w:val="18"/>
          <w:lang w:eastAsia="en-GB"/>
        </w:rPr>
        <w:t xml:space="preserve">, </w:t>
      </w:r>
      <w:r w:rsidR="0044524C" w:rsidRPr="00EA72BF">
        <w:rPr>
          <w:rFonts w:ascii="Arial" w:hAnsi="Arial" w:cs="Arial"/>
          <w:i/>
          <w:iCs/>
          <w:sz w:val="18"/>
          <w:szCs w:val="18"/>
        </w:rPr>
        <w:t xml:space="preserve">Domestic Abuse, Victims and the Law, </w:t>
      </w:r>
      <w:r w:rsidR="0044524C" w:rsidRPr="00EA72BF">
        <w:rPr>
          <w:rFonts w:ascii="Arial" w:hAnsi="Arial" w:cs="Arial"/>
          <w:sz w:val="18"/>
          <w:szCs w:val="18"/>
        </w:rPr>
        <w:t>n 49 above</w:t>
      </w:r>
      <w:r w:rsidRPr="00EA72BF">
        <w:rPr>
          <w:rFonts w:ascii="Arial" w:eastAsia="Times New Roman" w:hAnsi="Arial" w:cs="Arial"/>
          <w:sz w:val="18"/>
          <w:szCs w:val="18"/>
          <w:lang w:eastAsia="en-GB"/>
        </w:rPr>
        <w:t>, 190-201.</w:t>
      </w:r>
    </w:p>
  </w:footnote>
  <w:footnote w:id="84">
    <w:p w14:paraId="12F8B78A" w14:textId="3FFDFCA3" w:rsidR="003A4C05" w:rsidRPr="00EA72BF" w:rsidRDefault="003A4C05" w:rsidP="003A436E">
      <w:pPr>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L Bates and M Hester</w:t>
      </w:r>
      <w:r w:rsidR="0044524C" w:rsidRPr="00EA72BF">
        <w:rPr>
          <w:rFonts w:ascii="Arial" w:hAnsi="Arial" w:cs="Arial"/>
          <w:sz w:val="18"/>
          <w:szCs w:val="18"/>
        </w:rPr>
        <w:t>,</w:t>
      </w:r>
      <w:r w:rsidRPr="00EA72BF">
        <w:rPr>
          <w:rFonts w:ascii="Arial" w:hAnsi="Arial" w:cs="Arial"/>
          <w:sz w:val="18"/>
          <w:szCs w:val="18"/>
        </w:rPr>
        <w:t xml:space="preserve"> ‘No </w:t>
      </w:r>
      <w:r w:rsidR="0044524C" w:rsidRPr="00EA72BF">
        <w:rPr>
          <w:rFonts w:ascii="Arial" w:hAnsi="Arial" w:cs="Arial"/>
          <w:sz w:val="18"/>
          <w:szCs w:val="18"/>
        </w:rPr>
        <w:t xml:space="preserve">Longer a Civil Matter? </w:t>
      </w:r>
      <w:r w:rsidRPr="00EA72BF">
        <w:rPr>
          <w:rFonts w:ascii="Arial" w:hAnsi="Arial" w:cs="Arial"/>
          <w:sz w:val="18"/>
          <w:szCs w:val="18"/>
        </w:rPr>
        <w:t xml:space="preserve">The </w:t>
      </w:r>
      <w:r w:rsidR="0044524C" w:rsidRPr="00EA72BF">
        <w:rPr>
          <w:rFonts w:ascii="Arial" w:hAnsi="Arial" w:cs="Arial"/>
          <w:sz w:val="18"/>
          <w:szCs w:val="18"/>
        </w:rPr>
        <w:t xml:space="preserve">Design and Use of Protection Orders for Domestic Violence in </w:t>
      </w:r>
      <w:r w:rsidRPr="00EA72BF">
        <w:rPr>
          <w:rFonts w:ascii="Arial" w:hAnsi="Arial" w:cs="Arial"/>
          <w:sz w:val="18"/>
          <w:szCs w:val="18"/>
        </w:rPr>
        <w:t xml:space="preserve">England </w:t>
      </w:r>
      <w:r w:rsidR="0044524C" w:rsidRPr="00EA72BF">
        <w:rPr>
          <w:rFonts w:ascii="Arial" w:hAnsi="Arial" w:cs="Arial"/>
          <w:sz w:val="18"/>
          <w:szCs w:val="18"/>
        </w:rPr>
        <w:t xml:space="preserve">and </w:t>
      </w:r>
      <w:r w:rsidRPr="00EA72BF">
        <w:rPr>
          <w:rFonts w:ascii="Arial" w:hAnsi="Arial" w:cs="Arial"/>
          <w:sz w:val="18"/>
          <w:szCs w:val="18"/>
        </w:rPr>
        <w:t xml:space="preserve">Wales’ (2020) </w:t>
      </w:r>
      <w:r w:rsidR="0044524C" w:rsidRPr="00EA72BF">
        <w:rPr>
          <w:rFonts w:ascii="Arial" w:hAnsi="Arial" w:cs="Arial"/>
          <w:sz w:val="18"/>
          <w:szCs w:val="18"/>
        </w:rPr>
        <w:t xml:space="preserve">42(2) </w:t>
      </w:r>
      <w:r w:rsidRPr="00EA72BF">
        <w:rPr>
          <w:rFonts w:ascii="Arial" w:hAnsi="Arial" w:cs="Arial"/>
          <w:i/>
          <w:sz w:val="18"/>
          <w:szCs w:val="18"/>
        </w:rPr>
        <w:t>Journal of Social Welfare and Family Law</w:t>
      </w:r>
      <w:r w:rsidR="0044524C" w:rsidRPr="00EA72BF">
        <w:rPr>
          <w:rFonts w:ascii="Arial" w:hAnsi="Arial" w:cs="Arial"/>
          <w:sz w:val="18"/>
          <w:szCs w:val="18"/>
        </w:rPr>
        <w:t xml:space="preserve"> </w:t>
      </w:r>
      <w:r w:rsidRPr="00EA72BF">
        <w:rPr>
          <w:rFonts w:ascii="Arial" w:hAnsi="Arial" w:cs="Arial"/>
          <w:sz w:val="18"/>
          <w:szCs w:val="18"/>
        </w:rPr>
        <w:t>122-153.</w:t>
      </w:r>
    </w:p>
  </w:footnote>
  <w:footnote w:id="85">
    <w:p w14:paraId="6AA5DCAE" w14:textId="34760FF5"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Cowie</w:t>
      </w:r>
      <w:r w:rsidR="0044524C" w:rsidRPr="00EA72BF">
        <w:rPr>
          <w:rFonts w:ascii="Arial" w:hAnsi="Arial" w:cs="Arial"/>
          <w:sz w:val="18"/>
          <w:szCs w:val="18"/>
        </w:rPr>
        <w:t xml:space="preserve">, </w:t>
      </w:r>
      <w:r w:rsidR="0044524C" w:rsidRPr="00EA72BF">
        <w:rPr>
          <w:rFonts w:ascii="Arial" w:hAnsi="Arial" w:cs="Arial"/>
          <w:i/>
          <w:iCs/>
          <w:sz w:val="18"/>
          <w:szCs w:val="18"/>
        </w:rPr>
        <w:t>After Dark</w:t>
      </w:r>
      <w:r w:rsidR="0044524C" w:rsidRPr="00EA72BF">
        <w:rPr>
          <w:rFonts w:ascii="Arial" w:hAnsi="Arial" w:cs="Arial"/>
          <w:sz w:val="18"/>
          <w:szCs w:val="18"/>
        </w:rPr>
        <w:t xml:space="preserve">, n 17 above, </w:t>
      </w:r>
      <w:r w:rsidRPr="00EA72BF">
        <w:rPr>
          <w:rFonts w:ascii="Arial" w:hAnsi="Arial" w:cs="Arial"/>
          <w:sz w:val="18"/>
          <w:szCs w:val="18"/>
        </w:rPr>
        <w:t>20.</w:t>
      </w:r>
    </w:p>
  </w:footnote>
  <w:footnote w:id="86">
    <w:p w14:paraId="780FFE36" w14:textId="2610444B"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w:t>
      </w:r>
    </w:p>
  </w:footnote>
  <w:footnote w:id="87">
    <w:p w14:paraId="18985940" w14:textId="2705DEBC"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 32.</w:t>
      </w:r>
    </w:p>
  </w:footnote>
  <w:footnote w:id="88">
    <w:p w14:paraId="27A4BB00" w14:textId="28AF5FCA"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 74.</w:t>
      </w:r>
    </w:p>
  </w:footnote>
  <w:footnote w:id="89">
    <w:p w14:paraId="75A6C52A" w14:textId="2703F1DF"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 81.</w:t>
      </w:r>
    </w:p>
  </w:footnote>
  <w:footnote w:id="90">
    <w:p w14:paraId="19E6D81E" w14:textId="213F40F8"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 137</w:t>
      </w:r>
      <w:r w:rsidR="005646D2" w:rsidRPr="00EA72BF">
        <w:rPr>
          <w:rFonts w:ascii="Arial" w:hAnsi="Arial" w:cs="Arial"/>
          <w:sz w:val="18"/>
          <w:szCs w:val="18"/>
        </w:rPr>
        <w:t>.</w:t>
      </w:r>
    </w:p>
  </w:footnote>
  <w:footnote w:id="91">
    <w:p w14:paraId="47FDB41D" w14:textId="211C6738"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w:t>
      </w:r>
    </w:p>
  </w:footnote>
  <w:footnote w:id="92">
    <w:p w14:paraId="6AF3A5BB" w14:textId="27DE2D03"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w:t>
      </w:r>
      <w:r w:rsidR="009B0B51" w:rsidRPr="00EA72BF">
        <w:rPr>
          <w:rFonts w:ascii="Arial" w:hAnsi="Arial" w:cs="Arial"/>
          <w:sz w:val="18"/>
          <w:szCs w:val="18"/>
        </w:rPr>
        <w:t xml:space="preserve"> </w:t>
      </w:r>
      <w:r w:rsidRPr="00EA72BF">
        <w:rPr>
          <w:rFonts w:ascii="Arial" w:hAnsi="Arial" w:cs="Arial"/>
          <w:sz w:val="18"/>
          <w:szCs w:val="18"/>
        </w:rPr>
        <w:t>140.</w:t>
      </w:r>
    </w:p>
  </w:footnote>
  <w:footnote w:id="93">
    <w:p w14:paraId="2029F80A" w14:textId="363051AB"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 144.</w:t>
      </w:r>
    </w:p>
  </w:footnote>
  <w:footnote w:id="94">
    <w:p w14:paraId="051D49EA" w14:textId="77777777"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‘Gaslighting’ refers to making the victim doubt their own reality; the term stems from a 1938 film </w:t>
      </w:r>
      <w:r w:rsidRPr="00EA72BF">
        <w:rPr>
          <w:rFonts w:ascii="Arial" w:hAnsi="Arial" w:cs="Arial"/>
          <w:i/>
          <w:iCs/>
          <w:sz w:val="18"/>
          <w:szCs w:val="18"/>
        </w:rPr>
        <w:t>Gas Light</w:t>
      </w:r>
      <w:r w:rsidRPr="00EA72BF">
        <w:rPr>
          <w:rFonts w:ascii="Arial" w:hAnsi="Arial" w:cs="Arial"/>
          <w:sz w:val="18"/>
          <w:szCs w:val="18"/>
        </w:rPr>
        <w:t>, where the wife is made to feel ‘insane’ by her husband’s manipulative/abusive behaviour.</w:t>
      </w:r>
    </w:p>
  </w:footnote>
  <w:footnote w:id="95">
    <w:p w14:paraId="4FA944EA" w14:textId="446E87FE" w:rsidR="003A4C05" w:rsidRPr="00EA72BF" w:rsidRDefault="003A4C05" w:rsidP="003A436E">
      <w:pPr>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The background to the introduction of the scheme is discussed in M Duggan and J Grace</w:t>
      </w:r>
      <w:r w:rsidR="0044524C" w:rsidRPr="00EA72BF">
        <w:rPr>
          <w:rFonts w:ascii="Arial" w:hAnsi="Arial" w:cs="Arial"/>
          <w:sz w:val="18"/>
          <w:szCs w:val="18"/>
        </w:rPr>
        <w:t>,</w:t>
      </w:r>
      <w:r w:rsidRPr="00EA72BF">
        <w:rPr>
          <w:rFonts w:ascii="Arial" w:hAnsi="Arial" w:cs="Arial"/>
          <w:sz w:val="18"/>
          <w:szCs w:val="18"/>
        </w:rPr>
        <w:t xml:space="preserve"> </w:t>
      </w:r>
      <w:r w:rsidR="0044524C" w:rsidRPr="00EA72BF">
        <w:rPr>
          <w:rFonts w:ascii="Arial" w:hAnsi="Arial" w:cs="Arial"/>
          <w:sz w:val="18"/>
          <w:szCs w:val="18"/>
        </w:rPr>
        <w:t>‘</w:t>
      </w:r>
      <w:r w:rsidRPr="00EA72BF">
        <w:rPr>
          <w:rFonts w:ascii="Arial" w:hAnsi="Arial" w:cs="Arial"/>
          <w:sz w:val="18"/>
          <w:szCs w:val="18"/>
        </w:rPr>
        <w:t>Assessing the vulnerabilities of the Domestic Violence Disclosure Scheme</w:t>
      </w:r>
      <w:r w:rsidR="0044524C" w:rsidRPr="00EA72BF">
        <w:rPr>
          <w:rFonts w:ascii="Arial" w:hAnsi="Arial" w:cs="Arial"/>
          <w:sz w:val="18"/>
          <w:szCs w:val="18"/>
        </w:rPr>
        <w:t>’</w:t>
      </w:r>
      <w:r w:rsidRPr="00EA72BF">
        <w:rPr>
          <w:rFonts w:ascii="Arial" w:hAnsi="Arial" w:cs="Arial"/>
          <w:sz w:val="18"/>
          <w:szCs w:val="18"/>
        </w:rPr>
        <w:t xml:space="preserve"> </w:t>
      </w:r>
      <w:r w:rsidR="0044524C" w:rsidRPr="00EA72BF">
        <w:rPr>
          <w:rFonts w:ascii="Arial" w:hAnsi="Arial" w:cs="Arial"/>
          <w:sz w:val="18"/>
          <w:szCs w:val="18"/>
        </w:rPr>
        <w:t xml:space="preserve">(2018) 30(2) </w:t>
      </w:r>
      <w:r w:rsidRPr="00EA72BF">
        <w:rPr>
          <w:rFonts w:ascii="Arial" w:hAnsi="Arial" w:cs="Arial"/>
          <w:i/>
          <w:iCs/>
          <w:sz w:val="18"/>
          <w:szCs w:val="18"/>
        </w:rPr>
        <w:t>Child and Family Law Quarterly</w:t>
      </w:r>
      <w:r w:rsidR="0044524C" w:rsidRPr="00EA72BF">
        <w:rPr>
          <w:rFonts w:ascii="Arial" w:hAnsi="Arial" w:cs="Arial"/>
          <w:i/>
          <w:iCs/>
          <w:sz w:val="18"/>
          <w:szCs w:val="18"/>
        </w:rPr>
        <w:t xml:space="preserve"> </w:t>
      </w:r>
      <w:r w:rsidRPr="00EA72BF">
        <w:rPr>
          <w:rFonts w:ascii="Arial" w:hAnsi="Arial" w:cs="Arial"/>
          <w:sz w:val="18"/>
          <w:szCs w:val="18"/>
        </w:rPr>
        <w:t>145-66. See also J Grace</w:t>
      </w:r>
      <w:r w:rsidR="0044524C"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Domestic Abuse Disclosure Schemes</w:t>
      </w:r>
      <w:r w:rsidRPr="00EA72BF">
        <w:rPr>
          <w:rFonts w:ascii="Arial" w:hAnsi="Arial" w:cs="Arial"/>
          <w:sz w:val="18"/>
          <w:szCs w:val="18"/>
        </w:rPr>
        <w:t xml:space="preserve"> (Springer, 2022).</w:t>
      </w:r>
    </w:p>
  </w:footnote>
  <w:footnote w:id="96">
    <w:p w14:paraId="2BC5939C" w14:textId="2F78D779" w:rsidR="003A4C05" w:rsidRPr="00EA72BF" w:rsidRDefault="003A4C05" w:rsidP="003A436E">
      <w:pPr>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C Bessant</w:t>
      </w:r>
      <w:r w:rsidR="0044524C" w:rsidRPr="00EA72BF">
        <w:rPr>
          <w:rFonts w:ascii="Arial" w:hAnsi="Arial" w:cs="Arial"/>
          <w:sz w:val="18"/>
          <w:szCs w:val="18"/>
        </w:rPr>
        <w:t>,</w:t>
      </w:r>
      <w:r w:rsidRPr="00EA72BF">
        <w:rPr>
          <w:rFonts w:ascii="Arial" w:hAnsi="Arial" w:cs="Arial"/>
          <w:sz w:val="18"/>
          <w:szCs w:val="18"/>
        </w:rPr>
        <w:t xml:space="preserve"> ‘Protecting </w:t>
      </w:r>
      <w:r w:rsidR="0044524C" w:rsidRPr="00EA72BF">
        <w:rPr>
          <w:rFonts w:ascii="Arial" w:hAnsi="Arial" w:cs="Arial"/>
          <w:sz w:val="18"/>
          <w:szCs w:val="18"/>
        </w:rPr>
        <w:t>V</w:t>
      </w:r>
      <w:r w:rsidRPr="00EA72BF">
        <w:rPr>
          <w:rFonts w:ascii="Arial" w:hAnsi="Arial" w:cs="Arial"/>
          <w:sz w:val="18"/>
          <w:szCs w:val="18"/>
        </w:rPr>
        <w:t xml:space="preserve">ictims of </w:t>
      </w:r>
      <w:r w:rsidR="0044524C" w:rsidRPr="00EA72BF">
        <w:rPr>
          <w:rFonts w:ascii="Arial" w:hAnsi="Arial" w:cs="Arial"/>
          <w:sz w:val="18"/>
          <w:szCs w:val="18"/>
        </w:rPr>
        <w:t>D</w:t>
      </w:r>
      <w:r w:rsidRPr="00EA72BF">
        <w:rPr>
          <w:rFonts w:ascii="Arial" w:hAnsi="Arial" w:cs="Arial"/>
          <w:sz w:val="18"/>
          <w:szCs w:val="18"/>
        </w:rPr>
        <w:t xml:space="preserve">omestic </w:t>
      </w:r>
      <w:r w:rsidR="0044524C" w:rsidRPr="00EA72BF">
        <w:rPr>
          <w:rFonts w:ascii="Arial" w:hAnsi="Arial" w:cs="Arial"/>
          <w:sz w:val="18"/>
          <w:szCs w:val="18"/>
        </w:rPr>
        <w:t>V</w:t>
      </w:r>
      <w:r w:rsidRPr="00EA72BF">
        <w:rPr>
          <w:rFonts w:ascii="Arial" w:hAnsi="Arial" w:cs="Arial"/>
          <w:sz w:val="18"/>
          <w:szCs w:val="18"/>
        </w:rPr>
        <w:t xml:space="preserve">iolence: Have we got the </w:t>
      </w:r>
      <w:r w:rsidR="0044524C" w:rsidRPr="00EA72BF">
        <w:rPr>
          <w:rFonts w:ascii="Arial" w:hAnsi="Arial" w:cs="Arial"/>
          <w:sz w:val="18"/>
          <w:szCs w:val="18"/>
        </w:rPr>
        <w:t>B</w:t>
      </w:r>
      <w:r w:rsidRPr="00EA72BF">
        <w:rPr>
          <w:rFonts w:ascii="Arial" w:hAnsi="Arial" w:cs="Arial"/>
          <w:sz w:val="18"/>
          <w:szCs w:val="18"/>
        </w:rPr>
        <w:t xml:space="preserve">alance </w:t>
      </w:r>
      <w:r w:rsidR="0044524C" w:rsidRPr="00EA72BF">
        <w:rPr>
          <w:rFonts w:ascii="Arial" w:hAnsi="Arial" w:cs="Arial"/>
          <w:sz w:val="18"/>
          <w:szCs w:val="18"/>
        </w:rPr>
        <w:t>R</w:t>
      </w:r>
      <w:r w:rsidRPr="00EA72BF">
        <w:rPr>
          <w:rFonts w:ascii="Arial" w:hAnsi="Arial" w:cs="Arial"/>
          <w:sz w:val="18"/>
          <w:szCs w:val="18"/>
        </w:rPr>
        <w:t xml:space="preserve">ight?’ (2015) </w:t>
      </w:r>
      <w:r w:rsidR="0044524C" w:rsidRPr="00EA72BF">
        <w:rPr>
          <w:rFonts w:ascii="Arial" w:hAnsi="Arial" w:cs="Arial"/>
          <w:sz w:val="18"/>
          <w:szCs w:val="18"/>
        </w:rPr>
        <w:t xml:space="preserve">79(2) </w:t>
      </w:r>
      <w:r w:rsidRPr="00EA72BF">
        <w:rPr>
          <w:rFonts w:ascii="Arial" w:hAnsi="Arial" w:cs="Arial"/>
          <w:i/>
          <w:iCs/>
          <w:sz w:val="18"/>
          <w:szCs w:val="18"/>
        </w:rPr>
        <w:t xml:space="preserve">Journal of Criminal </w:t>
      </w:r>
      <w:r w:rsidR="0044524C" w:rsidRPr="00EA72BF">
        <w:rPr>
          <w:rFonts w:ascii="Arial" w:hAnsi="Arial" w:cs="Arial"/>
          <w:i/>
          <w:iCs/>
          <w:sz w:val="18"/>
          <w:szCs w:val="18"/>
        </w:rPr>
        <w:t>L</w:t>
      </w:r>
      <w:r w:rsidRPr="00EA72BF">
        <w:rPr>
          <w:rFonts w:ascii="Arial" w:hAnsi="Arial" w:cs="Arial"/>
          <w:i/>
          <w:iCs/>
          <w:sz w:val="18"/>
          <w:szCs w:val="18"/>
        </w:rPr>
        <w:t>aw</w:t>
      </w:r>
      <w:r w:rsidRPr="00EA72BF">
        <w:rPr>
          <w:rFonts w:ascii="Arial" w:hAnsi="Arial" w:cs="Arial"/>
          <w:sz w:val="18"/>
          <w:szCs w:val="18"/>
        </w:rPr>
        <w:t xml:space="preserve"> 102-21.</w:t>
      </w:r>
    </w:p>
  </w:footnote>
  <w:footnote w:id="97">
    <w:p w14:paraId="55BC8FE7" w14:textId="49EF082F" w:rsidR="003A4C05" w:rsidRPr="00EA72BF" w:rsidRDefault="003A4C05" w:rsidP="003A436E">
      <w:pPr>
        <w:pStyle w:val="FootnoteText"/>
        <w:tabs>
          <w:tab w:val="left" w:pos="1848"/>
        </w:tabs>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L Campbell, A Ashworth and M Redmayne</w:t>
      </w:r>
      <w:r w:rsidR="0044524C" w:rsidRPr="00EA72BF">
        <w:rPr>
          <w:rFonts w:ascii="Arial" w:hAnsi="Arial" w:cs="Arial"/>
          <w:sz w:val="18"/>
          <w:szCs w:val="18"/>
        </w:rPr>
        <w:t>,</w:t>
      </w:r>
      <w:r w:rsidRPr="00EA72BF">
        <w:rPr>
          <w:rFonts w:ascii="Arial" w:hAnsi="Arial" w:cs="Arial"/>
          <w:sz w:val="18"/>
          <w:szCs w:val="18"/>
        </w:rPr>
        <w:t xml:space="preserve"> </w:t>
      </w:r>
      <w:r w:rsidRPr="00EA72BF">
        <w:rPr>
          <w:rFonts w:ascii="Arial" w:hAnsi="Arial" w:cs="Arial"/>
          <w:i/>
          <w:iCs/>
          <w:sz w:val="18"/>
          <w:szCs w:val="18"/>
        </w:rPr>
        <w:t>The Criminal Process</w:t>
      </w:r>
      <w:r w:rsidRPr="00EA72BF">
        <w:rPr>
          <w:rFonts w:ascii="Arial" w:hAnsi="Arial" w:cs="Arial"/>
          <w:sz w:val="18"/>
          <w:szCs w:val="18"/>
        </w:rPr>
        <w:t xml:space="preserve"> (OUP, 2019).</w:t>
      </w:r>
    </w:p>
  </w:footnote>
  <w:footnote w:id="98">
    <w:p w14:paraId="3F46DF6C" w14:textId="459E02BF" w:rsidR="003A4C05" w:rsidRPr="00EA72BF" w:rsidRDefault="003A4C05" w:rsidP="00063607">
      <w:pPr>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16609C" w:rsidRPr="00EA72BF">
        <w:rPr>
          <w:rFonts w:ascii="Arial" w:hAnsi="Arial" w:cs="Arial"/>
          <w:sz w:val="18"/>
          <w:szCs w:val="18"/>
        </w:rPr>
        <w:t xml:space="preserve">Herring, </w:t>
      </w:r>
      <w:r w:rsidR="0016609C" w:rsidRPr="00EA72BF">
        <w:rPr>
          <w:rFonts w:ascii="Arial" w:hAnsi="Arial" w:cs="Arial"/>
          <w:i/>
          <w:iCs/>
          <w:sz w:val="18"/>
          <w:szCs w:val="18"/>
        </w:rPr>
        <w:t xml:space="preserve">Domestic Abuse and Human Rights, </w:t>
      </w:r>
      <w:r w:rsidR="0016609C" w:rsidRPr="00EA72BF">
        <w:rPr>
          <w:rFonts w:ascii="Arial" w:hAnsi="Arial" w:cs="Arial"/>
          <w:sz w:val="18"/>
          <w:szCs w:val="18"/>
        </w:rPr>
        <w:t>n 15 above</w:t>
      </w:r>
      <w:r w:rsidRPr="00EA72BF">
        <w:rPr>
          <w:rFonts w:ascii="Arial" w:hAnsi="Arial" w:cs="Arial"/>
          <w:sz w:val="18"/>
          <w:szCs w:val="18"/>
        </w:rPr>
        <w:t>.</w:t>
      </w:r>
    </w:p>
  </w:footnote>
  <w:footnote w:id="99">
    <w:p w14:paraId="1CF61B83" w14:textId="29E77D6F" w:rsidR="003A4C05" w:rsidRPr="00EA72BF" w:rsidRDefault="003A4C05" w:rsidP="003A436E">
      <w:pPr>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This duty in human rights law is not backed up by police liability for negligence in failing to protect, although arguably cases just as that of Joanna Michael, murdered in front of her children by her ex-partner, build the case for such accountability (</w:t>
      </w:r>
      <w:r w:rsidRPr="00EA72BF">
        <w:rPr>
          <w:rFonts w:ascii="Arial" w:hAnsi="Arial" w:cs="Arial"/>
          <w:i/>
          <w:iCs/>
          <w:sz w:val="18"/>
          <w:szCs w:val="18"/>
        </w:rPr>
        <w:t>Michael and others v CC of South Wales</w:t>
      </w:r>
      <w:r w:rsidRPr="00EA72BF">
        <w:rPr>
          <w:rFonts w:ascii="Arial" w:hAnsi="Arial" w:cs="Arial"/>
          <w:sz w:val="18"/>
          <w:szCs w:val="18"/>
        </w:rPr>
        <w:t xml:space="preserve"> [2014] UKSC 2. See further Burton </w:t>
      </w:r>
      <w:r w:rsidR="00E3435D" w:rsidRPr="00EA72BF">
        <w:rPr>
          <w:rFonts w:ascii="Arial" w:hAnsi="Arial" w:cs="Arial"/>
          <w:i/>
          <w:iCs/>
          <w:sz w:val="18"/>
          <w:szCs w:val="18"/>
        </w:rPr>
        <w:t>Domestic Abuse, Victims and the Law</w:t>
      </w:r>
      <w:r w:rsidR="00E3435D" w:rsidRPr="00EA72BF">
        <w:rPr>
          <w:rFonts w:ascii="Arial" w:hAnsi="Arial" w:cs="Arial"/>
          <w:sz w:val="18"/>
          <w:szCs w:val="18"/>
        </w:rPr>
        <w:t>, n 49 above</w:t>
      </w:r>
      <w:r w:rsidRPr="00EA72BF">
        <w:rPr>
          <w:rFonts w:ascii="Arial" w:hAnsi="Arial" w:cs="Arial"/>
          <w:sz w:val="18"/>
          <w:szCs w:val="18"/>
        </w:rPr>
        <w:t>, 23-26.</w:t>
      </w:r>
    </w:p>
  </w:footnote>
  <w:footnote w:id="100">
    <w:p w14:paraId="288A2BEF" w14:textId="407EE688"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Bishop</w:t>
      </w:r>
      <w:r w:rsidR="00552346" w:rsidRPr="00EA72BF">
        <w:rPr>
          <w:rFonts w:ascii="Arial" w:hAnsi="Arial" w:cs="Arial"/>
          <w:sz w:val="18"/>
          <w:szCs w:val="18"/>
        </w:rPr>
        <w:t xml:space="preserve">, ‘Prevention and Protection: Will the Domestic Abuse Act Transform the Response to Domestic Abuse in England and Wales?’, </w:t>
      </w:r>
      <w:r w:rsidRPr="00EA72BF">
        <w:rPr>
          <w:rFonts w:ascii="Arial" w:hAnsi="Arial" w:cs="Arial"/>
          <w:sz w:val="18"/>
          <w:szCs w:val="18"/>
        </w:rPr>
        <w:t>n 4</w:t>
      </w:r>
      <w:r w:rsidR="00552346" w:rsidRPr="00EA72BF">
        <w:rPr>
          <w:rFonts w:ascii="Arial" w:hAnsi="Arial" w:cs="Arial"/>
          <w:sz w:val="18"/>
          <w:szCs w:val="18"/>
        </w:rPr>
        <w:t xml:space="preserve"> above.</w:t>
      </w:r>
    </w:p>
  </w:footnote>
  <w:footnote w:id="101">
    <w:p w14:paraId="57C44444" w14:textId="77777777"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MARACs are now an established part of the preventative work of the criminal justice agencies in partnership with domestic abuse specialists such as independent domestic abuse advocates (IDVAS).</w:t>
      </w:r>
    </w:p>
  </w:footnote>
  <w:footnote w:id="102">
    <w:p w14:paraId="1F7BD9BE" w14:textId="568D98E9"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M Duggan and J Grac</w:t>
      </w:r>
      <w:r w:rsidR="00E3435D" w:rsidRPr="00EA72BF">
        <w:rPr>
          <w:rFonts w:ascii="Arial" w:hAnsi="Arial" w:cs="Arial"/>
          <w:sz w:val="18"/>
          <w:szCs w:val="18"/>
        </w:rPr>
        <w:t>e, ‘Assessing the vulnerabilities of the Domestic Violence Disclosure Scheme’</w:t>
      </w:r>
      <w:r w:rsidR="00EA72BF" w:rsidRPr="00EA72BF">
        <w:rPr>
          <w:rFonts w:ascii="Arial" w:hAnsi="Arial" w:cs="Arial"/>
          <w:sz w:val="18"/>
          <w:szCs w:val="18"/>
        </w:rPr>
        <w:t>, n 95 above</w:t>
      </w:r>
      <w:r w:rsidRPr="00EA72BF">
        <w:rPr>
          <w:rFonts w:ascii="Arial" w:hAnsi="Arial" w:cs="Arial"/>
          <w:sz w:val="18"/>
          <w:szCs w:val="18"/>
        </w:rPr>
        <w:t>; J Grace</w:t>
      </w:r>
      <w:r w:rsidR="00EA72BF" w:rsidRPr="00EA72BF">
        <w:rPr>
          <w:rFonts w:ascii="Arial" w:hAnsi="Arial" w:cs="Arial"/>
          <w:sz w:val="18"/>
          <w:szCs w:val="18"/>
        </w:rPr>
        <w:t>,</w:t>
      </w:r>
      <w:r w:rsidRPr="00EA72BF">
        <w:rPr>
          <w:rFonts w:ascii="Arial" w:hAnsi="Arial" w:cs="Arial"/>
          <w:sz w:val="18"/>
          <w:szCs w:val="18"/>
        </w:rPr>
        <w:t xml:space="preserve"> </w:t>
      </w:r>
      <w:r w:rsidR="00EA72BF" w:rsidRPr="00EA72BF">
        <w:rPr>
          <w:rFonts w:ascii="Arial" w:hAnsi="Arial" w:cs="Arial"/>
          <w:i/>
          <w:iCs/>
          <w:sz w:val="18"/>
          <w:szCs w:val="18"/>
        </w:rPr>
        <w:t>Domestic Abuse Disclosure Schemes,</w:t>
      </w:r>
      <w:r w:rsidR="00EA72BF" w:rsidRPr="00EA72BF">
        <w:rPr>
          <w:rFonts w:ascii="Arial" w:hAnsi="Arial" w:cs="Arial"/>
          <w:sz w:val="18"/>
          <w:szCs w:val="18"/>
        </w:rPr>
        <w:t xml:space="preserve"> </w:t>
      </w:r>
      <w:r w:rsidRPr="00EA72BF">
        <w:rPr>
          <w:rFonts w:ascii="Arial" w:hAnsi="Arial" w:cs="Arial"/>
          <w:sz w:val="18"/>
          <w:szCs w:val="18"/>
        </w:rPr>
        <w:t>n 9</w:t>
      </w:r>
      <w:r w:rsidR="00EA72BF" w:rsidRPr="00EA72BF">
        <w:rPr>
          <w:rFonts w:ascii="Arial" w:hAnsi="Arial" w:cs="Arial"/>
          <w:sz w:val="18"/>
          <w:szCs w:val="18"/>
        </w:rPr>
        <w:t>5 above</w:t>
      </w:r>
      <w:r w:rsidRPr="00EA72BF">
        <w:rPr>
          <w:rFonts w:ascii="Arial" w:hAnsi="Arial" w:cs="Arial"/>
          <w:sz w:val="18"/>
          <w:szCs w:val="18"/>
        </w:rPr>
        <w:t>.</w:t>
      </w:r>
    </w:p>
  </w:footnote>
  <w:footnote w:id="103">
    <w:p w14:paraId="2836ED53" w14:textId="680DEE19" w:rsidR="003A4C05" w:rsidRPr="00EA72BF" w:rsidRDefault="003A4C05" w:rsidP="003C41CA">
      <w:pPr>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M Duggan ‘Victim hierarchies and the Domestic Violence Disclosure Scheme</w:t>
      </w:r>
      <w:r w:rsidR="00EA72BF" w:rsidRPr="00EA72BF">
        <w:rPr>
          <w:rFonts w:ascii="Arial" w:hAnsi="Arial" w:cs="Arial"/>
          <w:sz w:val="18"/>
          <w:szCs w:val="18"/>
        </w:rPr>
        <w:t>’</w:t>
      </w:r>
      <w:r w:rsidRPr="00EA72BF">
        <w:rPr>
          <w:rFonts w:ascii="Arial" w:hAnsi="Arial" w:cs="Arial"/>
          <w:sz w:val="18"/>
          <w:szCs w:val="18"/>
        </w:rPr>
        <w:t xml:space="preserve"> (2018) </w:t>
      </w:r>
      <w:r w:rsidR="00EA72BF" w:rsidRPr="00EA72BF">
        <w:rPr>
          <w:rFonts w:ascii="Arial" w:hAnsi="Arial" w:cs="Arial"/>
          <w:sz w:val="18"/>
          <w:szCs w:val="18"/>
        </w:rPr>
        <w:t xml:space="preserve">24(2) </w:t>
      </w:r>
      <w:r w:rsidRPr="00EA72BF">
        <w:rPr>
          <w:rFonts w:ascii="Arial" w:hAnsi="Arial" w:cs="Arial"/>
          <w:i/>
          <w:iCs/>
          <w:sz w:val="18"/>
          <w:szCs w:val="18"/>
        </w:rPr>
        <w:t>International Review of Victimology</w:t>
      </w:r>
      <w:r w:rsidRPr="00EA72BF">
        <w:rPr>
          <w:rFonts w:ascii="Arial" w:hAnsi="Arial" w:cs="Arial"/>
          <w:sz w:val="18"/>
          <w:szCs w:val="18"/>
        </w:rPr>
        <w:t xml:space="preserve"> 199-217.</w:t>
      </w:r>
    </w:p>
  </w:footnote>
  <w:footnote w:id="104">
    <w:p w14:paraId="5E3B45EB" w14:textId="25B5E527"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w:t>
      </w:r>
    </w:p>
  </w:footnote>
  <w:footnote w:id="105">
    <w:p w14:paraId="22F62E20" w14:textId="7511F8D5"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w:t>
      </w:r>
    </w:p>
  </w:footnote>
  <w:footnote w:id="106">
    <w:p w14:paraId="59544EBA" w14:textId="3503F1B2" w:rsidR="003A4C05" w:rsidRPr="00EA72BF" w:rsidRDefault="003A4C05" w:rsidP="003A436E">
      <w:pPr>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K Hadjimatheou and J Grace</w:t>
      </w:r>
      <w:r w:rsidR="00EA72BF" w:rsidRPr="00EA72BF">
        <w:rPr>
          <w:rFonts w:ascii="Arial" w:hAnsi="Arial" w:cs="Arial"/>
          <w:sz w:val="18"/>
          <w:szCs w:val="18"/>
        </w:rPr>
        <w:t>,</w:t>
      </w:r>
      <w:r w:rsidRPr="00EA72BF">
        <w:rPr>
          <w:rFonts w:ascii="Arial" w:hAnsi="Arial" w:cs="Arial"/>
          <w:sz w:val="18"/>
          <w:szCs w:val="18"/>
        </w:rPr>
        <w:t xml:space="preserve"> ‘No </w:t>
      </w:r>
      <w:r w:rsidR="00EA72BF" w:rsidRPr="00EA72BF">
        <w:rPr>
          <w:rFonts w:ascii="Arial" w:hAnsi="Arial" w:cs="Arial"/>
          <w:sz w:val="18"/>
          <w:szCs w:val="18"/>
        </w:rPr>
        <w:t xml:space="preserve">Black </w:t>
      </w:r>
      <w:r w:rsidR="00EA72BF">
        <w:rPr>
          <w:rFonts w:ascii="Arial" w:hAnsi="Arial" w:cs="Arial"/>
          <w:sz w:val="18"/>
          <w:szCs w:val="18"/>
        </w:rPr>
        <w:t>a</w:t>
      </w:r>
      <w:r w:rsidR="00EA72BF" w:rsidRPr="00EA72BF">
        <w:rPr>
          <w:rFonts w:ascii="Arial" w:hAnsi="Arial" w:cs="Arial"/>
          <w:sz w:val="18"/>
          <w:szCs w:val="18"/>
        </w:rPr>
        <w:t xml:space="preserve">nd White Answer </w:t>
      </w:r>
      <w:r w:rsidR="00EA72BF">
        <w:rPr>
          <w:rFonts w:ascii="Arial" w:hAnsi="Arial" w:cs="Arial"/>
          <w:sz w:val="18"/>
          <w:szCs w:val="18"/>
        </w:rPr>
        <w:t>a</w:t>
      </w:r>
      <w:r w:rsidR="00EA72BF" w:rsidRPr="00EA72BF">
        <w:rPr>
          <w:rFonts w:ascii="Arial" w:hAnsi="Arial" w:cs="Arial"/>
          <w:sz w:val="18"/>
          <w:szCs w:val="18"/>
        </w:rPr>
        <w:t xml:space="preserve">bout How Far We Can Go’: </w:t>
      </w:r>
      <w:r w:rsidRPr="00EA72BF">
        <w:rPr>
          <w:rFonts w:ascii="Arial" w:hAnsi="Arial" w:cs="Arial"/>
          <w:sz w:val="18"/>
          <w:szCs w:val="18"/>
        </w:rPr>
        <w:t xml:space="preserve">Police </w:t>
      </w:r>
      <w:r w:rsidR="00EA72BF" w:rsidRPr="00EA72BF">
        <w:rPr>
          <w:rFonts w:ascii="Arial" w:hAnsi="Arial" w:cs="Arial"/>
          <w:sz w:val="18"/>
          <w:szCs w:val="18"/>
        </w:rPr>
        <w:t xml:space="preserve">Decision-Making </w:t>
      </w:r>
      <w:r w:rsidR="00EA72BF">
        <w:rPr>
          <w:rFonts w:ascii="Arial" w:hAnsi="Arial" w:cs="Arial"/>
          <w:sz w:val="18"/>
          <w:szCs w:val="18"/>
        </w:rPr>
        <w:t>u</w:t>
      </w:r>
      <w:r w:rsidR="00EA72BF" w:rsidRPr="00EA72BF">
        <w:rPr>
          <w:rFonts w:ascii="Arial" w:hAnsi="Arial" w:cs="Arial"/>
          <w:sz w:val="18"/>
          <w:szCs w:val="18"/>
        </w:rPr>
        <w:t xml:space="preserve">nder </w:t>
      </w:r>
      <w:r w:rsidR="00EA72BF">
        <w:rPr>
          <w:rFonts w:ascii="Arial" w:hAnsi="Arial" w:cs="Arial"/>
          <w:sz w:val="18"/>
          <w:szCs w:val="18"/>
        </w:rPr>
        <w:t>t</w:t>
      </w:r>
      <w:r w:rsidR="00EA72BF" w:rsidRPr="00EA72BF">
        <w:rPr>
          <w:rFonts w:ascii="Arial" w:hAnsi="Arial" w:cs="Arial"/>
          <w:sz w:val="18"/>
          <w:szCs w:val="18"/>
        </w:rPr>
        <w:t xml:space="preserve">he </w:t>
      </w:r>
      <w:r w:rsidRPr="00EA72BF">
        <w:rPr>
          <w:rFonts w:ascii="Arial" w:hAnsi="Arial" w:cs="Arial"/>
          <w:sz w:val="18"/>
          <w:szCs w:val="18"/>
        </w:rPr>
        <w:t xml:space="preserve">Domestic Violence Disclosure Scheme’ (2021) </w:t>
      </w:r>
      <w:r w:rsidR="00EA72BF" w:rsidRPr="00EA72BF">
        <w:rPr>
          <w:rFonts w:ascii="Arial" w:hAnsi="Arial" w:cs="Arial"/>
          <w:sz w:val="18"/>
          <w:szCs w:val="18"/>
        </w:rPr>
        <w:t xml:space="preserve">31(7) </w:t>
      </w:r>
      <w:r w:rsidRPr="00EA72BF">
        <w:rPr>
          <w:rFonts w:ascii="Arial" w:hAnsi="Arial" w:cs="Arial"/>
          <w:i/>
          <w:sz w:val="18"/>
          <w:szCs w:val="18"/>
        </w:rPr>
        <w:t>Policing and Society</w:t>
      </w:r>
      <w:r w:rsidR="00EA72BF" w:rsidRPr="00EA72BF">
        <w:rPr>
          <w:rFonts w:ascii="Arial" w:hAnsi="Arial" w:cs="Arial"/>
          <w:sz w:val="18"/>
          <w:szCs w:val="18"/>
        </w:rPr>
        <w:t xml:space="preserve"> </w:t>
      </w:r>
      <w:r w:rsidRPr="00EA72BF">
        <w:rPr>
          <w:rFonts w:ascii="Arial" w:hAnsi="Arial" w:cs="Arial"/>
          <w:sz w:val="18"/>
          <w:szCs w:val="18"/>
        </w:rPr>
        <w:t>834-847.</w:t>
      </w:r>
    </w:p>
  </w:footnote>
  <w:footnote w:id="107">
    <w:p w14:paraId="125D0BE4" w14:textId="72AB813F" w:rsidR="003A4C05" w:rsidRPr="00EA72BF" w:rsidRDefault="003A4C05" w:rsidP="003A436E">
      <w:pPr>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Duggan</w:t>
      </w:r>
      <w:r w:rsidR="00EA72BF" w:rsidRPr="00EA72BF">
        <w:rPr>
          <w:rFonts w:ascii="Arial" w:hAnsi="Arial" w:cs="Arial"/>
          <w:sz w:val="18"/>
          <w:szCs w:val="18"/>
        </w:rPr>
        <w:t xml:space="preserve">, ‘Victim hierarchies and the Domestic Violence Disclosure Scheme, n </w:t>
      </w:r>
      <w:r w:rsidRPr="00EA72BF">
        <w:rPr>
          <w:rFonts w:ascii="Arial" w:hAnsi="Arial" w:cs="Arial"/>
          <w:sz w:val="18"/>
          <w:szCs w:val="18"/>
        </w:rPr>
        <w:t>10</w:t>
      </w:r>
      <w:r w:rsidR="00EA72BF" w:rsidRPr="00EA72BF">
        <w:rPr>
          <w:rFonts w:ascii="Arial" w:hAnsi="Arial" w:cs="Arial"/>
          <w:sz w:val="18"/>
          <w:szCs w:val="18"/>
        </w:rPr>
        <w:t>3 above</w:t>
      </w:r>
      <w:r w:rsidRPr="00EA72BF">
        <w:rPr>
          <w:rFonts w:ascii="Arial" w:hAnsi="Arial" w:cs="Arial"/>
          <w:sz w:val="18"/>
          <w:szCs w:val="18"/>
        </w:rPr>
        <w:t>.</w:t>
      </w:r>
    </w:p>
  </w:footnote>
  <w:footnote w:id="108">
    <w:p w14:paraId="169DE6E6" w14:textId="593BE340" w:rsidR="003A4C05" w:rsidRPr="00EA72BF" w:rsidRDefault="003A4C05" w:rsidP="003A436E">
      <w:pPr>
        <w:shd w:val="clear" w:color="auto" w:fill="FFFFFF"/>
        <w:spacing w:after="0" w:line="240" w:lineRule="auto"/>
        <w:rPr>
          <w:rFonts w:ascii="Arial" w:eastAsia="Times New Roman" w:hAnsi="Arial" w:cs="Arial"/>
          <w:sz w:val="18"/>
          <w:szCs w:val="18"/>
          <w:lang w:eastAsia="en-GB"/>
        </w:rPr>
      </w:pPr>
      <w:r w:rsidRPr="00EA72BF">
        <w:rPr>
          <w:rStyle w:val="FootnoteReference"/>
          <w:rFonts w:ascii="Arial" w:hAnsi="Arial" w:cs="Arial"/>
          <w:sz w:val="18"/>
          <w:szCs w:val="18"/>
        </w:rPr>
        <w:footnoteRef/>
      </w:r>
      <w:r w:rsidRPr="00EA72BF">
        <w:rPr>
          <w:rFonts w:ascii="Arial" w:hAnsi="Arial" w:cs="Arial"/>
          <w:sz w:val="18"/>
          <w:szCs w:val="18"/>
        </w:rPr>
        <w:t xml:space="preserve"> S </w:t>
      </w:r>
      <w:r w:rsidRPr="00EA72BF">
        <w:rPr>
          <w:rFonts w:ascii="Arial" w:hAnsi="Arial" w:cs="Arial"/>
          <w:iCs/>
          <w:sz w:val="18"/>
          <w:szCs w:val="18"/>
        </w:rPr>
        <w:t>Walklate and K Fitz-Gibbon</w:t>
      </w:r>
      <w:r w:rsidR="00EA72BF" w:rsidRPr="00EA72BF">
        <w:rPr>
          <w:rFonts w:ascii="Arial" w:hAnsi="Arial" w:cs="Arial"/>
          <w:iCs/>
          <w:sz w:val="18"/>
          <w:szCs w:val="18"/>
        </w:rPr>
        <w:t>,</w:t>
      </w:r>
      <w:r w:rsidRPr="00EA72BF">
        <w:rPr>
          <w:rFonts w:ascii="Arial" w:hAnsi="Arial" w:cs="Arial"/>
          <w:iCs/>
          <w:sz w:val="18"/>
          <w:szCs w:val="18"/>
        </w:rPr>
        <w:t xml:space="preserve"> (2018) </w:t>
      </w:r>
      <w:r w:rsidR="00EA72BF">
        <w:rPr>
          <w:rFonts w:ascii="Arial" w:hAnsi="Arial" w:cs="Arial"/>
          <w:iCs/>
          <w:sz w:val="18"/>
          <w:szCs w:val="18"/>
        </w:rPr>
        <w:t>‘</w:t>
      </w:r>
      <w:r w:rsidRPr="00EA72BF">
        <w:rPr>
          <w:rFonts w:ascii="Arial" w:hAnsi="Arial" w:cs="Arial"/>
          <w:iCs/>
          <w:sz w:val="18"/>
          <w:szCs w:val="18"/>
        </w:rPr>
        <w:t xml:space="preserve">Understanding </w:t>
      </w:r>
      <w:r w:rsidR="00EA72BF">
        <w:rPr>
          <w:rFonts w:ascii="Arial" w:hAnsi="Arial" w:cs="Arial"/>
          <w:iCs/>
          <w:sz w:val="18"/>
          <w:szCs w:val="18"/>
        </w:rPr>
        <w:t>D</w:t>
      </w:r>
      <w:r w:rsidRPr="00EA72BF">
        <w:rPr>
          <w:rFonts w:ascii="Arial" w:hAnsi="Arial" w:cs="Arial"/>
          <w:iCs/>
          <w:sz w:val="18"/>
          <w:szCs w:val="18"/>
        </w:rPr>
        <w:t xml:space="preserve">omestic </w:t>
      </w:r>
      <w:r w:rsidR="00EA72BF">
        <w:rPr>
          <w:rFonts w:ascii="Arial" w:hAnsi="Arial" w:cs="Arial"/>
          <w:iCs/>
          <w:sz w:val="18"/>
          <w:szCs w:val="18"/>
        </w:rPr>
        <w:t>V</w:t>
      </w:r>
      <w:r w:rsidRPr="00EA72BF">
        <w:rPr>
          <w:rFonts w:ascii="Arial" w:hAnsi="Arial" w:cs="Arial"/>
          <w:iCs/>
          <w:sz w:val="18"/>
          <w:szCs w:val="18"/>
        </w:rPr>
        <w:t xml:space="preserve">iolence </w:t>
      </w:r>
      <w:r w:rsidR="00EA72BF">
        <w:rPr>
          <w:rFonts w:ascii="Arial" w:hAnsi="Arial" w:cs="Arial"/>
          <w:iCs/>
          <w:sz w:val="18"/>
          <w:szCs w:val="18"/>
        </w:rPr>
        <w:t>D</w:t>
      </w:r>
      <w:r w:rsidRPr="00EA72BF">
        <w:rPr>
          <w:rFonts w:ascii="Arial" w:hAnsi="Arial" w:cs="Arial"/>
          <w:iCs/>
          <w:sz w:val="18"/>
          <w:szCs w:val="18"/>
        </w:rPr>
        <w:t xml:space="preserve">isclosure </w:t>
      </w:r>
      <w:r w:rsidR="00EA72BF">
        <w:rPr>
          <w:rFonts w:ascii="Arial" w:hAnsi="Arial" w:cs="Arial"/>
          <w:iCs/>
          <w:sz w:val="18"/>
          <w:szCs w:val="18"/>
        </w:rPr>
        <w:t>S</w:t>
      </w:r>
      <w:r w:rsidRPr="00EA72BF">
        <w:rPr>
          <w:rFonts w:ascii="Arial" w:hAnsi="Arial" w:cs="Arial"/>
          <w:iCs/>
          <w:sz w:val="18"/>
          <w:szCs w:val="18"/>
        </w:rPr>
        <w:t>chemes</w:t>
      </w:r>
      <w:r w:rsidR="00EA72BF">
        <w:rPr>
          <w:rFonts w:ascii="Arial" w:hAnsi="Arial" w:cs="Arial"/>
          <w:iCs/>
          <w:sz w:val="18"/>
          <w:szCs w:val="18"/>
        </w:rPr>
        <w:t>’</w:t>
      </w:r>
      <w:r w:rsidRPr="00EA72BF">
        <w:rPr>
          <w:rFonts w:ascii="Arial" w:hAnsi="Arial" w:cs="Arial"/>
          <w:iCs/>
          <w:sz w:val="18"/>
          <w:szCs w:val="18"/>
        </w:rPr>
        <w:t>,</w:t>
      </w:r>
      <w:r w:rsidRPr="00EA72BF">
        <w:rPr>
          <w:rFonts w:ascii="Arial" w:eastAsia="Times New Roman" w:hAnsi="Arial" w:cs="Arial"/>
          <w:sz w:val="18"/>
          <w:szCs w:val="18"/>
          <w:lang w:eastAsia="en-GB"/>
        </w:rPr>
        <w:t xml:space="preserve"> Research Brief, Monash Gender and Family Violence Prevention Centre.</w:t>
      </w:r>
      <w:r w:rsidR="003C41CA">
        <w:rPr>
          <w:rFonts w:ascii="Arial" w:eastAsia="Times New Roman" w:hAnsi="Arial" w:cs="Arial"/>
          <w:sz w:val="18"/>
          <w:szCs w:val="18"/>
          <w:lang w:eastAsia="en-GB"/>
        </w:rPr>
        <w:t xml:space="preserve"> Available at:</w:t>
      </w:r>
      <w:r w:rsidR="0074412C">
        <w:rPr>
          <w:rFonts w:ascii="Arial" w:eastAsia="Times New Roman" w:hAnsi="Arial" w:cs="Arial"/>
          <w:sz w:val="18"/>
          <w:szCs w:val="18"/>
          <w:lang w:eastAsia="en-GB"/>
        </w:rPr>
        <w:t xml:space="preserve"> </w:t>
      </w:r>
      <w:hyperlink r:id="rId9" w:history="1">
        <w:r w:rsidR="0074412C" w:rsidRPr="00C87EF0">
          <w:rPr>
            <w:rStyle w:val="Hyperlink"/>
            <w:rFonts w:ascii="Arial" w:eastAsia="Times New Roman" w:hAnsi="Arial" w:cs="Arial"/>
            <w:sz w:val="18"/>
            <w:szCs w:val="18"/>
            <w:lang w:eastAsia="en-GB"/>
          </w:rPr>
          <w:t>https://www.monash.edu/arts/gender-and-family-violence/research-and-projects/domestic-violence-disclosure-schemes</w:t>
        </w:r>
      </w:hyperlink>
      <w:r w:rsidR="0074412C">
        <w:rPr>
          <w:rFonts w:ascii="Arial" w:eastAsia="Times New Roman" w:hAnsi="Arial" w:cs="Arial"/>
          <w:sz w:val="18"/>
          <w:szCs w:val="18"/>
          <w:lang w:eastAsia="en-GB"/>
        </w:rPr>
        <w:t xml:space="preserve"> (</w:t>
      </w:r>
      <w:r w:rsidR="0018708C">
        <w:rPr>
          <w:rFonts w:ascii="Arial" w:eastAsia="Times New Roman" w:hAnsi="Arial" w:cs="Arial"/>
          <w:sz w:val="18"/>
          <w:szCs w:val="18"/>
          <w:lang w:eastAsia="en-GB"/>
        </w:rPr>
        <w:t>l</w:t>
      </w:r>
      <w:r w:rsidR="0074412C">
        <w:rPr>
          <w:rFonts w:ascii="Arial" w:eastAsia="Times New Roman" w:hAnsi="Arial" w:cs="Arial"/>
          <w:sz w:val="18"/>
          <w:szCs w:val="18"/>
          <w:lang w:eastAsia="en-GB"/>
        </w:rPr>
        <w:t>ast accessed 14 June 2024).</w:t>
      </w:r>
    </w:p>
  </w:footnote>
  <w:footnote w:id="109">
    <w:p w14:paraId="42AFBA74" w14:textId="1821FA89"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Duggan and Grace </w:t>
      </w:r>
      <w:r w:rsidR="00EA72BF" w:rsidRPr="00EA72BF">
        <w:rPr>
          <w:rFonts w:ascii="Arial" w:hAnsi="Arial" w:cs="Arial"/>
          <w:sz w:val="18"/>
          <w:szCs w:val="18"/>
        </w:rPr>
        <w:t>‘Assessing the vulnerabilities of the Domestic Violence Disclosure Scheme’, n 95 above</w:t>
      </w:r>
      <w:r w:rsidR="00EA72BF">
        <w:rPr>
          <w:rFonts w:ascii="Arial" w:hAnsi="Arial" w:cs="Arial"/>
          <w:sz w:val="18"/>
          <w:szCs w:val="18"/>
        </w:rPr>
        <w:t>.</w:t>
      </w:r>
    </w:p>
  </w:footnote>
  <w:footnote w:id="110">
    <w:p w14:paraId="6A90D71E" w14:textId="5C564F3C"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K Hadjimatheou</w:t>
      </w:r>
      <w:r w:rsidR="00EA72BF">
        <w:rPr>
          <w:rFonts w:ascii="Arial" w:hAnsi="Arial" w:cs="Arial"/>
          <w:sz w:val="18"/>
          <w:szCs w:val="18"/>
        </w:rPr>
        <w:t>,</w:t>
      </w:r>
      <w:r w:rsidRPr="00EA72BF">
        <w:rPr>
          <w:rFonts w:ascii="Arial" w:hAnsi="Arial" w:cs="Arial"/>
          <w:sz w:val="18"/>
          <w:szCs w:val="18"/>
        </w:rPr>
        <w:t xml:space="preserve"> ‘Using a </w:t>
      </w:r>
      <w:r w:rsidR="00EA72BF">
        <w:rPr>
          <w:rFonts w:ascii="Arial" w:hAnsi="Arial" w:cs="Arial"/>
          <w:sz w:val="18"/>
          <w:szCs w:val="18"/>
        </w:rPr>
        <w:t>C</w:t>
      </w:r>
      <w:r w:rsidRPr="00EA72BF">
        <w:rPr>
          <w:rFonts w:ascii="Arial" w:hAnsi="Arial" w:cs="Arial"/>
          <w:sz w:val="18"/>
          <w:szCs w:val="18"/>
        </w:rPr>
        <w:t xml:space="preserve">riminal </w:t>
      </w:r>
      <w:r w:rsidR="00EA72BF">
        <w:rPr>
          <w:rFonts w:ascii="Arial" w:hAnsi="Arial" w:cs="Arial"/>
          <w:sz w:val="18"/>
          <w:szCs w:val="18"/>
        </w:rPr>
        <w:t>H</w:t>
      </w:r>
      <w:r w:rsidRPr="00EA72BF">
        <w:rPr>
          <w:rFonts w:ascii="Arial" w:hAnsi="Arial" w:cs="Arial"/>
          <w:sz w:val="18"/>
          <w:szCs w:val="18"/>
        </w:rPr>
        <w:t xml:space="preserve">istory to </w:t>
      </w:r>
      <w:r w:rsidR="00EA72BF">
        <w:rPr>
          <w:rFonts w:ascii="Arial" w:hAnsi="Arial" w:cs="Arial"/>
          <w:sz w:val="18"/>
          <w:szCs w:val="18"/>
        </w:rPr>
        <w:t>E</w:t>
      </w:r>
      <w:r w:rsidRPr="00EA72BF">
        <w:rPr>
          <w:rFonts w:ascii="Arial" w:hAnsi="Arial" w:cs="Arial"/>
          <w:sz w:val="18"/>
          <w:szCs w:val="18"/>
        </w:rPr>
        <w:t xml:space="preserve">mpower </w:t>
      </w:r>
      <w:r w:rsidR="00EA72BF">
        <w:rPr>
          <w:rFonts w:ascii="Arial" w:hAnsi="Arial" w:cs="Arial"/>
          <w:sz w:val="18"/>
          <w:szCs w:val="18"/>
        </w:rPr>
        <w:t>V</w:t>
      </w:r>
      <w:r w:rsidRPr="00EA72BF">
        <w:rPr>
          <w:rFonts w:ascii="Arial" w:hAnsi="Arial" w:cs="Arial"/>
          <w:sz w:val="18"/>
          <w:szCs w:val="18"/>
        </w:rPr>
        <w:t xml:space="preserve">ictims of </w:t>
      </w:r>
      <w:r w:rsidR="00EA72BF">
        <w:rPr>
          <w:rFonts w:ascii="Arial" w:hAnsi="Arial" w:cs="Arial"/>
          <w:sz w:val="18"/>
          <w:szCs w:val="18"/>
        </w:rPr>
        <w:t>D</w:t>
      </w:r>
      <w:r w:rsidRPr="00EA72BF">
        <w:rPr>
          <w:rFonts w:ascii="Arial" w:hAnsi="Arial" w:cs="Arial"/>
          <w:sz w:val="18"/>
          <w:szCs w:val="18"/>
        </w:rPr>
        <w:t xml:space="preserve">omestic </w:t>
      </w:r>
      <w:r w:rsidR="00EA72BF">
        <w:rPr>
          <w:rFonts w:ascii="Arial" w:hAnsi="Arial" w:cs="Arial"/>
          <w:sz w:val="18"/>
          <w:szCs w:val="18"/>
        </w:rPr>
        <w:t>A</w:t>
      </w:r>
      <w:r w:rsidRPr="00EA72BF">
        <w:rPr>
          <w:rFonts w:ascii="Arial" w:hAnsi="Arial" w:cs="Arial"/>
          <w:sz w:val="18"/>
          <w:szCs w:val="18"/>
        </w:rPr>
        <w:t xml:space="preserve">buse’ (2022) </w:t>
      </w:r>
      <w:r w:rsidR="00EA72BF" w:rsidRPr="00EA72BF">
        <w:rPr>
          <w:rFonts w:ascii="Arial" w:hAnsi="Arial" w:cs="Arial"/>
          <w:sz w:val="18"/>
          <w:szCs w:val="18"/>
        </w:rPr>
        <w:t xml:space="preserve">20(3) </w:t>
      </w:r>
      <w:r w:rsidRPr="00EA72BF">
        <w:rPr>
          <w:rFonts w:ascii="Arial" w:hAnsi="Arial" w:cs="Arial"/>
          <w:i/>
          <w:iCs/>
          <w:sz w:val="18"/>
          <w:szCs w:val="18"/>
        </w:rPr>
        <w:t>European Journal of Criminology</w:t>
      </w:r>
      <w:r w:rsidR="00EA72BF">
        <w:rPr>
          <w:rFonts w:ascii="Arial" w:hAnsi="Arial" w:cs="Arial"/>
          <w:sz w:val="18"/>
          <w:szCs w:val="18"/>
        </w:rPr>
        <w:t xml:space="preserve"> </w:t>
      </w:r>
      <w:r w:rsidRPr="00EA72BF">
        <w:rPr>
          <w:rFonts w:ascii="Arial" w:hAnsi="Arial" w:cs="Arial"/>
          <w:sz w:val="18"/>
          <w:szCs w:val="18"/>
        </w:rPr>
        <w:t>1106-1122.</w:t>
      </w:r>
    </w:p>
  </w:footnote>
  <w:footnote w:id="111">
    <w:p w14:paraId="51999814" w14:textId="01B724E6"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C Barlow, S Walklate and N Renehan</w:t>
      </w:r>
      <w:r w:rsidR="00EA72BF">
        <w:rPr>
          <w:rFonts w:ascii="Arial" w:hAnsi="Arial" w:cs="Arial"/>
          <w:sz w:val="18"/>
          <w:szCs w:val="18"/>
        </w:rPr>
        <w:t>,</w:t>
      </w:r>
      <w:r w:rsidRPr="00EA72BF">
        <w:rPr>
          <w:rFonts w:ascii="Arial" w:hAnsi="Arial" w:cs="Arial"/>
          <w:sz w:val="18"/>
          <w:szCs w:val="18"/>
        </w:rPr>
        <w:t xml:space="preserve"> ‘Rendering them </w:t>
      </w:r>
      <w:r w:rsidR="00EA72BF">
        <w:rPr>
          <w:rFonts w:ascii="Arial" w:hAnsi="Arial" w:cs="Arial"/>
          <w:sz w:val="18"/>
          <w:szCs w:val="18"/>
        </w:rPr>
        <w:t>R</w:t>
      </w:r>
      <w:r w:rsidRPr="00EA72BF">
        <w:rPr>
          <w:rFonts w:ascii="Arial" w:hAnsi="Arial" w:cs="Arial"/>
          <w:sz w:val="18"/>
          <w:szCs w:val="18"/>
        </w:rPr>
        <w:t xml:space="preserve">esponsible: </w:t>
      </w:r>
      <w:r w:rsidR="00EA72BF">
        <w:rPr>
          <w:rFonts w:ascii="Arial" w:hAnsi="Arial" w:cs="Arial"/>
          <w:sz w:val="18"/>
          <w:szCs w:val="18"/>
        </w:rPr>
        <w:t>V</w:t>
      </w:r>
      <w:r w:rsidRPr="00EA72BF">
        <w:rPr>
          <w:rFonts w:ascii="Arial" w:hAnsi="Arial" w:cs="Arial"/>
          <w:sz w:val="18"/>
          <w:szCs w:val="18"/>
        </w:rPr>
        <w:t>ictim-</w:t>
      </w:r>
      <w:r w:rsidR="00EA72BF">
        <w:rPr>
          <w:rFonts w:ascii="Arial" w:hAnsi="Arial" w:cs="Arial"/>
          <w:sz w:val="18"/>
          <w:szCs w:val="18"/>
        </w:rPr>
        <w:t>S</w:t>
      </w:r>
      <w:r w:rsidRPr="00EA72BF">
        <w:rPr>
          <w:rFonts w:ascii="Arial" w:hAnsi="Arial" w:cs="Arial"/>
          <w:sz w:val="18"/>
          <w:szCs w:val="18"/>
        </w:rPr>
        <w:t>urvivors</w:t>
      </w:r>
      <w:r w:rsidR="00EA72BF">
        <w:rPr>
          <w:rFonts w:ascii="Arial" w:hAnsi="Arial" w:cs="Arial"/>
          <w:sz w:val="18"/>
          <w:szCs w:val="18"/>
        </w:rPr>
        <w:t>’</w:t>
      </w:r>
      <w:r w:rsidRPr="00EA72BF">
        <w:rPr>
          <w:rFonts w:ascii="Arial" w:hAnsi="Arial" w:cs="Arial"/>
          <w:sz w:val="18"/>
          <w:szCs w:val="18"/>
        </w:rPr>
        <w:t xml:space="preserve"> </w:t>
      </w:r>
      <w:r w:rsidR="00EA72BF">
        <w:rPr>
          <w:rFonts w:ascii="Arial" w:hAnsi="Arial" w:cs="Arial"/>
          <w:sz w:val="18"/>
          <w:szCs w:val="18"/>
        </w:rPr>
        <w:t>E</w:t>
      </w:r>
      <w:r w:rsidRPr="00EA72BF">
        <w:rPr>
          <w:rFonts w:ascii="Arial" w:hAnsi="Arial" w:cs="Arial"/>
          <w:sz w:val="18"/>
          <w:szCs w:val="18"/>
        </w:rPr>
        <w:t xml:space="preserve">xperiences of Clare’s </w:t>
      </w:r>
      <w:r w:rsidR="00EA72BF">
        <w:rPr>
          <w:rFonts w:ascii="Arial" w:hAnsi="Arial" w:cs="Arial"/>
          <w:sz w:val="18"/>
          <w:szCs w:val="18"/>
        </w:rPr>
        <w:t>L</w:t>
      </w:r>
      <w:r w:rsidRPr="00EA72BF">
        <w:rPr>
          <w:rFonts w:ascii="Arial" w:hAnsi="Arial" w:cs="Arial"/>
          <w:sz w:val="18"/>
          <w:szCs w:val="18"/>
        </w:rPr>
        <w:t xml:space="preserve">aw and </w:t>
      </w:r>
      <w:r w:rsidR="00EA72BF">
        <w:rPr>
          <w:rFonts w:ascii="Arial" w:hAnsi="Arial" w:cs="Arial"/>
          <w:sz w:val="18"/>
          <w:szCs w:val="18"/>
        </w:rPr>
        <w:t>D</w:t>
      </w:r>
      <w:r w:rsidRPr="00EA72BF">
        <w:rPr>
          <w:rFonts w:ascii="Arial" w:hAnsi="Arial" w:cs="Arial"/>
          <w:sz w:val="18"/>
          <w:szCs w:val="18"/>
        </w:rPr>
        <w:t xml:space="preserve">omestic </w:t>
      </w:r>
      <w:r w:rsidR="00EA72BF">
        <w:rPr>
          <w:rFonts w:ascii="Arial" w:hAnsi="Arial" w:cs="Arial"/>
          <w:sz w:val="18"/>
          <w:szCs w:val="18"/>
        </w:rPr>
        <w:t>V</w:t>
      </w:r>
      <w:r w:rsidRPr="00EA72BF">
        <w:rPr>
          <w:rFonts w:ascii="Arial" w:hAnsi="Arial" w:cs="Arial"/>
          <w:sz w:val="18"/>
          <w:szCs w:val="18"/>
        </w:rPr>
        <w:t xml:space="preserve">iolence </w:t>
      </w:r>
      <w:r w:rsidR="00EA72BF">
        <w:rPr>
          <w:rFonts w:ascii="Arial" w:hAnsi="Arial" w:cs="Arial"/>
          <w:sz w:val="18"/>
          <w:szCs w:val="18"/>
        </w:rPr>
        <w:t>D</w:t>
      </w:r>
      <w:r w:rsidRPr="00EA72BF">
        <w:rPr>
          <w:rFonts w:ascii="Arial" w:hAnsi="Arial" w:cs="Arial"/>
          <w:sz w:val="18"/>
          <w:szCs w:val="18"/>
        </w:rPr>
        <w:t xml:space="preserve">isclosure </w:t>
      </w:r>
      <w:r w:rsidR="00EA72BF">
        <w:rPr>
          <w:rFonts w:ascii="Arial" w:hAnsi="Arial" w:cs="Arial"/>
          <w:sz w:val="18"/>
          <w:szCs w:val="18"/>
        </w:rPr>
        <w:t>S</w:t>
      </w:r>
      <w:r w:rsidRPr="00EA72BF">
        <w:rPr>
          <w:rFonts w:ascii="Arial" w:hAnsi="Arial" w:cs="Arial"/>
          <w:sz w:val="18"/>
          <w:szCs w:val="18"/>
        </w:rPr>
        <w:t>chemes’ (2023)</w:t>
      </w:r>
      <w:r w:rsidR="0074412C">
        <w:rPr>
          <w:rFonts w:ascii="Arial" w:hAnsi="Arial" w:cs="Arial"/>
          <w:sz w:val="18"/>
          <w:szCs w:val="18"/>
        </w:rPr>
        <w:t xml:space="preserve"> 8 (2)</w:t>
      </w:r>
      <w:r w:rsidRPr="00EA72BF">
        <w:rPr>
          <w:rFonts w:ascii="Arial" w:hAnsi="Arial" w:cs="Arial"/>
          <w:sz w:val="18"/>
          <w:szCs w:val="18"/>
        </w:rPr>
        <w:t xml:space="preserve"> </w:t>
      </w:r>
      <w:r w:rsidRPr="00EA72BF">
        <w:rPr>
          <w:rFonts w:ascii="Arial" w:hAnsi="Arial" w:cs="Arial"/>
          <w:i/>
          <w:iCs/>
          <w:sz w:val="18"/>
          <w:szCs w:val="18"/>
        </w:rPr>
        <w:t>Journal of Gender-Based Violence</w:t>
      </w:r>
      <w:r w:rsidRPr="00EA72BF">
        <w:rPr>
          <w:rFonts w:ascii="Arial" w:hAnsi="Arial" w:cs="Arial"/>
          <w:sz w:val="18"/>
          <w:szCs w:val="18"/>
        </w:rPr>
        <w:t xml:space="preserve">, </w:t>
      </w:r>
      <w:r w:rsidR="0074412C">
        <w:rPr>
          <w:rFonts w:ascii="Arial" w:hAnsi="Arial" w:cs="Arial"/>
          <w:sz w:val="18"/>
          <w:szCs w:val="18"/>
        </w:rPr>
        <w:t>1-15</w:t>
      </w:r>
      <w:r w:rsidRPr="00EA72BF">
        <w:rPr>
          <w:rFonts w:ascii="Arial" w:hAnsi="Arial" w:cs="Arial"/>
          <w:sz w:val="18"/>
          <w:szCs w:val="18"/>
        </w:rPr>
        <w:t>.</w:t>
      </w:r>
    </w:p>
  </w:footnote>
  <w:footnote w:id="112">
    <w:p w14:paraId="0C6C0C9D" w14:textId="44102B3B"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It is important to note that they found that there might be particular barriers to use of the scheme by women of colour or other minoritised groups (consistent with the concerns raised by others (see, for example, Walklate and Fitz-Gibbon</w:t>
      </w:r>
      <w:r w:rsidR="00321324">
        <w:rPr>
          <w:rFonts w:ascii="Arial" w:hAnsi="Arial" w:cs="Arial"/>
          <w:sz w:val="18"/>
          <w:szCs w:val="18"/>
        </w:rPr>
        <w:t>,</w:t>
      </w:r>
      <w:r w:rsidRPr="00EA72BF">
        <w:rPr>
          <w:rFonts w:ascii="Arial" w:hAnsi="Arial" w:cs="Arial"/>
          <w:sz w:val="18"/>
          <w:szCs w:val="18"/>
        </w:rPr>
        <w:t xml:space="preserve"> </w:t>
      </w:r>
      <w:r w:rsidR="00321324">
        <w:rPr>
          <w:rFonts w:ascii="Arial" w:hAnsi="Arial" w:cs="Arial"/>
          <w:iCs/>
          <w:sz w:val="18"/>
          <w:szCs w:val="18"/>
        </w:rPr>
        <w:t>‘</w:t>
      </w:r>
      <w:r w:rsidR="00321324" w:rsidRPr="00EA72BF">
        <w:rPr>
          <w:rFonts w:ascii="Arial" w:hAnsi="Arial" w:cs="Arial"/>
          <w:iCs/>
          <w:sz w:val="18"/>
          <w:szCs w:val="18"/>
        </w:rPr>
        <w:t xml:space="preserve">Understanding </w:t>
      </w:r>
      <w:r w:rsidR="00321324">
        <w:rPr>
          <w:rFonts w:ascii="Arial" w:hAnsi="Arial" w:cs="Arial"/>
          <w:iCs/>
          <w:sz w:val="18"/>
          <w:szCs w:val="18"/>
        </w:rPr>
        <w:t>D</w:t>
      </w:r>
      <w:r w:rsidR="00321324" w:rsidRPr="00EA72BF">
        <w:rPr>
          <w:rFonts w:ascii="Arial" w:hAnsi="Arial" w:cs="Arial"/>
          <w:iCs/>
          <w:sz w:val="18"/>
          <w:szCs w:val="18"/>
        </w:rPr>
        <w:t xml:space="preserve">omestic </w:t>
      </w:r>
      <w:r w:rsidR="00321324">
        <w:rPr>
          <w:rFonts w:ascii="Arial" w:hAnsi="Arial" w:cs="Arial"/>
          <w:iCs/>
          <w:sz w:val="18"/>
          <w:szCs w:val="18"/>
        </w:rPr>
        <w:t>V</w:t>
      </w:r>
      <w:r w:rsidR="00321324" w:rsidRPr="00EA72BF">
        <w:rPr>
          <w:rFonts w:ascii="Arial" w:hAnsi="Arial" w:cs="Arial"/>
          <w:iCs/>
          <w:sz w:val="18"/>
          <w:szCs w:val="18"/>
        </w:rPr>
        <w:t xml:space="preserve">iolence </w:t>
      </w:r>
      <w:r w:rsidR="00321324">
        <w:rPr>
          <w:rFonts w:ascii="Arial" w:hAnsi="Arial" w:cs="Arial"/>
          <w:iCs/>
          <w:sz w:val="18"/>
          <w:szCs w:val="18"/>
        </w:rPr>
        <w:t>D</w:t>
      </w:r>
      <w:r w:rsidR="00321324" w:rsidRPr="00EA72BF">
        <w:rPr>
          <w:rFonts w:ascii="Arial" w:hAnsi="Arial" w:cs="Arial"/>
          <w:iCs/>
          <w:sz w:val="18"/>
          <w:szCs w:val="18"/>
        </w:rPr>
        <w:t xml:space="preserve">isclosure </w:t>
      </w:r>
      <w:r w:rsidR="00321324">
        <w:rPr>
          <w:rFonts w:ascii="Arial" w:hAnsi="Arial" w:cs="Arial"/>
          <w:iCs/>
          <w:sz w:val="18"/>
          <w:szCs w:val="18"/>
        </w:rPr>
        <w:t>S</w:t>
      </w:r>
      <w:r w:rsidR="00321324" w:rsidRPr="00EA72BF">
        <w:rPr>
          <w:rFonts w:ascii="Arial" w:hAnsi="Arial" w:cs="Arial"/>
          <w:iCs/>
          <w:sz w:val="18"/>
          <w:szCs w:val="18"/>
        </w:rPr>
        <w:t>chemes</w:t>
      </w:r>
      <w:r w:rsidR="00321324">
        <w:rPr>
          <w:rFonts w:ascii="Arial" w:hAnsi="Arial" w:cs="Arial"/>
          <w:iCs/>
          <w:sz w:val="18"/>
          <w:szCs w:val="18"/>
        </w:rPr>
        <w:t xml:space="preserve">’, </w:t>
      </w:r>
      <w:r w:rsidRPr="00EA72BF">
        <w:rPr>
          <w:rFonts w:ascii="Arial" w:hAnsi="Arial" w:cs="Arial"/>
          <w:sz w:val="18"/>
          <w:szCs w:val="18"/>
        </w:rPr>
        <w:t>n 10</w:t>
      </w:r>
      <w:r w:rsidR="00321324">
        <w:rPr>
          <w:rFonts w:ascii="Arial" w:hAnsi="Arial" w:cs="Arial"/>
          <w:sz w:val="18"/>
          <w:szCs w:val="18"/>
        </w:rPr>
        <w:t>8 above</w:t>
      </w:r>
      <w:r w:rsidRPr="00EA72BF">
        <w:rPr>
          <w:rFonts w:ascii="Arial" w:hAnsi="Arial" w:cs="Arial"/>
          <w:sz w:val="18"/>
          <w:szCs w:val="18"/>
        </w:rPr>
        <w:t>).</w:t>
      </w:r>
    </w:p>
  </w:footnote>
  <w:footnote w:id="113">
    <w:p w14:paraId="282C923E" w14:textId="50A0C9E0" w:rsidR="003A4C05" w:rsidRPr="00EA72BF" w:rsidRDefault="003A4C05" w:rsidP="003A436E">
      <w:pPr>
        <w:spacing w:after="0" w:line="240" w:lineRule="auto"/>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321324">
        <w:rPr>
          <w:rFonts w:ascii="Arial" w:hAnsi="Arial" w:cs="Arial"/>
          <w:sz w:val="18"/>
          <w:szCs w:val="18"/>
        </w:rPr>
        <w:t xml:space="preserve">C </w:t>
      </w:r>
      <w:r w:rsidRPr="00EA72BF">
        <w:rPr>
          <w:rFonts w:ascii="Arial" w:hAnsi="Arial" w:cs="Arial"/>
          <w:sz w:val="18"/>
          <w:szCs w:val="18"/>
        </w:rPr>
        <w:t>Barlow,</w:t>
      </w:r>
      <w:r w:rsidR="00321324">
        <w:rPr>
          <w:rFonts w:ascii="Arial" w:hAnsi="Arial" w:cs="Arial"/>
          <w:sz w:val="18"/>
          <w:szCs w:val="18"/>
        </w:rPr>
        <w:t xml:space="preserve"> N </w:t>
      </w:r>
      <w:r w:rsidRPr="00EA72BF">
        <w:rPr>
          <w:rFonts w:ascii="Arial" w:hAnsi="Arial" w:cs="Arial"/>
          <w:sz w:val="18"/>
          <w:szCs w:val="18"/>
        </w:rPr>
        <w:t xml:space="preserve">Renehan, and </w:t>
      </w:r>
      <w:r w:rsidR="00321324">
        <w:rPr>
          <w:rFonts w:ascii="Arial" w:hAnsi="Arial" w:cs="Arial"/>
          <w:sz w:val="18"/>
          <w:szCs w:val="18"/>
        </w:rPr>
        <w:t xml:space="preserve">S </w:t>
      </w:r>
      <w:r w:rsidRPr="00EA72BF">
        <w:rPr>
          <w:rFonts w:ascii="Arial" w:hAnsi="Arial" w:cs="Arial"/>
          <w:sz w:val="18"/>
          <w:szCs w:val="18"/>
        </w:rPr>
        <w:t>Walklate</w:t>
      </w:r>
      <w:r w:rsidR="00321324">
        <w:rPr>
          <w:rFonts w:ascii="Arial" w:hAnsi="Arial" w:cs="Arial"/>
          <w:sz w:val="18"/>
          <w:szCs w:val="18"/>
        </w:rPr>
        <w:t>,</w:t>
      </w:r>
      <w:r w:rsidR="00E12B70">
        <w:rPr>
          <w:rFonts w:ascii="Arial" w:hAnsi="Arial" w:cs="Arial"/>
          <w:sz w:val="18"/>
          <w:szCs w:val="18"/>
        </w:rPr>
        <w:t xml:space="preserve"> </w:t>
      </w:r>
      <w:r w:rsidRPr="00EA72BF">
        <w:rPr>
          <w:rFonts w:ascii="Arial" w:hAnsi="Arial" w:cs="Arial"/>
          <w:i/>
          <w:iCs/>
          <w:sz w:val="18"/>
          <w:szCs w:val="18"/>
        </w:rPr>
        <w:t xml:space="preserve">Clare’s Law and Domestic Violence Disclosure Schemes: Victim-Survivor </w:t>
      </w:r>
      <w:r w:rsidR="00E12B70">
        <w:rPr>
          <w:rFonts w:ascii="Arial" w:hAnsi="Arial" w:cs="Arial"/>
          <w:i/>
          <w:iCs/>
          <w:sz w:val="18"/>
          <w:szCs w:val="18"/>
        </w:rPr>
        <w:t>P</w:t>
      </w:r>
      <w:r w:rsidRPr="00EA72BF">
        <w:rPr>
          <w:rFonts w:ascii="Arial" w:hAnsi="Arial" w:cs="Arial"/>
          <w:i/>
          <w:iCs/>
          <w:sz w:val="18"/>
          <w:szCs w:val="18"/>
        </w:rPr>
        <w:t>erspectives</w:t>
      </w:r>
      <w:r w:rsidRPr="00EA72BF">
        <w:rPr>
          <w:rFonts w:ascii="Arial" w:hAnsi="Arial" w:cs="Arial"/>
          <w:sz w:val="18"/>
          <w:szCs w:val="18"/>
        </w:rPr>
        <w:t xml:space="preserve"> (British Academy Project Report, 2021)</w:t>
      </w:r>
      <w:r w:rsidR="0018708C">
        <w:rPr>
          <w:rFonts w:ascii="Arial" w:hAnsi="Arial" w:cs="Arial"/>
          <w:sz w:val="18"/>
          <w:szCs w:val="18"/>
        </w:rPr>
        <w:t>. Available at:</w:t>
      </w:r>
      <w:r w:rsidRPr="00EA72BF">
        <w:rPr>
          <w:rFonts w:ascii="Arial" w:hAnsi="Arial" w:cs="Arial"/>
          <w:sz w:val="18"/>
          <w:szCs w:val="18"/>
        </w:rPr>
        <w:t xml:space="preserve"> </w:t>
      </w:r>
      <w:hyperlink r:id="rId10" w:history="1">
        <w:r w:rsidR="0074412C" w:rsidRPr="00C87EF0">
          <w:rPr>
            <w:rStyle w:val="Hyperlink"/>
            <w:rFonts w:ascii="Arial" w:hAnsi="Arial" w:cs="Arial"/>
            <w:sz w:val="18"/>
            <w:szCs w:val="18"/>
          </w:rPr>
          <w:t>https://clareslawexperiencesproject.com/wp-content/uploads/2021/10/Clares-Law-DVD-Schemes.pdf</w:t>
        </w:r>
      </w:hyperlink>
      <w:r w:rsidR="0074412C">
        <w:rPr>
          <w:rFonts w:ascii="Arial" w:hAnsi="Arial" w:cs="Arial"/>
          <w:sz w:val="18"/>
          <w:szCs w:val="18"/>
        </w:rPr>
        <w:t xml:space="preserve"> (last accessed 14 June 2024).</w:t>
      </w:r>
    </w:p>
  </w:footnote>
  <w:footnote w:id="114">
    <w:p w14:paraId="50F318A2" w14:textId="19385542"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K Hadjimatheou</w:t>
      </w:r>
      <w:r w:rsidR="00321324">
        <w:rPr>
          <w:rFonts w:ascii="Arial" w:hAnsi="Arial" w:cs="Arial"/>
          <w:sz w:val="18"/>
          <w:szCs w:val="18"/>
        </w:rPr>
        <w:t>,</w:t>
      </w:r>
      <w:r w:rsidRPr="00EA72BF">
        <w:rPr>
          <w:rFonts w:ascii="Arial" w:hAnsi="Arial" w:cs="Arial"/>
          <w:sz w:val="18"/>
          <w:szCs w:val="18"/>
        </w:rPr>
        <w:t xml:space="preserve"> ‘Social Care Told me I had to: Empowerment and Responsibilisation in the Domestic Violence Disclosure Schemes (2022) </w:t>
      </w:r>
      <w:r w:rsidR="00321324" w:rsidRPr="00EA72BF">
        <w:rPr>
          <w:rFonts w:ascii="Arial" w:hAnsi="Arial" w:cs="Arial"/>
          <w:sz w:val="18"/>
          <w:szCs w:val="18"/>
        </w:rPr>
        <w:t xml:space="preserve">62(2) </w:t>
      </w:r>
      <w:r w:rsidRPr="00EA72BF">
        <w:rPr>
          <w:rFonts w:ascii="Arial" w:hAnsi="Arial" w:cs="Arial"/>
          <w:i/>
          <w:iCs/>
          <w:sz w:val="18"/>
          <w:szCs w:val="18"/>
        </w:rPr>
        <w:t>British Journal of Criminology</w:t>
      </w:r>
      <w:r w:rsidRPr="00EA72BF">
        <w:rPr>
          <w:rFonts w:ascii="Arial" w:hAnsi="Arial" w:cs="Arial"/>
          <w:sz w:val="18"/>
          <w:szCs w:val="18"/>
        </w:rPr>
        <w:t xml:space="preserve"> 320-336. This is consistent with Hester’s three planet model of responses to domestic abuse (M Hester ‘The </w:t>
      </w:r>
      <w:r w:rsidR="00321324" w:rsidRPr="00EA72BF">
        <w:rPr>
          <w:rFonts w:ascii="Arial" w:hAnsi="Arial" w:cs="Arial"/>
          <w:sz w:val="18"/>
          <w:szCs w:val="18"/>
        </w:rPr>
        <w:t xml:space="preserve">Three Planet Model: </w:t>
      </w:r>
      <w:r w:rsidRPr="00EA72BF">
        <w:rPr>
          <w:rFonts w:ascii="Arial" w:hAnsi="Arial" w:cs="Arial"/>
          <w:sz w:val="18"/>
          <w:szCs w:val="18"/>
        </w:rPr>
        <w:t xml:space="preserve">Towards </w:t>
      </w:r>
      <w:r w:rsidR="00321324">
        <w:rPr>
          <w:rFonts w:ascii="Arial" w:hAnsi="Arial" w:cs="Arial"/>
          <w:sz w:val="18"/>
          <w:szCs w:val="18"/>
        </w:rPr>
        <w:t>a</w:t>
      </w:r>
      <w:r w:rsidR="00321324" w:rsidRPr="00EA72BF">
        <w:rPr>
          <w:rFonts w:ascii="Arial" w:hAnsi="Arial" w:cs="Arial"/>
          <w:sz w:val="18"/>
          <w:szCs w:val="18"/>
        </w:rPr>
        <w:t xml:space="preserve">n Understanding </w:t>
      </w:r>
      <w:r w:rsidR="00321324">
        <w:rPr>
          <w:rFonts w:ascii="Arial" w:hAnsi="Arial" w:cs="Arial"/>
          <w:sz w:val="18"/>
          <w:szCs w:val="18"/>
        </w:rPr>
        <w:t>o</w:t>
      </w:r>
      <w:r w:rsidR="00321324" w:rsidRPr="00EA72BF">
        <w:rPr>
          <w:rFonts w:ascii="Arial" w:hAnsi="Arial" w:cs="Arial"/>
          <w:sz w:val="18"/>
          <w:szCs w:val="18"/>
        </w:rPr>
        <w:t xml:space="preserve">f </w:t>
      </w:r>
      <w:r w:rsidR="00321324">
        <w:rPr>
          <w:rFonts w:ascii="Arial" w:hAnsi="Arial" w:cs="Arial"/>
          <w:sz w:val="18"/>
          <w:szCs w:val="18"/>
        </w:rPr>
        <w:t>t</w:t>
      </w:r>
      <w:r w:rsidR="00321324" w:rsidRPr="00EA72BF">
        <w:rPr>
          <w:rFonts w:ascii="Arial" w:hAnsi="Arial" w:cs="Arial"/>
          <w:sz w:val="18"/>
          <w:szCs w:val="18"/>
        </w:rPr>
        <w:t xml:space="preserve">he Contradictions </w:t>
      </w:r>
      <w:r w:rsidR="00321324">
        <w:rPr>
          <w:rFonts w:ascii="Arial" w:hAnsi="Arial" w:cs="Arial"/>
          <w:sz w:val="18"/>
          <w:szCs w:val="18"/>
        </w:rPr>
        <w:t>i</w:t>
      </w:r>
      <w:r w:rsidR="00321324" w:rsidRPr="00EA72BF">
        <w:rPr>
          <w:rFonts w:ascii="Arial" w:hAnsi="Arial" w:cs="Arial"/>
          <w:sz w:val="18"/>
          <w:szCs w:val="18"/>
        </w:rPr>
        <w:t xml:space="preserve">n Approaches </w:t>
      </w:r>
      <w:r w:rsidR="00321324">
        <w:rPr>
          <w:rFonts w:ascii="Arial" w:hAnsi="Arial" w:cs="Arial"/>
          <w:sz w:val="18"/>
          <w:szCs w:val="18"/>
        </w:rPr>
        <w:t>t</w:t>
      </w:r>
      <w:r w:rsidR="00321324" w:rsidRPr="00EA72BF">
        <w:rPr>
          <w:rFonts w:ascii="Arial" w:hAnsi="Arial" w:cs="Arial"/>
          <w:sz w:val="18"/>
          <w:szCs w:val="18"/>
        </w:rPr>
        <w:t xml:space="preserve">o Women </w:t>
      </w:r>
      <w:r w:rsidR="00321324">
        <w:rPr>
          <w:rFonts w:ascii="Arial" w:hAnsi="Arial" w:cs="Arial"/>
          <w:sz w:val="18"/>
          <w:szCs w:val="18"/>
        </w:rPr>
        <w:t>a</w:t>
      </w:r>
      <w:r w:rsidR="00321324" w:rsidRPr="00EA72BF">
        <w:rPr>
          <w:rFonts w:ascii="Arial" w:hAnsi="Arial" w:cs="Arial"/>
          <w:sz w:val="18"/>
          <w:szCs w:val="18"/>
        </w:rPr>
        <w:t xml:space="preserve">nd Children’s Safety </w:t>
      </w:r>
      <w:r w:rsidR="00321324">
        <w:rPr>
          <w:rFonts w:ascii="Arial" w:hAnsi="Arial" w:cs="Arial"/>
          <w:sz w:val="18"/>
          <w:szCs w:val="18"/>
        </w:rPr>
        <w:t>i</w:t>
      </w:r>
      <w:r w:rsidR="00321324" w:rsidRPr="00EA72BF">
        <w:rPr>
          <w:rFonts w:ascii="Arial" w:hAnsi="Arial" w:cs="Arial"/>
          <w:sz w:val="18"/>
          <w:szCs w:val="18"/>
        </w:rPr>
        <w:t xml:space="preserve">n </w:t>
      </w:r>
      <w:r w:rsidR="00321324">
        <w:rPr>
          <w:rFonts w:ascii="Arial" w:hAnsi="Arial" w:cs="Arial"/>
          <w:sz w:val="18"/>
          <w:szCs w:val="18"/>
        </w:rPr>
        <w:t>t</w:t>
      </w:r>
      <w:r w:rsidR="00321324" w:rsidRPr="00EA72BF">
        <w:rPr>
          <w:rFonts w:ascii="Arial" w:hAnsi="Arial" w:cs="Arial"/>
          <w:sz w:val="18"/>
          <w:szCs w:val="18"/>
        </w:rPr>
        <w:t xml:space="preserve">he Contexts </w:t>
      </w:r>
      <w:r w:rsidR="00321324">
        <w:rPr>
          <w:rFonts w:ascii="Arial" w:hAnsi="Arial" w:cs="Arial"/>
          <w:sz w:val="18"/>
          <w:szCs w:val="18"/>
        </w:rPr>
        <w:t>o</w:t>
      </w:r>
      <w:r w:rsidR="00321324" w:rsidRPr="00EA72BF">
        <w:rPr>
          <w:rFonts w:ascii="Arial" w:hAnsi="Arial" w:cs="Arial"/>
          <w:sz w:val="18"/>
          <w:szCs w:val="18"/>
        </w:rPr>
        <w:t>f Domestic Violence</w:t>
      </w:r>
      <w:r w:rsidRPr="00EA72BF">
        <w:rPr>
          <w:rFonts w:ascii="Arial" w:hAnsi="Arial" w:cs="Arial"/>
          <w:sz w:val="18"/>
          <w:szCs w:val="18"/>
        </w:rPr>
        <w:t>’</w:t>
      </w:r>
      <w:r w:rsidR="0074412C">
        <w:rPr>
          <w:rFonts w:ascii="Arial" w:hAnsi="Arial" w:cs="Arial"/>
          <w:sz w:val="18"/>
          <w:szCs w:val="18"/>
        </w:rPr>
        <w:t xml:space="preserve"> (2011)</w:t>
      </w:r>
      <w:r w:rsidRPr="00EA72BF">
        <w:rPr>
          <w:rFonts w:ascii="Arial" w:hAnsi="Arial" w:cs="Arial"/>
          <w:sz w:val="18"/>
          <w:szCs w:val="18"/>
        </w:rPr>
        <w:t xml:space="preserve"> </w:t>
      </w:r>
      <w:r w:rsidR="00321324" w:rsidRPr="00EA72BF">
        <w:rPr>
          <w:rFonts w:ascii="Arial" w:hAnsi="Arial" w:cs="Arial"/>
          <w:sz w:val="18"/>
          <w:szCs w:val="18"/>
        </w:rPr>
        <w:t xml:space="preserve">41 </w:t>
      </w:r>
      <w:r w:rsidRPr="00EA72BF">
        <w:rPr>
          <w:rFonts w:ascii="Arial" w:hAnsi="Arial" w:cs="Arial"/>
          <w:i/>
          <w:iCs/>
          <w:sz w:val="18"/>
          <w:szCs w:val="18"/>
        </w:rPr>
        <w:t>British Journal of Social Work</w:t>
      </w:r>
      <w:r w:rsidR="00321324">
        <w:rPr>
          <w:rFonts w:ascii="Arial" w:hAnsi="Arial" w:cs="Arial"/>
          <w:sz w:val="18"/>
          <w:szCs w:val="18"/>
        </w:rPr>
        <w:t xml:space="preserve"> </w:t>
      </w:r>
      <w:r w:rsidRPr="00EA72BF">
        <w:rPr>
          <w:rFonts w:ascii="Arial" w:hAnsi="Arial" w:cs="Arial"/>
          <w:sz w:val="18"/>
          <w:szCs w:val="18"/>
        </w:rPr>
        <w:t>837-853).</w:t>
      </w:r>
    </w:p>
  </w:footnote>
  <w:footnote w:id="115">
    <w:p w14:paraId="1904DCF7" w14:textId="22DB2CAB"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Barlow et al, </w:t>
      </w:r>
      <w:r w:rsidR="00E12B70" w:rsidRPr="00EA72BF">
        <w:rPr>
          <w:rFonts w:ascii="Arial" w:hAnsi="Arial" w:cs="Arial"/>
          <w:i/>
          <w:iCs/>
          <w:sz w:val="18"/>
          <w:szCs w:val="18"/>
        </w:rPr>
        <w:t xml:space="preserve">Clare’s Law and Domestic Violence Disclosure Schemes: Victim-Survivor </w:t>
      </w:r>
      <w:r w:rsidR="00E12B70">
        <w:rPr>
          <w:rFonts w:ascii="Arial" w:hAnsi="Arial" w:cs="Arial"/>
          <w:i/>
          <w:iCs/>
          <w:sz w:val="18"/>
          <w:szCs w:val="18"/>
        </w:rPr>
        <w:t>P</w:t>
      </w:r>
      <w:r w:rsidR="00E12B70" w:rsidRPr="00EA72BF">
        <w:rPr>
          <w:rFonts w:ascii="Arial" w:hAnsi="Arial" w:cs="Arial"/>
          <w:i/>
          <w:iCs/>
          <w:sz w:val="18"/>
          <w:szCs w:val="18"/>
        </w:rPr>
        <w:t>erspectives</w:t>
      </w:r>
      <w:r w:rsidR="00E12B70">
        <w:rPr>
          <w:rFonts w:ascii="Arial" w:hAnsi="Arial" w:cs="Arial"/>
          <w:i/>
          <w:iCs/>
          <w:sz w:val="18"/>
          <w:szCs w:val="18"/>
        </w:rPr>
        <w:t xml:space="preserve">, </w:t>
      </w:r>
      <w:r w:rsidR="00E12B70" w:rsidRPr="00E12B70">
        <w:rPr>
          <w:rFonts w:ascii="Arial" w:hAnsi="Arial" w:cs="Arial"/>
          <w:sz w:val="18"/>
          <w:szCs w:val="18"/>
        </w:rPr>
        <w:t>n 113 above.</w:t>
      </w:r>
    </w:p>
  </w:footnote>
  <w:footnote w:id="116">
    <w:p w14:paraId="6A9DA899" w14:textId="59376328"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w:t>
      </w:r>
    </w:p>
  </w:footnote>
  <w:footnote w:id="117">
    <w:p w14:paraId="3D59F09D" w14:textId="06DBF551"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Barlow et a</w:t>
      </w:r>
      <w:r w:rsidR="00B31141">
        <w:rPr>
          <w:rFonts w:ascii="Arial" w:hAnsi="Arial" w:cs="Arial"/>
          <w:sz w:val="18"/>
          <w:szCs w:val="18"/>
        </w:rPr>
        <w:t xml:space="preserve">l, </w:t>
      </w:r>
      <w:r w:rsidR="00B31141" w:rsidRPr="00EA72BF">
        <w:rPr>
          <w:rFonts w:ascii="Arial" w:hAnsi="Arial" w:cs="Arial"/>
          <w:sz w:val="18"/>
          <w:szCs w:val="18"/>
        </w:rPr>
        <w:t xml:space="preserve">‘Rendering them </w:t>
      </w:r>
      <w:r w:rsidR="00B31141">
        <w:rPr>
          <w:rFonts w:ascii="Arial" w:hAnsi="Arial" w:cs="Arial"/>
          <w:sz w:val="18"/>
          <w:szCs w:val="18"/>
        </w:rPr>
        <w:t>R</w:t>
      </w:r>
      <w:r w:rsidR="00B31141" w:rsidRPr="00EA72BF">
        <w:rPr>
          <w:rFonts w:ascii="Arial" w:hAnsi="Arial" w:cs="Arial"/>
          <w:sz w:val="18"/>
          <w:szCs w:val="18"/>
        </w:rPr>
        <w:t xml:space="preserve">esponsible: </w:t>
      </w:r>
      <w:r w:rsidR="00B31141">
        <w:rPr>
          <w:rFonts w:ascii="Arial" w:hAnsi="Arial" w:cs="Arial"/>
          <w:sz w:val="18"/>
          <w:szCs w:val="18"/>
        </w:rPr>
        <w:t>V</w:t>
      </w:r>
      <w:r w:rsidR="00B31141" w:rsidRPr="00EA72BF">
        <w:rPr>
          <w:rFonts w:ascii="Arial" w:hAnsi="Arial" w:cs="Arial"/>
          <w:sz w:val="18"/>
          <w:szCs w:val="18"/>
        </w:rPr>
        <w:t>ictim-</w:t>
      </w:r>
      <w:r w:rsidR="00B31141">
        <w:rPr>
          <w:rFonts w:ascii="Arial" w:hAnsi="Arial" w:cs="Arial"/>
          <w:sz w:val="18"/>
          <w:szCs w:val="18"/>
        </w:rPr>
        <w:t>S</w:t>
      </w:r>
      <w:r w:rsidR="00B31141" w:rsidRPr="00EA72BF">
        <w:rPr>
          <w:rFonts w:ascii="Arial" w:hAnsi="Arial" w:cs="Arial"/>
          <w:sz w:val="18"/>
          <w:szCs w:val="18"/>
        </w:rPr>
        <w:t>urvivors</w:t>
      </w:r>
      <w:r w:rsidR="00B31141">
        <w:rPr>
          <w:rFonts w:ascii="Arial" w:hAnsi="Arial" w:cs="Arial"/>
          <w:sz w:val="18"/>
          <w:szCs w:val="18"/>
        </w:rPr>
        <w:t>’</w:t>
      </w:r>
      <w:r w:rsidR="00B31141" w:rsidRPr="00EA72BF">
        <w:rPr>
          <w:rFonts w:ascii="Arial" w:hAnsi="Arial" w:cs="Arial"/>
          <w:sz w:val="18"/>
          <w:szCs w:val="18"/>
        </w:rPr>
        <w:t xml:space="preserve"> </w:t>
      </w:r>
      <w:r w:rsidR="00B31141">
        <w:rPr>
          <w:rFonts w:ascii="Arial" w:hAnsi="Arial" w:cs="Arial"/>
          <w:sz w:val="18"/>
          <w:szCs w:val="18"/>
        </w:rPr>
        <w:t>E</w:t>
      </w:r>
      <w:r w:rsidR="00B31141" w:rsidRPr="00EA72BF">
        <w:rPr>
          <w:rFonts w:ascii="Arial" w:hAnsi="Arial" w:cs="Arial"/>
          <w:sz w:val="18"/>
          <w:szCs w:val="18"/>
        </w:rPr>
        <w:t xml:space="preserve">xperiences of Clare’s </w:t>
      </w:r>
      <w:r w:rsidR="00B31141">
        <w:rPr>
          <w:rFonts w:ascii="Arial" w:hAnsi="Arial" w:cs="Arial"/>
          <w:sz w:val="18"/>
          <w:szCs w:val="18"/>
        </w:rPr>
        <w:t>L</w:t>
      </w:r>
      <w:r w:rsidR="00B31141" w:rsidRPr="00EA72BF">
        <w:rPr>
          <w:rFonts w:ascii="Arial" w:hAnsi="Arial" w:cs="Arial"/>
          <w:sz w:val="18"/>
          <w:szCs w:val="18"/>
        </w:rPr>
        <w:t xml:space="preserve">aw and </w:t>
      </w:r>
      <w:r w:rsidR="00B31141">
        <w:rPr>
          <w:rFonts w:ascii="Arial" w:hAnsi="Arial" w:cs="Arial"/>
          <w:sz w:val="18"/>
          <w:szCs w:val="18"/>
        </w:rPr>
        <w:t>D</w:t>
      </w:r>
      <w:r w:rsidR="00B31141" w:rsidRPr="00EA72BF">
        <w:rPr>
          <w:rFonts w:ascii="Arial" w:hAnsi="Arial" w:cs="Arial"/>
          <w:sz w:val="18"/>
          <w:szCs w:val="18"/>
        </w:rPr>
        <w:t xml:space="preserve">omestic </w:t>
      </w:r>
      <w:r w:rsidR="00B31141">
        <w:rPr>
          <w:rFonts w:ascii="Arial" w:hAnsi="Arial" w:cs="Arial"/>
          <w:sz w:val="18"/>
          <w:szCs w:val="18"/>
        </w:rPr>
        <w:t>V</w:t>
      </w:r>
      <w:r w:rsidR="00B31141" w:rsidRPr="00EA72BF">
        <w:rPr>
          <w:rFonts w:ascii="Arial" w:hAnsi="Arial" w:cs="Arial"/>
          <w:sz w:val="18"/>
          <w:szCs w:val="18"/>
        </w:rPr>
        <w:t xml:space="preserve">iolence </w:t>
      </w:r>
      <w:r w:rsidR="00B31141">
        <w:rPr>
          <w:rFonts w:ascii="Arial" w:hAnsi="Arial" w:cs="Arial"/>
          <w:sz w:val="18"/>
          <w:szCs w:val="18"/>
        </w:rPr>
        <w:t>D</w:t>
      </w:r>
      <w:r w:rsidR="00B31141" w:rsidRPr="00EA72BF">
        <w:rPr>
          <w:rFonts w:ascii="Arial" w:hAnsi="Arial" w:cs="Arial"/>
          <w:sz w:val="18"/>
          <w:szCs w:val="18"/>
        </w:rPr>
        <w:t xml:space="preserve">isclosure </w:t>
      </w:r>
      <w:r w:rsidR="00B31141">
        <w:rPr>
          <w:rFonts w:ascii="Arial" w:hAnsi="Arial" w:cs="Arial"/>
          <w:sz w:val="18"/>
          <w:szCs w:val="18"/>
        </w:rPr>
        <w:t>S</w:t>
      </w:r>
      <w:r w:rsidR="00B31141" w:rsidRPr="00EA72BF">
        <w:rPr>
          <w:rFonts w:ascii="Arial" w:hAnsi="Arial" w:cs="Arial"/>
          <w:sz w:val="18"/>
          <w:szCs w:val="18"/>
        </w:rPr>
        <w:t>chemes’</w:t>
      </w:r>
      <w:r w:rsidR="00B31141">
        <w:rPr>
          <w:rFonts w:ascii="Arial" w:hAnsi="Arial" w:cs="Arial"/>
          <w:sz w:val="18"/>
          <w:szCs w:val="18"/>
        </w:rPr>
        <w:t>, n 111 above</w:t>
      </w:r>
      <w:r w:rsidRPr="00EA72BF">
        <w:rPr>
          <w:rFonts w:ascii="Arial" w:hAnsi="Arial" w:cs="Arial"/>
          <w:sz w:val="18"/>
          <w:szCs w:val="18"/>
        </w:rPr>
        <w:t>.</w:t>
      </w:r>
    </w:p>
  </w:footnote>
  <w:footnote w:id="118">
    <w:p w14:paraId="3E709A9E" w14:textId="0A666363" w:rsidR="003A4C05" w:rsidRPr="00EA72BF" w:rsidRDefault="003A4C05" w:rsidP="003A436E">
      <w:pPr>
        <w:pStyle w:val="FootnoteText"/>
        <w:rPr>
          <w:rFonts w:ascii="Arial" w:hAnsi="Arial" w:cs="Arial"/>
          <w:sz w:val="18"/>
          <w:szCs w:val="18"/>
        </w:rPr>
      </w:pPr>
      <w:r w:rsidRPr="00EA72BF">
        <w:rPr>
          <w:rStyle w:val="FootnoteReference"/>
          <w:rFonts w:ascii="Arial" w:hAnsi="Arial" w:cs="Arial"/>
          <w:sz w:val="18"/>
          <w:szCs w:val="18"/>
        </w:rPr>
        <w:footnoteRef/>
      </w:r>
      <w:r w:rsidRPr="00EA72BF">
        <w:rPr>
          <w:rFonts w:ascii="Arial" w:hAnsi="Arial" w:cs="Arial"/>
          <w:sz w:val="18"/>
          <w:szCs w:val="18"/>
        </w:rPr>
        <w:t xml:space="preserve"> </w:t>
      </w:r>
      <w:r w:rsidR="009B0B51" w:rsidRPr="00EA72BF">
        <w:rPr>
          <w:rFonts w:ascii="Arial" w:hAnsi="Arial" w:cs="Arial"/>
          <w:sz w:val="18"/>
          <w:szCs w:val="18"/>
        </w:rPr>
        <w:t xml:space="preserve"> ibid</w:t>
      </w:r>
      <w:r w:rsidRPr="00EA72BF">
        <w:rPr>
          <w:rFonts w:ascii="Arial" w:hAnsi="Arial" w:cs="Arial"/>
          <w:sz w:val="18"/>
          <w:szCs w:val="18"/>
        </w:rPr>
        <w:t>,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7FFD" w14:textId="7EB512A5" w:rsidR="00D64846" w:rsidRPr="00C84785" w:rsidRDefault="00D64846">
    <w:pPr>
      <w:pStyle w:val="Header"/>
      <w:rPr>
        <w:rFonts w:ascii="Arial" w:hAnsi="Arial" w:cs="Arial"/>
        <w:i/>
        <w:iCs/>
      </w:rPr>
    </w:pPr>
    <w:r>
      <w:rPr>
        <w:rFonts w:ascii="Arial" w:hAnsi="Arial" w:cs="Arial"/>
        <w:i/>
        <w:iCs/>
      </w:rPr>
      <w:t>Peer-</w:t>
    </w:r>
    <w:r w:rsidRPr="00C84785">
      <w:rPr>
        <w:rFonts w:ascii="Arial" w:hAnsi="Arial" w:cs="Arial"/>
        <w:i/>
        <w:iCs/>
      </w:rPr>
      <w:t>Review</w:t>
    </w:r>
    <w:r>
      <w:rPr>
        <w:rFonts w:ascii="Arial" w:hAnsi="Arial" w:cs="Arial"/>
        <w:i/>
        <w:iCs/>
      </w:rPr>
      <w:t>ed</w:t>
    </w:r>
    <w:r w:rsidRPr="00C84785">
      <w:rPr>
        <w:rFonts w:ascii="Arial" w:hAnsi="Arial" w:cs="Arial"/>
        <w:i/>
        <w:iCs/>
      </w:rPr>
      <w:t xml:space="preserve"> Article</w:t>
    </w:r>
    <w:r w:rsidRPr="00C84785">
      <w:rPr>
        <w:rFonts w:ascii="Arial" w:hAnsi="Arial" w:cs="Arial"/>
        <w:i/>
        <w:iCs/>
      </w:rPr>
      <w:ptab w:relativeTo="margin" w:alignment="center" w:leader="none"/>
    </w:r>
    <w:r w:rsidRPr="00C84785">
      <w:rPr>
        <w:rFonts w:ascii="Arial" w:hAnsi="Arial" w:cs="Arial"/>
        <w:i/>
        <w:iCs/>
      </w:rPr>
      <w:t xml:space="preserve">                           </w:t>
    </w:r>
    <w:r>
      <w:rPr>
        <w:rFonts w:ascii="Arial" w:hAnsi="Arial" w:cs="Arial"/>
        <w:i/>
        <w:iCs/>
      </w:rPr>
      <w:t xml:space="preserve">  </w:t>
    </w:r>
    <w:r w:rsidRPr="00C84785">
      <w:rPr>
        <w:rFonts w:ascii="Arial" w:hAnsi="Arial" w:cs="Arial"/>
        <w:i/>
        <w:iCs/>
      </w:rPr>
      <w:t xml:space="preserve">  International Journal of Gender, Sexuality and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8D7"/>
    <w:multiLevelType w:val="hybridMultilevel"/>
    <w:tmpl w:val="D508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3C6D"/>
    <w:multiLevelType w:val="hybridMultilevel"/>
    <w:tmpl w:val="C296896A"/>
    <w:lvl w:ilvl="0" w:tplc="2ECA7EB2">
      <w:start w:val="1"/>
      <w:numFmt w:val="decimal"/>
      <w:lvlText w:val="%1."/>
      <w:lvlJc w:val="left"/>
      <w:pPr>
        <w:ind w:left="840" w:hanging="293"/>
      </w:pPr>
      <w:rPr>
        <w:rFonts w:ascii="Times New Roman" w:eastAsia="Times New Roman" w:hAnsi="Times New Roman" w:hint="default"/>
        <w:b/>
        <w:bCs/>
        <w:sz w:val="22"/>
        <w:szCs w:val="22"/>
      </w:rPr>
    </w:lvl>
    <w:lvl w:ilvl="1" w:tplc="E6CA82C2">
      <w:start w:val="1"/>
      <w:numFmt w:val="bullet"/>
      <w:lvlText w:val="•"/>
      <w:lvlJc w:val="left"/>
      <w:pPr>
        <w:ind w:left="1682" w:hanging="293"/>
      </w:pPr>
      <w:rPr>
        <w:rFonts w:hint="default"/>
      </w:rPr>
    </w:lvl>
    <w:lvl w:ilvl="2" w:tplc="B8E23098">
      <w:start w:val="1"/>
      <w:numFmt w:val="bullet"/>
      <w:lvlText w:val="•"/>
      <w:lvlJc w:val="left"/>
      <w:pPr>
        <w:ind w:left="2524" w:hanging="293"/>
      </w:pPr>
      <w:rPr>
        <w:rFonts w:hint="default"/>
      </w:rPr>
    </w:lvl>
    <w:lvl w:ilvl="3" w:tplc="A18E305E">
      <w:start w:val="1"/>
      <w:numFmt w:val="bullet"/>
      <w:lvlText w:val="•"/>
      <w:lvlJc w:val="left"/>
      <w:pPr>
        <w:ind w:left="3366" w:hanging="293"/>
      </w:pPr>
      <w:rPr>
        <w:rFonts w:hint="default"/>
      </w:rPr>
    </w:lvl>
    <w:lvl w:ilvl="4" w:tplc="148476DE">
      <w:start w:val="1"/>
      <w:numFmt w:val="bullet"/>
      <w:lvlText w:val="•"/>
      <w:lvlJc w:val="left"/>
      <w:pPr>
        <w:ind w:left="4208" w:hanging="293"/>
      </w:pPr>
      <w:rPr>
        <w:rFonts w:hint="default"/>
      </w:rPr>
    </w:lvl>
    <w:lvl w:ilvl="5" w:tplc="890E5AFC">
      <w:start w:val="1"/>
      <w:numFmt w:val="bullet"/>
      <w:lvlText w:val="•"/>
      <w:lvlJc w:val="left"/>
      <w:pPr>
        <w:ind w:left="5050" w:hanging="293"/>
      </w:pPr>
      <w:rPr>
        <w:rFonts w:hint="default"/>
      </w:rPr>
    </w:lvl>
    <w:lvl w:ilvl="6" w:tplc="CD7CCAF0">
      <w:start w:val="1"/>
      <w:numFmt w:val="bullet"/>
      <w:lvlText w:val="•"/>
      <w:lvlJc w:val="left"/>
      <w:pPr>
        <w:ind w:left="5892" w:hanging="293"/>
      </w:pPr>
      <w:rPr>
        <w:rFonts w:hint="default"/>
      </w:rPr>
    </w:lvl>
    <w:lvl w:ilvl="7" w:tplc="F2A08616">
      <w:start w:val="1"/>
      <w:numFmt w:val="bullet"/>
      <w:lvlText w:val="•"/>
      <w:lvlJc w:val="left"/>
      <w:pPr>
        <w:ind w:left="6734" w:hanging="293"/>
      </w:pPr>
      <w:rPr>
        <w:rFonts w:hint="default"/>
      </w:rPr>
    </w:lvl>
    <w:lvl w:ilvl="8" w:tplc="7598E494">
      <w:start w:val="1"/>
      <w:numFmt w:val="bullet"/>
      <w:lvlText w:val="•"/>
      <w:lvlJc w:val="left"/>
      <w:pPr>
        <w:ind w:left="7576" w:hanging="293"/>
      </w:pPr>
      <w:rPr>
        <w:rFonts w:hint="default"/>
      </w:rPr>
    </w:lvl>
  </w:abstractNum>
  <w:abstractNum w:abstractNumId="2" w15:restartNumberingAfterBreak="0">
    <w:nsid w:val="067F5E88"/>
    <w:multiLevelType w:val="hybridMultilevel"/>
    <w:tmpl w:val="5C28CD3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B1658"/>
    <w:multiLevelType w:val="hybridMultilevel"/>
    <w:tmpl w:val="201E6B0A"/>
    <w:lvl w:ilvl="0" w:tplc="32AEBFA8">
      <w:start w:val="1"/>
      <w:numFmt w:val="decimal"/>
      <w:lvlText w:val="%1."/>
      <w:lvlJc w:val="left"/>
      <w:pPr>
        <w:ind w:left="1852" w:hanging="360"/>
      </w:pPr>
      <w:rPr>
        <w:rFonts w:eastAsia="Times New Roman" w:hint="default"/>
        <w:b w:val="0"/>
        <w:sz w:val="24"/>
      </w:rPr>
    </w:lvl>
    <w:lvl w:ilvl="1" w:tplc="04090019" w:tentative="1">
      <w:start w:val="1"/>
      <w:numFmt w:val="lowerLetter"/>
      <w:lvlText w:val="%2."/>
      <w:lvlJc w:val="left"/>
      <w:pPr>
        <w:ind w:left="2572" w:hanging="360"/>
      </w:pPr>
    </w:lvl>
    <w:lvl w:ilvl="2" w:tplc="0409001B" w:tentative="1">
      <w:start w:val="1"/>
      <w:numFmt w:val="lowerRoman"/>
      <w:lvlText w:val="%3."/>
      <w:lvlJc w:val="right"/>
      <w:pPr>
        <w:ind w:left="3292" w:hanging="180"/>
      </w:pPr>
    </w:lvl>
    <w:lvl w:ilvl="3" w:tplc="0409000F" w:tentative="1">
      <w:start w:val="1"/>
      <w:numFmt w:val="decimal"/>
      <w:lvlText w:val="%4."/>
      <w:lvlJc w:val="left"/>
      <w:pPr>
        <w:ind w:left="4012" w:hanging="360"/>
      </w:pPr>
    </w:lvl>
    <w:lvl w:ilvl="4" w:tplc="04090019" w:tentative="1">
      <w:start w:val="1"/>
      <w:numFmt w:val="lowerLetter"/>
      <w:lvlText w:val="%5."/>
      <w:lvlJc w:val="left"/>
      <w:pPr>
        <w:ind w:left="4732" w:hanging="360"/>
      </w:pPr>
    </w:lvl>
    <w:lvl w:ilvl="5" w:tplc="0409001B" w:tentative="1">
      <w:start w:val="1"/>
      <w:numFmt w:val="lowerRoman"/>
      <w:lvlText w:val="%6."/>
      <w:lvlJc w:val="right"/>
      <w:pPr>
        <w:ind w:left="5452" w:hanging="180"/>
      </w:pPr>
    </w:lvl>
    <w:lvl w:ilvl="6" w:tplc="0409000F" w:tentative="1">
      <w:start w:val="1"/>
      <w:numFmt w:val="decimal"/>
      <w:lvlText w:val="%7."/>
      <w:lvlJc w:val="left"/>
      <w:pPr>
        <w:ind w:left="6172" w:hanging="360"/>
      </w:pPr>
    </w:lvl>
    <w:lvl w:ilvl="7" w:tplc="04090019" w:tentative="1">
      <w:start w:val="1"/>
      <w:numFmt w:val="lowerLetter"/>
      <w:lvlText w:val="%8."/>
      <w:lvlJc w:val="left"/>
      <w:pPr>
        <w:ind w:left="6892" w:hanging="360"/>
      </w:pPr>
    </w:lvl>
    <w:lvl w:ilvl="8" w:tplc="0409001B" w:tentative="1">
      <w:start w:val="1"/>
      <w:numFmt w:val="lowerRoman"/>
      <w:lvlText w:val="%9."/>
      <w:lvlJc w:val="right"/>
      <w:pPr>
        <w:ind w:left="7612" w:hanging="180"/>
      </w:pPr>
    </w:lvl>
  </w:abstractNum>
  <w:abstractNum w:abstractNumId="4" w15:restartNumberingAfterBreak="0">
    <w:nsid w:val="14C3426F"/>
    <w:multiLevelType w:val="hybridMultilevel"/>
    <w:tmpl w:val="BD365920"/>
    <w:lvl w:ilvl="0" w:tplc="AB5A240C">
      <w:start w:val="1"/>
      <w:numFmt w:val="upperRoman"/>
      <w:lvlText w:val="%1."/>
      <w:lvlJc w:val="left"/>
      <w:pPr>
        <w:ind w:left="1027" w:hanging="526"/>
        <w:jc w:val="right"/>
      </w:pPr>
      <w:rPr>
        <w:rFonts w:ascii="Times New Roman" w:eastAsia="Times New Roman" w:hAnsi="Times New Roman" w:hint="default"/>
        <w:b/>
        <w:bCs/>
        <w:spacing w:val="-1"/>
        <w:w w:val="99"/>
        <w:sz w:val="26"/>
        <w:szCs w:val="26"/>
      </w:rPr>
    </w:lvl>
    <w:lvl w:ilvl="1" w:tplc="35A2DB52">
      <w:start w:val="1"/>
      <w:numFmt w:val="decimal"/>
      <w:lvlText w:val="%2."/>
      <w:lvlJc w:val="left"/>
      <w:pPr>
        <w:ind w:left="840" w:hanging="293"/>
      </w:pPr>
      <w:rPr>
        <w:rFonts w:ascii="Times New Roman" w:eastAsia="Times New Roman" w:hAnsi="Times New Roman" w:hint="default"/>
        <w:sz w:val="24"/>
        <w:szCs w:val="24"/>
      </w:rPr>
    </w:lvl>
    <w:lvl w:ilvl="2" w:tplc="8A14BD08">
      <w:start w:val="1"/>
      <w:numFmt w:val="bullet"/>
      <w:lvlText w:val="•"/>
      <w:lvlJc w:val="left"/>
      <w:pPr>
        <w:ind w:left="1942" w:hanging="293"/>
      </w:pPr>
      <w:rPr>
        <w:rFonts w:hint="default"/>
      </w:rPr>
    </w:lvl>
    <w:lvl w:ilvl="3" w:tplc="5B72874C">
      <w:start w:val="1"/>
      <w:numFmt w:val="bullet"/>
      <w:lvlText w:val="•"/>
      <w:lvlJc w:val="left"/>
      <w:pPr>
        <w:ind w:left="2857" w:hanging="293"/>
      </w:pPr>
      <w:rPr>
        <w:rFonts w:hint="default"/>
      </w:rPr>
    </w:lvl>
    <w:lvl w:ilvl="4" w:tplc="E7CAD59E">
      <w:start w:val="1"/>
      <w:numFmt w:val="bullet"/>
      <w:lvlText w:val="•"/>
      <w:lvlJc w:val="left"/>
      <w:pPr>
        <w:ind w:left="3771" w:hanging="293"/>
      </w:pPr>
      <w:rPr>
        <w:rFonts w:hint="default"/>
      </w:rPr>
    </w:lvl>
    <w:lvl w:ilvl="5" w:tplc="9846340A">
      <w:start w:val="1"/>
      <w:numFmt w:val="bullet"/>
      <w:lvlText w:val="•"/>
      <w:lvlJc w:val="left"/>
      <w:pPr>
        <w:ind w:left="4686" w:hanging="293"/>
      </w:pPr>
      <w:rPr>
        <w:rFonts w:hint="default"/>
      </w:rPr>
    </w:lvl>
    <w:lvl w:ilvl="6" w:tplc="F0BE3AA6">
      <w:start w:val="1"/>
      <w:numFmt w:val="bullet"/>
      <w:lvlText w:val="•"/>
      <w:lvlJc w:val="left"/>
      <w:pPr>
        <w:ind w:left="5601" w:hanging="293"/>
      </w:pPr>
      <w:rPr>
        <w:rFonts w:hint="default"/>
      </w:rPr>
    </w:lvl>
    <w:lvl w:ilvl="7" w:tplc="3D0E9412">
      <w:start w:val="1"/>
      <w:numFmt w:val="bullet"/>
      <w:lvlText w:val="•"/>
      <w:lvlJc w:val="left"/>
      <w:pPr>
        <w:ind w:left="6515" w:hanging="293"/>
      </w:pPr>
      <w:rPr>
        <w:rFonts w:hint="default"/>
      </w:rPr>
    </w:lvl>
    <w:lvl w:ilvl="8" w:tplc="F3FA5818">
      <w:start w:val="1"/>
      <w:numFmt w:val="bullet"/>
      <w:lvlText w:val="•"/>
      <w:lvlJc w:val="left"/>
      <w:pPr>
        <w:ind w:left="7430" w:hanging="293"/>
      </w:pPr>
      <w:rPr>
        <w:rFonts w:hint="default"/>
      </w:rPr>
    </w:lvl>
  </w:abstractNum>
  <w:abstractNum w:abstractNumId="5" w15:restartNumberingAfterBreak="0">
    <w:nsid w:val="1748581B"/>
    <w:multiLevelType w:val="hybridMultilevel"/>
    <w:tmpl w:val="AAB0B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8974F7"/>
    <w:multiLevelType w:val="hybridMultilevel"/>
    <w:tmpl w:val="DECA709E"/>
    <w:lvl w:ilvl="0" w:tplc="DF7AF820">
      <w:start w:val="1"/>
      <w:numFmt w:val="bullet"/>
      <w:lvlText w:val=""/>
      <w:lvlJc w:val="left"/>
      <w:pPr>
        <w:ind w:left="120" w:hanging="116"/>
      </w:pPr>
      <w:rPr>
        <w:rFonts w:ascii="Symbol" w:eastAsia="Symbol" w:hAnsi="Symbol" w:hint="default"/>
        <w:w w:val="99"/>
        <w:position w:val="7"/>
        <w:sz w:val="13"/>
        <w:szCs w:val="13"/>
      </w:rPr>
    </w:lvl>
    <w:lvl w:ilvl="1" w:tplc="84368096">
      <w:start w:val="1"/>
      <w:numFmt w:val="bullet"/>
      <w:lvlText w:val="•"/>
      <w:lvlJc w:val="left"/>
      <w:pPr>
        <w:ind w:left="1034" w:hanging="116"/>
      </w:pPr>
      <w:rPr>
        <w:rFonts w:hint="default"/>
      </w:rPr>
    </w:lvl>
    <w:lvl w:ilvl="2" w:tplc="9AAAF97E">
      <w:start w:val="1"/>
      <w:numFmt w:val="bullet"/>
      <w:lvlText w:val="•"/>
      <w:lvlJc w:val="left"/>
      <w:pPr>
        <w:ind w:left="1948" w:hanging="116"/>
      </w:pPr>
      <w:rPr>
        <w:rFonts w:hint="default"/>
      </w:rPr>
    </w:lvl>
    <w:lvl w:ilvl="3" w:tplc="FA6CA36E">
      <w:start w:val="1"/>
      <w:numFmt w:val="bullet"/>
      <w:lvlText w:val="•"/>
      <w:lvlJc w:val="left"/>
      <w:pPr>
        <w:ind w:left="2862" w:hanging="116"/>
      </w:pPr>
      <w:rPr>
        <w:rFonts w:hint="default"/>
      </w:rPr>
    </w:lvl>
    <w:lvl w:ilvl="4" w:tplc="1AEC0F12">
      <w:start w:val="1"/>
      <w:numFmt w:val="bullet"/>
      <w:lvlText w:val="•"/>
      <w:lvlJc w:val="left"/>
      <w:pPr>
        <w:ind w:left="3776" w:hanging="116"/>
      </w:pPr>
      <w:rPr>
        <w:rFonts w:hint="default"/>
      </w:rPr>
    </w:lvl>
    <w:lvl w:ilvl="5" w:tplc="638A22DC">
      <w:start w:val="1"/>
      <w:numFmt w:val="bullet"/>
      <w:lvlText w:val="•"/>
      <w:lvlJc w:val="left"/>
      <w:pPr>
        <w:ind w:left="4690" w:hanging="116"/>
      </w:pPr>
      <w:rPr>
        <w:rFonts w:hint="default"/>
      </w:rPr>
    </w:lvl>
    <w:lvl w:ilvl="6" w:tplc="C31CC442">
      <w:start w:val="1"/>
      <w:numFmt w:val="bullet"/>
      <w:lvlText w:val="•"/>
      <w:lvlJc w:val="left"/>
      <w:pPr>
        <w:ind w:left="5604" w:hanging="116"/>
      </w:pPr>
      <w:rPr>
        <w:rFonts w:hint="default"/>
      </w:rPr>
    </w:lvl>
    <w:lvl w:ilvl="7" w:tplc="BAE8F794">
      <w:start w:val="1"/>
      <w:numFmt w:val="bullet"/>
      <w:lvlText w:val="•"/>
      <w:lvlJc w:val="left"/>
      <w:pPr>
        <w:ind w:left="6518" w:hanging="116"/>
      </w:pPr>
      <w:rPr>
        <w:rFonts w:hint="default"/>
      </w:rPr>
    </w:lvl>
    <w:lvl w:ilvl="8" w:tplc="85685A36">
      <w:start w:val="1"/>
      <w:numFmt w:val="bullet"/>
      <w:lvlText w:val="•"/>
      <w:lvlJc w:val="left"/>
      <w:pPr>
        <w:ind w:left="7432" w:hanging="116"/>
      </w:pPr>
      <w:rPr>
        <w:rFonts w:hint="default"/>
      </w:rPr>
    </w:lvl>
  </w:abstractNum>
  <w:abstractNum w:abstractNumId="7" w15:restartNumberingAfterBreak="0">
    <w:nsid w:val="3C6B0A8D"/>
    <w:multiLevelType w:val="hybridMultilevel"/>
    <w:tmpl w:val="72689DD4"/>
    <w:lvl w:ilvl="0" w:tplc="1B6ED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05CE6"/>
    <w:multiLevelType w:val="hybridMultilevel"/>
    <w:tmpl w:val="A5B81592"/>
    <w:lvl w:ilvl="0" w:tplc="BA0A9F82">
      <w:start w:val="1"/>
      <w:numFmt w:val="upperRoman"/>
      <w:lvlText w:val="%1."/>
      <w:lvlJc w:val="left"/>
      <w:pPr>
        <w:ind w:left="1089" w:hanging="72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9" w15:restartNumberingAfterBreak="0">
    <w:nsid w:val="41232740"/>
    <w:multiLevelType w:val="hybridMultilevel"/>
    <w:tmpl w:val="A978DB6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0" w15:restartNumberingAfterBreak="0">
    <w:nsid w:val="4AD76D5D"/>
    <w:multiLevelType w:val="hybridMultilevel"/>
    <w:tmpl w:val="C8D2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A13A2"/>
    <w:multiLevelType w:val="hybridMultilevel"/>
    <w:tmpl w:val="C04CBD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00757DD"/>
    <w:multiLevelType w:val="hybridMultilevel"/>
    <w:tmpl w:val="1EA4C3C2"/>
    <w:lvl w:ilvl="0" w:tplc="6CD215E8">
      <w:start w:val="5"/>
      <w:numFmt w:val="upperRoman"/>
      <w:lvlText w:val="%1."/>
      <w:lvlJc w:val="left"/>
      <w:pPr>
        <w:ind w:left="2295" w:hanging="593"/>
        <w:jc w:val="right"/>
      </w:pPr>
      <w:rPr>
        <w:rFonts w:ascii="Times New Roman" w:eastAsia="Times New Roman" w:hAnsi="Times New Roman" w:hint="default"/>
        <w:b/>
        <w:bCs/>
        <w:spacing w:val="-1"/>
        <w:sz w:val="24"/>
        <w:szCs w:val="24"/>
      </w:rPr>
    </w:lvl>
    <w:lvl w:ilvl="1" w:tplc="DC1003BA">
      <w:start w:val="1"/>
      <w:numFmt w:val="bullet"/>
      <w:lvlText w:val="•"/>
      <w:lvlJc w:val="left"/>
      <w:pPr>
        <w:ind w:left="3122" w:hanging="593"/>
      </w:pPr>
      <w:rPr>
        <w:rFonts w:hint="default"/>
      </w:rPr>
    </w:lvl>
    <w:lvl w:ilvl="2" w:tplc="3B0CA862">
      <w:start w:val="1"/>
      <w:numFmt w:val="bullet"/>
      <w:lvlText w:val="•"/>
      <w:lvlJc w:val="left"/>
      <w:pPr>
        <w:ind w:left="3950" w:hanging="593"/>
      </w:pPr>
      <w:rPr>
        <w:rFonts w:hint="default"/>
      </w:rPr>
    </w:lvl>
    <w:lvl w:ilvl="3" w:tplc="3DF2B826">
      <w:start w:val="1"/>
      <w:numFmt w:val="bullet"/>
      <w:lvlText w:val="•"/>
      <w:lvlJc w:val="left"/>
      <w:pPr>
        <w:ind w:left="4778" w:hanging="593"/>
      </w:pPr>
      <w:rPr>
        <w:rFonts w:hint="default"/>
      </w:rPr>
    </w:lvl>
    <w:lvl w:ilvl="4" w:tplc="24C03846">
      <w:start w:val="1"/>
      <w:numFmt w:val="bullet"/>
      <w:lvlText w:val="•"/>
      <w:lvlJc w:val="left"/>
      <w:pPr>
        <w:ind w:left="5606" w:hanging="593"/>
      </w:pPr>
      <w:rPr>
        <w:rFonts w:hint="default"/>
      </w:rPr>
    </w:lvl>
    <w:lvl w:ilvl="5" w:tplc="66205E5E">
      <w:start w:val="1"/>
      <w:numFmt w:val="bullet"/>
      <w:lvlText w:val="•"/>
      <w:lvlJc w:val="left"/>
      <w:pPr>
        <w:ind w:left="6434" w:hanging="593"/>
      </w:pPr>
      <w:rPr>
        <w:rFonts w:hint="default"/>
      </w:rPr>
    </w:lvl>
    <w:lvl w:ilvl="6" w:tplc="9E84C3CE">
      <w:start w:val="1"/>
      <w:numFmt w:val="bullet"/>
      <w:lvlText w:val="•"/>
      <w:lvlJc w:val="left"/>
      <w:pPr>
        <w:ind w:left="7261" w:hanging="593"/>
      </w:pPr>
      <w:rPr>
        <w:rFonts w:hint="default"/>
      </w:rPr>
    </w:lvl>
    <w:lvl w:ilvl="7" w:tplc="3FE49E1E">
      <w:start w:val="1"/>
      <w:numFmt w:val="bullet"/>
      <w:lvlText w:val="•"/>
      <w:lvlJc w:val="left"/>
      <w:pPr>
        <w:ind w:left="8089" w:hanging="593"/>
      </w:pPr>
      <w:rPr>
        <w:rFonts w:hint="default"/>
      </w:rPr>
    </w:lvl>
    <w:lvl w:ilvl="8" w:tplc="611030E4">
      <w:start w:val="1"/>
      <w:numFmt w:val="bullet"/>
      <w:lvlText w:val="•"/>
      <w:lvlJc w:val="left"/>
      <w:pPr>
        <w:ind w:left="8917" w:hanging="593"/>
      </w:pPr>
      <w:rPr>
        <w:rFonts w:hint="default"/>
      </w:rPr>
    </w:lvl>
  </w:abstractNum>
  <w:abstractNum w:abstractNumId="13" w15:restartNumberingAfterBreak="0">
    <w:nsid w:val="67003155"/>
    <w:multiLevelType w:val="hybridMultilevel"/>
    <w:tmpl w:val="7E32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295CC8"/>
    <w:multiLevelType w:val="hybridMultilevel"/>
    <w:tmpl w:val="50A2DEB8"/>
    <w:lvl w:ilvl="0" w:tplc="D4AC81A6">
      <w:start w:val="1"/>
      <w:numFmt w:val="upperLetter"/>
      <w:lvlText w:val="(%1)"/>
      <w:lvlJc w:val="left"/>
      <w:pPr>
        <w:ind w:left="490" w:hanging="324"/>
      </w:pPr>
      <w:rPr>
        <w:rFonts w:ascii="Times New Roman" w:eastAsia="Times New Roman" w:hAnsi="Times New Roman" w:hint="default"/>
        <w:b/>
        <w:bCs/>
        <w:sz w:val="22"/>
        <w:szCs w:val="22"/>
      </w:rPr>
    </w:lvl>
    <w:lvl w:ilvl="1" w:tplc="5532F2E2">
      <w:start w:val="1"/>
      <w:numFmt w:val="bullet"/>
      <w:lvlText w:val="•"/>
      <w:lvlJc w:val="left"/>
      <w:pPr>
        <w:ind w:left="1367" w:hanging="324"/>
      </w:pPr>
      <w:rPr>
        <w:rFonts w:hint="default"/>
      </w:rPr>
    </w:lvl>
    <w:lvl w:ilvl="2" w:tplc="52785142">
      <w:start w:val="1"/>
      <w:numFmt w:val="bullet"/>
      <w:lvlText w:val="•"/>
      <w:lvlJc w:val="left"/>
      <w:pPr>
        <w:ind w:left="2244" w:hanging="324"/>
      </w:pPr>
      <w:rPr>
        <w:rFonts w:hint="default"/>
      </w:rPr>
    </w:lvl>
    <w:lvl w:ilvl="3" w:tplc="BEF06D40">
      <w:start w:val="1"/>
      <w:numFmt w:val="bullet"/>
      <w:lvlText w:val="•"/>
      <w:lvlJc w:val="left"/>
      <w:pPr>
        <w:ind w:left="3121" w:hanging="324"/>
      </w:pPr>
      <w:rPr>
        <w:rFonts w:hint="default"/>
      </w:rPr>
    </w:lvl>
    <w:lvl w:ilvl="4" w:tplc="91E2F8C4">
      <w:start w:val="1"/>
      <w:numFmt w:val="bullet"/>
      <w:lvlText w:val="•"/>
      <w:lvlJc w:val="left"/>
      <w:pPr>
        <w:ind w:left="3998" w:hanging="324"/>
      </w:pPr>
      <w:rPr>
        <w:rFonts w:hint="default"/>
      </w:rPr>
    </w:lvl>
    <w:lvl w:ilvl="5" w:tplc="F966709C">
      <w:start w:val="1"/>
      <w:numFmt w:val="bullet"/>
      <w:lvlText w:val="•"/>
      <w:lvlJc w:val="left"/>
      <w:pPr>
        <w:ind w:left="4875" w:hanging="324"/>
      </w:pPr>
      <w:rPr>
        <w:rFonts w:hint="default"/>
      </w:rPr>
    </w:lvl>
    <w:lvl w:ilvl="6" w:tplc="A63CC3E4">
      <w:start w:val="1"/>
      <w:numFmt w:val="bullet"/>
      <w:lvlText w:val="•"/>
      <w:lvlJc w:val="left"/>
      <w:pPr>
        <w:ind w:left="5752" w:hanging="324"/>
      </w:pPr>
      <w:rPr>
        <w:rFonts w:hint="default"/>
      </w:rPr>
    </w:lvl>
    <w:lvl w:ilvl="7" w:tplc="9356B5FA">
      <w:start w:val="1"/>
      <w:numFmt w:val="bullet"/>
      <w:lvlText w:val="•"/>
      <w:lvlJc w:val="left"/>
      <w:pPr>
        <w:ind w:left="6629" w:hanging="324"/>
      </w:pPr>
      <w:rPr>
        <w:rFonts w:hint="default"/>
      </w:rPr>
    </w:lvl>
    <w:lvl w:ilvl="8" w:tplc="BB7C1CBE">
      <w:start w:val="1"/>
      <w:numFmt w:val="bullet"/>
      <w:lvlText w:val="•"/>
      <w:lvlJc w:val="left"/>
      <w:pPr>
        <w:ind w:left="7506" w:hanging="324"/>
      </w:pPr>
      <w:rPr>
        <w:rFonts w:hint="default"/>
      </w:rPr>
    </w:lvl>
  </w:abstractNum>
  <w:abstractNum w:abstractNumId="15" w15:restartNumberingAfterBreak="0">
    <w:nsid w:val="6EA164B7"/>
    <w:multiLevelType w:val="hybridMultilevel"/>
    <w:tmpl w:val="AB3246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E75CCB"/>
    <w:multiLevelType w:val="hybridMultilevel"/>
    <w:tmpl w:val="1DD8505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7" w15:restartNumberingAfterBreak="0">
    <w:nsid w:val="75BF6DA2"/>
    <w:multiLevelType w:val="hybridMultilevel"/>
    <w:tmpl w:val="73F26FD8"/>
    <w:lvl w:ilvl="0" w:tplc="189EB9B0">
      <w:start w:val="12"/>
      <w:numFmt w:val="decimal"/>
      <w:lvlText w:val="%1"/>
      <w:lvlJc w:val="left"/>
      <w:pPr>
        <w:ind w:left="120" w:hanging="180"/>
      </w:pPr>
      <w:rPr>
        <w:rFonts w:ascii="Times New Roman" w:eastAsia="Times New Roman" w:hAnsi="Times New Roman" w:hint="default"/>
        <w:w w:val="99"/>
        <w:position w:val="7"/>
        <w:sz w:val="13"/>
        <w:szCs w:val="13"/>
      </w:rPr>
    </w:lvl>
    <w:lvl w:ilvl="1" w:tplc="2BB63D26">
      <w:start w:val="1"/>
      <w:numFmt w:val="bullet"/>
      <w:lvlText w:val="•"/>
      <w:lvlJc w:val="left"/>
      <w:pPr>
        <w:ind w:left="1034" w:hanging="180"/>
      </w:pPr>
      <w:rPr>
        <w:rFonts w:hint="default"/>
      </w:rPr>
    </w:lvl>
    <w:lvl w:ilvl="2" w:tplc="24BED014">
      <w:start w:val="1"/>
      <w:numFmt w:val="bullet"/>
      <w:lvlText w:val="•"/>
      <w:lvlJc w:val="left"/>
      <w:pPr>
        <w:ind w:left="1948" w:hanging="180"/>
      </w:pPr>
      <w:rPr>
        <w:rFonts w:hint="default"/>
      </w:rPr>
    </w:lvl>
    <w:lvl w:ilvl="3" w:tplc="4382479E">
      <w:start w:val="1"/>
      <w:numFmt w:val="bullet"/>
      <w:lvlText w:val="•"/>
      <w:lvlJc w:val="left"/>
      <w:pPr>
        <w:ind w:left="2862" w:hanging="180"/>
      </w:pPr>
      <w:rPr>
        <w:rFonts w:hint="default"/>
      </w:rPr>
    </w:lvl>
    <w:lvl w:ilvl="4" w:tplc="DFE04DF8">
      <w:start w:val="1"/>
      <w:numFmt w:val="bullet"/>
      <w:lvlText w:val="•"/>
      <w:lvlJc w:val="left"/>
      <w:pPr>
        <w:ind w:left="3776" w:hanging="180"/>
      </w:pPr>
      <w:rPr>
        <w:rFonts w:hint="default"/>
      </w:rPr>
    </w:lvl>
    <w:lvl w:ilvl="5" w:tplc="7EBEB1D4">
      <w:start w:val="1"/>
      <w:numFmt w:val="bullet"/>
      <w:lvlText w:val="•"/>
      <w:lvlJc w:val="left"/>
      <w:pPr>
        <w:ind w:left="4690" w:hanging="180"/>
      </w:pPr>
      <w:rPr>
        <w:rFonts w:hint="default"/>
      </w:rPr>
    </w:lvl>
    <w:lvl w:ilvl="6" w:tplc="8A602F1A">
      <w:start w:val="1"/>
      <w:numFmt w:val="bullet"/>
      <w:lvlText w:val="•"/>
      <w:lvlJc w:val="left"/>
      <w:pPr>
        <w:ind w:left="5604" w:hanging="180"/>
      </w:pPr>
      <w:rPr>
        <w:rFonts w:hint="default"/>
      </w:rPr>
    </w:lvl>
    <w:lvl w:ilvl="7" w:tplc="4830D9B0">
      <w:start w:val="1"/>
      <w:numFmt w:val="bullet"/>
      <w:lvlText w:val="•"/>
      <w:lvlJc w:val="left"/>
      <w:pPr>
        <w:ind w:left="6518" w:hanging="180"/>
      </w:pPr>
      <w:rPr>
        <w:rFonts w:hint="default"/>
      </w:rPr>
    </w:lvl>
    <w:lvl w:ilvl="8" w:tplc="DC6E1252">
      <w:start w:val="1"/>
      <w:numFmt w:val="bullet"/>
      <w:lvlText w:val="•"/>
      <w:lvlJc w:val="left"/>
      <w:pPr>
        <w:ind w:left="7432" w:hanging="180"/>
      </w:pPr>
      <w:rPr>
        <w:rFonts w:hint="default"/>
      </w:rPr>
    </w:lvl>
  </w:abstractNum>
  <w:abstractNum w:abstractNumId="18" w15:restartNumberingAfterBreak="0">
    <w:nsid w:val="788A0B68"/>
    <w:multiLevelType w:val="hybridMultilevel"/>
    <w:tmpl w:val="68061F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E6455B"/>
    <w:multiLevelType w:val="hybridMultilevel"/>
    <w:tmpl w:val="C966E570"/>
    <w:lvl w:ilvl="0" w:tplc="BD945618">
      <w:start w:val="2"/>
      <w:numFmt w:val="decimal"/>
      <w:lvlText w:val="%1."/>
      <w:lvlJc w:val="left"/>
      <w:pPr>
        <w:ind w:left="972" w:hanging="293"/>
      </w:pPr>
      <w:rPr>
        <w:rFonts w:ascii="Times New Roman" w:eastAsia="Times New Roman" w:hAnsi="Times New Roman" w:hint="default"/>
        <w:b/>
        <w:bCs/>
        <w:sz w:val="22"/>
        <w:szCs w:val="22"/>
      </w:rPr>
    </w:lvl>
    <w:lvl w:ilvl="1" w:tplc="3CE8152C">
      <w:start w:val="1"/>
      <w:numFmt w:val="bullet"/>
      <w:lvlText w:val="•"/>
      <w:lvlJc w:val="left"/>
      <w:pPr>
        <w:ind w:left="972" w:hanging="293"/>
      </w:pPr>
      <w:rPr>
        <w:rFonts w:hint="default"/>
      </w:rPr>
    </w:lvl>
    <w:lvl w:ilvl="2" w:tplc="7F869A4C">
      <w:start w:val="1"/>
      <w:numFmt w:val="bullet"/>
      <w:lvlText w:val="•"/>
      <w:lvlJc w:val="left"/>
      <w:pPr>
        <w:ind w:left="1893" w:hanging="293"/>
      </w:pPr>
      <w:rPr>
        <w:rFonts w:hint="default"/>
      </w:rPr>
    </w:lvl>
    <w:lvl w:ilvl="3" w:tplc="C4A6B2C8">
      <w:start w:val="1"/>
      <w:numFmt w:val="bullet"/>
      <w:lvlText w:val="•"/>
      <w:lvlJc w:val="left"/>
      <w:pPr>
        <w:ind w:left="2814" w:hanging="293"/>
      </w:pPr>
      <w:rPr>
        <w:rFonts w:hint="default"/>
      </w:rPr>
    </w:lvl>
    <w:lvl w:ilvl="4" w:tplc="526C8212">
      <w:start w:val="1"/>
      <w:numFmt w:val="bullet"/>
      <w:lvlText w:val="•"/>
      <w:lvlJc w:val="left"/>
      <w:pPr>
        <w:ind w:left="3734" w:hanging="293"/>
      </w:pPr>
      <w:rPr>
        <w:rFonts w:hint="default"/>
      </w:rPr>
    </w:lvl>
    <w:lvl w:ilvl="5" w:tplc="6BA4F00A">
      <w:start w:val="1"/>
      <w:numFmt w:val="bullet"/>
      <w:lvlText w:val="•"/>
      <w:lvlJc w:val="left"/>
      <w:pPr>
        <w:ind w:left="4655" w:hanging="293"/>
      </w:pPr>
      <w:rPr>
        <w:rFonts w:hint="default"/>
      </w:rPr>
    </w:lvl>
    <w:lvl w:ilvl="6" w:tplc="40705832">
      <w:start w:val="1"/>
      <w:numFmt w:val="bullet"/>
      <w:lvlText w:val="•"/>
      <w:lvlJc w:val="left"/>
      <w:pPr>
        <w:ind w:left="5576" w:hanging="293"/>
      </w:pPr>
      <w:rPr>
        <w:rFonts w:hint="default"/>
      </w:rPr>
    </w:lvl>
    <w:lvl w:ilvl="7" w:tplc="EE54C442">
      <w:start w:val="1"/>
      <w:numFmt w:val="bullet"/>
      <w:lvlText w:val="•"/>
      <w:lvlJc w:val="left"/>
      <w:pPr>
        <w:ind w:left="6497" w:hanging="293"/>
      </w:pPr>
      <w:rPr>
        <w:rFonts w:hint="default"/>
      </w:rPr>
    </w:lvl>
    <w:lvl w:ilvl="8" w:tplc="8BD62B26">
      <w:start w:val="1"/>
      <w:numFmt w:val="bullet"/>
      <w:lvlText w:val="•"/>
      <w:lvlJc w:val="left"/>
      <w:pPr>
        <w:ind w:left="7418" w:hanging="293"/>
      </w:pPr>
      <w:rPr>
        <w:rFonts w:hint="default"/>
      </w:rPr>
    </w:lvl>
  </w:abstractNum>
  <w:num w:numId="1" w16cid:durableId="784036207">
    <w:abstractNumId w:val="1"/>
  </w:num>
  <w:num w:numId="2" w16cid:durableId="458958476">
    <w:abstractNumId w:val="12"/>
  </w:num>
  <w:num w:numId="3" w16cid:durableId="692152506">
    <w:abstractNumId w:val="19"/>
  </w:num>
  <w:num w:numId="4" w16cid:durableId="1708145258">
    <w:abstractNumId w:val="14"/>
  </w:num>
  <w:num w:numId="5" w16cid:durableId="1582058592">
    <w:abstractNumId w:val="17"/>
  </w:num>
  <w:num w:numId="6" w16cid:durableId="249630827">
    <w:abstractNumId w:val="6"/>
  </w:num>
  <w:num w:numId="7" w16cid:durableId="501745815">
    <w:abstractNumId w:val="4"/>
  </w:num>
  <w:num w:numId="8" w16cid:durableId="12265465">
    <w:abstractNumId w:val="3"/>
  </w:num>
  <w:num w:numId="9" w16cid:durableId="1642420267">
    <w:abstractNumId w:val="0"/>
  </w:num>
  <w:num w:numId="10" w16cid:durableId="770129128">
    <w:abstractNumId w:val="10"/>
  </w:num>
  <w:num w:numId="11" w16cid:durableId="947858009">
    <w:abstractNumId w:val="16"/>
  </w:num>
  <w:num w:numId="12" w16cid:durableId="128086544">
    <w:abstractNumId w:val="9"/>
  </w:num>
  <w:num w:numId="13" w16cid:durableId="280377531">
    <w:abstractNumId w:val="18"/>
  </w:num>
  <w:num w:numId="14" w16cid:durableId="777917669">
    <w:abstractNumId w:val="13"/>
  </w:num>
  <w:num w:numId="15" w16cid:durableId="1536310363">
    <w:abstractNumId w:val="7"/>
  </w:num>
  <w:num w:numId="16" w16cid:durableId="1231966156">
    <w:abstractNumId w:val="11"/>
  </w:num>
  <w:num w:numId="17" w16cid:durableId="599727434">
    <w:abstractNumId w:val="8"/>
  </w:num>
  <w:num w:numId="18" w16cid:durableId="1106388384">
    <w:abstractNumId w:val="5"/>
  </w:num>
  <w:num w:numId="19" w16cid:durableId="926884715">
    <w:abstractNumId w:val="15"/>
  </w:num>
  <w:num w:numId="20" w16cid:durableId="641886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24"/>
    <w:rsid w:val="00016B0B"/>
    <w:rsid w:val="00024902"/>
    <w:rsid w:val="0003014F"/>
    <w:rsid w:val="0003224D"/>
    <w:rsid w:val="00042371"/>
    <w:rsid w:val="00055FDE"/>
    <w:rsid w:val="00063607"/>
    <w:rsid w:val="00073F23"/>
    <w:rsid w:val="000E4040"/>
    <w:rsid w:val="001003EE"/>
    <w:rsid w:val="00137CCE"/>
    <w:rsid w:val="00141E94"/>
    <w:rsid w:val="00146EC0"/>
    <w:rsid w:val="00151BF6"/>
    <w:rsid w:val="0016609C"/>
    <w:rsid w:val="00170B17"/>
    <w:rsid w:val="0017268D"/>
    <w:rsid w:val="0018708C"/>
    <w:rsid w:val="001936BF"/>
    <w:rsid w:val="001A59B9"/>
    <w:rsid w:val="001B4372"/>
    <w:rsid w:val="001F0A45"/>
    <w:rsid w:val="0022061A"/>
    <w:rsid w:val="00223DCB"/>
    <w:rsid w:val="00232762"/>
    <w:rsid w:val="00244A47"/>
    <w:rsid w:val="00256F86"/>
    <w:rsid w:val="0027362F"/>
    <w:rsid w:val="002835C4"/>
    <w:rsid w:val="00297F33"/>
    <w:rsid w:val="002E0503"/>
    <w:rsid w:val="00316264"/>
    <w:rsid w:val="00320F8F"/>
    <w:rsid w:val="00321324"/>
    <w:rsid w:val="00335116"/>
    <w:rsid w:val="00336FDF"/>
    <w:rsid w:val="003648C2"/>
    <w:rsid w:val="00384B10"/>
    <w:rsid w:val="003A436E"/>
    <w:rsid w:val="003A494C"/>
    <w:rsid w:val="003A4C05"/>
    <w:rsid w:val="003C41CA"/>
    <w:rsid w:val="00407C32"/>
    <w:rsid w:val="00422786"/>
    <w:rsid w:val="00425BC1"/>
    <w:rsid w:val="004324AD"/>
    <w:rsid w:val="0044524C"/>
    <w:rsid w:val="0046709E"/>
    <w:rsid w:val="00474E45"/>
    <w:rsid w:val="0048769B"/>
    <w:rsid w:val="00492FC5"/>
    <w:rsid w:val="004D5ADD"/>
    <w:rsid w:val="004E3BB5"/>
    <w:rsid w:val="00500D24"/>
    <w:rsid w:val="0051551D"/>
    <w:rsid w:val="00521899"/>
    <w:rsid w:val="005355A3"/>
    <w:rsid w:val="005361E2"/>
    <w:rsid w:val="00551A5C"/>
    <w:rsid w:val="00552346"/>
    <w:rsid w:val="005646D2"/>
    <w:rsid w:val="005773A8"/>
    <w:rsid w:val="005C334D"/>
    <w:rsid w:val="005D32BA"/>
    <w:rsid w:val="00603425"/>
    <w:rsid w:val="0060400E"/>
    <w:rsid w:val="006318D0"/>
    <w:rsid w:val="00655AC8"/>
    <w:rsid w:val="00671A22"/>
    <w:rsid w:val="00681C58"/>
    <w:rsid w:val="00682137"/>
    <w:rsid w:val="006B33B5"/>
    <w:rsid w:val="006B64C0"/>
    <w:rsid w:val="006D7C65"/>
    <w:rsid w:val="006E308F"/>
    <w:rsid w:val="00717829"/>
    <w:rsid w:val="00733C87"/>
    <w:rsid w:val="007406F0"/>
    <w:rsid w:val="00742579"/>
    <w:rsid w:val="0074412C"/>
    <w:rsid w:val="00751807"/>
    <w:rsid w:val="007602A8"/>
    <w:rsid w:val="00764125"/>
    <w:rsid w:val="00777AB0"/>
    <w:rsid w:val="007803DF"/>
    <w:rsid w:val="007D4E76"/>
    <w:rsid w:val="007E5D3F"/>
    <w:rsid w:val="007E6D3E"/>
    <w:rsid w:val="007E7CE5"/>
    <w:rsid w:val="00801906"/>
    <w:rsid w:val="0080272B"/>
    <w:rsid w:val="00840665"/>
    <w:rsid w:val="00841FB3"/>
    <w:rsid w:val="0086623B"/>
    <w:rsid w:val="00870275"/>
    <w:rsid w:val="008C6980"/>
    <w:rsid w:val="009076B1"/>
    <w:rsid w:val="0094182F"/>
    <w:rsid w:val="00946737"/>
    <w:rsid w:val="009467FD"/>
    <w:rsid w:val="009619E9"/>
    <w:rsid w:val="00963264"/>
    <w:rsid w:val="00963B9C"/>
    <w:rsid w:val="00970A05"/>
    <w:rsid w:val="00977E92"/>
    <w:rsid w:val="00985110"/>
    <w:rsid w:val="009A3F7C"/>
    <w:rsid w:val="009B0B51"/>
    <w:rsid w:val="009C1119"/>
    <w:rsid w:val="009E2FC4"/>
    <w:rsid w:val="009F5293"/>
    <w:rsid w:val="00A236FA"/>
    <w:rsid w:val="00A50F47"/>
    <w:rsid w:val="00A5386D"/>
    <w:rsid w:val="00A91FD6"/>
    <w:rsid w:val="00A924B6"/>
    <w:rsid w:val="00A966CC"/>
    <w:rsid w:val="00AC599D"/>
    <w:rsid w:val="00AC604C"/>
    <w:rsid w:val="00AC6157"/>
    <w:rsid w:val="00AC6D4B"/>
    <w:rsid w:val="00AF1489"/>
    <w:rsid w:val="00B03CDD"/>
    <w:rsid w:val="00B31141"/>
    <w:rsid w:val="00B405E0"/>
    <w:rsid w:val="00B6608A"/>
    <w:rsid w:val="00BC0A68"/>
    <w:rsid w:val="00BC2BBD"/>
    <w:rsid w:val="00BD04B1"/>
    <w:rsid w:val="00BF0112"/>
    <w:rsid w:val="00BF5C08"/>
    <w:rsid w:val="00C10C12"/>
    <w:rsid w:val="00C441D9"/>
    <w:rsid w:val="00C55916"/>
    <w:rsid w:val="00C72152"/>
    <w:rsid w:val="00C738D5"/>
    <w:rsid w:val="00C84785"/>
    <w:rsid w:val="00CC04F4"/>
    <w:rsid w:val="00D11A65"/>
    <w:rsid w:val="00D410C9"/>
    <w:rsid w:val="00D64846"/>
    <w:rsid w:val="00D93D7C"/>
    <w:rsid w:val="00E00889"/>
    <w:rsid w:val="00E12B70"/>
    <w:rsid w:val="00E217EF"/>
    <w:rsid w:val="00E3435D"/>
    <w:rsid w:val="00E85ABB"/>
    <w:rsid w:val="00EA455B"/>
    <w:rsid w:val="00EA7281"/>
    <w:rsid w:val="00EA72BF"/>
    <w:rsid w:val="00EC3461"/>
    <w:rsid w:val="00ED3CA5"/>
    <w:rsid w:val="00EE117C"/>
    <w:rsid w:val="00EF57CD"/>
    <w:rsid w:val="00EF6618"/>
    <w:rsid w:val="00F37A7E"/>
    <w:rsid w:val="00F4319C"/>
    <w:rsid w:val="00F74FDF"/>
    <w:rsid w:val="00FA195A"/>
    <w:rsid w:val="00FA3E2F"/>
    <w:rsid w:val="00FC27C3"/>
    <w:rsid w:val="00FD61A1"/>
    <w:rsid w:val="00FE5F32"/>
    <w:rsid w:val="00FF136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D246F"/>
  <w15:chartTrackingRefBased/>
  <w15:docId w15:val="{DFC12D60-4B3E-4DEA-A269-4401B56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8C2"/>
    <w:pPr>
      <w:widowControl w:val="0"/>
      <w:spacing w:after="0" w:line="240" w:lineRule="auto"/>
      <w:ind w:left="962" w:hanging="593"/>
      <w:outlineLvl w:val="0"/>
    </w:pPr>
    <w:rPr>
      <w:rFonts w:ascii="Times New Roman" w:eastAsia="Times New Roman" w:hAnsi="Times New Roman"/>
      <w:b/>
      <w:bCs/>
      <w:sz w:val="24"/>
      <w:szCs w:val="24"/>
      <w:lang w:val="en-US"/>
    </w:rPr>
  </w:style>
  <w:style w:type="paragraph" w:styleId="Heading2">
    <w:name w:val="heading 2"/>
    <w:basedOn w:val="Normal"/>
    <w:next w:val="Normal"/>
    <w:link w:val="Heading2Char"/>
    <w:uiPriority w:val="9"/>
    <w:unhideWhenUsed/>
    <w:qFormat/>
    <w:rsid w:val="003648C2"/>
    <w:pPr>
      <w:spacing w:after="0" w:line="240" w:lineRule="auto"/>
      <w:jc w:val="both"/>
      <w:outlineLvl w:val="1"/>
    </w:pPr>
    <w:rPr>
      <w:rFonts w:asciiTheme="majorBidi" w:eastAsia="Times New Roman" w:hAnsiTheme="majorBidi" w:cstheme="majorBidi"/>
      <w:b/>
      <w:bCs/>
      <w:i/>
      <w:iCs/>
      <w:sz w:val="24"/>
      <w:szCs w:val="24"/>
    </w:rPr>
  </w:style>
  <w:style w:type="paragraph" w:styleId="Heading3">
    <w:name w:val="heading 3"/>
    <w:basedOn w:val="Normal"/>
    <w:next w:val="Normal"/>
    <w:link w:val="Heading3Char"/>
    <w:uiPriority w:val="9"/>
    <w:unhideWhenUsed/>
    <w:qFormat/>
    <w:rsid w:val="003648C2"/>
    <w:pPr>
      <w:keepNext/>
      <w:keepLines/>
      <w:spacing w:before="40" w:after="0"/>
      <w:outlineLvl w:val="2"/>
    </w:pPr>
    <w:rPr>
      <w:rFonts w:asciiTheme="majorHAnsi" w:eastAsiaTheme="majorEastAsia" w:hAnsiTheme="majorHAnsi" w:cstheme="majorBidi"/>
      <w:color w:val="1F3763" w:themeColor="accent1" w:themeShade="7F"/>
      <w:sz w:val="24"/>
      <w:szCs w:val="24"/>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Footnote Text Char2,Footnote Text Char Char1,Footnote Text Char1 Char Char,Footnote Text Char Char Char Char,Footnote Text Char1 Char Char Char Char,Footnote Text Char Char Char Char Char Char,Footnote Text Char1 Char,Char Char,Ch"/>
    <w:basedOn w:val="Normal"/>
    <w:link w:val="FootnoteTextChar"/>
    <w:uiPriority w:val="99"/>
    <w:unhideWhenUsed/>
    <w:rsid w:val="00BC0A68"/>
    <w:pPr>
      <w:spacing w:after="0" w:line="240" w:lineRule="auto"/>
    </w:pPr>
    <w:rPr>
      <w:sz w:val="20"/>
      <w:szCs w:val="20"/>
    </w:rPr>
  </w:style>
  <w:style w:type="character" w:customStyle="1" w:styleId="FootnoteTextChar">
    <w:name w:val="Footnote Text Char"/>
    <w:aliases w:val=" Char Char,Footnote Text Char2 Char,Footnote Text Char Char1 Char,Footnote Text Char1 Char Char Char,Footnote Text Char Char Char Char Char,Footnote Text Char1 Char Char Char Char Char,Footnote Text Char Char Char Char Char Char Char"/>
    <w:basedOn w:val="DefaultParagraphFont"/>
    <w:link w:val="FootnoteText"/>
    <w:uiPriority w:val="99"/>
    <w:rsid w:val="00BC0A68"/>
    <w:rPr>
      <w:sz w:val="20"/>
      <w:szCs w:val="20"/>
    </w:rPr>
  </w:style>
  <w:style w:type="character" w:styleId="FootnoteReference">
    <w:name w:val="footnote reference"/>
    <w:basedOn w:val="DefaultParagraphFont"/>
    <w:uiPriority w:val="99"/>
    <w:unhideWhenUsed/>
    <w:rsid w:val="00BC0A68"/>
    <w:rPr>
      <w:vertAlign w:val="superscript"/>
    </w:rPr>
  </w:style>
  <w:style w:type="paragraph" w:styleId="Header">
    <w:name w:val="header"/>
    <w:basedOn w:val="Normal"/>
    <w:link w:val="HeaderChar"/>
    <w:uiPriority w:val="99"/>
    <w:unhideWhenUsed/>
    <w:rsid w:val="00BC0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68"/>
  </w:style>
  <w:style w:type="paragraph" w:styleId="Footer">
    <w:name w:val="footer"/>
    <w:basedOn w:val="Normal"/>
    <w:link w:val="FooterChar"/>
    <w:uiPriority w:val="99"/>
    <w:unhideWhenUsed/>
    <w:rsid w:val="00BC0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A68"/>
  </w:style>
  <w:style w:type="paragraph" w:styleId="BalloonText">
    <w:name w:val="Balloon Text"/>
    <w:basedOn w:val="Normal"/>
    <w:link w:val="BalloonTextChar"/>
    <w:uiPriority w:val="99"/>
    <w:unhideWhenUsed/>
    <w:rsid w:val="003A4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A494C"/>
    <w:rPr>
      <w:rFonts w:ascii="Segoe UI" w:hAnsi="Segoe UI" w:cs="Segoe UI"/>
      <w:sz w:val="18"/>
      <w:szCs w:val="18"/>
    </w:rPr>
  </w:style>
  <w:style w:type="paragraph" w:customStyle="1" w:styleId="ArticleTitle">
    <w:name w:val="Article Title"/>
    <w:basedOn w:val="Normal"/>
    <w:link w:val="ArticleTitleChar"/>
    <w:qFormat/>
    <w:rsid w:val="003A494C"/>
    <w:pPr>
      <w:jc w:val="both"/>
    </w:pPr>
    <w:rPr>
      <w:rFonts w:ascii="Palatino Linotype" w:hAnsi="Palatino Linotype"/>
      <w:sz w:val="24"/>
      <w:szCs w:val="24"/>
    </w:rPr>
  </w:style>
  <w:style w:type="paragraph" w:customStyle="1" w:styleId="NameofAuthors">
    <w:name w:val="Name of Author(s)"/>
    <w:basedOn w:val="Normal"/>
    <w:link w:val="NameofAuthorsChar"/>
    <w:qFormat/>
    <w:rsid w:val="003A494C"/>
    <w:pPr>
      <w:spacing w:line="480" w:lineRule="auto"/>
      <w:jc w:val="both"/>
    </w:pPr>
    <w:rPr>
      <w:rFonts w:ascii="Palatino Linotype" w:hAnsi="Palatino Linotype"/>
      <w:i/>
      <w:iCs/>
      <w:sz w:val="24"/>
      <w:szCs w:val="24"/>
    </w:rPr>
  </w:style>
  <w:style w:type="character" w:customStyle="1" w:styleId="ArticleTitleChar">
    <w:name w:val="Article Title Char"/>
    <w:basedOn w:val="DefaultParagraphFont"/>
    <w:link w:val="ArticleTitle"/>
    <w:rsid w:val="003A494C"/>
    <w:rPr>
      <w:rFonts w:ascii="Palatino Linotype" w:hAnsi="Palatino Linotype"/>
      <w:sz w:val="24"/>
      <w:szCs w:val="24"/>
    </w:rPr>
  </w:style>
  <w:style w:type="paragraph" w:customStyle="1" w:styleId="Headermain">
    <w:name w:val="Header main"/>
    <w:basedOn w:val="Normal"/>
    <w:link w:val="HeadermainChar"/>
    <w:qFormat/>
    <w:rsid w:val="003A494C"/>
    <w:pPr>
      <w:spacing w:line="480" w:lineRule="auto"/>
      <w:jc w:val="both"/>
    </w:pPr>
    <w:rPr>
      <w:rFonts w:ascii="Palatino Linotype" w:hAnsi="Palatino Linotype"/>
      <w:b/>
      <w:bCs/>
      <w:i/>
      <w:iCs/>
      <w:sz w:val="24"/>
      <w:szCs w:val="24"/>
    </w:rPr>
  </w:style>
  <w:style w:type="character" w:customStyle="1" w:styleId="NameofAuthorsChar">
    <w:name w:val="Name of Author(s) Char"/>
    <w:basedOn w:val="DefaultParagraphFont"/>
    <w:link w:val="NameofAuthors"/>
    <w:rsid w:val="003A494C"/>
    <w:rPr>
      <w:rFonts w:ascii="Palatino Linotype" w:hAnsi="Palatino Linotype"/>
      <w:i/>
      <w:iCs/>
      <w:sz w:val="24"/>
      <w:szCs w:val="24"/>
    </w:rPr>
  </w:style>
  <w:style w:type="paragraph" w:customStyle="1" w:styleId="Headersub">
    <w:name w:val="Header sub"/>
    <w:basedOn w:val="Normal"/>
    <w:link w:val="HeadersubChar"/>
    <w:qFormat/>
    <w:rsid w:val="003A494C"/>
    <w:pPr>
      <w:spacing w:line="480" w:lineRule="auto"/>
      <w:jc w:val="both"/>
    </w:pPr>
    <w:rPr>
      <w:rFonts w:ascii="Palatino Linotype" w:hAnsi="Palatino Linotype"/>
      <w:i/>
      <w:iCs/>
      <w:sz w:val="24"/>
      <w:szCs w:val="24"/>
    </w:rPr>
  </w:style>
  <w:style w:type="character" w:customStyle="1" w:styleId="HeadermainChar">
    <w:name w:val="Header main Char"/>
    <w:basedOn w:val="DefaultParagraphFont"/>
    <w:link w:val="Headermain"/>
    <w:rsid w:val="003A494C"/>
    <w:rPr>
      <w:rFonts w:ascii="Palatino Linotype" w:hAnsi="Palatino Linotype"/>
      <w:b/>
      <w:bCs/>
      <w:i/>
      <w:iCs/>
      <w:sz w:val="24"/>
      <w:szCs w:val="24"/>
    </w:rPr>
  </w:style>
  <w:style w:type="paragraph" w:customStyle="1" w:styleId="Bodyoftext">
    <w:name w:val="Body of text"/>
    <w:basedOn w:val="Normal"/>
    <w:link w:val="BodyoftextChar"/>
    <w:qFormat/>
    <w:rsid w:val="003A494C"/>
    <w:pPr>
      <w:spacing w:line="480" w:lineRule="auto"/>
      <w:jc w:val="both"/>
    </w:pPr>
    <w:rPr>
      <w:rFonts w:ascii="Palatino Linotype" w:hAnsi="Palatino Linotype"/>
      <w:sz w:val="24"/>
      <w:szCs w:val="24"/>
    </w:rPr>
  </w:style>
  <w:style w:type="character" w:customStyle="1" w:styleId="HeadersubChar">
    <w:name w:val="Header sub Char"/>
    <w:basedOn w:val="DefaultParagraphFont"/>
    <w:link w:val="Headersub"/>
    <w:rsid w:val="003A494C"/>
    <w:rPr>
      <w:rFonts w:ascii="Palatino Linotype" w:hAnsi="Palatino Linotype"/>
      <w:i/>
      <w:iCs/>
      <w:sz w:val="24"/>
      <w:szCs w:val="24"/>
    </w:rPr>
  </w:style>
  <w:style w:type="paragraph" w:customStyle="1" w:styleId="Indentedparticipantquote">
    <w:name w:val="Indented participant quote"/>
    <w:basedOn w:val="Normal"/>
    <w:link w:val="IndentedparticipantquoteChar"/>
    <w:qFormat/>
    <w:rsid w:val="003A494C"/>
    <w:pPr>
      <w:spacing w:line="480" w:lineRule="auto"/>
      <w:ind w:left="720" w:firstLine="720"/>
    </w:pPr>
    <w:rPr>
      <w:rFonts w:ascii="Palatino Linotype" w:hAnsi="Palatino Linotype"/>
      <w:i/>
      <w:iCs/>
      <w:sz w:val="24"/>
      <w:szCs w:val="24"/>
    </w:rPr>
  </w:style>
  <w:style w:type="character" w:customStyle="1" w:styleId="BodyoftextChar">
    <w:name w:val="Body of text Char"/>
    <w:basedOn w:val="DefaultParagraphFont"/>
    <w:link w:val="Bodyoftext"/>
    <w:rsid w:val="003A494C"/>
    <w:rPr>
      <w:rFonts w:ascii="Palatino Linotype" w:hAnsi="Palatino Linotype"/>
      <w:sz w:val="24"/>
      <w:szCs w:val="24"/>
    </w:rPr>
  </w:style>
  <w:style w:type="character" w:customStyle="1" w:styleId="IndentedparticipantquoteChar">
    <w:name w:val="Indented participant quote Char"/>
    <w:basedOn w:val="DefaultParagraphFont"/>
    <w:link w:val="Indentedparticipantquote"/>
    <w:rsid w:val="003A494C"/>
    <w:rPr>
      <w:rFonts w:ascii="Palatino Linotype" w:hAnsi="Palatino Linotype"/>
      <w:i/>
      <w:iCs/>
      <w:sz w:val="24"/>
      <w:szCs w:val="24"/>
    </w:rPr>
  </w:style>
  <w:style w:type="character" w:styleId="Hyperlink">
    <w:name w:val="Hyperlink"/>
    <w:basedOn w:val="DefaultParagraphFont"/>
    <w:uiPriority w:val="99"/>
    <w:unhideWhenUsed/>
    <w:rsid w:val="00FE5F32"/>
    <w:rPr>
      <w:color w:val="0563C1" w:themeColor="hyperlink"/>
      <w:u w:val="single"/>
    </w:rPr>
  </w:style>
  <w:style w:type="character" w:customStyle="1" w:styleId="UnresolvedMention1">
    <w:name w:val="Unresolved Mention1"/>
    <w:basedOn w:val="DefaultParagraphFont"/>
    <w:uiPriority w:val="99"/>
    <w:semiHidden/>
    <w:unhideWhenUsed/>
    <w:rsid w:val="00FE5F32"/>
    <w:rPr>
      <w:color w:val="605E5C"/>
      <w:shd w:val="clear" w:color="auto" w:fill="E1DFDD"/>
    </w:rPr>
  </w:style>
  <w:style w:type="paragraph" w:customStyle="1" w:styleId="Document">
    <w:name w:val="_Document"/>
    <w:basedOn w:val="Normal"/>
    <w:link w:val="DocumentChar"/>
    <w:qFormat/>
    <w:rsid w:val="003648C2"/>
    <w:pPr>
      <w:widowControl w:val="0"/>
      <w:suppressLineNumbers/>
      <w:tabs>
        <w:tab w:val="left" w:pos="0"/>
        <w:tab w:val="left" w:pos="400"/>
        <w:tab w:val="left" w:pos="620"/>
      </w:tabs>
      <w:spacing w:before="20" w:after="0" w:line="240" w:lineRule="exact"/>
      <w:ind w:firstLine="400"/>
      <w:jc w:val="both"/>
    </w:pPr>
    <w:rPr>
      <w:rFonts w:ascii="Times New Roman" w:eastAsia="Times New Roman" w:hAnsi="Times New Roman" w:cs="Times New Roman"/>
      <w:sz w:val="21"/>
      <w:szCs w:val="21"/>
      <w:lang w:val="en-US"/>
    </w:rPr>
  </w:style>
  <w:style w:type="character" w:customStyle="1" w:styleId="DocumentChar">
    <w:name w:val="_Document Char"/>
    <w:basedOn w:val="DefaultParagraphFont"/>
    <w:link w:val="Document"/>
    <w:rsid w:val="003648C2"/>
    <w:rPr>
      <w:rFonts w:ascii="Times New Roman" w:eastAsia="Times New Roman" w:hAnsi="Times New Roman" w:cs="Times New Roman"/>
      <w:sz w:val="21"/>
      <w:szCs w:val="21"/>
      <w:lang w:val="en-US"/>
    </w:rPr>
  </w:style>
  <w:style w:type="character" w:customStyle="1" w:styleId="Heading1Char">
    <w:name w:val="Heading 1 Char"/>
    <w:basedOn w:val="DefaultParagraphFont"/>
    <w:link w:val="Heading1"/>
    <w:uiPriority w:val="1"/>
    <w:rsid w:val="003648C2"/>
    <w:rPr>
      <w:rFonts w:ascii="Times New Roman" w:eastAsia="Times New Roman" w:hAnsi="Times New Roman"/>
      <w:b/>
      <w:bCs/>
      <w:sz w:val="24"/>
      <w:szCs w:val="24"/>
      <w:lang w:val="en-US"/>
    </w:rPr>
  </w:style>
  <w:style w:type="character" w:customStyle="1" w:styleId="Heading2Char">
    <w:name w:val="Heading 2 Char"/>
    <w:basedOn w:val="DefaultParagraphFont"/>
    <w:link w:val="Heading2"/>
    <w:uiPriority w:val="9"/>
    <w:rsid w:val="003648C2"/>
    <w:rPr>
      <w:rFonts w:asciiTheme="majorBidi" w:eastAsia="Times New Roman" w:hAnsiTheme="majorBidi" w:cstheme="majorBidi"/>
      <w:b/>
      <w:bCs/>
      <w:i/>
      <w:iCs/>
      <w:sz w:val="24"/>
      <w:szCs w:val="24"/>
    </w:rPr>
  </w:style>
  <w:style w:type="character" w:customStyle="1" w:styleId="Heading3Char">
    <w:name w:val="Heading 3 Char"/>
    <w:basedOn w:val="DefaultParagraphFont"/>
    <w:link w:val="Heading3"/>
    <w:uiPriority w:val="9"/>
    <w:rsid w:val="003648C2"/>
    <w:rPr>
      <w:rFonts w:asciiTheme="majorHAnsi" w:eastAsiaTheme="majorEastAsia" w:hAnsiTheme="majorHAnsi" w:cstheme="majorBidi"/>
      <w:color w:val="1F3763" w:themeColor="accent1" w:themeShade="7F"/>
      <w:sz w:val="24"/>
      <w:szCs w:val="24"/>
      <w:lang w:val="en-US" w:bidi="he-IL"/>
    </w:rPr>
  </w:style>
  <w:style w:type="paragraph" w:customStyle="1" w:styleId="ResumeText">
    <w:name w:val="Resume Text"/>
    <w:basedOn w:val="Normal"/>
    <w:qFormat/>
    <w:rsid w:val="003648C2"/>
    <w:pPr>
      <w:spacing w:before="40" w:after="40" w:line="288" w:lineRule="auto"/>
      <w:ind w:right="1440"/>
    </w:pPr>
    <w:rPr>
      <w:rFonts w:ascii="Garamond" w:eastAsiaTheme="minorEastAsia" w:hAnsi="Garamond"/>
      <w:color w:val="595959" w:themeColor="text1" w:themeTint="A6"/>
      <w:kern w:val="20"/>
      <w:szCs w:val="24"/>
      <w:lang w:val="en-US" w:eastAsia="ja-JP"/>
    </w:rPr>
  </w:style>
  <w:style w:type="character" w:customStyle="1" w:styleId="hps">
    <w:name w:val="hps"/>
    <w:rsid w:val="003648C2"/>
  </w:style>
  <w:style w:type="character" w:customStyle="1" w:styleId="shorttext">
    <w:name w:val="short_text"/>
    <w:rsid w:val="003648C2"/>
  </w:style>
  <w:style w:type="paragraph" w:customStyle="1" w:styleId="Journalfont">
    <w:name w:val="_Journal font"/>
    <w:qFormat/>
    <w:rsid w:val="003648C2"/>
    <w:pPr>
      <w:widowControl w:val="0"/>
      <w:spacing w:after="0" w:line="240" w:lineRule="exact"/>
      <w:jc w:val="both"/>
    </w:pPr>
    <w:rPr>
      <w:rFonts w:ascii="Times New Roman" w:eastAsia="Times New Roman" w:hAnsi="Times New Roman" w:cs="Times New Roman"/>
      <w:sz w:val="21"/>
      <w:szCs w:val="21"/>
      <w:lang w:val="en-US"/>
    </w:rPr>
  </w:style>
  <w:style w:type="character" w:styleId="PageNumber">
    <w:name w:val="page number"/>
    <w:basedOn w:val="DefaultParagraphFont"/>
    <w:rsid w:val="003648C2"/>
  </w:style>
  <w:style w:type="paragraph" w:customStyle="1" w:styleId="FootNoteReference0">
    <w:name w:val="_FootNote Reference"/>
    <w:basedOn w:val="Document"/>
    <w:link w:val="FootNoteReferenceChar"/>
    <w:qFormat/>
    <w:rsid w:val="003648C2"/>
    <w:pPr>
      <w:tabs>
        <w:tab w:val="clear" w:pos="0"/>
        <w:tab w:val="clear" w:pos="400"/>
        <w:tab w:val="clear" w:pos="620"/>
        <w:tab w:val="right" w:pos="480"/>
        <w:tab w:val="left" w:pos="600"/>
      </w:tabs>
      <w:spacing w:line="190" w:lineRule="exact"/>
      <w:ind w:firstLine="0"/>
    </w:pPr>
    <w:rPr>
      <w:sz w:val="18"/>
    </w:rPr>
  </w:style>
  <w:style w:type="paragraph" w:customStyle="1" w:styleId="FootNotePara">
    <w:name w:val="_FootNotePara"/>
    <w:basedOn w:val="FootNoteReference0"/>
    <w:qFormat/>
    <w:rsid w:val="003648C2"/>
    <w:pPr>
      <w:ind w:firstLine="320"/>
    </w:pPr>
  </w:style>
  <w:style w:type="character" w:customStyle="1" w:styleId="NoterefInText">
    <w:name w:val="_NoterefInText"/>
    <w:basedOn w:val="DefaultParagraphFont"/>
    <w:qFormat/>
    <w:rsid w:val="003648C2"/>
    <w:rPr>
      <w:rFonts w:ascii="Times New Roman" w:hAnsi="Times New Roman"/>
      <w:sz w:val="20"/>
      <w:szCs w:val="20"/>
      <w:vertAlign w:val="superscript"/>
    </w:rPr>
  </w:style>
  <w:style w:type="character" w:customStyle="1" w:styleId="NoterefInNote">
    <w:name w:val="_NoterefInNote"/>
    <w:basedOn w:val="DefaultParagraphFont"/>
    <w:qFormat/>
    <w:rsid w:val="003648C2"/>
    <w:rPr>
      <w:rFonts w:ascii="Times New Roman" w:hAnsi="Times New Roman"/>
      <w:sz w:val="20"/>
      <w:szCs w:val="17"/>
      <w:vertAlign w:val="superscript"/>
    </w:rPr>
  </w:style>
  <w:style w:type="paragraph" w:customStyle="1" w:styleId="1StQuoteFN">
    <w:name w:val="_1StQuoteFN"/>
    <w:basedOn w:val="FootNoteReference0"/>
    <w:next w:val="FootNoteReference0"/>
    <w:link w:val="1StQuoteFNChar"/>
    <w:qFormat/>
    <w:rsid w:val="003648C2"/>
    <w:pPr>
      <w:tabs>
        <w:tab w:val="clear" w:pos="480"/>
        <w:tab w:val="clear" w:pos="600"/>
        <w:tab w:val="left" w:pos="680"/>
      </w:tabs>
      <w:ind w:left="320" w:right="320"/>
    </w:pPr>
    <w:rPr>
      <w:szCs w:val="18"/>
    </w:rPr>
  </w:style>
  <w:style w:type="paragraph" w:customStyle="1" w:styleId="2NdQuoteFN">
    <w:name w:val="_2NdQuoteFN"/>
    <w:basedOn w:val="FootNoteReference0"/>
    <w:next w:val="FootNoteReference0"/>
    <w:qFormat/>
    <w:rsid w:val="003648C2"/>
    <w:pPr>
      <w:tabs>
        <w:tab w:val="clear" w:pos="480"/>
        <w:tab w:val="clear" w:pos="600"/>
        <w:tab w:val="left" w:pos="1020"/>
      </w:tabs>
      <w:spacing w:before="0"/>
      <w:ind w:left="640" w:right="320"/>
    </w:pPr>
    <w:rPr>
      <w:szCs w:val="18"/>
    </w:rPr>
  </w:style>
  <w:style w:type="paragraph" w:customStyle="1" w:styleId="3RdQuoteFN">
    <w:name w:val="_3RdQuoteFN"/>
    <w:basedOn w:val="FootNoteReference0"/>
    <w:next w:val="FootNoteReference0"/>
    <w:qFormat/>
    <w:rsid w:val="003648C2"/>
    <w:pPr>
      <w:tabs>
        <w:tab w:val="clear" w:pos="480"/>
        <w:tab w:val="clear" w:pos="600"/>
        <w:tab w:val="left" w:pos="1360"/>
      </w:tabs>
      <w:spacing w:before="0"/>
      <w:ind w:left="960" w:right="320"/>
    </w:pPr>
    <w:rPr>
      <w:szCs w:val="18"/>
    </w:rPr>
  </w:style>
  <w:style w:type="paragraph" w:customStyle="1" w:styleId="4ThQuoteFN">
    <w:name w:val="_4ThQuoteFN"/>
    <w:basedOn w:val="FootNoteReference0"/>
    <w:next w:val="FootNoteReference0"/>
    <w:qFormat/>
    <w:rsid w:val="003648C2"/>
    <w:pPr>
      <w:tabs>
        <w:tab w:val="clear" w:pos="480"/>
        <w:tab w:val="clear" w:pos="600"/>
        <w:tab w:val="left" w:pos="1700"/>
      </w:tabs>
      <w:spacing w:before="0"/>
      <w:ind w:left="1280" w:right="320"/>
    </w:pPr>
    <w:rPr>
      <w:szCs w:val="18"/>
    </w:rPr>
  </w:style>
  <w:style w:type="paragraph" w:customStyle="1" w:styleId="1StQuoteTXT">
    <w:name w:val="_1StQuoteTXT"/>
    <w:basedOn w:val="Document"/>
    <w:next w:val="Document"/>
    <w:rsid w:val="003648C2"/>
    <w:pPr>
      <w:tabs>
        <w:tab w:val="clear" w:pos="400"/>
      </w:tabs>
      <w:spacing w:before="120" w:after="100" w:line="210" w:lineRule="exact"/>
      <w:ind w:left="240" w:right="240" w:firstLine="0"/>
    </w:pPr>
    <w:rPr>
      <w:sz w:val="18"/>
      <w:szCs w:val="18"/>
    </w:rPr>
  </w:style>
  <w:style w:type="paragraph" w:customStyle="1" w:styleId="2NdQuoteTXT">
    <w:name w:val="_2NdQuoteTXT"/>
    <w:basedOn w:val="Document"/>
    <w:next w:val="Document"/>
    <w:qFormat/>
    <w:rsid w:val="003648C2"/>
    <w:pPr>
      <w:tabs>
        <w:tab w:val="clear" w:pos="400"/>
        <w:tab w:val="clear" w:pos="620"/>
        <w:tab w:val="left" w:pos="780"/>
      </w:tabs>
      <w:spacing w:before="0" w:after="100" w:line="210" w:lineRule="exact"/>
      <w:ind w:left="640" w:right="320" w:firstLine="0"/>
    </w:pPr>
    <w:rPr>
      <w:sz w:val="18"/>
      <w:szCs w:val="18"/>
    </w:rPr>
  </w:style>
  <w:style w:type="paragraph" w:customStyle="1" w:styleId="3RdQuoteTXT">
    <w:name w:val="_3RdQuoteTXT"/>
    <w:basedOn w:val="Document"/>
    <w:next w:val="Document"/>
    <w:qFormat/>
    <w:rsid w:val="003648C2"/>
    <w:pPr>
      <w:tabs>
        <w:tab w:val="clear" w:pos="0"/>
        <w:tab w:val="clear" w:pos="400"/>
        <w:tab w:val="clear" w:pos="620"/>
        <w:tab w:val="left" w:pos="1040"/>
      </w:tabs>
      <w:spacing w:before="0" w:after="100" w:line="210" w:lineRule="exact"/>
      <w:ind w:left="720" w:right="240" w:firstLine="0"/>
    </w:pPr>
    <w:rPr>
      <w:sz w:val="18"/>
      <w:szCs w:val="18"/>
    </w:rPr>
  </w:style>
  <w:style w:type="paragraph" w:customStyle="1" w:styleId="4ThQuoteTXT">
    <w:name w:val="_4ThQuoteTXT"/>
    <w:basedOn w:val="Document"/>
    <w:next w:val="Document"/>
    <w:qFormat/>
    <w:rsid w:val="003648C2"/>
    <w:pPr>
      <w:tabs>
        <w:tab w:val="clear" w:pos="0"/>
        <w:tab w:val="clear" w:pos="400"/>
        <w:tab w:val="clear" w:pos="620"/>
        <w:tab w:val="left" w:pos="1300"/>
      </w:tabs>
      <w:spacing w:before="0" w:after="100" w:line="210" w:lineRule="exact"/>
      <w:ind w:left="960" w:right="240" w:firstLine="0"/>
    </w:pPr>
    <w:rPr>
      <w:sz w:val="18"/>
      <w:szCs w:val="18"/>
    </w:rPr>
  </w:style>
  <w:style w:type="paragraph" w:customStyle="1" w:styleId="Toc0">
    <w:name w:val="_Toc0"/>
    <w:basedOn w:val="Document"/>
    <w:next w:val="Document"/>
    <w:qFormat/>
    <w:rsid w:val="003648C2"/>
    <w:pPr>
      <w:tabs>
        <w:tab w:val="clear" w:pos="0"/>
        <w:tab w:val="clear" w:pos="400"/>
        <w:tab w:val="clear" w:pos="620"/>
        <w:tab w:val="right" w:leader="dot" w:pos="6480"/>
      </w:tabs>
      <w:spacing w:before="0"/>
      <w:ind w:right="440" w:firstLine="0"/>
    </w:pPr>
  </w:style>
  <w:style w:type="paragraph" w:customStyle="1" w:styleId="Toc1">
    <w:name w:val="_Toc1"/>
    <w:basedOn w:val="Document"/>
    <w:next w:val="Document"/>
    <w:qFormat/>
    <w:rsid w:val="003648C2"/>
    <w:pPr>
      <w:tabs>
        <w:tab w:val="clear" w:pos="0"/>
        <w:tab w:val="clear" w:pos="400"/>
        <w:tab w:val="clear" w:pos="620"/>
        <w:tab w:val="right" w:pos="440"/>
        <w:tab w:val="left" w:pos="600"/>
        <w:tab w:val="right" w:leader="dot" w:pos="6480"/>
      </w:tabs>
      <w:spacing w:before="0"/>
      <w:ind w:left="600" w:right="440" w:hanging="600"/>
    </w:pPr>
  </w:style>
  <w:style w:type="paragraph" w:customStyle="1" w:styleId="Toc2">
    <w:name w:val="_Toc2"/>
    <w:basedOn w:val="Document"/>
    <w:next w:val="Document"/>
    <w:rsid w:val="003648C2"/>
    <w:pPr>
      <w:tabs>
        <w:tab w:val="clear" w:pos="0"/>
        <w:tab w:val="clear" w:pos="620"/>
        <w:tab w:val="right" w:leader="dot" w:pos="6480"/>
      </w:tabs>
      <w:spacing w:before="0"/>
      <w:ind w:left="1000" w:right="440" w:hanging="400"/>
    </w:pPr>
  </w:style>
  <w:style w:type="paragraph" w:customStyle="1" w:styleId="Toc3">
    <w:name w:val="_Toc3"/>
    <w:basedOn w:val="Document"/>
    <w:next w:val="Document"/>
    <w:qFormat/>
    <w:rsid w:val="003648C2"/>
    <w:pPr>
      <w:tabs>
        <w:tab w:val="clear" w:pos="0"/>
        <w:tab w:val="clear" w:pos="400"/>
        <w:tab w:val="clear" w:pos="620"/>
        <w:tab w:val="left" w:pos="320"/>
        <w:tab w:val="right" w:leader="dot" w:pos="6480"/>
      </w:tabs>
      <w:spacing w:before="0"/>
      <w:ind w:left="1320" w:right="440" w:hanging="320"/>
    </w:pPr>
    <w:rPr>
      <w:i/>
    </w:rPr>
  </w:style>
  <w:style w:type="paragraph" w:customStyle="1" w:styleId="Toc4">
    <w:name w:val="_Toc4"/>
    <w:basedOn w:val="Document"/>
    <w:next w:val="Document"/>
    <w:qFormat/>
    <w:rsid w:val="003648C2"/>
    <w:pPr>
      <w:tabs>
        <w:tab w:val="clear" w:pos="0"/>
        <w:tab w:val="clear" w:pos="400"/>
        <w:tab w:val="clear" w:pos="620"/>
        <w:tab w:val="left" w:pos="360"/>
        <w:tab w:val="right" w:leader="dot" w:pos="6480"/>
      </w:tabs>
      <w:spacing w:before="0"/>
      <w:ind w:left="1680" w:right="440" w:hanging="360"/>
    </w:pPr>
  </w:style>
  <w:style w:type="paragraph" w:customStyle="1" w:styleId="Toc5">
    <w:name w:val="_Toc5"/>
    <w:basedOn w:val="Document"/>
    <w:next w:val="Document"/>
    <w:qFormat/>
    <w:rsid w:val="003648C2"/>
    <w:pPr>
      <w:tabs>
        <w:tab w:val="clear" w:pos="0"/>
        <w:tab w:val="clear" w:pos="400"/>
        <w:tab w:val="clear" w:pos="620"/>
        <w:tab w:val="right" w:pos="360"/>
        <w:tab w:val="right" w:leader="dot" w:pos="6480"/>
      </w:tabs>
      <w:spacing w:before="0"/>
      <w:ind w:left="2040" w:right="440" w:hanging="360"/>
    </w:pPr>
  </w:style>
  <w:style w:type="paragraph" w:customStyle="1" w:styleId="SectionHead">
    <w:name w:val="_SectionHead"/>
    <w:basedOn w:val="Journalfont"/>
    <w:next w:val="Document"/>
    <w:qFormat/>
    <w:rsid w:val="003648C2"/>
    <w:pPr>
      <w:keepNext/>
      <w:suppressLineNumbers/>
      <w:suppressAutoHyphens/>
      <w:spacing w:after="800" w:line="480" w:lineRule="exact"/>
      <w:jc w:val="center"/>
    </w:pPr>
    <w:rPr>
      <w:caps/>
      <w:sz w:val="38"/>
    </w:rPr>
  </w:style>
  <w:style w:type="paragraph" w:customStyle="1" w:styleId="Head1-Articles">
    <w:name w:val="_Head1-Articles"/>
    <w:basedOn w:val="Journalfont"/>
    <w:next w:val="Document"/>
    <w:qFormat/>
    <w:rsid w:val="003648C2"/>
    <w:pPr>
      <w:keepNext/>
      <w:suppressLineNumbers/>
      <w:suppressAutoHyphens/>
      <w:spacing w:after="240" w:line="480" w:lineRule="exact"/>
      <w:jc w:val="center"/>
    </w:pPr>
    <w:rPr>
      <w:sz w:val="38"/>
      <w:szCs w:val="38"/>
    </w:rPr>
  </w:style>
  <w:style w:type="paragraph" w:customStyle="1" w:styleId="Head2-Notes">
    <w:name w:val="_Head2-Notes"/>
    <w:aliases w:val="Comments"/>
    <w:basedOn w:val="Journalfont"/>
    <w:next w:val="Document"/>
    <w:qFormat/>
    <w:rsid w:val="003648C2"/>
    <w:pPr>
      <w:keepNext/>
      <w:suppressLineNumbers/>
      <w:suppressAutoHyphens/>
      <w:spacing w:after="800" w:line="480" w:lineRule="exact"/>
      <w:jc w:val="left"/>
    </w:pPr>
    <w:rPr>
      <w:sz w:val="36"/>
    </w:rPr>
  </w:style>
  <w:style w:type="paragraph" w:customStyle="1" w:styleId="Head3-BooksReceived">
    <w:name w:val="_Head3-BooksReceived"/>
    <w:basedOn w:val="Journalfont"/>
    <w:next w:val="Document"/>
    <w:qFormat/>
    <w:rsid w:val="003648C2"/>
    <w:pPr>
      <w:keepNext/>
      <w:suppressLineNumbers/>
      <w:suppressAutoHyphens/>
      <w:spacing w:before="720" w:line="320" w:lineRule="exact"/>
      <w:jc w:val="center"/>
    </w:pPr>
    <w:rPr>
      <w:i/>
      <w:sz w:val="28"/>
    </w:rPr>
  </w:style>
  <w:style w:type="paragraph" w:customStyle="1" w:styleId="Head4-BooksReceived">
    <w:name w:val="_Head4-BooksReceived"/>
    <w:basedOn w:val="Journalfont"/>
    <w:next w:val="Document"/>
    <w:qFormat/>
    <w:rsid w:val="003648C2"/>
    <w:pPr>
      <w:keepNext/>
      <w:suppressLineNumbers/>
      <w:suppressAutoHyphens/>
      <w:spacing w:before="480" w:after="120"/>
    </w:pPr>
    <w:rPr>
      <w:b/>
    </w:rPr>
  </w:style>
  <w:style w:type="paragraph" w:customStyle="1" w:styleId="Head5-BookReviews">
    <w:name w:val="_Head5-BookReviews"/>
    <w:basedOn w:val="Journalfont"/>
    <w:next w:val="Document"/>
    <w:qFormat/>
    <w:rsid w:val="003648C2"/>
    <w:pPr>
      <w:keepNext/>
      <w:suppressLineNumbers/>
      <w:suppressAutoHyphens/>
      <w:spacing w:after="120"/>
    </w:pPr>
    <w:rPr>
      <w:b/>
    </w:rPr>
  </w:style>
  <w:style w:type="paragraph" w:customStyle="1" w:styleId="AuthorName1-Articles">
    <w:name w:val="_AuthorName1-Articles"/>
    <w:basedOn w:val="Journalfont"/>
    <w:next w:val="Document"/>
    <w:qFormat/>
    <w:rsid w:val="003648C2"/>
    <w:pPr>
      <w:keepNext/>
      <w:suppressLineNumbers/>
      <w:suppressAutoHyphens/>
      <w:spacing w:after="240" w:line="320" w:lineRule="exact"/>
      <w:jc w:val="center"/>
    </w:pPr>
    <w:rPr>
      <w:sz w:val="28"/>
      <w:szCs w:val="28"/>
    </w:rPr>
  </w:style>
  <w:style w:type="paragraph" w:customStyle="1" w:styleId="AuthorName2-Students">
    <w:name w:val="_AuthorName2-Students"/>
    <w:basedOn w:val="Journalfont"/>
    <w:next w:val="Document"/>
    <w:qFormat/>
    <w:rsid w:val="003648C2"/>
    <w:pPr>
      <w:keepNext/>
      <w:suppressLineNumbers/>
      <w:suppressAutoHyphens/>
      <w:spacing w:before="240"/>
      <w:jc w:val="right"/>
    </w:pPr>
    <w:rPr>
      <w:i/>
    </w:rPr>
  </w:style>
  <w:style w:type="paragraph" w:customStyle="1" w:styleId="AuthorName3-Reviews">
    <w:name w:val="_AuthorName3-Reviews"/>
    <w:basedOn w:val="Journalfont"/>
    <w:next w:val="Document"/>
    <w:qFormat/>
    <w:rsid w:val="003648C2"/>
    <w:pPr>
      <w:keepNext/>
      <w:suppressLineNumbers/>
      <w:suppressAutoHyphens/>
      <w:spacing w:after="240" w:line="320" w:lineRule="exact"/>
      <w:jc w:val="center"/>
    </w:pPr>
    <w:rPr>
      <w:sz w:val="28"/>
      <w:szCs w:val="28"/>
    </w:rPr>
  </w:style>
  <w:style w:type="paragraph" w:customStyle="1" w:styleId="SubHead1">
    <w:name w:val="_SubHead1"/>
    <w:basedOn w:val="Journalfont"/>
    <w:next w:val="Document"/>
    <w:qFormat/>
    <w:rsid w:val="003648C2"/>
    <w:pPr>
      <w:keepNext/>
      <w:suppressLineNumbers/>
      <w:tabs>
        <w:tab w:val="left" w:pos="400"/>
      </w:tabs>
      <w:suppressAutoHyphens/>
      <w:spacing w:before="320" w:after="60"/>
      <w:jc w:val="left"/>
    </w:pPr>
    <w:rPr>
      <w:b/>
    </w:rPr>
  </w:style>
  <w:style w:type="paragraph" w:customStyle="1" w:styleId="SubHead2">
    <w:name w:val="_SubHead2"/>
    <w:basedOn w:val="Journalfont"/>
    <w:next w:val="Document"/>
    <w:qFormat/>
    <w:rsid w:val="003648C2"/>
    <w:pPr>
      <w:keepNext/>
      <w:suppressLineNumbers/>
      <w:tabs>
        <w:tab w:val="left" w:pos="400"/>
      </w:tabs>
      <w:suppressAutoHyphens/>
      <w:spacing w:before="220" w:after="60"/>
      <w:jc w:val="left"/>
    </w:pPr>
  </w:style>
  <w:style w:type="paragraph" w:customStyle="1" w:styleId="SubHead3">
    <w:name w:val="_SubHead3"/>
    <w:basedOn w:val="Journalfont"/>
    <w:next w:val="Document"/>
    <w:qFormat/>
    <w:rsid w:val="003648C2"/>
    <w:pPr>
      <w:keepNext/>
      <w:suppressLineNumbers/>
      <w:tabs>
        <w:tab w:val="left" w:pos="400"/>
      </w:tabs>
      <w:suppressAutoHyphens/>
      <w:spacing w:before="200" w:after="60"/>
      <w:jc w:val="left"/>
    </w:pPr>
    <w:rPr>
      <w:i/>
    </w:rPr>
  </w:style>
  <w:style w:type="paragraph" w:customStyle="1" w:styleId="SubHead4">
    <w:name w:val="_SubHead4"/>
    <w:basedOn w:val="Journalfont"/>
    <w:next w:val="Document"/>
    <w:qFormat/>
    <w:rsid w:val="003648C2"/>
    <w:pPr>
      <w:keepNext/>
      <w:suppressLineNumbers/>
      <w:tabs>
        <w:tab w:val="left" w:pos="400"/>
      </w:tabs>
      <w:suppressAutoHyphens/>
      <w:spacing w:before="200" w:after="60"/>
      <w:jc w:val="left"/>
    </w:pPr>
  </w:style>
  <w:style w:type="paragraph" w:customStyle="1" w:styleId="SubHead5">
    <w:name w:val="_SubHead5"/>
    <w:basedOn w:val="Journalfont"/>
    <w:next w:val="Document"/>
    <w:qFormat/>
    <w:rsid w:val="003648C2"/>
    <w:pPr>
      <w:keepNext/>
      <w:suppressLineNumbers/>
      <w:tabs>
        <w:tab w:val="left" w:pos="400"/>
      </w:tabs>
      <w:suppressAutoHyphens/>
      <w:spacing w:before="200" w:after="60"/>
      <w:jc w:val="left"/>
    </w:pPr>
  </w:style>
  <w:style w:type="paragraph" w:customStyle="1" w:styleId="END">
    <w:name w:val="_END"/>
    <w:basedOn w:val="Journalfont"/>
    <w:next w:val="Document"/>
    <w:rsid w:val="003648C2"/>
    <w:pPr>
      <w:keepNext/>
      <w:suppressLineNumbers/>
      <w:suppressAutoHyphens/>
      <w:spacing w:line="0" w:lineRule="atLeast"/>
      <w:jc w:val="left"/>
    </w:pPr>
  </w:style>
  <w:style w:type="paragraph" w:customStyle="1" w:styleId="1stLineQuoteFn-1Num">
    <w:name w:val="_1stLineQuoteFn-1Num"/>
    <w:basedOn w:val="1StQuoteFN"/>
    <w:next w:val="FootNoteReference0"/>
    <w:qFormat/>
    <w:rsid w:val="003648C2"/>
    <w:pPr>
      <w:tabs>
        <w:tab w:val="clear" w:pos="680"/>
        <w:tab w:val="left" w:pos="360"/>
        <w:tab w:val="left" w:pos="600"/>
      </w:tabs>
      <w:ind w:hanging="320"/>
    </w:pPr>
  </w:style>
  <w:style w:type="paragraph" w:customStyle="1" w:styleId="1stLineQuoteFn-2Num">
    <w:name w:val="_1stLineQuoteFn-2Num"/>
    <w:basedOn w:val="1StQuoteFN"/>
    <w:next w:val="FootNoteReference0"/>
    <w:link w:val="1stLineQuoteFn-2NumChar"/>
    <w:qFormat/>
    <w:rsid w:val="003648C2"/>
    <w:pPr>
      <w:widowControl/>
      <w:suppressLineNumbers w:val="0"/>
      <w:tabs>
        <w:tab w:val="left" w:pos="260"/>
      </w:tabs>
      <w:ind w:hanging="320"/>
    </w:pPr>
  </w:style>
  <w:style w:type="paragraph" w:customStyle="1" w:styleId="1stLineQuoteFn-3Num">
    <w:name w:val="_1stLineQuoteFn-3Num"/>
    <w:basedOn w:val="1StQuoteFN"/>
    <w:qFormat/>
    <w:rsid w:val="003648C2"/>
    <w:pPr>
      <w:widowControl/>
      <w:suppressLineNumbers w:val="0"/>
      <w:tabs>
        <w:tab w:val="left" w:pos="160"/>
      </w:tabs>
      <w:ind w:hanging="320"/>
    </w:pPr>
  </w:style>
  <w:style w:type="paragraph" w:styleId="TOC10">
    <w:name w:val="toc 1"/>
    <w:basedOn w:val="Toc1"/>
    <w:next w:val="Journalfont"/>
    <w:autoRedefine/>
    <w:uiPriority w:val="39"/>
    <w:rsid w:val="003648C2"/>
  </w:style>
  <w:style w:type="paragraph" w:styleId="TOC20">
    <w:name w:val="toc 2"/>
    <w:basedOn w:val="Toc2"/>
    <w:next w:val="Journalfont"/>
    <w:autoRedefine/>
    <w:uiPriority w:val="39"/>
    <w:rsid w:val="003648C2"/>
    <w:pPr>
      <w:tabs>
        <w:tab w:val="left" w:pos="1320"/>
      </w:tabs>
    </w:pPr>
  </w:style>
  <w:style w:type="paragraph" w:styleId="TOC30">
    <w:name w:val="toc 3"/>
    <w:basedOn w:val="Toc3"/>
    <w:next w:val="Journalfont"/>
    <w:autoRedefine/>
    <w:uiPriority w:val="39"/>
    <w:rsid w:val="003648C2"/>
  </w:style>
  <w:style w:type="paragraph" w:styleId="TOC40">
    <w:name w:val="toc 4"/>
    <w:basedOn w:val="Toc4"/>
    <w:next w:val="Journalfont"/>
    <w:autoRedefine/>
    <w:uiPriority w:val="39"/>
    <w:rsid w:val="003648C2"/>
  </w:style>
  <w:style w:type="paragraph" w:styleId="TOC50">
    <w:name w:val="toc 5"/>
    <w:basedOn w:val="Toc5"/>
    <w:next w:val="Journalfont"/>
    <w:autoRedefine/>
    <w:uiPriority w:val="39"/>
    <w:rsid w:val="003648C2"/>
  </w:style>
  <w:style w:type="character" w:customStyle="1" w:styleId="FootNoteReferenceChar">
    <w:name w:val="_FootNote Reference Char"/>
    <w:basedOn w:val="DocumentChar"/>
    <w:link w:val="FootNoteReference0"/>
    <w:rsid w:val="003648C2"/>
    <w:rPr>
      <w:rFonts w:ascii="Times New Roman" w:eastAsia="Times New Roman" w:hAnsi="Times New Roman" w:cs="Times New Roman"/>
      <w:sz w:val="18"/>
      <w:szCs w:val="21"/>
      <w:lang w:val="en-US"/>
    </w:rPr>
  </w:style>
  <w:style w:type="character" w:customStyle="1" w:styleId="1StQuoteFNChar">
    <w:name w:val="_1StQuoteFN Char"/>
    <w:basedOn w:val="FootNoteReferenceChar"/>
    <w:link w:val="1StQuoteFN"/>
    <w:rsid w:val="003648C2"/>
    <w:rPr>
      <w:rFonts w:ascii="Times New Roman" w:eastAsia="Times New Roman" w:hAnsi="Times New Roman" w:cs="Times New Roman"/>
      <w:sz w:val="18"/>
      <w:szCs w:val="18"/>
      <w:lang w:val="en-US"/>
    </w:rPr>
  </w:style>
  <w:style w:type="character" w:customStyle="1" w:styleId="1stLineQuoteFn-2NumChar">
    <w:name w:val="_1stLineQuoteFn-2Num Char"/>
    <w:basedOn w:val="1StQuoteFNChar"/>
    <w:link w:val="1stLineQuoteFn-2Num"/>
    <w:rsid w:val="003648C2"/>
    <w:rPr>
      <w:rFonts w:ascii="Times New Roman" w:eastAsia="Times New Roman" w:hAnsi="Times New Roman" w:cs="Times New Roman"/>
      <w:sz w:val="18"/>
      <w:szCs w:val="18"/>
      <w:lang w:val="en-US"/>
    </w:rPr>
  </w:style>
  <w:style w:type="paragraph" w:customStyle="1" w:styleId="header0">
    <w:name w:val="_header"/>
    <w:basedOn w:val="Header"/>
    <w:rsid w:val="003648C2"/>
    <w:pPr>
      <w:pBdr>
        <w:top w:val="single" w:sz="6" w:space="1" w:color="auto"/>
        <w:bottom w:val="single" w:sz="6" w:space="1" w:color="auto"/>
      </w:pBdr>
      <w:tabs>
        <w:tab w:val="clear" w:pos="4513"/>
        <w:tab w:val="clear" w:pos="9026"/>
        <w:tab w:val="right" w:pos="6480"/>
      </w:tabs>
    </w:pPr>
    <w:rPr>
      <w:rFonts w:ascii="Times New Roman" w:eastAsia="Times New Roman" w:hAnsi="Times New Roman" w:cs="Times New Roman"/>
      <w:smallCaps/>
      <w:sz w:val="14"/>
      <w:szCs w:val="20"/>
      <w:lang w:val="en-US"/>
    </w:rPr>
  </w:style>
  <w:style w:type="paragraph" w:styleId="Revision">
    <w:name w:val="Revision"/>
    <w:hidden/>
    <w:uiPriority w:val="99"/>
    <w:semiHidden/>
    <w:rsid w:val="003648C2"/>
    <w:pPr>
      <w:spacing w:after="0" w:line="240" w:lineRule="auto"/>
    </w:pPr>
    <w:rPr>
      <w:lang w:val="en-US"/>
    </w:rPr>
  </w:style>
  <w:style w:type="character" w:styleId="CommentReference">
    <w:name w:val="annotation reference"/>
    <w:basedOn w:val="DefaultParagraphFont"/>
    <w:uiPriority w:val="99"/>
    <w:unhideWhenUsed/>
    <w:rsid w:val="003648C2"/>
    <w:rPr>
      <w:sz w:val="16"/>
      <w:szCs w:val="16"/>
    </w:rPr>
  </w:style>
  <w:style w:type="paragraph" w:styleId="CommentText">
    <w:name w:val="annotation text"/>
    <w:basedOn w:val="Normal"/>
    <w:link w:val="CommentTextChar"/>
    <w:uiPriority w:val="99"/>
    <w:unhideWhenUsed/>
    <w:rsid w:val="003648C2"/>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3648C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648C2"/>
    <w:rPr>
      <w:b/>
      <w:bCs/>
    </w:rPr>
  </w:style>
  <w:style w:type="character" w:customStyle="1" w:styleId="CommentSubjectChar">
    <w:name w:val="Comment Subject Char"/>
    <w:basedOn w:val="CommentTextChar"/>
    <w:link w:val="CommentSubject"/>
    <w:uiPriority w:val="99"/>
    <w:semiHidden/>
    <w:rsid w:val="003648C2"/>
    <w:rPr>
      <w:rFonts w:ascii="Times New Roman" w:eastAsia="Times New Roman" w:hAnsi="Times New Roman" w:cs="Times New Roman"/>
      <w:b/>
      <w:bCs/>
      <w:sz w:val="20"/>
      <w:szCs w:val="20"/>
      <w:lang w:val="en-US"/>
    </w:rPr>
  </w:style>
  <w:style w:type="character" w:customStyle="1" w:styleId="UnresolvedMention10">
    <w:name w:val="Unresolved Mention1"/>
    <w:basedOn w:val="DefaultParagraphFont"/>
    <w:uiPriority w:val="99"/>
    <w:semiHidden/>
    <w:unhideWhenUsed/>
    <w:rsid w:val="003648C2"/>
    <w:rPr>
      <w:color w:val="605E5C"/>
      <w:shd w:val="clear" w:color="auto" w:fill="E1DFDD"/>
    </w:rPr>
  </w:style>
  <w:style w:type="character" w:styleId="FollowedHyperlink">
    <w:name w:val="FollowedHyperlink"/>
    <w:basedOn w:val="DefaultParagraphFont"/>
    <w:semiHidden/>
    <w:unhideWhenUsed/>
    <w:rsid w:val="003648C2"/>
    <w:rPr>
      <w:color w:val="954F72" w:themeColor="followedHyperlink"/>
      <w:u w:val="single"/>
    </w:rPr>
  </w:style>
  <w:style w:type="paragraph" w:styleId="BodyText">
    <w:name w:val="Body Text"/>
    <w:basedOn w:val="Normal"/>
    <w:link w:val="BodyTextChar"/>
    <w:uiPriority w:val="1"/>
    <w:qFormat/>
    <w:rsid w:val="003648C2"/>
    <w:pPr>
      <w:widowControl w:val="0"/>
      <w:spacing w:after="0" w:line="240" w:lineRule="auto"/>
      <w:ind w:left="120" w:firstLine="707"/>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3648C2"/>
    <w:rPr>
      <w:rFonts w:ascii="Times New Roman" w:eastAsia="Times New Roman" w:hAnsi="Times New Roman"/>
      <w:sz w:val="24"/>
      <w:szCs w:val="24"/>
      <w:lang w:val="en-US"/>
    </w:rPr>
  </w:style>
  <w:style w:type="paragraph" w:styleId="ListParagraph">
    <w:name w:val="List Paragraph"/>
    <w:basedOn w:val="Normal"/>
    <w:uiPriority w:val="34"/>
    <w:qFormat/>
    <w:rsid w:val="003648C2"/>
    <w:pPr>
      <w:widowControl w:val="0"/>
      <w:spacing w:after="0" w:line="240" w:lineRule="auto"/>
    </w:pPr>
    <w:rPr>
      <w:rFonts w:eastAsiaTheme="minorEastAsia"/>
      <w:lang w:val="en-US"/>
    </w:rPr>
  </w:style>
  <w:style w:type="paragraph" w:customStyle="1" w:styleId="TableParagraph">
    <w:name w:val="Table Paragraph"/>
    <w:basedOn w:val="Normal"/>
    <w:uiPriority w:val="1"/>
    <w:qFormat/>
    <w:rsid w:val="003648C2"/>
    <w:pPr>
      <w:widowControl w:val="0"/>
      <w:spacing w:after="0" w:line="240" w:lineRule="auto"/>
    </w:pPr>
    <w:rPr>
      <w:rFonts w:eastAsiaTheme="minorEastAsia"/>
      <w:lang w:val="en-US"/>
    </w:rPr>
  </w:style>
  <w:style w:type="character" w:styleId="Strong">
    <w:name w:val="Strong"/>
    <w:uiPriority w:val="22"/>
    <w:qFormat/>
    <w:rsid w:val="003648C2"/>
    <w:rPr>
      <w:b/>
      <w:bCs/>
    </w:rPr>
  </w:style>
  <w:style w:type="character" w:customStyle="1" w:styleId="UnresolvedMention2">
    <w:name w:val="Unresolved Mention2"/>
    <w:basedOn w:val="DefaultParagraphFont"/>
    <w:uiPriority w:val="99"/>
    <w:semiHidden/>
    <w:unhideWhenUsed/>
    <w:rsid w:val="003648C2"/>
    <w:rPr>
      <w:color w:val="605E5C"/>
      <w:shd w:val="clear" w:color="auto" w:fill="E1DFDD"/>
    </w:rPr>
  </w:style>
  <w:style w:type="character" w:customStyle="1" w:styleId="UnresolvedMention3">
    <w:name w:val="Unresolved Mention3"/>
    <w:basedOn w:val="DefaultParagraphFont"/>
    <w:uiPriority w:val="99"/>
    <w:semiHidden/>
    <w:unhideWhenUsed/>
    <w:rsid w:val="003648C2"/>
    <w:rPr>
      <w:color w:val="605E5C"/>
      <w:shd w:val="clear" w:color="auto" w:fill="E1DFDD"/>
    </w:rPr>
  </w:style>
  <w:style w:type="paragraph" w:customStyle="1" w:styleId="paragraph">
    <w:name w:val="paragraph"/>
    <w:basedOn w:val="Normal"/>
    <w:rsid w:val="003648C2"/>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customStyle="1" w:styleId="normaltextrun">
    <w:name w:val="normaltextrun"/>
    <w:basedOn w:val="DefaultParagraphFont"/>
    <w:rsid w:val="003648C2"/>
  </w:style>
  <w:style w:type="character" w:customStyle="1" w:styleId="eop">
    <w:name w:val="eop"/>
    <w:basedOn w:val="DefaultParagraphFont"/>
    <w:rsid w:val="003648C2"/>
  </w:style>
  <w:style w:type="paragraph" w:customStyle="1" w:styleId="BODYTEXT0">
    <w:name w:val="[ BODY TEXT ]"/>
    <w:rsid w:val="003648C2"/>
    <w:pPr>
      <w:spacing w:after="0" w:line="360" w:lineRule="auto"/>
      <w:ind w:firstLine="720"/>
    </w:pPr>
    <w:rPr>
      <w:rFonts w:ascii="Times New Roman" w:eastAsia="ヒラギノ角ゴ Pro W3" w:hAnsi="Times New Roman" w:cs="Times New Roman"/>
      <w:color w:val="000000"/>
      <w:kern w:val="24"/>
      <w:sz w:val="24"/>
      <w:szCs w:val="20"/>
      <w:lang w:val="en-US"/>
    </w:rPr>
  </w:style>
  <w:style w:type="paragraph" w:customStyle="1" w:styleId="QUOTATIONLONG">
    <w:name w:val="[ QUOTATION LONG ]"/>
    <w:rsid w:val="003648C2"/>
    <w:pPr>
      <w:spacing w:after="220" w:line="276" w:lineRule="auto"/>
      <w:ind w:left="720" w:right="720"/>
      <w:contextualSpacing/>
    </w:pPr>
    <w:rPr>
      <w:rFonts w:ascii="Times New Roman" w:eastAsia="ヒラギノ角ゴ Pro W3" w:hAnsi="Times New Roman" w:cs="Times New Roman"/>
      <w:color w:val="000000"/>
      <w:kern w:val="24"/>
      <w:sz w:val="24"/>
      <w:szCs w:val="20"/>
      <w:lang w:val="en-CA" w:bidi="he-IL"/>
    </w:rPr>
  </w:style>
  <w:style w:type="paragraph" w:customStyle="1" w:styleId="BODYFIRSTPARAGRAPH">
    <w:name w:val="[ BODY FIRST PARAGRAPH ]"/>
    <w:basedOn w:val="BODYTEXT0"/>
    <w:qFormat/>
    <w:rsid w:val="003648C2"/>
    <w:pPr>
      <w:ind w:firstLine="0"/>
    </w:pPr>
    <w:rPr>
      <w:lang w:bidi="he-IL"/>
    </w:rPr>
  </w:style>
  <w:style w:type="character" w:customStyle="1" w:styleId="tosptmuxyt">
    <w:name w:val="[ tospt muxyt ]"/>
    <w:uiPriority w:val="1"/>
    <w:qFormat/>
    <w:rsid w:val="003648C2"/>
    <w:rPr>
      <w:color w:val="00B050"/>
      <w:lang w:bidi="he-IL"/>
    </w:rPr>
  </w:style>
  <w:style w:type="paragraph" w:styleId="NormalWeb">
    <w:name w:val="Normal (Web)"/>
    <w:basedOn w:val="Normal"/>
    <w:uiPriority w:val="99"/>
    <w:unhideWhenUsed/>
    <w:rsid w:val="00364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3648C2"/>
  </w:style>
  <w:style w:type="paragraph" w:styleId="TOCHeading">
    <w:name w:val="TOC Heading"/>
    <w:basedOn w:val="Heading1"/>
    <w:next w:val="Normal"/>
    <w:uiPriority w:val="39"/>
    <w:unhideWhenUsed/>
    <w:qFormat/>
    <w:rsid w:val="003648C2"/>
    <w:pPr>
      <w:keepNext/>
      <w:keepLines/>
      <w:widowControl/>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character" w:styleId="HTMLCite">
    <w:name w:val="HTML Cite"/>
    <w:basedOn w:val="DefaultParagraphFont"/>
    <w:uiPriority w:val="99"/>
    <w:semiHidden/>
    <w:unhideWhenUsed/>
    <w:rsid w:val="003648C2"/>
    <w:rPr>
      <w:i/>
      <w:iCs/>
    </w:rPr>
  </w:style>
  <w:style w:type="character" w:customStyle="1" w:styleId="apple-converted-space">
    <w:name w:val="apple-converted-space"/>
    <w:basedOn w:val="DefaultParagraphFont"/>
    <w:rsid w:val="003648C2"/>
  </w:style>
  <w:style w:type="character" w:customStyle="1" w:styleId="emphasistypeitalic">
    <w:name w:val="emphasistypeitalic"/>
    <w:basedOn w:val="DefaultParagraphFont"/>
    <w:rsid w:val="003648C2"/>
  </w:style>
  <w:style w:type="paragraph" w:customStyle="1" w:styleId="author">
    <w:name w:val="author"/>
    <w:basedOn w:val="Normal"/>
    <w:rsid w:val="003648C2"/>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customStyle="1" w:styleId="UnresolvedMention4">
    <w:name w:val="Unresolved Mention4"/>
    <w:basedOn w:val="DefaultParagraphFont"/>
    <w:uiPriority w:val="99"/>
    <w:semiHidden/>
    <w:unhideWhenUsed/>
    <w:rsid w:val="003648C2"/>
    <w:rPr>
      <w:color w:val="605E5C"/>
      <w:shd w:val="clear" w:color="auto" w:fill="E1DFDD"/>
    </w:rPr>
  </w:style>
  <w:style w:type="paragraph" w:customStyle="1" w:styleId="FootNote">
    <w:name w:val="_FootNote"/>
    <w:basedOn w:val="Normal"/>
    <w:link w:val="FootNoteChar"/>
    <w:qFormat/>
    <w:rsid w:val="003648C2"/>
    <w:pPr>
      <w:widowControl w:val="0"/>
      <w:suppressLineNumbers/>
      <w:tabs>
        <w:tab w:val="right" w:pos="480"/>
        <w:tab w:val="left" w:pos="600"/>
      </w:tabs>
      <w:spacing w:before="20" w:after="0" w:line="190" w:lineRule="exact"/>
      <w:jc w:val="both"/>
    </w:pPr>
    <w:rPr>
      <w:rFonts w:ascii="Times New Roman" w:eastAsia="Times New Roman" w:hAnsi="Times New Roman" w:cs="Times New Roman"/>
      <w:sz w:val="18"/>
      <w:szCs w:val="21"/>
      <w:lang w:val="en-US"/>
    </w:rPr>
  </w:style>
  <w:style w:type="character" w:customStyle="1" w:styleId="FootNoteChar">
    <w:name w:val="_FootNote Char"/>
    <w:basedOn w:val="DefaultParagraphFont"/>
    <w:link w:val="FootNote"/>
    <w:rsid w:val="003648C2"/>
    <w:rPr>
      <w:rFonts w:ascii="Times New Roman" w:eastAsia="Times New Roman" w:hAnsi="Times New Roman" w:cs="Times New Roman"/>
      <w:sz w:val="18"/>
      <w:szCs w:val="21"/>
      <w:lang w:val="en-US"/>
    </w:rPr>
  </w:style>
  <w:style w:type="character" w:customStyle="1" w:styleId="UnresolvedMention5">
    <w:name w:val="Unresolved Mention5"/>
    <w:basedOn w:val="DefaultParagraphFont"/>
    <w:uiPriority w:val="99"/>
    <w:semiHidden/>
    <w:unhideWhenUsed/>
    <w:rsid w:val="003648C2"/>
    <w:rPr>
      <w:color w:val="605E5C"/>
      <w:shd w:val="clear" w:color="auto" w:fill="E1DFDD"/>
    </w:rPr>
  </w:style>
  <w:style w:type="character" w:styleId="Emphasis">
    <w:name w:val="Emphasis"/>
    <w:basedOn w:val="DefaultParagraphFont"/>
    <w:uiPriority w:val="20"/>
    <w:qFormat/>
    <w:rsid w:val="003A4C05"/>
    <w:rPr>
      <w:i/>
      <w:iCs/>
    </w:rPr>
  </w:style>
  <w:style w:type="character" w:styleId="UnresolvedMention">
    <w:name w:val="Unresolved Mention"/>
    <w:basedOn w:val="DefaultParagraphFont"/>
    <w:uiPriority w:val="99"/>
    <w:semiHidden/>
    <w:unhideWhenUsed/>
    <w:rsid w:val="00042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99079">
      <w:bodyDiv w:val="1"/>
      <w:marLeft w:val="0"/>
      <w:marRight w:val="0"/>
      <w:marTop w:val="0"/>
      <w:marBottom w:val="0"/>
      <w:divBdr>
        <w:top w:val="none" w:sz="0" w:space="0" w:color="auto"/>
        <w:left w:val="none" w:sz="0" w:space="0" w:color="auto"/>
        <w:bottom w:val="none" w:sz="0" w:space="0" w:color="auto"/>
        <w:right w:val="none" w:sz="0" w:space="0" w:color="auto"/>
      </w:divBdr>
    </w:div>
    <w:div w:id="18506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et.police.uk/SysSiteAssets/media/downloads/met/about-us/baroness-casey-review/update-march-2023/baroness-casey-review-march-2023a.pdf" TargetMode="External"/><Relationship Id="rId3" Type="http://schemas.openxmlformats.org/officeDocument/2006/relationships/hyperlink" Target="https://www.college.police.uk/app/major-investigation-and-public-protection/domestic-abuse" TargetMode="External"/><Relationship Id="rId7" Type="http://schemas.openxmlformats.org/officeDocument/2006/relationships/hyperlink" Target="https://www.justiceinspectorates.gov.uk/hmcpsi/inspections/the-service-from-the-cps-to-victims-of-domestic-abuse" TargetMode="External"/><Relationship Id="rId2" Type="http://schemas.openxmlformats.org/officeDocument/2006/relationships/hyperlink" Target="https://www.college.police.uk/guidance/violence-against-women-and-girls-toolkit" TargetMode="External"/><Relationship Id="rId1" Type="http://schemas.openxmlformats.org/officeDocument/2006/relationships/hyperlink" Target="https://www.gov.uk/government/publications/tackling-violence-against-women-and-girls-strategy" TargetMode="External"/><Relationship Id="rId6" Type="http://schemas.openxmlformats.org/officeDocument/2006/relationships/hyperlink" Target="https://www.gov.uk/government/publications/end-to-end-rape-review-report-on-findings-and-actions" TargetMode="External"/><Relationship Id="rId5" Type="http://schemas.openxmlformats.org/officeDocument/2006/relationships/hyperlink" Target="https://www.endviolenceagainstwomen.org.uk/breaking-news-womens-groups-deeply-disappointed-by-judges-failure-to-hold-cps-accountable-on-rape-prosecutions-collapse" TargetMode="External"/><Relationship Id="rId10" Type="http://schemas.openxmlformats.org/officeDocument/2006/relationships/hyperlink" Target="https://clareslawexperiencesproject.com/wp-content/uploads/2021/10/Clares-Law-DVD-Schemes.pdf" TargetMode="External"/><Relationship Id="rId4" Type="http://schemas.openxmlformats.org/officeDocument/2006/relationships/hyperlink" Target="https://www.cps.gov.uk/legal-guidance/domestic-abuse" TargetMode="External"/><Relationship Id="rId9" Type="http://schemas.openxmlformats.org/officeDocument/2006/relationships/hyperlink" Target="https://www.monash.edu/arts/gender-and-family-violence/research-and-projects/domestic-violence-disclosure-sche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IJCLE%20formatting%20template%20-DESKTOP-G1R2S2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A86ED-6593-4251-97E4-8FEB389D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IJCLE formatting template -DESKTOP-G1R2S2K.dotx</Template>
  <TotalTime>11</TotalTime>
  <Pages>18</Pages>
  <Words>5922</Words>
  <Characters>33758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Graham</dc:creator>
  <cp:keywords/>
  <dc:description/>
  <cp:lastModifiedBy>Laura Graham</cp:lastModifiedBy>
  <cp:revision>17</cp:revision>
  <dcterms:created xsi:type="dcterms:W3CDTF">2024-07-18T16:50:00Z</dcterms:created>
  <dcterms:modified xsi:type="dcterms:W3CDTF">2024-07-18T17:37:00Z</dcterms:modified>
</cp:coreProperties>
</file>